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CF9" w:rsidRPr="00005D10" w:rsidRDefault="000D5CF9" w:rsidP="000901A8">
      <w:pPr>
        <w:rPr>
          <w:szCs w:val="22"/>
        </w:rPr>
      </w:pPr>
      <w:bookmarkStart w:id="0" w:name="_Toc279153756"/>
      <w:bookmarkStart w:id="1" w:name="_GoBack"/>
      <w:bookmarkEnd w:id="1"/>
    </w:p>
    <w:tbl>
      <w:tblPr>
        <w:tblpPr w:leftFromText="187" w:rightFromText="187" w:horzAnchor="margin" w:tblpXSpec="right" w:tblpYSpec="center"/>
        <w:tblW w:w="2752" w:type="pct"/>
        <w:tblBorders>
          <w:top w:val="single" w:sz="36" w:space="0" w:color="215868"/>
          <w:bottom w:val="single" w:sz="36" w:space="0" w:color="215868"/>
          <w:insideH w:val="single" w:sz="36" w:space="0" w:color="215868"/>
        </w:tblBorders>
        <w:tblCellMar>
          <w:top w:w="360" w:type="dxa"/>
          <w:left w:w="115" w:type="dxa"/>
          <w:bottom w:w="360" w:type="dxa"/>
          <w:right w:w="115" w:type="dxa"/>
        </w:tblCellMar>
        <w:tblLook w:val="00A0" w:firstRow="1" w:lastRow="0" w:firstColumn="1" w:lastColumn="0" w:noHBand="0" w:noVBand="0"/>
      </w:tblPr>
      <w:tblGrid>
        <w:gridCol w:w="5095"/>
      </w:tblGrid>
      <w:tr w:rsidR="000D5CF9" w:rsidRPr="00427237" w:rsidTr="003D631F">
        <w:tc>
          <w:tcPr>
            <w:tcW w:w="5000" w:type="pct"/>
          </w:tcPr>
          <w:p w:rsidR="004F57F2" w:rsidRPr="00427237" w:rsidRDefault="00316D47" w:rsidP="00D61C4E">
            <w:pPr>
              <w:pStyle w:val="NoSpacing"/>
              <w:rPr>
                <w:rFonts w:ascii="Tahoma" w:hAnsi="Tahoma" w:cs="Tahoma"/>
                <w:sz w:val="44"/>
                <w:szCs w:val="56"/>
                <w:lang w:val="en-AU"/>
              </w:rPr>
            </w:pPr>
            <w:r w:rsidRPr="00427237">
              <w:rPr>
                <w:rFonts w:ascii="Tahoma" w:hAnsi="Tahoma" w:cs="Tahoma"/>
                <w:sz w:val="44"/>
                <w:szCs w:val="56"/>
                <w:lang w:val="en-AU"/>
              </w:rPr>
              <w:t>1357</w:t>
            </w:r>
          </w:p>
          <w:p w:rsidR="004F57F2" w:rsidRPr="004C5EFA" w:rsidRDefault="004F57F2" w:rsidP="00D61C4E">
            <w:pPr>
              <w:pStyle w:val="NoSpacing"/>
              <w:rPr>
                <w:rFonts w:ascii="Tahoma" w:hAnsi="Tahoma" w:cs="Tahoma"/>
                <w:sz w:val="144"/>
                <w:szCs w:val="144"/>
                <w:lang w:val="en-AU"/>
              </w:rPr>
            </w:pPr>
          </w:p>
          <w:p w:rsidR="000D5CF9" w:rsidRPr="00427237" w:rsidRDefault="003D631F" w:rsidP="00D61C4E">
            <w:pPr>
              <w:pStyle w:val="NoSpacing"/>
              <w:rPr>
                <w:rFonts w:ascii="Tahoma" w:hAnsi="Tahoma" w:cs="Tahoma"/>
                <w:sz w:val="44"/>
                <w:szCs w:val="56"/>
                <w:lang w:val="en-AU"/>
              </w:rPr>
            </w:pPr>
            <w:r>
              <w:rPr>
                <w:rFonts w:ascii="Tahoma" w:hAnsi="Tahoma" w:cs="Tahoma"/>
                <w:sz w:val="44"/>
                <w:szCs w:val="56"/>
                <w:lang w:val="en-AU"/>
              </w:rPr>
              <w:t xml:space="preserve">Final </w:t>
            </w:r>
            <w:r w:rsidR="004F57F2" w:rsidRPr="00427237">
              <w:rPr>
                <w:rFonts w:ascii="Tahoma" w:hAnsi="Tahoma" w:cs="Tahoma"/>
                <w:sz w:val="44"/>
                <w:szCs w:val="56"/>
                <w:lang w:val="en-AU"/>
              </w:rPr>
              <w:t>P</w:t>
            </w:r>
            <w:r w:rsidR="000D5CF9" w:rsidRPr="00427237">
              <w:rPr>
                <w:rFonts w:ascii="Tahoma" w:hAnsi="Tahoma" w:cs="Tahoma"/>
                <w:sz w:val="44"/>
                <w:szCs w:val="56"/>
                <w:lang w:val="en-AU"/>
              </w:rPr>
              <w:t xml:space="preserve">rotocol to guide the assessment of </w:t>
            </w:r>
            <w:r w:rsidR="006A12AF" w:rsidRPr="00427237">
              <w:rPr>
                <w:rFonts w:ascii="Tahoma" w:hAnsi="Tahoma" w:cs="Tahoma"/>
                <w:sz w:val="44"/>
                <w:szCs w:val="56"/>
                <w:lang w:val="en-AU"/>
              </w:rPr>
              <w:br/>
            </w:r>
            <w:r w:rsidR="00D76266" w:rsidRPr="00427237">
              <w:rPr>
                <w:rFonts w:ascii="Tahoma" w:hAnsi="Tahoma" w:cs="Tahoma"/>
                <w:sz w:val="44"/>
                <w:szCs w:val="56"/>
                <w:vertAlign w:val="superscript"/>
                <w:lang w:val="en-AU"/>
              </w:rPr>
              <w:t>18</w:t>
            </w:r>
            <w:r w:rsidR="00D76266" w:rsidRPr="00427237">
              <w:rPr>
                <w:rFonts w:ascii="Tahoma" w:hAnsi="Tahoma" w:cs="Tahoma"/>
                <w:sz w:val="44"/>
                <w:szCs w:val="56"/>
                <w:lang w:val="en-AU"/>
              </w:rPr>
              <w:t>F-FDG</w:t>
            </w:r>
            <w:r w:rsidR="00C668E0" w:rsidRPr="00427237">
              <w:rPr>
                <w:rFonts w:ascii="Tahoma" w:hAnsi="Tahoma" w:cs="Tahoma"/>
                <w:sz w:val="44"/>
                <w:szCs w:val="56"/>
                <w:lang w:val="en-AU"/>
              </w:rPr>
              <w:t xml:space="preserve"> PET</w:t>
            </w:r>
            <w:r w:rsidR="000D5CF9" w:rsidRPr="00427237">
              <w:rPr>
                <w:rFonts w:ascii="Tahoma" w:hAnsi="Tahoma" w:cs="Tahoma"/>
                <w:sz w:val="44"/>
                <w:szCs w:val="56"/>
                <w:lang w:val="en-AU"/>
              </w:rPr>
              <w:t xml:space="preserve"> </w:t>
            </w:r>
            <w:r w:rsidR="003A2113" w:rsidRPr="00427237">
              <w:rPr>
                <w:rFonts w:ascii="Tahoma" w:hAnsi="Tahoma" w:cs="Tahoma"/>
                <w:sz w:val="44"/>
                <w:szCs w:val="56"/>
                <w:lang w:val="en-AU"/>
              </w:rPr>
              <w:t>in</w:t>
            </w:r>
            <w:r w:rsidR="00CC26C5" w:rsidRPr="00427237">
              <w:rPr>
                <w:rFonts w:ascii="Tahoma" w:hAnsi="Tahoma" w:cs="Tahoma"/>
                <w:sz w:val="44"/>
                <w:szCs w:val="56"/>
                <w:lang w:val="en-AU"/>
              </w:rPr>
              <w:t xml:space="preserve"> </w:t>
            </w:r>
            <w:r w:rsidR="002D5539" w:rsidRPr="00427237">
              <w:rPr>
                <w:rFonts w:ascii="Tahoma" w:hAnsi="Tahoma" w:cs="Tahoma"/>
                <w:sz w:val="44"/>
                <w:szCs w:val="56"/>
                <w:lang w:val="en-AU"/>
              </w:rPr>
              <w:t>proven</w:t>
            </w:r>
            <w:r w:rsidR="007C4601" w:rsidRPr="00427237">
              <w:rPr>
                <w:rFonts w:ascii="Tahoma" w:hAnsi="Tahoma" w:cs="Tahoma"/>
                <w:sz w:val="44"/>
                <w:szCs w:val="56"/>
                <w:lang w:val="en-AU"/>
              </w:rPr>
              <w:t xml:space="preserve"> </w:t>
            </w:r>
            <w:r w:rsidR="00C668E0" w:rsidRPr="00427237">
              <w:rPr>
                <w:rFonts w:ascii="Tahoma" w:hAnsi="Tahoma" w:cs="Tahoma"/>
                <w:sz w:val="44"/>
                <w:szCs w:val="56"/>
                <w:lang w:val="en-AU"/>
              </w:rPr>
              <w:t xml:space="preserve">locally advanced, </w:t>
            </w:r>
            <w:r w:rsidR="007C4601" w:rsidRPr="00427237">
              <w:rPr>
                <w:rFonts w:ascii="Tahoma" w:hAnsi="Tahoma" w:cs="Tahoma"/>
                <w:sz w:val="44"/>
                <w:szCs w:val="56"/>
                <w:lang w:val="en-AU"/>
              </w:rPr>
              <w:t xml:space="preserve">suspected </w:t>
            </w:r>
            <w:r w:rsidR="00CC26C5" w:rsidRPr="00427237">
              <w:rPr>
                <w:rFonts w:ascii="Tahoma" w:hAnsi="Tahoma" w:cs="Tahoma"/>
                <w:sz w:val="44"/>
                <w:szCs w:val="56"/>
                <w:lang w:val="en-AU"/>
              </w:rPr>
              <w:t xml:space="preserve">locally and regionally </w:t>
            </w:r>
            <w:r w:rsidR="00C668E0" w:rsidRPr="00427237">
              <w:rPr>
                <w:rFonts w:ascii="Tahoma" w:hAnsi="Tahoma" w:cs="Tahoma"/>
                <w:sz w:val="44"/>
                <w:szCs w:val="56"/>
                <w:lang w:val="en-AU"/>
              </w:rPr>
              <w:t>recurrent, and</w:t>
            </w:r>
            <w:r w:rsidR="007C4601" w:rsidRPr="00427237">
              <w:rPr>
                <w:rFonts w:ascii="Tahoma" w:hAnsi="Tahoma" w:cs="Tahoma"/>
                <w:sz w:val="44"/>
                <w:szCs w:val="56"/>
                <w:lang w:val="en-AU"/>
              </w:rPr>
              <w:t xml:space="preserve"> suspected</w:t>
            </w:r>
            <w:r w:rsidR="00C668E0" w:rsidRPr="00427237">
              <w:rPr>
                <w:rFonts w:ascii="Tahoma" w:hAnsi="Tahoma" w:cs="Tahoma"/>
                <w:sz w:val="44"/>
                <w:szCs w:val="56"/>
                <w:lang w:val="en-AU"/>
              </w:rPr>
              <w:t xml:space="preserve"> metastatic breast cancers.</w:t>
            </w:r>
          </w:p>
          <w:p w:rsidR="000D5CF9" w:rsidRPr="004C5EFA" w:rsidRDefault="000D5CF9" w:rsidP="003F5D96">
            <w:pPr>
              <w:pStyle w:val="NoSpacing"/>
              <w:jc w:val="center"/>
              <w:rPr>
                <w:rFonts w:ascii="Tahoma" w:hAnsi="Tahoma" w:cs="Tahoma"/>
                <w:sz w:val="144"/>
                <w:szCs w:val="144"/>
                <w:lang w:val="en-AU"/>
              </w:rPr>
            </w:pPr>
          </w:p>
          <w:p w:rsidR="004C5EFA" w:rsidRPr="00427237" w:rsidRDefault="004C5EFA" w:rsidP="003F5D96">
            <w:pPr>
              <w:pStyle w:val="NoSpacing"/>
              <w:jc w:val="center"/>
              <w:rPr>
                <w:rFonts w:ascii="Tahoma" w:hAnsi="Tahoma" w:cs="Tahoma"/>
                <w:sz w:val="48"/>
                <w:szCs w:val="56"/>
              </w:rPr>
            </w:pPr>
          </w:p>
        </w:tc>
      </w:tr>
      <w:tr w:rsidR="000D5CF9" w:rsidRPr="00427237" w:rsidTr="003D631F">
        <w:tc>
          <w:tcPr>
            <w:tcW w:w="5000" w:type="pct"/>
          </w:tcPr>
          <w:p w:rsidR="000D5CF9" w:rsidRPr="00427237" w:rsidRDefault="00D6625B" w:rsidP="00C668E0">
            <w:pPr>
              <w:pStyle w:val="NoSpacing"/>
              <w:rPr>
                <w:rFonts w:ascii="Tahoma" w:hAnsi="Tahoma" w:cs="Tahoma"/>
                <w:sz w:val="32"/>
                <w:szCs w:val="40"/>
              </w:rPr>
            </w:pPr>
            <w:r>
              <w:rPr>
                <w:rFonts w:ascii="Tahoma" w:hAnsi="Tahoma" w:cs="Tahoma"/>
                <w:sz w:val="32"/>
                <w:szCs w:val="40"/>
                <w:lang w:val="en-AU"/>
              </w:rPr>
              <w:t>June</w:t>
            </w:r>
            <w:r w:rsidR="00CC26C5" w:rsidRPr="00427237">
              <w:rPr>
                <w:rFonts w:ascii="Tahoma" w:hAnsi="Tahoma" w:cs="Tahoma"/>
                <w:sz w:val="32"/>
                <w:szCs w:val="40"/>
                <w:lang w:val="en-AU"/>
              </w:rPr>
              <w:t>, 2014</w:t>
            </w:r>
          </w:p>
        </w:tc>
      </w:tr>
    </w:tbl>
    <w:p w:rsidR="000D5CF9" w:rsidRPr="00427237" w:rsidRDefault="000D5CF9" w:rsidP="000901A8">
      <w:pPr>
        <w:rPr>
          <w:szCs w:val="22"/>
        </w:rPr>
      </w:pPr>
    </w:p>
    <w:p w:rsidR="000D5CF9" w:rsidRPr="00427237" w:rsidRDefault="000D5CF9" w:rsidP="003D1F29">
      <w:r w:rsidRPr="00427237">
        <w:br w:type="page"/>
      </w:r>
    </w:p>
    <w:sdt>
      <w:sdtPr>
        <w:rPr>
          <w:rFonts w:eastAsia="SimSun"/>
          <w:b w:val="0"/>
          <w:caps w:val="0"/>
          <w:color w:val="auto"/>
          <w:sz w:val="20"/>
          <w:szCs w:val="20"/>
          <w:lang w:val="en-AU" w:eastAsia="zh-CN"/>
        </w:rPr>
        <w:id w:val="-598714498"/>
        <w:docPartObj>
          <w:docPartGallery w:val="Table of Contents"/>
          <w:docPartUnique/>
        </w:docPartObj>
      </w:sdtPr>
      <w:sdtEndPr>
        <w:rPr>
          <w:bCs/>
          <w:noProof/>
        </w:rPr>
      </w:sdtEndPr>
      <w:sdtContent>
        <w:p w:rsidR="00CB1F62" w:rsidRDefault="00CB1F62">
          <w:pPr>
            <w:pStyle w:val="TOCHeading0"/>
          </w:pPr>
          <w:r>
            <w:t>Table of Contents</w:t>
          </w:r>
        </w:p>
        <w:p w:rsidR="00CB1F62" w:rsidRDefault="00CB1F62">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379962691" w:history="1">
            <w:r w:rsidRPr="0058471F">
              <w:rPr>
                <w:rStyle w:val="Hyperlink"/>
              </w:rPr>
              <w:t>MSAC and PASC</w:t>
            </w:r>
            <w:r>
              <w:rPr>
                <w:webHidden/>
              </w:rPr>
              <w:tab/>
            </w:r>
            <w:r>
              <w:rPr>
                <w:webHidden/>
              </w:rPr>
              <w:fldChar w:fldCharType="begin"/>
            </w:r>
            <w:r>
              <w:rPr>
                <w:webHidden/>
              </w:rPr>
              <w:instrText xml:space="preserve"> PAGEREF _Toc379962691 \h </w:instrText>
            </w:r>
            <w:r>
              <w:rPr>
                <w:webHidden/>
              </w:rPr>
            </w:r>
            <w:r>
              <w:rPr>
                <w:webHidden/>
              </w:rPr>
              <w:fldChar w:fldCharType="separate"/>
            </w:r>
            <w:r w:rsidR="00002805">
              <w:rPr>
                <w:webHidden/>
              </w:rPr>
              <w:t>4</w:t>
            </w:r>
            <w:r>
              <w:rPr>
                <w:webHidden/>
              </w:rPr>
              <w:fldChar w:fldCharType="end"/>
            </w:r>
          </w:hyperlink>
        </w:p>
        <w:p w:rsidR="00CB1F62" w:rsidRDefault="00002805">
          <w:pPr>
            <w:pStyle w:val="TOC2"/>
            <w:rPr>
              <w:rFonts w:asciiTheme="minorHAnsi" w:eastAsiaTheme="minorEastAsia" w:hAnsiTheme="minorHAnsi" w:cstheme="minorBidi"/>
              <w:sz w:val="22"/>
              <w:szCs w:val="22"/>
              <w:lang w:val="en-AU" w:eastAsia="en-AU"/>
            </w:rPr>
          </w:pPr>
          <w:hyperlink w:anchor="_Toc379962692" w:history="1">
            <w:r w:rsidR="00CB1F62" w:rsidRPr="0058471F">
              <w:rPr>
                <w:rStyle w:val="Hyperlink"/>
              </w:rPr>
              <w:t>Purpose of this document</w:t>
            </w:r>
            <w:r w:rsidR="00CB1F62">
              <w:rPr>
                <w:webHidden/>
              </w:rPr>
              <w:tab/>
            </w:r>
            <w:r w:rsidR="00CB1F62">
              <w:rPr>
                <w:webHidden/>
              </w:rPr>
              <w:fldChar w:fldCharType="begin"/>
            </w:r>
            <w:r w:rsidR="00CB1F62">
              <w:rPr>
                <w:webHidden/>
              </w:rPr>
              <w:instrText xml:space="preserve"> PAGEREF _Toc379962692 \h </w:instrText>
            </w:r>
            <w:r w:rsidR="00CB1F62">
              <w:rPr>
                <w:webHidden/>
              </w:rPr>
            </w:r>
            <w:r w:rsidR="00CB1F62">
              <w:rPr>
                <w:webHidden/>
              </w:rPr>
              <w:fldChar w:fldCharType="separate"/>
            </w:r>
            <w:r>
              <w:rPr>
                <w:webHidden/>
              </w:rPr>
              <w:t>4</w:t>
            </w:r>
            <w:r w:rsidR="00CB1F62">
              <w:rPr>
                <w:webHidden/>
              </w:rPr>
              <w:fldChar w:fldCharType="end"/>
            </w:r>
          </w:hyperlink>
        </w:p>
        <w:p w:rsidR="00CB1F62" w:rsidRDefault="00002805">
          <w:pPr>
            <w:pStyle w:val="TOC1"/>
            <w:rPr>
              <w:rFonts w:asciiTheme="minorHAnsi" w:eastAsiaTheme="minorEastAsia" w:hAnsiTheme="minorHAnsi" w:cstheme="minorBidi"/>
              <w:b w:val="0"/>
              <w:sz w:val="22"/>
              <w:szCs w:val="22"/>
              <w:lang w:eastAsia="en-AU"/>
            </w:rPr>
          </w:pPr>
          <w:hyperlink w:anchor="_Toc379962693" w:history="1">
            <w:r w:rsidR="00CB1F62" w:rsidRPr="0058471F">
              <w:rPr>
                <w:rStyle w:val="Hyperlink"/>
              </w:rPr>
              <w:t>Purpose of application</w:t>
            </w:r>
            <w:r w:rsidR="00CB1F62">
              <w:rPr>
                <w:webHidden/>
              </w:rPr>
              <w:tab/>
            </w:r>
            <w:r w:rsidR="00CB1F62">
              <w:rPr>
                <w:webHidden/>
              </w:rPr>
              <w:fldChar w:fldCharType="begin"/>
            </w:r>
            <w:r w:rsidR="00CB1F62">
              <w:rPr>
                <w:webHidden/>
              </w:rPr>
              <w:instrText xml:space="preserve"> PAGEREF _Toc379962693 \h </w:instrText>
            </w:r>
            <w:r w:rsidR="00CB1F62">
              <w:rPr>
                <w:webHidden/>
              </w:rPr>
            </w:r>
            <w:r w:rsidR="00CB1F62">
              <w:rPr>
                <w:webHidden/>
              </w:rPr>
              <w:fldChar w:fldCharType="separate"/>
            </w:r>
            <w:r>
              <w:rPr>
                <w:webHidden/>
              </w:rPr>
              <w:t>5</w:t>
            </w:r>
            <w:r w:rsidR="00CB1F62">
              <w:rPr>
                <w:webHidden/>
              </w:rPr>
              <w:fldChar w:fldCharType="end"/>
            </w:r>
          </w:hyperlink>
        </w:p>
        <w:p w:rsidR="00CB1F62" w:rsidRDefault="00002805">
          <w:pPr>
            <w:pStyle w:val="TOC2"/>
            <w:rPr>
              <w:rFonts w:asciiTheme="minorHAnsi" w:eastAsiaTheme="minorEastAsia" w:hAnsiTheme="minorHAnsi" w:cstheme="minorBidi"/>
              <w:sz w:val="22"/>
              <w:szCs w:val="22"/>
              <w:lang w:val="en-AU" w:eastAsia="en-AU"/>
            </w:rPr>
          </w:pPr>
          <w:hyperlink w:anchor="_Toc379962694" w:history="1">
            <w:r w:rsidR="00CB1F62" w:rsidRPr="0058471F">
              <w:rPr>
                <w:rStyle w:val="Hyperlink"/>
              </w:rPr>
              <w:t>Proposed MBS listing</w:t>
            </w:r>
            <w:r w:rsidR="00CB1F62">
              <w:rPr>
                <w:webHidden/>
              </w:rPr>
              <w:tab/>
            </w:r>
            <w:r w:rsidR="00CB1F62">
              <w:rPr>
                <w:webHidden/>
              </w:rPr>
              <w:fldChar w:fldCharType="begin"/>
            </w:r>
            <w:r w:rsidR="00CB1F62">
              <w:rPr>
                <w:webHidden/>
              </w:rPr>
              <w:instrText xml:space="preserve"> PAGEREF _Toc379962694 \h </w:instrText>
            </w:r>
            <w:r w:rsidR="00CB1F62">
              <w:rPr>
                <w:webHidden/>
              </w:rPr>
            </w:r>
            <w:r w:rsidR="00CB1F62">
              <w:rPr>
                <w:webHidden/>
              </w:rPr>
              <w:fldChar w:fldCharType="separate"/>
            </w:r>
            <w:r>
              <w:rPr>
                <w:webHidden/>
              </w:rPr>
              <w:t>5</w:t>
            </w:r>
            <w:r w:rsidR="00CB1F62">
              <w:rPr>
                <w:webHidden/>
              </w:rPr>
              <w:fldChar w:fldCharType="end"/>
            </w:r>
          </w:hyperlink>
        </w:p>
        <w:p w:rsidR="00CB1F62" w:rsidRDefault="00002805">
          <w:pPr>
            <w:pStyle w:val="TOC2"/>
            <w:rPr>
              <w:rFonts w:asciiTheme="minorHAnsi" w:eastAsiaTheme="minorEastAsia" w:hAnsiTheme="minorHAnsi" w:cstheme="minorBidi"/>
              <w:sz w:val="22"/>
              <w:szCs w:val="22"/>
              <w:lang w:val="en-AU" w:eastAsia="en-AU"/>
            </w:rPr>
          </w:pPr>
          <w:hyperlink w:anchor="_Toc379962695" w:history="1">
            <w:r w:rsidR="00CB1F62" w:rsidRPr="0058471F">
              <w:rPr>
                <w:rStyle w:val="Hyperlink"/>
              </w:rPr>
              <w:t>Clinical claims</w:t>
            </w:r>
            <w:r w:rsidR="00CB1F62">
              <w:rPr>
                <w:webHidden/>
              </w:rPr>
              <w:tab/>
            </w:r>
            <w:r w:rsidR="00CB1F62">
              <w:rPr>
                <w:webHidden/>
              </w:rPr>
              <w:fldChar w:fldCharType="begin"/>
            </w:r>
            <w:r w:rsidR="00CB1F62">
              <w:rPr>
                <w:webHidden/>
              </w:rPr>
              <w:instrText xml:space="preserve"> PAGEREF _Toc379962695 \h </w:instrText>
            </w:r>
            <w:r w:rsidR="00CB1F62">
              <w:rPr>
                <w:webHidden/>
              </w:rPr>
            </w:r>
            <w:r w:rsidR="00CB1F62">
              <w:rPr>
                <w:webHidden/>
              </w:rPr>
              <w:fldChar w:fldCharType="separate"/>
            </w:r>
            <w:r>
              <w:rPr>
                <w:webHidden/>
              </w:rPr>
              <w:t>6</w:t>
            </w:r>
            <w:r w:rsidR="00CB1F62">
              <w:rPr>
                <w:webHidden/>
              </w:rPr>
              <w:fldChar w:fldCharType="end"/>
            </w:r>
          </w:hyperlink>
        </w:p>
        <w:p w:rsidR="00CB1F62" w:rsidRDefault="00002805">
          <w:pPr>
            <w:pStyle w:val="TOC1"/>
            <w:rPr>
              <w:rFonts w:asciiTheme="minorHAnsi" w:eastAsiaTheme="minorEastAsia" w:hAnsiTheme="minorHAnsi" w:cstheme="minorBidi"/>
              <w:b w:val="0"/>
              <w:sz w:val="22"/>
              <w:szCs w:val="22"/>
              <w:lang w:eastAsia="en-AU"/>
            </w:rPr>
          </w:pPr>
          <w:hyperlink w:anchor="_Toc379962696" w:history="1">
            <w:r w:rsidR="00CB1F62" w:rsidRPr="0058471F">
              <w:rPr>
                <w:rStyle w:val="Hyperlink"/>
              </w:rPr>
              <w:t>Background</w:t>
            </w:r>
            <w:r w:rsidR="00CB1F62">
              <w:rPr>
                <w:webHidden/>
              </w:rPr>
              <w:tab/>
            </w:r>
            <w:r w:rsidR="00CB1F62">
              <w:rPr>
                <w:webHidden/>
              </w:rPr>
              <w:fldChar w:fldCharType="begin"/>
            </w:r>
            <w:r w:rsidR="00CB1F62">
              <w:rPr>
                <w:webHidden/>
              </w:rPr>
              <w:instrText xml:space="preserve"> PAGEREF _Toc379962696 \h </w:instrText>
            </w:r>
            <w:r w:rsidR="00CB1F62">
              <w:rPr>
                <w:webHidden/>
              </w:rPr>
            </w:r>
            <w:r w:rsidR="00CB1F62">
              <w:rPr>
                <w:webHidden/>
              </w:rPr>
              <w:fldChar w:fldCharType="separate"/>
            </w:r>
            <w:r>
              <w:rPr>
                <w:webHidden/>
              </w:rPr>
              <w:t>6</w:t>
            </w:r>
            <w:r w:rsidR="00CB1F62">
              <w:rPr>
                <w:webHidden/>
              </w:rPr>
              <w:fldChar w:fldCharType="end"/>
            </w:r>
          </w:hyperlink>
        </w:p>
        <w:p w:rsidR="00CB1F62" w:rsidRDefault="00002805">
          <w:pPr>
            <w:pStyle w:val="TOC2"/>
            <w:rPr>
              <w:rFonts w:asciiTheme="minorHAnsi" w:eastAsiaTheme="minorEastAsia" w:hAnsiTheme="minorHAnsi" w:cstheme="minorBidi"/>
              <w:sz w:val="22"/>
              <w:szCs w:val="22"/>
              <w:lang w:val="en-AU" w:eastAsia="en-AU"/>
            </w:rPr>
          </w:pPr>
          <w:hyperlink w:anchor="_Toc379962697" w:history="1">
            <w:r w:rsidR="00CB1F62" w:rsidRPr="0058471F">
              <w:rPr>
                <w:rStyle w:val="Hyperlink"/>
              </w:rPr>
              <w:t>Current arrangements for public reimbursement</w:t>
            </w:r>
            <w:r w:rsidR="00CB1F62">
              <w:rPr>
                <w:webHidden/>
              </w:rPr>
              <w:tab/>
            </w:r>
            <w:r w:rsidR="00CB1F62">
              <w:rPr>
                <w:webHidden/>
              </w:rPr>
              <w:fldChar w:fldCharType="begin"/>
            </w:r>
            <w:r w:rsidR="00CB1F62">
              <w:rPr>
                <w:webHidden/>
              </w:rPr>
              <w:instrText xml:space="preserve"> PAGEREF _Toc379962697 \h </w:instrText>
            </w:r>
            <w:r w:rsidR="00CB1F62">
              <w:rPr>
                <w:webHidden/>
              </w:rPr>
            </w:r>
            <w:r w:rsidR="00CB1F62">
              <w:rPr>
                <w:webHidden/>
              </w:rPr>
              <w:fldChar w:fldCharType="separate"/>
            </w:r>
            <w:r>
              <w:rPr>
                <w:webHidden/>
              </w:rPr>
              <w:t>6</w:t>
            </w:r>
            <w:r w:rsidR="00CB1F62">
              <w:rPr>
                <w:webHidden/>
              </w:rPr>
              <w:fldChar w:fldCharType="end"/>
            </w:r>
          </w:hyperlink>
        </w:p>
        <w:p w:rsidR="00CB1F62" w:rsidRDefault="00002805">
          <w:pPr>
            <w:pStyle w:val="TOC1"/>
            <w:rPr>
              <w:rFonts w:asciiTheme="minorHAnsi" w:eastAsiaTheme="minorEastAsia" w:hAnsiTheme="minorHAnsi" w:cstheme="minorBidi"/>
              <w:b w:val="0"/>
              <w:sz w:val="22"/>
              <w:szCs w:val="22"/>
              <w:lang w:eastAsia="en-AU"/>
            </w:rPr>
          </w:pPr>
          <w:hyperlink w:anchor="_Toc379962698" w:history="1">
            <w:r w:rsidR="00CB1F62" w:rsidRPr="0058471F">
              <w:rPr>
                <w:rStyle w:val="Hyperlink"/>
              </w:rPr>
              <w:t>Population</w:t>
            </w:r>
            <w:r w:rsidR="00CB1F62">
              <w:rPr>
                <w:webHidden/>
              </w:rPr>
              <w:tab/>
            </w:r>
            <w:r w:rsidR="00CB1F62">
              <w:rPr>
                <w:webHidden/>
              </w:rPr>
              <w:fldChar w:fldCharType="begin"/>
            </w:r>
            <w:r w:rsidR="00CB1F62">
              <w:rPr>
                <w:webHidden/>
              </w:rPr>
              <w:instrText xml:space="preserve"> PAGEREF _Toc379962698 \h </w:instrText>
            </w:r>
            <w:r w:rsidR="00CB1F62">
              <w:rPr>
                <w:webHidden/>
              </w:rPr>
            </w:r>
            <w:r w:rsidR="00CB1F62">
              <w:rPr>
                <w:webHidden/>
              </w:rPr>
              <w:fldChar w:fldCharType="separate"/>
            </w:r>
            <w:r>
              <w:rPr>
                <w:webHidden/>
              </w:rPr>
              <w:t>7</w:t>
            </w:r>
            <w:r w:rsidR="00CB1F62">
              <w:rPr>
                <w:webHidden/>
              </w:rPr>
              <w:fldChar w:fldCharType="end"/>
            </w:r>
          </w:hyperlink>
        </w:p>
        <w:p w:rsidR="00CB1F62" w:rsidRDefault="00002805">
          <w:pPr>
            <w:pStyle w:val="TOC2"/>
            <w:rPr>
              <w:rFonts w:asciiTheme="minorHAnsi" w:eastAsiaTheme="minorEastAsia" w:hAnsiTheme="minorHAnsi" w:cstheme="minorBidi"/>
              <w:sz w:val="22"/>
              <w:szCs w:val="22"/>
              <w:lang w:val="en-AU" w:eastAsia="en-AU"/>
            </w:rPr>
          </w:pPr>
          <w:hyperlink w:anchor="_Toc379962699" w:history="1">
            <w:r w:rsidR="00CB1F62" w:rsidRPr="0058471F">
              <w:rPr>
                <w:rStyle w:val="Hyperlink"/>
              </w:rPr>
              <w:t>Patient groups for whom the intervention is to be considered</w:t>
            </w:r>
            <w:r w:rsidR="00CB1F62">
              <w:rPr>
                <w:webHidden/>
              </w:rPr>
              <w:tab/>
            </w:r>
            <w:r w:rsidR="00CB1F62">
              <w:rPr>
                <w:webHidden/>
              </w:rPr>
              <w:fldChar w:fldCharType="begin"/>
            </w:r>
            <w:r w:rsidR="00CB1F62">
              <w:rPr>
                <w:webHidden/>
              </w:rPr>
              <w:instrText xml:space="preserve"> PAGEREF _Toc379962699 \h </w:instrText>
            </w:r>
            <w:r w:rsidR="00CB1F62">
              <w:rPr>
                <w:webHidden/>
              </w:rPr>
            </w:r>
            <w:r w:rsidR="00CB1F62">
              <w:rPr>
                <w:webHidden/>
              </w:rPr>
              <w:fldChar w:fldCharType="separate"/>
            </w:r>
            <w:r>
              <w:rPr>
                <w:webHidden/>
              </w:rPr>
              <w:t>7</w:t>
            </w:r>
            <w:r w:rsidR="00CB1F62">
              <w:rPr>
                <w:webHidden/>
              </w:rPr>
              <w:fldChar w:fldCharType="end"/>
            </w:r>
          </w:hyperlink>
        </w:p>
        <w:p w:rsidR="00CB1F62" w:rsidRDefault="00002805">
          <w:pPr>
            <w:pStyle w:val="TOC1"/>
            <w:rPr>
              <w:rFonts w:asciiTheme="minorHAnsi" w:eastAsiaTheme="minorEastAsia" w:hAnsiTheme="minorHAnsi" w:cstheme="minorBidi"/>
              <w:b w:val="0"/>
              <w:sz w:val="22"/>
              <w:szCs w:val="22"/>
              <w:lang w:eastAsia="en-AU"/>
            </w:rPr>
          </w:pPr>
          <w:hyperlink w:anchor="_Toc379962700" w:history="1">
            <w:r w:rsidR="00CB1F62" w:rsidRPr="0058471F">
              <w:rPr>
                <w:rStyle w:val="Hyperlink"/>
              </w:rPr>
              <w:t>Intervention</w:t>
            </w:r>
            <w:r w:rsidR="00CB1F62">
              <w:rPr>
                <w:webHidden/>
              </w:rPr>
              <w:tab/>
            </w:r>
            <w:r w:rsidR="00CB1F62">
              <w:rPr>
                <w:webHidden/>
              </w:rPr>
              <w:fldChar w:fldCharType="begin"/>
            </w:r>
            <w:r w:rsidR="00CB1F62">
              <w:rPr>
                <w:webHidden/>
              </w:rPr>
              <w:instrText xml:space="preserve"> PAGEREF _Toc379962700 \h </w:instrText>
            </w:r>
            <w:r w:rsidR="00CB1F62">
              <w:rPr>
                <w:webHidden/>
              </w:rPr>
            </w:r>
            <w:r w:rsidR="00CB1F62">
              <w:rPr>
                <w:webHidden/>
              </w:rPr>
              <w:fldChar w:fldCharType="separate"/>
            </w:r>
            <w:r>
              <w:rPr>
                <w:webHidden/>
              </w:rPr>
              <w:t>9</w:t>
            </w:r>
            <w:r w:rsidR="00CB1F62">
              <w:rPr>
                <w:webHidden/>
              </w:rPr>
              <w:fldChar w:fldCharType="end"/>
            </w:r>
          </w:hyperlink>
        </w:p>
        <w:p w:rsidR="00CB1F62" w:rsidRDefault="00002805">
          <w:pPr>
            <w:pStyle w:val="TOC2"/>
            <w:rPr>
              <w:rFonts w:asciiTheme="minorHAnsi" w:eastAsiaTheme="minorEastAsia" w:hAnsiTheme="minorHAnsi" w:cstheme="minorBidi"/>
              <w:sz w:val="22"/>
              <w:szCs w:val="22"/>
              <w:lang w:val="en-AU" w:eastAsia="en-AU"/>
            </w:rPr>
          </w:pPr>
          <w:hyperlink w:anchor="_Toc379962701" w:history="1">
            <w:r w:rsidR="00CB1F62" w:rsidRPr="0058471F">
              <w:rPr>
                <w:rStyle w:val="Hyperlink"/>
              </w:rPr>
              <w:t>Description</w:t>
            </w:r>
            <w:r w:rsidR="00CB1F62">
              <w:rPr>
                <w:webHidden/>
              </w:rPr>
              <w:tab/>
            </w:r>
            <w:r w:rsidR="00CB1F62">
              <w:rPr>
                <w:webHidden/>
              </w:rPr>
              <w:fldChar w:fldCharType="begin"/>
            </w:r>
            <w:r w:rsidR="00CB1F62">
              <w:rPr>
                <w:webHidden/>
              </w:rPr>
              <w:instrText xml:space="preserve"> PAGEREF _Toc379962701 \h </w:instrText>
            </w:r>
            <w:r w:rsidR="00CB1F62">
              <w:rPr>
                <w:webHidden/>
              </w:rPr>
            </w:r>
            <w:r w:rsidR="00CB1F62">
              <w:rPr>
                <w:webHidden/>
              </w:rPr>
              <w:fldChar w:fldCharType="separate"/>
            </w:r>
            <w:r>
              <w:rPr>
                <w:webHidden/>
              </w:rPr>
              <w:t>9</w:t>
            </w:r>
            <w:r w:rsidR="00CB1F62">
              <w:rPr>
                <w:webHidden/>
              </w:rPr>
              <w:fldChar w:fldCharType="end"/>
            </w:r>
          </w:hyperlink>
        </w:p>
        <w:p w:rsidR="00CB1F62" w:rsidRDefault="00002805">
          <w:pPr>
            <w:pStyle w:val="TOC2"/>
            <w:rPr>
              <w:rFonts w:asciiTheme="minorHAnsi" w:eastAsiaTheme="minorEastAsia" w:hAnsiTheme="minorHAnsi" w:cstheme="minorBidi"/>
              <w:sz w:val="22"/>
              <w:szCs w:val="22"/>
              <w:lang w:val="en-AU" w:eastAsia="en-AU"/>
            </w:rPr>
          </w:pPr>
          <w:hyperlink w:anchor="_Toc379962702" w:history="1">
            <w:r w:rsidR="00CB1F62" w:rsidRPr="0058471F">
              <w:rPr>
                <w:rStyle w:val="Hyperlink"/>
              </w:rPr>
              <w:t>Regulatory status</w:t>
            </w:r>
            <w:r w:rsidR="00CB1F62">
              <w:rPr>
                <w:webHidden/>
              </w:rPr>
              <w:tab/>
            </w:r>
            <w:r w:rsidR="00CB1F62">
              <w:rPr>
                <w:webHidden/>
              </w:rPr>
              <w:fldChar w:fldCharType="begin"/>
            </w:r>
            <w:r w:rsidR="00CB1F62">
              <w:rPr>
                <w:webHidden/>
              </w:rPr>
              <w:instrText xml:space="preserve"> PAGEREF _Toc379962702 \h </w:instrText>
            </w:r>
            <w:r w:rsidR="00CB1F62">
              <w:rPr>
                <w:webHidden/>
              </w:rPr>
            </w:r>
            <w:r w:rsidR="00CB1F62">
              <w:rPr>
                <w:webHidden/>
              </w:rPr>
              <w:fldChar w:fldCharType="separate"/>
            </w:r>
            <w:r>
              <w:rPr>
                <w:webHidden/>
              </w:rPr>
              <w:t>10</w:t>
            </w:r>
            <w:r w:rsidR="00CB1F62">
              <w:rPr>
                <w:webHidden/>
              </w:rPr>
              <w:fldChar w:fldCharType="end"/>
            </w:r>
          </w:hyperlink>
        </w:p>
        <w:p w:rsidR="00CB1F62" w:rsidRDefault="00002805">
          <w:pPr>
            <w:pStyle w:val="TOC2"/>
            <w:rPr>
              <w:rFonts w:asciiTheme="minorHAnsi" w:eastAsiaTheme="minorEastAsia" w:hAnsiTheme="minorHAnsi" w:cstheme="minorBidi"/>
              <w:sz w:val="22"/>
              <w:szCs w:val="22"/>
              <w:lang w:val="en-AU" w:eastAsia="en-AU"/>
            </w:rPr>
          </w:pPr>
          <w:hyperlink w:anchor="_Toc379962703" w:history="1">
            <w:r w:rsidR="00CB1F62" w:rsidRPr="0058471F">
              <w:rPr>
                <w:rStyle w:val="Hyperlink"/>
              </w:rPr>
              <w:t>Delivery of the intervention</w:t>
            </w:r>
            <w:r w:rsidR="00CB1F62">
              <w:rPr>
                <w:webHidden/>
              </w:rPr>
              <w:tab/>
            </w:r>
            <w:r w:rsidR="00CB1F62">
              <w:rPr>
                <w:webHidden/>
              </w:rPr>
              <w:fldChar w:fldCharType="begin"/>
            </w:r>
            <w:r w:rsidR="00CB1F62">
              <w:rPr>
                <w:webHidden/>
              </w:rPr>
              <w:instrText xml:space="preserve"> PAGEREF _Toc379962703 \h </w:instrText>
            </w:r>
            <w:r w:rsidR="00CB1F62">
              <w:rPr>
                <w:webHidden/>
              </w:rPr>
            </w:r>
            <w:r w:rsidR="00CB1F62">
              <w:rPr>
                <w:webHidden/>
              </w:rPr>
              <w:fldChar w:fldCharType="separate"/>
            </w:r>
            <w:r>
              <w:rPr>
                <w:webHidden/>
              </w:rPr>
              <w:t>10</w:t>
            </w:r>
            <w:r w:rsidR="00CB1F62">
              <w:rPr>
                <w:webHidden/>
              </w:rPr>
              <w:fldChar w:fldCharType="end"/>
            </w:r>
          </w:hyperlink>
        </w:p>
        <w:p w:rsidR="00CB1F62" w:rsidRDefault="00002805">
          <w:pPr>
            <w:pStyle w:val="TOC2"/>
            <w:rPr>
              <w:rFonts w:asciiTheme="minorHAnsi" w:eastAsiaTheme="minorEastAsia" w:hAnsiTheme="minorHAnsi" w:cstheme="minorBidi"/>
              <w:sz w:val="22"/>
              <w:szCs w:val="22"/>
              <w:lang w:val="en-AU" w:eastAsia="en-AU"/>
            </w:rPr>
          </w:pPr>
          <w:hyperlink w:anchor="_Toc379962704" w:history="1">
            <w:r w:rsidR="00CB1F62" w:rsidRPr="0058471F">
              <w:rPr>
                <w:rStyle w:val="Hyperlink"/>
              </w:rPr>
              <w:t>Prerequisites</w:t>
            </w:r>
            <w:r w:rsidR="00CB1F62">
              <w:rPr>
                <w:webHidden/>
              </w:rPr>
              <w:tab/>
            </w:r>
            <w:r w:rsidR="00CB1F62">
              <w:rPr>
                <w:webHidden/>
              </w:rPr>
              <w:fldChar w:fldCharType="begin"/>
            </w:r>
            <w:r w:rsidR="00CB1F62">
              <w:rPr>
                <w:webHidden/>
              </w:rPr>
              <w:instrText xml:space="preserve"> PAGEREF _Toc379962704 \h </w:instrText>
            </w:r>
            <w:r w:rsidR="00CB1F62">
              <w:rPr>
                <w:webHidden/>
              </w:rPr>
            </w:r>
            <w:r w:rsidR="00CB1F62">
              <w:rPr>
                <w:webHidden/>
              </w:rPr>
              <w:fldChar w:fldCharType="separate"/>
            </w:r>
            <w:r>
              <w:rPr>
                <w:webHidden/>
              </w:rPr>
              <w:t>12</w:t>
            </w:r>
            <w:r w:rsidR="00CB1F62">
              <w:rPr>
                <w:webHidden/>
              </w:rPr>
              <w:fldChar w:fldCharType="end"/>
            </w:r>
          </w:hyperlink>
        </w:p>
        <w:p w:rsidR="00CB1F62" w:rsidRDefault="00002805">
          <w:pPr>
            <w:pStyle w:val="TOC2"/>
            <w:rPr>
              <w:rFonts w:asciiTheme="minorHAnsi" w:eastAsiaTheme="minorEastAsia" w:hAnsiTheme="minorHAnsi" w:cstheme="minorBidi"/>
              <w:sz w:val="22"/>
              <w:szCs w:val="22"/>
              <w:lang w:val="en-AU" w:eastAsia="en-AU"/>
            </w:rPr>
          </w:pPr>
          <w:hyperlink w:anchor="_Toc379962705" w:history="1">
            <w:r w:rsidR="00CB1F62" w:rsidRPr="0058471F">
              <w:rPr>
                <w:rStyle w:val="Hyperlink"/>
              </w:rPr>
              <w:t>Co-administered and associated interventions</w:t>
            </w:r>
            <w:r w:rsidR="00CB1F62">
              <w:rPr>
                <w:webHidden/>
              </w:rPr>
              <w:tab/>
            </w:r>
            <w:r w:rsidR="00CB1F62">
              <w:rPr>
                <w:webHidden/>
              </w:rPr>
              <w:fldChar w:fldCharType="begin"/>
            </w:r>
            <w:r w:rsidR="00CB1F62">
              <w:rPr>
                <w:webHidden/>
              </w:rPr>
              <w:instrText xml:space="preserve"> PAGEREF _Toc379962705 \h </w:instrText>
            </w:r>
            <w:r w:rsidR="00CB1F62">
              <w:rPr>
                <w:webHidden/>
              </w:rPr>
            </w:r>
            <w:r w:rsidR="00CB1F62">
              <w:rPr>
                <w:webHidden/>
              </w:rPr>
              <w:fldChar w:fldCharType="separate"/>
            </w:r>
            <w:r>
              <w:rPr>
                <w:webHidden/>
              </w:rPr>
              <w:t>13</w:t>
            </w:r>
            <w:r w:rsidR="00CB1F62">
              <w:rPr>
                <w:webHidden/>
              </w:rPr>
              <w:fldChar w:fldCharType="end"/>
            </w:r>
          </w:hyperlink>
        </w:p>
        <w:p w:rsidR="00CB1F62" w:rsidRDefault="00002805">
          <w:pPr>
            <w:pStyle w:val="TOC1"/>
            <w:rPr>
              <w:rFonts w:asciiTheme="minorHAnsi" w:eastAsiaTheme="minorEastAsia" w:hAnsiTheme="minorHAnsi" w:cstheme="minorBidi"/>
              <w:b w:val="0"/>
              <w:sz w:val="22"/>
              <w:szCs w:val="22"/>
              <w:lang w:eastAsia="en-AU"/>
            </w:rPr>
          </w:pPr>
          <w:hyperlink w:anchor="_Toc379962706" w:history="1">
            <w:r w:rsidR="00CB1F62" w:rsidRPr="0058471F">
              <w:rPr>
                <w:rStyle w:val="Hyperlink"/>
              </w:rPr>
              <w:t>Comparator</w:t>
            </w:r>
            <w:r w:rsidR="00CB1F62">
              <w:rPr>
                <w:webHidden/>
              </w:rPr>
              <w:tab/>
            </w:r>
            <w:r w:rsidR="00CB1F62">
              <w:rPr>
                <w:webHidden/>
              </w:rPr>
              <w:fldChar w:fldCharType="begin"/>
            </w:r>
            <w:r w:rsidR="00CB1F62">
              <w:rPr>
                <w:webHidden/>
              </w:rPr>
              <w:instrText xml:space="preserve"> PAGEREF _Toc379962706 \h </w:instrText>
            </w:r>
            <w:r w:rsidR="00CB1F62">
              <w:rPr>
                <w:webHidden/>
              </w:rPr>
            </w:r>
            <w:r w:rsidR="00CB1F62">
              <w:rPr>
                <w:webHidden/>
              </w:rPr>
              <w:fldChar w:fldCharType="separate"/>
            </w:r>
            <w:r>
              <w:rPr>
                <w:webHidden/>
              </w:rPr>
              <w:t>13</w:t>
            </w:r>
            <w:r w:rsidR="00CB1F62">
              <w:rPr>
                <w:webHidden/>
              </w:rPr>
              <w:fldChar w:fldCharType="end"/>
            </w:r>
          </w:hyperlink>
        </w:p>
        <w:p w:rsidR="00CB1F62" w:rsidRDefault="00002805">
          <w:pPr>
            <w:pStyle w:val="TOC2"/>
            <w:rPr>
              <w:rFonts w:asciiTheme="minorHAnsi" w:eastAsiaTheme="minorEastAsia" w:hAnsiTheme="minorHAnsi" w:cstheme="minorBidi"/>
              <w:sz w:val="22"/>
              <w:szCs w:val="22"/>
              <w:lang w:val="en-AU" w:eastAsia="en-AU"/>
            </w:rPr>
          </w:pPr>
          <w:hyperlink w:anchor="_Toc379962707" w:history="1">
            <w:r w:rsidR="00CB1F62" w:rsidRPr="0058471F">
              <w:rPr>
                <w:rStyle w:val="Hyperlink"/>
              </w:rPr>
              <w:t>Reference standard test</w:t>
            </w:r>
            <w:r w:rsidR="00CB1F62">
              <w:rPr>
                <w:webHidden/>
              </w:rPr>
              <w:tab/>
            </w:r>
            <w:r w:rsidR="00CB1F62">
              <w:rPr>
                <w:webHidden/>
              </w:rPr>
              <w:fldChar w:fldCharType="begin"/>
            </w:r>
            <w:r w:rsidR="00CB1F62">
              <w:rPr>
                <w:webHidden/>
              </w:rPr>
              <w:instrText xml:space="preserve"> PAGEREF _Toc379962707 \h </w:instrText>
            </w:r>
            <w:r w:rsidR="00CB1F62">
              <w:rPr>
                <w:webHidden/>
              </w:rPr>
            </w:r>
            <w:r w:rsidR="00CB1F62">
              <w:rPr>
                <w:webHidden/>
              </w:rPr>
              <w:fldChar w:fldCharType="separate"/>
            </w:r>
            <w:r>
              <w:rPr>
                <w:webHidden/>
              </w:rPr>
              <w:t>16</w:t>
            </w:r>
            <w:r w:rsidR="00CB1F62">
              <w:rPr>
                <w:webHidden/>
              </w:rPr>
              <w:fldChar w:fldCharType="end"/>
            </w:r>
          </w:hyperlink>
        </w:p>
        <w:p w:rsidR="00CB1F62" w:rsidRDefault="00002805">
          <w:pPr>
            <w:pStyle w:val="TOC2"/>
            <w:rPr>
              <w:rFonts w:asciiTheme="minorHAnsi" w:eastAsiaTheme="minorEastAsia" w:hAnsiTheme="minorHAnsi" w:cstheme="minorBidi"/>
              <w:sz w:val="22"/>
              <w:szCs w:val="22"/>
              <w:lang w:val="en-AU" w:eastAsia="en-AU"/>
            </w:rPr>
          </w:pPr>
          <w:hyperlink w:anchor="_Toc379962708" w:history="1">
            <w:r w:rsidR="00CB1F62" w:rsidRPr="0058471F">
              <w:rPr>
                <w:rStyle w:val="Hyperlink"/>
              </w:rPr>
              <w:t>Clinical management algorithm</w:t>
            </w:r>
            <w:r w:rsidR="00CB1F62">
              <w:rPr>
                <w:webHidden/>
              </w:rPr>
              <w:tab/>
            </w:r>
            <w:r w:rsidR="00CB1F62">
              <w:rPr>
                <w:webHidden/>
              </w:rPr>
              <w:fldChar w:fldCharType="begin"/>
            </w:r>
            <w:r w:rsidR="00CB1F62">
              <w:rPr>
                <w:webHidden/>
              </w:rPr>
              <w:instrText xml:space="preserve"> PAGEREF _Toc379962708 \h </w:instrText>
            </w:r>
            <w:r w:rsidR="00CB1F62">
              <w:rPr>
                <w:webHidden/>
              </w:rPr>
            </w:r>
            <w:r w:rsidR="00CB1F62">
              <w:rPr>
                <w:webHidden/>
              </w:rPr>
              <w:fldChar w:fldCharType="separate"/>
            </w:r>
            <w:r>
              <w:rPr>
                <w:webHidden/>
              </w:rPr>
              <w:t>16</w:t>
            </w:r>
            <w:r w:rsidR="00CB1F62">
              <w:rPr>
                <w:webHidden/>
              </w:rPr>
              <w:fldChar w:fldCharType="end"/>
            </w:r>
          </w:hyperlink>
        </w:p>
        <w:p w:rsidR="00CB1F62" w:rsidRDefault="00002805">
          <w:pPr>
            <w:pStyle w:val="TOC1"/>
            <w:rPr>
              <w:rFonts w:asciiTheme="minorHAnsi" w:eastAsiaTheme="minorEastAsia" w:hAnsiTheme="minorHAnsi" w:cstheme="minorBidi"/>
              <w:b w:val="0"/>
              <w:sz w:val="22"/>
              <w:szCs w:val="22"/>
              <w:lang w:eastAsia="en-AU"/>
            </w:rPr>
          </w:pPr>
          <w:hyperlink w:anchor="_Toc379962709" w:history="1">
            <w:r w:rsidR="00CB1F62" w:rsidRPr="0058471F">
              <w:rPr>
                <w:rStyle w:val="Hyperlink"/>
              </w:rPr>
              <w:t>Outcomes for the evaluation of safety and effectiveness</w:t>
            </w:r>
            <w:r w:rsidR="00CB1F62">
              <w:rPr>
                <w:webHidden/>
              </w:rPr>
              <w:tab/>
            </w:r>
            <w:r w:rsidR="00CB1F62">
              <w:rPr>
                <w:webHidden/>
              </w:rPr>
              <w:fldChar w:fldCharType="begin"/>
            </w:r>
            <w:r w:rsidR="00CB1F62">
              <w:rPr>
                <w:webHidden/>
              </w:rPr>
              <w:instrText xml:space="preserve"> PAGEREF _Toc379962709 \h </w:instrText>
            </w:r>
            <w:r w:rsidR="00CB1F62">
              <w:rPr>
                <w:webHidden/>
              </w:rPr>
            </w:r>
            <w:r w:rsidR="00CB1F62">
              <w:rPr>
                <w:webHidden/>
              </w:rPr>
              <w:fldChar w:fldCharType="separate"/>
            </w:r>
            <w:r>
              <w:rPr>
                <w:webHidden/>
              </w:rPr>
              <w:t>21</w:t>
            </w:r>
            <w:r w:rsidR="00CB1F62">
              <w:rPr>
                <w:webHidden/>
              </w:rPr>
              <w:fldChar w:fldCharType="end"/>
            </w:r>
          </w:hyperlink>
        </w:p>
        <w:p w:rsidR="00CB1F62" w:rsidRDefault="00002805">
          <w:pPr>
            <w:pStyle w:val="TOC2"/>
            <w:rPr>
              <w:rFonts w:asciiTheme="minorHAnsi" w:eastAsiaTheme="minorEastAsia" w:hAnsiTheme="minorHAnsi" w:cstheme="minorBidi"/>
              <w:sz w:val="22"/>
              <w:szCs w:val="22"/>
              <w:lang w:val="en-AU" w:eastAsia="en-AU"/>
            </w:rPr>
          </w:pPr>
          <w:hyperlink w:anchor="_Toc379962710" w:history="1">
            <w:r w:rsidR="00CB1F62" w:rsidRPr="0058471F">
              <w:rPr>
                <w:rStyle w:val="Hyperlink"/>
              </w:rPr>
              <w:t>Effectiveness</w:t>
            </w:r>
            <w:r w:rsidR="00CB1F62">
              <w:rPr>
                <w:webHidden/>
              </w:rPr>
              <w:tab/>
            </w:r>
            <w:r w:rsidR="00CB1F62">
              <w:rPr>
                <w:webHidden/>
              </w:rPr>
              <w:fldChar w:fldCharType="begin"/>
            </w:r>
            <w:r w:rsidR="00CB1F62">
              <w:rPr>
                <w:webHidden/>
              </w:rPr>
              <w:instrText xml:space="preserve"> PAGEREF _Toc379962710 \h </w:instrText>
            </w:r>
            <w:r w:rsidR="00CB1F62">
              <w:rPr>
                <w:webHidden/>
              </w:rPr>
            </w:r>
            <w:r w:rsidR="00CB1F62">
              <w:rPr>
                <w:webHidden/>
              </w:rPr>
              <w:fldChar w:fldCharType="separate"/>
            </w:r>
            <w:r>
              <w:rPr>
                <w:webHidden/>
              </w:rPr>
              <w:t>21</w:t>
            </w:r>
            <w:r w:rsidR="00CB1F62">
              <w:rPr>
                <w:webHidden/>
              </w:rPr>
              <w:fldChar w:fldCharType="end"/>
            </w:r>
          </w:hyperlink>
        </w:p>
        <w:p w:rsidR="00CB1F62" w:rsidRDefault="00002805">
          <w:pPr>
            <w:pStyle w:val="TOC2"/>
            <w:rPr>
              <w:rFonts w:asciiTheme="minorHAnsi" w:eastAsiaTheme="minorEastAsia" w:hAnsiTheme="minorHAnsi" w:cstheme="minorBidi"/>
              <w:sz w:val="22"/>
              <w:szCs w:val="22"/>
              <w:lang w:val="en-AU" w:eastAsia="en-AU"/>
            </w:rPr>
          </w:pPr>
          <w:hyperlink w:anchor="_Toc379962711" w:history="1">
            <w:r w:rsidR="00CB1F62" w:rsidRPr="0058471F">
              <w:rPr>
                <w:rStyle w:val="Hyperlink"/>
              </w:rPr>
              <w:t>Safety</w:t>
            </w:r>
            <w:r w:rsidR="00CB1F62">
              <w:rPr>
                <w:webHidden/>
              </w:rPr>
              <w:tab/>
            </w:r>
            <w:r w:rsidR="00CB1F62">
              <w:rPr>
                <w:webHidden/>
              </w:rPr>
              <w:fldChar w:fldCharType="begin"/>
            </w:r>
            <w:r w:rsidR="00CB1F62">
              <w:rPr>
                <w:webHidden/>
              </w:rPr>
              <w:instrText xml:space="preserve"> PAGEREF _Toc379962711 \h </w:instrText>
            </w:r>
            <w:r w:rsidR="00CB1F62">
              <w:rPr>
                <w:webHidden/>
              </w:rPr>
            </w:r>
            <w:r w:rsidR="00CB1F62">
              <w:rPr>
                <w:webHidden/>
              </w:rPr>
              <w:fldChar w:fldCharType="separate"/>
            </w:r>
            <w:r>
              <w:rPr>
                <w:webHidden/>
              </w:rPr>
              <w:t>21</w:t>
            </w:r>
            <w:r w:rsidR="00CB1F62">
              <w:rPr>
                <w:webHidden/>
              </w:rPr>
              <w:fldChar w:fldCharType="end"/>
            </w:r>
          </w:hyperlink>
        </w:p>
        <w:p w:rsidR="00CB1F62" w:rsidRDefault="00002805">
          <w:pPr>
            <w:pStyle w:val="TOC1"/>
            <w:rPr>
              <w:rFonts w:asciiTheme="minorHAnsi" w:eastAsiaTheme="minorEastAsia" w:hAnsiTheme="minorHAnsi" w:cstheme="minorBidi"/>
              <w:b w:val="0"/>
              <w:sz w:val="22"/>
              <w:szCs w:val="22"/>
              <w:lang w:eastAsia="en-AU"/>
            </w:rPr>
          </w:pPr>
          <w:hyperlink w:anchor="_Toc379962712" w:history="1">
            <w:r w:rsidR="00CB1F62" w:rsidRPr="0058471F">
              <w:rPr>
                <w:rStyle w:val="Hyperlink"/>
              </w:rPr>
              <w:t>Economic considerations</w:t>
            </w:r>
            <w:r w:rsidR="00CB1F62">
              <w:rPr>
                <w:webHidden/>
              </w:rPr>
              <w:tab/>
            </w:r>
            <w:r w:rsidR="00CB1F62">
              <w:rPr>
                <w:webHidden/>
              </w:rPr>
              <w:fldChar w:fldCharType="begin"/>
            </w:r>
            <w:r w:rsidR="00CB1F62">
              <w:rPr>
                <w:webHidden/>
              </w:rPr>
              <w:instrText xml:space="preserve"> PAGEREF _Toc379962712 \h </w:instrText>
            </w:r>
            <w:r w:rsidR="00CB1F62">
              <w:rPr>
                <w:webHidden/>
              </w:rPr>
            </w:r>
            <w:r w:rsidR="00CB1F62">
              <w:rPr>
                <w:webHidden/>
              </w:rPr>
              <w:fldChar w:fldCharType="separate"/>
            </w:r>
            <w:r>
              <w:rPr>
                <w:webHidden/>
              </w:rPr>
              <w:t>22</w:t>
            </w:r>
            <w:r w:rsidR="00CB1F62">
              <w:rPr>
                <w:webHidden/>
              </w:rPr>
              <w:fldChar w:fldCharType="end"/>
            </w:r>
          </w:hyperlink>
        </w:p>
        <w:p w:rsidR="00CB1F62" w:rsidRDefault="00002805">
          <w:pPr>
            <w:pStyle w:val="TOC2"/>
            <w:rPr>
              <w:rFonts w:asciiTheme="minorHAnsi" w:eastAsiaTheme="minorEastAsia" w:hAnsiTheme="minorHAnsi" w:cstheme="minorBidi"/>
              <w:sz w:val="22"/>
              <w:szCs w:val="22"/>
              <w:lang w:val="en-AU" w:eastAsia="en-AU"/>
            </w:rPr>
          </w:pPr>
          <w:hyperlink w:anchor="_Toc379962713" w:history="1">
            <w:r w:rsidR="00CB1F62" w:rsidRPr="0058471F">
              <w:rPr>
                <w:rStyle w:val="Hyperlink"/>
                <w:bCs/>
              </w:rPr>
              <w:t>Proposed MBS fee</w:t>
            </w:r>
            <w:r w:rsidR="00CB1F62">
              <w:rPr>
                <w:webHidden/>
              </w:rPr>
              <w:tab/>
            </w:r>
            <w:r w:rsidR="00CB1F62">
              <w:rPr>
                <w:webHidden/>
              </w:rPr>
              <w:fldChar w:fldCharType="begin"/>
            </w:r>
            <w:r w:rsidR="00CB1F62">
              <w:rPr>
                <w:webHidden/>
              </w:rPr>
              <w:instrText xml:space="preserve"> PAGEREF _Toc379962713 \h </w:instrText>
            </w:r>
            <w:r w:rsidR="00CB1F62">
              <w:rPr>
                <w:webHidden/>
              </w:rPr>
            </w:r>
            <w:r w:rsidR="00CB1F62">
              <w:rPr>
                <w:webHidden/>
              </w:rPr>
              <w:fldChar w:fldCharType="separate"/>
            </w:r>
            <w:r>
              <w:rPr>
                <w:webHidden/>
              </w:rPr>
              <w:t>22</w:t>
            </w:r>
            <w:r w:rsidR="00CB1F62">
              <w:rPr>
                <w:webHidden/>
              </w:rPr>
              <w:fldChar w:fldCharType="end"/>
            </w:r>
          </w:hyperlink>
        </w:p>
        <w:p w:rsidR="00CB1F62" w:rsidRDefault="00002805">
          <w:pPr>
            <w:pStyle w:val="TOC2"/>
            <w:rPr>
              <w:rFonts w:asciiTheme="minorHAnsi" w:eastAsiaTheme="minorEastAsia" w:hAnsiTheme="minorHAnsi" w:cstheme="minorBidi"/>
              <w:sz w:val="22"/>
              <w:szCs w:val="22"/>
              <w:lang w:val="en-AU" w:eastAsia="en-AU"/>
            </w:rPr>
          </w:pPr>
          <w:hyperlink w:anchor="_Toc379962714" w:history="1">
            <w:r w:rsidR="00CB1F62" w:rsidRPr="0058471F">
              <w:rPr>
                <w:rStyle w:val="Hyperlink"/>
              </w:rPr>
              <w:t>Approach to the economic evaluation</w:t>
            </w:r>
            <w:r w:rsidR="00CB1F62">
              <w:rPr>
                <w:webHidden/>
              </w:rPr>
              <w:tab/>
            </w:r>
            <w:r w:rsidR="00CB1F62">
              <w:rPr>
                <w:webHidden/>
              </w:rPr>
              <w:fldChar w:fldCharType="begin"/>
            </w:r>
            <w:r w:rsidR="00CB1F62">
              <w:rPr>
                <w:webHidden/>
              </w:rPr>
              <w:instrText xml:space="preserve"> PAGEREF _Toc379962714 \h </w:instrText>
            </w:r>
            <w:r w:rsidR="00CB1F62">
              <w:rPr>
                <w:webHidden/>
              </w:rPr>
            </w:r>
            <w:r w:rsidR="00CB1F62">
              <w:rPr>
                <w:webHidden/>
              </w:rPr>
              <w:fldChar w:fldCharType="separate"/>
            </w:r>
            <w:r>
              <w:rPr>
                <w:webHidden/>
              </w:rPr>
              <w:t>22</w:t>
            </w:r>
            <w:r w:rsidR="00CB1F62">
              <w:rPr>
                <w:webHidden/>
              </w:rPr>
              <w:fldChar w:fldCharType="end"/>
            </w:r>
          </w:hyperlink>
        </w:p>
        <w:p w:rsidR="00CB1F62" w:rsidRDefault="00002805">
          <w:pPr>
            <w:pStyle w:val="TOC2"/>
            <w:rPr>
              <w:rFonts w:asciiTheme="minorHAnsi" w:eastAsiaTheme="minorEastAsia" w:hAnsiTheme="minorHAnsi" w:cstheme="minorBidi"/>
              <w:sz w:val="22"/>
              <w:szCs w:val="22"/>
              <w:lang w:val="en-AU" w:eastAsia="en-AU"/>
            </w:rPr>
          </w:pPr>
          <w:hyperlink w:anchor="_Toc379962715" w:history="1">
            <w:r w:rsidR="00CB1F62" w:rsidRPr="0058471F">
              <w:rPr>
                <w:rStyle w:val="Hyperlink"/>
              </w:rPr>
              <w:t>Health care resources</w:t>
            </w:r>
            <w:r w:rsidR="00CB1F62">
              <w:rPr>
                <w:webHidden/>
              </w:rPr>
              <w:tab/>
            </w:r>
            <w:r w:rsidR="00CB1F62">
              <w:rPr>
                <w:webHidden/>
              </w:rPr>
              <w:fldChar w:fldCharType="begin"/>
            </w:r>
            <w:r w:rsidR="00CB1F62">
              <w:rPr>
                <w:webHidden/>
              </w:rPr>
              <w:instrText xml:space="preserve"> PAGEREF _Toc379962715 \h </w:instrText>
            </w:r>
            <w:r w:rsidR="00CB1F62">
              <w:rPr>
                <w:webHidden/>
              </w:rPr>
            </w:r>
            <w:r w:rsidR="00CB1F62">
              <w:rPr>
                <w:webHidden/>
              </w:rPr>
              <w:fldChar w:fldCharType="separate"/>
            </w:r>
            <w:r>
              <w:rPr>
                <w:webHidden/>
              </w:rPr>
              <w:t>23</w:t>
            </w:r>
            <w:r w:rsidR="00CB1F62">
              <w:rPr>
                <w:webHidden/>
              </w:rPr>
              <w:fldChar w:fldCharType="end"/>
            </w:r>
          </w:hyperlink>
        </w:p>
        <w:p w:rsidR="00CB1F62" w:rsidRDefault="00002805">
          <w:pPr>
            <w:pStyle w:val="TOC1"/>
            <w:rPr>
              <w:rFonts w:asciiTheme="minorHAnsi" w:eastAsiaTheme="minorEastAsia" w:hAnsiTheme="minorHAnsi" w:cstheme="minorBidi"/>
              <w:b w:val="0"/>
              <w:sz w:val="22"/>
              <w:szCs w:val="22"/>
              <w:lang w:eastAsia="en-AU"/>
            </w:rPr>
          </w:pPr>
          <w:hyperlink w:anchor="_Toc379962716" w:history="1">
            <w:r w:rsidR="00CB1F62" w:rsidRPr="0058471F">
              <w:rPr>
                <w:rStyle w:val="Hyperlink"/>
              </w:rPr>
              <w:t>Proposed structure of economic evaluation (decision-analytic)</w:t>
            </w:r>
            <w:r w:rsidR="00CB1F62">
              <w:rPr>
                <w:webHidden/>
              </w:rPr>
              <w:tab/>
            </w:r>
            <w:r w:rsidR="00CB1F62">
              <w:rPr>
                <w:webHidden/>
              </w:rPr>
              <w:fldChar w:fldCharType="begin"/>
            </w:r>
            <w:r w:rsidR="00CB1F62">
              <w:rPr>
                <w:webHidden/>
              </w:rPr>
              <w:instrText xml:space="preserve"> PAGEREF _Toc379962716 \h </w:instrText>
            </w:r>
            <w:r w:rsidR="00CB1F62">
              <w:rPr>
                <w:webHidden/>
              </w:rPr>
            </w:r>
            <w:r w:rsidR="00CB1F62">
              <w:rPr>
                <w:webHidden/>
              </w:rPr>
              <w:fldChar w:fldCharType="separate"/>
            </w:r>
            <w:r>
              <w:rPr>
                <w:webHidden/>
              </w:rPr>
              <w:t>26</w:t>
            </w:r>
            <w:r w:rsidR="00CB1F62">
              <w:rPr>
                <w:webHidden/>
              </w:rPr>
              <w:fldChar w:fldCharType="end"/>
            </w:r>
          </w:hyperlink>
        </w:p>
        <w:p w:rsidR="00CB1F62" w:rsidRDefault="00002805">
          <w:pPr>
            <w:pStyle w:val="TOC2"/>
            <w:rPr>
              <w:rFonts w:asciiTheme="minorHAnsi" w:eastAsiaTheme="minorEastAsia" w:hAnsiTheme="minorHAnsi" w:cstheme="minorBidi"/>
              <w:sz w:val="22"/>
              <w:szCs w:val="22"/>
              <w:lang w:val="en-AU" w:eastAsia="en-AU"/>
            </w:rPr>
          </w:pPr>
          <w:hyperlink w:anchor="_Toc379962717" w:history="1">
            <w:r w:rsidR="00CB1F62" w:rsidRPr="0058471F">
              <w:rPr>
                <w:rStyle w:val="Hyperlink"/>
              </w:rPr>
              <w:t>Questions for public funding</w:t>
            </w:r>
            <w:r w:rsidR="00CB1F62">
              <w:rPr>
                <w:webHidden/>
              </w:rPr>
              <w:tab/>
            </w:r>
            <w:r w:rsidR="00CB1F62">
              <w:rPr>
                <w:webHidden/>
              </w:rPr>
              <w:fldChar w:fldCharType="begin"/>
            </w:r>
            <w:r w:rsidR="00CB1F62">
              <w:rPr>
                <w:webHidden/>
              </w:rPr>
              <w:instrText xml:space="preserve"> PAGEREF _Toc379962717 \h </w:instrText>
            </w:r>
            <w:r w:rsidR="00CB1F62">
              <w:rPr>
                <w:webHidden/>
              </w:rPr>
            </w:r>
            <w:r w:rsidR="00CB1F62">
              <w:rPr>
                <w:webHidden/>
              </w:rPr>
              <w:fldChar w:fldCharType="separate"/>
            </w:r>
            <w:r>
              <w:rPr>
                <w:webHidden/>
              </w:rPr>
              <w:t>26</w:t>
            </w:r>
            <w:r w:rsidR="00CB1F62">
              <w:rPr>
                <w:webHidden/>
              </w:rPr>
              <w:fldChar w:fldCharType="end"/>
            </w:r>
          </w:hyperlink>
        </w:p>
        <w:p w:rsidR="00CB1F62" w:rsidRDefault="00002805">
          <w:pPr>
            <w:pStyle w:val="TOC1"/>
            <w:rPr>
              <w:rFonts w:asciiTheme="minorHAnsi" w:eastAsiaTheme="minorEastAsia" w:hAnsiTheme="minorHAnsi" w:cstheme="minorBidi"/>
              <w:b w:val="0"/>
              <w:sz w:val="22"/>
              <w:szCs w:val="22"/>
              <w:lang w:eastAsia="en-AU"/>
            </w:rPr>
          </w:pPr>
          <w:hyperlink w:anchor="_Toc379962718" w:history="1">
            <w:r w:rsidR="00CB1F62" w:rsidRPr="0058471F">
              <w:rPr>
                <w:rStyle w:val="Hyperlink"/>
              </w:rPr>
              <w:t>APPENDICES</w:t>
            </w:r>
            <w:r w:rsidR="00CB1F62">
              <w:rPr>
                <w:webHidden/>
              </w:rPr>
              <w:tab/>
            </w:r>
            <w:r w:rsidR="00CB1F62">
              <w:rPr>
                <w:webHidden/>
              </w:rPr>
              <w:fldChar w:fldCharType="begin"/>
            </w:r>
            <w:r w:rsidR="00CB1F62">
              <w:rPr>
                <w:webHidden/>
              </w:rPr>
              <w:instrText xml:space="preserve"> PAGEREF _Toc379962718 \h </w:instrText>
            </w:r>
            <w:r w:rsidR="00CB1F62">
              <w:rPr>
                <w:webHidden/>
              </w:rPr>
            </w:r>
            <w:r w:rsidR="00CB1F62">
              <w:rPr>
                <w:webHidden/>
              </w:rPr>
              <w:fldChar w:fldCharType="separate"/>
            </w:r>
            <w:r>
              <w:rPr>
                <w:webHidden/>
              </w:rPr>
              <w:t>27</w:t>
            </w:r>
            <w:r w:rsidR="00CB1F62">
              <w:rPr>
                <w:webHidden/>
              </w:rPr>
              <w:fldChar w:fldCharType="end"/>
            </w:r>
          </w:hyperlink>
        </w:p>
        <w:p w:rsidR="00CB1F62" w:rsidRDefault="00002805">
          <w:pPr>
            <w:pStyle w:val="TOC2"/>
            <w:rPr>
              <w:rFonts w:asciiTheme="minorHAnsi" w:eastAsiaTheme="minorEastAsia" w:hAnsiTheme="minorHAnsi" w:cstheme="minorBidi"/>
              <w:sz w:val="22"/>
              <w:szCs w:val="22"/>
              <w:lang w:val="en-AU" w:eastAsia="en-AU"/>
            </w:rPr>
          </w:pPr>
          <w:hyperlink w:anchor="_Toc379962719" w:history="1">
            <w:r w:rsidR="00CB1F62" w:rsidRPr="0058471F">
              <w:rPr>
                <w:rStyle w:val="Hyperlink"/>
              </w:rPr>
              <w:t>A.1. MBS Items For The Comparator</w:t>
            </w:r>
            <w:r w:rsidR="00CB1F62">
              <w:rPr>
                <w:webHidden/>
              </w:rPr>
              <w:tab/>
            </w:r>
            <w:r w:rsidR="00CB1F62">
              <w:rPr>
                <w:webHidden/>
              </w:rPr>
              <w:fldChar w:fldCharType="begin"/>
            </w:r>
            <w:r w:rsidR="00CB1F62">
              <w:rPr>
                <w:webHidden/>
              </w:rPr>
              <w:instrText xml:space="preserve"> PAGEREF _Toc379962719 \h </w:instrText>
            </w:r>
            <w:r w:rsidR="00CB1F62">
              <w:rPr>
                <w:webHidden/>
              </w:rPr>
            </w:r>
            <w:r w:rsidR="00CB1F62">
              <w:rPr>
                <w:webHidden/>
              </w:rPr>
              <w:fldChar w:fldCharType="separate"/>
            </w:r>
            <w:r>
              <w:rPr>
                <w:webHidden/>
              </w:rPr>
              <w:t>27</w:t>
            </w:r>
            <w:r w:rsidR="00CB1F62">
              <w:rPr>
                <w:webHidden/>
              </w:rPr>
              <w:fldChar w:fldCharType="end"/>
            </w:r>
          </w:hyperlink>
        </w:p>
        <w:p w:rsidR="00CB1F62" w:rsidRDefault="00002805">
          <w:pPr>
            <w:pStyle w:val="TOC2"/>
            <w:rPr>
              <w:rFonts w:asciiTheme="minorHAnsi" w:eastAsiaTheme="minorEastAsia" w:hAnsiTheme="minorHAnsi" w:cstheme="minorBidi"/>
              <w:sz w:val="22"/>
              <w:szCs w:val="22"/>
              <w:lang w:val="en-AU" w:eastAsia="en-AU"/>
            </w:rPr>
          </w:pPr>
          <w:hyperlink w:anchor="_Toc379962720" w:history="1">
            <w:r w:rsidR="00CB1F62" w:rsidRPr="0058471F">
              <w:rPr>
                <w:rStyle w:val="Hyperlink"/>
              </w:rPr>
              <w:t>A.2. Breast Cancer Staging</w:t>
            </w:r>
            <w:r w:rsidR="00CB1F62">
              <w:rPr>
                <w:webHidden/>
              </w:rPr>
              <w:tab/>
            </w:r>
            <w:r w:rsidR="00CB1F62">
              <w:rPr>
                <w:webHidden/>
              </w:rPr>
              <w:fldChar w:fldCharType="begin"/>
            </w:r>
            <w:r w:rsidR="00CB1F62">
              <w:rPr>
                <w:webHidden/>
              </w:rPr>
              <w:instrText xml:space="preserve"> PAGEREF _Toc379962720 \h </w:instrText>
            </w:r>
            <w:r w:rsidR="00CB1F62">
              <w:rPr>
                <w:webHidden/>
              </w:rPr>
            </w:r>
            <w:r w:rsidR="00CB1F62">
              <w:rPr>
                <w:webHidden/>
              </w:rPr>
              <w:fldChar w:fldCharType="separate"/>
            </w:r>
            <w:r>
              <w:rPr>
                <w:webHidden/>
              </w:rPr>
              <w:t>31</w:t>
            </w:r>
            <w:r w:rsidR="00CB1F62">
              <w:rPr>
                <w:webHidden/>
              </w:rPr>
              <w:fldChar w:fldCharType="end"/>
            </w:r>
          </w:hyperlink>
        </w:p>
        <w:p w:rsidR="00CB1F62" w:rsidRDefault="00002805">
          <w:pPr>
            <w:pStyle w:val="TOC1"/>
            <w:rPr>
              <w:rFonts w:asciiTheme="minorHAnsi" w:eastAsiaTheme="minorEastAsia" w:hAnsiTheme="minorHAnsi" w:cstheme="minorBidi"/>
              <w:b w:val="0"/>
              <w:sz w:val="22"/>
              <w:szCs w:val="22"/>
              <w:lang w:eastAsia="en-AU"/>
            </w:rPr>
          </w:pPr>
          <w:hyperlink w:anchor="_Toc379962721" w:history="1">
            <w:r w:rsidR="00CB1F62" w:rsidRPr="0058471F">
              <w:rPr>
                <w:rStyle w:val="Hyperlink"/>
              </w:rPr>
              <w:t>REFERENCES</w:t>
            </w:r>
            <w:r w:rsidR="00CB1F62">
              <w:rPr>
                <w:webHidden/>
              </w:rPr>
              <w:tab/>
            </w:r>
            <w:r w:rsidR="00CB1F62">
              <w:rPr>
                <w:webHidden/>
              </w:rPr>
              <w:fldChar w:fldCharType="begin"/>
            </w:r>
            <w:r w:rsidR="00CB1F62">
              <w:rPr>
                <w:webHidden/>
              </w:rPr>
              <w:instrText xml:space="preserve"> PAGEREF _Toc379962721 \h </w:instrText>
            </w:r>
            <w:r w:rsidR="00CB1F62">
              <w:rPr>
                <w:webHidden/>
              </w:rPr>
            </w:r>
            <w:r w:rsidR="00CB1F62">
              <w:rPr>
                <w:webHidden/>
              </w:rPr>
              <w:fldChar w:fldCharType="separate"/>
            </w:r>
            <w:r>
              <w:rPr>
                <w:webHidden/>
              </w:rPr>
              <w:t>32</w:t>
            </w:r>
            <w:r w:rsidR="00CB1F62">
              <w:rPr>
                <w:webHidden/>
              </w:rPr>
              <w:fldChar w:fldCharType="end"/>
            </w:r>
          </w:hyperlink>
        </w:p>
        <w:p w:rsidR="00CB1F62" w:rsidRDefault="00CB1F62">
          <w:r>
            <w:rPr>
              <w:b/>
              <w:bCs/>
              <w:noProof/>
            </w:rPr>
            <w:fldChar w:fldCharType="end"/>
          </w:r>
        </w:p>
      </w:sdtContent>
    </w:sdt>
    <w:p w:rsidR="00CB1F62" w:rsidRPr="00CB1F62" w:rsidRDefault="00CB1F62" w:rsidP="00CB1F62"/>
    <w:p w:rsidR="000D5CF9" w:rsidRPr="00427237" w:rsidRDefault="000D5CF9" w:rsidP="00B842E7">
      <w:pPr>
        <w:pStyle w:val="Heading1"/>
      </w:pPr>
      <w:r w:rsidRPr="00427237">
        <w:rPr>
          <w:sz w:val="22"/>
          <w:szCs w:val="22"/>
        </w:rPr>
        <w:br w:type="page"/>
      </w:r>
      <w:bookmarkStart w:id="2" w:name="_Toc379534797"/>
      <w:bookmarkStart w:id="3" w:name="_Toc379962691"/>
      <w:bookmarkEnd w:id="0"/>
      <w:r w:rsidRPr="00427237">
        <w:lastRenderedPageBreak/>
        <w:t>MSAC and PASC</w:t>
      </w:r>
      <w:bookmarkEnd w:id="2"/>
      <w:bookmarkEnd w:id="3"/>
    </w:p>
    <w:p w:rsidR="000D5CF9" w:rsidRPr="00427237" w:rsidRDefault="000D5CF9" w:rsidP="000901A8">
      <w:pPr>
        <w:rPr>
          <w:szCs w:val="22"/>
        </w:rPr>
      </w:pPr>
      <w:r w:rsidRPr="00427237">
        <w:rPr>
          <w:szCs w:val="22"/>
        </w:rPr>
        <w:t>The Medical Services Advisory Committee (MSAC) is an independent expert committee appointed by the Australian Government Health Minister to strengthen the role of evidence in health financing decisions in Australia. MSAC advises the Commonwealth Minister for Health and Ageing on the evidence relating to the safety, effectiveness, and cost-effectiveness of new and existing medical technologies and procedures and under what circumstances public funding should be supported.</w:t>
      </w:r>
    </w:p>
    <w:p w:rsidR="000D5CF9" w:rsidRPr="00427237" w:rsidRDefault="000D5CF9" w:rsidP="000901A8">
      <w:pPr>
        <w:rPr>
          <w:szCs w:val="22"/>
        </w:rPr>
      </w:pPr>
      <w:r w:rsidRPr="00427237">
        <w:rPr>
          <w:szCs w:val="22"/>
        </w:rPr>
        <w:t>The Protocol Advisory Sub-Committee (PASC) is a standing sub-committee of MSAC. Its primary objective is the determination of protocols to guide clinical and economic assessments of medical interventions proposed for public funding.</w:t>
      </w:r>
    </w:p>
    <w:p w:rsidR="000D5CF9" w:rsidRPr="00427237" w:rsidRDefault="000D5CF9" w:rsidP="000901A8">
      <w:pPr>
        <w:pStyle w:val="Heading2"/>
        <w:rPr>
          <w:szCs w:val="22"/>
        </w:rPr>
      </w:pPr>
      <w:bookmarkStart w:id="4" w:name="_Toc379534798"/>
      <w:bookmarkStart w:id="5" w:name="_Toc379962692"/>
      <w:r w:rsidRPr="00427237">
        <w:rPr>
          <w:szCs w:val="22"/>
        </w:rPr>
        <w:t>Purpose of this document</w:t>
      </w:r>
      <w:bookmarkEnd w:id="4"/>
      <w:bookmarkEnd w:id="5"/>
    </w:p>
    <w:p w:rsidR="00EA22A8" w:rsidRPr="00427237" w:rsidRDefault="00EA22A8" w:rsidP="00EA22A8">
      <w:pPr>
        <w:rPr>
          <w:szCs w:val="22"/>
        </w:rPr>
      </w:pPr>
      <w:r w:rsidRPr="00427237">
        <w:rPr>
          <w:szCs w:val="22"/>
        </w:rPr>
        <w:t>NHMRC</w:t>
      </w:r>
      <w:r w:rsidR="00A830E4" w:rsidRPr="00427237">
        <w:rPr>
          <w:szCs w:val="22"/>
        </w:rPr>
        <w:t xml:space="preserve"> as part of its contract with the Department of Health and </w:t>
      </w:r>
      <w:proofErr w:type="gramStart"/>
      <w:r w:rsidR="00A830E4" w:rsidRPr="00427237">
        <w:rPr>
          <w:szCs w:val="22"/>
        </w:rPr>
        <w:t>Ageing,</w:t>
      </w:r>
      <w:proofErr w:type="gramEnd"/>
      <w:r w:rsidR="00A830E4" w:rsidRPr="00427237">
        <w:rPr>
          <w:szCs w:val="22"/>
        </w:rPr>
        <w:t xml:space="preserve"> has drafted this decision analytic protocol (DAP) to guide the assessment of the safety, effectiveness and cost-effectiveness of </w:t>
      </w:r>
      <w:r w:rsidR="00CC26C5" w:rsidRPr="00427237">
        <w:rPr>
          <w:szCs w:val="22"/>
        </w:rPr>
        <w:t>confirmatory</w:t>
      </w:r>
      <w:r w:rsidR="008E2BB7" w:rsidRPr="00427237">
        <w:rPr>
          <w:szCs w:val="22"/>
        </w:rPr>
        <w:t xml:space="preserve"> diagnostic</w:t>
      </w:r>
      <w:r w:rsidR="00CC26C5" w:rsidRPr="00427237">
        <w:rPr>
          <w:szCs w:val="22"/>
        </w:rPr>
        <w:t xml:space="preserve"> </w:t>
      </w:r>
      <w:r w:rsidR="00BE5B19" w:rsidRPr="00427237">
        <w:rPr>
          <w:szCs w:val="22"/>
        </w:rPr>
        <w:t>imaging</w:t>
      </w:r>
      <w:r w:rsidR="00CC26C5" w:rsidRPr="00427237">
        <w:rPr>
          <w:szCs w:val="22"/>
        </w:rPr>
        <w:t xml:space="preserve"> </w:t>
      </w:r>
      <w:r w:rsidR="00274BE6" w:rsidRPr="00427237">
        <w:rPr>
          <w:szCs w:val="22"/>
        </w:rPr>
        <w:t>for staging spread of disease for</w:t>
      </w:r>
      <w:r w:rsidR="00CC26C5" w:rsidRPr="00427237">
        <w:rPr>
          <w:szCs w:val="22"/>
        </w:rPr>
        <w:t xml:space="preserve"> </w:t>
      </w:r>
      <w:r w:rsidR="002D5539" w:rsidRPr="00427237">
        <w:rPr>
          <w:szCs w:val="22"/>
        </w:rPr>
        <w:t>proven</w:t>
      </w:r>
      <w:r w:rsidR="007C4601" w:rsidRPr="00427237">
        <w:rPr>
          <w:szCs w:val="22"/>
        </w:rPr>
        <w:t xml:space="preserve"> </w:t>
      </w:r>
      <w:r w:rsidR="00CC26C5" w:rsidRPr="00427237">
        <w:rPr>
          <w:szCs w:val="22"/>
        </w:rPr>
        <w:t xml:space="preserve">locally advanced, </w:t>
      </w:r>
      <w:r w:rsidR="007C4601" w:rsidRPr="00427237">
        <w:rPr>
          <w:szCs w:val="22"/>
        </w:rPr>
        <w:t xml:space="preserve">suspected </w:t>
      </w:r>
      <w:r w:rsidR="00CC26C5" w:rsidRPr="00427237">
        <w:rPr>
          <w:szCs w:val="22"/>
        </w:rPr>
        <w:t xml:space="preserve">locally and regionally recurrent and </w:t>
      </w:r>
      <w:r w:rsidR="007C4601" w:rsidRPr="00427237">
        <w:rPr>
          <w:szCs w:val="22"/>
        </w:rPr>
        <w:t xml:space="preserve">suspected </w:t>
      </w:r>
      <w:r w:rsidR="00CC26C5" w:rsidRPr="00427237">
        <w:rPr>
          <w:szCs w:val="22"/>
        </w:rPr>
        <w:t>metastatic breast cancer.</w:t>
      </w:r>
    </w:p>
    <w:p w:rsidR="000D5CF9" w:rsidRPr="00427237" w:rsidRDefault="00EA22A8" w:rsidP="000901A8">
      <w:pPr>
        <w:rPr>
          <w:szCs w:val="22"/>
        </w:rPr>
      </w:pPr>
      <w:r w:rsidRPr="00427237">
        <w:rPr>
          <w:szCs w:val="22"/>
        </w:rPr>
        <w:t>I</w:t>
      </w:r>
      <w:r w:rsidR="00A830E4" w:rsidRPr="00427237">
        <w:rPr>
          <w:szCs w:val="22"/>
        </w:rPr>
        <w:t xml:space="preserve">n order to inform MSAC’s decision-making regarding public funding of the intervention. </w:t>
      </w:r>
      <w:r w:rsidR="00FB56F6" w:rsidRPr="00427237">
        <w:rPr>
          <w:szCs w:val="22"/>
        </w:rPr>
        <w:t>D</w:t>
      </w:r>
      <w:r w:rsidR="000D5CF9" w:rsidRPr="00427237">
        <w:rPr>
          <w:szCs w:val="22"/>
        </w:rPr>
        <w:t>raft protocol</w:t>
      </w:r>
      <w:r w:rsidR="00FB56F6" w:rsidRPr="00427237">
        <w:rPr>
          <w:szCs w:val="22"/>
        </w:rPr>
        <w:t>s</w:t>
      </w:r>
      <w:r w:rsidR="000D5CF9" w:rsidRPr="00427237">
        <w:rPr>
          <w:szCs w:val="22"/>
        </w:rPr>
        <w:t xml:space="preserve"> will be finalised after inviting relevant stakeholders to provide input. The final protocol will provide </w:t>
      </w:r>
      <w:r w:rsidR="00FB56F6" w:rsidRPr="00427237">
        <w:rPr>
          <w:szCs w:val="22"/>
        </w:rPr>
        <w:t xml:space="preserve">a framework within which the </w:t>
      </w:r>
      <w:r w:rsidR="000D5CF9" w:rsidRPr="00427237">
        <w:rPr>
          <w:szCs w:val="22"/>
        </w:rPr>
        <w:t>assessment of the intervention</w:t>
      </w:r>
      <w:r w:rsidR="00FB56F6" w:rsidRPr="00427237">
        <w:rPr>
          <w:szCs w:val="22"/>
        </w:rPr>
        <w:t xml:space="preserve"> can take place</w:t>
      </w:r>
      <w:r w:rsidR="000D5CF9" w:rsidRPr="00427237">
        <w:rPr>
          <w:szCs w:val="22"/>
        </w:rPr>
        <w:t>.</w:t>
      </w:r>
    </w:p>
    <w:p w:rsidR="000D5CF9" w:rsidRPr="00427237" w:rsidRDefault="000D5CF9" w:rsidP="000901A8">
      <w:pPr>
        <w:rPr>
          <w:szCs w:val="22"/>
        </w:rPr>
      </w:pPr>
      <w:r w:rsidRPr="00427237">
        <w:rPr>
          <w:szCs w:val="22"/>
        </w:rPr>
        <w:t>The protocol guiding the assessment of the intervention has been developed using the widely accepted “PICO” approach. The PICO approach involves a clear articulation of the following aspects of the research question that the assessment is intended to answer:</w:t>
      </w:r>
    </w:p>
    <w:p w:rsidR="000D5CF9" w:rsidRPr="00427237" w:rsidRDefault="000D5CF9" w:rsidP="000901A8">
      <w:pPr>
        <w:pStyle w:val="ListParagraph"/>
        <w:rPr>
          <w:szCs w:val="22"/>
        </w:rPr>
      </w:pPr>
      <w:r w:rsidRPr="00427237">
        <w:rPr>
          <w:b/>
          <w:szCs w:val="22"/>
          <w:u w:val="single"/>
        </w:rPr>
        <w:t>P</w:t>
      </w:r>
      <w:r w:rsidRPr="00427237">
        <w:rPr>
          <w:szCs w:val="22"/>
        </w:rPr>
        <w:t>atients – specification of the characteristics of the patients in whom the intervention is to be considered for use;</w:t>
      </w:r>
    </w:p>
    <w:p w:rsidR="000D5CF9" w:rsidRPr="00427237" w:rsidRDefault="000D5CF9" w:rsidP="000901A8">
      <w:pPr>
        <w:pStyle w:val="ListParagraph"/>
        <w:rPr>
          <w:szCs w:val="22"/>
        </w:rPr>
      </w:pPr>
      <w:r w:rsidRPr="00427237">
        <w:rPr>
          <w:b/>
          <w:szCs w:val="22"/>
          <w:u w:val="single"/>
        </w:rPr>
        <w:t>I</w:t>
      </w:r>
      <w:r w:rsidRPr="00427237">
        <w:rPr>
          <w:szCs w:val="22"/>
        </w:rPr>
        <w:t>ntervention – specification of the proposed intervention</w:t>
      </w:r>
      <w:r w:rsidR="001A5B28" w:rsidRPr="00427237">
        <w:rPr>
          <w:szCs w:val="22"/>
        </w:rPr>
        <w:t>;</w:t>
      </w:r>
    </w:p>
    <w:p w:rsidR="000D5CF9" w:rsidRPr="00427237" w:rsidRDefault="000D5CF9" w:rsidP="000901A8">
      <w:pPr>
        <w:pStyle w:val="ListParagraph"/>
        <w:rPr>
          <w:szCs w:val="22"/>
        </w:rPr>
      </w:pPr>
      <w:r w:rsidRPr="00427237">
        <w:rPr>
          <w:b/>
          <w:szCs w:val="22"/>
          <w:u w:val="single"/>
        </w:rPr>
        <w:t>C</w:t>
      </w:r>
      <w:r w:rsidRPr="00427237">
        <w:rPr>
          <w:szCs w:val="22"/>
        </w:rPr>
        <w:t>omparator – specification of the therapy most likely to be replaced by the proposed intervention</w:t>
      </w:r>
      <w:r w:rsidR="001A5B28" w:rsidRPr="00427237">
        <w:rPr>
          <w:szCs w:val="22"/>
        </w:rPr>
        <w:t>; and</w:t>
      </w:r>
    </w:p>
    <w:p w:rsidR="000D5CF9" w:rsidRPr="00427237" w:rsidRDefault="000D5CF9" w:rsidP="000901A8">
      <w:pPr>
        <w:pStyle w:val="ListParagraph"/>
        <w:rPr>
          <w:szCs w:val="22"/>
        </w:rPr>
      </w:pPr>
      <w:r w:rsidRPr="00427237">
        <w:rPr>
          <w:b/>
          <w:szCs w:val="22"/>
          <w:u w:val="single"/>
        </w:rPr>
        <w:t>O</w:t>
      </w:r>
      <w:r w:rsidRPr="00427237">
        <w:rPr>
          <w:szCs w:val="22"/>
        </w:rPr>
        <w:t>utcomes – specification of the health outcomes and the healthcare resources likely to be affected by the introduction of the proposed intervention</w:t>
      </w:r>
      <w:r w:rsidR="001A5B28" w:rsidRPr="00427237">
        <w:rPr>
          <w:szCs w:val="22"/>
        </w:rPr>
        <w:t>.</w:t>
      </w:r>
    </w:p>
    <w:p w:rsidR="00A830E4" w:rsidRPr="00427237" w:rsidRDefault="00A830E4" w:rsidP="000901A8">
      <w:pPr>
        <w:pStyle w:val="ListParagraph"/>
        <w:rPr>
          <w:szCs w:val="22"/>
        </w:rPr>
      </w:pPr>
    </w:p>
    <w:p w:rsidR="00A830E4" w:rsidRPr="00427237" w:rsidRDefault="00A830E4" w:rsidP="00A830E4"/>
    <w:p w:rsidR="008345F0" w:rsidRPr="00427237" w:rsidRDefault="000D5CF9" w:rsidP="00C60B78">
      <w:pPr>
        <w:pStyle w:val="Heading1"/>
        <w:rPr>
          <w:b w:val="0"/>
          <w:bCs w:val="0"/>
          <w:caps w:val="0"/>
        </w:rPr>
      </w:pPr>
      <w:r w:rsidRPr="00427237">
        <w:rPr>
          <w:sz w:val="22"/>
          <w:szCs w:val="22"/>
        </w:rPr>
        <w:br w:type="page"/>
      </w:r>
    </w:p>
    <w:p w:rsidR="00871D32" w:rsidRPr="00427237" w:rsidRDefault="00871D32" w:rsidP="00871D32">
      <w:pPr>
        <w:pStyle w:val="Heading1"/>
      </w:pPr>
      <w:bookmarkStart w:id="6" w:name="_Toc379534799"/>
      <w:bookmarkStart w:id="7" w:name="_Toc379962693"/>
      <w:r w:rsidRPr="00427237">
        <w:lastRenderedPageBreak/>
        <w:t>Purpose of application</w:t>
      </w:r>
      <w:bookmarkEnd w:id="6"/>
      <w:bookmarkEnd w:id="7"/>
    </w:p>
    <w:p w:rsidR="00F14D15" w:rsidRPr="00427237" w:rsidRDefault="00871D32" w:rsidP="00871D32">
      <w:pPr>
        <w:rPr>
          <w:szCs w:val="22"/>
        </w:rPr>
      </w:pPr>
      <w:r w:rsidRPr="00427237">
        <w:rPr>
          <w:szCs w:val="22"/>
        </w:rPr>
        <w:t>An application requesting Medicare Benefits Schedule (MBS) listing of</w:t>
      </w:r>
      <w:r w:rsidR="00533AF1" w:rsidRPr="00427237">
        <w:rPr>
          <w:szCs w:val="22"/>
        </w:rPr>
        <w:t xml:space="preserve"> F-18 </w:t>
      </w:r>
      <w:proofErr w:type="spellStart"/>
      <w:r w:rsidR="00533AF1" w:rsidRPr="00427237">
        <w:rPr>
          <w:szCs w:val="22"/>
        </w:rPr>
        <w:t>fluorodeoxyglucose</w:t>
      </w:r>
      <w:proofErr w:type="spellEnd"/>
      <w:r w:rsidR="00533AF1" w:rsidRPr="00427237">
        <w:rPr>
          <w:szCs w:val="22"/>
        </w:rPr>
        <w:t xml:space="preserve"> (</w:t>
      </w:r>
      <w:r w:rsidR="00D76266" w:rsidRPr="00427237">
        <w:rPr>
          <w:szCs w:val="22"/>
          <w:vertAlign w:val="superscript"/>
        </w:rPr>
        <w:t>18</w:t>
      </w:r>
      <w:r w:rsidR="00D76266" w:rsidRPr="00427237">
        <w:rPr>
          <w:szCs w:val="22"/>
        </w:rPr>
        <w:t>F-FDG</w:t>
      </w:r>
      <w:r w:rsidR="00533AF1" w:rsidRPr="00427237">
        <w:rPr>
          <w:szCs w:val="22"/>
        </w:rPr>
        <w:t>) positron emission tomography (PET) for the evaluation and staging of</w:t>
      </w:r>
      <w:r w:rsidR="003A2113" w:rsidRPr="00427237">
        <w:rPr>
          <w:szCs w:val="22"/>
        </w:rPr>
        <w:t xml:space="preserve"> spread of disease in</w:t>
      </w:r>
      <w:r w:rsidR="00533AF1" w:rsidRPr="00427237">
        <w:rPr>
          <w:szCs w:val="22"/>
        </w:rPr>
        <w:t xml:space="preserve"> </w:t>
      </w:r>
      <w:r w:rsidR="002D5539" w:rsidRPr="00427237">
        <w:rPr>
          <w:szCs w:val="22"/>
        </w:rPr>
        <w:t>proven</w:t>
      </w:r>
      <w:r w:rsidR="007C4601" w:rsidRPr="00427237">
        <w:rPr>
          <w:szCs w:val="22"/>
        </w:rPr>
        <w:t xml:space="preserve"> </w:t>
      </w:r>
      <w:r w:rsidR="00533AF1" w:rsidRPr="00427237">
        <w:rPr>
          <w:szCs w:val="22"/>
        </w:rPr>
        <w:t>locally advanced</w:t>
      </w:r>
      <w:r w:rsidR="003A2113" w:rsidRPr="00427237">
        <w:rPr>
          <w:szCs w:val="22"/>
        </w:rPr>
        <w:t xml:space="preserve"> breast cancer</w:t>
      </w:r>
      <w:r w:rsidR="00533AF1" w:rsidRPr="00427237">
        <w:rPr>
          <w:szCs w:val="22"/>
        </w:rPr>
        <w:t xml:space="preserve">, </w:t>
      </w:r>
      <w:r w:rsidR="007C4601" w:rsidRPr="00427237">
        <w:rPr>
          <w:szCs w:val="22"/>
        </w:rPr>
        <w:t xml:space="preserve">suspected </w:t>
      </w:r>
      <w:r w:rsidR="00CC26C5" w:rsidRPr="00427237">
        <w:rPr>
          <w:szCs w:val="22"/>
        </w:rPr>
        <w:t xml:space="preserve">locally and regionally </w:t>
      </w:r>
      <w:r w:rsidR="00533AF1" w:rsidRPr="00427237">
        <w:rPr>
          <w:szCs w:val="22"/>
        </w:rPr>
        <w:t>recurrent, or</w:t>
      </w:r>
      <w:r w:rsidR="007C4601" w:rsidRPr="00427237">
        <w:rPr>
          <w:szCs w:val="22"/>
        </w:rPr>
        <w:t xml:space="preserve"> suspected</w:t>
      </w:r>
      <w:r w:rsidR="00533AF1" w:rsidRPr="00427237">
        <w:rPr>
          <w:szCs w:val="22"/>
        </w:rPr>
        <w:t xml:space="preserve"> metastatic breast cancer</w:t>
      </w:r>
      <w:r w:rsidRPr="00427237">
        <w:rPr>
          <w:szCs w:val="22"/>
        </w:rPr>
        <w:t xml:space="preserve"> </w:t>
      </w:r>
      <w:r w:rsidR="00EA22A8" w:rsidRPr="00427237">
        <w:rPr>
          <w:szCs w:val="22"/>
        </w:rPr>
        <w:t xml:space="preserve">was received from the </w:t>
      </w:r>
      <w:r w:rsidR="00F14D15" w:rsidRPr="00427237">
        <w:rPr>
          <w:szCs w:val="22"/>
        </w:rPr>
        <w:t>Australasian Association of Nuclear Medicine Specialists</w:t>
      </w:r>
      <w:r w:rsidR="00EA22A8" w:rsidRPr="00427237">
        <w:rPr>
          <w:szCs w:val="22"/>
        </w:rPr>
        <w:t xml:space="preserve"> by the Department of Health and Ageing in </w:t>
      </w:r>
      <w:r w:rsidR="00F14D15" w:rsidRPr="00427237">
        <w:rPr>
          <w:szCs w:val="22"/>
        </w:rPr>
        <w:t>May 2013</w:t>
      </w:r>
      <w:r w:rsidR="00EA22A8" w:rsidRPr="00427237">
        <w:rPr>
          <w:szCs w:val="22"/>
        </w:rPr>
        <w:t>.</w:t>
      </w:r>
    </w:p>
    <w:p w:rsidR="00F14D15" w:rsidRPr="00427237" w:rsidRDefault="005959C2" w:rsidP="00316D47">
      <w:r w:rsidRPr="00427237">
        <w:t xml:space="preserve">The </w:t>
      </w:r>
      <w:r w:rsidR="00316D47" w:rsidRPr="00427237">
        <w:t>purpose of the application</w:t>
      </w:r>
      <w:r w:rsidRPr="00427237">
        <w:t xml:space="preserve"> is to</w:t>
      </w:r>
      <w:r w:rsidR="00987A2C" w:rsidRPr="00427237">
        <w:t xml:space="preserve"> assess the role of </w:t>
      </w:r>
      <w:r w:rsidR="00987A2C" w:rsidRPr="00427237">
        <w:rPr>
          <w:szCs w:val="22"/>
          <w:vertAlign w:val="superscript"/>
        </w:rPr>
        <w:t>18</w:t>
      </w:r>
      <w:r w:rsidR="00987A2C" w:rsidRPr="00427237">
        <w:rPr>
          <w:szCs w:val="22"/>
        </w:rPr>
        <w:t>F</w:t>
      </w:r>
      <w:r w:rsidR="00FA5ED1" w:rsidRPr="00427237">
        <w:rPr>
          <w:szCs w:val="22"/>
        </w:rPr>
        <w:t>-FDG</w:t>
      </w:r>
      <w:r w:rsidR="00987A2C" w:rsidRPr="00427237">
        <w:rPr>
          <w:szCs w:val="22"/>
        </w:rPr>
        <w:t xml:space="preserve"> </w:t>
      </w:r>
      <w:r w:rsidR="00987A2C" w:rsidRPr="00427237">
        <w:t>PET in</w:t>
      </w:r>
      <w:r w:rsidRPr="00427237">
        <w:t xml:space="preserve"> </w:t>
      </w:r>
      <w:r w:rsidR="00987A2C" w:rsidRPr="00427237">
        <w:t>(</w:t>
      </w:r>
      <w:proofErr w:type="spellStart"/>
      <w:r w:rsidR="00987A2C" w:rsidRPr="00427237">
        <w:t>i</w:t>
      </w:r>
      <w:proofErr w:type="spellEnd"/>
      <w:r w:rsidR="00987A2C" w:rsidRPr="00427237">
        <w:t xml:space="preserve">) staging potentially operable locally advanced breast cancer and (ii) in </w:t>
      </w:r>
      <w:r w:rsidRPr="00427237">
        <w:t>replac</w:t>
      </w:r>
      <w:r w:rsidR="00987A2C" w:rsidRPr="00427237">
        <w:t>ing</w:t>
      </w:r>
      <w:r w:rsidRPr="00427237">
        <w:t xml:space="preserve"> the current practice of doing a </w:t>
      </w:r>
      <w:r w:rsidR="00D134C3" w:rsidRPr="00427237">
        <w:t>confirmatory standard</w:t>
      </w:r>
      <w:r w:rsidRPr="00427237">
        <w:t xml:space="preserve"> diagnostic imaging study (e.g. CT) with </w:t>
      </w:r>
      <w:r w:rsidR="00D134C3" w:rsidRPr="00427237">
        <w:t xml:space="preserve">confirmatory </w:t>
      </w:r>
      <w:r w:rsidR="00D76266" w:rsidRPr="00427237">
        <w:rPr>
          <w:vertAlign w:val="superscript"/>
        </w:rPr>
        <w:t>18</w:t>
      </w:r>
      <w:r w:rsidR="00D76266" w:rsidRPr="00427237">
        <w:t>F-FDG</w:t>
      </w:r>
      <w:r w:rsidR="00D134C3" w:rsidRPr="00427237">
        <w:t xml:space="preserve"> </w:t>
      </w:r>
      <w:r w:rsidRPr="00427237">
        <w:t xml:space="preserve">PET </w:t>
      </w:r>
      <w:r w:rsidR="00647C37" w:rsidRPr="00427237">
        <w:t xml:space="preserve">imaging </w:t>
      </w:r>
      <w:r w:rsidRPr="00427237">
        <w:t xml:space="preserve">to more accurately stage </w:t>
      </w:r>
      <w:r w:rsidR="00FA5ED1" w:rsidRPr="00427237">
        <w:t xml:space="preserve">proven locally advanced, </w:t>
      </w:r>
      <w:r w:rsidR="00987A2C" w:rsidRPr="00427237">
        <w:rPr>
          <w:szCs w:val="56"/>
        </w:rPr>
        <w:t>suspected locally and regionally recurrent, and suspected metastatic breast cancer</w:t>
      </w:r>
      <w:r w:rsidR="00FA5ED1" w:rsidRPr="00427237">
        <w:t>s.</w:t>
      </w:r>
    </w:p>
    <w:p w:rsidR="008148FF" w:rsidRPr="00427237" w:rsidRDefault="008148FF" w:rsidP="008148FF">
      <w:r w:rsidRPr="00427237">
        <w:t xml:space="preserve">It is noted that the </w:t>
      </w:r>
      <w:r w:rsidR="00C24187" w:rsidRPr="00427237">
        <w:t xml:space="preserve">USA </w:t>
      </w:r>
      <w:r w:rsidRPr="00427237">
        <w:t>National Comprehensive Cancer Network’s (NCCN) 2014 Guidelines for breast cancer (Version 1.2014) state that “the use of PET or PET/CT is not indicated in the staging of clinical Stage 1, II or operable III breast cancer”,</w:t>
      </w:r>
      <w:r w:rsidR="00C24187" w:rsidRPr="00427237">
        <w:rPr>
          <w:noProof/>
          <w:vertAlign w:val="superscript"/>
        </w:rPr>
        <w:t>1</w:t>
      </w:r>
      <w:r w:rsidRPr="00427237">
        <w:t xml:space="preserve"> and the European Society for Medical Oncology (ESMO) 2013 Guidelines state “Current evidence does not support the use of FDG-PET/CT in the staging procedure of local/regional disease, due to limited specificity compared with the gold standard methods for axillary staging —SLNB and axillary lymph node dissection”.</w:t>
      </w:r>
      <w:r w:rsidR="00C24187" w:rsidRPr="00427237">
        <w:rPr>
          <w:noProof/>
          <w:vertAlign w:val="superscript"/>
        </w:rPr>
        <w:t>2</w:t>
      </w:r>
      <w:r w:rsidR="00C24187" w:rsidRPr="00427237">
        <w:t xml:space="preserve"> Factoring in these</w:t>
      </w:r>
      <w:r w:rsidR="00F77034" w:rsidRPr="00427237">
        <w:t xml:space="preserve"> international</w:t>
      </w:r>
      <w:r w:rsidR="00C24187" w:rsidRPr="00427237">
        <w:t xml:space="preserve"> recommendations, there needs to be agreement about wheth</w:t>
      </w:r>
      <w:r w:rsidR="0078732E" w:rsidRPr="00427237">
        <w:t>er to ask in this protocol</w:t>
      </w:r>
      <w:r w:rsidR="00C24187" w:rsidRPr="00427237">
        <w:t xml:space="preserve"> </w:t>
      </w:r>
      <w:r w:rsidR="0078732E" w:rsidRPr="00427237">
        <w:t xml:space="preserve">if all or part of the </w:t>
      </w:r>
      <w:r w:rsidR="00C24187" w:rsidRPr="00427237">
        <w:t xml:space="preserve">locally advanced breast cancer population should have </w:t>
      </w:r>
      <w:r w:rsidR="00C24187" w:rsidRPr="00427237">
        <w:rPr>
          <w:szCs w:val="22"/>
          <w:vertAlign w:val="superscript"/>
        </w:rPr>
        <w:t>18</w:t>
      </w:r>
      <w:r w:rsidR="00C24187" w:rsidRPr="00427237">
        <w:rPr>
          <w:szCs w:val="22"/>
        </w:rPr>
        <w:t xml:space="preserve">F-FDG </w:t>
      </w:r>
      <w:r w:rsidR="00C24187" w:rsidRPr="00427237">
        <w:t>PET imaging.</w:t>
      </w:r>
    </w:p>
    <w:p w:rsidR="005959C2" w:rsidRPr="00427237" w:rsidRDefault="005959C2" w:rsidP="00871D32">
      <w:pPr>
        <w:rPr>
          <w:szCs w:val="22"/>
        </w:rPr>
      </w:pPr>
    </w:p>
    <w:p w:rsidR="00871D32" w:rsidRPr="00427237" w:rsidRDefault="00871D32" w:rsidP="00871D32">
      <w:pPr>
        <w:pStyle w:val="Heading2"/>
      </w:pPr>
      <w:bookmarkStart w:id="8" w:name="_Ref372013786"/>
      <w:bookmarkStart w:id="9" w:name="_Ref372013789"/>
      <w:bookmarkStart w:id="10" w:name="_Toc379534800"/>
      <w:bookmarkStart w:id="11" w:name="_Toc379962694"/>
      <w:r w:rsidRPr="00427237">
        <w:t>Proposed MBS listing</w:t>
      </w:r>
      <w:bookmarkEnd w:id="8"/>
      <w:bookmarkEnd w:id="9"/>
      <w:bookmarkEnd w:id="10"/>
      <w:bookmarkEnd w:id="11"/>
    </w:p>
    <w:p w:rsidR="00871D32" w:rsidRPr="00427237" w:rsidRDefault="00163538" w:rsidP="00163538">
      <w:pPr>
        <w:pStyle w:val="Caption"/>
      </w:pPr>
      <w:bookmarkStart w:id="12" w:name="_Ref371346579"/>
      <w:bookmarkStart w:id="13" w:name="_Ref371345993"/>
      <w:r w:rsidRPr="00427237">
        <w:t xml:space="preserve">Table </w:t>
      </w:r>
      <w:r w:rsidR="00BF57C1" w:rsidRPr="00427237">
        <w:rPr>
          <w:noProof/>
        </w:rPr>
        <w:t>1</w:t>
      </w:r>
      <w:bookmarkEnd w:id="12"/>
      <w:r w:rsidR="00871D32" w:rsidRPr="00427237">
        <w:t>:</w:t>
      </w:r>
      <w:r w:rsidR="00871D32" w:rsidRPr="00427237">
        <w:tab/>
        <w:t>Proposed MBS item descriptor for</w:t>
      </w:r>
      <w:r w:rsidR="00AB5369" w:rsidRPr="00427237">
        <w:t xml:space="preserve"> confirmatory</w:t>
      </w:r>
      <w:r w:rsidR="00871D32" w:rsidRPr="00427237">
        <w:t xml:space="preserve"> </w:t>
      </w:r>
      <w:r w:rsidR="00D76266" w:rsidRPr="00427237">
        <w:rPr>
          <w:vertAlign w:val="superscript"/>
        </w:rPr>
        <w:t>18</w:t>
      </w:r>
      <w:r w:rsidR="00D76266" w:rsidRPr="00427237">
        <w:t>F-FDG</w:t>
      </w:r>
      <w:r w:rsidR="003E5818" w:rsidRPr="00427237">
        <w:t xml:space="preserve"> PET for </w:t>
      </w:r>
      <w:r w:rsidR="002D5539" w:rsidRPr="00427237">
        <w:t xml:space="preserve">proven </w:t>
      </w:r>
      <w:r w:rsidR="003E5818" w:rsidRPr="00427237">
        <w:t>locally advanced breast cancer</w:t>
      </w:r>
      <w:bookmarkEnd w:id="13"/>
    </w:p>
    <w:tbl>
      <w:tblPr>
        <w:tblW w:w="5000" w:type="pct"/>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9242"/>
      </w:tblGrid>
      <w:tr w:rsidR="003E5818" w:rsidRPr="00427237" w:rsidTr="009115C9">
        <w:trPr>
          <w:trHeight w:val="139"/>
        </w:trPr>
        <w:tc>
          <w:tcPr>
            <w:tcW w:w="5000" w:type="pct"/>
            <w:tcBorders>
              <w:top w:val="single" w:sz="8" w:space="0" w:color="000000"/>
              <w:bottom w:val="single" w:sz="8" w:space="0" w:color="000000"/>
            </w:tcBorders>
          </w:tcPr>
          <w:p w:rsidR="003E5818" w:rsidRPr="00427237" w:rsidRDefault="003E5818" w:rsidP="003E5818">
            <w:pPr>
              <w:autoSpaceDE w:val="0"/>
              <w:autoSpaceDN w:val="0"/>
              <w:adjustRightInd w:val="0"/>
              <w:spacing w:after="120" w:line="240" w:lineRule="auto"/>
              <w:jc w:val="right"/>
              <w:rPr>
                <w:rFonts w:ascii="Arial" w:eastAsia="Calibri" w:hAnsi="Arial" w:cs="Arial"/>
                <w:color w:val="000000"/>
                <w:lang w:eastAsia="en-AU"/>
              </w:rPr>
            </w:pPr>
            <w:r w:rsidRPr="00427237">
              <w:rPr>
                <w:rFonts w:ascii="Arial" w:eastAsia="Calibri" w:hAnsi="Arial" w:cs="Arial"/>
                <w:color w:val="000000"/>
                <w:lang w:eastAsia="en-AU"/>
              </w:rPr>
              <w:t xml:space="preserve">Category 5 – DIAGNOSTIC IMAGING SERVICES </w:t>
            </w:r>
          </w:p>
        </w:tc>
      </w:tr>
      <w:tr w:rsidR="003E5818" w:rsidRPr="00427237" w:rsidTr="009115C9">
        <w:trPr>
          <w:trHeight w:val="893"/>
        </w:trPr>
        <w:tc>
          <w:tcPr>
            <w:tcW w:w="5000" w:type="pct"/>
            <w:tcBorders>
              <w:top w:val="single" w:sz="8" w:space="0" w:color="000000"/>
              <w:bottom w:val="single" w:sz="8" w:space="0" w:color="000000"/>
            </w:tcBorders>
          </w:tcPr>
          <w:p w:rsidR="003E5818" w:rsidRPr="00427237" w:rsidRDefault="003E5818" w:rsidP="003E5818">
            <w:pPr>
              <w:autoSpaceDE w:val="0"/>
              <w:autoSpaceDN w:val="0"/>
              <w:adjustRightInd w:val="0"/>
              <w:spacing w:after="120" w:line="240" w:lineRule="auto"/>
              <w:rPr>
                <w:rFonts w:ascii="Arial" w:eastAsia="Calibri" w:hAnsi="Arial" w:cs="Arial"/>
                <w:color w:val="000000"/>
                <w:lang w:eastAsia="en-AU"/>
              </w:rPr>
            </w:pPr>
            <w:r w:rsidRPr="00427237">
              <w:rPr>
                <w:rFonts w:ascii="Arial" w:eastAsia="Calibri" w:hAnsi="Arial" w:cs="Arial"/>
                <w:color w:val="000000"/>
                <w:lang w:eastAsia="en-AU"/>
              </w:rPr>
              <w:t>MBS [item number]</w:t>
            </w:r>
          </w:p>
          <w:p w:rsidR="003E5818" w:rsidRPr="00427237" w:rsidRDefault="00A84B71" w:rsidP="003E5818">
            <w:pPr>
              <w:autoSpaceDE w:val="0"/>
              <w:autoSpaceDN w:val="0"/>
              <w:adjustRightInd w:val="0"/>
              <w:spacing w:after="120" w:line="240" w:lineRule="auto"/>
              <w:rPr>
                <w:rFonts w:ascii="Arial" w:eastAsia="Calibri" w:hAnsi="Arial" w:cs="Arial"/>
                <w:color w:val="000000"/>
                <w:lang w:eastAsia="en-AU"/>
              </w:rPr>
            </w:pPr>
            <w:r w:rsidRPr="00427237">
              <w:rPr>
                <w:rFonts w:ascii="Arial" w:eastAsia="Calibri" w:hAnsi="Arial" w:cs="Arial"/>
                <w:color w:val="000000"/>
                <w:lang w:eastAsia="en-AU"/>
              </w:rPr>
              <w:t xml:space="preserve">Whole body </w:t>
            </w:r>
            <w:r w:rsidR="00D76266" w:rsidRPr="00427237">
              <w:rPr>
                <w:rFonts w:ascii="Arial" w:eastAsia="Calibri" w:hAnsi="Arial" w:cs="Arial"/>
                <w:color w:val="000000"/>
                <w:vertAlign w:val="superscript"/>
                <w:lang w:eastAsia="en-AU"/>
              </w:rPr>
              <w:t>18</w:t>
            </w:r>
            <w:r w:rsidR="00D76266" w:rsidRPr="00427237">
              <w:rPr>
                <w:rFonts w:ascii="Arial" w:eastAsia="Calibri" w:hAnsi="Arial" w:cs="Arial"/>
                <w:color w:val="000000"/>
                <w:lang w:eastAsia="en-AU"/>
              </w:rPr>
              <w:t>F-FDG</w:t>
            </w:r>
            <w:r w:rsidR="003E5818" w:rsidRPr="00427237">
              <w:rPr>
                <w:rFonts w:ascii="Arial" w:eastAsia="Calibri" w:hAnsi="Arial" w:cs="Arial"/>
                <w:color w:val="000000"/>
                <w:lang w:eastAsia="en-AU"/>
              </w:rPr>
              <w:t xml:space="preserve"> PET study, performed for the staging of</w:t>
            </w:r>
            <w:r w:rsidR="003A2113" w:rsidRPr="00427237">
              <w:rPr>
                <w:rFonts w:ascii="Arial" w:eastAsia="Calibri" w:hAnsi="Arial" w:cs="Arial"/>
                <w:color w:val="000000"/>
                <w:lang w:eastAsia="en-AU"/>
              </w:rPr>
              <w:t xml:space="preserve"> spread of disease in</w:t>
            </w:r>
            <w:r w:rsidR="003E5818" w:rsidRPr="00427237">
              <w:rPr>
                <w:rFonts w:ascii="Arial" w:eastAsia="Calibri" w:hAnsi="Arial" w:cs="Arial"/>
                <w:color w:val="000000"/>
                <w:lang w:eastAsia="en-AU"/>
              </w:rPr>
              <w:t xml:space="preserve"> proven locally advanced breast cancer</w:t>
            </w:r>
            <w:r w:rsidR="00E11330" w:rsidRPr="00427237">
              <w:rPr>
                <w:rFonts w:ascii="Arial" w:eastAsia="Calibri" w:hAnsi="Arial" w:cs="Arial"/>
                <w:color w:val="000000"/>
                <w:lang w:eastAsia="en-AU"/>
              </w:rPr>
              <w:t xml:space="preserve"> in patients considered </w:t>
            </w:r>
            <w:r w:rsidR="00144445" w:rsidRPr="00427237">
              <w:rPr>
                <w:rFonts w:ascii="Arial" w:eastAsia="Calibri" w:hAnsi="Arial" w:cs="Arial"/>
                <w:color w:val="000000"/>
                <w:lang w:eastAsia="en-AU"/>
              </w:rPr>
              <w:t xml:space="preserve">potentially </w:t>
            </w:r>
            <w:r w:rsidR="00E11330" w:rsidRPr="00427237">
              <w:rPr>
                <w:rFonts w:ascii="Arial" w:eastAsia="Calibri" w:hAnsi="Arial" w:cs="Arial"/>
                <w:color w:val="000000"/>
                <w:lang w:eastAsia="en-AU"/>
              </w:rPr>
              <w:t>suitable for active therapy</w:t>
            </w:r>
            <w:r w:rsidR="005A34E1" w:rsidRPr="00427237">
              <w:rPr>
                <w:rFonts w:ascii="Arial" w:eastAsia="Calibri" w:hAnsi="Arial" w:cs="Arial"/>
                <w:color w:val="000000"/>
                <w:lang w:eastAsia="en-AU"/>
              </w:rPr>
              <w:t>, where initial standard diagnostic imaging is equivocal or suspicious for spread of disease</w:t>
            </w:r>
            <w:r w:rsidR="00E11330" w:rsidRPr="00427237">
              <w:rPr>
                <w:rFonts w:ascii="Arial" w:eastAsia="Calibri" w:hAnsi="Arial" w:cs="Arial"/>
                <w:color w:val="000000"/>
                <w:lang w:eastAsia="en-AU"/>
              </w:rPr>
              <w:t>.</w:t>
            </w:r>
          </w:p>
          <w:p w:rsidR="003E5818" w:rsidRPr="00427237" w:rsidRDefault="003E5818" w:rsidP="00D51115">
            <w:pPr>
              <w:autoSpaceDE w:val="0"/>
              <w:autoSpaceDN w:val="0"/>
              <w:adjustRightInd w:val="0"/>
              <w:spacing w:after="120" w:line="240" w:lineRule="auto"/>
              <w:rPr>
                <w:rFonts w:ascii="Arial" w:eastAsia="Calibri" w:hAnsi="Arial" w:cs="Arial"/>
                <w:color w:val="000000"/>
                <w:lang w:eastAsia="en-AU"/>
              </w:rPr>
            </w:pPr>
            <w:r w:rsidRPr="00427237">
              <w:rPr>
                <w:rFonts w:ascii="Arial" w:eastAsia="Calibri" w:hAnsi="Arial" w:cs="Arial"/>
                <w:color w:val="000000"/>
                <w:lang w:eastAsia="en-AU"/>
              </w:rPr>
              <w:t>Fee: $</w:t>
            </w:r>
            <w:r w:rsidR="00D51115" w:rsidRPr="00427237">
              <w:rPr>
                <w:rFonts w:ascii="Arial" w:eastAsia="Calibri" w:hAnsi="Arial" w:cs="Arial"/>
                <w:color w:val="000000"/>
                <w:lang w:eastAsia="en-AU"/>
              </w:rPr>
              <w:t>?</w:t>
            </w:r>
          </w:p>
        </w:tc>
      </w:tr>
    </w:tbl>
    <w:p w:rsidR="003E5818" w:rsidRPr="00427237" w:rsidRDefault="003E5818" w:rsidP="003E5818">
      <w:pPr>
        <w:rPr>
          <w:lang w:val="en-GB" w:eastAsia="ja-JP"/>
        </w:rPr>
      </w:pPr>
    </w:p>
    <w:p w:rsidR="00D51115" w:rsidRPr="00427237" w:rsidRDefault="00163538" w:rsidP="00163538">
      <w:pPr>
        <w:pStyle w:val="Caption"/>
      </w:pPr>
      <w:bookmarkStart w:id="14" w:name="_Ref371590797"/>
      <w:bookmarkStart w:id="15" w:name="_Ref371590813"/>
      <w:r w:rsidRPr="00427237">
        <w:t xml:space="preserve">Table </w:t>
      </w:r>
      <w:r w:rsidR="00BF57C1" w:rsidRPr="00427237">
        <w:rPr>
          <w:noProof/>
        </w:rPr>
        <w:t>2</w:t>
      </w:r>
      <w:bookmarkEnd w:id="14"/>
      <w:r w:rsidR="00D51115" w:rsidRPr="00427237">
        <w:t>:</w:t>
      </w:r>
      <w:r w:rsidR="00D51115" w:rsidRPr="00427237">
        <w:tab/>
        <w:t>Proposed MBS item descriptor for</w:t>
      </w:r>
      <w:r w:rsidR="00AB5369" w:rsidRPr="00427237">
        <w:t xml:space="preserve"> confirmatory</w:t>
      </w:r>
      <w:r w:rsidR="00D51115" w:rsidRPr="00427237">
        <w:t xml:space="preserve"> </w:t>
      </w:r>
      <w:r w:rsidR="00D76266" w:rsidRPr="00427237">
        <w:rPr>
          <w:vertAlign w:val="superscript"/>
        </w:rPr>
        <w:t>18</w:t>
      </w:r>
      <w:r w:rsidR="00D76266" w:rsidRPr="00427237">
        <w:t>F-FDG</w:t>
      </w:r>
      <w:r w:rsidR="00D51115" w:rsidRPr="00427237">
        <w:t xml:space="preserve"> PET for suspected </w:t>
      </w:r>
      <w:r w:rsidR="00CC26C5" w:rsidRPr="00427237">
        <w:t xml:space="preserve">locally or regionally </w:t>
      </w:r>
      <w:r w:rsidR="00D51115" w:rsidRPr="00427237">
        <w:t xml:space="preserve">recurrent or </w:t>
      </w:r>
      <w:r w:rsidR="00670B67" w:rsidRPr="00427237">
        <w:t xml:space="preserve">suspected </w:t>
      </w:r>
      <w:r w:rsidR="00D51115" w:rsidRPr="00427237">
        <w:t>metastatic breast cancer</w:t>
      </w:r>
      <w:bookmarkEnd w:id="15"/>
    </w:p>
    <w:tbl>
      <w:tblPr>
        <w:tblW w:w="5000" w:type="pct"/>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9242"/>
      </w:tblGrid>
      <w:tr w:rsidR="00D51115" w:rsidRPr="00427237" w:rsidTr="009115C9">
        <w:trPr>
          <w:trHeight w:val="139"/>
        </w:trPr>
        <w:tc>
          <w:tcPr>
            <w:tcW w:w="5000" w:type="pct"/>
            <w:tcBorders>
              <w:top w:val="single" w:sz="8" w:space="0" w:color="000000"/>
              <w:bottom w:val="single" w:sz="8" w:space="0" w:color="000000"/>
            </w:tcBorders>
          </w:tcPr>
          <w:p w:rsidR="00D51115" w:rsidRPr="00427237" w:rsidRDefault="00D51115" w:rsidP="000E7138">
            <w:pPr>
              <w:autoSpaceDE w:val="0"/>
              <w:autoSpaceDN w:val="0"/>
              <w:adjustRightInd w:val="0"/>
              <w:spacing w:after="120" w:line="240" w:lineRule="auto"/>
              <w:jc w:val="right"/>
              <w:rPr>
                <w:rFonts w:ascii="Arial" w:eastAsia="Calibri" w:hAnsi="Arial" w:cs="Arial"/>
                <w:color w:val="000000"/>
                <w:lang w:eastAsia="en-AU"/>
              </w:rPr>
            </w:pPr>
            <w:r w:rsidRPr="00427237">
              <w:rPr>
                <w:rFonts w:ascii="Arial" w:eastAsia="Calibri" w:hAnsi="Arial" w:cs="Arial"/>
                <w:color w:val="000000"/>
                <w:lang w:eastAsia="en-AU"/>
              </w:rPr>
              <w:t xml:space="preserve">Category 5 – DIAGNOSTIC IMAGING SERVICES </w:t>
            </w:r>
          </w:p>
        </w:tc>
      </w:tr>
      <w:tr w:rsidR="00D51115" w:rsidRPr="00427237" w:rsidTr="009115C9">
        <w:trPr>
          <w:trHeight w:val="893"/>
        </w:trPr>
        <w:tc>
          <w:tcPr>
            <w:tcW w:w="5000" w:type="pct"/>
            <w:tcBorders>
              <w:top w:val="single" w:sz="8" w:space="0" w:color="000000"/>
              <w:bottom w:val="single" w:sz="8" w:space="0" w:color="000000"/>
            </w:tcBorders>
          </w:tcPr>
          <w:p w:rsidR="00D51115" w:rsidRPr="00427237" w:rsidRDefault="00D51115" w:rsidP="000E7138">
            <w:pPr>
              <w:autoSpaceDE w:val="0"/>
              <w:autoSpaceDN w:val="0"/>
              <w:adjustRightInd w:val="0"/>
              <w:spacing w:after="120" w:line="240" w:lineRule="auto"/>
              <w:rPr>
                <w:rFonts w:ascii="Arial" w:eastAsia="Calibri" w:hAnsi="Arial" w:cs="Arial"/>
                <w:color w:val="000000"/>
                <w:lang w:eastAsia="en-AU"/>
              </w:rPr>
            </w:pPr>
            <w:r w:rsidRPr="00427237">
              <w:rPr>
                <w:rFonts w:ascii="Arial" w:eastAsia="Calibri" w:hAnsi="Arial" w:cs="Arial"/>
                <w:color w:val="000000"/>
                <w:lang w:eastAsia="en-AU"/>
              </w:rPr>
              <w:t>MBS [item number]</w:t>
            </w:r>
          </w:p>
          <w:p w:rsidR="00D51115" w:rsidRPr="00427237" w:rsidRDefault="00A84B71" w:rsidP="00D51115">
            <w:pPr>
              <w:autoSpaceDE w:val="0"/>
              <w:autoSpaceDN w:val="0"/>
              <w:adjustRightInd w:val="0"/>
              <w:spacing w:after="120" w:line="240" w:lineRule="auto"/>
              <w:rPr>
                <w:rFonts w:ascii="Arial" w:eastAsia="Calibri" w:hAnsi="Arial" w:cs="Arial"/>
                <w:color w:val="000000"/>
                <w:lang w:eastAsia="en-AU"/>
              </w:rPr>
            </w:pPr>
            <w:r w:rsidRPr="00427237">
              <w:rPr>
                <w:rFonts w:ascii="Arial" w:eastAsia="Calibri" w:hAnsi="Arial" w:cs="Arial"/>
                <w:color w:val="000000"/>
                <w:lang w:eastAsia="en-AU"/>
              </w:rPr>
              <w:t xml:space="preserve">Whole body </w:t>
            </w:r>
            <w:r w:rsidR="00D76266" w:rsidRPr="00427237">
              <w:rPr>
                <w:rFonts w:ascii="Arial" w:eastAsia="Calibri" w:hAnsi="Arial" w:cs="Arial"/>
                <w:color w:val="000000"/>
                <w:vertAlign w:val="superscript"/>
                <w:lang w:eastAsia="en-AU"/>
              </w:rPr>
              <w:t>18</w:t>
            </w:r>
            <w:r w:rsidR="00D76266" w:rsidRPr="00427237">
              <w:rPr>
                <w:rFonts w:ascii="Arial" w:eastAsia="Calibri" w:hAnsi="Arial" w:cs="Arial"/>
                <w:color w:val="000000"/>
                <w:lang w:eastAsia="en-AU"/>
              </w:rPr>
              <w:t>F-FDG</w:t>
            </w:r>
            <w:r w:rsidR="00D51115" w:rsidRPr="00427237">
              <w:rPr>
                <w:rFonts w:ascii="Arial" w:eastAsia="Calibri" w:hAnsi="Arial" w:cs="Arial"/>
                <w:color w:val="000000"/>
                <w:lang w:eastAsia="en-AU"/>
              </w:rPr>
              <w:t xml:space="preserve"> PET study, performed for the </w:t>
            </w:r>
            <w:r w:rsidR="00AB5369" w:rsidRPr="00427237">
              <w:rPr>
                <w:rFonts w:ascii="Arial" w:eastAsia="Calibri" w:hAnsi="Arial" w:cs="Arial"/>
                <w:color w:val="000000"/>
                <w:lang w:eastAsia="en-AU"/>
              </w:rPr>
              <w:t xml:space="preserve">confirmation and </w:t>
            </w:r>
            <w:r w:rsidR="00D51115" w:rsidRPr="00427237">
              <w:rPr>
                <w:rFonts w:ascii="Arial" w:eastAsia="Calibri" w:hAnsi="Arial" w:cs="Arial"/>
                <w:color w:val="000000"/>
                <w:lang w:eastAsia="en-AU"/>
              </w:rPr>
              <w:t xml:space="preserve">evaluation of suspected </w:t>
            </w:r>
            <w:r w:rsidR="00F55081" w:rsidRPr="00427237">
              <w:rPr>
                <w:rFonts w:ascii="Arial" w:eastAsia="Calibri" w:hAnsi="Arial" w:cs="Arial"/>
                <w:color w:val="000000"/>
                <w:lang w:eastAsia="en-AU"/>
              </w:rPr>
              <w:t>metastatic</w:t>
            </w:r>
            <w:r w:rsidR="00D51115" w:rsidRPr="00427237">
              <w:rPr>
                <w:rFonts w:ascii="Arial" w:eastAsia="Calibri" w:hAnsi="Arial" w:cs="Arial"/>
                <w:color w:val="000000"/>
                <w:lang w:eastAsia="en-AU"/>
              </w:rPr>
              <w:t xml:space="preserve"> or</w:t>
            </w:r>
            <w:r w:rsidR="00CC26C5" w:rsidRPr="00427237">
              <w:rPr>
                <w:rFonts w:ascii="Arial" w:eastAsia="Calibri" w:hAnsi="Arial" w:cs="Arial"/>
                <w:color w:val="000000"/>
                <w:lang w:eastAsia="en-AU"/>
              </w:rPr>
              <w:t xml:space="preserve"> </w:t>
            </w:r>
            <w:r w:rsidR="002D5539" w:rsidRPr="00427237">
              <w:rPr>
                <w:rFonts w:ascii="Arial" w:eastAsia="Calibri" w:hAnsi="Arial" w:cs="Arial"/>
                <w:color w:val="000000"/>
                <w:lang w:eastAsia="en-AU"/>
              </w:rPr>
              <w:t xml:space="preserve">suspected </w:t>
            </w:r>
            <w:r w:rsidR="00CC26C5" w:rsidRPr="00427237">
              <w:rPr>
                <w:rFonts w:ascii="Arial" w:eastAsia="Calibri" w:hAnsi="Arial" w:cs="Arial"/>
                <w:color w:val="000000"/>
                <w:lang w:eastAsia="en-AU"/>
              </w:rPr>
              <w:t>locally or regionally</w:t>
            </w:r>
            <w:r w:rsidR="00D51115" w:rsidRPr="00427237">
              <w:rPr>
                <w:rFonts w:ascii="Arial" w:eastAsia="Calibri" w:hAnsi="Arial" w:cs="Arial"/>
                <w:color w:val="000000"/>
                <w:lang w:eastAsia="en-AU"/>
              </w:rPr>
              <w:t xml:space="preserve"> recurrent breast carcinoma in patients consider</w:t>
            </w:r>
            <w:r w:rsidR="00E11330" w:rsidRPr="00427237">
              <w:rPr>
                <w:rFonts w:ascii="Arial" w:eastAsia="Calibri" w:hAnsi="Arial" w:cs="Arial"/>
                <w:color w:val="000000"/>
                <w:lang w:eastAsia="en-AU"/>
              </w:rPr>
              <w:t>ed suitable for active therapy, where initial</w:t>
            </w:r>
            <w:r w:rsidR="00AB5369" w:rsidRPr="00427237">
              <w:rPr>
                <w:rFonts w:ascii="Arial" w:eastAsia="Calibri" w:hAnsi="Arial" w:cs="Arial"/>
                <w:color w:val="000000"/>
                <w:lang w:eastAsia="en-AU"/>
              </w:rPr>
              <w:t xml:space="preserve"> standard</w:t>
            </w:r>
            <w:r w:rsidR="00E11330" w:rsidRPr="00427237">
              <w:rPr>
                <w:rFonts w:ascii="Arial" w:eastAsia="Calibri" w:hAnsi="Arial" w:cs="Arial"/>
                <w:color w:val="000000"/>
                <w:lang w:eastAsia="en-AU"/>
              </w:rPr>
              <w:t xml:space="preserve"> diagnostic imaging </w:t>
            </w:r>
            <w:r w:rsidR="00144445" w:rsidRPr="00427237">
              <w:rPr>
                <w:rFonts w:ascii="Arial" w:eastAsia="Calibri" w:hAnsi="Arial" w:cs="Arial"/>
                <w:color w:val="000000"/>
                <w:lang w:eastAsia="en-AU"/>
              </w:rPr>
              <w:t>is equivocal or suspicious for</w:t>
            </w:r>
            <w:r w:rsidR="00E11330" w:rsidRPr="00427237">
              <w:rPr>
                <w:rFonts w:ascii="Arial" w:eastAsia="Calibri" w:hAnsi="Arial" w:cs="Arial"/>
                <w:color w:val="000000"/>
                <w:lang w:eastAsia="en-AU"/>
              </w:rPr>
              <w:t xml:space="preserve"> spread of disease.</w:t>
            </w:r>
          </w:p>
          <w:p w:rsidR="00D51115" w:rsidRPr="00427237" w:rsidRDefault="00D51115" w:rsidP="00D51115">
            <w:pPr>
              <w:autoSpaceDE w:val="0"/>
              <w:autoSpaceDN w:val="0"/>
              <w:adjustRightInd w:val="0"/>
              <w:spacing w:after="120" w:line="240" w:lineRule="auto"/>
              <w:rPr>
                <w:rFonts w:ascii="Arial" w:eastAsia="Calibri" w:hAnsi="Arial" w:cs="Arial"/>
                <w:color w:val="000000"/>
                <w:lang w:eastAsia="en-AU"/>
              </w:rPr>
            </w:pPr>
            <w:r w:rsidRPr="00427237">
              <w:rPr>
                <w:rFonts w:ascii="Arial" w:eastAsia="Calibri" w:hAnsi="Arial" w:cs="Arial"/>
                <w:color w:val="000000"/>
                <w:lang w:eastAsia="en-AU"/>
              </w:rPr>
              <w:t>Fee: $?</w:t>
            </w:r>
          </w:p>
        </w:tc>
      </w:tr>
    </w:tbl>
    <w:p w:rsidR="003E5818" w:rsidRPr="00427237" w:rsidRDefault="003E5818" w:rsidP="003E5818">
      <w:pPr>
        <w:rPr>
          <w:lang w:val="en-GB" w:eastAsia="ja-JP"/>
        </w:rPr>
      </w:pPr>
    </w:p>
    <w:p w:rsidR="00871D32" w:rsidRPr="00427237" w:rsidRDefault="00871D32" w:rsidP="00871D32">
      <w:pPr>
        <w:pStyle w:val="Heading2"/>
      </w:pPr>
      <w:bookmarkStart w:id="16" w:name="_Toc379534801"/>
      <w:bookmarkStart w:id="17" w:name="_Toc379962695"/>
      <w:r w:rsidRPr="00427237">
        <w:lastRenderedPageBreak/>
        <w:t>Clinical claim</w:t>
      </w:r>
      <w:r w:rsidR="00D9775E" w:rsidRPr="00427237">
        <w:t>s</w:t>
      </w:r>
      <w:bookmarkEnd w:id="16"/>
      <w:bookmarkEnd w:id="17"/>
    </w:p>
    <w:p w:rsidR="00D9775E" w:rsidRPr="00427237" w:rsidRDefault="00D9775E" w:rsidP="00B82B43">
      <w:r w:rsidRPr="00427237">
        <w:t>(</w:t>
      </w:r>
      <w:proofErr w:type="spellStart"/>
      <w:r w:rsidRPr="00427237">
        <w:t>i</w:t>
      </w:r>
      <w:proofErr w:type="spellEnd"/>
      <w:r w:rsidRPr="00427237">
        <w:t xml:space="preserve">) </w:t>
      </w:r>
      <w:r w:rsidR="00CC1248" w:rsidRPr="00427237">
        <w:rPr>
          <w:vertAlign w:val="superscript"/>
        </w:rPr>
        <w:t>18</w:t>
      </w:r>
      <w:r w:rsidR="00CC1248" w:rsidRPr="00427237">
        <w:t>F-</w:t>
      </w:r>
      <w:r w:rsidRPr="00427237">
        <w:t xml:space="preserve">FDG PET will more accurately assess the local extent of disease or disease stage for patients </w:t>
      </w:r>
      <w:r w:rsidR="00B3685F" w:rsidRPr="00427237">
        <w:t>assessed with conventional diagnostic processes as having</w:t>
      </w:r>
      <w:r w:rsidRPr="00427237">
        <w:t xml:space="preserve"> </w:t>
      </w:r>
      <w:r w:rsidR="00B3685F" w:rsidRPr="00427237">
        <w:t xml:space="preserve">potentially </w:t>
      </w:r>
      <w:r w:rsidRPr="00427237">
        <w:t>operable locally advanced breast cancer. This may result in a change in how patients are managed.</w:t>
      </w:r>
    </w:p>
    <w:p w:rsidR="00063E92" w:rsidRPr="00427237" w:rsidRDefault="00D9775E" w:rsidP="00B82B43">
      <w:r w:rsidRPr="00427237">
        <w:t xml:space="preserve">(ii) </w:t>
      </w:r>
      <w:r w:rsidR="00766E52" w:rsidRPr="00427237">
        <w:t>After a</w:t>
      </w:r>
      <w:r w:rsidR="001275F8" w:rsidRPr="00427237">
        <w:t>n</w:t>
      </w:r>
      <w:r w:rsidR="00766E52" w:rsidRPr="00427237">
        <w:t xml:space="preserve"> </w:t>
      </w:r>
      <w:r w:rsidR="001275F8" w:rsidRPr="00427237">
        <w:t>equivocal</w:t>
      </w:r>
      <w:r w:rsidR="00766E52" w:rsidRPr="00427237">
        <w:t xml:space="preserve"> result </w:t>
      </w:r>
      <w:r w:rsidR="003A2113" w:rsidRPr="00427237">
        <w:t xml:space="preserve">for spread of disease </w:t>
      </w:r>
      <w:r w:rsidR="00766E52" w:rsidRPr="00427237">
        <w:t xml:space="preserve">from initial </w:t>
      </w:r>
      <w:r w:rsidR="008969BE" w:rsidRPr="00427237">
        <w:t xml:space="preserve">standard </w:t>
      </w:r>
      <w:r w:rsidR="00766E52" w:rsidRPr="00427237">
        <w:t xml:space="preserve">diagnostic imaging studies, </w:t>
      </w:r>
      <w:r w:rsidR="00990B66" w:rsidRPr="00427237">
        <w:t xml:space="preserve">confirmatory </w:t>
      </w:r>
      <w:r w:rsidR="00766E52" w:rsidRPr="00427237">
        <w:t xml:space="preserve">diagnostic </w:t>
      </w:r>
      <w:r w:rsidR="00D76266" w:rsidRPr="00427237">
        <w:rPr>
          <w:vertAlign w:val="superscript"/>
        </w:rPr>
        <w:t>18</w:t>
      </w:r>
      <w:r w:rsidR="00D76266" w:rsidRPr="00427237">
        <w:t>F-FDG</w:t>
      </w:r>
      <w:r w:rsidR="00CC26C5" w:rsidRPr="00427237">
        <w:t xml:space="preserve"> </w:t>
      </w:r>
      <w:r w:rsidR="00766E52" w:rsidRPr="00427237">
        <w:t>PET imaging will more accurately detect and stage</w:t>
      </w:r>
      <w:r w:rsidR="00614A18" w:rsidRPr="00427237">
        <w:t xml:space="preserve"> / restage</w:t>
      </w:r>
      <w:r w:rsidR="00766E52" w:rsidRPr="00427237">
        <w:t xml:space="preserve"> advanced </w:t>
      </w:r>
      <w:r w:rsidR="00903BAF" w:rsidRPr="00427237">
        <w:t>breast cancers</w:t>
      </w:r>
      <w:r w:rsidR="00766E52" w:rsidRPr="00427237">
        <w:t xml:space="preserve"> compared to </w:t>
      </w:r>
      <w:r w:rsidR="00CD5008" w:rsidRPr="00427237">
        <w:t xml:space="preserve">the </w:t>
      </w:r>
      <w:r w:rsidR="00766E52" w:rsidRPr="00427237">
        <w:t xml:space="preserve">current </w:t>
      </w:r>
      <w:r w:rsidR="00CD5008" w:rsidRPr="00427237">
        <w:t xml:space="preserve">practice of doing a </w:t>
      </w:r>
      <w:r w:rsidR="00990B66" w:rsidRPr="00427237">
        <w:t xml:space="preserve">confirmatory </w:t>
      </w:r>
      <w:r w:rsidR="008969BE" w:rsidRPr="00427237">
        <w:t xml:space="preserve">standard </w:t>
      </w:r>
      <w:r w:rsidR="00766E52" w:rsidRPr="00427237">
        <w:t>diagnostic imaging</w:t>
      </w:r>
      <w:r w:rsidR="00CD5008" w:rsidRPr="00427237">
        <w:t xml:space="preserve"> study</w:t>
      </w:r>
      <w:r w:rsidR="00766E52" w:rsidRPr="00427237">
        <w:t>.</w:t>
      </w:r>
      <w:r w:rsidR="00DB01F2" w:rsidRPr="00427237">
        <w:t xml:space="preserve"> This may result in a change in how patients are managed.</w:t>
      </w:r>
    </w:p>
    <w:p w:rsidR="000D5CF9" w:rsidRPr="00427237" w:rsidRDefault="000D5CF9" w:rsidP="00063E92">
      <w:pPr>
        <w:pStyle w:val="Heading1"/>
      </w:pPr>
      <w:bookmarkStart w:id="18" w:name="_Toc379534802"/>
      <w:bookmarkStart w:id="19" w:name="_Toc379962696"/>
      <w:r w:rsidRPr="00427237">
        <w:t>Background</w:t>
      </w:r>
      <w:bookmarkEnd w:id="18"/>
      <w:bookmarkEnd w:id="19"/>
    </w:p>
    <w:p w:rsidR="000D5CF9" w:rsidRPr="00427237" w:rsidRDefault="000D5CF9" w:rsidP="00AC07F7">
      <w:pPr>
        <w:pStyle w:val="Heading2"/>
        <w:rPr>
          <w:szCs w:val="22"/>
        </w:rPr>
      </w:pPr>
      <w:bookmarkStart w:id="20" w:name="_Toc379534803"/>
      <w:bookmarkStart w:id="21" w:name="_Toc379962697"/>
      <w:r w:rsidRPr="00427237">
        <w:rPr>
          <w:szCs w:val="22"/>
        </w:rPr>
        <w:t>Current arrangements for public reimbursement</w:t>
      </w:r>
      <w:bookmarkEnd w:id="20"/>
      <w:bookmarkEnd w:id="21"/>
    </w:p>
    <w:p w:rsidR="0060764C" w:rsidRPr="00427237" w:rsidRDefault="0060764C" w:rsidP="0060764C">
      <w:bookmarkStart w:id="22" w:name="_Toc284237246"/>
      <w:bookmarkStart w:id="23" w:name="_Toc284237795"/>
      <w:bookmarkStart w:id="24" w:name="_Toc284238189"/>
      <w:bookmarkStart w:id="25" w:name="_Toc284238319"/>
      <w:bookmarkStart w:id="26" w:name="_Toc284422745"/>
      <w:bookmarkStart w:id="27" w:name="_Toc301450605"/>
      <w:r w:rsidRPr="00427237">
        <w:t xml:space="preserve">Medicare rebates </w:t>
      </w:r>
      <w:r w:rsidR="00AC1A1C" w:rsidRPr="00427237">
        <w:t>were previously restricted to</w:t>
      </w:r>
      <w:r w:rsidRPr="00427237">
        <w:t xml:space="preserve"> specific PET indications performed at seven designated PET facilities nationally: the Royal Prince Alfred and Liverpool hospitals New South Wales, the Peter </w:t>
      </w:r>
      <w:proofErr w:type="spellStart"/>
      <w:r w:rsidRPr="00427237">
        <w:t>MacCallum</w:t>
      </w:r>
      <w:proofErr w:type="spellEnd"/>
      <w:r w:rsidRPr="00427237">
        <w:t xml:space="preserve"> Cancer Institute and Monash Medical Centre in Victoria, the Royal Adelaide Hospital in South Australia, the Wesley Hospital in Queensland and the Sir Charles Gairdner Hospital in Western Australia.</w:t>
      </w:r>
      <w:r w:rsidR="00C24187" w:rsidRPr="00427237">
        <w:rPr>
          <w:noProof/>
          <w:vertAlign w:val="superscript"/>
        </w:rPr>
        <w:t>3</w:t>
      </w:r>
      <w:r w:rsidRPr="00427237">
        <w:t xml:space="preserve"> In addition,</w:t>
      </w:r>
      <w:r w:rsidR="00AC1A1C" w:rsidRPr="00427237">
        <w:t xml:space="preserve"> the Australian Government had funded</w:t>
      </w:r>
      <w:r w:rsidRPr="00427237">
        <w:t xml:space="preserve"> PET scans at the Austin Hospital, Melbourne, and Westmead Hospital, Sydne</w:t>
      </w:r>
      <w:r w:rsidR="006D6461" w:rsidRPr="00427237">
        <w:t>y, through a grant arrangement</w:t>
      </w:r>
      <w:r w:rsidR="00887788" w:rsidRPr="00427237">
        <w:t>,</w:t>
      </w:r>
      <w:r w:rsidR="00C24187" w:rsidRPr="00427237">
        <w:rPr>
          <w:noProof/>
          <w:vertAlign w:val="superscript"/>
        </w:rPr>
        <w:t>3</w:t>
      </w:r>
      <w:r w:rsidR="009D36EF" w:rsidRPr="00427237">
        <w:t xml:space="preserve"> however this arrangement has now ceased. The 2011-2012 Budget recommended PET services to be added to the Health Insurance (Diagnostic Imaging Service Table) Regulations 2010, making Medicare rebates available at all Medicare-eligible PET facilities from 1</w:t>
      </w:r>
      <w:r w:rsidR="009D36EF" w:rsidRPr="00427237">
        <w:rPr>
          <w:vertAlign w:val="superscript"/>
        </w:rPr>
        <w:t>st</w:t>
      </w:r>
      <w:r w:rsidR="009D36EF" w:rsidRPr="00427237">
        <w:t xml:space="preserve"> July 2011 [communication with Diagnostic Imaging Section, Primary Care, Diagnostics and Radiation Oncology Branch, Medical Benefits Division, Department of Health].</w:t>
      </w:r>
    </w:p>
    <w:p w:rsidR="00F55081" w:rsidRPr="00427237" w:rsidRDefault="0060764C" w:rsidP="0060764C">
      <w:r w:rsidRPr="00427237">
        <w:t xml:space="preserve">There is </w:t>
      </w:r>
      <w:r w:rsidR="00316D47" w:rsidRPr="00427237">
        <w:t xml:space="preserve">currently </w:t>
      </w:r>
      <w:r w:rsidRPr="00427237">
        <w:t xml:space="preserve">no Medical Benefits Schedule (MBS) funding </w:t>
      </w:r>
      <w:proofErr w:type="gramStart"/>
      <w:r w:rsidRPr="00427237">
        <w:t>nor</w:t>
      </w:r>
      <w:proofErr w:type="gramEnd"/>
      <w:r w:rsidRPr="00427237">
        <w:t xml:space="preserve"> interim funding arrangement for reimbursing whole-body </w:t>
      </w:r>
      <w:r w:rsidR="00D76266" w:rsidRPr="00427237">
        <w:rPr>
          <w:vertAlign w:val="superscript"/>
        </w:rPr>
        <w:t>18</w:t>
      </w:r>
      <w:r w:rsidR="00D76266" w:rsidRPr="00427237">
        <w:t>F-FDG</w:t>
      </w:r>
      <w:r w:rsidRPr="00427237">
        <w:t xml:space="preserve">-PET performed for the staging/restaging of </w:t>
      </w:r>
      <w:r w:rsidR="00DD4B55" w:rsidRPr="00427237">
        <w:t xml:space="preserve">proven </w:t>
      </w:r>
      <w:r w:rsidRPr="00427237">
        <w:t xml:space="preserve">locally advanced breast cancer, or suspected </w:t>
      </w:r>
      <w:r w:rsidR="002E2250" w:rsidRPr="00427237">
        <w:t xml:space="preserve">locally or regionally </w:t>
      </w:r>
      <w:r w:rsidRPr="00427237">
        <w:t>recurrent or</w:t>
      </w:r>
      <w:r w:rsidR="002E2250" w:rsidRPr="00427237">
        <w:t xml:space="preserve"> suspected</w:t>
      </w:r>
      <w:r w:rsidRPr="00427237">
        <w:t xml:space="preserve"> metastatic breast cancers.</w:t>
      </w:r>
      <w:r w:rsidR="007D23A8" w:rsidRPr="00427237">
        <w:t xml:space="preserve"> There is also no private health insurance rebate for PET services, so patients need to pay out of pocket for this service.</w:t>
      </w:r>
    </w:p>
    <w:p w:rsidR="00E22B7B" w:rsidRPr="00427237" w:rsidRDefault="00860300" w:rsidP="008E7E1A">
      <w:pPr>
        <w:rPr>
          <w:szCs w:val="22"/>
        </w:rPr>
      </w:pPr>
      <w:r w:rsidRPr="00427237">
        <w:rPr>
          <w:szCs w:val="22"/>
        </w:rPr>
        <w:t xml:space="preserve">Under current Medicare eligibility for </w:t>
      </w:r>
      <w:r w:rsidR="007C2CF6" w:rsidRPr="00427237">
        <w:rPr>
          <w:szCs w:val="22"/>
        </w:rPr>
        <w:t xml:space="preserve">diagnostic </w:t>
      </w:r>
      <w:r w:rsidRPr="00427237">
        <w:rPr>
          <w:szCs w:val="22"/>
        </w:rPr>
        <w:t>PET services</w:t>
      </w:r>
      <w:r w:rsidR="008F71B5" w:rsidRPr="00427237">
        <w:rPr>
          <w:szCs w:val="22"/>
        </w:rPr>
        <w:t xml:space="preserve"> for other cancers (e.g. MBS </w:t>
      </w:r>
      <w:r w:rsidR="003F7F80" w:rsidRPr="00427237">
        <w:rPr>
          <w:szCs w:val="22"/>
        </w:rPr>
        <w:t>#</w:t>
      </w:r>
      <w:r w:rsidR="008F71B5" w:rsidRPr="00427237">
        <w:rPr>
          <w:szCs w:val="22"/>
        </w:rPr>
        <w:t xml:space="preserve">61529 for non-small cell lung cancer, MBS </w:t>
      </w:r>
      <w:r w:rsidR="003F7F80" w:rsidRPr="00427237">
        <w:rPr>
          <w:szCs w:val="22"/>
        </w:rPr>
        <w:t>#</w:t>
      </w:r>
      <w:r w:rsidR="008F71B5" w:rsidRPr="00427237">
        <w:rPr>
          <w:szCs w:val="22"/>
        </w:rPr>
        <w:t xml:space="preserve">61598 and </w:t>
      </w:r>
      <w:r w:rsidR="003F7F80" w:rsidRPr="00427237">
        <w:rPr>
          <w:szCs w:val="22"/>
        </w:rPr>
        <w:t>#</w:t>
      </w:r>
      <w:r w:rsidR="008F71B5" w:rsidRPr="00427237">
        <w:rPr>
          <w:szCs w:val="22"/>
        </w:rPr>
        <w:t xml:space="preserve">61604 for head and neck cancer, </w:t>
      </w:r>
      <w:proofErr w:type="spellStart"/>
      <w:r w:rsidR="008F71B5" w:rsidRPr="00427237">
        <w:rPr>
          <w:szCs w:val="22"/>
        </w:rPr>
        <w:t>etc</w:t>
      </w:r>
      <w:proofErr w:type="spellEnd"/>
      <w:r w:rsidR="008F71B5" w:rsidRPr="00427237">
        <w:rPr>
          <w:szCs w:val="22"/>
        </w:rPr>
        <w:t>)</w:t>
      </w:r>
      <w:r w:rsidR="006E0EC7" w:rsidRPr="00427237">
        <w:rPr>
          <w:szCs w:val="22"/>
        </w:rPr>
        <w:t xml:space="preserve"> there are a number of</w:t>
      </w:r>
      <w:r w:rsidRPr="00427237">
        <w:rPr>
          <w:szCs w:val="22"/>
        </w:rPr>
        <w:t xml:space="preserve"> a number of criteria</w:t>
      </w:r>
      <w:r w:rsidR="006E0EC7" w:rsidRPr="00427237">
        <w:rPr>
          <w:szCs w:val="22"/>
        </w:rPr>
        <w:t xml:space="preserve"> that a</w:t>
      </w:r>
      <w:r w:rsidR="008F6A23" w:rsidRPr="00427237">
        <w:rPr>
          <w:szCs w:val="22"/>
        </w:rPr>
        <w:t xml:space="preserve">re required to be satisfied for </w:t>
      </w:r>
      <w:r w:rsidR="006E0EC7" w:rsidRPr="00427237">
        <w:rPr>
          <w:szCs w:val="22"/>
        </w:rPr>
        <w:t>funding, including that the services be</w:t>
      </w:r>
      <w:r w:rsidRPr="00427237">
        <w:rPr>
          <w:szCs w:val="22"/>
        </w:rPr>
        <w:t xml:space="preserve"> link</w:t>
      </w:r>
      <w:r w:rsidR="006E0EC7" w:rsidRPr="00427237">
        <w:rPr>
          <w:szCs w:val="22"/>
        </w:rPr>
        <w:t>ed</w:t>
      </w:r>
      <w:r w:rsidRPr="00427237">
        <w:rPr>
          <w:szCs w:val="22"/>
        </w:rPr>
        <w:t xml:space="preserve"> to a comprehensive cancer service.</w:t>
      </w:r>
      <w:r w:rsidR="00E65AB7" w:rsidRPr="00427237">
        <w:rPr>
          <w:szCs w:val="22"/>
        </w:rPr>
        <w:t xml:space="preserve"> </w:t>
      </w:r>
      <w:r w:rsidR="00344F0C" w:rsidRPr="00427237">
        <w:rPr>
          <w:szCs w:val="22"/>
        </w:rPr>
        <w:t>PET can be performed as either an inpatient or outpatient procedure.</w:t>
      </w:r>
    </w:p>
    <w:p w:rsidR="00F55081" w:rsidRPr="00427237" w:rsidRDefault="00083658" w:rsidP="004306E6">
      <w:pPr>
        <w:rPr>
          <w:szCs w:val="22"/>
        </w:rPr>
      </w:pPr>
      <w:r w:rsidRPr="00427237">
        <w:rPr>
          <w:szCs w:val="22"/>
        </w:rPr>
        <w:t xml:space="preserve">In </w:t>
      </w:r>
      <w:r w:rsidR="00554E2E" w:rsidRPr="00427237">
        <w:rPr>
          <w:szCs w:val="22"/>
        </w:rPr>
        <w:t>2006</w:t>
      </w:r>
      <w:r w:rsidRPr="00427237">
        <w:rPr>
          <w:szCs w:val="22"/>
        </w:rPr>
        <w:t>, a</w:t>
      </w:r>
      <w:r w:rsidR="00554E2E" w:rsidRPr="00427237">
        <w:rPr>
          <w:szCs w:val="22"/>
        </w:rPr>
        <w:t xml:space="preserve"> report from the PET Data Collection Project run by the Australian and New Zealand Association of Physicians in </w:t>
      </w:r>
      <w:r w:rsidR="001529E5" w:rsidRPr="00427237">
        <w:rPr>
          <w:szCs w:val="22"/>
        </w:rPr>
        <w:t xml:space="preserve">Nuclear </w:t>
      </w:r>
      <w:r w:rsidR="00554E2E" w:rsidRPr="00427237">
        <w:rPr>
          <w:szCs w:val="22"/>
        </w:rPr>
        <w:t>Medicine (</w:t>
      </w:r>
      <w:proofErr w:type="spellStart"/>
      <w:r w:rsidR="00554E2E" w:rsidRPr="00427237">
        <w:rPr>
          <w:szCs w:val="22"/>
        </w:rPr>
        <w:t>Inc</w:t>
      </w:r>
      <w:proofErr w:type="spellEnd"/>
      <w:r w:rsidR="00554E2E" w:rsidRPr="00427237">
        <w:rPr>
          <w:szCs w:val="22"/>
        </w:rPr>
        <w:t xml:space="preserve">) </w:t>
      </w:r>
      <w:r w:rsidRPr="00427237">
        <w:rPr>
          <w:szCs w:val="22"/>
        </w:rPr>
        <w:t>summarised outcomes from non-Medicare PET services in oncology for a selected group of hospitals involved in the project.</w:t>
      </w:r>
      <w:r w:rsidR="00C24187" w:rsidRPr="00427237">
        <w:rPr>
          <w:noProof/>
          <w:szCs w:val="22"/>
          <w:vertAlign w:val="superscript"/>
        </w:rPr>
        <w:t>4</w:t>
      </w:r>
      <w:r w:rsidRPr="00427237">
        <w:rPr>
          <w:szCs w:val="22"/>
        </w:rPr>
        <w:t xml:space="preserve"> It reported</w:t>
      </w:r>
      <w:r w:rsidR="00554E2E" w:rsidRPr="00427237">
        <w:rPr>
          <w:szCs w:val="22"/>
        </w:rPr>
        <w:t xml:space="preserve"> that </w:t>
      </w:r>
      <w:r w:rsidRPr="00427237">
        <w:rPr>
          <w:szCs w:val="22"/>
        </w:rPr>
        <w:t xml:space="preserve">there were 384 </w:t>
      </w:r>
      <w:r w:rsidR="00FC799D" w:rsidRPr="00427237">
        <w:rPr>
          <w:szCs w:val="22"/>
        </w:rPr>
        <w:t xml:space="preserve">breast cancer </w:t>
      </w:r>
      <w:r w:rsidRPr="00427237">
        <w:rPr>
          <w:szCs w:val="22"/>
        </w:rPr>
        <w:t xml:space="preserve">patients </w:t>
      </w:r>
      <w:r w:rsidR="00FC799D" w:rsidRPr="00427237">
        <w:rPr>
          <w:szCs w:val="22"/>
        </w:rPr>
        <w:t xml:space="preserve">who used PET, with </w:t>
      </w:r>
      <w:r w:rsidRPr="00427237">
        <w:rPr>
          <w:szCs w:val="22"/>
        </w:rPr>
        <w:t xml:space="preserve">339 </w:t>
      </w:r>
      <w:r w:rsidR="00FC799D" w:rsidRPr="00427237">
        <w:rPr>
          <w:szCs w:val="22"/>
        </w:rPr>
        <w:t>using it for</w:t>
      </w:r>
      <w:r w:rsidRPr="00427237">
        <w:rPr>
          <w:szCs w:val="22"/>
        </w:rPr>
        <w:t xml:space="preserve"> restag</w:t>
      </w:r>
      <w:r w:rsidR="00FC799D" w:rsidRPr="00427237">
        <w:rPr>
          <w:szCs w:val="22"/>
        </w:rPr>
        <w:t>ing</w:t>
      </w:r>
      <w:r w:rsidRPr="00427237">
        <w:rPr>
          <w:szCs w:val="22"/>
        </w:rPr>
        <w:t>. Out of these 3</w:t>
      </w:r>
      <w:r w:rsidR="00FC799D" w:rsidRPr="00427237">
        <w:rPr>
          <w:szCs w:val="22"/>
        </w:rPr>
        <w:t>3</w:t>
      </w:r>
      <w:r w:rsidRPr="00427237">
        <w:rPr>
          <w:szCs w:val="22"/>
        </w:rPr>
        <w:t>9 patients, compared with conventional restaging methods (</w:t>
      </w:r>
      <w:r w:rsidR="00B95427" w:rsidRPr="00427237">
        <w:rPr>
          <w:szCs w:val="22"/>
        </w:rPr>
        <w:t>confirmatory</w:t>
      </w:r>
      <w:r w:rsidRPr="00427237">
        <w:rPr>
          <w:szCs w:val="22"/>
        </w:rPr>
        <w:t xml:space="preserve"> diagnostic imaging and biopsy), 141 (41.6%) were unchanged, 33 (9.7%) were upstaged, 71 (20.9%) were down</w:t>
      </w:r>
      <w:r w:rsidR="00C760C2" w:rsidRPr="00427237">
        <w:rPr>
          <w:szCs w:val="22"/>
        </w:rPr>
        <w:t>-</w:t>
      </w:r>
      <w:r w:rsidRPr="00427237">
        <w:rPr>
          <w:szCs w:val="22"/>
        </w:rPr>
        <w:t xml:space="preserve">staged, 8 (2.4%) were </w:t>
      </w:r>
      <w:r w:rsidR="00194BA6" w:rsidRPr="00427237">
        <w:rPr>
          <w:szCs w:val="22"/>
        </w:rPr>
        <w:t xml:space="preserve">changed </w:t>
      </w:r>
      <w:r w:rsidRPr="00427237">
        <w:rPr>
          <w:szCs w:val="22"/>
        </w:rPr>
        <w:t xml:space="preserve">to equivocal, and 86 (25.4%) were </w:t>
      </w:r>
      <w:r w:rsidR="00194BA6" w:rsidRPr="00427237">
        <w:rPr>
          <w:szCs w:val="22"/>
        </w:rPr>
        <w:t xml:space="preserve">changed </w:t>
      </w:r>
      <w:r w:rsidRPr="00427237">
        <w:rPr>
          <w:szCs w:val="22"/>
        </w:rPr>
        <w:t>from equivo</w:t>
      </w:r>
      <w:r w:rsidR="00C760C2" w:rsidRPr="00427237">
        <w:rPr>
          <w:szCs w:val="22"/>
        </w:rPr>
        <w:t>c</w:t>
      </w:r>
      <w:r w:rsidRPr="00427237">
        <w:rPr>
          <w:szCs w:val="22"/>
        </w:rPr>
        <w:t>al.</w:t>
      </w:r>
    </w:p>
    <w:p w:rsidR="00554E2E" w:rsidRPr="00427237" w:rsidRDefault="00554E2E" w:rsidP="00554E2E"/>
    <w:p w:rsidR="00D32252" w:rsidRPr="00427237" w:rsidRDefault="00667A5B" w:rsidP="00A830E4">
      <w:pPr>
        <w:pStyle w:val="Heading1"/>
        <w:rPr>
          <w:szCs w:val="22"/>
        </w:rPr>
      </w:pPr>
      <w:bookmarkStart w:id="28" w:name="_Ref371346156"/>
      <w:bookmarkStart w:id="29" w:name="_Toc379534804"/>
      <w:bookmarkStart w:id="30" w:name="_Toc379962698"/>
      <w:bookmarkEnd w:id="22"/>
      <w:bookmarkEnd w:id="23"/>
      <w:bookmarkEnd w:id="24"/>
      <w:bookmarkEnd w:id="25"/>
      <w:bookmarkEnd w:id="26"/>
      <w:bookmarkEnd w:id="27"/>
      <w:r w:rsidRPr="00427237">
        <w:t>Population</w:t>
      </w:r>
      <w:bookmarkEnd w:id="28"/>
      <w:bookmarkEnd w:id="29"/>
      <w:bookmarkEnd w:id="30"/>
    </w:p>
    <w:p w:rsidR="00A33593" w:rsidRPr="00427237" w:rsidRDefault="00A33593" w:rsidP="00A830E4">
      <w:pPr>
        <w:pStyle w:val="Heading2"/>
      </w:pPr>
      <w:bookmarkStart w:id="31" w:name="_Ref371347731"/>
      <w:bookmarkStart w:id="32" w:name="_Ref371347735"/>
      <w:bookmarkStart w:id="33" w:name="_Toc379534805"/>
      <w:bookmarkStart w:id="34" w:name="_Toc379962699"/>
      <w:r w:rsidRPr="00427237">
        <w:t>Patient group</w:t>
      </w:r>
      <w:r w:rsidR="00317FE9" w:rsidRPr="00427237">
        <w:t>s</w:t>
      </w:r>
      <w:r w:rsidRPr="00427237">
        <w:t xml:space="preserve"> </w:t>
      </w:r>
      <w:r w:rsidR="000F3C0D" w:rsidRPr="00427237">
        <w:t>for whom the intervention is to be considered</w:t>
      </w:r>
      <w:bookmarkEnd w:id="31"/>
      <w:bookmarkEnd w:id="32"/>
      <w:bookmarkEnd w:id="33"/>
      <w:bookmarkEnd w:id="34"/>
    </w:p>
    <w:p w:rsidR="004A773A" w:rsidRPr="00427237" w:rsidRDefault="002D5539" w:rsidP="000F3C0D">
      <w:pPr>
        <w:rPr>
          <w:szCs w:val="22"/>
          <w:u w:val="single"/>
        </w:rPr>
      </w:pPr>
      <w:r w:rsidRPr="00427237">
        <w:rPr>
          <w:szCs w:val="22"/>
          <w:u w:val="single"/>
        </w:rPr>
        <w:t>Proven l</w:t>
      </w:r>
      <w:r w:rsidR="004A773A" w:rsidRPr="00427237">
        <w:rPr>
          <w:szCs w:val="22"/>
          <w:u w:val="single"/>
        </w:rPr>
        <w:t>ocally advanced breast cancer:</w:t>
      </w:r>
    </w:p>
    <w:p w:rsidR="004A773A" w:rsidRPr="00427237" w:rsidRDefault="007870DF" w:rsidP="000F3C0D">
      <w:pPr>
        <w:rPr>
          <w:szCs w:val="22"/>
        </w:rPr>
      </w:pPr>
      <w:r w:rsidRPr="00427237">
        <w:rPr>
          <w:szCs w:val="22"/>
        </w:rPr>
        <w:t xml:space="preserve">Locally advanced breast cancer </w:t>
      </w:r>
      <w:r w:rsidR="00855A08" w:rsidRPr="00427237">
        <w:rPr>
          <w:szCs w:val="22"/>
        </w:rPr>
        <w:t xml:space="preserve">(LABC) </w:t>
      </w:r>
      <w:r w:rsidRPr="00427237">
        <w:rPr>
          <w:szCs w:val="22"/>
        </w:rPr>
        <w:t xml:space="preserve">is </w:t>
      </w:r>
      <w:r w:rsidR="00855A08" w:rsidRPr="00427237">
        <w:rPr>
          <w:szCs w:val="22"/>
        </w:rPr>
        <w:t>defined by</w:t>
      </w:r>
      <w:r w:rsidRPr="00427237">
        <w:rPr>
          <w:szCs w:val="22"/>
        </w:rPr>
        <w:t xml:space="preserve"> one or more of the following features</w:t>
      </w:r>
      <w:r w:rsidR="00855A08" w:rsidRPr="00427237">
        <w:rPr>
          <w:szCs w:val="22"/>
        </w:rPr>
        <w:t xml:space="preserve"> (American Joint Committee on Cancer [AJCC] Stage III, Appendix 2, </w:t>
      </w:r>
      <w:proofErr w:type="gramStart"/>
      <w:r w:rsidR="00855A08" w:rsidRPr="00427237">
        <w:rPr>
          <w:szCs w:val="22"/>
        </w:rPr>
        <w:t>Table</w:t>
      </w:r>
      <w:proofErr w:type="gramEnd"/>
      <w:r w:rsidR="00855A08" w:rsidRPr="00427237">
        <w:rPr>
          <w:szCs w:val="22"/>
        </w:rPr>
        <w:t xml:space="preserve"> 16)</w:t>
      </w:r>
      <w:r w:rsidRPr="00427237">
        <w:rPr>
          <w:szCs w:val="22"/>
        </w:rPr>
        <w:t>:</w:t>
      </w:r>
    </w:p>
    <w:p w:rsidR="007870DF" w:rsidRPr="00427237" w:rsidRDefault="00855A08" w:rsidP="007870DF">
      <w:pPr>
        <w:pStyle w:val="ListParagraph"/>
        <w:numPr>
          <w:ilvl w:val="0"/>
          <w:numId w:val="36"/>
        </w:numPr>
        <w:rPr>
          <w:szCs w:val="22"/>
        </w:rPr>
      </w:pPr>
      <w:r w:rsidRPr="00427237">
        <w:rPr>
          <w:szCs w:val="22"/>
        </w:rPr>
        <w:t xml:space="preserve">Primary </w:t>
      </w:r>
      <w:r w:rsidR="007870DF" w:rsidRPr="00427237">
        <w:rPr>
          <w:szCs w:val="22"/>
        </w:rPr>
        <w:t>tumour larger than 5cm</w:t>
      </w:r>
      <w:r w:rsidR="00B61F42" w:rsidRPr="00427237">
        <w:rPr>
          <w:szCs w:val="22"/>
        </w:rPr>
        <w:t>.</w:t>
      </w:r>
    </w:p>
    <w:p w:rsidR="007870DF" w:rsidRPr="00427237" w:rsidRDefault="00614580" w:rsidP="007870DF">
      <w:pPr>
        <w:pStyle w:val="ListParagraph"/>
        <w:numPr>
          <w:ilvl w:val="0"/>
          <w:numId w:val="36"/>
        </w:numPr>
        <w:rPr>
          <w:szCs w:val="22"/>
        </w:rPr>
      </w:pPr>
      <w:r w:rsidRPr="00427237">
        <w:rPr>
          <w:szCs w:val="22"/>
        </w:rPr>
        <w:t>S</w:t>
      </w:r>
      <w:r w:rsidR="007870DF" w:rsidRPr="00427237">
        <w:rPr>
          <w:szCs w:val="22"/>
        </w:rPr>
        <w:t>pread to several lymph nodes in the axilla or other areas near the breast</w:t>
      </w:r>
      <w:r w:rsidR="00B61F42" w:rsidRPr="00427237">
        <w:rPr>
          <w:szCs w:val="22"/>
        </w:rPr>
        <w:t>.</w:t>
      </w:r>
    </w:p>
    <w:p w:rsidR="007870DF" w:rsidRPr="00427237" w:rsidRDefault="00614580" w:rsidP="007870DF">
      <w:pPr>
        <w:pStyle w:val="ListParagraph"/>
        <w:numPr>
          <w:ilvl w:val="0"/>
          <w:numId w:val="36"/>
        </w:numPr>
        <w:rPr>
          <w:szCs w:val="22"/>
        </w:rPr>
      </w:pPr>
      <w:r w:rsidRPr="00427237">
        <w:rPr>
          <w:szCs w:val="22"/>
        </w:rPr>
        <w:t>S</w:t>
      </w:r>
      <w:r w:rsidR="007870DF" w:rsidRPr="00427237">
        <w:rPr>
          <w:szCs w:val="22"/>
        </w:rPr>
        <w:t>pread to other tissue around the breast such as skin, muscles, or ribs</w:t>
      </w:r>
      <w:r w:rsidR="00B61F42" w:rsidRPr="00427237">
        <w:rPr>
          <w:szCs w:val="22"/>
        </w:rPr>
        <w:t>.</w:t>
      </w:r>
    </w:p>
    <w:p w:rsidR="00D760DC" w:rsidRPr="00427237" w:rsidRDefault="009360D4" w:rsidP="00D760DC">
      <w:pPr>
        <w:rPr>
          <w:szCs w:val="22"/>
        </w:rPr>
      </w:pPr>
      <w:r w:rsidRPr="00427237">
        <w:rPr>
          <w:szCs w:val="22"/>
        </w:rPr>
        <w:t xml:space="preserve">This </w:t>
      </w:r>
      <w:r w:rsidR="00855A08" w:rsidRPr="00427237">
        <w:rPr>
          <w:szCs w:val="22"/>
        </w:rPr>
        <w:t xml:space="preserve">protocol </w:t>
      </w:r>
      <w:r w:rsidRPr="00427237">
        <w:rPr>
          <w:szCs w:val="22"/>
        </w:rPr>
        <w:t>considers both women and men with proven locally advanced breast cancer.</w:t>
      </w:r>
      <w:r w:rsidR="00866D5A" w:rsidRPr="00427237">
        <w:rPr>
          <w:szCs w:val="22"/>
        </w:rPr>
        <w:t xml:space="preserve"> </w:t>
      </w:r>
      <w:r w:rsidR="0034033C" w:rsidRPr="00427237">
        <w:rPr>
          <w:szCs w:val="22"/>
        </w:rPr>
        <w:t xml:space="preserve">Patients may or may not have had prior treatment. This may be a new staging, or </w:t>
      </w:r>
      <w:r w:rsidR="005368DC" w:rsidRPr="00427237">
        <w:rPr>
          <w:szCs w:val="22"/>
        </w:rPr>
        <w:t xml:space="preserve">an </w:t>
      </w:r>
      <w:r w:rsidR="0034033C" w:rsidRPr="00427237">
        <w:rPr>
          <w:szCs w:val="22"/>
        </w:rPr>
        <w:t>upstaging from a lower level breast cancer stage</w:t>
      </w:r>
      <w:r w:rsidR="005368DC" w:rsidRPr="00427237">
        <w:rPr>
          <w:szCs w:val="22"/>
        </w:rPr>
        <w:t xml:space="preserve"> for a patient</w:t>
      </w:r>
      <w:r w:rsidR="0034033C" w:rsidRPr="00427237">
        <w:rPr>
          <w:szCs w:val="22"/>
        </w:rPr>
        <w:t>.</w:t>
      </w:r>
    </w:p>
    <w:p w:rsidR="004A773A" w:rsidRPr="00427237" w:rsidRDefault="002E2250" w:rsidP="000F3C0D">
      <w:pPr>
        <w:rPr>
          <w:szCs w:val="22"/>
          <w:u w:val="single"/>
        </w:rPr>
      </w:pPr>
      <w:r w:rsidRPr="00427237">
        <w:rPr>
          <w:szCs w:val="22"/>
          <w:u w:val="single"/>
        </w:rPr>
        <w:t>Suspected l</w:t>
      </w:r>
      <w:r w:rsidR="00D760DC" w:rsidRPr="00427237">
        <w:rPr>
          <w:szCs w:val="22"/>
          <w:u w:val="single"/>
        </w:rPr>
        <w:t>ocally or regionally r</w:t>
      </w:r>
      <w:r w:rsidR="004A773A" w:rsidRPr="00427237">
        <w:rPr>
          <w:szCs w:val="22"/>
          <w:u w:val="single"/>
        </w:rPr>
        <w:t xml:space="preserve">ecurrent or </w:t>
      </w:r>
      <w:r w:rsidRPr="00427237">
        <w:rPr>
          <w:szCs w:val="22"/>
          <w:u w:val="single"/>
        </w:rPr>
        <w:t xml:space="preserve">suspected </w:t>
      </w:r>
      <w:r w:rsidR="004A773A" w:rsidRPr="00427237">
        <w:rPr>
          <w:szCs w:val="22"/>
          <w:u w:val="single"/>
        </w:rPr>
        <w:t>metastatic breast cancer:</w:t>
      </w:r>
    </w:p>
    <w:p w:rsidR="008C2C6E" w:rsidRPr="00427237" w:rsidRDefault="00D760DC" w:rsidP="000F3C0D">
      <w:pPr>
        <w:rPr>
          <w:szCs w:val="22"/>
        </w:rPr>
      </w:pPr>
      <w:r w:rsidRPr="00427237">
        <w:rPr>
          <w:szCs w:val="22"/>
        </w:rPr>
        <w:t>Locally or regionally r</w:t>
      </w:r>
      <w:r w:rsidR="00B61F42" w:rsidRPr="00427237">
        <w:rPr>
          <w:szCs w:val="22"/>
        </w:rPr>
        <w:t xml:space="preserve">ecurrent breast cancer is </w:t>
      </w:r>
      <w:r w:rsidR="00C233DD" w:rsidRPr="00427237">
        <w:rPr>
          <w:szCs w:val="22"/>
        </w:rPr>
        <w:t xml:space="preserve">defined by the (re)development of cancer in the same breast (local) or </w:t>
      </w:r>
      <w:proofErr w:type="spellStart"/>
      <w:r w:rsidR="00C233DD" w:rsidRPr="00427237">
        <w:rPr>
          <w:szCs w:val="22"/>
        </w:rPr>
        <w:t>ipsilateral</w:t>
      </w:r>
      <w:proofErr w:type="spellEnd"/>
      <w:r w:rsidR="00C233DD" w:rsidRPr="00427237">
        <w:rPr>
          <w:szCs w:val="22"/>
        </w:rPr>
        <w:t xml:space="preserve"> (usually axillary) lymph nodes (regional) after an apparently disease-free interval</w:t>
      </w:r>
      <w:r w:rsidR="00270BAD" w:rsidRPr="00427237">
        <w:rPr>
          <w:szCs w:val="22"/>
        </w:rPr>
        <w:t xml:space="preserve"> following treatment</w:t>
      </w:r>
      <w:r w:rsidR="008C2C6E" w:rsidRPr="00427237">
        <w:rPr>
          <w:szCs w:val="22"/>
        </w:rPr>
        <w:t>.</w:t>
      </w:r>
      <w:r w:rsidR="00C24187" w:rsidRPr="00427237">
        <w:rPr>
          <w:noProof/>
          <w:szCs w:val="22"/>
          <w:vertAlign w:val="superscript"/>
        </w:rPr>
        <w:t>5, 6</w:t>
      </w:r>
      <w:r w:rsidR="00AC4572" w:rsidRPr="00427237">
        <w:rPr>
          <w:szCs w:val="22"/>
        </w:rPr>
        <w:t xml:space="preserve">. </w:t>
      </w:r>
      <w:r w:rsidR="008C2C6E" w:rsidRPr="00427237">
        <w:rPr>
          <w:szCs w:val="22"/>
        </w:rPr>
        <w:t xml:space="preserve">Metastatic </w:t>
      </w:r>
      <w:r w:rsidR="00C233DD" w:rsidRPr="00427237">
        <w:rPr>
          <w:szCs w:val="22"/>
        </w:rPr>
        <w:t xml:space="preserve">(secondary) </w:t>
      </w:r>
      <w:r w:rsidR="008C2C6E" w:rsidRPr="00427237">
        <w:rPr>
          <w:szCs w:val="22"/>
        </w:rPr>
        <w:t xml:space="preserve">breast cancer </w:t>
      </w:r>
      <w:r w:rsidR="00C233DD" w:rsidRPr="00427237">
        <w:rPr>
          <w:szCs w:val="22"/>
        </w:rPr>
        <w:t>(</w:t>
      </w:r>
      <w:r w:rsidR="008C2C6E" w:rsidRPr="00427237">
        <w:rPr>
          <w:szCs w:val="22"/>
        </w:rPr>
        <w:t>stage 4 breast cancer</w:t>
      </w:r>
      <w:r w:rsidR="00C233DD" w:rsidRPr="00427237">
        <w:rPr>
          <w:szCs w:val="22"/>
        </w:rPr>
        <w:t>) is defined by</w:t>
      </w:r>
      <w:r w:rsidR="008C2C6E" w:rsidRPr="00427237">
        <w:rPr>
          <w:szCs w:val="22"/>
        </w:rPr>
        <w:t xml:space="preserve"> spread to other part</w:t>
      </w:r>
      <w:r w:rsidR="00B33B19" w:rsidRPr="00427237">
        <w:rPr>
          <w:szCs w:val="22"/>
        </w:rPr>
        <w:t>s</w:t>
      </w:r>
      <w:r w:rsidR="008C2C6E" w:rsidRPr="00427237">
        <w:rPr>
          <w:szCs w:val="22"/>
        </w:rPr>
        <w:t xml:space="preserve"> of the body</w:t>
      </w:r>
      <w:r w:rsidR="00270BAD" w:rsidRPr="00427237">
        <w:rPr>
          <w:szCs w:val="22"/>
        </w:rPr>
        <w:t>, either at the</w:t>
      </w:r>
      <w:r w:rsidR="00B33B19" w:rsidRPr="00427237">
        <w:rPr>
          <w:szCs w:val="22"/>
        </w:rPr>
        <w:t xml:space="preserve"> </w:t>
      </w:r>
      <w:r w:rsidR="00F844EB" w:rsidRPr="00427237">
        <w:rPr>
          <w:szCs w:val="22"/>
        </w:rPr>
        <w:t>first diagnosis</w:t>
      </w:r>
      <w:r w:rsidR="00B33B19" w:rsidRPr="00427237">
        <w:rPr>
          <w:szCs w:val="22"/>
        </w:rPr>
        <w:t xml:space="preserve"> of breast cancer</w:t>
      </w:r>
      <w:r w:rsidR="00F844EB" w:rsidRPr="00427237">
        <w:rPr>
          <w:szCs w:val="22"/>
        </w:rPr>
        <w:t xml:space="preserve">, or </w:t>
      </w:r>
      <w:r w:rsidR="00270BAD" w:rsidRPr="00427237">
        <w:rPr>
          <w:szCs w:val="22"/>
        </w:rPr>
        <w:t>as</w:t>
      </w:r>
      <w:r w:rsidR="00F844EB" w:rsidRPr="00427237">
        <w:rPr>
          <w:szCs w:val="22"/>
        </w:rPr>
        <w:t xml:space="preserve"> a recurrence of a previous</w:t>
      </w:r>
      <w:r w:rsidR="00270BAD" w:rsidRPr="00427237">
        <w:rPr>
          <w:szCs w:val="22"/>
        </w:rPr>
        <w:t>ly treated</w:t>
      </w:r>
      <w:r w:rsidR="00F844EB" w:rsidRPr="00427237">
        <w:rPr>
          <w:szCs w:val="22"/>
        </w:rPr>
        <w:t xml:space="preserve"> breast cancer.</w:t>
      </w:r>
      <w:r w:rsidR="009360D4" w:rsidRPr="00427237">
        <w:rPr>
          <w:szCs w:val="22"/>
        </w:rPr>
        <w:t xml:space="preserve"> This </w:t>
      </w:r>
      <w:r w:rsidR="00614580" w:rsidRPr="00427237">
        <w:rPr>
          <w:szCs w:val="22"/>
        </w:rPr>
        <w:t>p</w:t>
      </w:r>
      <w:r w:rsidR="00270BAD" w:rsidRPr="00427237">
        <w:rPr>
          <w:szCs w:val="22"/>
        </w:rPr>
        <w:t>rotocol</w:t>
      </w:r>
      <w:r w:rsidR="00614580" w:rsidRPr="00427237">
        <w:rPr>
          <w:szCs w:val="22"/>
        </w:rPr>
        <w:t xml:space="preserve"> </w:t>
      </w:r>
      <w:r w:rsidR="009360D4" w:rsidRPr="00427237">
        <w:rPr>
          <w:szCs w:val="22"/>
        </w:rPr>
        <w:t>considers both women and men with suspected locally or regionally recurrent or suspected metastatic breast cancer.</w:t>
      </w:r>
      <w:r w:rsidR="00866D5A" w:rsidRPr="00427237">
        <w:rPr>
          <w:szCs w:val="22"/>
        </w:rPr>
        <w:t xml:space="preserve"> </w:t>
      </w:r>
      <w:r w:rsidR="005368DC" w:rsidRPr="00427237">
        <w:rPr>
          <w:szCs w:val="22"/>
        </w:rPr>
        <w:t>.</w:t>
      </w:r>
    </w:p>
    <w:p w:rsidR="008120CE" w:rsidRPr="00427237" w:rsidRDefault="008120CE" w:rsidP="000F3C0D">
      <w:pPr>
        <w:rPr>
          <w:szCs w:val="22"/>
          <w:u w:val="single"/>
        </w:rPr>
      </w:pPr>
      <w:r w:rsidRPr="00427237">
        <w:rPr>
          <w:szCs w:val="22"/>
          <w:u w:val="single"/>
        </w:rPr>
        <w:t>Presentation for d</w:t>
      </w:r>
      <w:r w:rsidR="00385E3A" w:rsidRPr="00427237">
        <w:rPr>
          <w:szCs w:val="22"/>
          <w:u w:val="single"/>
        </w:rPr>
        <w:t>iagnostic imaging for staging /</w:t>
      </w:r>
      <w:r w:rsidRPr="00427237">
        <w:rPr>
          <w:szCs w:val="22"/>
          <w:u w:val="single"/>
        </w:rPr>
        <w:t xml:space="preserve"> restaging:</w:t>
      </w:r>
    </w:p>
    <w:p w:rsidR="00A10547" w:rsidRPr="00427237" w:rsidRDefault="00A10547" w:rsidP="00A10547">
      <w:pPr>
        <w:rPr>
          <w:szCs w:val="22"/>
        </w:rPr>
      </w:pPr>
      <w:r w:rsidRPr="00427237">
        <w:rPr>
          <w:szCs w:val="22"/>
        </w:rPr>
        <w:t xml:space="preserve">A suspicious breast mass may be identified through </w:t>
      </w:r>
      <w:r w:rsidR="00270BAD" w:rsidRPr="00427237">
        <w:rPr>
          <w:szCs w:val="22"/>
        </w:rPr>
        <w:t xml:space="preserve">a </w:t>
      </w:r>
      <w:r w:rsidRPr="00427237">
        <w:rPr>
          <w:szCs w:val="22"/>
        </w:rPr>
        <w:t>formal breast screening programme, or via presentation to a general practitioner by a patient.</w:t>
      </w:r>
      <w:r w:rsidR="00C24187" w:rsidRPr="00427237">
        <w:rPr>
          <w:noProof/>
          <w:szCs w:val="22"/>
          <w:vertAlign w:val="superscript"/>
        </w:rPr>
        <w:t>5, 7</w:t>
      </w:r>
      <w:r w:rsidRPr="00427237">
        <w:rPr>
          <w:szCs w:val="22"/>
        </w:rPr>
        <w:t xml:space="preserve"> The breast/s and axillary areas are investigated clinically through palpation and mammography or ultrasound, and MRI in high risk groups, and the </w:t>
      </w:r>
      <w:r w:rsidR="00270BAD" w:rsidRPr="00427237">
        <w:rPr>
          <w:szCs w:val="22"/>
        </w:rPr>
        <w:t>presence of malignant</w:t>
      </w:r>
      <w:r w:rsidRPr="00427237">
        <w:rPr>
          <w:szCs w:val="22"/>
        </w:rPr>
        <w:t xml:space="preserve"> tumour confirmed by biopsy.</w:t>
      </w:r>
      <w:r w:rsidR="00C24187" w:rsidRPr="00427237">
        <w:rPr>
          <w:noProof/>
          <w:szCs w:val="22"/>
          <w:vertAlign w:val="superscript"/>
        </w:rPr>
        <w:t>5, 7</w:t>
      </w:r>
      <w:r w:rsidRPr="00427237">
        <w:rPr>
          <w:szCs w:val="22"/>
        </w:rPr>
        <w:t xml:space="preserve"> Breast cancer is staged, or classified, to determine the severity of the disease. Staging classification is determined by the American Joint Committee on Cancer’s breast cancer staging TNM system.</w:t>
      </w:r>
      <w:r w:rsidR="00C24187" w:rsidRPr="00427237">
        <w:rPr>
          <w:noProof/>
          <w:szCs w:val="22"/>
          <w:vertAlign w:val="superscript"/>
        </w:rPr>
        <w:t>8</w:t>
      </w:r>
      <w:r w:rsidRPr="00427237">
        <w:rPr>
          <w:szCs w:val="22"/>
        </w:rPr>
        <w:t xml:space="preserve"> </w:t>
      </w:r>
      <w:proofErr w:type="gramStart"/>
      <w:r w:rsidRPr="00427237">
        <w:rPr>
          <w:szCs w:val="22"/>
        </w:rPr>
        <w:t>Staging</w:t>
      </w:r>
      <w:proofErr w:type="gramEnd"/>
      <w:r w:rsidRPr="00427237">
        <w:rPr>
          <w:szCs w:val="22"/>
        </w:rPr>
        <w:t xml:space="preserve"> of the disease depends on tumour size (“T”), the number of involved lymph nodes (“N”), and the presence or absence of distant metastases (“M”). Tumour size and axillary metastases can be estimated by clinical examination and imaging techniques, but definitive status/staging is achieved through surgery</w:t>
      </w:r>
      <w:r w:rsidR="00270BAD" w:rsidRPr="00427237">
        <w:rPr>
          <w:szCs w:val="22"/>
        </w:rPr>
        <w:t xml:space="preserve"> and histology</w:t>
      </w:r>
      <w:r w:rsidRPr="00427237">
        <w:rPr>
          <w:szCs w:val="22"/>
        </w:rPr>
        <w:t>.</w:t>
      </w:r>
      <w:r w:rsidR="00C24187" w:rsidRPr="00427237">
        <w:rPr>
          <w:noProof/>
          <w:szCs w:val="22"/>
          <w:vertAlign w:val="superscript"/>
        </w:rPr>
        <w:t>7</w:t>
      </w:r>
    </w:p>
    <w:p w:rsidR="004F0A29" w:rsidRPr="00427237" w:rsidRDefault="004F0A29" w:rsidP="004F0A29">
      <w:pPr>
        <w:rPr>
          <w:szCs w:val="22"/>
        </w:rPr>
      </w:pPr>
      <w:r w:rsidRPr="00427237">
        <w:rPr>
          <w:szCs w:val="22"/>
        </w:rPr>
        <w:t>Following and during</w:t>
      </w:r>
      <w:r w:rsidR="000F7E2A" w:rsidRPr="00427237">
        <w:rPr>
          <w:szCs w:val="22"/>
        </w:rPr>
        <w:t xml:space="preserve"> initial</w:t>
      </w:r>
      <w:r w:rsidRPr="00427237">
        <w:rPr>
          <w:szCs w:val="22"/>
        </w:rPr>
        <w:t xml:space="preserve"> treatment, breast cancer patients continue to have regular examinations and tests to evaluate treatment response and to detect recurrence or metastatic spread. </w:t>
      </w:r>
      <w:r w:rsidR="000F7E2A" w:rsidRPr="00427237">
        <w:rPr>
          <w:szCs w:val="22"/>
        </w:rPr>
        <w:t>In Australia,</w:t>
      </w:r>
      <w:r w:rsidR="0044479D" w:rsidRPr="00427237">
        <w:rPr>
          <w:szCs w:val="22"/>
        </w:rPr>
        <w:t xml:space="preserve"> from QLD registry data,</w:t>
      </w:r>
      <w:r w:rsidR="000F7E2A" w:rsidRPr="00427237">
        <w:rPr>
          <w:szCs w:val="22"/>
        </w:rPr>
        <w:t xml:space="preserve"> a</w:t>
      </w:r>
      <w:r w:rsidR="0044479D" w:rsidRPr="00427237">
        <w:rPr>
          <w:szCs w:val="22"/>
        </w:rPr>
        <w:t>t initial diagnosis</w:t>
      </w:r>
      <w:r w:rsidRPr="00427237">
        <w:rPr>
          <w:szCs w:val="22"/>
        </w:rPr>
        <w:t xml:space="preserve"> a</w:t>
      </w:r>
      <w:r w:rsidR="000F7E2A" w:rsidRPr="00427237">
        <w:rPr>
          <w:szCs w:val="22"/>
        </w:rPr>
        <w:t>pproximately 47% of patients have</w:t>
      </w:r>
      <w:r w:rsidR="005029D1" w:rsidRPr="00427237">
        <w:rPr>
          <w:szCs w:val="22"/>
        </w:rPr>
        <w:t xml:space="preserve"> Stage I</w:t>
      </w:r>
      <w:r w:rsidRPr="00427237">
        <w:rPr>
          <w:szCs w:val="22"/>
        </w:rPr>
        <w:t xml:space="preserve"> and 45% of patients have Stage II-IV </w:t>
      </w:r>
      <w:r w:rsidR="00F031B1" w:rsidRPr="00427237">
        <w:rPr>
          <w:szCs w:val="22"/>
        </w:rPr>
        <w:t>disease</w:t>
      </w:r>
      <w:r w:rsidR="00614580" w:rsidRPr="00427237">
        <w:rPr>
          <w:szCs w:val="22"/>
        </w:rPr>
        <w:t xml:space="preserve"> and unknown in </w:t>
      </w:r>
      <w:r w:rsidR="0044479D" w:rsidRPr="00427237">
        <w:rPr>
          <w:szCs w:val="22"/>
        </w:rPr>
        <w:t>8% of cases (see Appendices for explanation of stages).</w:t>
      </w:r>
      <w:r w:rsidR="00C24187" w:rsidRPr="00427237">
        <w:rPr>
          <w:noProof/>
          <w:szCs w:val="22"/>
          <w:vertAlign w:val="superscript"/>
        </w:rPr>
        <w:t>9</w:t>
      </w:r>
      <w:r w:rsidRPr="00427237">
        <w:rPr>
          <w:szCs w:val="22"/>
        </w:rPr>
        <w:t xml:space="preserve"> There are two scenarios (based on US National Comprehensive Cancer Network (NCCN) and </w:t>
      </w:r>
      <w:r w:rsidRPr="00427237">
        <w:rPr>
          <w:szCs w:val="22"/>
        </w:rPr>
        <w:lastRenderedPageBreak/>
        <w:t xml:space="preserve">European Society Medical Oncology (ESMO) clinical practice guidelines) where PET/CT </w:t>
      </w:r>
      <w:r w:rsidR="00270BAD" w:rsidRPr="00427237">
        <w:rPr>
          <w:szCs w:val="22"/>
        </w:rPr>
        <w:t xml:space="preserve">may have </w:t>
      </w:r>
      <w:r w:rsidRPr="00427237">
        <w:rPr>
          <w:szCs w:val="22"/>
        </w:rPr>
        <w:t>a role in the assessment of breast cancer patients</w:t>
      </w:r>
      <w:r w:rsidR="00C24187" w:rsidRPr="00427237">
        <w:rPr>
          <w:noProof/>
          <w:szCs w:val="22"/>
          <w:vertAlign w:val="superscript"/>
        </w:rPr>
        <w:t>10, 11</w:t>
      </w:r>
      <w:r w:rsidRPr="00427237">
        <w:rPr>
          <w:szCs w:val="22"/>
        </w:rPr>
        <w:t>:</w:t>
      </w:r>
    </w:p>
    <w:p w:rsidR="004F0A29" w:rsidRPr="00427237" w:rsidRDefault="0044479D" w:rsidP="001D0391">
      <w:pPr>
        <w:pStyle w:val="ListParagraph"/>
        <w:numPr>
          <w:ilvl w:val="0"/>
          <w:numId w:val="33"/>
        </w:numPr>
        <w:rPr>
          <w:szCs w:val="22"/>
        </w:rPr>
      </w:pPr>
      <w:r w:rsidRPr="00427237">
        <w:rPr>
          <w:szCs w:val="22"/>
        </w:rPr>
        <w:t xml:space="preserve">Proven </w:t>
      </w:r>
      <w:r w:rsidR="004F0A29" w:rsidRPr="00427237">
        <w:rPr>
          <w:szCs w:val="22"/>
        </w:rPr>
        <w:t>locally advanced breast cancer</w:t>
      </w:r>
    </w:p>
    <w:p w:rsidR="00571EFF" w:rsidRPr="00427237" w:rsidRDefault="00B975F2" w:rsidP="001D0391">
      <w:pPr>
        <w:pStyle w:val="ListParagraph"/>
        <w:numPr>
          <w:ilvl w:val="0"/>
          <w:numId w:val="33"/>
        </w:numPr>
        <w:rPr>
          <w:szCs w:val="22"/>
        </w:rPr>
      </w:pPr>
      <w:r w:rsidRPr="00427237">
        <w:rPr>
          <w:szCs w:val="22"/>
        </w:rPr>
        <w:t xml:space="preserve">Suspected </w:t>
      </w:r>
      <w:r w:rsidR="00D760DC" w:rsidRPr="00427237">
        <w:rPr>
          <w:szCs w:val="22"/>
        </w:rPr>
        <w:t xml:space="preserve">locally or regionally </w:t>
      </w:r>
      <w:r w:rsidR="004F0A29" w:rsidRPr="00427237">
        <w:rPr>
          <w:szCs w:val="22"/>
        </w:rPr>
        <w:t xml:space="preserve">recurrent </w:t>
      </w:r>
      <w:r w:rsidR="00270BAD" w:rsidRPr="00427237">
        <w:rPr>
          <w:szCs w:val="22"/>
        </w:rPr>
        <w:t xml:space="preserve">or </w:t>
      </w:r>
      <w:r w:rsidRPr="00427237">
        <w:rPr>
          <w:szCs w:val="22"/>
        </w:rPr>
        <w:t xml:space="preserve">suspected </w:t>
      </w:r>
      <w:r w:rsidR="004F0A29" w:rsidRPr="00427237">
        <w:rPr>
          <w:szCs w:val="22"/>
        </w:rPr>
        <w:t>metastatic breast cancer, particularly when conventional imaging tests are equivocal for</w:t>
      </w:r>
      <w:r w:rsidR="00D760DC" w:rsidRPr="00427237">
        <w:rPr>
          <w:szCs w:val="22"/>
        </w:rPr>
        <w:t xml:space="preserve"> spread of</w:t>
      </w:r>
      <w:r w:rsidR="004F0A29" w:rsidRPr="00427237">
        <w:rPr>
          <w:szCs w:val="22"/>
        </w:rPr>
        <w:t xml:space="preserve"> disease.</w:t>
      </w:r>
    </w:p>
    <w:p w:rsidR="00A672F6" w:rsidRPr="00427237" w:rsidRDefault="00A672F6" w:rsidP="00A672F6">
      <w:r w:rsidRPr="00427237">
        <w:t xml:space="preserve">Funding for PET/CT in the US from the Centres for Medicare &amp; Medicaid Services is available for patients with breast cancer </w:t>
      </w:r>
      <w:r w:rsidR="00462251" w:rsidRPr="00427237">
        <w:t>as follows</w:t>
      </w:r>
      <w:r w:rsidR="00C24187" w:rsidRPr="00427237">
        <w:rPr>
          <w:noProof/>
          <w:vertAlign w:val="superscript"/>
        </w:rPr>
        <w:t>12</w:t>
      </w:r>
      <w:r w:rsidRPr="00427237">
        <w:t>:</w:t>
      </w:r>
    </w:p>
    <w:p w:rsidR="0044479D" w:rsidRPr="00427237" w:rsidRDefault="0044479D" w:rsidP="003E4C3B">
      <w:pPr>
        <w:pStyle w:val="ListParagraph"/>
        <w:numPr>
          <w:ilvl w:val="0"/>
          <w:numId w:val="35"/>
        </w:numPr>
        <w:spacing w:after="200" w:line="276" w:lineRule="auto"/>
        <w:jc w:val="left"/>
      </w:pPr>
      <w:r w:rsidRPr="00427237">
        <w:t>“</w:t>
      </w:r>
      <w:r w:rsidRPr="00427237">
        <w:rPr>
          <w:rFonts w:ascii="Arial" w:hAnsi="Arial" w:cs="Arial"/>
          <w:color w:val="000000"/>
          <w:sz w:val="19"/>
          <w:szCs w:val="19"/>
          <w:lang w:val="en-US"/>
        </w:rPr>
        <w:t>Breast: Non-covered for diagnosis and/or initial staging of axillary lymph nodes. Covered for initial staging of metastatic disease.”</w:t>
      </w:r>
    </w:p>
    <w:p w:rsidR="003E4C3B" w:rsidRPr="00427237" w:rsidRDefault="0044479D" w:rsidP="003E4C3B">
      <w:pPr>
        <w:pStyle w:val="ListParagraph"/>
        <w:numPr>
          <w:ilvl w:val="0"/>
          <w:numId w:val="35"/>
        </w:numPr>
        <w:spacing w:after="200" w:line="276" w:lineRule="auto"/>
        <w:jc w:val="left"/>
      </w:pPr>
      <w:r w:rsidRPr="00427237">
        <w:t>F</w:t>
      </w:r>
      <w:r w:rsidR="00A672F6" w:rsidRPr="00427237">
        <w:t xml:space="preserve">or the </w:t>
      </w:r>
      <w:r w:rsidR="00462251" w:rsidRPr="00427237">
        <w:t>“</w:t>
      </w:r>
      <w:r w:rsidR="00A672F6" w:rsidRPr="00427237">
        <w:t>subsequent treatment strategy</w:t>
      </w:r>
      <w:r w:rsidR="00462251" w:rsidRPr="00427237">
        <w:t>”</w:t>
      </w:r>
      <w:r w:rsidR="00A672F6" w:rsidRPr="00427237">
        <w:t xml:space="preserve"> (</w:t>
      </w:r>
      <w:r w:rsidR="00462251" w:rsidRPr="00427237">
        <w:rPr>
          <w:rFonts w:ascii="Arial" w:hAnsi="Arial" w:cs="Arial"/>
          <w:color w:val="000000"/>
          <w:sz w:val="19"/>
          <w:szCs w:val="19"/>
          <w:lang w:val="en-US"/>
        </w:rPr>
        <w:t>formerly “restaging” and “monitoring response to treatment when a change in treatment is anticipated”</w:t>
      </w:r>
      <w:r w:rsidR="00A672F6" w:rsidRPr="00427237">
        <w:t>).</w:t>
      </w:r>
    </w:p>
    <w:p w:rsidR="00571EFF" w:rsidRPr="00427237" w:rsidRDefault="00CF706C" w:rsidP="000F3C0D">
      <w:pPr>
        <w:rPr>
          <w:szCs w:val="22"/>
          <w:u w:val="single"/>
        </w:rPr>
      </w:pPr>
      <w:r w:rsidRPr="00427237">
        <w:rPr>
          <w:szCs w:val="22"/>
          <w:u w:val="single"/>
        </w:rPr>
        <w:t>Expected numbers for</w:t>
      </w:r>
      <w:r w:rsidR="00A06645" w:rsidRPr="00427237">
        <w:rPr>
          <w:szCs w:val="22"/>
          <w:u w:val="single"/>
        </w:rPr>
        <w:t xml:space="preserve"> proven</w:t>
      </w:r>
      <w:r w:rsidRPr="00427237">
        <w:rPr>
          <w:szCs w:val="22"/>
          <w:u w:val="single"/>
        </w:rPr>
        <w:t xml:space="preserve"> l</w:t>
      </w:r>
      <w:r w:rsidR="00571EFF" w:rsidRPr="00427237">
        <w:rPr>
          <w:szCs w:val="22"/>
          <w:u w:val="single"/>
        </w:rPr>
        <w:t>ocally advanced breast cancer:</w:t>
      </w:r>
    </w:p>
    <w:p w:rsidR="00571EFF" w:rsidRPr="00427237" w:rsidRDefault="008A027C" w:rsidP="00571EFF">
      <w:r w:rsidRPr="00427237">
        <w:t xml:space="preserve">The application proposes that </w:t>
      </w:r>
      <w:r w:rsidR="00744A7D" w:rsidRPr="00427237">
        <w:t xml:space="preserve">confirmatory imaging using </w:t>
      </w:r>
      <w:r w:rsidR="00D76266" w:rsidRPr="00427237">
        <w:rPr>
          <w:vertAlign w:val="superscript"/>
        </w:rPr>
        <w:t>18</w:t>
      </w:r>
      <w:r w:rsidR="00D76266" w:rsidRPr="00427237">
        <w:t>F-FDG</w:t>
      </w:r>
      <w:r w:rsidR="00744A7D" w:rsidRPr="00427237">
        <w:t xml:space="preserve"> </w:t>
      </w:r>
      <w:r w:rsidRPr="00427237">
        <w:t xml:space="preserve">PET be used in </w:t>
      </w:r>
      <w:r w:rsidR="00571EFF" w:rsidRPr="00427237">
        <w:t xml:space="preserve">patients who have </w:t>
      </w:r>
      <w:r w:rsidR="00A06645" w:rsidRPr="00427237">
        <w:t xml:space="preserve">proven </w:t>
      </w:r>
      <w:r w:rsidR="00571EFF" w:rsidRPr="00427237">
        <w:t>locally advanced disease</w:t>
      </w:r>
      <w:r w:rsidRPr="00427237">
        <w:t>,</w:t>
      </w:r>
      <w:r w:rsidR="00571EFF" w:rsidRPr="00427237">
        <w:t xml:space="preserve"> where prior diagnostic imaging does not provided sufficient information to determine </w:t>
      </w:r>
      <w:r w:rsidR="00A06645" w:rsidRPr="00427237">
        <w:t xml:space="preserve">if </w:t>
      </w:r>
      <w:r w:rsidR="00571EFF" w:rsidRPr="00427237">
        <w:t>appropriate treatment</w:t>
      </w:r>
      <w:r w:rsidR="00A06645" w:rsidRPr="00427237">
        <w:t xml:space="preserve"> for disease up-staging or spread is required</w:t>
      </w:r>
      <w:r w:rsidR="00571EFF" w:rsidRPr="00427237">
        <w:t>.</w:t>
      </w:r>
      <w:r w:rsidR="00100E1D" w:rsidRPr="00427237">
        <w:t xml:space="preserve"> The </w:t>
      </w:r>
      <w:r w:rsidR="006B4C04" w:rsidRPr="00427237">
        <w:t>data</w:t>
      </w:r>
      <w:r w:rsidR="00100E1D" w:rsidRPr="00427237">
        <w:t xml:space="preserve"> here will be primarily for women, but we will include men </w:t>
      </w:r>
      <w:r w:rsidR="006B4C04" w:rsidRPr="00427237">
        <w:t>in the final assumptions</w:t>
      </w:r>
      <w:r w:rsidR="00100E1D" w:rsidRPr="00427237">
        <w:t>, as they will likely contribute a small proportion to the data.</w:t>
      </w:r>
      <w:r w:rsidR="00C232D9" w:rsidRPr="00427237">
        <w:t xml:space="preserve"> </w:t>
      </w:r>
      <w:r w:rsidR="00000758" w:rsidRPr="00427237">
        <w:t>In 2008, 13,567 new breast cancers were diagnosed in women.</w:t>
      </w:r>
      <w:r w:rsidR="00C24187" w:rsidRPr="00427237">
        <w:rPr>
          <w:noProof/>
          <w:vertAlign w:val="superscript"/>
        </w:rPr>
        <w:t>13</w:t>
      </w:r>
      <w:r w:rsidR="00000758" w:rsidRPr="00427237">
        <w:t xml:space="preserve"> The </w:t>
      </w:r>
      <w:r w:rsidR="000C0F6B" w:rsidRPr="00427237">
        <w:t xml:space="preserve">AIHW </w:t>
      </w:r>
      <w:r w:rsidR="00000758" w:rsidRPr="00427237">
        <w:t>estimates</w:t>
      </w:r>
      <w:r w:rsidR="00571EFF" w:rsidRPr="00427237">
        <w:t xml:space="preserve"> that 14,940 women will be diagnosed with breast cancer in 2013</w:t>
      </w:r>
      <w:r w:rsidR="000C0F6B" w:rsidRPr="00427237">
        <w:t xml:space="preserve"> and 15,270 women in 2014</w:t>
      </w:r>
      <w:r w:rsidR="00571EFF" w:rsidRPr="00427237">
        <w:t>.</w:t>
      </w:r>
      <w:r w:rsidR="00C24187" w:rsidRPr="00427237">
        <w:rPr>
          <w:noProof/>
          <w:vertAlign w:val="superscript"/>
        </w:rPr>
        <w:t>13</w:t>
      </w:r>
      <w:r w:rsidR="00B01BFF" w:rsidRPr="00427237">
        <w:t xml:space="preserve"> </w:t>
      </w:r>
      <w:r w:rsidR="001334F1" w:rsidRPr="00427237">
        <w:t xml:space="preserve">Cancer Australia </w:t>
      </w:r>
      <w:r w:rsidR="00862C3B" w:rsidRPr="00427237">
        <w:t>states</w:t>
      </w:r>
      <w:r w:rsidR="00895A3C" w:rsidRPr="00427237">
        <w:t xml:space="preserve"> </w:t>
      </w:r>
      <w:r w:rsidR="001334F1" w:rsidRPr="00427237">
        <w:t xml:space="preserve">that between 10 to 20% of </w:t>
      </w:r>
      <w:r w:rsidR="00895A3C" w:rsidRPr="00427237">
        <w:t>new breast cancer diagnoses each year have locally advanced disease</w:t>
      </w:r>
      <w:r w:rsidR="001334F1" w:rsidRPr="00427237">
        <w:t>.</w:t>
      </w:r>
      <w:r w:rsidR="00C24187" w:rsidRPr="00427237">
        <w:rPr>
          <w:noProof/>
          <w:vertAlign w:val="superscript"/>
        </w:rPr>
        <w:t>14</w:t>
      </w:r>
      <w:r w:rsidR="00862C3B" w:rsidRPr="00427237">
        <w:t xml:space="preserve"> </w:t>
      </w:r>
      <w:r w:rsidR="001334F1" w:rsidRPr="00427237">
        <w:t>This means approximately 1,500 to 3,000 women using 2013 numbers</w:t>
      </w:r>
      <w:r w:rsidR="00341218" w:rsidRPr="00427237">
        <w:t xml:space="preserve"> will </w:t>
      </w:r>
      <w:r w:rsidR="001334F1" w:rsidRPr="00427237">
        <w:t xml:space="preserve">have locally advanced breast cancer. </w:t>
      </w:r>
      <w:r w:rsidR="00136E5A" w:rsidRPr="00427237">
        <w:t>According to clinicians involved in the Austin Report</w:t>
      </w:r>
      <w:r w:rsidR="00C24187" w:rsidRPr="00427237">
        <w:rPr>
          <w:noProof/>
          <w:vertAlign w:val="superscript"/>
        </w:rPr>
        <w:t>4</w:t>
      </w:r>
      <w:r w:rsidR="00136E5A" w:rsidRPr="00427237">
        <w:t xml:space="preserve"> and HESP clinicians, o</w:t>
      </w:r>
      <w:r w:rsidR="00571EFF" w:rsidRPr="00427237">
        <w:t xml:space="preserve">f these patients, 30% will have inconclusive conventional imaging staging studies </w:t>
      </w:r>
      <w:r w:rsidR="00B76CA0" w:rsidRPr="00427237">
        <w:t xml:space="preserve">for spread of disease </w:t>
      </w:r>
      <w:r w:rsidR="00571EFF" w:rsidRPr="00427237">
        <w:t xml:space="preserve">and would therefore be suitable for PET evaluation. </w:t>
      </w:r>
      <w:r w:rsidR="00C14EEC" w:rsidRPr="00427237">
        <w:t>Based on these assumptions, approximately</w:t>
      </w:r>
      <w:r w:rsidR="00571EFF" w:rsidRPr="00427237">
        <w:t xml:space="preserve"> </w:t>
      </w:r>
      <w:r w:rsidR="00341218" w:rsidRPr="00427237">
        <w:t>450 to 900</w:t>
      </w:r>
      <w:r w:rsidR="00571EFF" w:rsidRPr="00427237">
        <w:t xml:space="preserve"> </w:t>
      </w:r>
      <w:r w:rsidR="00100E1D" w:rsidRPr="00427237">
        <w:t>patients (women and men)</w:t>
      </w:r>
      <w:r w:rsidR="00571EFF" w:rsidRPr="00427237">
        <w:t xml:space="preserve"> </w:t>
      </w:r>
      <w:r w:rsidR="00A169C8" w:rsidRPr="00427237">
        <w:t xml:space="preserve">per year </w:t>
      </w:r>
      <w:r w:rsidR="00571EFF" w:rsidRPr="00427237">
        <w:t xml:space="preserve">with </w:t>
      </w:r>
      <w:r w:rsidR="00EB5A50" w:rsidRPr="00427237">
        <w:t xml:space="preserve">locally advanced breast cancer </w:t>
      </w:r>
      <w:r w:rsidR="00C14EEC" w:rsidRPr="00427237">
        <w:t>would be eligible for</w:t>
      </w:r>
      <w:r w:rsidR="00B76CA0" w:rsidRPr="00427237">
        <w:t xml:space="preserve"> </w:t>
      </w:r>
      <w:r w:rsidR="00B76CA0" w:rsidRPr="00427237">
        <w:rPr>
          <w:vertAlign w:val="superscript"/>
        </w:rPr>
        <w:t>18</w:t>
      </w:r>
      <w:r w:rsidR="00B76CA0" w:rsidRPr="00427237">
        <w:t>F-FDG</w:t>
      </w:r>
      <w:r w:rsidR="00496A37" w:rsidRPr="00427237">
        <w:t xml:space="preserve"> PET imaging</w:t>
      </w:r>
      <w:r w:rsidR="00571EFF" w:rsidRPr="00427237">
        <w:t>.</w:t>
      </w:r>
    </w:p>
    <w:p w:rsidR="00571EFF" w:rsidRPr="00427237" w:rsidRDefault="00CF706C" w:rsidP="000F3C0D">
      <w:pPr>
        <w:rPr>
          <w:szCs w:val="22"/>
          <w:u w:val="single"/>
        </w:rPr>
      </w:pPr>
      <w:r w:rsidRPr="00427237">
        <w:rPr>
          <w:szCs w:val="22"/>
          <w:u w:val="single"/>
        </w:rPr>
        <w:t xml:space="preserve">Expected numbers for </w:t>
      </w:r>
      <w:r w:rsidR="002D5539" w:rsidRPr="00427237">
        <w:rPr>
          <w:szCs w:val="22"/>
          <w:u w:val="single"/>
        </w:rPr>
        <w:t xml:space="preserve">suspected </w:t>
      </w:r>
      <w:r w:rsidR="00744A7D" w:rsidRPr="00427237">
        <w:rPr>
          <w:szCs w:val="22"/>
          <w:u w:val="single"/>
        </w:rPr>
        <w:t xml:space="preserve">locally or regionally </w:t>
      </w:r>
      <w:r w:rsidRPr="00427237">
        <w:rPr>
          <w:szCs w:val="22"/>
          <w:u w:val="single"/>
        </w:rPr>
        <w:t>r</w:t>
      </w:r>
      <w:r w:rsidR="00571EFF" w:rsidRPr="00427237">
        <w:rPr>
          <w:szCs w:val="22"/>
          <w:u w:val="single"/>
        </w:rPr>
        <w:t xml:space="preserve">ecurrent </w:t>
      </w:r>
      <w:r w:rsidR="00960D78" w:rsidRPr="00427237">
        <w:rPr>
          <w:szCs w:val="22"/>
          <w:u w:val="single"/>
        </w:rPr>
        <w:t xml:space="preserve">or </w:t>
      </w:r>
      <w:r w:rsidR="002D5539" w:rsidRPr="00427237">
        <w:rPr>
          <w:szCs w:val="22"/>
          <w:u w:val="single"/>
        </w:rPr>
        <w:t xml:space="preserve">suspected </w:t>
      </w:r>
      <w:r w:rsidR="00960D78" w:rsidRPr="00427237">
        <w:rPr>
          <w:szCs w:val="22"/>
          <w:u w:val="single"/>
        </w:rPr>
        <w:t xml:space="preserve">metastatic </w:t>
      </w:r>
      <w:r w:rsidR="00571EFF" w:rsidRPr="00427237">
        <w:rPr>
          <w:szCs w:val="22"/>
          <w:u w:val="single"/>
        </w:rPr>
        <w:t>breast cancer:</w:t>
      </w:r>
    </w:p>
    <w:p w:rsidR="007E581C" w:rsidRPr="00427237" w:rsidRDefault="004F0A29" w:rsidP="004F0A29">
      <w:r w:rsidRPr="00427237">
        <w:t xml:space="preserve">The population that would be targeted for </w:t>
      </w:r>
      <w:r w:rsidR="00744A7D" w:rsidRPr="00427237">
        <w:t xml:space="preserve">confirmatory imaging using </w:t>
      </w:r>
      <w:r w:rsidR="00D76266" w:rsidRPr="00427237">
        <w:rPr>
          <w:vertAlign w:val="superscript"/>
        </w:rPr>
        <w:t>18</w:t>
      </w:r>
      <w:r w:rsidR="00D76266" w:rsidRPr="00427237">
        <w:t>F-FDG</w:t>
      </w:r>
      <w:r w:rsidR="00744A7D" w:rsidRPr="00427237">
        <w:t xml:space="preserve"> </w:t>
      </w:r>
      <w:r w:rsidRPr="00427237">
        <w:t xml:space="preserve">PET are those where </w:t>
      </w:r>
      <w:r w:rsidR="00744A7D" w:rsidRPr="00427237">
        <w:t xml:space="preserve">locally or regionally </w:t>
      </w:r>
      <w:r w:rsidRPr="00427237">
        <w:t>recurrent or metastatic disease is suspected and for whom active therapy is likely to be pursued.</w:t>
      </w:r>
    </w:p>
    <w:p w:rsidR="00240672" w:rsidRPr="00427237" w:rsidRDefault="00EE6E06" w:rsidP="00960D78">
      <w:r w:rsidRPr="00427237">
        <w:t xml:space="preserve">There are complexities in estimating incidence and prevalence of recurrent or metastatic breast cancer. </w:t>
      </w:r>
      <w:r w:rsidR="00A627BA" w:rsidRPr="00427237">
        <w:t>The prevalence of the</w:t>
      </w:r>
      <w:r w:rsidR="004F0A29" w:rsidRPr="00427237">
        <w:t xml:space="preserve"> disease is influenced by the incidence of the</w:t>
      </w:r>
      <w:r w:rsidR="00B01985" w:rsidRPr="00427237">
        <w:t xml:space="preserve"> initial</w:t>
      </w:r>
      <w:r w:rsidR="004F0A29" w:rsidRPr="00427237">
        <w:t xml:space="preserve"> disease, survival from the </w:t>
      </w:r>
      <w:r w:rsidR="00B01985" w:rsidRPr="00427237">
        <w:t xml:space="preserve">initial </w:t>
      </w:r>
      <w:r w:rsidR="004F0A29" w:rsidRPr="00427237">
        <w:t>disease</w:t>
      </w:r>
      <w:r w:rsidR="00A627BA" w:rsidRPr="00427237">
        <w:t>,</w:t>
      </w:r>
      <w:r w:rsidR="004F0A29" w:rsidRPr="00427237">
        <w:t xml:space="preserve"> and the age at which people </w:t>
      </w:r>
      <w:r w:rsidR="00A627BA" w:rsidRPr="00427237">
        <w:t>were</w:t>
      </w:r>
      <w:r w:rsidR="004F0A29" w:rsidRPr="00427237">
        <w:t xml:space="preserve"> diagnosed</w:t>
      </w:r>
      <w:r w:rsidR="00B01985" w:rsidRPr="00427237">
        <w:t xml:space="preserve"> with the initial disease, type of treatment taken, and site of recurrence or metastasis</w:t>
      </w:r>
      <w:r w:rsidR="00240672" w:rsidRPr="00427237">
        <w:t xml:space="preserve">. Unfortunately, </w:t>
      </w:r>
      <w:r w:rsidR="005D21D6" w:rsidRPr="00427237">
        <w:t xml:space="preserve">the incidence and prevalence of </w:t>
      </w:r>
      <w:r w:rsidR="00240672" w:rsidRPr="00427237">
        <w:t>recurrences and metastases of any type are not notifiable in any jurisdiction, so there is no reliable national data on this [correspondence with HESP, AIHW</w:t>
      </w:r>
      <w:r w:rsidR="00072026" w:rsidRPr="00427237">
        <w:t>’s Cancer Screening Unit</w:t>
      </w:r>
      <w:r w:rsidR="00240672" w:rsidRPr="00427237">
        <w:t>, and state</w:t>
      </w:r>
      <w:r w:rsidR="00024EA3" w:rsidRPr="00427237">
        <w:t xml:space="preserve"> and territory</w:t>
      </w:r>
      <w:r w:rsidR="00240672" w:rsidRPr="00427237">
        <w:t xml:space="preserve"> cancer registries].</w:t>
      </w:r>
    </w:p>
    <w:p w:rsidR="00267BD7" w:rsidRPr="00427237" w:rsidRDefault="006B4C04" w:rsidP="00960D78">
      <w:r w:rsidRPr="00427237">
        <w:t>The data</w:t>
      </w:r>
      <w:r w:rsidR="00B669CA" w:rsidRPr="00427237">
        <w:t xml:space="preserve"> here will be </w:t>
      </w:r>
      <w:r w:rsidR="00905B33" w:rsidRPr="00427237">
        <w:t>drawn primarily from</w:t>
      </w:r>
      <w:r w:rsidR="005F2139" w:rsidRPr="00427237">
        <w:t xml:space="preserve"> women, as</w:t>
      </w:r>
      <w:r w:rsidR="00B669CA" w:rsidRPr="00427237">
        <w:t xml:space="preserve"> men contribute a small </w:t>
      </w:r>
      <w:r w:rsidR="00575C7D" w:rsidRPr="00427237">
        <w:t xml:space="preserve">amount </w:t>
      </w:r>
      <w:r w:rsidR="00B669CA" w:rsidRPr="00427237">
        <w:t>to the data.</w:t>
      </w:r>
      <w:r w:rsidR="00081FFB" w:rsidRPr="00427237">
        <w:t xml:space="preserve"> </w:t>
      </w:r>
      <w:r w:rsidR="003916B1" w:rsidRPr="00427237">
        <w:t>At the end of 2008, almost 160</w:t>
      </w:r>
      <w:r w:rsidR="004F0A29" w:rsidRPr="00427237">
        <w:t>,000</w:t>
      </w:r>
      <w:r w:rsidR="003916B1" w:rsidRPr="00427237">
        <w:t xml:space="preserve"> Australian women</w:t>
      </w:r>
      <w:r w:rsidR="004F0A29" w:rsidRPr="00427237">
        <w:t xml:space="preserve"> </w:t>
      </w:r>
      <w:r w:rsidR="003916B1" w:rsidRPr="00427237">
        <w:t xml:space="preserve">alive </w:t>
      </w:r>
      <w:r w:rsidR="004F0A29" w:rsidRPr="00427237">
        <w:t>had been diagnosed with breast c</w:t>
      </w:r>
      <w:r w:rsidR="003916B1" w:rsidRPr="00427237">
        <w:t xml:space="preserve">ancer in </w:t>
      </w:r>
      <w:r w:rsidR="003916B1" w:rsidRPr="00427237">
        <w:lastRenderedPageBreak/>
        <w:t>the previous 27</w:t>
      </w:r>
      <w:r w:rsidR="004F0A29" w:rsidRPr="00427237">
        <w:t xml:space="preserve"> years</w:t>
      </w:r>
      <w:r w:rsidR="003916B1" w:rsidRPr="00427237">
        <w:t>, including about 57,000 diagnosed in the previous 5 years</w:t>
      </w:r>
      <w:r w:rsidR="004F0A29" w:rsidRPr="00427237">
        <w:t>.</w:t>
      </w:r>
      <w:r w:rsidR="00C24187" w:rsidRPr="00427237">
        <w:rPr>
          <w:noProof/>
          <w:vertAlign w:val="superscript"/>
        </w:rPr>
        <w:t>13, 15</w:t>
      </w:r>
      <w:r w:rsidR="00320F87" w:rsidRPr="00427237">
        <w:t xml:space="preserve"> </w:t>
      </w:r>
      <w:r w:rsidR="00F231CE" w:rsidRPr="00427237">
        <w:t xml:space="preserve">Of these women, recurrence may occur. </w:t>
      </w:r>
      <w:r w:rsidR="00ED0481" w:rsidRPr="00427237">
        <w:t>T</w:t>
      </w:r>
      <w:r w:rsidR="00E76D4A" w:rsidRPr="00427237">
        <w:t>here are on</w:t>
      </w:r>
      <w:r w:rsidR="00ED0481" w:rsidRPr="00427237">
        <w:t xml:space="preserve">ly a few studies estimating </w:t>
      </w:r>
      <w:r w:rsidR="00F231CE" w:rsidRPr="00427237">
        <w:t xml:space="preserve">recurrence </w:t>
      </w:r>
      <w:r w:rsidR="00267BD7" w:rsidRPr="00427237">
        <w:t>in Australian breast cancer patients</w:t>
      </w:r>
      <w:r w:rsidR="00E76D4A" w:rsidRPr="00427237">
        <w:t xml:space="preserve">. </w:t>
      </w:r>
      <w:r w:rsidR="00327BD2" w:rsidRPr="00427237">
        <w:t>Two</w:t>
      </w:r>
      <w:r w:rsidR="00E76D4A" w:rsidRPr="00427237">
        <w:t xml:space="preserve"> </w:t>
      </w:r>
      <w:r w:rsidR="00327BD2" w:rsidRPr="00427237">
        <w:t xml:space="preserve">Australian </w:t>
      </w:r>
      <w:r w:rsidR="00E76D4A" w:rsidRPr="00427237">
        <w:t xml:space="preserve">studies from 1995 on women who had been treated for early breast cancer found that 6-8% of women had recurrent </w:t>
      </w:r>
      <w:proofErr w:type="spellStart"/>
      <w:r w:rsidR="00E76D4A" w:rsidRPr="00427237">
        <w:t>ipsilateral</w:t>
      </w:r>
      <w:proofErr w:type="spellEnd"/>
      <w:r w:rsidR="00E76D4A" w:rsidRPr="00427237">
        <w:t xml:space="preserve"> breast cancer and 14-16% had metastatic disease at relapse.</w:t>
      </w:r>
      <w:r w:rsidR="00C24187" w:rsidRPr="00427237">
        <w:rPr>
          <w:noProof/>
          <w:vertAlign w:val="superscript"/>
        </w:rPr>
        <w:t>16-18</w:t>
      </w:r>
      <w:r w:rsidR="00A627BA" w:rsidRPr="00427237">
        <w:t xml:space="preserve"> </w:t>
      </w:r>
      <w:r w:rsidR="00E76D4A" w:rsidRPr="00427237">
        <w:t>A 2012 study using 2001-2002 data from NSW found that 5%</w:t>
      </w:r>
      <w:r w:rsidR="00392C60" w:rsidRPr="00427237">
        <w:t xml:space="preserve"> with localised node-negative disease and </w:t>
      </w:r>
      <w:r w:rsidR="00304976" w:rsidRPr="00427237">
        <w:t xml:space="preserve">17% </w:t>
      </w:r>
      <w:r w:rsidR="00392C60" w:rsidRPr="00427237">
        <w:t>with regional disease at initial diagnosis developed metastatic breast cancer within 5 years.</w:t>
      </w:r>
      <w:r w:rsidR="00C24187" w:rsidRPr="00427237">
        <w:rPr>
          <w:noProof/>
          <w:vertAlign w:val="superscript"/>
        </w:rPr>
        <w:t>19</w:t>
      </w:r>
      <w:r w:rsidR="00325166" w:rsidRPr="00427237">
        <w:t xml:space="preserve"> This study highlights the different statistics that occurs depending on factors</w:t>
      </w:r>
      <w:r w:rsidR="002064A0" w:rsidRPr="00427237">
        <w:t xml:space="preserve"> such as initial</w:t>
      </w:r>
      <w:r w:rsidR="0048576F" w:rsidRPr="00427237">
        <w:t xml:space="preserve"> diagnosis</w:t>
      </w:r>
      <w:r w:rsidR="00325166" w:rsidRPr="00427237">
        <w:t>.</w:t>
      </w:r>
      <w:r w:rsidR="00327BD2" w:rsidRPr="00427237">
        <w:t xml:space="preserve"> </w:t>
      </w:r>
      <w:r w:rsidR="003D7CFD" w:rsidRPr="00427237">
        <w:t xml:space="preserve">A 2012 Australian study supports </w:t>
      </w:r>
      <w:r w:rsidR="004F35EF" w:rsidRPr="00427237">
        <w:t xml:space="preserve">a view that </w:t>
      </w:r>
      <w:r w:rsidR="003D7CFD" w:rsidRPr="00427237">
        <w:t xml:space="preserve">the annual rate </w:t>
      </w:r>
      <w:r w:rsidR="00462251" w:rsidRPr="00427237">
        <w:t xml:space="preserve">at which </w:t>
      </w:r>
      <w:proofErr w:type="spellStart"/>
      <w:r w:rsidR="003D7CFD" w:rsidRPr="00427237">
        <w:t>metastastic</w:t>
      </w:r>
      <w:proofErr w:type="spellEnd"/>
      <w:r w:rsidR="003D7CFD" w:rsidRPr="00427237">
        <w:t xml:space="preserve"> breast cancer </w:t>
      </w:r>
      <w:proofErr w:type="gramStart"/>
      <w:r w:rsidR="00462251" w:rsidRPr="00427237">
        <w:t xml:space="preserve">is diagnosed </w:t>
      </w:r>
      <w:r w:rsidR="003D7CFD" w:rsidRPr="00427237">
        <w:t>peaks</w:t>
      </w:r>
      <w:proofErr w:type="gramEnd"/>
      <w:r w:rsidR="003D7CFD" w:rsidRPr="00427237">
        <w:t xml:space="preserve"> at 2 years after initial treatment.</w:t>
      </w:r>
      <w:r w:rsidR="00C24187" w:rsidRPr="00427237">
        <w:rPr>
          <w:noProof/>
          <w:vertAlign w:val="superscript"/>
        </w:rPr>
        <w:t>19</w:t>
      </w:r>
    </w:p>
    <w:p w:rsidR="00960D78" w:rsidRPr="00427237" w:rsidRDefault="00960D78" w:rsidP="00960D78">
      <w:r w:rsidRPr="00427237">
        <w:t>Based on these data 5</w:t>
      </w:r>
      <w:r w:rsidR="00081FFB" w:rsidRPr="00427237">
        <w:t>% to 15</w:t>
      </w:r>
      <w:r w:rsidRPr="00427237">
        <w:t xml:space="preserve">% of all </w:t>
      </w:r>
      <w:r w:rsidR="00592C12" w:rsidRPr="00427237">
        <w:t>patients (women and men)</w:t>
      </w:r>
      <w:r w:rsidRPr="00427237">
        <w:t xml:space="preserve"> with breast carcinoma would undergo restaging for</w:t>
      </w:r>
      <w:r w:rsidR="002D5539" w:rsidRPr="00427237">
        <w:t xml:space="preserve"> suspected</w:t>
      </w:r>
      <w:r w:rsidRPr="00427237">
        <w:t xml:space="preserve"> </w:t>
      </w:r>
      <w:r w:rsidR="000D241C" w:rsidRPr="00427237">
        <w:t xml:space="preserve">local or regional </w:t>
      </w:r>
      <w:r w:rsidRPr="00427237">
        <w:t>recurrence</w:t>
      </w:r>
      <w:r w:rsidR="00081FFB" w:rsidRPr="00427237">
        <w:t xml:space="preserve"> (closer to 5%)</w:t>
      </w:r>
      <w:r w:rsidRPr="00427237">
        <w:t xml:space="preserve"> or </w:t>
      </w:r>
      <w:r w:rsidR="002D5539" w:rsidRPr="00427237">
        <w:t xml:space="preserve">suspected </w:t>
      </w:r>
      <w:r w:rsidRPr="00427237">
        <w:t>metastatic disease</w:t>
      </w:r>
      <w:r w:rsidR="00BE6D30" w:rsidRPr="00427237">
        <w:t xml:space="preserve"> </w:t>
      </w:r>
      <w:r w:rsidR="00081FFB" w:rsidRPr="00427237">
        <w:t xml:space="preserve">(closer to 15%) </w:t>
      </w:r>
      <w:r w:rsidR="00BE6D30" w:rsidRPr="00427237">
        <w:t>annually [</w:t>
      </w:r>
      <w:r w:rsidR="00081FFB" w:rsidRPr="00427237">
        <w:t>based on HESP and applicant advice</w:t>
      </w:r>
      <w:r w:rsidR="00BE6D30" w:rsidRPr="00427237">
        <w:t>]</w:t>
      </w:r>
      <w:r w:rsidRPr="00427237">
        <w:t>.</w:t>
      </w:r>
      <w:r w:rsidR="00AB4E07" w:rsidRPr="00427237">
        <w:t xml:space="preserve"> Extrapolating to the breast cancer population, this mean</w:t>
      </w:r>
      <w:r w:rsidR="00FB1A9C" w:rsidRPr="00427237">
        <w:t>s</w:t>
      </w:r>
      <w:r w:rsidR="00AB4E07" w:rsidRPr="00427237">
        <w:t xml:space="preserve"> that 5%</w:t>
      </w:r>
      <w:r w:rsidR="00081FFB" w:rsidRPr="00427237">
        <w:t xml:space="preserve"> to 15%</w:t>
      </w:r>
      <w:r w:rsidR="00C5682F" w:rsidRPr="00427237">
        <w:t xml:space="preserve"> of 160</w:t>
      </w:r>
      <w:r w:rsidR="00AB4E07" w:rsidRPr="00427237">
        <w:t xml:space="preserve">,000 </w:t>
      </w:r>
      <w:r w:rsidR="00592C12" w:rsidRPr="00427237">
        <w:t>patients</w:t>
      </w:r>
      <w:r w:rsidR="00671D8B" w:rsidRPr="00427237">
        <w:t xml:space="preserve"> (AIHW 2008 estimate</w:t>
      </w:r>
      <w:r w:rsidR="0014097A" w:rsidRPr="00427237">
        <w:t xml:space="preserve"> for all </w:t>
      </w:r>
      <w:r w:rsidR="00592C12" w:rsidRPr="00427237">
        <w:t>patients</w:t>
      </w:r>
      <w:r w:rsidR="0014097A" w:rsidRPr="00427237">
        <w:t xml:space="preserve"> diagnosed with breast cancer</w:t>
      </w:r>
      <w:r w:rsidR="00671D8B" w:rsidRPr="00427237">
        <w:t>)</w:t>
      </w:r>
      <w:r w:rsidR="00C5682F" w:rsidRPr="00427237">
        <w:t>, or 8,000 to 24,000</w:t>
      </w:r>
      <w:r w:rsidR="00AB4E07" w:rsidRPr="00427237">
        <w:t xml:space="preserve"> </w:t>
      </w:r>
      <w:r w:rsidR="00592C12" w:rsidRPr="00427237">
        <w:t>patients</w:t>
      </w:r>
      <w:r w:rsidR="00AB4E07" w:rsidRPr="00427237">
        <w:t xml:space="preserve">, diagnosed with breast cancer </w:t>
      </w:r>
      <w:r w:rsidR="00562E78" w:rsidRPr="00427237">
        <w:t xml:space="preserve">and alive up </w:t>
      </w:r>
      <w:r w:rsidR="00C5682F" w:rsidRPr="00427237">
        <w:t>to 2008</w:t>
      </w:r>
      <w:r w:rsidR="00AB4E07" w:rsidRPr="00427237">
        <w:t xml:space="preserve"> </w:t>
      </w:r>
      <w:r w:rsidR="00462251" w:rsidRPr="00427237">
        <w:t xml:space="preserve">could </w:t>
      </w:r>
      <w:r w:rsidR="00AB4E07" w:rsidRPr="00427237">
        <w:t>undergo restaging for</w:t>
      </w:r>
      <w:r w:rsidR="002D5539" w:rsidRPr="00427237">
        <w:t xml:space="preserve"> suspected</w:t>
      </w:r>
      <w:r w:rsidR="00AB4E07" w:rsidRPr="00427237">
        <w:t xml:space="preserve"> </w:t>
      </w:r>
      <w:r w:rsidR="000D241C" w:rsidRPr="00427237">
        <w:t xml:space="preserve">local or regional </w:t>
      </w:r>
      <w:r w:rsidR="00AB4E07" w:rsidRPr="00427237">
        <w:t xml:space="preserve">recurrence or </w:t>
      </w:r>
      <w:r w:rsidR="002D5539" w:rsidRPr="00427237">
        <w:t xml:space="preserve">suspected </w:t>
      </w:r>
      <w:r w:rsidR="00AB4E07" w:rsidRPr="00427237">
        <w:t>metastatic disease.</w:t>
      </w:r>
      <w:r w:rsidRPr="00427237">
        <w:t xml:space="preserve"> </w:t>
      </w:r>
      <w:r w:rsidR="00B5694C" w:rsidRPr="00427237">
        <w:t>According to clinicians involved in the Austin Report</w:t>
      </w:r>
      <w:r w:rsidR="00C24187" w:rsidRPr="00427237">
        <w:rPr>
          <w:noProof/>
          <w:vertAlign w:val="superscript"/>
        </w:rPr>
        <w:t>4</w:t>
      </w:r>
      <w:r w:rsidR="00B5694C" w:rsidRPr="00427237">
        <w:t xml:space="preserve"> and HESP clinicians, of </w:t>
      </w:r>
      <w:r w:rsidRPr="00427237">
        <w:t>these patients, 30% would have equivocal conventional imaging studies and be suitable for PET evaluation</w:t>
      </w:r>
      <w:r w:rsidR="0002599D" w:rsidRPr="00427237">
        <w:t xml:space="preserve"> (</w:t>
      </w:r>
      <w:r w:rsidR="00DA098D" w:rsidRPr="00427237">
        <w:t xml:space="preserve">i.e. </w:t>
      </w:r>
      <w:r w:rsidR="008417AC" w:rsidRPr="00427237">
        <w:t>2,40</w:t>
      </w:r>
      <w:r w:rsidR="0002599D" w:rsidRPr="00427237">
        <w:t>0</w:t>
      </w:r>
      <w:r w:rsidR="00012356" w:rsidRPr="00427237">
        <w:t xml:space="preserve"> </w:t>
      </w:r>
      <w:r w:rsidR="00592C12" w:rsidRPr="00427237">
        <w:t xml:space="preserve">patients </w:t>
      </w:r>
      <w:r w:rsidR="00012356" w:rsidRPr="00427237">
        <w:t xml:space="preserve">for suspected locally or regionally advanced breast cancer </w:t>
      </w:r>
      <w:proofErr w:type="gramStart"/>
      <w:r w:rsidR="00012356" w:rsidRPr="00427237">
        <w:t xml:space="preserve">and </w:t>
      </w:r>
      <w:r w:rsidR="0002599D" w:rsidRPr="00427237">
        <w:t xml:space="preserve"> </w:t>
      </w:r>
      <w:r w:rsidR="008417AC" w:rsidRPr="00427237">
        <w:t>7,200</w:t>
      </w:r>
      <w:proofErr w:type="gramEnd"/>
      <w:r w:rsidR="008417AC" w:rsidRPr="00427237">
        <w:t xml:space="preserve"> </w:t>
      </w:r>
      <w:r w:rsidR="00592C12" w:rsidRPr="00427237">
        <w:t xml:space="preserve">patients </w:t>
      </w:r>
      <w:r w:rsidR="00012356" w:rsidRPr="00427237">
        <w:t>for suspected metastatic breast cancer</w:t>
      </w:r>
      <w:r w:rsidR="0002599D" w:rsidRPr="00427237">
        <w:t>)</w:t>
      </w:r>
      <w:r w:rsidR="001D1B85" w:rsidRPr="00427237">
        <w:t>.</w:t>
      </w:r>
      <w:r w:rsidR="00FE4431" w:rsidRPr="00427237">
        <w:t xml:space="preserve"> However, since this is an estimate from clinical experience, it is unclear exactly how accurate this number is.</w:t>
      </w:r>
    </w:p>
    <w:p w:rsidR="003E4C3B" w:rsidRPr="00427237" w:rsidRDefault="003E4C3B">
      <w:pPr>
        <w:spacing w:after="0" w:line="240" w:lineRule="auto"/>
        <w:jc w:val="left"/>
        <w:rPr>
          <w:b/>
          <w:bCs/>
          <w:caps/>
          <w:color w:val="215868"/>
          <w:sz w:val="24"/>
          <w:szCs w:val="32"/>
        </w:rPr>
      </w:pPr>
    </w:p>
    <w:p w:rsidR="000F3C0D" w:rsidRPr="00427237" w:rsidRDefault="000F3C0D" w:rsidP="00D826A2">
      <w:pPr>
        <w:pStyle w:val="Heading1"/>
      </w:pPr>
      <w:bookmarkStart w:id="35" w:name="_Ref371346175"/>
      <w:bookmarkStart w:id="36" w:name="_Toc379534806"/>
      <w:bookmarkStart w:id="37" w:name="_Toc379962700"/>
      <w:r w:rsidRPr="00427237">
        <w:t>Intervention</w:t>
      </w:r>
      <w:bookmarkEnd w:id="35"/>
      <w:bookmarkEnd w:id="36"/>
      <w:bookmarkEnd w:id="37"/>
    </w:p>
    <w:p w:rsidR="000F3C0D" w:rsidRPr="00427237" w:rsidRDefault="000F3C0D" w:rsidP="000F3C0D">
      <w:pPr>
        <w:pStyle w:val="Heading2"/>
        <w:rPr>
          <w:szCs w:val="22"/>
        </w:rPr>
      </w:pPr>
      <w:bookmarkStart w:id="38" w:name="_Toc379534807"/>
      <w:bookmarkStart w:id="39" w:name="_Toc379962701"/>
      <w:r w:rsidRPr="00427237">
        <w:rPr>
          <w:szCs w:val="22"/>
        </w:rPr>
        <w:t>Description</w:t>
      </w:r>
      <w:bookmarkEnd w:id="38"/>
      <w:bookmarkEnd w:id="39"/>
    </w:p>
    <w:p w:rsidR="00AE6A6D" w:rsidRPr="00427237" w:rsidRDefault="00AE6A6D" w:rsidP="00AE6A6D">
      <w:pPr>
        <w:rPr>
          <w:szCs w:val="22"/>
        </w:rPr>
      </w:pPr>
      <w:r w:rsidRPr="00427237">
        <w:rPr>
          <w:szCs w:val="22"/>
        </w:rPr>
        <w:t>PET is a minimally invasive nuclear medicine imaging technique that uses short-lived radiopharmaceuticals to detect and assess perfusion and metabolic activity in various organ systems. It provides information about function and metabolism that is complementary to the structural information provided by anatomical imaging techniques such as x-ray computed tomography (CT).</w:t>
      </w:r>
      <w:r w:rsidR="00C24187" w:rsidRPr="00427237">
        <w:rPr>
          <w:noProof/>
          <w:szCs w:val="22"/>
          <w:vertAlign w:val="superscript"/>
        </w:rPr>
        <w:t>20</w:t>
      </w:r>
    </w:p>
    <w:p w:rsidR="00946B96" w:rsidRPr="00427237" w:rsidRDefault="00AE6A6D" w:rsidP="00AE6A6D">
      <w:pPr>
        <w:rPr>
          <w:szCs w:val="22"/>
        </w:rPr>
      </w:pPr>
      <w:r w:rsidRPr="00427237">
        <w:rPr>
          <w:szCs w:val="22"/>
        </w:rPr>
        <w:t>This review is restricted to the radiopharmaceutical</w:t>
      </w:r>
      <w:r w:rsidR="00891B7F" w:rsidRPr="00427237">
        <w:rPr>
          <w:szCs w:val="22"/>
        </w:rPr>
        <w:t xml:space="preserve"> </w:t>
      </w:r>
      <w:r w:rsidR="00891B7F" w:rsidRPr="00427237">
        <w:rPr>
          <w:szCs w:val="22"/>
          <w:vertAlign w:val="superscript"/>
        </w:rPr>
        <w:t>18</w:t>
      </w:r>
      <w:r w:rsidR="00891B7F" w:rsidRPr="00427237">
        <w:rPr>
          <w:szCs w:val="22"/>
        </w:rPr>
        <w:t>F-FDG (2-[</w:t>
      </w:r>
      <w:r w:rsidR="00891B7F" w:rsidRPr="00427237">
        <w:rPr>
          <w:szCs w:val="22"/>
          <w:vertAlign w:val="superscript"/>
        </w:rPr>
        <w:t>18</w:t>
      </w:r>
      <w:r w:rsidR="00891B7F" w:rsidRPr="00427237">
        <w:rPr>
          <w:szCs w:val="22"/>
        </w:rPr>
        <w:t>F]fluoro-2-deoxy-</w:t>
      </w:r>
      <w:r w:rsidR="00950843" w:rsidRPr="00427237">
        <w:rPr>
          <w:szCs w:val="22"/>
        </w:rPr>
        <w:t>D-</w:t>
      </w:r>
      <w:r w:rsidRPr="00427237">
        <w:rPr>
          <w:szCs w:val="22"/>
        </w:rPr>
        <w:t>glucose, FDG), a ra</w:t>
      </w:r>
      <w:r w:rsidR="00046E1A" w:rsidRPr="00427237">
        <w:rPr>
          <w:szCs w:val="22"/>
        </w:rPr>
        <w:t>diolabelled analogue of glucose, which has</w:t>
      </w:r>
      <w:r w:rsidRPr="00427237">
        <w:rPr>
          <w:szCs w:val="22"/>
        </w:rPr>
        <w:t xml:space="preserve"> greater uptake by many malignant tumours </w:t>
      </w:r>
      <w:r w:rsidR="004B2B5D" w:rsidRPr="00427237">
        <w:rPr>
          <w:szCs w:val="22"/>
        </w:rPr>
        <w:t>compared to</w:t>
      </w:r>
      <w:r w:rsidRPr="00427237">
        <w:rPr>
          <w:szCs w:val="22"/>
        </w:rPr>
        <w:t xml:space="preserve"> normal surrounding tissue.</w:t>
      </w:r>
      <w:r w:rsidR="00C24187" w:rsidRPr="00427237">
        <w:rPr>
          <w:noProof/>
          <w:szCs w:val="22"/>
          <w:vertAlign w:val="superscript"/>
        </w:rPr>
        <w:t>20</w:t>
      </w:r>
      <w:r w:rsidRPr="00427237">
        <w:rPr>
          <w:szCs w:val="22"/>
        </w:rPr>
        <w:t xml:space="preserve"> </w:t>
      </w:r>
      <w:r w:rsidR="00115BDC" w:rsidRPr="00427237">
        <w:rPr>
          <w:szCs w:val="22"/>
          <w:vertAlign w:val="superscript"/>
        </w:rPr>
        <w:t>18</w:t>
      </w:r>
      <w:r w:rsidR="00115BDC" w:rsidRPr="00427237">
        <w:rPr>
          <w:szCs w:val="22"/>
        </w:rPr>
        <w:t>F</w:t>
      </w:r>
      <w:r w:rsidR="00D76266" w:rsidRPr="00427237">
        <w:rPr>
          <w:szCs w:val="22"/>
        </w:rPr>
        <w:t>-</w:t>
      </w:r>
      <w:r w:rsidRPr="00427237">
        <w:rPr>
          <w:szCs w:val="22"/>
        </w:rPr>
        <w:t xml:space="preserve">FDG </w:t>
      </w:r>
      <w:r w:rsidR="00115BDC" w:rsidRPr="00427237">
        <w:rPr>
          <w:szCs w:val="22"/>
        </w:rPr>
        <w:t xml:space="preserve">is </w:t>
      </w:r>
      <w:r w:rsidRPr="00427237">
        <w:rPr>
          <w:szCs w:val="22"/>
        </w:rPr>
        <w:t>phosphorylated and become</w:t>
      </w:r>
      <w:r w:rsidR="00115BDC" w:rsidRPr="00427237">
        <w:rPr>
          <w:szCs w:val="22"/>
        </w:rPr>
        <w:t>s</w:t>
      </w:r>
      <w:r w:rsidRPr="00427237">
        <w:rPr>
          <w:szCs w:val="22"/>
        </w:rPr>
        <w:t xml:space="preserve"> trapped </w:t>
      </w:r>
      <w:proofErr w:type="spellStart"/>
      <w:r w:rsidRPr="00427237">
        <w:rPr>
          <w:szCs w:val="22"/>
        </w:rPr>
        <w:t>intracellularly</w:t>
      </w:r>
      <w:proofErr w:type="spellEnd"/>
      <w:r w:rsidR="00115BDC" w:rsidRPr="00427237">
        <w:rPr>
          <w:szCs w:val="22"/>
        </w:rPr>
        <w:t xml:space="preserve"> in the target cells </w:t>
      </w:r>
      <w:r w:rsidR="006C280B" w:rsidRPr="00427237">
        <w:rPr>
          <w:szCs w:val="22"/>
        </w:rPr>
        <w:t xml:space="preserve">where it </w:t>
      </w:r>
      <w:r w:rsidRPr="00427237">
        <w:rPr>
          <w:szCs w:val="22"/>
        </w:rPr>
        <w:t xml:space="preserve">remains essentially </w:t>
      </w:r>
      <w:proofErr w:type="spellStart"/>
      <w:r w:rsidRPr="00427237">
        <w:rPr>
          <w:szCs w:val="22"/>
        </w:rPr>
        <w:t>unmetabolised</w:t>
      </w:r>
      <w:proofErr w:type="spellEnd"/>
      <w:r w:rsidRPr="00427237">
        <w:rPr>
          <w:szCs w:val="22"/>
        </w:rPr>
        <w:t xml:space="preserve"> and accumulates</w:t>
      </w:r>
      <w:r w:rsidR="0011640D" w:rsidRPr="00427237">
        <w:rPr>
          <w:szCs w:val="22"/>
        </w:rPr>
        <w:t>.</w:t>
      </w:r>
      <w:r w:rsidR="00C24187" w:rsidRPr="00427237">
        <w:rPr>
          <w:noProof/>
          <w:szCs w:val="22"/>
          <w:vertAlign w:val="superscript"/>
        </w:rPr>
        <w:t>21</w:t>
      </w:r>
      <w:r w:rsidRPr="00427237">
        <w:rPr>
          <w:szCs w:val="22"/>
        </w:rPr>
        <w:t xml:space="preserve"> This accumulation is seen as a ‘hot spot’ on PET imaging</w:t>
      </w:r>
      <w:r w:rsidR="00046E1A" w:rsidRPr="00427237">
        <w:rPr>
          <w:szCs w:val="22"/>
        </w:rPr>
        <w:t xml:space="preserve"> </w:t>
      </w:r>
      <w:r w:rsidR="006C280B" w:rsidRPr="00427237">
        <w:rPr>
          <w:szCs w:val="22"/>
        </w:rPr>
        <w:t xml:space="preserve">assessed visually or </w:t>
      </w:r>
      <w:proofErr w:type="spellStart"/>
      <w:r w:rsidR="006C280B" w:rsidRPr="00427237">
        <w:rPr>
          <w:szCs w:val="22"/>
        </w:rPr>
        <w:t>semiquantitatively</w:t>
      </w:r>
      <w:proofErr w:type="spellEnd"/>
      <w:r w:rsidR="006C280B" w:rsidRPr="00427237">
        <w:rPr>
          <w:szCs w:val="22"/>
        </w:rPr>
        <w:t xml:space="preserve"> </w:t>
      </w:r>
      <w:r w:rsidR="00046E1A" w:rsidRPr="00427237">
        <w:rPr>
          <w:szCs w:val="22"/>
        </w:rPr>
        <w:t xml:space="preserve">by </w:t>
      </w:r>
      <w:r w:rsidRPr="00427237">
        <w:rPr>
          <w:szCs w:val="22"/>
        </w:rPr>
        <w:t xml:space="preserve">the standardised uptake value (SUV). </w:t>
      </w:r>
      <w:r w:rsidR="00046E1A" w:rsidRPr="00427237">
        <w:rPr>
          <w:szCs w:val="22"/>
        </w:rPr>
        <w:t xml:space="preserve">SUV </w:t>
      </w:r>
      <w:r w:rsidRPr="00427237">
        <w:rPr>
          <w:szCs w:val="22"/>
        </w:rPr>
        <w:t xml:space="preserve">estimates the uptake of </w:t>
      </w:r>
      <w:r w:rsidR="00D76266" w:rsidRPr="00427237">
        <w:rPr>
          <w:szCs w:val="22"/>
          <w:vertAlign w:val="superscript"/>
        </w:rPr>
        <w:t>18</w:t>
      </w:r>
      <w:r w:rsidR="00D76266" w:rsidRPr="00427237">
        <w:rPr>
          <w:szCs w:val="22"/>
        </w:rPr>
        <w:t>F-FDG</w:t>
      </w:r>
      <w:r w:rsidRPr="00427237">
        <w:rPr>
          <w:szCs w:val="22"/>
        </w:rPr>
        <w:t xml:space="preserve"> in the volume of interest relative to the mean uptake in the rest of the body (usually normalised to body weight), with </w:t>
      </w:r>
      <w:r w:rsidR="006C280B" w:rsidRPr="00427237">
        <w:rPr>
          <w:szCs w:val="22"/>
        </w:rPr>
        <w:t>higher values</w:t>
      </w:r>
      <w:r w:rsidRPr="00427237">
        <w:rPr>
          <w:szCs w:val="22"/>
        </w:rPr>
        <w:t xml:space="preserve"> (typically &gt;2.5) being </w:t>
      </w:r>
      <w:r w:rsidR="006C280B" w:rsidRPr="00427237">
        <w:rPr>
          <w:szCs w:val="22"/>
        </w:rPr>
        <w:t>associated with an increased likelihood of malignancy</w:t>
      </w:r>
      <w:r w:rsidR="00946B96" w:rsidRPr="00427237">
        <w:rPr>
          <w:szCs w:val="22"/>
        </w:rPr>
        <w:t>.</w:t>
      </w:r>
      <w:r w:rsidR="00C24187" w:rsidRPr="00427237">
        <w:rPr>
          <w:noProof/>
          <w:szCs w:val="22"/>
          <w:vertAlign w:val="superscript"/>
        </w:rPr>
        <w:t>20</w:t>
      </w:r>
      <w:r w:rsidR="00FE4431" w:rsidRPr="00427237">
        <w:rPr>
          <w:szCs w:val="22"/>
        </w:rPr>
        <w:t xml:space="preserve"> SUV is also affected by a large number of other variables beyond just the malignancy itself.</w:t>
      </w:r>
    </w:p>
    <w:p w:rsidR="00D54E0C" w:rsidRPr="00427237" w:rsidRDefault="00946B96" w:rsidP="00AE6A6D">
      <w:pPr>
        <w:rPr>
          <w:szCs w:val="22"/>
        </w:rPr>
      </w:pPr>
      <w:r w:rsidRPr="00427237">
        <w:rPr>
          <w:szCs w:val="22"/>
        </w:rPr>
        <w:t xml:space="preserve">In this </w:t>
      </w:r>
      <w:r w:rsidR="006E202C" w:rsidRPr="00427237">
        <w:rPr>
          <w:szCs w:val="22"/>
        </w:rPr>
        <w:t>p</w:t>
      </w:r>
      <w:r w:rsidR="00270BAD" w:rsidRPr="00427237">
        <w:rPr>
          <w:szCs w:val="22"/>
        </w:rPr>
        <w:t>rotocol</w:t>
      </w:r>
      <w:r w:rsidR="005C1A5F" w:rsidRPr="00427237">
        <w:rPr>
          <w:szCs w:val="22"/>
        </w:rPr>
        <w:t xml:space="preserve"> </w:t>
      </w:r>
      <w:r w:rsidRPr="00427237">
        <w:rPr>
          <w:szCs w:val="22"/>
        </w:rPr>
        <w:t xml:space="preserve">the </w:t>
      </w:r>
      <w:r w:rsidR="00AE6A6D" w:rsidRPr="00427237">
        <w:rPr>
          <w:szCs w:val="22"/>
        </w:rPr>
        <w:t xml:space="preserve">term ‘PET’ is used to refer to either PET or PET/CT. The term ‘PET/CT’ is used where specific reference to this modality is made. </w:t>
      </w:r>
      <w:r w:rsidR="006C280B" w:rsidRPr="00427237">
        <w:rPr>
          <w:szCs w:val="22"/>
        </w:rPr>
        <w:t>C</w:t>
      </w:r>
      <w:r w:rsidR="00AE6A6D" w:rsidRPr="00427237">
        <w:rPr>
          <w:szCs w:val="22"/>
        </w:rPr>
        <w:t>urrent and future practice will relate to the use of PET/CT</w:t>
      </w:r>
      <w:r w:rsidR="00C03C81" w:rsidRPr="00427237">
        <w:rPr>
          <w:szCs w:val="22"/>
        </w:rPr>
        <w:t xml:space="preserve"> machines</w:t>
      </w:r>
      <w:r w:rsidR="00433848" w:rsidRPr="00427237">
        <w:rPr>
          <w:szCs w:val="22"/>
        </w:rPr>
        <w:t xml:space="preserve">, as all PET machines sold </w:t>
      </w:r>
      <w:r w:rsidR="007B19EB" w:rsidRPr="00427237">
        <w:rPr>
          <w:szCs w:val="22"/>
        </w:rPr>
        <w:t xml:space="preserve">now in Australia are </w:t>
      </w:r>
      <w:r w:rsidR="00433848" w:rsidRPr="00427237">
        <w:rPr>
          <w:szCs w:val="22"/>
        </w:rPr>
        <w:t>PET/CT machines</w:t>
      </w:r>
      <w:r w:rsidR="00AE6A6D" w:rsidRPr="00427237">
        <w:rPr>
          <w:szCs w:val="22"/>
        </w:rPr>
        <w:t>.</w:t>
      </w:r>
      <w:r w:rsidRPr="00427237">
        <w:rPr>
          <w:szCs w:val="22"/>
        </w:rPr>
        <w:t xml:space="preserve"> </w:t>
      </w:r>
      <w:r w:rsidR="00AE6A6D" w:rsidRPr="00427237">
        <w:rPr>
          <w:szCs w:val="22"/>
        </w:rPr>
        <w:t xml:space="preserve">A more detailed </w:t>
      </w:r>
      <w:r w:rsidR="00AE6A6D" w:rsidRPr="00427237">
        <w:rPr>
          <w:szCs w:val="22"/>
        </w:rPr>
        <w:lastRenderedPageBreak/>
        <w:t>description of PET and PET/CT is provided in the previous MSAC review</w:t>
      </w:r>
      <w:r w:rsidR="005F0FE2" w:rsidRPr="00427237">
        <w:rPr>
          <w:szCs w:val="22"/>
        </w:rPr>
        <w:t>s</w:t>
      </w:r>
      <w:r w:rsidR="00AE6A6D" w:rsidRPr="00427237">
        <w:rPr>
          <w:szCs w:val="22"/>
        </w:rPr>
        <w:t xml:space="preserve"> of PET for </w:t>
      </w:r>
      <w:r w:rsidR="005F0FE2" w:rsidRPr="00427237">
        <w:rPr>
          <w:szCs w:val="22"/>
        </w:rPr>
        <w:t xml:space="preserve">various </w:t>
      </w:r>
      <w:r w:rsidR="00AE6A6D" w:rsidRPr="00427237">
        <w:rPr>
          <w:szCs w:val="22"/>
        </w:rPr>
        <w:t>cancer</w:t>
      </w:r>
      <w:r w:rsidR="005F0FE2" w:rsidRPr="00427237">
        <w:rPr>
          <w:szCs w:val="22"/>
        </w:rPr>
        <w:t>s</w:t>
      </w:r>
      <w:r w:rsidR="00723D4E" w:rsidRPr="00427237">
        <w:rPr>
          <w:szCs w:val="22"/>
        </w:rPr>
        <w:t>.</w:t>
      </w:r>
      <w:r w:rsidR="00C24187" w:rsidRPr="00427237">
        <w:rPr>
          <w:noProof/>
          <w:szCs w:val="22"/>
          <w:vertAlign w:val="superscript"/>
        </w:rPr>
        <w:t>3, 20</w:t>
      </w:r>
    </w:p>
    <w:p w:rsidR="00A830E4" w:rsidRPr="00427237" w:rsidRDefault="00A830E4" w:rsidP="00A830E4">
      <w:pPr>
        <w:pStyle w:val="Heading2"/>
        <w:rPr>
          <w:szCs w:val="22"/>
        </w:rPr>
      </w:pPr>
      <w:bookmarkStart w:id="40" w:name="_Toc379534808"/>
      <w:bookmarkStart w:id="41" w:name="_Toc379962702"/>
      <w:r w:rsidRPr="00427237">
        <w:rPr>
          <w:szCs w:val="22"/>
        </w:rPr>
        <w:t>Regulatory status</w:t>
      </w:r>
      <w:bookmarkEnd w:id="40"/>
      <w:bookmarkEnd w:id="41"/>
    </w:p>
    <w:p w:rsidR="00A878EA" w:rsidRPr="00427237" w:rsidRDefault="00A878EA" w:rsidP="00A830E4">
      <w:pPr>
        <w:rPr>
          <w:szCs w:val="22"/>
          <w:u w:val="single"/>
        </w:rPr>
      </w:pPr>
      <w:r w:rsidRPr="00427237">
        <w:rPr>
          <w:szCs w:val="22"/>
          <w:u w:val="single"/>
        </w:rPr>
        <w:t>PET machines:</w:t>
      </w:r>
    </w:p>
    <w:p w:rsidR="00316C88" w:rsidRPr="00427237" w:rsidRDefault="005643E9" w:rsidP="00316C88">
      <w:pPr>
        <w:rPr>
          <w:szCs w:val="22"/>
        </w:rPr>
      </w:pPr>
      <w:r w:rsidRPr="00427237">
        <w:rPr>
          <w:szCs w:val="22"/>
        </w:rPr>
        <w:t>There are 3</w:t>
      </w:r>
      <w:r w:rsidR="00555B97" w:rsidRPr="00427237">
        <w:rPr>
          <w:szCs w:val="22"/>
        </w:rPr>
        <w:t xml:space="preserve"> registered </w:t>
      </w:r>
      <w:r w:rsidR="009A1784" w:rsidRPr="00427237">
        <w:rPr>
          <w:szCs w:val="22"/>
        </w:rPr>
        <w:t xml:space="preserve">ARTG </w:t>
      </w:r>
      <w:r w:rsidR="004A3B11" w:rsidRPr="00427237">
        <w:rPr>
          <w:szCs w:val="22"/>
        </w:rPr>
        <w:t>PET machine</w:t>
      </w:r>
      <w:r w:rsidRPr="00427237">
        <w:rPr>
          <w:szCs w:val="22"/>
        </w:rPr>
        <w:t xml:space="preserve"> types</w:t>
      </w:r>
      <w:r w:rsidR="007062B8" w:rsidRPr="00427237">
        <w:rPr>
          <w:szCs w:val="22"/>
        </w:rPr>
        <w:t xml:space="preserve">. </w:t>
      </w:r>
      <w:r w:rsidR="00316C88" w:rsidRPr="00427237">
        <w:rPr>
          <w:szCs w:val="22"/>
        </w:rPr>
        <w:t>Please note that there are many more machines available in Australia than listed here. The ARTG database only listed the few machines reported here. These few are meant to encompass a product range or family of medical devices rather than a specific device. [Correspondence with the Medical Devices Information Unit, TGA]</w:t>
      </w:r>
    </w:p>
    <w:p w:rsidR="000E5540" w:rsidRPr="00427237" w:rsidRDefault="00316C88" w:rsidP="007062B8">
      <w:pPr>
        <w:rPr>
          <w:szCs w:val="22"/>
        </w:rPr>
      </w:pPr>
      <w:r w:rsidRPr="00427237">
        <w:rPr>
          <w:szCs w:val="22"/>
        </w:rPr>
        <w:t>The listed PET machines</w:t>
      </w:r>
      <w:r w:rsidR="007062B8" w:rsidRPr="00427237">
        <w:rPr>
          <w:szCs w:val="22"/>
        </w:rPr>
        <w:t xml:space="preserve"> are</w:t>
      </w:r>
      <w:r w:rsidR="00995176" w:rsidRPr="00427237">
        <w:rPr>
          <w:szCs w:val="22"/>
        </w:rPr>
        <w:t xml:space="preserve"> </w:t>
      </w:r>
      <w:r w:rsidR="00555B97" w:rsidRPr="00427237">
        <w:rPr>
          <w:szCs w:val="22"/>
        </w:rPr>
        <w:t xml:space="preserve">GE Healthcare </w:t>
      </w:r>
      <w:r w:rsidR="00995176" w:rsidRPr="00427237">
        <w:rPr>
          <w:szCs w:val="22"/>
        </w:rPr>
        <w:t xml:space="preserve">Australia Pty </w:t>
      </w:r>
      <w:proofErr w:type="spellStart"/>
      <w:r w:rsidR="00995176" w:rsidRPr="00427237">
        <w:rPr>
          <w:szCs w:val="22"/>
        </w:rPr>
        <w:t>Ltd’s</w:t>
      </w:r>
      <w:proofErr w:type="spellEnd"/>
      <w:r w:rsidR="00995176" w:rsidRPr="00427237">
        <w:rPr>
          <w:szCs w:val="22"/>
        </w:rPr>
        <w:t xml:space="preserve"> ARTG #156649 and </w:t>
      </w:r>
      <w:r w:rsidR="00B022DD" w:rsidRPr="00427237">
        <w:rPr>
          <w:szCs w:val="22"/>
        </w:rPr>
        <w:t>ARTG #114476</w:t>
      </w:r>
      <w:r w:rsidR="007062B8" w:rsidRPr="00427237">
        <w:rPr>
          <w:szCs w:val="22"/>
        </w:rPr>
        <w:t>m, and P</w:t>
      </w:r>
      <w:r w:rsidR="002D19C6" w:rsidRPr="00427237">
        <w:rPr>
          <w:szCs w:val="22"/>
        </w:rPr>
        <w:t>hi</w:t>
      </w:r>
      <w:r w:rsidR="00995176" w:rsidRPr="00427237">
        <w:rPr>
          <w:szCs w:val="22"/>
        </w:rPr>
        <w:t>llips Electronics Australia Pty’s ARTG #147067.</w:t>
      </w:r>
      <w:r w:rsidR="00284D53" w:rsidRPr="00427237">
        <w:rPr>
          <w:szCs w:val="22"/>
        </w:rPr>
        <w:t xml:space="preserve"> </w:t>
      </w:r>
      <w:r w:rsidR="00D513F3" w:rsidRPr="00427237">
        <w:rPr>
          <w:szCs w:val="22"/>
        </w:rPr>
        <w:t xml:space="preserve">There are </w:t>
      </w:r>
      <w:r w:rsidR="00427237">
        <w:rPr>
          <w:szCs w:val="22"/>
        </w:rPr>
        <w:t>three</w:t>
      </w:r>
      <w:r w:rsidR="005643E9" w:rsidRPr="00427237">
        <w:rPr>
          <w:szCs w:val="22"/>
        </w:rPr>
        <w:t xml:space="preserve"> </w:t>
      </w:r>
      <w:r w:rsidR="002E66EE" w:rsidRPr="00427237">
        <w:rPr>
          <w:szCs w:val="22"/>
        </w:rPr>
        <w:t xml:space="preserve">registered </w:t>
      </w:r>
      <w:r w:rsidR="005643E9" w:rsidRPr="00427237">
        <w:rPr>
          <w:szCs w:val="22"/>
        </w:rPr>
        <w:t>PET/CT machine types</w:t>
      </w:r>
      <w:r w:rsidR="007062B8" w:rsidRPr="00427237">
        <w:rPr>
          <w:szCs w:val="22"/>
        </w:rPr>
        <w:t xml:space="preserve">. These are Siemens </w:t>
      </w:r>
      <w:proofErr w:type="spellStart"/>
      <w:r w:rsidR="007062B8" w:rsidRPr="00427237">
        <w:rPr>
          <w:szCs w:val="22"/>
        </w:rPr>
        <w:t>Ltd’s</w:t>
      </w:r>
      <w:proofErr w:type="spellEnd"/>
      <w:r w:rsidR="007062B8" w:rsidRPr="00427237">
        <w:rPr>
          <w:szCs w:val="22"/>
        </w:rPr>
        <w:t xml:space="preserve"> ARTG #144218, </w:t>
      </w:r>
      <w:r w:rsidR="003C7BFA" w:rsidRPr="00427237">
        <w:rPr>
          <w:szCs w:val="22"/>
        </w:rPr>
        <w:t>Ph</w:t>
      </w:r>
      <w:r w:rsidR="00995176" w:rsidRPr="00427237">
        <w:rPr>
          <w:szCs w:val="22"/>
        </w:rPr>
        <w:t xml:space="preserve">ilips Electronics Australia </w:t>
      </w:r>
      <w:proofErr w:type="spellStart"/>
      <w:r w:rsidR="00995176" w:rsidRPr="00427237">
        <w:rPr>
          <w:szCs w:val="22"/>
        </w:rPr>
        <w:t>Ltd’s</w:t>
      </w:r>
      <w:proofErr w:type="spellEnd"/>
      <w:r w:rsidR="00995176" w:rsidRPr="00427237">
        <w:rPr>
          <w:szCs w:val="22"/>
        </w:rPr>
        <w:t xml:space="preserve"> ARTG #118077</w:t>
      </w:r>
      <w:r w:rsidR="00427237" w:rsidRPr="00427237">
        <w:rPr>
          <w:szCs w:val="22"/>
        </w:rPr>
        <w:t>, and Regional Health Care</w:t>
      </w:r>
      <w:r w:rsidR="00427237">
        <w:rPr>
          <w:szCs w:val="22"/>
        </w:rPr>
        <w:t xml:space="preserve"> Group </w:t>
      </w:r>
      <w:r w:rsidR="00427237" w:rsidRPr="00427237">
        <w:rPr>
          <w:szCs w:val="22"/>
        </w:rPr>
        <w:t>#181317</w:t>
      </w:r>
      <w:r w:rsidR="00995176" w:rsidRPr="00427237">
        <w:rPr>
          <w:szCs w:val="22"/>
        </w:rPr>
        <w:t>.</w:t>
      </w:r>
      <w:r w:rsidR="00284D53" w:rsidRPr="00427237">
        <w:rPr>
          <w:szCs w:val="22"/>
        </w:rPr>
        <w:t xml:space="preserve"> </w:t>
      </w:r>
      <w:r w:rsidR="0003763F" w:rsidRPr="00427237">
        <w:rPr>
          <w:szCs w:val="22"/>
        </w:rPr>
        <w:t xml:space="preserve">There are </w:t>
      </w:r>
      <w:r w:rsidR="00427237">
        <w:rPr>
          <w:szCs w:val="22"/>
        </w:rPr>
        <w:t xml:space="preserve">two </w:t>
      </w:r>
      <w:r w:rsidR="002E66EE" w:rsidRPr="00427237">
        <w:rPr>
          <w:szCs w:val="22"/>
        </w:rPr>
        <w:t xml:space="preserve">registered </w:t>
      </w:r>
      <w:r w:rsidR="00D513F3" w:rsidRPr="00427237">
        <w:rPr>
          <w:szCs w:val="22"/>
        </w:rPr>
        <w:t xml:space="preserve">PET/MRI machine </w:t>
      </w:r>
      <w:r w:rsidR="0003763F" w:rsidRPr="00427237">
        <w:rPr>
          <w:szCs w:val="22"/>
        </w:rPr>
        <w:t>types</w:t>
      </w:r>
      <w:r w:rsidR="007062B8" w:rsidRPr="00427237">
        <w:rPr>
          <w:szCs w:val="22"/>
        </w:rPr>
        <w:t xml:space="preserve">. These are Siemens </w:t>
      </w:r>
      <w:proofErr w:type="spellStart"/>
      <w:r w:rsidR="007062B8" w:rsidRPr="00427237">
        <w:rPr>
          <w:szCs w:val="22"/>
        </w:rPr>
        <w:t>Ltd’s</w:t>
      </w:r>
      <w:proofErr w:type="spellEnd"/>
      <w:r w:rsidR="007062B8" w:rsidRPr="00427237">
        <w:rPr>
          <w:szCs w:val="22"/>
        </w:rPr>
        <w:t xml:space="preserve"> ARTG #188470, and </w:t>
      </w:r>
      <w:r w:rsidR="00B7349F" w:rsidRPr="00427237">
        <w:rPr>
          <w:szCs w:val="22"/>
        </w:rPr>
        <w:t>Ph</w:t>
      </w:r>
      <w:r w:rsidR="00995176" w:rsidRPr="00427237">
        <w:rPr>
          <w:szCs w:val="22"/>
        </w:rPr>
        <w:t xml:space="preserve">ilips Electronics Australia </w:t>
      </w:r>
      <w:proofErr w:type="spellStart"/>
      <w:r w:rsidR="00995176" w:rsidRPr="00427237">
        <w:rPr>
          <w:szCs w:val="22"/>
        </w:rPr>
        <w:t>Ltd’s</w:t>
      </w:r>
      <w:proofErr w:type="spellEnd"/>
      <w:r w:rsidR="00995176" w:rsidRPr="00427237">
        <w:rPr>
          <w:szCs w:val="22"/>
        </w:rPr>
        <w:t xml:space="preserve"> ARTG #193622.</w:t>
      </w:r>
      <w:r w:rsidR="00284D53" w:rsidRPr="00427237">
        <w:rPr>
          <w:szCs w:val="22"/>
        </w:rPr>
        <w:t xml:space="preserve"> </w:t>
      </w:r>
      <w:r w:rsidR="00874153" w:rsidRPr="00427237">
        <w:rPr>
          <w:szCs w:val="22"/>
        </w:rPr>
        <w:t xml:space="preserve">There are also </w:t>
      </w:r>
      <w:r w:rsidR="00427237">
        <w:rPr>
          <w:szCs w:val="22"/>
        </w:rPr>
        <w:t>four</w:t>
      </w:r>
      <w:r w:rsidR="00874153" w:rsidRPr="00427237">
        <w:rPr>
          <w:szCs w:val="22"/>
        </w:rPr>
        <w:t xml:space="preserve"> </w:t>
      </w:r>
      <w:r w:rsidR="0003763F" w:rsidRPr="00427237">
        <w:rPr>
          <w:szCs w:val="22"/>
        </w:rPr>
        <w:t xml:space="preserve">registered </w:t>
      </w:r>
      <w:r w:rsidR="00874153" w:rsidRPr="00427237">
        <w:rPr>
          <w:szCs w:val="22"/>
        </w:rPr>
        <w:t xml:space="preserve">PET imaging </w:t>
      </w:r>
      <w:proofErr w:type="spellStart"/>
      <w:r w:rsidR="00874153" w:rsidRPr="00427237">
        <w:rPr>
          <w:szCs w:val="22"/>
        </w:rPr>
        <w:t>software</w:t>
      </w:r>
      <w:r w:rsidR="00B1150A" w:rsidRPr="00427237">
        <w:rPr>
          <w:szCs w:val="22"/>
        </w:rPr>
        <w:t>s</w:t>
      </w:r>
      <w:proofErr w:type="spellEnd"/>
      <w:r w:rsidR="00874153" w:rsidRPr="00427237">
        <w:rPr>
          <w:szCs w:val="22"/>
        </w:rPr>
        <w:t xml:space="preserve"> available.</w:t>
      </w:r>
      <w:r w:rsidR="000B491E" w:rsidRPr="00427237">
        <w:rPr>
          <w:szCs w:val="22"/>
        </w:rPr>
        <w:t xml:space="preserve"> </w:t>
      </w:r>
      <w:r w:rsidR="007062B8" w:rsidRPr="00427237">
        <w:rPr>
          <w:szCs w:val="22"/>
        </w:rPr>
        <w:t xml:space="preserve">These are </w:t>
      </w:r>
      <w:r w:rsidR="00707626" w:rsidRPr="00427237">
        <w:rPr>
          <w:szCs w:val="22"/>
        </w:rPr>
        <w:t xml:space="preserve">Siemens </w:t>
      </w:r>
      <w:proofErr w:type="spellStart"/>
      <w:r w:rsidR="00707626" w:rsidRPr="00427237">
        <w:rPr>
          <w:szCs w:val="22"/>
        </w:rPr>
        <w:t>Ltd’s</w:t>
      </w:r>
      <w:proofErr w:type="spellEnd"/>
      <w:r w:rsidR="00874153" w:rsidRPr="00427237">
        <w:rPr>
          <w:szCs w:val="22"/>
        </w:rPr>
        <w:t xml:space="preserve"> ARTG #1</w:t>
      </w:r>
      <w:r w:rsidR="00707626" w:rsidRPr="00427237">
        <w:rPr>
          <w:szCs w:val="22"/>
        </w:rPr>
        <w:t>81848 and ARTG #</w:t>
      </w:r>
      <w:proofErr w:type="gramStart"/>
      <w:r w:rsidR="00707626" w:rsidRPr="00427237">
        <w:rPr>
          <w:szCs w:val="22"/>
        </w:rPr>
        <w:t>178420</w:t>
      </w:r>
      <w:r w:rsidR="007062B8" w:rsidRPr="00427237">
        <w:rPr>
          <w:szCs w:val="22"/>
        </w:rPr>
        <w:t>,</w:t>
      </w:r>
      <w:proofErr w:type="gramEnd"/>
      <w:r w:rsidR="007062B8" w:rsidRPr="00427237">
        <w:rPr>
          <w:szCs w:val="22"/>
        </w:rPr>
        <w:t xml:space="preserve"> and </w:t>
      </w:r>
      <w:r w:rsidR="00707626" w:rsidRPr="00427237">
        <w:rPr>
          <w:szCs w:val="22"/>
        </w:rPr>
        <w:t xml:space="preserve">GE Healthcare Australia Pty </w:t>
      </w:r>
      <w:proofErr w:type="spellStart"/>
      <w:r w:rsidR="00707626" w:rsidRPr="00427237">
        <w:rPr>
          <w:szCs w:val="22"/>
        </w:rPr>
        <w:t>Ltd’s</w:t>
      </w:r>
      <w:proofErr w:type="spellEnd"/>
      <w:r w:rsidR="00707626" w:rsidRPr="00427237">
        <w:rPr>
          <w:szCs w:val="22"/>
        </w:rPr>
        <w:t xml:space="preserve"> ARTG #154936 and</w:t>
      </w:r>
      <w:r w:rsidR="007062B8" w:rsidRPr="00427237">
        <w:rPr>
          <w:szCs w:val="22"/>
        </w:rPr>
        <w:t xml:space="preserve"> ARTG #153390.</w:t>
      </w:r>
    </w:p>
    <w:p w:rsidR="00A878EA" w:rsidRPr="00427237" w:rsidRDefault="00D76266" w:rsidP="00A830E4">
      <w:pPr>
        <w:rPr>
          <w:szCs w:val="22"/>
          <w:u w:val="single"/>
        </w:rPr>
      </w:pPr>
      <w:r w:rsidRPr="00427237">
        <w:rPr>
          <w:szCs w:val="22"/>
          <w:u w:val="single"/>
          <w:vertAlign w:val="superscript"/>
        </w:rPr>
        <w:t>18</w:t>
      </w:r>
      <w:r w:rsidRPr="00427237">
        <w:rPr>
          <w:szCs w:val="22"/>
          <w:u w:val="single"/>
        </w:rPr>
        <w:t>F-FDG</w:t>
      </w:r>
      <w:r w:rsidR="00A878EA" w:rsidRPr="00427237">
        <w:rPr>
          <w:szCs w:val="22"/>
          <w:u w:val="single"/>
        </w:rPr>
        <w:t>:</w:t>
      </w:r>
    </w:p>
    <w:p w:rsidR="00A878EA" w:rsidRPr="00427237" w:rsidRDefault="00DA5044" w:rsidP="00A830E4">
      <w:pPr>
        <w:rPr>
          <w:szCs w:val="22"/>
        </w:rPr>
      </w:pPr>
      <w:r w:rsidRPr="00427237">
        <w:rPr>
          <w:szCs w:val="22"/>
        </w:rPr>
        <w:t xml:space="preserve">There </w:t>
      </w:r>
      <w:r w:rsidR="002A649B" w:rsidRPr="00427237">
        <w:rPr>
          <w:szCs w:val="22"/>
        </w:rPr>
        <w:t xml:space="preserve">are </w:t>
      </w:r>
      <w:proofErr w:type="spellStart"/>
      <w:r w:rsidR="00427237">
        <w:rPr>
          <w:szCs w:val="22"/>
        </w:rPr>
        <w:t>two</w:t>
      </w:r>
      <w:r w:rsidRPr="00427237">
        <w:rPr>
          <w:szCs w:val="22"/>
        </w:rPr>
        <w:t>registered</w:t>
      </w:r>
      <w:proofErr w:type="spellEnd"/>
      <w:r w:rsidRPr="00427237">
        <w:rPr>
          <w:szCs w:val="22"/>
        </w:rPr>
        <w:t xml:space="preserve"> entr</w:t>
      </w:r>
      <w:r w:rsidR="002A649B" w:rsidRPr="00427237">
        <w:rPr>
          <w:szCs w:val="22"/>
        </w:rPr>
        <w:t>ies</w:t>
      </w:r>
      <w:r w:rsidRPr="00427237">
        <w:rPr>
          <w:szCs w:val="22"/>
        </w:rPr>
        <w:t xml:space="preserve"> for </w:t>
      </w:r>
      <w:r w:rsidR="002B3F15" w:rsidRPr="00427237">
        <w:rPr>
          <w:szCs w:val="22"/>
        </w:rPr>
        <w:t>2-deoxy-2-[</w:t>
      </w:r>
      <w:r w:rsidR="002B3F15" w:rsidRPr="00427237">
        <w:rPr>
          <w:szCs w:val="22"/>
          <w:vertAlign w:val="superscript"/>
        </w:rPr>
        <w:t>18</w:t>
      </w:r>
      <w:r w:rsidR="002B3F15" w:rsidRPr="00427237">
        <w:rPr>
          <w:szCs w:val="22"/>
        </w:rPr>
        <w:t>F</w:t>
      </w:r>
      <w:proofErr w:type="gramStart"/>
      <w:r w:rsidR="002B3F15" w:rsidRPr="00427237">
        <w:rPr>
          <w:szCs w:val="22"/>
        </w:rPr>
        <w:t>]</w:t>
      </w:r>
      <w:r w:rsidR="00DA13E3" w:rsidRPr="00427237">
        <w:rPr>
          <w:szCs w:val="22"/>
        </w:rPr>
        <w:t>fluoro</w:t>
      </w:r>
      <w:proofErr w:type="gramEnd"/>
      <w:r w:rsidR="00DA13E3" w:rsidRPr="00427237">
        <w:rPr>
          <w:szCs w:val="22"/>
        </w:rPr>
        <w:t>-D-glucose (</w:t>
      </w:r>
      <w:r w:rsidR="00DA13E3" w:rsidRPr="00427237">
        <w:rPr>
          <w:szCs w:val="22"/>
          <w:vertAlign w:val="superscript"/>
        </w:rPr>
        <w:t>18</w:t>
      </w:r>
      <w:r w:rsidR="00DA13E3" w:rsidRPr="00427237">
        <w:rPr>
          <w:szCs w:val="22"/>
        </w:rPr>
        <w:t>F</w:t>
      </w:r>
      <w:r w:rsidR="00D76266" w:rsidRPr="00427237">
        <w:rPr>
          <w:szCs w:val="22"/>
        </w:rPr>
        <w:t>-</w:t>
      </w:r>
      <w:r w:rsidRPr="00427237">
        <w:rPr>
          <w:szCs w:val="22"/>
        </w:rPr>
        <w:t>FDG</w:t>
      </w:r>
      <w:r w:rsidR="00DA13E3" w:rsidRPr="00427237">
        <w:rPr>
          <w:szCs w:val="22"/>
        </w:rPr>
        <w:t>)</w:t>
      </w:r>
      <w:r w:rsidR="002A649B" w:rsidRPr="00427237">
        <w:rPr>
          <w:szCs w:val="22"/>
        </w:rPr>
        <w:t>. One is</w:t>
      </w:r>
      <w:r w:rsidR="00DA13E3" w:rsidRPr="00427237">
        <w:rPr>
          <w:szCs w:val="22"/>
        </w:rPr>
        <w:t xml:space="preserve"> by Austin Health, in Melbourne, with</w:t>
      </w:r>
      <w:r w:rsidRPr="00427237">
        <w:rPr>
          <w:szCs w:val="22"/>
        </w:rPr>
        <w:t xml:space="preserve"> ARTG #54251.</w:t>
      </w:r>
      <w:r w:rsidR="002A649B" w:rsidRPr="00427237">
        <w:rPr>
          <w:szCs w:val="22"/>
        </w:rPr>
        <w:t xml:space="preserve"> The other is by PETNET Australia Pty Ltd, with ARTG #78935.</w:t>
      </w:r>
      <w:r w:rsidR="00921356" w:rsidRPr="00427237">
        <w:rPr>
          <w:szCs w:val="22"/>
        </w:rPr>
        <w:t xml:space="preserve"> </w:t>
      </w:r>
      <w:r w:rsidR="00BA31E1" w:rsidRPr="00427237">
        <w:rPr>
          <w:szCs w:val="22"/>
        </w:rPr>
        <w:t xml:space="preserve">The requested MBS listing </w:t>
      </w:r>
      <w:r w:rsidR="0062798F" w:rsidRPr="00427237">
        <w:rPr>
          <w:szCs w:val="22"/>
        </w:rPr>
        <w:t xml:space="preserve">for </w:t>
      </w:r>
      <w:r w:rsidR="00D76266" w:rsidRPr="00427237">
        <w:rPr>
          <w:szCs w:val="22"/>
          <w:vertAlign w:val="superscript"/>
        </w:rPr>
        <w:t>18</w:t>
      </w:r>
      <w:r w:rsidR="00D76266" w:rsidRPr="00427237">
        <w:rPr>
          <w:szCs w:val="22"/>
        </w:rPr>
        <w:t>F-FDG</w:t>
      </w:r>
      <w:r w:rsidR="00D92014" w:rsidRPr="00427237">
        <w:rPr>
          <w:szCs w:val="22"/>
        </w:rPr>
        <w:t xml:space="preserve"> </w:t>
      </w:r>
      <w:r w:rsidR="0062798F" w:rsidRPr="00427237">
        <w:rPr>
          <w:szCs w:val="22"/>
        </w:rPr>
        <w:t xml:space="preserve">PET </w:t>
      </w:r>
      <w:r w:rsidR="00BA31E1" w:rsidRPr="00427237">
        <w:rPr>
          <w:szCs w:val="22"/>
        </w:rPr>
        <w:t>is consistent with the regulatory body approved indication.</w:t>
      </w:r>
    </w:p>
    <w:p w:rsidR="000F3C0D" w:rsidRPr="00427237" w:rsidRDefault="000F3C0D" w:rsidP="00D826A2">
      <w:pPr>
        <w:pStyle w:val="Heading2"/>
      </w:pPr>
      <w:bookmarkStart w:id="42" w:name="_Toc379534809"/>
      <w:bookmarkStart w:id="43" w:name="_Toc379962703"/>
      <w:r w:rsidRPr="00427237">
        <w:t>Delivery of the intervention</w:t>
      </w:r>
      <w:bookmarkEnd w:id="42"/>
      <w:bookmarkEnd w:id="43"/>
    </w:p>
    <w:p w:rsidR="00D54E0C" w:rsidRPr="00427237" w:rsidRDefault="006D1B0A" w:rsidP="00770133">
      <w:pPr>
        <w:rPr>
          <w:u w:val="single"/>
        </w:rPr>
      </w:pPr>
      <w:r w:rsidRPr="00427237">
        <w:rPr>
          <w:u w:val="single"/>
        </w:rPr>
        <w:t xml:space="preserve">Delivery of </w:t>
      </w:r>
      <w:r w:rsidR="00D76266" w:rsidRPr="00427237">
        <w:rPr>
          <w:u w:val="single"/>
          <w:vertAlign w:val="superscript"/>
        </w:rPr>
        <w:t>18</w:t>
      </w:r>
      <w:r w:rsidR="00D76266" w:rsidRPr="00427237">
        <w:rPr>
          <w:u w:val="single"/>
        </w:rPr>
        <w:t>F-FDG</w:t>
      </w:r>
      <w:r w:rsidR="00287099" w:rsidRPr="00427237">
        <w:rPr>
          <w:u w:val="single"/>
        </w:rPr>
        <w:t xml:space="preserve"> PET:</w:t>
      </w:r>
    </w:p>
    <w:p w:rsidR="00992AEC" w:rsidRPr="00427237" w:rsidRDefault="00992AEC" w:rsidP="00770133">
      <w:r w:rsidRPr="00427237">
        <w:t xml:space="preserve">Delivery of </w:t>
      </w:r>
      <w:r w:rsidR="00D76266" w:rsidRPr="00427237">
        <w:rPr>
          <w:vertAlign w:val="superscript"/>
        </w:rPr>
        <w:t>18</w:t>
      </w:r>
      <w:r w:rsidR="00D76266" w:rsidRPr="00427237">
        <w:t>F-FDG</w:t>
      </w:r>
      <w:r w:rsidRPr="00427237">
        <w:t xml:space="preserve"> PET scanning can be broken down into 3 “phases”. These are (1) </w:t>
      </w:r>
      <w:r w:rsidR="00D76266" w:rsidRPr="00427237">
        <w:rPr>
          <w:vertAlign w:val="superscript"/>
        </w:rPr>
        <w:t>18</w:t>
      </w:r>
      <w:r w:rsidR="00D76266" w:rsidRPr="00427237">
        <w:t>F-FDG</w:t>
      </w:r>
      <w:r w:rsidRPr="00427237">
        <w:t xml:space="preserve"> preparation, (2) PET scanning, and (3) image reconstruction and interpretation.</w:t>
      </w:r>
    </w:p>
    <w:p w:rsidR="00992AEC" w:rsidRPr="00427237" w:rsidRDefault="00D76266" w:rsidP="00992AEC">
      <w:pPr>
        <w:rPr>
          <w:u w:val="single"/>
        </w:rPr>
      </w:pPr>
      <w:r w:rsidRPr="00427237">
        <w:rPr>
          <w:u w:val="single"/>
          <w:vertAlign w:val="superscript"/>
        </w:rPr>
        <w:t>18</w:t>
      </w:r>
      <w:r w:rsidRPr="00427237">
        <w:rPr>
          <w:u w:val="single"/>
        </w:rPr>
        <w:t>F-FDG</w:t>
      </w:r>
      <w:r w:rsidR="00992AEC" w:rsidRPr="00427237">
        <w:rPr>
          <w:u w:val="single"/>
        </w:rPr>
        <w:t xml:space="preserve"> preparation</w:t>
      </w:r>
      <w:r w:rsidR="00851294" w:rsidRPr="00427237">
        <w:rPr>
          <w:u w:val="single"/>
        </w:rPr>
        <w:t xml:space="preserve"> and administration</w:t>
      </w:r>
      <w:r w:rsidR="00992AEC" w:rsidRPr="00427237">
        <w:rPr>
          <w:u w:val="single"/>
        </w:rPr>
        <w:t>:</w:t>
      </w:r>
    </w:p>
    <w:p w:rsidR="00992AEC" w:rsidRPr="00427237" w:rsidRDefault="00851294" w:rsidP="00992AEC">
      <w:r w:rsidRPr="00427237">
        <w:rPr>
          <w:vertAlign w:val="superscript"/>
        </w:rPr>
        <w:t>18</w:t>
      </w:r>
      <w:r w:rsidR="0019254D" w:rsidRPr="00427237">
        <w:t>F</w:t>
      </w:r>
      <w:r w:rsidR="00D76266" w:rsidRPr="00427237">
        <w:t>-</w:t>
      </w:r>
      <w:r w:rsidR="00992AEC" w:rsidRPr="00427237">
        <w:t>FDG</w:t>
      </w:r>
      <w:r w:rsidRPr="00427237">
        <w:t xml:space="preserve"> </w:t>
      </w:r>
      <w:r w:rsidR="00992AEC" w:rsidRPr="00427237">
        <w:t xml:space="preserve">can be produced either in-house in facilities with a cyclotron and </w:t>
      </w:r>
      <w:proofErr w:type="spellStart"/>
      <w:r w:rsidR="00992AEC" w:rsidRPr="00427237">
        <w:t>radiopharmacy</w:t>
      </w:r>
      <w:proofErr w:type="spellEnd"/>
      <w:r w:rsidR="006C280B" w:rsidRPr="00427237">
        <w:t xml:space="preserve"> capability</w:t>
      </w:r>
      <w:r w:rsidR="00992AEC" w:rsidRPr="00427237">
        <w:t xml:space="preserve">, or sourced from a commercial supplier. Patients must fast for 4 to 6 hours prior to </w:t>
      </w:r>
      <w:r w:rsidR="00D76266" w:rsidRPr="00427237">
        <w:rPr>
          <w:vertAlign w:val="superscript"/>
        </w:rPr>
        <w:t>18</w:t>
      </w:r>
      <w:r w:rsidR="00D76266" w:rsidRPr="00427237">
        <w:t>F-FDG</w:t>
      </w:r>
      <w:r w:rsidR="00992AEC" w:rsidRPr="00427237">
        <w:t xml:space="preserve"> administration.</w:t>
      </w:r>
      <w:r w:rsidR="001B3D3F" w:rsidRPr="00427237">
        <w:t xml:space="preserve"> </w:t>
      </w:r>
      <w:r w:rsidR="00D76266" w:rsidRPr="00427237">
        <w:rPr>
          <w:vertAlign w:val="superscript"/>
        </w:rPr>
        <w:t>18</w:t>
      </w:r>
      <w:r w:rsidR="00D76266" w:rsidRPr="00427237">
        <w:t>F-FDG</w:t>
      </w:r>
      <w:r w:rsidR="00992AEC" w:rsidRPr="00427237">
        <w:t xml:space="preserve"> is administered intravenously 60 minutes prior to scanning. </w:t>
      </w:r>
      <w:r w:rsidR="000419F8" w:rsidRPr="00427237">
        <w:t xml:space="preserve">European Association of Nuclear Medicine (EANM) and Society of Nuclear Medicine and Molecular Imaging (SNMMI) </w:t>
      </w:r>
      <w:r w:rsidR="00F72980" w:rsidRPr="00427237">
        <w:t>clinical practice</w:t>
      </w:r>
      <w:r w:rsidR="002E055B" w:rsidRPr="00427237">
        <w:t xml:space="preserve"> guidelines </w:t>
      </w:r>
      <w:r w:rsidR="000419F8" w:rsidRPr="00427237">
        <w:t>state that</w:t>
      </w:r>
      <w:r w:rsidR="00F72980" w:rsidRPr="00427237">
        <w:t xml:space="preserve"> </w:t>
      </w:r>
      <w:r w:rsidR="002E055B" w:rsidRPr="00427237">
        <w:t>the</w:t>
      </w:r>
      <w:r w:rsidR="00992AEC" w:rsidRPr="00427237">
        <w:t xml:space="preserve"> </w:t>
      </w:r>
      <w:r w:rsidR="006C280B" w:rsidRPr="00427237">
        <w:t xml:space="preserve">activity </w:t>
      </w:r>
      <w:r w:rsidR="00F72980" w:rsidRPr="00427237">
        <w:t>o</w:t>
      </w:r>
      <w:r w:rsidR="00992AEC" w:rsidRPr="00427237">
        <w:t>f</w:t>
      </w:r>
      <w:r w:rsidR="00F72980" w:rsidRPr="00427237">
        <w:t xml:space="preserve"> </w:t>
      </w:r>
      <w:r w:rsidR="00D76266" w:rsidRPr="00427237">
        <w:rPr>
          <w:vertAlign w:val="superscript"/>
        </w:rPr>
        <w:t>18</w:t>
      </w:r>
      <w:r w:rsidR="00D76266" w:rsidRPr="00427237">
        <w:t>F-FDG</w:t>
      </w:r>
      <w:r w:rsidR="000419F8" w:rsidRPr="00427237">
        <w:t xml:space="preserve"> will vary</w:t>
      </w:r>
      <w:r w:rsidR="002E055B" w:rsidRPr="00427237">
        <w:t xml:space="preserve"> according to body mass and PET machine parameters used, but is approximately 180 to 260 </w:t>
      </w:r>
      <w:proofErr w:type="spellStart"/>
      <w:r w:rsidR="002E055B" w:rsidRPr="00427237">
        <w:t>MBq</w:t>
      </w:r>
      <w:proofErr w:type="spellEnd"/>
      <w:r w:rsidR="002E055B" w:rsidRPr="00427237">
        <w:t xml:space="preserve"> for a 75kg patient</w:t>
      </w:r>
      <w:r w:rsidR="00B04124" w:rsidRPr="00427237">
        <w:t>,</w:t>
      </w:r>
      <w:r w:rsidR="00C24187" w:rsidRPr="00427237">
        <w:rPr>
          <w:noProof/>
          <w:vertAlign w:val="superscript"/>
        </w:rPr>
        <w:t>22</w:t>
      </w:r>
      <w:r w:rsidR="000419F8" w:rsidRPr="00427237">
        <w:t xml:space="preserve"> but can be</w:t>
      </w:r>
      <w:r w:rsidR="009B073B" w:rsidRPr="00427237">
        <w:t xml:space="preserve"> as</w:t>
      </w:r>
      <w:r w:rsidR="002E055B" w:rsidRPr="00427237">
        <w:t xml:space="preserve"> high</w:t>
      </w:r>
      <w:r w:rsidR="009B073B" w:rsidRPr="00427237">
        <w:t xml:space="preserve"> as 740 </w:t>
      </w:r>
      <w:proofErr w:type="spellStart"/>
      <w:r w:rsidR="009B073B" w:rsidRPr="00427237">
        <w:t>MBq</w:t>
      </w:r>
      <w:proofErr w:type="spellEnd"/>
      <w:r w:rsidR="009B073B" w:rsidRPr="00427237">
        <w:t xml:space="preserve"> in</w:t>
      </w:r>
      <w:r w:rsidR="000419F8" w:rsidRPr="00427237">
        <w:t xml:space="preserve"> some circumstances</w:t>
      </w:r>
      <w:r w:rsidR="00B04124" w:rsidRPr="00427237">
        <w:t>,</w:t>
      </w:r>
      <w:r w:rsidR="00C24187" w:rsidRPr="00427237">
        <w:rPr>
          <w:noProof/>
          <w:vertAlign w:val="superscript"/>
        </w:rPr>
        <w:t>23</w:t>
      </w:r>
      <w:r w:rsidR="00992AEC" w:rsidRPr="00427237">
        <w:t xml:space="preserve"> and</w:t>
      </w:r>
      <w:r w:rsidR="000419F8" w:rsidRPr="00427237">
        <w:t xml:space="preserve"> is</w:t>
      </w:r>
      <w:r w:rsidR="00992AEC" w:rsidRPr="00427237">
        <w:t xml:space="preserve"> adjust</w:t>
      </w:r>
      <w:r w:rsidR="000419F8" w:rsidRPr="00427237">
        <w:t>ed</w:t>
      </w:r>
      <w:r w:rsidR="00992AEC" w:rsidRPr="00427237">
        <w:t xml:space="preserve"> accordingly for body weight at</w:t>
      </w:r>
      <w:r w:rsidR="00F72980" w:rsidRPr="00427237">
        <w:t xml:space="preserve"> around</w:t>
      </w:r>
      <w:r w:rsidR="00992AEC" w:rsidRPr="00427237">
        <w:t xml:space="preserve"> 5</w:t>
      </w:r>
      <w:r w:rsidR="00D15813" w:rsidRPr="00427237">
        <w:t xml:space="preserve"> </w:t>
      </w:r>
      <w:proofErr w:type="spellStart"/>
      <w:r w:rsidR="00992AEC" w:rsidRPr="00427237">
        <w:t>MBq</w:t>
      </w:r>
      <w:proofErr w:type="spellEnd"/>
      <w:r w:rsidR="00992AEC" w:rsidRPr="00427237">
        <w:t xml:space="preserve"> per kilogram of body weight</w:t>
      </w:r>
      <w:r w:rsidR="00B04124" w:rsidRPr="00427237">
        <w:t>.</w:t>
      </w:r>
      <w:r w:rsidR="00C24187" w:rsidRPr="00427237">
        <w:rPr>
          <w:noProof/>
          <w:vertAlign w:val="superscript"/>
        </w:rPr>
        <w:t>22, 23</w:t>
      </w:r>
      <w:r w:rsidR="001B3D3F" w:rsidRPr="00427237">
        <w:t xml:space="preserve"> </w:t>
      </w:r>
      <w:r w:rsidR="00516CE3" w:rsidRPr="00427237">
        <w:t xml:space="preserve">The </w:t>
      </w:r>
      <w:r w:rsidR="006C280B" w:rsidRPr="00427237">
        <w:t xml:space="preserve">activity </w:t>
      </w:r>
      <w:r w:rsidR="00516CE3" w:rsidRPr="00427237">
        <w:t>required is becoming lower</w:t>
      </w:r>
      <w:r w:rsidR="00677C46" w:rsidRPr="00427237">
        <w:t xml:space="preserve"> with newer advanced machines</w:t>
      </w:r>
      <w:r w:rsidR="00516CE3" w:rsidRPr="00427237">
        <w:t xml:space="preserve"> (e.g. time-of-flight PET scanners would typically require </w:t>
      </w:r>
      <w:r w:rsidR="006C280B" w:rsidRPr="00427237">
        <w:t>an activity of less than</w:t>
      </w:r>
      <w:r w:rsidR="00516CE3" w:rsidRPr="00427237">
        <w:t xml:space="preserve"> 250 </w:t>
      </w:r>
      <w:proofErr w:type="spellStart"/>
      <w:r w:rsidR="00516CE3" w:rsidRPr="00427237">
        <w:t>MBq</w:t>
      </w:r>
      <w:proofErr w:type="spellEnd"/>
      <w:r w:rsidR="00516CE3" w:rsidRPr="00427237">
        <w:t xml:space="preserve"> in a small woman</w:t>
      </w:r>
      <w:r w:rsidR="00D15813" w:rsidRPr="00427237">
        <w:t xml:space="preserve"> according to clinical experts from HESP and the applicant</w:t>
      </w:r>
      <w:r w:rsidR="00516CE3" w:rsidRPr="00427237">
        <w:t xml:space="preserve">). </w:t>
      </w:r>
      <w:r w:rsidR="00992AEC" w:rsidRPr="00427237">
        <w:t xml:space="preserve">During the 60 </w:t>
      </w:r>
      <w:r w:rsidR="00992AEC" w:rsidRPr="00427237">
        <w:lastRenderedPageBreak/>
        <w:t xml:space="preserve">minutes prior to scanning, patients are </w:t>
      </w:r>
      <w:r w:rsidR="006C280B" w:rsidRPr="00427237">
        <w:t xml:space="preserve">rest quietly </w:t>
      </w:r>
      <w:r w:rsidR="00992AEC" w:rsidRPr="00427237">
        <w:t xml:space="preserve">in a dimly lit room. Following this </w:t>
      </w:r>
      <w:r w:rsidR="006C280B" w:rsidRPr="00427237">
        <w:t xml:space="preserve">uptake </w:t>
      </w:r>
      <w:r w:rsidR="00992AEC" w:rsidRPr="00427237">
        <w:t>period, patients are taken to the PET suite and positioned on the scanning bed.</w:t>
      </w:r>
    </w:p>
    <w:p w:rsidR="00992AEC" w:rsidRPr="00427237" w:rsidRDefault="00992AEC" w:rsidP="00992AEC">
      <w:pPr>
        <w:rPr>
          <w:u w:val="single"/>
        </w:rPr>
      </w:pPr>
      <w:r w:rsidRPr="00427237">
        <w:rPr>
          <w:u w:val="single"/>
        </w:rPr>
        <w:t>PET scanning:</w:t>
      </w:r>
    </w:p>
    <w:p w:rsidR="00BD5D75" w:rsidRPr="00427237" w:rsidRDefault="00992AEC" w:rsidP="00992AEC">
      <w:r w:rsidRPr="00427237">
        <w:t>P</w:t>
      </w:r>
      <w:r w:rsidR="00751E23" w:rsidRPr="00427237">
        <w:t>ET</w:t>
      </w:r>
      <w:r w:rsidRPr="00427237">
        <w:t xml:space="preserve"> scanning is done using a standard protocol which usually includes low-dose computed tomography (CT) for attenuation correction and anatomi</w:t>
      </w:r>
      <w:r w:rsidR="00EF5763" w:rsidRPr="00427237">
        <w:t xml:space="preserve">cal correlation. In some cases, </w:t>
      </w:r>
      <w:r w:rsidRPr="00427237">
        <w:t>when the referring clinician deems necessary, a diagnostic CT may be done at the time of the PET study, using oral and/or intravenous contrast material (this wou</w:t>
      </w:r>
      <w:r w:rsidR="00EF5763" w:rsidRPr="00427237">
        <w:t>ld be a PET/CT diagnostic study</w:t>
      </w:r>
      <w:r w:rsidRPr="00427237">
        <w:t>).</w:t>
      </w:r>
      <w:r w:rsidR="00EF5763" w:rsidRPr="00427237">
        <w:t xml:space="preserve"> </w:t>
      </w:r>
      <w:r w:rsidRPr="00427237">
        <w:t xml:space="preserve">The field-of-view for PET scans </w:t>
      </w:r>
      <w:r w:rsidR="006C280B" w:rsidRPr="00427237">
        <w:t xml:space="preserve">is </w:t>
      </w:r>
      <w:r w:rsidRPr="00427237">
        <w:t xml:space="preserve">determined by the clinical indication, but usually </w:t>
      </w:r>
      <w:r w:rsidR="006C280B" w:rsidRPr="00427237">
        <w:t xml:space="preserve">extends from </w:t>
      </w:r>
      <w:r w:rsidRPr="00427237">
        <w:t>the base of the skull to the upper thigh</w:t>
      </w:r>
      <w:r w:rsidR="003E1FFF" w:rsidRPr="00427237">
        <w:t>s</w:t>
      </w:r>
      <w:r w:rsidRPr="00427237">
        <w:t>.</w:t>
      </w:r>
      <w:r w:rsidR="00EF5763" w:rsidRPr="00427237">
        <w:t xml:space="preserve"> </w:t>
      </w:r>
      <w:r w:rsidR="003E1FFF" w:rsidRPr="00427237">
        <w:t xml:space="preserve">Typical </w:t>
      </w:r>
      <w:r w:rsidRPr="00427237">
        <w:t>PET study acquisition time</w:t>
      </w:r>
      <w:r w:rsidR="003E1FFF" w:rsidRPr="00427237">
        <w:t>s with current scanners are less than 30</w:t>
      </w:r>
      <w:r w:rsidRPr="00427237">
        <w:t xml:space="preserve"> minutes, but </w:t>
      </w:r>
      <w:r w:rsidR="003E1FFF" w:rsidRPr="00427237">
        <w:t xml:space="preserve">are </w:t>
      </w:r>
      <w:r w:rsidRPr="00427237">
        <w:t xml:space="preserve">determined by performance characteristics of the PET scanner, the field-of-view, and the administered </w:t>
      </w:r>
      <w:r w:rsidR="003E1FFF" w:rsidRPr="00427237">
        <w:t xml:space="preserve">activity </w:t>
      </w:r>
      <w:r w:rsidRPr="00427237">
        <w:t xml:space="preserve">of </w:t>
      </w:r>
      <w:r w:rsidR="003E1FFF" w:rsidRPr="00427237">
        <w:t>FDG</w:t>
      </w:r>
      <w:r w:rsidRPr="00427237">
        <w:t xml:space="preserve">. For attenuation correction and anatomical correlation, an additional </w:t>
      </w:r>
      <w:r w:rsidR="003E1FFF" w:rsidRPr="00427237">
        <w:t xml:space="preserve">CT </w:t>
      </w:r>
      <w:r w:rsidRPr="00427237">
        <w:t>scanning time of 1 to 2 minutes is added.</w:t>
      </w:r>
    </w:p>
    <w:p w:rsidR="0088466C" w:rsidRPr="00427237" w:rsidRDefault="0088466C" w:rsidP="00992AEC">
      <w:pPr>
        <w:rPr>
          <w:u w:val="single"/>
        </w:rPr>
      </w:pPr>
      <w:r w:rsidRPr="00427237">
        <w:rPr>
          <w:u w:val="single"/>
        </w:rPr>
        <w:t xml:space="preserve">PET scanning </w:t>
      </w:r>
      <w:r w:rsidR="00C40EA7" w:rsidRPr="00427237">
        <w:rPr>
          <w:u w:val="single"/>
        </w:rPr>
        <w:t xml:space="preserve">radiation </w:t>
      </w:r>
      <w:r w:rsidRPr="00427237">
        <w:rPr>
          <w:u w:val="single"/>
        </w:rPr>
        <w:t>dose:</w:t>
      </w:r>
    </w:p>
    <w:p w:rsidR="00BD5D75" w:rsidRPr="00427237" w:rsidRDefault="00BD5D75" w:rsidP="00992AEC">
      <w:r w:rsidRPr="00427237">
        <w:t xml:space="preserve">In terms of radiation dose delivered, nuclear medicine and PET services abide by the ALARA principle </w:t>
      </w:r>
      <w:r w:rsidR="005B37F8" w:rsidRPr="00427237">
        <w:t xml:space="preserve">(“as low as reasonably achievable”) </w:t>
      </w:r>
      <w:r w:rsidRPr="00427237">
        <w:t>with consideration of the clinical situation.</w:t>
      </w:r>
      <w:r w:rsidR="00710B39" w:rsidRPr="00427237">
        <w:t xml:space="preserve"> The International Commission on Radiological Protection (2008) states that</w:t>
      </w:r>
      <w:r w:rsidR="003E1FFF" w:rsidRPr="00427237">
        <w:t xml:space="preserve"> </w:t>
      </w:r>
      <w:r w:rsidR="00710B39" w:rsidRPr="00427237">
        <w:t>t</w:t>
      </w:r>
      <w:r w:rsidR="003E1FFF" w:rsidRPr="00427237">
        <w:t xml:space="preserve">he effective radiation dose for FDG is 0.019 </w:t>
      </w:r>
      <w:proofErr w:type="spellStart"/>
      <w:r w:rsidR="003E1FFF" w:rsidRPr="00427237">
        <w:t>mSv</w:t>
      </w:r>
      <w:proofErr w:type="spellEnd"/>
      <w:r w:rsidR="003E1FFF" w:rsidRPr="00427237">
        <w:t>/</w:t>
      </w:r>
      <w:proofErr w:type="spellStart"/>
      <w:proofErr w:type="gramStart"/>
      <w:r w:rsidR="003E1FFF" w:rsidRPr="00427237">
        <w:t>MBq</w:t>
      </w:r>
      <w:proofErr w:type="spellEnd"/>
      <w:r w:rsidR="003E1FFF" w:rsidRPr="00427237">
        <w:t xml:space="preserve"> </w:t>
      </w:r>
      <w:r w:rsidR="005655BE" w:rsidRPr="00427237">
        <w:t>;</w:t>
      </w:r>
      <w:proofErr w:type="gramEnd"/>
      <w:r w:rsidR="005655BE" w:rsidRPr="00427237">
        <w:t xml:space="preserve"> the typical effective dose for low-dose CT (for attenuation correction and anatomic correlation) is 2 – 3 mSv.</w:t>
      </w:r>
      <w:r w:rsidR="00C24187" w:rsidRPr="00427237">
        <w:rPr>
          <w:noProof/>
          <w:vertAlign w:val="superscript"/>
        </w:rPr>
        <w:t>24</w:t>
      </w:r>
    </w:p>
    <w:p w:rsidR="00992AEC" w:rsidRPr="00427237" w:rsidRDefault="00992AEC" w:rsidP="00992AEC">
      <w:pPr>
        <w:rPr>
          <w:u w:val="single"/>
        </w:rPr>
      </w:pPr>
      <w:r w:rsidRPr="00427237">
        <w:rPr>
          <w:u w:val="single"/>
        </w:rPr>
        <w:t>PET image reconstruction and interpretation:</w:t>
      </w:r>
    </w:p>
    <w:p w:rsidR="00992AEC" w:rsidRPr="00427237" w:rsidRDefault="00992AEC" w:rsidP="00992AEC">
      <w:r w:rsidRPr="00427237">
        <w:t xml:space="preserve">PET images are usually reconstructed using the PET scanner manufacturer’s recommended reconstruction protocols and software. </w:t>
      </w:r>
      <w:r w:rsidR="00863E2F" w:rsidRPr="00427237">
        <w:t xml:space="preserve">The nuclear medicine specialist interprets the </w:t>
      </w:r>
      <w:r w:rsidR="004C5DFB" w:rsidRPr="00427237">
        <w:t>images</w:t>
      </w:r>
      <w:r w:rsidR="00863E2F" w:rsidRPr="00427237">
        <w:t xml:space="preserve"> (including correlated </w:t>
      </w:r>
      <w:r w:rsidR="004C5DFB" w:rsidRPr="00427237">
        <w:t>imaging</w:t>
      </w:r>
      <w:r w:rsidR="00863E2F" w:rsidRPr="00427237">
        <w:t xml:space="preserve"> where available) and generates a clinical report. This report is provided to the requesting clinician. Electronic copies of the PET images are provided to the requesting clinician as appropriate.</w:t>
      </w:r>
    </w:p>
    <w:p w:rsidR="00B92B3B" w:rsidRPr="00427237" w:rsidRDefault="00920D5C" w:rsidP="00770133">
      <w:pPr>
        <w:rPr>
          <w:u w:val="single"/>
        </w:rPr>
      </w:pPr>
      <w:r w:rsidRPr="00427237">
        <w:rPr>
          <w:u w:val="single"/>
        </w:rPr>
        <w:t>Potential u</w:t>
      </w:r>
      <w:r w:rsidR="00110335" w:rsidRPr="00427237">
        <w:rPr>
          <w:u w:val="single"/>
        </w:rPr>
        <w:t xml:space="preserve">tilisation for </w:t>
      </w:r>
      <w:r w:rsidR="00B76CA0" w:rsidRPr="00427237">
        <w:rPr>
          <w:u w:val="single"/>
        </w:rPr>
        <w:t xml:space="preserve">proven </w:t>
      </w:r>
      <w:r w:rsidR="00110335" w:rsidRPr="00427237">
        <w:rPr>
          <w:u w:val="single"/>
        </w:rPr>
        <w:t>l</w:t>
      </w:r>
      <w:r w:rsidR="00B92B3B" w:rsidRPr="00427237">
        <w:rPr>
          <w:u w:val="single"/>
        </w:rPr>
        <w:t>ocally advanced breast cancer:</w:t>
      </w:r>
    </w:p>
    <w:p w:rsidR="00FF2FD7" w:rsidRPr="00427237" w:rsidRDefault="00870239" w:rsidP="00FF2FD7">
      <w:r w:rsidRPr="00427237">
        <w:t>As mentioned previously, b</w:t>
      </w:r>
      <w:r w:rsidR="00BB368C" w:rsidRPr="00427237">
        <w:t xml:space="preserve">ased on these assumptions, approximately 450 to 900 </w:t>
      </w:r>
      <w:r w:rsidR="006B6EF5" w:rsidRPr="00427237">
        <w:t>patients</w:t>
      </w:r>
      <w:r w:rsidR="00BB368C" w:rsidRPr="00427237">
        <w:t xml:space="preserve"> per year with </w:t>
      </w:r>
      <w:r w:rsidR="00B76CA0" w:rsidRPr="00427237">
        <w:t xml:space="preserve">proven </w:t>
      </w:r>
      <w:r w:rsidR="00BB368C" w:rsidRPr="00427237">
        <w:t>locally advanced breast cancer would be eligible for</w:t>
      </w:r>
      <w:r w:rsidR="00BC58D4" w:rsidRPr="00427237">
        <w:t xml:space="preserve"> </w:t>
      </w:r>
      <w:r w:rsidR="00D76266" w:rsidRPr="00427237">
        <w:rPr>
          <w:vertAlign w:val="superscript"/>
        </w:rPr>
        <w:t>18</w:t>
      </w:r>
      <w:r w:rsidR="00D76266" w:rsidRPr="00427237">
        <w:t>F-FDG</w:t>
      </w:r>
      <w:r w:rsidR="00B61E2D" w:rsidRPr="00427237">
        <w:t xml:space="preserve"> </w:t>
      </w:r>
      <w:r w:rsidR="00BB368C" w:rsidRPr="00427237">
        <w:t>PET imaging</w:t>
      </w:r>
      <w:r w:rsidR="00B76CA0" w:rsidRPr="00427237">
        <w:t xml:space="preserve"> to</w:t>
      </w:r>
      <w:r w:rsidR="0093683A" w:rsidRPr="00427237">
        <w:t xml:space="preserve"> confirm or exclude </w:t>
      </w:r>
      <w:r w:rsidR="00B76CA0" w:rsidRPr="00427237">
        <w:t>spread of disease</w:t>
      </w:r>
      <w:r w:rsidR="00BB368C" w:rsidRPr="00427237">
        <w:t>.</w:t>
      </w:r>
      <w:r w:rsidR="00165333" w:rsidRPr="00427237">
        <w:t xml:space="preserve"> The role of </w:t>
      </w:r>
      <w:r w:rsidR="00165333" w:rsidRPr="00427237">
        <w:rPr>
          <w:vertAlign w:val="superscript"/>
        </w:rPr>
        <w:t>18</w:t>
      </w:r>
      <w:r w:rsidR="00165333" w:rsidRPr="00427237">
        <w:t xml:space="preserve">F-FDG PET would be to identify patients with involvement of internal mammary and </w:t>
      </w:r>
      <w:proofErr w:type="spellStart"/>
      <w:r w:rsidR="00165333" w:rsidRPr="00427237">
        <w:t>mediastinal</w:t>
      </w:r>
      <w:proofErr w:type="spellEnd"/>
      <w:r w:rsidR="00165333" w:rsidRPr="00427237">
        <w:t xml:space="preserve"> lymph node stations that are currently not routinely sampled, as well as to detect occult distant metastases [applicant correspondence].</w:t>
      </w:r>
      <w:r w:rsidRPr="00427237">
        <w:t xml:space="preserve"> </w:t>
      </w:r>
      <w:r w:rsidR="00FF2FD7" w:rsidRPr="00427237">
        <w:t xml:space="preserve">In terms of utilisation per patient, patients </w:t>
      </w:r>
      <w:r w:rsidR="00CB62B8" w:rsidRPr="00427237">
        <w:t xml:space="preserve">with locally advanced breast cancer will </w:t>
      </w:r>
      <w:r w:rsidR="00FF2FD7" w:rsidRPr="00427237">
        <w:t>undergo 1</w:t>
      </w:r>
      <w:r w:rsidR="00BC58D4" w:rsidRPr="00427237">
        <w:t xml:space="preserve"> confirmatory </w:t>
      </w:r>
      <w:r w:rsidR="00D76266" w:rsidRPr="00427237">
        <w:rPr>
          <w:vertAlign w:val="superscript"/>
        </w:rPr>
        <w:t>18</w:t>
      </w:r>
      <w:r w:rsidR="00D76266" w:rsidRPr="00427237">
        <w:t>F-FDG</w:t>
      </w:r>
      <w:r w:rsidR="00B61E2D" w:rsidRPr="00427237">
        <w:t xml:space="preserve"> </w:t>
      </w:r>
      <w:r w:rsidR="00012B31" w:rsidRPr="00427237">
        <w:t>PET study</w:t>
      </w:r>
      <w:r w:rsidR="00FF2FD7" w:rsidRPr="00427237">
        <w:t xml:space="preserve"> per year.</w:t>
      </w:r>
    </w:p>
    <w:p w:rsidR="00B92B3B" w:rsidRPr="00427237" w:rsidRDefault="00920D5C" w:rsidP="00770133">
      <w:pPr>
        <w:rPr>
          <w:u w:val="single"/>
        </w:rPr>
      </w:pPr>
      <w:r w:rsidRPr="00427237">
        <w:rPr>
          <w:u w:val="single"/>
        </w:rPr>
        <w:t>Potential u</w:t>
      </w:r>
      <w:r w:rsidR="00110335" w:rsidRPr="00427237">
        <w:rPr>
          <w:u w:val="single"/>
        </w:rPr>
        <w:t xml:space="preserve">tilisation for </w:t>
      </w:r>
      <w:r w:rsidR="00B76CA0" w:rsidRPr="00427237">
        <w:rPr>
          <w:u w:val="single"/>
        </w:rPr>
        <w:t xml:space="preserve">suspected </w:t>
      </w:r>
      <w:r w:rsidR="00BC58D4" w:rsidRPr="00427237">
        <w:rPr>
          <w:u w:val="single"/>
        </w:rPr>
        <w:t xml:space="preserve">locally and regionally </w:t>
      </w:r>
      <w:r w:rsidR="00110335" w:rsidRPr="00427237">
        <w:rPr>
          <w:u w:val="single"/>
        </w:rPr>
        <w:t>r</w:t>
      </w:r>
      <w:r w:rsidR="00701913" w:rsidRPr="00427237">
        <w:rPr>
          <w:u w:val="single"/>
        </w:rPr>
        <w:t xml:space="preserve">ecurrent and </w:t>
      </w:r>
      <w:r w:rsidR="002E2250" w:rsidRPr="00427237">
        <w:rPr>
          <w:u w:val="single"/>
        </w:rPr>
        <w:t xml:space="preserve">suspected </w:t>
      </w:r>
      <w:r w:rsidR="00701913" w:rsidRPr="00427237">
        <w:rPr>
          <w:u w:val="single"/>
        </w:rPr>
        <w:t>metastatic breast cancer:</w:t>
      </w:r>
    </w:p>
    <w:p w:rsidR="00FF2FD7" w:rsidRPr="00427237" w:rsidRDefault="00870239" w:rsidP="00FF2FD7">
      <w:r w:rsidRPr="00427237">
        <w:t>As mentioned previously, a</w:t>
      </w:r>
      <w:r w:rsidR="00A5219A" w:rsidRPr="00427237">
        <w:t xml:space="preserve">fter standard diagnostic imaging studies, about </w:t>
      </w:r>
      <w:r w:rsidR="00024771" w:rsidRPr="00427237">
        <w:t>2,400 patients for suspected locally or regionally advanced breast cancer and 7,200 patients for suspected metastatic breast cancer</w:t>
      </w:r>
      <w:r w:rsidR="006B6EF5" w:rsidRPr="00427237">
        <w:t xml:space="preserve"> </w:t>
      </w:r>
      <w:r w:rsidR="00A5219A" w:rsidRPr="00427237">
        <w:t xml:space="preserve">would have equivocal </w:t>
      </w:r>
      <w:proofErr w:type="gramStart"/>
      <w:r w:rsidR="00A5219A" w:rsidRPr="00427237">
        <w:t>findings,</w:t>
      </w:r>
      <w:proofErr w:type="gramEnd"/>
      <w:r w:rsidR="00A5219A" w:rsidRPr="00427237">
        <w:t xml:space="preserve"> and these </w:t>
      </w:r>
      <w:r w:rsidR="006B6EF5" w:rsidRPr="00427237">
        <w:t xml:space="preserve">patients </w:t>
      </w:r>
      <w:r w:rsidR="00A5219A" w:rsidRPr="00427237">
        <w:t xml:space="preserve">would then </w:t>
      </w:r>
      <w:r w:rsidR="005655BE" w:rsidRPr="00427237">
        <w:t>go on to have</w:t>
      </w:r>
      <w:r w:rsidR="00BC58D4" w:rsidRPr="00427237">
        <w:t xml:space="preserve"> </w:t>
      </w:r>
      <w:r w:rsidR="00D76266" w:rsidRPr="00427237">
        <w:rPr>
          <w:vertAlign w:val="superscript"/>
        </w:rPr>
        <w:t>18</w:t>
      </w:r>
      <w:r w:rsidR="00D76266" w:rsidRPr="00427237">
        <w:t>F-FDG</w:t>
      </w:r>
      <w:r w:rsidR="00B61E2D" w:rsidRPr="00427237">
        <w:t xml:space="preserve"> </w:t>
      </w:r>
      <w:r w:rsidR="00A5219A" w:rsidRPr="00427237">
        <w:lastRenderedPageBreak/>
        <w:t>PET imaging.</w:t>
      </w:r>
      <w:r w:rsidRPr="00427237">
        <w:t xml:space="preserve"> </w:t>
      </w:r>
      <w:r w:rsidR="005655BE" w:rsidRPr="00427237">
        <w:t>It is expected that</w:t>
      </w:r>
      <w:r w:rsidR="00FF2FD7" w:rsidRPr="00427237">
        <w:t xml:space="preserve"> patients </w:t>
      </w:r>
      <w:r w:rsidR="00CB62B8" w:rsidRPr="00427237">
        <w:t xml:space="preserve">with suspected </w:t>
      </w:r>
      <w:r w:rsidR="00BC58D4" w:rsidRPr="00427237">
        <w:t xml:space="preserve">locally </w:t>
      </w:r>
      <w:r w:rsidR="005655BE" w:rsidRPr="00427237">
        <w:t xml:space="preserve">or </w:t>
      </w:r>
      <w:r w:rsidR="00BC58D4" w:rsidRPr="00427237">
        <w:t xml:space="preserve">regionally </w:t>
      </w:r>
      <w:r w:rsidR="00CB62B8" w:rsidRPr="00427237">
        <w:t>recurrent or</w:t>
      </w:r>
      <w:r w:rsidR="00B76CA0" w:rsidRPr="00427237">
        <w:t xml:space="preserve"> </w:t>
      </w:r>
      <w:r w:rsidR="002E2250" w:rsidRPr="00427237">
        <w:t xml:space="preserve">suspected </w:t>
      </w:r>
      <w:r w:rsidR="00CB62B8" w:rsidRPr="00427237">
        <w:t xml:space="preserve">metastatic breast cancer </w:t>
      </w:r>
      <w:r w:rsidR="005655BE" w:rsidRPr="00427237">
        <w:t xml:space="preserve">would </w:t>
      </w:r>
      <w:r w:rsidR="00FF2FD7" w:rsidRPr="00427237">
        <w:t xml:space="preserve">undergo 1 </w:t>
      </w:r>
      <w:r w:rsidR="00D76266" w:rsidRPr="00427237">
        <w:rPr>
          <w:vertAlign w:val="superscript"/>
        </w:rPr>
        <w:t>18</w:t>
      </w:r>
      <w:r w:rsidR="00D76266" w:rsidRPr="00427237">
        <w:t>F-FDG</w:t>
      </w:r>
      <w:r w:rsidR="00B61E2D" w:rsidRPr="00427237">
        <w:t xml:space="preserve"> </w:t>
      </w:r>
      <w:r w:rsidR="00FF2FD7" w:rsidRPr="00427237">
        <w:t>PET study per year.</w:t>
      </w:r>
    </w:p>
    <w:p w:rsidR="000F3C0D" w:rsidRPr="00427237" w:rsidRDefault="000F3C0D" w:rsidP="000F3C0D">
      <w:pPr>
        <w:pStyle w:val="Heading2"/>
        <w:rPr>
          <w:szCs w:val="22"/>
        </w:rPr>
      </w:pPr>
      <w:bookmarkStart w:id="44" w:name="_Ref371347813"/>
      <w:bookmarkStart w:id="45" w:name="_Ref371347831"/>
      <w:bookmarkStart w:id="46" w:name="_Toc379534810"/>
      <w:bookmarkStart w:id="47" w:name="_Toc379962704"/>
      <w:r w:rsidRPr="00427237">
        <w:rPr>
          <w:szCs w:val="22"/>
        </w:rPr>
        <w:t>Prerequisites</w:t>
      </w:r>
      <w:bookmarkEnd w:id="44"/>
      <w:bookmarkEnd w:id="45"/>
      <w:bookmarkEnd w:id="46"/>
      <w:bookmarkEnd w:id="47"/>
    </w:p>
    <w:p w:rsidR="00563C5B" w:rsidRPr="00427237" w:rsidRDefault="00563C5B" w:rsidP="00563C5B">
      <w:pPr>
        <w:rPr>
          <w:u w:val="single"/>
        </w:rPr>
      </w:pPr>
      <w:r w:rsidRPr="00427237">
        <w:rPr>
          <w:u w:val="single"/>
        </w:rPr>
        <w:t>Initial diagnostic imaging testing</w:t>
      </w:r>
      <w:r w:rsidR="00C7339D" w:rsidRPr="00427237">
        <w:rPr>
          <w:u w:val="single"/>
        </w:rPr>
        <w:t xml:space="preserve"> (prior testing)</w:t>
      </w:r>
      <w:r w:rsidRPr="00427237">
        <w:rPr>
          <w:u w:val="single"/>
        </w:rPr>
        <w:t>:</w:t>
      </w:r>
    </w:p>
    <w:p w:rsidR="00563C5B" w:rsidRPr="00427237" w:rsidRDefault="001364CC" w:rsidP="00563C5B">
      <w:r w:rsidRPr="00427237">
        <w:t>The main modality for an initial diagnostic imaging test</w:t>
      </w:r>
      <w:r w:rsidR="00563C5B" w:rsidRPr="00427237">
        <w:t xml:space="preserve"> for diagnosing and staging breast cancers is </w:t>
      </w:r>
      <w:r w:rsidRPr="00427237">
        <w:t xml:space="preserve">usually </w:t>
      </w:r>
      <w:r w:rsidR="00563C5B" w:rsidRPr="00427237">
        <w:t>CT</w:t>
      </w:r>
      <w:r w:rsidRPr="00427237">
        <w:t>.</w:t>
      </w:r>
    </w:p>
    <w:p w:rsidR="00563C5B" w:rsidRPr="00427237" w:rsidRDefault="00563C5B" w:rsidP="00563C5B">
      <w:r w:rsidRPr="00427237">
        <w:t>For suspected metastatic breast cancer</w:t>
      </w:r>
      <w:r w:rsidR="00B364B4" w:rsidRPr="00427237">
        <w:t>,</w:t>
      </w:r>
      <w:r w:rsidRPr="00427237">
        <w:t xml:space="preserve"> </w:t>
      </w:r>
      <w:r w:rsidR="00B364B4" w:rsidRPr="00427237">
        <w:t xml:space="preserve">or for </w:t>
      </w:r>
      <w:r w:rsidRPr="00427237">
        <w:t xml:space="preserve">suspected locally </w:t>
      </w:r>
      <w:r w:rsidR="00B364B4" w:rsidRPr="00427237">
        <w:t xml:space="preserve">or </w:t>
      </w:r>
      <w:r w:rsidRPr="00427237">
        <w:t>regionally recurrent breast cancer, standard diagnostic imaging will consist o</w:t>
      </w:r>
      <w:r w:rsidR="001364CC" w:rsidRPr="00427237">
        <w:t xml:space="preserve">f CT, MRI and bone </w:t>
      </w:r>
      <w:proofErr w:type="spellStart"/>
      <w:r w:rsidR="001364CC" w:rsidRPr="00427237">
        <w:t>scintigraphy</w:t>
      </w:r>
      <w:proofErr w:type="spellEnd"/>
      <w:r w:rsidR="001364CC" w:rsidRPr="00427237">
        <w:t>.</w:t>
      </w:r>
    </w:p>
    <w:p w:rsidR="0029566B" w:rsidRPr="00427237" w:rsidRDefault="00B7625A" w:rsidP="000F3C0D">
      <w:pPr>
        <w:rPr>
          <w:szCs w:val="22"/>
        </w:rPr>
      </w:pPr>
      <w:r w:rsidRPr="00427237">
        <w:rPr>
          <w:u w:val="single"/>
        </w:rPr>
        <w:t>Personnel</w:t>
      </w:r>
      <w:r w:rsidR="004C33E8" w:rsidRPr="00427237">
        <w:rPr>
          <w:u w:val="single"/>
        </w:rPr>
        <w:t xml:space="preserve"> and Facilities</w:t>
      </w:r>
      <w:r w:rsidRPr="00427237">
        <w:rPr>
          <w:u w:val="single"/>
        </w:rPr>
        <w:t>:</w:t>
      </w:r>
    </w:p>
    <w:p w:rsidR="00F542A2" w:rsidRPr="00427237" w:rsidRDefault="00F542A2" w:rsidP="00BB0930">
      <w:pPr>
        <w:rPr>
          <w:szCs w:val="22"/>
        </w:rPr>
      </w:pPr>
      <w:r w:rsidRPr="00427237">
        <w:rPr>
          <w:szCs w:val="22"/>
        </w:rPr>
        <w:t>Diagnostic imaging studies require the following</w:t>
      </w:r>
      <w:r w:rsidR="004505B3" w:rsidRPr="00427237">
        <w:rPr>
          <w:szCs w:val="22"/>
        </w:rPr>
        <w:t xml:space="preserve"> clinicians and</w:t>
      </w:r>
      <w:r w:rsidRPr="00427237">
        <w:rPr>
          <w:szCs w:val="22"/>
        </w:rPr>
        <w:t xml:space="preserve"> staff:</w:t>
      </w:r>
    </w:p>
    <w:p w:rsidR="004505B3" w:rsidRPr="00427237" w:rsidRDefault="004505B3" w:rsidP="00FC3E54">
      <w:pPr>
        <w:pStyle w:val="ListParagraph"/>
        <w:numPr>
          <w:ilvl w:val="0"/>
          <w:numId w:val="40"/>
        </w:numPr>
        <w:rPr>
          <w:szCs w:val="22"/>
        </w:rPr>
      </w:pPr>
      <w:r w:rsidRPr="00427237">
        <w:rPr>
          <w:szCs w:val="22"/>
        </w:rPr>
        <w:t>MRI, CT, u</w:t>
      </w:r>
      <w:r w:rsidR="00FC3E54" w:rsidRPr="00427237">
        <w:rPr>
          <w:szCs w:val="22"/>
        </w:rPr>
        <w:t>ltrasound: radiologists, r</w:t>
      </w:r>
      <w:r w:rsidRPr="00427237">
        <w:rPr>
          <w:szCs w:val="22"/>
        </w:rPr>
        <w:t>adiographers, and clerical staff.</w:t>
      </w:r>
    </w:p>
    <w:p w:rsidR="004505B3" w:rsidRPr="00427237" w:rsidRDefault="004505B3" w:rsidP="00FC3E54">
      <w:pPr>
        <w:pStyle w:val="ListParagraph"/>
        <w:numPr>
          <w:ilvl w:val="0"/>
          <w:numId w:val="40"/>
        </w:numPr>
        <w:rPr>
          <w:szCs w:val="22"/>
        </w:rPr>
      </w:pPr>
      <w:r w:rsidRPr="00427237">
        <w:rPr>
          <w:szCs w:val="22"/>
        </w:rPr>
        <w:t>Nuclear medicine (including FDG PET): nuclear medicine specialists, nuclear medicine technologists, clerical staff.</w:t>
      </w:r>
    </w:p>
    <w:p w:rsidR="001D24AC" w:rsidRPr="00427237" w:rsidRDefault="001D24AC" w:rsidP="00BB0930">
      <w:pPr>
        <w:rPr>
          <w:szCs w:val="22"/>
        </w:rPr>
      </w:pPr>
      <w:r w:rsidRPr="00427237">
        <w:rPr>
          <w:szCs w:val="22"/>
        </w:rPr>
        <w:t>Inpatient services would require other staff such as nurses and o</w:t>
      </w:r>
      <w:r w:rsidR="00C426CB" w:rsidRPr="00427237">
        <w:rPr>
          <w:szCs w:val="22"/>
        </w:rPr>
        <w:t>r</w:t>
      </w:r>
      <w:r w:rsidRPr="00427237">
        <w:rPr>
          <w:szCs w:val="22"/>
        </w:rPr>
        <w:t>derlies.</w:t>
      </w:r>
    </w:p>
    <w:p w:rsidR="00F542A2" w:rsidRPr="00427237" w:rsidRDefault="001D24AC" w:rsidP="00BB0930">
      <w:pPr>
        <w:rPr>
          <w:szCs w:val="22"/>
        </w:rPr>
      </w:pPr>
      <w:r w:rsidRPr="00427237">
        <w:rPr>
          <w:szCs w:val="22"/>
        </w:rPr>
        <w:t>Nuclear medicine specialists include both dual trained radiologists a</w:t>
      </w:r>
      <w:r w:rsidR="001364CC" w:rsidRPr="00427237">
        <w:rPr>
          <w:szCs w:val="22"/>
        </w:rPr>
        <w:t>nd nuclear medicine physicians.</w:t>
      </w:r>
    </w:p>
    <w:p w:rsidR="00BB0930" w:rsidRPr="00427237" w:rsidRDefault="00BB0930" w:rsidP="00BB0930">
      <w:pPr>
        <w:rPr>
          <w:szCs w:val="22"/>
        </w:rPr>
      </w:pPr>
      <w:r w:rsidRPr="00427237">
        <w:rPr>
          <w:szCs w:val="22"/>
        </w:rPr>
        <w:t>Like</w:t>
      </w:r>
      <w:r w:rsidR="007823F8" w:rsidRPr="00427237">
        <w:rPr>
          <w:szCs w:val="22"/>
        </w:rPr>
        <w:t xml:space="preserve"> the </w:t>
      </w:r>
      <w:r w:rsidRPr="00427237">
        <w:rPr>
          <w:szCs w:val="22"/>
        </w:rPr>
        <w:t>regulations on the MBS for delivering PET services</w:t>
      </w:r>
      <w:r w:rsidR="004A74A4" w:rsidRPr="00427237">
        <w:rPr>
          <w:szCs w:val="22"/>
        </w:rPr>
        <w:t xml:space="preserve"> </w:t>
      </w:r>
      <w:r w:rsidR="007823F8" w:rsidRPr="00427237">
        <w:rPr>
          <w:szCs w:val="22"/>
        </w:rPr>
        <w:t xml:space="preserve">for other diseases </w:t>
      </w:r>
      <w:r w:rsidR="004A74A4" w:rsidRPr="00427237">
        <w:rPr>
          <w:szCs w:val="22"/>
        </w:rPr>
        <w:t>(i.e.</w:t>
      </w:r>
      <w:r w:rsidR="007823F8" w:rsidRPr="00427237">
        <w:rPr>
          <w:szCs w:val="22"/>
        </w:rPr>
        <w:t xml:space="preserve"> “</w:t>
      </w:r>
      <w:r w:rsidR="002353D1" w:rsidRPr="00427237">
        <w:rPr>
          <w:szCs w:val="22"/>
        </w:rPr>
        <w:t xml:space="preserve">Note </w:t>
      </w:r>
      <w:r w:rsidR="007823F8" w:rsidRPr="00427237">
        <w:rPr>
          <w:szCs w:val="22"/>
        </w:rPr>
        <w:t>DIN Group I4 – Nuclear Medicine Imaging” for</w:t>
      </w:r>
      <w:r w:rsidR="004A74A4" w:rsidRPr="00427237">
        <w:rPr>
          <w:szCs w:val="22"/>
        </w:rPr>
        <w:t xml:space="preserve"> MBS Items 61523 to 61646)</w:t>
      </w:r>
      <w:r w:rsidRPr="00427237">
        <w:rPr>
          <w:szCs w:val="22"/>
        </w:rPr>
        <w:t xml:space="preserve">, it is envisioned that PET services </w:t>
      </w:r>
      <w:r w:rsidR="00816C31" w:rsidRPr="00427237">
        <w:rPr>
          <w:szCs w:val="22"/>
        </w:rPr>
        <w:t xml:space="preserve">for breast cancer patients </w:t>
      </w:r>
      <w:r w:rsidRPr="00427237">
        <w:rPr>
          <w:szCs w:val="22"/>
        </w:rPr>
        <w:t>must be</w:t>
      </w:r>
      <w:r w:rsidR="00F31667" w:rsidRPr="00427237">
        <w:rPr>
          <w:szCs w:val="22"/>
        </w:rPr>
        <w:t>, quoting the MBS descriptor</w:t>
      </w:r>
      <w:r w:rsidRPr="00427237">
        <w:rPr>
          <w:szCs w:val="22"/>
        </w:rPr>
        <w:t>:</w:t>
      </w:r>
    </w:p>
    <w:p w:rsidR="00BB0930" w:rsidRPr="00427237" w:rsidRDefault="004A74A4" w:rsidP="00BB0930">
      <w:pPr>
        <w:pStyle w:val="ListParagraph"/>
        <w:numPr>
          <w:ilvl w:val="0"/>
          <w:numId w:val="19"/>
        </w:numPr>
        <w:rPr>
          <w:szCs w:val="22"/>
        </w:rPr>
      </w:pPr>
      <w:r w:rsidRPr="00427237">
        <w:rPr>
          <w:szCs w:val="22"/>
        </w:rPr>
        <w:t>P</w:t>
      </w:r>
      <w:r w:rsidR="00BB0930" w:rsidRPr="00427237">
        <w:rPr>
          <w:szCs w:val="22"/>
        </w:rPr>
        <w:t>erformed by a:</w:t>
      </w:r>
    </w:p>
    <w:p w:rsidR="00BB0930" w:rsidRPr="00427237" w:rsidRDefault="00BB0930" w:rsidP="00BB0930">
      <w:pPr>
        <w:pStyle w:val="ListParagraph"/>
        <w:numPr>
          <w:ilvl w:val="1"/>
          <w:numId w:val="19"/>
        </w:numPr>
        <w:rPr>
          <w:szCs w:val="22"/>
        </w:rPr>
      </w:pPr>
      <w:r w:rsidRPr="00427237">
        <w:rPr>
          <w:szCs w:val="22"/>
        </w:rPr>
        <w:t xml:space="preserve">specialist or consultant physician </w:t>
      </w:r>
      <w:proofErr w:type="spellStart"/>
      <w:r w:rsidR="004C5DFB" w:rsidRPr="00427237">
        <w:rPr>
          <w:szCs w:val="22"/>
        </w:rPr>
        <w:t>credentia</w:t>
      </w:r>
      <w:r w:rsidR="00B364B4" w:rsidRPr="00427237">
        <w:rPr>
          <w:szCs w:val="22"/>
        </w:rPr>
        <w:t>l</w:t>
      </w:r>
      <w:r w:rsidR="004C5DFB" w:rsidRPr="00427237">
        <w:rPr>
          <w:szCs w:val="22"/>
        </w:rPr>
        <w:t>led</w:t>
      </w:r>
      <w:proofErr w:type="spellEnd"/>
      <w:r w:rsidRPr="00427237">
        <w:rPr>
          <w:szCs w:val="22"/>
        </w:rPr>
        <w:t xml:space="preserve"> under the Joint Nuclear Medicine Specialist </w:t>
      </w:r>
      <w:proofErr w:type="spellStart"/>
      <w:r w:rsidR="004C5DFB" w:rsidRPr="00427237">
        <w:rPr>
          <w:szCs w:val="22"/>
        </w:rPr>
        <w:t>Credentia</w:t>
      </w:r>
      <w:r w:rsidR="00B364B4" w:rsidRPr="00427237">
        <w:rPr>
          <w:szCs w:val="22"/>
        </w:rPr>
        <w:t>l</w:t>
      </w:r>
      <w:r w:rsidR="004C5DFB" w:rsidRPr="00427237">
        <w:rPr>
          <w:szCs w:val="22"/>
        </w:rPr>
        <w:t>ling</w:t>
      </w:r>
      <w:proofErr w:type="spellEnd"/>
      <w:r w:rsidRPr="00427237">
        <w:rPr>
          <w:szCs w:val="22"/>
        </w:rPr>
        <w:t xml:space="preserve"> Program for the Recognition of the Credentials of Nuclear Medicine Specialists for Positron Emission Tomography overseen by the Joint Nuclear Medicine </w:t>
      </w:r>
      <w:proofErr w:type="spellStart"/>
      <w:r w:rsidR="004C5DFB" w:rsidRPr="00427237">
        <w:rPr>
          <w:szCs w:val="22"/>
        </w:rPr>
        <w:t>Credentia</w:t>
      </w:r>
      <w:r w:rsidR="00B364B4" w:rsidRPr="00427237">
        <w:rPr>
          <w:szCs w:val="22"/>
        </w:rPr>
        <w:t>l</w:t>
      </w:r>
      <w:r w:rsidR="004C5DFB" w:rsidRPr="00427237">
        <w:rPr>
          <w:szCs w:val="22"/>
        </w:rPr>
        <w:t>ling</w:t>
      </w:r>
      <w:proofErr w:type="spellEnd"/>
      <w:r w:rsidRPr="00427237">
        <w:rPr>
          <w:szCs w:val="22"/>
        </w:rPr>
        <w:t xml:space="preserve"> and Accreditation Committee of the RACP and RANZCR; or</w:t>
      </w:r>
    </w:p>
    <w:p w:rsidR="00BB0930" w:rsidRPr="00427237" w:rsidRDefault="00BB0930" w:rsidP="00BB0930">
      <w:pPr>
        <w:pStyle w:val="ListParagraph"/>
        <w:numPr>
          <w:ilvl w:val="1"/>
          <w:numId w:val="19"/>
        </w:numPr>
        <w:rPr>
          <w:szCs w:val="22"/>
        </w:rPr>
      </w:pPr>
      <w:r w:rsidRPr="00427237">
        <w:rPr>
          <w:szCs w:val="22"/>
        </w:rPr>
        <w:t xml:space="preserve">practitioner who is a Fellow of either RACP or RANZCR, and who, prior to 1 November 2011, reported 400 or more studies forming part of PET services for which a Medicare benefit was payable, and who holds a current </w:t>
      </w:r>
      <w:r w:rsidR="00B364B4" w:rsidRPr="00427237">
        <w:rPr>
          <w:szCs w:val="22"/>
        </w:rPr>
        <w:t xml:space="preserve">licence </w:t>
      </w:r>
      <w:r w:rsidRPr="00427237">
        <w:rPr>
          <w:szCs w:val="22"/>
        </w:rPr>
        <w:t>from the relevant State radiation licensing body to prescribe and administer the intended PET radiopharmaceuticals to humans;</w:t>
      </w:r>
    </w:p>
    <w:p w:rsidR="00BB0930" w:rsidRPr="00427237" w:rsidRDefault="004A74A4" w:rsidP="00BB0930">
      <w:pPr>
        <w:pStyle w:val="ListParagraph"/>
        <w:numPr>
          <w:ilvl w:val="0"/>
          <w:numId w:val="19"/>
        </w:numPr>
        <w:rPr>
          <w:szCs w:val="22"/>
        </w:rPr>
      </w:pPr>
      <w:r w:rsidRPr="00427237">
        <w:rPr>
          <w:szCs w:val="22"/>
        </w:rPr>
        <w:t>P</w:t>
      </w:r>
      <w:r w:rsidR="00BB0930" w:rsidRPr="00427237">
        <w:rPr>
          <w:szCs w:val="22"/>
        </w:rPr>
        <w:t xml:space="preserve">rovided in a comprehensive facility that can provide a full range of diagnostic imaging services (including PET, CT, </w:t>
      </w:r>
      <w:proofErr w:type="spellStart"/>
      <w:r w:rsidR="00BB0930" w:rsidRPr="00427237">
        <w:rPr>
          <w:szCs w:val="22"/>
        </w:rPr>
        <w:t>XRay</w:t>
      </w:r>
      <w:proofErr w:type="spellEnd"/>
      <w:r w:rsidR="00BB0930" w:rsidRPr="00427237">
        <w:rPr>
          <w:szCs w:val="22"/>
        </w:rPr>
        <w:t xml:space="preserve"> and diagnostic ultrasound) and cancer treatment services (including chemotherapy, radiation oncology and surgical oncology) at the one site;</w:t>
      </w:r>
    </w:p>
    <w:p w:rsidR="00BB0930" w:rsidRPr="00427237" w:rsidRDefault="00086E41" w:rsidP="00BB0930">
      <w:pPr>
        <w:pStyle w:val="ListParagraph"/>
        <w:numPr>
          <w:ilvl w:val="0"/>
          <w:numId w:val="19"/>
        </w:numPr>
        <w:rPr>
          <w:szCs w:val="22"/>
        </w:rPr>
      </w:pPr>
      <w:r w:rsidRPr="00427237">
        <w:rPr>
          <w:szCs w:val="22"/>
        </w:rPr>
        <w:t>P</w:t>
      </w:r>
      <w:r w:rsidR="00BB0930" w:rsidRPr="00427237">
        <w:rPr>
          <w:szCs w:val="22"/>
        </w:rPr>
        <w:t>rovided using equipment that meets:</w:t>
      </w:r>
    </w:p>
    <w:p w:rsidR="00BB0930" w:rsidRPr="00427237" w:rsidRDefault="00BB0930" w:rsidP="00BB0930">
      <w:pPr>
        <w:pStyle w:val="ListParagraph"/>
        <w:numPr>
          <w:ilvl w:val="1"/>
          <w:numId w:val="19"/>
        </w:numPr>
        <w:rPr>
          <w:szCs w:val="22"/>
        </w:rPr>
      </w:pPr>
      <w:r w:rsidRPr="00427237">
        <w:rPr>
          <w:szCs w:val="22"/>
        </w:rPr>
        <w:t>The Requirements for PET Accreditation (Instrumentation &amp; Radiation Safety) dated 4 May 2007 and issued by the Australian and New Zealand Society of Nuclear Medicine; and</w:t>
      </w:r>
    </w:p>
    <w:p w:rsidR="00BB0930" w:rsidRPr="00427237" w:rsidRDefault="00BB0930" w:rsidP="00BB0930">
      <w:pPr>
        <w:pStyle w:val="ListParagraph"/>
        <w:numPr>
          <w:ilvl w:val="1"/>
          <w:numId w:val="19"/>
        </w:numPr>
        <w:rPr>
          <w:szCs w:val="22"/>
        </w:rPr>
      </w:pPr>
      <w:r w:rsidRPr="00427237">
        <w:rPr>
          <w:szCs w:val="22"/>
        </w:rPr>
        <w:lastRenderedPageBreak/>
        <w:t>NEMA NU 22007 Standard published by the National Electrical Manufacturers Association (USA).</w:t>
      </w:r>
    </w:p>
    <w:p w:rsidR="006062C8" w:rsidRPr="00427237" w:rsidRDefault="006062C8" w:rsidP="006062C8">
      <w:pPr>
        <w:pStyle w:val="ListParagraph"/>
        <w:numPr>
          <w:ilvl w:val="0"/>
          <w:numId w:val="19"/>
        </w:numPr>
        <w:rPr>
          <w:szCs w:val="22"/>
        </w:rPr>
      </w:pPr>
      <w:r w:rsidRPr="00427237">
        <w:rPr>
          <w:szCs w:val="22"/>
        </w:rPr>
        <w:t>Only provided following referral from a recognised specialist or consultant physician.</w:t>
      </w:r>
    </w:p>
    <w:p w:rsidR="00977DBC" w:rsidRPr="00427237" w:rsidRDefault="0095799E" w:rsidP="000F3C0D">
      <w:pPr>
        <w:rPr>
          <w:szCs w:val="22"/>
        </w:rPr>
      </w:pPr>
      <w:r w:rsidRPr="00427237">
        <w:rPr>
          <w:szCs w:val="22"/>
        </w:rPr>
        <w:t>M</w:t>
      </w:r>
      <w:r w:rsidR="005E3C34" w:rsidRPr="00427237">
        <w:rPr>
          <w:szCs w:val="22"/>
        </w:rPr>
        <w:t xml:space="preserve">achines currently approved by the TGA </w:t>
      </w:r>
      <w:r w:rsidRPr="00427237">
        <w:rPr>
          <w:szCs w:val="22"/>
        </w:rPr>
        <w:t xml:space="preserve">and sold </w:t>
      </w:r>
      <w:r w:rsidR="005E3C34" w:rsidRPr="00427237">
        <w:rPr>
          <w:szCs w:val="22"/>
        </w:rPr>
        <w:t>in the Australian market are combination PET/CT machines, so any facilities having these machines will not need to purchase additional capital equipment.</w:t>
      </w:r>
      <w:r w:rsidRPr="00427237">
        <w:rPr>
          <w:szCs w:val="22"/>
        </w:rPr>
        <w:t xml:space="preserve"> Facilities with separate CT and PET machines will upgrade to PET/CT machines in the future.</w:t>
      </w:r>
      <w:r w:rsidR="005E3C34" w:rsidRPr="00427237">
        <w:rPr>
          <w:szCs w:val="22"/>
        </w:rPr>
        <w:t xml:space="preserve"> </w:t>
      </w:r>
    </w:p>
    <w:p w:rsidR="0029566B" w:rsidRPr="00427237" w:rsidRDefault="008F0A11" w:rsidP="000F3C0D">
      <w:pPr>
        <w:rPr>
          <w:szCs w:val="22"/>
        </w:rPr>
      </w:pPr>
      <w:r w:rsidRPr="00427237">
        <w:rPr>
          <w:szCs w:val="22"/>
        </w:rPr>
        <w:t>On top of these requirements, PET facilities need to be in shielded scanning rooms, have an external supply chain for PET tracers (usually from commercial providers) or have an on-site cyclotron</w:t>
      </w:r>
      <w:r w:rsidR="001A543B" w:rsidRPr="00427237">
        <w:rPr>
          <w:szCs w:val="22"/>
        </w:rPr>
        <w:t xml:space="preserve"> or on-site </w:t>
      </w:r>
      <w:proofErr w:type="spellStart"/>
      <w:r w:rsidR="001A543B" w:rsidRPr="00427237">
        <w:rPr>
          <w:szCs w:val="22"/>
        </w:rPr>
        <w:t>radiopharmacy</w:t>
      </w:r>
      <w:proofErr w:type="spellEnd"/>
      <w:r w:rsidR="001A543B" w:rsidRPr="00427237">
        <w:rPr>
          <w:szCs w:val="22"/>
        </w:rPr>
        <w:t xml:space="preserve"> (where generators are used in-house to produce PET radiopharmaceuticals)</w:t>
      </w:r>
      <w:r w:rsidRPr="00427237">
        <w:rPr>
          <w:szCs w:val="22"/>
        </w:rPr>
        <w:t>.</w:t>
      </w:r>
    </w:p>
    <w:p w:rsidR="000F3C0D" w:rsidRPr="00427237" w:rsidRDefault="000F3C0D" w:rsidP="009D707B">
      <w:pPr>
        <w:pStyle w:val="Heading2"/>
      </w:pPr>
      <w:bookmarkStart w:id="48" w:name="_Ref371347849"/>
      <w:bookmarkStart w:id="49" w:name="_Toc379534811"/>
      <w:bookmarkStart w:id="50" w:name="_Toc379962705"/>
      <w:r w:rsidRPr="00427237">
        <w:t>Co-administered and associated interventions</w:t>
      </w:r>
      <w:bookmarkEnd w:id="48"/>
      <w:bookmarkEnd w:id="49"/>
      <w:bookmarkEnd w:id="50"/>
    </w:p>
    <w:p w:rsidR="005643E9" w:rsidRPr="00427237" w:rsidRDefault="006E6DA1" w:rsidP="000F3C0D">
      <w:pPr>
        <w:rPr>
          <w:szCs w:val="22"/>
        </w:rPr>
      </w:pPr>
      <w:r w:rsidRPr="00427237">
        <w:rPr>
          <w:szCs w:val="22"/>
        </w:rPr>
        <w:t xml:space="preserve">There are no co-administered or associated diagnostic tests </w:t>
      </w:r>
      <w:r w:rsidR="00893B0F" w:rsidRPr="00427237">
        <w:rPr>
          <w:szCs w:val="22"/>
        </w:rPr>
        <w:t xml:space="preserve">or treatments </w:t>
      </w:r>
      <w:r w:rsidRPr="00427237">
        <w:rPr>
          <w:szCs w:val="22"/>
        </w:rPr>
        <w:t xml:space="preserve">with </w:t>
      </w:r>
      <w:r w:rsidR="00D76266" w:rsidRPr="00427237">
        <w:rPr>
          <w:szCs w:val="22"/>
          <w:vertAlign w:val="superscript"/>
        </w:rPr>
        <w:t>18</w:t>
      </w:r>
      <w:r w:rsidR="00D76266" w:rsidRPr="00427237">
        <w:rPr>
          <w:szCs w:val="22"/>
        </w:rPr>
        <w:t>F-FDG</w:t>
      </w:r>
      <w:r w:rsidR="00E70936" w:rsidRPr="00427237">
        <w:rPr>
          <w:szCs w:val="22"/>
        </w:rPr>
        <w:t xml:space="preserve"> </w:t>
      </w:r>
      <w:r w:rsidRPr="00427237">
        <w:rPr>
          <w:szCs w:val="22"/>
        </w:rPr>
        <w:t>PET.</w:t>
      </w:r>
    </w:p>
    <w:p w:rsidR="007E24B3" w:rsidRPr="00427237" w:rsidRDefault="007E24B3" w:rsidP="000F3C0D">
      <w:pPr>
        <w:rPr>
          <w:szCs w:val="22"/>
        </w:rPr>
      </w:pPr>
    </w:p>
    <w:p w:rsidR="000D5CF9" w:rsidRPr="00427237" w:rsidRDefault="000D5CF9" w:rsidP="00DE04D4">
      <w:pPr>
        <w:pStyle w:val="Heading1"/>
      </w:pPr>
      <w:bookmarkStart w:id="51" w:name="_Toc379534812"/>
      <w:bookmarkStart w:id="52" w:name="_Toc379962706"/>
      <w:r w:rsidRPr="00427237">
        <w:t>Comparator</w:t>
      </w:r>
      <w:bookmarkEnd w:id="51"/>
      <w:bookmarkEnd w:id="52"/>
    </w:p>
    <w:p w:rsidR="002C636C" w:rsidRPr="00427237" w:rsidRDefault="002C636C" w:rsidP="009149F1">
      <w:pPr>
        <w:rPr>
          <w:u w:val="single"/>
        </w:rPr>
      </w:pPr>
      <w:r w:rsidRPr="00427237">
        <w:rPr>
          <w:u w:val="single"/>
        </w:rPr>
        <w:t>Prior test</w:t>
      </w:r>
      <w:r w:rsidR="009149F1" w:rsidRPr="00427237">
        <w:rPr>
          <w:u w:val="single"/>
        </w:rPr>
        <w:t>s:</w:t>
      </w:r>
    </w:p>
    <w:p w:rsidR="00CA11CC" w:rsidRPr="00427237" w:rsidRDefault="00C7339D" w:rsidP="002C636C">
      <w:r w:rsidRPr="00427237">
        <w:t>The initial diagnostic imaging testing regime</w:t>
      </w:r>
      <w:r w:rsidR="006F57DB" w:rsidRPr="00427237">
        <w:t xml:space="preserve"> </w:t>
      </w:r>
      <w:r w:rsidR="00FD794C" w:rsidRPr="00427237">
        <w:t xml:space="preserve">for the comparator </w:t>
      </w:r>
      <w:r w:rsidRPr="00427237">
        <w:t>is</w:t>
      </w:r>
      <w:r w:rsidR="00FD794C" w:rsidRPr="00427237">
        <w:t xml:space="preserve"> the same a</w:t>
      </w:r>
      <w:r w:rsidRPr="00427237">
        <w:t xml:space="preserve">s described in the </w:t>
      </w:r>
      <w:r w:rsidR="00BF57C1" w:rsidRPr="00427237">
        <w:rPr>
          <w:szCs w:val="22"/>
        </w:rPr>
        <w:t>Prerequisites</w:t>
      </w:r>
      <w:r w:rsidRPr="00427237">
        <w:t xml:space="preserve"> section above.</w:t>
      </w:r>
    </w:p>
    <w:p w:rsidR="005719E2" w:rsidRPr="00427237" w:rsidRDefault="00B61E2D" w:rsidP="00DD66A1">
      <w:pPr>
        <w:rPr>
          <w:szCs w:val="22"/>
          <w:u w:val="single"/>
        </w:rPr>
      </w:pPr>
      <w:r w:rsidRPr="00427237">
        <w:rPr>
          <w:szCs w:val="22"/>
          <w:u w:val="single"/>
        </w:rPr>
        <w:t>Standard c</w:t>
      </w:r>
      <w:r w:rsidR="00AA4713" w:rsidRPr="00427237">
        <w:rPr>
          <w:szCs w:val="22"/>
          <w:u w:val="single"/>
        </w:rPr>
        <w:t xml:space="preserve">onfirmatory </w:t>
      </w:r>
      <w:r w:rsidR="002C636C" w:rsidRPr="00427237">
        <w:rPr>
          <w:szCs w:val="22"/>
          <w:u w:val="single"/>
        </w:rPr>
        <w:t>diagnostic imaging</w:t>
      </w:r>
      <w:r w:rsidR="00E5260B" w:rsidRPr="00427237">
        <w:rPr>
          <w:szCs w:val="22"/>
          <w:u w:val="single"/>
        </w:rPr>
        <w:t xml:space="preserve"> is the comparator test</w:t>
      </w:r>
      <w:r w:rsidR="002C636C" w:rsidRPr="00427237">
        <w:rPr>
          <w:szCs w:val="22"/>
          <w:u w:val="single"/>
        </w:rPr>
        <w:t>:</w:t>
      </w:r>
    </w:p>
    <w:p w:rsidR="005719E2" w:rsidRPr="00427237" w:rsidRDefault="00D80454" w:rsidP="005719E2">
      <w:r w:rsidRPr="00427237">
        <w:t>Initial diagnostic imaging tests for diagnosing a</w:t>
      </w:r>
      <w:r w:rsidR="00A751F4" w:rsidRPr="00427237">
        <w:t xml:space="preserve">nd staging breast cancers is CT. </w:t>
      </w:r>
      <w:r w:rsidR="00AA4713" w:rsidRPr="00427237">
        <w:t xml:space="preserve">MRI may also be used to confirm brain and spine tumour involvement and spread. </w:t>
      </w:r>
      <w:r w:rsidR="005719E2" w:rsidRPr="00427237">
        <w:t>For radiography, diagnos</w:t>
      </w:r>
      <w:r w:rsidR="00A751F4" w:rsidRPr="00427237">
        <w:t xml:space="preserve">tic mammography and CT </w:t>
      </w:r>
      <w:r w:rsidR="005719E2" w:rsidRPr="00427237">
        <w:t xml:space="preserve">can be used to </w:t>
      </w:r>
      <w:r w:rsidR="008D7011" w:rsidRPr="00427237">
        <w:t>evaluate the primary lesion</w:t>
      </w:r>
      <w:r w:rsidR="005719E2" w:rsidRPr="00427237">
        <w:t xml:space="preserve"> in the breast and </w:t>
      </w:r>
      <w:r w:rsidR="008D7011" w:rsidRPr="00427237">
        <w:t xml:space="preserve">search </w:t>
      </w:r>
      <w:r w:rsidR="005719E2" w:rsidRPr="00427237">
        <w:t xml:space="preserve">for </w:t>
      </w:r>
      <w:r w:rsidR="008D7011" w:rsidRPr="00427237">
        <w:t>spread to</w:t>
      </w:r>
      <w:r w:rsidR="005719E2" w:rsidRPr="00427237">
        <w:t xml:space="preserve"> the lungs and other chest tissues. Ultrasound can be used to </w:t>
      </w:r>
      <w:r w:rsidR="008D7011" w:rsidRPr="00427237">
        <w:t>characterise breast lesions</w:t>
      </w:r>
      <w:r w:rsidR="009F0E4B" w:rsidRPr="00427237">
        <w:t>,</w:t>
      </w:r>
      <w:r w:rsidR="005719E2" w:rsidRPr="00427237">
        <w:t xml:space="preserve"> </w:t>
      </w:r>
      <w:r w:rsidR="008D7011" w:rsidRPr="00427237">
        <w:t xml:space="preserve">where </w:t>
      </w:r>
      <w:r w:rsidR="009F0E4B" w:rsidRPr="00427237">
        <w:t>i</w:t>
      </w:r>
      <w:r w:rsidR="005719E2" w:rsidRPr="00427237">
        <w:t xml:space="preserve">t can </w:t>
      </w:r>
      <w:r w:rsidR="007D4B99" w:rsidRPr="00427237">
        <w:t xml:space="preserve">be used to differentiate between </w:t>
      </w:r>
      <w:r w:rsidR="005719E2" w:rsidRPr="00427237">
        <w:t>cyst</w:t>
      </w:r>
      <w:r w:rsidR="007D4B99" w:rsidRPr="00427237">
        <w:t>s</w:t>
      </w:r>
      <w:r w:rsidR="005719E2" w:rsidRPr="00427237">
        <w:t xml:space="preserve"> </w:t>
      </w:r>
      <w:r w:rsidR="007D4B99" w:rsidRPr="00427237">
        <w:t>and</w:t>
      </w:r>
      <w:r w:rsidR="005719E2" w:rsidRPr="00427237">
        <w:t xml:space="preserve"> solid mass</w:t>
      </w:r>
      <w:r w:rsidR="007D4B99" w:rsidRPr="00427237">
        <w:t>es</w:t>
      </w:r>
      <w:r w:rsidR="005719E2" w:rsidRPr="00427237">
        <w:t xml:space="preserve"> </w:t>
      </w:r>
      <w:r w:rsidR="007D4B99" w:rsidRPr="00427237">
        <w:t xml:space="preserve">such as </w:t>
      </w:r>
      <w:r w:rsidR="005719E2" w:rsidRPr="00427237">
        <w:t xml:space="preserve">a tumour. The more complex diagnostic techniques (i.e. MRI, CT, bone </w:t>
      </w:r>
      <w:proofErr w:type="spellStart"/>
      <w:r w:rsidR="005719E2" w:rsidRPr="00427237">
        <w:t>scintigraphy</w:t>
      </w:r>
      <w:proofErr w:type="spellEnd"/>
      <w:r w:rsidR="005719E2" w:rsidRPr="00427237">
        <w:t>) are discussed below.</w:t>
      </w:r>
    </w:p>
    <w:p w:rsidR="005719E2" w:rsidRPr="00427237" w:rsidRDefault="005719E2" w:rsidP="005719E2">
      <w:pPr>
        <w:rPr>
          <w:szCs w:val="22"/>
          <w:u w:val="single"/>
        </w:rPr>
      </w:pPr>
      <w:r w:rsidRPr="00427237">
        <w:rPr>
          <w:szCs w:val="22"/>
          <w:u w:val="single"/>
        </w:rPr>
        <w:t>MRI</w:t>
      </w:r>
      <w:r w:rsidR="00C24187" w:rsidRPr="00427237">
        <w:rPr>
          <w:noProof/>
          <w:szCs w:val="22"/>
          <w:u w:val="single"/>
          <w:vertAlign w:val="superscript"/>
        </w:rPr>
        <w:t>3, 20</w:t>
      </w:r>
      <w:r w:rsidRPr="00427237">
        <w:rPr>
          <w:szCs w:val="22"/>
          <w:u w:val="single"/>
        </w:rPr>
        <w:t>:</w:t>
      </w:r>
    </w:p>
    <w:p w:rsidR="005719E2" w:rsidRPr="00427237" w:rsidRDefault="00C53C71" w:rsidP="00FC5607">
      <w:pPr>
        <w:rPr>
          <w:szCs w:val="22"/>
        </w:rPr>
      </w:pPr>
      <w:r w:rsidRPr="00427237">
        <w:rPr>
          <w:szCs w:val="22"/>
        </w:rPr>
        <w:t xml:space="preserve">MRI </w:t>
      </w:r>
      <w:r w:rsidR="00EE5C1D" w:rsidRPr="00427237">
        <w:rPr>
          <w:szCs w:val="22"/>
        </w:rPr>
        <w:t xml:space="preserve">is </w:t>
      </w:r>
      <w:r w:rsidRPr="00427237">
        <w:rPr>
          <w:szCs w:val="22"/>
        </w:rPr>
        <w:t>used for various imaging purposes</w:t>
      </w:r>
      <w:r w:rsidR="00847DD5" w:rsidRPr="00427237">
        <w:rPr>
          <w:szCs w:val="22"/>
        </w:rPr>
        <w:t>, including for oncological investigations</w:t>
      </w:r>
      <w:r w:rsidRPr="00427237">
        <w:rPr>
          <w:szCs w:val="22"/>
        </w:rPr>
        <w:t>.</w:t>
      </w:r>
      <w:r w:rsidR="00756B65" w:rsidRPr="00427237">
        <w:rPr>
          <w:szCs w:val="22"/>
        </w:rPr>
        <w:t xml:space="preserve"> There are MBS items for MRI for breast cancer investigations (MBS #</w:t>
      </w:r>
      <w:r w:rsidR="006F3495" w:rsidRPr="00427237">
        <w:rPr>
          <w:szCs w:val="22"/>
        </w:rPr>
        <w:t>63457 and #63458</w:t>
      </w:r>
      <w:r w:rsidR="00756B65" w:rsidRPr="00427237">
        <w:rPr>
          <w:szCs w:val="22"/>
        </w:rPr>
        <w:t>)</w:t>
      </w:r>
      <w:r w:rsidR="005D0294" w:rsidRPr="00427237">
        <w:rPr>
          <w:szCs w:val="22"/>
        </w:rPr>
        <w:t>, brain investigations (MBS #63001 and #63491), and spinal investigations (MBS #63154 and #63491)</w:t>
      </w:r>
      <w:r w:rsidR="00756B65" w:rsidRPr="00427237">
        <w:rPr>
          <w:szCs w:val="22"/>
        </w:rPr>
        <w:t>.</w:t>
      </w:r>
      <w:r w:rsidRPr="00427237">
        <w:rPr>
          <w:szCs w:val="22"/>
        </w:rPr>
        <w:t xml:space="preserve"> </w:t>
      </w:r>
      <w:r w:rsidR="005719E2" w:rsidRPr="00427237">
        <w:rPr>
          <w:szCs w:val="22"/>
        </w:rPr>
        <w:t>MRI uses the physical properties of unpaired hydrogen ions (protons) in different chemical, structural and magnetic environments to produce images of tissues. Unlike PET and CT, it does not use ionising radiation. The effectiveness of a given MRI examination is highly dependent on the imaging parameters (pulse sequences) selected. Furthermore, MRI may be conducted with the use of contrast agents, typically intravenous gadolinium attached to a chelating agent such as DTPA (</w:t>
      </w:r>
      <w:proofErr w:type="spellStart"/>
      <w:r w:rsidR="005719E2" w:rsidRPr="00427237">
        <w:rPr>
          <w:szCs w:val="22"/>
        </w:rPr>
        <w:t>diethylene</w:t>
      </w:r>
      <w:proofErr w:type="spellEnd"/>
      <w:r w:rsidR="005719E2" w:rsidRPr="00427237">
        <w:rPr>
          <w:szCs w:val="22"/>
        </w:rPr>
        <w:t xml:space="preserve"> </w:t>
      </w:r>
      <w:proofErr w:type="spellStart"/>
      <w:r w:rsidR="005719E2" w:rsidRPr="00427237">
        <w:rPr>
          <w:szCs w:val="22"/>
        </w:rPr>
        <w:t>triamine</w:t>
      </w:r>
      <w:proofErr w:type="spellEnd"/>
      <w:r w:rsidR="005719E2" w:rsidRPr="00427237">
        <w:rPr>
          <w:szCs w:val="22"/>
        </w:rPr>
        <w:t xml:space="preserve"> </w:t>
      </w:r>
      <w:proofErr w:type="spellStart"/>
      <w:r w:rsidR="005719E2" w:rsidRPr="00427237">
        <w:rPr>
          <w:szCs w:val="22"/>
        </w:rPr>
        <w:t>penta</w:t>
      </w:r>
      <w:proofErr w:type="spellEnd"/>
      <w:r w:rsidR="005719E2" w:rsidRPr="00427237">
        <w:rPr>
          <w:szCs w:val="22"/>
        </w:rPr>
        <w:t>-acetic acid).</w:t>
      </w:r>
    </w:p>
    <w:p w:rsidR="005719E2" w:rsidRPr="00427237" w:rsidRDefault="005719E2" w:rsidP="005719E2">
      <w:pPr>
        <w:rPr>
          <w:szCs w:val="22"/>
          <w:u w:val="single"/>
        </w:rPr>
      </w:pPr>
      <w:r w:rsidRPr="00427237">
        <w:rPr>
          <w:szCs w:val="22"/>
          <w:u w:val="single"/>
        </w:rPr>
        <w:lastRenderedPageBreak/>
        <w:t>CT</w:t>
      </w:r>
      <w:r w:rsidR="00C24187" w:rsidRPr="00427237">
        <w:rPr>
          <w:noProof/>
          <w:szCs w:val="22"/>
          <w:u w:val="single"/>
          <w:vertAlign w:val="superscript"/>
        </w:rPr>
        <w:t>3, 20</w:t>
      </w:r>
      <w:r w:rsidRPr="00427237">
        <w:rPr>
          <w:szCs w:val="22"/>
          <w:u w:val="single"/>
        </w:rPr>
        <w:t>:</w:t>
      </w:r>
    </w:p>
    <w:p w:rsidR="005719E2" w:rsidRPr="00427237" w:rsidRDefault="004D7F21" w:rsidP="005719E2">
      <w:pPr>
        <w:rPr>
          <w:szCs w:val="22"/>
        </w:rPr>
      </w:pPr>
      <w:r w:rsidRPr="00427237">
        <w:rPr>
          <w:szCs w:val="22"/>
        </w:rPr>
        <w:t>CT is used for various imaging purposes, including for oncological investigations.</w:t>
      </w:r>
      <w:r w:rsidR="001F3030" w:rsidRPr="00427237">
        <w:rPr>
          <w:szCs w:val="22"/>
        </w:rPr>
        <w:t xml:space="preserve"> Most patients will have CT </w:t>
      </w:r>
      <w:r w:rsidR="008D7011" w:rsidRPr="00427237">
        <w:rPr>
          <w:szCs w:val="22"/>
        </w:rPr>
        <w:t xml:space="preserve">of </w:t>
      </w:r>
      <w:r w:rsidR="001F3030" w:rsidRPr="00427237">
        <w:rPr>
          <w:szCs w:val="22"/>
        </w:rPr>
        <w:t>their chest, abdomen, and pelvis (MBS #56807). Some patients may rarely have CT</w:t>
      </w:r>
      <w:r w:rsidR="00CA467D" w:rsidRPr="00427237">
        <w:rPr>
          <w:szCs w:val="22"/>
        </w:rPr>
        <w:t xml:space="preserve"> </w:t>
      </w:r>
      <w:r w:rsidR="001F3030" w:rsidRPr="00427237">
        <w:rPr>
          <w:szCs w:val="22"/>
        </w:rPr>
        <w:t>on their chest only (MBS #56307). Some patients may additionally have</w:t>
      </w:r>
      <w:r w:rsidR="00981E31" w:rsidRPr="00427237">
        <w:rPr>
          <w:szCs w:val="22"/>
        </w:rPr>
        <w:t xml:space="preserve"> brain C</w:t>
      </w:r>
      <w:r w:rsidR="008D7011" w:rsidRPr="00427237">
        <w:rPr>
          <w:szCs w:val="22"/>
        </w:rPr>
        <w:t>T</w:t>
      </w:r>
      <w:r w:rsidR="001F3030" w:rsidRPr="00427237">
        <w:rPr>
          <w:szCs w:val="22"/>
        </w:rPr>
        <w:t xml:space="preserve"> (MBS #56007).</w:t>
      </w:r>
      <w:r w:rsidRPr="00427237">
        <w:rPr>
          <w:szCs w:val="22"/>
        </w:rPr>
        <w:t xml:space="preserve"> </w:t>
      </w:r>
      <w:r w:rsidR="005719E2" w:rsidRPr="00427237">
        <w:rPr>
          <w:szCs w:val="22"/>
        </w:rPr>
        <w:t>CT is a non-invasive imaging modality that involves measuring the x-ray attenuation coefficient of the anatomical part examined. Radiopaque intravenous and oral contrast material is usually given during the examination.</w:t>
      </w:r>
    </w:p>
    <w:p w:rsidR="005719E2" w:rsidRPr="00427237" w:rsidRDefault="005719E2" w:rsidP="005719E2">
      <w:pPr>
        <w:rPr>
          <w:szCs w:val="22"/>
          <w:u w:val="single"/>
        </w:rPr>
      </w:pPr>
      <w:r w:rsidRPr="00427237">
        <w:rPr>
          <w:szCs w:val="22"/>
          <w:u w:val="single"/>
        </w:rPr>
        <w:t xml:space="preserve">Bone </w:t>
      </w:r>
      <w:proofErr w:type="spellStart"/>
      <w:r w:rsidRPr="00427237">
        <w:rPr>
          <w:szCs w:val="22"/>
          <w:u w:val="single"/>
        </w:rPr>
        <w:t>scintigraphy</w:t>
      </w:r>
      <w:proofErr w:type="spellEnd"/>
      <w:r w:rsidRPr="00427237">
        <w:rPr>
          <w:szCs w:val="22"/>
          <w:u w:val="single"/>
        </w:rPr>
        <w:t>:</w:t>
      </w:r>
    </w:p>
    <w:p w:rsidR="005719E2" w:rsidRPr="00427237" w:rsidRDefault="005719E2" w:rsidP="005719E2">
      <w:pPr>
        <w:rPr>
          <w:szCs w:val="22"/>
        </w:rPr>
      </w:pPr>
      <w:r w:rsidRPr="00427237">
        <w:rPr>
          <w:szCs w:val="22"/>
        </w:rPr>
        <w:t xml:space="preserve">Bone </w:t>
      </w:r>
      <w:proofErr w:type="spellStart"/>
      <w:r w:rsidRPr="00427237">
        <w:rPr>
          <w:szCs w:val="22"/>
        </w:rPr>
        <w:t>scintigraphy</w:t>
      </w:r>
      <w:proofErr w:type="spellEnd"/>
      <w:r w:rsidRPr="00427237">
        <w:rPr>
          <w:szCs w:val="22"/>
        </w:rPr>
        <w:t xml:space="preserve"> is a diagnostic study used to evaluate the distribution of active bone formation in the body</w:t>
      </w:r>
      <w:r w:rsidR="00C24187" w:rsidRPr="00427237">
        <w:rPr>
          <w:noProof/>
          <w:szCs w:val="22"/>
          <w:vertAlign w:val="superscript"/>
        </w:rPr>
        <w:t>25</w:t>
      </w:r>
      <w:r w:rsidRPr="00427237">
        <w:rPr>
          <w:szCs w:val="22"/>
        </w:rPr>
        <w:t xml:space="preserve">. </w:t>
      </w:r>
      <w:r w:rsidR="00D9403A" w:rsidRPr="00427237">
        <w:rPr>
          <w:szCs w:val="22"/>
        </w:rPr>
        <w:t>The MBS item is</w:t>
      </w:r>
      <w:r w:rsidR="00DF463C" w:rsidRPr="00427237">
        <w:rPr>
          <w:szCs w:val="22"/>
        </w:rPr>
        <w:t xml:space="preserve"> #61425. </w:t>
      </w:r>
      <w:r w:rsidRPr="00427237">
        <w:rPr>
          <w:szCs w:val="22"/>
        </w:rPr>
        <w:t xml:space="preserve">Radiopharmaceuticals are injected intravenously into the patient to allow clinicians to detect how much radiotracer collects in the bones. </w:t>
      </w:r>
      <w:r w:rsidR="008F3999" w:rsidRPr="00427237">
        <w:rPr>
          <w:szCs w:val="22"/>
        </w:rPr>
        <w:t>T</w:t>
      </w:r>
      <w:r w:rsidRPr="00427237">
        <w:rPr>
          <w:szCs w:val="22"/>
        </w:rPr>
        <w:t>hese radiolabelled bisphosphonates bind to hydroxyapatite at si</w:t>
      </w:r>
      <w:r w:rsidR="002D3D84" w:rsidRPr="00427237">
        <w:rPr>
          <w:szCs w:val="22"/>
        </w:rPr>
        <w:t>tes of osteogenesis</w:t>
      </w:r>
      <w:r w:rsidR="00C24187" w:rsidRPr="00427237">
        <w:rPr>
          <w:noProof/>
          <w:szCs w:val="22"/>
          <w:vertAlign w:val="superscript"/>
        </w:rPr>
        <w:t>26</w:t>
      </w:r>
      <w:r w:rsidR="008F3999" w:rsidRPr="00427237">
        <w:rPr>
          <w:szCs w:val="22"/>
        </w:rPr>
        <w:t xml:space="preserve">. </w:t>
      </w:r>
      <w:r w:rsidRPr="00427237">
        <w:rPr>
          <w:szCs w:val="22"/>
        </w:rPr>
        <w:t xml:space="preserve">To evaluate metastatic bone disease, images are taken </w:t>
      </w:r>
      <w:r w:rsidR="008D7011" w:rsidRPr="00427237">
        <w:rPr>
          <w:szCs w:val="22"/>
        </w:rPr>
        <w:t xml:space="preserve">2 - </w:t>
      </w:r>
      <w:r w:rsidRPr="00427237">
        <w:rPr>
          <w:szCs w:val="22"/>
        </w:rPr>
        <w:t xml:space="preserve">3 hours after radiotracer injection. There are a few options for using bone </w:t>
      </w:r>
      <w:proofErr w:type="spellStart"/>
      <w:r w:rsidRPr="00427237">
        <w:rPr>
          <w:szCs w:val="22"/>
        </w:rPr>
        <w:t>scintigraphy</w:t>
      </w:r>
      <w:proofErr w:type="spellEnd"/>
      <w:r w:rsidRPr="00427237">
        <w:rPr>
          <w:szCs w:val="22"/>
        </w:rPr>
        <w:t>. These are:</w:t>
      </w:r>
    </w:p>
    <w:p w:rsidR="005719E2" w:rsidRPr="00427237" w:rsidRDefault="005719E2" w:rsidP="005719E2">
      <w:pPr>
        <w:pStyle w:val="ListParagraph"/>
        <w:numPr>
          <w:ilvl w:val="0"/>
          <w:numId w:val="31"/>
        </w:numPr>
        <w:rPr>
          <w:szCs w:val="22"/>
        </w:rPr>
      </w:pPr>
      <w:r w:rsidRPr="00427237">
        <w:rPr>
          <w:szCs w:val="22"/>
        </w:rPr>
        <w:t xml:space="preserve">Whole-body bone </w:t>
      </w:r>
      <w:proofErr w:type="spellStart"/>
      <w:r w:rsidRPr="00427237">
        <w:rPr>
          <w:szCs w:val="22"/>
        </w:rPr>
        <w:t>scintigraphy</w:t>
      </w:r>
      <w:proofErr w:type="spellEnd"/>
      <w:r w:rsidRPr="00427237">
        <w:rPr>
          <w:szCs w:val="22"/>
        </w:rPr>
        <w:t xml:space="preserve"> produces planar images of the skeleton</w:t>
      </w:r>
      <w:r w:rsidR="008F3999" w:rsidRPr="00427237">
        <w:rPr>
          <w:szCs w:val="22"/>
        </w:rPr>
        <w:t>.</w:t>
      </w:r>
    </w:p>
    <w:p w:rsidR="005719E2" w:rsidRPr="00427237" w:rsidRDefault="005719E2" w:rsidP="005719E2">
      <w:pPr>
        <w:pStyle w:val="ListParagraph"/>
        <w:numPr>
          <w:ilvl w:val="0"/>
          <w:numId w:val="31"/>
        </w:numPr>
        <w:rPr>
          <w:szCs w:val="22"/>
        </w:rPr>
      </w:pPr>
      <w:r w:rsidRPr="00427237">
        <w:rPr>
          <w:szCs w:val="22"/>
        </w:rPr>
        <w:t>Bone single-photon emission computed tomography (SPECT) produces a tomographic image of a portion of the skeleton.</w:t>
      </w:r>
    </w:p>
    <w:p w:rsidR="005719E2" w:rsidRPr="00427237" w:rsidRDefault="005719E2" w:rsidP="00DD66A1">
      <w:pPr>
        <w:pStyle w:val="ListParagraph"/>
        <w:numPr>
          <w:ilvl w:val="0"/>
          <w:numId w:val="31"/>
        </w:numPr>
        <w:rPr>
          <w:szCs w:val="22"/>
        </w:rPr>
      </w:pPr>
      <w:r w:rsidRPr="00427237">
        <w:rPr>
          <w:szCs w:val="22"/>
        </w:rPr>
        <w:t xml:space="preserve">Multiphase bone </w:t>
      </w:r>
      <w:proofErr w:type="spellStart"/>
      <w:r w:rsidRPr="00427237">
        <w:rPr>
          <w:szCs w:val="22"/>
        </w:rPr>
        <w:t>scintigraphy</w:t>
      </w:r>
      <w:proofErr w:type="spellEnd"/>
      <w:r w:rsidRPr="00427237">
        <w:rPr>
          <w:szCs w:val="22"/>
        </w:rPr>
        <w:t xml:space="preserve"> usually includes blood flow images, immedi</w:t>
      </w:r>
      <w:r w:rsidR="008F3999" w:rsidRPr="00427237">
        <w:rPr>
          <w:szCs w:val="22"/>
        </w:rPr>
        <w:t>ate images, and delayed images.</w:t>
      </w:r>
    </w:p>
    <w:p w:rsidR="00F04C2E" w:rsidRPr="00427237" w:rsidRDefault="00F04C2E" w:rsidP="00F04C2E">
      <w:pPr>
        <w:rPr>
          <w:szCs w:val="22"/>
        </w:rPr>
      </w:pPr>
      <w:r w:rsidRPr="00427237">
        <w:rPr>
          <w:u w:val="single"/>
        </w:rPr>
        <w:t>Personnel and Facilities:</w:t>
      </w:r>
    </w:p>
    <w:p w:rsidR="008D0A69" w:rsidRPr="00427237" w:rsidRDefault="008D0A69" w:rsidP="008D0A69">
      <w:pPr>
        <w:rPr>
          <w:szCs w:val="22"/>
        </w:rPr>
      </w:pPr>
      <w:r w:rsidRPr="00427237">
        <w:rPr>
          <w:szCs w:val="22"/>
        </w:rPr>
        <w:t>Diagnostic imaging studies require the following staff:</w:t>
      </w:r>
    </w:p>
    <w:p w:rsidR="008D0A69" w:rsidRPr="00427237" w:rsidRDefault="008D0A69" w:rsidP="008D0A69">
      <w:pPr>
        <w:pStyle w:val="ListParagraph"/>
        <w:numPr>
          <w:ilvl w:val="0"/>
          <w:numId w:val="40"/>
        </w:numPr>
        <w:rPr>
          <w:szCs w:val="22"/>
        </w:rPr>
      </w:pPr>
      <w:r w:rsidRPr="00427237">
        <w:rPr>
          <w:szCs w:val="22"/>
        </w:rPr>
        <w:t>Radiology staff (for CT, ultrasound, and MRI): radiographers</w:t>
      </w:r>
      <w:r w:rsidR="00DA696C" w:rsidRPr="00427237">
        <w:rPr>
          <w:szCs w:val="22"/>
        </w:rPr>
        <w:t>, radiologists</w:t>
      </w:r>
      <w:r w:rsidRPr="00427237">
        <w:rPr>
          <w:szCs w:val="22"/>
        </w:rPr>
        <w:t xml:space="preserve"> and clerical staff.</w:t>
      </w:r>
    </w:p>
    <w:p w:rsidR="008D0A69" w:rsidRPr="00427237" w:rsidRDefault="008D0A69" w:rsidP="00D52C48">
      <w:pPr>
        <w:pStyle w:val="ListParagraph"/>
        <w:numPr>
          <w:ilvl w:val="0"/>
          <w:numId w:val="40"/>
        </w:numPr>
        <w:rPr>
          <w:szCs w:val="22"/>
        </w:rPr>
      </w:pPr>
      <w:r w:rsidRPr="00427237">
        <w:rPr>
          <w:szCs w:val="22"/>
        </w:rPr>
        <w:t xml:space="preserve">Nuclear medicine staff (for bone </w:t>
      </w:r>
      <w:proofErr w:type="spellStart"/>
      <w:r w:rsidRPr="00427237">
        <w:rPr>
          <w:szCs w:val="22"/>
        </w:rPr>
        <w:t>scintigraphy</w:t>
      </w:r>
      <w:proofErr w:type="spellEnd"/>
      <w:r w:rsidRPr="00427237">
        <w:rPr>
          <w:szCs w:val="22"/>
        </w:rPr>
        <w:t xml:space="preserve">): </w:t>
      </w:r>
      <w:r w:rsidR="00DA696C" w:rsidRPr="00427237">
        <w:rPr>
          <w:szCs w:val="22"/>
        </w:rPr>
        <w:t xml:space="preserve">nuclear medicine </w:t>
      </w:r>
      <w:r w:rsidRPr="00427237">
        <w:rPr>
          <w:szCs w:val="22"/>
        </w:rPr>
        <w:t xml:space="preserve">technologists, nuclear </w:t>
      </w:r>
      <w:r w:rsidR="008D7011" w:rsidRPr="00427237">
        <w:rPr>
          <w:szCs w:val="22"/>
        </w:rPr>
        <w:t>medicine specialists</w:t>
      </w:r>
      <w:r w:rsidRPr="00427237">
        <w:rPr>
          <w:szCs w:val="22"/>
        </w:rPr>
        <w:t>, and clerical staff.</w:t>
      </w:r>
    </w:p>
    <w:p w:rsidR="00D52C48" w:rsidRPr="00427237" w:rsidRDefault="00D52C48" w:rsidP="00D52C48">
      <w:pPr>
        <w:rPr>
          <w:szCs w:val="22"/>
        </w:rPr>
      </w:pPr>
      <w:r w:rsidRPr="00427237">
        <w:rPr>
          <w:szCs w:val="22"/>
        </w:rPr>
        <w:t xml:space="preserve">For delivering diagnostic imaging services using </w:t>
      </w:r>
      <w:r w:rsidR="00276557" w:rsidRPr="00427237">
        <w:rPr>
          <w:szCs w:val="22"/>
        </w:rPr>
        <w:t>nuclear medicine services</w:t>
      </w:r>
      <w:r w:rsidRPr="00427237">
        <w:rPr>
          <w:szCs w:val="22"/>
        </w:rPr>
        <w:t>, (i.e. “Note DIN Group I4 – Nuclear Medicine Imaging”), the MBS states that “Benefits for a nuclear scanning service are only payable when the service is performed by a specialist or consultant physician, or by a person acting on behalf of the specialist and the final report of the service is compiled by the specialist or consultant physician who performed the preliminary examination of the patient and the estimation and administration of the dosage.”</w:t>
      </w:r>
      <w:r w:rsidR="00B27B02" w:rsidRPr="00427237">
        <w:rPr>
          <w:szCs w:val="22"/>
        </w:rPr>
        <w:t xml:space="preserve"> MBS “Note DIL Group I2 – Computed Tomography (CT)” also states that appropriately credentialed staff can deliver CT services, including PET/CT and SPECT/CT machines.</w:t>
      </w:r>
    </w:p>
    <w:p w:rsidR="00D52C48" w:rsidRPr="00427237" w:rsidRDefault="00DA696C" w:rsidP="00D52C48">
      <w:pPr>
        <w:rPr>
          <w:szCs w:val="22"/>
        </w:rPr>
      </w:pPr>
      <w:r w:rsidRPr="00427237">
        <w:rPr>
          <w:szCs w:val="22"/>
        </w:rPr>
        <w:t xml:space="preserve">Nuclear medicine specialists </w:t>
      </w:r>
      <w:r w:rsidR="00203AE7" w:rsidRPr="00427237">
        <w:rPr>
          <w:szCs w:val="22"/>
        </w:rPr>
        <w:t>or consultant physicians must be</w:t>
      </w:r>
      <w:r w:rsidR="00B27B02" w:rsidRPr="00427237">
        <w:rPr>
          <w:szCs w:val="22"/>
        </w:rPr>
        <w:t xml:space="preserve"> </w:t>
      </w:r>
      <w:proofErr w:type="spellStart"/>
      <w:r w:rsidR="00B27B02" w:rsidRPr="00427237">
        <w:rPr>
          <w:szCs w:val="22"/>
        </w:rPr>
        <w:t>credential</w:t>
      </w:r>
      <w:r w:rsidRPr="00427237">
        <w:rPr>
          <w:szCs w:val="22"/>
        </w:rPr>
        <w:t>l</w:t>
      </w:r>
      <w:r w:rsidR="00203AE7" w:rsidRPr="00427237">
        <w:rPr>
          <w:szCs w:val="22"/>
        </w:rPr>
        <w:t>ed</w:t>
      </w:r>
      <w:proofErr w:type="spellEnd"/>
      <w:r w:rsidR="00203AE7" w:rsidRPr="00427237">
        <w:rPr>
          <w:szCs w:val="22"/>
        </w:rPr>
        <w:t xml:space="preserve"> by the Jo</w:t>
      </w:r>
      <w:r w:rsidR="00B27B02" w:rsidRPr="00427237">
        <w:rPr>
          <w:szCs w:val="22"/>
        </w:rPr>
        <w:t>int Nuclear Medicine Credential</w:t>
      </w:r>
      <w:r w:rsidR="00203AE7" w:rsidRPr="00427237">
        <w:rPr>
          <w:szCs w:val="22"/>
        </w:rPr>
        <w:t>ing and Accreditation Committee of the Royal Austral</w:t>
      </w:r>
      <w:r w:rsidRPr="00427237">
        <w:rPr>
          <w:szCs w:val="22"/>
        </w:rPr>
        <w:t>as</w:t>
      </w:r>
      <w:r w:rsidR="00203AE7" w:rsidRPr="00427237">
        <w:rPr>
          <w:szCs w:val="22"/>
        </w:rPr>
        <w:t>ian College of Physicians (RACP) and the Royal Australian and New Zealand College of Radiologists (RANZCR).</w:t>
      </w:r>
    </w:p>
    <w:p w:rsidR="00FE2575" w:rsidRPr="00427237" w:rsidRDefault="00FE2575" w:rsidP="00FE2575">
      <w:pPr>
        <w:rPr>
          <w:szCs w:val="22"/>
        </w:rPr>
      </w:pPr>
      <w:r w:rsidRPr="00427237">
        <w:rPr>
          <w:szCs w:val="22"/>
        </w:rPr>
        <w:t>Under Note DIL for Group I2 – Computed Tomography (CT), there are also personnel specifications for using</w:t>
      </w:r>
      <w:r w:rsidR="00710B39" w:rsidRPr="00427237">
        <w:rPr>
          <w:szCs w:val="22"/>
        </w:rPr>
        <w:t xml:space="preserve"> </w:t>
      </w:r>
      <w:r w:rsidR="00710B39" w:rsidRPr="00427237">
        <w:rPr>
          <w:szCs w:val="22"/>
          <w:u w:val="single"/>
        </w:rPr>
        <w:t>only the</w:t>
      </w:r>
      <w:r w:rsidRPr="00427237">
        <w:rPr>
          <w:szCs w:val="22"/>
          <w:u w:val="single"/>
        </w:rPr>
        <w:t xml:space="preserve"> </w:t>
      </w:r>
      <w:r w:rsidR="00710B39" w:rsidRPr="00427237">
        <w:rPr>
          <w:szCs w:val="22"/>
          <w:u w:val="single"/>
        </w:rPr>
        <w:t>CT function</w:t>
      </w:r>
      <w:r w:rsidR="00710B39" w:rsidRPr="00427237">
        <w:rPr>
          <w:szCs w:val="22"/>
        </w:rPr>
        <w:t xml:space="preserve"> on </w:t>
      </w:r>
      <w:r w:rsidRPr="00427237">
        <w:rPr>
          <w:szCs w:val="22"/>
        </w:rPr>
        <w:t>hybrid PET/CT or SPECT/CT machines. The rules say:</w:t>
      </w:r>
    </w:p>
    <w:p w:rsidR="00FE2575" w:rsidRPr="00427237" w:rsidRDefault="00DA696C" w:rsidP="00FE2575">
      <w:pPr>
        <w:rPr>
          <w:szCs w:val="22"/>
        </w:rPr>
      </w:pPr>
      <w:r w:rsidRPr="00427237">
        <w:rPr>
          <w:szCs w:val="22"/>
        </w:rPr>
        <w:lastRenderedPageBreak/>
        <w:t xml:space="preserve">Diagnostic </w:t>
      </w:r>
      <w:r w:rsidR="00FE2575" w:rsidRPr="00427237">
        <w:rPr>
          <w:szCs w:val="22"/>
        </w:rPr>
        <w:t>CT scans rendered on hybrid Positron Emission Tomography /</w:t>
      </w:r>
      <w:r w:rsidR="00FB191A" w:rsidRPr="00427237">
        <w:rPr>
          <w:szCs w:val="22"/>
        </w:rPr>
        <w:t xml:space="preserve"> </w:t>
      </w:r>
      <w:r w:rsidR="00FE2575" w:rsidRPr="00427237">
        <w:rPr>
          <w:szCs w:val="22"/>
        </w:rPr>
        <w:t>CT</w:t>
      </w:r>
      <w:r w:rsidR="00FB191A" w:rsidRPr="00427237">
        <w:rPr>
          <w:szCs w:val="22"/>
        </w:rPr>
        <w:t xml:space="preserve"> (PET/CT)</w:t>
      </w:r>
      <w:r w:rsidR="00FE2575" w:rsidRPr="00427237">
        <w:rPr>
          <w:szCs w:val="22"/>
        </w:rPr>
        <w:t xml:space="preserve"> or hybrid Single Photon Emission Computed Tomography /</w:t>
      </w:r>
      <w:r w:rsidR="00FB191A" w:rsidRPr="00427237">
        <w:rPr>
          <w:szCs w:val="22"/>
        </w:rPr>
        <w:t xml:space="preserve"> </w:t>
      </w:r>
      <w:r w:rsidR="00FE2575" w:rsidRPr="00427237">
        <w:rPr>
          <w:szCs w:val="22"/>
        </w:rPr>
        <w:t xml:space="preserve">CT </w:t>
      </w:r>
      <w:r w:rsidR="00FB191A" w:rsidRPr="00427237">
        <w:rPr>
          <w:szCs w:val="22"/>
        </w:rPr>
        <w:t xml:space="preserve">(SPECT/CT) </w:t>
      </w:r>
      <w:r w:rsidR="00FE2575" w:rsidRPr="00427237">
        <w:rPr>
          <w:szCs w:val="22"/>
        </w:rPr>
        <w:t>units are eligible for a Medicare benefit provided</w:t>
      </w:r>
      <w:r w:rsidR="002D6F04" w:rsidRPr="00427237">
        <w:rPr>
          <w:szCs w:val="22"/>
        </w:rPr>
        <w:t xml:space="preserve"> [quoting the MBS descriptor]</w:t>
      </w:r>
      <w:r w:rsidR="00FE2575" w:rsidRPr="00427237">
        <w:rPr>
          <w:szCs w:val="22"/>
        </w:rPr>
        <w:t>:</w:t>
      </w:r>
    </w:p>
    <w:p w:rsidR="00FE2575" w:rsidRPr="00427237" w:rsidRDefault="00FE2575" w:rsidP="00FE2575">
      <w:pPr>
        <w:pStyle w:val="ListParagraph"/>
        <w:numPr>
          <w:ilvl w:val="0"/>
          <w:numId w:val="30"/>
        </w:numPr>
        <w:rPr>
          <w:szCs w:val="22"/>
        </w:rPr>
      </w:pPr>
      <w:r w:rsidRPr="00427237">
        <w:rPr>
          <w:szCs w:val="22"/>
        </w:rPr>
        <w:t>the CT scan is not solely used for the purposes of attenuation correction and anatomical correlation of any associated PET or SPECT scan; and</w:t>
      </w:r>
    </w:p>
    <w:p w:rsidR="00D54E0C" w:rsidRPr="00427237" w:rsidRDefault="00FE2575" w:rsidP="00FE2575">
      <w:pPr>
        <w:pStyle w:val="ListParagraph"/>
        <w:numPr>
          <w:ilvl w:val="0"/>
          <w:numId w:val="30"/>
        </w:numPr>
        <w:rPr>
          <w:szCs w:val="22"/>
        </w:rPr>
      </w:pPr>
      <w:proofErr w:type="gramStart"/>
      <w:r w:rsidRPr="00427237">
        <w:rPr>
          <w:szCs w:val="22"/>
        </w:rPr>
        <w:t>the</w:t>
      </w:r>
      <w:proofErr w:type="gramEnd"/>
      <w:r w:rsidRPr="00427237">
        <w:rPr>
          <w:szCs w:val="22"/>
        </w:rPr>
        <w:t xml:space="preserve"> CT scan is rendered under the same conditions as those applying to services rendered on stand-alone CT equipment.  For example, the service would need to be properly requested and performed under the professional supervision of a specialist radiologist, including specialist radiologists with dual nuclear medicine qualifications.</w:t>
      </w:r>
    </w:p>
    <w:p w:rsidR="002353D1" w:rsidRPr="00427237" w:rsidRDefault="00276557" w:rsidP="00DD66A1">
      <w:pPr>
        <w:rPr>
          <w:szCs w:val="22"/>
        </w:rPr>
      </w:pPr>
      <w:r w:rsidRPr="00427237">
        <w:rPr>
          <w:szCs w:val="22"/>
        </w:rPr>
        <w:t>C</w:t>
      </w:r>
      <w:r w:rsidR="008E18C6" w:rsidRPr="00427237">
        <w:rPr>
          <w:szCs w:val="22"/>
        </w:rPr>
        <w:t>linical experts</w:t>
      </w:r>
      <w:r w:rsidRPr="00427237">
        <w:rPr>
          <w:szCs w:val="22"/>
        </w:rPr>
        <w:t xml:space="preserve"> vary in their assessment of how</w:t>
      </w:r>
      <w:r w:rsidR="00D634C1" w:rsidRPr="00427237">
        <w:rPr>
          <w:szCs w:val="22"/>
        </w:rPr>
        <w:t xml:space="preserve"> often</w:t>
      </w:r>
      <w:r w:rsidRPr="00427237">
        <w:rPr>
          <w:szCs w:val="22"/>
        </w:rPr>
        <w:t xml:space="preserve"> this occurs</w:t>
      </w:r>
      <w:r w:rsidR="00D634C1" w:rsidRPr="00427237">
        <w:rPr>
          <w:szCs w:val="22"/>
        </w:rPr>
        <w:t xml:space="preserve">, </w:t>
      </w:r>
      <w:r w:rsidRPr="00427237">
        <w:rPr>
          <w:szCs w:val="22"/>
        </w:rPr>
        <w:t xml:space="preserve">but it </w:t>
      </w:r>
      <w:r w:rsidR="008E18C6" w:rsidRPr="00427237">
        <w:rPr>
          <w:szCs w:val="22"/>
        </w:rPr>
        <w:t>is</w:t>
      </w:r>
      <w:r w:rsidR="00AF1514" w:rsidRPr="00427237">
        <w:rPr>
          <w:szCs w:val="22"/>
        </w:rPr>
        <w:t xml:space="preserve"> agreed that it is</w:t>
      </w:r>
      <w:r w:rsidR="008E18C6" w:rsidRPr="00427237">
        <w:rPr>
          <w:szCs w:val="22"/>
        </w:rPr>
        <w:t xml:space="preserve"> </w:t>
      </w:r>
      <w:r w:rsidR="00D634C1" w:rsidRPr="00427237">
        <w:rPr>
          <w:szCs w:val="22"/>
        </w:rPr>
        <w:t>increasing in frequency</w:t>
      </w:r>
      <w:r w:rsidR="008E18C6" w:rsidRPr="00427237">
        <w:rPr>
          <w:szCs w:val="22"/>
        </w:rPr>
        <w:t xml:space="preserve"> in Australia.</w:t>
      </w:r>
      <w:r w:rsidRPr="00427237">
        <w:rPr>
          <w:szCs w:val="22"/>
        </w:rPr>
        <w:t xml:space="preserve"> However, it is noted from PASC that the performance of a “diagnostic” CT scan with PET/CT will add substantially to the cost of PET/CT</w:t>
      </w:r>
      <w:r w:rsidR="0031020A" w:rsidRPr="00427237">
        <w:rPr>
          <w:szCs w:val="22"/>
        </w:rPr>
        <w:t xml:space="preserve"> (the “intervention”)</w:t>
      </w:r>
      <w:r w:rsidRPr="00427237">
        <w:rPr>
          <w:szCs w:val="22"/>
        </w:rPr>
        <w:t>, so the actual frequency with which this is being performed needs to be established.</w:t>
      </w:r>
    </w:p>
    <w:p w:rsidR="00FA566E" w:rsidRPr="00427237" w:rsidRDefault="00FA566E" w:rsidP="00DD66A1">
      <w:pPr>
        <w:rPr>
          <w:szCs w:val="22"/>
          <w:u w:val="single"/>
        </w:rPr>
      </w:pPr>
      <w:r w:rsidRPr="00427237">
        <w:rPr>
          <w:szCs w:val="22"/>
          <w:u w:val="single"/>
        </w:rPr>
        <w:t>MBS items</w:t>
      </w:r>
      <w:r w:rsidR="00CC5431" w:rsidRPr="00427237">
        <w:rPr>
          <w:szCs w:val="22"/>
          <w:u w:val="single"/>
        </w:rPr>
        <w:t xml:space="preserve"> for the comparator</w:t>
      </w:r>
      <w:r w:rsidRPr="00427237">
        <w:rPr>
          <w:szCs w:val="22"/>
          <w:u w:val="single"/>
        </w:rPr>
        <w:t>:</w:t>
      </w:r>
    </w:p>
    <w:p w:rsidR="00357D80" w:rsidRPr="00427237" w:rsidRDefault="001F3030" w:rsidP="00DD66A1">
      <w:pPr>
        <w:rPr>
          <w:szCs w:val="22"/>
        </w:rPr>
      </w:pPr>
      <w:r w:rsidRPr="00427237">
        <w:rPr>
          <w:szCs w:val="22"/>
        </w:rPr>
        <w:t xml:space="preserve">The MBS items listed below are the most commonly used ones, but other MBS items may be used at times but not routinely. </w:t>
      </w:r>
      <w:r w:rsidR="00357D80" w:rsidRPr="00427237">
        <w:rPr>
          <w:szCs w:val="22"/>
        </w:rPr>
        <w:t>See the Appendices for the full tables containing descriptions of the comparator devices and services. A quick description of the services used is provided here.</w:t>
      </w:r>
    </w:p>
    <w:p w:rsidR="00C22896" w:rsidRPr="00427237" w:rsidRDefault="007C09A4" w:rsidP="007C09A4">
      <w:pPr>
        <w:pStyle w:val="Caption"/>
        <w:rPr>
          <w:szCs w:val="22"/>
        </w:rPr>
      </w:pPr>
      <w:bookmarkStart w:id="53" w:name="_Ref371522462"/>
      <w:bookmarkStart w:id="54" w:name="_Ref371346075"/>
      <w:proofErr w:type="gramStart"/>
      <w:r w:rsidRPr="00427237">
        <w:t xml:space="preserve">Table </w:t>
      </w:r>
      <w:r w:rsidR="00BF57C1" w:rsidRPr="00427237">
        <w:rPr>
          <w:noProof/>
        </w:rPr>
        <w:t>3</w:t>
      </w:r>
      <w:bookmarkEnd w:id="53"/>
      <w:r w:rsidRPr="00427237">
        <w:t>.</w:t>
      </w:r>
      <w:proofErr w:type="gramEnd"/>
      <w:r w:rsidRPr="00427237">
        <w:t xml:space="preserve"> Summary of MBS items for the comparator</w:t>
      </w:r>
      <w:r w:rsidR="00B8719E" w:rsidRPr="00427237">
        <w:t xml:space="preserve"> of </w:t>
      </w:r>
      <w:r w:rsidR="00AA4713" w:rsidRPr="00427237">
        <w:t>confirmatory</w:t>
      </w:r>
      <w:r w:rsidR="00B8719E" w:rsidRPr="00427237">
        <w:t xml:space="preserve"> diagnostic imaging</w:t>
      </w:r>
      <w:r w:rsidRPr="00427237">
        <w:t>.</w:t>
      </w:r>
      <w:bookmarkEnd w:id="54"/>
      <w:r w:rsidR="00E436F6" w:rsidRPr="00427237">
        <w:t xml:space="preserve"> </w:t>
      </w:r>
    </w:p>
    <w:tbl>
      <w:tblPr>
        <w:tblStyle w:val="TableGrid"/>
        <w:tblW w:w="0" w:type="auto"/>
        <w:tblBorders>
          <w:insideH w:val="single" w:sz="4" w:space="0" w:color="auto"/>
        </w:tblBorders>
        <w:tblLook w:val="04A0" w:firstRow="1" w:lastRow="0" w:firstColumn="1" w:lastColumn="0" w:noHBand="0" w:noVBand="1"/>
        <w:tblCaption w:val="Summary of MBS items for the comparator of confirmatory diagnostic imaging. "/>
      </w:tblPr>
      <w:tblGrid>
        <w:gridCol w:w="1974"/>
        <w:gridCol w:w="5812"/>
        <w:gridCol w:w="1456"/>
      </w:tblGrid>
      <w:tr w:rsidR="00C22896" w:rsidRPr="00427237" w:rsidTr="00CB1F62">
        <w:trPr>
          <w:tblHeader/>
        </w:trPr>
        <w:tc>
          <w:tcPr>
            <w:tcW w:w="1974" w:type="dxa"/>
          </w:tcPr>
          <w:p w:rsidR="00C22896" w:rsidRPr="00427237" w:rsidRDefault="00C22896" w:rsidP="007C09A4">
            <w:pPr>
              <w:spacing w:after="0" w:line="240" w:lineRule="auto"/>
              <w:rPr>
                <w:rFonts w:ascii="Arial Narrow" w:hAnsi="Arial Narrow"/>
                <w:b/>
              </w:rPr>
            </w:pPr>
            <w:r w:rsidRPr="00427237">
              <w:rPr>
                <w:rFonts w:ascii="Arial Narrow" w:hAnsi="Arial Narrow"/>
                <w:b/>
              </w:rPr>
              <w:t>MBS Item Number</w:t>
            </w:r>
          </w:p>
        </w:tc>
        <w:tc>
          <w:tcPr>
            <w:tcW w:w="5812" w:type="dxa"/>
          </w:tcPr>
          <w:p w:rsidR="00C22896" w:rsidRPr="00427237" w:rsidRDefault="00C22896" w:rsidP="007C09A4">
            <w:pPr>
              <w:spacing w:after="0" w:line="240" w:lineRule="auto"/>
              <w:rPr>
                <w:rFonts w:ascii="Arial Narrow" w:hAnsi="Arial Narrow"/>
                <w:b/>
              </w:rPr>
            </w:pPr>
            <w:r w:rsidRPr="00427237">
              <w:rPr>
                <w:rFonts w:ascii="Arial Narrow" w:hAnsi="Arial Narrow"/>
                <w:b/>
              </w:rPr>
              <w:t>Description</w:t>
            </w:r>
          </w:p>
        </w:tc>
        <w:tc>
          <w:tcPr>
            <w:tcW w:w="1456" w:type="dxa"/>
          </w:tcPr>
          <w:p w:rsidR="00C22896" w:rsidRPr="00427237" w:rsidRDefault="00C22896" w:rsidP="007C09A4">
            <w:pPr>
              <w:spacing w:after="0" w:line="240" w:lineRule="auto"/>
              <w:rPr>
                <w:rFonts w:ascii="Arial Narrow" w:hAnsi="Arial Narrow"/>
                <w:b/>
              </w:rPr>
            </w:pPr>
            <w:r w:rsidRPr="00427237">
              <w:rPr>
                <w:rFonts w:ascii="Arial Narrow" w:hAnsi="Arial Narrow"/>
                <w:b/>
              </w:rPr>
              <w:t>Fee</w:t>
            </w:r>
          </w:p>
        </w:tc>
      </w:tr>
      <w:tr w:rsidR="00C22896" w:rsidRPr="00427237" w:rsidTr="00F602F9">
        <w:trPr>
          <w:trHeight w:val="64"/>
        </w:trPr>
        <w:tc>
          <w:tcPr>
            <w:tcW w:w="1974" w:type="dxa"/>
          </w:tcPr>
          <w:p w:rsidR="00C22896" w:rsidRPr="00427237" w:rsidRDefault="00C22896" w:rsidP="007C09A4">
            <w:pPr>
              <w:spacing w:after="0" w:line="240" w:lineRule="auto"/>
              <w:rPr>
                <w:rFonts w:ascii="Arial Narrow" w:hAnsi="Arial Narrow"/>
              </w:rPr>
            </w:pPr>
            <w:r w:rsidRPr="00427237">
              <w:rPr>
                <w:rFonts w:ascii="Arial Narrow" w:hAnsi="Arial Narrow"/>
              </w:rPr>
              <w:t>56807</w:t>
            </w:r>
          </w:p>
        </w:tc>
        <w:tc>
          <w:tcPr>
            <w:tcW w:w="5812" w:type="dxa"/>
          </w:tcPr>
          <w:p w:rsidR="00C22896" w:rsidRPr="00427237" w:rsidRDefault="00C22896" w:rsidP="007C09A4">
            <w:pPr>
              <w:spacing w:after="0" w:line="240" w:lineRule="auto"/>
              <w:rPr>
                <w:rFonts w:ascii="Arial Narrow" w:hAnsi="Arial Narrow"/>
              </w:rPr>
            </w:pPr>
            <w:r w:rsidRPr="00427237">
              <w:rPr>
                <w:rFonts w:ascii="Arial Narrow" w:hAnsi="Arial Narrow"/>
              </w:rPr>
              <w:t>Computed tomography</w:t>
            </w:r>
            <w:r w:rsidR="00133F7B" w:rsidRPr="00427237">
              <w:rPr>
                <w:rFonts w:ascii="Arial Narrow" w:hAnsi="Arial Narrow"/>
              </w:rPr>
              <w:t xml:space="preserve"> (chest, abdomen, and pelvis)</w:t>
            </w:r>
          </w:p>
        </w:tc>
        <w:tc>
          <w:tcPr>
            <w:tcW w:w="1456" w:type="dxa"/>
          </w:tcPr>
          <w:p w:rsidR="00C22896" w:rsidRPr="00427237" w:rsidRDefault="00C22896" w:rsidP="007C09A4">
            <w:pPr>
              <w:spacing w:after="0" w:line="240" w:lineRule="auto"/>
              <w:rPr>
                <w:rFonts w:ascii="Arial Narrow" w:hAnsi="Arial Narrow"/>
              </w:rPr>
            </w:pPr>
            <w:r w:rsidRPr="00427237">
              <w:rPr>
                <w:rFonts w:ascii="Arial Narrow" w:hAnsi="Arial Narrow"/>
              </w:rPr>
              <w:t>$560</w:t>
            </w:r>
            <w:r w:rsidR="00A151DA" w:rsidRPr="00427237">
              <w:rPr>
                <w:rFonts w:ascii="Arial Narrow" w:hAnsi="Arial Narrow"/>
              </w:rPr>
              <w:t>.00</w:t>
            </w:r>
          </w:p>
        </w:tc>
      </w:tr>
      <w:tr w:rsidR="00C22896" w:rsidRPr="00427237" w:rsidTr="00F602F9">
        <w:tc>
          <w:tcPr>
            <w:tcW w:w="1974" w:type="dxa"/>
          </w:tcPr>
          <w:p w:rsidR="00C22896" w:rsidRPr="00427237" w:rsidRDefault="00133F7B" w:rsidP="007C09A4">
            <w:pPr>
              <w:spacing w:after="0" w:line="240" w:lineRule="auto"/>
              <w:rPr>
                <w:rFonts w:ascii="Arial Narrow" w:hAnsi="Arial Narrow"/>
              </w:rPr>
            </w:pPr>
            <w:r w:rsidRPr="00427237">
              <w:rPr>
                <w:rFonts w:ascii="Arial Narrow" w:hAnsi="Arial Narrow"/>
              </w:rPr>
              <w:t>56307</w:t>
            </w:r>
          </w:p>
        </w:tc>
        <w:tc>
          <w:tcPr>
            <w:tcW w:w="5812" w:type="dxa"/>
          </w:tcPr>
          <w:p w:rsidR="00C22896" w:rsidRPr="00427237" w:rsidRDefault="00133F7B" w:rsidP="00133F7B">
            <w:pPr>
              <w:spacing w:after="0" w:line="240" w:lineRule="auto"/>
              <w:rPr>
                <w:rFonts w:ascii="Arial Narrow" w:hAnsi="Arial Narrow"/>
              </w:rPr>
            </w:pPr>
            <w:r w:rsidRPr="00427237">
              <w:rPr>
                <w:rFonts w:ascii="Arial Narrow" w:hAnsi="Arial Narrow"/>
              </w:rPr>
              <w:t>Computed tomography (chest)</w:t>
            </w:r>
          </w:p>
        </w:tc>
        <w:tc>
          <w:tcPr>
            <w:tcW w:w="1456" w:type="dxa"/>
          </w:tcPr>
          <w:p w:rsidR="00C22896" w:rsidRPr="00427237" w:rsidRDefault="00133F7B" w:rsidP="007C09A4">
            <w:pPr>
              <w:spacing w:after="0" w:line="240" w:lineRule="auto"/>
              <w:rPr>
                <w:rFonts w:ascii="Arial Narrow" w:hAnsi="Arial Narrow"/>
              </w:rPr>
            </w:pPr>
            <w:r w:rsidRPr="00427237">
              <w:rPr>
                <w:rFonts w:ascii="Arial Narrow" w:hAnsi="Arial Narrow"/>
              </w:rPr>
              <w:t>$400</w:t>
            </w:r>
          </w:p>
        </w:tc>
      </w:tr>
      <w:tr w:rsidR="00A151DA" w:rsidRPr="00427237" w:rsidTr="00F602F9">
        <w:tc>
          <w:tcPr>
            <w:tcW w:w="1974" w:type="dxa"/>
          </w:tcPr>
          <w:p w:rsidR="00A151DA" w:rsidRPr="00427237" w:rsidRDefault="00133F7B" w:rsidP="007C09A4">
            <w:pPr>
              <w:spacing w:after="0" w:line="240" w:lineRule="auto"/>
              <w:rPr>
                <w:rFonts w:ascii="Arial Narrow" w:hAnsi="Arial Narrow"/>
              </w:rPr>
            </w:pPr>
            <w:r w:rsidRPr="00427237">
              <w:rPr>
                <w:rFonts w:ascii="Arial Narrow" w:hAnsi="Arial Narrow"/>
              </w:rPr>
              <w:t>56007</w:t>
            </w:r>
          </w:p>
        </w:tc>
        <w:tc>
          <w:tcPr>
            <w:tcW w:w="5812" w:type="dxa"/>
          </w:tcPr>
          <w:p w:rsidR="00A151DA" w:rsidRPr="00427237" w:rsidRDefault="00133F7B" w:rsidP="007C09A4">
            <w:pPr>
              <w:spacing w:after="0" w:line="240" w:lineRule="auto"/>
              <w:rPr>
                <w:rFonts w:ascii="Arial Narrow" w:hAnsi="Arial Narrow"/>
              </w:rPr>
            </w:pPr>
            <w:r w:rsidRPr="00427237">
              <w:rPr>
                <w:rFonts w:ascii="Arial Narrow" w:hAnsi="Arial Narrow"/>
              </w:rPr>
              <w:t>Computed tomography (brain)</w:t>
            </w:r>
          </w:p>
        </w:tc>
        <w:tc>
          <w:tcPr>
            <w:tcW w:w="1456" w:type="dxa"/>
          </w:tcPr>
          <w:p w:rsidR="00A151DA" w:rsidRPr="00427237" w:rsidRDefault="00133F7B" w:rsidP="007C09A4">
            <w:pPr>
              <w:spacing w:after="0" w:line="240" w:lineRule="auto"/>
              <w:rPr>
                <w:rFonts w:ascii="Arial Narrow" w:hAnsi="Arial Narrow"/>
              </w:rPr>
            </w:pPr>
            <w:r w:rsidRPr="00427237">
              <w:rPr>
                <w:rFonts w:ascii="Arial Narrow" w:hAnsi="Arial Narrow"/>
              </w:rPr>
              <w:t>$250</w:t>
            </w:r>
          </w:p>
        </w:tc>
      </w:tr>
      <w:tr w:rsidR="00C22896" w:rsidRPr="00427237" w:rsidTr="00F602F9">
        <w:tc>
          <w:tcPr>
            <w:tcW w:w="1974" w:type="dxa"/>
          </w:tcPr>
          <w:p w:rsidR="00C22896" w:rsidRPr="00427237" w:rsidRDefault="00376E5F" w:rsidP="007C09A4">
            <w:pPr>
              <w:spacing w:after="0" w:line="240" w:lineRule="auto"/>
              <w:rPr>
                <w:rFonts w:ascii="Arial Narrow" w:hAnsi="Arial Narrow"/>
              </w:rPr>
            </w:pPr>
            <w:r w:rsidRPr="00427237">
              <w:rPr>
                <w:rFonts w:ascii="Arial Narrow" w:hAnsi="Arial Narrow"/>
              </w:rPr>
              <w:t>63457</w:t>
            </w:r>
          </w:p>
        </w:tc>
        <w:tc>
          <w:tcPr>
            <w:tcW w:w="5812" w:type="dxa"/>
          </w:tcPr>
          <w:p w:rsidR="00C22896" w:rsidRPr="00427237" w:rsidRDefault="00A151DA" w:rsidP="007C09A4">
            <w:pPr>
              <w:spacing w:after="0" w:line="240" w:lineRule="auto"/>
              <w:rPr>
                <w:rFonts w:ascii="Arial Narrow" w:hAnsi="Arial Narrow"/>
              </w:rPr>
            </w:pPr>
            <w:r w:rsidRPr="00427237">
              <w:rPr>
                <w:rFonts w:ascii="Arial Narrow" w:hAnsi="Arial Narrow"/>
              </w:rPr>
              <w:t>MRI (breasts)</w:t>
            </w:r>
          </w:p>
        </w:tc>
        <w:tc>
          <w:tcPr>
            <w:tcW w:w="1456" w:type="dxa"/>
          </w:tcPr>
          <w:p w:rsidR="00C22896" w:rsidRPr="00427237" w:rsidRDefault="00376E5F" w:rsidP="007C09A4">
            <w:pPr>
              <w:spacing w:after="0" w:line="240" w:lineRule="auto"/>
              <w:rPr>
                <w:rFonts w:ascii="Arial Narrow" w:hAnsi="Arial Narrow"/>
              </w:rPr>
            </w:pPr>
            <w:r w:rsidRPr="00427237">
              <w:rPr>
                <w:rFonts w:ascii="Arial Narrow" w:hAnsi="Arial Narrow"/>
              </w:rPr>
              <w:t>$345.00</w:t>
            </w:r>
          </w:p>
        </w:tc>
      </w:tr>
      <w:tr w:rsidR="00C22896" w:rsidRPr="00427237" w:rsidTr="00F602F9">
        <w:trPr>
          <w:trHeight w:val="64"/>
        </w:trPr>
        <w:tc>
          <w:tcPr>
            <w:tcW w:w="1974" w:type="dxa"/>
          </w:tcPr>
          <w:p w:rsidR="00C22896" w:rsidRPr="00427237" w:rsidRDefault="00376E5F" w:rsidP="007C09A4">
            <w:pPr>
              <w:spacing w:after="0" w:line="240" w:lineRule="auto"/>
              <w:rPr>
                <w:rFonts w:ascii="Arial Narrow" w:hAnsi="Arial Narrow"/>
              </w:rPr>
            </w:pPr>
            <w:r w:rsidRPr="00427237">
              <w:rPr>
                <w:rFonts w:ascii="Arial Narrow" w:hAnsi="Arial Narrow"/>
              </w:rPr>
              <w:t>63458</w:t>
            </w:r>
          </w:p>
        </w:tc>
        <w:tc>
          <w:tcPr>
            <w:tcW w:w="5812" w:type="dxa"/>
          </w:tcPr>
          <w:p w:rsidR="00C22896" w:rsidRPr="00427237" w:rsidRDefault="00A151DA" w:rsidP="00AA0878">
            <w:pPr>
              <w:spacing w:after="0" w:line="240" w:lineRule="auto"/>
              <w:rPr>
                <w:rFonts w:ascii="Arial Narrow" w:hAnsi="Arial Narrow"/>
              </w:rPr>
            </w:pPr>
            <w:r w:rsidRPr="00427237">
              <w:rPr>
                <w:rFonts w:ascii="Arial Narrow" w:hAnsi="Arial Narrow"/>
              </w:rPr>
              <w:t>MRI (breasts</w:t>
            </w:r>
            <w:r w:rsidR="000A55E4" w:rsidRPr="00427237">
              <w:rPr>
                <w:rFonts w:ascii="Arial Narrow" w:hAnsi="Arial Narrow"/>
              </w:rPr>
              <w:t xml:space="preserve"> – follow-up</w:t>
            </w:r>
            <w:r w:rsidRPr="00427237">
              <w:rPr>
                <w:rFonts w:ascii="Arial Narrow" w:hAnsi="Arial Narrow"/>
              </w:rPr>
              <w:t>)</w:t>
            </w:r>
          </w:p>
        </w:tc>
        <w:tc>
          <w:tcPr>
            <w:tcW w:w="1456" w:type="dxa"/>
          </w:tcPr>
          <w:p w:rsidR="00C22896" w:rsidRPr="00427237" w:rsidRDefault="00376E5F" w:rsidP="007C09A4">
            <w:pPr>
              <w:spacing w:after="0" w:line="240" w:lineRule="auto"/>
              <w:rPr>
                <w:rFonts w:ascii="Arial Narrow" w:hAnsi="Arial Narrow"/>
              </w:rPr>
            </w:pPr>
            <w:r w:rsidRPr="00427237">
              <w:rPr>
                <w:rFonts w:ascii="Arial Narrow" w:hAnsi="Arial Narrow"/>
              </w:rPr>
              <w:t>$345.00</w:t>
            </w:r>
          </w:p>
        </w:tc>
      </w:tr>
      <w:tr w:rsidR="00AA0878" w:rsidRPr="00427237" w:rsidTr="00F602F9">
        <w:trPr>
          <w:trHeight w:val="64"/>
        </w:trPr>
        <w:tc>
          <w:tcPr>
            <w:tcW w:w="1974" w:type="dxa"/>
          </w:tcPr>
          <w:p w:rsidR="00AA0878" w:rsidRPr="00427237" w:rsidRDefault="00AA0878" w:rsidP="007C09A4">
            <w:pPr>
              <w:spacing w:after="0" w:line="240" w:lineRule="auto"/>
              <w:rPr>
                <w:rFonts w:ascii="Arial Narrow" w:hAnsi="Arial Narrow"/>
              </w:rPr>
            </w:pPr>
            <w:r w:rsidRPr="00427237">
              <w:rPr>
                <w:rFonts w:ascii="Arial Narrow" w:hAnsi="Arial Narrow"/>
              </w:rPr>
              <w:t>63001</w:t>
            </w:r>
          </w:p>
        </w:tc>
        <w:tc>
          <w:tcPr>
            <w:tcW w:w="5812" w:type="dxa"/>
          </w:tcPr>
          <w:p w:rsidR="00AA0878" w:rsidRPr="00427237" w:rsidRDefault="00AA0878" w:rsidP="007C09A4">
            <w:pPr>
              <w:spacing w:after="0" w:line="240" w:lineRule="auto"/>
              <w:rPr>
                <w:rFonts w:ascii="Arial Narrow" w:hAnsi="Arial Narrow"/>
              </w:rPr>
            </w:pPr>
            <w:r w:rsidRPr="00427237">
              <w:rPr>
                <w:rFonts w:ascii="Arial Narrow" w:hAnsi="Arial Narrow"/>
              </w:rPr>
              <w:t>MRI (brain)</w:t>
            </w:r>
          </w:p>
        </w:tc>
        <w:tc>
          <w:tcPr>
            <w:tcW w:w="1456" w:type="dxa"/>
          </w:tcPr>
          <w:p w:rsidR="00AA0878" w:rsidRPr="00427237" w:rsidRDefault="007963E4" w:rsidP="007C09A4">
            <w:pPr>
              <w:spacing w:after="0" w:line="240" w:lineRule="auto"/>
              <w:rPr>
                <w:rFonts w:ascii="Arial Narrow" w:hAnsi="Arial Narrow"/>
              </w:rPr>
            </w:pPr>
            <w:r w:rsidRPr="00427237">
              <w:rPr>
                <w:rFonts w:ascii="Arial Narrow" w:hAnsi="Arial Narrow"/>
              </w:rPr>
              <w:t>$403.20</w:t>
            </w:r>
          </w:p>
        </w:tc>
      </w:tr>
      <w:tr w:rsidR="00AA0878" w:rsidRPr="00427237" w:rsidTr="00F602F9">
        <w:trPr>
          <w:trHeight w:val="64"/>
        </w:trPr>
        <w:tc>
          <w:tcPr>
            <w:tcW w:w="1974" w:type="dxa"/>
          </w:tcPr>
          <w:p w:rsidR="00AA0878" w:rsidRPr="00427237" w:rsidRDefault="00AA0878" w:rsidP="007C09A4">
            <w:pPr>
              <w:spacing w:after="0" w:line="240" w:lineRule="auto"/>
              <w:rPr>
                <w:rFonts w:ascii="Arial Narrow" w:hAnsi="Arial Narrow"/>
              </w:rPr>
            </w:pPr>
            <w:r w:rsidRPr="00427237">
              <w:rPr>
                <w:rFonts w:ascii="Arial Narrow" w:hAnsi="Arial Narrow"/>
              </w:rPr>
              <w:t>63491</w:t>
            </w:r>
          </w:p>
        </w:tc>
        <w:tc>
          <w:tcPr>
            <w:tcW w:w="5812" w:type="dxa"/>
          </w:tcPr>
          <w:p w:rsidR="00AA0878" w:rsidRPr="00427237" w:rsidRDefault="00AA0878" w:rsidP="007C09A4">
            <w:pPr>
              <w:spacing w:after="0" w:line="240" w:lineRule="auto"/>
              <w:rPr>
                <w:rFonts w:ascii="Arial Narrow" w:hAnsi="Arial Narrow"/>
              </w:rPr>
            </w:pPr>
            <w:r w:rsidRPr="00427237">
              <w:rPr>
                <w:rFonts w:ascii="Arial Narrow" w:hAnsi="Arial Narrow"/>
              </w:rPr>
              <w:t>MRI (brain</w:t>
            </w:r>
            <w:r w:rsidR="00F9582D" w:rsidRPr="00427237">
              <w:rPr>
                <w:rFonts w:ascii="Arial Narrow" w:hAnsi="Arial Narrow"/>
              </w:rPr>
              <w:t xml:space="preserve"> – contrast medium</w:t>
            </w:r>
            <w:r w:rsidRPr="00427237">
              <w:rPr>
                <w:rFonts w:ascii="Arial Narrow" w:hAnsi="Arial Narrow"/>
              </w:rPr>
              <w:t>)</w:t>
            </w:r>
          </w:p>
        </w:tc>
        <w:tc>
          <w:tcPr>
            <w:tcW w:w="1456" w:type="dxa"/>
          </w:tcPr>
          <w:p w:rsidR="00AA0878" w:rsidRPr="00427237" w:rsidRDefault="007963E4" w:rsidP="007C09A4">
            <w:pPr>
              <w:spacing w:after="0" w:line="240" w:lineRule="auto"/>
              <w:rPr>
                <w:rFonts w:ascii="Arial Narrow" w:hAnsi="Arial Narrow"/>
              </w:rPr>
            </w:pPr>
            <w:r w:rsidRPr="00427237">
              <w:rPr>
                <w:rFonts w:ascii="Arial Narrow" w:hAnsi="Arial Narrow"/>
              </w:rPr>
              <w:t>$44.90</w:t>
            </w:r>
          </w:p>
        </w:tc>
      </w:tr>
      <w:tr w:rsidR="00AA0878" w:rsidRPr="00427237" w:rsidTr="00F602F9">
        <w:trPr>
          <w:trHeight w:val="64"/>
        </w:trPr>
        <w:tc>
          <w:tcPr>
            <w:tcW w:w="1974" w:type="dxa"/>
          </w:tcPr>
          <w:p w:rsidR="00AA0878" w:rsidRPr="00427237" w:rsidRDefault="007963E4" w:rsidP="007C09A4">
            <w:pPr>
              <w:spacing w:after="0" w:line="240" w:lineRule="auto"/>
              <w:rPr>
                <w:rFonts w:ascii="Arial Narrow" w:hAnsi="Arial Narrow"/>
              </w:rPr>
            </w:pPr>
            <w:r w:rsidRPr="00427237">
              <w:rPr>
                <w:rFonts w:ascii="Arial Narrow" w:hAnsi="Arial Narrow"/>
              </w:rPr>
              <w:t>63154</w:t>
            </w:r>
          </w:p>
        </w:tc>
        <w:tc>
          <w:tcPr>
            <w:tcW w:w="5812" w:type="dxa"/>
          </w:tcPr>
          <w:p w:rsidR="00AA0878" w:rsidRPr="00427237" w:rsidRDefault="007963E4" w:rsidP="007C09A4">
            <w:pPr>
              <w:spacing w:after="0" w:line="240" w:lineRule="auto"/>
              <w:rPr>
                <w:rFonts w:ascii="Arial Narrow" w:hAnsi="Arial Narrow"/>
              </w:rPr>
            </w:pPr>
            <w:r w:rsidRPr="00427237">
              <w:rPr>
                <w:rFonts w:ascii="Arial Narrow" w:hAnsi="Arial Narrow"/>
              </w:rPr>
              <w:t>MRI (spine)</w:t>
            </w:r>
          </w:p>
        </w:tc>
        <w:tc>
          <w:tcPr>
            <w:tcW w:w="1456" w:type="dxa"/>
          </w:tcPr>
          <w:p w:rsidR="00AA0878" w:rsidRPr="00427237" w:rsidRDefault="007963E4" w:rsidP="007C09A4">
            <w:pPr>
              <w:spacing w:after="0" w:line="240" w:lineRule="auto"/>
              <w:rPr>
                <w:rFonts w:ascii="Arial Narrow" w:hAnsi="Arial Narrow"/>
              </w:rPr>
            </w:pPr>
            <w:r w:rsidRPr="00427237">
              <w:rPr>
                <w:rFonts w:ascii="Arial Narrow" w:hAnsi="Arial Narrow"/>
              </w:rPr>
              <w:t>$358.40</w:t>
            </w:r>
          </w:p>
        </w:tc>
      </w:tr>
      <w:tr w:rsidR="00AA0878" w:rsidRPr="00427237" w:rsidTr="00F602F9">
        <w:trPr>
          <w:trHeight w:val="64"/>
        </w:trPr>
        <w:tc>
          <w:tcPr>
            <w:tcW w:w="1974" w:type="dxa"/>
          </w:tcPr>
          <w:p w:rsidR="00AA0878" w:rsidRPr="00427237" w:rsidRDefault="007963E4" w:rsidP="007C09A4">
            <w:pPr>
              <w:spacing w:after="0" w:line="240" w:lineRule="auto"/>
              <w:rPr>
                <w:rFonts w:ascii="Arial Narrow" w:hAnsi="Arial Narrow"/>
              </w:rPr>
            </w:pPr>
            <w:r w:rsidRPr="00427237">
              <w:rPr>
                <w:rFonts w:ascii="Arial Narrow" w:hAnsi="Arial Narrow"/>
              </w:rPr>
              <w:t>63491</w:t>
            </w:r>
          </w:p>
        </w:tc>
        <w:tc>
          <w:tcPr>
            <w:tcW w:w="5812" w:type="dxa"/>
          </w:tcPr>
          <w:p w:rsidR="00AA0878" w:rsidRPr="00427237" w:rsidRDefault="007963E4" w:rsidP="007C09A4">
            <w:pPr>
              <w:spacing w:after="0" w:line="240" w:lineRule="auto"/>
              <w:rPr>
                <w:rFonts w:ascii="Arial Narrow" w:hAnsi="Arial Narrow"/>
              </w:rPr>
            </w:pPr>
            <w:r w:rsidRPr="00427237">
              <w:rPr>
                <w:rFonts w:ascii="Arial Narrow" w:hAnsi="Arial Narrow"/>
              </w:rPr>
              <w:t>MRI (spine</w:t>
            </w:r>
            <w:r w:rsidR="00F9582D" w:rsidRPr="00427237">
              <w:rPr>
                <w:rFonts w:ascii="Arial Narrow" w:hAnsi="Arial Narrow"/>
              </w:rPr>
              <w:t xml:space="preserve"> – contrast medium</w:t>
            </w:r>
            <w:r w:rsidRPr="00427237">
              <w:rPr>
                <w:rFonts w:ascii="Arial Narrow" w:hAnsi="Arial Narrow"/>
              </w:rPr>
              <w:t>)</w:t>
            </w:r>
          </w:p>
        </w:tc>
        <w:tc>
          <w:tcPr>
            <w:tcW w:w="1456" w:type="dxa"/>
          </w:tcPr>
          <w:p w:rsidR="00AA0878" w:rsidRPr="00427237" w:rsidRDefault="007963E4" w:rsidP="007C09A4">
            <w:pPr>
              <w:spacing w:after="0" w:line="240" w:lineRule="auto"/>
              <w:rPr>
                <w:rFonts w:ascii="Arial Narrow" w:hAnsi="Arial Narrow"/>
              </w:rPr>
            </w:pPr>
            <w:r w:rsidRPr="00427237">
              <w:rPr>
                <w:rFonts w:ascii="Arial Narrow" w:hAnsi="Arial Narrow"/>
              </w:rPr>
              <w:t>$44.80</w:t>
            </w:r>
          </w:p>
        </w:tc>
      </w:tr>
      <w:tr w:rsidR="00B026F1" w:rsidRPr="00427237" w:rsidTr="00F602F9">
        <w:trPr>
          <w:trHeight w:val="64"/>
        </w:trPr>
        <w:tc>
          <w:tcPr>
            <w:tcW w:w="1974" w:type="dxa"/>
          </w:tcPr>
          <w:p w:rsidR="00B026F1" w:rsidRPr="00427237" w:rsidRDefault="00B026F1" w:rsidP="007C09A4">
            <w:pPr>
              <w:spacing w:after="0" w:line="240" w:lineRule="auto"/>
              <w:rPr>
                <w:rFonts w:ascii="Arial Narrow" w:hAnsi="Arial Narrow"/>
              </w:rPr>
            </w:pPr>
            <w:r w:rsidRPr="00427237">
              <w:rPr>
                <w:rFonts w:ascii="Arial Narrow" w:hAnsi="Arial Narrow"/>
              </w:rPr>
              <w:t>61505</w:t>
            </w:r>
            <w:r w:rsidR="00657292" w:rsidRPr="00427237">
              <w:rPr>
                <w:rFonts w:ascii="Arial Narrow" w:hAnsi="Arial Narrow"/>
              </w:rPr>
              <w:t xml:space="preserve"> (?)</w:t>
            </w:r>
          </w:p>
        </w:tc>
        <w:tc>
          <w:tcPr>
            <w:tcW w:w="5812" w:type="dxa"/>
          </w:tcPr>
          <w:p w:rsidR="00B026F1" w:rsidRPr="00427237" w:rsidRDefault="00B026F1" w:rsidP="007C09A4">
            <w:pPr>
              <w:spacing w:after="0" w:line="240" w:lineRule="auto"/>
              <w:rPr>
                <w:rFonts w:ascii="Arial Narrow" w:hAnsi="Arial Narrow"/>
              </w:rPr>
            </w:pPr>
            <w:r w:rsidRPr="00427237">
              <w:rPr>
                <w:rFonts w:ascii="Arial Narrow" w:hAnsi="Arial Narrow"/>
              </w:rPr>
              <w:t>CT (with SPECT</w:t>
            </w:r>
            <w:r w:rsidR="00791088" w:rsidRPr="00427237">
              <w:rPr>
                <w:rFonts w:ascii="Arial Narrow" w:hAnsi="Arial Narrow"/>
              </w:rPr>
              <w:t>,</w:t>
            </w:r>
            <w:r w:rsidRPr="00427237">
              <w:rPr>
                <w:rFonts w:ascii="Arial Narrow" w:hAnsi="Arial Narrow"/>
              </w:rPr>
              <w:t xml:space="preserve"> for localisation</w:t>
            </w:r>
            <w:r w:rsidR="003566BB" w:rsidRPr="00427237">
              <w:rPr>
                <w:rFonts w:ascii="Arial Narrow" w:hAnsi="Arial Narrow"/>
              </w:rPr>
              <w:t xml:space="preserve"> </w:t>
            </w:r>
            <w:r w:rsidRPr="00427237">
              <w:rPr>
                <w:rFonts w:ascii="Arial Narrow" w:hAnsi="Arial Narrow"/>
              </w:rPr>
              <w:t>/</w:t>
            </w:r>
            <w:r w:rsidR="003566BB" w:rsidRPr="00427237">
              <w:rPr>
                <w:rFonts w:ascii="Arial Narrow" w:hAnsi="Arial Narrow"/>
              </w:rPr>
              <w:t xml:space="preserve"> </w:t>
            </w:r>
            <w:r w:rsidRPr="00427237">
              <w:rPr>
                <w:rFonts w:ascii="Arial Narrow" w:hAnsi="Arial Narrow"/>
              </w:rPr>
              <w:t>correction)</w:t>
            </w:r>
          </w:p>
        </w:tc>
        <w:tc>
          <w:tcPr>
            <w:tcW w:w="1456" w:type="dxa"/>
          </w:tcPr>
          <w:p w:rsidR="00B026F1" w:rsidRPr="00427237" w:rsidRDefault="00B026F1" w:rsidP="007C09A4">
            <w:pPr>
              <w:spacing w:after="0" w:line="240" w:lineRule="auto"/>
              <w:rPr>
                <w:rFonts w:ascii="Arial Narrow" w:hAnsi="Arial Narrow"/>
              </w:rPr>
            </w:pPr>
            <w:r w:rsidRPr="00427237">
              <w:rPr>
                <w:rFonts w:ascii="Arial Narrow" w:hAnsi="Arial Narrow"/>
              </w:rPr>
              <w:t>$100.00</w:t>
            </w:r>
          </w:p>
        </w:tc>
      </w:tr>
      <w:tr w:rsidR="00B026F1" w:rsidRPr="00427237" w:rsidTr="00F602F9">
        <w:trPr>
          <w:trHeight w:val="64"/>
        </w:trPr>
        <w:tc>
          <w:tcPr>
            <w:tcW w:w="1974" w:type="dxa"/>
          </w:tcPr>
          <w:p w:rsidR="00B026F1" w:rsidRPr="00427237" w:rsidRDefault="003566BB" w:rsidP="007C09A4">
            <w:pPr>
              <w:spacing w:after="0" w:line="240" w:lineRule="auto"/>
              <w:rPr>
                <w:rFonts w:ascii="Arial Narrow" w:hAnsi="Arial Narrow"/>
              </w:rPr>
            </w:pPr>
            <w:r w:rsidRPr="00427237">
              <w:rPr>
                <w:rFonts w:ascii="Arial Narrow" w:hAnsi="Arial Narrow"/>
              </w:rPr>
              <w:t>61719</w:t>
            </w:r>
            <w:r w:rsidR="00657292" w:rsidRPr="00427237">
              <w:rPr>
                <w:rFonts w:ascii="Arial Narrow" w:hAnsi="Arial Narrow"/>
              </w:rPr>
              <w:t xml:space="preserve"> (?)</w:t>
            </w:r>
          </w:p>
        </w:tc>
        <w:tc>
          <w:tcPr>
            <w:tcW w:w="5812" w:type="dxa"/>
          </w:tcPr>
          <w:p w:rsidR="00B026F1" w:rsidRPr="00427237" w:rsidRDefault="003566BB" w:rsidP="007C09A4">
            <w:pPr>
              <w:spacing w:after="0" w:line="240" w:lineRule="auto"/>
              <w:rPr>
                <w:rFonts w:ascii="Arial Narrow" w:hAnsi="Arial Narrow"/>
              </w:rPr>
            </w:pPr>
            <w:r w:rsidRPr="00427237">
              <w:rPr>
                <w:rFonts w:ascii="Arial Narrow" w:hAnsi="Arial Narrow"/>
              </w:rPr>
              <w:t>CT (with SPECT</w:t>
            </w:r>
            <w:r w:rsidR="00791088" w:rsidRPr="00427237">
              <w:rPr>
                <w:rFonts w:ascii="Arial Narrow" w:hAnsi="Arial Narrow"/>
              </w:rPr>
              <w:t>,</w:t>
            </w:r>
            <w:r w:rsidRPr="00427237">
              <w:rPr>
                <w:rFonts w:ascii="Arial Narrow" w:hAnsi="Arial Narrow"/>
              </w:rPr>
              <w:t xml:space="preserve"> for localisation / correction)</w:t>
            </w:r>
          </w:p>
        </w:tc>
        <w:tc>
          <w:tcPr>
            <w:tcW w:w="1456" w:type="dxa"/>
          </w:tcPr>
          <w:p w:rsidR="00B026F1" w:rsidRPr="00427237" w:rsidRDefault="003566BB" w:rsidP="007C09A4">
            <w:pPr>
              <w:spacing w:after="0" w:line="240" w:lineRule="auto"/>
              <w:rPr>
                <w:rFonts w:ascii="Arial Narrow" w:hAnsi="Arial Narrow"/>
              </w:rPr>
            </w:pPr>
            <w:r w:rsidRPr="00427237">
              <w:rPr>
                <w:rFonts w:ascii="Arial Narrow" w:hAnsi="Arial Narrow"/>
              </w:rPr>
              <w:t>$50.00</w:t>
            </w:r>
          </w:p>
        </w:tc>
      </w:tr>
      <w:tr w:rsidR="00C22896" w:rsidRPr="00427237" w:rsidTr="00F602F9">
        <w:trPr>
          <w:trHeight w:val="64"/>
        </w:trPr>
        <w:tc>
          <w:tcPr>
            <w:tcW w:w="1974" w:type="dxa"/>
          </w:tcPr>
          <w:p w:rsidR="00C22896" w:rsidRPr="00427237" w:rsidRDefault="00C22896" w:rsidP="007C09A4">
            <w:pPr>
              <w:spacing w:after="0" w:line="240" w:lineRule="auto"/>
              <w:rPr>
                <w:rFonts w:ascii="Arial Narrow" w:hAnsi="Arial Narrow"/>
              </w:rPr>
            </w:pPr>
            <w:r w:rsidRPr="00427237">
              <w:rPr>
                <w:rFonts w:ascii="Arial Narrow" w:hAnsi="Arial Narrow"/>
              </w:rPr>
              <w:t>61425</w:t>
            </w:r>
          </w:p>
        </w:tc>
        <w:tc>
          <w:tcPr>
            <w:tcW w:w="5812" w:type="dxa"/>
          </w:tcPr>
          <w:p w:rsidR="00C22896" w:rsidRPr="00427237" w:rsidRDefault="009E2E17" w:rsidP="007C09A4">
            <w:pPr>
              <w:spacing w:after="0" w:line="240" w:lineRule="auto"/>
              <w:rPr>
                <w:rFonts w:ascii="Arial Narrow" w:hAnsi="Arial Narrow"/>
              </w:rPr>
            </w:pPr>
            <w:r w:rsidRPr="00427237">
              <w:rPr>
                <w:rFonts w:ascii="Arial Narrow" w:hAnsi="Arial Narrow"/>
              </w:rPr>
              <w:t xml:space="preserve">Bone study (for bone </w:t>
            </w:r>
            <w:proofErr w:type="spellStart"/>
            <w:r w:rsidRPr="00427237">
              <w:rPr>
                <w:rFonts w:ascii="Arial Narrow" w:hAnsi="Arial Narrow"/>
              </w:rPr>
              <w:t>scintigraphy</w:t>
            </w:r>
            <w:proofErr w:type="spellEnd"/>
            <w:r w:rsidRPr="00427237">
              <w:rPr>
                <w:rFonts w:ascii="Arial Narrow" w:hAnsi="Arial Narrow"/>
              </w:rPr>
              <w:t>)</w:t>
            </w:r>
          </w:p>
        </w:tc>
        <w:tc>
          <w:tcPr>
            <w:tcW w:w="1456" w:type="dxa"/>
          </w:tcPr>
          <w:p w:rsidR="00C22896" w:rsidRPr="00427237" w:rsidRDefault="00791088" w:rsidP="007C09A4">
            <w:pPr>
              <w:spacing w:after="0" w:line="240" w:lineRule="auto"/>
              <w:rPr>
                <w:rFonts w:ascii="Arial Narrow" w:hAnsi="Arial Narrow"/>
              </w:rPr>
            </w:pPr>
            <w:r w:rsidRPr="00427237">
              <w:rPr>
                <w:rFonts w:ascii="Arial Narrow" w:hAnsi="Arial Narrow"/>
              </w:rPr>
              <w:t>$</w:t>
            </w:r>
            <w:r w:rsidR="00967F7A" w:rsidRPr="00427237">
              <w:rPr>
                <w:rFonts w:ascii="Arial Narrow" w:hAnsi="Arial Narrow"/>
              </w:rPr>
              <w:t>600.70</w:t>
            </w:r>
          </w:p>
        </w:tc>
      </w:tr>
      <w:tr w:rsidR="00C22896" w:rsidRPr="00427237" w:rsidTr="00F602F9">
        <w:trPr>
          <w:trHeight w:val="64"/>
        </w:trPr>
        <w:tc>
          <w:tcPr>
            <w:tcW w:w="1974" w:type="dxa"/>
          </w:tcPr>
          <w:p w:rsidR="00C22896" w:rsidRPr="00427237" w:rsidRDefault="00C22896" w:rsidP="007C09A4">
            <w:pPr>
              <w:spacing w:after="0" w:line="240" w:lineRule="auto"/>
              <w:rPr>
                <w:rFonts w:ascii="Arial Narrow" w:hAnsi="Arial Narrow"/>
              </w:rPr>
            </w:pPr>
            <w:r w:rsidRPr="00427237">
              <w:rPr>
                <w:rFonts w:ascii="Arial Narrow" w:hAnsi="Arial Narrow"/>
              </w:rPr>
              <w:t>55059</w:t>
            </w:r>
          </w:p>
        </w:tc>
        <w:tc>
          <w:tcPr>
            <w:tcW w:w="5812" w:type="dxa"/>
          </w:tcPr>
          <w:p w:rsidR="00C22896" w:rsidRPr="00427237" w:rsidRDefault="001E030B" w:rsidP="007C09A4">
            <w:pPr>
              <w:spacing w:after="0" w:line="240" w:lineRule="auto"/>
              <w:rPr>
                <w:rFonts w:ascii="Arial Narrow" w:hAnsi="Arial Narrow"/>
              </w:rPr>
            </w:pPr>
            <w:r w:rsidRPr="00427237">
              <w:rPr>
                <w:rFonts w:ascii="Arial Narrow" w:hAnsi="Arial Narrow"/>
              </w:rPr>
              <w:t>Breast ultrasound</w:t>
            </w:r>
          </w:p>
        </w:tc>
        <w:tc>
          <w:tcPr>
            <w:tcW w:w="1456" w:type="dxa"/>
          </w:tcPr>
          <w:p w:rsidR="00C22896" w:rsidRPr="00427237" w:rsidRDefault="00791088" w:rsidP="007C09A4">
            <w:pPr>
              <w:spacing w:after="0" w:line="240" w:lineRule="auto"/>
              <w:rPr>
                <w:rFonts w:ascii="Arial Narrow" w:hAnsi="Arial Narrow"/>
              </w:rPr>
            </w:pPr>
            <w:r w:rsidRPr="00427237">
              <w:rPr>
                <w:rFonts w:ascii="Arial Narrow" w:hAnsi="Arial Narrow"/>
              </w:rPr>
              <w:t>$</w:t>
            </w:r>
            <w:r w:rsidR="001E030B" w:rsidRPr="00427237">
              <w:rPr>
                <w:rFonts w:ascii="Arial Narrow" w:hAnsi="Arial Narrow"/>
              </w:rPr>
              <w:t>49.15</w:t>
            </w:r>
          </w:p>
        </w:tc>
      </w:tr>
      <w:tr w:rsidR="001E030B" w:rsidRPr="00427237" w:rsidTr="00F602F9">
        <w:trPr>
          <w:trHeight w:val="64"/>
        </w:trPr>
        <w:tc>
          <w:tcPr>
            <w:tcW w:w="1974" w:type="dxa"/>
          </w:tcPr>
          <w:p w:rsidR="001E030B" w:rsidRPr="00427237" w:rsidRDefault="001E030B" w:rsidP="007C09A4">
            <w:pPr>
              <w:spacing w:after="0" w:line="240" w:lineRule="auto"/>
              <w:rPr>
                <w:rFonts w:ascii="Arial Narrow" w:hAnsi="Arial Narrow"/>
              </w:rPr>
            </w:pPr>
            <w:r w:rsidRPr="00427237">
              <w:rPr>
                <w:rFonts w:ascii="Arial Narrow" w:hAnsi="Arial Narrow"/>
              </w:rPr>
              <w:t>55061</w:t>
            </w:r>
          </w:p>
        </w:tc>
        <w:tc>
          <w:tcPr>
            <w:tcW w:w="5812" w:type="dxa"/>
          </w:tcPr>
          <w:p w:rsidR="001E030B" w:rsidRPr="00427237" w:rsidRDefault="001E030B" w:rsidP="007C09A4">
            <w:pPr>
              <w:spacing w:after="0" w:line="240" w:lineRule="auto"/>
              <w:rPr>
                <w:rFonts w:ascii="Arial Narrow" w:hAnsi="Arial Narrow"/>
              </w:rPr>
            </w:pPr>
            <w:r w:rsidRPr="00427237">
              <w:rPr>
                <w:rFonts w:ascii="Arial Narrow" w:hAnsi="Arial Narrow"/>
              </w:rPr>
              <w:t>Breast ultrasound</w:t>
            </w:r>
          </w:p>
        </w:tc>
        <w:tc>
          <w:tcPr>
            <w:tcW w:w="1456" w:type="dxa"/>
          </w:tcPr>
          <w:p w:rsidR="001E030B" w:rsidRPr="00427237" w:rsidRDefault="00791088" w:rsidP="007C09A4">
            <w:pPr>
              <w:spacing w:after="0" w:line="240" w:lineRule="auto"/>
              <w:rPr>
                <w:rFonts w:ascii="Arial Narrow" w:hAnsi="Arial Narrow"/>
              </w:rPr>
            </w:pPr>
            <w:r w:rsidRPr="00427237">
              <w:rPr>
                <w:rFonts w:ascii="Arial Narrow" w:hAnsi="Arial Narrow"/>
              </w:rPr>
              <w:t>$</w:t>
            </w:r>
            <w:r w:rsidR="001E030B" w:rsidRPr="00427237">
              <w:rPr>
                <w:rFonts w:ascii="Arial Narrow" w:hAnsi="Arial Narrow"/>
              </w:rPr>
              <w:t>54.55</w:t>
            </w:r>
          </w:p>
        </w:tc>
      </w:tr>
    </w:tbl>
    <w:p w:rsidR="00C22896" w:rsidRPr="00427237" w:rsidRDefault="00C22896" w:rsidP="00DD66A1">
      <w:pPr>
        <w:rPr>
          <w:szCs w:val="22"/>
        </w:rPr>
      </w:pPr>
    </w:p>
    <w:p w:rsidR="00B92B3B" w:rsidRPr="00427237" w:rsidRDefault="00110335" w:rsidP="006748B3">
      <w:pPr>
        <w:rPr>
          <w:u w:val="single"/>
        </w:rPr>
      </w:pPr>
      <w:bookmarkStart w:id="55" w:name="_Toc301450602"/>
      <w:r w:rsidRPr="00427237">
        <w:rPr>
          <w:u w:val="single"/>
        </w:rPr>
        <w:t>Utilisation</w:t>
      </w:r>
      <w:r w:rsidR="004B2C5A" w:rsidRPr="00427237">
        <w:rPr>
          <w:u w:val="single"/>
        </w:rPr>
        <w:t xml:space="preserve"> of </w:t>
      </w:r>
      <w:r w:rsidR="008D0264" w:rsidRPr="00427237">
        <w:rPr>
          <w:u w:val="single"/>
        </w:rPr>
        <w:t xml:space="preserve">confirmatory </w:t>
      </w:r>
      <w:r w:rsidR="00643876" w:rsidRPr="00427237">
        <w:rPr>
          <w:u w:val="single"/>
        </w:rPr>
        <w:t xml:space="preserve">standard </w:t>
      </w:r>
      <w:r w:rsidR="004B2C5A" w:rsidRPr="00427237">
        <w:rPr>
          <w:u w:val="single"/>
        </w:rPr>
        <w:t>diagnostic imaging</w:t>
      </w:r>
      <w:r w:rsidRPr="00427237">
        <w:rPr>
          <w:u w:val="single"/>
        </w:rPr>
        <w:t xml:space="preserve"> for</w:t>
      </w:r>
      <w:r w:rsidR="001E2339" w:rsidRPr="00427237">
        <w:rPr>
          <w:u w:val="single"/>
        </w:rPr>
        <w:t xml:space="preserve"> proven</w:t>
      </w:r>
      <w:r w:rsidRPr="00427237">
        <w:rPr>
          <w:u w:val="single"/>
        </w:rPr>
        <w:t xml:space="preserve"> l</w:t>
      </w:r>
      <w:r w:rsidR="00B92B3B" w:rsidRPr="00427237">
        <w:rPr>
          <w:u w:val="single"/>
        </w:rPr>
        <w:t>ocally advance</w:t>
      </w:r>
      <w:r w:rsidR="00F81185" w:rsidRPr="00427237">
        <w:rPr>
          <w:u w:val="single"/>
        </w:rPr>
        <w:t>d</w:t>
      </w:r>
      <w:r w:rsidR="00B92B3B" w:rsidRPr="00427237">
        <w:rPr>
          <w:u w:val="single"/>
        </w:rPr>
        <w:t xml:space="preserve"> breast cancer:</w:t>
      </w:r>
    </w:p>
    <w:p w:rsidR="005B11A1" w:rsidRPr="00427237" w:rsidRDefault="00783FA4" w:rsidP="005B11A1">
      <w:r w:rsidRPr="00427237">
        <w:t xml:space="preserve">As per the </w:t>
      </w:r>
      <w:r w:rsidR="00F021CD" w:rsidRPr="00427237">
        <w:t>“I</w:t>
      </w:r>
      <w:r w:rsidRPr="00427237">
        <w:t>ntervention</w:t>
      </w:r>
      <w:r w:rsidR="00F021CD" w:rsidRPr="00427237">
        <w:t>”</w:t>
      </w:r>
      <w:r w:rsidRPr="00427237">
        <w:t xml:space="preserve"> utilisation calculations</w:t>
      </w:r>
      <w:r w:rsidR="00EC0C20" w:rsidRPr="00427237">
        <w:t xml:space="preserve"> of this </w:t>
      </w:r>
      <w:r w:rsidR="00270BAD" w:rsidRPr="00427237">
        <w:t>Protocol</w:t>
      </w:r>
      <w:r w:rsidRPr="00427237">
        <w:t>, the estimated</w:t>
      </w:r>
      <w:r w:rsidR="005B11A1" w:rsidRPr="00427237">
        <w:t xml:space="preserve"> </w:t>
      </w:r>
      <w:r w:rsidRPr="00427237">
        <w:t xml:space="preserve">utilisation per patient is for </w:t>
      </w:r>
      <w:r w:rsidR="005B11A1" w:rsidRPr="00427237">
        <w:t xml:space="preserve">patients </w:t>
      </w:r>
      <w:r w:rsidRPr="00427237">
        <w:t xml:space="preserve">to </w:t>
      </w:r>
      <w:r w:rsidR="00F021CD" w:rsidRPr="00427237">
        <w:t>undergo 1</w:t>
      </w:r>
      <w:r w:rsidR="005B11A1" w:rsidRPr="00427237">
        <w:t xml:space="preserve"> </w:t>
      </w:r>
      <w:r w:rsidR="00703B5A" w:rsidRPr="00427237">
        <w:t>“</w:t>
      </w:r>
      <w:r w:rsidR="00BD3955" w:rsidRPr="00427237">
        <w:t>confirmatory</w:t>
      </w:r>
      <w:r w:rsidR="008D0264" w:rsidRPr="00427237">
        <w:t xml:space="preserve"> standard</w:t>
      </w:r>
      <w:r w:rsidR="00BD3955" w:rsidRPr="00427237">
        <w:t xml:space="preserve"> </w:t>
      </w:r>
      <w:r w:rsidR="005B11A1" w:rsidRPr="00427237">
        <w:t>diagnostic imaging</w:t>
      </w:r>
      <w:r w:rsidR="00FE24B5" w:rsidRPr="00427237">
        <w:t>”</w:t>
      </w:r>
      <w:r w:rsidR="00F021CD" w:rsidRPr="00427237">
        <w:t xml:space="preserve"> study</w:t>
      </w:r>
      <w:r w:rsidR="005B11A1" w:rsidRPr="00427237">
        <w:t xml:space="preserve"> per year.</w:t>
      </w:r>
    </w:p>
    <w:p w:rsidR="001F2DC0" w:rsidRPr="00427237" w:rsidRDefault="00110335" w:rsidP="006748B3">
      <w:pPr>
        <w:rPr>
          <w:u w:val="single"/>
        </w:rPr>
      </w:pPr>
      <w:r w:rsidRPr="00427237">
        <w:rPr>
          <w:u w:val="single"/>
        </w:rPr>
        <w:t xml:space="preserve">Utilisation </w:t>
      </w:r>
      <w:r w:rsidR="004B2C5A" w:rsidRPr="00427237">
        <w:rPr>
          <w:u w:val="single"/>
        </w:rPr>
        <w:t xml:space="preserve">of </w:t>
      </w:r>
      <w:r w:rsidR="00BD3955" w:rsidRPr="00427237">
        <w:rPr>
          <w:u w:val="single"/>
        </w:rPr>
        <w:t>confirmatory</w:t>
      </w:r>
      <w:r w:rsidR="008D0264" w:rsidRPr="00427237">
        <w:rPr>
          <w:u w:val="single"/>
        </w:rPr>
        <w:t xml:space="preserve"> standard</w:t>
      </w:r>
      <w:r w:rsidR="00BD3955" w:rsidRPr="00427237">
        <w:rPr>
          <w:u w:val="single"/>
        </w:rPr>
        <w:t xml:space="preserve"> </w:t>
      </w:r>
      <w:r w:rsidR="004B2C5A" w:rsidRPr="00427237">
        <w:rPr>
          <w:u w:val="single"/>
        </w:rPr>
        <w:t xml:space="preserve">diagnostic imaging </w:t>
      </w:r>
      <w:r w:rsidRPr="00427237">
        <w:rPr>
          <w:u w:val="single"/>
        </w:rPr>
        <w:t xml:space="preserve">for </w:t>
      </w:r>
      <w:r w:rsidR="001E2339" w:rsidRPr="00427237">
        <w:rPr>
          <w:u w:val="single"/>
        </w:rPr>
        <w:t xml:space="preserve">suspected </w:t>
      </w:r>
      <w:r w:rsidR="00BD3955" w:rsidRPr="00427237">
        <w:rPr>
          <w:u w:val="single"/>
        </w:rPr>
        <w:t xml:space="preserve">locally and regionally </w:t>
      </w:r>
      <w:r w:rsidRPr="00427237">
        <w:rPr>
          <w:u w:val="single"/>
        </w:rPr>
        <w:t xml:space="preserve">recurrent and </w:t>
      </w:r>
      <w:r w:rsidR="002E2250" w:rsidRPr="00427237">
        <w:rPr>
          <w:u w:val="single"/>
        </w:rPr>
        <w:t xml:space="preserve">suspected </w:t>
      </w:r>
      <w:r w:rsidRPr="00427237">
        <w:rPr>
          <w:u w:val="single"/>
        </w:rPr>
        <w:t>metastatic breast cancer:</w:t>
      </w:r>
    </w:p>
    <w:p w:rsidR="00110335" w:rsidRPr="00427237" w:rsidRDefault="005E5A8B" w:rsidP="006748B3">
      <w:r w:rsidRPr="00427237">
        <w:lastRenderedPageBreak/>
        <w:t xml:space="preserve">As stated previously in the “Intervention” section of this </w:t>
      </w:r>
      <w:r w:rsidR="00270BAD" w:rsidRPr="00427237">
        <w:t>Protocol</w:t>
      </w:r>
      <w:r w:rsidRPr="00427237">
        <w:t>, i</w:t>
      </w:r>
      <w:r w:rsidR="005B11A1" w:rsidRPr="00427237">
        <w:t xml:space="preserve">n terms of utilisation per patient, patients undergo 1 </w:t>
      </w:r>
      <w:r w:rsidR="00703B5A" w:rsidRPr="00427237">
        <w:t>“</w:t>
      </w:r>
      <w:r w:rsidR="00BD3955" w:rsidRPr="00427237">
        <w:t xml:space="preserve">confirmatory </w:t>
      </w:r>
      <w:r w:rsidR="008D0264" w:rsidRPr="00427237">
        <w:t xml:space="preserve">standard </w:t>
      </w:r>
      <w:r w:rsidR="005B11A1" w:rsidRPr="00427237">
        <w:t>diagnostic imaging</w:t>
      </w:r>
      <w:r w:rsidR="00FE24B5" w:rsidRPr="00427237">
        <w:t>”</w:t>
      </w:r>
      <w:r w:rsidR="005B11A1" w:rsidRPr="00427237">
        <w:t xml:space="preserve"> study per year.</w:t>
      </w:r>
    </w:p>
    <w:p w:rsidR="008E27EC" w:rsidRPr="00427237" w:rsidRDefault="008E27EC" w:rsidP="00DD0236">
      <w:pPr>
        <w:pStyle w:val="Heading2"/>
      </w:pPr>
      <w:bookmarkStart w:id="56" w:name="_Toc379534813"/>
      <w:bookmarkStart w:id="57" w:name="_Toc379962707"/>
      <w:r w:rsidRPr="00427237">
        <w:t>Reference standard test</w:t>
      </w:r>
      <w:bookmarkEnd w:id="56"/>
      <w:bookmarkEnd w:id="57"/>
    </w:p>
    <w:p w:rsidR="00DD0236" w:rsidRPr="00427237" w:rsidRDefault="00DD0236" w:rsidP="00DD0236">
      <w:pPr>
        <w:rPr>
          <w:u w:val="single"/>
        </w:rPr>
      </w:pPr>
      <w:r w:rsidRPr="00427237">
        <w:rPr>
          <w:u w:val="single"/>
        </w:rPr>
        <w:t>Reference standard test is pathology (biopsy):</w:t>
      </w:r>
    </w:p>
    <w:p w:rsidR="008E27EC" w:rsidRPr="00427237" w:rsidRDefault="008E27EC" w:rsidP="008E27EC">
      <w:r w:rsidRPr="00427237">
        <w:t xml:space="preserve">The reference standard to identify breast cancer is a biopsy. Cells from the area of concern are removed so they can be studied in the laboratory. There are several types of biopsies </w:t>
      </w:r>
      <w:r w:rsidR="00584D00" w:rsidRPr="00427237">
        <w:t>that can be performed</w:t>
      </w:r>
      <w:r w:rsidR="00FC799D" w:rsidRPr="00427237">
        <w:t>.</w:t>
      </w:r>
      <w:r w:rsidR="00C24187" w:rsidRPr="00427237">
        <w:rPr>
          <w:noProof/>
          <w:vertAlign w:val="superscript"/>
        </w:rPr>
        <w:t>5</w:t>
      </w:r>
      <w:r w:rsidR="00DC54D3" w:rsidRPr="00427237">
        <w:t xml:space="preserve"> </w:t>
      </w:r>
      <w:proofErr w:type="gramStart"/>
      <w:r w:rsidRPr="00427237">
        <w:t>For</w:t>
      </w:r>
      <w:proofErr w:type="gramEnd"/>
      <w:r w:rsidRPr="00427237">
        <w:t xml:space="preserve"> breast biopsies, these are:</w:t>
      </w:r>
    </w:p>
    <w:p w:rsidR="008E27EC" w:rsidRPr="00427237" w:rsidRDefault="008E27EC" w:rsidP="008E27EC">
      <w:pPr>
        <w:pStyle w:val="ListParagraph"/>
        <w:numPr>
          <w:ilvl w:val="0"/>
          <w:numId w:val="33"/>
        </w:numPr>
      </w:pPr>
      <w:r w:rsidRPr="00427237">
        <w:t>Fine</w:t>
      </w:r>
      <w:r w:rsidR="00BC1EB5" w:rsidRPr="00427237">
        <w:t xml:space="preserve"> needle aspiration (FNA) biopsy.</w:t>
      </w:r>
      <w:r w:rsidRPr="00427237">
        <w:t xml:space="preserve"> This is the easiest type of biopsy to have, but it doesn’t always give a clear answer.</w:t>
      </w:r>
    </w:p>
    <w:p w:rsidR="008E27EC" w:rsidRPr="00427237" w:rsidRDefault="008E27EC" w:rsidP="008E27EC">
      <w:pPr>
        <w:pStyle w:val="ListParagraph"/>
        <w:numPr>
          <w:ilvl w:val="0"/>
          <w:numId w:val="33"/>
        </w:numPr>
      </w:pPr>
      <w:r w:rsidRPr="00427237">
        <w:t>Core n</w:t>
      </w:r>
      <w:r w:rsidR="00BC1EB5" w:rsidRPr="00427237">
        <w:t>eedle biopsy.</w:t>
      </w:r>
      <w:r w:rsidRPr="00427237">
        <w:t xml:space="preserve"> It is used to remove one or more cores (pieces) of tissue. Because more tissue is removed, a core needle biopsy is more likely than an FNA to provide a clear result.</w:t>
      </w:r>
    </w:p>
    <w:p w:rsidR="008E27EC" w:rsidRPr="00427237" w:rsidRDefault="00BC1EB5" w:rsidP="008E27EC">
      <w:pPr>
        <w:pStyle w:val="ListParagraph"/>
        <w:numPr>
          <w:ilvl w:val="0"/>
          <w:numId w:val="33"/>
        </w:numPr>
      </w:pPr>
      <w:r w:rsidRPr="00427237">
        <w:t>Vacuum-assisted biopsies.</w:t>
      </w:r>
      <w:r w:rsidR="008E27EC" w:rsidRPr="00427237">
        <w:t xml:space="preserve"> These can be done with </w:t>
      </w:r>
      <w:r w:rsidRPr="00427237">
        <w:t xml:space="preserve">various commercial </w:t>
      </w:r>
      <w:r w:rsidR="008E27EC" w:rsidRPr="00427237">
        <w:t xml:space="preserve">systems under the guidance of a mammogram or MRI. </w:t>
      </w:r>
      <w:r w:rsidR="000C3C78" w:rsidRPr="00427237">
        <w:t>The skin is numbed,</w:t>
      </w:r>
      <w:r w:rsidR="008E27EC" w:rsidRPr="00427237">
        <w:t xml:space="preserve"> a small cut (incision)</w:t>
      </w:r>
      <w:r w:rsidR="000C3C78" w:rsidRPr="00427237">
        <w:t xml:space="preserve"> is made, then a</w:t>
      </w:r>
      <w:r w:rsidR="008E27EC" w:rsidRPr="00427237">
        <w:t xml:space="preserve"> hollow probe is put through</w:t>
      </w:r>
      <w:r w:rsidR="000C3C78" w:rsidRPr="00427237">
        <w:t xml:space="preserve"> the cut into the breast tissue, and a</w:t>
      </w:r>
      <w:r w:rsidR="008E27EC" w:rsidRPr="00427237">
        <w:t xml:space="preserve"> piece of tissue is sucked out. Several samples can be taken from the same cut. This method usually removes more tissue than core biopsies.</w:t>
      </w:r>
    </w:p>
    <w:p w:rsidR="008E27EC" w:rsidRPr="00427237" w:rsidRDefault="008E27EC" w:rsidP="008E27EC">
      <w:pPr>
        <w:pStyle w:val="ListParagraph"/>
        <w:numPr>
          <w:ilvl w:val="0"/>
          <w:numId w:val="33"/>
        </w:numPr>
      </w:pPr>
      <w:r w:rsidRPr="00427237">
        <w:t>Surgical (open) biopsy: Most often, breast cancer can be found using the other types of biopsy. Surgery is rarely needed to remove all or part of a lump so it can be looked at under a microscope. The whole lump as well as some normal tissue around it may be taken out.</w:t>
      </w:r>
    </w:p>
    <w:p w:rsidR="008E27EC" w:rsidRPr="00427237" w:rsidRDefault="008E27EC" w:rsidP="008E27EC">
      <w:r w:rsidRPr="00427237">
        <w:t>A lymph node biopsy may also need to be done for suspected advanced, metastatic and recurrent breast cancers</w:t>
      </w:r>
      <w:r w:rsidR="00C24187" w:rsidRPr="00427237">
        <w:rPr>
          <w:noProof/>
          <w:vertAlign w:val="superscript"/>
        </w:rPr>
        <w:t>5</w:t>
      </w:r>
      <w:r w:rsidR="00325121" w:rsidRPr="00427237">
        <w:t xml:space="preserve">. </w:t>
      </w:r>
      <w:r w:rsidRPr="00427237">
        <w:t xml:space="preserve">Tissue removed during biopsy is analysed by the laboratory, which will report on the breast cancer grade, hormone receptor status (i.e. oestrogen and progesterone), HER2 / </w:t>
      </w:r>
      <w:proofErr w:type="spellStart"/>
      <w:r w:rsidRPr="00427237">
        <w:t>neu</w:t>
      </w:r>
      <w:proofErr w:type="spellEnd"/>
      <w:r w:rsidRPr="00427237">
        <w:t xml:space="preserve"> status, and in some cases gene patterns.</w:t>
      </w:r>
    </w:p>
    <w:p w:rsidR="001F2DC0" w:rsidRPr="00427237" w:rsidRDefault="001F2DC0" w:rsidP="006748B3"/>
    <w:p w:rsidR="00D32252" w:rsidRPr="00427237" w:rsidRDefault="00D32252" w:rsidP="00816DC7">
      <w:pPr>
        <w:pStyle w:val="Heading2"/>
      </w:pPr>
      <w:bookmarkStart w:id="58" w:name="_Toc379534814"/>
      <w:bookmarkStart w:id="59" w:name="_Toc379962708"/>
      <w:r w:rsidRPr="00427237">
        <w:t>Clinical management algorithm</w:t>
      </w:r>
      <w:bookmarkEnd w:id="58"/>
      <w:bookmarkEnd w:id="59"/>
    </w:p>
    <w:p w:rsidR="00DA3E15" w:rsidRPr="00427237" w:rsidRDefault="00BA4B01" w:rsidP="00131C81">
      <w:r w:rsidRPr="00427237">
        <w:t>Three</w:t>
      </w:r>
      <w:r w:rsidR="00131C81" w:rsidRPr="00427237">
        <w:t xml:space="preserve"> clinical management algorithms are presented – each shows current and proposed algorithms for </w:t>
      </w:r>
      <w:r w:rsidR="002E2250" w:rsidRPr="00427237">
        <w:t xml:space="preserve">proven </w:t>
      </w:r>
      <w:r w:rsidR="00131C81" w:rsidRPr="00427237">
        <w:t xml:space="preserve">locally advanced breast cancer, suspected </w:t>
      </w:r>
      <w:r w:rsidR="00053A9C" w:rsidRPr="00427237">
        <w:t xml:space="preserve">locally and regionally </w:t>
      </w:r>
      <w:r w:rsidR="00131C81" w:rsidRPr="00427237">
        <w:t>recurrent breast cancer, and suspected metastatic breast cancer.</w:t>
      </w:r>
      <w:r w:rsidR="0029636A" w:rsidRPr="00427237">
        <w:t xml:space="preserve"> Please note that th</w:t>
      </w:r>
      <w:r w:rsidR="00836D51" w:rsidRPr="00427237">
        <w:t>ese</w:t>
      </w:r>
      <w:r w:rsidR="0029636A" w:rsidRPr="00427237">
        <w:t xml:space="preserve"> </w:t>
      </w:r>
      <w:r w:rsidR="00270BAD" w:rsidRPr="00427237">
        <w:t>Protocol</w:t>
      </w:r>
      <w:r w:rsidR="00836D51" w:rsidRPr="00427237">
        <w:t xml:space="preserve">s </w:t>
      </w:r>
      <w:r w:rsidR="00A533C6" w:rsidRPr="00427237">
        <w:t>present</w:t>
      </w:r>
      <w:r w:rsidR="0029636A" w:rsidRPr="00427237">
        <w:t xml:space="preserve"> the common pathways</w:t>
      </w:r>
      <w:r w:rsidR="00A72569" w:rsidRPr="00427237">
        <w:t>,</w:t>
      </w:r>
      <w:r w:rsidR="0029636A" w:rsidRPr="00427237">
        <w:t xml:space="preserve"> as there are always unique circumstances where variations in practice may occur</w:t>
      </w:r>
      <w:r w:rsidR="00F92F58" w:rsidRPr="00427237">
        <w:t xml:space="preserve"> (e.g. no biopsy</w:t>
      </w:r>
      <w:r w:rsidR="00D62EAC" w:rsidRPr="00427237">
        <w:t xml:space="preserve"> after </w:t>
      </w:r>
      <w:r w:rsidR="00532014" w:rsidRPr="00427237">
        <w:t xml:space="preserve">clearly positive findings on initial and confirmatory </w:t>
      </w:r>
      <w:r w:rsidR="00D62EAC" w:rsidRPr="00427237">
        <w:t xml:space="preserve">diagnostic </w:t>
      </w:r>
      <w:r w:rsidR="00532014" w:rsidRPr="00427237">
        <w:t>imaging studies</w:t>
      </w:r>
      <w:r w:rsidR="00F92F58" w:rsidRPr="00427237">
        <w:t>)</w:t>
      </w:r>
      <w:r w:rsidR="0029636A" w:rsidRPr="00427237">
        <w:t>.</w:t>
      </w:r>
      <w:r w:rsidR="00836D51" w:rsidRPr="00427237">
        <w:t xml:space="preserve"> The </w:t>
      </w:r>
      <w:r w:rsidR="00270BAD" w:rsidRPr="00427237">
        <w:t>Protocol</w:t>
      </w:r>
      <w:r w:rsidR="00836D51" w:rsidRPr="00427237">
        <w:t xml:space="preserve">s do not show the pathways </w:t>
      </w:r>
      <w:r w:rsidR="0006458C" w:rsidRPr="00427237">
        <w:t xml:space="preserve">for </w:t>
      </w:r>
      <w:r w:rsidR="00836D51" w:rsidRPr="00427237">
        <w:t>positive or negative result</w:t>
      </w:r>
      <w:r w:rsidR="0006458C" w:rsidRPr="00427237">
        <w:t>s</w:t>
      </w:r>
      <w:r w:rsidR="00836D51" w:rsidRPr="00427237">
        <w:t xml:space="preserve"> </w:t>
      </w:r>
      <w:r w:rsidR="0006458C" w:rsidRPr="00427237">
        <w:t xml:space="preserve">after </w:t>
      </w:r>
      <w:r w:rsidR="00836D51" w:rsidRPr="00427237">
        <w:t>initial standard diagnostic imaging, as we are only</w:t>
      </w:r>
      <w:r w:rsidR="00DC49CD" w:rsidRPr="00427237">
        <w:t xml:space="preserve"> interested in</w:t>
      </w:r>
      <w:r w:rsidR="00836D51" w:rsidRPr="00427237">
        <w:t xml:space="preserve"> comparing the pathway options for an </w:t>
      </w:r>
      <w:r w:rsidR="00836D51" w:rsidRPr="00427237">
        <w:rPr>
          <w:u w:val="single"/>
        </w:rPr>
        <w:t>equivocal</w:t>
      </w:r>
      <w:r w:rsidR="00836D51" w:rsidRPr="00427237">
        <w:t xml:space="preserve"> result after initial standard diagnostic imaging study.</w:t>
      </w:r>
    </w:p>
    <w:p w:rsidR="00E45981" w:rsidRPr="00427237" w:rsidRDefault="00E45981" w:rsidP="00131C81">
      <w:r w:rsidRPr="00427237">
        <w:t>The treatment options for spread of disease in proven locally advanced breast cancer include:</w:t>
      </w:r>
    </w:p>
    <w:p w:rsidR="00E45981" w:rsidRPr="00427237" w:rsidRDefault="00E45981" w:rsidP="001F25C5">
      <w:pPr>
        <w:pStyle w:val="ListParagraph"/>
        <w:numPr>
          <w:ilvl w:val="0"/>
          <w:numId w:val="56"/>
        </w:numPr>
      </w:pPr>
      <w:r w:rsidRPr="00427237">
        <w:lastRenderedPageBreak/>
        <w:t>Local treatment for treatable disease after a negative biopsy result: Any combination of surgery, radiotherapy, chemotherapy, and/or hormonal therapy.</w:t>
      </w:r>
    </w:p>
    <w:p w:rsidR="00E45981" w:rsidRPr="00427237" w:rsidRDefault="00E45981" w:rsidP="001F25C5">
      <w:pPr>
        <w:pStyle w:val="ListParagraph"/>
        <w:numPr>
          <w:ilvl w:val="0"/>
          <w:numId w:val="56"/>
        </w:numPr>
      </w:pPr>
      <w:r w:rsidRPr="00427237">
        <w:t>Altered local treatment +/- systemic therapy for treatable disease after a positive biopsy result: Any combination of surgery, radiotherapy, chemotherapy, and/or biologic therapy.</w:t>
      </w:r>
    </w:p>
    <w:p w:rsidR="00E45981" w:rsidRPr="00427237" w:rsidRDefault="00E45981" w:rsidP="001F25C5">
      <w:pPr>
        <w:pStyle w:val="ListParagraph"/>
        <w:numPr>
          <w:ilvl w:val="0"/>
          <w:numId w:val="56"/>
        </w:numPr>
      </w:pPr>
      <w:r w:rsidRPr="00427237">
        <w:t>Palliation for incurable disease.</w:t>
      </w:r>
    </w:p>
    <w:p w:rsidR="00DA3E15" w:rsidRPr="00427237" w:rsidRDefault="00425405" w:rsidP="00131C81">
      <w:r w:rsidRPr="00427237">
        <w:t>The treatment options for spread of disease in metastatic breast cancer include:</w:t>
      </w:r>
    </w:p>
    <w:p w:rsidR="00425405" w:rsidRPr="00427237" w:rsidRDefault="00425405" w:rsidP="001F25C5">
      <w:pPr>
        <w:pStyle w:val="ListParagraph"/>
        <w:numPr>
          <w:ilvl w:val="0"/>
          <w:numId w:val="57"/>
        </w:numPr>
      </w:pPr>
      <w:r w:rsidRPr="00427237">
        <w:t>Observation.</w:t>
      </w:r>
    </w:p>
    <w:p w:rsidR="00425405" w:rsidRPr="00427237" w:rsidRDefault="00425405" w:rsidP="001F25C5">
      <w:pPr>
        <w:pStyle w:val="ListParagraph"/>
        <w:numPr>
          <w:ilvl w:val="0"/>
          <w:numId w:val="57"/>
        </w:numPr>
      </w:pPr>
      <w:r w:rsidRPr="00427237">
        <w:t xml:space="preserve">Further therapy </w:t>
      </w:r>
      <w:r w:rsidR="00D33F81" w:rsidRPr="00427237">
        <w:t>for treatable disease after a positive biopsy</w:t>
      </w:r>
      <w:r w:rsidR="003A42A0" w:rsidRPr="00427237">
        <w:t>: Treatment is</w:t>
      </w:r>
      <w:r w:rsidR="00D33F81" w:rsidRPr="00427237">
        <w:t xml:space="preserve"> </w:t>
      </w:r>
      <w:r w:rsidRPr="00427237">
        <w:t xml:space="preserve">based on number of sites, organs </w:t>
      </w:r>
      <w:proofErr w:type="gramStart"/>
      <w:r w:rsidRPr="00427237">
        <w:t>involved,</w:t>
      </w:r>
      <w:proofErr w:type="gramEnd"/>
      <w:r w:rsidRPr="00427237">
        <w:t xml:space="preserve"> and hormon</w:t>
      </w:r>
      <w:r w:rsidR="003A42A0" w:rsidRPr="00427237">
        <w:t>al/HER2+ status of tumour. This would be</w:t>
      </w:r>
      <w:r w:rsidRPr="00427237">
        <w:t xml:space="preserve"> </w:t>
      </w:r>
      <w:r w:rsidR="003A42A0" w:rsidRPr="00427237">
        <w:t>s</w:t>
      </w:r>
      <w:r w:rsidRPr="00427237">
        <w:t>urgery +/- radiotherapy, hormonal therapy, and/or biologic therapy.</w:t>
      </w:r>
    </w:p>
    <w:p w:rsidR="00CB3020" w:rsidRPr="00427237" w:rsidRDefault="00425405" w:rsidP="00CB3020">
      <w:pPr>
        <w:pStyle w:val="ListParagraph"/>
        <w:numPr>
          <w:ilvl w:val="0"/>
          <w:numId w:val="57"/>
        </w:numPr>
      </w:pPr>
      <w:r w:rsidRPr="00427237">
        <w:t>Palliation for incurable disseminated disease.</w:t>
      </w:r>
    </w:p>
    <w:p w:rsidR="00CB3020" w:rsidRPr="00427237" w:rsidRDefault="00CB3020" w:rsidP="00F870EF">
      <w:r w:rsidRPr="00427237">
        <w:t xml:space="preserve">The treatment options for </w:t>
      </w:r>
      <w:r w:rsidR="008A0FEA" w:rsidRPr="00427237">
        <w:t xml:space="preserve">spread of disease in </w:t>
      </w:r>
      <w:r w:rsidRPr="00427237">
        <w:t>locally and regionally recurrent</w:t>
      </w:r>
      <w:r w:rsidR="008A0FEA" w:rsidRPr="00427237">
        <w:t xml:space="preserve"> breast cancer include:</w:t>
      </w:r>
    </w:p>
    <w:p w:rsidR="008A0FEA" w:rsidRPr="00427237" w:rsidRDefault="008A0FEA" w:rsidP="00F870EF">
      <w:pPr>
        <w:pStyle w:val="ListParagraph"/>
        <w:numPr>
          <w:ilvl w:val="0"/>
          <w:numId w:val="58"/>
        </w:numPr>
      </w:pPr>
      <w:r w:rsidRPr="00427237">
        <w:t xml:space="preserve">Further therapy for treatable disease after a positive biopsy: Treatment is based on number of sites, organs </w:t>
      </w:r>
      <w:proofErr w:type="gramStart"/>
      <w:r w:rsidRPr="00427237">
        <w:t>involved,</w:t>
      </w:r>
      <w:proofErr w:type="gramEnd"/>
      <w:r w:rsidRPr="00427237">
        <w:t xml:space="preserve"> and hormonal/HER2+ status of tumour. This would be surgery +/- radiotherapy, hormonal therapy, and /or biologic therapy.</w:t>
      </w:r>
    </w:p>
    <w:p w:rsidR="00703264" w:rsidRPr="00427237" w:rsidRDefault="00703264" w:rsidP="00F870EF">
      <w:pPr>
        <w:pStyle w:val="ListParagraph"/>
        <w:numPr>
          <w:ilvl w:val="0"/>
          <w:numId w:val="58"/>
        </w:numPr>
      </w:pPr>
      <w:r w:rsidRPr="00427237">
        <w:t>Palliation for incurable disseminated disease.</w:t>
      </w:r>
    </w:p>
    <w:p w:rsidR="00425405" w:rsidRPr="00427237" w:rsidRDefault="00425405" w:rsidP="00131C81"/>
    <w:p w:rsidR="00425405" w:rsidRPr="00427237" w:rsidRDefault="00425405" w:rsidP="00131C81">
      <w:pPr>
        <w:sectPr w:rsidR="00425405" w:rsidRPr="00427237" w:rsidSect="00DD0A0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p>
    <w:p w:rsidR="00D32252" w:rsidRPr="00427237" w:rsidRDefault="00BE4356" w:rsidP="00622DE0">
      <w:pPr>
        <w:pStyle w:val="Caption"/>
        <w:jc w:val="center"/>
      </w:pPr>
      <w:bookmarkStart w:id="60" w:name="_Ref371590395"/>
      <w:bookmarkStart w:id="61" w:name="_Ref371346033"/>
      <w:r w:rsidRPr="00427237">
        <w:lastRenderedPageBreak/>
        <w:t xml:space="preserve">Figure </w:t>
      </w:r>
      <w:r w:rsidR="00BF57C1" w:rsidRPr="00427237">
        <w:rPr>
          <w:noProof/>
        </w:rPr>
        <w:t>1</w:t>
      </w:r>
      <w:bookmarkEnd w:id="60"/>
      <w:r w:rsidR="00D32252" w:rsidRPr="00427237">
        <w:t>: Clinical manage</w:t>
      </w:r>
      <w:r w:rsidR="00CA6EF2" w:rsidRPr="00427237">
        <w:t xml:space="preserve">ment algorithm for </w:t>
      </w:r>
      <w:r w:rsidR="001E2339" w:rsidRPr="00427237">
        <w:t xml:space="preserve">proven </w:t>
      </w:r>
      <w:r w:rsidR="00CA6EF2" w:rsidRPr="00427237">
        <w:t>locally advanced breast cancer</w:t>
      </w:r>
      <w:r w:rsidR="00DB6788" w:rsidRPr="00427237">
        <w:t xml:space="preserve">. </w:t>
      </w:r>
      <w:proofErr w:type="gramStart"/>
      <w:r w:rsidR="00DB6788" w:rsidRPr="00427237">
        <w:t>C</w:t>
      </w:r>
      <w:r w:rsidR="008D0264" w:rsidRPr="00427237">
        <w:t xml:space="preserve">onfirmatory standard </w:t>
      </w:r>
      <w:r w:rsidR="00CA6EF2" w:rsidRPr="00427237">
        <w:t>diagnostic imaging</w:t>
      </w:r>
      <w:r w:rsidR="00636877" w:rsidRPr="00427237">
        <w:t xml:space="preserve"> </w:t>
      </w:r>
      <w:r w:rsidR="00DB6788" w:rsidRPr="00427237">
        <w:t>vs</w:t>
      </w:r>
      <w:r w:rsidR="008F443F" w:rsidRPr="00427237">
        <w:t xml:space="preserve"> </w:t>
      </w:r>
      <w:r w:rsidR="00636877" w:rsidRPr="00427237">
        <w:t xml:space="preserve">confirmatory </w:t>
      </w:r>
      <w:r w:rsidR="008F443F" w:rsidRPr="00427237">
        <w:rPr>
          <w:vertAlign w:val="superscript"/>
        </w:rPr>
        <w:t>18</w:t>
      </w:r>
      <w:r w:rsidR="008F443F" w:rsidRPr="00427237">
        <w:t>F-FDG PET</w:t>
      </w:r>
      <w:r w:rsidR="00D32252" w:rsidRPr="00427237">
        <w:t>.</w:t>
      </w:r>
      <w:bookmarkEnd w:id="61"/>
      <w:proofErr w:type="gramEnd"/>
    </w:p>
    <w:p w:rsidR="00CA6EF2" w:rsidRPr="00427237" w:rsidRDefault="00DB6788" w:rsidP="00622DE0">
      <w:pPr>
        <w:jc w:val="center"/>
      </w:pPr>
      <w:r w:rsidRPr="00427237">
        <w:rPr>
          <w:noProof/>
          <w:lang w:eastAsia="en-AU"/>
        </w:rPr>
        <w:drawing>
          <wp:inline distT="0" distB="0" distL="0" distR="0" wp14:anchorId="2610E56E" wp14:editId="713E7C4F">
            <wp:extent cx="8031192" cy="5533130"/>
            <wp:effectExtent l="0" t="0" r="8255" b="0"/>
            <wp:docPr id="2" name="Picture 2" title="Clinical management algorithm for proven locally advanced breast cancer. Confirmatory standard diagnostic imaging vs confirmatory 18F-FDG P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lly advanced breast cancer diagnostic pathway - combined 20140206.tiff"/>
                    <pic:cNvPicPr/>
                  </pic:nvPicPr>
                  <pic:blipFill>
                    <a:blip r:embed="rId15">
                      <a:extLst>
                        <a:ext uri="{28A0092B-C50C-407E-A947-70E740481C1C}">
                          <a14:useLocalDpi xmlns:a14="http://schemas.microsoft.com/office/drawing/2010/main" val="0"/>
                        </a:ext>
                      </a:extLst>
                    </a:blip>
                    <a:stretch>
                      <a:fillRect/>
                    </a:stretch>
                  </pic:blipFill>
                  <pic:spPr>
                    <a:xfrm>
                      <a:off x="0" y="0"/>
                      <a:ext cx="8034351" cy="5535306"/>
                    </a:xfrm>
                    <a:prstGeom prst="rect">
                      <a:avLst/>
                    </a:prstGeom>
                  </pic:spPr>
                </pic:pic>
              </a:graphicData>
            </a:graphic>
          </wp:inline>
        </w:drawing>
      </w:r>
    </w:p>
    <w:p w:rsidR="003E733E" w:rsidRPr="00427237" w:rsidRDefault="00BE4356" w:rsidP="00A924DB">
      <w:pPr>
        <w:pStyle w:val="Caption"/>
        <w:jc w:val="center"/>
      </w:pPr>
      <w:r w:rsidRPr="00427237">
        <w:lastRenderedPageBreak/>
        <w:t xml:space="preserve">Figure </w:t>
      </w:r>
      <w:r w:rsidR="00BF57C1" w:rsidRPr="00427237">
        <w:rPr>
          <w:noProof/>
        </w:rPr>
        <w:t>2</w:t>
      </w:r>
      <w:r w:rsidR="003E733E" w:rsidRPr="00427237">
        <w:t xml:space="preserve">: Clinical management algorithm for suspected </w:t>
      </w:r>
      <w:r w:rsidR="008D0264" w:rsidRPr="00427237">
        <w:t xml:space="preserve">locally and regionally </w:t>
      </w:r>
      <w:r w:rsidR="003E733E" w:rsidRPr="00427237">
        <w:t>recurrent breast cancer</w:t>
      </w:r>
      <w:r w:rsidR="00DB6788" w:rsidRPr="00427237">
        <w:t xml:space="preserve">. </w:t>
      </w:r>
      <w:proofErr w:type="gramStart"/>
      <w:r w:rsidR="00DB6788" w:rsidRPr="00427237">
        <w:t>C</w:t>
      </w:r>
      <w:r w:rsidR="00724E97" w:rsidRPr="00427237">
        <w:t xml:space="preserve">onfirmatory standard diagnostic imaging </w:t>
      </w:r>
      <w:r w:rsidR="00DB6788" w:rsidRPr="00427237">
        <w:t xml:space="preserve">vs </w:t>
      </w:r>
      <w:r w:rsidR="008D0264" w:rsidRPr="00427237">
        <w:t xml:space="preserve">confirmatory </w:t>
      </w:r>
      <w:r w:rsidR="00D76266" w:rsidRPr="00427237">
        <w:rPr>
          <w:vertAlign w:val="superscript"/>
        </w:rPr>
        <w:t>18</w:t>
      </w:r>
      <w:r w:rsidR="00D76266" w:rsidRPr="00427237">
        <w:t>F-FDG</w:t>
      </w:r>
      <w:r w:rsidR="003E733E" w:rsidRPr="00427237">
        <w:t xml:space="preserve"> PET.</w:t>
      </w:r>
      <w:proofErr w:type="gramEnd"/>
    </w:p>
    <w:p w:rsidR="00B14121" w:rsidRPr="00427237" w:rsidRDefault="00DB6788" w:rsidP="00A924DB">
      <w:pPr>
        <w:jc w:val="center"/>
      </w:pPr>
      <w:r w:rsidRPr="00427237">
        <w:rPr>
          <w:noProof/>
          <w:lang w:eastAsia="en-AU"/>
        </w:rPr>
        <w:drawing>
          <wp:inline distT="0" distB="0" distL="0" distR="0" wp14:anchorId="0533CA41" wp14:editId="2EE2D424">
            <wp:extent cx="6787057" cy="5520906"/>
            <wp:effectExtent l="0" t="0" r="0" b="3810"/>
            <wp:docPr id="4" name="Picture 4" title="Clinical management algorithm for suspected locally and regionally recurrent breast cancer. Confirmatory standard diagnostic imaging vs confirmatory 18F-FDG P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urrent breast cancer diagnostic pathway - combined 20140206.tiff"/>
                    <pic:cNvPicPr/>
                  </pic:nvPicPr>
                  <pic:blipFill>
                    <a:blip r:embed="rId16">
                      <a:extLst>
                        <a:ext uri="{28A0092B-C50C-407E-A947-70E740481C1C}">
                          <a14:useLocalDpi xmlns:a14="http://schemas.microsoft.com/office/drawing/2010/main" val="0"/>
                        </a:ext>
                      </a:extLst>
                    </a:blip>
                    <a:stretch>
                      <a:fillRect/>
                    </a:stretch>
                  </pic:blipFill>
                  <pic:spPr>
                    <a:xfrm>
                      <a:off x="0" y="0"/>
                      <a:ext cx="6793845" cy="5526428"/>
                    </a:xfrm>
                    <a:prstGeom prst="rect">
                      <a:avLst/>
                    </a:prstGeom>
                  </pic:spPr>
                </pic:pic>
              </a:graphicData>
            </a:graphic>
          </wp:inline>
        </w:drawing>
      </w:r>
      <w:r w:rsidR="00B14121" w:rsidRPr="00427237">
        <w:br w:type="page"/>
      </w:r>
    </w:p>
    <w:p w:rsidR="00147385" w:rsidRPr="00427237" w:rsidRDefault="00BE4356" w:rsidP="00A924DB">
      <w:pPr>
        <w:pStyle w:val="Caption"/>
        <w:jc w:val="center"/>
      </w:pPr>
      <w:r w:rsidRPr="00427237">
        <w:lastRenderedPageBreak/>
        <w:t xml:space="preserve">Figure </w:t>
      </w:r>
      <w:r w:rsidR="00BF57C1" w:rsidRPr="00427237">
        <w:rPr>
          <w:noProof/>
        </w:rPr>
        <w:t>3</w:t>
      </w:r>
      <w:r w:rsidR="00147385" w:rsidRPr="00427237">
        <w:t xml:space="preserve">: Clinical management algorithm for </w:t>
      </w:r>
      <w:r w:rsidR="00CA6EF2" w:rsidRPr="00427237">
        <w:t>suspected metastatic breast cancer</w:t>
      </w:r>
      <w:r w:rsidR="00DB6788" w:rsidRPr="00427237">
        <w:t xml:space="preserve">. </w:t>
      </w:r>
      <w:proofErr w:type="gramStart"/>
      <w:r w:rsidR="00DB6788" w:rsidRPr="00427237">
        <w:t>C</w:t>
      </w:r>
      <w:r w:rsidR="008D0264" w:rsidRPr="00427237">
        <w:t xml:space="preserve">onfirmatory standard </w:t>
      </w:r>
      <w:r w:rsidR="00CA6EF2" w:rsidRPr="00427237">
        <w:t>diagnostic imaging</w:t>
      </w:r>
      <w:r w:rsidR="00724E97" w:rsidRPr="00427237">
        <w:t xml:space="preserve"> </w:t>
      </w:r>
      <w:r w:rsidR="00DB6788" w:rsidRPr="00427237">
        <w:t xml:space="preserve">vs </w:t>
      </w:r>
      <w:r w:rsidR="00724E97" w:rsidRPr="00427237">
        <w:t xml:space="preserve">confirmatory </w:t>
      </w:r>
      <w:r w:rsidR="00724E97" w:rsidRPr="00427237">
        <w:rPr>
          <w:vertAlign w:val="superscript"/>
        </w:rPr>
        <w:t>18</w:t>
      </w:r>
      <w:r w:rsidR="00724E97" w:rsidRPr="00427237">
        <w:t>F-FDG PET</w:t>
      </w:r>
      <w:r w:rsidR="00147385" w:rsidRPr="00427237">
        <w:t>.</w:t>
      </w:r>
      <w:proofErr w:type="gramEnd"/>
    </w:p>
    <w:p w:rsidR="00DB6788" w:rsidRPr="00427237" w:rsidRDefault="00DB6788" w:rsidP="00A924DB">
      <w:pPr>
        <w:jc w:val="center"/>
        <w:sectPr w:rsidR="00DB6788" w:rsidRPr="00427237" w:rsidSect="008F443F">
          <w:pgSz w:w="16838" w:h="11906" w:orient="landscape"/>
          <w:pgMar w:top="1440" w:right="1440" w:bottom="1440" w:left="1440" w:header="708" w:footer="708" w:gutter="0"/>
          <w:cols w:space="708"/>
          <w:titlePg/>
          <w:docGrid w:linePitch="360"/>
        </w:sectPr>
      </w:pPr>
      <w:r w:rsidRPr="00427237">
        <w:rPr>
          <w:noProof/>
          <w:lang w:eastAsia="en-AU"/>
        </w:rPr>
        <w:drawing>
          <wp:inline distT="0" distB="0" distL="0" distR="0" wp14:anchorId="4EF12937" wp14:editId="14C70F68">
            <wp:extent cx="6927011" cy="5489790"/>
            <wp:effectExtent l="0" t="0" r="7620" b="0"/>
            <wp:docPr id="5" name="Picture 5" title="Clinical management algorithm for suspected metastatic breast cancer. Confirmatory standard diagnostic imaging vs confirmatory 18F-FDG P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astatic breast cancer diagnostic pathway - combined 20140206.tiff"/>
                    <pic:cNvPicPr/>
                  </pic:nvPicPr>
                  <pic:blipFill>
                    <a:blip r:embed="rId17">
                      <a:extLst>
                        <a:ext uri="{28A0092B-C50C-407E-A947-70E740481C1C}">
                          <a14:useLocalDpi xmlns:a14="http://schemas.microsoft.com/office/drawing/2010/main" val="0"/>
                        </a:ext>
                      </a:extLst>
                    </a:blip>
                    <a:stretch>
                      <a:fillRect/>
                    </a:stretch>
                  </pic:blipFill>
                  <pic:spPr>
                    <a:xfrm>
                      <a:off x="0" y="0"/>
                      <a:ext cx="6927817" cy="5490428"/>
                    </a:xfrm>
                    <a:prstGeom prst="rect">
                      <a:avLst/>
                    </a:prstGeom>
                  </pic:spPr>
                </pic:pic>
              </a:graphicData>
            </a:graphic>
          </wp:inline>
        </w:drawing>
      </w:r>
    </w:p>
    <w:p w:rsidR="00ED0045" w:rsidRPr="00427237" w:rsidRDefault="00ED0045" w:rsidP="00A23967">
      <w:pPr>
        <w:pStyle w:val="Heading1"/>
      </w:pPr>
      <w:bookmarkStart w:id="62" w:name="_Toc379534815"/>
      <w:bookmarkStart w:id="63" w:name="_Toc379962709"/>
      <w:r w:rsidRPr="00427237">
        <w:lastRenderedPageBreak/>
        <w:t xml:space="preserve">Outcomes for </w:t>
      </w:r>
      <w:r w:rsidR="00942A3B" w:rsidRPr="00427237">
        <w:t xml:space="preserve">the evaluation of </w:t>
      </w:r>
      <w:r w:rsidRPr="00427237">
        <w:t>safety and effectiveness</w:t>
      </w:r>
      <w:bookmarkEnd w:id="55"/>
      <w:bookmarkEnd w:id="62"/>
      <w:bookmarkEnd w:id="63"/>
    </w:p>
    <w:p w:rsidR="00ED0045" w:rsidRPr="00427237" w:rsidRDefault="00ED0045" w:rsidP="00ED0045">
      <w:pPr>
        <w:jc w:val="left"/>
        <w:rPr>
          <w:szCs w:val="22"/>
        </w:rPr>
      </w:pPr>
      <w:r w:rsidRPr="00427237">
        <w:rPr>
          <w:szCs w:val="22"/>
        </w:rPr>
        <w:t xml:space="preserve">The health outcomes, upon which the comparative clinical performance of </w:t>
      </w:r>
      <w:r w:rsidR="00E31A6D" w:rsidRPr="00427237">
        <w:rPr>
          <w:szCs w:val="22"/>
        </w:rPr>
        <w:t xml:space="preserve">confirmatory </w:t>
      </w:r>
      <w:r w:rsidR="00D76266" w:rsidRPr="00427237">
        <w:rPr>
          <w:szCs w:val="22"/>
          <w:vertAlign w:val="superscript"/>
        </w:rPr>
        <w:t>18</w:t>
      </w:r>
      <w:r w:rsidR="00D76266" w:rsidRPr="00427237">
        <w:rPr>
          <w:szCs w:val="22"/>
        </w:rPr>
        <w:t>F-FDG</w:t>
      </w:r>
      <w:r w:rsidR="0034309E" w:rsidRPr="00427237">
        <w:rPr>
          <w:szCs w:val="22"/>
        </w:rPr>
        <w:t xml:space="preserve"> PET vs </w:t>
      </w:r>
      <w:r w:rsidR="00B61E2D" w:rsidRPr="00427237">
        <w:rPr>
          <w:szCs w:val="22"/>
        </w:rPr>
        <w:t xml:space="preserve">confirmatory </w:t>
      </w:r>
      <w:r w:rsidR="00E31A6D" w:rsidRPr="00427237">
        <w:rPr>
          <w:szCs w:val="22"/>
        </w:rPr>
        <w:t xml:space="preserve">standard </w:t>
      </w:r>
      <w:r w:rsidR="0034309E" w:rsidRPr="00427237">
        <w:rPr>
          <w:szCs w:val="22"/>
        </w:rPr>
        <w:t xml:space="preserve">diagnostic imaging in patients with </w:t>
      </w:r>
      <w:r w:rsidR="001E2339" w:rsidRPr="00427237">
        <w:rPr>
          <w:szCs w:val="22"/>
        </w:rPr>
        <w:t xml:space="preserve">proven </w:t>
      </w:r>
      <w:r w:rsidR="0034309E" w:rsidRPr="00427237">
        <w:rPr>
          <w:szCs w:val="22"/>
        </w:rPr>
        <w:t xml:space="preserve">locally advanced, suspected </w:t>
      </w:r>
      <w:r w:rsidR="004D258B" w:rsidRPr="00427237">
        <w:rPr>
          <w:szCs w:val="22"/>
        </w:rPr>
        <w:t xml:space="preserve">locally and regionally </w:t>
      </w:r>
      <w:r w:rsidR="0034309E" w:rsidRPr="00427237">
        <w:rPr>
          <w:szCs w:val="22"/>
        </w:rPr>
        <w:t xml:space="preserve">recurrent, or suspected metastatic breast cancers </w:t>
      </w:r>
      <w:r w:rsidRPr="00427237">
        <w:rPr>
          <w:szCs w:val="22"/>
        </w:rPr>
        <w:t>will be measured are:</w:t>
      </w:r>
    </w:p>
    <w:p w:rsidR="00ED0045" w:rsidRPr="00427237" w:rsidRDefault="00ED0045" w:rsidP="00ED0045">
      <w:pPr>
        <w:pStyle w:val="Heading2"/>
        <w:jc w:val="left"/>
        <w:rPr>
          <w:szCs w:val="22"/>
        </w:rPr>
      </w:pPr>
      <w:bookmarkStart w:id="64" w:name="_Toc301450603"/>
      <w:bookmarkStart w:id="65" w:name="_Toc379534816"/>
      <w:bookmarkStart w:id="66" w:name="_Toc379962710"/>
      <w:r w:rsidRPr="00427237">
        <w:rPr>
          <w:szCs w:val="22"/>
        </w:rPr>
        <w:t>Effectiveness</w:t>
      </w:r>
      <w:bookmarkEnd w:id="64"/>
      <w:bookmarkEnd w:id="65"/>
      <w:bookmarkEnd w:id="66"/>
    </w:p>
    <w:p w:rsidR="006C3A1F" w:rsidRPr="00427237" w:rsidRDefault="006C3A1F" w:rsidP="006C3A1F">
      <w:pPr>
        <w:rPr>
          <w:u w:val="single"/>
        </w:rPr>
      </w:pPr>
      <w:r w:rsidRPr="00427237">
        <w:rPr>
          <w:u w:val="single"/>
        </w:rPr>
        <w:t>Diagnostic accuracy:</w:t>
      </w:r>
    </w:p>
    <w:p w:rsidR="00182947" w:rsidRPr="00427237" w:rsidRDefault="006C3A1F" w:rsidP="00182947">
      <w:pPr>
        <w:pStyle w:val="ListParagraph"/>
        <w:numPr>
          <w:ilvl w:val="0"/>
          <w:numId w:val="16"/>
        </w:numPr>
      </w:pPr>
      <w:r w:rsidRPr="00427237">
        <w:t>Sensitivity</w:t>
      </w:r>
      <w:r w:rsidR="00111238" w:rsidRPr="00427237">
        <w:t>.</w:t>
      </w:r>
    </w:p>
    <w:p w:rsidR="006C3A1F" w:rsidRPr="00427237" w:rsidRDefault="006C3A1F" w:rsidP="00182947">
      <w:pPr>
        <w:pStyle w:val="ListParagraph"/>
        <w:numPr>
          <w:ilvl w:val="0"/>
          <w:numId w:val="16"/>
        </w:numPr>
      </w:pPr>
      <w:r w:rsidRPr="00427237">
        <w:t>Specificity</w:t>
      </w:r>
      <w:r w:rsidR="00111238" w:rsidRPr="00427237">
        <w:t>.</w:t>
      </w:r>
    </w:p>
    <w:p w:rsidR="006C3A1F" w:rsidRPr="00427237" w:rsidRDefault="006C3A1F" w:rsidP="00182947">
      <w:pPr>
        <w:pStyle w:val="ListParagraph"/>
        <w:numPr>
          <w:ilvl w:val="0"/>
          <w:numId w:val="16"/>
        </w:numPr>
      </w:pPr>
      <w:r w:rsidRPr="00427237">
        <w:t xml:space="preserve">Additional </w:t>
      </w:r>
      <w:r w:rsidR="00D70FFA" w:rsidRPr="00427237">
        <w:t>true positive (</w:t>
      </w:r>
      <w:r w:rsidRPr="00427237">
        <w:t>TP</w:t>
      </w:r>
      <w:r w:rsidR="00D70FFA" w:rsidRPr="00427237">
        <w:t>) and false positive</w:t>
      </w:r>
      <w:r w:rsidRPr="00427237">
        <w:t xml:space="preserve"> </w:t>
      </w:r>
      <w:r w:rsidR="00D70FFA" w:rsidRPr="00427237">
        <w:t>(</w:t>
      </w:r>
      <w:r w:rsidRPr="00427237">
        <w:t>FP</w:t>
      </w:r>
      <w:r w:rsidR="00D70FFA" w:rsidRPr="00427237">
        <w:t>)</w:t>
      </w:r>
      <w:r w:rsidRPr="00427237">
        <w:t xml:space="preserve">, </w:t>
      </w:r>
      <w:r w:rsidR="009C39DF" w:rsidRPr="00427237">
        <w:t xml:space="preserve">receiver operator </w:t>
      </w:r>
      <w:r w:rsidR="00187BDD" w:rsidRPr="00427237">
        <w:t>characteristic</w:t>
      </w:r>
      <w:r w:rsidR="009C39DF" w:rsidRPr="00427237">
        <w:t xml:space="preserve"> (</w:t>
      </w:r>
      <w:r w:rsidRPr="00427237">
        <w:t>ROC</w:t>
      </w:r>
      <w:r w:rsidR="009C39DF" w:rsidRPr="00427237">
        <w:t>) area under the curve</w:t>
      </w:r>
      <w:r w:rsidRPr="00427237">
        <w:t xml:space="preserve"> </w:t>
      </w:r>
      <w:r w:rsidR="009C39DF" w:rsidRPr="00427237">
        <w:t>(</w:t>
      </w:r>
      <w:r w:rsidRPr="00427237">
        <w:t>AUC</w:t>
      </w:r>
      <w:r w:rsidR="009C39DF" w:rsidRPr="00427237">
        <w:t>)</w:t>
      </w:r>
      <w:r w:rsidRPr="00427237">
        <w:t xml:space="preserve">, </w:t>
      </w:r>
      <w:r w:rsidR="00DA0D39" w:rsidRPr="00427237">
        <w:t>Cochrane Q statistic for testing heterogeneity</w:t>
      </w:r>
      <w:r w:rsidRPr="00427237">
        <w:t xml:space="preserve">, </w:t>
      </w:r>
      <w:r w:rsidR="009C39DF" w:rsidRPr="00427237">
        <w:t>diagnostic odds ratios (</w:t>
      </w:r>
      <w:r w:rsidRPr="00427237">
        <w:t>DOR</w:t>
      </w:r>
      <w:r w:rsidR="009C39DF" w:rsidRPr="00427237">
        <w:t>)</w:t>
      </w:r>
      <w:r w:rsidRPr="00427237">
        <w:t>.</w:t>
      </w:r>
    </w:p>
    <w:p w:rsidR="006C3A1F" w:rsidRPr="00427237" w:rsidRDefault="006C3A1F" w:rsidP="006C3A1F">
      <w:pPr>
        <w:rPr>
          <w:u w:val="single"/>
        </w:rPr>
      </w:pPr>
      <w:r w:rsidRPr="00427237">
        <w:rPr>
          <w:u w:val="single"/>
        </w:rPr>
        <w:t>Change in management:</w:t>
      </w:r>
    </w:p>
    <w:p w:rsidR="006C3A1F" w:rsidRPr="00427237" w:rsidRDefault="00BF2C8D" w:rsidP="00182947">
      <w:pPr>
        <w:pStyle w:val="ListParagraph"/>
        <w:numPr>
          <w:ilvl w:val="0"/>
          <w:numId w:val="37"/>
        </w:numPr>
      </w:pPr>
      <w:r w:rsidRPr="00427237">
        <w:t>Definitive treatment avoided</w:t>
      </w:r>
      <w:r w:rsidR="00111238" w:rsidRPr="00427237">
        <w:t>.</w:t>
      </w:r>
    </w:p>
    <w:p w:rsidR="006C3A1F" w:rsidRPr="00427237" w:rsidRDefault="00BF2C8D" w:rsidP="00182947">
      <w:pPr>
        <w:pStyle w:val="ListParagraph"/>
        <w:numPr>
          <w:ilvl w:val="0"/>
          <w:numId w:val="37"/>
        </w:numPr>
      </w:pPr>
      <w:r w:rsidRPr="00427237">
        <w:t>Investigations avoided</w:t>
      </w:r>
      <w:r w:rsidR="00111238" w:rsidRPr="00427237">
        <w:t>.</w:t>
      </w:r>
    </w:p>
    <w:p w:rsidR="00BF2C8D" w:rsidRPr="00427237" w:rsidRDefault="00BF2C8D" w:rsidP="00182947">
      <w:pPr>
        <w:pStyle w:val="ListParagraph"/>
        <w:numPr>
          <w:ilvl w:val="0"/>
          <w:numId w:val="37"/>
        </w:numPr>
      </w:pPr>
      <w:r w:rsidRPr="00427237">
        <w:t>Definitive treatment instigated</w:t>
      </w:r>
      <w:r w:rsidR="00111238" w:rsidRPr="00427237">
        <w:t>.</w:t>
      </w:r>
    </w:p>
    <w:p w:rsidR="006C3A1F" w:rsidRPr="00427237" w:rsidRDefault="00BF2C8D" w:rsidP="00182947">
      <w:pPr>
        <w:pStyle w:val="ListParagraph"/>
        <w:numPr>
          <w:ilvl w:val="0"/>
          <w:numId w:val="37"/>
        </w:numPr>
      </w:pPr>
      <w:r w:rsidRPr="00427237">
        <w:t>Overall change</w:t>
      </w:r>
      <w:r w:rsidR="00111238" w:rsidRPr="00427237">
        <w:t>.</w:t>
      </w:r>
    </w:p>
    <w:p w:rsidR="006C3A1F" w:rsidRPr="00427237" w:rsidRDefault="006C3A1F" w:rsidP="00182947">
      <w:pPr>
        <w:pStyle w:val="ListParagraph"/>
        <w:numPr>
          <w:ilvl w:val="0"/>
          <w:numId w:val="37"/>
        </w:numPr>
      </w:pPr>
      <w:r w:rsidRPr="00427237">
        <w:rPr>
          <w:rFonts w:hint="eastAsia"/>
        </w:rPr>
        <w:t>Type of change occurring</w:t>
      </w:r>
      <w:r w:rsidR="00111238" w:rsidRPr="00427237">
        <w:t>.</w:t>
      </w:r>
    </w:p>
    <w:p w:rsidR="006C3A1F" w:rsidRPr="00427237" w:rsidRDefault="006C3A1F" w:rsidP="006C3A1F">
      <w:pPr>
        <w:rPr>
          <w:u w:val="single"/>
        </w:rPr>
      </w:pPr>
      <w:r w:rsidRPr="00427237">
        <w:rPr>
          <w:u w:val="single"/>
        </w:rPr>
        <w:t>Patient outcomes:</w:t>
      </w:r>
    </w:p>
    <w:p w:rsidR="00BF2C8D" w:rsidRPr="00427237" w:rsidRDefault="00BF2C8D" w:rsidP="00182947">
      <w:pPr>
        <w:pStyle w:val="ListParagraph"/>
        <w:numPr>
          <w:ilvl w:val="0"/>
          <w:numId w:val="38"/>
        </w:numPr>
      </w:pPr>
      <w:r w:rsidRPr="00427237">
        <w:t>Morbidity</w:t>
      </w:r>
      <w:r w:rsidR="00111238" w:rsidRPr="00427237">
        <w:t>.</w:t>
      </w:r>
    </w:p>
    <w:p w:rsidR="00BF2C8D" w:rsidRPr="00427237" w:rsidRDefault="00BF2C8D" w:rsidP="00182947">
      <w:pPr>
        <w:pStyle w:val="ListParagraph"/>
        <w:numPr>
          <w:ilvl w:val="0"/>
          <w:numId w:val="38"/>
        </w:numPr>
      </w:pPr>
      <w:r w:rsidRPr="00427237">
        <w:t>Mortality</w:t>
      </w:r>
      <w:r w:rsidR="00111238" w:rsidRPr="00427237">
        <w:t>.</w:t>
      </w:r>
    </w:p>
    <w:p w:rsidR="006C3A1F" w:rsidRPr="00427237" w:rsidRDefault="00BF2C8D" w:rsidP="00182947">
      <w:pPr>
        <w:pStyle w:val="ListParagraph"/>
        <w:numPr>
          <w:ilvl w:val="0"/>
          <w:numId w:val="38"/>
        </w:numPr>
      </w:pPr>
      <w:r w:rsidRPr="00427237">
        <w:t>Overall survival</w:t>
      </w:r>
      <w:r w:rsidR="00111238" w:rsidRPr="00427237">
        <w:t>.</w:t>
      </w:r>
    </w:p>
    <w:p w:rsidR="006C3A1F" w:rsidRPr="00427237" w:rsidRDefault="00BF2C8D" w:rsidP="00182947">
      <w:pPr>
        <w:pStyle w:val="ListParagraph"/>
        <w:numPr>
          <w:ilvl w:val="0"/>
          <w:numId w:val="38"/>
        </w:numPr>
      </w:pPr>
      <w:r w:rsidRPr="00427237">
        <w:t>Cancer-specific mortality</w:t>
      </w:r>
      <w:r w:rsidR="00111238" w:rsidRPr="00427237">
        <w:t>.</w:t>
      </w:r>
    </w:p>
    <w:p w:rsidR="006C3A1F" w:rsidRPr="00427237" w:rsidRDefault="00BF2C8D" w:rsidP="00182947">
      <w:pPr>
        <w:pStyle w:val="ListParagraph"/>
        <w:numPr>
          <w:ilvl w:val="0"/>
          <w:numId w:val="38"/>
        </w:numPr>
      </w:pPr>
      <w:r w:rsidRPr="00427237">
        <w:t>Cancer progression</w:t>
      </w:r>
      <w:r w:rsidR="00111238" w:rsidRPr="00427237">
        <w:t>.</w:t>
      </w:r>
    </w:p>
    <w:p w:rsidR="006C3A1F" w:rsidRPr="00427237" w:rsidRDefault="00BF2C8D" w:rsidP="00182947">
      <w:pPr>
        <w:pStyle w:val="ListParagraph"/>
        <w:numPr>
          <w:ilvl w:val="0"/>
          <w:numId w:val="38"/>
        </w:numPr>
      </w:pPr>
      <w:r w:rsidRPr="00427237">
        <w:t>Treatment morbidity</w:t>
      </w:r>
      <w:r w:rsidR="00111238" w:rsidRPr="00427237">
        <w:t>.</w:t>
      </w:r>
    </w:p>
    <w:p w:rsidR="00BF2C8D" w:rsidRPr="00427237" w:rsidRDefault="00BF2C8D" w:rsidP="00182947">
      <w:pPr>
        <w:pStyle w:val="ListParagraph"/>
        <w:numPr>
          <w:ilvl w:val="0"/>
          <w:numId w:val="38"/>
        </w:numPr>
      </w:pPr>
      <w:r w:rsidRPr="00427237">
        <w:t>Adverse events</w:t>
      </w:r>
      <w:r w:rsidR="00111238" w:rsidRPr="00427237">
        <w:t>.</w:t>
      </w:r>
    </w:p>
    <w:p w:rsidR="006C3A1F" w:rsidRPr="00427237" w:rsidRDefault="006C3A1F" w:rsidP="00182947">
      <w:pPr>
        <w:pStyle w:val="ListParagraph"/>
        <w:numPr>
          <w:ilvl w:val="0"/>
          <w:numId w:val="38"/>
        </w:numPr>
      </w:pPr>
      <w:r w:rsidRPr="00427237">
        <w:t>Quality of life</w:t>
      </w:r>
      <w:r w:rsidR="00111238" w:rsidRPr="00427237">
        <w:t>.</w:t>
      </w:r>
    </w:p>
    <w:p w:rsidR="00187BDD" w:rsidRPr="00427237" w:rsidRDefault="00187BDD" w:rsidP="00A551A4"/>
    <w:p w:rsidR="00ED0045" w:rsidRPr="00427237" w:rsidRDefault="00ED0045" w:rsidP="0066176B">
      <w:pPr>
        <w:pStyle w:val="Heading2"/>
      </w:pPr>
      <w:bookmarkStart w:id="67" w:name="_Toc301450604"/>
      <w:bookmarkStart w:id="68" w:name="_Toc379534817"/>
      <w:bookmarkStart w:id="69" w:name="_Toc379962711"/>
      <w:r w:rsidRPr="00427237">
        <w:t>Safety</w:t>
      </w:r>
      <w:bookmarkEnd w:id="67"/>
      <w:bookmarkEnd w:id="68"/>
      <w:bookmarkEnd w:id="69"/>
    </w:p>
    <w:p w:rsidR="00ED0045" w:rsidRPr="00427237" w:rsidRDefault="00D76266" w:rsidP="00DF6C2F">
      <w:r w:rsidRPr="00427237">
        <w:rPr>
          <w:vertAlign w:val="superscript"/>
        </w:rPr>
        <w:t>18</w:t>
      </w:r>
      <w:r w:rsidRPr="00427237">
        <w:t>F-FDG</w:t>
      </w:r>
      <w:r w:rsidR="006C3A1F" w:rsidRPr="00427237">
        <w:t xml:space="preserve"> PET </w:t>
      </w:r>
      <w:r w:rsidR="004C5DFB" w:rsidRPr="00427237">
        <w:t>is</w:t>
      </w:r>
      <w:r w:rsidR="006C3A1F" w:rsidRPr="00427237">
        <w:t xml:space="preserve"> considered </w:t>
      </w:r>
      <w:r w:rsidR="008F7B5C" w:rsidRPr="00427237">
        <w:t xml:space="preserve">a </w:t>
      </w:r>
      <w:r w:rsidR="006C3A1F" w:rsidRPr="00427237">
        <w:t xml:space="preserve">safe procedure. A previous MSAC report discussed relevant safety issues on PET </w:t>
      </w:r>
      <w:r w:rsidR="003C5513" w:rsidRPr="00427237">
        <w:t>for recurrent colorectal cancer</w:t>
      </w:r>
      <w:r w:rsidR="00041288" w:rsidRPr="00427237">
        <w:t>.</w:t>
      </w:r>
      <w:r w:rsidR="00C24187" w:rsidRPr="00427237">
        <w:rPr>
          <w:noProof/>
          <w:vertAlign w:val="superscript"/>
        </w:rPr>
        <w:t>3</w:t>
      </w:r>
      <w:r w:rsidR="007856A2" w:rsidRPr="00427237">
        <w:t xml:space="preserve"> Patients undergoing </w:t>
      </w:r>
      <w:r w:rsidR="00E956D6" w:rsidRPr="00427237">
        <w:rPr>
          <w:vertAlign w:val="superscript"/>
        </w:rPr>
        <w:t>18</w:t>
      </w:r>
      <w:r w:rsidR="00E956D6" w:rsidRPr="00427237">
        <w:t>F-FDG PET</w:t>
      </w:r>
      <w:r w:rsidR="007856A2" w:rsidRPr="00427237">
        <w:t xml:space="preserve"> will be exposed to additional radiation on top of the radiation from CT during the initial diagnostic imaging tests, but doses from PET are typicall</w:t>
      </w:r>
      <w:r w:rsidR="003C5513" w:rsidRPr="00427237">
        <w:t>y lower than with diagnostic CT</w:t>
      </w:r>
      <w:r w:rsidR="00041288" w:rsidRPr="00427237">
        <w:t>.</w:t>
      </w:r>
      <w:r w:rsidR="00C24187" w:rsidRPr="00427237">
        <w:rPr>
          <w:noProof/>
          <w:vertAlign w:val="superscript"/>
        </w:rPr>
        <w:t>20</w:t>
      </w:r>
      <w:r w:rsidR="00DF6C2F" w:rsidRPr="00427237">
        <w:t xml:space="preserve"> The potential long-term effects of exposure to diagnostic levels of radiation are unlikely to be a relevant consideration for </w:t>
      </w:r>
      <w:r w:rsidR="004C05AA" w:rsidRPr="00427237">
        <w:t>patients with</w:t>
      </w:r>
      <w:r w:rsidR="002E2250" w:rsidRPr="00427237">
        <w:t xml:space="preserve"> proven</w:t>
      </w:r>
      <w:r w:rsidR="004C05AA" w:rsidRPr="00427237">
        <w:t xml:space="preserve"> locally advanced, </w:t>
      </w:r>
      <w:r w:rsidR="002E2250" w:rsidRPr="00427237">
        <w:t xml:space="preserve">suspected </w:t>
      </w:r>
      <w:r w:rsidR="000B1FCA" w:rsidRPr="00427237">
        <w:t xml:space="preserve">locally or regionally </w:t>
      </w:r>
      <w:r w:rsidR="004C05AA" w:rsidRPr="00427237">
        <w:t xml:space="preserve">recurrent or </w:t>
      </w:r>
      <w:r w:rsidR="002E2250" w:rsidRPr="00427237">
        <w:t xml:space="preserve">suspected </w:t>
      </w:r>
      <w:r w:rsidR="004C05AA" w:rsidRPr="00427237">
        <w:t>metastatic breast cancers</w:t>
      </w:r>
      <w:r w:rsidR="00BE48FB" w:rsidRPr="00427237">
        <w:t>. This is</w:t>
      </w:r>
      <w:r w:rsidR="00DF6C2F" w:rsidRPr="00427237">
        <w:t xml:space="preserve"> </w:t>
      </w:r>
      <w:r w:rsidR="004C05AA" w:rsidRPr="00427237">
        <w:t>due</w:t>
      </w:r>
      <w:r w:rsidR="00DF6C2F" w:rsidRPr="00427237">
        <w:t xml:space="preserve"> to their </w:t>
      </w:r>
      <w:r w:rsidR="004C05AA" w:rsidRPr="00427237">
        <w:t xml:space="preserve">likely </w:t>
      </w:r>
      <w:r w:rsidR="00DF6C2F" w:rsidRPr="00427237">
        <w:t>exposure to radiotherapy and/or chemotherapy</w:t>
      </w:r>
      <w:r w:rsidR="003B447A" w:rsidRPr="00427237">
        <w:t xml:space="preserve"> </w:t>
      </w:r>
      <w:r w:rsidR="00CE5EDF" w:rsidRPr="00427237">
        <w:t xml:space="preserve">either in the past or </w:t>
      </w:r>
      <w:r w:rsidR="000A35DD" w:rsidRPr="00427237">
        <w:t xml:space="preserve">in the future of </w:t>
      </w:r>
      <w:r w:rsidR="00BE48FB" w:rsidRPr="00427237">
        <w:t xml:space="preserve">their </w:t>
      </w:r>
      <w:r w:rsidR="003C5513" w:rsidRPr="00427237">
        <w:t>treatments</w:t>
      </w:r>
      <w:r w:rsidR="00041288" w:rsidRPr="00427237">
        <w:t>.</w:t>
      </w:r>
      <w:r w:rsidR="00C24187" w:rsidRPr="00427237">
        <w:rPr>
          <w:noProof/>
          <w:vertAlign w:val="superscript"/>
        </w:rPr>
        <w:t>20</w:t>
      </w:r>
    </w:p>
    <w:p w:rsidR="006C3A1F" w:rsidRPr="00427237" w:rsidRDefault="006C3A1F" w:rsidP="00E71E87"/>
    <w:p w:rsidR="00D32252" w:rsidRPr="00427237" w:rsidRDefault="00942A3B" w:rsidP="00942A3B">
      <w:pPr>
        <w:pStyle w:val="Heading1"/>
      </w:pPr>
      <w:bookmarkStart w:id="70" w:name="_Ref372016295"/>
      <w:bookmarkStart w:id="71" w:name="_Ref372016299"/>
      <w:bookmarkStart w:id="72" w:name="_Toc379534818"/>
      <w:bookmarkStart w:id="73" w:name="_Toc379962712"/>
      <w:r w:rsidRPr="00427237">
        <w:t xml:space="preserve">Economic </w:t>
      </w:r>
      <w:r w:rsidR="00667A5B" w:rsidRPr="00427237">
        <w:t>considerations</w:t>
      </w:r>
      <w:bookmarkEnd w:id="70"/>
      <w:bookmarkEnd w:id="71"/>
      <w:bookmarkEnd w:id="72"/>
      <w:bookmarkEnd w:id="73"/>
    </w:p>
    <w:p w:rsidR="00D32252" w:rsidRPr="00427237" w:rsidRDefault="00667A5B" w:rsidP="00D27C08">
      <w:pPr>
        <w:pStyle w:val="Heading2"/>
        <w:rPr>
          <w:b w:val="0"/>
          <w:bCs/>
          <w:szCs w:val="22"/>
        </w:rPr>
      </w:pPr>
      <w:bookmarkStart w:id="74" w:name="_Ref372016369"/>
      <w:bookmarkStart w:id="75" w:name="_Toc379534819"/>
      <w:bookmarkStart w:id="76" w:name="_Toc379962713"/>
      <w:r w:rsidRPr="00427237">
        <w:rPr>
          <w:bCs/>
          <w:szCs w:val="22"/>
        </w:rPr>
        <w:t xml:space="preserve">Proposed </w:t>
      </w:r>
      <w:r w:rsidR="00D32252" w:rsidRPr="00427237">
        <w:rPr>
          <w:bCs/>
          <w:szCs w:val="22"/>
        </w:rPr>
        <w:t xml:space="preserve">MBS </w:t>
      </w:r>
      <w:r w:rsidR="00764546" w:rsidRPr="00427237">
        <w:rPr>
          <w:bCs/>
          <w:szCs w:val="22"/>
        </w:rPr>
        <w:t>fee</w:t>
      </w:r>
      <w:bookmarkEnd w:id="74"/>
      <w:bookmarkEnd w:id="75"/>
      <w:bookmarkEnd w:id="76"/>
    </w:p>
    <w:p w:rsidR="00D32252" w:rsidRPr="00427237" w:rsidRDefault="00053211" w:rsidP="00764546">
      <w:r w:rsidRPr="00427237">
        <w:t>The applicant has not provided a MBS fee estimate as “the level of funding remains contentious, as it does not provide a capital component for depreciation and replacement of equipment”.</w:t>
      </w:r>
    </w:p>
    <w:p w:rsidR="00F13FC7" w:rsidRPr="00427237" w:rsidRDefault="0048310F" w:rsidP="00586D2D">
      <w:r w:rsidRPr="00427237">
        <w:t xml:space="preserve">However, from </w:t>
      </w:r>
      <w:r w:rsidR="00586D2D" w:rsidRPr="00427237">
        <w:t>an</w:t>
      </w:r>
      <w:r w:rsidRPr="00427237">
        <w:t>other MBS items for diagnostic</w:t>
      </w:r>
      <w:r w:rsidR="008C0126" w:rsidRPr="00427237">
        <w:t xml:space="preserve"> </w:t>
      </w:r>
      <w:r w:rsidR="00D76266" w:rsidRPr="00427237">
        <w:rPr>
          <w:vertAlign w:val="superscript"/>
        </w:rPr>
        <w:t>18</w:t>
      </w:r>
      <w:r w:rsidR="00D76266" w:rsidRPr="00427237">
        <w:t>F-FDG</w:t>
      </w:r>
      <w:r w:rsidR="00586D2D" w:rsidRPr="00427237">
        <w:t xml:space="preserve"> PET service</w:t>
      </w:r>
      <w:r w:rsidRPr="00427237">
        <w:t xml:space="preserve"> for various cancers, the MBS fee</w:t>
      </w:r>
      <w:r w:rsidR="00064B41" w:rsidRPr="00427237">
        <w:t xml:space="preserve"> </w:t>
      </w:r>
      <w:r w:rsidR="00586D2D" w:rsidRPr="00427237">
        <w:t>is $</w:t>
      </w:r>
      <w:r w:rsidR="00064B41" w:rsidRPr="00427237">
        <w:t>953 (</w:t>
      </w:r>
      <w:r w:rsidR="004911AF" w:rsidRPr="00427237">
        <w:t xml:space="preserve">for </w:t>
      </w:r>
      <w:r w:rsidR="00064B41" w:rsidRPr="00427237">
        <w:t xml:space="preserve">MBS items </w:t>
      </w:r>
      <w:r w:rsidRPr="00427237">
        <w:t>61529</w:t>
      </w:r>
      <w:r w:rsidR="00064B41" w:rsidRPr="00427237">
        <w:t xml:space="preserve"> for non-small cell lung cancer, 61598 for head and neck cancer, </w:t>
      </w:r>
      <w:r w:rsidRPr="00427237">
        <w:t xml:space="preserve">61604 for head and </w:t>
      </w:r>
      <w:r w:rsidR="00064B41" w:rsidRPr="00427237">
        <w:t xml:space="preserve">neck cancer, </w:t>
      </w:r>
      <w:r w:rsidRPr="00427237">
        <w:t>61523 for pulmonary nodule</w:t>
      </w:r>
      <w:r w:rsidR="00064B41" w:rsidRPr="00427237">
        <w:t xml:space="preserve">, </w:t>
      </w:r>
      <w:r w:rsidRPr="00427237">
        <w:t>61538 for brain tumour</w:t>
      </w:r>
      <w:r w:rsidR="00064B41" w:rsidRPr="00427237">
        <w:t xml:space="preserve">, </w:t>
      </w:r>
      <w:r w:rsidRPr="00427237">
        <w:t>61541 for colorectal carcinoma</w:t>
      </w:r>
      <w:r w:rsidR="00064B41" w:rsidRPr="00427237">
        <w:t xml:space="preserve">, </w:t>
      </w:r>
      <w:r w:rsidRPr="00427237">
        <w:t>61565 for ovarian carcinoma</w:t>
      </w:r>
      <w:r w:rsidR="00064B41" w:rsidRPr="00427237">
        <w:t xml:space="preserve">, </w:t>
      </w:r>
      <w:r w:rsidRPr="00427237">
        <w:t>61571 and 61575 for carcinoma of the uterine cervix</w:t>
      </w:r>
      <w:r w:rsidR="00064B41" w:rsidRPr="00427237">
        <w:t xml:space="preserve">, </w:t>
      </w:r>
      <w:r w:rsidRPr="00427237">
        <w:t>61610 for squamous cell carcinoma involving cervical nodes</w:t>
      </w:r>
      <w:r w:rsidR="00064B41" w:rsidRPr="00427237">
        <w:t xml:space="preserve">, </w:t>
      </w:r>
      <w:r w:rsidRPr="00427237">
        <w:t>61616 for indolent non-Hodgkin’s lymphoma</w:t>
      </w:r>
      <w:r w:rsidR="00064B41" w:rsidRPr="00427237">
        <w:t xml:space="preserve">, </w:t>
      </w:r>
      <w:r w:rsidR="004911AF" w:rsidRPr="00427237">
        <w:t xml:space="preserve">and </w:t>
      </w:r>
      <w:r w:rsidRPr="00427237">
        <w:t>61620</w:t>
      </w:r>
      <w:r w:rsidR="004911AF" w:rsidRPr="00427237">
        <w:t xml:space="preserve">, </w:t>
      </w:r>
      <w:r w:rsidR="00F13FC7" w:rsidRPr="00427237">
        <w:t xml:space="preserve">61622, 61628, </w:t>
      </w:r>
      <w:r w:rsidR="004911AF" w:rsidRPr="00427237">
        <w:t xml:space="preserve">and </w:t>
      </w:r>
      <w:r w:rsidR="00F13FC7" w:rsidRPr="00427237">
        <w:t>61632</w:t>
      </w:r>
      <w:r w:rsidRPr="00427237">
        <w:t xml:space="preserve"> for Hodgkin’s or non-Hodgkin’s lymphoma</w:t>
      </w:r>
      <w:r w:rsidR="00064B41" w:rsidRPr="00427237">
        <w:t>)</w:t>
      </w:r>
      <w:r w:rsidR="00586D2D" w:rsidRPr="00427237">
        <w:t xml:space="preserve">. </w:t>
      </w:r>
    </w:p>
    <w:p w:rsidR="00942A3B" w:rsidRPr="00427237" w:rsidRDefault="003A6445" w:rsidP="003A6445">
      <w:pPr>
        <w:pStyle w:val="Heading2"/>
      </w:pPr>
      <w:bookmarkStart w:id="77" w:name="_Ref371347915"/>
      <w:bookmarkStart w:id="78" w:name="_Ref371347952"/>
      <w:bookmarkStart w:id="79" w:name="_Toc379534820"/>
      <w:bookmarkStart w:id="80" w:name="_Toc379962714"/>
      <w:r w:rsidRPr="00427237">
        <w:t xml:space="preserve">Approach to the </w:t>
      </w:r>
      <w:r w:rsidR="00D32252" w:rsidRPr="00427237">
        <w:t xml:space="preserve">economic </w:t>
      </w:r>
      <w:r w:rsidRPr="00427237">
        <w:t>evaluation</w:t>
      </w:r>
      <w:bookmarkEnd w:id="77"/>
      <w:bookmarkEnd w:id="78"/>
      <w:bookmarkEnd w:id="79"/>
      <w:bookmarkEnd w:id="80"/>
    </w:p>
    <w:p w:rsidR="000F5E8B" w:rsidRPr="00427237" w:rsidRDefault="00581986" w:rsidP="00EB408D">
      <w:pPr>
        <w:rPr>
          <w:szCs w:val="22"/>
        </w:rPr>
      </w:pPr>
      <w:r w:rsidRPr="00427237">
        <w:rPr>
          <w:szCs w:val="22"/>
        </w:rPr>
        <w:t xml:space="preserve">The clinical claim is that </w:t>
      </w:r>
      <w:r w:rsidR="00166652" w:rsidRPr="00427237">
        <w:rPr>
          <w:szCs w:val="22"/>
        </w:rPr>
        <w:t xml:space="preserve">confirmatory </w:t>
      </w:r>
      <w:r w:rsidR="00D76266" w:rsidRPr="00427237">
        <w:rPr>
          <w:szCs w:val="22"/>
          <w:vertAlign w:val="superscript"/>
        </w:rPr>
        <w:t>18</w:t>
      </w:r>
      <w:r w:rsidR="00D76266" w:rsidRPr="00427237">
        <w:rPr>
          <w:szCs w:val="22"/>
        </w:rPr>
        <w:t>F-FDG</w:t>
      </w:r>
      <w:r w:rsidRPr="00427237">
        <w:rPr>
          <w:szCs w:val="22"/>
        </w:rPr>
        <w:t xml:space="preserve"> PET imaging is </w:t>
      </w:r>
      <w:r w:rsidR="001741A8" w:rsidRPr="00427237">
        <w:rPr>
          <w:szCs w:val="22"/>
        </w:rPr>
        <w:t xml:space="preserve">superior to </w:t>
      </w:r>
      <w:r w:rsidR="00166652" w:rsidRPr="00427237">
        <w:rPr>
          <w:szCs w:val="22"/>
        </w:rPr>
        <w:t xml:space="preserve">confirmatory </w:t>
      </w:r>
      <w:r w:rsidR="00E956D6" w:rsidRPr="00427237">
        <w:rPr>
          <w:szCs w:val="22"/>
        </w:rPr>
        <w:t xml:space="preserve">standard </w:t>
      </w:r>
      <w:r w:rsidR="00F83FCB" w:rsidRPr="00427237">
        <w:rPr>
          <w:szCs w:val="22"/>
        </w:rPr>
        <w:t>diagnostic imaging</w:t>
      </w:r>
      <w:r w:rsidR="001741A8" w:rsidRPr="00427237">
        <w:rPr>
          <w:szCs w:val="22"/>
        </w:rPr>
        <w:t>. The claim will be tha</w:t>
      </w:r>
      <w:r w:rsidR="008521B1" w:rsidRPr="00427237">
        <w:rPr>
          <w:szCs w:val="22"/>
        </w:rPr>
        <w:t xml:space="preserve">t </w:t>
      </w:r>
      <w:r w:rsidR="00D76266" w:rsidRPr="00427237">
        <w:rPr>
          <w:szCs w:val="22"/>
          <w:vertAlign w:val="superscript"/>
        </w:rPr>
        <w:t>18</w:t>
      </w:r>
      <w:r w:rsidR="00D76266" w:rsidRPr="00427237">
        <w:rPr>
          <w:szCs w:val="22"/>
        </w:rPr>
        <w:t>F-FDG</w:t>
      </w:r>
      <w:r w:rsidR="008521B1" w:rsidRPr="00427237">
        <w:rPr>
          <w:szCs w:val="22"/>
        </w:rPr>
        <w:t xml:space="preserve"> PET is more effective</w:t>
      </w:r>
      <w:r w:rsidR="00F339A9" w:rsidRPr="00427237">
        <w:rPr>
          <w:szCs w:val="22"/>
        </w:rPr>
        <w:t xml:space="preserve"> (for the outcomes listed previously)</w:t>
      </w:r>
      <w:r w:rsidR="008521B1" w:rsidRPr="00427237">
        <w:rPr>
          <w:szCs w:val="22"/>
        </w:rPr>
        <w:t xml:space="preserve"> than</w:t>
      </w:r>
      <w:r w:rsidR="001741A8" w:rsidRPr="00427237">
        <w:rPr>
          <w:szCs w:val="22"/>
        </w:rPr>
        <w:t xml:space="preserve"> </w:t>
      </w:r>
      <w:r w:rsidR="00166652" w:rsidRPr="00427237">
        <w:rPr>
          <w:szCs w:val="22"/>
        </w:rPr>
        <w:t xml:space="preserve">standard diagnostic </w:t>
      </w:r>
      <w:r w:rsidR="001741A8" w:rsidRPr="00427237">
        <w:rPr>
          <w:szCs w:val="22"/>
        </w:rPr>
        <w:t xml:space="preserve">imaging, and it is </w:t>
      </w:r>
      <w:r w:rsidR="00F339A9" w:rsidRPr="00427237">
        <w:rPr>
          <w:szCs w:val="22"/>
        </w:rPr>
        <w:t xml:space="preserve">superior </w:t>
      </w:r>
      <w:r w:rsidR="001741A8" w:rsidRPr="00427237">
        <w:rPr>
          <w:szCs w:val="22"/>
        </w:rPr>
        <w:t xml:space="preserve">to </w:t>
      </w:r>
      <w:r w:rsidR="00166652" w:rsidRPr="00427237">
        <w:rPr>
          <w:szCs w:val="22"/>
        </w:rPr>
        <w:t xml:space="preserve">confirmatory standard </w:t>
      </w:r>
      <w:r w:rsidR="001741A8" w:rsidRPr="00427237">
        <w:rPr>
          <w:szCs w:val="22"/>
        </w:rPr>
        <w:t>imaging for safety.</w:t>
      </w:r>
      <w:r w:rsidR="00166652" w:rsidRPr="00427237">
        <w:rPr>
          <w:szCs w:val="22"/>
        </w:rPr>
        <w:t xml:space="preserve"> </w:t>
      </w:r>
      <w:r w:rsidR="002049D5" w:rsidRPr="00427237">
        <w:rPr>
          <w:szCs w:val="22"/>
        </w:rPr>
        <w:t>The reason</w:t>
      </w:r>
      <w:r w:rsidR="00F339A9" w:rsidRPr="00427237">
        <w:rPr>
          <w:szCs w:val="22"/>
        </w:rPr>
        <w:t xml:space="preserve"> for claiming superior safety is that c</w:t>
      </w:r>
      <w:r w:rsidR="00166652" w:rsidRPr="00427237">
        <w:rPr>
          <w:szCs w:val="22"/>
        </w:rPr>
        <w:t>linical experts from HESP and the applicant suggest that</w:t>
      </w:r>
      <w:r w:rsidR="00380047" w:rsidRPr="00427237">
        <w:rPr>
          <w:szCs w:val="22"/>
        </w:rPr>
        <w:t xml:space="preserve"> standard diagnostic tests (e.g. CT) have a higher risk of adverse events (e.g. allergic reactions) than </w:t>
      </w:r>
      <w:r w:rsidR="00380047" w:rsidRPr="00427237">
        <w:rPr>
          <w:szCs w:val="22"/>
          <w:vertAlign w:val="superscript"/>
        </w:rPr>
        <w:t>18</w:t>
      </w:r>
      <w:r w:rsidR="00380047" w:rsidRPr="00427237">
        <w:rPr>
          <w:szCs w:val="22"/>
        </w:rPr>
        <w:t>F-FDG PET.</w:t>
      </w:r>
    </w:p>
    <w:p w:rsidR="00581986" w:rsidRPr="00427237" w:rsidRDefault="000F5E8B" w:rsidP="00EB408D">
      <w:pPr>
        <w:rPr>
          <w:szCs w:val="22"/>
        </w:rPr>
      </w:pPr>
      <w:r w:rsidRPr="00427237">
        <w:rPr>
          <w:szCs w:val="22"/>
        </w:rPr>
        <w:t xml:space="preserve">Provided that sufficient clinical data </w:t>
      </w:r>
      <w:r w:rsidR="008F7B5C" w:rsidRPr="00427237">
        <w:rPr>
          <w:szCs w:val="22"/>
        </w:rPr>
        <w:t xml:space="preserve">are </w:t>
      </w:r>
      <w:r w:rsidRPr="00427237">
        <w:rPr>
          <w:szCs w:val="22"/>
        </w:rPr>
        <w:t xml:space="preserve">available to support the claim of superiority, an appropriate </w:t>
      </w:r>
      <w:r w:rsidR="001741A8" w:rsidRPr="00427237">
        <w:rPr>
          <w:szCs w:val="22"/>
        </w:rPr>
        <w:t xml:space="preserve">type of </w:t>
      </w:r>
      <w:r w:rsidRPr="00427237">
        <w:rPr>
          <w:szCs w:val="22"/>
        </w:rPr>
        <w:t xml:space="preserve">economic </w:t>
      </w:r>
      <w:r w:rsidR="001741A8" w:rsidRPr="00427237">
        <w:rPr>
          <w:szCs w:val="22"/>
        </w:rPr>
        <w:t xml:space="preserve">analysis </w:t>
      </w:r>
      <w:r w:rsidRPr="00427237">
        <w:rPr>
          <w:szCs w:val="22"/>
        </w:rPr>
        <w:t xml:space="preserve">would </w:t>
      </w:r>
      <w:r w:rsidR="001741A8" w:rsidRPr="00427237">
        <w:rPr>
          <w:szCs w:val="22"/>
        </w:rPr>
        <w:t xml:space="preserve">be a cost-effectiveness </w:t>
      </w:r>
      <w:r w:rsidRPr="00427237">
        <w:rPr>
          <w:szCs w:val="22"/>
        </w:rPr>
        <w:t xml:space="preserve">or cost-utility </w:t>
      </w:r>
      <w:r w:rsidR="001741A8" w:rsidRPr="00427237">
        <w:rPr>
          <w:szCs w:val="22"/>
        </w:rPr>
        <w:t>analysis</w:t>
      </w:r>
      <w:r w:rsidR="00F86152" w:rsidRPr="00427237">
        <w:rPr>
          <w:szCs w:val="22"/>
        </w:rPr>
        <w:t xml:space="preserve"> (</w:t>
      </w:r>
      <w:r w:rsidR="00BF57C1" w:rsidRPr="00427237">
        <w:t xml:space="preserve">Table </w:t>
      </w:r>
      <w:r w:rsidR="00BF57C1" w:rsidRPr="00427237">
        <w:rPr>
          <w:noProof/>
        </w:rPr>
        <w:t>4</w:t>
      </w:r>
      <w:r w:rsidR="00F86152" w:rsidRPr="00427237">
        <w:rPr>
          <w:szCs w:val="22"/>
        </w:rPr>
        <w:t>)</w:t>
      </w:r>
      <w:r w:rsidR="001741A8" w:rsidRPr="00427237">
        <w:rPr>
          <w:szCs w:val="22"/>
        </w:rPr>
        <w:t>.</w:t>
      </w:r>
      <w:r w:rsidRPr="00427237">
        <w:rPr>
          <w:szCs w:val="22"/>
        </w:rPr>
        <w:t xml:space="preserve"> </w:t>
      </w:r>
      <w:r w:rsidR="00E96F12" w:rsidRPr="00427237">
        <w:rPr>
          <w:szCs w:val="22"/>
        </w:rPr>
        <w:t>The final structure of the economic analysis will be dependent on the available clinical data.</w:t>
      </w:r>
    </w:p>
    <w:p w:rsidR="00EB408D" w:rsidRPr="00427237" w:rsidRDefault="00BE4356" w:rsidP="00BE4356">
      <w:pPr>
        <w:pStyle w:val="Caption"/>
      </w:pPr>
      <w:bookmarkStart w:id="81" w:name="_Ref378330362"/>
      <w:r w:rsidRPr="00427237">
        <w:t xml:space="preserve">Table </w:t>
      </w:r>
      <w:r w:rsidR="00BF57C1" w:rsidRPr="00427237">
        <w:rPr>
          <w:noProof/>
        </w:rPr>
        <w:t>4</w:t>
      </w:r>
      <w:bookmarkEnd w:id="81"/>
      <w:r w:rsidR="00EB408D" w:rsidRPr="00427237">
        <w:t>:</w:t>
      </w:r>
      <w:r w:rsidR="00EB408D" w:rsidRPr="00427237">
        <w:tab/>
        <w:t>Classification of an intervention for determination of economic evaluation to be presented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671"/>
        <w:gridCol w:w="1085"/>
        <w:gridCol w:w="1583"/>
        <w:gridCol w:w="977"/>
        <w:gridCol w:w="2369"/>
        <w:gridCol w:w="1548"/>
        <w:gridCol w:w="907"/>
      </w:tblGrid>
      <w:tr w:rsidR="00EB408D" w:rsidRPr="00427237" w:rsidTr="00487241">
        <w:tc>
          <w:tcPr>
            <w:tcW w:w="1756" w:type="dxa"/>
            <w:gridSpan w:val="2"/>
            <w:vMerge w:val="restart"/>
          </w:tcPr>
          <w:p w:rsidR="00EB408D" w:rsidRPr="00427237" w:rsidRDefault="00EB408D" w:rsidP="00487241">
            <w:pPr>
              <w:keepNext/>
              <w:tabs>
                <w:tab w:val="left" w:pos="2835"/>
              </w:tabs>
              <w:spacing w:after="0" w:line="240" w:lineRule="auto"/>
              <w:rPr>
                <w:rFonts w:ascii="Arial Narrow" w:hAnsi="Arial Narrow"/>
                <w:lang w:val="en-GB" w:eastAsia="ja-JP"/>
              </w:rPr>
            </w:pPr>
          </w:p>
        </w:tc>
        <w:tc>
          <w:tcPr>
            <w:tcW w:w="7384" w:type="dxa"/>
            <w:gridSpan w:val="5"/>
          </w:tcPr>
          <w:p w:rsidR="00EB408D" w:rsidRPr="00427237" w:rsidRDefault="00EB408D" w:rsidP="00487241">
            <w:pPr>
              <w:keepNext/>
              <w:tabs>
                <w:tab w:val="left" w:pos="2835"/>
              </w:tabs>
              <w:spacing w:after="0" w:line="240" w:lineRule="auto"/>
              <w:jc w:val="center"/>
              <w:rPr>
                <w:rFonts w:ascii="Arial Narrow" w:hAnsi="Arial Narrow"/>
                <w:b/>
                <w:szCs w:val="22"/>
                <w:lang w:val="en-GB" w:eastAsia="ja-JP"/>
              </w:rPr>
            </w:pPr>
            <w:r w:rsidRPr="00427237">
              <w:rPr>
                <w:rFonts w:ascii="Arial Narrow" w:hAnsi="Arial Narrow"/>
                <w:b/>
                <w:szCs w:val="22"/>
                <w:lang w:val="en-GB" w:eastAsia="ja-JP"/>
              </w:rPr>
              <w:t>Comparative effectiveness versus comparator</w:t>
            </w:r>
          </w:p>
        </w:tc>
      </w:tr>
      <w:tr w:rsidR="00EB408D" w:rsidRPr="00427237" w:rsidTr="00487241">
        <w:tc>
          <w:tcPr>
            <w:tcW w:w="1756" w:type="dxa"/>
            <w:gridSpan w:val="2"/>
            <w:vMerge/>
          </w:tcPr>
          <w:p w:rsidR="00EB408D" w:rsidRPr="00427237" w:rsidRDefault="00EB408D" w:rsidP="00487241">
            <w:pPr>
              <w:keepNext/>
              <w:tabs>
                <w:tab w:val="left" w:pos="2835"/>
              </w:tabs>
              <w:spacing w:after="0" w:line="240" w:lineRule="auto"/>
              <w:rPr>
                <w:rFonts w:ascii="Arial Narrow" w:hAnsi="Arial Narrow"/>
                <w:lang w:val="en-GB" w:eastAsia="ja-JP"/>
              </w:rPr>
            </w:pPr>
          </w:p>
        </w:tc>
        <w:tc>
          <w:tcPr>
            <w:tcW w:w="2560" w:type="dxa"/>
            <w:gridSpan w:val="2"/>
            <w:vAlign w:val="center"/>
          </w:tcPr>
          <w:p w:rsidR="00EB408D" w:rsidRPr="00427237" w:rsidRDefault="00EB408D" w:rsidP="00487241">
            <w:pPr>
              <w:keepNext/>
              <w:tabs>
                <w:tab w:val="left" w:pos="2835"/>
              </w:tabs>
              <w:spacing w:after="0" w:line="240" w:lineRule="auto"/>
              <w:jc w:val="center"/>
              <w:rPr>
                <w:rFonts w:ascii="Arial Narrow" w:hAnsi="Arial Narrow"/>
                <w:szCs w:val="22"/>
                <w:u w:val="single"/>
                <w:lang w:val="en-GB" w:eastAsia="ja-JP"/>
              </w:rPr>
            </w:pPr>
            <w:r w:rsidRPr="00427237">
              <w:rPr>
                <w:rFonts w:ascii="Arial Narrow" w:hAnsi="Arial Narrow"/>
                <w:szCs w:val="22"/>
                <w:u w:val="single"/>
                <w:lang w:val="en-GB" w:eastAsia="ja-JP"/>
              </w:rPr>
              <w:t>Superior</w:t>
            </w:r>
          </w:p>
        </w:tc>
        <w:tc>
          <w:tcPr>
            <w:tcW w:w="2369" w:type="dxa"/>
            <w:vAlign w:val="center"/>
          </w:tcPr>
          <w:p w:rsidR="00EB408D" w:rsidRPr="00427237" w:rsidRDefault="00EB408D" w:rsidP="00487241">
            <w:pPr>
              <w:keepNext/>
              <w:tabs>
                <w:tab w:val="left" w:pos="2835"/>
              </w:tabs>
              <w:spacing w:after="0" w:line="240" w:lineRule="auto"/>
              <w:jc w:val="center"/>
              <w:rPr>
                <w:rFonts w:ascii="Arial Narrow" w:hAnsi="Arial Narrow"/>
                <w:szCs w:val="22"/>
                <w:u w:val="single"/>
                <w:lang w:val="en-GB" w:eastAsia="ja-JP"/>
              </w:rPr>
            </w:pPr>
            <w:r w:rsidRPr="00427237">
              <w:rPr>
                <w:rFonts w:ascii="Arial Narrow" w:hAnsi="Arial Narrow"/>
                <w:szCs w:val="22"/>
                <w:u w:val="single"/>
                <w:lang w:val="en-GB" w:eastAsia="ja-JP"/>
              </w:rPr>
              <w:t>Non-inferior</w:t>
            </w:r>
          </w:p>
        </w:tc>
        <w:tc>
          <w:tcPr>
            <w:tcW w:w="2455" w:type="dxa"/>
            <w:gridSpan w:val="2"/>
            <w:vAlign w:val="center"/>
          </w:tcPr>
          <w:p w:rsidR="00EB408D" w:rsidRPr="00427237" w:rsidRDefault="00EB408D" w:rsidP="00487241">
            <w:pPr>
              <w:keepNext/>
              <w:tabs>
                <w:tab w:val="left" w:pos="2835"/>
              </w:tabs>
              <w:spacing w:after="0" w:line="240" w:lineRule="auto"/>
              <w:jc w:val="center"/>
              <w:rPr>
                <w:rFonts w:ascii="Arial Narrow" w:hAnsi="Arial Narrow"/>
                <w:szCs w:val="22"/>
                <w:u w:val="single"/>
                <w:lang w:val="en-GB" w:eastAsia="ja-JP"/>
              </w:rPr>
            </w:pPr>
            <w:r w:rsidRPr="00427237">
              <w:rPr>
                <w:rFonts w:ascii="Arial Narrow" w:hAnsi="Arial Narrow"/>
                <w:szCs w:val="22"/>
                <w:u w:val="single"/>
                <w:lang w:val="en-GB" w:eastAsia="ja-JP"/>
              </w:rPr>
              <w:t>Inferior</w:t>
            </w:r>
          </w:p>
        </w:tc>
      </w:tr>
      <w:tr w:rsidR="00EB408D" w:rsidRPr="00427237" w:rsidTr="00487241">
        <w:trPr>
          <w:cantSplit/>
          <w:trHeight w:val="20"/>
        </w:trPr>
        <w:tc>
          <w:tcPr>
            <w:tcW w:w="671" w:type="dxa"/>
            <w:vMerge w:val="restart"/>
            <w:textDirection w:val="btLr"/>
            <w:vAlign w:val="center"/>
          </w:tcPr>
          <w:p w:rsidR="00EB408D" w:rsidRPr="00427237" w:rsidRDefault="00EB408D" w:rsidP="00487241">
            <w:pPr>
              <w:keepNext/>
              <w:tabs>
                <w:tab w:val="left" w:pos="2835"/>
              </w:tabs>
              <w:spacing w:after="0" w:line="240" w:lineRule="auto"/>
              <w:ind w:left="113" w:right="113"/>
              <w:jc w:val="center"/>
              <w:rPr>
                <w:rFonts w:ascii="Arial Narrow" w:hAnsi="Arial Narrow"/>
                <w:b/>
                <w:szCs w:val="22"/>
                <w:lang w:val="en-GB" w:eastAsia="ja-JP"/>
              </w:rPr>
            </w:pPr>
            <w:r w:rsidRPr="00427237">
              <w:rPr>
                <w:rFonts w:ascii="Arial Narrow" w:hAnsi="Arial Narrow"/>
                <w:b/>
                <w:szCs w:val="22"/>
                <w:lang w:val="en-GB" w:eastAsia="ja-JP"/>
              </w:rPr>
              <w:t>Comparative safety versus comparator</w:t>
            </w:r>
          </w:p>
        </w:tc>
        <w:tc>
          <w:tcPr>
            <w:tcW w:w="1085" w:type="dxa"/>
            <w:vMerge w:val="restart"/>
            <w:vAlign w:val="center"/>
          </w:tcPr>
          <w:p w:rsidR="00EB408D" w:rsidRPr="00427237" w:rsidRDefault="00EB408D" w:rsidP="00487241">
            <w:pPr>
              <w:keepNext/>
              <w:tabs>
                <w:tab w:val="left" w:pos="2835"/>
              </w:tabs>
              <w:spacing w:after="0" w:line="240" w:lineRule="auto"/>
              <w:jc w:val="left"/>
              <w:rPr>
                <w:rFonts w:ascii="Arial Narrow" w:hAnsi="Arial Narrow"/>
                <w:szCs w:val="22"/>
                <w:u w:val="single"/>
                <w:lang w:val="en-GB" w:eastAsia="ja-JP"/>
              </w:rPr>
            </w:pPr>
            <w:r w:rsidRPr="00427237">
              <w:rPr>
                <w:rFonts w:ascii="Arial Narrow" w:hAnsi="Arial Narrow"/>
                <w:szCs w:val="22"/>
                <w:u w:val="single"/>
                <w:lang w:val="en-GB" w:eastAsia="ja-JP"/>
              </w:rPr>
              <w:t>Superior</w:t>
            </w:r>
          </w:p>
        </w:tc>
        <w:tc>
          <w:tcPr>
            <w:tcW w:w="2560" w:type="dxa"/>
            <w:gridSpan w:val="2"/>
            <w:vMerge w:val="restart"/>
            <w:vAlign w:val="center"/>
          </w:tcPr>
          <w:p w:rsidR="00EB408D" w:rsidRPr="00427237" w:rsidRDefault="00EB408D" w:rsidP="00487241">
            <w:pPr>
              <w:keepNext/>
              <w:tabs>
                <w:tab w:val="left" w:pos="2835"/>
              </w:tabs>
              <w:spacing w:after="0" w:line="240" w:lineRule="auto"/>
              <w:jc w:val="center"/>
              <w:rPr>
                <w:rFonts w:ascii="Arial Narrow" w:hAnsi="Arial Narrow"/>
                <w:b/>
                <w:szCs w:val="22"/>
                <w:lang w:val="en-GB" w:eastAsia="ja-JP"/>
              </w:rPr>
            </w:pPr>
            <w:r w:rsidRPr="00427237">
              <w:rPr>
                <w:rFonts w:ascii="Arial Narrow" w:hAnsi="Arial Narrow"/>
                <w:b/>
                <w:szCs w:val="22"/>
                <w:lang w:val="en-GB" w:eastAsia="ja-JP"/>
              </w:rPr>
              <w:t>CEA/CUA</w:t>
            </w:r>
          </w:p>
        </w:tc>
        <w:tc>
          <w:tcPr>
            <w:tcW w:w="2369" w:type="dxa"/>
            <w:vMerge w:val="restart"/>
            <w:vAlign w:val="center"/>
          </w:tcPr>
          <w:p w:rsidR="00EB408D" w:rsidRPr="00427237" w:rsidRDefault="00EB408D" w:rsidP="00487241">
            <w:pPr>
              <w:keepNext/>
              <w:tabs>
                <w:tab w:val="left" w:pos="2835"/>
              </w:tabs>
              <w:spacing w:after="0" w:line="240" w:lineRule="auto"/>
              <w:jc w:val="center"/>
              <w:rPr>
                <w:rFonts w:ascii="Arial Narrow" w:hAnsi="Arial Narrow"/>
                <w:szCs w:val="22"/>
                <w:lang w:val="en-GB" w:eastAsia="ja-JP"/>
              </w:rPr>
            </w:pPr>
            <w:r w:rsidRPr="00427237">
              <w:rPr>
                <w:rFonts w:ascii="Arial Narrow" w:hAnsi="Arial Narrow"/>
                <w:szCs w:val="22"/>
                <w:lang w:val="en-GB" w:eastAsia="ja-JP"/>
              </w:rPr>
              <w:t>CEA/CUA</w:t>
            </w:r>
          </w:p>
        </w:tc>
        <w:tc>
          <w:tcPr>
            <w:tcW w:w="1548" w:type="dxa"/>
          </w:tcPr>
          <w:p w:rsidR="00EB408D" w:rsidRPr="00427237" w:rsidRDefault="00EB408D" w:rsidP="00487241">
            <w:pPr>
              <w:keepNext/>
              <w:tabs>
                <w:tab w:val="left" w:pos="2835"/>
              </w:tabs>
              <w:spacing w:after="0" w:line="240" w:lineRule="auto"/>
              <w:rPr>
                <w:rFonts w:ascii="Arial Narrow" w:hAnsi="Arial Narrow"/>
                <w:szCs w:val="22"/>
                <w:u w:val="single"/>
                <w:lang w:val="en-GB" w:eastAsia="ja-JP"/>
              </w:rPr>
            </w:pPr>
            <w:r w:rsidRPr="00427237">
              <w:rPr>
                <w:rFonts w:ascii="Arial Narrow" w:hAnsi="Arial Narrow"/>
                <w:szCs w:val="22"/>
                <w:u w:val="single"/>
                <w:lang w:val="en-GB" w:eastAsia="ja-JP"/>
              </w:rPr>
              <w:t>Net clinical benefit</w:t>
            </w:r>
          </w:p>
        </w:tc>
        <w:tc>
          <w:tcPr>
            <w:tcW w:w="907" w:type="dxa"/>
            <w:vAlign w:val="center"/>
          </w:tcPr>
          <w:p w:rsidR="00EB408D" w:rsidRPr="00427237" w:rsidRDefault="00EB408D" w:rsidP="00487241">
            <w:pPr>
              <w:keepNext/>
              <w:tabs>
                <w:tab w:val="left" w:pos="2835"/>
              </w:tabs>
              <w:spacing w:after="0" w:line="240" w:lineRule="auto"/>
              <w:jc w:val="center"/>
              <w:rPr>
                <w:rFonts w:ascii="Arial Narrow" w:hAnsi="Arial Narrow"/>
                <w:szCs w:val="22"/>
                <w:lang w:val="en-GB" w:eastAsia="ja-JP"/>
              </w:rPr>
            </w:pPr>
            <w:r w:rsidRPr="00427237">
              <w:rPr>
                <w:rFonts w:ascii="Arial Narrow" w:hAnsi="Arial Narrow"/>
                <w:szCs w:val="22"/>
                <w:lang w:val="en-GB" w:eastAsia="ja-JP"/>
              </w:rPr>
              <w:t>CEA/CUA</w:t>
            </w:r>
          </w:p>
        </w:tc>
      </w:tr>
      <w:tr w:rsidR="00EB408D" w:rsidRPr="00427237" w:rsidTr="00487241">
        <w:trPr>
          <w:cantSplit/>
          <w:trHeight w:val="20"/>
        </w:trPr>
        <w:tc>
          <w:tcPr>
            <w:tcW w:w="671" w:type="dxa"/>
            <w:vMerge/>
          </w:tcPr>
          <w:p w:rsidR="00EB408D" w:rsidRPr="00427237" w:rsidRDefault="00EB408D" w:rsidP="00487241">
            <w:pPr>
              <w:tabs>
                <w:tab w:val="left" w:pos="2835"/>
              </w:tabs>
              <w:spacing w:after="0" w:line="240" w:lineRule="auto"/>
              <w:rPr>
                <w:rFonts w:ascii="Arial Narrow" w:hAnsi="Arial Narrow"/>
                <w:lang w:val="en-GB" w:eastAsia="ja-JP"/>
              </w:rPr>
            </w:pPr>
          </w:p>
        </w:tc>
        <w:tc>
          <w:tcPr>
            <w:tcW w:w="1085" w:type="dxa"/>
            <w:vMerge/>
            <w:vAlign w:val="center"/>
          </w:tcPr>
          <w:p w:rsidR="00EB408D" w:rsidRPr="00427237" w:rsidRDefault="00EB408D" w:rsidP="00487241">
            <w:pPr>
              <w:tabs>
                <w:tab w:val="left" w:pos="2835"/>
              </w:tabs>
              <w:spacing w:after="0" w:line="240" w:lineRule="auto"/>
              <w:jc w:val="left"/>
              <w:rPr>
                <w:rFonts w:ascii="Arial Narrow" w:hAnsi="Arial Narrow"/>
                <w:u w:val="single"/>
                <w:lang w:val="en-GB" w:eastAsia="ja-JP"/>
              </w:rPr>
            </w:pPr>
          </w:p>
        </w:tc>
        <w:tc>
          <w:tcPr>
            <w:tcW w:w="2560" w:type="dxa"/>
            <w:gridSpan w:val="2"/>
            <w:vMerge/>
            <w:vAlign w:val="center"/>
          </w:tcPr>
          <w:p w:rsidR="00EB408D" w:rsidRPr="00427237" w:rsidRDefault="00EB408D" w:rsidP="00487241">
            <w:pPr>
              <w:tabs>
                <w:tab w:val="left" w:pos="2835"/>
              </w:tabs>
              <w:spacing w:after="0" w:line="240" w:lineRule="auto"/>
              <w:jc w:val="center"/>
              <w:rPr>
                <w:rFonts w:ascii="Arial Narrow" w:hAnsi="Arial Narrow"/>
                <w:lang w:val="en-GB" w:eastAsia="ja-JP"/>
              </w:rPr>
            </w:pPr>
          </w:p>
        </w:tc>
        <w:tc>
          <w:tcPr>
            <w:tcW w:w="2369" w:type="dxa"/>
            <w:vMerge/>
            <w:vAlign w:val="center"/>
          </w:tcPr>
          <w:p w:rsidR="00EB408D" w:rsidRPr="00427237" w:rsidRDefault="00EB408D" w:rsidP="00487241">
            <w:pPr>
              <w:tabs>
                <w:tab w:val="left" w:pos="2835"/>
              </w:tabs>
              <w:spacing w:after="0" w:line="240" w:lineRule="auto"/>
              <w:jc w:val="center"/>
              <w:rPr>
                <w:rFonts w:ascii="Arial Narrow" w:hAnsi="Arial Narrow"/>
                <w:lang w:val="en-GB" w:eastAsia="ja-JP"/>
              </w:rPr>
            </w:pPr>
          </w:p>
        </w:tc>
        <w:tc>
          <w:tcPr>
            <w:tcW w:w="1548" w:type="dxa"/>
          </w:tcPr>
          <w:p w:rsidR="00EB408D" w:rsidRPr="00427237" w:rsidRDefault="00EB408D" w:rsidP="00487241">
            <w:pPr>
              <w:tabs>
                <w:tab w:val="left" w:pos="2835"/>
              </w:tabs>
              <w:spacing w:after="0" w:line="240" w:lineRule="auto"/>
              <w:rPr>
                <w:rFonts w:ascii="Arial Narrow" w:hAnsi="Arial Narrow"/>
                <w:szCs w:val="22"/>
                <w:u w:val="single"/>
                <w:lang w:val="en-GB" w:eastAsia="ja-JP"/>
              </w:rPr>
            </w:pPr>
            <w:r w:rsidRPr="00427237">
              <w:rPr>
                <w:rFonts w:ascii="Arial Narrow" w:hAnsi="Arial Narrow"/>
                <w:szCs w:val="22"/>
                <w:u w:val="single"/>
                <w:lang w:val="en-GB" w:eastAsia="ja-JP"/>
              </w:rPr>
              <w:t>Neutral benefit</w:t>
            </w:r>
          </w:p>
        </w:tc>
        <w:tc>
          <w:tcPr>
            <w:tcW w:w="907" w:type="dxa"/>
            <w:vAlign w:val="center"/>
          </w:tcPr>
          <w:p w:rsidR="00EB408D" w:rsidRPr="00427237" w:rsidRDefault="00EB408D" w:rsidP="00487241">
            <w:pPr>
              <w:tabs>
                <w:tab w:val="left" w:pos="2835"/>
              </w:tabs>
              <w:spacing w:after="0" w:line="240" w:lineRule="auto"/>
              <w:jc w:val="center"/>
              <w:rPr>
                <w:rFonts w:ascii="Arial Narrow" w:hAnsi="Arial Narrow"/>
                <w:szCs w:val="22"/>
                <w:lang w:val="en-GB" w:eastAsia="ja-JP"/>
              </w:rPr>
            </w:pPr>
            <w:r w:rsidRPr="00427237">
              <w:rPr>
                <w:rFonts w:ascii="Arial Narrow" w:hAnsi="Arial Narrow"/>
                <w:szCs w:val="22"/>
                <w:lang w:val="en-GB" w:eastAsia="ja-JP"/>
              </w:rPr>
              <w:t>CEA/CUA*</w:t>
            </w:r>
          </w:p>
        </w:tc>
      </w:tr>
      <w:tr w:rsidR="00EB408D" w:rsidRPr="00427237" w:rsidTr="00487241">
        <w:trPr>
          <w:cantSplit/>
          <w:trHeight w:val="20"/>
        </w:trPr>
        <w:tc>
          <w:tcPr>
            <w:tcW w:w="671" w:type="dxa"/>
            <w:vMerge/>
          </w:tcPr>
          <w:p w:rsidR="00EB408D" w:rsidRPr="00427237" w:rsidRDefault="00EB408D" w:rsidP="00487241">
            <w:pPr>
              <w:tabs>
                <w:tab w:val="left" w:pos="2835"/>
              </w:tabs>
              <w:spacing w:after="0" w:line="240" w:lineRule="auto"/>
              <w:rPr>
                <w:rFonts w:ascii="Arial Narrow" w:hAnsi="Arial Narrow"/>
                <w:lang w:val="en-GB" w:eastAsia="ja-JP"/>
              </w:rPr>
            </w:pPr>
          </w:p>
        </w:tc>
        <w:tc>
          <w:tcPr>
            <w:tcW w:w="1085" w:type="dxa"/>
            <w:vMerge/>
            <w:vAlign w:val="center"/>
          </w:tcPr>
          <w:p w:rsidR="00EB408D" w:rsidRPr="00427237" w:rsidRDefault="00EB408D" w:rsidP="00487241">
            <w:pPr>
              <w:tabs>
                <w:tab w:val="left" w:pos="2835"/>
              </w:tabs>
              <w:spacing w:after="0" w:line="240" w:lineRule="auto"/>
              <w:jc w:val="left"/>
              <w:rPr>
                <w:rFonts w:ascii="Arial Narrow" w:hAnsi="Arial Narrow"/>
                <w:u w:val="single"/>
                <w:lang w:val="en-GB" w:eastAsia="ja-JP"/>
              </w:rPr>
            </w:pPr>
          </w:p>
        </w:tc>
        <w:tc>
          <w:tcPr>
            <w:tcW w:w="2560" w:type="dxa"/>
            <w:gridSpan w:val="2"/>
            <w:vMerge/>
            <w:vAlign w:val="center"/>
          </w:tcPr>
          <w:p w:rsidR="00EB408D" w:rsidRPr="00427237" w:rsidRDefault="00EB408D" w:rsidP="00487241">
            <w:pPr>
              <w:tabs>
                <w:tab w:val="left" w:pos="2835"/>
              </w:tabs>
              <w:spacing w:after="0" w:line="240" w:lineRule="auto"/>
              <w:jc w:val="center"/>
              <w:rPr>
                <w:rFonts w:ascii="Arial Narrow" w:hAnsi="Arial Narrow"/>
                <w:lang w:val="en-GB" w:eastAsia="ja-JP"/>
              </w:rPr>
            </w:pPr>
          </w:p>
        </w:tc>
        <w:tc>
          <w:tcPr>
            <w:tcW w:w="2369" w:type="dxa"/>
            <w:vMerge/>
            <w:vAlign w:val="center"/>
          </w:tcPr>
          <w:p w:rsidR="00EB408D" w:rsidRPr="00427237" w:rsidRDefault="00EB408D" w:rsidP="00487241">
            <w:pPr>
              <w:tabs>
                <w:tab w:val="left" w:pos="2835"/>
              </w:tabs>
              <w:spacing w:after="0" w:line="240" w:lineRule="auto"/>
              <w:jc w:val="center"/>
              <w:rPr>
                <w:rFonts w:ascii="Arial Narrow" w:hAnsi="Arial Narrow"/>
                <w:lang w:val="en-GB" w:eastAsia="ja-JP"/>
              </w:rPr>
            </w:pPr>
          </w:p>
        </w:tc>
        <w:tc>
          <w:tcPr>
            <w:tcW w:w="1548" w:type="dxa"/>
          </w:tcPr>
          <w:p w:rsidR="00EB408D" w:rsidRPr="00427237" w:rsidRDefault="00EB408D" w:rsidP="00487241">
            <w:pPr>
              <w:tabs>
                <w:tab w:val="left" w:pos="2835"/>
              </w:tabs>
              <w:spacing w:after="0" w:line="240" w:lineRule="auto"/>
              <w:rPr>
                <w:rFonts w:ascii="Arial Narrow" w:hAnsi="Arial Narrow"/>
                <w:szCs w:val="22"/>
                <w:u w:val="single"/>
                <w:lang w:val="en-GB" w:eastAsia="ja-JP"/>
              </w:rPr>
            </w:pPr>
            <w:r w:rsidRPr="00427237">
              <w:rPr>
                <w:rFonts w:ascii="Arial Narrow" w:hAnsi="Arial Narrow"/>
                <w:szCs w:val="22"/>
                <w:u w:val="single"/>
                <w:lang w:val="en-GB" w:eastAsia="ja-JP"/>
              </w:rPr>
              <w:t>Net harms</w:t>
            </w:r>
          </w:p>
        </w:tc>
        <w:tc>
          <w:tcPr>
            <w:tcW w:w="907" w:type="dxa"/>
            <w:vAlign w:val="center"/>
          </w:tcPr>
          <w:p w:rsidR="00EB408D" w:rsidRPr="00427237" w:rsidRDefault="00EB408D" w:rsidP="00487241">
            <w:pPr>
              <w:tabs>
                <w:tab w:val="left" w:pos="2835"/>
              </w:tabs>
              <w:spacing w:after="0" w:line="240" w:lineRule="auto"/>
              <w:jc w:val="center"/>
              <w:rPr>
                <w:rFonts w:ascii="Arial Narrow" w:hAnsi="Arial Narrow"/>
                <w:szCs w:val="22"/>
                <w:lang w:val="en-GB" w:eastAsia="ja-JP"/>
              </w:rPr>
            </w:pPr>
            <w:r w:rsidRPr="00427237">
              <w:rPr>
                <w:rFonts w:ascii="Arial Narrow" w:hAnsi="Arial Narrow"/>
                <w:szCs w:val="22"/>
                <w:lang w:val="en-GB" w:eastAsia="ja-JP"/>
              </w:rPr>
              <w:t>None^</w:t>
            </w:r>
          </w:p>
        </w:tc>
      </w:tr>
      <w:tr w:rsidR="00EB408D" w:rsidRPr="00427237" w:rsidTr="00487241">
        <w:trPr>
          <w:cantSplit/>
          <w:trHeight w:val="750"/>
        </w:trPr>
        <w:tc>
          <w:tcPr>
            <w:tcW w:w="671" w:type="dxa"/>
            <w:vMerge/>
          </w:tcPr>
          <w:p w:rsidR="00EB408D" w:rsidRPr="00427237" w:rsidRDefault="00EB408D" w:rsidP="00487241">
            <w:pPr>
              <w:tabs>
                <w:tab w:val="left" w:pos="2835"/>
              </w:tabs>
              <w:spacing w:after="0" w:line="240" w:lineRule="auto"/>
              <w:rPr>
                <w:rFonts w:ascii="Arial Narrow" w:hAnsi="Arial Narrow"/>
                <w:lang w:val="en-GB" w:eastAsia="ja-JP"/>
              </w:rPr>
            </w:pPr>
          </w:p>
        </w:tc>
        <w:tc>
          <w:tcPr>
            <w:tcW w:w="1085" w:type="dxa"/>
            <w:vAlign w:val="center"/>
          </w:tcPr>
          <w:p w:rsidR="00EB408D" w:rsidRPr="00427237" w:rsidRDefault="00EB408D" w:rsidP="00487241">
            <w:pPr>
              <w:tabs>
                <w:tab w:val="left" w:pos="2835"/>
              </w:tabs>
              <w:spacing w:after="0" w:line="240" w:lineRule="auto"/>
              <w:jc w:val="left"/>
              <w:rPr>
                <w:rFonts w:ascii="Arial Narrow" w:hAnsi="Arial Narrow"/>
                <w:szCs w:val="22"/>
                <w:u w:val="single"/>
                <w:lang w:val="en-GB" w:eastAsia="ja-JP"/>
              </w:rPr>
            </w:pPr>
            <w:r w:rsidRPr="00427237">
              <w:rPr>
                <w:rFonts w:ascii="Arial Narrow" w:hAnsi="Arial Narrow"/>
                <w:szCs w:val="22"/>
                <w:u w:val="single"/>
                <w:lang w:val="en-GB" w:eastAsia="ja-JP"/>
              </w:rPr>
              <w:t>Non-inferior</w:t>
            </w:r>
          </w:p>
        </w:tc>
        <w:tc>
          <w:tcPr>
            <w:tcW w:w="2560" w:type="dxa"/>
            <w:gridSpan w:val="2"/>
            <w:vAlign w:val="center"/>
          </w:tcPr>
          <w:p w:rsidR="00EB408D" w:rsidRPr="00427237" w:rsidRDefault="00EB408D" w:rsidP="00487241">
            <w:pPr>
              <w:tabs>
                <w:tab w:val="left" w:pos="2835"/>
              </w:tabs>
              <w:spacing w:after="0" w:line="240" w:lineRule="auto"/>
              <w:jc w:val="center"/>
              <w:rPr>
                <w:rFonts w:ascii="Arial Narrow" w:hAnsi="Arial Narrow"/>
                <w:szCs w:val="22"/>
                <w:lang w:val="en-GB" w:eastAsia="ja-JP"/>
              </w:rPr>
            </w:pPr>
            <w:r w:rsidRPr="00427237">
              <w:rPr>
                <w:rFonts w:ascii="Arial Narrow" w:hAnsi="Arial Narrow"/>
                <w:szCs w:val="22"/>
                <w:lang w:val="en-GB" w:eastAsia="ja-JP"/>
              </w:rPr>
              <w:t>CEA/CUA</w:t>
            </w:r>
          </w:p>
        </w:tc>
        <w:tc>
          <w:tcPr>
            <w:tcW w:w="2369" w:type="dxa"/>
            <w:vAlign w:val="center"/>
          </w:tcPr>
          <w:p w:rsidR="00EB408D" w:rsidRPr="00427237" w:rsidRDefault="00EB408D" w:rsidP="00487241">
            <w:pPr>
              <w:tabs>
                <w:tab w:val="left" w:pos="2835"/>
              </w:tabs>
              <w:spacing w:after="0" w:line="240" w:lineRule="auto"/>
              <w:jc w:val="center"/>
              <w:rPr>
                <w:rFonts w:ascii="Arial Narrow" w:hAnsi="Arial Narrow"/>
                <w:szCs w:val="22"/>
                <w:lang w:val="en-GB" w:eastAsia="ja-JP"/>
              </w:rPr>
            </w:pPr>
            <w:r w:rsidRPr="00427237">
              <w:rPr>
                <w:rFonts w:ascii="Arial Narrow" w:hAnsi="Arial Narrow"/>
                <w:szCs w:val="22"/>
                <w:lang w:val="en-GB" w:eastAsia="ja-JP"/>
              </w:rPr>
              <w:t>CEA/CUA*</w:t>
            </w:r>
          </w:p>
        </w:tc>
        <w:tc>
          <w:tcPr>
            <w:tcW w:w="2455" w:type="dxa"/>
            <w:gridSpan w:val="2"/>
            <w:vAlign w:val="center"/>
          </w:tcPr>
          <w:p w:rsidR="00EB408D" w:rsidRPr="00427237" w:rsidRDefault="00EB408D" w:rsidP="00487241">
            <w:pPr>
              <w:tabs>
                <w:tab w:val="left" w:pos="2835"/>
              </w:tabs>
              <w:spacing w:after="0" w:line="240" w:lineRule="auto"/>
              <w:jc w:val="center"/>
              <w:rPr>
                <w:rFonts w:ascii="Arial Narrow" w:hAnsi="Arial Narrow"/>
                <w:szCs w:val="22"/>
                <w:lang w:val="en-GB" w:eastAsia="ja-JP"/>
              </w:rPr>
            </w:pPr>
            <w:r w:rsidRPr="00427237">
              <w:rPr>
                <w:rFonts w:ascii="Arial Narrow" w:hAnsi="Arial Narrow"/>
                <w:szCs w:val="22"/>
                <w:lang w:val="en-GB" w:eastAsia="ja-JP"/>
              </w:rPr>
              <w:t>None^</w:t>
            </w:r>
          </w:p>
        </w:tc>
      </w:tr>
      <w:tr w:rsidR="00EB408D" w:rsidRPr="00427237" w:rsidTr="00487241">
        <w:trPr>
          <w:cantSplit/>
          <w:trHeight w:val="20"/>
        </w:trPr>
        <w:tc>
          <w:tcPr>
            <w:tcW w:w="671" w:type="dxa"/>
            <w:vMerge/>
          </w:tcPr>
          <w:p w:rsidR="00EB408D" w:rsidRPr="00427237" w:rsidRDefault="00EB408D" w:rsidP="00487241">
            <w:pPr>
              <w:tabs>
                <w:tab w:val="left" w:pos="2835"/>
              </w:tabs>
              <w:spacing w:after="0" w:line="240" w:lineRule="auto"/>
              <w:rPr>
                <w:rFonts w:ascii="Arial Narrow" w:hAnsi="Arial Narrow"/>
                <w:lang w:val="en-GB" w:eastAsia="ja-JP"/>
              </w:rPr>
            </w:pPr>
          </w:p>
        </w:tc>
        <w:tc>
          <w:tcPr>
            <w:tcW w:w="1085" w:type="dxa"/>
            <w:vMerge w:val="restart"/>
            <w:vAlign w:val="center"/>
          </w:tcPr>
          <w:p w:rsidR="00EB408D" w:rsidRPr="00427237" w:rsidRDefault="00EB408D" w:rsidP="00487241">
            <w:pPr>
              <w:tabs>
                <w:tab w:val="left" w:pos="2835"/>
              </w:tabs>
              <w:spacing w:after="0" w:line="240" w:lineRule="auto"/>
              <w:jc w:val="left"/>
              <w:rPr>
                <w:rFonts w:ascii="Arial Narrow" w:hAnsi="Arial Narrow"/>
                <w:szCs w:val="22"/>
                <w:u w:val="single"/>
                <w:lang w:val="en-GB" w:eastAsia="ja-JP"/>
              </w:rPr>
            </w:pPr>
            <w:r w:rsidRPr="00427237">
              <w:rPr>
                <w:rFonts w:ascii="Arial Narrow" w:hAnsi="Arial Narrow"/>
                <w:szCs w:val="22"/>
                <w:u w:val="single"/>
                <w:lang w:val="en-GB" w:eastAsia="ja-JP"/>
              </w:rPr>
              <w:t>Inferior</w:t>
            </w:r>
          </w:p>
        </w:tc>
        <w:tc>
          <w:tcPr>
            <w:tcW w:w="1583" w:type="dxa"/>
            <w:vAlign w:val="center"/>
          </w:tcPr>
          <w:p w:rsidR="00EB408D" w:rsidRPr="00427237" w:rsidRDefault="00EB408D" w:rsidP="00487241">
            <w:pPr>
              <w:tabs>
                <w:tab w:val="left" w:pos="2835"/>
              </w:tabs>
              <w:spacing w:after="0" w:line="240" w:lineRule="auto"/>
              <w:jc w:val="left"/>
              <w:rPr>
                <w:rFonts w:ascii="Arial Narrow" w:hAnsi="Arial Narrow"/>
                <w:szCs w:val="22"/>
                <w:u w:val="single"/>
                <w:lang w:val="en-GB" w:eastAsia="ja-JP"/>
              </w:rPr>
            </w:pPr>
            <w:r w:rsidRPr="00427237">
              <w:rPr>
                <w:rFonts w:ascii="Arial Narrow" w:hAnsi="Arial Narrow"/>
                <w:szCs w:val="22"/>
                <w:u w:val="single"/>
                <w:lang w:val="en-GB" w:eastAsia="ja-JP"/>
              </w:rPr>
              <w:t>Net clinical benefit</w:t>
            </w:r>
          </w:p>
        </w:tc>
        <w:tc>
          <w:tcPr>
            <w:tcW w:w="977" w:type="dxa"/>
            <w:vAlign w:val="center"/>
          </w:tcPr>
          <w:p w:rsidR="00EB408D" w:rsidRPr="00427237" w:rsidRDefault="00EB408D" w:rsidP="00487241">
            <w:pPr>
              <w:tabs>
                <w:tab w:val="left" w:pos="2835"/>
              </w:tabs>
              <w:spacing w:after="0" w:line="240" w:lineRule="auto"/>
              <w:jc w:val="center"/>
              <w:rPr>
                <w:rFonts w:ascii="Arial Narrow" w:hAnsi="Arial Narrow"/>
                <w:szCs w:val="22"/>
                <w:lang w:val="en-GB" w:eastAsia="ja-JP"/>
              </w:rPr>
            </w:pPr>
            <w:r w:rsidRPr="00427237">
              <w:rPr>
                <w:rFonts w:ascii="Arial Narrow" w:hAnsi="Arial Narrow"/>
                <w:szCs w:val="22"/>
                <w:lang w:val="en-GB" w:eastAsia="ja-JP"/>
              </w:rPr>
              <w:t>CEA/CUA</w:t>
            </w:r>
          </w:p>
        </w:tc>
        <w:tc>
          <w:tcPr>
            <w:tcW w:w="2369" w:type="dxa"/>
            <w:vMerge w:val="restart"/>
            <w:vAlign w:val="center"/>
          </w:tcPr>
          <w:p w:rsidR="00EB408D" w:rsidRPr="00427237" w:rsidRDefault="00EB408D" w:rsidP="00487241">
            <w:pPr>
              <w:tabs>
                <w:tab w:val="left" w:pos="2835"/>
              </w:tabs>
              <w:spacing w:after="0" w:line="240" w:lineRule="auto"/>
              <w:jc w:val="center"/>
              <w:rPr>
                <w:rFonts w:ascii="Arial Narrow" w:hAnsi="Arial Narrow"/>
                <w:szCs w:val="22"/>
                <w:lang w:val="en-GB" w:eastAsia="ja-JP"/>
              </w:rPr>
            </w:pPr>
            <w:r w:rsidRPr="00427237">
              <w:rPr>
                <w:rFonts w:ascii="Arial Narrow" w:hAnsi="Arial Narrow"/>
                <w:szCs w:val="22"/>
                <w:lang w:val="en-GB" w:eastAsia="ja-JP"/>
              </w:rPr>
              <w:t>None^</w:t>
            </w:r>
          </w:p>
        </w:tc>
        <w:tc>
          <w:tcPr>
            <w:tcW w:w="2455" w:type="dxa"/>
            <w:gridSpan w:val="2"/>
            <w:vMerge w:val="restart"/>
            <w:vAlign w:val="center"/>
          </w:tcPr>
          <w:p w:rsidR="00EB408D" w:rsidRPr="00427237" w:rsidRDefault="00EB408D" w:rsidP="00487241">
            <w:pPr>
              <w:tabs>
                <w:tab w:val="left" w:pos="2835"/>
              </w:tabs>
              <w:spacing w:after="0" w:line="240" w:lineRule="auto"/>
              <w:jc w:val="center"/>
              <w:rPr>
                <w:rFonts w:ascii="Arial Narrow" w:hAnsi="Arial Narrow"/>
                <w:szCs w:val="22"/>
                <w:lang w:val="en-GB" w:eastAsia="ja-JP"/>
              </w:rPr>
            </w:pPr>
            <w:r w:rsidRPr="00427237">
              <w:rPr>
                <w:rFonts w:ascii="Arial Narrow" w:hAnsi="Arial Narrow"/>
                <w:szCs w:val="22"/>
                <w:lang w:val="en-GB" w:eastAsia="ja-JP"/>
              </w:rPr>
              <w:t>None^</w:t>
            </w:r>
          </w:p>
        </w:tc>
      </w:tr>
      <w:tr w:rsidR="00EB408D" w:rsidRPr="00427237" w:rsidTr="00487241">
        <w:trPr>
          <w:trHeight w:val="20"/>
        </w:trPr>
        <w:tc>
          <w:tcPr>
            <w:tcW w:w="671" w:type="dxa"/>
            <w:vMerge/>
          </w:tcPr>
          <w:p w:rsidR="00EB408D" w:rsidRPr="00427237" w:rsidRDefault="00EB408D" w:rsidP="00487241">
            <w:pPr>
              <w:tabs>
                <w:tab w:val="left" w:pos="2835"/>
              </w:tabs>
              <w:spacing w:after="0" w:line="240" w:lineRule="auto"/>
              <w:rPr>
                <w:rFonts w:ascii="Arial Narrow" w:hAnsi="Arial Narrow"/>
                <w:lang w:val="en-GB" w:eastAsia="ja-JP"/>
              </w:rPr>
            </w:pPr>
          </w:p>
        </w:tc>
        <w:tc>
          <w:tcPr>
            <w:tcW w:w="1085" w:type="dxa"/>
            <w:vMerge/>
          </w:tcPr>
          <w:p w:rsidR="00EB408D" w:rsidRPr="00427237" w:rsidRDefault="00EB408D" w:rsidP="00487241">
            <w:pPr>
              <w:tabs>
                <w:tab w:val="left" w:pos="2835"/>
              </w:tabs>
              <w:spacing w:after="0" w:line="240" w:lineRule="auto"/>
              <w:rPr>
                <w:rFonts w:ascii="Arial Narrow" w:hAnsi="Arial Narrow"/>
                <w:lang w:val="en-GB" w:eastAsia="ja-JP"/>
              </w:rPr>
            </w:pPr>
          </w:p>
        </w:tc>
        <w:tc>
          <w:tcPr>
            <w:tcW w:w="1583" w:type="dxa"/>
            <w:vAlign w:val="center"/>
          </w:tcPr>
          <w:p w:rsidR="00EB408D" w:rsidRPr="00427237" w:rsidRDefault="00EB408D" w:rsidP="00487241">
            <w:pPr>
              <w:tabs>
                <w:tab w:val="left" w:pos="2835"/>
              </w:tabs>
              <w:spacing w:after="0" w:line="240" w:lineRule="auto"/>
              <w:jc w:val="left"/>
              <w:rPr>
                <w:rFonts w:ascii="Arial Narrow" w:hAnsi="Arial Narrow"/>
                <w:szCs w:val="22"/>
                <w:u w:val="single"/>
                <w:lang w:val="en-GB" w:eastAsia="ja-JP"/>
              </w:rPr>
            </w:pPr>
            <w:r w:rsidRPr="00427237">
              <w:rPr>
                <w:rFonts w:ascii="Arial Narrow" w:hAnsi="Arial Narrow"/>
                <w:szCs w:val="22"/>
                <w:u w:val="single"/>
                <w:lang w:val="en-GB" w:eastAsia="ja-JP"/>
              </w:rPr>
              <w:t>Neutral benefit</w:t>
            </w:r>
          </w:p>
        </w:tc>
        <w:tc>
          <w:tcPr>
            <w:tcW w:w="977" w:type="dxa"/>
            <w:vAlign w:val="center"/>
          </w:tcPr>
          <w:p w:rsidR="00EB408D" w:rsidRPr="00427237" w:rsidRDefault="00EB408D" w:rsidP="00487241">
            <w:pPr>
              <w:tabs>
                <w:tab w:val="left" w:pos="2835"/>
              </w:tabs>
              <w:spacing w:after="0" w:line="240" w:lineRule="auto"/>
              <w:jc w:val="center"/>
              <w:rPr>
                <w:rFonts w:ascii="Arial Narrow" w:hAnsi="Arial Narrow"/>
                <w:szCs w:val="22"/>
                <w:lang w:val="en-GB" w:eastAsia="ja-JP"/>
              </w:rPr>
            </w:pPr>
            <w:r w:rsidRPr="00427237">
              <w:rPr>
                <w:rFonts w:ascii="Arial Narrow" w:hAnsi="Arial Narrow"/>
                <w:szCs w:val="22"/>
                <w:lang w:val="en-GB" w:eastAsia="ja-JP"/>
              </w:rPr>
              <w:t>CEA/CUA*</w:t>
            </w:r>
          </w:p>
        </w:tc>
        <w:tc>
          <w:tcPr>
            <w:tcW w:w="2369" w:type="dxa"/>
            <w:vMerge/>
            <w:vAlign w:val="center"/>
          </w:tcPr>
          <w:p w:rsidR="00EB408D" w:rsidRPr="00427237" w:rsidRDefault="00EB408D" w:rsidP="00487241">
            <w:pPr>
              <w:tabs>
                <w:tab w:val="left" w:pos="2835"/>
              </w:tabs>
              <w:spacing w:after="0" w:line="240" w:lineRule="auto"/>
              <w:jc w:val="center"/>
              <w:rPr>
                <w:rFonts w:ascii="Arial Narrow" w:hAnsi="Arial Narrow"/>
                <w:lang w:val="en-GB" w:eastAsia="ja-JP"/>
              </w:rPr>
            </w:pPr>
          </w:p>
        </w:tc>
        <w:tc>
          <w:tcPr>
            <w:tcW w:w="2455" w:type="dxa"/>
            <w:gridSpan w:val="2"/>
            <w:vMerge/>
          </w:tcPr>
          <w:p w:rsidR="00EB408D" w:rsidRPr="00427237" w:rsidRDefault="00EB408D" w:rsidP="00487241">
            <w:pPr>
              <w:tabs>
                <w:tab w:val="left" w:pos="2835"/>
              </w:tabs>
              <w:spacing w:after="0" w:line="240" w:lineRule="auto"/>
              <w:rPr>
                <w:rFonts w:ascii="Arial Narrow" w:hAnsi="Arial Narrow"/>
                <w:lang w:val="en-GB" w:eastAsia="ja-JP"/>
              </w:rPr>
            </w:pPr>
          </w:p>
        </w:tc>
      </w:tr>
      <w:tr w:rsidR="00EB408D" w:rsidRPr="00427237" w:rsidTr="00487241">
        <w:trPr>
          <w:trHeight w:val="20"/>
        </w:trPr>
        <w:tc>
          <w:tcPr>
            <w:tcW w:w="671" w:type="dxa"/>
            <w:vMerge/>
          </w:tcPr>
          <w:p w:rsidR="00EB408D" w:rsidRPr="00427237" w:rsidRDefault="00EB408D" w:rsidP="00487241">
            <w:pPr>
              <w:tabs>
                <w:tab w:val="left" w:pos="2835"/>
              </w:tabs>
              <w:spacing w:after="0" w:line="240" w:lineRule="auto"/>
              <w:rPr>
                <w:rFonts w:ascii="Arial Narrow" w:hAnsi="Arial Narrow"/>
                <w:lang w:val="en-GB" w:eastAsia="ja-JP"/>
              </w:rPr>
            </w:pPr>
          </w:p>
        </w:tc>
        <w:tc>
          <w:tcPr>
            <w:tcW w:w="1085" w:type="dxa"/>
            <w:vMerge/>
          </w:tcPr>
          <w:p w:rsidR="00EB408D" w:rsidRPr="00427237" w:rsidRDefault="00EB408D" w:rsidP="00487241">
            <w:pPr>
              <w:tabs>
                <w:tab w:val="left" w:pos="2835"/>
              </w:tabs>
              <w:spacing w:after="0" w:line="240" w:lineRule="auto"/>
              <w:rPr>
                <w:rFonts w:ascii="Arial Narrow" w:hAnsi="Arial Narrow"/>
                <w:lang w:val="en-GB" w:eastAsia="ja-JP"/>
              </w:rPr>
            </w:pPr>
          </w:p>
        </w:tc>
        <w:tc>
          <w:tcPr>
            <w:tcW w:w="1583" w:type="dxa"/>
            <w:vAlign w:val="center"/>
          </w:tcPr>
          <w:p w:rsidR="00EB408D" w:rsidRPr="00427237" w:rsidRDefault="00EB408D" w:rsidP="00487241">
            <w:pPr>
              <w:tabs>
                <w:tab w:val="left" w:pos="2835"/>
              </w:tabs>
              <w:spacing w:after="0" w:line="240" w:lineRule="auto"/>
              <w:jc w:val="left"/>
              <w:rPr>
                <w:rFonts w:ascii="Arial Narrow" w:hAnsi="Arial Narrow"/>
                <w:szCs w:val="22"/>
                <w:u w:val="single"/>
                <w:lang w:val="en-GB" w:eastAsia="ja-JP"/>
              </w:rPr>
            </w:pPr>
            <w:r w:rsidRPr="00427237">
              <w:rPr>
                <w:rFonts w:ascii="Arial Narrow" w:hAnsi="Arial Narrow"/>
                <w:szCs w:val="22"/>
                <w:u w:val="single"/>
                <w:lang w:val="en-GB" w:eastAsia="ja-JP"/>
              </w:rPr>
              <w:t>Net harms</w:t>
            </w:r>
          </w:p>
        </w:tc>
        <w:tc>
          <w:tcPr>
            <w:tcW w:w="977" w:type="dxa"/>
            <w:vAlign w:val="center"/>
          </w:tcPr>
          <w:p w:rsidR="00EB408D" w:rsidRPr="00427237" w:rsidRDefault="00EB408D" w:rsidP="00487241">
            <w:pPr>
              <w:tabs>
                <w:tab w:val="left" w:pos="2835"/>
              </w:tabs>
              <w:spacing w:after="0" w:line="240" w:lineRule="auto"/>
              <w:jc w:val="center"/>
              <w:rPr>
                <w:rFonts w:ascii="Arial Narrow" w:hAnsi="Arial Narrow"/>
                <w:szCs w:val="22"/>
                <w:lang w:val="en-GB" w:eastAsia="ja-JP"/>
              </w:rPr>
            </w:pPr>
            <w:r w:rsidRPr="00427237">
              <w:rPr>
                <w:rFonts w:ascii="Arial Narrow" w:hAnsi="Arial Narrow"/>
                <w:szCs w:val="22"/>
                <w:lang w:val="en-GB" w:eastAsia="ja-JP"/>
              </w:rPr>
              <w:t>None^</w:t>
            </w:r>
          </w:p>
        </w:tc>
        <w:tc>
          <w:tcPr>
            <w:tcW w:w="2369" w:type="dxa"/>
            <w:vMerge/>
            <w:vAlign w:val="center"/>
          </w:tcPr>
          <w:p w:rsidR="00EB408D" w:rsidRPr="00427237" w:rsidRDefault="00EB408D" w:rsidP="00487241">
            <w:pPr>
              <w:tabs>
                <w:tab w:val="left" w:pos="2835"/>
              </w:tabs>
              <w:spacing w:after="0" w:line="240" w:lineRule="auto"/>
              <w:jc w:val="center"/>
              <w:rPr>
                <w:rFonts w:ascii="Arial Narrow" w:hAnsi="Arial Narrow"/>
                <w:lang w:val="en-GB" w:eastAsia="ja-JP"/>
              </w:rPr>
            </w:pPr>
          </w:p>
        </w:tc>
        <w:tc>
          <w:tcPr>
            <w:tcW w:w="2455" w:type="dxa"/>
            <w:gridSpan w:val="2"/>
            <w:vMerge/>
          </w:tcPr>
          <w:p w:rsidR="00EB408D" w:rsidRPr="00427237" w:rsidRDefault="00EB408D" w:rsidP="00487241">
            <w:pPr>
              <w:tabs>
                <w:tab w:val="left" w:pos="2835"/>
              </w:tabs>
              <w:spacing w:after="0" w:line="240" w:lineRule="auto"/>
              <w:rPr>
                <w:rFonts w:ascii="Arial Narrow" w:hAnsi="Arial Narrow"/>
                <w:lang w:val="en-GB" w:eastAsia="ja-JP"/>
              </w:rPr>
            </w:pPr>
          </w:p>
        </w:tc>
      </w:tr>
    </w:tbl>
    <w:p w:rsidR="00EB408D" w:rsidRPr="00427237" w:rsidRDefault="00EB408D" w:rsidP="00EB408D">
      <w:pPr>
        <w:tabs>
          <w:tab w:val="left" w:pos="284"/>
        </w:tabs>
        <w:spacing w:after="0" w:line="240" w:lineRule="auto"/>
        <w:ind w:left="284" w:hanging="284"/>
        <w:rPr>
          <w:rFonts w:ascii="Arial Narrow" w:hAnsi="Arial Narrow"/>
          <w:szCs w:val="22"/>
          <w:lang w:val="en-GB" w:eastAsia="ja-JP"/>
        </w:rPr>
      </w:pPr>
      <w:r w:rsidRPr="00427237">
        <w:rPr>
          <w:rFonts w:ascii="Arial Narrow" w:hAnsi="Arial Narrow"/>
          <w:szCs w:val="22"/>
          <w:lang w:val="en-GB" w:eastAsia="ja-JP"/>
        </w:rPr>
        <w:t>Abbreviations:  CEA = cost-effectiveness analysis; CUA = cost-utility analysis</w:t>
      </w:r>
    </w:p>
    <w:p w:rsidR="00EB408D" w:rsidRPr="00427237" w:rsidRDefault="00EB408D" w:rsidP="00EB408D">
      <w:pPr>
        <w:tabs>
          <w:tab w:val="left" w:pos="284"/>
        </w:tabs>
        <w:spacing w:after="0" w:line="240" w:lineRule="auto"/>
        <w:ind w:left="284" w:hanging="284"/>
        <w:rPr>
          <w:rFonts w:ascii="Arial Narrow" w:hAnsi="Arial Narrow"/>
          <w:szCs w:val="22"/>
          <w:lang w:val="en-GB" w:eastAsia="ja-JP"/>
        </w:rPr>
      </w:pPr>
      <w:r w:rsidRPr="00427237">
        <w:rPr>
          <w:rFonts w:ascii="Arial Narrow" w:hAnsi="Arial Narrow"/>
          <w:szCs w:val="22"/>
          <w:lang w:val="en-GB" w:eastAsia="ja-JP"/>
        </w:rPr>
        <w:t>*</w:t>
      </w:r>
      <w:r w:rsidRPr="00427237">
        <w:rPr>
          <w:rFonts w:ascii="Arial Narrow" w:hAnsi="Arial Narrow"/>
          <w:szCs w:val="22"/>
          <w:lang w:val="en-GB" w:eastAsia="ja-JP"/>
        </w:rPr>
        <w:tab/>
        <w:t>May be reduced to cost-minimisation analysis. Cost-minimisation analysis should only be presented when the proposed service has been indisputably demonstrated to be no worse than its main comparator(s) in terms of both effectiveness and safety, so the difference between the service and the appropriate comparator can be reduced to a comparison of costs. In most cases, there will be some uncertainty around such a conclusion (i.e., the conclusion is often not indisputable). Therefore, when an assessment concludes that an intervention was no worse than a comparator, an assessment of the uncertainty around this conclusion should be provided by presentation of cost-effectiveness and/or cost-utility analyses.</w:t>
      </w:r>
    </w:p>
    <w:p w:rsidR="00EB408D" w:rsidRPr="00427237" w:rsidRDefault="00EB408D" w:rsidP="00EB408D">
      <w:pPr>
        <w:tabs>
          <w:tab w:val="left" w:pos="284"/>
        </w:tabs>
        <w:spacing w:line="240" w:lineRule="auto"/>
        <w:rPr>
          <w:rFonts w:ascii="Arial Narrow" w:hAnsi="Arial Narrow"/>
          <w:szCs w:val="22"/>
          <w:lang w:val="en-GB" w:eastAsia="ja-JP"/>
        </w:rPr>
      </w:pPr>
      <w:r w:rsidRPr="00427237">
        <w:rPr>
          <w:rFonts w:ascii="Arial Narrow" w:hAnsi="Arial Narrow"/>
          <w:szCs w:val="22"/>
          <w:lang w:val="en-GB" w:eastAsia="ja-JP"/>
        </w:rPr>
        <w:t>^</w:t>
      </w:r>
      <w:r w:rsidRPr="00427237">
        <w:rPr>
          <w:rFonts w:ascii="Arial Narrow" w:hAnsi="Arial Narrow"/>
          <w:szCs w:val="22"/>
          <w:lang w:val="en-GB" w:eastAsia="ja-JP"/>
        </w:rPr>
        <w:tab/>
        <w:t>No economic evaluation needs to be presented; MSAC is unlikely to recommend government subsidy of this intervention</w:t>
      </w:r>
    </w:p>
    <w:p w:rsidR="00764546" w:rsidRPr="00427237" w:rsidRDefault="00764546" w:rsidP="00EB408D">
      <w:pPr>
        <w:tabs>
          <w:tab w:val="left" w:pos="284"/>
        </w:tabs>
        <w:spacing w:line="240" w:lineRule="auto"/>
        <w:rPr>
          <w:rFonts w:ascii="Arial Narrow" w:hAnsi="Arial Narrow"/>
          <w:szCs w:val="22"/>
          <w:lang w:val="en-GB" w:eastAsia="ja-JP"/>
        </w:rPr>
      </w:pPr>
    </w:p>
    <w:p w:rsidR="00942A3B" w:rsidRPr="00427237" w:rsidRDefault="00942A3B" w:rsidP="00942A3B">
      <w:pPr>
        <w:pStyle w:val="Heading2"/>
      </w:pPr>
      <w:bookmarkStart w:id="82" w:name="_Ref371347966"/>
      <w:bookmarkStart w:id="83" w:name="_Ref371347968"/>
      <w:bookmarkStart w:id="84" w:name="_Toc379534821"/>
      <w:bookmarkStart w:id="85" w:name="_Toc379962715"/>
      <w:r w:rsidRPr="00427237">
        <w:t>Health care resources</w:t>
      </w:r>
      <w:bookmarkEnd w:id="82"/>
      <w:bookmarkEnd w:id="83"/>
      <w:bookmarkEnd w:id="84"/>
      <w:bookmarkEnd w:id="85"/>
    </w:p>
    <w:p w:rsidR="002176F5" w:rsidRPr="00427237" w:rsidRDefault="00BE4356" w:rsidP="00BE4356">
      <w:pPr>
        <w:pStyle w:val="Caption"/>
      </w:pPr>
      <w:r w:rsidRPr="00427237">
        <w:t xml:space="preserve">Table </w:t>
      </w:r>
      <w:r w:rsidR="00BF57C1" w:rsidRPr="00427237">
        <w:rPr>
          <w:noProof/>
        </w:rPr>
        <w:t>5</w:t>
      </w:r>
      <w:r w:rsidR="002176F5" w:rsidRPr="00427237">
        <w:t>:</w:t>
      </w:r>
      <w:r w:rsidR="002176F5" w:rsidRPr="00427237">
        <w:tab/>
        <w:t xml:space="preserve">List of resources to be considered for the diagnostic </w:t>
      </w:r>
      <w:r w:rsidR="002B6639" w:rsidRPr="00427237">
        <w:t xml:space="preserve">index </w:t>
      </w:r>
      <w:r w:rsidR="002176F5" w:rsidRPr="00427237">
        <w:t>tests in the economic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1"/>
        <w:gridCol w:w="1668"/>
        <w:gridCol w:w="1617"/>
        <w:gridCol w:w="1469"/>
        <w:gridCol w:w="1347"/>
      </w:tblGrid>
      <w:tr w:rsidR="00910598" w:rsidRPr="00427237" w:rsidTr="00E22F3C">
        <w:tc>
          <w:tcPr>
            <w:tcW w:w="1699" w:type="pct"/>
          </w:tcPr>
          <w:p w:rsidR="00910598" w:rsidRPr="00427237" w:rsidRDefault="00910598" w:rsidP="00026771">
            <w:pPr>
              <w:pStyle w:val="TableText"/>
              <w:tabs>
                <w:tab w:val="left" w:pos="2835"/>
              </w:tabs>
              <w:spacing w:before="40"/>
              <w:rPr>
                <w:b/>
              </w:rPr>
            </w:pPr>
            <w:r w:rsidRPr="00427237">
              <w:rPr>
                <w:b/>
              </w:rPr>
              <w:t>Resource</w:t>
            </w:r>
          </w:p>
        </w:tc>
        <w:tc>
          <w:tcPr>
            <w:tcW w:w="902" w:type="pct"/>
          </w:tcPr>
          <w:p w:rsidR="00910598" w:rsidRPr="00427237" w:rsidRDefault="00910598" w:rsidP="00026771">
            <w:pPr>
              <w:pStyle w:val="TableText"/>
              <w:tabs>
                <w:tab w:val="left" w:pos="2835"/>
              </w:tabs>
              <w:spacing w:before="40"/>
              <w:rPr>
                <w:b/>
              </w:rPr>
            </w:pPr>
            <w:r w:rsidRPr="00427237">
              <w:rPr>
                <w:b/>
              </w:rPr>
              <w:t>Provider of resource</w:t>
            </w:r>
          </w:p>
        </w:tc>
        <w:tc>
          <w:tcPr>
            <w:tcW w:w="875" w:type="pct"/>
          </w:tcPr>
          <w:p w:rsidR="00910598" w:rsidRPr="00427237" w:rsidRDefault="00910598" w:rsidP="00026771">
            <w:pPr>
              <w:pStyle w:val="TableText"/>
              <w:tabs>
                <w:tab w:val="left" w:pos="2835"/>
              </w:tabs>
              <w:spacing w:before="40"/>
              <w:rPr>
                <w:b/>
              </w:rPr>
            </w:pPr>
            <w:r w:rsidRPr="00427237">
              <w:rPr>
                <w:b/>
              </w:rPr>
              <w:t>Setting in which resource is provided</w:t>
            </w:r>
          </w:p>
        </w:tc>
        <w:tc>
          <w:tcPr>
            <w:tcW w:w="795" w:type="pct"/>
          </w:tcPr>
          <w:p w:rsidR="00910598" w:rsidRPr="00427237" w:rsidRDefault="00910598" w:rsidP="00026771">
            <w:pPr>
              <w:pStyle w:val="TableText"/>
              <w:tabs>
                <w:tab w:val="left" w:pos="2835"/>
              </w:tabs>
              <w:spacing w:before="40"/>
              <w:rPr>
                <w:b/>
              </w:rPr>
            </w:pPr>
            <w:r w:rsidRPr="00427237">
              <w:rPr>
                <w:b/>
              </w:rPr>
              <w:t>Unit cost</w:t>
            </w:r>
          </w:p>
        </w:tc>
        <w:tc>
          <w:tcPr>
            <w:tcW w:w="729" w:type="pct"/>
          </w:tcPr>
          <w:p w:rsidR="00910598" w:rsidRPr="00427237" w:rsidRDefault="00910598" w:rsidP="00026771">
            <w:pPr>
              <w:pStyle w:val="TableText"/>
              <w:tabs>
                <w:tab w:val="left" w:pos="2835"/>
              </w:tabs>
              <w:spacing w:before="40"/>
              <w:rPr>
                <w:b/>
              </w:rPr>
            </w:pPr>
            <w:r w:rsidRPr="00427237">
              <w:rPr>
                <w:b/>
              </w:rPr>
              <w:t>Source (MBS/PBS)</w:t>
            </w:r>
          </w:p>
        </w:tc>
      </w:tr>
      <w:tr w:rsidR="00910598" w:rsidRPr="00427237" w:rsidTr="00FC799D">
        <w:tc>
          <w:tcPr>
            <w:tcW w:w="5000" w:type="pct"/>
            <w:gridSpan w:val="5"/>
            <w:shd w:val="clear" w:color="auto" w:fill="D9D9D9" w:themeFill="background1" w:themeFillShade="D9"/>
          </w:tcPr>
          <w:p w:rsidR="00910598" w:rsidRPr="00427237" w:rsidRDefault="00910598" w:rsidP="00E40F43">
            <w:pPr>
              <w:pStyle w:val="TableText"/>
              <w:tabs>
                <w:tab w:val="left" w:pos="2835"/>
              </w:tabs>
              <w:spacing w:before="40"/>
              <w:rPr>
                <w:b/>
              </w:rPr>
            </w:pPr>
            <w:r w:rsidRPr="00427237">
              <w:rPr>
                <w:b/>
              </w:rPr>
              <w:t xml:space="preserve">Resources to deliver proposed diagnostic test (i.e. </w:t>
            </w:r>
            <w:r w:rsidR="00C513A9" w:rsidRPr="00427237">
              <w:rPr>
                <w:b/>
                <w:vertAlign w:val="superscript"/>
              </w:rPr>
              <w:t>18</w:t>
            </w:r>
            <w:r w:rsidR="00C513A9" w:rsidRPr="00427237">
              <w:rPr>
                <w:b/>
              </w:rPr>
              <w:t>F-</w:t>
            </w:r>
            <w:r w:rsidRPr="00427237">
              <w:rPr>
                <w:b/>
              </w:rPr>
              <w:t>FD</w:t>
            </w:r>
            <w:r w:rsidR="00C513A9" w:rsidRPr="00427237">
              <w:rPr>
                <w:b/>
              </w:rPr>
              <w:t>G</w:t>
            </w:r>
            <w:r w:rsidRPr="00427237">
              <w:rPr>
                <w:b/>
              </w:rPr>
              <w:t xml:space="preserve"> PET)</w:t>
            </w:r>
          </w:p>
        </w:tc>
      </w:tr>
      <w:tr w:rsidR="00910598" w:rsidRPr="00427237" w:rsidTr="00E22F3C">
        <w:tc>
          <w:tcPr>
            <w:tcW w:w="1699" w:type="pct"/>
          </w:tcPr>
          <w:p w:rsidR="00910598" w:rsidRPr="00427237" w:rsidRDefault="00910598" w:rsidP="00026771">
            <w:pPr>
              <w:pStyle w:val="TableText"/>
              <w:tabs>
                <w:tab w:val="left" w:pos="2835"/>
              </w:tabs>
              <w:spacing w:before="40"/>
            </w:pPr>
            <w:r w:rsidRPr="00427237">
              <w:t>PET/CT machine</w:t>
            </w:r>
          </w:p>
        </w:tc>
        <w:tc>
          <w:tcPr>
            <w:tcW w:w="902" w:type="pct"/>
          </w:tcPr>
          <w:p w:rsidR="00910598" w:rsidRPr="00427237" w:rsidRDefault="008F7B5C" w:rsidP="00026771">
            <w:pPr>
              <w:pStyle w:val="TableText"/>
              <w:tabs>
                <w:tab w:val="left" w:pos="2835"/>
              </w:tabs>
              <w:spacing w:before="40"/>
            </w:pPr>
            <w:r w:rsidRPr="00427237">
              <w:t>Nuclear Medicine Specialist</w:t>
            </w:r>
          </w:p>
        </w:tc>
        <w:tc>
          <w:tcPr>
            <w:tcW w:w="875" w:type="pct"/>
          </w:tcPr>
          <w:p w:rsidR="00910598" w:rsidRPr="00427237" w:rsidRDefault="00910598" w:rsidP="00026771">
            <w:pPr>
              <w:pStyle w:val="TableText"/>
              <w:tabs>
                <w:tab w:val="left" w:pos="2835"/>
              </w:tabs>
              <w:spacing w:before="40"/>
            </w:pPr>
            <w:r w:rsidRPr="00427237">
              <w:t>Outpatient</w:t>
            </w:r>
          </w:p>
        </w:tc>
        <w:tc>
          <w:tcPr>
            <w:tcW w:w="795" w:type="pct"/>
          </w:tcPr>
          <w:p w:rsidR="00910598" w:rsidRPr="00427237" w:rsidRDefault="00910598" w:rsidP="009B6D52">
            <w:pPr>
              <w:pStyle w:val="TableText"/>
              <w:tabs>
                <w:tab w:val="left" w:pos="2835"/>
              </w:tabs>
              <w:spacing w:before="40"/>
              <w:rPr>
                <w:b/>
              </w:rPr>
            </w:pPr>
          </w:p>
        </w:tc>
        <w:tc>
          <w:tcPr>
            <w:tcW w:w="729" w:type="pct"/>
          </w:tcPr>
          <w:p w:rsidR="00910598" w:rsidRPr="00427237" w:rsidRDefault="00910598" w:rsidP="00EA22A8">
            <w:pPr>
              <w:pStyle w:val="TableText"/>
              <w:tabs>
                <w:tab w:val="left" w:pos="2835"/>
              </w:tabs>
              <w:spacing w:before="40"/>
              <w:rPr>
                <w:b/>
              </w:rPr>
            </w:pPr>
          </w:p>
        </w:tc>
      </w:tr>
      <w:tr w:rsidR="00910598" w:rsidRPr="00427237" w:rsidTr="00E22F3C">
        <w:tc>
          <w:tcPr>
            <w:tcW w:w="1699" w:type="pct"/>
          </w:tcPr>
          <w:p w:rsidR="00910598" w:rsidRPr="00427237" w:rsidRDefault="00910598" w:rsidP="00D76266">
            <w:pPr>
              <w:pStyle w:val="TableText"/>
              <w:tabs>
                <w:tab w:val="left" w:pos="2835"/>
              </w:tabs>
              <w:spacing w:before="40"/>
            </w:pPr>
            <w:r w:rsidRPr="00427237">
              <w:t>2-[</w:t>
            </w:r>
            <w:r w:rsidRPr="00427237">
              <w:rPr>
                <w:vertAlign w:val="superscript"/>
              </w:rPr>
              <w:t>18</w:t>
            </w:r>
            <w:r w:rsidRPr="00427237">
              <w:t>F]fluoro-2-deoxy-D-glucose (</w:t>
            </w:r>
            <w:r w:rsidRPr="00427237">
              <w:rPr>
                <w:vertAlign w:val="superscript"/>
              </w:rPr>
              <w:t>18</w:t>
            </w:r>
            <w:r w:rsidRPr="00427237">
              <w:t>F</w:t>
            </w:r>
            <w:r w:rsidR="00D76266" w:rsidRPr="00427237">
              <w:t>-</w:t>
            </w:r>
            <w:r w:rsidRPr="00427237">
              <w:t>FDG)</w:t>
            </w:r>
          </w:p>
        </w:tc>
        <w:tc>
          <w:tcPr>
            <w:tcW w:w="902" w:type="pct"/>
          </w:tcPr>
          <w:p w:rsidR="00910598" w:rsidRPr="00427237" w:rsidRDefault="00915656" w:rsidP="00026771">
            <w:pPr>
              <w:pStyle w:val="TableText"/>
              <w:tabs>
                <w:tab w:val="left" w:pos="2835"/>
              </w:tabs>
              <w:spacing w:before="40"/>
            </w:pPr>
            <w:r w:rsidRPr="00427237">
              <w:t>Specialist</w:t>
            </w:r>
          </w:p>
        </w:tc>
        <w:tc>
          <w:tcPr>
            <w:tcW w:w="875" w:type="pct"/>
          </w:tcPr>
          <w:p w:rsidR="00910598" w:rsidRPr="00427237" w:rsidRDefault="00910598" w:rsidP="00026771">
            <w:pPr>
              <w:pStyle w:val="TableText"/>
              <w:tabs>
                <w:tab w:val="left" w:pos="2835"/>
              </w:tabs>
              <w:spacing w:before="40"/>
            </w:pPr>
            <w:r w:rsidRPr="00427237">
              <w:t>Outpatient</w:t>
            </w:r>
          </w:p>
        </w:tc>
        <w:tc>
          <w:tcPr>
            <w:tcW w:w="795" w:type="pct"/>
          </w:tcPr>
          <w:p w:rsidR="00910598" w:rsidRPr="00427237" w:rsidRDefault="00910598" w:rsidP="009B6D52">
            <w:pPr>
              <w:pStyle w:val="TableText"/>
              <w:tabs>
                <w:tab w:val="left" w:pos="2835"/>
              </w:tabs>
              <w:spacing w:before="40"/>
              <w:rPr>
                <w:b/>
              </w:rPr>
            </w:pPr>
          </w:p>
        </w:tc>
        <w:tc>
          <w:tcPr>
            <w:tcW w:w="729" w:type="pct"/>
          </w:tcPr>
          <w:p w:rsidR="00910598" w:rsidRPr="00427237" w:rsidRDefault="00910598" w:rsidP="00EA22A8">
            <w:pPr>
              <w:pStyle w:val="TableText"/>
              <w:tabs>
                <w:tab w:val="left" w:pos="2835"/>
              </w:tabs>
              <w:spacing w:before="40"/>
              <w:rPr>
                <w:b/>
              </w:rPr>
            </w:pPr>
          </w:p>
        </w:tc>
      </w:tr>
      <w:tr w:rsidR="00910598" w:rsidRPr="00427237" w:rsidTr="00E22F3C">
        <w:tc>
          <w:tcPr>
            <w:tcW w:w="1699" w:type="pct"/>
          </w:tcPr>
          <w:p w:rsidR="00910598" w:rsidRPr="00427237" w:rsidRDefault="00910598" w:rsidP="00026771">
            <w:pPr>
              <w:pStyle w:val="TableText"/>
              <w:tabs>
                <w:tab w:val="left" w:pos="2835"/>
              </w:tabs>
              <w:spacing w:before="40"/>
            </w:pPr>
            <w:r w:rsidRPr="00427237">
              <w:t xml:space="preserve">Intravenous infusion of </w:t>
            </w:r>
            <w:r w:rsidR="00D76266" w:rsidRPr="00427237">
              <w:rPr>
                <w:vertAlign w:val="superscript"/>
              </w:rPr>
              <w:t>18</w:t>
            </w:r>
            <w:r w:rsidR="00D76266" w:rsidRPr="00427237">
              <w:t>F-FDG</w:t>
            </w:r>
          </w:p>
        </w:tc>
        <w:tc>
          <w:tcPr>
            <w:tcW w:w="902" w:type="pct"/>
          </w:tcPr>
          <w:p w:rsidR="00910598" w:rsidRPr="00427237" w:rsidRDefault="00915656" w:rsidP="00026771">
            <w:pPr>
              <w:pStyle w:val="TableText"/>
              <w:tabs>
                <w:tab w:val="left" w:pos="2835"/>
              </w:tabs>
              <w:spacing w:before="40"/>
            </w:pPr>
            <w:r w:rsidRPr="00427237">
              <w:t>Specialist</w:t>
            </w:r>
          </w:p>
        </w:tc>
        <w:tc>
          <w:tcPr>
            <w:tcW w:w="875" w:type="pct"/>
          </w:tcPr>
          <w:p w:rsidR="00910598" w:rsidRPr="00427237" w:rsidRDefault="00D82208" w:rsidP="00026771">
            <w:pPr>
              <w:pStyle w:val="TableText"/>
              <w:tabs>
                <w:tab w:val="left" w:pos="2835"/>
              </w:tabs>
              <w:spacing w:before="40"/>
            </w:pPr>
            <w:r w:rsidRPr="00427237">
              <w:t>Outpatient</w:t>
            </w:r>
          </w:p>
        </w:tc>
        <w:tc>
          <w:tcPr>
            <w:tcW w:w="795" w:type="pct"/>
          </w:tcPr>
          <w:p w:rsidR="00910598" w:rsidRPr="00427237" w:rsidRDefault="00910598" w:rsidP="009B6D52">
            <w:pPr>
              <w:pStyle w:val="TableText"/>
              <w:tabs>
                <w:tab w:val="left" w:pos="2835"/>
              </w:tabs>
              <w:spacing w:before="40"/>
              <w:rPr>
                <w:b/>
              </w:rPr>
            </w:pPr>
          </w:p>
        </w:tc>
        <w:tc>
          <w:tcPr>
            <w:tcW w:w="729" w:type="pct"/>
          </w:tcPr>
          <w:p w:rsidR="00910598" w:rsidRPr="00427237" w:rsidRDefault="00910598" w:rsidP="00EA22A8">
            <w:pPr>
              <w:pStyle w:val="TableText"/>
              <w:tabs>
                <w:tab w:val="left" w:pos="2835"/>
              </w:tabs>
              <w:spacing w:before="40"/>
              <w:rPr>
                <w:b/>
              </w:rPr>
            </w:pPr>
          </w:p>
        </w:tc>
      </w:tr>
      <w:tr w:rsidR="00910598" w:rsidRPr="00427237" w:rsidTr="00E22F3C">
        <w:tc>
          <w:tcPr>
            <w:tcW w:w="1699" w:type="pct"/>
          </w:tcPr>
          <w:p w:rsidR="00910598" w:rsidRPr="00427237" w:rsidRDefault="00B6382F" w:rsidP="00026771">
            <w:pPr>
              <w:pStyle w:val="TableText"/>
              <w:tabs>
                <w:tab w:val="left" w:pos="2835"/>
              </w:tabs>
              <w:spacing w:before="40"/>
            </w:pPr>
            <w:r w:rsidRPr="00427237">
              <w:t>Specialist consultation?</w:t>
            </w:r>
          </w:p>
        </w:tc>
        <w:tc>
          <w:tcPr>
            <w:tcW w:w="902" w:type="pct"/>
          </w:tcPr>
          <w:p w:rsidR="00910598" w:rsidRPr="00427237" w:rsidRDefault="00C665B5" w:rsidP="00026771">
            <w:pPr>
              <w:pStyle w:val="TableText"/>
              <w:tabs>
                <w:tab w:val="left" w:pos="2835"/>
              </w:tabs>
              <w:spacing w:before="40"/>
            </w:pPr>
            <w:r w:rsidRPr="00427237">
              <w:t>Specialist</w:t>
            </w:r>
          </w:p>
        </w:tc>
        <w:tc>
          <w:tcPr>
            <w:tcW w:w="875" w:type="pct"/>
          </w:tcPr>
          <w:p w:rsidR="00910598" w:rsidRPr="00427237" w:rsidRDefault="005928DE" w:rsidP="00026771">
            <w:pPr>
              <w:pStyle w:val="TableText"/>
              <w:tabs>
                <w:tab w:val="left" w:pos="2835"/>
              </w:tabs>
              <w:spacing w:before="40"/>
            </w:pPr>
            <w:r w:rsidRPr="00427237">
              <w:t>Outpatient</w:t>
            </w:r>
          </w:p>
        </w:tc>
        <w:tc>
          <w:tcPr>
            <w:tcW w:w="795" w:type="pct"/>
          </w:tcPr>
          <w:p w:rsidR="00910598" w:rsidRPr="00427237" w:rsidRDefault="00910598" w:rsidP="009B6D52">
            <w:pPr>
              <w:pStyle w:val="TableText"/>
              <w:tabs>
                <w:tab w:val="left" w:pos="2835"/>
              </w:tabs>
              <w:spacing w:before="40"/>
              <w:rPr>
                <w:b/>
              </w:rPr>
            </w:pPr>
          </w:p>
        </w:tc>
        <w:tc>
          <w:tcPr>
            <w:tcW w:w="729" w:type="pct"/>
          </w:tcPr>
          <w:p w:rsidR="00910598" w:rsidRPr="00427237" w:rsidRDefault="00910598" w:rsidP="00EA22A8">
            <w:pPr>
              <w:pStyle w:val="TableText"/>
              <w:tabs>
                <w:tab w:val="left" w:pos="2835"/>
              </w:tabs>
              <w:spacing w:before="40"/>
              <w:rPr>
                <w:b/>
              </w:rPr>
            </w:pPr>
          </w:p>
        </w:tc>
      </w:tr>
      <w:tr w:rsidR="00910598" w:rsidRPr="00427237" w:rsidTr="00E22F3C">
        <w:tc>
          <w:tcPr>
            <w:tcW w:w="1699" w:type="pct"/>
          </w:tcPr>
          <w:p w:rsidR="00910598" w:rsidRPr="00427237" w:rsidRDefault="00910598" w:rsidP="00026771">
            <w:pPr>
              <w:pStyle w:val="TableText"/>
              <w:tabs>
                <w:tab w:val="left" w:pos="2835"/>
              </w:tabs>
              <w:spacing w:before="40"/>
              <w:rPr>
                <w:b/>
              </w:rPr>
            </w:pPr>
          </w:p>
        </w:tc>
        <w:tc>
          <w:tcPr>
            <w:tcW w:w="902" w:type="pct"/>
          </w:tcPr>
          <w:p w:rsidR="00910598" w:rsidRPr="00427237" w:rsidRDefault="00910598" w:rsidP="00026771">
            <w:pPr>
              <w:pStyle w:val="TableText"/>
              <w:tabs>
                <w:tab w:val="left" w:pos="2835"/>
              </w:tabs>
              <w:spacing w:before="40"/>
              <w:rPr>
                <w:b/>
              </w:rPr>
            </w:pPr>
          </w:p>
        </w:tc>
        <w:tc>
          <w:tcPr>
            <w:tcW w:w="875" w:type="pct"/>
          </w:tcPr>
          <w:p w:rsidR="00910598" w:rsidRPr="00427237" w:rsidRDefault="00910598" w:rsidP="00026771">
            <w:pPr>
              <w:pStyle w:val="TableText"/>
              <w:tabs>
                <w:tab w:val="left" w:pos="2835"/>
              </w:tabs>
              <w:spacing w:before="40"/>
              <w:rPr>
                <w:b/>
              </w:rPr>
            </w:pPr>
          </w:p>
        </w:tc>
        <w:tc>
          <w:tcPr>
            <w:tcW w:w="795" w:type="pct"/>
          </w:tcPr>
          <w:p w:rsidR="00910598" w:rsidRPr="00427237" w:rsidRDefault="00910598" w:rsidP="009B6D52">
            <w:pPr>
              <w:pStyle w:val="TableText"/>
              <w:tabs>
                <w:tab w:val="left" w:pos="2835"/>
              </w:tabs>
              <w:spacing w:before="40"/>
              <w:rPr>
                <w:b/>
              </w:rPr>
            </w:pPr>
          </w:p>
        </w:tc>
        <w:tc>
          <w:tcPr>
            <w:tcW w:w="729" w:type="pct"/>
          </w:tcPr>
          <w:p w:rsidR="00910598" w:rsidRPr="00427237" w:rsidRDefault="00910598" w:rsidP="00EA22A8">
            <w:pPr>
              <w:pStyle w:val="TableText"/>
              <w:tabs>
                <w:tab w:val="left" w:pos="2835"/>
              </w:tabs>
              <w:spacing w:before="40"/>
              <w:rPr>
                <w:b/>
              </w:rPr>
            </w:pPr>
          </w:p>
        </w:tc>
      </w:tr>
      <w:tr w:rsidR="00910598" w:rsidRPr="00427237" w:rsidTr="00FC799D">
        <w:tc>
          <w:tcPr>
            <w:tcW w:w="5000" w:type="pct"/>
            <w:gridSpan w:val="5"/>
            <w:shd w:val="clear" w:color="auto" w:fill="D9D9D9" w:themeFill="background1" w:themeFillShade="D9"/>
          </w:tcPr>
          <w:p w:rsidR="00910598" w:rsidRPr="00427237" w:rsidRDefault="00910598" w:rsidP="00E40F43">
            <w:pPr>
              <w:pStyle w:val="TableText"/>
              <w:tabs>
                <w:tab w:val="left" w:pos="2835"/>
              </w:tabs>
              <w:spacing w:before="40"/>
              <w:rPr>
                <w:b/>
              </w:rPr>
            </w:pPr>
            <w:r w:rsidRPr="00427237">
              <w:rPr>
                <w:b/>
              </w:rPr>
              <w:t xml:space="preserve">Resources used in association with </w:t>
            </w:r>
            <w:r w:rsidR="00D76266" w:rsidRPr="00427237">
              <w:rPr>
                <w:b/>
                <w:vertAlign w:val="superscript"/>
              </w:rPr>
              <w:t>18</w:t>
            </w:r>
            <w:r w:rsidR="00D76266" w:rsidRPr="00427237">
              <w:rPr>
                <w:b/>
              </w:rPr>
              <w:t>F-FDG</w:t>
            </w:r>
            <w:r w:rsidRPr="00427237">
              <w:rPr>
                <w:b/>
              </w:rPr>
              <w:t xml:space="preserve"> PET (e.g., co-administered interventions, resources used to manage adverse events)</w:t>
            </w:r>
          </w:p>
        </w:tc>
      </w:tr>
      <w:tr w:rsidR="00910598" w:rsidRPr="00427237" w:rsidTr="00E22F3C">
        <w:tc>
          <w:tcPr>
            <w:tcW w:w="1699" w:type="pct"/>
          </w:tcPr>
          <w:p w:rsidR="00910598" w:rsidRPr="00427237" w:rsidRDefault="00910598" w:rsidP="00EA22A8">
            <w:pPr>
              <w:pStyle w:val="TableText"/>
              <w:tabs>
                <w:tab w:val="left" w:pos="2835"/>
              </w:tabs>
              <w:spacing w:before="40"/>
              <w:rPr>
                <w:b/>
              </w:rPr>
            </w:pPr>
          </w:p>
        </w:tc>
        <w:tc>
          <w:tcPr>
            <w:tcW w:w="902" w:type="pct"/>
          </w:tcPr>
          <w:p w:rsidR="00910598" w:rsidRPr="00427237" w:rsidRDefault="00910598" w:rsidP="00EA22A8">
            <w:pPr>
              <w:pStyle w:val="TableText"/>
              <w:tabs>
                <w:tab w:val="left" w:pos="2835"/>
              </w:tabs>
              <w:spacing w:before="40"/>
              <w:rPr>
                <w:b/>
              </w:rPr>
            </w:pPr>
          </w:p>
        </w:tc>
        <w:tc>
          <w:tcPr>
            <w:tcW w:w="875" w:type="pct"/>
          </w:tcPr>
          <w:p w:rsidR="00910598" w:rsidRPr="00427237" w:rsidRDefault="00910598" w:rsidP="00EA22A8">
            <w:pPr>
              <w:pStyle w:val="TableText"/>
              <w:tabs>
                <w:tab w:val="left" w:pos="2835"/>
              </w:tabs>
              <w:spacing w:before="40"/>
              <w:rPr>
                <w:b/>
              </w:rPr>
            </w:pPr>
          </w:p>
        </w:tc>
        <w:tc>
          <w:tcPr>
            <w:tcW w:w="795" w:type="pct"/>
          </w:tcPr>
          <w:p w:rsidR="00910598" w:rsidRPr="00427237" w:rsidRDefault="00910598" w:rsidP="009B6D52">
            <w:pPr>
              <w:pStyle w:val="TableText"/>
              <w:tabs>
                <w:tab w:val="left" w:pos="2835"/>
              </w:tabs>
              <w:spacing w:before="40"/>
              <w:rPr>
                <w:b/>
              </w:rPr>
            </w:pPr>
          </w:p>
        </w:tc>
        <w:tc>
          <w:tcPr>
            <w:tcW w:w="729" w:type="pct"/>
          </w:tcPr>
          <w:p w:rsidR="00910598" w:rsidRPr="00427237" w:rsidRDefault="00910598" w:rsidP="00EA22A8">
            <w:pPr>
              <w:pStyle w:val="TableText"/>
              <w:tabs>
                <w:tab w:val="left" w:pos="2835"/>
              </w:tabs>
              <w:spacing w:before="40"/>
              <w:rPr>
                <w:b/>
              </w:rPr>
            </w:pPr>
          </w:p>
        </w:tc>
      </w:tr>
      <w:tr w:rsidR="00910598" w:rsidRPr="00427237" w:rsidTr="00FC799D">
        <w:tc>
          <w:tcPr>
            <w:tcW w:w="5000" w:type="pct"/>
            <w:gridSpan w:val="5"/>
            <w:shd w:val="clear" w:color="auto" w:fill="D9D9D9" w:themeFill="background1" w:themeFillShade="D9"/>
          </w:tcPr>
          <w:p w:rsidR="00910598" w:rsidRPr="00427237" w:rsidRDefault="00910598" w:rsidP="00461A4D">
            <w:pPr>
              <w:pStyle w:val="TableText"/>
              <w:tabs>
                <w:tab w:val="left" w:pos="2835"/>
              </w:tabs>
              <w:spacing w:before="40"/>
              <w:rPr>
                <w:b/>
              </w:rPr>
            </w:pPr>
            <w:r w:rsidRPr="00427237">
              <w:rPr>
                <w:b/>
              </w:rPr>
              <w:t xml:space="preserve">Resources to deliver the comparator diagnostic test (i.e. </w:t>
            </w:r>
            <w:r w:rsidR="00F870EF" w:rsidRPr="00427237">
              <w:rPr>
                <w:b/>
              </w:rPr>
              <w:t>confirmatory</w:t>
            </w:r>
            <w:r w:rsidR="00202D9F" w:rsidRPr="00427237">
              <w:rPr>
                <w:b/>
              </w:rPr>
              <w:t xml:space="preserve"> standard</w:t>
            </w:r>
            <w:r w:rsidRPr="00427237">
              <w:rPr>
                <w:b/>
              </w:rPr>
              <w:t xml:space="preserve"> diagnostic imaging)</w:t>
            </w:r>
          </w:p>
        </w:tc>
      </w:tr>
      <w:tr w:rsidR="002B6639" w:rsidRPr="00427237" w:rsidTr="00E22F3C">
        <w:tc>
          <w:tcPr>
            <w:tcW w:w="1699" w:type="pct"/>
          </w:tcPr>
          <w:p w:rsidR="002B6639" w:rsidRPr="00427237" w:rsidRDefault="00DD7CA5" w:rsidP="00316D47">
            <w:pPr>
              <w:pStyle w:val="TableText"/>
              <w:tabs>
                <w:tab w:val="left" w:pos="2835"/>
              </w:tabs>
              <w:spacing w:before="40"/>
              <w:rPr>
                <w:b/>
              </w:rPr>
            </w:pPr>
            <w:r w:rsidRPr="00427237">
              <w:rPr>
                <w:b/>
              </w:rPr>
              <w:t>Specialist consultation?</w:t>
            </w:r>
          </w:p>
        </w:tc>
        <w:tc>
          <w:tcPr>
            <w:tcW w:w="902" w:type="pct"/>
          </w:tcPr>
          <w:p w:rsidR="002B6639" w:rsidRPr="00427237" w:rsidRDefault="00C665B5" w:rsidP="00EA22A8">
            <w:pPr>
              <w:pStyle w:val="TableText"/>
              <w:tabs>
                <w:tab w:val="left" w:pos="2835"/>
              </w:tabs>
              <w:spacing w:before="40"/>
              <w:rPr>
                <w:b/>
              </w:rPr>
            </w:pPr>
            <w:r w:rsidRPr="00427237">
              <w:t>Specialist</w:t>
            </w:r>
          </w:p>
        </w:tc>
        <w:tc>
          <w:tcPr>
            <w:tcW w:w="875" w:type="pct"/>
          </w:tcPr>
          <w:p w:rsidR="002B6639" w:rsidRPr="00427237" w:rsidRDefault="002B6639" w:rsidP="00EA22A8">
            <w:pPr>
              <w:pStyle w:val="TableText"/>
              <w:tabs>
                <w:tab w:val="left" w:pos="2835"/>
              </w:tabs>
              <w:spacing w:before="40"/>
              <w:rPr>
                <w:b/>
              </w:rPr>
            </w:pPr>
          </w:p>
        </w:tc>
        <w:tc>
          <w:tcPr>
            <w:tcW w:w="795" w:type="pct"/>
          </w:tcPr>
          <w:p w:rsidR="002B6639" w:rsidRPr="00427237" w:rsidRDefault="002B6639" w:rsidP="009B6D52">
            <w:pPr>
              <w:pStyle w:val="TableText"/>
              <w:tabs>
                <w:tab w:val="left" w:pos="2835"/>
              </w:tabs>
              <w:spacing w:before="40"/>
              <w:rPr>
                <w:b/>
              </w:rPr>
            </w:pPr>
          </w:p>
        </w:tc>
        <w:tc>
          <w:tcPr>
            <w:tcW w:w="729" w:type="pct"/>
          </w:tcPr>
          <w:p w:rsidR="002B6639" w:rsidRPr="00427237" w:rsidRDefault="002B6639" w:rsidP="00EA22A8">
            <w:pPr>
              <w:pStyle w:val="TableText"/>
              <w:tabs>
                <w:tab w:val="left" w:pos="2835"/>
              </w:tabs>
              <w:spacing w:before="40"/>
              <w:rPr>
                <w:b/>
              </w:rPr>
            </w:pPr>
          </w:p>
        </w:tc>
      </w:tr>
      <w:tr w:rsidR="00915656" w:rsidRPr="00427237" w:rsidTr="00E22F3C">
        <w:tc>
          <w:tcPr>
            <w:tcW w:w="1699" w:type="pct"/>
          </w:tcPr>
          <w:p w:rsidR="00915656" w:rsidRPr="00427237" w:rsidRDefault="00915656" w:rsidP="00316D47">
            <w:pPr>
              <w:pStyle w:val="TableText"/>
              <w:tabs>
                <w:tab w:val="left" w:pos="2835"/>
              </w:tabs>
              <w:spacing w:before="40"/>
              <w:rPr>
                <w:b/>
              </w:rPr>
            </w:pPr>
            <w:r w:rsidRPr="00427237">
              <w:t>Computed tomography (chest, abdomen, and pelvis)</w:t>
            </w:r>
          </w:p>
        </w:tc>
        <w:tc>
          <w:tcPr>
            <w:tcW w:w="902" w:type="pct"/>
          </w:tcPr>
          <w:p w:rsidR="00915656" w:rsidRPr="00427237" w:rsidRDefault="00B602D4" w:rsidP="00B602D4">
            <w:pPr>
              <w:pStyle w:val="TableText"/>
              <w:tabs>
                <w:tab w:val="left" w:pos="2835"/>
              </w:tabs>
              <w:spacing w:before="40"/>
            </w:pPr>
            <w:r w:rsidRPr="00427237">
              <w:t>Radiologist</w:t>
            </w:r>
          </w:p>
        </w:tc>
        <w:tc>
          <w:tcPr>
            <w:tcW w:w="875" w:type="pct"/>
          </w:tcPr>
          <w:p w:rsidR="00915656" w:rsidRPr="00427237" w:rsidRDefault="00915656" w:rsidP="00EA22A8">
            <w:pPr>
              <w:pStyle w:val="TableText"/>
              <w:tabs>
                <w:tab w:val="left" w:pos="2835"/>
              </w:tabs>
              <w:spacing w:before="40"/>
            </w:pPr>
            <w:r w:rsidRPr="00427237">
              <w:t>Outpatient</w:t>
            </w:r>
          </w:p>
        </w:tc>
        <w:tc>
          <w:tcPr>
            <w:tcW w:w="795" w:type="pct"/>
          </w:tcPr>
          <w:p w:rsidR="00915656" w:rsidRPr="00427237" w:rsidRDefault="00915656" w:rsidP="009B6D52">
            <w:pPr>
              <w:pStyle w:val="TableText"/>
              <w:tabs>
                <w:tab w:val="left" w:pos="2835"/>
              </w:tabs>
              <w:spacing w:before="40"/>
              <w:rPr>
                <w:b/>
              </w:rPr>
            </w:pPr>
            <w:r w:rsidRPr="00427237">
              <w:t>$560.00</w:t>
            </w:r>
          </w:p>
        </w:tc>
        <w:tc>
          <w:tcPr>
            <w:tcW w:w="729" w:type="pct"/>
          </w:tcPr>
          <w:p w:rsidR="00915656" w:rsidRPr="00427237" w:rsidRDefault="00915656" w:rsidP="00EA22A8">
            <w:pPr>
              <w:pStyle w:val="TableText"/>
              <w:tabs>
                <w:tab w:val="left" w:pos="2835"/>
              </w:tabs>
              <w:spacing w:before="40"/>
              <w:rPr>
                <w:b/>
              </w:rPr>
            </w:pPr>
            <w:r w:rsidRPr="00427237">
              <w:t>MBS 56807</w:t>
            </w:r>
          </w:p>
        </w:tc>
      </w:tr>
      <w:tr w:rsidR="00B602D4" w:rsidRPr="00427237" w:rsidTr="00E22F3C">
        <w:tc>
          <w:tcPr>
            <w:tcW w:w="1699" w:type="pct"/>
          </w:tcPr>
          <w:p w:rsidR="00B602D4" w:rsidRPr="00427237" w:rsidRDefault="00B602D4" w:rsidP="00316D47">
            <w:pPr>
              <w:pStyle w:val="TableText"/>
              <w:tabs>
                <w:tab w:val="left" w:pos="2835"/>
              </w:tabs>
              <w:spacing w:before="40"/>
              <w:rPr>
                <w:b/>
              </w:rPr>
            </w:pPr>
            <w:r w:rsidRPr="00427237">
              <w:t>Computed tomography (chest)</w:t>
            </w:r>
          </w:p>
        </w:tc>
        <w:tc>
          <w:tcPr>
            <w:tcW w:w="902" w:type="pct"/>
          </w:tcPr>
          <w:p w:rsidR="00B602D4" w:rsidRPr="00427237" w:rsidRDefault="00B602D4" w:rsidP="00EA22A8">
            <w:pPr>
              <w:pStyle w:val="TableText"/>
              <w:tabs>
                <w:tab w:val="left" w:pos="2835"/>
              </w:tabs>
              <w:spacing w:before="40"/>
            </w:pPr>
            <w:r w:rsidRPr="00427237">
              <w:t>Radiologist</w:t>
            </w:r>
          </w:p>
        </w:tc>
        <w:tc>
          <w:tcPr>
            <w:tcW w:w="875" w:type="pct"/>
          </w:tcPr>
          <w:p w:rsidR="00B602D4" w:rsidRPr="00427237" w:rsidRDefault="00B602D4" w:rsidP="00EA22A8">
            <w:pPr>
              <w:pStyle w:val="TableText"/>
              <w:tabs>
                <w:tab w:val="left" w:pos="2835"/>
              </w:tabs>
              <w:spacing w:before="40"/>
            </w:pPr>
            <w:r w:rsidRPr="00427237">
              <w:t>Outpatient</w:t>
            </w:r>
          </w:p>
        </w:tc>
        <w:tc>
          <w:tcPr>
            <w:tcW w:w="795" w:type="pct"/>
          </w:tcPr>
          <w:p w:rsidR="00B602D4" w:rsidRPr="00427237" w:rsidRDefault="00B602D4" w:rsidP="009B6D52">
            <w:pPr>
              <w:pStyle w:val="TableText"/>
              <w:tabs>
                <w:tab w:val="left" w:pos="2835"/>
              </w:tabs>
              <w:spacing w:before="40"/>
              <w:rPr>
                <w:b/>
              </w:rPr>
            </w:pPr>
            <w:r w:rsidRPr="00427237">
              <w:t>$400</w:t>
            </w:r>
          </w:p>
        </w:tc>
        <w:tc>
          <w:tcPr>
            <w:tcW w:w="729" w:type="pct"/>
          </w:tcPr>
          <w:p w:rsidR="00B602D4" w:rsidRPr="00427237" w:rsidRDefault="00B602D4" w:rsidP="00EA22A8">
            <w:pPr>
              <w:pStyle w:val="TableText"/>
              <w:tabs>
                <w:tab w:val="left" w:pos="2835"/>
              </w:tabs>
              <w:spacing w:before="40"/>
              <w:rPr>
                <w:b/>
              </w:rPr>
            </w:pPr>
            <w:r w:rsidRPr="00427237">
              <w:t>MBS 56307</w:t>
            </w:r>
          </w:p>
        </w:tc>
      </w:tr>
      <w:tr w:rsidR="00B602D4" w:rsidRPr="00427237" w:rsidTr="00E22F3C">
        <w:tc>
          <w:tcPr>
            <w:tcW w:w="1699" w:type="pct"/>
          </w:tcPr>
          <w:p w:rsidR="00B602D4" w:rsidRPr="00427237" w:rsidRDefault="00B602D4" w:rsidP="00316D47">
            <w:pPr>
              <w:pStyle w:val="TableText"/>
              <w:tabs>
                <w:tab w:val="left" w:pos="2835"/>
              </w:tabs>
              <w:spacing w:before="40"/>
              <w:rPr>
                <w:b/>
              </w:rPr>
            </w:pPr>
            <w:r w:rsidRPr="00427237">
              <w:t>Computed tomography (brain)</w:t>
            </w:r>
          </w:p>
        </w:tc>
        <w:tc>
          <w:tcPr>
            <w:tcW w:w="902" w:type="pct"/>
          </w:tcPr>
          <w:p w:rsidR="00B602D4" w:rsidRPr="00427237" w:rsidRDefault="00B602D4" w:rsidP="00EA22A8">
            <w:pPr>
              <w:pStyle w:val="TableText"/>
              <w:tabs>
                <w:tab w:val="left" w:pos="2835"/>
              </w:tabs>
              <w:spacing w:before="40"/>
            </w:pPr>
            <w:r w:rsidRPr="00427237">
              <w:t>Radiologist</w:t>
            </w:r>
          </w:p>
        </w:tc>
        <w:tc>
          <w:tcPr>
            <w:tcW w:w="875" w:type="pct"/>
          </w:tcPr>
          <w:p w:rsidR="00B602D4" w:rsidRPr="00427237" w:rsidRDefault="00B602D4" w:rsidP="00EA22A8">
            <w:pPr>
              <w:pStyle w:val="TableText"/>
              <w:tabs>
                <w:tab w:val="left" w:pos="2835"/>
              </w:tabs>
              <w:spacing w:before="40"/>
            </w:pPr>
            <w:r w:rsidRPr="00427237">
              <w:t>Outpatient</w:t>
            </w:r>
          </w:p>
        </w:tc>
        <w:tc>
          <w:tcPr>
            <w:tcW w:w="795" w:type="pct"/>
          </w:tcPr>
          <w:p w:rsidR="00B602D4" w:rsidRPr="00427237" w:rsidRDefault="00B602D4" w:rsidP="009B6D52">
            <w:pPr>
              <w:pStyle w:val="TableText"/>
              <w:tabs>
                <w:tab w:val="left" w:pos="2835"/>
              </w:tabs>
              <w:spacing w:before="40"/>
              <w:rPr>
                <w:b/>
              </w:rPr>
            </w:pPr>
            <w:r w:rsidRPr="00427237">
              <w:t>$250</w:t>
            </w:r>
          </w:p>
        </w:tc>
        <w:tc>
          <w:tcPr>
            <w:tcW w:w="729" w:type="pct"/>
          </w:tcPr>
          <w:p w:rsidR="00B602D4" w:rsidRPr="00427237" w:rsidRDefault="00B602D4" w:rsidP="00EA22A8">
            <w:pPr>
              <w:pStyle w:val="TableText"/>
              <w:tabs>
                <w:tab w:val="left" w:pos="2835"/>
              </w:tabs>
              <w:spacing w:before="40"/>
              <w:rPr>
                <w:b/>
              </w:rPr>
            </w:pPr>
            <w:r w:rsidRPr="00427237">
              <w:t>MBS 56007</w:t>
            </w:r>
          </w:p>
        </w:tc>
      </w:tr>
      <w:tr w:rsidR="00B602D4" w:rsidRPr="00427237" w:rsidTr="00E22F3C">
        <w:tc>
          <w:tcPr>
            <w:tcW w:w="1699" w:type="pct"/>
          </w:tcPr>
          <w:p w:rsidR="00B602D4" w:rsidRPr="00427237" w:rsidRDefault="00B602D4" w:rsidP="00316D47">
            <w:pPr>
              <w:pStyle w:val="TableText"/>
              <w:tabs>
                <w:tab w:val="left" w:pos="2835"/>
              </w:tabs>
              <w:spacing w:before="40"/>
              <w:rPr>
                <w:b/>
              </w:rPr>
            </w:pPr>
            <w:r w:rsidRPr="00427237">
              <w:t>MRI (breasts)</w:t>
            </w:r>
          </w:p>
        </w:tc>
        <w:tc>
          <w:tcPr>
            <w:tcW w:w="902" w:type="pct"/>
          </w:tcPr>
          <w:p w:rsidR="00B602D4" w:rsidRPr="00427237" w:rsidRDefault="00B602D4" w:rsidP="00EA22A8">
            <w:pPr>
              <w:pStyle w:val="TableText"/>
              <w:tabs>
                <w:tab w:val="left" w:pos="2835"/>
              </w:tabs>
              <w:spacing w:before="40"/>
            </w:pPr>
            <w:r w:rsidRPr="00427237">
              <w:t>Radiologist</w:t>
            </w:r>
          </w:p>
        </w:tc>
        <w:tc>
          <w:tcPr>
            <w:tcW w:w="875" w:type="pct"/>
          </w:tcPr>
          <w:p w:rsidR="00B602D4" w:rsidRPr="00427237" w:rsidRDefault="00B602D4" w:rsidP="00EA22A8">
            <w:pPr>
              <w:pStyle w:val="TableText"/>
              <w:tabs>
                <w:tab w:val="left" w:pos="2835"/>
              </w:tabs>
              <w:spacing w:before="40"/>
            </w:pPr>
            <w:r w:rsidRPr="00427237">
              <w:t>Outpatient</w:t>
            </w:r>
          </w:p>
        </w:tc>
        <w:tc>
          <w:tcPr>
            <w:tcW w:w="795" w:type="pct"/>
          </w:tcPr>
          <w:p w:rsidR="00B602D4" w:rsidRPr="00427237" w:rsidRDefault="00B602D4" w:rsidP="009B6D52">
            <w:pPr>
              <w:pStyle w:val="TableText"/>
              <w:tabs>
                <w:tab w:val="left" w:pos="2835"/>
              </w:tabs>
              <w:spacing w:before="40"/>
              <w:rPr>
                <w:b/>
              </w:rPr>
            </w:pPr>
            <w:r w:rsidRPr="00427237">
              <w:t>$345.00</w:t>
            </w:r>
          </w:p>
        </w:tc>
        <w:tc>
          <w:tcPr>
            <w:tcW w:w="729" w:type="pct"/>
          </w:tcPr>
          <w:p w:rsidR="00B602D4" w:rsidRPr="00427237" w:rsidRDefault="00B602D4" w:rsidP="00EA22A8">
            <w:pPr>
              <w:pStyle w:val="TableText"/>
              <w:tabs>
                <w:tab w:val="left" w:pos="2835"/>
              </w:tabs>
              <w:spacing w:before="40"/>
              <w:rPr>
                <w:b/>
              </w:rPr>
            </w:pPr>
            <w:r w:rsidRPr="00427237">
              <w:t>MBS 63457</w:t>
            </w:r>
          </w:p>
        </w:tc>
      </w:tr>
      <w:tr w:rsidR="00B602D4" w:rsidRPr="00427237" w:rsidTr="00E22F3C">
        <w:tc>
          <w:tcPr>
            <w:tcW w:w="1699" w:type="pct"/>
          </w:tcPr>
          <w:p w:rsidR="00B602D4" w:rsidRPr="00427237" w:rsidRDefault="00B602D4" w:rsidP="00316D47">
            <w:pPr>
              <w:pStyle w:val="TableText"/>
              <w:tabs>
                <w:tab w:val="left" w:pos="2835"/>
              </w:tabs>
              <w:spacing w:before="40"/>
              <w:rPr>
                <w:b/>
              </w:rPr>
            </w:pPr>
            <w:r w:rsidRPr="00427237">
              <w:t>MRI (breasts – follow-up)</w:t>
            </w:r>
          </w:p>
        </w:tc>
        <w:tc>
          <w:tcPr>
            <w:tcW w:w="902" w:type="pct"/>
          </w:tcPr>
          <w:p w:rsidR="00B602D4" w:rsidRPr="00427237" w:rsidRDefault="00B602D4" w:rsidP="00EA22A8">
            <w:pPr>
              <w:pStyle w:val="TableText"/>
              <w:tabs>
                <w:tab w:val="left" w:pos="2835"/>
              </w:tabs>
              <w:spacing w:before="40"/>
            </w:pPr>
            <w:r w:rsidRPr="00427237">
              <w:t>Radiologist</w:t>
            </w:r>
          </w:p>
        </w:tc>
        <w:tc>
          <w:tcPr>
            <w:tcW w:w="875" w:type="pct"/>
          </w:tcPr>
          <w:p w:rsidR="00B602D4" w:rsidRPr="00427237" w:rsidRDefault="00B602D4" w:rsidP="00EA22A8">
            <w:pPr>
              <w:pStyle w:val="TableText"/>
              <w:tabs>
                <w:tab w:val="left" w:pos="2835"/>
              </w:tabs>
              <w:spacing w:before="40"/>
            </w:pPr>
            <w:r w:rsidRPr="00427237">
              <w:t>Outpatient</w:t>
            </w:r>
          </w:p>
        </w:tc>
        <w:tc>
          <w:tcPr>
            <w:tcW w:w="795" w:type="pct"/>
          </w:tcPr>
          <w:p w:rsidR="00B602D4" w:rsidRPr="00427237" w:rsidRDefault="00B602D4" w:rsidP="009B6D52">
            <w:pPr>
              <w:pStyle w:val="TableText"/>
              <w:tabs>
                <w:tab w:val="left" w:pos="2835"/>
              </w:tabs>
              <w:spacing w:before="40"/>
              <w:rPr>
                <w:b/>
              </w:rPr>
            </w:pPr>
            <w:r w:rsidRPr="00427237">
              <w:t>$345.00</w:t>
            </w:r>
          </w:p>
        </w:tc>
        <w:tc>
          <w:tcPr>
            <w:tcW w:w="729" w:type="pct"/>
          </w:tcPr>
          <w:p w:rsidR="00B602D4" w:rsidRPr="00427237" w:rsidRDefault="00B602D4" w:rsidP="00EA22A8">
            <w:pPr>
              <w:pStyle w:val="TableText"/>
              <w:tabs>
                <w:tab w:val="left" w:pos="2835"/>
              </w:tabs>
              <w:spacing w:before="40"/>
              <w:rPr>
                <w:b/>
              </w:rPr>
            </w:pPr>
            <w:r w:rsidRPr="00427237">
              <w:t>MBS 63458</w:t>
            </w:r>
          </w:p>
        </w:tc>
      </w:tr>
      <w:tr w:rsidR="00B602D4" w:rsidRPr="00427237" w:rsidTr="00E22F3C">
        <w:tc>
          <w:tcPr>
            <w:tcW w:w="1699" w:type="pct"/>
          </w:tcPr>
          <w:p w:rsidR="00B602D4" w:rsidRPr="00427237" w:rsidRDefault="00B602D4" w:rsidP="00316D47">
            <w:pPr>
              <w:pStyle w:val="TableText"/>
              <w:tabs>
                <w:tab w:val="left" w:pos="2835"/>
              </w:tabs>
              <w:spacing w:before="40"/>
            </w:pPr>
            <w:r w:rsidRPr="00427237">
              <w:t>MRI (brain)</w:t>
            </w:r>
          </w:p>
        </w:tc>
        <w:tc>
          <w:tcPr>
            <w:tcW w:w="902" w:type="pct"/>
          </w:tcPr>
          <w:p w:rsidR="00B602D4" w:rsidRPr="00427237" w:rsidRDefault="00B602D4" w:rsidP="00EA22A8">
            <w:pPr>
              <w:pStyle w:val="TableText"/>
              <w:tabs>
                <w:tab w:val="left" w:pos="2835"/>
              </w:tabs>
              <w:spacing w:before="40"/>
            </w:pPr>
            <w:r w:rsidRPr="00427237">
              <w:t>Radiologist</w:t>
            </w:r>
          </w:p>
        </w:tc>
        <w:tc>
          <w:tcPr>
            <w:tcW w:w="875" w:type="pct"/>
          </w:tcPr>
          <w:p w:rsidR="00B602D4" w:rsidRPr="00427237" w:rsidRDefault="00B602D4" w:rsidP="00EA22A8">
            <w:pPr>
              <w:pStyle w:val="TableText"/>
              <w:tabs>
                <w:tab w:val="left" w:pos="2835"/>
              </w:tabs>
              <w:spacing w:before="40"/>
            </w:pPr>
            <w:r w:rsidRPr="00427237">
              <w:t>Outpatient</w:t>
            </w:r>
          </w:p>
        </w:tc>
        <w:tc>
          <w:tcPr>
            <w:tcW w:w="795" w:type="pct"/>
          </w:tcPr>
          <w:p w:rsidR="00B602D4" w:rsidRPr="00427237" w:rsidRDefault="00B602D4" w:rsidP="009B6D52">
            <w:pPr>
              <w:pStyle w:val="TableText"/>
              <w:tabs>
                <w:tab w:val="left" w:pos="2835"/>
              </w:tabs>
              <w:spacing w:before="40"/>
            </w:pPr>
            <w:r w:rsidRPr="00427237">
              <w:t>$403.20</w:t>
            </w:r>
          </w:p>
        </w:tc>
        <w:tc>
          <w:tcPr>
            <w:tcW w:w="729" w:type="pct"/>
          </w:tcPr>
          <w:p w:rsidR="00B602D4" w:rsidRPr="00427237" w:rsidRDefault="00B602D4" w:rsidP="00EA22A8">
            <w:pPr>
              <w:pStyle w:val="TableText"/>
              <w:tabs>
                <w:tab w:val="left" w:pos="2835"/>
              </w:tabs>
              <w:spacing w:before="40"/>
            </w:pPr>
            <w:r w:rsidRPr="00427237">
              <w:t>MBS 63001</w:t>
            </w:r>
          </w:p>
        </w:tc>
      </w:tr>
      <w:tr w:rsidR="00B602D4" w:rsidRPr="00427237" w:rsidTr="00E22F3C">
        <w:tc>
          <w:tcPr>
            <w:tcW w:w="1699" w:type="pct"/>
          </w:tcPr>
          <w:p w:rsidR="00B602D4" w:rsidRPr="00427237" w:rsidRDefault="00B602D4" w:rsidP="00316D47">
            <w:pPr>
              <w:pStyle w:val="TableText"/>
              <w:tabs>
                <w:tab w:val="left" w:pos="2835"/>
              </w:tabs>
              <w:spacing w:before="40"/>
            </w:pPr>
            <w:r w:rsidRPr="00427237">
              <w:t>MRI (brain – contrast medium)</w:t>
            </w:r>
          </w:p>
        </w:tc>
        <w:tc>
          <w:tcPr>
            <w:tcW w:w="902" w:type="pct"/>
          </w:tcPr>
          <w:p w:rsidR="00B602D4" w:rsidRPr="00427237" w:rsidRDefault="00B602D4" w:rsidP="00EA22A8">
            <w:pPr>
              <w:pStyle w:val="TableText"/>
              <w:tabs>
                <w:tab w:val="left" w:pos="2835"/>
              </w:tabs>
              <w:spacing w:before="40"/>
            </w:pPr>
            <w:r w:rsidRPr="00427237">
              <w:t>Radiologist</w:t>
            </w:r>
          </w:p>
        </w:tc>
        <w:tc>
          <w:tcPr>
            <w:tcW w:w="875" w:type="pct"/>
          </w:tcPr>
          <w:p w:rsidR="00B602D4" w:rsidRPr="00427237" w:rsidRDefault="00B602D4" w:rsidP="00EA22A8">
            <w:pPr>
              <w:pStyle w:val="TableText"/>
              <w:tabs>
                <w:tab w:val="left" w:pos="2835"/>
              </w:tabs>
              <w:spacing w:before="40"/>
            </w:pPr>
            <w:r w:rsidRPr="00427237">
              <w:t>Outpatient</w:t>
            </w:r>
          </w:p>
        </w:tc>
        <w:tc>
          <w:tcPr>
            <w:tcW w:w="795" w:type="pct"/>
          </w:tcPr>
          <w:p w:rsidR="00B602D4" w:rsidRPr="00427237" w:rsidRDefault="00B602D4" w:rsidP="009B6D52">
            <w:pPr>
              <w:pStyle w:val="TableText"/>
              <w:tabs>
                <w:tab w:val="left" w:pos="2835"/>
              </w:tabs>
              <w:spacing w:before="40"/>
            </w:pPr>
            <w:r w:rsidRPr="00427237">
              <w:t>$44.90</w:t>
            </w:r>
          </w:p>
        </w:tc>
        <w:tc>
          <w:tcPr>
            <w:tcW w:w="729" w:type="pct"/>
          </w:tcPr>
          <w:p w:rsidR="00B602D4" w:rsidRPr="00427237" w:rsidRDefault="00B602D4" w:rsidP="00EA22A8">
            <w:pPr>
              <w:pStyle w:val="TableText"/>
              <w:tabs>
                <w:tab w:val="left" w:pos="2835"/>
              </w:tabs>
              <w:spacing w:before="40"/>
            </w:pPr>
            <w:r w:rsidRPr="00427237">
              <w:t>MBS 63491</w:t>
            </w:r>
          </w:p>
        </w:tc>
      </w:tr>
      <w:tr w:rsidR="00B602D4" w:rsidRPr="00427237" w:rsidTr="00E22F3C">
        <w:tc>
          <w:tcPr>
            <w:tcW w:w="1699" w:type="pct"/>
          </w:tcPr>
          <w:p w:rsidR="00B602D4" w:rsidRPr="00427237" w:rsidRDefault="00B602D4" w:rsidP="00316D47">
            <w:pPr>
              <w:pStyle w:val="TableText"/>
              <w:tabs>
                <w:tab w:val="left" w:pos="2835"/>
              </w:tabs>
              <w:spacing w:before="40"/>
            </w:pPr>
            <w:r w:rsidRPr="00427237">
              <w:t>MRI (spine)</w:t>
            </w:r>
          </w:p>
        </w:tc>
        <w:tc>
          <w:tcPr>
            <w:tcW w:w="902" w:type="pct"/>
          </w:tcPr>
          <w:p w:rsidR="00B602D4" w:rsidRPr="00427237" w:rsidRDefault="00B602D4" w:rsidP="00EA22A8">
            <w:pPr>
              <w:pStyle w:val="TableText"/>
              <w:tabs>
                <w:tab w:val="left" w:pos="2835"/>
              </w:tabs>
              <w:spacing w:before="40"/>
            </w:pPr>
            <w:r w:rsidRPr="00427237">
              <w:t>Radiologist</w:t>
            </w:r>
          </w:p>
        </w:tc>
        <w:tc>
          <w:tcPr>
            <w:tcW w:w="875" w:type="pct"/>
          </w:tcPr>
          <w:p w:rsidR="00B602D4" w:rsidRPr="00427237" w:rsidRDefault="00B602D4" w:rsidP="00EA22A8">
            <w:pPr>
              <w:pStyle w:val="TableText"/>
              <w:tabs>
                <w:tab w:val="left" w:pos="2835"/>
              </w:tabs>
              <w:spacing w:before="40"/>
            </w:pPr>
            <w:r w:rsidRPr="00427237">
              <w:t>Outpatient</w:t>
            </w:r>
          </w:p>
        </w:tc>
        <w:tc>
          <w:tcPr>
            <w:tcW w:w="795" w:type="pct"/>
          </w:tcPr>
          <w:p w:rsidR="00B602D4" w:rsidRPr="00427237" w:rsidRDefault="00B602D4" w:rsidP="009B6D52">
            <w:pPr>
              <w:pStyle w:val="TableText"/>
              <w:tabs>
                <w:tab w:val="left" w:pos="2835"/>
              </w:tabs>
              <w:spacing w:before="40"/>
            </w:pPr>
            <w:r w:rsidRPr="00427237">
              <w:t>$358.40</w:t>
            </w:r>
          </w:p>
        </w:tc>
        <w:tc>
          <w:tcPr>
            <w:tcW w:w="729" w:type="pct"/>
          </w:tcPr>
          <w:p w:rsidR="00B602D4" w:rsidRPr="00427237" w:rsidRDefault="00B602D4" w:rsidP="00EA22A8">
            <w:pPr>
              <w:pStyle w:val="TableText"/>
              <w:tabs>
                <w:tab w:val="left" w:pos="2835"/>
              </w:tabs>
              <w:spacing w:before="40"/>
            </w:pPr>
            <w:r w:rsidRPr="00427237">
              <w:t>MBS 63154</w:t>
            </w:r>
          </w:p>
        </w:tc>
      </w:tr>
      <w:tr w:rsidR="00B602D4" w:rsidRPr="00427237" w:rsidTr="00E22F3C">
        <w:tc>
          <w:tcPr>
            <w:tcW w:w="1699" w:type="pct"/>
          </w:tcPr>
          <w:p w:rsidR="00B602D4" w:rsidRPr="00427237" w:rsidRDefault="00B602D4" w:rsidP="00316D47">
            <w:pPr>
              <w:pStyle w:val="TableText"/>
              <w:tabs>
                <w:tab w:val="left" w:pos="2835"/>
              </w:tabs>
              <w:spacing w:before="40"/>
            </w:pPr>
            <w:r w:rsidRPr="00427237">
              <w:t>MRI (spine – contrast medium)</w:t>
            </w:r>
          </w:p>
        </w:tc>
        <w:tc>
          <w:tcPr>
            <w:tcW w:w="902" w:type="pct"/>
          </w:tcPr>
          <w:p w:rsidR="00B602D4" w:rsidRPr="00427237" w:rsidRDefault="00B602D4" w:rsidP="00EA22A8">
            <w:pPr>
              <w:pStyle w:val="TableText"/>
              <w:tabs>
                <w:tab w:val="left" w:pos="2835"/>
              </w:tabs>
              <w:spacing w:before="40"/>
            </w:pPr>
            <w:r w:rsidRPr="00427237">
              <w:t>Radiologist</w:t>
            </w:r>
          </w:p>
        </w:tc>
        <w:tc>
          <w:tcPr>
            <w:tcW w:w="875" w:type="pct"/>
          </w:tcPr>
          <w:p w:rsidR="00B602D4" w:rsidRPr="00427237" w:rsidRDefault="00B602D4" w:rsidP="00EA22A8">
            <w:pPr>
              <w:pStyle w:val="TableText"/>
              <w:tabs>
                <w:tab w:val="left" w:pos="2835"/>
              </w:tabs>
              <w:spacing w:before="40"/>
            </w:pPr>
            <w:r w:rsidRPr="00427237">
              <w:t>Outpatient</w:t>
            </w:r>
          </w:p>
        </w:tc>
        <w:tc>
          <w:tcPr>
            <w:tcW w:w="795" w:type="pct"/>
          </w:tcPr>
          <w:p w:rsidR="00B602D4" w:rsidRPr="00427237" w:rsidRDefault="00B602D4" w:rsidP="009B6D52">
            <w:pPr>
              <w:pStyle w:val="TableText"/>
              <w:tabs>
                <w:tab w:val="left" w:pos="2835"/>
              </w:tabs>
              <w:spacing w:before="40"/>
            </w:pPr>
            <w:r w:rsidRPr="00427237">
              <w:t>$44.80</w:t>
            </w:r>
          </w:p>
        </w:tc>
        <w:tc>
          <w:tcPr>
            <w:tcW w:w="729" w:type="pct"/>
          </w:tcPr>
          <w:p w:rsidR="00B602D4" w:rsidRPr="00427237" w:rsidRDefault="00B602D4" w:rsidP="00EA22A8">
            <w:pPr>
              <w:pStyle w:val="TableText"/>
              <w:tabs>
                <w:tab w:val="left" w:pos="2835"/>
              </w:tabs>
              <w:spacing w:before="40"/>
            </w:pPr>
            <w:r w:rsidRPr="00427237">
              <w:t>MBS 63491</w:t>
            </w:r>
          </w:p>
        </w:tc>
      </w:tr>
      <w:tr w:rsidR="0005465A" w:rsidRPr="00427237" w:rsidTr="00E22F3C">
        <w:tc>
          <w:tcPr>
            <w:tcW w:w="1699" w:type="pct"/>
          </w:tcPr>
          <w:p w:rsidR="0005465A" w:rsidRPr="00427237" w:rsidRDefault="0005465A" w:rsidP="0005465A">
            <w:pPr>
              <w:pStyle w:val="TableText"/>
              <w:tabs>
                <w:tab w:val="left" w:pos="2835"/>
              </w:tabs>
              <w:spacing w:before="40"/>
            </w:pPr>
            <w:r w:rsidRPr="00427237">
              <w:t>CT (with SPECT, for localisation/correction)</w:t>
            </w:r>
          </w:p>
        </w:tc>
        <w:tc>
          <w:tcPr>
            <w:tcW w:w="902" w:type="pct"/>
          </w:tcPr>
          <w:p w:rsidR="0005465A" w:rsidRPr="00427237" w:rsidRDefault="0005465A" w:rsidP="00EA22A8">
            <w:pPr>
              <w:pStyle w:val="TableText"/>
              <w:tabs>
                <w:tab w:val="left" w:pos="2835"/>
              </w:tabs>
              <w:spacing w:before="40"/>
            </w:pPr>
            <w:r w:rsidRPr="00427237">
              <w:t>Radiologist</w:t>
            </w:r>
          </w:p>
        </w:tc>
        <w:tc>
          <w:tcPr>
            <w:tcW w:w="875" w:type="pct"/>
          </w:tcPr>
          <w:p w:rsidR="0005465A" w:rsidRPr="00427237" w:rsidRDefault="0005465A" w:rsidP="00EA22A8">
            <w:pPr>
              <w:pStyle w:val="TableText"/>
              <w:tabs>
                <w:tab w:val="left" w:pos="2835"/>
              </w:tabs>
              <w:spacing w:before="40"/>
            </w:pPr>
            <w:r w:rsidRPr="00427237">
              <w:t>Outpatient</w:t>
            </w:r>
          </w:p>
        </w:tc>
        <w:tc>
          <w:tcPr>
            <w:tcW w:w="795" w:type="pct"/>
          </w:tcPr>
          <w:p w:rsidR="0005465A" w:rsidRPr="00427237" w:rsidRDefault="0005465A" w:rsidP="009B6D52">
            <w:pPr>
              <w:pStyle w:val="TableText"/>
              <w:tabs>
                <w:tab w:val="left" w:pos="2835"/>
              </w:tabs>
              <w:spacing w:before="40"/>
            </w:pPr>
            <w:r w:rsidRPr="00427237">
              <w:t>$100.00</w:t>
            </w:r>
          </w:p>
        </w:tc>
        <w:tc>
          <w:tcPr>
            <w:tcW w:w="729" w:type="pct"/>
          </w:tcPr>
          <w:p w:rsidR="0005465A" w:rsidRPr="00427237" w:rsidRDefault="0005465A" w:rsidP="00EA22A8">
            <w:pPr>
              <w:pStyle w:val="TableText"/>
              <w:tabs>
                <w:tab w:val="left" w:pos="2835"/>
              </w:tabs>
              <w:spacing w:before="40"/>
            </w:pPr>
            <w:r w:rsidRPr="00427237">
              <w:t>MBS 61505 (?)</w:t>
            </w:r>
          </w:p>
        </w:tc>
      </w:tr>
      <w:tr w:rsidR="0005465A" w:rsidRPr="00427237" w:rsidTr="00E22F3C">
        <w:tc>
          <w:tcPr>
            <w:tcW w:w="1699" w:type="pct"/>
          </w:tcPr>
          <w:p w:rsidR="0005465A" w:rsidRPr="00427237" w:rsidRDefault="0005465A" w:rsidP="0005465A">
            <w:pPr>
              <w:pStyle w:val="TableText"/>
              <w:tabs>
                <w:tab w:val="left" w:pos="2835"/>
              </w:tabs>
              <w:spacing w:before="40"/>
            </w:pPr>
            <w:r w:rsidRPr="00427237">
              <w:t>CT (with SPECT, for localisation/correction)</w:t>
            </w:r>
            <w:r w:rsidRPr="00427237">
              <w:tab/>
            </w:r>
          </w:p>
        </w:tc>
        <w:tc>
          <w:tcPr>
            <w:tcW w:w="902" w:type="pct"/>
          </w:tcPr>
          <w:p w:rsidR="0005465A" w:rsidRPr="00427237" w:rsidRDefault="0005465A" w:rsidP="00EA22A8">
            <w:pPr>
              <w:pStyle w:val="TableText"/>
              <w:tabs>
                <w:tab w:val="left" w:pos="2835"/>
              </w:tabs>
              <w:spacing w:before="40"/>
            </w:pPr>
            <w:r w:rsidRPr="00427237">
              <w:t>Radiologist</w:t>
            </w:r>
          </w:p>
        </w:tc>
        <w:tc>
          <w:tcPr>
            <w:tcW w:w="875" w:type="pct"/>
          </w:tcPr>
          <w:p w:rsidR="0005465A" w:rsidRPr="00427237" w:rsidRDefault="0005465A" w:rsidP="00EA22A8">
            <w:pPr>
              <w:pStyle w:val="TableText"/>
              <w:tabs>
                <w:tab w:val="left" w:pos="2835"/>
              </w:tabs>
              <w:spacing w:before="40"/>
            </w:pPr>
            <w:r w:rsidRPr="00427237">
              <w:t>Outpatient</w:t>
            </w:r>
          </w:p>
        </w:tc>
        <w:tc>
          <w:tcPr>
            <w:tcW w:w="795" w:type="pct"/>
          </w:tcPr>
          <w:p w:rsidR="0005465A" w:rsidRPr="00427237" w:rsidRDefault="0005465A" w:rsidP="009B6D52">
            <w:pPr>
              <w:pStyle w:val="TableText"/>
              <w:tabs>
                <w:tab w:val="left" w:pos="2835"/>
              </w:tabs>
              <w:spacing w:before="40"/>
            </w:pPr>
            <w:r w:rsidRPr="00427237">
              <w:t>$50.00</w:t>
            </w:r>
          </w:p>
        </w:tc>
        <w:tc>
          <w:tcPr>
            <w:tcW w:w="729" w:type="pct"/>
          </w:tcPr>
          <w:p w:rsidR="0005465A" w:rsidRPr="00427237" w:rsidRDefault="0005465A" w:rsidP="00EA22A8">
            <w:pPr>
              <w:pStyle w:val="TableText"/>
              <w:tabs>
                <w:tab w:val="left" w:pos="2835"/>
              </w:tabs>
              <w:spacing w:before="40"/>
            </w:pPr>
            <w:r w:rsidRPr="00427237">
              <w:t>MBS 61719 (?)</w:t>
            </w:r>
          </w:p>
        </w:tc>
      </w:tr>
      <w:tr w:rsidR="007A0F29" w:rsidRPr="00427237" w:rsidTr="00E22F3C">
        <w:tc>
          <w:tcPr>
            <w:tcW w:w="1699" w:type="pct"/>
          </w:tcPr>
          <w:p w:rsidR="007A0F29" w:rsidRPr="00427237" w:rsidRDefault="007A0F29" w:rsidP="00316D47">
            <w:pPr>
              <w:pStyle w:val="TableText"/>
              <w:tabs>
                <w:tab w:val="left" w:pos="2835"/>
              </w:tabs>
              <w:spacing w:before="40"/>
            </w:pPr>
            <w:r w:rsidRPr="00427237">
              <w:t xml:space="preserve">Bone study (for bone </w:t>
            </w:r>
            <w:proofErr w:type="spellStart"/>
            <w:r w:rsidRPr="00427237">
              <w:t>scintigraphy</w:t>
            </w:r>
            <w:proofErr w:type="spellEnd"/>
            <w:r w:rsidRPr="00427237">
              <w:t>)</w:t>
            </w:r>
          </w:p>
        </w:tc>
        <w:tc>
          <w:tcPr>
            <w:tcW w:w="902" w:type="pct"/>
          </w:tcPr>
          <w:p w:rsidR="007A0F29" w:rsidRPr="00427237" w:rsidRDefault="008F7B5C" w:rsidP="00EA22A8">
            <w:pPr>
              <w:pStyle w:val="TableText"/>
              <w:tabs>
                <w:tab w:val="left" w:pos="2835"/>
              </w:tabs>
              <w:spacing w:before="40"/>
            </w:pPr>
            <w:r w:rsidRPr="00427237">
              <w:t>Nuclear Medicine Specialist</w:t>
            </w:r>
          </w:p>
        </w:tc>
        <w:tc>
          <w:tcPr>
            <w:tcW w:w="875" w:type="pct"/>
          </w:tcPr>
          <w:p w:rsidR="007A0F29" w:rsidRPr="00427237" w:rsidRDefault="007A0F29" w:rsidP="00EA22A8">
            <w:pPr>
              <w:pStyle w:val="TableText"/>
              <w:tabs>
                <w:tab w:val="left" w:pos="2835"/>
              </w:tabs>
              <w:spacing w:before="40"/>
            </w:pPr>
            <w:r w:rsidRPr="00427237">
              <w:t>Outpatient</w:t>
            </w:r>
          </w:p>
        </w:tc>
        <w:tc>
          <w:tcPr>
            <w:tcW w:w="795" w:type="pct"/>
          </w:tcPr>
          <w:p w:rsidR="007A0F29" w:rsidRPr="00427237" w:rsidRDefault="007A0F29" w:rsidP="009B6D52">
            <w:pPr>
              <w:pStyle w:val="TableText"/>
              <w:tabs>
                <w:tab w:val="left" w:pos="2835"/>
              </w:tabs>
              <w:spacing w:before="40"/>
            </w:pPr>
            <w:r w:rsidRPr="00427237">
              <w:t>600.70</w:t>
            </w:r>
          </w:p>
        </w:tc>
        <w:tc>
          <w:tcPr>
            <w:tcW w:w="729" w:type="pct"/>
          </w:tcPr>
          <w:p w:rsidR="007A0F29" w:rsidRPr="00427237" w:rsidRDefault="007A0F29" w:rsidP="00EA22A8">
            <w:pPr>
              <w:pStyle w:val="TableText"/>
              <w:tabs>
                <w:tab w:val="left" w:pos="2835"/>
              </w:tabs>
              <w:spacing w:before="40"/>
            </w:pPr>
            <w:r w:rsidRPr="00427237">
              <w:t>MBS 61425</w:t>
            </w:r>
          </w:p>
        </w:tc>
      </w:tr>
      <w:tr w:rsidR="00915656" w:rsidRPr="00427237" w:rsidTr="00E22F3C">
        <w:tc>
          <w:tcPr>
            <w:tcW w:w="1699" w:type="pct"/>
          </w:tcPr>
          <w:p w:rsidR="00915656" w:rsidRPr="00427237" w:rsidRDefault="00915656" w:rsidP="00316D47">
            <w:pPr>
              <w:pStyle w:val="TableText"/>
              <w:tabs>
                <w:tab w:val="left" w:pos="2835"/>
              </w:tabs>
              <w:spacing w:before="40"/>
            </w:pPr>
            <w:r w:rsidRPr="00427237">
              <w:t>Breast ultrasound</w:t>
            </w:r>
          </w:p>
        </w:tc>
        <w:tc>
          <w:tcPr>
            <w:tcW w:w="902" w:type="pct"/>
          </w:tcPr>
          <w:p w:rsidR="00915656" w:rsidRPr="00427237" w:rsidRDefault="00915656" w:rsidP="00EA22A8">
            <w:pPr>
              <w:pStyle w:val="TableText"/>
              <w:tabs>
                <w:tab w:val="left" w:pos="2835"/>
              </w:tabs>
              <w:spacing w:before="40"/>
            </w:pPr>
            <w:r w:rsidRPr="00427237">
              <w:t>Specialist</w:t>
            </w:r>
          </w:p>
        </w:tc>
        <w:tc>
          <w:tcPr>
            <w:tcW w:w="875" w:type="pct"/>
          </w:tcPr>
          <w:p w:rsidR="00915656" w:rsidRPr="00427237" w:rsidRDefault="00915656" w:rsidP="00EA22A8">
            <w:pPr>
              <w:pStyle w:val="TableText"/>
              <w:tabs>
                <w:tab w:val="left" w:pos="2835"/>
              </w:tabs>
              <w:spacing w:before="40"/>
            </w:pPr>
            <w:r w:rsidRPr="00427237">
              <w:t>Outpatient</w:t>
            </w:r>
          </w:p>
        </w:tc>
        <w:tc>
          <w:tcPr>
            <w:tcW w:w="795" w:type="pct"/>
          </w:tcPr>
          <w:p w:rsidR="00915656" w:rsidRPr="00427237" w:rsidRDefault="00915656" w:rsidP="009B6D52">
            <w:pPr>
              <w:pStyle w:val="TableText"/>
              <w:tabs>
                <w:tab w:val="left" w:pos="2835"/>
              </w:tabs>
              <w:spacing w:before="40"/>
            </w:pPr>
            <w:r w:rsidRPr="00427237">
              <w:t>49.15</w:t>
            </w:r>
          </w:p>
        </w:tc>
        <w:tc>
          <w:tcPr>
            <w:tcW w:w="729" w:type="pct"/>
          </w:tcPr>
          <w:p w:rsidR="00915656" w:rsidRPr="00427237" w:rsidRDefault="00915656" w:rsidP="00EA22A8">
            <w:pPr>
              <w:pStyle w:val="TableText"/>
              <w:tabs>
                <w:tab w:val="left" w:pos="2835"/>
              </w:tabs>
              <w:spacing w:before="40"/>
            </w:pPr>
            <w:r w:rsidRPr="00427237">
              <w:t>MBS 55059</w:t>
            </w:r>
          </w:p>
        </w:tc>
      </w:tr>
      <w:tr w:rsidR="00915656" w:rsidRPr="00427237" w:rsidTr="00E22F3C">
        <w:tc>
          <w:tcPr>
            <w:tcW w:w="1699" w:type="pct"/>
          </w:tcPr>
          <w:p w:rsidR="00915656" w:rsidRPr="00427237" w:rsidRDefault="00915656" w:rsidP="00316D47">
            <w:pPr>
              <w:pStyle w:val="TableText"/>
              <w:tabs>
                <w:tab w:val="left" w:pos="2835"/>
              </w:tabs>
              <w:spacing w:before="40"/>
            </w:pPr>
            <w:r w:rsidRPr="00427237">
              <w:t>Breast ultrasound</w:t>
            </w:r>
          </w:p>
        </w:tc>
        <w:tc>
          <w:tcPr>
            <w:tcW w:w="902" w:type="pct"/>
          </w:tcPr>
          <w:p w:rsidR="00915656" w:rsidRPr="00427237" w:rsidRDefault="00915656" w:rsidP="00EA22A8">
            <w:pPr>
              <w:pStyle w:val="TableText"/>
              <w:tabs>
                <w:tab w:val="left" w:pos="2835"/>
              </w:tabs>
              <w:spacing w:before="40"/>
            </w:pPr>
            <w:r w:rsidRPr="00427237">
              <w:t>Specialist</w:t>
            </w:r>
          </w:p>
        </w:tc>
        <w:tc>
          <w:tcPr>
            <w:tcW w:w="875" w:type="pct"/>
          </w:tcPr>
          <w:p w:rsidR="00915656" w:rsidRPr="00427237" w:rsidRDefault="00915656" w:rsidP="00EA22A8">
            <w:pPr>
              <w:pStyle w:val="TableText"/>
              <w:tabs>
                <w:tab w:val="left" w:pos="2835"/>
              </w:tabs>
              <w:spacing w:before="40"/>
            </w:pPr>
            <w:r w:rsidRPr="00427237">
              <w:t>Outpatient</w:t>
            </w:r>
          </w:p>
        </w:tc>
        <w:tc>
          <w:tcPr>
            <w:tcW w:w="795" w:type="pct"/>
          </w:tcPr>
          <w:p w:rsidR="00915656" w:rsidRPr="00427237" w:rsidRDefault="00915656" w:rsidP="009B6D52">
            <w:pPr>
              <w:pStyle w:val="TableText"/>
              <w:tabs>
                <w:tab w:val="left" w:pos="2835"/>
              </w:tabs>
              <w:spacing w:before="40"/>
            </w:pPr>
            <w:r w:rsidRPr="00427237">
              <w:t>54.55</w:t>
            </w:r>
          </w:p>
        </w:tc>
        <w:tc>
          <w:tcPr>
            <w:tcW w:w="729" w:type="pct"/>
          </w:tcPr>
          <w:p w:rsidR="00915656" w:rsidRPr="00427237" w:rsidRDefault="00915656" w:rsidP="00EA22A8">
            <w:pPr>
              <w:pStyle w:val="TableText"/>
              <w:tabs>
                <w:tab w:val="left" w:pos="2835"/>
              </w:tabs>
              <w:spacing w:before="40"/>
            </w:pPr>
            <w:r w:rsidRPr="00427237">
              <w:t>MBS 55061</w:t>
            </w:r>
          </w:p>
        </w:tc>
      </w:tr>
    </w:tbl>
    <w:p w:rsidR="002B6639" w:rsidRPr="00427237" w:rsidRDefault="002B6639"/>
    <w:p w:rsidR="002B6639" w:rsidRPr="00427237" w:rsidRDefault="00BE4356" w:rsidP="00BE4356">
      <w:pPr>
        <w:pStyle w:val="Caption"/>
      </w:pPr>
      <w:r w:rsidRPr="00427237">
        <w:t xml:space="preserve">Table </w:t>
      </w:r>
      <w:r w:rsidR="00BF57C1" w:rsidRPr="00427237">
        <w:rPr>
          <w:noProof/>
        </w:rPr>
        <w:t>6</w:t>
      </w:r>
      <w:r w:rsidR="002B6639" w:rsidRPr="00427237">
        <w:t>:</w:t>
      </w:r>
      <w:r w:rsidR="002B6639" w:rsidRPr="00427237">
        <w:tab/>
        <w:t>List of resources to be considered for the reference standard test in the economic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2"/>
        <w:gridCol w:w="1701"/>
        <w:gridCol w:w="1558"/>
        <w:gridCol w:w="1275"/>
        <w:gridCol w:w="1316"/>
      </w:tblGrid>
      <w:tr w:rsidR="00D875A3" w:rsidRPr="00427237" w:rsidTr="00915656">
        <w:tc>
          <w:tcPr>
            <w:tcW w:w="1835" w:type="pct"/>
          </w:tcPr>
          <w:p w:rsidR="00D875A3" w:rsidRPr="00427237" w:rsidRDefault="00D875A3" w:rsidP="00316D47">
            <w:pPr>
              <w:pStyle w:val="TableText"/>
              <w:tabs>
                <w:tab w:val="left" w:pos="2835"/>
              </w:tabs>
              <w:spacing w:before="40"/>
              <w:rPr>
                <w:b/>
              </w:rPr>
            </w:pPr>
            <w:r w:rsidRPr="00427237">
              <w:rPr>
                <w:b/>
              </w:rPr>
              <w:t>Resource</w:t>
            </w:r>
          </w:p>
        </w:tc>
        <w:tc>
          <w:tcPr>
            <w:tcW w:w="920" w:type="pct"/>
          </w:tcPr>
          <w:p w:rsidR="00D875A3" w:rsidRPr="00427237" w:rsidRDefault="00D875A3" w:rsidP="00316D47">
            <w:pPr>
              <w:pStyle w:val="TableText"/>
              <w:tabs>
                <w:tab w:val="left" w:pos="2835"/>
              </w:tabs>
              <w:spacing w:before="40"/>
              <w:rPr>
                <w:b/>
              </w:rPr>
            </w:pPr>
            <w:r w:rsidRPr="00427237">
              <w:rPr>
                <w:b/>
              </w:rPr>
              <w:t>Provider of resource</w:t>
            </w:r>
          </w:p>
        </w:tc>
        <w:tc>
          <w:tcPr>
            <w:tcW w:w="843" w:type="pct"/>
          </w:tcPr>
          <w:p w:rsidR="00D875A3" w:rsidRPr="00427237" w:rsidRDefault="00D875A3" w:rsidP="00316D47">
            <w:pPr>
              <w:pStyle w:val="TableText"/>
              <w:tabs>
                <w:tab w:val="left" w:pos="2835"/>
              </w:tabs>
              <w:spacing w:before="40"/>
              <w:rPr>
                <w:b/>
              </w:rPr>
            </w:pPr>
            <w:r w:rsidRPr="00427237">
              <w:rPr>
                <w:b/>
              </w:rPr>
              <w:t>Setting in which resource is provided</w:t>
            </w:r>
          </w:p>
        </w:tc>
        <w:tc>
          <w:tcPr>
            <w:tcW w:w="690" w:type="pct"/>
          </w:tcPr>
          <w:p w:rsidR="00D875A3" w:rsidRPr="00427237" w:rsidRDefault="00D875A3" w:rsidP="00316D47">
            <w:pPr>
              <w:pStyle w:val="TableText"/>
              <w:tabs>
                <w:tab w:val="left" w:pos="2835"/>
              </w:tabs>
              <w:spacing w:before="40"/>
              <w:rPr>
                <w:b/>
              </w:rPr>
            </w:pPr>
            <w:r w:rsidRPr="00427237">
              <w:rPr>
                <w:b/>
              </w:rPr>
              <w:t>Unit cost</w:t>
            </w:r>
          </w:p>
        </w:tc>
        <w:tc>
          <w:tcPr>
            <w:tcW w:w="712" w:type="pct"/>
          </w:tcPr>
          <w:p w:rsidR="00D875A3" w:rsidRPr="00427237" w:rsidRDefault="00D875A3" w:rsidP="00316D47">
            <w:pPr>
              <w:pStyle w:val="TableText"/>
              <w:tabs>
                <w:tab w:val="left" w:pos="2835"/>
              </w:tabs>
              <w:spacing w:before="40"/>
              <w:rPr>
                <w:b/>
              </w:rPr>
            </w:pPr>
            <w:r w:rsidRPr="00427237">
              <w:rPr>
                <w:b/>
              </w:rPr>
              <w:t>Source (MBS/PBS)</w:t>
            </w:r>
          </w:p>
        </w:tc>
      </w:tr>
      <w:tr w:rsidR="00D875A3" w:rsidRPr="00427237" w:rsidTr="00FC799D">
        <w:tc>
          <w:tcPr>
            <w:tcW w:w="5000" w:type="pct"/>
            <w:gridSpan w:val="5"/>
            <w:shd w:val="clear" w:color="auto" w:fill="D9D9D9" w:themeFill="background1" w:themeFillShade="D9"/>
          </w:tcPr>
          <w:p w:rsidR="00D875A3" w:rsidRPr="00427237" w:rsidRDefault="00D875A3" w:rsidP="00E40F43">
            <w:pPr>
              <w:pStyle w:val="TableText"/>
              <w:tabs>
                <w:tab w:val="left" w:pos="2835"/>
              </w:tabs>
              <w:spacing w:before="40"/>
              <w:rPr>
                <w:b/>
              </w:rPr>
            </w:pPr>
            <w:r w:rsidRPr="00427237">
              <w:rPr>
                <w:b/>
              </w:rPr>
              <w:t>Resources used to deliver the reference standard test (i.e. pathology / biopsy)</w:t>
            </w:r>
          </w:p>
        </w:tc>
      </w:tr>
      <w:tr w:rsidR="00915656" w:rsidRPr="00427237" w:rsidTr="00915656">
        <w:tc>
          <w:tcPr>
            <w:tcW w:w="1835" w:type="pct"/>
          </w:tcPr>
          <w:p w:rsidR="00915656" w:rsidRPr="00427237" w:rsidRDefault="00915656" w:rsidP="00EA22A8">
            <w:pPr>
              <w:pStyle w:val="TableText"/>
              <w:tabs>
                <w:tab w:val="left" w:pos="2835"/>
              </w:tabs>
              <w:spacing w:before="40"/>
            </w:pPr>
            <w:r w:rsidRPr="00427237">
              <w:t>CT in conjunction with a surgical procedure</w:t>
            </w:r>
          </w:p>
        </w:tc>
        <w:tc>
          <w:tcPr>
            <w:tcW w:w="920" w:type="pct"/>
          </w:tcPr>
          <w:p w:rsidR="00915656" w:rsidRPr="00427237" w:rsidRDefault="007A0F29" w:rsidP="00EA22A8">
            <w:pPr>
              <w:pStyle w:val="TableText"/>
              <w:tabs>
                <w:tab w:val="left" w:pos="2835"/>
              </w:tabs>
              <w:spacing w:before="40"/>
            </w:pPr>
            <w:r w:rsidRPr="00427237">
              <w:t>Radiologist</w:t>
            </w:r>
          </w:p>
        </w:tc>
        <w:tc>
          <w:tcPr>
            <w:tcW w:w="843" w:type="pct"/>
          </w:tcPr>
          <w:p w:rsidR="00915656" w:rsidRPr="00427237" w:rsidRDefault="00915656" w:rsidP="00EA22A8">
            <w:pPr>
              <w:pStyle w:val="TableText"/>
              <w:tabs>
                <w:tab w:val="left" w:pos="2835"/>
              </w:tabs>
              <w:spacing w:before="40"/>
            </w:pPr>
            <w:r w:rsidRPr="00427237">
              <w:t>Outpatient</w:t>
            </w:r>
          </w:p>
        </w:tc>
        <w:tc>
          <w:tcPr>
            <w:tcW w:w="690" w:type="pct"/>
          </w:tcPr>
          <w:p w:rsidR="00915656" w:rsidRPr="00427237" w:rsidRDefault="00915656" w:rsidP="009B6D52">
            <w:pPr>
              <w:pStyle w:val="TableText"/>
              <w:tabs>
                <w:tab w:val="left" w:pos="2835"/>
              </w:tabs>
              <w:spacing w:before="40"/>
            </w:pPr>
            <w:r w:rsidRPr="00427237">
              <w:t>$470.00</w:t>
            </w:r>
          </w:p>
        </w:tc>
        <w:tc>
          <w:tcPr>
            <w:tcW w:w="712" w:type="pct"/>
          </w:tcPr>
          <w:p w:rsidR="00915656" w:rsidRPr="00427237" w:rsidRDefault="00915656" w:rsidP="00EA22A8">
            <w:pPr>
              <w:pStyle w:val="TableText"/>
              <w:tabs>
                <w:tab w:val="left" w:pos="2835"/>
              </w:tabs>
              <w:spacing w:before="40"/>
            </w:pPr>
            <w:r w:rsidRPr="00427237">
              <w:t>MBS 57341</w:t>
            </w:r>
          </w:p>
        </w:tc>
      </w:tr>
      <w:tr w:rsidR="00915656" w:rsidRPr="00427237" w:rsidTr="00915656">
        <w:tc>
          <w:tcPr>
            <w:tcW w:w="1835" w:type="pct"/>
          </w:tcPr>
          <w:p w:rsidR="00915656" w:rsidRPr="00427237" w:rsidRDefault="00915656" w:rsidP="00EA22A8">
            <w:pPr>
              <w:pStyle w:val="TableText"/>
              <w:tabs>
                <w:tab w:val="left" w:pos="2835"/>
              </w:tabs>
              <w:spacing w:before="40"/>
            </w:pPr>
            <w:r w:rsidRPr="00427237">
              <w:t>Diagnostic percutaneous aspiration biopsy</w:t>
            </w:r>
          </w:p>
        </w:tc>
        <w:tc>
          <w:tcPr>
            <w:tcW w:w="920" w:type="pct"/>
          </w:tcPr>
          <w:p w:rsidR="00915656" w:rsidRPr="00427237" w:rsidRDefault="00915656" w:rsidP="00EA22A8">
            <w:pPr>
              <w:pStyle w:val="TableText"/>
              <w:tabs>
                <w:tab w:val="left" w:pos="2835"/>
              </w:tabs>
              <w:spacing w:before="40"/>
            </w:pPr>
            <w:r w:rsidRPr="00427237">
              <w:t>Specialist</w:t>
            </w:r>
          </w:p>
        </w:tc>
        <w:tc>
          <w:tcPr>
            <w:tcW w:w="843" w:type="pct"/>
          </w:tcPr>
          <w:p w:rsidR="00915656" w:rsidRPr="00427237" w:rsidRDefault="00915656" w:rsidP="00EA22A8">
            <w:pPr>
              <w:pStyle w:val="TableText"/>
              <w:tabs>
                <w:tab w:val="left" w:pos="2835"/>
              </w:tabs>
              <w:spacing w:before="40"/>
            </w:pPr>
            <w:r w:rsidRPr="00427237">
              <w:t>Outpatient</w:t>
            </w:r>
          </w:p>
        </w:tc>
        <w:tc>
          <w:tcPr>
            <w:tcW w:w="690" w:type="pct"/>
          </w:tcPr>
          <w:p w:rsidR="00915656" w:rsidRPr="00427237" w:rsidRDefault="00915656" w:rsidP="009B6D52">
            <w:pPr>
              <w:pStyle w:val="TableText"/>
              <w:tabs>
                <w:tab w:val="left" w:pos="2835"/>
              </w:tabs>
              <w:spacing w:before="40"/>
            </w:pPr>
            <w:r w:rsidRPr="00427237">
              <w:t>$185.85</w:t>
            </w:r>
          </w:p>
        </w:tc>
        <w:tc>
          <w:tcPr>
            <w:tcW w:w="712" w:type="pct"/>
          </w:tcPr>
          <w:p w:rsidR="00915656" w:rsidRPr="00427237" w:rsidRDefault="00915656" w:rsidP="00EA22A8">
            <w:pPr>
              <w:pStyle w:val="TableText"/>
              <w:tabs>
                <w:tab w:val="left" w:pos="2835"/>
              </w:tabs>
              <w:spacing w:before="40"/>
            </w:pPr>
            <w:r w:rsidRPr="00427237">
              <w:t>MBS 30094</w:t>
            </w:r>
          </w:p>
        </w:tc>
      </w:tr>
      <w:tr w:rsidR="00915656" w:rsidRPr="00427237" w:rsidTr="00915656">
        <w:tc>
          <w:tcPr>
            <w:tcW w:w="1835" w:type="pct"/>
          </w:tcPr>
          <w:p w:rsidR="00915656" w:rsidRPr="00427237" w:rsidRDefault="00915656" w:rsidP="00EA22A8">
            <w:pPr>
              <w:pStyle w:val="TableText"/>
              <w:tabs>
                <w:tab w:val="left" w:pos="2835"/>
              </w:tabs>
              <w:spacing w:before="40"/>
            </w:pPr>
            <w:r w:rsidRPr="00427237">
              <w:t>Examination of complexity level 3 biopsy material with 1 or more tissue blocks</w:t>
            </w:r>
          </w:p>
        </w:tc>
        <w:tc>
          <w:tcPr>
            <w:tcW w:w="920" w:type="pct"/>
          </w:tcPr>
          <w:p w:rsidR="00915656" w:rsidRPr="00427237" w:rsidRDefault="00915656" w:rsidP="00EA22A8">
            <w:pPr>
              <w:pStyle w:val="TableText"/>
              <w:tabs>
                <w:tab w:val="left" w:pos="2835"/>
              </w:tabs>
              <w:spacing w:before="40"/>
            </w:pPr>
            <w:r w:rsidRPr="00427237">
              <w:t>Specialist</w:t>
            </w:r>
          </w:p>
        </w:tc>
        <w:tc>
          <w:tcPr>
            <w:tcW w:w="843" w:type="pct"/>
          </w:tcPr>
          <w:p w:rsidR="00915656" w:rsidRPr="00427237" w:rsidRDefault="00915656" w:rsidP="00EA22A8">
            <w:pPr>
              <w:pStyle w:val="TableText"/>
              <w:tabs>
                <w:tab w:val="left" w:pos="2835"/>
              </w:tabs>
              <w:spacing w:before="40"/>
            </w:pPr>
            <w:r w:rsidRPr="00427237">
              <w:t>Outpatient</w:t>
            </w:r>
          </w:p>
        </w:tc>
        <w:tc>
          <w:tcPr>
            <w:tcW w:w="690" w:type="pct"/>
          </w:tcPr>
          <w:p w:rsidR="00915656" w:rsidRPr="00427237" w:rsidRDefault="00915656" w:rsidP="009B6D52">
            <w:pPr>
              <w:pStyle w:val="TableText"/>
              <w:tabs>
                <w:tab w:val="left" w:pos="2835"/>
              </w:tabs>
              <w:spacing w:before="40"/>
            </w:pPr>
            <w:r w:rsidRPr="00427237">
              <w:t>$97.45</w:t>
            </w:r>
          </w:p>
        </w:tc>
        <w:tc>
          <w:tcPr>
            <w:tcW w:w="712" w:type="pct"/>
          </w:tcPr>
          <w:p w:rsidR="00915656" w:rsidRPr="00427237" w:rsidRDefault="00915656" w:rsidP="00EA22A8">
            <w:pPr>
              <w:pStyle w:val="TableText"/>
              <w:tabs>
                <w:tab w:val="left" w:pos="2835"/>
              </w:tabs>
              <w:spacing w:before="40"/>
            </w:pPr>
            <w:r w:rsidRPr="00427237">
              <w:t>MBS 72817</w:t>
            </w:r>
          </w:p>
        </w:tc>
      </w:tr>
      <w:tr w:rsidR="00D875A3" w:rsidRPr="00427237" w:rsidTr="00915656">
        <w:tc>
          <w:tcPr>
            <w:tcW w:w="1835" w:type="pct"/>
          </w:tcPr>
          <w:p w:rsidR="00D875A3" w:rsidRPr="00427237" w:rsidRDefault="000C3B95" w:rsidP="00EA22A8">
            <w:pPr>
              <w:pStyle w:val="TableText"/>
              <w:tabs>
                <w:tab w:val="left" w:pos="2835"/>
              </w:tabs>
              <w:spacing w:before="40"/>
            </w:pPr>
            <w:r w:rsidRPr="00427237">
              <w:t>Specialist consultation?</w:t>
            </w:r>
          </w:p>
        </w:tc>
        <w:tc>
          <w:tcPr>
            <w:tcW w:w="920" w:type="pct"/>
          </w:tcPr>
          <w:p w:rsidR="00D875A3" w:rsidRPr="00427237" w:rsidRDefault="00C665B5" w:rsidP="00EA22A8">
            <w:pPr>
              <w:pStyle w:val="TableText"/>
              <w:tabs>
                <w:tab w:val="left" w:pos="2835"/>
              </w:tabs>
              <w:spacing w:before="40"/>
              <w:rPr>
                <w:b/>
              </w:rPr>
            </w:pPr>
            <w:r w:rsidRPr="00427237">
              <w:t>Specialist</w:t>
            </w:r>
          </w:p>
        </w:tc>
        <w:tc>
          <w:tcPr>
            <w:tcW w:w="843" w:type="pct"/>
          </w:tcPr>
          <w:p w:rsidR="00D875A3" w:rsidRPr="00427237" w:rsidRDefault="00D875A3" w:rsidP="00EA22A8">
            <w:pPr>
              <w:pStyle w:val="TableText"/>
              <w:tabs>
                <w:tab w:val="left" w:pos="2835"/>
              </w:tabs>
              <w:spacing w:before="40"/>
              <w:rPr>
                <w:b/>
              </w:rPr>
            </w:pPr>
          </w:p>
        </w:tc>
        <w:tc>
          <w:tcPr>
            <w:tcW w:w="690" w:type="pct"/>
          </w:tcPr>
          <w:p w:rsidR="00D875A3" w:rsidRPr="00427237" w:rsidRDefault="00D875A3" w:rsidP="009B6D52">
            <w:pPr>
              <w:pStyle w:val="TableText"/>
              <w:tabs>
                <w:tab w:val="left" w:pos="2835"/>
              </w:tabs>
              <w:spacing w:before="40"/>
              <w:rPr>
                <w:b/>
              </w:rPr>
            </w:pPr>
          </w:p>
        </w:tc>
        <w:tc>
          <w:tcPr>
            <w:tcW w:w="712" w:type="pct"/>
          </w:tcPr>
          <w:p w:rsidR="00D875A3" w:rsidRPr="00427237" w:rsidRDefault="00D875A3" w:rsidP="00EA22A8">
            <w:pPr>
              <w:pStyle w:val="TableText"/>
              <w:tabs>
                <w:tab w:val="left" w:pos="2835"/>
              </w:tabs>
              <w:spacing w:before="40"/>
              <w:rPr>
                <w:b/>
              </w:rPr>
            </w:pPr>
          </w:p>
        </w:tc>
      </w:tr>
      <w:tr w:rsidR="000C3B95" w:rsidRPr="00427237" w:rsidTr="00915656">
        <w:tc>
          <w:tcPr>
            <w:tcW w:w="1835" w:type="pct"/>
          </w:tcPr>
          <w:p w:rsidR="000C3B95" w:rsidRPr="00427237" w:rsidRDefault="000C3B95" w:rsidP="00EA22A8">
            <w:pPr>
              <w:pStyle w:val="TableText"/>
              <w:tabs>
                <w:tab w:val="left" w:pos="2835"/>
              </w:tabs>
              <w:spacing w:before="40"/>
              <w:rPr>
                <w:b/>
              </w:rPr>
            </w:pPr>
          </w:p>
        </w:tc>
        <w:tc>
          <w:tcPr>
            <w:tcW w:w="920" w:type="pct"/>
          </w:tcPr>
          <w:p w:rsidR="000C3B95" w:rsidRPr="00427237" w:rsidRDefault="000C3B95" w:rsidP="00EA22A8">
            <w:pPr>
              <w:pStyle w:val="TableText"/>
              <w:tabs>
                <w:tab w:val="left" w:pos="2835"/>
              </w:tabs>
              <w:spacing w:before="40"/>
              <w:rPr>
                <w:b/>
              </w:rPr>
            </w:pPr>
          </w:p>
        </w:tc>
        <w:tc>
          <w:tcPr>
            <w:tcW w:w="843" w:type="pct"/>
          </w:tcPr>
          <w:p w:rsidR="000C3B95" w:rsidRPr="00427237" w:rsidRDefault="000C3B95" w:rsidP="00EA22A8">
            <w:pPr>
              <w:pStyle w:val="TableText"/>
              <w:tabs>
                <w:tab w:val="left" w:pos="2835"/>
              </w:tabs>
              <w:spacing w:before="40"/>
              <w:rPr>
                <w:b/>
              </w:rPr>
            </w:pPr>
          </w:p>
        </w:tc>
        <w:tc>
          <w:tcPr>
            <w:tcW w:w="690" w:type="pct"/>
          </w:tcPr>
          <w:p w:rsidR="000C3B95" w:rsidRPr="00427237" w:rsidRDefault="000C3B95" w:rsidP="009B6D52">
            <w:pPr>
              <w:pStyle w:val="TableText"/>
              <w:tabs>
                <w:tab w:val="left" w:pos="2835"/>
              </w:tabs>
              <w:spacing w:before="40"/>
              <w:rPr>
                <w:b/>
              </w:rPr>
            </w:pPr>
          </w:p>
        </w:tc>
        <w:tc>
          <w:tcPr>
            <w:tcW w:w="712" w:type="pct"/>
          </w:tcPr>
          <w:p w:rsidR="000C3B95" w:rsidRPr="00427237" w:rsidRDefault="000C3B95" w:rsidP="00EA22A8">
            <w:pPr>
              <w:pStyle w:val="TableText"/>
              <w:tabs>
                <w:tab w:val="left" w:pos="2835"/>
              </w:tabs>
              <w:spacing w:before="40"/>
              <w:rPr>
                <w:b/>
              </w:rPr>
            </w:pPr>
          </w:p>
        </w:tc>
      </w:tr>
      <w:tr w:rsidR="00D875A3" w:rsidRPr="00427237" w:rsidTr="00FC799D">
        <w:tc>
          <w:tcPr>
            <w:tcW w:w="5000" w:type="pct"/>
            <w:gridSpan w:val="5"/>
            <w:shd w:val="clear" w:color="auto" w:fill="D9D9D9" w:themeFill="background1" w:themeFillShade="D9"/>
          </w:tcPr>
          <w:p w:rsidR="00D875A3" w:rsidRPr="00427237" w:rsidRDefault="00D875A3" w:rsidP="00E40F43">
            <w:pPr>
              <w:pStyle w:val="TableText"/>
              <w:tabs>
                <w:tab w:val="left" w:pos="2835"/>
              </w:tabs>
              <w:spacing w:before="40"/>
              <w:rPr>
                <w:b/>
              </w:rPr>
            </w:pPr>
            <w:r w:rsidRPr="00427237">
              <w:rPr>
                <w:b/>
              </w:rPr>
              <w:t>Resources association with the reference standard test (e.g., co-administered interventions, resources used to manage adverse events)</w:t>
            </w:r>
          </w:p>
        </w:tc>
      </w:tr>
      <w:tr w:rsidR="00D875A3" w:rsidRPr="00427237" w:rsidTr="00915656">
        <w:tc>
          <w:tcPr>
            <w:tcW w:w="1835" w:type="pct"/>
          </w:tcPr>
          <w:p w:rsidR="00D875A3" w:rsidRPr="00427237" w:rsidRDefault="00D875A3" w:rsidP="00EA22A8">
            <w:pPr>
              <w:pStyle w:val="TableText"/>
              <w:tabs>
                <w:tab w:val="left" w:pos="2835"/>
              </w:tabs>
              <w:spacing w:before="40"/>
            </w:pPr>
            <w:r w:rsidRPr="00427237">
              <w:t>Wound management?</w:t>
            </w:r>
          </w:p>
        </w:tc>
        <w:tc>
          <w:tcPr>
            <w:tcW w:w="920" w:type="pct"/>
          </w:tcPr>
          <w:p w:rsidR="00D875A3" w:rsidRPr="00427237" w:rsidRDefault="00D875A3" w:rsidP="00EA22A8">
            <w:pPr>
              <w:pStyle w:val="TableText"/>
              <w:tabs>
                <w:tab w:val="left" w:pos="2835"/>
              </w:tabs>
              <w:spacing w:before="40"/>
              <w:rPr>
                <w:b/>
              </w:rPr>
            </w:pPr>
          </w:p>
        </w:tc>
        <w:tc>
          <w:tcPr>
            <w:tcW w:w="843" w:type="pct"/>
          </w:tcPr>
          <w:p w:rsidR="00D875A3" w:rsidRPr="00427237" w:rsidRDefault="00D875A3" w:rsidP="00EA22A8">
            <w:pPr>
              <w:pStyle w:val="TableText"/>
              <w:tabs>
                <w:tab w:val="left" w:pos="2835"/>
              </w:tabs>
              <w:spacing w:before="40"/>
              <w:rPr>
                <w:b/>
              </w:rPr>
            </w:pPr>
          </w:p>
        </w:tc>
        <w:tc>
          <w:tcPr>
            <w:tcW w:w="690" w:type="pct"/>
          </w:tcPr>
          <w:p w:rsidR="00D875A3" w:rsidRPr="00427237" w:rsidRDefault="00D875A3" w:rsidP="009B6D52">
            <w:pPr>
              <w:pStyle w:val="TableText"/>
              <w:tabs>
                <w:tab w:val="left" w:pos="2835"/>
              </w:tabs>
              <w:spacing w:before="40"/>
              <w:rPr>
                <w:b/>
              </w:rPr>
            </w:pPr>
          </w:p>
        </w:tc>
        <w:tc>
          <w:tcPr>
            <w:tcW w:w="712" w:type="pct"/>
          </w:tcPr>
          <w:p w:rsidR="00D875A3" w:rsidRPr="00427237" w:rsidRDefault="00D875A3" w:rsidP="00EA22A8">
            <w:pPr>
              <w:pStyle w:val="TableText"/>
              <w:tabs>
                <w:tab w:val="left" w:pos="2835"/>
              </w:tabs>
              <w:spacing w:before="40"/>
              <w:rPr>
                <w:b/>
              </w:rPr>
            </w:pPr>
          </w:p>
        </w:tc>
      </w:tr>
      <w:tr w:rsidR="00D875A3" w:rsidRPr="00427237" w:rsidTr="00915656">
        <w:tc>
          <w:tcPr>
            <w:tcW w:w="1835" w:type="pct"/>
          </w:tcPr>
          <w:p w:rsidR="00D875A3" w:rsidRPr="00427237" w:rsidRDefault="00D875A3" w:rsidP="00EA22A8">
            <w:pPr>
              <w:pStyle w:val="TableText"/>
              <w:tabs>
                <w:tab w:val="left" w:pos="2835"/>
              </w:tabs>
              <w:spacing w:before="40"/>
            </w:pPr>
            <w:r w:rsidRPr="00427237">
              <w:t>Antibiotics for infection?</w:t>
            </w:r>
          </w:p>
        </w:tc>
        <w:tc>
          <w:tcPr>
            <w:tcW w:w="920" w:type="pct"/>
          </w:tcPr>
          <w:p w:rsidR="00D875A3" w:rsidRPr="00427237" w:rsidRDefault="00D875A3" w:rsidP="00EA22A8">
            <w:pPr>
              <w:pStyle w:val="TableText"/>
              <w:tabs>
                <w:tab w:val="left" w:pos="2835"/>
              </w:tabs>
              <w:spacing w:before="40"/>
              <w:rPr>
                <w:b/>
              </w:rPr>
            </w:pPr>
          </w:p>
        </w:tc>
        <w:tc>
          <w:tcPr>
            <w:tcW w:w="843" w:type="pct"/>
          </w:tcPr>
          <w:p w:rsidR="00D875A3" w:rsidRPr="00427237" w:rsidRDefault="00D875A3" w:rsidP="00EA22A8">
            <w:pPr>
              <w:pStyle w:val="TableText"/>
              <w:tabs>
                <w:tab w:val="left" w:pos="2835"/>
              </w:tabs>
              <w:spacing w:before="40"/>
              <w:rPr>
                <w:b/>
              </w:rPr>
            </w:pPr>
          </w:p>
        </w:tc>
        <w:tc>
          <w:tcPr>
            <w:tcW w:w="690" w:type="pct"/>
          </w:tcPr>
          <w:p w:rsidR="00D875A3" w:rsidRPr="00427237" w:rsidRDefault="00D875A3" w:rsidP="009B6D52">
            <w:pPr>
              <w:pStyle w:val="TableText"/>
              <w:tabs>
                <w:tab w:val="left" w:pos="2835"/>
              </w:tabs>
              <w:spacing w:before="40"/>
              <w:rPr>
                <w:b/>
              </w:rPr>
            </w:pPr>
          </w:p>
        </w:tc>
        <w:tc>
          <w:tcPr>
            <w:tcW w:w="712" w:type="pct"/>
          </w:tcPr>
          <w:p w:rsidR="00D875A3" w:rsidRPr="00427237" w:rsidRDefault="00D875A3" w:rsidP="00EA22A8">
            <w:pPr>
              <w:pStyle w:val="TableText"/>
              <w:tabs>
                <w:tab w:val="left" w:pos="2835"/>
              </w:tabs>
              <w:spacing w:before="40"/>
              <w:rPr>
                <w:b/>
              </w:rPr>
            </w:pPr>
          </w:p>
        </w:tc>
      </w:tr>
      <w:tr w:rsidR="00D875A3" w:rsidRPr="00427237" w:rsidTr="00915656">
        <w:tc>
          <w:tcPr>
            <w:tcW w:w="1835" w:type="pct"/>
          </w:tcPr>
          <w:p w:rsidR="00D875A3" w:rsidRPr="00427237" w:rsidRDefault="00D875A3" w:rsidP="00EA22A8">
            <w:pPr>
              <w:pStyle w:val="TableText"/>
              <w:tabs>
                <w:tab w:val="left" w:pos="2835"/>
              </w:tabs>
              <w:spacing w:before="40"/>
              <w:rPr>
                <w:b/>
              </w:rPr>
            </w:pPr>
          </w:p>
        </w:tc>
        <w:tc>
          <w:tcPr>
            <w:tcW w:w="920" w:type="pct"/>
          </w:tcPr>
          <w:p w:rsidR="00D875A3" w:rsidRPr="00427237" w:rsidRDefault="00D875A3" w:rsidP="00EA22A8">
            <w:pPr>
              <w:pStyle w:val="TableText"/>
              <w:tabs>
                <w:tab w:val="left" w:pos="2835"/>
              </w:tabs>
              <w:spacing w:before="40"/>
              <w:rPr>
                <w:b/>
              </w:rPr>
            </w:pPr>
          </w:p>
        </w:tc>
        <w:tc>
          <w:tcPr>
            <w:tcW w:w="843" w:type="pct"/>
          </w:tcPr>
          <w:p w:rsidR="00D875A3" w:rsidRPr="00427237" w:rsidRDefault="00D875A3" w:rsidP="00EA22A8">
            <w:pPr>
              <w:pStyle w:val="TableText"/>
              <w:tabs>
                <w:tab w:val="left" w:pos="2835"/>
              </w:tabs>
              <w:spacing w:before="40"/>
              <w:rPr>
                <w:b/>
              </w:rPr>
            </w:pPr>
          </w:p>
        </w:tc>
        <w:tc>
          <w:tcPr>
            <w:tcW w:w="690" w:type="pct"/>
          </w:tcPr>
          <w:p w:rsidR="00D875A3" w:rsidRPr="00427237" w:rsidRDefault="00D875A3" w:rsidP="009B6D52">
            <w:pPr>
              <w:pStyle w:val="TableText"/>
              <w:tabs>
                <w:tab w:val="left" w:pos="2835"/>
              </w:tabs>
              <w:spacing w:before="40"/>
              <w:rPr>
                <w:b/>
              </w:rPr>
            </w:pPr>
          </w:p>
        </w:tc>
        <w:tc>
          <w:tcPr>
            <w:tcW w:w="712" w:type="pct"/>
          </w:tcPr>
          <w:p w:rsidR="00D875A3" w:rsidRPr="00427237" w:rsidRDefault="00D875A3" w:rsidP="00EA22A8">
            <w:pPr>
              <w:pStyle w:val="TableText"/>
              <w:tabs>
                <w:tab w:val="left" w:pos="2835"/>
              </w:tabs>
              <w:spacing w:before="40"/>
              <w:rPr>
                <w:b/>
              </w:rPr>
            </w:pPr>
          </w:p>
        </w:tc>
      </w:tr>
    </w:tbl>
    <w:p w:rsidR="002176F5" w:rsidRPr="00427237" w:rsidRDefault="002176F5"/>
    <w:p w:rsidR="002176F5" w:rsidRPr="00427237" w:rsidRDefault="00BE4356" w:rsidP="00BE4356">
      <w:pPr>
        <w:pStyle w:val="Caption"/>
      </w:pPr>
      <w:r w:rsidRPr="00427237">
        <w:lastRenderedPageBreak/>
        <w:t xml:space="preserve">Table </w:t>
      </w:r>
      <w:r w:rsidR="00BF57C1" w:rsidRPr="00427237">
        <w:rPr>
          <w:noProof/>
        </w:rPr>
        <w:t>7</w:t>
      </w:r>
      <w:r w:rsidR="002176F5" w:rsidRPr="00427237">
        <w:t>:</w:t>
      </w:r>
      <w:r w:rsidR="002176F5" w:rsidRPr="00427237">
        <w:tab/>
        <w:t xml:space="preserve">List of resources for </w:t>
      </w:r>
      <w:r w:rsidR="00B94906" w:rsidRPr="00427237">
        <w:t xml:space="preserve">active curative </w:t>
      </w:r>
      <w:r w:rsidR="002176F5" w:rsidRPr="00427237">
        <w:t>treatments to be considered in the economic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2"/>
        <w:gridCol w:w="1701"/>
        <w:gridCol w:w="1558"/>
        <w:gridCol w:w="1275"/>
        <w:gridCol w:w="1316"/>
      </w:tblGrid>
      <w:tr w:rsidR="00910598" w:rsidRPr="00427237" w:rsidTr="009D64F6">
        <w:tc>
          <w:tcPr>
            <w:tcW w:w="1835" w:type="pct"/>
          </w:tcPr>
          <w:p w:rsidR="00910598" w:rsidRPr="00427237" w:rsidRDefault="00910598" w:rsidP="00026771">
            <w:pPr>
              <w:pStyle w:val="TableText"/>
              <w:tabs>
                <w:tab w:val="left" w:pos="2835"/>
              </w:tabs>
              <w:spacing w:before="40"/>
              <w:rPr>
                <w:b/>
              </w:rPr>
            </w:pPr>
            <w:r w:rsidRPr="00427237">
              <w:rPr>
                <w:b/>
              </w:rPr>
              <w:t>Resource</w:t>
            </w:r>
          </w:p>
        </w:tc>
        <w:tc>
          <w:tcPr>
            <w:tcW w:w="920" w:type="pct"/>
          </w:tcPr>
          <w:p w:rsidR="00910598" w:rsidRPr="00427237" w:rsidRDefault="00910598" w:rsidP="00026771">
            <w:pPr>
              <w:pStyle w:val="TableText"/>
              <w:tabs>
                <w:tab w:val="left" w:pos="2835"/>
              </w:tabs>
              <w:spacing w:before="40"/>
              <w:rPr>
                <w:b/>
              </w:rPr>
            </w:pPr>
            <w:r w:rsidRPr="00427237">
              <w:rPr>
                <w:b/>
              </w:rPr>
              <w:t>Provider of resource</w:t>
            </w:r>
          </w:p>
        </w:tc>
        <w:tc>
          <w:tcPr>
            <w:tcW w:w="843" w:type="pct"/>
          </w:tcPr>
          <w:p w:rsidR="00910598" w:rsidRPr="00427237" w:rsidRDefault="00910598" w:rsidP="00026771">
            <w:pPr>
              <w:pStyle w:val="TableText"/>
              <w:tabs>
                <w:tab w:val="left" w:pos="2835"/>
              </w:tabs>
              <w:spacing w:before="40"/>
              <w:rPr>
                <w:b/>
              </w:rPr>
            </w:pPr>
            <w:r w:rsidRPr="00427237">
              <w:rPr>
                <w:b/>
              </w:rPr>
              <w:t>Setting in which resource is provided</w:t>
            </w:r>
          </w:p>
        </w:tc>
        <w:tc>
          <w:tcPr>
            <w:tcW w:w="690" w:type="pct"/>
          </w:tcPr>
          <w:p w:rsidR="00910598" w:rsidRPr="00427237" w:rsidRDefault="00910598" w:rsidP="00026771">
            <w:pPr>
              <w:pStyle w:val="TableText"/>
              <w:tabs>
                <w:tab w:val="left" w:pos="2835"/>
              </w:tabs>
              <w:spacing w:before="40"/>
              <w:rPr>
                <w:b/>
              </w:rPr>
            </w:pPr>
            <w:r w:rsidRPr="00427237">
              <w:rPr>
                <w:b/>
              </w:rPr>
              <w:t>Unit cost</w:t>
            </w:r>
          </w:p>
        </w:tc>
        <w:tc>
          <w:tcPr>
            <w:tcW w:w="712" w:type="pct"/>
          </w:tcPr>
          <w:p w:rsidR="00910598" w:rsidRPr="00427237" w:rsidRDefault="00910598" w:rsidP="00026771">
            <w:pPr>
              <w:pStyle w:val="TableText"/>
              <w:tabs>
                <w:tab w:val="left" w:pos="2835"/>
              </w:tabs>
              <w:spacing w:before="40"/>
              <w:rPr>
                <w:b/>
              </w:rPr>
            </w:pPr>
            <w:r w:rsidRPr="00427237">
              <w:rPr>
                <w:b/>
              </w:rPr>
              <w:t>Source (MBS/PBS)</w:t>
            </w:r>
          </w:p>
        </w:tc>
      </w:tr>
      <w:tr w:rsidR="00910598" w:rsidRPr="00427237" w:rsidTr="00FC799D">
        <w:tc>
          <w:tcPr>
            <w:tcW w:w="5000" w:type="pct"/>
            <w:gridSpan w:val="5"/>
            <w:shd w:val="clear" w:color="auto" w:fill="D9D9D9" w:themeFill="background1" w:themeFillShade="D9"/>
          </w:tcPr>
          <w:p w:rsidR="00910598" w:rsidRPr="00427237" w:rsidRDefault="00910598" w:rsidP="00E40F43">
            <w:pPr>
              <w:pStyle w:val="TableText"/>
              <w:tabs>
                <w:tab w:val="left" w:pos="2835"/>
              </w:tabs>
              <w:spacing w:before="40"/>
              <w:rPr>
                <w:b/>
              </w:rPr>
            </w:pPr>
            <w:r w:rsidRPr="00427237">
              <w:rPr>
                <w:b/>
              </w:rPr>
              <w:t>Resources association with therapeutic treatment (i.e. for  local treatment and altered local treatments of possibly curable disease)</w:t>
            </w:r>
          </w:p>
        </w:tc>
      </w:tr>
      <w:tr w:rsidR="00910598" w:rsidRPr="00427237" w:rsidTr="009D64F6">
        <w:tc>
          <w:tcPr>
            <w:tcW w:w="1835" w:type="pct"/>
          </w:tcPr>
          <w:p w:rsidR="00910598" w:rsidRPr="00427237" w:rsidRDefault="00910598" w:rsidP="00EA22A8">
            <w:pPr>
              <w:pStyle w:val="TableText"/>
              <w:tabs>
                <w:tab w:val="left" w:pos="2835"/>
              </w:tabs>
              <w:spacing w:before="40"/>
              <w:rPr>
                <w:b/>
              </w:rPr>
            </w:pPr>
            <w:r w:rsidRPr="00427237">
              <w:rPr>
                <w:b/>
              </w:rPr>
              <w:t>Surgery</w:t>
            </w:r>
          </w:p>
        </w:tc>
        <w:tc>
          <w:tcPr>
            <w:tcW w:w="920" w:type="pct"/>
          </w:tcPr>
          <w:p w:rsidR="00910598" w:rsidRPr="00427237" w:rsidRDefault="00910598" w:rsidP="00EA22A8">
            <w:pPr>
              <w:pStyle w:val="TableText"/>
              <w:tabs>
                <w:tab w:val="left" w:pos="2835"/>
              </w:tabs>
              <w:spacing w:before="40"/>
              <w:rPr>
                <w:b/>
              </w:rPr>
            </w:pPr>
          </w:p>
        </w:tc>
        <w:tc>
          <w:tcPr>
            <w:tcW w:w="843" w:type="pct"/>
          </w:tcPr>
          <w:p w:rsidR="00910598" w:rsidRPr="00427237" w:rsidRDefault="00910598" w:rsidP="00EA22A8">
            <w:pPr>
              <w:pStyle w:val="TableText"/>
              <w:tabs>
                <w:tab w:val="left" w:pos="2835"/>
              </w:tabs>
              <w:spacing w:before="40"/>
              <w:rPr>
                <w:b/>
              </w:rPr>
            </w:pPr>
          </w:p>
        </w:tc>
        <w:tc>
          <w:tcPr>
            <w:tcW w:w="690" w:type="pct"/>
          </w:tcPr>
          <w:p w:rsidR="00910598" w:rsidRPr="00427237" w:rsidRDefault="00910598" w:rsidP="009B6D52">
            <w:pPr>
              <w:pStyle w:val="TableText"/>
              <w:tabs>
                <w:tab w:val="left" w:pos="2835"/>
              </w:tabs>
              <w:spacing w:before="40"/>
              <w:rPr>
                <w:b/>
              </w:rPr>
            </w:pPr>
          </w:p>
        </w:tc>
        <w:tc>
          <w:tcPr>
            <w:tcW w:w="712" w:type="pct"/>
          </w:tcPr>
          <w:p w:rsidR="00910598" w:rsidRPr="00427237" w:rsidRDefault="00910598" w:rsidP="00EA22A8">
            <w:pPr>
              <w:pStyle w:val="TableText"/>
              <w:tabs>
                <w:tab w:val="left" w:pos="2835"/>
              </w:tabs>
              <w:spacing w:before="40"/>
              <w:rPr>
                <w:b/>
              </w:rPr>
            </w:pPr>
          </w:p>
        </w:tc>
      </w:tr>
      <w:tr w:rsidR="00C665B5" w:rsidRPr="00427237" w:rsidTr="009D64F6">
        <w:tc>
          <w:tcPr>
            <w:tcW w:w="1835" w:type="pct"/>
          </w:tcPr>
          <w:p w:rsidR="00C665B5" w:rsidRPr="00427237" w:rsidRDefault="00C665B5" w:rsidP="00EA22A8">
            <w:pPr>
              <w:pStyle w:val="TableText"/>
              <w:tabs>
                <w:tab w:val="left" w:pos="2835"/>
              </w:tabs>
              <w:spacing w:before="40"/>
            </w:pPr>
            <w:r w:rsidRPr="00427237">
              <w:t>Major procedure against malignant breast condition</w:t>
            </w:r>
          </w:p>
        </w:tc>
        <w:tc>
          <w:tcPr>
            <w:tcW w:w="920" w:type="pct"/>
          </w:tcPr>
          <w:p w:rsidR="00C665B5" w:rsidRPr="00427237" w:rsidRDefault="00C665B5" w:rsidP="00EA22A8">
            <w:pPr>
              <w:pStyle w:val="TableText"/>
              <w:tabs>
                <w:tab w:val="left" w:pos="2835"/>
              </w:tabs>
              <w:spacing w:before="40"/>
            </w:pPr>
            <w:r w:rsidRPr="00427237">
              <w:t>Specialist</w:t>
            </w:r>
          </w:p>
        </w:tc>
        <w:tc>
          <w:tcPr>
            <w:tcW w:w="843" w:type="pct"/>
          </w:tcPr>
          <w:p w:rsidR="00C665B5" w:rsidRPr="00427237" w:rsidRDefault="00C665B5" w:rsidP="00EA22A8">
            <w:pPr>
              <w:pStyle w:val="TableText"/>
              <w:tabs>
                <w:tab w:val="left" w:pos="2835"/>
              </w:tabs>
              <w:spacing w:before="40"/>
            </w:pPr>
            <w:r w:rsidRPr="00427237">
              <w:t>Inpatient</w:t>
            </w:r>
          </w:p>
        </w:tc>
        <w:tc>
          <w:tcPr>
            <w:tcW w:w="690" w:type="pct"/>
          </w:tcPr>
          <w:p w:rsidR="00C665B5" w:rsidRPr="00427237" w:rsidRDefault="00C665B5" w:rsidP="009B6D52">
            <w:pPr>
              <w:pStyle w:val="TableText"/>
              <w:tabs>
                <w:tab w:val="left" w:pos="2835"/>
              </w:tabs>
              <w:spacing w:before="40"/>
            </w:pPr>
            <w:r w:rsidRPr="00427237">
              <w:t>$7,982.00</w:t>
            </w:r>
          </w:p>
        </w:tc>
        <w:tc>
          <w:tcPr>
            <w:tcW w:w="712" w:type="pct"/>
          </w:tcPr>
          <w:p w:rsidR="00C665B5" w:rsidRPr="00427237" w:rsidRDefault="00C665B5" w:rsidP="00EA22A8">
            <w:pPr>
              <w:pStyle w:val="TableText"/>
              <w:tabs>
                <w:tab w:val="left" w:pos="2835"/>
              </w:tabs>
              <w:spacing w:before="40"/>
            </w:pPr>
            <w:r w:rsidRPr="00427237">
              <w:t>ARDRG J06A</w:t>
            </w:r>
          </w:p>
        </w:tc>
      </w:tr>
      <w:tr w:rsidR="00C665B5" w:rsidRPr="00427237" w:rsidTr="009D64F6">
        <w:tc>
          <w:tcPr>
            <w:tcW w:w="1835" w:type="pct"/>
          </w:tcPr>
          <w:p w:rsidR="00C665B5" w:rsidRPr="00427237" w:rsidRDefault="00C665B5" w:rsidP="00EA22A8">
            <w:pPr>
              <w:pStyle w:val="TableText"/>
              <w:tabs>
                <w:tab w:val="left" w:pos="2835"/>
              </w:tabs>
              <w:spacing w:before="40"/>
            </w:pPr>
            <w:r w:rsidRPr="00427237">
              <w:t>Specialist consultation  These patients will have multiple medical consultations, including with surgeon, medical oncologist, radiation oncologist</w:t>
            </w:r>
          </w:p>
        </w:tc>
        <w:tc>
          <w:tcPr>
            <w:tcW w:w="920" w:type="pct"/>
          </w:tcPr>
          <w:p w:rsidR="00C665B5" w:rsidRPr="00427237" w:rsidRDefault="00C665B5" w:rsidP="00EA22A8">
            <w:pPr>
              <w:pStyle w:val="TableText"/>
              <w:tabs>
                <w:tab w:val="left" w:pos="2835"/>
              </w:tabs>
              <w:spacing w:before="40"/>
            </w:pPr>
            <w:r w:rsidRPr="00427237">
              <w:t>Specialist</w:t>
            </w:r>
          </w:p>
        </w:tc>
        <w:tc>
          <w:tcPr>
            <w:tcW w:w="843" w:type="pct"/>
          </w:tcPr>
          <w:p w:rsidR="00C665B5" w:rsidRPr="00427237" w:rsidRDefault="00C665B5" w:rsidP="00EA22A8">
            <w:pPr>
              <w:pStyle w:val="TableText"/>
              <w:tabs>
                <w:tab w:val="left" w:pos="2835"/>
              </w:tabs>
              <w:spacing w:before="40"/>
            </w:pPr>
          </w:p>
        </w:tc>
        <w:tc>
          <w:tcPr>
            <w:tcW w:w="690" w:type="pct"/>
          </w:tcPr>
          <w:p w:rsidR="00C665B5" w:rsidRPr="00427237" w:rsidRDefault="00382A66" w:rsidP="009B6D52">
            <w:pPr>
              <w:pStyle w:val="TableText"/>
              <w:tabs>
                <w:tab w:val="left" w:pos="2835"/>
              </w:tabs>
              <w:spacing w:before="40"/>
            </w:pPr>
            <w:r w:rsidRPr="00427237">
              <w:t>$43.00; $88.55; $263.90; $150.90</w:t>
            </w:r>
          </w:p>
        </w:tc>
        <w:tc>
          <w:tcPr>
            <w:tcW w:w="712" w:type="pct"/>
          </w:tcPr>
          <w:p w:rsidR="00C665B5" w:rsidRPr="00427237" w:rsidRDefault="00C665B5" w:rsidP="00EA22A8">
            <w:pPr>
              <w:pStyle w:val="TableText"/>
              <w:tabs>
                <w:tab w:val="left" w:pos="2835"/>
              </w:tabs>
              <w:spacing w:before="40"/>
            </w:pPr>
            <w:r w:rsidRPr="00427237">
              <w:t>MBS 132 or 110 for physicians;</w:t>
            </w:r>
          </w:p>
          <w:p w:rsidR="00C665B5" w:rsidRPr="00427237" w:rsidRDefault="00DF094E" w:rsidP="00EA22A8">
            <w:pPr>
              <w:pStyle w:val="TableText"/>
              <w:tabs>
                <w:tab w:val="left" w:pos="2835"/>
              </w:tabs>
              <w:spacing w:before="40"/>
            </w:pPr>
            <w:r w:rsidRPr="00427237">
              <w:t xml:space="preserve">MBS 104, 105 for </w:t>
            </w:r>
            <w:r w:rsidR="00C665B5" w:rsidRPr="00427237">
              <w:t>surgeons, rad</w:t>
            </w:r>
            <w:r w:rsidRPr="00427237">
              <w:t>iation</w:t>
            </w:r>
            <w:r w:rsidR="00C665B5" w:rsidRPr="00427237">
              <w:t xml:space="preserve"> onc</w:t>
            </w:r>
            <w:r w:rsidRPr="00427237">
              <w:t>ologists</w:t>
            </w:r>
            <w:r w:rsidR="00C665B5" w:rsidRPr="00427237">
              <w:t xml:space="preserve"> </w:t>
            </w:r>
          </w:p>
          <w:p w:rsidR="00C665B5" w:rsidRPr="00427237" w:rsidRDefault="00C665B5" w:rsidP="00EA22A8">
            <w:pPr>
              <w:pStyle w:val="TableText"/>
              <w:tabs>
                <w:tab w:val="left" w:pos="2835"/>
              </w:tabs>
              <w:spacing w:before="40"/>
            </w:pPr>
          </w:p>
        </w:tc>
      </w:tr>
      <w:tr w:rsidR="00C665B5" w:rsidRPr="00427237" w:rsidTr="009D64F6">
        <w:tc>
          <w:tcPr>
            <w:tcW w:w="1835" w:type="pct"/>
          </w:tcPr>
          <w:p w:rsidR="00C665B5" w:rsidRPr="00427237" w:rsidRDefault="00C665B5" w:rsidP="00EA22A8">
            <w:pPr>
              <w:pStyle w:val="TableText"/>
              <w:tabs>
                <w:tab w:val="left" w:pos="2835"/>
              </w:tabs>
              <w:spacing w:before="40"/>
            </w:pPr>
            <w:r w:rsidRPr="00427237">
              <w:t>Follow-up consultation</w:t>
            </w:r>
          </w:p>
        </w:tc>
        <w:tc>
          <w:tcPr>
            <w:tcW w:w="920" w:type="pct"/>
          </w:tcPr>
          <w:p w:rsidR="00C665B5" w:rsidRPr="00427237" w:rsidRDefault="00C665B5" w:rsidP="00EA22A8">
            <w:pPr>
              <w:pStyle w:val="TableText"/>
              <w:tabs>
                <w:tab w:val="left" w:pos="2835"/>
              </w:tabs>
              <w:spacing w:before="40"/>
            </w:pPr>
            <w:r w:rsidRPr="00427237">
              <w:t>Specialist</w:t>
            </w:r>
          </w:p>
        </w:tc>
        <w:tc>
          <w:tcPr>
            <w:tcW w:w="843" w:type="pct"/>
          </w:tcPr>
          <w:p w:rsidR="00C665B5" w:rsidRPr="00427237" w:rsidRDefault="00C665B5" w:rsidP="00EA22A8">
            <w:pPr>
              <w:pStyle w:val="TableText"/>
              <w:tabs>
                <w:tab w:val="left" w:pos="2835"/>
              </w:tabs>
              <w:spacing w:before="40"/>
            </w:pPr>
            <w:r w:rsidRPr="00427237">
              <w:t>Outpatient</w:t>
            </w:r>
          </w:p>
        </w:tc>
        <w:tc>
          <w:tcPr>
            <w:tcW w:w="690" w:type="pct"/>
          </w:tcPr>
          <w:p w:rsidR="00C665B5" w:rsidRPr="00427237" w:rsidRDefault="00C665B5" w:rsidP="00B06BD6">
            <w:pPr>
              <w:pStyle w:val="TableText"/>
              <w:tabs>
                <w:tab w:val="left" w:pos="2835"/>
              </w:tabs>
              <w:spacing w:before="40"/>
            </w:pPr>
            <w:r w:rsidRPr="00427237">
              <w:t>$75.50</w:t>
            </w:r>
          </w:p>
        </w:tc>
        <w:tc>
          <w:tcPr>
            <w:tcW w:w="712" w:type="pct"/>
          </w:tcPr>
          <w:p w:rsidR="00C665B5" w:rsidRPr="00427237" w:rsidRDefault="00C665B5" w:rsidP="00B06BD6">
            <w:pPr>
              <w:pStyle w:val="TableText"/>
              <w:tabs>
                <w:tab w:val="left" w:pos="2835"/>
              </w:tabs>
              <w:spacing w:before="40"/>
            </w:pPr>
            <w:r w:rsidRPr="00427237">
              <w:t xml:space="preserve">MBS 116 </w:t>
            </w:r>
          </w:p>
        </w:tc>
      </w:tr>
      <w:tr w:rsidR="001A2536" w:rsidRPr="00427237" w:rsidTr="009D64F6">
        <w:tc>
          <w:tcPr>
            <w:tcW w:w="1835" w:type="pct"/>
          </w:tcPr>
          <w:p w:rsidR="001A2536" w:rsidRPr="00427237" w:rsidRDefault="001A2536" w:rsidP="00EA22A8">
            <w:pPr>
              <w:pStyle w:val="TableText"/>
              <w:tabs>
                <w:tab w:val="left" w:pos="2835"/>
              </w:tabs>
              <w:spacing w:before="40"/>
            </w:pPr>
          </w:p>
        </w:tc>
        <w:tc>
          <w:tcPr>
            <w:tcW w:w="920" w:type="pct"/>
          </w:tcPr>
          <w:p w:rsidR="001A2536" w:rsidRPr="00427237" w:rsidRDefault="001A2536" w:rsidP="00EA22A8">
            <w:pPr>
              <w:pStyle w:val="TableText"/>
              <w:tabs>
                <w:tab w:val="left" w:pos="2835"/>
              </w:tabs>
              <w:spacing w:before="40"/>
              <w:rPr>
                <w:b/>
              </w:rPr>
            </w:pPr>
          </w:p>
        </w:tc>
        <w:tc>
          <w:tcPr>
            <w:tcW w:w="843" w:type="pct"/>
          </w:tcPr>
          <w:p w:rsidR="001A2536" w:rsidRPr="00427237" w:rsidRDefault="001A2536" w:rsidP="00EA22A8">
            <w:pPr>
              <w:pStyle w:val="TableText"/>
              <w:tabs>
                <w:tab w:val="left" w:pos="2835"/>
              </w:tabs>
              <w:spacing w:before="40"/>
              <w:rPr>
                <w:b/>
              </w:rPr>
            </w:pPr>
          </w:p>
        </w:tc>
        <w:tc>
          <w:tcPr>
            <w:tcW w:w="690" w:type="pct"/>
          </w:tcPr>
          <w:p w:rsidR="001A2536" w:rsidRPr="00427237" w:rsidRDefault="001A2536" w:rsidP="009B6D52">
            <w:pPr>
              <w:pStyle w:val="TableText"/>
              <w:tabs>
                <w:tab w:val="left" w:pos="2835"/>
              </w:tabs>
              <w:spacing w:before="40"/>
              <w:rPr>
                <w:b/>
              </w:rPr>
            </w:pPr>
          </w:p>
        </w:tc>
        <w:tc>
          <w:tcPr>
            <w:tcW w:w="712" w:type="pct"/>
          </w:tcPr>
          <w:p w:rsidR="001A2536" w:rsidRPr="00427237" w:rsidRDefault="001A2536" w:rsidP="00EA22A8">
            <w:pPr>
              <w:pStyle w:val="TableText"/>
              <w:tabs>
                <w:tab w:val="left" w:pos="2835"/>
              </w:tabs>
              <w:spacing w:before="40"/>
              <w:rPr>
                <w:b/>
              </w:rPr>
            </w:pPr>
          </w:p>
        </w:tc>
      </w:tr>
      <w:tr w:rsidR="001A2536" w:rsidRPr="00427237" w:rsidTr="009D64F6">
        <w:tc>
          <w:tcPr>
            <w:tcW w:w="1835" w:type="pct"/>
          </w:tcPr>
          <w:p w:rsidR="001A2536" w:rsidRPr="00427237" w:rsidRDefault="001A2536" w:rsidP="00026771">
            <w:pPr>
              <w:pStyle w:val="TableText"/>
              <w:tabs>
                <w:tab w:val="left" w:pos="2835"/>
              </w:tabs>
              <w:spacing w:before="40"/>
              <w:rPr>
                <w:b/>
              </w:rPr>
            </w:pPr>
            <w:r w:rsidRPr="00427237">
              <w:rPr>
                <w:b/>
              </w:rPr>
              <w:t>Chemotherapy</w:t>
            </w:r>
          </w:p>
        </w:tc>
        <w:tc>
          <w:tcPr>
            <w:tcW w:w="920" w:type="pct"/>
          </w:tcPr>
          <w:p w:rsidR="001A2536" w:rsidRPr="00427237" w:rsidRDefault="001A2536" w:rsidP="00EA22A8">
            <w:pPr>
              <w:pStyle w:val="TableText"/>
              <w:tabs>
                <w:tab w:val="left" w:pos="2835"/>
              </w:tabs>
              <w:spacing w:before="40"/>
              <w:rPr>
                <w:b/>
              </w:rPr>
            </w:pPr>
          </w:p>
        </w:tc>
        <w:tc>
          <w:tcPr>
            <w:tcW w:w="843" w:type="pct"/>
          </w:tcPr>
          <w:p w:rsidR="001A2536" w:rsidRPr="00427237" w:rsidRDefault="001A2536" w:rsidP="00EA22A8">
            <w:pPr>
              <w:pStyle w:val="TableText"/>
              <w:tabs>
                <w:tab w:val="left" w:pos="2835"/>
              </w:tabs>
              <w:spacing w:before="40"/>
              <w:rPr>
                <w:b/>
              </w:rPr>
            </w:pPr>
          </w:p>
        </w:tc>
        <w:tc>
          <w:tcPr>
            <w:tcW w:w="690" w:type="pct"/>
          </w:tcPr>
          <w:p w:rsidR="001A2536" w:rsidRPr="00427237" w:rsidRDefault="001A2536" w:rsidP="009B6D52">
            <w:pPr>
              <w:pStyle w:val="TableText"/>
              <w:tabs>
                <w:tab w:val="left" w:pos="2835"/>
              </w:tabs>
              <w:spacing w:before="40"/>
              <w:rPr>
                <w:b/>
              </w:rPr>
            </w:pPr>
          </w:p>
        </w:tc>
        <w:tc>
          <w:tcPr>
            <w:tcW w:w="712" w:type="pct"/>
          </w:tcPr>
          <w:p w:rsidR="001A2536" w:rsidRPr="00427237" w:rsidRDefault="001A2536" w:rsidP="00EA22A8">
            <w:pPr>
              <w:pStyle w:val="TableText"/>
              <w:tabs>
                <w:tab w:val="left" w:pos="2835"/>
              </w:tabs>
              <w:spacing w:before="40"/>
              <w:rPr>
                <w:b/>
              </w:rPr>
            </w:pPr>
          </w:p>
        </w:tc>
      </w:tr>
      <w:tr w:rsidR="00C665B5" w:rsidRPr="00427237" w:rsidTr="009D64F6">
        <w:tc>
          <w:tcPr>
            <w:tcW w:w="1835" w:type="pct"/>
          </w:tcPr>
          <w:p w:rsidR="00C665B5" w:rsidRPr="00427237" w:rsidRDefault="00C665B5" w:rsidP="00026771">
            <w:pPr>
              <w:pStyle w:val="TableText"/>
              <w:tabs>
                <w:tab w:val="left" w:pos="2835"/>
              </w:tabs>
              <w:spacing w:before="40"/>
            </w:pPr>
            <w:r w:rsidRPr="00427237">
              <w:t>Chemotherapy agent x?</w:t>
            </w:r>
          </w:p>
        </w:tc>
        <w:tc>
          <w:tcPr>
            <w:tcW w:w="920" w:type="pct"/>
          </w:tcPr>
          <w:p w:rsidR="00C665B5" w:rsidRPr="00427237" w:rsidRDefault="00C665B5" w:rsidP="00EA22A8">
            <w:pPr>
              <w:pStyle w:val="TableText"/>
              <w:tabs>
                <w:tab w:val="left" w:pos="2835"/>
              </w:tabs>
              <w:spacing w:before="40"/>
            </w:pPr>
            <w:r w:rsidRPr="00427237">
              <w:t>Specialist</w:t>
            </w:r>
          </w:p>
        </w:tc>
        <w:tc>
          <w:tcPr>
            <w:tcW w:w="843" w:type="pct"/>
          </w:tcPr>
          <w:p w:rsidR="00C665B5" w:rsidRPr="00427237" w:rsidRDefault="00C665B5" w:rsidP="00EA22A8">
            <w:pPr>
              <w:pStyle w:val="TableText"/>
              <w:tabs>
                <w:tab w:val="left" w:pos="2835"/>
              </w:tabs>
              <w:spacing w:before="40"/>
            </w:pPr>
            <w:r w:rsidRPr="00427237">
              <w:t>Outpatient</w:t>
            </w:r>
          </w:p>
        </w:tc>
        <w:tc>
          <w:tcPr>
            <w:tcW w:w="690" w:type="pct"/>
          </w:tcPr>
          <w:p w:rsidR="00C665B5" w:rsidRPr="00427237" w:rsidRDefault="00C665B5" w:rsidP="009B6D52">
            <w:pPr>
              <w:pStyle w:val="TableText"/>
              <w:tabs>
                <w:tab w:val="left" w:pos="2835"/>
              </w:tabs>
              <w:spacing w:before="40"/>
            </w:pPr>
            <w:r w:rsidRPr="00427237">
              <w:t>Variable</w:t>
            </w:r>
          </w:p>
        </w:tc>
        <w:tc>
          <w:tcPr>
            <w:tcW w:w="712" w:type="pct"/>
          </w:tcPr>
          <w:p w:rsidR="00C665B5" w:rsidRPr="00427237" w:rsidRDefault="00C665B5" w:rsidP="00EA22A8">
            <w:pPr>
              <w:pStyle w:val="TableText"/>
              <w:tabs>
                <w:tab w:val="left" w:pos="2835"/>
              </w:tabs>
              <w:spacing w:before="40"/>
            </w:pPr>
            <w:r w:rsidRPr="00427237">
              <w:t>Various</w:t>
            </w:r>
          </w:p>
        </w:tc>
      </w:tr>
      <w:tr w:rsidR="00C665B5" w:rsidRPr="00427237" w:rsidTr="009D64F6">
        <w:tc>
          <w:tcPr>
            <w:tcW w:w="1835" w:type="pct"/>
          </w:tcPr>
          <w:p w:rsidR="00C665B5" w:rsidRPr="00427237" w:rsidRDefault="00C665B5" w:rsidP="00026771">
            <w:pPr>
              <w:pStyle w:val="TableText"/>
              <w:tabs>
                <w:tab w:val="left" w:pos="2835"/>
              </w:tabs>
              <w:spacing w:before="40"/>
            </w:pPr>
            <w:r w:rsidRPr="00427237">
              <w:t>Administration of chemotherapy</w:t>
            </w:r>
          </w:p>
        </w:tc>
        <w:tc>
          <w:tcPr>
            <w:tcW w:w="920" w:type="pct"/>
          </w:tcPr>
          <w:p w:rsidR="00C665B5" w:rsidRPr="00427237" w:rsidRDefault="00C665B5" w:rsidP="00EA22A8">
            <w:pPr>
              <w:pStyle w:val="TableText"/>
              <w:tabs>
                <w:tab w:val="left" w:pos="2835"/>
              </w:tabs>
              <w:spacing w:before="40"/>
            </w:pPr>
            <w:r w:rsidRPr="00427237">
              <w:t>Specialist</w:t>
            </w:r>
          </w:p>
        </w:tc>
        <w:tc>
          <w:tcPr>
            <w:tcW w:w="843" w:type="pct"/>
          </w:tcPr>
          <w:p w:rsidR="00C665B5" w:rsidRPr="00427237" w:rsidRDefault="00C665B5" w:rsidP="00EA22A8">
            <w:pPr>
              <w:pStyle w:val="TableText"/>
              <w:tabs>
                <w:tab w:val="left" w:pos="2835"/>
              </w:tabs>
              <w:spacing w:before="40"/>
            </w:pPr>
            <w:r w:rsidRPr="00427237">
              <w:t>Outpatient</w:t>
            </w:r>
          </w:p>
        </w:tc>
        <w:tc>
          <w:tcPr>
            <w:tcW w:w="690" w:type="pct"/>
          </w:tcPr>
          <w:p w:rsidR="00C665B5" w:rsidRPr="00427237" w:rsidRDefault="000A1849" w:rsidP="009B6D52">
            <w:pPr>
              <w:pStyle w:val="TableText"/>
              <w:tabs>
                <w:tab w:val="left" w:pos="2835"/>
              </w:tabs>
              <w:spacing w:before="40"/>
            </w:pPr>
            <w:r w:rsidRPr="00427237">
              <w:t>$65.05</w:t>
            </w:r>
          </w:p>
        </w:tc>
        <w:tc>
          <w:tcPr>
            <w:tcW w:w="712" w:type="pct"/>
          </w:tcPr>
          <w:p w:rsidR="00C665B5" w:rsidRPr="00427237" w:rsidRDefault="00105D0B" w:rsidP="00EA22A8">
            <w:pPr>
              <w:pStyle w:val="TableText"/>
              <w:tabs>
                <w:tab w:val="left" w:pos="2835"/>
              </w:tabs>
              <w:spacing w:before="40"/>
            </w:pPr>
            <w:r w:rsidRPr="00427237">
              <w:t>MBS</w:t>
            </w:r>
            <w:r w:rsidR="000A1849" w:rsidRPr="00427237">
              <w:t xml:space="preserve"> 13915</w:t>
            </w:r>
          </w:p>
        </w:tc>
      </w:tr>
      <w:tr w:rsidR="00C665B5" w:rsidRPr="00427237" w:rsidTr="009D64F6">
        <w:tc>
          <w:tcPr>
            <w:tcW w:w="1835" w:type="pct"/>
          </w:tcPr>
          <w:p w:rsidR="00C665B5" w:rsidRPr="00427237" w:rsidRDefault="00C665B5" w:rsidP="00026771">
            <w:pPr>
              <w:pStyle w:val="TableText"/>
              <w:tabs>
                <w:tab w:val="left" w:pos="2835"/>
              </w:tabs>
              <w:spacing w:before="40"/>
            </w:pPr>
            <w:r w:rsidRPr="00427237">
              <w:t>Intravenous infusion of &lt;1hr (x6)</w:t>
            </w:r>
          </w:p>
        </w:tc>
        <w:tc>
          <w:tcPr>
            <w:tcW w:w="920" w:type="pct"/>
          </w:tcPr>
          <w:p w:rsidR="00C665B5" w:rsidRPr="00427237" w:rsidRDefault="00C665B5" w:rsidP="00EA22A8">
            <w:pPr>
              <w:pStyle w:val="TableText"/>
              <w:tabs>
                <w:tab w:val="left" w:pos="2835"/>
              </w:tabs>
              <w:spacing w:before="40"/>
            </w:pPr>
            <w:r w:rsidRPr="00427237">
              <w:t>Specialist</w:t>
            </w:r>
          </w:p>
        </w:tc>
        <w:tc>
          <w:tcPr>
            <w:tcW w:w="843" w:type="pct"/>
          </w:tcPr>
          <w:p w:rsidR="00C665B5" w:rsidRPr="00427237" w:rsidRDefault="00C665B5" w:rsidP="00EA22A8">
            <w:pPr>
              <w:pStyle w:val="TableText"/>
              <w:tabs>
                <w:tab w:val="left" w:pos="2835"/>
              </w:tabs>
              <w:spacing w:before="40"/>
            </w:pPr>
            <w:r w:rsidRPr="00427237">
              <w:t>Outpatient</w:t>
            </w:r>
          </w:p>
        </w:tc>
        <w:tc>
          <w:tcPr>
            <w:tcW w:w="690" w:type="pct"/>
          </w:tcPr>
          <w:p w:rsidR="00C665B5" w:rsidRPr="00427237" w:rsidRDefault="00C665B5" w:rsidP="009B6D52">
            <w:pPr>
              <w:pStyle w:val="TableText"/>
              <w:tabs>
                <w:tab w:val="left" w:pos="2835"/>
              </w:tabs>
              <w:spacing w:before="40"/>
            </w:pPr>
            <w:r w:rsidRPr="00427237">
              <w:t>$63.85</w:t>
            </w:r>
          </w:p>
        </w:tc>
        <w:tc>
          <w:tcPr>
            <w:tcW w:w="712" w:type="pct"/>
          </w:tcPr>
          <w:p w:rsidR="00C665B5" w:rsidRPr="00427237" w:rsidRDefault="00C665B5" w:rsidP="00EA22A8">
            <w:pPr>
              <w:pStyle w:val="TableText"/>
              <w:tabs>
                <w:tab w:val="left" w:pos="2835"/>
              </w:tabs>
              <w:spacing w:before="40"/>
            </w:pPr>
            <w:r w:rsidRPr="00427237">
              <w:t>MBS 13915</w:t>
            </w:r>
          </w:p>
        </w:tc>
      </w:tr>
      <w:tr w:rsidR="00C665B5" w:rsidRPr="00427237" w:rsidTr="009D64F6">
        <w:tc>
          <w:tcPr>
            <w:tcW w:w="1835" w:type="pct"/>
          </w:tcPr>
          <w:p w:rsidR="00C665B5" w:rsidRPr="00427237" w:rsidRDefault="00C665B5" w:rsidP="00EA22A8">
            <w:pPr>
              <w:pStyle w:val="TableText"/>
              <w:tabs>
                <w:tab w:val="left" w:pos="2835"/>
              </w:tabs>
              <w:spacing w:before="40"/>
            </w:pPr>
            <w:r w:rsidRPr="00427237">
              <w:t>Specialist consultation (x6)</w:t>
            </w:r>
          </w:p>
        </w:tc>
        <w:tc>
          <w:tcPr>
            <w:tcW w:w="920" w:type="pct"/>
          </w:tcPr>
          <w:p w:rsidR="00C665B5" w:rsidRPr="00427237" w:rsidRDefault="00C665B5" w:rsidP="00EA22A8">
            <w:pPr>
              <w:pStyle w:val="TableText"/>
              <w:tabs>
                <w:tab w:val="left" w:pos="2835"/>
              </w:tabs>
              <w:spacing w:before="40"/>
            </w:pPr>
            <w:r w:rsidRPr="00427237">
              <w:t>Specialist</w:t>
            </w:r>
          </w:p>
        </w:tc>
        <w:tc>
          <w:tcPr>
            <w:tcW w:w="843" w:type="pct"/>
          </w:tcPr>
          <w:p w:rsidR="00C665B5" w:rsidRPr="00427237" w:rsidRDefault="00C665B5" w:rsidP="00EA22A8">
            <w:pPr>
              <w:pStyle w:val="TableText"/>
              <w:tabs>
                <w:tab w:val="left" w:pos="2835"/>
              </w:tabs>
              <w:spacing w:before="40"/>
            </w:pPr>
            <w:r w:rsidRPr="00427237">
              <w:t>Outpatient</w:t>
            </w:r>
          </w:p>
        </w:tc>
        <w:tc>
          <w:tcPr>
            <w:tcW w:w="690" w:type="pct"/>
          </w:tcPr>
          <w:p w:rsidR="00C665B5" w:rsidRPr="00427237" w:rsidRDefault="00C665B5" w:rsidP="009B6D52">
            <w:pPr>
              <w:pStyle w:val="TableText"/>
              <w:tabs>
                <w:tab w:val="left" w:pos="2835"/>
              </w:tabs>
              <w:spacing w:before="40"/>
            </w:pPr>
            <w:r w:rsidRPr="00427237">
              <w:t>$74.10</w:t>
            </w:r>
          </w:p>
        </w:tc>
        <w:tc>
          <w:tcPr>
            <w:tcW w:w="712" w:type="pct"/>
          </w:tcPr>
          <w:p w:rsidR="00C665B5" w:rsidRPr="00427237" w:rsidRDefault="00C665B5" w:rsidP="00EA22A8">
            <w:pPr>
              <w:pStyle w:val="TableText"/>
              <w:tabs>
                <w:tab w:val="left" w:pos="2835"/>
              </w:tabs>
              <w:spacing w:before="40"/>
            </w:pPr>
            <w:r w:rsidRPr="00427237">
              <w:t>MBS 116</w:t>
            </w:r>
          </w:p>
        </w:tc>
      </w:tr>
      <w:tr w:rsidR="00C665B5" w:rsidRPr="00427237" w:rsidTr="009D64F6">
        <w:tc>
          <w:tcPr>
            <w:tcW w:w="1835" w:type="pct"/>
          </w:tcPr>
          <w:p w:rsidR="00C665B5" w:rsidRPr="00427237" w:rsidRDefault="00C665B5" w:rsidP="00EA22A8">
            <w:pPr>
              <w:pStyle w:val="TableText"/>
              <w:tabs>
                <w:tab w:val="left" w:pos="2835"/>
              </w:tabs>
              <w:spacing w:before="40"/>
            </w:pPr>
            <w:r w:rsidRPr="00427237">
              <w:t>Follow-up consultation</w:t>
            </w:r>
          </w:p>
        </w:tc>
        <w:tc>
          <w:tcPr>
            <w:tcW w:w="920" w:type="pct"/>
          </w:tcPr>
          <w:p w:rsidR="00C665B5" w:rsidRPr="00427237" w:rsidRDefault="00C665B5" w:rsidP="00EA22A8">
            <w:pPr>
              <w:pStyle w:val="TableText"/>
              <w:tabs>
                <w:tab w:val="left" w:pos="2835"/>
              </w:tabs>
              <w:spacing w:before="40"/>
            </w:pPr>
            <w:r w:rsidRPr="00427237">
              <w:t>Specialist</w:t>
            </w:r>
          </w:p>
        </w:tc>
        <w:tc>
          <w:tcPr>
            <w:tcW w:w="843" w:type="pct"/>
          </w:tcPr>
          <w:p w:rsidR="00C665B5" w:rsidRPr="00427237" w:rsidRDefault="00C665B5" w:rsidP="00EA22A8">
            <w:pPr>
              <w:pStyle w:val="TableText"/>
              <w:tabs>
                <w:tab w:val="left" w:pos="2835"/>
              </w:tabs>
              <w:spacing w:before="40"/>
            </w:pPr>
            <w:r w:rsidRPr="00427237">
              <w:t>Outpatient</w:t>
            </w:r>
          </w:p>
        </w:tc>
        <w:tc>
          <w:tcPr>
            <w:tcW w:w="690" w:type="pct"/>
          </w:tcPr>
          <w:p w:rsidR="00C665B5" w:rsidRPr="00427237" w:rsidRDefault="00C665B5" w:rsidP="009B6D52">
            <w:pPr>
              <w:pStyle w:val="TableText"/>
              <w:tabs>
                <w:tab w:val="left" w:pos="2835"/>
              </w:tabs>
              <w:spacing w:before="40"/>
            </w:pPr>
            <w:r w:rsidRPr="00427237">
              <w:t>$42.20</w:t>
            </w:r>
          </w:p>
        </w:tc>
        <w:tc>
          <w:tcPr>
            <w:tcW w:w="712" w:type="pct"/>
          </w:tcPr>
          <w:p w:rsidR="00C665B5" w:rsidRPr="00427237" w:rsidRDefault="00C665B5" w:rsidP="00EA22A8">
            <w:pPr>
              <w:pStyle w:val="TableText"/>
              <w:tabs>
                <w:tab w:val="left" w:pos="2835"/>
              </w:tabs>
              <w:spacing w:before="40"/>
            </w:pPr>
            <w:r w:rsidRPr="00427237">
              <w:t>MBS 119</w:t>
            </w:r>
          </w:p>
        </w:tc>
      </w:tr>
      <w:tr w:rsidR="00AF5213" w:rsidRPr="00427237" w:rsidTr="009D64F6">
        <w:tc>
          <w:tcPr>
            <w:tcW w:w="1835" w:type="pct"/>
          </w:tcPr>
          <w:p w:rsidR="00AF5213" w:rsidRPr="00427237" w:rsidRDefault="00AF5213" w:rsidP="00EA22A8">
            <w:pPr>
              <w:pStyle w:val="TableText"/>
              <w:tabs>
                <w:tab w:val="left" w:pos="2835"/>
              </w:tabs>
              <w:spacing w:before="40"/>
            </w:pPr>
          </w:p>
        </w:tc>
        <w:tc>
          <w:tcPr>
            <w:tcW w:w="920" w:type="pct"/>
          </w:tcPr>
          <w:p w:rsidR="00AF5213" w:rsidRPr="00427237" w:rsidRDefault="00AF5213" w:rsidP="00EA22A8">
            <w:pPr>
              <w:pStyle w:val="TableText"/>
              <w:tabs>
                <w:tab w:val="left" w:pos="2835"/>
              </w:tabs>
              <w:spacing w:before="40"/>
              <w:rPr>
                <w:b/>
              </w:rPr>
            </w:pPr>
          </w:p>
        </w:tc>
        <w:tc>
          <w:tcPr>
            <w:tcW w:w="843" w:type="pct"/>
          </w:tcPr>
          <w:p w:rsidR="00AF5213" w:rsidRPr="00427237" w:rsidRDefault="00AF5213" w:rsidP="00EA22A8">
            <w:pPr>
              <w:pStyle w:val="TableText"/>
              <w:tabs>
                <w:tab w:val="left" w:pos="2835"/>
              </w:tabs>
              <w:spacing w:before="40"/>
              <w:rPr>
                <w:b/>
              </w:rPr>
            </w:pPr>
          </w:p>
        </w:tc>
        <w:tc>
          <w:tcPr>
            <w:tcW w:w="690" w:type="pct"/>
          </w:tcPr>
          <w:p w:rsidR="00AF5213" w:rsidRPr="00427237" w:rsidRDefault="00AF5213" w:rsidP="009B6D52">
            <w:pPr>
              <w:pStyle w:val="TableText"/>
              <w:tabs>
                <w:tab w:val="left" w:pos="2835"/>
              </w:tabs>
              <w:spacing w:before="40"/>
              <w:rPr>
                <w:b/>
              </w:rPr>
            </w:pPr>
          </w:p>
        </w:tc>
        <w:tc>
          <w:tcPr>
            <w:tcW w:w="712" w:type="pct"/>
          </w:tcPr>
          <w:p w:rsidR="00AF5213" w:rsidRPr="00427237" w:rsidRDefault="00AF5213" w:rsidP="00EA22A8">
            <w:pPr>
              <w:pStyle w:val="TableText"/>
              <w:tabs>
                <w:tab w:val="left" w:pos="2835"/>
              </w:tabs>
              <w:spacing w:before="40"/>
              <w:rPr>
                <w:b/>
              </w:rPr>
            </w:pPr>
          </w:p>
        </w:tc>
      </w:tr>
      <w:tr w:rsidR="00AF5213" w:rsidRPr="00427237" w:rsidTr="009D64F6">
        <w:tc>
          <w:tcPr>
            <w:tcW w:w="1835" w:type="pct"/>
          </w:tcPr>
          <w:p w:rsidR="00AF5213" w:rsidRPr="00427237" w:rsidRDefault="00AF5213" w:rsidP="00026771">
            <w:pPr>
              <w:pStyle w:val="TableText"/>
              <w:tabs>
                <w:tab w:val="left" w:pos="2835"/>
              </w:tabs>
              <w:spacing w:before="40"/>
              <w:rPr>
                <w:b/>
              </w:rPr>
            </w:pPr>
            <w:r w:rsidRPr="00427237">
              <w:rPr>
                <w:b/>
              </w:rPr>
              <w:t>Radiotherapy</w:t>
            </w:r>
          </w:p>
        </w:tc>
        <w:tc>
          <w:tcPr>
            <w:tcW w:w="920" w:type="pct"/>
          </w:tcPr>
          <w:p w:rsidR="00AF5213" w:rsidRPr="00427237" w:rsidRDefault="00AF5213" w:rsidP="00EA22A8">
            <w:pPr>
              <w:pStyle w:val="TableText"/>
              <w:tabs>
                <w:tab w:val="left" w:pos="2835"/>
              </w:tabs>
              <w:spacing w:before="40"/>
              <w:rPr>
                <w:b/>
              </w:rPr>
            </w:pPr>
          </w:p>
        </w:tc>
        <w:tc>
          <w:tcPr>
            <w:tcW w:w="843" w:type="pct"/>
          </w:tcPr>
          <w:p w:rsidR="00AF5213" w:rsidRPr="00427237" w:rsidRDefault="00AF5213" w:rsidP="00EA22A8">
            <w:pPr>
              <w:pStyle w:val="TableText"/>
              <w:tabs>
                <w:tab w:val="left" w:pos="2835"/>
              </w:tabs>
              <w:spacing w:before="40"/>
              <w:rPr>
                <w:b/>
              </w:rPr>
            </w:pPr>
          </w:p>
        </w:tc>
        <w:tc>
          <w:tcPr>
            <w:tcW w:w="690" w:type="pct"/>
          </w:tcPr>
          <w:p w:rsidR="00AF5213" w:rsidRPr="00427237" w:rsidRDefault="00AF5213" w:rsidP="009B6D52">
            <w:pPr>
              <w:pStyle w:val="TableText"/>
              <w:tabs>
                <w:tab w:val="left" w:pos="2835"/>
              </w:tabs>
              <w:spacing w:before="40"/>
              <w:rPr>
                <w:b/>
              </w:rPr>
            </w:pPr>
          </w:p>
        </w:tc>
        <w:tc>
          <w:tcPr>
            <w:tcW w:w="712" w:type="pct"/>
          </w:tcPr>
          <w:p w:rsidR="00AF5213" w:rsidRPr="00427237" w:rsidRDefault="00AF5213" w:rsidP="00EA22A8">
            <w:pPr>
              <w:pStyle w:val="TableText"/>
              <w:tabs>
                <w:tab w:val="left" w:pos="2835"/>
              </w:tabs>
              <w:spacing w:before="40"/>
              <w:rPr>
                <w:b/>
              </w:rPr>
            </w:pPr>
          </w:p>
        </w:tc>
      </w:tr>
      <w:tr w:rsidR="00C665B5" w:rsidRPr="00427237" w:rsidTr="009D64F6">
        <w:tc>
          <w:tcPr>
            <w:tcW w:w="1835" w:type="pct"/>
          </w:tcPr>
          <w:p w:rsidR="00C665B5" w:rsidRPr="00427237" w:rsidRDefault="00C665B5" w:rsidP="00026771">
            <w:pPr>
              <w:pStyle w:val="TableText"/>
              <w:tabs>
                <w:tab w:val="left" w:pos="2835"/>
              </w:tabs>
              <w:spacing w:before="40"/>
            </w:pPr>
            <w:r w:rsidRPr="00427237">
              <w:t xml:space="preserve">Radiotherapy agent at x </w:t>
            </w:r>
            <w:proofErr w:type="spellStart"/>
            <w:r w:rsidRPr="00427237">
              <w:t>Gy</w:t>
            </w:r>
            <w:proofErr w:type="spellEnd"/>
            <w:r w:rsidRPr="00427237">
              <w:t>?</w:t>
            </w:r>
          </w:p>
        </w:tc>
        <w:tc>
          <w:tcPr>
            <w:tcW w:w="920" w:type="pct"/>
          </w:tcPr>
          <w:p w:rsidR="00C665B5" w:rsidRPr="00427237" w:rsidRDefault="00C665B5" w:rsidP="00026771">
            <w:pPr>
              <w:pStyle w:val="TableText"/>
              <w:tabs>
                <w:tab w:val="left" w:pos="2835"/>
              </w:tabs>
              <w:spacing w:before="40"/>
            </w:pPr>
            <w:r w:rsidRPr="00427237">
              <w:t>Specialist</w:t>
            </w:r>
          </w:p>
        </w:tc>
        <w:tc>
          <w:tcPr>
            <w:tcW w:w="843" w:type="pct"/>
          </w:tcPr>
          <w:p w:rsidR="00C665B5" w:rsidRPr="00427237" w:rsidRDefault="00E64C91" w:rsidP="00EA22A8">
            <w:pPr>
              <w:pStyle w:val="TableText"/>
              <w:tabs>
                <w:tab w:val="left" w:pos="2835"/>
              </w:tabs>
              <w:spacing w:before="40"/>
            </w:pPr>
            <w:r w:rsidRPr="00427237">
              <w:t>Outpatient</w:t>
            </w:r>
          </w:p>
        </w:tc>
        <w:tc>
          <w:tcPr>
            <w:tcW w:w="690" w:type="pct"/>
          </w:tcPr>
          <w:p w:rsidR="00C665B5" w:rsidRPr="00427237" w:rsidRDefault="00C665B5" w:rsidP="009B6D52">
            <w:pPr>
              <w:pStyle w:val="TableText"/>
              <w:tabs>
                <w:tab w:val="left" w:pos="2835"/>
              </w:tabs>
              <w:spacing w:before="40"/>
            </w:pPr>
            <w:r w:rsidRPr="00427237">
              <w:t>Variable</w:t>
            </w:r>
          </w:p>
        </w:tc>
        <w:tc>
          <w:tcPr>
            <w:tcW w:w="712" w:type="pct"/>
          </w:tcPr>
          <w:p w:rsidR="00C665B5" w:rsidRPr="00427237" w:rsidRDefault="00C665B5" w:rsidP="00EA22A8">
            <w:pPr>
              <w:pStyle w:val="TableText"/>
              <w:tabs>
                <w:tab w:val="left" w:pos="2835"/>
              </w:tabs>
              <w:spacing w:before="40"/>
            </w:pPr>
            <w:r w:rsidRPr="00427237">
              <w:t>Various</w:t>
            </w:r>
          </w:p>
        </w:tc>
      </w:tr>
      <w:tr w:rsidR="00C665B5" w:rsidRPr="00427237" w:rsidTr="009D64F6">
        <w:tc>
          <w:tcPr>
            <w:tcW w:w="1835" w:type="pct"/>
          </w:tcPr>
          <w:p w:rsidR="00C665B5" w:rsidRPr="00427237" w:rsidRDefault="00C665B5" w:rsidP="00026771">
            <w:pPr>
              <w:pStyle w:val="TableText"/>
              <w:tabs>
                <w:tab w:val="left" w:pos="2835"/>
              </w:tabs>
              <w:spacing w:before="40"/>
            </w:pPr>
            <w:proofErr w:type="spellStart"/>
            <w:r w:rsidRPr="00427237">
              <w:t>Dosimetry</w:t>
            </w:r>
            <w:proofErr w:type="spellEnd"/>
            <w:r w:rsidRPr="00427237">
              <w:t xml:space="preserve"> for 3D conformal radiotherapy</w:t>
            </w:r>
          </w:p>
        </w:tc>
        <w:tc>
          <w:tcPr>
            <w:tcW w:w="920" w:type="pct"/>
          </w:tcPr>
          <w:p w:rsidR="00C665B5" w:rsidRPr="00427237" w:rsidRDefault="00C665B5" w:rsidP="00026771">
            <w:pPr>
              <w:pStyle w:val="TableText"/>
              <w:tabs>
                <w:tab w:val="left" w:pos="2835"/>
              </w:tabs>
              <w:spacing w:before="40"/>
            </w:pPr>
            <w:r w:rsidRPr="00427237">
              <w:t>Specialist</w:t>
            </w:r>
          </w:p>
        </w:tc>
        <w:tc>
          <w:tcPr>
            <w:tcW w:w="843" w:type="pct"/>
          </w:tcPr>
          <w:p w:rsidR="00C665B5" w:rsidRPr="00427237" w:rsidRDefault="00C665B5" w:rsidP="00EA22A8">
            <w:pPr>
              <w:pStyle w:val="TableText"/>
              <w:tabs>
                <w:tab w:val="left" w:pos="2835"/>
              </w:tabs>
              <w:spacing w:before="40"/>
            </w:pPr>
            <w:r w:rsidRPr="00427237">
              <w:t>Outpatient</w:t>
            </w:r>
          </w:p>
        </w:tc>
        <w:tc>
          <w:tcPr>
            <w:tcW w:w="690" w:type="pct"/>
          </w:tcPr>
          <w:p w:rsidR="00C665B5" w:rsidRPr="00427237" w:rsidRDefault="00C665B5" w:rsidP="009B6D52">
            <w:pPr>
              <w:pStyle w:val="TableText"/>
              <w:tabs>
                <w:tab w:val="left" w:pos="2835"/>
              </w:tabs>
              <w:spacing w:before="40"/>
            </w:pPr>
            <w:r w:rsidRPr="00427237">
              <w:t>$1,099.85</w:t>
            </w:r>
          </w:p>
        </w:tc>
        <w:tc>
          <w:tcPr>
            <w:tcW w:w="712" w:type="pct"/>
          </w:tcPr>
          <w:p w:rsidR="00C665B5" w:rsidRPr="00427237" w:rsidRDefault="00C665B5" w:rsidP="00EA22A8">
            <w:pPr>
              <w:pStyle w:val="TableText"/>
              <w:tabs>
                <w:tab w:val="left" w:pos="2835"/>
              </w:tabs>
              <w:spacing w:before="40"/>
            </w:pPr>
            <w:r w:rsidRPr="00427237">
              <w:t>MBS 15562</w:t>
            </w:r>
          </w:p>
        </w:tc>
      </w:tr>
      <w:tr w:rsidR="00C665B5" w:rsidRPr="00427237" w:rsidTr="009D64F6">
        <w:tc>
          <w:tcPr>
            <w:tcW w:w="1835" w:type="pct"/>
          </w:tcPr>
          <w:p w:rsidR="00C665B5" w:rsidRPr="00427237" w:rsidRDefault="00C665B5" w:rsidP="00026771">
            <w:pPr>
              <w:pStyle w:val="TableText"/>
              <w:tabs>
                <w:tab w:val="left" w:pos="2835"/>
              </w:tabs>
              <w:spacing w:before="40"/>
            </w:pPr>
            <w:r w:rsidRPr="00427237">
              <w:t>Simulation for 3D conformal radiotherapy</w:t>
            </w:r>
          </w:p>
        </w:tc>
        <w:tc>
          <w:tcPr>
            <w:tcW w:w="920" w:type="pct"/>
          </w:tcPr>
          <w:p w:rsidR="00C665B5" w:rsidRPr="00427237" w:rsidRDefault="00C665B5" w:rsidP="00026771">
            <w:pPr>
              <w:pStyle w:val="TableText"/>
              <w:tabs>
                <w:tab w:val="left" w:pos="2835"/>
              </w:tabs>
              <w:spacing w:before="40"/>
            </w:pPr>
            <w:r w:rsidRPr="00427237">
              <w:t>Specialist</w:t>
            </w:r>
          </w:p>
        </w:tc>
        <w:tc>
          <w:tcPr>
            <w:tcW w:w="843" w:type="pct"/>
          </w:tcPr>
          <w:p w:rsidR="00C665B5" w:rsidRPr="00427237" w:rsidRDefault="00C665B5" w:rsidP="00EA22A8">
            <w:pPr>
              <w:pStyle w:val="TableText"/>
              <w:tabs>
                <w:tab w:val="left" w:pos="2835"/>
              </w:tabs>
              <w:spacing w:before="40"/>
            </w:pPr>
            <w:r w:rsidRPr="00427237">
              <w:t>Outpatient</w:t>
            </w:r>
          </w:p>
        </w:tc>
        <w:tc>
          <w:tcPr>
            <w:tcW w:w="690" w:type="pct"/>
          </w:tcPr>
          <w:p w:rsidR="00C665B5" w:rsidRPr="00427237" w:rsidRDefault="00C665B5" w:rsidP="009B6D52">
            <w:pPr>
              <w:pStyle w:val="TableText"/>
              <w:tabs>
                <w:tab w:val="left" w:pos="2835"/>
              </w:tabs>
              <w:spacing w:before="40"/>
            </w:pPr>
            <w:r w:rsidRPr="00427237">
              <w:t>$646.30</w:t>
            </w:r>
          </w:p>
        </w:tc>
        <w:tc>
          <w:tcPr>
            <w:tcW w:w="712" w:type="pct"/>
          </w:tcPr>
          <w:p w:rsidR="00C665B5" w:rsidRPr="00427237" w:rsidRDefault="00C665B5" w:rsidP="00EA22A8">
            <w:pPr>
              <w:pStyle w:val="TableText"/>
              <w:tabs>
                <w:tab w:val="left" w:pos="2835"/>
              </w:tabs>
              <w:spacing w:before="40"/>
            </w:pPr>
            <w:r w:rsidRPr="00427237">
              <w:t>MBS 15550</w:t>
            </w:r>
          </w:p>
        </w:tc>
      </w:tr>
      <w:tr w:rsidR="00C665B5" w:rsidRPr="00427237" w:rsidTr="009D64F6">
        <w:tc>
          <w:tcPr>
            <w:tcW w:w="1835" w:type="pct"/>
          </w:tcPr>
          <w:p w:rsidR="00C665B5" w:rsidRPr="00427237" w:rsidRDefault="00C665B5" w:rsidP="00026771">
            <w:pPr>
              <w:pStyle w:val="TableText"/>
              <w:tabs>
                <w:tab w:val="left" w:pos="2835"/>
              </w:tabs>
              <w:spacing w:before="40"/>
            </w:pPr>
            <w:r w:rsidRPr="00427237">
              <w:t>Radiation oncology treatment (1 field) (x25)</w:t>
            </w:r>
          </w:p>
        </w:tc>
        <w:tc>
          <w:tcPr>
            <w:tcW w:w="920" w:type="pct"/>
          </w:tcPr>
          <w:p w:rsidR="00C665B5" w:rsidRPr="00427237" w:rsidRDefault="00C665B5" w:rsidP="00026771">
            <w:pPr>
              <w:pStyle w:val="TableText"/>
              <w:tabs>
                <w:tab w:val="left" w:pos="2835"/>
              </w:tabs>
              <w:spacing w:before="40"/>
            </w:pPr>
            <w:r w:rsidRPr="00427237">
              <w:t>Specialist</w:t>
            </w:r>
          </w:p>
        </w:tc>
        <w:tc>
          <w:tcPr>
            <w:tcW w:w="843" w:type="pct"/>
          </w:tcPr>
          <w:p w:rsidR="00C665B5" w:rsidRPr="00427237" w:rsidRDefault="00C665B5" w:rsidP="00EA22A8">
            <w:pPr>
              <w:pStyle w:val="TableText"/>
              <w:tabs>
                <w:tab w:val="left" w:pos="2835"/>
              </w:tabs>
              <w:spacing w:before="40"/>
            </w:pPr>
            <w:r w:rsidRPr="00427237">
              <w:t>Outpatient</w:t>
            </w:r>
          </w:p>
        </w:tc>
        <w:tc>
          <w:tcPr>
            <w:tcW w:w="690" w:type="pct"/>
          </w:tcPr>
          <w:p w:rsidR="00C665B5" w:rsidRPr="00427237" w:rsidRDefault="00C665B5" w:rsidP="009B6D52">
            <w:pPr>
              <w:pStyle w:val="TableText"/>
              <w:tabs>
                <w:tab w:val="left" w:pos="2835"/>
              </w:tabs>
              <w:spacing w:before="40"/>
            </w:pPr>
            <w:r w:rsidRPr="00427237">
              <w:t>$58.55</w:t>
            </w:r>
          </w:p>
        </w:tc>
        <w:tc>
          <w:tcPr>
            <w:tcW w:w="712" w:type="pct"/>
          </w:tcPr>
          <w:p w:rsidR="00C665B5" w:rsidRPr="00427237" w:rsidRDefault="00C665B5" w:rsidP="00EA22A8">
            <w:pPr>
              <w:pStyle w:val="TableText"/>
              <w:tabs>
                <w:tab w:val="left" w:pos="2835"/>
              </w:tabs>
              <w:spacing w:before="40"/>
            </w:pPr>
            <w:r w:rsidRPr="00427237">
              <w:t>MBS 15254</w:t>
            </w:r>
          </w:p>
        </w:tc>
      </w:tr>
      <w:tr w:rsidR="00C665B5" w:rsidRPr="00427237" w:rsidTr="009D64F6">
        <w:tc>
          <w:tcPr>
            <w:tcW w:w="1835" w:type="pct"/>
          </w:tcPr>
          <w:p w:rsidR="00C665B5" w:rsidRPr="00427237" w:rsidRDefault="00C665B5" w:rsidP="00026771">
            <w:pPr>
              <w:pStyle w:val="TableText"/>
              <w:tabs>
                <w:tab w:val="left" w:pos="2835"/>
              </w:tabs>
              <w:spacing w:before="40"/>
            </w:pPr>
            <w:r w:rsidRPr="00427237">
              <w:t>Radiation oncology treatment (fields 2-4) (at $37.25 per field) (x25)</w:t>
            </w:r>
          </w:p>
        </w:tc>
        <w:tc>
          <w:tcPr>
            <w:tcW w:w="920" w:type="pct"/>
          </w:tcPr>
          <w:p w:rsidR="00C665B5" w:rsidRPr="00427237" w:rsidRDefault="00C665B5" w:rsidP="00026771">
            <w:pPr>
              <w:pStyle w:val="TableText"/>
              <w:tabs>
                <w:tab w:val="left" w:pos="2835"/>
              </w:tabs>
              <w:spacing w:before="40"/>
            </w:pPr>
            <w:r w:rsidRPr="00427237">
              <w:t>Specialist</w:t>
            </w:r>
          </w:p>
        </w:tc>
        <w:tc>
          <w:tcPr>
            <w:tcW w:w="843" w:type="pct"/>
          </w:tcPr>
          <w:p w:rsidR="00C665B5" w:rsidRPr="00427237" w:rsidRDefault="00C665B5" w:rsidP="00EA22A8">
            <w:pPr>
              <w:pStyle w:val="TableText"/>
              <w:tabs>
                <w:tab w:val="left" w:pos="2835"/>
              </w:tabs>
              <w:spacing w:before="40"/>
            </w:pPr>
            <w:r w:rsidRPr="00427237">
              <w:t>Outpatient</w:t>
            </w:r>
          </w:p>
        </w:tc>
        <w:tc>
          <w:tcPr>
            <w:tcW w:w="690" w:type="pct"/>
          </w:tcPr>
          <w:p w:rsidR="00C665B5" w:rsidRPr="00427237" w:rsidRDefault="00C665B5" w:rsidP="009B6D52">
            <w:pPr>
              <w:pStyle w:val="TableText"/>
              <w:tabs>
                <w:tab w:val="left" w:pos="2835"/>
              </w:tabs>
              <w:spacing w:before="40"/>
            </w:pPr>
            <w:r w:rsidRPr="00427237">
              <w:t>$74.50</w:t>
            </w:r>
          </w:p>
        </w:tc>
        <w:tc>
          <w:tcPr>
            <w:tcW w:w="712" w:type="pct"/>
          </w:tcPr>
          <w:p w:rsidR="00C665B5" w:rsidRPr="00427237" w:rsidRDefault="00C665B5" w:rsidP="00EA22A8">
            <w:pPr>
              <w:pStyle w:val="TableText"/>
              <w:tabs>
                <w:tab w:val="left" w:pos="2835"/>
              </w:tabs>
              <w:spacing w:before="40"/>
            </w:pPr>
            <w:r w:rsidRPr="00427237">
              <w:t>MBS 15269</w:t>
            </w:r>
          </w:p>
        </w:tc>
      </w:tr>
      <w:tr w:rsidR="00C665B5" w:rsidRPr="00427237" w:rsidTr="009D64F6">
        <w:tc>
          <w:tcPr>
            <w:tcW w:w="1835" w:type="pct"/>
          </w:tcPr>
          <w:p w:rsidR="00C665B5" w:rsidRPr="00427237" w:rsidRDefault="00C665B5" w:rsidP="00026771">
            <w:pPr>
              <w:pStyle w:val="TableText"/>
              <w:tabs>
                <w:tab w:val="left" w:pos="2835"/>
              </w:tabs>
              <w:spacing w:before="40"/>
            </w:pPr>
            <w:r w:rsidRPr="00427237">
              <w:t>Treatment verification (x5)</w:t>
            </w:r>
          </w:p>
        </w:tc>
        <w:tc>
          <w:tcPr>
            <w:tcW w:w="920" w:type="pct"/>
          </w:tcPr>
          <w:p w:rsidR="00C665B5" w:rsidRPr="00427237" w:rsidRDefault="00C665B5" w:rsidP="00026771">
            <w:pPr>
              <w:pStyle w:val="TableText"/>
              <w:tabs>
                <w:tab w:val="left" w:pos="2835"/>
              </w:tabs>
              <w:spacing w:before="40"/>
            </w:pPr>
            <w:r w:rsidRPr="00427237">
              <w:t>Specialist</w:t>
            </w:r>
          </w:p>
        </w:tc>
        <w:tc>
          <w:tcPr>
            <w:tcW w:w="843" w:type="pct"/>
          </w:tcPr>
          <w:p w:rsidR="00C665B5" w:rsidRPr="00427237" w:rsidRDefault="00C665B5" w:rsidP="00026771">
            <w:pPr>
              <w:pStyle w:val="TableText"/>
              <w:tabs>
                <w:tab w:val="left" w:pos="2835"/>
              </w:tabs>
              <w:spacing w:before="40"/>
            </w:pPr>
            <w:r w:rsidRPr="00427237">
              <w:t>Outpatient</w:t>
            </w:r>
          </w:p>
        </w:tc>
        <w:tc>
          <w:tcPr>
            <w:tcW w:w="690" w:type="pct"/>
          </w:tcPr>
          <w:p w:rsidR="00C665B5" w:rsidRPr="00427237" w:rsidRDefault="00C665B5" w:rsidP="009B6D52">
            <w:pPr>
              <w:pStyle w:val="TableText"/>
              <w:tabs>
                <w:tab w:val="left" w:pos="2835"/>
              </w:tabs>
              <w:spacing w:before="40"/>
            </w:pPr>
            <w:r w:rsidRPr="00427237">
              <w:t>$137.50</w:t>
            </w:r>
          </w:p>
        </w:tc>
        <w:tc>
          <w:tcPr>
            <w:tcW w:w="712" w:type="pct"/>
          </w:tcPr>
          <w:p w:rsidR="00C665B5" w:rsidRPr="00427237" w:rsidRDefault="00C665B5" w:rsidP="00EA22A8">
            <w:pPr>
              <w:pStyle w:val="TableText"/>
              <w:tabs>
                <w:tab w:val="left" w:pos="2835"/>
              </w:tabs>
              <w:spacing w:before="40"/>
            </w:pPr>
            <w:r w:rsidRPr="00427237">
              <w:t>MBS 15700</w:t>
            </w:r>
          </w:p>
        </w:tc>
      </w:tr>
      <w:tr w:rsidR="00C665B5" w:rsidRPr="00427237" w:rsidTr="009D64F6">
        <w:tc>
          <w:tcPr>
            <w:tcW w:w="1835" w:type="pct"/>
          </w:tcPr>
          <w:p w:rsidR="00C665B5" w:rsidRPr="00427237" w:rsidRDefault="00C665B5" w:rsidP="00026771">
            <w:pPr>
              <w:pStyle w:val="TableText"/>
              <w:tabs>
                <w:tab w:val="left" w:pos="2835"/>
              </w:tabs>
              <w:spacing w:before="40"/>
            </w:pPr>
            <w:r w:rsidRPr="00427237">
              <w:t>Specialist consultation</w:t>
            </w:r>
          </w:p>
        </w:tc>
        <w:tc>
          <w:tcPr>
            <w:tcW w:w="920" w:type="pct"/>
          </w:tcPr>
          <w:p w:rsidR="00C665B5" w:rsidRPr="00427237" w:rsidRDefault="00C665B5" w:rsidP="00026771">
            <w:pPr>
              <w:pStyle w:val="TableText"/>
              <w:tabs>
                <w:tab w:val="left" w:pos="2835"/>
              </w:tabs>
              <w:spacing w:before="40"/>
            </w:pPr>
            <w:r w:rsidRPr="00427237">
              <w:t>Specialist</w:t>
            </w:r>
          </w:p>
        </w:tc>
        <w:tc>
          <w:tcPr>
            <w:tcW w:w="843" w:type="pct"/>
          </w:tcPr>
          <w:p w:rsidR="00C665B5" w:rsidRPr="00427237" w:rsidRDefault="00C665B5" w:rsidP="00026771">
            <w:pPr>
              <w:pStyle w:val="TableText"/>
              <w:tabs>
                <w:tab w:val="left" w:pos="2835"/>
              </w:tabs>
              <w:spacing w:before="40"/>
            </w:pPr>
            <w:r w:rsidRPr="00427237">
              <w:t>Outpatient</w:t>
            </w:r>
          </w:p>
        </w:tc>
        <w:tc>
          <w:tcPr>
            <w:tcW w:w="690" w:type="pct"/>
          </w:tcPr>
          <w:p w:rsidR="00C665B5" w:rsidRPr="00427237" w:rsidRDefault="00C665B5" w:rsidP="009B6D52">
            <w:pPr>
              <w:pStyle w:val="TableText"/>
              <w:tabs>
                <w:tab w:val="left" w:pos="2835"/>
              </w:tabs>
              <w:spacing w:before="40"/>
            </w:pPr>
            <w:r w:rsidRPr="00427237">
              <w:t>$74.10</w:t>
            </w:r>
          </w:p>
        </w:tc>
        <w:tc>
          <w:tcPr>
            <w:tcW w:w="712" w:type="pct"/>
          </w:tcPr>
          <w:p w:rsidR="00C665B5" w:rsidRPr="00427237" w:rsidRDefault="00C665B5" w:rsidP="00EA22A8">
            <w:pPr>
              <w:pStyle w:val="TableText"/>
              <w:tabs>
                <w:tab w:val="left" w:pos="2835"/>
              </w:tabs>
              <w:spacing w:before="40"/>
            </w:pPr>
            <w:r w:rsidRPr="00427237">
              <w:t>MBS 116</w:t>
            </w:r>
          </w:p>
        </w:tc>
      </w:tr>
      <w:tr w:rsidR="00C665B5" w:rsidRPr="00427237" w:rsidTr="009D64F6">
        <w:tc>
          <w:tcPr>
            <w:tcW w:w="1835" w:type="pct"/>
          </w:tcPr>
          <w:p w:rsidR="00C665B5" w:rsidRPr="00427237" w:rsidRDefault="00C665B5" w:rsidP="00026771">
            <w:pPr>
              <w:pStyle w:val="TableText"/>
              <w:tabs>
                <w:tab w:val="left" w:pos="2835"/>
              </w:tabs>
              <w:spacing w:before="40"/>
            </w:pPr>
            <w:r w:rsidRPr="00427237">
              <w:t>Follow-up consultation</w:t>
            </w:r>
          </w:p>
        </w:tc>
        <w:tc>
          <w:tcPr>
            <w:tcW w:w="920" w:type="pct"/>
          </w:tcPr>
          <w:p w:rsidR="00C665B5" w:rsidRPr="00427237" w:rsidRDefault="00C665B5" w:rsidP="00EA22A8">
            <w:pPr>
              <w:pStyle w:val="TableText"/>
              <w:tabs>
                <w:tab w:val="left" w:pos="2835"/>
              </w:tabs>
              <w:spacing w:before="40"/>
            </w:pPr>
            <w:r w:rsidRPr="00427237">
              <w:t>Specialist</w:t>
            </w:r>
          </w:p>
        </w:tc>
        <w:tc>
          <w:tcPr>
            <w:tcW w:w="843" w:type="pct"/>
          </w:tcPr>
          <w:p w:rsidR="00C665B5" w:rsidRPr="00427237" w:rsidRDefault="00C665B5" w:rsidP="00026771">
            <w:pPr>
              <w:pStyle w:val="TableText"/>
              <w:tabs>
                <w:tab w:val="left" w:pos="2835"/>
              </w:tabs>
              <w:spacing w:before="40"/>
            </w:pPr>
            <w:r w:rsidRPr="00427237">
              <w:t>Outpatient</w:t>
            </w:r>
          </w:p>
        </w:tc>
        <w:tc>
          <w:tcPr>
            <w:tcW w:w="690" w:type="pct"/>
          </w:tcPr>
          <w:p w:rsidR="00C665B5" w:rsidRPr="00427237" w:rsidRDefault="00C665B5" w:rsidP="009B6D52">
            <w:pPr>
              <w:pStyle w:val="TableText"/>
              <w:tabs>
                <w:tab w:val="left" w:pos="2835"/>
              </w:tabs>
              <w:spacing w:before="40"/>
            </w:pPr>
            <w:r w:rsidRPr="00427237">
              <w:t>$42.20</w:t>
            </w:r>
          </w:p>
        </w:tc>
        <w:tc>
          <w:tcPr>
            <w:tcW w:w="712" w:type="pct"/>
          </w:tcPr>
          <w:p w:rsidR="00C665B5" w:rsidRPr="00427237" w:rsidRDefault="00C665B5" w:rsidP="00EA22A8">
            <w:pPr>
              <w:pStyle w:val="TableText"/>
              <w:tabs>
                <w:tab w:val="left" w:pos="2835"/>
              </w:tabs>
              <w:spacing w:before="40"/>
            </w:pPr>
            <w:r w:rsidRPr="00427237">
              <w:t>MBS 119</w:t>
            </w:r>
          </w:p>
        </w:tc>
      </w:tr>
      <w:tr w:rsidR="00AF5213" w:rsidRPr="00427237" w:rsidTr="009D64F6">
        <w:tc>
          <w:tcPr>
            <w:tcW w:w="1835" w:type="pct"/>
          </w:tcPr>
          <w:p w:rsidR="00AF5213" w:rsidRPr="00427237" w:rsidRDefault="00AF5213" w:rsidP="00026771">
            <w:pPr>
              <w:pStyle w:val="TableText"/>
              <w:tabs>
                <w:tab w:val="left" w:pos="2835"/>
              </w:tabs>
              <w:spacing w:before="40"/>
              <w:rPr>
                <w:b/>
              </w:rPr>
            </w:pPr>
          </w:p>
        </w:tc>
        <w:tc>
          <w:tcPr>
            <w:tcW w:w="920" w:type="pct"/>
          </w:tcPr>
          <w:p w:rsidR="00AF5213" w:rsidRPr="00427237" w:rsidRDefault="00AF5213" w:rsidP="00EA22A8">
            <w:pPr>
              <w:pStyle w:val="TableText"/>
              <w:tabs>
                <w:tab w:val="left" w:pos="2835"/>
              </w:tabs>
              <w:spacing w:before="40"/>
              <w:rPr>
                <w:b/>
              </w:rPr>
            </w:pPr>
          </w:p>
        </w:tc>
        <w:tc>
          <w:tcPr>
            <w:tcW w:w="843" w:type="pct"/>
          </w:tcPr>
          <w:p w:rsidR="00AF5213" w:rsidRPr="00427237" w:rsidRDefault="00AF5213" w:rsidP="00EA22A8">
            <w:pPr>
              <w:pStyle w:val="TableText"/>
              <w:tabs>
                <w:tab w:val="left" w:pos="2835"/>
              </w:tabs>
              <w:spacing w:before="40"/>
              <w:rPr>
                <w:b/>
              </w:rPr>
            </w:pPr>
          </w:p>
        </w:tc>
        <w:tc>
          <w:tcPr>
            <w:tcW w:w="690" w:type="pct"/>
          </w:tcPr>
          <w:p w:rsidR="00AF5213" w:rsidRPr="00427237" w:rsidRDefault="00AF5213" w:rsidP="009B6D52">
            <w:pPr>
              <w:pStyle w:val="TableText"/>
              <w:tabs>
                <w:tab w:val="left" w:pos="2835"/>
              </w:tabs>
              <w:spacing w:before="40"/>
              <w:rPr>
                <w:b/>
              </w:rPr>
            </w:pPr>
          </w:p>
        </w:tc>
        <w:tc>
          <w:tcPr>
            <w:tcW w:w="712" w:type="pct"/>
          </w:tcPr>
          <w:p w:rsidR="00AF5213" w:rsidRPr="00427237" w:rsidRDefault="00AF5213" w:rsidP="00EA22A8">
            <w:pPr>
              <w:pStyle w:val="TableText"/>
              <w:tabs>
                <w:tab w:val="left" w:pos="2835"/>
              </w:tabs>
              <w:spacing w:before="40"/>
              <w:rPr>
                <w:b/>
              </w:rPr>
            </w:pPr>
          </w:p>
        </w:tc>
      </w:tr>
      <w:tr w:rsidR="00AF5213" w:rsidRPr="00427237" w:rsidTr="009D64F6">
        <w:tc>
          <w:tcPr>
            <w:tcW w:w="1835" w:type="pct"/>
          </w:tcPr>
          <w:p w:rsidR="00AF5213" w:rsidRPr="00427237" w:rsidRDefault="00AF5213" w:rsidP="00026771">
            <w:pPr>
              <w:pStyle w:val="TableText"/>
              <w:tabs>
                <w:tab w:val="left" w:pos="2835"/>
              </w:tabs>
              <w:spacing w:before="40"/>
              <w:rPr>
                <w:b/>
              </w:rPr>
            </w:pPr>
            <w:r w:rsidRPr="00427237">
              <w:rPr>
                <w:b/>
              </w:rPr>
              <w:t>Biologic therapy</w:t>
            </w:r>
          </w:p>
        </w:tc>
        <w:tc>
          <w:tcPr>
            <w:tcW w:w="920" w:type="pct"/>
          </w:tcPr>
          <w:p w:rsidR="00AF5213" w:rsidRPr="00427237" w:rsidRDefault="00AF5213" w:rsidP="00EA22A8">
            <w:pPr>
              <w:pStyle w:val="TableText"/>
              <w:tabs>
                <w:tab w:val="left" w:pos="2835"/>
              </w:tabs>
              <w:spacing w:before="40"/>
              <w:rPr>
                <w:b/>
              </w:rPr>
            </w:pPr>
          </w:p>
        </w:tc>
        <w:tc>
          <w:tcPr>
            <w:tcW w:w="843" w:type="pct"/>
          </w:tcPr>
          <w:p w:rsidR="00AF5213" w:rsidRPr="00427237" w:rsidRDefault="00AF5213" w:rsidP="00EA22A8">
            <w:pPr>
              <w:pStyle w:val="TableText"/>
              <w:tabs>
                <w:tab w:val="left" w:pos="2835"/>
              </w:tabs>
              <w:spacing w:before="40"/>
              <w:rPr>
                <w:b/>
              </w:rPr>
            </w:pPr>
          </w:p>
        </w:tc>
        <w:tc>
          <w:tcPr>
            <w:tcW w:w="690" w:type="pct"/>
          </w:tcPr>
          <w:p w:rsidR="00AF5213" w:rsidRPr="00427237" w:rsidRDefault="00AF5213" w:rsidP="009B6D52">
            <w:pPr>
              <w:pStyle w:val="TableText"/>
              <w:tabs>
                <w:tab w:val="left" w:pos="2835"/>
              </w:tabs>
              <w:spacing w:before="40"/>
              <w:rPr>
                <w:b/>
              </w:rPr>
            </w:pPr>
          </w:p>
        </w:tc>
        <w:tc>
          <w:tcPr>
            <w:tcW w:w="712" w:type="pct"/>
          </w:tcPr>
          <w:p w:rsidR="00AF5213" w:rsidRPr="00427237" w:rsidRDefault="00AF5213" w:rsidP="00EA22A8">
            <w:pPr>
              <w:pStyle w:val="TableText"/>
              <w:tabs>
                <w:tab w:val="left" w:pos="2835"/>
              </w:tabs>
              <w:spacing w:before="40"/>
              <w:rPr>
                <w:b/>
              </w:rPr>
            </w:pPr>
          </w:p>
        </w:tc>
      </w:tr>
      <w:tr w:rsidR="00C665B5" w:rsidRPr="00427237" w:rsidTr="009D64F6">
        <w:tc>
          <w:tcPr>
            <w:tcW w:w="1835" w:type="pct"/>
          </w:tcPr>
          <w:p w:rsidR="00C665B5" w:rsidRPr="00427237" w:rsidRDefault="00C665B5" w:rsidP="00026771">
            <w:pPr>
              <w:pStyle w:val="TableText"/>
              <w:tabs>
                <w:tab w:val="left" w:pos="2835"/>
              </w:tabs>
              <w:spacing w:before="40"/>
            </w:pPr>
            <w:proofErr w:type="spellStart"/>
            <w:r w:rsidRPr="00427237">
              <w:t>Trastuzumab</w:t>
            </w:r>
            <w:proofErr w:type="spellEnd"/>
            <w:r w:rsidRPr="00427237">
              <w:t xml:space="preserve"> injection 500mg (x4)</w:t>
            </w:r>
          </w:p>
        </w:tc>
        <w:tc>
          <w:tcPr>
            <w:tcW w:w="920" w:type="pct"/>
          </w:tcPr>
          <w:p w:rsidR="00C665B5" w:rsidRPr="00427237" w:rsidRDefault="00C665B5" w:rsidP="00EA22A8">
            <w:pPr>
              <w:pStyle w:val="TableText"/>
              <w:tabs>
                <w:tab w:val="left" w:pos="2835"/>
              </w:tabs>
              <w:spacing w:before="40"/>
            </w:pPr>
            <w:r w:rsidRPr="00427237">
              <w:t>Specialist</w:t>
            </w:r>
          </w:p>
        </w:tc>
        <w:tc>
          <w:tcPr>
            <w:tcW w:w="843" w:type="pct"/>
          </w:tcPr>
          <w:p w:rsidR="00C665B5" w:rsidRPr="00427237" w:rsidRDefault="00C665B5" w:rsidP="00983FB2">
            <w:pPr>
              <w:pStyle w:val="TableText"/>
              <w:tabs>
                <w:tab w:val="left" w:pos="2835"/>
              </w:tabs>
              <w:spacing w:before="40"/>
            </w:pPr>
            <w:r w:rsidRPr="00427237">
              <w:t>Outpatient</w:t>
            </w:r>
          </w:p>
        </w:tc>
        <w:tc>
          <w:tcPr>
            <w:tcW w:w="690" w:type="pct"/>
          </w:tcPr>
          <w:p w:rsidR="00C665B5" w:rsidRPr="00427237" w:rsidRDefault="00C665B5" w:rsidP="009B6D52">
            <w:pPr>
              <w:pStyle w:val="TableText"/>
              <w:tabs>
                <w:tab w:val="left" w:pos="2835"/>
              </w:tabs>
              <w:spacing w:before="40"/>
            </w:pPr>
            <w:r w:rsidRPr="00427237">
              <w:t>$3,543.33</w:t>
            </w:r>
          </w:p>
        </w:tc>
        <w:tc>
          <w:tcPr>
            <w:tcW w:w="712" w:type="pct"/>
          </w:tcPr>
          <w:p w:rsidR="00C665B5" w:rsidRPr="00427237" w:rsidRDefault="00C665B5" w:rsidP="00EA22A8">
            <w:pPr>
              <w:pStyle w:val="TableText"/>
              <w:tabs>
                <w:tab w:val="left" w:pos="2835"/>
              </w:tabs>
              <w:spacing w:before="40"/>
            </w:pPr>
            <w:r w:rsidRPr="00427237">
              <w:t>PBS 4623T</w:t>
            </w:r>
          </w:p>
        </w:tc>
      </w:tr>
      <w:tr w:rsidR="00C665B5" w:rsidRPr="00427237" w:rsidTr="009D64F6">
        <w:tc>
          <w:tcPr>
            <w:tcW w:w="1835" w:type="pct"/>
          </w:tcPr>
          <w:p w:rsidR="00C665B5" w:rsidRPr="00427237" w:rsidRDefault="00C665B5" w:rsidP="00EA22A8">
            <w:pPr>
              <w:pStyle w:val="TableText"/>
              <w:tabs>
                <w:tab w:val="left" w:pos="2835"/>
              </w:tabs>
              <w:spacing w:before="40"/>
            </w:pPr>
            <w:r w:rsidRPr="00427237">
              <w:t>Treatment verification (x5)</w:t>
            </w:r>
          </w:p>
        </w:tc>
        <w:tc>
          <w:tcPr>
            <w:tcW w:w="920" w:type="pct"/>
          </w:tcPr>
          <w:p w:rsidR="00C665B5" w:rsidRPr="00427237" w:rsidRDefault="00C665B5" w:rsidP="00EA22A8">
            <w:pPr>
              <w:pStyle w:val="TableText"/>
              <w:tabs>
                <w:tab w:val="left" w:pos="2835"/>
              </w:tabs>
              <w:spacing w:before="40"/>
            </w:pPr>
            <w:r w:rsidRPr="00427237">
              <w:t>Specialist</w:t>
            </w:r>
          </w:p>
        </w:tc>
        <w:tc>
          <w:tcPr>
            <w:tcW w:w="843" w:type="pct"/>
          </w:tcPr>
          <w:p w:rsidR="00C665B5" w:rsidRPr="00427237" w:rsidRDefault="00C665B5" w:rsidP="00983FB2">
            <w:pPr>
              <w:pStyle w:val="TableText"/>
              <w:tabs>
                <w:tab w:val="left" w:pos="2835"/>
              </w:tabs>
              <w:spacing w:before="40"/>
            </w:pPr>
            <w:r w:rsidRPr="00427237">
              <w:t>Outpatient</w:t>
            </w:r>
          </w:p>
        </w:tc>
        <w:tc>
          <w:tcPr>
            <w:tcW w:w="690" w:type="pct"/>
          </w:tcPr>
          <w:p w:rsidR="00C665B5" w:rsidRPr="00427237" w:rsidRDefault="00C665B5" w:rsidP="009B6D52">
            <w:pPr>
              <w:pStyle w:val="TableText"/>
              <w:tabs>
                <w:tab w:val="left" w:pos="2835"/>
              </w:tabs>
              <w:spacing w:before="40"/>
            </w:pPr>
            <w:r w:rsidRPr="00427237">
              <w:t>$137.85</w:t>
            </w:r>
          </w:p>
        </w:tc>
        <w:tc>
          <w:tcPr>
            <w:tcW w:w="712" w:type="pct"/>
          </w:tcPr>
          <w:p w:rsidR="00C665B5" w:rsidRPr="00427237" w:rsidRDefault="00C665B5" w:rsidP="00EA22A8">
            <w:pPr>
              <w:pStyle w:val="TableText"/>
              <w:tabs>
                <w:tab w:val="left" w:pos="2835"/>
              </w:tabs>
              <w:spacing w:before="40"/>
            </w:pPr>
            <w:r w:rsidRPr="00427237">
              <w:t>MBS 15700</w:t>
            </w:r>
          </w:p>
        </w:tc>
      </w:tr>
      <w:tr w:rsidR="00C665B5" w:rsidRPr="00427237" w:rsidTr="009D64F6">
        <w:tc>
          <w:tcPr>
            <w:tcW w:w="1835" w:type="pct"/>
          </w:tcPr>
          <w:p w:rsidR="00C665B5" w:rsidRPr="00427237" w:rsidRDefault="00C665B5" w:rsidP="00EA22A8">
            <w:pPr>
              <w:pStyle w:val="TableText"/>
              <w:tabs>
                <w:tab w:val="left" w:pos="2835"/>
              </w:tabs>
              <w:spacing w:before="40"/>
            </w:pPr>
            <w:r w:rsidRPr="00427237">
              <w:t>Specialist consultation (x5)</w:t>
            </w:r>
          </w:p>
        </w:tc>
        <w:tc>
          <w:tcPr>
            <w:tcW w:w="920" w:type="pct"/>
          </w:tcPr>
          <w:p w:rsidR="00C665B5" w:rsidRPr="00427237" w:rsidRDefault="00C665B5" w:rsidP="00EA22A8">
            <w:pPr>
              <w:pStyle w:val="TableText"/>
              <w:tabs>
                <w:tab w:val="left" w:pos="2835"/>
              </w:tabs>
              <w:spacing w:before="40"/>
            </w:pPr>
            <w:r w:rsidRPr="00427237">
              <w:t>Specialist</w:t>
            </w:r>
          </w:p>
        </w:tc>
        <w:tc>
          <w:tcPr>
            <w:tcW w:w="843" w:type="pct"/>
          </w:tcPr>
          <w:p w:rsidR="00C665B5" w:rsidRPr="00427237" w:rsidRDefault="00C665B5" w:rsidP="00983FB2">
            <w:pPr>
              <w:pStyle w:val="TableText"/>
              <w:tabs>
                <w:tab w:val="left" w:pos="2835"/>
              </w:tabs>
              <w:spacing w:before="40"/>
            </w:pPr>
            <w:r w:rsidRPr="00427237">
              <w:t>Outpatient</w:t>
            </w:r>
          </w:p>
        </w:tc>
        <w:tc>
          <w:tcPr>
            <w:tcW w:w="690" w:type="pct"/>
          </w:tcPr>
          <w:p w:rsidR="00C665B5" w:rsidRPr="00427237" w:rsidRDefault="00C665B5" w:rsidP="009B6D52">
            <w:pPr>
              <w:pStyle w:val="TableText"/>
              <w:tabs>
                <w:tab w:val="left" w:pos="2835"/>
              </w:tabs>
              <w:spacing w:before="40"/>
            </w:pPr>
            <w:r w:rsidRPr="00427237">
              <w:t>$74.10</w:t>
            </w:r>
          </w:p>
        </w:tc>
        <w:tc>
          <w:tcPr>
            <w:tcW w:w="712" w:type="pct"/>
          </w:tcPr>
          <w:p w:rsidR="00C665B5" w:rsidRPr="00427237" w:rsidRDefault="00C665B5" w:rsidP="00EA22A8">
            <w:pPr>
              <w:pStyle w:val="TableText"/>
              <w:tabs>
                <w:tab w:val="left" w:pos="2835"/>
              </w:tabs>
              <w:spacing w:before="40"/>
            </w:pPr>
            <w:r w:rsidRPr="00427237">
              <w:t>MBS 116</w:t>
            </w:r>
          </w:p>
        </w:tc>
      </w:tr>
      <w:tr w:rsidR="00C665B5" w:rsidRPr="00427237" w:rsidTr="009D64F6">
        <w:tc>
          <w:tcPr>
            <w:tcW w:w="1835" w:type="pct"/>
          </w:tcPr>
          <w:p w:rsidR="00C665B5" w:rsidRPr="00427237" w:rsidRDefault="00C665B5" w:rsidP="00EA22A8">
            <w:pPr>
              <w:pStyle w:val="TableText"/>
              <w:tabs>
                <w:tab w:val="left" w:pos="2835"/>
              </w:tabs>
              <w:spacing w:before="40"/>
            </w:pPr>
            <w:r w:rsidRPr="00427237">
              <w:t>Follow-up consultation</w:t>
            </w:r>
          </w:p>
        </w:tc>
        <w:tc>
          <w:tcPr>
            <w:tcW w:w="920" w:type="pct"/>
          </w:tcPr>
          <w:p w:rsidR="00C665B5" w:rsidRPr="00427237" w:rsidRDefault="00C665B5" w:rsidP="00EA22A8">
            <w:pPr>
              <w:pStyle w:val="TableText"/>
              <w:tabs>
                <w:tab w:val="left" w:pos="2835"/>
              </w:tabs>
              <w:spacing w:before="40"/>
            </w:pPr>
            <w:r w:rsidRPr="00427237">
              <w:t>Specialist</w:t>
            </w:r>
          </w:p>
        </w:tc>
        <w:tc>
          <w:tcPr>
            <w:tcW w:w="843" w:type="pct"/>
          </w:tcPr>
          <w:p w:rsidR="00C665B5" w:rsidRPr="00427237" w:rsidRDefault="00C665B5" w:rsidP="00983FB2">
            <w:pPr>
              <w:pStyle w:val="TableText"/>
              <w:tabs>
                <w:tab w:val="left" w:pos="2835"/>
              </w:tabs>
              <w:spacing w:before="40"/>
            </w:pPr>
            <w:r w:rsidRPr="00427237">
              <w:t>Outpatient</w:t>
            </w:r>
          </w:p>
        </w:tc>
        <w:tc>
          <w:tcPr>
            <w:tcW w:w="690" w:type="pct"/>
          </w:tcPr>
          <w:p w:rsidR="00C665B5" w:rsidRPr="00427237" w:rsidRDefault="00C665B5" w:rsidP="009B6D52">
            <w:pPr>
              <w:pStyle w:val="TableText"/>
              <w:tabs>
                <w:tab w:val="left" w:pos="2835"/>
              </w:tabs>
              <w:spacing w:before="40"/>
            </w:pPr>
            <w:r w:rsidRPr="00427237">
              <w:t>$42.20</w:t>
            </w:r>
          </w:p>
        </w:tc>
        <w:tc>
          <w:tcPr>
            <w:tcW w:w="712" w:type="pct"/>
          </w:tcPr>
          <w:p w:rsidR="00C665B5" w:rsidRPr="00427237" w:rsidRDefault="00C665B5" w:rsidP="00EA22A8">
            <w:pPr>
              <w:pStyle w:val="TableText"/>
              <w:tabs>
                <w:tab w:val="left" w:pos="2835"/>
              </w:tabs>
              <w:spacing w:before="40"/>
            </w:pPr>
            <w:r w:rsidRPr="00427237">
              <w:t>MBS 119</w:t>
            </w:r>
          </w:p>
        </w:tc>
      </w:tr>
      <w:tr w:rsidR="00AF5213" w:rsidRPr="00427237" w:rsidTr="009D64F6">
        <w:tc>
          <w:tcPr>
            <w:tcW w:w="1835" w:type="pct"/>
          </w:tcPr>
          <w:p w:rsidR="00AF5213" w:rsidRPr="00427237" w:rsidRDefault="00AF5213" w:rsidP="00EA22A8">
            <w:pPr>
              <w:pStyle w:val="TableText"/>
              <w:tabs>
                <w:tab w:val="left" w:pos="2835"/>
              </w:tabs>
              <w:spacing w:before="40"/>
              <w:rPr>
                <w:b/>
              </w:rPr>
            </w:pPr>
          </w:p>
        </w:tc>
        <w:tc>
          <w:tcPr>
            <w:tcW w:w="920" w:type="pct"/>
          </w:tcPr>
          <w:p w:rsidR="00AF5213" w:rsidRPr="00427237" w:rsidRDefault="00AF5213" w:rsidP="00EA22A8">
            <w:pPr>
              <w:pStyle w:val="TableText"/>
              <w:tabs>
                <w:tab w:val="left" w:pos="2835"/>
              </w:tabs>
              <w:spacing w:before="40"/>
              <w:rPr>
                <w:b/>
              </w:rPr>
            </w:pPr>
          </w:p>
        </w:tc>
        <w:tc>
          <w:tcPr>
            <w:tcW w:w="843" w:type="pct"/>
          </w:tcPr>
          <w:p w:rsidR="00AF5213" w:rsidRPr="00427237" w:rsidRDefault="00AF5213" w:rsidP="00EA22A8">
            <w:pPr>
              <w:pStyle w:val="TableText"/>
              <w:tabs>
                <w:tab w:val="left" w:pos="2835"/>
              </w:tabs>
              <w:spacing w:before="40"/>
              <w:rPr>
                <w:b/>
              </w:rPr>
            </w:pPr>
          </w:p>
        </w:tc>
        <w:tc>
          <w:tcPr>
            <w:tcW w:w="690" w:type="pct"/>
          </w:tcPr>
          <w:p w:rsidR="00AF5213" w:rsidRPr="00427237" w:rsidRDefault="00AF5213" w:rsidP="009B6D52">
            <w:pPr>
              <w:pStyle w:val="TableText"/>
              <w:tabs>
                <w:tab w:val="left" w:pos="2835"/>
              </w:tabs>
              <w:spacing w:before="40"/>
              <w:rPr>
                <w:b/>
              </w:rPr>
            </w:pPr>
          </w:p>
        </w:tc>
        <w:tc>
          <w:tcPr>
            <w:tcW w:w="712" w:type="pct"/>
          </w:tcPr>
          <w:p w:rsidR="00AF5213" w:rsidRPr="00427237" w:rsidRDefault="00AF5213" w:rsidP="00EA22A8">
            <w:pPr>
              <w:pStyle w:val="TableText"/>
              <w:tabs>
                <w:tab w:val="left" w:pos="2835"/>
              </w:tabs>
              <w:spacing w:before="40"/>
              <w:rPr>
                <w:b/>
              </w:rPr>
            </w:pPr>
          </w:p>
        </w:tc>
      </w:tr>
      <w:tr w:rsidR="00AF5213" w:rsidRPr="00427237" w:rsidTr="009D64F6">
        <w:tc>
          <w:tcPr>
            <w:tcW w:w="1835" w:type="pct"/>
          </w:tcPr>
          <w:p w:rsidR="00AF5213" w:rsidRPr="00427237" w:rsidRDefault="00AF5213" w:rsidP="00EA22A8">
            <w:pPr>
              <w:pStyle w:val="TableText"/>
              <w:tabs>
                <w:tab w:val="left" w:pos="2835"/>
              </w:tabs>
              <w:spacing w:before="40"/>
              <w:rPr>
                <w:b/>
              </w:rPr>
            </w:pPr>
            <w:r w:rsidRPr="00427237">
              <w:rPr>
                <w:b/>
              </w:rPr>
              <w:t>Hormonal therapy</w:t>
            </w:r>
          </w:p>
        </w:tc>
        <w:tc>
          <w:tcPr>
            <w:tcW w:w="920" w:type="pct"/>
          </w:tcPr>
          <w:p w:rsidR="00AF5213" w:rsidRPr="00427237" w:rsidRDefault="00AF5213" w:rsidP="00EA22A8">
            <w:pPr>
              <w:pStyle w:val="TableText"/>
              <w:tabs>
                <w:tab w:val="left" w:pos="2835"/>
              </w:tabs>
              <w:spacing w:before="40"/>
              <w:rPr>
                <w:b/>
              </w:rPr>
            </w:pPr>
          </w:p>
        </w:tc>
        <w:tc>
          <w:tcPr>
            <w:tcW w:w="843" w:type="pct"/>
          </w:tcPr>
          <w:p w:rsidR="00AF5213" w:rsidRPr="00427237" w:rsidRDefault="00AF5213" w:rsidP="00EA22A8">
            <w:pPr>
              <w:pStyle w:val="TableText"/>
              <w:tabs>
                <w:tab w:val="left" w:pos="2835"/>
              </w:tabs>
              <w:spacing w:before="40"/>
              <w:rPr>
                <w:b/>
              </w:rPr>
            </w:pPr>
          </w:p>
        </w:tc>
        <w:tc>
          <w:tcPr>
            <w:tcW w:w="690" w:type="pct"/>
          </w:tcPr>
          <w:p w:rsidR="00AF5213" w:rsidRPr="00427237" w:rsidRDefault="00AF5213" w:rsidP="009B6D52">
            <w:pPr>
              <w:pStyle w:val="TableText"/>
              <w:tabs>
                <w:tab w:val="left" w:pos="2835"/>
              </w:tabs>
              <w:spacing w:before="40"/>
              <w:rPr>
                <w:b/>
              </w:rPr>
            </w:pPr>
          </w:p>
        </w:tc>
        <w:tc>
          <w:tcPr>
            <w:tcW w:w="712" w:type="pct"/>
          </w:tcPr>
          <w:p w:rsidR="00AF5213" w:rsidRPr="00427237" w:rsidRDefault="00AF5213" w:rsidP="00EA22A8">
            <w:pPr>
              <w:pStyle w:val="TableText"/>
              <w:tabs>
                <w:tab w:val="left" w:pos="2835"/>
              </w:tabs>
              <w:spacing w:before="40"/>
              <w:rPr>
                <w:b/>
              </w:rPr>
            </w:pPr>
          </w:p>
        </w:tc>
      </w:tr>
      <w:tr w:rsidR="00AF5213" w:rsidRPr="00427237" w:rsidTr="009D64F6">
        <w:tc>
          <w:tcPr>
            <w:tcW w:w="1835" w:type="pct"/>
          </w:tcPr>
          <w:p w:rsidR="00AF5213" w:rsidRPr="00427237" w:rsidRDefault="00AF5213" w:rsidP="00026771">
            <w:pPr>
              <w:pStyle w:val="TableText"/>
              <w:tabs>
                <w:tab w:val="left" w:pos="2835"/>
              </w:tabs>
              <w:spacing w:before="40"/>
            </w:pPr>
            <w:proofErr w:type="spellStart"/>
            <w:r w:rsidRPr="00427237">
              <w:t>Tamoxifen</w:t>
            </w:r>
            <w:proofErr w:type="spellEnd"/>
            <w:r w:rsidRPr="00427237">
              <w:t xml:space="preserve"> citrate – 20mg x 60 tablets (x30)</w:t>
            </w:r>
          </w:p>
        </w:tc>
        <w:tc>
          <w:tcPr>
            <w:tcW w:w="920" w:type="pct"/>
          </w:tcPr>
          <w:p w:rsidR="00AF5213" w:rsidRPr="00427237" w:rsidRDefault="00C665B5" w:rsidP="00EA22A8">
            <w:pPr>
              <w:pStyle w:val="TableText"/>
              <w:tabs>
                <w:tab w:val="left" w:pos="2835"/>
              </w:tabs>
              <w:spacing w:before="40"/>
            </w:pPr>
            <w:r w:rsidRPr="00427237">
              <w:t>Specialist</w:t>
            </w:r>
          </w:p>
        </w:tc>
        <w:tc>
          <w:tcPr>
            <w:tcW w:w="843" w:type="pct"/>
          </w:tcPr>
          <w:p w:rsidR="00AF5213" w:rsidRPr="00427237" w:rsidRDefault="00AF5213" w:rsidP="00983FB2">
            <w:pPr>
              <w:pStyle w:val="TableText"/>
              <w:tabs>
                <w:tab w:val="left" w:pos="2835"/>
              </w:tabs>
              <w:spacing w:before="40"/>
            </w:pPr>
            <w:r w:rsidRPr="00427237">
              <w:t>Outpatient</w:t>
            </w:r>
          </w:p>
        </w:tc>
        <w:tc>
          <w:tcPr>
            <w:tcW w:w="690" w:type="pct"/>
          </w:tcPr>
          <w:p w:rsidR="00AF5213" w:rsidRPr="00427237" w:rsidRDefault="00AF5213" w:rsidP="009B6D52">
            <w:pPr>
              <w:pStyle w:val="TableText"/>
              <w:tabs>
                <w:tab w:val="left" w:pos="2835"/>
              </w:tabs>
              <w:spacing w:before="40"/>
            </w:pPr>
            <w:r w:rsidRPr="00427237">
              <w:t>$61.30</w:t>
            </w:r>
          </w:p>
        </w:tc>
        <w:tc>
          <w:tcPr>
            <w:tcW w:w="712" w:type="pct"/>
          </w:tcPr>
          <w:p w:rsidR="00AF5213" w:rsidRPr="00427237" w:rsidRDefault="00AF5213" w:rsidP="00EA22A8">
            <w:pPr>
              <w:pStyle w:val="TableText"/>
              <w:tabs>
                <w:tab w:val="left" w:pos="2835"/>
              </w:tabs>
              <w:spacing w:before="40"/>
            </w:pPr>
            <w:r w:rsidRPr="00427237">
              <w:t>PBS 1880Y</w:t>
            </w:r>
          </w:p>
        </w:tc>
      </w:tr>
      <w:tr w:rsidR="00C665B5" w:rsidRPr="00427237" w:rsidTr="009D64F6">
        <w:tc>
          <w:tcPr>
            <w:tcW w:w="1835" w:type="pct"/>
          </w:tcPr>
          <w:p w:rsidR="00C665B5" w:rsidRPr="00427237" w:rsidRDefault="00C665B5" w:rsidP="00906829">
            <w:pPr>
              <w:pStyle w:val="TableText"/>
              <w:tabs>
                <w:tab w:val="left" w:pos="2835"/>
              </w:tabs>
              <w:spacing w:before="40"/>
            </w:pPr>
            <w:r w:rsidRPr="00427237">
              <w:t>Treatment verification (x10)</w:t>
            </w:r>
          </w:p>
        </w:tc>
        <w:tc>
          <w:tcPr>
            <w:tcW w:w="920" w:type="pct"/>
          </w:tcPr>
          <w:p w:rsidR="00C665B5" w:rsidRPr="00427237" w:rsidRDefault="00C665B5" w:rsidP="00EA22A8">
            <w:pPr>
              <w:pStyle w:val="TableText"/>
              <w:tabs>
                <w:tab w:val="left" w:pos="2835"/>
              </w:tabs>
              <w:spacing w:before="40"/>
            </w:pPr>
            <w:r w:rsidRPr="00427237">
              <w:t>Specialist</w:t>
            </w:r>
          </w:p>
        </w:tc>
        <w:tc>
          <w:tcPr>
            <w:tcW w:w="843" w:type="pct"/>
          </w:tcPr>
          <w:p w:rsidR="00C665B5" w:rsidRPr="00427237" w:rsidRDefault="00C665B5" w:rsidP="00983FB2">
            <w:pPr>
              <w:pStyle w:val="TableText"/>
              <w:tabs>
                <w:tab w:val="left" w:pos="2835"/>
              </w:tabs>
              <w:spacing w:before="40"/>
            </w:pPr>
            <w:r w:rsidRPr="00427237">
              <w:t>Outpatient</w:t>
            </w:r>
          </w:p>
        </w:tc>
        <w:tc>
          <w:tcPr>
            <w:tcW w:w="690" w:type="pct"/>
          </w:tcPr>
          <w:p w:rsidR="00C665B5" w:rsidRPr="00427237" w:rsidRDefault="00C665B5" w:rsidP="009B6D52">
            <w:pPr>
              <w:pStyle w:val="TableText"/>
              <w:tabs>
                <w:tab w:val="left" w:pos="2835"/>
              </w:tabs>
              <w:spacing w:before="40"/>
            </w:pPr>
            <w:r w:rsidRPr="00427237">
              <w:t>$137.85</w:t>
            </w:r>
          </w:p>
        </w:tc>
        <w:tc>
          <w:tcPr>
            <w:tcW w:w="712" w:type="pct"/>
          </w:tcPr>
          <w:p w:rsidR="00C665B5" w:rsidRPr="00427237" w:rsidRDefault="00C665B5" w:rsidP="00EA22A8">
            <w:pPr>
              <w:pStyle w:val="TableText"/>
              <w:tabs>
                <w:tab w:val="left" w:pos="2835"/>
              </w:tabs>
              <w:spacing w:before="40"/>
            </w:pPr>
            <w:r w:rsidRPr="00427237">
              <w:t>MBS 15700</w:t>
            </w:r>
          </w:p>
        </w:tc>
      </w:tr>
      <w:tr w:rsidR="00C665B5" w:rsidRPr="00427237" w:rsidTr="009D64F6">
        <w:tc>
          <w:tcPr>
            <w:tcW w:w="1835" w:type="pct"/>
          </w:tcPr>
          <w:p w:rsidR="00C665B5" w:rsidRPr="00427237" w:rsidRDefault="00C665B5" w:rsidP="00026771">
            <w:pPr>
              <w:pStyle w:val="TableText"/>
              <w:tabs>
                <w:tab w:val="left" w:pos="2835"/>
              </w:tabs>
              <w:spacing w:before="40"/>
            </w:pPr>
            <w:r w:rsidRPr="00427237">
              <w:t>Specialist consultation (x5)</w:t>
            </w:r>
          </w:p>
        </w:tc>
        <w:tc>
          <w:tcPr>
            <w:tcW w:w="920" w:type="pct"/>
          </w:tcPr>
          <w:p w:rsidR="00C665B5" w:rsidRPr="00427237" w:rsidRDefault="00C665B5" w:rsidP="00EA22A8">
            <w:pPr>
              <w:pStyle w:val="TableText"/>
              <w:tabs>
                <w:tab w:val="left" w:pos="2835"/>
              </w:tabs>
              <w:spacing w:before="40"/>
            </w:pPr>
            <w:r w:rsidRPr="00427237">
              <w:t>Specialist</w:t>
            </w:r>
          </w:p>
        </w:tc>
        <w:tc>
          <w:tcPr>
            <w:tcW w:w="843" w:type="pct"/>
          </w:tcPr>
          <w:p w:rsidR="00C665B5" w:rsidRPr="00427237" w:rsidRDefault="00C665B5" w:rsidP="00983FB2">
            <w:pPr>
              <w:pStyle w:val="TableText"/>
              <w:tabs>
                <w:tab w:val="left" w:pos="2835"/>
              </w:tabs>
              <w:spacing w:before="40"/>
            </w:pPr>
            <w:r w:rsidRPr="00427237">
              <w:t>Outpatient</w:t>
            </w:r>
          </w:p>
        </w:tc>
        <w:tc>
          <w:tcPr>
            <w:tcW w:w="690" w:type="pct"/>
          </w:tcPr>
          <w:p w:rsidR="00C665B5" w:rsidRPr="00427237" w:rsidRDefault="00C665B5" w:rsidP="009B6D52">
            <w:pPr>
              <w:pStyle w:val="TableText"/>
              <w:tabs>
                <w:tab w:val="left" w:pos="2835"/>
              </w:tabs>
              <w:spacing w:before="40"/>
            </w:pPr>
            <w:r w:rsidRPr="00427237">
              <w:t>$74.10</w:t>
            </w:r>
          </w:p>
        </w:tc>
        <w:tc>
          <w:tcPr>
            <w:tcW w:w="712" w:type="pct"/>
          </w:tcPr>
          <w:p w:rsidR="00C665B5" w:rsidRPr="00427237" w:rsidRDefault="00C665B5" w:rsidP="00EA22A8">
            <w:pPr>
              <w:pStyle w:val="TableText"/>
              <w:tabs>
                <w:tab w:val="left" w:pos="2835"/>
              </w:tabs>
              <w:spacing w:before="40"/>
            </w:pPr>
            <w:r w:rsidRPr="00427237">
              <w:t>MBS 116</w:t>
            </w:r>
          </w:p>
        </w:tc>
      </w:tr>
      <w:tr w:rsidR="00C665B5" w:rsidRPr="00427237" w:rsidTr="009D64F6">
        <w:tc>
          <w:tcPr>
            <w:tcW w:w="1835" w:type="pct"/>
          </w:tcPr>
          <w:p w:rsidR="00C665B5" w:rsidRPr="00427237" w:rsidRDefault="00C665B5" w:rsidP="00EA22A8">
            <w:pPr>
              <w:pStyle w:val="TableText"/>
              <w:tabs>
                <w:tab w:val="left" w:pos="2835"/>
              </w:tabs>
              <w:spacing w:before="40"/>
            </w:pPr>
            <w:r w:rsidRPr="00427237">
              <w:t>Follow-up consultation</w:t>
            </w:r>
          </w:p>
        </w:tc>
        <w:tc>
          <w:tcPr>
            <w:tcW w:w="920" w:type="pct"/>
          </w:tcPr>
          <w:p w:rsidR="00C665B5" w:rsidRPr="00427237" w:rsidRDefault="00C665B5" w:rsidP="00EA22A8">
            <w:pPr>
              <w:pStyle w:val="TableText"/>
              <w:tabs>
                <w:tab w:val="left" w:pos="2835"/>
              </w:tabs>
              <w:spacing w:before="40"/>
            </w:pPr>
            <w:r w:rsidRPr="00427237">
              <w:t>Specialist</w:t>
            </w:r>
          </w:p>
        </w:tc>
        <w:tc>
          <w:tcPr>
            <w:tcW w:w="843" w:type="pct"/>
          </w:tcPr>
          <w:p w:rsidR="00C665B5" w:rsidRPr="00427237" w:rsidRDefault="00C665B5" w:rsidP="00983FB2">
            <w:pPr>
              <w:pStyle w:val="TableText"/>
              <w:tabs>
                <w:tab w:val="left" w:pos="2835"/>
              </w:tabs>
              <w:spacing w:before="40"/>
            </w:pPr>
            <w:r w:rsidRPr="00427237">
              <w:t>Outpatient</w:t>
            </w:r>
          </w:p>
        </w:tc>
        <w:tc>
          <w:tcPr>
            <w:tcW w:w="690" w:type="pct"/>
          </w:tcPr>
          <w:p w:rsidR="00C665B5" w:rsidRPr="00427237" w:rsidRDefault="00C665B5" w:rsidP="009B6D52">
            <w:pPr>
              <w:pStyle w:val="TableText"/>
              <w:tabs>
                <w:tab w:val="left" w:pos="2835"/>
              </w:tabs>
              <w:spacing w:before="40"/>
            </w:pPr>
            <w:r w:rsidRPr="00427237">
              <w:t>$42.20</w:t>
            </w:r>
          </w:p>
        </w:tc>
        <w:tc>
          <w:tcPr>
            <w:tcW w:w="712" w:type="pct"/>
          </w:tcPr>
          <w:p w:rsidR="00C665B5" w:rsidRPr="00427237" w:rsidRDefault="00C665B5" w:rsidP="00EA22A8">
            <w:pPr>
              <w:pStyle w:val="TableText"/>
              <w:tabs>
                <w:tab w:val="left" w:pos="2835"/>
              </w:tabs>
              <w:spacing w:before="40"/>
            </w:pPr>
            <w:r w:rsidRPr="00427237">
              <w:t>MBS 119</w:t>
            </w:r>
          </w:p>
        </w:tc>
      </w:tr>
      <w:tr w:rsidR="00AF5213" w:rsidRPr="00427237" w:rsidTr="009D64F6">
        <w:tc>
          <w:tcPr>
            <w:tcW w:w="1835" w:type="pct"/>
          </w:tcPr>
          <w:p w:rsidR="00AF5213" w:rsidRPr="00427237" w:rsidRDefault="00AF5213" w:rsidP="00EA22A8">
            <w:pPr>
              <w:pStyle w:val="TableText"/>
              <w:tabs>
                <w:tab w:val="left" w:pos="2835"/>
              </w:tabs>
              <w:spacing w:before="40"/>
            </w:pPr>
          </w:p>
        </w:tc>
        <w:tc>
          <w:tcPr>
            <w:tcW w:w="920" w:type="pct"/>
          </w:tcPr>
          <w:p w:rsidR="00AF5213" w:rsidRPr="00427237" w:rsidRDefault="00AF5213" w:rsidP="00EA22A8">
            <w:pPr>
              <w:pStyle w:val="TableText"/>
              <w:tabs>
                <w:tab w:val="left" w:pos="2835"/>
              </w:tabs>
              <w:spacing w:before="40"/>
            </w:pPr>
          </w:p>
        </w:tc>
        <w:tc>
          <w:tcPr>
            <w:tcW w:w="843" w:type="pct"/>
          </w:tcPr>
          <w:p w:rsidR="00AF5213" w:rsidRPr="00427237" w:rsidRDefault="00AF5213" w:rsidP="00EA22A8">
            <w:pPr>
              <w:pStyle w:val="TableText"/>
              <w:tabs>
                <w:tab w:val="left" w:pos="2835"/>
              </w:tabs>
              <w:spacing w:before="40"/>
            </w:pPr>
          </w:p>
        </w:tc>
        <w:tc>
          <w:tcPr>
            <w:tcW w:w="690" w:type="pct"/>
          </w:tcPr>
          <w:p w:rsidR="00AF5213" w:rsidRPr="00427237" w:rsidRDefault="00AF5213" w:rsidP="009B6D52">
            <w:pPr>
              <w:pStyle w:val="TableText"/>
              <w:tabs>
                <w:tab w:val="left" w:pos="2835"/>
              </w:tabs>
              <w:spacing w:before="40"/>
            </w:pPr>
          </w:p>
        </w:tc>
        <w:tc>
          <w:tcPr>
            <w:tcW w:w="712" w:type="pct"/>
          </w:tcPr>
          <w:p w:rsidR="00AF5213" w:rsidRPr="00427237" w:rsidRDefault="00AF5213" w:rsidP="00EA22A8">
            <w:pPr>
              <w:pStyle w:val="TableText"/>
              <w:tabs>
                <w:tab w:val="left" w:pos="2835"/>
              </w:tabs>
              <w:spacing w:before="40"/>
            </w:pPr>
          </w:p>
        </w:tc>
      </w:tr>
    </w:tbl>
    <w:p w:rsidR="00B94906" w:rsidRPr="00427237" w:rsidRDefault="00B94906"/>
    <w:p w:rsidR="00B94906" w:rsidRPr="00427237" w:rsidRDefault="00BE4356" w:rsidP="00BE4356">
      <w:pPr>
        <w:pStyle w:val="Caption"/>
      </w:pPr>
      <w:r w:rsidRPr="00427237">
        <w:lastRenderedPageBreak/>
        <w:t xml:space="preserve">Table </w:t>
      </w:r>
      <w:r w:rsidR="00BF57C1" w:rsidRPr="00427237">
        <w:rPr>
          <w:noProof/>
        </w:rPr>
        <w:t>8</w:t>
      </w:r>
      <w:r w:rsidR="00B94906" w:rsidRPr="00427237">
        <w:t>:</w:t>
      </w:r>
      <w:r w:rsidR="00B94906" w:rsidRPr="00427237">
        <w:tab/>
        <w:t xml:space="preserve">List of resources for palliative </w:t>
      </w:r>
      <w:r w:rsidR="00D30E2F" w:rsidRPr="00427237">
        <w:t>treatment</w:t>
      </w:r>
      <w:r w:rsidR="00B94906" w:rsidRPr="00427237">
        <w:t xml:space="preserve"> to be considered in the economic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1849"/>
        <w:gridCol w:w="1848"/>
        <w:gridCol w:w="1848"/>
        <w:gridCol w:w="1848"/>
      </w:tblGrid>
      <w:tr w:rsidR="00D875A3" w:rsidRPr="00427237" w:rsidTr="00FC799D">
        <w:tc>
          <w:tcPr>
            <w:tcW w:w="1000" w:type="pct"/>
          </w:tcPr>
          <w:p w:rsidR="00D875A3" w:rsidRPr="00427237" w:rsidRDefault="00D875A3" w:rsidP="00316D47">
            <w:pPr>
              <w:pStyle w:val="TableText"/>
              <w:tabs>
                <w:tab w:val="left" w:pos="2835"/>
              </w:tabs>
              <w:spacing w:before="40"/>
              <w:rPr>
                <w:b/>
              </w:rPr>
            </w:pPr>
            <w:r w:rsidRPr="00427237">
              <w:rPr>
                <w:b/>
              </w:rPr>
              <w:t>Resource</w:t>
            </w:r>
          </w:p>
        </w:tc>
        <w:tc>
          <w:tcPr>
            <w:tcW w:w="1000" w:type="pct"/>
          </w:tcPr>
          <w:p w:rsidR="00D875A3" w:rsidRPr="00427237" w:rsidRDefault="00D875A3" w:rsidP="00316D47">
            <w:pPr>
              <w:pStyle w:val="TableText"/>
              <w:tabs>
                <w:tab w:val="left" w:pos="2835"/>
              </w:tabs>
              <w:spacing w:before="40"/>
              <w:rPr>
                <w:b/>
              </w:rPr>
            </w:pPr>
            <w:r w:rsidRPr="00427237">
              <w:rPr>
                <w:b/>
              </w:rPr>
              <w:t>Provider of resource</w:t>
            </w:r>
          </w:p>
        </w:tc>
        <w:tc>
          <w:tcPr>
            <w:tcW w:w="1000" w:type="pct"/>
          </w:tcPr>
          <w:p w:rsidR="00D875A3" w:rsidRPr="00427237" w:rsidRDefault="00D875A3" w:rsidP="00316D47">
            <w:pPr>
              <w:pStyle w:val="TableText"/>
              <w:tabs>
                <w:tab w:val="left" w:pos="2835"/>
              </w:tabs>
              <w:spacing w:before="40"/>
              <w:rPr>
                <w:b/>
              </w:rPr>
            </w:pPr>
            <w:r w:rsidRPr="00427237">
              <w:rPr>
                <w:b/>
              </w:rPr>
              <w:t>Setting in which resource is provided</w:t>
            </w:r>
          </w:p>
        </w:tc>
        <w:tc>
          <w:tcPr>
            <w:tcW w:w="1000" w:type="pct"/>
          </w:tcPr>
          <w:p w:rsidR="00D875A3" w:rsidRPr="00427237" w:rsidRDefault="00D875A3" w:rsidP="00316D47">
            <w:pPr>
              <w:pStyle w:val="TableText"/>
              <w:tabs>
                <w:tab w:val="left" w:pos="2835"/>
              </w:tabs>
              <w:spacing w:before="40"/>
              <w:rPr>
                <w:b/>
              </w:rPr>
            </w:pPr>
            <w:r w:rsidRPr="00427237">
              <w:rPr>
                <w:b/>
              </w:rPr>
              <w:t>Unit cost</w:t>
            </w:r>
          </w:p>
        </w:tc>
        <w:tc>
          <w:tcPr>
            <w:tcW w:w="1000" w:type="pct"/>
          </w:tcPr>
          <w:p w:rsidR="00D875A3" w:rsidRPr="00427237" w:rsidRDefault="00D875A3" w:rsidP="00316D47">
            <w:pPr>
              <w:pStyle w:val="TableText"/>
              <w:tabs>
                <w:tab w:val="left" w:pos="2835"/>
              </w:tabs>
              <w:spacing w:before="40"/>
              <w:rPr>
                <w:b/>
              </w:rPr>
            </w:pPr>
            <w:r w:rsidRPr="00427237">
              <w:rPr>
                <w:b/>
              </w:rPr>
              <w:t>Source (MBS/PBS)</w:t>
            </w:r>
          </w:p>
        </w:tc>
      </w:tr>
      <w:tr w:rsidR="00D875A3" w:rsidRPr="00427237" w:rsidTr="00FC799D">
        <w:tc>
          <w:tcPr>
            <w:tcW w:w="5000" w:type="pct"/>
            <w:gridSpan w:val="5"/>
            <w:shd w:val="clear" w:color="auto" w:fill="D9D9D9" w:themeFill="background1" w:themeFillShade="D9"/>
          </w:tcPr>
          <w:p w:rsidR="00D875A3" w:rsidRPr="00427237" w:rsidRDefault="00D875A3" w:rsidP="00026771">
            <w:pPr>
              <w:pStyle w:val="TableText"/>
              <w:tabs>
                <w:tab w:val="left" w:pos="2835"/>
              </w:tabs>
              <w:spacing w:before="40"/>
              <w:rPr>
                <w:b/>
              </w:rPr>
            </w:pPr>
            <w:r w:rsidRPr="00427237">
              <w:rPr>
                <w:b/>
              </w:rPr>
              <w:t>Resources association with palliative treatment (i.e. for incurable disseminated disease)</w:t>
            </w:r>
          </w:p>
        </w:tc>
      </w:tr>
      <w:tr w:rsidR="00D875A3" w:rsidRPr="00427237" w:rsidTr="00FC799D">
        <w:tc>
          <w:tcPr>
            <w:tcW w:w="1000" w:type="pct"/>
          </w:tcPr>
          <w:p w:rsidR="00D875A3" w:rsidRPr="00427237" w:rsidRDefault="00D875A3" w:rsidP="00EA22A8">
            <w:pPr>
              <w:pStyle w:val="TableText"/>
              <w:tabs>
                <w:tab w:val="left" w:pos="2835"/>
              </w:tabs>
              <w:spacing w:before="40"/>
              <w:rPr>
                <w:b/>
              </w:rPr>
            </w:pPr>
            <w:r w:rsidRPr="00427237">
              <w:rPr>
                <w:b/>
              </w:rPr>
              <w:t>Supportive care</w:t>
            </w:r>
          </w:p>
        </w:tc>
        <w:tc>
          <w:tcPr>
            <w:tcW w:w="1000" w:type="pct"/>
          </w:tcPr>
          <w:p w:rsidR="00D875A3" w:rsidRPr="00427237" w:rsidRDefault="00D875A3" w:rsidP="00EA22A8">
            <w:pPr>
              <w:pStyle w:val="TableText"/>
              <w:tabs>
                <w:tab w:val="left" w:pos="2835"/>
              </w:tabs>
              <w:spacing w:before="40"/>
              <w:rPr>
                <w:b/>
              </w:rPr>
            </w:pPr>
          </w:p>
        </w:tc>
        <w:tc>
          <w:tcPr>
            <w:tcW w:w="1000" w:type="pct"/>
          </w:tcPr>
          <w:p w:rsidR="00D875A3" w:rsidRPr="00427237" w:rsidRDefault="00D875A3" w:rsidP="00EA22A8">
            <w:pPr>
              <w:pStyle w:val="TableText"/>
              <w:tabs>
                <w:tab w:val="left" w:pos="2835"/>
              </w:tabs>
              <w:spacing w:before="40"/>
              <w:rPr>
                <w:b/>
              </w:rPr>
            </w:pPr>
          </w:p>
        </w:tc>
        <w:tc>
          <w:tcPr>
            <w:tcW w:w="1000" w:type="pct"/>
          </w:tcPr>
          <w:p w:rsidR="00D875A3" w:rsidRPr="00427237" w:rsidRDefault="00D875A3" w:rsidP="009B6D52">
            <w:pPr>
              <w:pStyle w:val="TableText"/>
              <w:tabs>
                <w:tab w:val="left" w:pos="2835"/>
              </w:tabs>
              <w:spacing w:before="40"/>
              <w:rPr>
                <w:b/>
              </w:rPr>
            </w:pPr>
          </w:p>
        </w:tc>
        <w:tc>
          <w:tcPr>
            <w:tcW w:w="1000" w:type="pct"/>
          </w:tcPr>
          <w:p w:rsidR="00D875A3" w:rsidRPr="00427237" w:rsidRDefault="00D875A3" w:rsidP="00EA22A8">
            <w:pPr>
              <w:pStyle w:val="TableText"/>
              <w:tabs>
                <w:tab w:val="left" w:pos="2835"/>
              </w:tabs>
              <w:spacing w:before="40"/>
              <w:rPr>
                <w:b/>
              </w:rPr>
            </w:pPr>
          </w:p>
        </w:tc>
      </w:tr>
      <w:tr w:rsidR="00D875A3" w:rsidRPr="00427237" w:rsidTr="00FC799D">
        <w:tc>
          <w:tcPr>
            <w:tcW w:w="1000" w:type="pct"/>
          </w:tcPr>
          <w:p w:rsidR="00D875A3" w:rsidRPr="00427237" w:rsidRDefault="00D875A3" w:rsidP="00EA22A8">
            <w:pPr>
              <w:pStyle w:val="TableText"/>
              <w:tabs>
                <w:tab w:val="left" w:pos="2835"/>
              </w:tabs>
              <w:spacing w:before="40"/>
            </w:pPr>
            <w:r w:rsidRPr="00427237">
              <w:t>Morphine</w:t>
            </w:r>
          </w:p>
        </w:tc>
        <w:tc>
          <w:tcPr>
            <w:tcW w:w="1000" w:type="pct"/>
          </w:tcPr>
          <w:p w:rsidR="00D875A3" w:rsidRPr="00427237" w:rsidRDefault="00D875A3" w:rsidP="00EA22A8">
            <w:pPr>
              <w:pStyle w:val="TableText"/>
              <w:tabs>
                <w:tab w:val="left" w:pos="2835"/>
              </w:tabs>
              <w:spacing w:before="40"/>
            </w:pPr>
          </w:p>
        </w:tc>
        <w:tc>
          <w:tcPr>
            <w:tcW w:w="1000" w:type="pct"/>
          </w:tcPr>
          <w:p w:rsidR="00D875A3" w:rsidRPr="00427237" w:rsidRDefault="00D875A3" w:rsidP="00EA22A8">
            <w:pPr>
              <w:pStyle w:val="TableText"/>
              <w:tabs>
                <w:tab w:val="left" w:pos="2835"/>
              </w:tabs>
              <w:spacing w:before="40"/>
            </w:pPr>
          </w:p>
        </w:tc>
        <w:tc>
          <w:tcPr>
            <w:tcW w:w="1000" w:type="pct"/>
          </w:tcPr>
          <w:p w:rsidR="00D875A3" w:rsidRPr="00427237" w:rsidRDefault="003A278F" w:rsidP="009B6D52">
            <w:pPr>
              <w:pStyle w:val="TableText"/>
              <w:tabs>
                <w:tab w:val="left" w:pos="2835"/>
              </w:tabs>
              <w:spacing w:before="40"/>
            </w:pPr>
            <w:r w:rsidRPr="00427237">
              <w:t>$14 to $164</w:t>
            </w:r>
          </w:p>
        </w:tc>
        <w:tc>
          <w:tcPr>
            <w:tcW w:w="1000" w:type="pct"/>
          </w:tcPr>
          <w:p w:rsidR="00D875A3" w:rsidRPr="00427237" w:rsidRDefault="008A2395" w:rsidP="00EA22A8">
            <w:pPr>
              <w:pStyle w:val="TableText"/>
              <w:tabs>
                <w:tab w:val="left" w:pos="2835"/>
              </w:tabs>
              <w:spacing w:before="40"/>
            </w:pPr>
            <w:r w:rsidRPr="00427237">
              <w:t>PBS various</w:t>
            </w:r>
          </w:p>
        </w:tc>
      </w:tr>
      <w:tr w:rsidR="00D875A3" w:rsidRPr="00427237" w:rsidTr="00FC799D">
        <w:tc>
          <w:tcPr>
            <w:tcW w:w="1000" w:type="pct"/>
          </w:tcPr>
          <w:p w:rsidR="00D875A3" w:rsidRPr="00427237" w:rsidRDefault="00D875A3" w:rsidP="00EA22A8">
            <w:pPr>
              <w:pStyle w:val="TableText"/>
              <w:tabs>
                <w:tab w:val="left" w:pos="2835"/>
              </w:tabs>
              <w:spacing w:before="40"/>
            </w:pPr>
            <w:r w:rsidRPr="00427237">
              <w:t>Prednisone</w:t>
            </w:r>
          </w:p>
        </w:tc>
        <w:tc>
          <w:tcPr>
            <w:tcW w:w="1000" w:type="pct"/>
          </w:tcPr>
          <w:p w:rsidR="00D875A3" w:rsidRPr="00427237" w:rsidRDefault="00D875A3" w:rsidP="00EA22A8">
            <w:pPr>
              <w:pStyle w:val="TableText"/>
              <w:tabs>
                <w:tab w:val="left" w:pos="2835"/>
              </w:tabs>
              <w:spacing w:before="40"/>
              <w:rPr>
                <w:b/>
              </w:rPr>
            </w:pPr>
          </w:p>
        </w:tc>
        <w:tc>
          <w:tcPr>
            <w:tcW w:w="1000" w:type="pct"/>
          </w:tcPr>
          <w:p w:rsidR="00D875A3" w:rsidRPr="00427237" w:rsidRDefault="00D875A3" w:rsidP="00EA22A8">
            <w:pPr>
              <w:pStyle w:val="TableText"/>
              <w:tabs>
                <w:tab w:val="left" w:pos="2835"/>
              </w:tabs>
              <w:spacing w:before="40"/>
              <w:rPr>
                <w:b/>
              </w:rPr>
            </w:pPr>
          </w:p>
        </w:tc>
        <w:tc>
          <w:tcPr>
            <w:tcW w:w="1000" w:type="pct"/>
          </w:tcPr>
          <w:p w:rsidR="00D875A3" w:rsidRPr="00427237" w:rsidRDefault="008A2395" w:rsidP="009B6D52">
            <w:pPr>
              <w:pStyle w:val="TableText"/>
              <w:tabs>
                <w:tab w:val="left" w:pos="2835"/>
              </w:tabs>
              <w:spacing w:before="40"/>
            </w:pPr>
            <w:r w:rsidRPr="00427237">
              <w:t>$10 to $13</w:t>
            </w:r>
          </w:p>
        </w:tc>
        <w:tc>
          <w:tcPr>
            <w:tcW w:w="1000" w:type="pct"/>
          </w:tcPr>
          <w:p w:rsidR="00D875A3" w:rsidRPr="00427237" w:rsidRDefault="008A2395" w:rsidP="00EA22A8">
            <w:pPr>
              <w:pStyle w:val="TableText"/>
              <w:tabs>
                <w:tab w:val="left" w:pos="2835"/>
              </w:tabs>
              <w:spacing w:before="40"/>
            </w:pPr>
            <w:r w:rsidRPr="00427237">
              <w:t>PBS various</w:t>
            </w:r>
          </w:p>
        </w:tc>
      </w:tr>
      <w:tr w:rsidR="00D875A3" w:rsidRPr="00427237" w:rsidTr="00FC799D">
        <w:tc>
          <w:tcPr>
            <w:tcW w:w="1000" w:type="pct"/>
          </w:tcPr>
          <w:p w:rsidR="00D875A3" w:rsidRPr="00427237" w:rsidRDefault="00D875A3" w:rsidP="00EA22A8">
            <w:pPr>
              <w:pStyle w:val="TableText"/>
              <w:tabs>
                <w:tab w:val="left" w:pos="2835"/>
              </w:tabs>
              <w:spacing w:before="40"/>
            </w:pPr>
            <w:r w:rsidRPr="00427237">
              <w:t>Specialist consultation</w:t>
            </w:r>
          </w:p>
        </w:tc>
        <w:tc>
          <w:tcPr>
            <w:tcW w:w="1000" w:type="pct"/>
          </w:tcPr>
          <w:p w:rsidR="00D875A3" w:rsidRPr="00427237" w:rsidRDefault="00B602D4" w:rsidP="00EA22A8">
            <w:pPr>
              <w:pStyle w:val="TableText"/>
              <w:tabs>
                <w:tab w:val="left" w:pos="2835"/>
              </w:tabs>
              <w:spacing w:before="40"/>
              <w:rPr>
                <w:b/>
              </w:rPr>
            </w:pPr>
            <w:r w:rsidRPr="00427237">
              <w:t>Specialist</w:t>
            </w:r>
          </w:p>
        </w:tc>
        <w:tc>
          <w:tcPr>
            <w:tcW w:w="1000" w:type="pct"/>
          </w:tcPr>
          <w:p w:rsidR="00D875A3" w:rsidRPr="00427237" w:rsidRDefault="00D875A3" w:rsidP="00EA22A8">
            <w:pPr>
              <w:pStyle w:val="TableText"/>
              <w:tabs>
                <w:tab w:val="left" w:pos="2835"/>
              </w:tabs>
              <w:spacing w:before="40"/>
              <w:rPr>
                <w:b/>
              </w:rPr>
            </w:pPr>
          </w:p>
        </w:tc>
        <w:tc>
          <w:tcPr>
            <w:tcW w:w="1000" w:type="pct"/>
          </w:tcPr>
          <w:p w:rsidR="00D875A3" w:rsidRPr="00427237" w:rsidRDefault="00D875A3" w:rsidP="009B6D52">
            <w:pPr>
              <w:pStyle w:val="TableText"/>
              <w:tabs>
                <w:tab w:val="left" w:pos="2835"/>
              </w:tabs>
              <w:spacing w:before="40"/>
              <w:rPr>
                <w:b/>
              </w:rPr>
            </w:pPr>
          </w:p>
        </w:tc>
        <w:tc>
          <w:tcPr>
            <w:tcW w:w="1000" w:type="pct"/>
          </w:tcPr>
          <w:p w:rsidR="00D875A3" w:rsidRPr="00427237" w:rsidRDefault="00D875A3" w:rsidP="00EA22A8">
            <w:pPr>
              <w:pStyle w:val="TableText"/>
              <w:tabs>
                <w:tab w:val="left" w:pos="2835"/>
              </w:tabs>
              <w:spacing w:before="40"/>
              <w:rPr>
                <w:b/>
              </w:rPr>
            </w:pPr>
          </w:p>
        </w:tc>
      </w:tr>
      <w:tr w:rsidR="009D64F6" w:rsidRPr="00427237" w:rsidTr="00FC799D">
        <w:tc>
          <w:tcPr>
            <w:tcW w:w="1000" w:type="pct"/>
          </w:tcPr>
          <w:p w:rsidR="009D64F6" w:rsidRPr="00427237" w:rsidRDefault="009D64F6" w:rsidP="00EA22A8">
            <w:pPr>
              <w:pStyle w:val="TableText"/>
              <w:tabs>
                <w:tab w:val="left" w:pos="2835"/>
              </w:tabs>
              <w:spacing w:before="40"/>
              <w:rPr>
                <w:b/>
              </w:rPr>
            </w:pPr>
          </w:p>
        </w:tc>
        <w:tc>
          <w:tcPr>
            <w:tcW w:w="1000" w:type="pct"/>
          </w:tcPr>
          <w:p w:rsidR="009D64F6" w:rsidRPr="00427237" w:rsidRDefault="009D64F6" w:rsidP="00EA22A8">
            <w:pPr>
              <w:pStyle w:val="TableText"/>
              <w:tabs>
                <w:tab w:val="left" w:pos="2835"/>
              </w:tabs>
              <w:spacing w:before="40"/>
              <w:rPr>
                <w:b/>
              </w:rPr>
            </w:pPr>
          </w:p>
        </w:tc>
        <w:tc>
          <w:tcPr>
            <w:tcW w:w="1000" w:type="pct"/>
          </w:tcPr>
          <w:p w:rsidR="009D64F6" w:rsidRPr="00427237" w:rsidRDefault="009D64F6" w:rsidP="00EA22A8">
            <w:pPr>
              <w:pStyle w:val="TableText"/>
              <w:tabs>
                <w:tab w:val="left" w:pos="2835"/>
              </w:tabs>
              <w:spacing w:before="40"/>
              <w:rPr>
                <w:b/>
              </w:rPr>
            </w:pPr>
          </w:p>
        </w:tc>
        <w:tc>
          <w:tcPr>
            <w:tcW w:w="1000" w:type="pct"/>
          </w:tcPr>
          <w:p w:rsidR="009D64F6" w:rsidRPr="00427237" w:rsidRDefault="009D64F6" w:rsidP="009B6D52">
            <w:pPr>
              <w:pStyle w:val="TableText"/>
              <w:tabs>
                <w:tab w:val="left" w:pos="2835"/>
              </w:tabs>
              <w:spacing w:before="40"/>
              <w:rPr>
                <w:b/>
              </w:rPr>
            </w:pPr>
          </w:p>
        </w:tc>
        <w:tc>
          <w:tcPr>
            <w:tcW w:w="1000" w:type="pct"/>
          </w:tcPr>
          <w:p w:rsidR="009D64F6" w:rsidRPr="00427237" w:rsidRDefault="009D64F6" w:rsidP="00EA22A8">
            <w:pPr>
              <w:pStyle w:val="TableText"/>
              <w:tabs>
                <w:tab w:val="left" w:pos="2835"/>
              </w:tabs>
              <w:spacing w:before="40"/>
              <w:rPr>
                <w:b/>
              </w:rPr>
            </w:pPr>
          </w:p>
        </w:tc>
      </w:tr>
      <w:tr w:rsidR="00D875A3" w:rsidRPr="00427237" w:rsidTr="00FC799D">
        <w:tc>
          <w:tcPr>
            <w:tcW w:w="1000" w:type="pct"/>
          </w:tcPr>
          <w:p w:rsidR="00D875A3" w:rsidRPr="00427237" w:rsidRDefault="00D875A3" w:rsidP="00EA22A8">
            <w:pPr>
              <w:pStyle w:val="TableText"/>
              <w:tabs>
                <w:tab w:val="left" w:pos="2835"/>
              </w:tabs>
              <w:spacing w:before="40"/>
              <w:rPr>
                <w:b/>
              </w:rPr>
            </w:pPr>
            <w:r w:rsidRPr="00427237">
              <w:rPr>
                <w:b/>
              </w:rPr>
              <w:t>Palliative radiotherapy</w:t>
            </w:r>
          </w:p>
        </w:tc>
        <w:tc>
          <w:tcPr>
            <w:tcW w:w="1000" w:type="pct"/>
          </w:tcPr>
          <w:p w:rsidR="00D875A3" w:rsidRPr="00427237" w:rsidRDefault="00D875A3" w:rsidP="00EA22A8">
            <w:pPr>
              <w:pStyle w:val="TableText"/>
              <w:tabs>
                <w:tab w:val="left" w:pos="2835"/>
              </w:tabs>
              <w:spacing w:before="40"/>
              <w:rPr>
                <w:b/>
              </w:rPr>
            </w:pPr>
          </w:p>
        </w:tc>
        <w:tc>
          <w:tcPr>
            <w:tcW w:w="1000" w:type="pct"/>
          </w:tcPr>
          <w:p w:rsidR="00D875A3" w:rsidRPr="00427237" w:rsidRDefault="00D875A3" w:rsidP="00EA22A8">
            <w:pPr>
              <w:pStyle w:val="TableText"/>
              <w:tabs>
                <w:tab w:val="left" w:pos="2835"/>
              </w:tabs>
              <w:spacing w:before="40"/>
              <w:rPr>
                <w:b/>
              </w:rPr>
            </w:pPr>
          </w:p>
        </w:tc>
        <w:tc>
          <w:tcPr>
            <w:tcW w:w="1000" w:type="pct"/>
          </w:tcPr>
          <w:p w:rsidR="00D875A3" w:rsidRPr="00427237" w:rsidRDefault="00D875A3" w:rsidP="009B6D52">
            <w:pPr>
              <w:pStyle w:val="TableText"/>
              <w:tabs>
                <w:tab w:val="left" w:pos="2835"/>
              </w:tabs>
              <w:spacing w:before="40"/>
              <w:rPr>
                <w:b/>
              </w:rPr>
            </w:pPr>
          </w:p>
        </w:tc>
        <w:tc>
          <w:tcPr>
            <w:tcW w:w="1000" w:type="pct"/>
          </w:tcPr>
          <w:p w:rsidR="00D875A3" w:rsidRPr="00427237" w:rsidRDefault="00D875A3" w:rsidP="00EA22A8">
            <w:pPr>
              <w:pStyle w:val="TableText"/>
              <w:tabs>
                <w:tab w:val="left" w:pos="2835"/>
              </w:tabs>
              <w:spacing w:before="40"/>
              <w:rPr>
                <w:b/>
              </w:rPr>
            </w:pPr>
          </w:p>
        </w:tc>
      </w:tr>
      <w:tr w:rsidR="00B602D4" w:rsidRPr="00427237" w:rsidTr="00FC799D">
        <w:tc>
          <w:tcPr>
            <w:tcW w:w="1000" w:type="pct"/>
          </w:tcPr>
          <w:p w:rsidR="00B602D4" w:rsidRPr="00427237" w:rsidRDefault="00B602D4" w:rsidP="00EA22A8">
            <w:pPr>
              <w:pStyle w:val="TableText"/>
              <w:tabs>
                <w:tab w:val="left" w:pos="2835"/>
              </w:tabs>
              <w:spacing w:before="40"/>
            </w:pPr>
            <w:r w:rsidRPr="00427237">
              <w:t xml:space="preserve">Radiotherapy (x </w:t>
            </w:r>
            <w:proofErr w:type="spellStart"/>
            <w:r w:rsidRPr="00427237">
              <w:t>Gy</w:t>
            </w:r>
            <w:proofErr w:type="spellEnd"/>
            <w:r w:rsidRPr="00427237">
              <w:t>?)</w:t>
            </w:r>
          </w:p>
        </w:tc>
        <w:tc>
          <w:tcPr>
            <w:tcW w:w="1000" w:type="pct"/>
          </w:tcPr>
          <w:p w:rsidR="00B602D4" w:rsidRPr="00427237" w:rsidRDefault="00B602D4" w:rsidP="00EA22A8">
            <w:pPr>
              <w:pStyle w:val="TableText"/>
              <w:tabs>
                <w:tab w:val="left" w:pos="2835"/>
              </w:tabs>
              <w:spacing w:before="40"/>
              <w:rPr>
                <w:b/>
              </w:rPr>
            </w:pPr>
            <w:r w:rsidRPr="00427237">
              <w:t>Specialist</w:t>
            </w:r>
          </w:p>
        </w:tc>
        <w:tc>
          <w:tcPr>
            <w:tcW w:w="1000" w:type="pct"/>
          </w:tcPr>
          <w:p w:rsidR="00B602D4" w:rsidRPr="00427237" w:rsidRDefault="00E64C91" w:rsidP="00EA22A8">
            <w:pPr>
              <w:pStyle w:val="TableText"/>
              <w:tabs>
                <w:tab w:val="left" w:pos="2835"/>
              </w:tabs>
              <w:spacing w:before="40"/>
            </w:pPr>
            <w:r w:rsidRPr="00427237">
              <w:t>Outpatient</w:t>
            </w:r>
          </w:p>
        </w:tc>
        <w:tc>
          <w:tcPr>
            <w:tcW w:w="1000" w:type="pct"/>
          </w:tcPr>
          <w:p w:rsidR="00B602D4" w:rsidRPr="00427237" w:rsidRDefault="008C7257" w:rsidP="009B6D52">
            <w:pPr>
              <w:pStyle w:val="TableText"/>
              <w:tabs>
                <w:tab w:val="left" w:pos="2835"/>
              </w:tabs>
              <w:spacing w:before="40"/>
            </w:pPr>
            <w:r w:rsidRPr="00427237">
              <w:t>Variable</w:t>
            </w:r>
          </w:p>
        </w:tc>
        <w:tc>
          <w:tcPr>
            <w:tcW w:w="1000" w:type="pct"/>
          </w:tcPr>
          <w:p w:rsidR="00B602D4" w:rsidRPr="00427237" w:rsidRDefault="008C7257" w:rsidP="00EA22A8">
            <w:pPr>
              <w:pStyle w:val="TableText"/>
              <w:tabs>
                <w:tab w:val="left" w:pos="2835"/>
              </w:tabs>
              <w:spacing w:before="40"/>
            </w:pPr>
            <w:r w:rsidRPr="00427237">
              <w:t>Various</w:t>
            </w:r>
          </w:p>
        </w:tc>
      </w:tr>
      <w:tr w:rsidR="008C7257" w:rsidRPr="00427237" w:rsidTr="00FC799D">
        <w:tc>
          <w:tcPr>
            <w:tcW w:w="1000" w:type="pct"/>
          </w:tcPr>
          <w:p w:rsidR="008C7257" w:rsidRPr="00427237" w:rsidRDefault="008C7257" w:rsidP="00EA22A8">
            <w:pPr>
              <w:pStyle w:val="TableText"/>
              <w:tabs>
                <w:tab w:val="left" w:pos="2835"/>
              </w:tabs>
              <w:spacing w:before="40"/>
            </w:pPr>
            <w:proofErr w:type="spellStart"/>
            <w:r w:rsidRPr="00427237">
              <w:t>Dosimetry</w:t>
            </w:r>
            <w:proofErr w:type="spellEnd"/>
            <w:r w:rsidRPr="00427237">
              <w:t xml:space="preserve"> for 3D conformal radiotherapy</w:t>
            </w:r>
          </w:p>
        </w:tc>
        <w:tc>
          <w:tcPr>
            <w:tcW w:w="1000" w:type="pct"/>
          </w:tcPr>
          <w:p w:rsidR="008C7257" w:rsidRPr="00427237" w:rsidRDefault="008C7257" w:rsidP="00EA22A8">
            <w:pPr>
              <w:pStyle w:val="TableText"/>
              <w:tabs>
                <w:tab w:val="left" w:pos="2835"/>
              </w:tabs>
              <w:spacing w:before="40"/>
              <w:rPr>
                <w:b/>
              </w:rPr>
            </w:pPr>
            <w:r w:rsidRPr="00427237">
              <w:t>Specialist</w:t>
            </w:r>
          </w:p>
        </w:tc>
        <w:tc>
          <w:tcPr>
            <w:tcW w:w="1000" w:type="pct"/>
          </w:tcPr>
          <w:p w:rsidR="008C7257" w:rsidRPr="00427237" w:rsidRDefault="008C7257" w:rsidP="00EA22A8">
            <w:pPr>
              <w:pStyle w:val="TableText"/>
              <w:tabs>
                <w:tab w:val="left" w:pos="2835"/>
              </w:tabs>
              <w:spacing w:before="40"/>
            </w:pPr>
            <w:r w:rsidRPr="00427237">
              <w:t>Outpatient</w:t>
            </w:r>
          </w:p>
        </w:tc>
        <w:tc>
          <w:tcPr>
            <w:tcW w:w="1000" w:type="pct"/>
          </w:tcPr>
          <w:p w:rsidR="008C7257" w:rsidRPr="00427237" w:rsidRDefault="008C7257" w:rsidP="009B6D52">
            <w:pPr>
              <w:pStyle w:val="TableText"/>
              <w:tabs>
                <w:tab w:val="left" w:pos="2835"/>
              </w:tabs>
              <w:spacing w:before="40"/>
              <w:rPr>
                <w:b/>
              </w:rPr>
            </w:pPr>
            <w:r w:rsidRPr="00427237">
              <w:t>$1,099.85</w:t>
            </w:r>
          </w:p>
        </w:tc>
        <w:tc>
          <w:tcPr>
            <w:tcW w:w="1000" w:type="pct"/>
          </w:tcPr>
          <w:p w:rsidR="008C7257" w:rsidRPr="00427237" w:rsidRDefault="008C7257" w:rsidP="00EA22A8">
            <w:pPr>
              <w:pStyle w:val="TableText"/>
              <w:tabs>
                <w:tab w:val="left" w:pos="2835"/>
              </w:tabs>
              <w:spacing w:before="40"/>
              <w:rPr>
                <w:b/>
              </w:rPr>
            </w:pPr>
            <w:r w:rsidRPr="00427237">
              <w:t>MBS 15562</w:t>
            </w:r>
          </w:p>
        </w:tc>
      </w:tr>
      <w:tr w:rsidR="008C7257" w:rsidRPr="00427237" w:rsidTr="00FC799D">
        <w:tc>
          <w:tcPr>
            <w:tcW w:w="1000" w:type="pct"/>
          </w:tcPr>
          <w:p w:rsidR="008C7257" w:rsidRPr="00427237" w:rsidRDefault="008C7257" w:rsidP="00EA22A8">
            <w:pPr>
              <w:pStyle w:val="TableText"/>
              <w:tabs>
                <w:tab w:val="left" w:pos="2835"/>
              </w:tabs>
              <w:spacing w:before="40"/>
            </w:pPr>
            <w:r w:rsidRPr="00427237">
              <w:t>Simulation for 3D conformal radiotherapy</w:t>
            </w:r>
          </w:p>
        </w:tc>
        <w:tc>
          <w:tcPr>
            <w:tcW w:w="1000" w:type="pct"/>
          </w:tcPr>
          <w:p w:rsidR="008C7257" w:rsidRPr="00427237" w:rsidRDefault="008C7257" w:rsidP="00EA22A8">
            <w:pPr>
              <w:pStyle w:val="TableText"/>
              <w:tabs>
                <w:tab w:val="left" w:pos="2835"/>
              </w:tabs>
              <w:spacing w:before="40"/>
              <w:rPr>
                <w:b/>
              </w:rPr>
            </w:pPr>
            <w:r w:rsidRPr="00427237">
              <w:t>Specialist</w:t>
            </w:r>
          </w:p>
        </w:tc>
        <w:tc>
          <w:tcPr>
            <w:tcW w:w="1000" w:type="pct"/>
          </w:tcPr>
          <w:p w:rsidR="008C7257" w:rsidRPr="00427237" w:rsidRDefault="008C7257" w:rsidP="00EA22A8">
            <w:pPr>
              <w:pStyle w:val="TableText"/>
              <w:tabs>
                <w:tab w:val="left" w:pos="2835"/>
              </w:tabs>
              <w:spacing w:before="40"/>
            </w:pPr>
            <w:r w:rsidRPr="00427237">
              <w:t>Outpatient</w:t>
            </w:r>
          </w:p>
        </w:tc>
        <w:tc>
          <w:tcPr>
            <w:tcW w:w="1000" w:type="pct"/>
          </w:tcPr>
          <w:p w:rsidR="008C7257" w:rsidRPr="00427237" w:rsidRDefault="008C7257" w:rsidP="009B6D52">
            <w:pPr>
              <w:pStyle w:val="TableText"/>
              <w:tabs>
                <w:tab w:val="left" w:pos="2835"/>
              </w:tabs>
              <w:spacing w:before="40"/>
              <w:rPr>
                <w:b/>
              </w:rPr>
            </w:pPr>
            <w:r w:rsidRPr="00427237">
              <w:t>$646.30</w:t>
            </w:r>
          </w:p>
        </w:tc>
        <w:tc>
          <w:tcPr>
            <w:tcW w:w="1000" w:type="pct"/>
          </w:tcPr>
          <w:p w:rsidR="008C7257" w:rsidRPr="00427237" w:rsidRDefault="008C7257" w:rsidP="00EA22A8">
            <w:pPr>
              <w:pStyle w:val="TableText"/>
              <w:tabs>
                <w:tab w:val="left" w:pos="2835"/>
              </w:tabs>
              <w:spacing w:before="40"/>
              <w:rPr>
                <w:b/>
              </w:rPr>
            </w:pPr>
            <w:r w:rsidRPr="00427237">
              <w:t>MBS 15550</w:t>
            </w:r>
          </w:p>
        </w:tc>
      </w:tr>
      <w:tr w:rsidR="00532E6B" w:rsidRPr="00427237" w:rsidTr="00FC799D">
        <w:tc>
          <w:tcPr>
            <w:tcW w:w="1000" w:type="pct"/>
          </w:tcPr>
          <w:p w:rsidR="00532E6B" w:rsidRPr="00427237" w:rsidRDefault="00532E6B" w:rsidP="00EA22A8">
            <w:pPr>
              <w:pStyle w:val="TableText"/>
              <w:tabs>
                <w:tab w:val="left" w:pos="2835"/>
              </w:tabs>
              <w:spacing w:before="40"/>
            </w:pPr>
            <w:r w:rsidRPr="00427237">
              <w:t>Radiation oncology treatment (1 field)</w:t>
            </w:r>
          </w:p>
        </w:tc>
        <w:tc>
          <w:tcPr>
            <w:tcW w:w="1000" w:type="pct"/>
          </w:tcPr>
          <w:p w:rsidR="00532E6B" w:rsidRPr="00427237" w:rsidRDefault="00532E6B" w:rsidP="00EA22A8">
            <w:pPr>
              <w:pStyle w:val="TableText"/>
              <w:tabs>
                <w:tab w:val="left" w:pos="2835"/>
              </w:tabs>
              <w:spacing w:before="40"/>
              <w:rPr>
                <w:b/>
              </w:rPr>
            </w:pPr>
            <w:r w:rsidRPr="00427237">
              <w:t>Specialist</w:t>
            </w:r>
          </w:p>
        </w:tc>
        <w:tc>
          <w:tcPr>
            <w:tcW w:w="1000" w:type="pct"/>
          </w:tcPr>
          <w:p w:rsidR="00532E6B" w:rsidRPr="00427237" w:rsidRDefault="00532E6B" w:rsidP="00EA22A8">
            <w:pPr>
              <w:pStyle w:val="TableText"/>
              <w:tabs>
                <w:tab w:val="left" w:pos="2835"/>
              </w:tabs>
              <w:spacing w:before="40"/>
              <w:rPr>
                <w:b/>
              </w:rPr>
            </w:pPr>
            <w:r w:rsidRPr="00427237">
              <w:t>Outpatient</w:t>
            </w:r>
          </w:p>
        </w:tc>
        <w:tc>
          <w:tcPr>
            <w:tcW w:w="1000" w:type="pct"/>
          </w:tcPr>
          <w:p w:rsidR="00532E6B" w:rsidRPr="00427237" w:rsidRDefault="00532E6B" w:rsidP="009B6D52">
            <w:pPr>
              <w:pStyle w:val="TableText"/>
              <w:tabs>
                <w:tab w:val="left" w:pos="2835"/>
              </w:tabs>
              <w:spacing w:before="40"/>
              <w:rPr>
                <w:b/>
              </w:rPr>
            </w:pPr>
          </w:p>
        </w:tc>
        <w:tc>
          <w:tcPr>
            <w:tcW w:w="1000" w:type="pct"/>
          </w:tcPr>
          <w:p w:rsidR="00532E6B" w:rsidRPr="00427237" w:rsidRDefault="00532E6B" w:rsidP="00EA22A8">
            <w:pPr>
              <w:pStyle w:val="TableText"/>
              <w:tabs>
                <w:tab w:val="left" w:pos="2835"/>
              </w:tabs>
              <w:spacing w:before="40"/>
              <w:rPr>
                <w:b/>
              </w:rPr>
            </w:pPr>
          </w:p>
        </w:tc>
      </w:tr>
      <w:tr w:rsidR="00532E6B" w:rsidRPr="00427237" w:rsidTr="00FC799D">
        <w:tc>
          <w:tcPr>
            <w:tcW w:w="1000" w:type="pct"/>
          </w:tcPr>
          <w:p w:rsidR="00532E6B" w:rsidRPr="00427237" w:rsidRDefault="00532E6B" w:rsidP="00EA22A8">
            <w:pPr>
              <w:pStyle w:val="TableText"/>
              <w:tabs>
                <w:tab w:val="left" w:pos="2835"/>
              </w:tabs>
              <w:spacing w:before="40"/>
            </w:pPr>
            <w:r w:rsidRPr="00427237">
              <w:t>Radiation oncology treatment (more fields?)</w:t>
            </w:r>
          </w:p>
        </w:tc>
        <w:tc>
          <w:tcPr>
            <w:tcW w:w="1000" w:type="pct"/>
          </w:tcPr>
          <w:p w:rsidR="00532E6B" w:rsidRPr="00427237" w:rsidRDefault="00532E6B" w:rsidP="00EA22A8">
            <w:pPr>
              <w:pStyle w:val="TableText"/>
              <w:tabs>
                <w:tab w:val="left" w:pos="2835"/>
              </w:tabs>
              <w:spacing w:before="40"/>
              <w:rPr>
                <w:b/>
              </w:rPr>
            </w:pPr>
            <w:r w:rsidRPr="00427237">
              <w:t>Specialist</w:t>
            </w:r>
          </w:p>
        </w:tc>
        <w:tc>
          <w:tcPr>
            <w:tcW w:w="1000" w:type="pct"/>
          </w:tcPr>
          <w:p w:rsidR="00532E6B" w:rsidRPr="00427237" w:rsidRDefault="00532E6B" w:rsidP="00EA22A8">
            <w:pPr>
              <w:pStyle w:val="TableText"/>
              <w:tabs>
                <w:tab w:val="left" w:pos="2835"/>
              </w:tabs>
              <w:spacing w:before="40"/>
              <w:rPr>
                <w:b/>
              </w:rPr>
            </w:pPr>
            <w:r w:rsidRPr="00427237">
              <w:t>Outpatient</w:t>
            </w:r>
          </w:p>
        </w:tc>
        <w:tc>
          <w:tcPr>
            <w:tcW w:w="1000" w:type="pct"/>
          </w:tcPr>
          <w:p w:rsidR="00532E6B" w:rsidRPr="00427237" w:rsidRDefault="00532E6B" w:rsidP="009B6D52">
            <w:pPr>
              <w:pStyle w:val="TableText"/>
              <w:tabs>
                <w:tab w:val="left" w:pos="2835"/>
              </w:tabs>
              <w:spacing w:before="40"/>
              <w:rPr>
                <w:b/>
              </w:rPr>
            </w:pPr>
          </w:p>
        </w:tc>
        <w:tc>
          <w:tcPr>
            <w:tcW w:w="1000" w:type="pct"/>
          </w:tcPr>
          <w:p w:rsidR="00532E6B" w:rsidRPr="00427237" w:rsidRDefault="00532E6B" w:rsidP="00EA22A8">
            <w:pPr>
              <w:pStyle w:val="TableText"/>
              <w:tabs>
                <w:tab w:val="left" w:pos="2835"/>
              </w:tabs>
              <w:spacing w:before="40"/>
              <w:rPr>
                <w:b/>
              </w:rPr>
            </w:pPr>
          </w:p>
        </w:tc>
      </w:tr>
      <w:tr w:rsidR="00532E6B" w:rsidRPr="00427237" w:rsidTr="00FC799D">
        <w:tc>
          <w:tcPr>
            <w:tcW w:w="1000" w:type="pct"/>
          </w:tcPr>
          <w:p w:rsidR="00532E6B" w:rsidRPr="00427237" w:rsidRDefault="00532E6B" w:rsidP="00EA22A8">
            <w:pPr>
              <w:pStyle w:val="TableText"/>
              <w:tabs>
                <w:tab w:val="left" w:pos="2835"/>
              </w:tabs>
              <w:spacing w:before="40"/>
            </w:pPr>
            <w:r w:rsidRPr="00427237">
              <w:t>Treatment verification</w:t>
            </w:r>
          </w:p>
        </w:tc>
        <w:tc>
          <w:tcPr>
            <w:tcW w:w="1000" w:type="pct"/>
          </w:tcPr>
          <w:p w:rsidR="00532E6B" w:rsidRPr="00427237" w:rsidRDefault="00532E6B" w:rsidP="00EA22A8">
            <w:pPr>
              <w:pStyle w:val="TableText"/>
              <w:tabs>
                <w:tab w:val="left" w:pos="2835"/>
              </w:tabs>
              <w:spacing w:before="40"/>
              <w:rPr>
                <w:b/>
              </w:rPr>
            </w:pPr>
            <w:r w:rsidRPr="00427237">
              <w:t>Specialist</w:t>
            </w:r>
          </w:p>
        </w:tc>
        <w:tc>
          <w:tcPr>
            <w:tcW w:w="1000" w:type="pct"/>
          </w:tcPr>
          <w:p w:rsidR="00532E6B" w:rsidRPr="00427237" w:rsidRDefault="00532E6B" w:rsidP="00EA22A8">
            <w:pPr>
              <w:pStyle w:val="TableText"/>
              <w:tabs>
                <w:tab w:val="left" w:pos="2835"/>
              </w:tabs>
              <w:spacing w:before="40"/>
              <w:rPr>
                <w:b/>
              </w:rPr>
            </w:pPr>
            <w:r w:rsidRPr="00427237">
              <w:t>Outpatient</w:t>
            </w:r>
          </w:p>
        </w:tc>
        <w:tc>
          <w:tcPr>
            <w:tcW w:w="1000" w:type="pct"/>
          </w:tcPr>
          <w:p w:rsidR="00532E6B" w:rsidRPr="00427237" w:rsidRDefault="00532E6B" w:rsidP="009B6D52">
            <w:pPr>
              <w:pStyle w:val="TableText"/>
              <w:tabs>
                <w:tab w:val="left" w:pos="2835"/>
              </w:tabs>
              <w:spacing w:before="40"/>
              <w:rPr>
                <w:b/>
              </w:rPr>
            </w:pPr>
          </w:p>
        </w:tc>
        <w:tc>
          <w:tcPr>
            <w:tcW w:w="1000" w:type="pct"/>
          </w:tcPr>
          <w:p w:rsidR="00532E6B" w:rsidRPr="00427237" w:rsidRDefault="00532E6B" w:rsidP="00EA22A8">
            <w:pPr>
              <w:pStyle w:val="TableText"/>
              <w:tabs>
                <w:tab w:val="left" w:pos="2835"/>
              </w:tabs>
              <w:spacing w:before="40"/>
              <w:rPr>
                <w:b/>
              </w:rPr>
            </w:pPr>
          </w:p>
        </w:tc>
      </w:tr>
      <w:tr w:rsidR="00532E6B" w:rsidRPr="00427237" w:rsidTr="00FC799D">
        <w:tc>
          <w:tcPr>
            <w:tcW w:w="1000" w:type="pct"/>
          </w:tcPr>
          <w:p w:rsidR="00532E6B" w:rsidRPr="00427237" w:rsidRDefault="00532E6B" w:rsidP="00EA22A8">
            <w:pPr>
              <w:pStyle w:val="TableText"/>
              <w:tabs>
                <w:tab w:val="left" w:pos="2835"/>
              </w:tabs>
              <w:spacing w:before="40"/>
            </w:pPr>
            <w:r w:rsidRPr="00427237">
              <w:t>Specialist consultation</w:t>
            </w:r>
          </w:p>
        </w:tc>
        <w:tc>
          <w:tcPr>
            <w:tcW w:w="1000" w:type="pct"/>
          </w:tcPr>
          <w:p w:rsidR="00532E6B" w:rsidRPr="00427237" w:rsidRDefault="00532E6B" w:rsidP="00EA22A8">
            <w:pPr>
              <w:pStyle w:val="TableText"/>
              <w:tabs>
                <w:tab w:val="left" w:pos="2835"/>
              </w:tabs>
              <w:spacing w:before="40"/>
              <w:rPr>
                <w:b/>
              </w:rPr>
            </w:pPr>
            <w:r w:rsidRPr="00427237">
              <w:t>Specialist</w:t>
            </w:r>
          </w:p>
        </w:tc>
        <w:tc>
          <w:tcPr>
            <w:tcW w:w="1000" w:type="pct"/>
          </w:tcPr>
          <w:p w:rsidR="00532E6B" w:rsidRPr="00427237" w:rsidRDefault="00532E6B" w:rsidP="00EA22A8">
            <w:pPr>
              <w:pStyle w:val="TableText"/>
              <w:tabs>
                <w:tab w:val="left" w:pos="2835"/>
              </w:tabs>
              <w:spacing w:before="40"/>
              <w:rPr>
                <w:b/>
              </w:rPr>
            </w:pPr>
          </w:p>
        </w:tc>
        <w:tc>
          <w:tcPr>
            <w:tcW w:w="1000" w:type="pct"/>
          </w:tcPr>
          <w:p w:rsidR="00532E6B" w:rsidRPr="00427237" w:rsidRDefault="00532E6B" w:rsidP="009B6D52">
            <w:pPr>
              <w:pStyle w:val="TableText"/>
              <w:tabs>
                <w:tab w:val="left" w:pos="2835"/>
              </w:tabs>
              <w:spacing w:before="40"/>
              <w:rPr>
                <w:b/>
              </w:rPr>
            </w:pPr>
          </w:p>
        </w:tc>
        <w:tc>
          <w:tcPr>
            <w:tcW w:w="1000" w:type="pct"/>
          </w:tcPr>
          <w:p w:rsidR="00532E6B" w:rsidRPr="00427237" w:rsidRDefault="00532E6B" w:rsidP="00EA22A8">
            <w:pPr>
              <w:pStyle w:val="TableText"/>
              <w:tabs>
                <w:tab w:val="left" w:pos="2835"/>
              </w:tabs>
              <w:spacing w:before="40"/>
              <w:rPr>
                <w:b/>
              </w:rPr>
            </w:pPr>
          </w:p>
        </w:tc>
      </w:tr>
      <w:tr w:rsidR="00532E6B" w:rsidRPr="00427237" w:rsidTr="00FC799D">
        <w:tc>
          <w:tcPr>
            <w:tcW w:w="1000" w:type="pct"/>
          </w:tcPr>
          <w:p w:rsidR="00532E6B" w:rsidRPr="00427237" w:rsidRDefault="00532E6B" w:rsidP="00EA22A8">
            <w:pPr>
              <w:pStyle w:val="TableText"/>
              <w:tabs>
                <w:tab w:val="left" w:pos="2835"/>
              </w:tabs>
              <w:spacing w:before="40"/>
              <w:rPr>
                <w:b/>
              </w:rPr>
            </w:pPr>
          </w:p>
        </w:tc>
        <w:tc>
          <w:tcPr>
            <w:tcW w:w="1000" w:type="pct"/>
          </w:tcPr>
          <w:p w:rsidR="00532E6B" w:rsidRPr="00427237" w:rsidRDefault="00532E6B" w:rsidP="00EA22A8">
            <w:pPr>
              <w:pStyle w:val="TableText"/>
              <w:tabs>
                <w:tab w:val="left" w:pos="2835"/>
              </w:tabs>
              <w:spacing w:before="40"/>
              <w:rPr>
                <w:b/>
              </w:rPr>
            </w:pPr>
          </w:p>
        </w:tc>
        <w:tc>
          <w:tcPr>
            <w:tcW w:w="1000" w:type="pct"/>
          </w:tcPr>
          <w:p w:rsidR="00532E6B" w:rsidRPr="00427237" w:rsidRDefault="00532E6B" w:rsidP="00EA22A8">
            <w:pPr>
              <w:pStyle w:val="TableText"/>
              <w:tabs>
                <w:tab w:val="left" w:pos="2835"/>
              </w:tabs>
              <w:spacing w:before="40"/>
              <w:rPr>
                <w:b/>
              </w:rPr>
            </w:pPr>
          </w:p>
        </w:tc>
        <w:tc>
          <w:tcPr>
            <w:tcW w:w="1000" w:type="pct"/>
          </w:tcPr>
          <w:p w:rsidR="00532E6B" w:rsidRPr="00427237" w:rsidRDefault="00532E6B" w:rsidP="009B6D52">
            <w:pPr>
              <w:pStyle w:val="TableText"/>
              <w:tabs>
                <w:tab w:val="left" w:pos="2835"/>
              </w:tabs>
              <w:spacing w:before="40"/>
              <w:rPr>
                <w:b/>
              </w:rPr>
            </w:pPr>
          </w:p>
        </w:tc>
        <w:tc>
          <w:tcPr>
            <w:tcW w:w="1000" w:type="pct"/>
          </w:tcPr>
          <w:p w:rsidR="00532E6B" w:rsidRPr="00427237" w:rsidRDefault="00532E6B" w:rsidP="00EA22A8">
            <w:pPr>
              <w:pStyle w:val="TableText"/>
              <w:tabs>
                <w:tab w:val="left" w:pos="2835"/>
              </w:tabs>
              <w:spacing w:before="40"/>
              <w:rPr>
                <w:b/>
              </w:rPr>
            </w:pPr>
          </w:p>
        </w:tc>
      </w:tr>
      <w:tr w:rsidR="00532E6B" w:rsidRPr="00427237" w:rsidTr="00FC799D">
        <w:tc>
          <w:tcPr>
            <w:tcW w:w="1000" w:type="pct"/>
          </w:tcPr>
          <w:p w:rsidR="00532E6B" w:rsidRPr="00427237" w:rsidRDefault="00532E6B" w:rsidP="00EA22A8">
            <w:pPr>
              <w:pStyle w:val="TableText"/>
              <w:tabs>
                <w:tab w:val="left" w:pos="2835"/>
              </w:tabs>
              <w:spacing w:before="40"/>
              <w:rPr>
                <w:b/>
              </w:rPr>
            </w:pPr>
            <w:r w:rsidRPr="00427237">
              <w:rPr>
                <w:b/>
              </w:rPr>
              <w:t>Palliative chemotherapy</w:t>
            </w:r>
          </w:p>
        </w:tc>
        <w:tc>
          <w:tcPr>
            <w:tcW w:w="1000" w:type="pct"/>
          </w:tcPr>
          <w:p w:rsidR="00532E6B" w:rsidRPr="00427237" w:rsidRDefault="00532E6B" w:rsidP="00EA22A8">
            <w:pPr>
              <w:pStyle w:val="TableText"/>
              <w:tabs>
                <w:tab w:val="left" w:pos="2835"/>
              </w:tabs>
              <w:spacing w:before="40"/>
              <w:rPr>
                <w:b/>
              </w:rPr>
            </w:pPr>
          </w:p>
        </w:tc>
        <w:tc>
          <w:tcPr>
            <w:tcW w:w="1000" w:type="pct"/>
          </w:tcPr>
          <w:p w:rsidR="00532E6B" w:rsidRPr="00427237" w:rsidRDefault="00532E6B" w:rsidP="00EA22A8">
            <w:pPr>
              <w:pStyle w:val="TableText"/>
              <w:tabs>
                <w:tab w:val="left" w:pos="2835"/>
              </w:tabs>
              <w:spacing w:before="40"/>
              <w:rPr>
                <w:b/>
              </w:rPr>
            </w:pPr>
          </w:p>
        </w:tc>
        <w:tc>
          <w:tcPr>
            <w:tcW w:w="1000" w:type="pct"/>
          </w:tcPr>
          <w:p w:rsidR="00532E6B" w:rsidRPr="00427237" w:rsidRDefault="00532E6B" w:rsidP="009B6D52">
            <w:pPr>
              <w:pStyle w:val="TableText"/>
              <w:tabs>
                <w:tab w:val="left" w:pos="2835"/>
              </w:tabs>
              <w:spacing w:before="40"/>
              <w:rPr>
                <w:b/>
              </w:rPr>
            </w:pPr>
          </w:p>
        </w:tc>
        <w:tc>
          <w:tcPr>
            <w:tcW w:w="1000" w:type="pct"/>
          </w:tcPr>
          <w:p w:rsidR="00532E6B" w:rsidRPr="00427237" w:rsidRDefault="00532E6B" w:rsidP="00EA22A8">
            <w:pPr>
              <w:pStyle w:val="TableText"/>
              <w:tabs>
                <w:tab w:val="left" w:pos="2835"/>
              </w:tabs>
              <w:spacing w:before="40"/>
              <w:rPr>
                <w:b/>
              </w:rPr>
            </w:pPr>
          </w:p>
        </w:tc>
      </w:tr>
      <w:tr w:rsidR="00532E6B" w:rsidRPr="00427237" w:rsidTr="00FC799D">
        <w:tc>
          <w:tcPr>
            <w:tcW w:w="1000" w:type="pct"/>
          </w:tcPr>
          <w:p w:rsidR="00532E6B" w:rsidRPr="00427237" w:rsidRDefault="00532E6B" w:rsidP="00EA22A8">
            <w:pPr>
              <w:pStyle w:val="TableText"/>
              <w:tabs>
                <w:tab w:val="left" w:pos="2835"/>
              </w:tabs>
              <w:spacing w:before="40"/>
            </w:pPr>
            <w:r w:rsidRPr="00427237">
              <w:t>Chemotherapy drug/s x?</w:t>
            </w:r>
          </w:p>
        </w:tc>
        <w:tc>
          <w:tcPr>
            <w:tcW w:w="1000" w:type="pct"/>
          </w:tcPr>
          <w:p w:rsidR="00532E6B" w:rsidRPr="00427237" w:rsidRDefault="00532E6B" w:rsidP="00EA22A8">
            <w:pPr>
              <w:pStyle w:val="TableText"/>
              <w:tabs>
                <w:tab w:val="left" w:pos="2835"/>
              </w:tabs>
              <w:spacing w:before="40"/>
              <w:rPr>
                <w:b/>
              </w:rPr>
            </w:pPr>
          </w:p>
        </w:tc>
        <w:tc>
          <w:tcPr>
            <w:tcW w:w="1000" w:type="pct"/>
          </w:tcPr>
          <w:p w:rsidR="00532E6B" w:rsidRPr="00427237" w:rsidRDefault="00E64C91" w:rsidP="00EA22A8">
            <w:pPr>
              <w:pStyle w:val="TableText"/>
              <w:tabs>
                <w:tab w:val="left" w:pos="2835"/>
              </w:tabs>
              <w:spacing w:before="40"/>
            </w:pPr>
            <w:r w:rsidRPr="00427237">
              <w:t>Outpatient</w:t>
            </w:r>
          </w:p>
        </w:tc>
        <w:tc>
          <w:tcPr>
            <w:tcW w:w="1000" w:type="pct"/>
          </w:tcPr>
          <w:p w:rsidR="00532E6B" w:rsidRPr="00427237" w:rsidRDefault="00532E6B" w:rsidP="009B6D52">
            <w:pPr>
              <w:pStyle w:val="TableText"/>
              <w:tabs>
                <w:tab w:val="left" w:pos="2835"/>
              </w:tabs>
              <w:spacing w:before="40"/>
            </w:pPr>
            <w:r w:rsidRPr="00427237">
              <w:t>Variable</w:t>
            </w:r>
          </w:p>
        </w:tc>
        <w:tc>
          <w:tcPr>
            <w:tcW w:w="1000" w:type="pct"/>
          </w:tcPr>
          <w:p w:rsidR="00532E6B" w:rsidRPr="00427237" w:rsidRDefault="00532E6B" w:rsidP="00EA22A8">
            <w:pPr>
              <w:pStyle w:val="TableText"/>
              <w:tabs>
                <w:tab w:val="left" w:pos="2835"/>
              </w:tabs>
              <w:spacing w:before="40"/>
            </w:pPr>
            <w:r w:rsidRPr="00427237">
              <w:t>Various</w:t>
            </w:r>
          </w:p>
        </w:tc>
      </w:tr>
      <w:tr w:rsidR="00532E6B" w:rsidRPr="00427237" w:rsidTr="00FC799D">
        <w:tc>
          <w:tcPr>
            <w:tcW w:w="1000" w:type="pct"/>
          </w:tcPr>
          <w:p w:rsidR="00532E6B" w:rsidRPr="00427237" w:rsidRDefault="00532E6B" w:rsidP="00EA22A8">
            <w:pPr>
              <w:pStyle w:val="TableText"/>
              <w:tabs>
                <w:tab w:val="left" w:pos="2835"/>
              </w:tabs>
              <w:spacing w:before="40"/>
            </w:pPr>
            <w:r w:rsidRPr="00427237">
              <w:t>Administration of chemotherapy</w:t>
            </w:r>
          </w:p>
        </w:tc>
        <w:tc>
          <w:tcPr>
            <w:tcW w:w="1000" w:type="pct"/>
          </w:tcPr>
          <w:p w:rsidR="00532E6B" w:rsidRPr="00427237" w:rsidRDefault="000041C1" w:rsidP="00EA22A8">
            <w:pPr>
              <w:pStyle w:val="TableText"/>
              <w:tabs>
                <w:tab w:val="left" w:pos="2835"/>
              </w:tabs>
              <w:spacing w:before="40"/>
            </w:pPr>
            <w:r w:rsidRPr="00427237">
              <w:t>Specialist</w:t>
            </w:r>
          </w:p>
        </w:tc>
        <w:tc>
          <w:tcPr>
            <w:tcW w:w="1000" w:type="pct"/>
          </w:tcPr>
          <w:p w:rsidR="00532E6B" w:rsidRPr="00427237" w:rsidRDefault="00532E6B" w:rsidP="00EA22A8">
            <w:pPr>
              <w:pStyle w:val="TableText"/>
              <w:tabs>
                <w:tab w:val="left" w:pos="2835"/>
              </w:tabs>
              <w:spacing w:before="40"/>
              <w:rPr>
                <w:b/>
              </w:rPr>
            </w:pPr>
            <w:r w:rsidRPr="00427237">
              <w:t>Outpatient</w:t>
            </w:r>
          </w:p>
        </w:tc>
        <w:tc>
          <w:tcPr>
            <w:tcW w:w="1000" w:type="pct"/>
          </w:tcPr>
          <w:p w:rsidR="00532E6B" w:rsidRPr="00427237" w:rsidRDefault="00532E6B" w:rsidP="009B6D52">
            <w:pPr>
              <w:pStyle w:val="TableText"/>
              <w:tabs>
                <w:tab w:val="left" w:pos="2835"/>
              </w:tabs>
              <w:spacing w:before="40"/>
              <w:rPr>
                <w:b/>
              </w:rPr>
            </w:pPr>
            <w:r w:rsidRPr="00427237">
              <w:t>$65.05</w:t>
            </w:r>
          </w:p>
        </w:tc>
        <w:tc>
          <w:tcPr>
            <w:tcW w:w="1000" w:type="pct"/>
          </w:tcPr>
          <w:p w:rsidR="00532E6B" w:rsidRPr="00427237" w:rsidRDefault="00532E6B" w:rsidP="00EA22A8">
            <w:pPr>
              <w:pStyle w:val="TableText"/>
              <w:tabs>
                <w:tab w:val="left" w:pos="2835"/>
              </w:tabs>
              <w:spacing w:before="40"/>
              <w:rPr>
                <w:b/>
              </w:rPr>
            </w:pPr>
            <w:r w:rsidRPr="00427237">
              <w:t>MBS 13915</w:t>
            </w:r>
          </w:p>
        </w:tc>
      </w:tr>
      <w:tr w:rsidR="00532E6B" w:rsidRPr="00427237" w:rsidTr="00FC799D">
        <w:tc>
          <w:tcPr>
            <w:tcW w:w="1000" w:type="pct"/>
          </w:tcPr>
          <w:p w:rsidR="00532E6B" w:rsidRPr="00427237" w:rsidRDefault="00532E6B" w:rsidP="00EA22A8">
            <w:pPr>
              <w:pStyle w:val="TableText"/>
              <w:tabs>
                <w:tab w:val="left" w:pos="2835"/>
              </w:tabs>
              <w:spacing w:before="40"/>
            </w:pPr>
            <w:r w:rsidRPr="00427237">
              <w:t>Intravenous infusion of &lt;1hr</w:t>
            </w:r>
          </w:p>
        </w:tc>
        <w:tc>
          <w:tcPr>
            <w:tcW w:w="1000" w:type="pct"/>
          </w:tcPr>
          <w:p w:rsidR="00532E6B" w:rsidRPr="00427237" w:rsidRDefault="000041C1" w:rsidP="00EA22A8">
            <w:pPr>
              <w:pStyle w:val="TableText"/>
              <w:tabs>
                <w:tab w:val="left" w:pos="2835"/>
              </w:tabs>
              <w:spacing w:before="40"/>
            </w:pPr>
            <w:r w:rsidRPr="00427237">
              <w:t>Specialist</w:t>
            </w:r>
          </w:p>
        </w:tc>
        <w:tc>
          <w:tcPr>
            <w:tcW w:w="1000" w:type="pct"/>
          </w:tcPr>
          <w:p w:rsidR="00532E6B" w:rsidRPr="00427237" w:rsidRDefault="00532E6B" w:rsidP="00EA22A8">
            <w:pPr>
              <w:pStyle w:val="TableText"/>
              <w:tabs>
                <w:tab w:val="left" w:pos="2835"/>
              </w:tabs>
              <w:spacing w:before="40"/>
              <w:rPr>
                <w:b/>
              </w:rPr>
            </w:pPr>
            <w:r w:rsidRPr="00427237">
              <w:t>Outpatient</w:t>
            </w:r>
          </w:p>
        </w:tc>
        <w:tc>
          <w:tcPr>
            <w:tcW w:w="1000" w:type="pct"/>
          </w:tcPr>
          <w:p w:rsidR="00532E6B" w:rsidRPr="00427237" w:rsidRDefault="00532E6B" w:rsidP="009B6D52">
            <w:pPr>
              <w:pStyle w:val="TableText"/>
              <w:tabs>
                <w:tab w:val="left" w:pos="2835"/>
              </w:tabs>
              <w:spacing w:before="40"/>
              <w:rPr>
                <w:b/>
              </w:rPr>
            </w:pPr>
            <w:r w:rsidRPr="00427237">
              <w:t>$63.85</w:t>
            </w:r>
          </w:p>
        </w:tc>
        <w:tc>
          <w:tcPr>
            <w:tcW w:w="1000" w:type="pct"/>
          </w:tcPr>
          <w:p w:rsidR="00532E6B" w:rsidRPr="00427237" w:rsidRDefault="00532E6B" w:rsidP="00EA22A8">
            <w:pPr>
              <w:pStyle w:val="TableText"/>
              <w:tabs>
                <w:tab w:val="left" w:pos="2835"/>
              </w:tabs>
              <w:spacing w:before="40"/>
              <w:rPr>
                <w:b/>
              </w:rPr>
            </w:pPr>
            <w:r w:rsidRPr="00427237">
              <w:t>MBS 13915</w:t>
            </w:r>
          </w:p>
        </w:tc>
      </w:tr>
      <w:tr w:rsidR="00532E6B" w:rsidRPr="00427237" w:rsidTr="00FC799D">
        <w:tc>
          <w:tcPr>
            <w:tcW w:w="1000" w:type="pct"/>
          </w:tcPr>
          <w:p w:rsidR="00532E6B" w:rsidRPr="00427237" w:rsidRDefault="00532E6B" w:rsidP="00EA22A8">
            <w:pPr>
              <w:pStyle w:val="TableText"/>
              <w:tabs>
                <w:tab w:val="left" w:pos="2835"/>
              </w:tabs>
              <w:spacing w:before="40"/>
            </w:pPr>
            <w:r w:rsidRPr="00427237">
              <w:t>Specialist consultation</w:t>
            </w:r>
          </w:p>
        </w:tc>
        <w:tc>
          <w:tcPr>
            <w:tcW w:w="1000" w:type="pct"/>
          </w:tcPr>
          <w:p w:rsidR="00532E6B" w:rsidRPr="00427237" w:rsidRDefault="00532E6B" w:rsidP="00EA22A8">
            <w:pPr>
              <w:pStyle w:val="TableText"/>
              <w:tabs>
                <w:tab w:val="left" w:pos="2835"/>
              </w:tabs>
              <w:spacing w:before="40"/>
            </w:pPr>
            <w:r w:rsidRPr="00427237">
              <w:t>Specialist</w:t>
            </w:r>
          </w:p>
        </w:tc>
        <w:tc>
          <w:tcPr>
            <w:tcW w:w="1000" w:type="pct"/>
          </w:tcPr>
          <w:p w:rsidR="00532E6B" w:rsidRPr="00427237" w:rsidRDefault="00532E6B" w:rsidP="00EA22A8">
            <w:pPr>
              <w:pStyle w:val="TableText"/>
              <w:tabs>
                <w:tab w:val="left" w:pos="2835"/>
              </w:tabs>
              <w:spacing w:before="40"/>
              <w:rPr>
                <w:b/>
              </w:rPr>
            </w:pPr>
          </w:p>
        </w:tc>
        <w:tc>
          <w:tcPr>
            <w:tcW w:w="1000" w:type="pct"/>
          </w:tcPr>
          <w:p w:rsidR="00532E6B" w:rsidRPr="00427237" w:rsidRDefault="00532E6B" w:rsidP="009B6D52">
            <w:pPr>
              <w:pStyle w:val="TableText"/>
              <w:tabs>
                <w:tab w:val="left" w:pos="2835"/>
              </w:tabs>
              <w:spacing w:before="40"/>
              <w:rPr>
                <w:b/>
              </w:rPr>
            </w:pPr>
          </w:p>
        </w:tc>
        <w:tc>
          <w:tcPr>
            <w:tcW w:w="1000" w:type="pct"/>
          </w:tcPr>
          <w:p w:rsidR="00532E6B" w:rsidRPr="00427237" w:rsidRDefault="00532E6B" w:rsidP="00EA22A8">
            <w:pPr>
              <w:pStyle w:val="TableText"/>
              <w:tabs>
                <w:tab w:val="left" w:pos="2835"/>
              </w:tabs>
              <w:spacing w:before="40"/>
              <w:rPr>
                <w:b/>
              </w:rPr>
            </w:pPr>
          </w:p>
        </w:tc>
      </w:tr>
      <w:tr w:rsidR="00532E6B" w:rsidRPr="00427237" w:rsidTr="00FC799D">
        <w:tc>
          <w:tcPr>
            <w:tcW w:w="1000" w:type="pct"/>
          </w:tcPr>
          <w:p w:rsidR="00532E6B" w:rsidRPr="00427237" w:rsidRDefault="00532E6B" w:rsidP="00EA22A8">
            <w:pPr>
              <w:pStyle w:val="TableText"/>
              <w:tabs>
                <w:tab w:val="left" w:pos="2835"/>
              </w:tabs>
              <w:spacing w:before="40"/>
            </w:pPr>
          </w:p>
        </w:tc>
        <w:tc>
          <w:tcPr>
            <w:tcW w:w="1000" w:type="pct"/>
          </w:tcPr>
          <w:p w:rsidR="00532E6B" w:rsidRPr="00427237" w:rsidRDefault="00532E6B" w:rsidP="00EA22A8">
            <w:pPr>
              <w:pStyle w:val="TableText"/>
              <w:tabs>
                <w:tab w:val="left" w:pos="2835"/>
              </w:tabs>
              <w:spacing w:before="40"/>
              <w:rPr>
                <w:b/>
              </w:rPr>
            </w:pPr>
          </w:p>
        </w:tc>
        <w:tc>
          <w:tcPr>
            <w:tcW w:w="1000" w:type="pct"/>
          </w:tcPr>
          <w:p w:rsidR="00532E6B" w:rsidRPr="00427237" w:rsidRDefault="00532E6B" w:rsidP="00EA22A8">
            <w:pPr>
              <w:pStyle w:val="TableText"/>
              <w:tabs>
                <w:tab w:val="left" w:pos="2835"/>
              </w:tabs>
              <w:spacing w:before="40"/>
              <w:rPr>
                <w:b/>
              </w:rPr>
            </w:pPr>
          </w:p>
        </w:tc>
        <w:tc>
          <w:tcPr>
            <w:tcW w:w="1000" w:type="pct"/>
          </w:tcPr>
          <w:p w:rsidR="00532E6B" w:rsidRPr="00427237" w:rsidRDefault="00532E6B" w:rsidP="009B6D52">
            <w:pPr>
              <w:pStyle w:val="TableText"/>
              <w:tabs>
                <w:tab w:val="left" w:pos="2835"/>
              </w:tabs>
              <w:spacing w:before="40"/>
              <w:rPr>
                <w:b/>
              </w:rPr>
            </w:pPr>
          </w:p>
        </w:tc>
        <w:tc>
          <w:tcPr>
            <w:tcW w:w="1000" w:type="pct"/>
          </w:tcPr>
          <w:p w:rsidR="00532E6B" w:rsidRPr="00427237" w:rsidRDefault="00532E6B" w:rsidP="00EA22A8">
            <w:pPr>
              <w:pStyle w:val="TableText"/>
              <w:tabs>
                <w:tab w:val="left" w:pos="2835"/>
              </w:tabs>
              <w:spacing w:before="40"/>
              <w:rPr>
                <w:b/>
              </w:rPr>
            </w:pPr>
          </w:p>
        </w:tc>
      </w:tr>
      <w:tr w:rsidR="00532E6B" w:rsidRPr="00427237" w:rsidTr="00FC799D">
        <w:tc>
          <w:tcPr>
            <w:tcW w:w="5000" w:type="pct"/>
            <w:gridSpan w:val="5"/>
            <w:shd w:val="clear" w:color="auto" w:fill="D9D9D9" w:themeFill="background1" w:themeFillShade="D9"/>
          </w:tcPr>
          <w:p w:rsidR="00532E6B" w:rsidRPr="00427237" w:rsidRDefault="00532E6B" w:rsidP="00D05F24">
            <w:pPr>
              <w:pStyle w:val="TableText"/>
              <w:tabs>
                <w:tab w:val="left" w:pos="2835"/>
              </w:tabs>
              <w:spacing w:before="40"/>
              <w:rPr>
                <w:b/>
              </w:rPr>
            </w:pPr>
            <w:r w:rsidRPr="00427237">
              <w:rPr>
                <w:b/>
              </w:rPr>
              <w:t>Resources association with observation (i.e. for no sign of spread or cancer in suspected locally or regionally recurrent or suspected metastatic cancers)</w:t>
            </w:r>
          </w:p>
        </w:tc>
      </w:tr>
      <w:tr w:rsidR="00532E6B" w:rsidRPr="00427237" w:rsidTr="00FC799D">
        <w:tc>
          <w:tcPr>
            <w:tcW w:w="1000" w:type="pct"/>
          </w:tcPr>
          <w:p w:rsidR="00532E6B" w:rsidRPr="00427237" w:rsidRDefault="00532E6B" w:rsidP="00EA22A8">
            <w:pPr>
              <w:pStyle w:val="TableText"/>
              <w:tabs>
                <w:tab w:val="left" w:pos="2835"/>
              </w:tabs>
              <w:spacing w:before="40"/>
            </w:pPr>
            <w:r w:rsidRPr="00427237">
              <w:t>Follow-up consultation</w:t>
            </w:r>
          </w:p>
        </w:tc>
        <w:tc>
          <w:tcPr>
            <w:tcW w:w="1000" w:type="pct"/>
          </w:tcPr>
          <w:p w:rsidR="00532E6B" w:rsidRPr="00427237" w:rsidRDefault="00532E6B" w:rsidP="00EA22A8">
            <w:pPr>
              <w:pStyle w:val="TableText"/>
              <w:tabs>
                <w:tab w:val="left" w:pos="2835"/>
              </w:tabs>
              <w:spacing w:before="40"/>
            </w:pPr>
            <w:r w:rsidRPr="00427237">
              <w:t>Specialist</w:t>
            </w:r>
          </w:p>
        </w:tc>
        <w:tc>
          <w:tcPr>
            <w:tcW w:w="1000" w:type="pct"/>
          </w:tcPr>
          <w:p w:rsidR="00532E6B" w:rsidRPr="00427237" w:rsidRDefault="00DF094E" w:rsidP="00EA22A8">
            <w:pPr>
              <w:pStyle w:val="TableText"/>
              <w:tabs>
                <w:tab w:val="left" w:pos="2835"/>
              </w:tabs>
              <w:spacing w:before="40"/>
            </w:pPr>
            <w:r w:rsidRPr="00427237">
              <w:t>Outpatient</w:t>
            </w:r>
          </w:p>
        </w:tc>
        <w:tc>
          <w:tcPr>
            <w:tcW w:w="1000" w:type="pct"/>
          </w:tcPr>
          <w:p w:rsidR="00532E6B" w:rsidRPr="00427237" w:rsidRDefault="00532E6B" w:rsidP="009B6D52">
            <w:pPr>
              <w:pStyle w:val="TableText"/>
              <w:tabs>
                <w:tab w:val="left" w:pos="2835"/>
              </w:tabs>
              <w:spacing w:before="40"/>
              <w:rPr>
                <w:b/>
              </w:rPr>
            </w:pPr>
          </w:p>
        </w:tc>
        <w:tc>
          <w:tcPr>
            <w:tcW w:w="1000" w:type="pct"/>
          </w:tcPr>
          <w:p w:rsidR="00532E6B" w:rsidRPr="00427237" w:rsidRDefault="00532E6B" w:rsidP="00EA22A8">
            <w:pPr>
              <w:pStyle w:val="TableText"/>
              <w:tabs>
                <w:tab w:val="left" w:pos="2835"/>
              </w:tabs>
              <w:spacing w:before="40"/>
              <w:rPr>
                <w:b/>
              </w:rPr>
            </w:pPr>
          </w:p>
        </w:tc>
      </w:tr>
    </w:tbl>
    <w:p w:rsidR="00920295" w:rsidRPr="00427237" w:rsidRDefault="00920295" w:rsidP="009532B8"/>
    <w:p w:rsidR="00023854" w:rsidRPr="00427237" w:rsidRDefault="00023854" w:rsidP="00023854">
      <w:pPr>
        <w:pStyle w:val="Heading1"/>
      </w:pPr>
      <w:bookmarkStart w:id="86" w:name="_Toc335317199"/>
      <w:bookmarkStart w:id="87" w:name="_Toc379534822"/>
      <w:bookmarkStart w:id="88" w:name="_Toc379962716"/>
      <w:r w:rsidRPr="00427237">
        <w:lastRenderedPageBreak/>
        <w:t>Proposed structure of economic evaluation (decision-analytic)</w:t>
      </w:r>
      <w:bookmarkEnd w:id="86"/>
      <w:bookmarkEnd w:id="87"/>
      <w:bookmarkEnd w:id="88"/>
    </w:p>
    <w:p w:rsidR="00F8274C" w:rsidRPr="00427237" w:rsidRDefault="00F8274C" w:rsidP="00F8274C">
      <w:pPr>
        <w:pStyle w:val="Caption"/>
      </w:pPr>
    </w:p>
    <w:p w:rsidR="00F8274C" w:rsidRPr="00427237" w:rsidRDefault="00F8274C" w:rsidP="00F8274C">
      <w:pPr>
        <w:pStyle w:val="Caption"/>
      </w:pPr>
      <w:bookmarkStart w:id="89" w:name="_Ref371346511"/>
      <w:bookmarkStart w:id="90" w:name="_Ref371346540"/>
      <w:r w:rsidRPr="00427237">
        <w:t xml:space="preserve">Table </w:t>
      </w:r>
      <w:r w:rsidR="00BF57C1" w:rsidRPr="00427237">
        <w:rPr>
          <w:noProof/>
        </w:rPr>
        <w:t>9</w:t>
      </w:r>
      <w:bookmarkEnd w:id="89"/>
      <w:r w:rsidRPr="00427237">
        <w:t xml:space="preserve">: PICO criteria for </w:t>
      </w:r>
      <w:r w:rsidR="005A5640" w:rsidRPr="00427237">
        <w:t xml:space="preserve">confirmatory </w:t>
      </w:r>
      <w:r w:rsidR="00D76266" w:rsidRPr="00427237">
        <w:rPr>
          <w:vertAlign w:val="superscript"/>
        </w:rPr>
        <w:t>18</w:t>
      </w:r>
      <w:r w:rsidR="00D76266" w:rsidRPr="00427237">
        <w:t>F-FDG</w:t>
      </w:r>
      <w:r w:rsidRPr="00427237">
        <w:t xml:space="preserve"> PET for</w:t>
      </w:r>
      <w:r w:rsidR="0060450F" w:rsidRPr="00427237">
        <w:t xml:space="preserve"> proven</w:t>
      </w:r>
      <w:r w:rsidRPr="00427237">
        <w:t xml:space="preserve"> locally advanced, suspected </w:t>
      </w:r>
      <w:proofErr w:type="gramStart"/>
      <w:r w:rsidRPr="00427237">
        <w:t>metastatic,</w:t>
      </w:r>
      <w:proofErr w:type="gramEnd"/>
      <w:r w:rsidRPr="00427237">
        <w:t xml:space="preserve"> or suspected </w:t>
      </w:r>
      <w:r w:rsidR="005A5640" w:rsidRPr="00427237">
        <w:t xml:space="preserve">locally and regionally </w:t>
      </w:r>
      <w:r w:rsidRPr="00427237">
        <w:t>recurrent breast cancer.</w:t>
      </w:r>
      <w:bookmarkEnd w:id="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1"/>
        <w:gridCol w:w="1850"/>
        <w:gridCol w:w="1848"/>
        <w:gridCol w:w="1848"/>
        <w:gridCol w:w="1845"/>
      </w:tblGrid>
      <w:tr w:rsidR="00F8274C" w:rsidRPr="00427237" w:rsidTr="00FA3DA8">
        <w:tc>
          <w:tcPr>
            <w:tcW w:w="1001" w:type="pct"/>
          </w:tcPr>
          <w:p w:rsidR="00F8274C" w:rsidRPr="00427237" w:rsidRDefault="00F8274C" w:rsidP="00FA3DA8">
            <w:pPr>
              <w:pStyle w:val="TableText"/>
              <w:rPr>
                <w:b/>
                <w:szCs w:val="22"/>
              </w:rPr>
            </w:pPr>
            <w:r w:rsidRPr="00427237">
              <w:rPr>
                <w:b/>
                <w:szCs w:val="22"/>
              </w:rPr>
              <w:t>Patients</w:t>
            </w:r>
          </w:p>
        </w:tc>
        <w:tc>
          <w:tcPr>
            <w:tcW w:w="1001" w:type="pct"/>
          </w:tcPr>
          <w:p w:rsidR="00F8274C" w:rsidRPr="00427237" w:rsidRDefault="00F8274C" w:rsidP="00FA3DA8">
            <w:pPr>
              <w:pStyle w:val="TableText"/>
              <w:rPr>
                <w:b/>
                <w:szCs w:val="22"/>
              </w:rPr>
            </w:pPr>
            <w:r w:rsidRPr="00427237">
              <w:rPr>
                <w:b/>
                <w:szCs w:val="22"/>
              </w:rPr>
              <w:t>Intervention</w:t>
            </w:r>
          </w:p>
        </w:tc>
        <w:tc>
          <w:tcPr>
            <w:tcW w:w="1000" w:type="pct"/>
          </w:tcPr>
          <w:p w:rsidR="00F8274C" w:rsidRPr="00427237" w:rsidRDefault="00F8274C" w:rsidP="00FA3DA8">
            <w:pPr>
              <w:pStyle w:val="TableText"/>
              <w:rPr>
                <w:b/>
                <w:szCs w:val="22"/>
              </w:rPr>
            </w:pPr>
            <w:r w:rsidRPr="00427237">
              <w:rPr>
                <w:b/>
                <w:szCs w:val="22"/>
              </w:rPr>
              <w:t>Comparator</w:t>
            </w:r>
          </w:p>
        </w:tc>
        <w:tc>
          <w:tcPr>
            <w:tcW w:w="1000" w:type="pct"/>
          </w:tcPr>
          <w:p w:rsidR="00F8274C" w:rsidRPr="00427237" w:rsidRDefault="00F8274C" w:rsidP="00FA3DA8">
            <w:pPr>
              <w:pStyle w:val="TableText"/>
              <w:rPr>
                <w:b/>
                <w:szCs w:val="22"/>
              </w:rPr>
            </w:pPr>
            <w:r w:rsidRPr="00427237">
              <w:rPr>
                <w:b/>
                <w:szCs w:val="22"/>
              </w:rPr>
              <w:t>(For the assessment of diagnostic tests only) Reference or evidentiary standard and prior tests.</w:t>
            </w:r>
          </w:p>
        </w:tc>
        <w:tc>
          <w:tcPr>
            <w:tcW w:w="998" w:type="pct"/>
          </w:tcPr>
          <w:p w:rsidR="00F8274C" w:rsidRPr="00427237" w:rsidRDefault="00F8274C" w:rsidP="00FA3DA8">
            <w:pPr>
              <w:pStyle w:val="TableText"/>
              <w:rPr>
                <w:b/>
                <w:szCs w:val="22"/>
              </w:rPr>
            </w:pPr>
            <w:r w:rsidRPr="00427237">
              <w:rPr>
                <w:b/>
                <w:szCs w:val="22"/>
              </w:rPr>
              <w:t>Outcomes to be assessed</w:t>
            </w:r>
          </w:p>
        </w:tc>
      </w:tr>
      <w:tr w:rsidR="00F8274C" w:rsidRPr="00427237" w:rsidTr="00FA3DA8">
        <w:tc>
          <w:tcPr>
            <w:tcW w:w="1001" w:type="pct"/>
          </w:tcPr>
          <w:p w:rsidR="00F8274C" w:rsidRPr="00427237" w:rsidRDefault="00F8274C" w:rsidP="00FA3DA8">
            <w:pPr>
              <w:pStyle w:val="TableText"/>
              <w:rPr>
                <w:szCs w:val="22"/>
              </w:rPr>
            </w:pPr>
            <w:r w:rsidRPr="00427237">
              <w:rPr>
                <w:szCs w:val="22"/>
              </w:rPr>
              <w:t>Pa</w:t>
            </w:r>
            <w:r w:rsidR="009259A2" w:rsidRPr="00427237">
              <w:rPr>
                <w:szCs w:val="22"/>
              </w:rPr>
              <w:t>tients with either (1) proven</w:t>
            </w:r>
            <w:r w:rsidRPr="00427237">
              <w:rPr>
                <w:szCs w:val="22"/>
              </w:rPr>
              <w:t xml:space="preserve"> locally advanced, (2) suspected </w:t>
            </w:r>
            <w:proofErr w:type="gramStart"/>
            <w:r w:rsidRPr="00427237">
              <w:rPr>
                <w:szCs w:val="22"/>
              </w:rPr>
              <w:t>metastatic, or (3) suspected</w:t>
            </w:r>
            <w:proofErr w:type="gramEnd"/>
            <w:r w:rsidRPr="00427237">
              <w:rPr>
                <w:szCs w:val="22"/>
              </w:rPr>
              <w:t xml:space="preserve"> </w:t>
            </w:r>
            <w:r w:rsidR="000C335E" w:rsidRPr="00427237">
              <w:rPr>
                <w:szCs w:val="22"/>
              </w:rPr>
              <w:t xml:space="preserve">locally or regionally </w:t>
            </w:r>
            <w:r w:rsidRPr="00427237">
              <w:rPr>
                <w:szCs w:val="22"/>
              </w:rPr>
              <w:t>recurrent breast cancers.</w:t>
            </w:r>
          </w:p>
        </w:tc>
        <w:tc>
          <w:tcPr>
            <w:tcW w:w="1001" w:type="pct"/>
          </w:tcPr>
          <w:p w:rsidR="00F8274C" w:rsidRPr="00427237" w:rsidRDefault="005A5640" w:rsidP="00FA3DA8">
            <w:pPr>
              <w:pStyle w:val="TableText"/>
              <w:rPr>
                <w:szCs w:val="22"/>
              </w:rPr>
            </w:pPr>
            <w:r w:rsidRPr="00427237">
              <w:rPr>
                <w:szCs w:val="22"/>
              </w:rPr>
              <w:t xml:space="preserve">Confirmatory </w:t>
            </w:r>
            <w:r w:rsidR="00D76266" w:rsidRPr="00427237">
              <w:rPr>
                <w:szCs w:val="22"/>
                <w:vertAlign w:val="superscript"/>
              </w:rPr>
              <w:t>18</w:t>
            </w:r>
            <w:r w:rsidR="00D76266" w:rsidRPr="00427237">
              <w:rPr>
                <w:szCs w:val="22"/>
              </w:rPr>
              <w:t>F-FDG</w:t>
            </w:r>
            <w:r w:rsidR="00F8274C" w:rsidRPr="00427237">
              <w:rPr>
                <w:szCs w:val="22"/>
              </w:rPr>
              <w:t xml:space="preserve"> PET</w:t>
            </w:r>
          </w:p>
        </w:tc>
        <w:tc>
          <w:tcPr>
            <w:tcW w:w="1000" w:type="pct"/>
          </w:tcPr>
          <w:p w:rsidR="00F8274C" w:rsidRPr="00427237" w:rsidRDefault="005A5640" w:rsidP="005A5640">
            <w:pPr>
              <w:pStyle w:val="TableText"/>
              <w:rPr>
                <w:szCs w:val="22"/>
              </w:rPr>
            </w:pPr>
            <w:r w:rsidRPr="00427237">
              <w:rPr>
                <w:szCs w:val="22"/>
              </w:rPr>
              <w:t xml:space="preserve">Confirmatory standard </w:t>
            </w:r>
            <w:r w:rsidR="00F8274C" w:rsidRPr="00427237">
              <w:rPr>
                <w:szCs w:val="22"/>
              </w:rPr>
              <w:t xml:space="preserve">diagnostic imaging studies (i.e. </w:t>
            </w:r>
            <w:r w:rsidR="0077742C" w:rsidRPr="00427237">
              <w:rPr>
                <w:szCs w:val="22"/>
              </w:rPr>
              <w:t xml:space="preserve">mainly </w:t>
            </w:r>
            <w:r w:rsidR="00F8274C" w:rsidRPr="00427237">
              <w:rPr>
                <w:szCs w:val="22"/>
              </w:rPr>
              <w:t>CT)</w:t>
            </w:r>
          </w:p>
        </w:tc>
        <w:tc>
          <w:tcPr>
            <w:tcW w:w="1000" w:type="pct"/>
          </w:tcPr>
          <w:p w:rsidR="00F8274C" w:rsidRPr="00427237" w:rsidRDefault="00F8274C" w:rsidP="00FA3DA8">
            <w:pPr>
              <w:pStyle w:val="TableText"/>
              <w:rPr>
                <w:szCs w:val="22"/>
              </w:rPr>
            </w:pPr>
            <w:r w:rsidRPr="00427237">
              <w:rPr>
                <w:szCs w:val="22"/>
              </w:rPr>
              <w:t>Reference standard:</w:t>
            </w:r>
          </w:p>
          <w:p w:rsidR="00F8274C" w:rsidRPr="00427237" w:rsidRDefault="00F8274C" w:rsidP="00FA3DA8">
            <w:pPr>
              <w:pStyle w:val="TableText"/>
              <w:rPr>
                <w:szCs w:val="22"/>
              </w:rPr>
            </w:pPr>
            <w:r w:rsidRPr="00427237">
              <w:rPr>
                <w:szCs w:val="22"/>
              </w:rPr>
              <w:t>Pathology (i.e. biopsies)</w:t>
            </w:r>
          </w:p>
          <w:p w:rsidR="00F8274C" w:rsidRPr="00427237" w:rsidRDefault="00F8274C" w:rsidP="00FA3DA8">
            <w:pPr>
              <w:pStyle w:val="TableText"/>
              <w:rPr>
                <w:szCs w:val="22"/>
              </w:rPr>
            </w:pPr>
          </w:p>
          <w:p w:rsidR="00F8274C" w:rsidRPr="00427237" w:rsidRDefault="00F8274C" w:rsidP="00FA3DA8">
            <w:pPr>
              <w:pStyle w:val="TableText"/>
              <w:rPr>
                <w:szCs w:val="22"/>
              </w:rPr>
            </w:pPr>
            <w:r w:rsidRPr="00427237">
              <w:rPr>
                <w:szCs w:val="22"/>
              </w:rPr>
              <w:t>Prior tests:</w:t>
            </w:r>
          </w:p>
          <w:p w:rsidR="00F8274C" w:rsidRPr="00427237" w:rsidRDefault="00A50652" w:rsidP="0077742C">
            <w:pPr>
              <w:pStyle w:val="TableText"/>
              <w:rPr>
                <w:szCs w:val="22"/>
              </w:rPr>
            </w:pPr>
            <w:r w:rsidRPr="00427237">
              <w:rPr>
                <w:szCs w:val="22"/>
              </w:rPr>
              <w:t>Standard d</w:t>
            </w:r>
            <w:r w:rsidR="0077742C" w:rsidRPr="00427237">
              <w:rPr>
                <w:szCs w:val="22"/>
              </w:rPr>
              <w:t>iagnostic imaging studies (i.e</w:t>
            </w:r>
            <w:r w:rsidR="00F8274C" w:rsidRPr="00427237">
              <w:rPr>
                <w:szCs w:val="22"/>
              </w:rPr>
              <w:t>.</w:t>
            </w:r>
            <w:r w:rsidR="0077742C" w:rsidRPr="00427237">
              <w:rPr>
                <w:szCs w:val="22"/>
              </w:rPr>
              <w:t xml:space="preserve"> mainly</w:t>
            </w:r>
            <w:r w:rsidR="00F8274C" w:rsidRPr="00427237">
              <w:rPr>
                <w:szCs w:val="22"/>
              </w:rPr>
              <w:t xml:space="preserve"> </w:t>
            </w:r>
            <w:r w:rsidRPr="00427237">
              <w:rPr>
                <w:szCs w:val="22"/>
              </w:rPr>
              <w:t>CT)</w:t>
            </w:r>
          </w:p>
        </w:tc>
        <w:tc>
          <w:tcPr>
            <w:tcW w:w="998" w:type="pct"/>
          </w:tcPr>
          <w:p w:rsidR="00F8274C" w:rsidRPr="00427237" w:rsidRDefault="00F8274C" w:rsidP="00FA3DA8">
            <w:pPr>
              <w:pStyle w:val="TableText"/>
              <w:rPr>
                <w:b/>
                <w:szCs w:val="22"/>
              </w:rPr>
            </w:pPr>
            <w:r w:rsidRPr="00427237">
              <w:rPr>
                <w:b/>
                <w:szCs w:val="22"/>
              </w:rPr>
              <w:t>Diagnostic accuracy:</w:t>
            </w:r>
          </w:p>
          <w:p w:rsidR="00F8274C" w:rsidRPr="00427237" w:rsidRDefault="00F8274C" w:rsidP="00FA3DA8">
            <w:pPr>
              <w:pStyle w:val="TableText"/>
              <w:rPr>
                <w:szCs w:val="22"/>
              </w:rPr>
            </w:pPr>
            <w:r w:rsidRPr="00427237">
              <w:rPr>
                <w:szCs w:val="22"/>
              </w:rPr>
              <w:t>Sensitivity.</w:t>
            </w:r>
          </w:p>
          <w:p w:rsidR="00F8274C" w:rsidRPr="00427237" w:rsidRDefault="00F8274C" w:rsidP="00FA3DA8">
            <w:pPr>
              <w:pStyle w:val="TableText"/>
              <w:rPr>
                <w:szCs w:val="22"/>
              </w:rPr>
            </w:pPr>
            <w:r w:rsidRPr="00427237">
              <w:rPr>
                <w:szCs w:val="22"/>
              </w:rPr>
              <w:t>Specificity.</w:t>
            </w:r>
          </w:p>
          <w:p w:rsidR="00F8274C" w:rsidRPr="00427237" w:rsidRDefault="00F8274C" w:rsidP="00FA3DA8">
            <w:pPr>
              <w:pStyle w:val="TableText"/>
              <w:rPr>
                <w:szCs w:val="22"/>
              </w:rPr>
            </w:pPr>
            <w:r w:rsidRPr="00427237">
              <w:rPr>
                <w:szCs w:val="22"/>
              </w:rPr>
              <w:t>Additional true positive (TP) &amp; false positive (FP), receiver operative characteristic area under the curve (ROC AUC), Cochrane Q statistic for testing heterogeneity, diagnostic odds ratio (DOR).</w:t>
            </w:r>
          </w:p>
          <w:p w:rsidR="00F8274C" w:rsidRPr="00427237" w:rsidRDefault="00F8274C" w:rsidP="00FA3DA8">
            <w:pPr>
              <w:pStyle w:val="TableText"/>
              <w:rPr>
                <w:szCs w:val="22"/>
              </w:rPr>
            </w:pPr>
          </w:p>
          <w:p w:rsidR="00F8274C" w:rsidRPr="00427237" w:rsidRDefault="00F8274C" w:rsidP="00FA3DA8">
            <w:pPr>
              <w:pStyle w:val="TableText"/>
              <w:rPr>
                <w:b/>
                <w:szCs w:val="22"/>
              </w:rPr>
            </w:pPr>
            <w:r w:rsidRPr="00427237">
              <w:rPr>
                <w:b/>
                <w:szCs w:val="22"/>
              </w:rPr>
              <w:t>Change in management:</w:t>
            </w:r>
          </w:p>
          <w:p w:rsidR="00F8274C" w:rsidRPr="00427237" w:rsidRDefault="00F8274C" w:rsidP="00FA3DA8">
            <w:pPr>
              <w:pStyle w:val="TableText"/>
              <w:rPr>
                <w:szCs w:val="22"/>
              </w:rPr>
            </w:pPr>
            <w:r w:rsidRPr="00427237">
              <w:rPr>
                <w:szCs w:val="22"/>
              </w:rPr>
              <w:t>Definitive treatment avoided.</w:t>
            </w:r>
          </w:p>
          <w:p w:rsidR="00F8274C" w:rsidRPr="00427237" w:rsidRDefault="00F8274C" w:rsidP="00FA3DA8">
            <w:pPr>
              <w:pStyle w:val="TableText"/>
              <w:rPr>
                <w:szCs w:val="22"/>
              </w:rPr>
            </w:pPr>
            <w:r w:rsidRPr="00427237">
              <w:rPr>
                <w:szCs w:val="22"/>
              </w:rPr>
              <w:t>Investigations avoided.</w:t>
            </w:r>
          </w:p>
          <w:p w:rsidR="00F8274C" w:rsidRPr="00427237" w:rsidRDefault="00F8274C" w:rsidP="00FA3DA8">
            <w:pPr>
              <w:pStyle w:val="TableText"/>
              <w:rPr>
                <w:szCs w:val="22"/>
              </w:rPr>
            </w:pPr>
            <w:r w:rsidRPr="00427237">
              <w:rPr>
                <w:szCs w:val="22"/>
              </w:rPr>
              <w:t>Definitive treatment instigated.</w:t>
            </w:r>
          </w:p>
          <w:p w:rsidR="00F8274C" w:rsidRPr="00427237" w:rsidRDefault="00F8274C" w:rsidP="00FA3DA8">
            <w:pPr>
              <w:pStyle w:val="TableText"/>
              <w:rPr>
                <w:szCs w:val="22"/>
              </w:rPr>
            </w:pPr>
            <w:r w:rsidRPr="00427237">
              <w:rPr>
                <w:szCs w:val="22"/>
              </w:rPr>
              <w:t>Overall change.</w:t>
            </w:r>
          </w:p>
          <w:p w:rsidR="00F8274C" w:rsidRPr="00427237" w:rsidRDefault="00F8274C" w:rsidP="00FA3DA8">
            <w:pPr>
              <w:pStyle w:val="TableText"/>
              <w:rPr>
                <w:szCs w:val="22"/>
              </w:rPr>
            </w:pPr>
            <w:r w:rsidRPr="00427237">
              <w:rPr>
                <w:rFonts w:hint="eastAsia"/>
                <w:szCs w:val="22"/>
              </w:rPr>
              <w:t>Type of change</w:t>
            </w:r>
            <w:r w:rsidRPr="00427237">
              <w:rPr>
                <w:szCs w:val="22"/>
              </w:rPr>
              <w:t xml:space="preserve"> </w:t>
            </w:r>
            <w:r w:rsidRPr="00427237">
              <w:rPr>
                <w:rFonts w:hint="eastAsia"/>
                <w:szCs w:val="22"/>
              </w:rPr>
              <w:t>occurring</w:t>
            </w:r>
          </w:p>
          <w:p w:rsidR="00F8274C" w:rsidRPr="00427237" w:rsidRDefault="00F8274C" w:rsidP="00FA3DA8">
            <w:pPr>
              <w:pStyle w:val="TableText"/>
              <w:rPr>
                <w:szCs w:val="22"/>
              </w:rPr>
            </w:pPr>
          </w:p>
          <w:p w:rsidR="00F8274C" w:rsidRPr="00427237" w:rsidRDefault="00F8274C" w:rsidP="00FA3DA8">
            <w:pPr>
              <w:pStyle w:val="TableText"/>
              <w:rPr>
                <w:b/>
                <w:szCs w:val="22"/>
              </w:rPr>
            </w:pPr>
            <w:r w:rsidRPr="00427237">
              <w:rPr>
                <w:b/>
                <w:szCs w:val="22"/>
              </w:rPr>
              <w:t>Patient outcomes:</w:t>
            </w:r>
          </w:p>
          <w:p w:rsidR="00F8274C" w:rsidRPr="00427237" w:rsidRDefault="00F8274C" w:rsidP="00FA3DA8">
            <w:pPr>
              <w:pStyle w:val="TableText"/>
              <w:rPr>
                <w:szCs w:val="22"/>
              </w:rPr>
            </w:pPr>
            <w:r w:rsidRPr="00427237">
              <w:rPr>
                <w:szCs w:val="22"/>
              </w:rPr>
              <w:t>Morbidity.</w:t>
            </w:r>
          </w:p>
          <w:p w:rsidR="00F8274C" w:rsidRPr="00427237" w:rsidRDefault="00F8274C" w:rsidP="00FA3DA8">
            <w:pPr>
              <w:pStyle w:val="TableText"/>
              <w:rPr>
                <w:szCs w:val="22"/>
              </w:rPr>
            </w:pPr>
            <w:r w:rsidRPr="00427237">
              <w:rPr>
                <w:szCs w:val="22"/>
              </w:rPr>
              <w:t>Mortality.</w:t>
            </w:r>
          </w:p>
          <w:p w:rsidR="00F8274C" w:rsidRPr="00427237" w:rsidRDefault="00F8274C" w:rsidP="00FA3DA8">
            <w:pPr>
              <w:pStyle w:val="TableText"/>
              <w:rPr>
                <w:szCs w:val="22"/>
              </w:rPr>
            </w:pPr>
            <w:r w:rsidRPr="00427237">
              <w:rPr>
                <w:szCs w:val="22"/>
              </w:rPr>
              <w:t>Overall survival.</w:t>
            </w:r>
          </w:p>
          <w:p w:rsidR="00F8274C" w:rsidRPr="00427237" w:rsidRDefault="00F8274C" w:rsidP="00FA3DA8">
            <w:pPr>
              <w:pStyle w:val="TableText"/>
              <w:rPr>
                <w:szCs w:val="22"/>
              </w:rPr>
            </w:pPr>
            <w:r w:rsidRPr="00427237">
              <w:rPr>
                <w:szCs w:val="22"/>
              </w:rPr>
              <w:t>Cancer-specific mortality.</w:t>
            </w:r>
          </w:p>
          <w:p w:rsidR="00F8274C" w:rsidRPr="00427237" w:rsidRDefault="00F8274C" w:rsidP="00FA3DA8">
            <w:pPr>
              <w:pStyle w:val="TableText"/>
              <w:rPr>
                <w:szCs w:val="22"/>
              </w:rPr>
            </w:pPr>
            <w:r w:rsidRPr="00427237">
              <w:rPr>
                <w:szCs w:val="22"/>
              </w:rPr>
              <w:t>Cancer progression.</w:t>
            </w:r>
          </w:p>
          <w:p w:rsidR="00F8274C" w:rsidRPr="00427237" w:rsidRDefault="00F8274C" w:rsidP="00FA3DA8">
            <w:pPr>
              <w:pStyle w:val="TableText"/>
              <w:rPr>
                <w:szCs w:val="22"/>
              </w:rPr>
            </w:pPr>
            <w:r w:rsidRPr="00427237">
              <w:rPr>
                <w:szCs w:val="22"/>
              </w:rPr>
              <w:t>Treatment morbidity.</w:t>
            </w:r>
          </w:p>
          <w:p w:rsidR="00F8274C" w:rsidRPr="00427237" w:rsidRDefault="00F8274C" w:rsidP="00FA3DA8">
            <w:pPr>
              <w:pStyle w:val="TableText"/>
              <w:rPr>
                <w:szCs w:val="22"/>
              </w:rPr>
            </w:pPr>
            <w:r w:rsidRPr="00427237">
              <w:rPr>
                <w:szCs w:val="22"/>
              </w:rPr>
              <w:t>Adverse events.</w:t>
            </w:r>
          </w:p>
          <w:p w:rsidR="00F8274C" w:rsidRPr="00427237" w:rsidRDefault="00F8274C" w:rsidP="00FA3DA8">
            <w:pPr>
              <w:pStyle w:val="TableText"/>
              <w:rPr>
                <w:szCs w:val="22"/>
              </w:rPr>
            </w:pPr>
            <w:r w:rsidRPr="00427237">
              <w:rPr>
                <w:szCs w:val="22"/>
              </w:rPr>
              <w:t>Quality of life.</w:t>
            </w:r>
          </w:p>
          <w:p w:rsidR="00F8274C" w:rsidRPr="00427237" w:rsidRDefault="00F8274C" w:rsidP="00FA3DA8">
            <w:pPr>
              <w:pStyle w:val="TableText"/>
              <w:rPr>
                <w:szCs w:val="22"/>
              </w:rPr>
            </w:pPr>
          </w:p>
        </w:tc>
      </w:tr>
    </w:tbl>
    <w:p w:rsidR="00F8274C" w:rsidRPr="00427237" w:rsidRDefault="00F8274C" w:rsidP="00F8274C"/>
    <w:p w:rsidR="00F8274C" w:rsidRPr="00427237" w:rsidRDefault="00F8274C" w:rsidP="00F8274C">
      <w:pPr>
        <w:pStyle w:val="Heading2"/>
      </w:pPr>
      <w:bookmarkStart w:id="91" w:name="_Ref371346127"/>
      <w:bookmarkStart w:id="92" w:name="_Ref371346133"/>
      <w:bookmarkStart w:id="93" w:name="_Ref371348122"/>
      <w:bookmarkStart w:id="94" w:name="_Toc379534823"/>
      <w:bookmarkStart w:id="95" w:name="_Toc379962717"/>
      <w:r w:rsidRPr="00427237">
        <w:t>Questions for public funding</w:t>
      </w:r>
      <w:bookmarkEnd w:id="91"/>
      <w:bookmarkEnd w:id="92"/>
      <w:bookmarkEnd w:id="93"/>
      <w:bookmarkEnd w:id="94"/>
      <w:bookmarkEnd w:id="95"/>
    </w:p>
    <w:p w:rsidR="00F8274C" w:rsidRPr="00427237" w:rsidRDefault="00F8274C" w:rsidP="00F8274C">
      <w:r w:rsidRPr="00427237">
        <w:t>What is the safety, effectiveness and cost-effectiveness of</w:t>
      </w:r>
      <w:r w:rsidR="008D7112" w:rsidRPr="00427237">
        <w:t xml:space="preserve"> confirmatory</w:t>
      </w:r>
      <w:r w:rsidRPr="00427237">
        <w:t xml:space="preserve"> </w:t>
      </w:r>
      <w:r w:rsidR="00D76266" w:rsidRPr="00427237">
        <w:rPr>
          <w:vertAlign w:val="superscript"/>
        </w:rPr>
        <w:t>18</w:t>
      </w:r>
      <w:r w:rsidR="00D76266" w:rsidRPr="00427237">
        <w:t>F-FDG</w:t>
      </w:r>
      <w:r w:rsidRPr="00427237">
        <w:t xml:space="preserve"> PET scanning in comparison to </w:t>
      </w:r>
      <w:r w:rsidR="008D7112" w:rsidRPr="00427237">
        <w:t xml:space="preserve">confirmatory standard </w:t>
      </w:r>
      <w:r w:rsidRPr="00427237">
        <w:t xml:space="preserve">diagnostic imaging for the evaluation of </w:t>
      </w:r>
      <w:r w:rsidR="0060450F" w:rsidRPr="00427237">
        <w:t xml:space="preserve">spread of </w:t>
      </w:r>
      <w:r w:rsidRPr="00427237">
        <w:t xml:space="preserve">breast cancer in patients who have (1) </w:t>
      </w:r>
      <w:r w:rsidR="0060450F" w:rsidRPr="00427237">
        <w:t xml:space="preserve">proven </w:t>
      </w:r>
      <w:r w:rsidRPr="00427237">
        <w:t xml:space="preserve">locally advanced, (2) suspected metastatic, or (3) suspected </w:t>
      </w:r>
      <w:r w:rsidR="008D7112" w:rsidRPr="00427237">
        <w:t xml:space="preserve">locally or regionally </w:t>
      </w:r>
      <w:r w:rsidRPr="00427237">
        <w:t xml:space="preserve">recurrent breast cancer where initial </w:t>
      </w:r>
      <w:r w:rsidR="008D7112" w:rsidRPr="00427237">
        <w:t xml:space="preserve">standard </w:t>
      </w:r>
      <w:r w:rsidRPr="00427237">
        <w:t>diagnostic imaging does not provide sufficient information to determine appropriate treatment?</w:t>
      </w:r>
    </w:p>
    <w:p w:rsidR="00070C04" w:rsidRPr="00427237" w:rsidRDefault="00070C04">
      <w:pPr>
        <w:spacing w:after="0" w:line="240" w:lineRule="auto"/>
        <w:jc w:val="left"/>
      </w:pPr>
    </w:p>
    <w:p w:rsidR="00070C04" w:rsidRPr="00427237" w:rsidRDefault="00070C04" w:rsidP="00070C04">
      <w:pPr>
        <w:pStyle w:val="Heading1"/>
      </w:pPr>
      <w:bookmarkStart w:id="96" w:name="_Toc379534824"/>
      <w:bookmarkStart w:id="97" w:name="_Toc379962718"/>
      <w:r w:rsidRPr="00427237">
        <w:lastRenderedPageBreak/>
        <w:t>APPENDICES</w:t>
      </w:r>
      <w:bookmarkEnd w:id="96"/>
      <w:bookmarkEnd w:id="97"/>
    </w:p>
    <w:p w:rsidR="009037F0" w:rsidRPr="00427237" w:rsidRDefault="009037F0" w:rsidP="009037F0">
      <w:pPr>
        <w:pStyle w:val="Heading2"/>
      </w:pPr>
      <w:bookmarkStart w:id="98" w:name="_Toc379534825"/>
      <w:bookmarkStart w:id="99" w:name="_Toc379962719"/>
      <w:r w:rsidRPr="00427237">
        <w:t>A.</w:t>
      </w:r>
      <w:r w:rsidR="00900878" w:rsidRPr="00427237">
        <w:t>1</w:t>
      </w:r>
      <w:r w:rsidRPr="00427237">
        <w:t xml:space="preserve">. MBS Items </w:t>
      </w:r>
      <w:proofErr w:type="gramStart"/>
      <w:r w:rsidRPr="00427237">
        <w:t>For</w:t>
      </w:r>
      <w:proofErr w:type="gramEnd"/>
      <w:r w:rsidRPr="00427237">
        <w:t xml:space="preserve"> The Comparator</w:t>
      </w:r>
      <w:bookmarkEnd w:id="98"/>
      <w:bookmarkEnd w:id="99"/>
    </w:p>
    <w:p w:rsidR="000A74CE" w:rsidRPr="00427237" w:rsidRDefault="000A74CE" w:rsidP="000A74CE">
      <w:pPr>
        <w:rPr>
          <w:szCs w:val="22"/>
          <w:u w:val="single"/>
        </w:rPr>
      </w:pPr>
      <w:r w:rsidRPr="00427237">
        <w:rPr>
          <w:szCs w:val="22"/>
          <w:u w:val="single"/>
        </w:rPr>
        <w:t>MBS items for the comparator:</w:t>
      </w:r>
      <w:r w:rsidR="005763C1" w:rsidRPr="00427237">
        <w:rPr>
          <w:szCs w:val="22"/>
          <w:u w:val="single"/>
        </w:rPr>
        <w:t xml:space="preserve"> </w:t>
      </w:r>
    </w:p>
    <w:p w:rsidR="000A74CE" w:rsidRPr="00427237" w:rsidRDefault="00BE4356" w:rsidP="00BE4356">
      <w:pPr>
        <w:pStyle w:val="Caption"/>
      </w:pPr>
      <w:r w:rsidRPr="00427237">
        <w:t xml:space="preserve">Table </w:t>
      </w:r>
      <w:r w:rsidR="00BF57C1" w:rsidRPr="00427237">
        <w:rPr>
          <w:noProof/>
        </w:rPr>
        <w:t>10</w:t>
      </w:r>
      <w:r w:rsidR="000A74CE" w:rsidRPr="00427237">
        <w:t>:</w:t>
      </w:r>
      <w:r w:rsidR="000A74CE" w:rsidRPr="00427237">
        <w:tab/>
      </w:r>
      <w:r w:rsidR="000A74CE" w:rsidRPr="00427237">
        <w:tab/>
        <w:t xml:space="preserve">MBS item descriptor for </w:t>
      </w:r>
      <w:r w:rsidR="001E1AE2" w:rsidRPr="00427237">
        <w:t>(</w:t>
      </w:r>
      <w:r w:rsidR="009605CE" w:rsidRPr="00427237">
        <w:t>confirmatory</w:t>
      </w:r>
      <w:r w:rsidR="001E1AE2" w:rsidRPr="00427237">
        <w:t>)</w:t>
      </w:r>
      <w:r w:rsidR="009605CE" w:rsidRPr="00427237">
        <w:t xml:space="preserve"> standard </w:t>
      </w:r>
      <w:r w:rsidR="000A74CE" w:rsidRPr="00427237">
        <w:t>diagnostic imaging techniques - CT.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0A74CE" w:rsidRPr="00427237" w:rsidTr="00182EAF">
        <w:tc>
          <w:tcPr>
            <w:tcW w:w="9134" w:type="dxa"/>
          </w:tcPr>
          <w:p w:rsidR="000A74CE" w:rsidRPr="00427237" w:rsidRDefault="000A74CE" w:rsidP="00182EAF">
            <w:pPr>
              <w:spacing w:after="120" w:line="240" w:lineRule="auto"/>
              <w:jc w:val="right"/>
              <w:rPr>
                <w:rFonts w:ascii="Arial Narrow" w:hAnsi="Arial Narrow"/>
                <w:szCs w:val="22"/>
                <w:lang w:eastAsia="ja-JP"/>
              </w:rPr>
            </w:pPr>
            <w:r w:rsidRPr="00427237">
              <w:rPr>
                <w:rFonts w:ascii="Arial Narrow" w:hAnsi="Arial Narrow"/>
                <w:szCs w:val="22"/>
                <w:lang w:eastAsia="ja-JP"/>
              </w:rPr>
              <w:t>Category 5 – Diagnostic imaging services</w:t>
            </w:r>
          </w:p>
        </w:tc>
      </w:tr>
      <w:tr w:rsidR="000A74CE" w:rsidRPr="00427237" w:rsidTr="00182EAF">
        <w:tc>
          <w:tcPr>
            <w:tcW w:w="9134" w:type="dxa"/>
          </w:tcPr>
          <w:p w:rsidR="000A74CE" w:rsidRPr="00427237" w:rsidRDefault="000A74CE" w:rsidP="00182EAF">
            <w:pPr>
              <w:spacing w:after="120" w:line="240" w:lineRule="auto"/>
              <w:rPr>
                <w:rFonts w:ascii="Arial Narrow" w:hAnsi="Arial Narrow"/>
                <w:szCs w:val="22"/>
                <w:lang w:val="en-US" w:eastAsia="ja-JP"/>
              </w:rPr>
            </w:pPr>
            <w:r w:rsidRPr="00427237">
              <w:rPr>
                <w:rFonts w:ascii="Arial Narrow" w:hAnsi="Arial Narrow"/>
                <w:szCs w:val="22"/>
                <w:lang w:val="en-US" w:eastAsia="ja-JP"/>
              </w:rPr>
              <w:t>MBS 56807</w:t>
            </w:r>
          </w:p>
          <w:p w:rsidR="000A74CE" w:rsidRPr="00427237" w:rsidRDefault="000A74CE" w:rsidP="00182EAF">
            <w:pPr>
              <w:spacing w:after="120" w:line="240" w:lineRule="auto"/>
              <w:rPr>
                <w:rFonts w:ascii="Arial Narrow" w:hAnsi="Arial Narrow"/>
                <w:szCs w:val="22"/>
                <w:lang w:val="en-US" w:eastAsia="ja-JP"/>
              </w:rPr>
            </w:pPr>
            <w:r w:rsidRPr="00427237">
              <w:rPr>
                <w:rFonts w:ascii="Arial Narrow" w:hAnsi="Arial Narrow"/>
                <w:szCs w:val="22"/>
                <w:lang w:val="en-US" w:eastAsia="ja-JP"/>
              </w:rPr>
              <w:t>COMPUTED TOMOGRAPHY - scan of chest, abdomen and pelvis with or without scans of soft tissues of neck with intravenous contrast medium and with any scans of chest, abdomen and pelvis with or without scans of soft tissue of neck prior to intravenous contrast injection, when undertaken, not including a study performed to exclude coronary artery calcification or image the coronary arteries (R) (K) (</w:t>
            </w:r>
            <w:proofErr w:type="spellStart"/>
            <w:r w:rsidRPr="00427237">
              <w:rPr>
                <w:rFonts w:ascii="Arial Narrow" w:hAnsi="Arial Narrow"/>
                <w:szCs w:val="22"/>
                <w:lang w:val="en-US" w:eastAsia="ja-JP"/>
              </w:rPr>
              <w:t>Anaes</w:t>
            </w:r>
            <w:proofErr w:type="spellEnd"/>
            <w:r w:rsidRPr="00427237">
              <w:rPr>
                <w:rFonts w:ascii="Arial Narrow" w:hAnsi="Arial Narrow"/>
                <w:szCs w:val="22"/>
                <w:lang w:val="en-US" w:eastAsia="ja-JP"/>
              </w:rPr>
              <w:t>.)</w:t>
            </w:r>
          </w:p>
          <w:p w:rsidR="000A74CE" w:rsidRPr="00427237" w:rsidRDefault="000A74CE" w:rsidP="00182EAF">
            <w:pPr>
              <w:spacing w:after="120" w:line="240" w:lineRule="auto"/>
              <w:rPr>
                <w:rFonts w:ascii="Arial Narrow" w:hAnsi="Arial Narrow"/>
                <w:szCs w:val="22"/>
                <w:lang w:val="en-US" w:eastAsia="ja-JP"/>
              </w:rPr>
            </w:pPr>
            <w:r w:rsidRPr="00427237">
              <w:rPr>
                <w:rFonts w:ascii="Arial Narrow" w:hAnsi="Arial Narrow"/>
                <w:szCs w:val="22"/>
                <w:lang w:val="en-US" w:eastAsia="ja-JP"/>
              </w:rPr>
              <w:t>Fee: $560.00</w:t>
            </w:r>
          </w:p>
        </w:tc>
      </w:tr>
      <w:tr w:rsidR="00DB3C72" w:rsidRPr="00427237" w:rsidTr="00182EAF">
        <w:tc>
          <w:tcPr>
            <w:tcW w:w="9134" w:type="dxa"/>
          </w:tcPr>
          <w:p w:rsidR="00DB3C72" w:rsidRPr="00427237" w:rsidRDefault="00DB3C72" w:rsidP="00182EAF">
            <w:pPr>
              <w:spacing w:after="120" w:line="240" w:lineRule="auto"/>
              <w:rPr>
                <w:rFonts w:ascii="Arial Narrow" w:hAnsi="Arial Narrow"/>
                <w:szCs w:val="22"/>
                <w:lang w:val="en-US" w:eastAsia="ja-JP"/>
              </w:rPr>
            </w:pPr>
            <w:r w:rsidRPr="00427237">
              <w:rPr>
                <w:rFonts w:ascii="Arial Narrow" w:hAnsi="Arial Narrow"/>
                <w:szCs w:val="22"/>
                <w:lang w:val="en-US" w:eastAsia="ja-JP"/>
              </w:rPr>
              <w:t>MBS 56307</w:t>
            </w:r>
          </w:p>
          <w:p w:rsidR="00DB3C72" w:rsidRPr="00427237" w:rsidRDefault="00DB3C72" w:rsidP="00182EAF">
            <w:pPr>
              <w:spacing w:after="120" w:line="240" w:lineRule="auto"/>
              <w:rPr>
                <w:rFonts w:ascii="Arial Narrow" w:hAnsi="Arial Narrow"/>
                <w:szCs w:val="22"/>
                <w:lang w:val="en-US" w:eastAsia="ja-JP"/>
              </w:rPr>
            </w:pPr>
            <w:r w:rsidRPr="00427237">
              <w:rPr>
                <w:rFonts w:ascii="Arial Narrow" w:hAnsi="Arial Narrow"/>
                <w:szCs w:val="22"/>
                <w:lang w:val="en-US" w:eastAsia="ja-JP"/>
              </w:rPr>
              <w:t>COMPUTED TOMOGRAPHY - scan of chest, including lungs, mediastinum, chest wall and pleura, with or without scans of the upper abdomen, with intravenous contrast medium and with any scans of the chest including lungs, mediastinum, chest wall or pleura and upper abdomen prior to intravenous contrast injection, when undertaken, not being a service to which item 56807 or 57007 applies and not including a study performed to exclude coronary artery calcification or image the coronary arteries (R) (K) (</w:t>
            </w:r>
            <w:proofErr w:type="spellStart"/>
            <w:r w:rsidRPr="00427237">
              <w:rPr>
                <w:rFonts w:ascii="Arial Narrow" w:hAnsi="Arial Narrow"/>
                <w:szCs w:val="22"/>
                <w:lang w:val="en-US" w:eastAsia="ja-JP"/>
              </w:rPr>
              <w:t>Anaes</w:t>
            </w:r>
            <w:proofErr w:type="spellEnd"/>
            <w:r w:rsidRPr="00427237">
              <w:rPr>
                <w:rFonts w:ascii="Arial Narrow" w:hAnsi="Arial Narrow"/>
                <w:szCs w:val="22"/>
                <w:lang w:val="en-US" w:eastAsia="ja-JP"/>
              </w:rPr>
              <w:t>.)</w:t>
            </w:r>
          </w:p>
          <w:p w:rsidR="00DB3C72" w:rsidRPr="00427237" w:rsidRDefault="00DB3C72" w:rsidP="00182EAF">
            <w:pPr>
              <w:spacing w:after="120" w:line="240" w:lineRule="auto"/>
              <w:rPr>
                <w:rFonts w:ascii="Arial Narrow" w:hAnsi="Arial Narrow"/>
                <w:szCs w:val="22"/>
                <w:lang w:val="en-US" w:eastAsia="ja-JP"/>
              </w:rPr>
            </w:pPr>
            <w:r w:rsidRPr="00427237">
              <w:rPr>
                <w:rFonts w:ascii="Arial Narrow" w:hAnsi="Arial Narrow"/>
                <w:szCs w:val="22"/>
                <w:lang w:val="en-US" w:eastAsia="ja-JP"/>
              </w:rPr>
              <w:t>Fee: $400.00</w:t>
            </w:r>
          </w:p>
        </w:tc>
      </w:tr>
    </w:tbl>
    <w:p w:rsidR="001D7835" w:rsidRPr="00427237" w:rsidRDefault="001D7835"/>
    <w:p w:rsidR="001D7835" w:rsidRPr="00427237" w:rsidRDefault="001D7835" w:rsidP="00156301">
      <w:pPr>
        <w:pStyle w:val="Caption"/>
        <w:ind w:left="0" w:firstLine="0"/>
      </w:pPr>
      <w:r w:rsidRPr="00427237">
        <w:t xml:space="preserve">Table </w:t>
      </w:r>
      <w:r w:rsidR="00BF57C1" w:rsidRPr="00427237">
        <w:rPr>
          <w:noProof/>
        </w:rPr>
        <w:t>11</w:t>
      </w:r>
      <w:r w:rsidRPr="00427237">
        <w:t>:</w:t>
      </w:r>
      <w:r w:rsidRPr="00427237">
        <w:tab/>
      </w:r>
      <w:r w:rsidRPr="00427237">
        <w:tab/>
        <w:t>MBS item descriptor for confirmatory standard diagnostic imaging techniques - CT. Items for imaging metastases</w:t>
      </w:r>
      <w:r w:rsidR="00156301" w:rsidRPr="00427237">
        <w:t xml:space="preserve"> (brain)</w:t>
      </w:r>
      <w:r w:rsidRPr="00427237">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1D7835" w:rsidRPr="00427237" w:rsidTr="00182EAF">
        <w:tc>
          <w:tcPr>
            <w:tcW w:w="9134" w:type="dxa"/>
          </w:tcPr>
          <w:p w:rsidR="001D7835" w:rsidRPr="00427237" w:rsidRDefault="001D7835" w:rsidP="00156301">
            <w:pPr>
              <w:spacing w:after="120" w:line="240" w:lineRule="auto"/>
              <w:jc w:val="right"/>
              <w:rPr>
                <w:rFonts w:ascii="Arial Narrow" w:hAnsi="Arial Narrow"/>
                <w:szCs w:val="22"/>
                <w:lang w:val="en-US" w:eastAsia="ja-JP"/>
              </w:rPr>
            </w:pPr>
            <w:r w:rsidRPr="00427237">
              <w:rPr>
                <w:rFonts w:ascii="Arial Narrow" w:hAnsi="Arial Narrow"/>
                <w:szCs w:val="22"/>
                <w:lang w:eastAsia="ja-JP"/>
              </w:rPr>
              <w:t>Category 5 – Diagnostic imaging services</w:t>
            </w:r>
          </w:p>
        </w:tc>
      </w:tr>
      <w:tr w:rsidR="00DB3C72" w:rsidRPr="00427237" w:rsidTr="00182EAF">
        <w:tc>
          <w:tcPr>
            <w:tcW w:w="9134" w:type="dxa"/>
          </w:tcPr>
          <w:p w:rsidR="00DB3C72" w:rsidRPr="00427237" w:rsidRDefault="00DB3C72" w:rsidP="00182EAF">
            <w:pPr>
              <w:spacing w:after="120" w:line="240" w:lineRule="auto"/>
              <w:rPr>
                <w:rFonts w:ascii="Arial Narrow" w:hAnsi="Arial Narrow"/>
                <w:szCs w:val="22"/>
                <w:lang w:val="en-US" w:eastAsia="ja-JP"/>
              </w:rPr>
            </w:pPr>
            <w:r w:rsidRPr="00427237">
              <w:rPr>
                <w:rFonts w:ascii="Arial Narrow" w:hAnsi="Arial Narrow"/>
                <w:szCs w:val="22"/>
                <w:lang w:val="en-US" w:eastAsia="ja-JP"/>
              </w:rPr>
              <w:t>MBS 56007</w:t>
            </w:r>
          </w:p>
          <w:p w:rsidR="00DB3C72" w:rsidRPr="00427237" w:rsidRDefault="00DB3C72" w:rsidP="00182EAF">
            <w:pPr>
              <w:spacing w:after="120" w:line="240" w:lineRule="auto"/>
              <w:rPr>
                <w:rFonts w:ascii="Arial Narrow" w:hAnsi="Arial Narrow"/>
                <w:szCs w:val="22"/>
                <w:lang w:val="en-US" w:eastAsia="ja-JP"/>
              </w:rPr>
            </w:pPr>
            <w:r w:rsidRPr="00427237">
              <w:rPr>
                <w:rFonts w:ascii="Arial Narrow" w:hAnsi="Arial Narrow"/>
                <w:szCs w:val="22"/>
                <w:lang w:val="en-US" w:eastAsia="ja-JP"/>
              </w:rPr>
              <w:t>COMPUTED TOMOGRAPHY - scan of brain with intravenous contrast medium and with any scans of the brain prior to intravenous contrast injection, when undertaken, not being a service to which item 57007 applies (R) (K) (</w:t>
            </w:r>
            <w:proofErr w:type="spellStart"/>
            <w:r w:rsidRPr="00427237">
              <w:rPr>
                <w:rFonts w:ascii="Arial Narrow" w:hAnsi="Arial Narrow"/>
                <w:szCs w:val="22"/>
                <w:lang w:val="en-US" w:eastAsia="ja-JP"/>
              </w:rPr>
              <w:t>Anaes</w:t>
            </w:r>
            <w:proofErr w:type="spellEnd"/>
            <w:r w:rsidRPr="00427237">
              <w:rPr>
                <w:rFonts w:ascii="Arial Narrow" w:hAnsi="Arial Narrow"/>
                <w:szCs w:val="22"/>
                <w:lang w:val="en-US" w:eastAsia="ja-JP"/>
              </w:rPr>
              <w:t>.)</w:t>
            </w:r>
          </w:p>
          <w:p w:rsidR="00DB3C72" w:rsidRPr="00427237" w:rsidRDefault="00DB3C72" w:rsidP="00182EAF">
            <w:pPr>
              <w:spacing w:after="120" w:line="240" w:lineRule="auto"/>
              <w:rPr>
                <w:rFonts w:ascii="Arial Narrow" w:hAnsi="Arial Narrow"/>
                <w:szCs w:val="22"/>
                <w:lang w:val="en-US" w:eastAsia="ja-JP"/>
              </w:rPr>
            </w:pPr>
            <w:r w:rsidRPr="00427237">
              <w:rPr>
                <w:rFonts w:ascii="Arial Narrow" w:hAnsi="Arial Narrow"/>
                <w:szCs w:val="22"/>
                <w:lang w:val="en-US" w:eastAsia="ja-JP"/>
              </w:rPr>
              <w:t>Fee: $250.00</w:t>
            </w:r>
          </w:p>
        </w:tc>
      </w:tr>
    </w:tbl>
    <w:p w:rsidR="000A74CE" w:rsidRPr="00427237" w:rsidRDefault="000A74CE" w:rsidP="000A74CE"/>
    <w:p w:rsidR="000A74CE" w:rsidRPr="00427237" w:rsidRDefault="00BE4356" w:rsidP="00BE4356">
      <w:pPr>
        <w:pStyle w:val="Caption"/>
      </w:pPr>
      <w:r w:rsidRPr="00427237">
        <w:t xml:space="preserve">Table </w:t>
      </w:r>
      <w:r w:rsidR="00BF57C1" w:rsidRPr="00427237">
        <w:rPr>
          <w:noProof/>
        </w:rPr>
        <w:t>12</w:t>
      </w:r>
      <w:r w:rsidR="000A74CE" w:rsidRPr="00427237">
        <w:t>:</w:t>
      </w:r>
      <w:r w:rsidR="000A74CE" w:rsidRPr="00427237">
        <w:tab/>
      </w:r>
      <w:r w:rsidR="000A74CE" w:rsidRPr="00427237">
        <w:tab/>
        <w:t xml:space="preserve">MBS item descriptor for </w:t>
      </w:r>
      <w:r w:rsidR="001E1AE2" w:rsidRPr="00427237">
        <w:t>(</w:t>
      </w:r>
      <w:r w:rsidR="009605CE" w:rsidRPr="00427237">
        <w:t>confirmatory</w:t>
      </w:r>
      <w:r w:rsidR="001E1AE2" w:rsidRPr="00427237">
        <w:t>)</w:t>
      </w:r>
      <w:r w:rsidR="009605CE" w:rsidRPr="00427237">
        <w:t xml:space="preserve"> standard</w:t>
      </w:r>
      <w:r w:rsidR="000A74CE" w:rsidRPr="00427237">
        <w:t xml:space="preserve"> diagnostic imaging techniques - MRI.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0A74CE" w:rsidRPr="00427237" w:rsidTr="00182EAF">
        <w:tc>
          <w:tcPr>
            <w:tcW w:w="9134" w:type="dxa"/>
          </w:tcPr>
          <w:p w:rsidR="000A74CE" w:rsidRPr="00427237" w:rsidRDefault="000A74CE" w:rsidP="00182EAF">
            <w:pPr>
              <w:spacing w:after="120" w:line="240" w:lineRule="auto"/>
              <w:jc w:val="right"/>
              <w:rPr>
                <w:rFonts w:ascii="Arial Narrow" w:hAnsi="Arial Narrow"/>
                <w:szCs w:val="22"/>
                <w:lang w:val="en-US" w:eastAsia="ja-JP"/>
              </w:rPr>
            </w:pPr>
            <w:r w:rsidRPr="00427237">
              <w:rPr>
                <w:rFonts w:ascii="Arial Narrow" w:hAnsi="Arial Narrow"/>
                <w:szCs w:val="22"/>
                <w:lang w:eastAsia="ja-JP"/>
              </w:rPr>
              <w:t>Category 5 – Diagnostic imaging services</w:t>
            </w:r>
          </w:p>
        </w:tc>
      </w:tr>
      <w:tr w:rsidR="00CA0A1C" w:rsidRPr="00427237" w:rsidTr="00182EAF">
        <w:tc>
          <w:tcPr>
            <w:tcW w:w="9134" w:type="dxa"/>
          </w:tcPr>
          <w:p w:rsidR="00CA0A1C" w:rsidRPr="00427237" w:rsidRDefault="00CA0A1C" w:rsidP="00182EAF">
            <w:pPr>
              <w:spacing w:after="120" w:line="240" w:lineRule="auto"/>
              <w:rPr>
                <w:rFonts w:ascii="Arial Narrow" w:hAnsi="Arial Narrow"/>
                <w:szCs w:val="22"/>
                <w:lang w:val="en-US" w:eastAsia="ja-JP"/>
              </w:rPr>
            </w:pPr>
            <w:r w:rsidRPr="00427237">
              <w:rPr>
                <w:rFonts w:ascii="Arial Narrow" w:hAnsi="Arial Narrow"/>
                <w:szCs w:val="22"/>
                <w:lang w:val="en-US" w:eastAsia="ja-JP"/>
              </w:rPr>
              <w:t>MBS 63457</w:t>
            </w:r>
          </w:p>
          <w:p w:rsidR="00CA0A1C" w:rsidRPr="00427237" w:rsidRDefault="00CA0A1C" w:rsidP="00CA0A1C">
            <w:pPr>
              <w:spacing w:after="120" w:line="240" w:lineRule="auto"/>
              <w:rPr>
                <w:rFonts w:ascii="Arial Narrow" w:hAnsi="Arial Narrow"/>
                <w:szCs w:val="22"/>
                <w:lang w:val="en-US" w:eastAsia="ja-JP"/>
              </w:rPr>
            </w:pPr>
            <w:r w:rsidRPr="00427237">
              <w:rPr>
                <w:rFonts w:ascii="Arial Narrow" w:hAnsi="Arial Narrow"/>
                <w:szCs w:val="22"/>
                <w:lang w:val="en-US" w:eastAsia="ja-JP"/>
              </w:rPr>
              <w:t xml:space="preserve">MAGNETIC RESONANCE IMAGING performed under the professional supervision of an eligible provider at an eligible location where the patient is referred by a specialist or by a consultant physician and where:  </w:t>
            </w:r>
          </w:p>
          <w:p w:rsidR="00CA0A1C" w:rsidRPr="00427237" w:rsidRDefault="00CA0A1C" w:rsidP="00156301">
            <w:pPr>
              <w:pStyle w:val="ListParagraph"/>
              <w:numPr>
                <w:ilvl w:val="0"/>
                <w:numId w:val="49"/>
              </w:numPr>
              <w:spacing w:after="120" w:line="240" w:lineRule="auto"/>
              <w:rPr>
                <w:rFonts w:ascii="Arial Narrow" w:hAnsi="Arial Narrow"/>
                <w:szCs w:val="22"/>
                <w:lang w:val="en-US" w:eastAsia="ja-JP"/>
              </w:rPr>
            </w:pPr>
            <w:r w:rsidRPr="00427237">
              <w:rPr>
                <w:rFonts w:ascii="Arial Narrow" w:hAnsi="Arial Narrow"/>
                <w:szCs w:val="22"/>
                <w:lang w:val="en-US" w:eastAsia="ja-JP"/>
              </w:rPr>
              <w:t>a dedicated breast coil is used; and</w:t>
            </w:r>
          </w:p>
          <w:p w:rsidR="00CA0A1C" w:rsidRPr="00427237" w:rsidRDefault="00CA0A1C" w:rsidP="00156301">
            <w:pPr>
              <w:pStyle w:val="ListParagraph"/>
              <w:numPr>
                <w:ilvl w:val="0"/>
                <w:numId w:val="49"/>
              </w:numPr>
              <w:spacing w:after="120" w:line="240" w:lineRule="auto"/>
              <w:rPr>
                <w:rFonts w:ascii="Arial Narrow" w:hAnsi="Arial Narrow"/>
                <w:szCs w:val="22"/>
                <w:lang w:val="en-US" w:eastAsia="ja-JP"/>
              </w:rPr>
            </w:pPr>
            <w:r w:rsidRPr="00427237">
              <w:rPr>
                <w:rFonts w:ascii="Arial Narrow" w:hAnsi="Arial Narrow"/>
                <w:szCs w:val="22"/>
                <w:lang w:val="en-US" w:eastAsia="ja-JP"/>
              </w:rPr>
              <w:t>the request for scan identifies that the person is asymptomatic and is less than 50 years of age; and</w:t>
            </w:r>
          </w:p>
          <w:p w:rsidR="00CA0A1C" w:rsidRPr="00427237" w:rsidRDefault="00CA0A1C" w:rsidP="00156301">
            <w:pPr>
              <w:pStyle w:val="ListParagraph"/>
              <w:numPr>
                <w:ilvl w:val="0"/>
                <w:numId w:val="49"/>
              </w:numPr>
              <w:spacing w:after="120" w:line="240" w:lineRule="auto"/>
              <w:rPr>
                <w:rFonts w:ascii="Arial Narrow" w:hAnsi="Arial Narrow"/>
                <w:szCs w:val="22"/>
                <w:lang w:val="en-US" w:eastAsia="ja-JP"/>
              </w:rPr>
            </w:pPr>
            <w:r w:rsidRPr="00427237">
              <w:rPr>
                <w:rFonts w:ascii="Arial Narrow" w:hAnsi="Arial Narrow"/>
                <w:szCs w:val="22"/>
                <w:lang w:val="en-US" w:eastAsia="ja-JP"/>
              </w:rPr>
              <w:t>the request for scan identifies either:</w:t>
            </w:r>
          </w:p>
          <w:p w:rsidR="00CA0A1C" w:rsidRPr="00427237" w:rsidRDefault="00CA0A1C" w:rsidP="00156301">
            <w:pPr>
              <w:pStyle w:val="ListParagraph"/>
              <w:numPr>
                <w:ilvl w:val="1"/>
                <w:numId w:val="49"/>
              </w:numPr>
              <w:spacing w:after="120" w:line="240" w:lineRule="auto"/>
              <w:rPr>
                <w:rFonts w:ascii="Arial Narrow" w:hAnsi="Arial Narrow"/>
                <w:szCs w:val="22"/>
                <w:lang w:val="en-US" w:eastAsia="ja-JP"/>
              </w:rPr>
            </w:pPr>
            <w:r w:rsidRPr="00427237">
              <w:rPr>
                <w:rFonts w:ascii="Arial Narrow" w:hAnsi="Arial Narrow"/>
                <w:szCs w:val="22"/>
                <w:lang w:val="en-US" w:eastAsia="ja-JP"/>
              </w:rPr>
              <w:t>that the patient is at high risk of developing breast cancer, due to 1 of the following:</w:t>
            </w:r>
          </w:p>
          <w:p w:rsidR="00CA0A1C" w:rsidRPr="00427237" w:rsidRDefault="00CA0A1C" w:rsidP="00156301">
            <w:pPr>
              <w:pStyle w:val="ListParagraph"/>
              <w:numPr>
                <w:ilvl w:val="2"/>
                <w:numId w:val="49"/>
              </w:numPr>
              <w:spacing w:after="120" w:line="240" w:lineRule="auto"/>
              <w:rPr>
                <w:rFonts w:ascii="Arial Narrow" w:hAnsi="Arial Narrow"/>
                <w:szCs w:val="22"/>
                <w:lang w:val="en-US" w:eastAsia="ja-JP"/>
              </w:rPr>
            </w:pPr>
            <w:r w:rsidRPr="00427237">
              <w:rPr>
                <w:rFonts w:ascii="Arial Narrow" w:hAnsi="Arial Narrow"/>
                <w:szCs w:val="22"/>
                <w:lang w:val="en-US" w:eastAsia="ja-JP"/>
              </w:rPr>
              <w:t>3 or more first or second degree relatives on the same side of the family diagnosed with breast or ovarian cancer;</w:t>
            </w:r>
          </w:p>
          <w:p w:rsidR="00CA0A1C" w:rsidRPr="00427237" w:rsidRDefault="00CA0A1C" w:rsidP="00156301">
            <w:pPr>
              <w:pStyle w:val="ListParagraph"/>
              <w:numPr>
                <w:ilvl w:val="2"/>
                <w:numId w:val="49"/>
              </w:numPr>
              <w:spacing w:after="120" w:line="240" w:lineRule="auto"/>
              <w:rPr>
                <w:rFonts w:ascii="Arial Narrow" w:hAnsi="Arial Narrow"/>
                <w:szCs w:val="22"/>
                <w:lang w:val="en-US" w:eastAsia="ja-JP"/>
              </w:rPr>
            </w:pPr>
            <w:r w:rsidRPr="00427237">
              <w:rPr>
                <w:rFonts w:ascii="Arial Narrow" w:hAnsi="Arial Narrow"/>
                <w:szCs w:val="22"/>
                <w:lang w:val="en-US" w:eastAsia="ja-JP"/>
              </w:rPr>
              <w:t xml:space="preserve">2 or more first or second degree relatives on the same side of the family diagnosed with breast or ovarian cancer,  if any of the following applies to at least 1 of the relatives: </w:t>
            </w:r>
          </w:p>
          <w:p w:rsidR="00CA0A1C" w:rsidRPr="00427237" w:rsidRDefault="00CA0A1C" w:rsidP="00156301">
            <w:pPr>
              <w:pStyle w:val="ListParagraph"/>
              <w:numPr>
                <w:ilvl w:val="3"/>
                <w:numId w:val="49"/>
              </w:numPr>
              <w:spacing w:after="120" w:line="240" w:lineRule="auto"/>
              <w:rPr>
                <w:rFonts w:ascii="Arial Narrow" w:hAnsi="Arial Narrow"/>
                <w:szCs w:val="22"/>
                <w:lang w:val="en-US" w:eastAsia="ja-JP"/>
              </w:rPr>
            </w:pPr>
            <w:r w:rsidRPr="00427237">
              <w:rPr>
                <w:rFonts w:ascii="Arial Narrow" w:hAnsi="Arial Narrow"/>
                <w:szCs w:val="22"/>
                <w:lang w:val="en-US" w:eastAsia="ja-JP"/>
              </w:rPr>
              <w:t>has been diagnosed with bilateral breast cancer;</w:t>
            </w:r>
          </w:p>
          <w:p w:rsidR="00CA0A1C" w:rsidRPr="00427237" w:rsidRDefault="00CA0A1C" w:rsidP="00156301">
            <w:pPr>
              <w:pStyle w:val="ListParagraph"/>
              <w:numPr>
                <w:ilvl w:val="3"/>
                <w:numId w:val="49"/>
              </w:numPr>
              <w:spacing w:after="120" w:line="240" w:lineRule="auto"/>
              <w:rPr>
                <w:rFonts w:ascii="Arial Narrow" w:hAnsi="Arial Narrow"/>
                <w:szCs w:val="22"/>
                <w:lang w:val="en-US" w:eastAsia="ja-JP"/>
              </w:rPr>
            </w:pPr>
            <w:r w:rsidRPr="00427237">
              <w:rPr>
                <w:rFonts w:ascii="Arial Narrow" w:hAnsi="Arial Narrow"/>
                <w:szCs w:val="22"/>
                <w:lang w:val="en-US" w:eastAsia="ja-JP"/>
              </w:rPr>
              <w:t>had onset of breast cancer before the age of 40 years;</w:t>
            </w:r>
          </w:p>
          <w:p w:rsidR="00CA0A1C" w:rsidRPr="00427237" w:rsidRDefault="00CA0A1C" w:rsidP="00156301">
            <w:pPr>
              <w:pStyle w:val="ListParagraph"/>
              <w:numPr>
                <w:ilvl w:val="3"/>
                <w:numId w:val="49"/>
              </w:numPr>
              <w:spacing w:after="120" w:line="240" w:lineRule="auto"/>
              <w:rPr>
                <w:rFonts w:ascii="Arial Narrow" w:hAnsi="Arial Narrow"/>
                <w:szCs w:val="22"/>
                <w:lang w:val="en-US" w:eastAsia="ja-JP"/>
              </w:rPr>
            </w:pPr>
            <w:r w:rsidRPr="00427237">
              <w:rPr>
                <w:rFonts w:ascii="Arial Narrow" w:hAnsi="Arial Narrow"/>
                <w:szCs w:val="22"/>
                <w:lang w:val="en-US" w:eastAsia="ja-JP"/>
              </w:rPr>
              <w:t>had onset of ovarian cancer before the age of 50 years;</w:t>
            </w:r>
          </w:p>
          <w:p w:rsidR="00CA0A1C" w:rsidRPr="00427237" w:rsidRDefault="00CA0A1C" w:rsidP="00156301">
            <w:pPr>
              <w:pStyle w:val="ListParagraph"/>
              <w:numPr>
                <w:ilvl w:val="3"/>
                <w:numId w:val="49"/>
              </w:numPr>
              <w:spacing w:after="120" w:line="240" w:lineRule="auto"/>
              <w:rPr>
                <w:rFonts w:ascii="Arial Narrow" w:hAnsi="Arial Narrow"/>
                <w:szCs w:val="22"/>
                <w:lang w:val="en-US" w:eastAsia="ja-JP"/>
              </w:rPr>
            </w:pPr>
            <w:r w:rsidRPr="00427237">
              <w:rPr>
                <w:rFonts w:ascii="Arial Narrow" w:hAnsi="Arial Narrow"/>
                <w:szCs w:val="22"/>
                <w:lang w:val="en-US" w:eastAsia="ja-JP"/>
              </w:rPr>
              <w:t>has been diagnosed with breast and ovarian cancer, at the same time or at different times;</w:t>
            </w:r>
          </w:p>
          <w:p w:rsidR="00CA0A1C" w:rsidRPr="00427237" w:rsidRDefault="00CA0A1C" w:rsidP="00156301">
            <w:pPr>
              <w:pStyle w:val="ListParagraph"/>
              <w:numPr>
                <w:ilvl w:val="3"/>
                <w:numId w:val="49"/>
              </w:numPr>
              <w:spacing w:after="120" w:line="240" w:lineRule="auto"/>
              <w:rPr>
                <w:rFonts w:ascii="Arial Narrow" w:hAnsi="Arial Narrow"/>
                <w:szCs w:val="22"/>
                <w:lang w:val="en-US" w:eastAsia="ja-JP"/>
              </w:rPr>
            </w:pPr>
            <w:r w:rsidRPr="00427237">
              <w:rPr>
                <w:rFonts w:ascii="Arial Narrow" w:hAnsi="Arial Narrow"/>
                <w:szCs w:val="22"/>
                <w:lang w:val="en-US" w:eastAsia="ja-JP"/>
              </w:rPr>
              <w:lastRenderedPageBreak/>
              <w:t>has Ashkenazi Jewish ancestry;</w:t>
            </w:r>
          </w:p>
          <w:p w:rsidR="00CA0A1C" w:rsidRPr="00427237" w:rsidRDefault="00CA0A1C" w:rsidP="00156301">
            <w:pPr>
              <w:pStyle w:val="ListParagraph"/>
              <w:numPr>
                <w:ilvl w:val="3"/>
                <w:numId w:val="49"/>
              </w:numPr>
              <w:spacing w:after="120" w:line="240" w:lineRule="auto"/>
              <w:rPr>
                <w:rFonts w:ascii="Arial Narrow" w:hAnsi="Arial Narrow"/>
                <w:szCs w:val="22"/>
                <w:lang w:val="en-US" w:eastAsia="ja-JP"/>
              </w:rPr>
            </w:pPr>
            <w:r w:rsidRPr="00427237">
              <w:rPr>
                <w:rFonts w:ascii="Arial Narrow" w:hAnsi="Arial Narrow"/>
                <w:szCs w:val="22"/>
                <w:lang w:val="en-US" w:eastAsia="ja-JP"/>
              </w:rPr>
              <w:t>is a male relative who has been diagnosed with breast cancer;</w:t>
            </w:r>
          </w:p>
          <w:p w:rsidR="00CA0A1C" w:rsidRPr="00427237" w:rsidRDefault="00CA0A1C" w:rsidP="00156301">
            <w:pPr>
              <w:pStyle w:val="ListParagraph"/>
              <w:numPr>
                <w:ilvl w:val="2"/>
                <w:numId w:val="49"/>
              </w:numPr>
              <w:spacing w:after="120" w:line="240" w:lineRule="auto"/>
              <w:rPr>
                <w:rFonts w:ascii="Arial Narrow" w:hAnsi="Arial Narrow"/>
                <w:szCs w:val="22"/>
                <w:lang w:val="en-US" w:eastAsia="ja-JP"/>
              </w:rPr>
            </w:pPr>
            <w:r w:rsidRPr="00427237">
              <w:rPr>
                <w:rFonts w:ascii="Arial Narrow" w:hAnsi="Arial Narrow"/>
                <w:szCs w:val="22"/>
                <w:lang w:val="en-US" w:eastAsia="ja-JP"/>
              </w:rPr>
              <w:t>1 first or second degree relative diagnosed with breast cancer at age 45 years or younger, plus another first or second degree relative on the same side of the family with bone or soft tissue sarcoma at age 45 years or younger; or</w:t>
            </w:r>
          </w:p>
          <w:p w:rsidR="00CA0A1C" w:rsidRPr="00427237" w:rsidRDefault="00CA0A1C" w:rsidP="00156301">
            <w:pPr>
              <w:pStyle w:val="ListParagraph"/>
              <w:numPr>
                <w:ilvl w:val="1"/>
                <w:numId w:val="49"/>
              </w:numPr>
              <w:spacing w:after="120" w:line="240" w:lineRule="auto"/>
              <w:rPr>
                <w:rFonts w:ascii="Arial Narrow" w:hAnsi="Arial Narrow"/>
                <w:szCs w:val="22"/>
                <w:lang w:val="en-US" w:eastAsia="ja-JP"/>
              </w:rPr>
            </w:pPr>
            <w:proofErr w:type="gramStart"/>
            <w:r w:rsidRPr="00427237">
              <w:rPr>
                <w:rFonts w:ascii="Arial Narrow" w:hAnsi="Arial Narrow"/>
                <w:szCs w:val="22"/>
                <w:lang w:val="en-US" w:eastAsia="ja-JP"/>
              </w:rPr>
              <w:t>that</w:t>
            </w:r>
            <w:proofErr w:type="gramEnd"/>
            <w:r w:rsidRPr="00427237">
              <w:rPr>
                <w:rFonts w:ascii="Arial Narrow" w:hAnsi="Arial Narrow"/>
                <w:szCs w:val="22"/>
                <w:lang w:val="en-US" w:eastAsia="ja-JP"/>
              </w:rPr>
              <w:t xml:space="preserve"> genetic testing has identified the presence of a high risk breast cancer gene mutation.</w:t>
            </w:r>
          </w:p>
          <w:p w:rsidR="00CA0A1C" w:rsidRPr="00427237" w:rsidRDefault="00CA0A1C" w:rsidP="00CA0A1C">
            <w:pPr>
              <w:spacing w:after="120" w:line="240" w:lineRule="auto"/>
              <w:rPr>
                <w:rFonts w:ascii="Arial Narrow" w:hAnsi="Arial Narrow"/>
                <w:szCs w:val="22"/>
                <w:lang w:val="en-US" w:eastAsia="ja-JP"/>
              </w:rPr>
            </w:pPr>
            <w:r w:rsidRPr="00427237">
              <w:rPr>
                <w:rFonts w:ascii="Arial Narrow" w:hAnsi="Arial Narrow"/>
                <w:szCs w:val="22"/>
                <w:lang w:val="en-US" w:eastAsia="ja-JP"/>
              </w:rPr>
              <w:t>Scan of both breasts for:</w:t>
            </w:r>
          </w:p>
          <w:p w:rsidR="00CA0A1C" w:rsidRPr="00427237" w:rsidRDefault="00CA0A1C" w:rsidP="00156301">
            <w:pPr>
              <w:pStyle w:val="ListParagraph"/>
              <w:numPr>
                <w:ilvl w:val="0"/>
                <w:numId w:val="51"/>
              </w:numPr>
              <w:spacing w:after="120" w:line="240" w:lineRule="auto"/>
              <w:rPr>
                <w:rFonts w:ascii="Arial Narrow" w:hAnsi="Arial Narrow"/>
                <w:szCs w:val="22"/>
                <w:lang w:val="en-US" w:eastAsia="ja-JP"/>
              </w:rPr>
            </w:pPr>
            <w:r w:rsidRPr="00427237">
              <w:rPr>
                <w:rFonts w:ascii="Arial Narrow" w:hAnsi="Arial Narrow"/>
                <w:szCs w:val="22"/>
                <w:lang w:val="en-US" w:eastAsia="ja-JP"/>
              </w:rPr>
              <w:t>detection of cancer (R)</w:t>
            </w:r>
          </w:p>
          <w:p w:rsidR="00CA0A1C" w:rsidRPr="00427237" w:rsidRDefault="00CA0A1C" w:rsidP="00CA0A1C">
            <w:pPr>
              <w:spacing w:after="120" w:line="240" w:lineRule="auto"/>
              <w:rPr>
                <w:rFonts w:ascii="Arial Narrow" w:hAnsi="Arial Narrow"/>
                <w:szCs w:val="22"/>
                <w:lang w:val="en-US" w:eastAsia="ja-JP"/>
              </w:rPr>
            </w:pPr>
            <w:r w:rsidRPr="00427237">
              <w:rPr>
                <w:rFonts w:ascii="Arial Narrow" w:hAnsi="Arial Narrow"/>
                <w:szCs w:val="22"/>
                <w:lang w:val="en-US" w:eastAsia="ja-JP"/>
              </w:rPr>
              <w:t>NOTE: Benefits are payable on one occasion only in any 12 month period. (NK) (</w:t>
            </w:r>
            <w:proofErr w:type="spellStart"/>
            <w:r w:rsidRPr="00427237">
              <w:rPr>
                <w:rFonts w:ascii="Arial Narrow" w:hAnsi="Arial Narrow"/>
                <w:szCs w:val="22"/>
                <w:lang w:val="en-US" w:eastAsia="ja-JP"/>
              </w:rPr>
              <w:t>Anaes</w:t>
            </w:r>
            <w:proofErr w:type="spellEnd"/>
            <w:r w:rsidRPr="00427237">
              <w:rPr>
                <w:rFonts w:ascii="Arial Narrow" w:hAnsi="Arial Narrow"/>
                <w:szCs w:val="22"/>
                <w:lang w:val="en-US" w:eastAsia="ja-JP"/>
              </w:rPr>
              <w:t xml:space="preserve">.) </w:t>
            </w:r>
          </w:p>
          <w:p w:rsidR="00CA0A1C" w:rsidRPr="00427237" w:rsidRDefault="00CA0A1C" w:rsidP="00CA0A1C">
            <w:pPr>
              <w:spacing w:after="120" w:line="240" w:lineRule="auto"/>
              <w:rPr>
                <w:rFonts w:ascii="Arial Narrow" w:hAnsi="Arial Narrow"/>
                <w:szCs w:val="22"/>
                <w:lang w:val="en-US" w:eastAsia="ja-JP"/>
              </w:rPr>
            </w:pPr>
            <w:r w:rsidRPr="00427237">
              <w:rPr>
                <w:rFonts w:ascii="Arial Narrow" w:hAnsi="Arial Narrow"/>
                <w:szCs w:val="22"/>
                <w:lang w:val="en-US" w:eastAsia="ja-JP"/>
              </w:rPr>
              <w:t>Fee: $345.00</w:t>
            </w:r>
          </w:p>
        </w:tc>
      </w:tr>
      <w:tr w:rsidR="00CA0A1C" w:rsidRPr="00427237" w:rsidTr="00182EAF">
        <w:tc>
          <w:tcPr>
            <w:tcW w:w="9134" w:type="dxa"/>
          </w:tcPr>
          <w:p w:rsidR="00CA0A1C" w:rsidRPr="00427237" w:rsidRDefault="008569C2" w:rsidP="00182EAF">
            <w:pPr>
              <w:spacing w:after="120" w:line="240" w:lineRule="auto"/>
              <w:rPr>
                <w:rFonts w:ascii="Arial Narrow" w:hAnsi="Arial Narrow"/>
                <w:szCs w:val="22"/>
                <w:lang w:val="en-US" w:eastAsia="ja-JP"/>
              </w:rPr>
            </w:pPr>
            <w:r w:rsidRPr="00427237">
              <w:rPr>
                <w:rFonts w:ascii="Arial Narrow" w:hAnsi="Arial Narrow"/>
                <w:szCs w:val="22"/>
                <w:lang w:val="en-US" w:eastAsia="ja-JP"/>
              </w:rPr>
              <w:lastRenderedPageBreak/>
              <w:t>MBS 63458</w:t>
            </w:r>
          </w:p>
          <w:p w:rsidR="008569C2" w:rsidRPr="00427237" w:rsidRDefault="008569C2" w:rsidP="008569C2">
            <w:pPr>
              <w:spacing w:after="120" w:line="240" w:lineRule="auto"/>
              <w:rPr>
                <w:rFonts w:ascii="Arial Narrow" w:hAnsi="Arial Narrow"/>
                <w:szCs w:val="22"/>
                <w:lang w:val="en-US" w:eastAsia="ja-JP"/>
              </w:rPr>
            </w:pPr>
            <w:r w:rsidRPr="00427237">
              <w:rPr>
                <w:rFonts w:ascii="Arial Narrow" w:hAnsi="Arial Narrow"/>
                <w:szCs w:val="22"/>
                <w:lang w:val="en-US" w:eastAsia="ja-JP"/>
              </w:rPr>
              <w:t>MAGNETIC RESONANCE IMAGING performed under the professional supervision of an eligible provider at an eligible location where the patient is referred by a specialist or by a consultant physician and where:</w:t>
            </w:r>
          </w:p>
          <w:p w:rsidR="008569C2" w:rsidRPr="00427237" w:rsidRDefault="008569C2" w:rsidP="00156301">
            <w:pPr>
              <w:pStyle w:val="ListParagraph"/>
              <w:numPr>
                <w:ilvl w:val="0"/>
                <w:numId w:val="53"/>
              </w:numPr>
              <w:spacing w:after="120" w:line="240" w:lineRule="auto"/>
              <w:rPr>
                <w:rFonts w:ascii="Arial Narrow" w:hAnsi="Arial Narrow"/>
                <w:szCs w:val="22"/>
                <w:lang w:val="en-US" w:eastAsia="ja-JP"/>
              </w:rPr>
            </w:pPr>
            <w:r w:rsidRPr="00427237">
              <w:rPr>
                <w:rFonts w:ascii="Arial Narrow" w:hAnsi="Arial Narrow"/>
                <w:szCs w:val="22"/>
                <w:lang w:val="en-US" w:eastAsia="ja-JP"/>
              </w:rPr>
              <w:t>dedicated breast coil is used; and</w:t>
            </w:r>
          </w:p>
          <w:p w:rsidR="008569C2" w:rsidRPr="00427237" w:rsidRDefault="008569C2" w:rsidP="00156301">
            <w:pPr>
              <w:pStyle w:val="ListParagraph"/>
              <w:numPr>
                <w:ilvl w:val="0"/>
                <w:numId w:val="53"/>
              </w:numPr>
              <w:spacing w:after="120" w:line="240" w:lineRule="auto"/>
              <w:rPr>
                <w:rFonts w:ascii="Arial Narrow" w:hAnsi="Arial Narrow"/>
                <w:szCs w:val="22"/>
                <w:lang w:val="en-US" w:eastAsia="ja-JP"/>
              </w:rPr>
            </w:pPr>
            <w:r w:rsidRPr="00427237">
              <w:rPr>
                <w:rFonts w:ascii="Arial Narrow" w:hAnsi="Arial Narrow"/>
                <w:szCs w:val="22"/>
                <w:lang w:val="en-US" w:eastAsia="ja-JP"/>
              </w:rPr>
              <w:t>the person has had an abnormality detected as a result of a service described in item 63464 or 63457 performed in the previous 12 months</w:t>
            </w:r>
          </w:p>
          <w:p w:rsidR="008569C2" w:rsidRPr="00427237" w:rsidRDefault="008569C2" w:rsidP="008569C2">
            <w:pPr>
              <w:spacing w:after="120" w:line="240" w:lineRule="auto"/>
              <w:rPr>
                <w:rFonts w:ascii="Arial Narrow" w:hAnsi="Arial Narrow"/>
                <w:szCs w:val="22"/>
                <w:lang w:val="en-US" w:eastAsia="ja-JP"/>
              </w:rPr>
            </w:pPr>
            <w:r w:rsidRPr="00427237">
              <w:rPr>
                <w:rFonts w:ascii="Arial Narrow" w:hAnsi="Arial Narrow"/>
                <w:szCs w:val="22"/>
                <w:lang w:val="en-US" w:eastAsia="ja-JP"/>
              </w:rPr>
              <w:t>Scan of both breasts for:</w:t>
            </w:r>
          </w:p>
          <w:p w:rsidR="008569C2" w:rsidRPr="00427237" w:rsidRDefault="008569C2" w:rsidP="008E1A5B">
            <w:pPr>
              <w:pStyle w:val="ListParagraph"/>
              <w:numPr>
                <w:ilvl w:val="0"/>
                <w:numId w:val="51"/>
              </w:numPr>
              <w:spacing w:after="120" w:line="240" w:lineRule="auto"/>
              <w:rPr>
                <w:rFonts w:ascii="Arial Narrow" w:hAnsi="Arial Narrow"/>
                <w:szCs w:val="22"/>
                <w:lang w:val="en-US" w:eastAsia="ja-JP"/>
              </w:rPr>
            </w:pPr>
            <w:r w:rsidRPr="00427237">
              <w:rPr>
                <w:rFonts w:ascii="Arial Narrow" w:hAnsi="Arial Narrow"/>
                <w:szCs w:val="22"/>
                <w:lang w:val="en-US" w:eastAsia="ja-JP"/>
              </w:rPr>
              <w:t>detection of cancer (R)</w:t>
            </w:r>
          </w:p>
          <w:p w:rsidR="008569C2" w:rsidRPr="00427237" w:rsidRDefault="008569C2" w:rsidP="008569C2">
            <w:pPr>
              <w:spacing w:after="120" w:line="240" w:lineRule="auto"/>
              <w:rPr>
                <w:rFonts w:ascii="Arial Narrow" w:hAnsi="Arial Narrow"/>
                <w:szCs w:val="22"/>
                <w:lang w:val="en-US" w:eastAsia="ja-JP"/>
              </w:rPr>
            </w:pPr>
            <w:r w:rsidRPr="00427237">
              <w:rPr>
                <w:rFonts w:ascii="Arial Narrow" w:hAnsi="Arial Narrow"/>
                <w:szCs w:val="22"/>
                <w:lang w:val="en-US" w:eastAsia="ja-JP"/>
              </w:rPr>
              <w:t>NOTE 1: Benefits are payable on one occasion only in any 12 month period</w:t>
            </w:r>
          </w:p>
          <w:p w:rsidR="008569C2" w:rsidRPr="00427237" w:rsidRDefault="008569C2" w:rsidP="008569C2">
            <w:pPr>
              <w:spacing w:after="120" w:line="240" w:lineRule="auto"/>
              <w:rPr>
                <w:rFonts w:ascii="Arial Narrow" w:hAnsi="Arial Narrow"/>
                <w:szCs w:val="22"/>
                <w:lang w:val="en-US" w:eastAsia="ja-JP"/>
              </w:rPr>
            </w:pPr>
            <w:r w:rsidRPr="00427237">
              <w:rPr>
                <w:rFonts w:ascii="Arial Narrow" w:hAnsi="Arial Narrow"/>
                <w:szCs w:val="22"/>
                <w:lang w:val="en-US" w:eastAsia="ja-JP"/>
              </w:rPr>
              <w:t>NOTE 2: This item is intended for follow-up imaging of abnormalities diagnosed on a scan described by item 63464 or 63457</w:t>
            </w:r>
          </w:p>
          <w:p w:rsidR="008569C2" w:rsidRPr="00427237" w:rsidRDefault="008569C2" w:rsidP="008569C2">
            <w:pPr>
              <w:spacing w:after="120" w:line="240" w:lineRule="auto"/>
              <w:rPr>
                <w:rFonts w:ascii="Arial Narrow" w:hAnsi="Arial Narrow"/>
                <w:szCs w:val="22"/>
                <w:lang w:val="en-US" w:eastAsia="ja-JP"/>
              </w:rPr>
            </w:pPr>
            <w:r w:rsidRPr="00427237">
              <w:rPr>
                <w:rFonts w:ascii="Arial Narrow" w:hAnsi="Arial Narrow"/>
                <w:szCs w:val="22"/>
                <w:lang w:val="en-US" w:eastAsia="ja-JP"/>
              </w:rPr>
              <w:t>(NK) (</w:t>
            </w:r>
            <w:proofErr w:type="spellStart"/>
            <w:r w:rsidRPr="00427237">
              <w:rPr>
                <w:rFonts w:ascii="Arial Narrow" w:hAnsi="Arial Narrow"/>
                <w:szCs w:val="22"/>
                <w:lang w:val="en-US" w:eastAsia="ja-JP"/>
              </w:rPr>
              <w:t>Anaes</w:t>
            </w:r>
            <w:proofErr w:type="spellEnd"/>
            <w:r w:rsidRPr="00427237">
              <w:rPr>
                <w:rFonts w:ascii="Arial Narrow" w:hAnsi="Arial Narrow"/>
                <w:szCs w:val="22"/>
                <w:lang w:val="en-US" w:eastAsia="ja-JP"/>
              </w:rPr>
              <w:t xml:space="preserve">.) </w:t>
            </w:r>
          </w:p>
          <w:p w:rsidR="008569C2" w:rsidRPr="00427237" w:rsidRDefault="008569C2" w:rsidP="008569C2">
            <w:pPr>
              <w:spacing w:after="120" w:line="240" w:lineRule="auto"/>
              <w:rPr>
                <w:rFonts w:ascii="Arial Narrow" w:hAnsi="Arial Narrow"/>
                <w:szCs w:val="22"/>
                <w:lang w:val="en-US" w:eastAsia="ja-JP"/>
              </w:rPr>
            </w:pPr>
            <w:r w:rsidRPr="00427237">
              <w:rPr>
                <w:rFonts w:ascii="Arial Narrow" w:hAnsi="Arial Narrow"/>
                <w:szCs w:val="22"/>
                <w:lang w:val="en-US" w:eastAsia="ja-JP"/>
              </w:rPr>
              <w:t>Fee: $345.00</w:t>
            </w:r>
          </w:p>
        </w:tc>
      </w:tr>
    </w:tbl>
    <w:p w:rsidR="001D7835" w:rsidRPr="00427237" w:rsidRDefault="001D7835"/>
    <w:p w:rsidR="001D7835" w:rsidRPr="00427237" w:rsidRDefault="001D7835" w:rsidP="00156301">
      <w:pPr>
        <w:pStyle w:val="Caption"/>
      </w:pPr>
      <w:r w:rsidRPr="00427237">
        <w:t xml:space="preserve">Table </w:t>
      </w:r>
      <w:r w:rsidR="00BF57C1" w:rsidRPr="00427237">
        <w:rPr>
          <w:noProof/>
        </w:rPr>
        <w:t>13</w:t>
      </w:r>
      <w:r w:rsidRPr="00427237">
        <w:t>:</w:t>
      </w:r>
      <w:r w:rsidRPr="00427237">
        <w:tab/>
      </w:r>
      <w:r w:rsidRPr="00427237">
        <w:tab/>
        <w:t xml:space="preserve">MBS item descriptor for </w:t>
      </w:r>
      <w:r w:rsidR="001E1AE2" w:rsidRPr="00427237">
        <w:t>(</w:t>
      </w:r>
      <w:r w:rsidRPr="00427237">
        <w:t>confirmatory</w:t>
      </w:r>
      <w:r w:rsidR="001E1AE2" w:rsidRPr="00427237">
        <w:t>)</w:t>
      </w:r>
      <w:r w:rsidRPr="00427237">
        <w:t xml:space="preserve"> standard diagnostic imaging techniques - MRI. </w:t>
      </w:r>
      <w:proofErr w:type="gramStart"/>
      <w:r w:rsidRPr="00427237">
        <w:t>Items for imaging metastases</w:t>
      </w:r>
      <w:r w:rsidR="00156301" w:rsidRPr="00427237">
        <w:t xml:space="preserve"> (brain and spine)</w:t>
      </w:r>
      <w:r w:rsidRPr="00427237">
        <w:t>.</w:t>
      </w:r>
      <w:proofErr w:type="gramEnd"/>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1D7835" w:rsidRPr="00427237" w:rsidTr="00182EAF">
        <w:tc>
          <w:tcPr>
            <w:tcW w:w="9134" w:type="dxa"/>
          </w:tcPr>
          <w:p w:rsidR="001D7835" w:rsidRPr="00427237" w:rsidRDefault="001D7835" w:rsidP="00156301">
            <w:pPr>
              <w:spacing w:after="120" w:line="240" w:lineRule="auto"/>
              <w:jc w:val="right"/>
              <w:rPr>
                <w:rFonts w:ascii="Arial Narrow" w:hAnsi="Arial Narrow"/>
                <w:szCs w:val="22"/>
                <w:lang w:val="en-US" w:eastAsia="ja-JP"/>
              </w:rPr>
            </w:pPr>
            <w:r w:rsidRPr="00427237">
              <w:rPr>
                <w:rFonts w:ascii="Arial Narrow" w:hAnsi="Arial Narrow"/>
                <w:szCs w:val="22"/>
                <w:lang w:eastAsia="ja-JP"/>
              </w:rPr>
              <w:t>Category 5 – Diagnostic imaging services</w:t>
            </w:r>
          </w:p>
        </w:tc>
      </w:tr>
      <w:tr w:rsidR="00AA4713" w:rsidRPr="00427237" w:rsidTr="00182EAF">
        <w:tc>
          <w:tcPr>
            <w:tcW w:w="9134" w:type="dxa"/>
          </w:tcPr>
          <w:p w:rsidR="00AA4713" w:rsidRPr="00427237" w:rsidRDefault="00AA4713" w:rsidP="00AA4713">
            <w:pPr>
              <w:spacing w:after="120" w:line="240" w:lineRule="auto"/>
              <w:rPr>
                <w:rFonts w:ascii="Arial Narrow" w:hAnsi="Arial Narrow"/>
                <w:szCs w:val="22"/>
                <w:lang w:val="en-US" w:eastAsia="ja-JP"/>
              </w:rPr>
            </w:pPr>
            <w:r w:rsidRPr="00427237">
              <w:rPr>
                <w:rFonts w:ascii="Arial Narrow" w:hAnsi="Arial Narrow"/>
                <w:szCs w:val="22"/>
                <w:lang w:val="en-US" w:eastAsia="ja-JP"/>
              </w:rPr>
              <w:t>MBS 63001</w:t>
            </w:r>
          </w:p>
          <w:p w:rsidR="00AA4713" w:rsidRPr="00427237" w:rsidRDefault="00AA4713" w:rsidP="00AA4713">
            <w:pPr>
              <w:spacing w:after="120" w:line="240" w:lineRule="auto"/>
              <w:rPr>
                <w:rFonts w:ascii="Arial Narrow" w:hAnsi="Arial Narrow"/>
                <w:szCs w:val="22"/>
                <w:lang w:val="en-US" w:eastAsia="ja-JP"/>
              </w:rPr>
            </w:pPr>
            <w:r w:rsidRPr="00427237">
              <w:rPr>
                <w:rFonts w:ascii="Arial Narrow" w:hAnsi="Arial Narrow"/>
                <w:szCs w:val="22"/>
                <w:lang w:val="en-US" w:eastAsia="ja-JP"/>
              </w:rPr>
              <w:t>MAGNETIC RESONANCE IMAGING (including Magnetic Resonance Angiography if performed), performed under the professional supervision of an eligible provider at an eligible location where the patient is referred by a specialist or by a consultant physician - scan of head for:</w:t>
            </w:r>
          </w:p>
          <w:p w:rsidR="00AA4713" w:rsidRPr="00427237" w:rsidRDefault="00AA4713" w:rsidP="00AA4713">
            <w:pPr>
              <w:spacing w:after="120" w:line="240" w:lineRule="auto"/>
              <w:rPr>
                <w:rFonts w:ascii="Arial Narrow" w:hAnsi="Arial Narrow"/>
                <w:szCs w:val="22"/>
                <w:lang w:val="en-US" w:eastAsia="ja-JP"/>
              </w:rPr>
            </w:pPr>
            <w:r w:rsidRPr="00427237">
              <w:rPr>
                <w:rFonts w:ascii="Arial Narrow" w:hAnsi="Arial Narrow"/>
                <w:szCs w:val="22"/>
                <w:lang w:val="en-US" w:eastAsia="ja-JP"/>
              </w:rPr>
              <w:t xml:space="preserve">- </w:t>
            </w:r>
            <w:proofErr w:type="spellStart"/>
            <w:r w:rsidRPr="00427237">
              <w:rPr>
                <w:rFonts w:ascii="Arial Narrow" w:hAnsi="Arial Narrow"/>
                <w:szCs w:val="22"/>
                <w:lang w:val="en-US" w:eastAsia="ja-JP"/>
              </w:rPr>
              <w:t>tumour</w:t>
            </w:r>
            <w:proofErr w:type="spellEnd"/>
            <w:r w:rsidRPr="00427237">
              <w:rPr>
                <w:rFonts w:ascii="Arial Narrow" w:hAnsi="Arial Narrow"/>
                <w:szCs w:val="22"/>
                <w:lang w:val="en-US" w:eastAsia="ja-JP"/>
              </w:rPr>
              <w:t xml:space="preserve"> of the brain or meninges (R) (Contrast)</w:t>
            </w:r>
          </w:p>
          <w:p w:rsidR="00AA4713" w:rsidRPr="00427237" w:rsidRDefault="00AA4713" w:rsidP="00AA4713">
            <w:pPr>
              <w:spacing w:after="120" w:line="240" w:lineRule="auto"/>
              <w:rPr>
                <w:rFonts w:ascii="Arial Narrow" w:hAnsi="Arial Narrow"/>
                <w:szCs w:val="22"/>
                <w:lang w:val="en-US" w:eastAsia="ja-JP"/>
              </w:rPr>
            </w:pPr>
            <w:r w:rsidRPr="00427237">
              <w:rPr>
                <w:rFonts w:ascii="Arial Narrow" w:hAnsi="Arial Narrow"/>
                <w:szCs w:val="22"/>
                <w:lang w:val="en-US" w:eastAsia="ja-JP"/>
              </w:rPr>
              <w:t>Fee: $403.20</w:t>
            </w:r>
          </w:p>
        </w:tc>
      </w:tr>
      <w:tr w:rsidR="00AA4713" w:rsidRPr="00427237" w:rsidTr="00182EAF">
        <w:tc>
          <w:tcPr>
            <w:tcW w:w="9134" w:type="dxa"/>
          </w:tcPr>
          <w:p w:rsidR="00AA4713" w:rsidRPr="00427237" w:rsidRDefault="00AA4713" w:rsidP="00AA4713">
            <w:pPr>
              <w:spacing w:after="120" w:line="240" w:lineRule="auto"/>
              <w:rPr>
                <w:rFonts w:ascii="Arial Narrow" w:hAnsi="Arial Narrow"/>
                <w:szCs w:val="22"/>
                <w:lang w:val="en-US" w:eastAsia="ja-JP"/>
              </w:rPr>
            </w:pPr>
            <w:r w:rsidRPr="00427237">
              <w:rPr>
                <w:rFonts w:ascii="Arial Narrow" w:hAnsi="Arial Narrow"/>
                <w:szCs w:val="22"/>
                <w:lang w:val="en-US" w:eastAsia="ja-JP"/>
              </w:rPr>
              <w:t>MBS 63491</w:t>
            </w:r>
          </w:p>
          <w:p w:rsidR="00AA4713" w:rsidRPr="00427237" w:rsidRDefault="00AA4713" w:rsidP="00AA4713">
            <w:pPr>
              <w:spacing w:after="120" w:line="240" w:lineRule="auto"/>
              <w:rPr>
                <w:rFonts w:ascii="Arial Narrow" w:hAnsi="Arial Narrow"/>
                <w:szCs w:val="22"/>
                <w:lang w:val="en-US" w:eastAsia="ja-JP"/>
              </w:rPr>
            </w:pPr>
            <w:r w:rsidRPr="00427237">
              <w:rPr>
                <w:rFonts w:ascii="Arial Narrow" w:hAnsi="Arial Narrow"/>
                <w:szCs w:val="22"/>
                <w:lang w:val="en-US" w:eastAsia="ja-JP"/>
              </w:rPr>
              <w:t xml:space="preserve">NOTE: Benefits in Subgroup 22 are only payable for modifying items where claimed simultaneously with MRI services. Modifiers for sedation and </w:t>
            </w:r>
            <w:proofErr w:type="spellStart"/>
            <w:r w:rsidRPr="00427237">
              <w:rPr>
                <w:rFonts w:ascii="Arial Narrow" w:hAnsi="Arial Narrow"/>
                <w:szCs w:val="22"/>
                <w:lang w:val="en-US" w:eastAsia="ja-JP"/>
              </w:rPr>
              <w:t>anaesthesia</w:t>
            </w:r>
            <w:proofErr w:type="spellEnd"/>
            <w:r w:rsidRPr="00427237">
              <w:rPr>
                <w:rFonts w:ascii="Arial Narrow" w:hAnsi="Arial Narrow"/>
                <w:szCs w:val="22"/>
                <w:lang w:val="en-US" w:eastAsia="ja-JP"/>
              </w:rPr>
              <w:t xml:space="preserve"> may not be claimed for the same service.</w:t>
            </w:r>
          </w:p>
          <w:p w:rsidR="00AA4713" w:rsidRPr="00427237" w:rsidRDefault="00AA4713" w:rsidP="00AA4713">
            <w:pPr>
              <w:spacing w:after="120" w:line="240" w:lineRule="auto"/>
              <w:rPr>
                <w:rFonts w:ascii="Arial Narrow" w:hAnsi="Arial Narrow"/>
                <w:szCs w:val="22"/>
                <w:lang w:val="en-US" w:eastAsia="ja-JP"/>
              </w:rPr>
            </w:pPr>
            <w:r w:rsidRPr="00427237">
              <w:rPr>
                <w:rFonts w:ascii="Arial Narrow" w:hAnsi="Arial Narrow"/>
                <w:szCs w:val="22"/>
                <w:lang w:val="en-US" w:eastAsia="ja-JP"/>
              </w:rPr>
              <w:t>Modifying items for use with MAGNETIC RESONANCE IMAGING or MAGNETIC RESONANCE ANGIOGRAPHY performed under the professional supervision of an eligible provider at an eligible location where the service requested by a medical practitioner. Scan performed:</w:t>
            </w:r>
          </w:p>
          <w:p w:rsidR="00AA4713" w:rsidRPr="00427237" w:rsidRDefault="00AA4713" w:rsidP="00AA4713">
            <w:pPr>
              <w:spacing w:after="120" w:line="240" w:lineRule="auto"/>
              <w:rPr>
                <w:rFonts w:ascii="Arial Narrow" w:hAnsi="Arial Narrow"/>
                <w:szCs w:val="22"/>
                <w:lang w:val="en-US" w:eastAsia="ja-JP"/>
              </w:rPr>
            </w:pPr>
            <w:r w:rsidRPr="00427237">
              <w:rPr>
                <w:rFonts w:ascii="Arial Narrow" w:hAnsi="Arial Narrow"/>
                <w:szCs w:val="22"/>
                <w:lang w:val="en-US" w:eastAsia="ja-JP"/>
              </w:rPr>
              <w:t>- involves the use of contrast agent for eligible Magnetic Resonance Imaging items (Note: (Contrast) denotes an item eligible for use with this item)</w:t>
            </w:r>
          </w:p>
          <w:p w:rsidR="00AA4713" w:rsidRPr="00427237" w:rsidRDefault="00AA4713" w:rsidP="00AA4713">
            <w:pPr>
              <w:spacing w:after="120" w:line="240" w:lineRule="auto"/>
              <w:rPr>
                <w:rFonts w:ascii="Arial Narrow" w:hAnsi="Arial Narrow"/>
                <w:szCs w:val="22"/>
                <w:lang w:val="en-US" w:eastAsia="ja-JP"/>
              </w:rPr>
            </w:pPr>
            <w:r w:rsidRPr="00427237">
              <w:rPr>
                <w:rFonts w:ascii="Arial Narrow" w:hAnsi="Arial Narrow"/>
                <w:szCs w:val="22"/>
                <w:lang w:val="en-US" w:eastAsia="ja-JP"/>
              </w:rPr>
              <w:t>Fee: $44.80</w:t>
            </w:r>
          </w:p>
        </w:tc>
      </w:tr>
      <w:tr w:rsidR="00AA4713" w:rsidRPr="00427237" w:rsidTr="00182EAF">
        <w:tc>
          <w:tcPr>
            <w:tcW w:w="9134" w:type="dxa"/>
          </w:tcPr>
          <w:p w:rsidR="00AA4713" w:rsidRPr="00427237" w:rsidRDefault="00AA4713" w:rsidP="00AA4713">
            <w:pPr>
              <w:spacing w:after="120" w:line="240" w:lineRule="auto"/>
              <w:rPr>
                <w:rFonts w:ascii="Arial Narrow" w:hAnsi="Arial Narrow"/>
                <w:szCs w:val="22"/>
                <w:lang w:val="en-US" w:eastAsia="ja-JP"/>
              </w:rPr>
            </w:pPr>
            <w:r w:rsidRPr="00427237">
              <w:rPr>
                <w:rFonts w:ascii="Arial Narrow" w:hAnsi="Arial Narrow"/>
                <w:szCs w:val="22"/>
                <w:lang w:val="en-US" w:eastAsia="ja-JP"/>
              </w:rPr>
              <w:t>MBS 63154</w:t>
            </w:r>
          </w:p>
          <w:p w:rsidR="00AA4713" w:rsidRPr="00427237" w:rsidRDefault="00AA4713" w:rsidP="00AA4713">
            <w:pPr>
              <w:spacing w:after="120" w:line="240" w:lineRule="auto"/>
              <w:rPr>
                <w:rFonts w:ascii="Arial Narrow" w:hAnsi="Arial Narrow"/>
                <w:szCs w:val="22"/>
                <w:lang w:val="en-US" w:eastAsia="ja-JP"/>
              </w:rPr>
            </w:pPr>
            <w:r w:rsidRPr="00427237">
              <w:rPr>
                <w:rFonts w:ascii="Arial Narrow" w:hAnsi="Arial Narrow"/>
                <w:szCs w:val="22"/>
                <w:lang w:val="en-US" w:eastAsia="ja-JP"/>
              </w:rPr>
              <w:t xml:space="preserve">- </w:t>
            </w:r>
            <w:proofErr w:type="spellStart"/>
            <w:r w:rsidRPr="00427237">
              <w:rPr>
                <w:rFonts w:ascii="Arial Narrow" w:hAnsi="Arial Narrow"/>
                <w:szCs w:val="22"/>
                <w:lang w:val="en-US" w:eastAsia="ja-JP"/>
              </w:rPr>
              <w:t>tumour</w:t>
            </w:r>
            <w:proofErr w:type="spellEnd"/>
            <w:r w:rsidRPr="00427237">
              <w:rPr>
                <w:rFonts w:ascii="Arial Narrow" w:hAnsi="Arial Narrow"/>
                <w:szCs w:val="22"/>
                <w:lang w:val="en-US" w:eastAsia="ja-JP"/>
              </w:rPr>
              <w:t xml:space="preserve"> (R) (Contrast)</w:t>
            </w:r>
          </w:p>
          <w:p w:rsidR="00AA4713" w:rsidRPr="00427237" w:rsidRDefault="00AA4713" w:rsidP="00AA4713">
            <w:pPr>
              <w:spacing w:after="120" w:line="240" w:lineRule="auto"/>
              <w:rPr>
                <w:rFonts w:ascii="Arial Narrow" w:hAnsi="Arial Narrow"/>
                <w:szCs w:val="22"/>
                <w:lang w:val="en-US" w:eastAsia="ja-JP"/>
              </w:rPr>
            </w:pPr>
            <w:r w:rsidRPr="00427237">
              <w:rPr>
                <w:rFonts w:ascii="Arial Narrow" w:hAnsi="Arial Narrow"/>
                <w:szCs w:val="22"/>
                <w:lang w:val="en-US" w:eastAsia="ja-JP"/>
              </w:rPr>
              <w:lastRenderedPageBreak/>
              <w:t xml:space="preserve"> (</w:t>
            </w:r>
            <w:proofErr w:type="spellStart"/>
            <w:r w:rsidRPr="00427237">
              <w:rPr>
                <w:rFonts w:ascii="Arial Narrow" w:hAnsi="Arial Narrow"/>
                <w:szCs w:val="22"/>
                <w:lang w:val="en-US" w:eastAsia="ja-JP"/>
              </w:rPr>
              <w:t>Anaes</w:t>
            </w:r>
            <w:proofErr w:type="spellEnd"/>
            <w:r w:rsidRPr="00427237">
              <w:rPr>
                <w:rFonts w:ascii="Arial Narrow" w:hAnsi="Arial Narrow"/>
                <w:szCs w:val="22"/>
                <w:lang w:val="en-US" w:eastAsia="ja-JP"/>
              </w:rPr>
              <w:t>.)</w:t>
            </w:r>
          </w:p>
          <w:p w:rsidR="00AA4713" w:rsidRPr="00427237" w:rsidRDefault="00AA4713" w:rsidP="00AA4713">
            <w:pPr>
              <w:spacing w:after="120" w:line="240" w:lineRule="auto"/>
              <w:rPr>
                <w:rFonts w:ascii="Arial Narrow" w:hAnsi="Arial Narrow"/>
                <w:szCs w:val="22"/>
                <w:lang w:val="en-US" w:eastAsia="ja-JP"/>
              </w:rPr>
            </w:pPr>
            <w:r w:rsidRPr="00427237">
              <w:rPr>
                <w:rFonts w:ascii="Arial Narrow" w:hAnsi="Arial Narrow"/>
                <w:szCs w:val="22"/>
                <w:lang w:val="en-US" w:eastAsia="ja-JP"/>
              </w:rPr>
              <w:t>Fee: $358.40</w:t>
            </w:r>
          </w:p>
        </w:tc>
      </w:tr>
      <w:tr w:rsidR="00AA4713" w:rsidRPr="00427237" w:rsidTr="00182EAF">
        <w:tc>
          <w:tcPr>
            <w:tcW w:w="9134" w:type="dxa"/>
          </w:tcPr>
          <w:p w:rsidR="00AA4713" w:rsidRPr="00427237" w:rsidRDefault="00AA4713" w:rsidP="00AA4713">
            <w:pPr>
              <w:spacing w:after="120" w:line="240" w:lineRule="auto"/>
              <w:rPr>
                <w:rFonts w:ascii="Arial Narrow" w:hAnsi="Arial Narrow"/>
                <w:szCs w:val="22"/>
                <w:lang w:val="en-US" w:eastAsia="ja-JP"/>
              </w:rPr>
            </w:pPr>
            <w:r w:rsidRPr="00427237">
              <w:rPr>
                <w:rFonts w:ascii="Arial Narrow" w:hAnsi="Arial Narrow"/>
                <w:szCs w:val="22"/>
                <w:lang w:val="en-US" w:eastAsia="ja-JP"/>
              </w:rPr>
              <w:lastRenderedPageBreak/>
              <w:t>MBS 63491</w:t>
            </w:r>
          </w:p>
          <w:p w:rsidR="00AA4713" w:rsidRPr="00427237" w:rsidRDefault="00AA4713" w:rsidP="00AA4713">
            <w:pPr>
              <w:spacing w:after="120" w:line="240" w:lineRule="auto"/>
              <w:rPr>
                <w:rFonts w:ascii="Arial Narrow" w:hAnsi="Arial Narrow"/>
                <w:szCs w:val="22"/>
                <w:lang w:val="en-US" w:eastAsia="ja-JP"/>
              </w:rPr>
            </w:pPr>
            <w:r w:rsidRPr="00427237">
              <w:rPr>
                <w:rFonts w:ascii="Arial Narrow" w:hAnsi="Arial Narrow"/>
                <w:szCs w:val="22"/>
                <w:lang w:val="en-US" w:eastAsia="ja-JP"/>
              </w:rPr>
              <w:t xml:space="preserve">NOTE: Benefits in Subgroup 22 are only payable for modifying items where claimed simultaneously with MRI services. Modifiers for sedation and </w:t>
            </w:r>
            <w:proofErr w:type="spellStart"/>
            <w:r w:rsidRPr="00427237">
              <w:rPr>
                <w:rFonts w:ascii="Arial Narrow" w:hAnsi="Arial Narrow"/>
                <w:szCs w:val="22"/>
                <w:lang w:val="en-US" w:eastAsia="ja-JP"/>
              </w:rPr>
              <w:t>anaesthesia</w:t>
            </w:r>
            <w:proofErr w:type="spellEnd"/>
            <w:r w:rsidRPr="00427237">
              <w:rPr>
                <w:rFonts w:ascii="Arial Narrow" w:hAnsi="Arial Narrow"/>
                <w:szCs w:val="22"/>
                <w:lang w:val="en-US" w:eastAsia="ja-JP"/>
              </w:rPr>
              <w:t xml:space="preserve"> may not be claimed for the same service.</w:t>
            </w:r>
          </w:p>
          <w:p w:rsidR="00AA4713" w:rsidRPr="00427237" w:rsidRDefault="00AA4713" w:rsidP="00AA4713">
            <w:pPr>
              <w:spacing w:after="120" w:line="240" w:lineRule="auto"/>
              <w:rPr>
                <w:rFonts w:ascii="Arial Narrow" w:hAnsi="Arial Narrow"/>
                <w:szCs w:val="22"/>
                <w:lang w:val="en-US" w:eastAsia="ja-JP"/>
              </w:rPr>
            </w:pPr>
            <w:r w:rsidRPr="00427237">
              <w:rPr>
                <w:rFonts w:ascii="Arial Narrow" w:hAnsi="Arial Narrow"/>
                <w:szCs w:val="22"/>
                <w:lang w:val="en-US" w:eastAsia="ja-JP"/>
              </w:rPr>
              <w:t>Modifying items for use with MAGNETIC RESONANCE IMAGING or MAGNETIC RESONANCE ANGIOGRAPHY performed under the professional supervision of an eligible provider at an eligible location where the service requested by a medical practitioner. Scan performed:</w:t>
            </w:r>
          </w:p>
          <w:p w:rsidR="00AA4713" w:rsidRPr="00427237" w:rsidRDefault="00AA4713" w:rsidP="00AA4713">
            <w:pPr>
              <w:spacing w:after="120" w:line="240" w:lineRule="auto"/>
              <w:rPr>
                <w:rFonts w:ascii="Arial Narrow" w:hAnsi="Arial Narrow"/>
                <w:szCs w:val="22"/>
                <w:lang w:val="en-US" w:eastAsia="ja-JP"/>
              </w:rPr>
            </w:pPr>
            <w:r w:rsidRPr="00427237">
              <w:rPr>
                <w:rFonts w:ascii="Arial Narrow" w:hAnsi="Arial Narrow"/>
                <w:szCs w:val="22"/>
                <w:lang w:val="en-US" w:eastAsia="ja-JP"/>
              </w:rPr>
              <w:t>- involves the use of contrast agent for eligible Magnetic Resonance Imaging items (Note: (Contrast) denotes an item eligible for use with this item)</w:t>
            </w:r>
          </w:p>
          <w:p w:rsidR="00AA4713" w:rsidRPr="00427237" w:rsidRDefault="00AA4713" w:rsidP="00AA4713">
            <w:pPr>
              <w:spacing w:after="120" w:line="240" w:lineRule="auto"/>
              <w:rPr>
                <w:rFonts w:ascii="Arial Narrow" w:hAnsi="Arial Narrow"/>
                <w:szCs w:val="22"/>
                <w:lang w:val="en-US" w:eastAsia="ja-JP"/>
              </w:rPr>
            </w:pPr>
            <w:r w:rsidRPr="00427237">
              <w:rPr>
                <w:rFonts w:ascii="Arial Narrow" w:hAnsi="Arial Narrow"/>
                <w:szCs w:val="22"/>
                <w:lang w:val="en-US" w:eastAsia="ja-JP"/>
              </w:rPr>
              <w:t>Fee: $44.80</w:t>
            </w:r>
          </w:p>
        </w:tc>
      </w:tr>
    </w:tbl>
    <w:p w:rsidR="00B026F1" w:rsidRPr="00427237" w:rsidRDefault="00B026F1" w:rsidP="00B026F1">
      <w:pPr>
        <w:pStyle w:val="Caption"/>
        <w:ind w:left="0" w:firstLine="0"/>
      </w:pPr>
    </w:p>
    <w:p w:rsidR="00B026F1" w:rsidRPr="00427237" w:rsidRDefault="00B026F1" w:rsidP="00B026F1">
      <w:pPr>
        <w:pStyle w:val="Caption"/>
        <w:ind w:left="0" w:firstLine="0"/>
      </w:pPr>
    </w:p>
    <w:p w:rsidR="00B026F1" w:rsidRPr="00427237" w:rsidRDefault="00B026F1" w:rsidP="00B026F1">
      <w:pPr>
        <w:pStyle w:val="Caption"/>
        <w:ind w:left="0" w:firstLine="0"/>
      </w:pPr>
      <w:r w:rsidRPr="00427237">
        <w:t xml:space="preserve">Table </w:t>
      </w:r>
      <w:r w:rsidR="00491038" w:rsidRPr="00427237">
        <w:rPr>
          <w:noProof/>
        </w:rPr>
        <w:t>14</w:t>
      </w:r>
      <w:r w:rsidRPr="00427237">
        <w:t>:</w:t>
      </w:r>
      <w:r w:rsidRPr="00427237">
        <w:tab/>
      </w:r>
      <w:r w:rsidRPr="00427237">
        <w:tab/>
        <w:t>MBS item descriptor for (confirmatory) standard diagnostic imaging techniques - CT. Items for localisation / correction.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B026F1" w:rsidRPr="00427237" w:rsidTr="0039300F">
        <w:tc>
          <w:tcPr>
            <w:tcW w:w="9134" w:type="dxa"/>
          </w:tcPr>
          <w:p w:rsidR="00B026F1" w:rsidRPr="00427237" w:rsidRDefault="00B026F1" w:rsidP="0039300F">
            <w:pPr>
              <w:spacing w:after="120" w:line="240" w:lineRule="auto"/>
              <w:jc w:val="right"/>
              <w:rPr>
                <w:rFonts w:ascii="Arial Narrow" w:hAnsi="Arial Narrow"/>
                <w:szCs w:val="22"/>
                <w:lang w:val="en-US" w:eastAsia="ja-JP"/>
              </w:rPr>
            </w:pPr>
            <w:r w:rsidRPr="00427237">
              <w:rPr>
                <w:rFonts w:ascii="Arial Narrow" w:hAnsi="Arial Narrow"/>
                <w:szCs w:val="22"/>
                <w:lang w:eastAsia="ja-JP"/>
              </w:rPr>
              <w:t>Category 5 – Diagnostic imaging services</w:t>
            </w:r>
          </w:p>
        </w:tc>
      </w:tr>
      <w:tr w:rsidR="00B026F1" w:rsidRPr="00427237" w:rsidTr="0039300F">
        <w:tc>
          <w:tcPr>
            <w:tcW w:w="9134" w:type="dxa"/>
          </w:tcPr>
          <w:p w:rsidR="00B026F1" w:rsidRPr="00427237" w:rsidRDefault="00B026F1" w:rsidP="0039300F">
            <w:pPr>
              <w:spacing w:after="120" w:line="240" w:lineRule="auto"/>
              <w:rPr>
                <w:rFonts w:ascii="Arial Narrow" w:hAnsi="Arial Narrow"/>
                <w:szCs w:val="22"/>
                <w:lang w:val="en-US" w:eastAsia="ja-JP"/>
              </w:rPr>
            </w:pPr>
            <w:r w:rsidRPr="00427237">
              <w:rPr>
                <w:rFonts w:ascii="Arial Narrow" w:hAnsi="Arial Narrow"/>
                <w:szCs w:val="22"/>
                <w:lang w:val="en-US" w:eastAsia="ja-JP"/>
              </w:rPr>
              <w:t>MBS 61505</w:t>
            </w:r>
          </w:p>
          <w:p w:rsidR="00B026F1" w:rsidRPr="00427237" w:rsidRDefault="00B026F1" w:rsidP="0039300F">
            <w:pPr>
              <w:spacing w:after="120" w:line="240" w:lineRule="auto"/>
              <w:rPr>
                <w:rFonts w:ascii="Arial Narrow" w:hAnsi="Arial Narrow"/>
                <w:szCs w:val="22"/>
                <w:lang w:val="en-US" w:eastAsia="ja-JP"/>
              </w:rPr>
            </w:pPr>
            <w:r w:rsidRPr="00427237">
              <w:rPr>
                <w:rFonts w:ascii="Arial Narrow" w:hAnsi="Arial Narrow"/>
                <w:szCs w:val="22"/>
                <w:lang w:val="en-US" w:eastAsia="ja-JP"/>
              </w:rPr>
              <w:t xml:space="preserve">CT scan performed at the same time and covering the same body area as single photon emission tomography for the purpose of anatomic </w:t>
            </w:r>
            <w:proofErr w:type="spellStart"/>
            <w:r w:rsidRPr="00427237">
              <w:rPr>
                <w:rFonts w:ascii="Arial Narrow" w:hAnsi="Arial Narrow"/>
                <w:szCs w:val="22"/>
                <w:lang w:val="en-US" w:eastAsia="ja-JP"/>
              </w:rPr>
              <w:t>localisation</w:t>
            </w:r>
            <w:proofErr w:type="spellEnd"/>
            <w:r w:rsidRPr="00427237">
              <w:rPr>
                <w:rFonts w:ascii="Arial Narrow" w:hAnsi="Arial Narrow"/>
                <w:szCs w:val="22"/>
                <w:lang w:val="en-US" w:eastAsia="ja-JP"/>
              </w:rPr>
              <w:t xml:space="preserve"> or attenuation correction where no separate diagnostic CT report is issued and only in association with items 61302 - 61650 (R)</w:t>
            </w:r>
          </w:p>
          <w:p w:rsidR="00B026F1" w:rsidRPr="00427237" w:rsidRDefault="00B026F1" w:rsidP="0039300F">
            <w:pPr>
              <w:spacing w:after="120" w:line="240" w:lineRule="auto"/>
              <w:rPr>
                <w:rFonts w:ascii="Arial Narrow" w:hAnsi="Arial Narrow"/>
                <w:szCs w:val="22"/>
                <w:lang w:val="en-US" w:eastAsia="ja-JP"/>
              </w:rPr>
            </w:pPr>
            <w:r w:rsidRPr="00427237">
              <w:rPr>
                <w:rFonts w:ascii="Arial Narrow" w:hAnsi="Arial Narrow"/>
                <w:szCs w:val="22"/>
                <w:lang w:val="en-US" w:eastAsia="ja-JP"/>
              </w:rPr>
              <w:t>Fee: $100.00</w:t>
            </w:r>
          </w:p>
        </w:tc>
      </w:tr>
      <w:tr w:rsidR="00B026F1" w:rsidRPr="00427237" w:rsidTr="0039300F">
        <w:tc>
          <w:tcPr>
            <w:tcW w:w="9134" w:type="dxa"/>
          </w:tcPr>
          <w:p w:rsidR="00B026F1" w:rsidRPr="00427237" w:rsidRDefault="00B026F1" w:rsidP="0039300F">
            <w:pPr>
              <w:spacing w:after="120" w:line="240" w:lineRule="auto"/>
              <w:rPr>
                <w:rFonts w:ascii="Arial Narrow" w:hAnsi="Arial Narrow"/>
                <w:szCs w:val="22"/>
                <w:lang w:val="en-US" w:eastAsia="ja-JP"/>
              </w:rPr>
            </w:pPr>
            <w:r w:rsidRPr="00427237">
              <w:rPr>
                <w:rFonts w:ascii="Arial Narrow" w:hAnsi="Arial Narrow"/>
                <w:szCs w:val="22"/>
                <w:lang w:val="en-US" w:eastAsia="ja-JP"/>
              </w:rPr>
              <w:t>MBS 61719</w:t>
            </w:r>
          </w:p>
          <w:p w:rsidR="00B026F1" w:rsidRPr="00427237" w:rsidRDefault="00B026F1" w:rsidP="0039300F">
            <w:pPr>
              <w:spacing w:after="120" w:line="240" w:lineRule="auto"/>
              <w:rPr>
                <w:rFonts w:ascii="Arial Narrow" w:hAnsi="Arial Narrow"/>
                <w:szCs w:val="22"/>
                <w:lang w:val="en-US" w:eastAsia="ja-JP"/>
              </w:rPr>
            </w:pPr>
            <w:r w:rsidRPr="00427237">
              <w:rPr>
                <w:rFonts w:ascii="Arial Narrow" w:hAnsi="Arial Narrow"/>
                <w:szCs w:val="22"/>
                <w:lang w:val="en-US" w:eastAsia="ja-JP"/>
              </w:rPr>
              <w:t xml:space="preserve">CT scan performed at the same time and covering the same body area as single photon emission tomography for the purpose of anatomic </w:t>
            </w:r>
            <w:proofErr w:type="spellStart"/>
            <w:r w:rsidRPr="00427237">
              <w:rPr>
                <w:rFonts w:ascii="Arial Narrow" w:hAnsi="Arial Narrow"/>
                <w:szCs w:val="22"/>
                <w:lang w:val="en-US" w:eastAsia="ja-JP"/>
              </w:rPr>
              <w:t>localisation</w:t>
            </w:r>
            <w:proofErr w:type="spellEnd"/>
            <w:r w:rsidRPr="00427237">
              <w:rPr>
                <w:rFonts w:ascii="Arial Narrow" w:hAnsi="Arial Narrow"/>
                <w:szCs w:val="22"/>
                <w:lang w:val="en-US" w:eastAsia="ja-JP"/>
              </w:rPr>
              <w:t xml:space="preserve"> or attenuation correction where no separate diagnostic CT report is issued and only in association with items 61302 - 61729 (R) (NK)</w:t>
            </w:r>
          </w:p>
          <w:p w:rsidR="00B026F1" w:rsidRPr="00427237" w:rsidRDefault="00B026F1" w:rsidP="0039300F">
            <w:pPr>
              <w:spacing w:after="120" w:line="240" w:lineRule="auto"/>
              <w:rPr>
                <w:rFonts w:ascii="Arial Narrow" w:hAnsi="Arial Narrow"/>
                <w:szCs w:val="22"/>
                <w:lang w:val="en-US" w:eastAsia="ja-JP"/>
              </w:rPr>
            </w:pPr>
            <w:r w:rsidRPr="00427237">
              <w:rPr>
                <w:rFonts w:ascii="Arial Narrow" w:hAnsi="Arial Narrow"/>
                <w:szCs w:val="22"/>
                <w:lang w:val="en-US" w:eastAsia="ja-JP"/>
              </w:rPr>
              <w:t>Fee: $50.00</w:t>
            </w:r>
          </w:p>
        </w:tc>
      </w:tr>
    </w:tbl>
    <w:p w:rsidR="00B026F1" w:rsidRPr="00427237" w:rsidRDefault="00B026F1" w:rsidP="00B026F1">
      <w:pPr>
        <w:rPr>
          <w:lang w:val="en-GB" w:eastAsia="ja-JP"/>
        </w:rPr>
      </w:pPr>
    </w:p>
    <w:p w:rsidR="000A74CE" w:rsidRPr="00427237" w:rsidRDefault="00BE4356" w:rsidP="00BE4356">
      <w:pPr>
        <w:pStyle w:val="Caption"/>
      </w:pPr>
      <w:r w:rsidRPr="00427237">
        <w:t xml:space="preserve">Table </w:t>
      </w:r>
      <w:r w:rsidR="00491038" w:rsidRPr="00427237">
        <w:rPr>
          <w:noProof/>
        </w:rPr>
        <w:t>15</w:t>
      </w:r>
      <w:r w:rsidR="000A74CE" w:rsidRPr="00427237">
        <w:t>:</w:t>
      </w:r>
      <w:r w:rsidR="00A0357B" w:rsidRPr="00427237">
        <w:t xml:space="preserve"> </w:t>
      </w:r>
      <w:r w:rsidR="000A74CE" w:rsidRPr="00427237">
        <w:t xml:space="preserve">MBS item descriptor for </w:t>
      </w:r>
      <w:r w:rsidR="001E1AE2" w:rsidRPr="00427237">
        <w:t>(</w:t>
      </w:r>
      <w:r w:rsidR="009605CE" w:rsidRPr="00427237">
        <w:t>confirmatory</w:t>
      </w:r>
      <w:r w:rsidR="001E1AE2" w:rsidRPr="00427237">
        <w:t>)</w:t>
      </w:r>
      <w:r w:rsidR="009605CE" w:rsidRPr="00427237">
        <w:t xml:space="preserve"> standard</w:t>
      </w:r>
      <w:r w:rsidR="000A74CE" w:rsidRPr="00427237">
        <w:t xml:space="preserve"> diagnostic imaging techniques – bone </w:t>
      </w:r>
      <w:proofErr w:type="spellStart"/>
      <w:r w:rsidR="000A74CE" w:rsidRPr="00427237">
        <w:t>scintigraphy</w:t>
      </w:r>
      <w:proofErr w:type="spellEnd"/>
      <w:r w:rsidR="000A74CE" w:rsidRPr="00427237">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0A74CE" w:rsidRPr="00427237" w:rsidTr="00182EAF">
        <w:tc>
          <w:tcPr>
            <w:tcW w:w="9134" w:type="dxa"/>
          </w:tcPr>
          <w:p w:rsidR="000A74CE" w:rsidRPr="00427237" w:rsidRDefault="000A74CE" w:rsidP="00182EAF">
            <w:pPr>
              <w:spacing w:after="120" w:line="240" w:lineRule="auto"/>
              <w:jc w:val="right"/>
              <w:rPr>
                <w:rFonts w:ascii="Arial Narrow" w:hAnsi="Arial Narrow"/>
                <w:szCs w:val="22"/>
                <w:lang w:eastAsia="ja-JP"/>
              </w:rPr>
            </w:pPr>
            <w:r w:rsidRPr="00427237">
              <w:rPr>
                <w:rFonts w:ascii="Arial Narrow" w:hAnsi="Arial Narrow"/>
                <w:szCs w:val="22"/>
                <w:lang w:eastAsia="ja-JP"/>
              </w:rPr>
              <w:t>Category 5 – Diagnostic imaging services</w:t>
            </w:r>
          </w:p>
        </w:tc>
      </w:tr>
      <w:tr w:rsidR="00826489" w:rsidRPr="00427237" w:rsidTr="00182EAF">
        <w:tc>
          <w:tcPr>
            <w:tcW w:w="9134" w:type="dxa"/>
          </w:tcPr>
          <w:p w:rsidR="00826489" w:rsidRPr="00427237" w:rsidRDefault="004A30CA" w:rsidP="00182EAF">
            <w:pPr>
              <w:spacing w:after="120" w:line="240" w:lineRule="auto"/>
              <w:rPr>
                <w:rFonts w:ascii="Arial Narrow" w:hAnsi="Arial Narrow"/>
                <w:szCs w:val="22"/>
                <w:lang w:val="en-US" w:eastAsia="ja-JP"/>
              </w:rPr>
            </w:pPr>
            <w:r w:rsidRPr="00427237">
              <w:rPr>
                <w:rFonts w:ascii="Arial Narrow" w:hAnsi="Arial Narrow"/>
                <w:szCs w:val="22"/>
                <w:lang w:val="en-US" w:eastAsia="ja-JP"/>
              </w:rPr>
              <w:t>MBS 61</w:t>
            </w:r>
            <w:r w:rsidR="00826489" w:rsidRPr="00427237">
              <w:rPr>
                <w:rFonts w:ascii="Arial Narrow" w:hAnsi="Arial Narrow"/>
                <w:szCs w:val="22"/>
                <w:lang w:val="en-US" w:eastAsia="ja-JP"/>
              </w:rPr>
              <w:t>4</w:t>
            </w:r>
            <w:r w:rsidRPr="00427237">
              <w:rPr>
                <w:rFonts w:ascii="Arial Narrow" w:hAnsi="Arial Narrow"/>
                <w:szCs w:val="22"/>
                <w:lang w:val="en-US" w:eastAsia="ja-JP"/>
              </w:rPr>
              <w:t>2</w:t>
            </w:r>
            <w:r w:rsidR="00826489" w:rsidRPr="00427237">
              <w:rPr>
                <w:rFonts w:ascii="Arial Narrow" w:hAnsi="Arial Narrow"/>
                <w:szCs w:val="22"/>
                <w:lang w:val="en-US" w:eastAsia="ja-JP"/>
              </w:rPr>
              <w:t>5</w:t>
            </w:r>
          </w:p>
          <w:p w:rsidR="00826489" w:rsidRPr="00427237" w:rsidRDefault="004A30CA" w:rsidP="00182EAF">
            <w:pPr>
              <w:spacing w:after="120" w:line="240" w:lineRule="auto"/>
              <w:rPr>
                <w:rFonts w:ascii="Arial Narrow" w:hAnsi="Arial Narrow"/>
                <w:szCs w:val="22"/>
                <w:lang w:val="en-US" w:eastAsia="ja-JP"/>
              </w:rPr>
            </w:pPr>
            <w:r w:rsidRPr="00427237">
              <w:rPr>
                <w:rFonts w:ascii="Arial Narrow" w:hAnsi="Arial Narrow"/>
                <w:szCs w:val="22"/>
                <w:lang w:val="en-US" w:eastAsia="ja-JP"/>
              </w:rPr>
              <w:t>BONE STUDY - whole body and single photon emission tomography, with, when undertaken, blood flow, blood pool and delayed imaging on a separate occasion (R)</w:t>
            </w:r>
          </w:p>
          <w:p w:rsidR="00826489" w:rsidRPr="00427237" w:rsidRDefault="004A30CA" w:rsidP="00182EAF">
            <w:pPr>
              <w:spacing w:after="120" w:line="240" w:lineRule="auto"/>
              <w:rPr>
                <w:rFonts w:ascii="Arial Narrow" w:hAnsi="Arial Narrow"/>
                <w:szCs w:val="22"/>
                <w:lang w:val="en-US" w:eastAsia="ja-JP"/>
              </w:rPr>
            </w:pPr>
            <w:r w:rsidRPr="00427237">
              <w:rPr>
                <w:rFonts w:ascii="Arial Narrow" w:hAnsi="Arial Narrow"/>
                <w:szCs w:val="22"/>
                <w:lang w:val="en-US" w:eastAsia="ja-JP"/>
              </w:rPr>
              <w:t>Fee: $600.70</w:t>
            </w:r>
          </w:p>
        </w:tc>
      </w:tr>
    </w:tbl>
    <w:p w:rsidR="000A74CE" w:rsidRPr="00427237" w:rsidRDefault="000A74CE" w:rsidP="000A74CE"/>
    <w:p w:rsidR="000A74CE" w:rsidRPr="00427237" w:rsidRDefault="00BE4356" w:rsidP="00BE4356">
      <w:pPr>
        <w:pStyle w:val="Caption"/>
      </w:pPr>
      <w:r w:rsidRPr="00427237">
        <w:t xml:space="preserve">Table </w:t>
      </w:r>
      <w:r w:rsidR="00491038" w:rsidRPr="00427237">
        <w:rPr>
          <w:noProof/>
        </w:rPr>
        <w:t>16</w:t>
      </w:r>
      <w:r w:rsidR="000A74CE" w:rsidRPr="00427237">
        <w:t>:</w:t>
      </w:r>
      <w:r w:rsidR="00A0357B" w:rsidRPr="00427237">
        <w:t xml:space="preserve"> </w:t>
      </w:r>
      <w:r w:rsidR="000A74CE" w:rsidRPr="00427237">
        <w:t xml:space="preserve">MBS item descriptor for </w:t>
      </w:r>
      <w:r w:rsidR="001E1AE2" w:rsidRPr="00427237">
        <w:t>(</w:t>
      </w:r>
      <w:r w:rsidR="009605CE" w:rsidRPr="00427237">
        <w:t>confirmatory</w:t>
      </w:r>
      <w:r w:rsidR="001E1AE2" w:rsidRPr="00427237">
        <w:t>)</w:t>
      </w:r>
      <w:r w:rsidR="009605CE" w:rsidRPr="00427237">
        <w:t xml:space="preserve"> standard</w:t>
      </w:r>
      <w:r w:rsidR="000A74CE" w:rsidRPr="00427237">
        <w:t xml:space="preserve"> diagnostic imaging techniques – ultrasound.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0A74CE" w:rsidRPr="00427237" w:rsidTr="00182EAF">
        <w:tc>
          <w:tcPr>
            <w:tcW w:w="9134" w:type="dxa"/>
          </w:tcPr>
          <w:p w:rsidR="000A74CE" w:rsidRPr="00427237" w:rsidRDefault="000A74CE" w:rsidP="00182EAF">
            <w:pPr>
              <w:spacing w:after="120" w:line="240" w:lineRule="auto"/>
              <w:jc w:val="right"/>
              <w:rPr>
                <w:rFonts w:ascii="Arial Narrow" w:hAnsi="Arial Narrow"/>
                <w:szCs w:val="22"/>
                <w:lang w:eastAsia="ja-JP"/>
              </w:rPr>
            </w:pPr>
            <w:r w:rsidRPr="00427237">
              <w:rPr>
                <w:rFonts w:ascii="Arial Narrow" w:hAnsi="Arial Narrow"/>
                <w:szCs w:val="22"/>
                <w:lang w:eastAsia="ja-JP"/>
              </w:rPr>
              <w:t>Category 5 – Diagnostic imaging services</w:t>
            </w:r>
          </w:p>
        </w:tc>
      </w:tr>
      <w:tr w:rsidR="000A74CE" w:rsidRPr="00427237" w:rsidTr="00182EAF">
        <w:tc>
          <w:tcPr>
            <w:tcW w:w="9134" w:type="dxa"/>
          </w:tcPr>
          <w:p w:rsidR="000A74CE" w:rsidRPr="00427237" w:rsidRDefault="000A74CE" w:rsidP="00182EAF">
            <w:pPr>
              <w:spacing w:after="120" w:line="240" w:lineRule="auto"/>
              <w:rPr>
                <w:rFonts w:ascii="Arial Narrow" w:hAnsi="Arial Narrow"/>
                <w:szCs w:val="22"/>
                <w:lang w:val="en-US" w:eastAsia="ja-JP"/>
              </w:rPr>
            </w:pPr>
            <w:r w:rsidRPr="00427237">
              <w:rPr>
                <w:rFonts w:ascii="Arial Narrow" w:hAnsi="Arial Narrow"/>
                <w:szCs w:val="22"/>
                <w:lang w:val="en-US" w:eastAsia="ja-JP"/>
              </w:rPr>
              <w:t>MBS 55059</w:t>
            </w:r>
          </w:p>
          <w:p w:rsidR="000A74CE" w:rsidRPr="00427237" w:rsidRDefault="000A74CE" w:rsidP="00182EAF">
            <w:pPr>
              <w:spacing w:after="120" w:line="240" w:lineRule="auto"/>
              <w:rPr>
                <w:rFonts w:ascii="Arial Narrow" w:hAnsi="Arial Narrow"/>
                <w:szCs w:val="22"/>
                <w:lang w:val="en-US" w:eastAsia="ja-JP"/>
              </w:rPr>
            </w:pPr>
            <w:r w:rsidRPr="00427237">
              <w:rPr>
                <w:rFonts w:ascii="Arial Narrow" w:hAnsi="Arial Narrow"/>
                <w:szCs w:val="22"/>
                <w:lang w:val="en-US" w:eastAsia="ja-JP"/>
              </w:rPr>
              <w:t>BREAST, one, ultrasound scan of, where:</w:t>
            </w:r>
          </w:p>
          <w:p w:rsidR="000A74CE" w:rsidRPr="00427237" w:rsidRDefault="000A74CE" w:rsidP="00182EAF">
            <w:pPr>
              <w:spacing w:after="120" w:line="240" w:lineRule="auto"/>
              <w:rPr>
                <w:rFonts w:ascii="Arial Narrow" w:hAnsi="Arial Narrow"/>
                <w:szCs w:val="22"/>
                <w:lang w:val="en-US" w:eastAsia="ja-JP"/>
              </w:rPr>
            </w:pPr>
            <w:r w:rsidRPr="00427237">
              <w:rPr>
                <w:rFonts w:ascii="Arial Narrow" w:hAnsi="Arial Narrow"/>
                <w:szCs w:val="22"/>
                <w:lang w:val="en-US" w:eastAsia="ja-JP"/>
              </w:rPr>
              <w:t>(a)</w:t>
            </w:r>
            <w:r w:rsidR="00CB1F62">
              <w:rPr>
                <w:rFonts w:ascii="Arial Narrow" w:hAnsi="Arial Narrow"/>
                <w:szCs w:val="22"/>
                <w:lang w:val="en-US" w:eastAsia="ja-JP"/>
              </w:rPr>
              <w:t xml:space="preserve"> </w:t>
            </w:r>
            <w:r w:rsidRPr="00427237">
              <w:rPr>
                <w:rFonts w:ascii="Arial Narrow" w:hAnsi="Arial Narrow"/>
                <w:szCs w:val="22"/>
                <w:lang w:val="en-US" w:eastAsia="ja-JP"/>
              </w:rPr>
              <w:t>the patient is referred by a medical practitioner; and</w:t>
            </w:r>
          </w:p>
          <w:p w:rsidR="000A74CE" w:rsidRPr="00427237" w:rsidRDefault="000A74CE" w:rsidP="00182EAF">
            <w:pPr>
              <w:spacing w:after="120" w:line="240" w:lineRule="auto"/>
              <w:rPr>
                <w:rFonts w:ascii="Arial Narrow" w:hAnsi="Arial Narrow"/>
                <w:szCs w:val="22"/>
                <w:lang w:val="en-US" w:eastAsia="ja-JP"/>
              </w:rPr>
            </w:pPr>
            <w:r w:rsidRPr="00427237">
              <w:rPr>
                <w:rFonts w:ascii="Arial Narrow" w:hAnsi="Arial Narrow"/>
                <w:szCs w:val="22"/>
                <w:lang w:val="en-US" w:eastAsia="ja-JP"/>
              </w:rPr>
              <w:t>(b)</w:t>
            </w:r>
            <w:r w:rsidR="00CB1F62">
              <w:rPr>
                <w:rFonts w:ascii="Arial Narrow" w:hAnsi="Arial Narrow"/>
                <w:szCs w:val="22"/>
                <w:lang w:val="en-US" w:eastAsia="ja-JP"/>
              </w:rPr>
              <w:t xml:space="preserve"> </w:t>
            </w:r>
            <w:r w:rsidRPr="00427237">
              <w:rPr>
                <w:rFonts w:ascii="Arial Narrow" w:hAnsi="Arial Narrow"/>
                <w:szCs w:val="22"/>
                <w:lang w:val="en-US" w:eastAsia="ja-JP"/>
              </w:rPr>
              <w:t>the service is not associated with a service to which an item in Subgroup 2 or 3 of this group applies; and</w:t>
            </w:r>
          </w:p>
          <w:p w:rsidR="000A74CE" w:rsidRPr="00427237" w:rsidRDefault="000A74CE" w:rsidP="00182EAF">
            <w:pPr>
              <w:spacing w:after="120" w:line="240" w:lineRule="auto"/>
              <w:rPr>
                <w:rFonts w:ascii="Arial Narrow" w:hAnsi="Arial Narrow"/>
                <w:szCs w:val="22"/>
                <w:lang w:val="en-US" w:eastAsia="ja-JP"/>
              </w:rPr>
            </w:pPr>
            <w:r w:rsidRPr="00427237">
              <w:rPr>
                <w:rFonts w:ascii="Arial Narrow" w:hAnsi="Arial Narrow"/>
                <w:szCs w:val="22"/>
                <w:lang w:val="en-US" w:eastAsia="ja-JP"/>
              </w:rPr>
              <w:t>(c)</w:t>
            </w:r>
            <w:r w:rsidR="00CB1F62">
              <w:rPr>
                <w:rFonts w:ascii="Arial Narrow" w:hAnsi="Arial Narrow"/>
                <w:szCs w:val="22"/>
                <w:lang w:val="en-US" w:eastAsia="ja-JP"/>
              </w:rPr>
              <w:t xml:space="preserve"> </w:t>
            </w:r>
            <w:r w:rsidRPr="00427237">
              <w:rPr>
                <w:rFonts w:ascii="Arial Narrow" w:hAnsi="Arial Narrow"/>
                <w:szCs w:val="22"/>
                <w:lang w:val="en-US" w:eastAsia="ja-JP"/>
              </w:rPr>
              <w:t>the referring medical practitioner is not a member of a group of practitioners of which the providing practitioner is a member (R) (NK)</w:t>
            </w:r>
          </w:p>
          <w:p w:rsidR="000A74CE" w:rsidRPr="00427237" w:rsidRDefault="000A74CE" w:rsidP="00182EAF">
            <w:pPr>
              <w:spacing w:after="120" w:line="240" w:lineRule="auto"/>
              <w:rPr>
                <w:rFonts w:ascii="Arial Narrow" w:hAnsi="Arial Narrow"/>
                <w:szCs w:val="22"/>
                <w:lang w:val="en-US" w:eastAsia="ja-JP"/>
              </w:rPr>
            </w:pPr>
            <w:r w:rsidRPr="00427237">
              <w:rPr>
                <w:rFonts w:ascii="Arial Narrow" w:hAnsi="Arial Narrow"/>
                <w:szCs w:val="22"/>
                <w:lang w:val="en-US" w:eastAsia="ja-JP"/>
              </w:rPr>
              <w:t>Fee: $49.15</w:t>
            </w:r>
          </w:p>
        </w:tc>
      </w:tr>
      <w:tr w:rsidR="000A74CE" w:rsidRPr="00427237" w:rsidTr="00182EAF">
        <w:tc>
          <w:tcPr>
            <w:tcW w:w="9134" w:type="dxa"/>
          </w:tcPr>
          <w:p w:rsidR="000A74CE" w:rsidRPr="00427237" w:rsidRDefault="000A74CE" w:rsidP="00182EAF">
            <w:pPr>
              <w:spacing w:after="120" w:line="240" w:lineRule="auto"/>
              <w:rPr>
                <w:rFonts w:ascii="Arial Narrow" w:hAnsi="Arial Narrow"/>
                <w:szCs w:val="22"/>
                <w:lang w:val="en-US" w:eastAsia="ja-JP"/>
              </w:rPr>
            </w:pPr>
            <w:r w:rsidRPr="00427237">
              <w:rPr>
                <w:rFonts w:ascii="Arial Narrow" w:hAnsi="Arial Narrow"/>
                <w:szCs w:val="22"/>
                <w:lang w:val="en-US" w:eastAsia="ja-JP"/>
              </w:rPr>
              <w:lastRenderedPageBreak/>
              <w:t>MBS 55061</w:t>
            </w:r>
          </w:p>
          <w:p w:rsidR="000A74CE" w:rsidRPr="00427237" w:rsidRDefault="000A74CE" w:rsidP="00182EAF">
            <w:pPr>
              <w:spacing w:after="120" w:line="240" w:lineRule="auto"/>
              <w:rPr>
                <w:rFonts w:ascii="Arial Narrow" w:hAnsi="Arial Narrow"/>
                <w:szCs w:val="22"/>
                <w:lang w:val="en-US" w:eastAsia="ja-JP"/>
              </w:rPr>
            </w:pPr>
            <w:r w:rsidRPr="00427237">
              <w:rPr>
                <w:rFonts w:ascii="Arial Narrow" w:hAnsi="Arial Narrow"/>
                <w:szCs w:val="22"/>
                <w:lang w:val="en-US" w:eastAsia="ja-JP"/>
              </w:rPr>
              <w:t>BREASTS, both, ultrasound scan of, where:</w:t>
            </w:r>
          </w:p>
          <w:p w:rsidR="000A74CE" w:rsidRPr="00427237" w:rsidRDefault="000A74CE" w:rsidP="00182EAF">
            <w:pPr>
              <w:spacing w:after="120" w:line="240" w:lineRule="auto"/>
              <w:rPr>
                <w:rFonts w:ascii="Arial Narrow" w:hAnsi="Arial Narrow"/>
                <w:szCs w:val="22"/>
                <w:lang w:val="en-US" w:eastAsia="ja-JP"/>
              </w:rPr>
            </w:pPr>
            <w:r w:rsidRPr="00427237">
              <w:rPr>
                <w:rFonts w:ascii="Arial Narrow" w:hAnsi="Arial Narrow"/>
                <w:szCs w:val="22"/>
                <w:lang w:val="en-US" w:eastAsia="ja-JP"/>
              </w:rPr>
              <w:t>(a)</w:t>
            </w:r>
            <w:r w:rsidR="00CB1F62">
              <w:rPr>
                <w:rFonts w:ascii="Arial Narrow" w:hAnsi="Arial Narrow"/>
                <w:szCs w:val="22"/>
                <w:lang w:val="en-US" w:eastAsia="ja-JP"/>
              </w:rPr>
              <w:t xml:space="preserve"> </w:t>
            </w:r>
            <w:r w:rsidRPr="00427237">
              <w:rPr>
                <w:rFonts w:ascii="Arial Narrow" w:hAnsi="Arial Narrow"/>
                <w:szCs w:val="22"/>
                <w:lang w:val="en-US" w:eastAsia="ja-JP"/>
              </w:rPr>
              <w:t>the patient is referred by a medical practitioner; and</w:t>
            </w:r>
          </w:p>
          <w:p w:rsidR="000A74CE" w:rsidRPr="00427237" w:rsidRDefault="000A74CE" w:rsidP="00182EAF">
            <w:pPr>
              <w:spacing w:after="120" w:line="240" w:lineRule="auto"/>
              <w:rPr>
                <w:rFonts w:ascii="Arial Narrow" w:hAnsi="Arial Narrow"/>
                <w:szCs w:val="22"/>
                <w:lang w:val="en-US" w:eastAsia="ja-JP"/>
              </w:rPr>
            </w:pPr>
            <w:r w:rsidRPr="00427237">
              <w:rPr>
                <w:rFonts w:ascii="Arial Narrow" w:hAnsi="Arial Narrow"/>
                <w:szCs w:val="22"/>
                <w:lang w:val="en-US" w:eastAsia="ja-JP"/>
              </w:rPr>
              <w:t>(b)</w:t>
            </w:r>
            <w:r w:rsidR="00CB1F62">
              <w:rPr>
                <w:rFonts w:ascii="Arial Narrow" w:hAnsi="Arial Narrow"/>
                <w:szCs w:val="22"/>
                <w:lang w:val="en-US" w:eastAsia="ja-JP"/>
              </w:rPr>
              <w:t xml:space="preserve"> </w:t>
            </w:r>
            <w:r w:rsidRPr="00427237">
              <w:rPr>
                <w:rFonts w:ascii="Arial Narrow" w:hAnsi="Arial Narrow"/>
                <w:szCs w:val="22"/>
                <w:lang w:val="en-US" w:eastAsia="ja-JP"/>
              </w:rPr>
              <w:t>the service is not associated with a service to which an item in Subgroup 2 or 3 of this group applies; and</w:t>
            </w:r>
          </w:p>
          <w:p w:rsidR="000A74CE" w:rsidRPr="00427237" w:rsidRDefault="000A74CE" w:rsidP="00182EAF">
            <w:pPr>
              <w:spacing w:after="120" w:line="240" w:lineRule="auto"/>
              <w:rPr>
                <w:rFonts w:ascii="Arial Narrow" w:hAnsi="Arial Narrow"/>
                <w:szCs w:val="22"/>
                <w:lang w:val="en-US" w:eastAsia="ja-JP"/>
              </w:rPr>
            </w:pPr>
            <w:r w:rsidRPr="00427237">
              <w:rPr>
                <w:rFonts w:ascii="Arial Narrow" w:hAnsi="Arial Narrow"/>
                <w:szCs w:val="22"/>
                <w:lang w:val="en-US" w:eastAsia="ja-JP"/>
              </w:rPr>
              <w:t>(c)</w:t>
            </w:r>
            <w:r w:rsidR="00CB1F62">
              <w:rPr>
                <w:rFonts w:ascii="Arial Narrow" w:hAnsi="Arial Narrow"/>
                <w:szCs w:val="22"/>
                <w:lang w:val="en-US" w:eastAsia="ja-JP"/>
              </w:rPr>
              <w:t xml:space="preserve"> </w:t>
            </w:r>
            <w:r w:rsidRPr="00427237">
              <w:rPr>
                <w:rFonts w:ascii="Arial Narrow" w:hAnsi="Arial Narrow"/>
                <w:szCs w:val="22"/>
                <w:lang w:val="en-US" w:eastAsia="ja-JP"/>
              </w:rPr>
              <w:t>the referring medical practitioner is not a member of a group of practitioners of which the providing practitioner is a member (R) (NK)</w:t>
            </w:r>
          </w:p>
          <w:p w:rsidR="000A74CE" w:rsidRPr="00427237" w:rsidRDefault="000A74CE" w:rsidP="00182EAF">
            <w:pPr>
              <w:spacing w:after="120" w:line="240" w:lineRule="auto"/>
              <w:rPr>
                <w:rFonts w:ascii="Arial Narrow" w:hAnsi="Arial Narrow"/>
                <w:szCs w:val="22"/>
                <w:lang w:val="en-US" w:eastAsia="ja-JP"/>
              </w:rPr>
            </w:pPr>
            <w:r w:rsidRPr="00427237">
              <w:rPr>
                <w:rFonts w:ascii="Arial Narrow" w:hAnsi="Arial Narrow"/>
                <w:szCs w:val="22"/>
                <w:lang w:val="en-US" w:eastAsia="ja-JP"/>
              </w:rPr>
              <w:t>Fee: $54.55</w:t>
            </w:r>
          </w:p>
        </w:tc>
      </w:tr>
    </w:tbl>
    <w:p w:rsidR="009037F0" w:rsidRPr="00427237" w:rsidRDefault="009037F0">
      <w:pPr>
        <w:spacing w:after="0" w:line="240" w:lineRule="auto"/>
        <w:jc w:val="left"/>
      </w:pPr>
    </w:p>
    <w:p w:rsidR="009037F0" w:rsidRPr="00427237" w:rsidRDefault="009037F0">
      <w:pPr>
        <w:spacing w:after="0" w:line="240" w:lineRule="auto"/>
        <w:jc w:val="left"/>
      </w:pPr>
    </w:p>
    <w:p w:rsidR="002B1ABC" w:rsidRPr="00427237" w:rsidRDefault="002B1ABC">
      <w:pPr>
        <w:spacing w:after="0" w:line="240" w:lineRule="auto"/>
        <w:jc w:val="left"/>
      </w:pPr>
      <w:r w:rsidRPr="00427237">
        <w:br w:type="page"/>
      </w:r>
    </w:p>
    <w:p w:rsidR="009037F0" w:rsidRPr="00427237" w:rsidRDefault="009037F0">
      <w:pPr>
        <w:spacing w:after="0" w:line="240" w:lineRule="auto"/>
        <w:jc w:val="left"/>
      </w:pPr>
    </w:p>
    <w:p w:rsidR="002B1ABC" w:rsidRPr="00427237" w:rsidRDefault="00900878" w:rsidP="002B1ABC">
      <w:pPr>
        <w:pStyle w:val="Heading2"/>
      </w:pPr>
      <w:bookmarkStart w:id="100" w:name="_Toc379534826"/>
      <w:bookmarkStart w:id="101" w:name="_Toc379962720"/>
      <w:r w:rsidRPr="00427237">
        <w:t>A.2</w:t>
      </w:r>
      <w:r w:rsidR="002B1ABC" w:rsidRPr="00427237">
        <w:t>. Breast Cancer Staging</w:t>
      </w:r>
      <w:bookmarkEnd w:id="100"/>
      <w:bookmarkEnd w:id="101"/>
    </w:p>
    <w:p w:rsidR="00A5092A" w:rsidRPr="00427237" w:rsidRDefault="00A5092A" w:rsidP="00A5092A">
      <w:pPr>
        <w:rPr>
          <w:lang w:val="en-GB" w:eastAsia="ja-JP"/>
        </w:rPr>
      </w:pPr>
      <w:r w:rsidRPr="00427237">
        <w:rPr>
          <w:lang w:val="en-GB" w:eastAsia="ja-JP"/>
        </w:rPr>
        <w:t>Anatomic stage / prognostic groups for breast cancer</w:t>
      </w:r>
      <w:r w:rsidR="00512210" w:rsidRPr="00427237">
        <w:rPr>
          <w:lang w:val="en-GB" w:eastAsia="ja-JP"/>
        </w:rPr>
        <w:t xml:space="preserve"> </w:t>
      </w:r>
      <w:r w:rsidR="004C5DFB" w:rsidRPr="00427237">
        <w:rPr>
          <w:lang w:val="en-GB" w:eastAsia="ja-JP"/>
        </w:rPr>
        <w:t>based</w:t>
      </w:r>
      <w:r w:rsidR="00512210" w:rsidRPr="00427237">
        <w:rPr>
          <w:lang w:val="en-GB" w:eastAsia="ja-JP"/>
        </w:rPr>
        <w:t xml:space="preserve"> on the </w:t>
      </w:r>
      <w:r w:rsidR="004C5DFB" w:rsidRPr="00427237">
        <w:rPr>
          <w:lang w:val="en-GB" w:eastAsia="ja-JP"/>
        </w:rPr>
        <w:t>American</w:t>
      </w:r>
      <w:r w:rsidR="00512210" w:rsidRPr="00427237">
        <w:rPr>
          <w:lang w:val="en-GB" w:eastAsia="ja-JP"/>
        </w:rPr>
        <w:t xml:space="preserve"> Joint Committee on Cancer (AJCC) TNM staging system for breast cancer</w:t>
      </w:r>
      <w:r w:rsidRPr="00427237">
        <w:rPr>
          <w:lang w:val="en-GB" w:eastAsia="ja-JP"/>
        </w:rPr>
        <w:t xml:space="preserve">. Please refer to the 2013 NCCN guideline for breast cancer </w:t>
      </w:r>
      <w:r w:rsidR="00A8365E" w:rsidRPr="00427237">
        <w:rPr>
          <w:lang w:val="en-GB" w:eastAsia="ja-JP"/>
        </w:rPr>
        <w:t xml:space="preserve">and the AJCC </w:t>
      </w:r>
      <w:r w:rsidRPr="00427237">
        <w:rPr>
          <w:lang w:val="en-GB" w:eastAsia="ja-JP"/>
        </w:rPr>
        <w:t>for full details on staging</w:t>
      </w:r>
      <w:r w:rsidR="00565DFF" w:rsidRPr="00427237">
        <w:rPr>
          <w:lang w:val="en-GB" w:eastAsia="ja-JP"/>
        </w:rPr>
        <w:t>,</w:t>
      </w:r>
      <w:r w:rsidRPr="00427237">
        <w:rPr>
          <w:lang w:val="en-GB" w:eastAsia="ja-JP"/>
        </w:rPr>
        <w:t xml:space="preserve"> definitions</w:t>
      </w:r>
      <w:r w:rsidR="00565DFF" w:rsidRPr="00427237">
        <w:rPr>
          <w:lang w:val="en-GB" w:eastAsia="ja-JP"/>
        </w:rPr>
        <w:t xml:space="preserve"> and treatments</w:t>
      </w:r>
      <w:r w:rsidR="00C24187" w:rsidRPr="00427237">
        <w:rPr>
          <w:noProof/>
          <w:vertAlign w:val="superscript"/>
          <w:lang w:val="en-GB" w:eastAsia="ja-JP"/>
        </w:rPr>
        <w:t>8, 10</w:t>
      </w:r>
      <w:r w:rsidRPr="00427237">
        <w:rPr>
          <w:lang w:val="en-GB" w:eastAsia="ja-JP"/>
        </w:rPr>
        <w:t>.</w:t>
      </w:r>
    </w:p>
    <w:p w:rsidR="00BE4356" w:rsidRPr="00427237" w:rsidRDefault="00BE4356" w:rsidP="00BE4356">
      <w:pPr>
        <w:pStyle w:val="Caption"/>
      </w:pPr>
      <w:proofErr w:type="gramStart"/>
      <w:r w:rsidRPr="00427237">
        <w:t xml:space="preserve">Table </w:t>
      </w:r>
      <w:r w:rsidR="00491038" w:rsidRPr="00427237">
        <w:rPr>
          <w:noProof/>
        </w:rPr>
        <w:t>17</w:t>
      </w:r>
      <w:r w:rsidRPr="00427237">
        <w:t>: AJCC TNM staging system for breast cancer.</w:t>
      </w:r>
      <w:proofErr w:type="gramEnd"/>
    </w:p>
    <w:tbl>
      <w:tblPr>
        <w:tblStyle w:val="TableGrid"/>
        <w:tblW w:w="0" w:type="auto"/>
        <w:tblBorders>
          <w:insideH w:val="single" w:sz="4" w:space="0" w:color="auto"/>
        </w:tblBorders>
        <w:tblLook w:val="04A0" w:firstRow="1" w:lastRow="0" w:firstColumn="1" w:lastColumn="0" w:noHBand="0" w:noVBand="1"/>
        <w:tblCaption w:val="AJCC TNM staging system for breast cancer."/>
      </w:tblPr>
      <w:tblGrid>
        <w:gridCol w:w="2450"/>
        <w:gridCol w:w="2000"/>
        <w:gridCol w:w="1408"/>
        <w:gridCol w:w="1613"/>
        <w:gridCol w:w="1771"/>
      </w:tblGrid>
      <w:tr w:rsidR="006649AC" w:rsidRPr="00427237" w:rsidTr="00CB1F62">
        <w:trPr>
          <w:tblHeader/>
        </w:trPr>
        <w:tc>
          <w:tcPr>
            <w:tcW w:w="0" w:type="auto"/>
          </w:tcPr>
          <w:p w:rsidR="00DE090C" w:rsidRPr="00427237" w:rsidRDefault="00DE090C">
            <w:pPr>
              <w:spacing w:after="0" w:line="240" w:lineRule="auto"/>
              <w:jc w:val="left"/>
              <w:rPr>
                <w:b/>
              </w:rPr>
            </w:pPr>
            <w:r w:rsidRPr="00427237">
              <w:rPr>
                <w:b/>
              </w:rPr>
              <w:t>General cancer category</w:t>
            </w:r>
            <w:r w:rsidR="008E1A5B" w:rsidRPr="00427237">
              <w:rPr>
                <w:b/>
              </w:rPr>
              <w:t xml:space="preserve"> (NCCN Guideline V 3.2013)</w:t>
            </w:r>
          </w:p>
        </w:tc>
        <w:tc>
          <w:tcPr>
            <w:tcW w:w="0" w:type="auto"/>
          </w:tcPr>
          <w:p w:rsidR="00DE090C" w:rsidRPr="00427237" w:rsidRDefault="00DE090C">
            <w:pPr>
              <w:spacing w:after="0" w:line="240" w:lineRule="auto"/>
              <w:jc w:val="left"/>
              <w:rPr>
                <w:b/>
              </w:rPr>
            </w:pPr>
            <w:r w:rsidRPr="00427237">
              <w:rPr>
                <w:b/>
              </w:rPr>
              <w:t>Anatomic stage / prognostic group</w:t>
            </w:r>
          </w:p>
        </w:tc>
        <w:tc>
          <w:tcPr>
            <w:tcW w:w="0" w:type="auto"/>
          </w:tcPr>
          <w:p w:rsidR="00DE090C" w:rsidRPr="00427237" w:rsidRDefault="00DE090C">
            <w:pPr>
              <w:spacing w:after="0" w:line="240" w:lineRule="auto"/>
              <w:jc w:val="left"/>
              <w:rPr>
                <w:b/>
              </w:rPr>
            </w:pPr>
            <w:r w:rsidRPr="00427237">
              <w:rPr>
                <w:b/>
              </w:rPr>
              <w:t>T (primary tumour)</w:t>
            </w:r>
          </w:p>
        </w:tc>
        <w:tc>
          <w:tcPr>
            <w:tcW w:w="0" w:type="auto"/>
          </w:tcPr>
          <w:p w:rsidR="00DE090C" w:rsidRPr="00427237" w:rsidRDefault="00DE090C">
            <w:pPr>
              <w:spacing w:after="0" w:line="240" w:lineRule="auto"/>
              <w:jc w:val="left"/>
              <w:rPr>
                <w:b/>
              </w:rPr>
            </w:pPr>
            <w:r w:rsidRPr="00427237">
              <w:rPr>
                <w:b/>
              </w:rPr>
              <w:t>N (regional lymph nodes)</w:t>
            </w:r>
          </w:p>
        </w:tc>
        <w:tc>
          <w:tcPr>
            <w:tcW w:w="0" w:type="auto"/>
          </w:tcPr>
          <w:p w:rsidR="00DE090C" w:rsidRPr="00427237" w:rsidRDefault="00DE090C">
            <w:pPr>
              <w:spacing w:after="0" w:line="240" w:lineRule="auto"/>
              <w:jc w:val="left"/>
              <w:rPr>
                <w:b/>
              </w:rPr>
            </w:pPr>
            <w:r w:rsidRPr="00427237">
              <w:rPr>
                <w:b/>
              </w:rPr>
              <w:t>M (distant metastases)</w:t>
            </w:r>
          </w:p>
        </w:tc>
      </w:tr>
      <w:tr w:rsidR="006649AC" w:rsidRPr="00427237" w:rsidTr="00DE090C">
        <w:tc>
          <w:tcPr>
            <w:tcW w:w="0" w:type="auto"/>
          </w:tcPr>
          <w:p w:rsidR="00DE090C" w:rsidRPr="00427237" w:rsidRDefault="00DE090C">
            <w:pPr>
              <w:spacing w:after="0" w:line="240" w:lineRule="auto"/>
              <w:jc w:val="left"/>
            </w:pPr>
            <w:r w:rsidRPr="00427237">
              <w:t>Pure non-invasive carcinomas</w:t>
            </w:r>
          </w:p>
        </w:tc>
        <w:tc>
          <w:tcPr>
            <w:tcW w:w="0" w:type="auto"/>
          </w:tcPr>
          <w:p w:rsidR="00DE090C" w:rsidRPr="00427237" w:rsidRDefault="00DE090C">
            <w:pPr>
              <w:spacing w:after="0" w:line="240" w:lineRule="auto"/>
              <w:jc w:val="left"/>
            </w:pPr>
            <w:r w:rsidRPr="00427237">
              <w:t>Stage 0</w:t>
            </w:r>
          </w:p>
        </w:tc>
        <w:tc>
          <w:tcPr>
            <w:tcW w:w="0" w:type="auto"/>
          </w:tcPr>
          <w:p w:rsidR="00DE090C" w:rsidRPr="00427237" w:rsidRDefault="00DE090C">
            <w:pPr>
              <w:spacing w:after="0" w:line="240" w:lineRule="auto"/>
              <w:jc w:val="left"/>
            </w:pPr>
            <w:r w:rsidRPr="00427237">
              <w:t>Tis</w:t>
            </w:r>
          </w:p>
        </w:tc>
        <w:tc>
          <w:tcPr>
            <w:tcW w:w="0" w:type="auto"/>
          </w:tcPr>
          <w:p w:rsidR="00DE090C" w:rsidRPr="00427237" w:rsidRDefault="00DE090C">
            <w:pPr>
              <w:spacing w:after="0" w:line="240" w:lineRule="auto"/>
              <w:jc w:val="left"/>
            </w:pPr>
            <w:r w:rsidRPr="00427237">
              <w:t>N0</w:t>
            </w:r>
          </w:p>
        </w:tc>
        <w:tc>
          <w:tcPr>
            <w:tcW w:w="0" w:type="auto"/>
          </w:tcPr>
          <w:p w:rsidR="00DE090C" w:rsidRPr="00427237" w:rsidRDefault="00DE090C">
            <w:pPr>
              <w:spacing w:after="0" w:line="240" w:lineRule="auto"/>
              <w:jc w:val="left"/>
            </w:pPr>
            <w:r w:rsidRPr="00427237">
              <w:t>M0</w:t>
            </w:r>
          </w:p>
        </w:tc>
      </w:tr>
      <w:tr w:rsidR="006649AC" w:rsidRPr="00427237" w:rsidTr="00DE090C">
        <w:tc>
          <w:tcPr>
            <w:tcW w:w="0" w:type="auto"/>
          </w:tcPr>
          <w:p w:rsidR="00DE090C" w:rsidRPr="00427237" w:rsidRDefault="006649AC" w:rsidP="00A77E85">
            <w:pPr>
              <w:spacing w:after="0" w:line="240" w:lineRule="auto"/>
              <w:jc w:val="left"/>
            </w:pPr>
            <w:r w:rsidRPr="00427237">
              <w:t xml:space="preserve">Early </w:t>
            </w:r>
            <w:r w:rsidR="00F24B40" w:rsidRPr="00427237">
              <w:t>breast cancer</w:t>
            </w:r>
          </w:p>
        </w:tc>
        <w:tc>
          <w:tcPr>
            <w:tcW w:w="0" w:type="auto"/>
          </w:tcPr>
          <w:p w:rsidR="00DE090C" w:rsidRPr="00427237" w:rsidRDefault="00DE090C" w:rsidP="00A77E85">
            <w:pPr>
              <w:spacing w:after="0" w:line="240" w:lineRule="auto"/>
              <w:jc w:val="left"/>
            </w:pPr>
            <w:r w:rsidRPr="00427237">
              <w:t>Stage 1A</w:t>
            </w:r>
          </w:p>
        </w:tc>
        <w:tc>
          <w:tcPr>
            <w:tcW w:w="0" w:type="auto"/>
          </w:tcPr>
          <w:p w:rsidR="00DE090C" w:rsidRPr="00427237" w:rsidRDefault="00DE090C" w:rsidP="00A77E85">
            <w:pPr>
              <w:spacing w:after="0" w:line="240" w:lineRule="auto"/>
              <w:jc w:val="left"/>
            </w:pPr>
            <w:r w:rsidRPr="00427237">
              <w:t>T1*</w:t>
            </w:r>
          </w:p>
        </w:tc>
        <w:tc>
          <w:tcPr>
            <w:tcW w:w="0" w:type="auto"/>
          </w:tcPr>
          <w:p w:rsidR="00DE090C" w:rsidRPr="00427237" w:rsidRDefault="00DE090C" w:rsidP="00A77E85">
            <w:pPr>
              <w:spacing w:after="0" w:line="240" w:lineRule="auto"/>
              <w:jc w:val="left"/>
            </w:pPr>
            <w:r w:rsidRPr="00427237">
              <w:t>N0</w:t>
            </w:r>
          </w:p>
        </w:tc>
        <w:tc>
          <w:tcPr>
            <w:tcW w:w="0" w:type="auto"/>
          </w:tcPr>
          <w:p w:rsidR="00DE090C" w:rsidRPr="00427237" w:rsidRDefault="00DE090C" w:rsidP="00A77E85">
            <w:pPr>
              <w:spacing w:after="0" w:line="240" w:lineRule="auto"/>
            </w:pPr>
            <w:r w:rsidRPr="00427237">
              <w:t>M0</w:t>
            </w:r>
          </w:p>
        </w:tc>
      </w:tr>
      <w:tr w:rsidR="006649AC" w:rsidRPr="00427237" w:rsidTr="00DE090C">
        <w:tc>
          <w:tcPr>
            <w:tcW w:w="0" w:type="auto"/>
          </w:tcPr>
          <w:p w:rsidR="00DE090C" w:rsidRPr="00427237" w:rsidRDefault="00DE090C" w:rsidP="00A77E85">
            <w:pPr>
              <w:spacing w:after="0" w:line="240" w:lineRule="auto"/>
              <w:jc w:val="left"/>
            </w:pPr>
          </w:p>
        </w:tc>
        <w:tc>
          <w:tcPr>
            <w:tcW w:w="0" w:type="auto"/>
          </w:tcPr>
          <w:p w:rsidR="00DE090C" w:rsidRPr="00427237" w:rsidRDefault="00DE090C" w:rsidP="00A77E85">
            <w:pPr>
              <w:spacing w:after="0" w:line="240" w:lineRule="auto"/>
              <w:jc w:val="left"/>
            </w:pPr>
            <w:r w:rsidRPr="00427237">
              <w:t>Stage 1B</w:t>
            </w:r>
          </w:p>
        </w:tc>
        <w:tc>
          <w:tcPr>
            <w:tcW w:w="0" w:type="auto"/>
          </w:tcPr>
          <w:p w:rsidR="00DE090C" w:rsidRPr="00427237" w:rsidRDefault="00DE090C" w:rsidP="00A77E85">
            <w:pPr>
              <w:spacing w:after="0" w:line="240" w:lineRule="auto"/>
              <w:jc w:val="left"/>
            </w:pPr>
            <w:r w:rsidRPr="00427237">
              <w:t>T0</w:t>
            </w:r>
          </w:p>
        </w:tc>
        <w:tc>
          <w:tcPr>
            <w:tcW w:w="0" w:type="auto"/>
          </w:tcPr>
          <w:p w:rsidR="00DE090C" w:rsidRPr="00427237" w:rsidRDefault="00DE090C" w:rsidP="00A77E85">
            <w:pPr>
              <w:spacing w:after="0" w:line="240" w:lineRule="auto"/>
              <w:jc w:val="left"/>
            </w:pPr>
            <w:r w:rsidRPr="00427237">
              <w:t>N1mi</w:t>
            </w:r>
          </w:p>
        </w:tc>
        <w:tc>
          <w:tcPr>
            <w:tcW w:w="0" w:type="auto"/>
          </w:tcPr>
          <w:p w:rsidR="00DE090C" w:rsidRPr="00427237" w:rsidRDefault="00DE090C" w:rsidP="00A77E85">
            <w:pPr>
              <w:spacing w:after="0" w:line="240" w:lineRule="auto"/>
            </w:pPr>
            <w:r w:rsidRPr="00427237">
              <w:t>M0</w:t>
            </w:r>
          </w:p>
        </w:tc>
      </w:tr>
      <w:tr w:rsidR="006649AC" w:rsidRPr="00427237" w:rsidTr="00DE090C">
        <w:tc>
          <w:tcPr>
            <w:tcW w:w="0" w:type="auto"/>
          </w:tcPr>
          <w:p w:rsidR="00DE090C" w:rsidRPr="00427237" w:rsidRDefault="00DE090C" w:rsidP="00A77E85">
            <w:pPr>
              <w:spacing w:after="0" w:line="240" w:lineRule="auto"/>
              <w:jc w:val="left"/>
            </w:pPr>
          </w:p>
        </w:tc>
        <w:tc>
          <w:tcPr>
            <w:tcW w:w="0" w:type="auto"/>
          </w:tcPr>
          <w:p w:rsidR="00DE090C" w:rsidRPr="00427237" w:rsidRDefault="00DE090C" w:rsidP="00A77E85">
            <w:pPr>
              <w:spacing w:after="0" w:line="240" w:lineRule="auto"/>
              <w:jc w:val="left"/>
            </w:pPr>
          </w:p>
        </w:tc>
        <w:tc>
          <w:tcPr>
            <w:tcW w:w="0" w:type="auto"/>
          </w:tcPr>
          <w:p w:rsidR="00DE090C" w:rsidRPr="00427237" w:rsidRDefault="00DE090C" w:rsidP="00A77E85">
            <w:pPr>
              <w:spacing w:after="0" w:line="240" w:lineRule="auto"/>
              <w:jc w:val="left"/>
            </w:pPr>
            <w:r w:rsidRPr="00427237">
              <w:t>T1*</w:t>
            </w:r>
          </w:p>
        </w:tc>
        <w:tc>
          <w:tcPr>
            <w:tcW w:w="0" w:type="auto"/>
          </w:tcPr>
          <w:p w:rsidR="00DE090C" w:rsidRPr="00427237" w:rsidRDefault="00DE090C" w:rsidP="00A77E85">
            <w:pPr>
              <w:spacing w:after="0" w:line="240" w:lineRule="auto"/>
              <w:jc w:val="left"/>
            </w:pPr>
            <w:r w:rsidRPr="00427237">
              <w:t>N1mi</w:t>
            </w:r>
          </w:p>
        </w:tc>
        <w:tc>
          <w:tcPr>
            <w:tcW w:w="0" w:type="auto"/>
          </w:tcPr>
          <w:p w:rsidR="00DE090C" w:rsidRPr="00427237" w:rsidRDefault="00DE090C" w:rsidP="00A77E85">
            <w:pPr>
              <w:spacing w:after="0" w:line="240" w:lineRule="auto"/>
            </w:pPr>
            <w:r w:rsidRPr="00427237">
              <w:t>M0</w:t>
            </w:r>
          </w:p>
        </w:tc>
      </w:tr>
      <w:tr w:rsidR="006649AC" w:rsidRPr="00427237" w:rsidTr="00DE090C">
        <w:tc>
          <w:tcPr>
            <w:tcW w:w="0" w:type="auto"/>
          </w:tcPr>
          <w:p w:rsidR="00DE090C" w:rsidRPr="00427237" w:rsidRDefault="00DE090C" w:rsidP="00A77E85">
            <w:pPr>
              <w:spacing w:after="0" w:line="240" w:lineRule="auto"/>
              <w:jc w:val="left"/>
            </w:pPr>
          </w:p>
        </w:tc>
        <w:tc>
          <w:tcPr>
            <w:tcW w:w="0" w:type="auto"/>
          </w:tcPr>
          <w:p w:rsidR="00DE090C" w:rsidRPr="00427237" w:rsidRDefault="00DE090C" w:rsidP="00A77E85">
            <w:pPr>
              <w:spacing w:after="0" w:line="240" w:lineRule="auto"/>
              <w:jc w:val="left"/>
            </w:pPr>
            <w:r w:rsidRPr="00427237">
              <w:t>Stage 2A</w:t>
            </w:r>
          </w:p>
        </w:tc>
        <w:tc>
          <w:tcPr>
            <w:tcW w:w="0" w:type="auto"/>
          </w:tcPr>
          <w:p w:rsidR="00DE090C" w:rsidRPr="00427237" w:rsidRDefault="00DE090C" w:rsidP="00A77E85">
            <w:pPr>
              <w:spacing w:after="0" w:line="240" w:lineRule="auto"/>
              <w:jc w:val="left"/>
            </w:pPr>
            <w:r w:rsidRPr="00427237">
              <w:t>T0</w:t>
            </w:r>
          </w:p>
        </w:tc>
        <w:tc>
          <w:tcPr>
            <w:tcW w:w="0" w:type="auto"/>
          </w:tcPr>
          <w:p w:rsidR="00DE090C" w:rsidRPr="00427237" w:rsidRDefault="00DE090C" w:rsidP="00A77E85">
            <w:pPr>
              <w:spacing w:after="0" w:line="240" w:lineRule="auto"/>
              <w:jc w:val="left"/>
            </w:pPr>
            <w:r w:rsidRPr="00427237">
              <w:t>N1**</w:t>
            </w:r>
          </w:p>
        </w:tc>
        <w:tc>
          <w:tcPr>
            <w:tcW w:w="0" w:type="auto"/>
          </w:tcPr>
          <w:p w:rsidR="00DE090C" w:rsidRPr="00427237" w:rsidRDefault="00DE090C" w:rsidP="00A77E85">
            <w:pPr>
              <w:spacing w:after="0" w:line="240" w:lineRule="auto"/>
            </w:pPr>
            <w:r w:rsidRPr="00427237">
              <w:t>M0</w:t>
            </w:r>
          </w:p>
        </w:tc>
      </w:tr>
      <w:tr w:rsidR="006649AC" w:rsidRPr="00427237" w:rsidTr="00DE090C">
        <w:tc>
          <w:tcPr>
            <w:tcW w:w="0" w:type="auto"/>
          </w:tcPr>
          <w:p w:rsidR="00DE090C" w:rsidRPr="00427237" w:rsidRDefault="00DE090C" w:rsidP="00A77E85">
            <w:pPr>
              <w:spacing w:after="0" w:line="240" w:lineRule="auto"/>
              <w:jc w:val="left"/>
            </w:pPr>
          </w:p>
        </w:tc>
        <w:tc>
          <w:tcPr>
            <w:tcW w:w="0" w:type="auto"/>
          </w:tcPr>
          <w:p w:rsidR="00DE090C" w:rsidRPr="00427237" w:rsidRDefault="00DE090C" w:rsidP="00A77E85">
            <w:pPr>
              <w:spacing w:after="0" w:line="240" w:lineRule="auto"/>
              <w:jc w:val="left"/>
            </w:pPr>
          </w:p>
        </w:tc>
        <w:tc>
          <w:tcPr>
            <w:tcW w:w="0" w:type="auto"/>
          </w:tcPr>
          <w:p w:rsidR="00DE090C" w:rsidRPr="00427237" w:rsidRDefault="00DE090C" w:rsidP="00A77E85">
            <w:pPr>
              <w:spacing w:after="0" w:line="240" w:lineRule="auto"/>
              <w:jc w:val="left"/>
            </w:pPr>
            <w:r w:rsidRPr="00427237">
              <w:t>T1*</w:t>
            </w:r>
          </w:p>
        </w:tc>
        <w:tc>
          <w:tcPr>
            <w:tcW w:w="0" w:type="auto"/>
          </w:tcPr>
          <w:p w:rsidR="00DE090C" w:rsidRPr="00427237" w:rsidRDefault="00DE090C" w:rsidP="00A77E85">
            <w:pPr>
              <w:spacing w:after="0" w:line="240" w:lineRule="auto"/>
              <w:jc w:val="left"/>
            </w:pPr>
            <w:r w:rsidRPr="00427237">
              <w:t>N1**</w:t>
            </w:r>
          </w:p>
        </w:tc>
        <w:tc>
          <w:tcPr>
            <w:tcW w:w="0" w:type="auto"/>
          </w:tcPr>
          <w:p w:rsidR="00DE090C" w:rsidRPr="00427237" w:rsidRDefault="00DE090C" w:rsidP="00A77E85">
            <w:pPr>
              <w:spacing w:after="0" w:line="240" w:lineRule="auto"/>
            </w:pPr>
            <w:r w:rsidRPr="00427237">
              <w:t>M0</w:t>
            </w:r>
          </w:p>
        </w:tc>
      </w:tr>
      <w:tr w:rsidR="006649AC" w:rsidRPr="00427237" w:rsidTr="00DE090C">
        <w:tc>
          <w:tcPr>
            <w:tcW w:w="0" w:type="auto"/>
          </w:tcPr>
          <w:p w:rsidR="00DE090C" w:rsidRPr="00427237" w:rsidRDefault="00DE090C" w:rsidP="00A77E85">
            <w:pPr>
              <w:spacing w:after="0" w:line="240" w:lineRule="auto"/>
              <w:jc w:val="left"/>
            </w:pPr>
          </w:p>
        </w:tc>
        <w:tc>
          <w:tcPr>
            <w:tcW w:w="0" w:type="auto"/>
          </w:tcPr>
          <w:p w:rsidR="00DE090C" w:rsidRPr="00427237" w:rsidRDefault="00DE090C" w:rsidP="00A77E85">
            <w:pPr>
              <w:spacing w:after="0" w:line="240" w:lineRule="auto"/>
              <w:jc w:val="left"/>
            </w:pPr>
          </w:p>
        </w:tc>
        <w:tc>
          <w:tcPr>
            <w:tcW w:w="0" w:type="auto"/>
          </w:tcPr>
          <w:p w:rsidR="00DE090C" w:rsidRPr="00427237" w:rsidRDefault="00DE090C" w:rsidP="00A77E85">
            <w:pPr>
              <w:spacing w:after="0" w:line="240" w:lineRule="auto"/>
              <w:jc w:val="left"/>
            </w:pPr>
            <w:r w:rsidRPr="00427237">
              <w:t>T2</w:t>
            </w:r>
          </w:p>
        </w:tc>
        <w:tc>
          <w:tcPr>
            <w:tcW w:w="0" w:type="auto"/>
          </w:tcPr>
          <w:p w:rsidR="00DE090C" w:rsidRPr="00427237" w:rsidRDefault="00DE090C" w:rsidP="00A77E85">
            <w:pPr>
              <w:spacing w:after="0" w:line="240" w:lineRule="auto"/>
              <w:jc w:val="left"/>
            </w:pPr>
            <w:r w:rsidRPr="00427237">
              <w:t>N0</w:t>
            </w:r>
          </w:p>
        </w:tc>
        <w:tc>
          <w:tcPr>
            <w:tcW w:w="0" w:type="auto"/>
          </w:tcPr>
          <w:p w:rsidR="00DE090C" w:rsidRPr="00427237" w:rsidRDefault="00DE090C" w:rsidP="00A77E85">
            <w:pPr>
              <w:spacing w:after="0" w:line="240" w:lineRule="auto"/>
            </w:pPr>
            <w:r w:rsidRPr="00427237">
              <w:t>M0</w:t>
            </w:r>
          </w:p>
        </w:tc>
      </w:tr>
      <w:tr w:rsidR="006649AC" w:rsidRPr="00427237" w:rsidTr="00DE090C">
        <w:tc>
          <w:tcPr>
            <w:tcW w:w="0" w:type="auto"/>
          </w:tcPr>
          <w:p w:rsidR="00DE090C" w:rsidRPr="00427237" w:rsidRDefault="00DE090C" w:rsidP="00480203">
            <w:pPr>
              <w:spacing w:after="0" w:line="240" w:lineRule="auto"/>
              <w:jc w:val="left"/>
            </w:pPr>
          </w:p>
        </w:tc>
        <w:tc>
          <w:tcPr>
            <w:tcW w:w="0" w:type="auto"/>
          </w:tcPr>
          <w:p w:rsidR="00DE090C" w:rsidRPr="00427237" w:rsidRDefault="00DE090C" w:rsidP="00A77E85">
            <w:pPr>
              <w:spacing w:after="0" w:line="240" w:lineRule="auto"/>
              <w:jc w:val="left"/>
            </w:pPr>
            <w:r w:rsidRPr="00427237">
              <w:t>Stage 2B</w:t>
            </w:r>
          </w:p>
        </w:tc>
        <w:tc>
          <w:tcPr>
            <w:tcW w:w="0" w:type="auto"/>
          </w:tcPr>
          <w:p w:rsidR="00DE090C" w:rsidRPr="00427237" w:rsidRDefault="00DE090C" w:rsidP="00A77E85">
            <w:pPr>
              <w:spacing w:after="0" w:line="240" w:lineRule="auto"/>
              <w:jc w:val="left"/>
            </w:pPr>
            <w:r w:rsidRPr="00427237">
              <w:t>T2</w:t>
            </w:r>
          </w:p>
        </w:tc>
        <w:tc>
          <w:tcPr>
            <w:tcW w:w="0" w:type="auto"/>
          </w:tcPr>
          <w:p w:rsidR="00DE090C" w:rsidRPr="00427237" w:rsidRDefault="00DE090C" w:rsidP="00A77E85">
            <w:pPr>
              <w:spacing w:after="0" w:line="240" w:lineRule="auto"/>
              <w:jc w:val="left"/>
            </w:pPr>
            <w:r w:rsidRPr="00427237">
              <w:t>N1</w:t>
            </w:r>
          </w:p>
        </w:tc>
        <w:tc>
          <w:tcPr>
            <w:tcW w:w="0" w:type="auto"/>
          </w:tcPr>
          <w:p w:rsidR="00DE090C" w:rsidRPr="00427237" w:rsidRDefault="00DE090C" w:rsidP="00A77E85">
            <w:pPr>
              <w:spacing w:after="0" w:line="240" w:lineRule="auto"/>
            </w:pPr>
            <w:r w:rsidRPr="00427237">
              <w:t>M0</w:t>
            </w:r>
          </w:p>
        </w:tc>
      </w:tr>
      <w:tr w:rsidR="006649AC" w:rsidRPr="00427237" w:rsidTr="00DE090C">
        <w:tc>
          <w:tcPr>
            <w:tcW w:w="0" w:type="auto"/>
          </w:tcPr>
          <w:p w:rsidR="00DE090C" w:rsidRPr="00427237" w:rsidRDefault="00DE090C" w:rsidP="00A77E85">
            <w:pPr>
              <w:spacing w:after="0" w:line="240" w:lineRule="auto"/>
              <w:jc w:val="left"/>
            </w:pPr>
          </w:p>
        </w:tc>
        <w:tc>
          <w:tcPr>
            <w:tcW w:w="0" w:type="auto"/>
          </w:tcPr>
          <w:p w:rsidR="00DE090C" w:rsidRPr="00427237" w:rsidRDefault="00DE090C" w:rsidP="00A77E85">
            <w:pPr>
              <w:spacing w:after="0" w:line="240" w:lineRule="auto"/>
              <w:jc w:val="left"/>
            </w:pPr>
          </w:p>
        </w:tc>
        <w:tc>
          <w:tcPr>
            <w:tcW w:w="0" w:type="auto"/>
          </w:tcPr>
          <w:p w:rsidR="00DE090C" w:rsidRPr="00427237" w:rsidRDefault="00DE090C" w:rsidP="00A77E85">
            <w:pPr>
              <w:spacing w:after="0" w:line="240" w:lineRule="auto"/>
              <w:jc w:val="left"/>
            </w:pPr>
            <w:r w:rsidRPr="00427237">
              <w:t>T3</w:t>
            </w:r>
          </w:p>
        </w:tc>
        <w:tc>
          <w:tcPr>
            <w:tcW w:w="0" w:type="auto"/>
          </w:tcPr>
          <w:p w:rsidR="00DE090C" w:rsidRPr="00427237" w:rsidRDefault="00DE090C" w:rsidP="00A77E85">
            <w:pPr>
              <w:spacing w:after="0" w:line="240" w:lineRule="auto"/>
              <w:jc w:val="left"/>
            </w:pPr>
            <w:r w:rsidRPr="00427237">
              <w:t>N0</w:t>
            </w:r>
          </w:p>
        </w:tc>
        <w:tc>
          <w:tcPr>
            <w:tcW w:w="0" w:type="auto"/>
          </w:tcPr>
          <w:p w:rsidR="00DE090C" w:rsidRPr="00427237" w:rsidRDefault="00DE090C" w:rsidP="00A77E85">
            <w:pPr>
              <w:spacing w:after="0" w:line="240" w:lineRule="auto"/>
            </w:pPr>
            <w:r w:rsidRPr="00427237">
              <w:t>M0</w:t>
            </w:r>
          </w:p>
        </w:tc>
      </w:tr>
      <w:tr w:rsidR="006649AC" w:rsidRPr="00427237" w:rsidTr="00DE090C">
        <w:tc>
          <w:tcPr>
            <w:tcW w:w="0" w:type="auto"/>
          </w:tcPr>
          <w:p w:rsidR="00DE090C" w:rsidRPr="00427237" w:rsidRDefault="006649AC" w:rsidP="00A77E85">
            <w:pPr>
              <w:spacing w:after="0" w:line="240" w:lineRule="auto"/>
              <w:jc w:val="left"/>
            </w:pPr>
            <w:r w:rsidRPr="00427237">
              <w:t>Locally</w:t>
            </w:r>
            <w:r w:rsidR="00362230" w:rsidRPr="00427237">
              <w:t xml:space="preserve"> or regionally</w:t>
            </w:r>
            <w:r w:rsidRPr="00427237">
              <w:t xml:space="preserve"> advanced breast cancer</w:t>
            </w:r>
          </w:p>
        </w:tc>
        <w:tc>
          <w:tcPr>
            <w:tcW w:w="0" w:type="auto"/>
          </w:tcPr>
          <w:p w:rsidR="00DE090C" w:rsidRPr="00427237" w:rsidRDefault="00DE090C" w:rsidP="00A77E85">
            <w:pPr>
              <w:spacing w:after="0" w:line="240" w:lineRule="auto"/>
              <w:jc w:val="left"/>
            </w:pPr>
            <w:r w:rsidRPr="00427237">
              <w:t>Stage 3A</w:t>
            </w:r>
          </w:p>
        </w:tc>
        <w:tc>
          <w:tcPr>
            <w:tcW w:w="0" w:type="auto"/>
          </w:tcPr>
          <w:p w:rsidR="00DE090C" w:rsidRPr="00427237" w:rsidRDefault="00DE090C" w:rsidP="00A77E85">
            <w:pPr>
              <w:spacing w:after="0" w:line="240" w:lineRule="auto"/>
              <w:jc w:val="left"/>
            </w:pPr>
            <w:r w:rsidRPr="00427237">
              <w:t>T0</w:t>
            </w:r>
          </w:p>
        </w:tc>
        <w:tc>
          <w:tcPr>
            <w:tcW w:w="0" w:type="auto"/>
          </w:tcPr>
          <w:p w:rsidR="00DE090C" w:rsidRPr="00427237" w:rsidRDefault="00DE090C" w:rsidP="00A77E85">
            <w:pPr>
              <w:spacing w:after="0" w:line="240" w:lineRule="auto"/>
              <w:jc w:val="left"/>
            </w:pPr>
            <w:r w:rsidRPr="00427237">
              <w:t>N2</w:t>
            </w:r>
          </w:p>
        </w:tc>
        <w:tc>
          <w:tcPr>
            <w:tcW w:w="0" w:type="auto"/>
          </w:tcPr>
          <w:p w:rsidR="00DE090C" w:rsidRPr="00427237" w:rsidRDefault="00DE090C" w:rsidP="00A77E85">
            <w:pPr>
              <w:spacing w:after="0" w:line="240" w:lineRule="auto"/>
            </w:pPr>
            <w:r w:rsidRPr="00427237">
              <w:t>M0</w:t>
            </w:r>
          </w:p>
        </w:tc>
      </w:tr>
      <w:tr w:rsidR="006649AC" w:rsidRPr="00427237" w:rsidTr="00DE090C">
        <w:tc>
          <w:tcPr>
            <w:tcW w:w="0" w:type="auto"/>
          </w:tcPr>
          <w:p w:rsidR="00DE090C" w:rsidRPr="00427237" w:rsidRDefault="00DE090C" w:rsidP="00A77E85">
            <w:pPr>
              <w:spacing w:after="0" w:line="240" w:lineRule="auto"/>
              <w:jc w:val="left"/>
            </w:pPr>
          </w:p>
        </w:tc>
        <w:tc>
          <w:tcPr>
            <w:tcW w:w="0" w:type="auto"/>
          </w:tcPr>
          <w:p w:rsidR="00DE090C" w:rsidRPr="00427237" w:rsidRDefault="00DE090C" w:rsidP="00A77E85">
            <w:pPr>
              <w:spacing w:after="0" w:line="240" w:lineRule="auto"/>
              <w:jc w:val="left"/>
            </w:pPr>
          </w:p>
        </w:tc>
        <w:tc>
          <w:tcPr>
            <w:tcW w:w="0" w:type="auto"/>
          </w:tcPr>
          <w:p w:rsidR="00DE090C" w:rsidRPr="00427237" w:rsidRDefault="00DE090C" w:rsidP="00A77E85">
            <w:pPr>
              <w:spacing w:after="0" w:line="240" w:lineRule="auto"/>
              <w:jc w:val="left"/>
            </w:pPr>
            <w:r w:rsidRPr="00427237">
              <w:t>T1*</w:t>
            </w:r>
          </w:p>
        </w:tc>
        <w:tc>
          <w:tcPr>
            <w:tcW w:w="0" w:type="auto"/>
          </w:tcPr>
          <w:p w:rsidR="00DE090C" w:rsidRPr="00427237" w:rsidRDefault="00DE090C" w:rsidP="00A77E85">
            <w:pPr>
              <w:spacing w:after="0" w:line="240" w:lineRule="auto"/>
              <w:jc w:val="left"/>
            </w:pPr>
            <w:r w:rsidRPr="00427237">
              <w:t>N2</w:t>
            </w:r>
          </w:p>
        </w:tc>
        <w:tc>
          <w:tcPr>
            <w:tcW w:w="0" w:type="auto"/>
          </w:tcPr>
          <w:p w:rsidR="00DE090C" w:rsidRPr="00427237" w:rsidRDefault="00DE090C" w:rsidP="00A77E85">
            <w:pPr>
              <w:spacing w:after="0" w:line="240" w:lineRule="auto"/>
            </w:pPr>
            <w:r w:rsidRPr="00427237">
              <w:t>M0</w:t>
            </w:r>
          </w:p>
        </w:tc>
      </w:tr>
      <w:tr w:rsidR="006649AC" w:rsidRPr="00427237" w:rsidTr="00DE090C">
        <w:tc>
          <w:tcPr>
            <w:tcW w:w="0" w:type="auto"/>
          </w:tcPr>
          <w:p w:rsidR="00DE090C" w:rsidRPr="00427237" w:rsidRDefault="00DE090C" w:rsidP="00A77E85">
            <w:pPr>
              <w:spacing w:after="0" w:line="240" w:lineRule="auto"/>
              <w:jc w:val="left"/>
            </w:pPr>
          </w:p>
        </w:tc>
        <w:tc>
          <w:tcPr>
            <w:tcW w:w="0" w:type="auto"/>
          </w:tcPr>
          <w:p w:rsidR="00DE090C" w:rsidRPr="00427237" w:rsidRDefault="00DE090C" w:rsidP="00A77E85">
            <w:pPr>
              <w:spacing w:after="0" w:line="240" w:lineRule="auto"/>
              <w:jc w:val="left"/>
            </w:pPr>
          </w:p>
        </w:tc>
        <w:tc>
          <w:tcPr>
            <w:tcW w:w="0" w:type="auto"/>
          </w:tcPr>
          <w:p w:rsidR="00DE090C" w:rsidRPr="00427237" w:rsidRDefault="00DE090C" w:rsidP="00A77E85">
            <w:pPr>
              <w:spacing w:after="0" w:line="240" w:lineRule="auto"/>
              <w:jc w:val="left"/>
            </w:pPr>
            <w:r w:rsidRPr="00427237">
              <w:t>T2</w:t>
            </w:r>
          </w:p>
        </w:tc>
        <w:tc>
          <w:tcPr>
            <w:tcW w:w="0" w:type="auto"/>
          </w:tcPr>
          <w:p w:rsidR="00DE090C" w:rsidRPr="00427237" w:rsidRDefault="00DE090C" w:rsidP="00A77E85">
            <w:pPr>
              <w:spacing w:after="0" w:line="240" w:lineRule="auto"/>
              <w:jc w:val="left"/>
            </w:pPr>
            <w:r w:rsidRPr="00427237">
              <w:t>N2</w:t>
            </w:r>
          </w:p>
        </w:tc>
        <w:tc>
          <w:tcPr>
            <w:tcW w:w="0" w:type="auto"/>
          </w:tcPr>
          <w:p w:rsidR="00DE090C" w:rsidRPr="00427237" w:rsidRDefault="00DE090C" w:rsidP="00A77E85">
            <w:pPr>
              <w:spacing w:after="0" w:line="240" w:lineRule="auto"/>
            </w:pPr>
            <w:r w:rsidRPr="00427237">
              <w:t>M0</w:t>
            </w:r>
          </w:p>
        </w:tc>
      </w:tr>
      <w:tr w:rsidR="006649AC" w:rsidRPr="00427237" w:rsidTr="00DE090C">
        <w:tc>
          <w:tcPr>
            <w:tcW w:w="0" w:type="auto"/>
          </w:tcPr>
          <w:p w:rsidR="00DE090C" w:rsidRPr="00427237" w:rsidRDefault="00DE090C" w:rsidP="003C571F">
            <w:pPr>
              <w:spacing w:after="0" w:line="240" w:lineRule="auto"/>
              <w:jc w:val="left"/>
            </w:pPr>
          </w:p>
        </w:tc>
        <w:tc>
          <w:tcPr>
            <w:tcW w:w="0" w:type="auto"/>
          </w:tcPr>
          <w:p w:rsidR="00DE090C" w:rsidRPr="00427237" w:rsidRDefault="00DE090C" w:rsidP="00A77E85">
            <w:pPr>
              <w:spacing w:after="0" w:line="240" w:lineRule="auto"/>
              <w:jc w:val="left"/>
            </w:pPr>
          </w:p>
        </w:tc>
        <w:tc>
          <w:tcPr>
            <w:tcW w:w="0" w:type="auto"/>
          </w:tcPr>
          <w:p w:rsidR="00DE090C" w:rsidRPr="00427237" w:rsidRDefault="00DE090C" w:rsidP="00A77E85">
            <w:pPr>
              <w:spacing w:after="0" w:line="240" w:lineRule="auto"/>
              <w:jc w:val="left"/>
            </w:pPr>
            <w:r w:rsidRPr="00427237">
              <w:t>T3</w:t>
            </w:r>
          </w:p>
        </w:tc>
        <w:tc>
          <w:tcPr>
            <w:tcW w:w="0" w:type="auto"/>
          </w:tcPr>
          <w:p w:rsidR="00DE090C" w:rsidRPr="00427237" w:rsidRDefault="00DE090C" w:rsidP="00A77E85">
            <w:pPr>
              <w:spacing w:after="0" w:line="240" w:lineRule="auto"/>
              <w:jc w:val="left"/>
            </w:pPr>
            <w:r w:rsidRPr="00427237">
              <w:t>N1</w:t>
            </w:r>
          </w:p>
        </w:tc>
        <w:tc>
          <w:tcPr>
            <w:tcW w:w="0" w:type="auto"/>
          </w:tcPr>
          <w:p w:rsidR="00DE090C" w:rsidRPr="00427237" w:rsidRDefault="00DE090C" w:rsidP="00A77E85">
            <w:pPr>
              <w:spacing w:after="0" w:line="240" w:lineRule="auto"/>
            </w:pPr>
            <w:r w:rsidRPr="00427237">
              <w:t>M0</w:t>
            </w:r>
          </w:p>
        </w:tc>
      </w:tr>
      <w:tr w:rsidR="006649AC" w:rsidRPr="00427237" w:rsidTr="00DE090C">
        <w:tc>
          <w:tcPr>
            <w:tcW w:w="0" w:type="auto"/>
          </w:tcPr>
          <w:p w:rsidR="00DE090C" w:rsidRPr="00427237" w:rsidRDefault="00DE090C" w:rsidP="00480203">
            <w:pPr>
              <w:spacing w:after="0" w:line="240" w:lineRule="auto"/>
              <w:jc w:val="left"/>
            </w:pPr>
          </w:p>
        </w:tc>
        <w:tc>
          <w:tcPr>
            <w:tcW w:w="0" w:type="auto"/>
          </w:tcPr>
          <w:p w:rsidR="00DE090C" w:rsidRPr="00427237" w:rsidRDefault="00DE090C" w:rsidP="00A77E85">
            <w:pPr>
              <w:spacing w:after="0" w:line="240" w:lineRule="auto"/>
              <w:jc w:val="left"/>
            </w:pPr>
          </w:p>
        </w:tc>
        <w:tc>
          <w:tcPr>
            <w:tcW w:w="0" w:type="auto"/>
          </w:tcPr>
          <w:p w:rsidR="00DE090C" w:rsidRPr="00427237" w:rsidRDefault="00DE090C" w:rsidP="00A77E85">
            <w:pPr>
              <w:spacing w:after="0" w:line="240" w:lineRule="auto"/>
              <w:jc w:val="left"/>
            </w:pPr>
            <w:r w:rsidRPr="00427237">
              <w:t>T3</w:t>
            </w:r>
          </w:p>
        </w:tc>
        <w:tc>
          <w:tcPr>
            <w:tcW w:w="0" w:type="auto"/>
          </w:tcPr>
          <w:p w:rsidR="00DE090C" w:rsidRPr="00427237" w:rsidRDefault="00DE090C" w:rsidP="00A77E85">
            <w:pPr>
              <w:spacing w:after="0" w:line="240" w:lineRule="auto"/>
              <w:jc w:val="left"/>
            </w:pPr>
            <w:r w:rsidRPr="00427237">
              <w:t>N2</w:t>
            </w:r>
          </w:p>
        </w:tc>
        <w:tc>
          <w:tcPr>
            <w:tcW w:w="0" w:type="auto"/>
          </w:tcPr>
          <w:p w:rsidR="00DE090C" w:rsidRPr="00427237" w:rsidRDefault="00DE090C" w:rsidP="00A77E85">
            <w:pPr>
              <w:spacing w:after="0" w:line="240" w:lineRule="auto"/>
            </w:pPr>
            <w:r w:rsidRPr="00427237">
              <w:t>M0</w:t>
            </w:r>
          </w:p>
        </w:tc>
      </w:tr>
      <w:tr w:rsidR="006649AC" w:rsidRPr="00427237" w:rsidTr="00DE090C">
        <w:tc>
          <w:tcPr>
            <w:tcW w:w="0" w:type="auto"/>
          </w:tcPr>
          <w:p w:rsidR="00DE090C" w:rsidRPr="00427237" w:rsidRDefault="00DE090C" w:rsidP="00480203">
            <w:pPr>
              <w:spacing w:after="0" w:line="240" w:lineRule="auto"/>
              <w:jc w:val="left"/>
            </w:pPr>
          </w:p>
        </w:tc>
        <w:tc>
          <w:tcPr>
            <w:tcW w:w="0" w:type="auto"/>
          </w:tcPr>
          <w:p w:rsidR="00DE090C" w:rsidRPr="00427237" w:rsidRDefault="00DE090C" w:rsidP="00A77E85">
            <w:pPr>
              <w:spacing w:after="0" w:line="240" w:lineRule="auto"/>
              <w:jc w:val="left"/>
            </w:pPr>
            <w:r w:rsidRPr="00427237">
              <w:t>Stage 3B</w:t>
            </w:r>
          </w:p>
        </w:tc>
        <w:tc>
          <w:tcPr>
            <w:tcW w:w="0" w:type="auto"/>
          </w:tcPr>
          <w:p w:rsidR="00DE090C" w:rsidRPr="00427237" w:rsidRDefault="00DE090C" w:rsidP="00A77E85">
            <w:pPr>
              <w:spacing w:after="0" w:line="240" w:lineRule="auto"/>
              <w:jc w:val="left"/>
            </w:pPr>
            <w:r w:rsidRPr="00427237">
              <w:t>T4</w:t>
            </w:r>
          </w:p>
        </w:tc>
        <w:tc>
          <w:tcPr>
            <w:tcW w:w="0" w:type="auto"/>
          </w:tcPr>
          <w:p w:rsidR="00DE090C" w:rsidRPr="00427237" w:rsidRDefault="00DE090C" w:rsidP="00A77E85">
            <w:pPr>
              <w:spacing w:after="0" w:line="240" w:lineRule="auto"/>
              <w:jc w:val="left"/>
            </w:pPr>
            <w:r w:rsidRPr="00427237">
              <w:t>N0</w:t>
            </w:r>
          </w:p>
        </w:tc>
        <w:tc>
          <w:tcPr>
            <w:tcW w:w="0" w:type="auto"/>
          </w:tcPr>
          <w:p w:rsidR="00DE090C" w:rsidRPr="00427237" w:rsidRDefault="00DE090C" w:rsidP="00A77E85">
            <w:pPr>
              <w:spacing w:after="0" w:line="240" w:lineRule="auto"/>
            </w:pPr>
            <w:r w:rsidRPr="00427237">
              <w:t>M0</w:t>
            </w:r>
          </w:p>
        </w:tc>
      </w:tr>
      <w:tr w:rsidR="006649AC" w:rsidRPr="00427237" w:rsidTr="00DE090C">
        <w:tc>
          <w:tcPr>
            <w:tcW w:w="0" w:type="auto"/>
          </w:tcPr>
          <w:p w:rsidR="00DE090C" w:rsidRPr="00427237" w:rsidRDefault="00DE090C" w:rsidP="00480203">
            <w:pPr>
              <w:spacing w:after="0" w:line="240" w:lineRule="auto"/>
              <w:jc w:val="left"/>
            </w:pPr>
          </w:p>
        </w:tc>
        <w:tc>
          <w:tcPr>
            <w:tcW w:w="0" w:type="auto"/>
          </w:tcPr>
          <w:p w:rsidR="00DE090C" w:rsidRPr="00427237" w:rsidRDefault="00DE090C" w:rsidP="00A77E85">
            <w:pPr>
              <w:spacing w:after="0" w:line="240" w:lineRule="auto"/>
              <w:jc w:val="left"/>
            </w:pPr>
          </w:p>
        </w:tc>
        <w:tc>
          <w:tcPr>
            <w:tcW w:w="0" w:type="auto"/>
          </w:tcPr>
          <w:p w:rsidR="00DE090C" w:rsidRPr="00427237" w:rsidRDefault="00DE090C" w:rsidP="00A77E85">
            <w:pPr>
              <w:spacing w:after="0" w:line="240" w:lineRule="auto"/>
              <w:jc w:val="left"/>
            </w:pPr>
            <w:r w:rsidRPr="00427237">
              <w:t>T4</w:t>
            </w:r>
          </w:p>
        </w:tc>
        <w:tc>
          <w:tcPr>
            <w:tcW w:w="0" w:type="auto"/>
          </w:tcPr>
          <w:p w:rsidR="00DE090C" w:rsidRPr="00427237" w:rsidRDefault="00DE090C" w:rsidP="00A77E85">
            <w:pPr>
              <w:spacing w:after="0" w:line="240" w:lineRule="auto"/>
              <w:jc w:val="left"/>
            </w:pPr>
            <w:r w:rsidRPr="00427237">
              <w:t>N1</w:t>
            </w:r>
          </w:p>
        </w:tc>
        <w:tc>
          <w:tcPr>
            <w:tcW w:w="0" w:type="auto"/>
          </w:tcPr>
          <w:p w:rsidR="00DE090C" w:rsidRPr="00427237" w:rsidRDefault="00DE090C" w:rsidP="00A77E85">
            <w:pPr>
              <w:spacing w:after="0" w:line="240" w:lineRule="auto"/>
            </w:pPr>
            <w:r w:rsidRPr="00427237">
              <w:t>M0</w:t>
            </w:r>
          </w:p>
        </w:tc>
      </w:tr>
      <w:tr w:rsidR="006649AC" w:rsidRPr="00427237" w:rsidTr="00DE090C">
        <w:tc>
          <w:tcPr>
            <w:tcW w:w="0" w:type="auto"/>
          </w:tcPr>
          <w:p w:rsidR="00DE090C" w:rsidRPr="00427237" w:rsidRDefault="00DE090C" w:rsidP="00480203">
            <w:pPr>
              <w:spacing w:after="0" w:line="240" w:lineRule="auto"/>
              <w:jc w:val="left"/>
            </w:pPr>
          </w:p>
        </w:tc>
        <w:tc>
          <w:tcPr>
            <w:tcW w:w="0" w:type="auto"/>
          </w:tcPr>
          <w:p w:rsidR="00DE090C" w:rsidRPr="00427237" w:rsidRDefault="00DE090C" w:rsidP="00A77E85">
            <w:pPr>
              <w:spacing w:after="0" w:line="240" w:lineRule="auto"/>
              <w:jc w:val="left"/>
            </w:pPr>
          </w:p>
        </w:tc>
        <w:tc>
          <w:tcPr>
            <w:tcW w:w="0" w:type="auto"/>
          </w:tcPr>
          <w:p w:rsidR="00DE090C" w:rsidRPr="00427237" w:rsidRDefault="00DE090C" w:rsidP="00A77E85">
            <w:pPr>
              <w:spacing w:after="0" w:line="240" w:lineRule="auto"/>
              <w:jc w:val="left"/>
            </w:pPr>
            <w:r w:rsidRPr="00427237">
              <w:t>T4</w:t>
            </w:r>
          </w:p>
        </w:tc>
        <w:tc>
          <w:tcPr>
            <w:tcW w:w="0" w:type="auto"/>
          </w:tcPr>
          <w:p w:rsidR="00DE090C" w:rsidRPr="00427237" w:rsidRDefault="00DE090C" w:rsidP="00A77E85">
            <w:pPr>
              <w:spacing w:after="0" w:line="240" w:lineRule="auto"/>
              <w:jc w:val="left"/>
            </w:pPr>
            <w:r w:rsidRPr="00427237">
              <w:t>N2</w:t>
            </w:r>
          </w:p>
        </w:tc>
        <w:tc>
          <w:tcPr>
            <w:tcW w:w="0" w:type="auto"/>
          </w:tcPr>
          <w:p w:rsidR="00DE090C" w:rsidRPr="00427237" w:rsidRDefault="00DE090C" w:rsidP="00A77E85">
            <w:pPr>
              <w:spacing w:after="0" w:line="240" w:lineRule="auto"/>
            </w:pPr>
            <w:r w:rsidRPr="00427237">
              <w:t>M0</w:t>
            </w:r>
          </w:p>
        </w:tc>
      </w:tr>
      <w:tr w:rsidR="006649AC" w:rsidRPr="00427237" w:rsidTr="00DE090C">
        <w:tc>
          <w:tcPr>
            <w:tcW w:w="0" w:type="auto"/>
          </w:tcPr>
          <w:p w:rsidR="00DE090C" w:rsidRPr="00427237" w:rsidRDefault="00DE090C" w:rsidP="00480203">
            <w:pPr>
              <w:spacing w:after="0" w:line="240" w:lineRule="auto"/>
              <w:jc w:val="left"/>
            </w:pPr>
          </w:p>
        </w:tc>
        <w:tc>
          <w:tcPr>
            <w:tcW w:w="0" w:type="auto"/>
          </w:tcPr>
          <w:p w:rsidR="00DE090C" w:rsidRPr="00427237" w:rsidRDefault="00DE090C" w:rsidP="00A77E85">
            <w:pPr>
              <w:spacing w:after="0" w:line="240" w:lineRule="auto"/>
              <w:jc w:val="left"/>
            </w:pPr>
            <w:r w:rsidRPr="00427237">
              <w:t>Stage 3C</w:t>
            </w:r>
          </w:p>
        </w:tc>
        <w:tc>
          <w:tcPr>
            <w:tcW w:w="0" w:type="auto"/>
          </w:tcPr>
          <w:p w:rsidR="00DE090C" w:rsidRPr="00427237" w:rsidRDefault="00DE090C" w:rsidP="00A77E85">
            <w:pPr>
              <w:spacing w:after="0" w:line="240" w:lineRule="auto"/>
              <w:jc w:val="left"/>
            </w:pPr>
            <w:r w:rsidRPr="00427237">
              <w:t>Any T</w:t>
            </w:r>
          </w:p>
        </w:tc>
        <w:tc>
          <w:tcPr>
            <w:tcW w:w="0" w:type="auto"/>
          </w:tcPr>
          <w:p w:rsidR="00DE090C" w:rsidRPr="00427237" w:rsidRDefault="00DE090C" w:rsidP="00A77E85">
            <w:pPr>
              <w:spacing w:after="0" w:line="240" w:lineRule="auto"/>
              <w:jc w:val="left"/>
            </w:pPr>
            <w:r w:rsidRPr="00427237">
              <w:t>N3</w:t>
            </w:r>
          </w:p>
        </w:tc>
        <w:tc>
          <w:tcPr>
            <w:tcW w:w="0" w:type="auto"/>
          </w:tcPr>
          <w:p w:rsidR="00DE090C" w:rsidRPr="00427237" w:rsidRDefault="00DE090C" w:rsidP="00A77E85">
            <w:pPr>
              <w:spacing w:after="0" w:line="240" w:lineRule="auto"/>
            </w:pPr>
            <w:r w:rsidRPr="00427237">
              <w:t>M0</w:t>
            </w:r>
          </w:p>
        </w:tc>
      </w:tr>
      <w:tr w:rsidR="006649AC" w:rsidRPr="00427237" w:rsidTr="00DE090C">
        <w:tc>
          <w:tcPr>
            <w:tcW w:w="0" w:type="auto"/>
          </w:tcPr>
          <w:p w:rsidR="00DE090C" w:rsidRPr="00427237" w:rsidRDefault="00F24B40" w:rsidP="006649AC">
            <w:pPr>
              <w:spacing w:after="0" w:line="240" w:lineRule="auto"/>
              <w:jc w:val="left"/>
            </w:pPr>
            <w:r w:rsidRPr="00427237">
              <w:t>Metastatic</w:t>
            </w:r>
          </w:p>
        </w:tc>
        <w:tc>
          <w:tcPr>
            <w:tcW w:w="0" w:type="auto"/>
          </w:tcPr>
          <w:p w:rsidR="00DE090C" w:rsidRPr="00427237" w:rsidRDefault="00DE090C">
            <w:pPr>
              <w:spacing w:after="0" w:line="240" w:lineRule="auto"/>
              <w:jc w:val="left"/>
            </w:pPr>
            <w:r w:rsidRPr="00427237">
              <w:t>Stage 4</w:t>
            </w:r>
          </w:p>
        </w:tc>
        <w:tc>
          <w:tcPr>
            <w:tcW w:w="0" w:type="auto"/>
          </w:tcPr>
          <w:p w:rsidR="00DE090C" w:rsidRPr="00427237" w:rsidRDefault="00DE090C">
            <w:pPr>
              <w:spacing w:after="0" w:line="240" w:lineRule="auto"/>
              <w:jc w:val="left"/>
            </w:pPr>
            <w:r w:rsidRPr="00427237">
              <w:t>Any T</w:t>
            </w:r>
          </w:p>
        </w:tc>
        <w:tc>
          <w:tcPr>
            <w:tcW w:w="0" w:type="auto"/>
          </w:tcPr>
          <w:p w:rsidR="00DE090C" w:rsidRPr="00427237" w:rsidRDefault="00DE090C">
            <w:pPr>
              <w:spacing w:after="0" w:line="240" w:lineRule="auto"/>
              <w:jc w:val="left"/>
            </w:pPr>
            <w:r w:rsidRPr="00427237">
              <w:t>Any N</w:t>
            </w:r>
          </w:p>
        </w:tc>
        <w:tc>
          <w:tcPr>
            <w:tcW w:w="0" w:type="auto"/>
          </w:tcPr>
          <w:p w:rsidR="00DE090C" w:rsidRPr="00427237" w:rsidRDefault="00DE090C">
            <w:pPr>
              <w:spacing w:after="0" w:line="240" w:lineRule="auto"/>
              <w:jc w:val="left"/>
            </w:pPr>
            <w:r w:rsidRPr="00427237">
              <w:t>M1</w:t>
            </w:r>
          </w:p>
        </w:tc>
      </w:tr>
    </w:tbl>
    <w:p w:rsidR="009037F0" w:rsidRPr="00427237" w:rsidRDefault="001572B7" w:rsidP="001572B7">
      <w:pPr>
        <w:spacing w:after="0" w:line="240" w:lineRule="auto"/>
        <w:jc w:val="left"/>
      </w:pPr>
      <w:r w:rsidRPr="00427237">
        <w:t>* T1 includes T1mi</w:t>
      </w:r>
    </w:p>
    <w:p w:rsidR="009037F0" w:rsidRPr="00427237" w:rsidRDefault="001572B7">
      <w:pPr>
        <w:spacing w:after="0" w:line="240" w:lineRule="auto"/>
        <w:jc w:val="left"/>
      </w:pPr>
      <w:r w:rsidRPr="00427237">
        <w:t xml:space="preserve">** T0 and T1 tumours with nodal </w:t>
      </w:r>
      <w:proofErr w:type="spellStart"/>
      <w:r w:rsidRPr="00427237">
        <w:t>micrometastases</w:t>
      </w:r>
      <w:proofErr w:type="spellEnd"/>
      <w:r w:rsidRPr="00427237">
        <w:t xml:space="preserve"> only are excluded from Stage 2A and are classified Stage 1B.</w:t>
      </w:r>
    </w:p>
    <w:p w:rsidR="009115C9" w:rsidRPr="00427237" w:rsidRDefault="009115C9">
      <w:pPr>
        <w:spacing w:after="0" w:line="240" w:lineRule="auto"/>
        <w:jc w:val="left"/>
        <w:rPr>
          <w:b/>
          <w:bCs/>
          <w:caps/>
          <w:color w:val="215868"/>
          <w:sz w:val="24"/>
          <w:szCs w:val="32"/>
        </w:rPr>
      </w:pPr>
      <w:r w:rsidRPr="00427237">
        <w:br w:type="page"/>
      </w:r>
    </w:p>
    <w:p w:rsidR="000D5CF9" w:rsidRPr="00427237" w:rsidRDefault="008E7E1A" w:rsidP="008E7E1A">
      <w:pPr>
        <w:pStyle w:val="Heading1"/>
      </w:pPr>
      <w:bookmarkStart w:id="102" w:name="_Toc379534827"/>
      <w:bookmarkStart w:id="103" w:name="_Toc379962721"/>
      <w:r w:rsidRPr="00427237">
        <w:lastRenderedPageBreak/>
        <w:t>REFERENCES</w:t>
      </w:r>
      <w:bookmarkEnd w:id="102"/>
      <w:bookmarkEnd w:id="103"/>
    </w:p>
    <w:p w:rsidR="00C24187" w:rsidRPr="00427237" w:rsidRDefault="00C24187" w:rsidP="00C24187">
      <w:pPr>
        <w:spacing w:after="0" w:line="240" w:lineRule="auto"/>
        <w:rPr>
          <w:noProof/>
          <w:sz w:val="22"/>
        </w:rPr>
      </w:pPr>
      <w:bookmarkStart w:id="104" w:name="_ENREF_1"/>
      <w:r w:rsidRPr="00427237">
        <w:rPr>
          <w:noProof/>
          <w:sz w:val="22"/>
        </w:rPr>
        <w:t>1.</w:t>
      </w:r>
      <w:r w:rsidRPr="00427237">
        <w:rPr>
          <w:noProof/>
          <w:sz w:val="22"/>
        </w:rPr>
        <w:tab/>
        <w:t>National Comprehensive Cancer Network. NCCN Clinical Practice Guidelines in Oncology. Breast Cancer. Version 1.2014. USA: National Comprehensive Cancer Network,, 2014.</w:t>
      </w:r>
      <w:bookmarkEnd w:id="104"/>
    </w:p>
    <w:p w:rsidR="00C24187" w:rsidRPr="00427237" w:rsidRDefault="00C24187" w:rsidP="00C24187">
      <w:pPr>
        <w:spacing w:after="0" w:line="240" w:lineRule="auto"/>
        <w:rPr>
          <w:noProof/>
          <w:sz w:val="22"/>
        </w:rPr>
      </w:pPr>
      <w:bookmarkStart w:id="105" w:name="_ENREF_2"/>
      <w:r w:rsidRPr="00427237">
        <w:rPr>
          <w:noProof/>
          <w:sz w:val="22"/>
        </w:rPr>
        <w:t>2.</w:t>
      </w:r>
      <w:r w:rsidRPr="00427237">
        <w:rPr>
          <w:noProof/>
          <w:sz w:val="22"/>
        </w:rPr>
        <w:tab/>
        <w:t xml:space="preserve">Senkus E, Kyriakides S, Penault-Llorca F, et al. Primary breast cancer: ESMO Clinical Practice Guidelines for diagnosis, treatment and follow-up. </w:t>
      </w:r>
      <w:r w:rsidRPr="00427237">
        <w:rPr>
          <w:i/>
          <w:noProof/>
          <w:sz w:val="22"/>
        </w:rPr>
        <w:t>Annals of oncology : official journal of the European Society for Medical Oncology / ESMO</w:t>
      </w:r>
      <w:r w:rsidRPr="00427237">
        <w:rPr>
          <w:noProof/>
          <w:sz w:val="22"/>
        </w:rPr>
        <w:t xml:space="preserve"> 2013; </w:t>
      </w:r>
      <w:r w:rsidRPr="00427237">
        <w:rPr>
          <w:b/>
          <w:noProof/>
          <w:sz w:val="22"/>
        </w:rPr>
        <w:t>24 Suppl 6</w:t>
      </w:r>
      <w:r w:rsidRPr="00427237">
        <w:rPr>
          <w:noProof/>
          <w:sz w:val="22"/>
        </w:rPr>
        <w:t>: vi7-23.</w:t>
      </w:r>
      <w:bookmarkEnd w:id="105"/>
    </w:p>
    <w:p w:rsidR="00C24187" w:rsidRPr="00427237" w:rsidRDefault="00C24187" w:rsidP="00C24187">
      <w:pPr>
        <w:spacing w:after="0" w:line="240" w:lineRule="auto"/>
        <w:rPr>
          <w:noProof/>
          <w:sz w:val="22"/>
        </w:rPr>
      </w:pPr>
      <w:bookmarkStart w:id="106" w:name="_ENREF_3"/>
      <w:r w:rsidRPr="00427237">
        <w:rPr>
          <w:noProof/>
          <w:sz w:val="22"/>
        </w:rPr>
        <w:t>3.</w:t>
      </w:r>
      <w:r w:rsidRPr="00427237">
        <w:rPr>
          <w:noProof/>
          <w:sz w:val="22"/>
        </w:rPr>
        <w:tab/>
        <w:t>Medical Services Advisory Committee (MSAC). Positron Emission Tomography for recurrent colorectal cancer. Ref 35a. In: Department of Health and Ageing, editor. Canberra, Australia: Commonwealth of Australia; 2007.</w:t>
      </w:r>
      <w:bookmarkEnd w:id="106"/>
    </w:p>
    <w:p w:rsidR="00C24187" w:rsidRPr="00427237" w:rsidRDefault="00C24187" w:rsidP="00C24187">
      <w:pPr>
        <w:spacing w:after="0" w:line="240" w:lineRule="auto"/>
        <w:rPr>
          <w:noProof/>
          <w:sz w:val="22"/>
        </w:rPr>
      </w:pPr>
      <w:bookmarkStart w:id="107" w:name="_ENREF_4"/>
      <w:r w:rsidRPr="00427237">
        <w:rPr>
          <w:noProof/>
          <w:sz w:val="22"/>
        </w:rPr>
        <w:t>4.</w:t>
      </w:r>
      <w:r w:rsidRPr="00427237">
        <w:rPr>
          <w:noProof/>
          <w:sz w:val="22"/>
        </w:rPr>
        <w:tab/>
        <w:t>Australian and New Zealand Association of Physicians in Nuclean Medicine (Inc). PET data collection project. Report of the demographic data collection. 1 March 2003 to 15 April 2005. Report to the Commonwealth of Australia represented by the Department of Health and Ageing. Balmain, Australia.: Australian and New Zealand Association of Physicians in Nuclean Medicine (Inc),, 2006.</w:t>
      </w:r>
      <w:bookmarkEnd w:id="107"/>
    </w:p>
    <w:p w:rsidR="00C24187" w:rsidRPr="00427237" w:rsidRDefault="00C24187" w:rsidP="00C24187">
      <w:pPr>
        <w:spacing w:after="0" w:line="240" w:lineRule="auto"/>
        <w:rPr>
          <w:noProof/>
          <w:sz w:val="22"/>
        </w:rPr>
      </w:pPr>
      <w:bookmarkStart w:id="108" w:name="_ENREF_5"/>
      <w:r w:rsidRPr="00427237">
        <w:rPr>
          <w:noProof/>
          <w:sz w:val="22"/>
        </w:rPr>
        <w:t>5.</w:t>
      </w:r>
      <w:r w:rsidRPr="00427237">
        <w:rPr>
          <w:noProof/>
          <w:sz w:val="22"/>
        </w:rPr>
        <w:tab/>
        <w:t xml:space="preserve">American Cancer Society. American Cancer Society: Breast cancer detailed guide2013. </w:t>
      </w:r>
      <w:r w:rsidRPr="005C2C6B">
        <w:rPr>
          <w:noProof/>
          <w:sz w:val="22"/>
        </w:rPr>
        <w:t>http://www.cancer.org/cancer/breastcancer/detailedguide/breast-cancer-detailed-guide-toc</w:t>
      </w:r>
      <w:r w:rsidRPr="00427237">
        <w:rPr>
          <w:noProof/>
          <w:sz w:val="22"/>
        </w:rPr>
        <w:t xml:space="preserve"> (accessed.</w:t>
      </w:r>
      <w:bookmarkEnd w:id="108"/>
    </w:p>
    <w:p w:rsidR="00C24187" w:rsidRPr="00427237" w:rsidRDefault="00C24187" w:rsidP="00C24187">
      <w:pPr>
        <w:spacing w:after="0" w:line="240" w:lineRule="auto"/>
        <w:rPr>
          <w:noProof/>
          <w:sz w:val="22"/>
        </w:rPr>
      </w:pPr>
      <w:bookmarkStart w:id="109" w:name="_ENREF_6"/>
      <w:r w:rsidRPr="00427237">
        <w:rPr>
          <w:noProof/>
          <w:sz w:val="22"/>
        </w:rPr>
        <w:t>6.</w:t>
      </w:r>
      <w:r w:rsidRPr="00427237">
        <w:rPr>
          <w:noProof/>
          <w:sz w:val="22"/>
        </w:rPr>
        <w:tab/>
        <w:t xml:space="preserve">National Cancer Institute. Breast cancer treatment (PDQ). 22/8/2013 2013. </w:t>
      </w:r>
      <w:r w:rsidRPr="005C2C6B">
        <w:rPr>
          <w:noProof/>
          <w:sz w:val="22"/>
        </w:rPr>
        <w:t>http://www.cancer.gov/cancertopics/pdq/treatment/breast/healthprofessional/page4/AllPages</w:t>
      </w:r>
      <w:r w:rsidRPr="00427237">
        <w:rPr>
          <w:noProof/>
          <w:sz w:val="22"/>
        </w:rPr>
        <w:t xml:space="preserve"> (accessed 22nd April 2013).</w:t>
      </w:r>
      <w:bookmarkEnd w:id="109"/>
    </w:p>
    <w:p w:rsidR="00C24187" w:rsidRPr="00427237" w:rsidRDefault="00C24187" w:rsidP="00C24187">
      <w:pPr>
        <w:spacing w:after="0" w:line="240" w:lineRule="auto"/>
        <w:rPr>
          <w:noProof/>
          <w:sz w:val="22"/>
        </w:rPr>
      </w:pPr>
      <w:bookmarkStart w:id="110" w:name="_ENREF_7"/>
      <w:r w:rsidRPr="00427237">
        <w:rPr>
          <w:noProof/>
          <w:sz w:val="22"/>
        </w:rPr>
        <w:t>7.</w:t>
      </w:r>
      <w:r w:rsidRPr="00427237">
        <w:rPr>
          <w:noProof/>
          <w:sz w:val="22"/>
        </w:rPr>
        <w:tab/>
        <w:t>Cooper K, Meng Y, Harnan S, et al. Positron emission tomography (PET) and magnetic resonance imaging (MRI) for the assessment of axillary lymph node metastases in early breast cancer: systematic review and economic evaluation. UK: UK NICE, 2011.</w:t>
      </w:r>
      <w:bookmarkEnd w:id="110"/>
    </w:p>
    <w:p w:rsidR="00C24187" w:rsidRPr="00427237" w:rsidRDefault="00C24187" w:rsidP="00C24187">
      <w:pPr>
        <w:spacing w:after="0" w:line="240" w:lineRule="auto"/>
        <w:rPr>
          <w:noProof/>
          <w:sz w:val="22"/>
        </w:rPr>
      </w:pPr>
      <w:bookmarkStart w:id="111" w:name="_ENREF_8"/>
      <w:r w:rsidRPr="00427237">
        <w:rPr>
          <w:noProof/>
          <w:sz w:val="22"/>
        </w:rPr>
        <w:t>8.</w:t>
      </w:r>
      <w:r w:rsidRPr="00427237">
        <w:rPr>
          <w:noProof/>
          <w:sz w:val="22"/>
        </w:rPr>
        <w:tab/>
        <w:t xml:space="preserve">American Joint Committee on Cancer. Breast cancer staging. 7th edition.2009, 2009. </w:t>
      </w:r>
      <w:r w:rsidRPr="005C2C6B">
        <w:rPr>
          <w:noProof/>
          <w:sz w:val="22"/>
        </w:rPr>
        <w:t>http://cancerstaging.org/references-tools/quickreferences/Pages/default.aspx</w:t>
      </w:r>
      <w:r w:rsidRPr="00427237">
        <w:rPr>
          <w:noProof/>
          <w:sz w:val="22"/>
        </w:rPr>
        <w:t xml:space="preserve"> (accessed.</w:t>
      </w:r>
      <w:bookmarkEnd w:id="111"/>
    </w:p>
    <w:p w:rsidR="00C24187" w:rsidRPr="00427237" w:rsidRDefault="00C24187" w:rsidP="00C24187">
      <w:pPr>
        <w:spacing w:after="0" w:line="240" w:lineRule="auto"/>
        <w:rPr>
          <w:noProof/>
          <w:sz w:val="22"/>
        </w:rPr>
      </w:pPr>
      <w:bookmarkStart w:id="112" w:name="_ENREF_9"/>
      <w:r w:rsidRPr="00427237">
        <w:rPr>
          <w:noProof/>
          <w:sz w:val="22"/>
        </w:rPr>
        <w:t>9.</w:t>
      </w:r>
      <w:r w:rsidRPr="00427237">
        <w:rPr>
          <w:noProof/>
          <w:sz w:val="22"/>
        </w:rPr>
        <w:tab/>
        <w:t>Australian Institute of Health and Welfare, National Breast and Ovarian Cancer Centre. Breast Cancer in Australia: An overview, 2009. Canberra: Australian Institute of Health and Welfare, 2009.</w:t>
      </w:r>
      <w:bookmarkEnd w:id="112"/>
    </w:p>
    <w:p w:rsidR="00C24187" w:rsidRPr="00427237" w:rsidRDefault="00C24187" w:rsidP="00C24187">
      <w:pPr>
        <w:spacing w:after="0" w:line="240" w:lineRule="auto"/>
        <w:rPr>
          <w:noProof/>
          <w:sz w:val="22"/>
        </w:rPr>
      </w:pPr>
      <w:bookmarkStart w:id="113" w:name="_ENREF_10"/>
      <w:r w:rsidRPr="00427237">
        <w:rPr>
          <w:noProof/>
          <w:sz w:val="22"/>
        </w:rPr>
        <w:t>10.</w:t>
      </w:r>
      <w:r w:rsidRPr="00427237">
        <w:rPr>
          <w:noProof/>
          <w:sz w:val="22"/>
        </w:rPr>
        <w:tab/>
        <w:t>National Comprehensive Cancer Network. NCCN guidelines: Breast cancer. Version 1. 2012. USA: National Comprehensive Cancer Network, 2012.</w:t>
      </w:r>
      <w:bookmarkEnd w:id="113"/>
    </w:p>
    <w:p w:rsidR="00C24187" w:rsidRPr="00427237" w:rsidRDefault="00C24187" w:rsidP="00C24187">
      <w:pPr>
        <w:spacing w:after="0" w:line="240" w:lineRule="auto"/>
        <w:rPr>
          <w:noProof/>
          <w:sz w:val="22"/>
        </w:rPr>
      </w:pPr>
      <w:bookmarkStart w:id="114" w:name="_ENREF_11"/>
      <w:r w:rsidRPr="00427237">
        <w:rPr>
          <w:noProof/>
          <w:sz w:val="22"/>
        </w:rPr>
        <w:t>11.</w:t>
      </w:r>
      <w:r w:rsidRPr="00427237">
        <w:rPr>
          <w:noProof/>
          <w:sz w:val="22"/>
        </w:rPr>
        <w:tab/>
        <w:t xml:space="preserve">Cardoso F, Fallowfield L, Costa A, Castiglione M, Senkus E. Locally recurrent of metastatic breast cancer: ESMO Clinical Practice Guidelines for diagnosis, treatment and follow-up. </w:t>
      </w:r>
      <w:r w:rsidRPr="00427237">
        <w:rPr>
          <w:i/>
          <w:noProof/>
          <w:sz w:val="22"/>
        </w:rPr>
        <w:t>Annals of Oncology</w:t>
      </w:r>
      <w:r w:rsidRPr="00427237">
        <w:rPr>
          <w:noProof/>
          <w:sz w:val="22"/>
        </w:rPr>
        <w:t xml:space="preserve"> 2011; </w:t>
      </w:r>
      <w:r w:rsidRPr="00427237">
        <w:rPr>
          <w:b/>
          <w:noProof/>
          <w:sz w:val="22"/>
        </w:rPr>
        <w:t>22</w:t>
      </w:r>
      <w:r w:rsidRPr="00427237">
        <w:rPr>
          <w:noProof/>
          <w:sz w:val="22"/>
        </w:rPr>
        <w:t>(Suppl 6): vi25-vi30.</w:t>
      </w:r>
      <w:bookmarkEnd w:id="114"/>
    </w:p>
    <w:p w:rsidR="00C24187" w:rsidRPr="00427237" w:rsidRDefault="00C24187" w:rsidP="00C24187">
      <w:pPr>
        <w:spacing w:after="0" w:line="240" w:lineRule="auto"/>
        <w:rPr>
          <w:noProof/>
          <w:sz w:val="22"/>
        </w:rPr>
      </w:pPr>
      <w:bookmarkStart w:id="115" w:name="_ENREF_12"/>
      <w:r w:rsidRPr="00427237">
        <w:rPr>
          <w:noProof/>
          <w:sz w:val="22"/>
        </w:rPr>
        <w:t>12.</w:t>
      </w:r>
      <w:r w:rsidRPr="00427237">
        <w:rPr>
          <w:noProof/>
          <w:sz w:val="22"/>
        </w:rPr>
        <w:tab/>
        <w:t>Centres for Medicare and Medicaid Services. Decision Memo for Positron Emission Tomography (FDG) for Solid Tumors (CAG-00181R). In: Services CfMaM, editor. USA: Centres for Medicare and Medicaid Services; 2009.</w:t>
      </w:r>
      <w:bookmarkEnd w:id="115"/>
    </w:p>
    <w:p w:rsidR="00C24187" w:rsidRPr="00427237" w:rsidRDefault="00C24187" w:rsidP="00C24187">
      <w:pPr>
        <w:spacing w:after="0" w:line="240" w:lineRule="auto"/>
        <w:rPr>
          <w:noProof/>
          <w:sz w:val="22"/>
        </w:rPr>
      </w:pPr>
      <w:bookmarkStart w:id="116" w:name="_ENREF_13"/>
      <w:r w:rsidRPr="00427237">
        <w:rPr>
          <w:noProof/>
          <w:sz w:val="22"/>
        </w:rPr>
        <w:t>13.</w:t>
      </w:r>
      <w:r w:rsidRPr="00427237">
        <w:rPr>
          <w:noProof/>
          <w:sz w:val="22"/>
        </w:rPr>
        <w:tab/>
        <w:t>Australian Institute of Health and Welfare, Cancer Australia. Breast cancer in Australia: an overview. Canberra: Australian Institute of Health and Welfare, 2012.</w:t>
      </w:r>
      <w:bookmarkEnd w:id="116"/>
    </w:p>
    <w:p w:rsidR="00C24187" w:rsidRPr="00427237" w:rsidRDefault="00C24187" w:rsidP="00C24187">
      <w:pPr>
        <w:spacing w:after="0" w:line="240" w:lineRule="auto"/>
        <w:rPr>
          <w:noProof/>
          <w:sz w:val="22"/>
        </w:rPr>
      </w:pPr>
      <w:bookmarkStart w:id="117" w:name="_ENREF_14"/>
      <w:r w:rsidRPr="00427237">
        <w:rPr>
          <w:noProof/>
          <w:sz w:val="22"/>
        </w:rPr>
        <w:t>14.</w:t>
      </w:r>
      <w:r w:rsidRPr="00427237">
        <w:rPr>
          <w:noProof/>
          <w:sz w:val="22"/>
        </w:rPr>
        <w:tab/>
        <w:t xml:space="preserve">Cancer Australia. What is locally advanced breast cancer? 21 September 2012 2012. </w:t>
      </w:r>
      <w:r w:rsidRPr="005C2C6B">
        <w:rPr>
          <w:noProof/>
          <w:sz w:val="22"/>
        </w:rPr>
        <w:t>http://canceraustralia.gov.au/affected-cancer/cancer-types/breast-cancer/about-breast-cancer/types-breast-cancer/what-locally-advanced-breast-cancer</w:t>
      </w:r>
      <w:r w:rsidRPr="00427237">
        <w:rPr>
          <w:noProof/>
          <w:sz w:val="22"/>
        </w:rPr>
        <w:t xml:space="preserve"> (accessed 30/10/2013 2013).</w:t>
      </w:r>
      <w:bookmarkEnd w:id="117"/>
    </w:p>
    <w:p w:rsidR="00C24187" w:rsidRPr="00427237" w:rsidRDefault="00C24187" w:rsidP="00C24187">
      <w:pPr>
        <w:spacing w:after="0" w:line="240" w:lineRule="auto"/>
        <w:rPr>
          <w:noProof/>
          <w:sz w:val="22"/>
        </w:rPr>
      </w:pPr>
      <w:bookmarkStart w:id="118" w:name="_ENREF_15"/>
      <w:r w:rsidRPr="00427237">
        <w:rPr>
          <w:noProof/>
          <w:sz w:val="22"/>
        </w:rPr>
        <w:t>15.</w:t>
      </w:r>
      <w:r w:rsidRPr="00427237">
        <w:rPr>
          <w:noProof/>
          <w:sz w:val="22"/>
        </w:rPr>
        <w:tab/>
        <w:t xml:space="preserve">Cancer Australia. Breast cancer statistics. 15 October 2013 2013. </w:t>
      </w:r>
      <w:r w:rsidRPr="005C2C6B">
        <w:rPr>
          <w:noProof/>
          <w:sz w:val="22"/>
        </w:rPr>
        <w:t>http://canceraustralia.gov.au/affected-cancer/cancer-types/breast-cancer/breast-cancer-statistics</w:t>
      </w:r>
      <w:r w:rsidRPr="00427237">
        <w:rPr>
          <w:noProof/>
          <w:sz w:val="22"/>
        </w:rPr>
        <w:t xml:space="preserve"> (accessed 30/10/2013 2013).</w:t>
      </w:r>
      <w:bookmarkEnd w:id="118"/>
    </w:p>
    <w:p w:rsidR="00C24187" w:rsidRPr="00427237" w:rsidRDefault="00C24187" w:rsidP="00C24187">
      <w:pPr>
        <w:spacing w:after="0" w:line="240" w:lineRule="auto"/>
        <w:rPr>
          <w:noProof/>
          <w:sz w:val="22"/>
        </w:rPr>
      </w:pPr>
      <w:bookmarkStart w:id="119" w:name="_ENREF_16"/>
      <w:r w:rsidRPr="00427237">
        <w:rPr>
          <w:noProof/>
          <w:sz w:val="22"/>
        </w:rPr>
        <w:t>16.</w:t>
      </w:r>
      <w:r w:rsidRPr="00427237">
        <w:rPr>
          <w:noProof/>
          <w:sz w:val="22"/>
        </w:rPr>
        <w:tab/>
        <w:t xml:space="preserve">Burke M, Allison R, Tripcony L. Conservative therapy of breast cancer in Queensland. </w:t>
      </w:r>
      <w:r w:rsidRPr="00427237">
        <w:rPr>
          <w:i/>
          <w:noProof/>
          <w:sz w:val="22"/>
        </w:rPr>
        <w:t xml:space="preserve">International Journal of Radiatiation Oncology, Biology and Physics </w:t>
      </w:r>
      <w:r w:rsidRPr="00427237">
        <w:rPr>
          <w:noProof/>
          <w:sz w:val="22"/>
        </w:rPr>
        <w:t xml:space="preserve">1995; </w:t>
      </w:r>
      <w:r w:rsidRPr="00427237">
        <w:rPr>
          <w:b/>
          <w:noProof/>
          <w:sz w:val="22"/>
        </w:rPr>
        <w:t>31</w:t>
      </w:r>
      <w:r w:rsidRPr="00427237">
        <w:rPr>
          <w:noProof/>
          <w:sz w:val="22"/>
        </w:rPr>
        <w:t>: 295 - 303.</w:t>
      </w:r>
      <w:bookmarkEnd w:id="119"/>
    </w:p>
    <w:p w:rsidR="00C24187" w:rsidRPr="00427237" w:rsidRDefault="00C24187" w:rsidP="00C24187">
      <w:pPr>
        <w:spacing w:after="0" w:line="240" w:lineRule="auto"/>
        <w:rPr>
          <w:noProof/>
          <w:sz w:val="22"/>
        </w:rPr>
      </w:pPr>
      <w:bookmarkStart w:id="120" w:name="_ENREF_17"/>
      <w:r w:rsidRPr="00427237">
        <w:rPr>
          <w:noProof/>
          <w:sz w:val="22"/>
        </w:rPr>
        <w:t>17.</w:t>
      </w:r>
      <w:r w:rsidRPr="00427237">
        <w:rPr>
          <w:noProof/>
          <w:sz w:val="22"/>
        </w:rPr>
        <w:tab/>
        <w:t xml:space="preserve">Fisher B, Anderson S, Redmond C, Wolmark N, Wickerham D, Cronin W. Reanalysis and results after 12 years of follow-up in a randomised clinical trial comparing total </w:t>
      </w:r>
      <w:r w:rsidRPr="00427237">
        <w:rPr>
          <w:noProof/>
          <w:sz w:val="22"/>
        </w:rPr>
        <w:lastRenderedPageBreak/>
        <w:t xml:space="preserve">mastectomy with lumpectomy with or without irradiation in the treatment of breast cancer. </w:t>
      </w:r>
      <w:r w:rsidRPr="00427237">
        <w:rPr>
          <w:i/>
          <w:noProof/>
          <w:sz w:val="22"/>
        </w:rPr>
        <w:t>New England Journal of Medicine</w:t>
      </w:r>
      <w:r w:rsidRPr="00427237">
        <w:rPr>
          <w:noProof/>
          <w:sz w:val="22"/>
        </w:rPr>
        <w:t xml:space="preserve"> 1995; </w:t>
      </w:r>
      <w:r w:rsidRPr="00427237">
        <w:rPr>
          <w:b/>
          <w:noProof/>
          <w:sz w:val="22"/>
        </w:rPr>
        <w:t>333</w:t>
      </w:r>
      <w:r w:rsidRPr="00427237">
        <w:rPr>
          <w:noProof/>
          <w:sz w:val="22"/>
        </w:rPr>
        <w:t>: 1456 - 61.</w:t>
      </w:r>
      <w:bookmarkEnd w:id="120"/>
    </w:p>
    <w:p w:rsidR="00C24187" w:rsidRPr="00427237" w:rsidRDefault="00C24187" w:rsidP="00C24187">
      <w:pPr>
        <w:spacing w:after="0" w:line="240" w:lineRule="auto"/>
        <w:rPr>
          <w:noProof/>
          <w:sz w:val="22"/>
        </w:rPr>
      </w:pPr>
      <w:bookmarkStart w:id="121" w:name="_ENREF_18"/>
      <w:r w:rsidRPr="00427237">
        <w:rPr>
          <w:noProof/>
          <w:sz w:val="22"/>
        </w:rPr>
        <w:t>18.</w:t>
      </w:r>
      <w:r w:rsidRPr="00427237">
        <w:rPr>
          <w:noProof/>
          <w:sz w:val="22"/>
        </w:rPr>
        <w:tab/>
        <w:t>Group iNBCC-ABCW. Clinical practice guidelines for the management of advanced breast cancer. In: Council NHaMR, editor. Canberra: Commonwealth of Australia; 2001.</w:t>
      </w:r>
      <w:bookmarkEnd w:id="121"/>
    </w:p>
    <w:p w:rsidR="00C24187" w:rsidRPr="00427237" w:rsidRDefault="00C24187" w:rsidP="00C24187">
      <w:pPr>
        <w:spacing w:after="0" w:line="240" w:lineRule="auto"/>
        <w:rPr>
          <w:noProof/>
          <w:sz w:val="22"/>
        </w:rPr>
      </w:pPr>
      <w:bookmarkStart w:id="122" w:name="_ENREF_19"/>
      <w:r w:rsidRPr="00427237">
        <w:rPr>
          <w:noProof/>
          <w:sz w:val="22"/>
        </w:rPr>
        <w:t>19.</w:t>
      </w:r>
      <w:r w:rsidRPr="00427237">
        <w:rPr>
          <w:noProof/>
          <w:sz w:val="22"/>
        </w:rPr>
        <w:tab/>
        <w:t xml:space="preserve">Lord S, Marinovich L, Patterson J, et al. Incidence of metastatic breast cancer in an Australian population-based cohort of women with non-metastatic breast cancer at diagnosis. </w:t>
      </w:r>
      <w:r w:rsidRPr="00427237">
        <w:rPr>
          <w:i/>
          <w:noProof/>
          <w:sz w:val="22"/>
        </w:rPr>
        <w:t>Medical Journal of Australia</w:t>
      </w:r>
      <w:r w:rsidRPr="00427237">
        <w:rPr>
          <w:noProof/>
          <w:sz w:val="22"/>
        </w:rPr>
        <w:t xml:space="preserve"> 2012; </w:t>
      </w:r>
      <w:r w:rsidRPr="00427237">
        <w:rPr>
          <w:b/>
          <w:noProof/>
          <w:sz w:val="22"/>
        </w:rPr>
        <w:t>196</w:t>
      </w:r>
      <w:r w:rsidRPr="00427237">
        <w:rPr>
          <w:noProof/>
          <w:sz w:val="22"/>
        </w:rPr>
        <w:t>(11): 688-92.</w:t>
      </w:r>
      <w:bookmarkEnd w:id="122"/>
    </w:p>
    <w:p w:rsidR="00C24187" w:rsidRPr="00427237" w:rsidRDefault="00C24187" w:rsidP="00C24187">
      <w:pPr>
        <w:spacing w:after="0" w:line="240" w:lineRule="auto"/>
        <w:rPr>
          <w:noProof/>
          <w:sz w:val="22"/>
        </w:rPr>
      </w:pPr>
      <w:bookmarkStart w:id="123" w:name="_ENREF_20"/>
      <w:r w:rsidRPr="00427237">
        <w:rPr>
          <w:noProof/>
          <w:sz w:val="22"/>
        </w:rPr>
        <w:t>20.</w:t>
      </w:r>
      <w:r w:rsidRPr="00427237">
        <w:rPr>
          <w:noProof/>
          <w:sz w:val="22"/>
        </w:rPr>
        <w:tab/>
        <w:t>Medical Services Advisory Committee (MSAC). Positron emission tomography for cervical cancer. Ref 35e. In: Ageing DoHa, editor. Canberra: Commonwealth of Australia; 2010.</w:t>
      </w:r>
      <w:bookmarkEnd w:id="123"/>
    </w:p>
    <w:p w:rsidR="00C24187" w:rsidRPr="00427237" w:rsidRDefault="00C24187" w:rsidP="00C24187">
      <w:pPr>
        <w:spacing w:after="0" w:line="240" w:lineRule="auto"/>
        <w:rPr>
          <w:noProof/>
          <w:sz w:val="22"/>
        </w:rPr>
      </w:pPr>
      <w:bookmarkStart w:id="124" w:name="_ENREF_21"/>
      <w:r w:rsidRPr="00427237">
        <w:rPr>
          <w:noProof/>
          <w:sz w:val="22"/>
        </w:rPr>
        <w:t>21.</w:t>
      </w:r>
      <w:r w:rsidRPr="00427237">
        <w:rPr>
          <w:noProof/>
          <w:sz w:val="22"/>
        </w:rPr>
        <w:tab/>
        <w:t xml:space="preserve">Endo K, Oriuchi N. PET and PET/CT using 18F-FDG in the diagnosis and management of cancer patients. </w:t>
      </w:r>
      <w:r w:rsidRPr="00427237">
        <w:rPr>
          <w:i/>
          <w:noProof/>
          <w:sz w:val="22"/>
        </w:rPr>
        <w:t>International Journal of Clinical Oncology</w:t>
      </w:r>
      <w:r w:rsidRPr="00427237">
        <w:rPr>
          <w:noProof/>
          <w:sz w:val="22"/>
        </w:rPr>
        <w:t xml:space="preserve"> 2006; </w:t>
      </w:r>
      <w:r w:rsidRPr="00427237">
        <w:rPr>
          <w:b/>
          <w:noProof/>
          <w:sz w:val="22"/>
        </w:rPr>
        <w:t>11</w:t>
      </w:r>
      <w:r w:rsidRPr="00427237">
        <w:rPr>
          <w:noProof/>
          <w:sz w:val="22"/>
        </w:rPr>
        <w:t>(4): 286-96.</w:t>
      </w:r>
      <w:bookmarkEnd w:id="124"/>
    </w:p>
    <w:p w:rsidR="00C24187" w:rsidRPr="00427237" w:rsidRDefault="00C24187" w:rsidP="00C24187">
      <w:pPr>
        <w:spacing w:after="0" w:line="240" w:lineRule="auto"/>
        <w:rPr>
          <w:noProof/>
          <w:sz w:val="22"/>
        </w:rPr>
      </w:pPr>
      <w:bookmarkStart w:id="125" w:name="_ENREF_22"/>
      <w:r w:rsidRPr="00427237">
        <w:rPr>
          <w:noProof/>
          <w:sz w:val="22"/>
        </w:rPr>
        <w:t>22.</w:t>
      </w:r>
      <w:r w:rsidRPr="00427237">
        <w:rPr>
          <w:noProof/>
          <w:sz w:val="22"/>
        </w:rPr>
        <w:tab/>
        <w:t xml:space="preserve">Boellaard R, O'Doherty MJ, Weber WA, et al. FDG PET and PET/CT: EANM procedure guidelines for tumour PET imaging: version 1.0. </w:t>
      </w:r>
      <w:r w:rsidRPr="00427237">
        <w:rPr>
          <w:i/>
          <w:noProof/>
          <w:sz w:val="22"/>
        </w:rPr>
        <w:t>Eur J Nucl Med Mol Imaging</w:t>
      </w:r>
      <w:r w:rsidRPr="00427237">
        <w:rPr>
          <w:noProof/>
          <w:sz w:val="22"/>
        </w:rPr>
        <w:t xml:space="preserve"> 2010; </w:t>
      </w:r>
      <w:r w:rsidRPr="00427237">
        <w:rPr>
          <w:b/>
          <w:noProof/>
          <w:sz w:val="22"/>
        </w:rPr>
        <w:t>37</w:t>
      </w:r>
      <w:r w:rsidRPr="00427237">
        <w:rPr>
          <w:noProof/>
          <w:sz w:val="22"/>
        </w:rPr>
        <w:t>(1): 181-200.</w:t>
      </w:r>
      <w:bookmarkEnd w:id="125"/>
    </w:p>
    <w:p w:rsidR="00C24187" w:rsidRPr="00427237" w:rsidRDefault="00C24187" w:rsidP="00C24187">
      <w:pPr>
        <w:spacing w:after="0" w:line="240" w:lineRule="auto"/>
        <w:rPr>
          <w:noProof/>
          <w:sz w:val="22"/>
        </w:rPr>
      </w:pPr>
      <w:bookmarkStart w:id="126" w:name="_ENREF_23"/>
      <w:r w:rsidRPr="00427237">
        <w:rPr>
          <w:noProof/>
          <w:sz w:val="22"/>
        </w:rPr>
        <w:t>23.</w:t>
      </w:r>
      <w:r w:rsidRPr="00427237">
        <w:rPr>
          <w:noProof/>
          <w:sz w:val="22"/>
        </w:rPr>
        <w:tab/>
        <w:t xml:space="preserve">Delbeke D, Coleman RE, Guiberteau MJ, et al. Procedure guideline for tumor imaging with 18F-FDG PET/CT 1.0. </w:t>
      </w:r>
      <w:r w:rsidRPr="00427237">
        <w:rPr>
          <w:i/>
          <w:noProof/>
          <w:sz w:val="22"/>
        </w:rPr>
        <w:t>Journal of nuclear medicine : official publication, Society of Nuclear Medicine</w:t>
      </w:r>
      <w:r w:rsidRPr="00427237">
        <w:rPr>
          <w:noProof/>
          <w:sz w:val="22"/>
        </w:rPr>
        <w:t xml:space="preserve"> 2006; </w:t>
      </w:r>
      <w:r w:rsidRPr="00427237">
        <w:rPr>
          <w:b/>
          <w:noProof/>
          <w:sz w:val="22"/>
        </w:rPr>
        <w:t>47</w:t>
      </w:r>
      <w:r w:rsidRPr="00427237">
        <w:rPr>
          <w:noProof/>
          <w:sz w:val="22"/>
        </w:rPr>
        <w:t>(5): 885-95.</w:t>
      </w:r>
      <w:bookmarkEnd w:id="126"/>
    </w:p>
    <w:p w:rsidR="00C24187" w:rsidRPr="00427237" w:rsidRDefault="00C24187" w:rsidP="00C24187">
      <w:pPr>
        <w:spacing w:after="0" w:line="240" w:lineRule="auto"/>
        <w:rPr>
          <w:noProof/>
          <w:sz w:val="22"/>
        </w:rPr>
      </w:pPr>
      <w:bookmarkStart w:id="127" w:name="_ENREF_24"/>
      <w:r w:rsidRPr="00427237">
        <w:rPr>
          <w:noProof/>
          <w:sz w:val="22"/>
        </w:rPr>
        <w:t>24.</w:t>
      </w:r>
      <w:r w:rsidRPr="00427237">
        <w:rPr>
          <w:noProof/>
          <w:sz w:val="22"/>
        </w:rPr>
        <w:tab/>
        <w:t xml:space="preserve">ICRP. Radiation dose to patients from radiopharmaceuticals. Addendum 3 to ICRP Publication 53. ICRP Publication 106. Approved by the Commission in October 2007. </w:t>
      </w:r>
      <w:r w:rsidRPr="00427237">
        <w:rPr>
          <w:i/>
          <w:noProof/>
          <w:sz w:val="22"/>
        </w:rPr>
        <w:t>Annals of the ICRP</w:t>
      </w:r>
      <w:r w:rsidRPr="00427237">
        <w:rPr>
          <w:noProof/>
          <w:sz w:val="22"/>
        </w:rPr>
        <w:t xml:space="preserve"> 2008; </w:t>
      </w:r>
      <w:r w:rsidRPr="00427237">
        <w:rPr>
          <w:b/>
          <w:noProof/>
          <w:sz w:val="22"/>
        </w:rPr>
        <w:t>38</w:t>
      </w:r>
      <w:r w:rsidRPr="00427237">
        <w:rPr>
          <w:noProof/>
          <w:sz w:val="22"/>
        </w:rPr>
        <w:t>(1-2): 1-197.</w:t>
      </w:r>
      <w:bookmarkEnd w:id="127"/>
    </w:p>
    <w:p w:rsidR="00C24187" w:rsidRPr="00427237" w:rsidRDefault="00C24187" w:rsidP="00C24187">
      <w:pPr>
        <w:spacing w:after="0" w:line="240" w:lineRule="auto"/>
        <w:rPr>
          <w:noProof/>
          <w:sz w:val="22"/>
        </w:rPr>
      </w:pPr>
      <w:bookmarkStart w:id="128" w:name="_ENREF_25"/>
      <w:r w:rsidRPr="00427237">
        <w:rPr>
          <w:noProof/>
          <w:sz w:val="22"/>
        </w:rPr>
        <w:t>25.</w:t>
      </w:r>
      <w:r w:rsidRPr="00427237">
        <w:rPr>
          <w:noProof/>
          <w:sz w:val="22"/>
        </w:rPr>
        <w:tab/>
        <w:t>Donohoe K, Brown M, Collier B, et al. Society of Nuclear Medicine Procedure Guideline for Bone Scintigraphy. In: Medicine SoN, editor. Society for Nuclear Medicine Procedure Guidelines Manual. USA: Society for Nuclear Medicine; 2003. p. 205-9.</w:t>
      </w:r>
      <w:bookmarkEnd w:id="128"/>
    </w:p>
    <w:p w:rsidR="00C24187" w:rsidRPr="00427237" w:rsidRDefault="00C24187" w:rsidP="00C24187">
      <w:pPr>
        <w:spacing w:line="240" w:lineRule="auto"/>
        <w:rPr>
          <w:noProof/>
          <w:sz w:val="22"/>
        </w:rPr>
      </w:pPr>
      <w:bookmarkStart w:id="129" w:name="_ENREF_26"/>
      <w:r w:rsidRPr="00427237">
        <w:rPr>
          <w:noProof/>
          <w:sz w:val="22"/>
        </w:rPr>
        <w:t>26.</w:t>
      </w:r>
      <w:r w:rsidRPr="00427237">
        <w:rPr>
          <w:noProof/>
          <w:sz w:val="22"/>
        </w:rPr>
        <w:tab/>
        <w:t xml:space="preserve">Lee J, Hennessy A, Khafagi F. Bone scans. </w:t>
      </w:r>
      <w:r w:rsidRPr="00427237">
        <w:rPr>
          <w:i/>
          <w:noProof/>
          <w:sz w:val="22"/>
        </w:rPr>
        <w:t>Australian Family Physician</w:t>
      </w:r>
      <w:r w:rsidRPr="00427237">
        <w:rPr>
          <w:noProof/>
          <w:sz w:val="22"/>
        </w:rPr>
        <w:t xml:space="preserve"> 2012; </w:t>
      </w:r>
      <w:r w:rsidRPr="00427237">
        <w:rPr>
          <w:b/>
          <w:noProof/>
          <w:sz w:val="22"/>
        </w:rPr>
        <w:t>41</w:t>
      </w:r>
      <w:r w:rsidRPr="00427237">
        <w:rPr>
          <w:noProof/>
          <w:sz w:val="22"/>
        </w:rPr>
        <w:t>(9): 689-92.</w:t>
      </w:r>
      <w:bookmarkEnd w:id="129"/>
    </w:p>
    <w:p w:rsidR="00C24187" w:rsidRPr="00427237" w:rsidRDefault="00C24187" w:rsidP="00C24187">
      <w:pPr>
        <w:spacing w:line="240" w:lineRule="auto"/>
        <w:rPr>
          <w:noProof/>
          <w:sz w:val="22"/>
        </w:rPr>
      </w:pPr>
    </w:p>
    <w:p w:rsidR="00920295" w:rsidRPr="00920295" w:rsidRDefault="00920295" w:rsidP="00920295"/>
    <w:sectPr w:rsidR="00920295" w:rsidRPr="00920295" w:rsidSect="008F443F">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472" w:rsidRDefault="00EE4472" w:rsidP="000901A8">
      <w:r>
        <w:separator/>
      </w:r>
    </w:p>
  </w:endnote>
  <w:endnote w:type="continuationSeparator" w:id="0">
    <w:p w:rsidR="00EE4472" w:rsidRDefault="00EE4472" w:rsidP="0009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237" w:rsidRDefault="00427237">
    <w:pPr>
      <w:pStyle w:val="Footer"/>
    </w:pPr>
    <w:r>
      <w:fldChar w:fldCharType="begin"/>
    </w:r>
    <w:r>
      <w:instrText xml:space="preserve"> PAGE   \* MERGEFORMAT </w:instrText>
    </w:r>
    <w:r>
      <w:fldChar w:fldCharType="separate"/>
    </w:r>
    <w:r w:rsidR="00002805">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237" w:rsidRDefault="00427237" w:rsidP="00DD0A00">
    <w:pPr>
      <w:pStyle w:val="Footer"/>
      <w:tabs>
        <w:tab w:val="clear" w:pos="8640"/>
        <w:tab w:val="right" w:pos="9072"/>
      </w:tabs>
    </w:pPr>
    <w:r>
      <w:tab/>
    </w:r>
    <w:r>
      <w:tab/>
    </w:r>
    <w:r>
      <w:fldChar w:fldCharType="begin"/>
    </w:r>
    <w:r>
      <w:instrText xml:space="preserve"> PAGE   \* MERGEFORMAT </w:instrText>
    </w:r>
    <w:r>
      <w:fldChar w:fldCharType="separate"/>
    </w:r>
    <w:r w:rsidR="00002805">
      <w:rPr>
        <w:noProof/>
      </w:rPr>
      <w:t>33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E63" w:rsidRDefault="00207E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472" w:rsidRDefault="00EE4472" w:rsidP="000901A8">
      <w:r>
        <w:separator/>
      </w:r>
    </w:p>
  </w:footnote>
  <w:footnote w:type="continuationSeparator" w:id="0">
    <w:p w:rsidR="00EE4472" w:rsidRDefault="00EE4472" w:rsidP="00090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E63" w:rsidRDefault="000028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0219" o:spid="_x0000_s2057"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E63" w:rsidRDefault="000028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0220" o:spid="_x0000_s2058"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237" w:rsidRDefault="000028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0218" o:spid="_x0000_s2056"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211F"/>
    <w:multiLevelType w:val="hybridMultilevel"/>
    <w:tmpl w:val="A3301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C326EA"/>
    <w:multiLevelType w:val="hybridMultilevel"/>
    <w:tmpl w:val="436ABCC4"/>
    <w:lvl w:ilvl="0" w:tplc="4D80BE88">
      <w:start w:val="2"/>
      <w:numFmt w:val="bullet"/>
      <w:lvlText w:val="·"/>
      <w:lvlJc w:val="left"/>
      <w:pPr>
        <w:ind w:left="1515" w:hanging="1155"/>
      </w:pPr>
      <w:rPr>
        <w:rFonts w:ascii="Tahoma" w:eastAsia="SimSu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811BA1"/>
    <w:multiLevelType w:val="hybridMultilevel"/>
    <w:tmpl w:val="D1A66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E2410D"/>
    <w:multiLevelType w:val="hybridMultilevel"/>
    <w:tmpl w:val="8548BF2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2D648F"/>
    <w:multiLevelType w:val="hybridMultilevel"/>
    <w:tmpl w:val="20E41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C221AAB"/>
    <w:multiLevelType w:val="hybridMultilevel"/>
    <w:tmpl w:val="9D4E5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CA30783"/>
    <w:multiLevelType w:val="hybridMultilevel"/>
    <w:tmpl w:val="BDAA9EF2"/>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0DF1044C"/>
    <w:multiLevelType w:val="hybridMultilevel"/>
    <w:tmpl w:val="0D40D138"/>
    <w:lvl w:ilvl="0" w:tplc="820C666E">
      <w:start w:val="2"/>
      <w:numFmt w:val="bullet"/>
      <w:lvlText w:val="•"/>
      <w:lvlJc w:val="left"/>
      <w:pPr>
        <w:ind w:left="1080" w:hanging="720"/>
      </w:pPr>
      <w:rPr>
        <w:rFonts w:ascii="Tahoma" w:eastAsia="SimSu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F351FFE"/>
    <w:multiLevelType w:val="hybridMultilevel"/>
    <w:tmpl w:val="386627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80D6BBB"/>
    <w:multiLevelType w:val="hybridMultilevel"/>
    <w:tmpl w:val="0284D708"/>
    <w:lvl w:ilvl="0" w:tplc="34F2AC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9A62D26"/>
    <w:multiLevelType w:val="hybridMultilevel"/>
    <w:tmpl w:val="B16C0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25A123E"/>
    <w:multiLevelType w:val="hybridMultilevel"/>
    <w:tmpl w:val="14AA3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8F58AC"/>
    <w:multiLevelType w:val="hybridMultilevel"/>
    <w:tmpl w:val="FBB4D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hint="default"/>
      </w:rPr>
    </w:lvl>
    <w:lvl w:ilvl="1" w:tplc="FFFFFFFF">
      <w:start w:val="1"/>
      <w:numFmt w:val="bullet"/>
      <w:lvlText w:val="o"/>
      <w:lvlJc w:val="left"/>
      <w:pPr>
        <w:tabs>
          <w:tab w:val="num" w:pos="1758"/>
        </w:tabs>
        <w:ind w:left="1758" w:hanging="360"/>
      </w:pPr>
      <w:rPr>
        <w:rFonts w:ascii="Courier New" w:hAnsi="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14">
    <w:nsid w:val="268904DC"/>
    <w:multiLevelType w:val="hybridMultilevel"/>
    <w:tmpl w:val="5C385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8CB2803"/>
    <w:multiLevelType w:val="hybridMultilevel"/>
    <w:tmpl w:val="61DEEF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B8A0006"/>
    <w:multiLevelType w:val="hybridMultilevel"/>
    <w:tmpl w:val="3078BC1E"/>
    <w:lvl w:ilvl="0" w:tplc="EF9031A6">
      <w:numFmt w:val="bullet"/>
      <w:lvlText w:val="-"/>
      <w:lvlJc w:val="left"/>
      <w:pPr>
        <w:ind w:left="420" w:hanging="360"/>
      </w:pPr>
      <w:rPr>
        <w:rFonts w:ascii="Tahoma" w:eastAsia="SimSun" w:hAnsi="Tahoma" w:cs="Tahoma"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7">
    <w:nsid w:val="2F2C6C69"/>
    <w:multiLevelType w:val="hybridMultilevel"/>
    <w:tmpl w:val="6D70B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F41135E"/>
    <w:multiLevelType w:val="hybridMultilevel"/>
    <w:tmpl w:val="65C82A12"/>
    <w:lvl w:ilvl="0" w:tplc="FAD8F45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1345CB5"/>
    <w:multiLevelType w:val="hybridMultilevel"/>
    <w:tmpl w:val="17905CDA"/>
    <w:lvl w:ilvl="0" w:tplc="820C666E">
      <w:start w:val="2"/>
      <w:numFmt w:val="bullet"/>
      <w:lvlText w:val="•"/>
      <w:lvlJc w:val="left"/>
      <w:pPr>
        <w:ind w:left="1080" w:hanging="720"/>
      </w:pPr>
      <w:rPr>
        <w:rFonts w:ascii="Tahoma" w:eastAsia="SimSu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3A73905"/>
    <w:multiLevelType w:val="hybridMultilevel"/>
    <w:tmpl w:val="74044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66213E5"/>
    <w:multiLevelType w:val="hybridMultilevel"/>
    <w:tmpl w:val="C92421D4"/>
    <w:lvl w:ilvl="0" w:tplc="820C666E">
      <w:start w:val="2"/>
      <w:numFmt w:val="bullet"/>
      <w:lvlText w:val="•"/>
      <w:lvlJc w:val="left"/>
      <w:pPr>
        <w:ind w:left="1080" w:hanging="720"/>
      </w:pPr>
      <w:rPr>
        <w:rFonts w:ascii="Tahoma" w:eastAsia="SimSu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9F76CFD"/>
    <w:multiLevelType w:val="hybridMultilevel"/>
    <w:tmpl w:val="B718C85C"/>
    <w:lvl w:ilvl="0" w:tplc="0C090017">
      <w:start w:val="1"/>
      <w:numFmt w:val="lowerLetter"/>
      <w:lvlText w:val="%1)"/>
      <w:lvlJc w:val="left"/>
      <w:pPr>
        <w:ind w:left="720" w:hanging="360"/>
      </w:pPr>
    </w:lvl>
    <w:lvl w:ilvl="1" w:tplc="E2E4041C">
      <w:start w:val="1"/>
      <w:numFmt w:val="lowerRoman"/>
      <w:lvlText w:val="(%2)"/>
      <w:lvlJc w:val="left"/>
      <w:pPr>
        <w:ind w:left="1440" w:hanging="360"/>
      </w:pPr>
      <w:rPr>
        <w:rFonts w:hint="default"/>
      </w:rPr>
    </w:lvl>
    <w:lvl w:ilvl="2" w:tplc="5AA86EF0">
      <w:start w:val="1"/>
      <w:numFmt w:val="upperLetter"/>
      <w:lvlText w:val="%3."/>
      <w:lvlJc w:val="left"/>
      <w:pPr>
        <w:ind w:left="2160" w:hanging="180"/>
      </w:pPr>
      <w:rPr>
        <w:rFonts w:hint="default"/>
      </w:rPr>
    </w:lvl>
    <w:lvl w:ilvl="3" w:tplc="0C09000F">
      <w:start w:val="1"/>
      <w:numFmt w:val="decimal"/>
      <w:lvlText w:val="%4."/>
      <w:lvlJc w:val="left"/>
      <w:pPr>
        <w:ind w:left="2880" w:hanging="360"/>
      </w:pPr>
    </w:lvl>
    <w:lvl w:ilvl="4" w:tplc="139A5648">
      <w:start w:val="1"/>
      <w:numFmt w:val="low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D2D1787"/>
    <w:multiLevelType w:val="hybridMultilevel"/>
    <w:tmpl w:val="4BA69D56"/>
    <w:lvl w:ilvl="0" w:tplc="080061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F3527E6"/>
    <w:multiLevelType w:val="hybridMultilevel"/>
    <w:tmpl w:val="1C1011A4"/>
    <w:lvl w:ilvl="0" w:tplc="B69AE8B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0D30D61"/>
    <w:multiLevelType w:val="hybridMultilevel"/>
    <w:tmpl w:val="D21895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209124D"/>
    <w:multiLevelType w:val="hybridMultilevel"/>
    <w:tmpl w:val="760AD612"/>
    <w:lvl w:ilvl="0" w:tplc="605C45F0">
      <w:start w:val="1"/>
      <w:numFmt w:val="decimal"/>
      <w:lvlText w:val="%1."/>
      <w:lvlJc w:val="left"/>
      <w:pPr>
        <w:ind w:left="720" w:hanging="360"/>
      </w:pPr>
      <w:rPr>
        <w:rFonts w:hint="default"/>
      </w:rPr>
    </w:lvl>
    <w:lvl w:ilvl="1" w:tplc="18A247E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35B8FB2"/>
    <w:multiLevelType w:val="hybridMultilevel"/>
    <w:tmpl w:val="FEFACADD"/>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44A22F05"/>
    <w:multiLevelType w:val="hybridMultilevel"/>
    <w:tmpl w:val="58A2BE0A"/>
    <w:lvl w:ilvl="0" w:tplc="F98AB8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6CC39EC"/>
    <w:multiLevelType w:val="hybridMultilevel"/>
    <w:tmpl w:val="92C89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8867A08"/>
    <w:multiLevelType w:val="hybridMultilevel"/>
    <w:tmpl w:val="B99E5EFE"/>
    <w:lvl w:ilvl="0" w:tplc="1EAACF9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B66528B"/>
    <w:multiLevelType w:val="hybridMultilevel"/>
    <w:tmpl w:val="4B4E6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D2D75AB"/>
    <w:multiLevelType w:val="hybridMultilevel"/>
    <w:tmpl w:val="EF8A1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DCA0384"/>
    <w:multiLevelType w:val="hybridMultilevel"/>
    <w:tmpl w:val="D4E616C8"/>
    <w:lvl w:ilvl="0" w:tplc="27346966">
      <w:start w:val="2"/>
      <w:numFmt w:val="bullet"/>
      <w:lvlText w:val="-"/>
      <w:lvlJc w:val="left"/>
      <w:pPr>
        <w:ind w:left="720" w:hanging="360"/>
      </w:pPr>
      <w:rPr>
        <w:rFonts w:ascii="Arial Narrow" w:eastAsia="SimSun" w:hAnsi="Arial Narrow"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DD705A6"/>
    <w:multiLevelType w:val="hybridMultilevel"/>
    <w:tmpl w:val="AAA4D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E07257C"/>
    <w:multiLevelType w:val="hybridMultilevel"/>
    <w:tmpl w:val="8D1865F4"/>
    <w:lvl w:ilvl="0" w:tplc="0C090017">
      <w:start w:val="1"/>
      <w:numFmt w:val="lowerLetter"/>
      <w:lvlText w:val="%1)"/>
      <w:lvlJc w:val="left"/>
      <w:pPr>
        <w:ind w:left="720" w:hanging="360"/>
      </w:pPr>
    </w:lvl>
    <w:lvl w:ilvl="1" w:tplc="E2E4041C">
      <w:start w:val="1"/>
      <w:numFmt w:val="lowerRoman"/>
      <w:lvlText w:val="(%2)"/>
      <w:lvlJc w:val="left"/>
      <w:pPr>
        <w:ind w:left="1440" w:hanging="360"/>
      </w:pPr>
      <w:rPr>
        <w:rFonts w:hint="default"/>
      </w:rPr>
    </w:lvl>
    <w:lvl w:ilvl="2" w:tplc="0C090015">
      <w:start w:val="1"/>
      <w:numFmt w:val="upperLetter"/>
      <w:lvlText w:val="%3."/>
      <w:lvlJc w:val="left"/>
      <w:pPr>
        <w:ind w:left="2160" w:hanging="180"/>
      </w:pPr>
    </w:lvl>
    <w:lvl w:ilvl="3" w:tplc="0C090001">
      <w:start w:val="1"/>
      <w:numFmt w:val="bullet"/>
      <w:lvlText w:val=""/>
      <w:lvlJc w:val="left"/>
      <w:pPr>
        <w:ind w:left="2880" w:hanging="360"/>
      </w:pPr>
      <w:rPr>
        <w:rFonts w:ascii="Symbol" w:hAnsi="Symbo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4B73517"/>
    <w:multiLevelType w:val="hybridMultilevel"/>
    <w:tmpl w:val="13286202"/>
    <w:lvl w:ilvl="0" w:tplc="4D80BE88">
      <w:start w:val="2"/>
      <w:numFmt w:val="bullet"/>
      <w:lvlText w:val="·"/>
      <w:lvlJc w:val="left"/>
      <w:pPr>
        <w:ind w:left="1515" w:hanging="1155"/>
      </w:pPr>
      <w:rPr>
        <w:rFonts w:ascii="Tahoma" w:eastAsia="SimSu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801769A"/>
    <w:multiLevelType w:val="hybridMultilevel"/>
    <w:tmpl w:val="65C82A12"/>
    <w:lvl w:ilvl="0" w:tplc="FAD8F45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59DD3C9B"/>
    <w:multiLevelType w:val="hybridMultilevel"/>
    <w:tmpl w:val="A92C8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A8F76A0"/>
    <w:multiLevelType w:val="hybridMultilevel"/>
    <w:tmpl w:val="75884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B673900"/>
    <w:multiLevelType w:val="hybridMultilevel"/>
    <w:tmpl w:val="0074B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5BA74F92"/>
    <w:multiLevelType w:val="hybridMultilevel"/>
    <w:tmpl w:val="8F924BB2"/>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3">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cs="Times New Roman" w:hint="default"/>
      </w:rPr>
    </w:lvl>
    <w:lvl w:ilvl="1" w:tplc="04090003">
      <w:start w:val="1"/>
      <w:numFmt w:val="bullet"/>
      <w:lvlText w:val=""/>
      <w:lvlJc w:val="left"/>
      <w:pPr>
        <w:tabs>
          <w:tab w:val="num" w:pos="1092"/>
        </w:tabs>
        <w:ind w:left="1092" w:hanging="360"/>
      </w:pPr>
      <w:rPr>
        <w:rFonts w:ascii="Symbol" w:hAnsi="Symbol" w:hint="default"/>
        <w:color w:val="auto"/>
      </w:rPr>
    </w:lvl>
    <w:lvl w:ilvl="2" w:tplc="04090005" w:tentative="1">
      <w:start w:val="1"/>
      <w:numFmt w:val="lowerRoman"/>
      <w:lvlText w:val="%3."/>
      <w:lvlJc w:val="right"/>
      <w:pPr>
        <w:tabs>
          <w:tab w:val="num" w:pos="1812"/>
        </w:tabs>
        <w:ind w:left="1812" w:hanging="180"/>
      </w:pPr>
      <w:rPr>
        <w:rFonts w:cs="Times New Roman"/>
      </w:rPr>
    </w:lvl>
    <w:lvl w:ilvl="3" w:tplc="04090001" w:tentative="1">
      <w:start w:val="1"/>
      <w:numFmt w:val="decimal"/>
      <w:lvlText w:val="%4."/>
      <w:lvlJc w:val="left"/>
      <w:pPr>
        <w:tabs>
          <w:tab w:val="num" w:pos="2532"/>
        </w:tabs>
        <w:ind w:left="2532" w:hanging="360"/>
      </w:pPr>
      <w:rPr>
        <w:rFonts w:cs="Times New Roman"/>
      </w:rPr>
    </w:lvl>
    <w:lvl w:ilvl="4" w:tplc="04090003" w:tentative="1">
      <w:start w:val="1"/>
      <w:numFmt w:val="lowerLetter"/>
      <w:lvlText w:val="%5."/>
      <w:lvlJc w:val="left"/>
      <w:pPr>
        <w:tabs>
          <w:tab w:val="num" w:pos="3252"/>
        </w:tabs>
        <w:ind w:left="3252" w:hanging="360"/>
      </w:pPr>
      <w:rPr>
        <w:rFonts w:cs="Times New Roman"/>
      </w:rPr>
    </w:lvl>
    <w:lvl w:ilvl="5" w:tplc="04090005" w:tentative="1">
      <w:start w:val="1"/>
      <w:numFmt w:val="lowerRoman"/>
      <w:lvlText w:val="%6."/>
      <w:lvlJc w:val="right"/>
      <w:pPr>
        <w:tabs>
          <w:tab w:val="num" w:pos="3972"/>
        </w:tabs>
        <w:ind w:left="3972" w:hanging="180"/>
      </w:pPr>
      <w:rPr>
        <w:rFonts w:cs="Times New Roman"/>
      </w:rPr>
    </w:lvl>
    <w:lvl w:ilvl="6" w:tplc="04090001" w:tentative="1">
      <w:start w:val="1"/>
      <w:numFmt w:val="decimal"/>
      <w:lvlText w:val="%7."/>
      <w:lvlJc w:val="left"/>
      <w:pPr>
        <w:tabs>
          <w:tab w:val="num" w:pos="4692"/>
        </w:tabs>
        <w:ind w:left="4692" w:hanging="360"/>
      </w:pPr>
      <w:rPr>
        <w:rFonts w:cs="Times New Roman"/>
      </w:rPr>
    </w:lvl>
    <w:lvl w:ilvl="7" w:tplc="04090003" w:tentative="1">
      <w:start w:val="1"/>
      <w:numFmt w:val="lowerLetter"/>
      <w:lvlText w:val="%8."/>
      <w:lvlJc w:val="left"/>
      <w:pPr>
        <w:tabs>
          <w:tab w:val="num" w:pos="5412"/>
        </w:tabs>
        <w:ind w:left="5412" w:hanging="360"/>
      </w:pPr>
      <w:rPr>
        <w:rFonts w:cs="Times New Roman"/>
      </w:rPr>
    </w:lvl>
    <w:lvl w:ilvl="8" w:tplc="04090005" w:tentative="1">
      <w:start w:val="1"/>
      <w:numFmt w:val="lowerRoman"/>
      <w:lvlText w:val="%9."/>
      <w:lvlJc w:val="right"/>
      <w:pPr>
        <w:tabs>
          <w:tab w:val="num" w:pos="6132"/>
        </w:tabs>
        <w:ind w:left="6132" w:hanging="180"/>
      </w:pPr>
      <w:rPr>
        <w:rFonts w:cs="Times New Roman"/>
      </w:rPr>
    </w:lvl>
  </w:abstractNum>
  <w:abstractNum w:abstractNumId="44">
    <w:nsid w:val="5F3F4014"/>
    <w:multiLevelType w:val="hybridMultilevel"/>
    <w:tmpl w:val="BA76FB24"/>
    <w:lvl w:ilvl="0" w:tplc="00D2F59C">
      <w:start w:val="1"/>
      <w:numFmt w:val="lowerLetter"/>
      <w:lvlText w:val="(%1)"/>
      <w:lvlJc w:val="left"/>
      <w:pPr>
        <w:ind w:left="1605" w:hanging="1245"/>
      </w:pPr>
      <w:rPr>
        <w:rFonts w:hint="default"/>
      </w:rPr>
    </w:lvl>
    <w:lvl w:ilvl="1" w:tplc="E2E4041C">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60ED322D"/>
    <w:multiLevelType w:val="hybridMultilevel"/>
    <w:tmpl w:val="397A7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1E01F68"/>
    <w:multiLevelType w:val="hybridMultilevel"/>
    <w:tmpl w:val="FEBACA1E"/>
    <w:lvl w:ilvl="0" w:tplc="BEA8BD66">
      <w:start w:val="17"/>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6912035"/>
    <w:multiLevelType w:val="hybridMultilevel"/>
    <w:tmpl w:val="9384C1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66993D6D"/>
    <w:multiLevelType w:val="hybridMultilevel"/>
    <w:tmpl w:val="58B217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68A96251"/>
    <w:multiLevelType w:val="hybridMultilevel"/>
    <w:tmpl w:val="329E4A4C"/>
    <w:lvl w:ilvl="0" w:tplc="E2E4041C">
      <w:start w:val="1"/>
      <w:numFmt w:val="lowerRoman"/>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6AC2605E"/>
    <w:multiLevelType w:val="hybridMultilevel"/>
    <w:tmpl w:val="62B406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nsid w:val="6C607342"/>
    <w:multiLevelType w:val="hybridMultilevel"/>
    <w:tmpl w:val="0D46B166"/>
    <w:lvl w:ilvl="0" w:tplc="0C090017">
      <w:start w:val="1"/>
      <w:numFmt w:val="lowerLetter"/>
      <w:lvlText w:val="%1)"/>
      <w:lvlJc w:val="left"/>
      <w:pPr>
        <w:ind w:left="720" w:hanging="360"/>
      </w:pPr>
    </w:lvl>
    <w:lvl w:ilvl="1" w:tplc="E2E4041C">
      <w:start w:val="1"/>
      <w:numFmt w:val="lowerRoman"/>
      <w:lvlText w:val="(%2)"/>
      <w:lvlJc w:val="left"/>
      <w:pPr>
        <w:ind w:left="1440" w:hanging="360"/>
      </w:pPr>
      <w:rPr>
        <w:rFonts w:hint="default"/>
      </w:rPr>
    </w:lvl>
    <w:lvl w:ilvl="2" w:tplc="0C090015">
      <w:start w:val="1"/>
      <w:numFmt w:val="upperLetter"/>
      <w:lvlText w:val="%3."/>
      <w:lvlJc w:val="left"/>
      <w:pPr>
        <w:ind w:left="2160" w:hanging="180"/>
      </w:pPr>
    </w:lvl>
    <w:lvl w:ilvl="3" w:tplc="0C090001">
      <w:start w:val="1"/>
      <w:numFmt w:val="bullet"/>
      <w:lvlText w:val=""/>
      <w:lvlJc w:val="left"/>
      <w:pPr>
        <w:ind w:left="2880" w:hanging="360"/>
      </w:pPr>
      <w:rPr>
        <w:rFonts w:ascii="Symbol" w:hAnsi="Symbo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71701F72"/>
    <w:multiLevelType w:val="hybridMultilevel"/>
    <w:tmpl w:val="46826FBA"/>
    <w:lvl w:ilvl="0" w:tplc="0C090017">
      <w:start w:val="1"/>
      <w:numFmt w:val="lowerLetter"/>
      <w:lvlText w:val="%1)"/>
      <w:lvlJc w:val="left"/>
      <w:pPr>
        <w:ind w:left="720" w:hanging="360"/>
      </w:pPr>
    </w:lvl>
    <w:lvl w:ilvl="1" w:tplc="E2E4041C">
      <w:start w:val="1"/>
      <w:numFmt w:val="lowerRoman"/>
      <w:lvlText w:val="(%2)"/>
      <w:lvlJc w:val="left"/>
      <w:pPr>
        <w:ind w:left="1440" w:hanging="360"/>
      </w:pPr>
      <w:rPr>
        <w:rFonts w:hint="default"/>
      </w:rPr>
    </w:lvl>
    <w:lvl w:ilvl="2" w:tplc="5AA86EF0">
      <w:start w:val="1"/>
      <w:numFmt w:val="upperLetter"/>
      <w:lvlText w:val="%3."/>
      <w:lvlJc w:val="left"/>
      <w:pPr>
        <w:ind w:left="2160" w:hanging="180"/>
      </w:pPr>
      <w:rPr>
        <w:rFonts w:hint="default"/>
      </w:rPr>
    </w:lvl>
    <w:lvl w:ilvl="3" w:tplc="0C09000F">
      <w:start w:val="1"/>
      <w:numFmt w:val="decimal"/>
      <w:lvlText w:val="%4."/>
      <w:lvlJc w:val="left"/>
      <w:pPr>
        <w:ind w:left="2880" w:hanging="360"/>
      </w:pPr>
    </w:lvl>
    <w:lvl w:ilvl="4" w:tplc="139A5648">
      <w:start w:val="1"/>
      <w:numFmt w:val="lowerLetter"/>
      <w:lvlText w:val="(%5)"/>
      <w:lvlJc w:val="left"/>
      <w:pPr>
        <w:ind w:left="3600" w:hanging="360"/>
      </w:pPr>
      <w:rPr>
        <w:rFonts w:hint="default"/>
      </w:rPr>
    </w:lvl>
    <w:lvl w:ilvl="5" w:tplc="8B9EB790">
      <w:start w:val="1"/>
      <w:numFmt w:val="decimal"/>
      <w:lvlText w:val="(%6)"/>
      <w:lvlJc w:val="left"/>
      <w:pPr>
        <w:ind w:left="4860" w:hanging="72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75E655D2"/>
    <w:multiLevelType w:val="hybridMultilevel"/>
    <w:tmpl w:val="2F88D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76C5368F"/>
    <w:multiLevelType w:val="hybridMultilevel"/>
    <w:tmpl w:val="9022D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7ACD4D8A"/>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56">
    <w:nsid w:val="7DBF4E0F"/>
    <w:multiLevelType w:val="hybridMultilevel"/>
    <w:tmpl w:val="B18E0B88"/>
    <w:lvl w:ilvl="0" w:tplc="0C1830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7EFE2A32"/>
    <w:multiLevelType w:val="hybridMultilevel"/>
    <w:tmpl w:val="0888B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5"/>
  </w:num>
  <w:num w:numId="2">
    <w:abstractNumId w:val="13"/>
  </w:num>
  <w:num w:numId="3">
    <w:abstractNumId w:val="37"/>
  </w:num>
  <w:num w:numId="4">
    <w:abstractNumId w:val="43"/>
  </w:num>
  <w:num w:numId="5">
    <w:abstractNumId w:val="53"/>
  </w:num>
  <w:num w:numId="6">
    <w:abstractNumId w:val="2"/>
  </w:num>
  <w:num w:numId="7">
    <w:abstractNumId w:val="34"/>
  </w:num>
  <w:num w:numId="8">
    <w:abstractNumId w:val="49"/>
  </w:num>
  <w:num w:numId="9">
    <w:abstractNumId w:val="27"/>
  </w:num>
  <w:num w:numId="10">
    <w:abstractNumId w:val="0"/>
  </w:num>
  <w:num w:numId="11">
    <w:abstractNumId w:val="42"/>
  </w:num>
  <w:num w:numId="12">
    <w:abstractNumId w:val="52"/>
  </w:num>
  <w:num w:numId="13">
    <w:abstractNumId w:val="28"/>
  </w:num>
  <w:num w:numId="14">
    <w:abstractNumId w:val="6"/>
  </w:num>
  <w:num w:numId="15">
    <w:abstractNumId w:val="51"/>
  </w:num>
  <w:num w:numId="16">
    <w:abstractNumId w:val="31"/>
  </w:num>
  <w:num w:numId="17">
    <w:abstractNumId w:val="22"/>
  </w:num>
  <w:num w:numId="18">
    <w:abstractNumId w:val="3"/>
  </w:num>
  <w:num w:numId="19">
    <w:abstractNumId w:val="26"/>
  </w:num>
  <w:num w:numId="20">
    <w:abstractNumId w:val="20"/>
  </w:num>
  <w:num w:numId="21">
    <w:abstractNumId w:val="57"/>
  </w:num>
  <w:num w:numId="22">
    <w:abstractNumId w:val="29"/>
  </w:num>
  <w:num w:numId="23">
    <w:abstractNumId w:val="47"/>
  </w:num>
  <w:num w:numId="24">
    <w:abstractNumId w:val="38"/>
  </w:num>
  <w:num w:numId="25">
    <w:abstractNumId w:val="48"/>
  </w:num>
  <w:num w:numId="26">
    <w:abstractNumId w:val="44"/>
  </w:num>
  <w:num w:numId="27">
    <w:abstractNumId w:val="23"/>
  </w:num>
  <w:num w:numId="28">
    <w:abstractNumId w:val="30"/>
  </w:num>
  <w:num w:numId="29">
    <w:abstractNumId w:val="54"/>
  </w:num>
  <w:num w:numId="30">
    <w:abstractNumId w:val="36"/>
  </w:num>
  <w:num w:numId="31">
    <w:abstractNumId w:val="18"/>
  </w:num>
  <w:num w:numId="32">
    <w:abstractNumId w:val="1"/>
  </w:num>
  <w:num w:numId="33">
    <w:abstractNumId w:val="19"/>
  </w:num>
  <w:num w:numId="34">
    <w:abstractNumId w:val="7"/>
  </w:num>
  <w:num w:numId="35">
    <w:abstractNumId w:val="46"/>
  </w:num>
  <w:num w:numId="36">
    <w:abstractNumId w:val="21"/>
  </w:num>
  <w:num w:numId="37">
    <w:abstractNumId w:val="4"/>
  </w:num>
  <w:num w:numId="38">
    <w:abstractNumId w:val="17"/>
  </w:num>
  <w:num w:numId="39">
    <w:abstractNumId w:val="11"/>
  </w:num>
  <w:num w:numId="40">
    <w:abstractNumId w:val="10"/>
  </w:num>
  <w:num w:numId="41">
    <w:abstractNumId w:val="8"/>
  </w:num>
  <w:num w:numId="42">
    <w:abstractNumId w:val="25"/>
  </w:num>
  <w:num w:numId="43">
    <w:abstractNumId w:val="24"/>
  </w:num>
  <w:num w:numId="44">
    <w:abstractNumId w:val="5"/>
  </w:num>
  <w:num w:numId="45">
    <w:abstractNumId w:val="14"/>
  </w:num>
  <w:num w:numId="46">
    <w:abstractNumId w:val="39"/>
  </w:num>
  <w:num w:numId="47">
    <w:abstractNumId w:val="41"/>
  </w:num>
  <w:num w:numId="48">
    <w:abstractNumId w:val="16"/>
  </w:num>
  <w:num w:numId="49">
    <w:abstractNumId w:val="35"/>
  </w:num>
  <w:num w:numId="50">
    <w:abstractNumId w:val="9"/>
  </w:num>
  <w:num w:numId="51">
    <w:abstractNumId w:val="45"/>
  </w:num>
  <w:num w:numId="52">
    <w:abstractNumId w:val="33"/>
  </w:num>
  <w:num w:numId="53">
    <w:abstractNumId w:val="15"/>
  </w:num>
  <w:num w:numId="54">
    <w:abstractNumId w:val="56"/>
  </w:num>
  <w:num w:numId="55">
    <w:abstractNumId w:val="50"/>
  </w:num>
  <w:num w:numId="56">
    <w:abstractNumId w:val="32"/>
  </w:num>
  <w:num w:numId="57">
    <w:abstractNumId w:val="12"/>
  </w:num>
  <w:num w:numId="58">
    <w:abstractNumId w:val="4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0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Lancet&lt;/Style&gt;&lt;LeftDelim&gt;{&lt;/LeftDelim&gt;&lt;RightDelim&gt;}&lt;/RightDelim&gt;&lt;FontName&gt;Tahoma&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f0v5fepytadv3et0a8ppx2uterw5ft9s5vt&quot;&gt;FDG PET for Breast Cancer 20131009&lt;record-ids&gt;&lt;item&gt;19&lt;/item&gt;&lt;item&gt;22&lt;/item&gt;&lt;item&gt;23&lt;/item&gt;&lt;item&gt;24&lt;/item&gt;&lt;item&gt;25&lt;/item&gt;&lt;item&gt;36&lt;/item&gt;&lt;item&gt;61&lt;/item&gt;&lt;item&gt;64&lt;/item&gt;&lt;item&gt;65&lt;/item&gt;&lt;item&gt;66&lt;/item&gt;&lt;item&gt;68&lt;/item&gt;&lt;item&gt;69&lt;/item&gt;&lt;item&gt;70&lt;/item&gt;&lt;item&gt;71&lt;/item&gt;&lt;item&gt;74&lt;/item&gt;&lt;item&gt;75&lt;/item&gt;&lt;item&gt;76&lt;/item&gt;&lt;item&gt;77&lt;/item&gt;&lt;item&gt;79&lt;/item&gt;&lt;item&gt;80&lt;/item&gt;&lt;item&gt;81&lt;/item&gt;&lt;item&gt;82&lt;/item&gt;&lt;item&gt;83&lt;/item&gt;&lt;item&gt;85&lt;/item&gt;&lt;item&gt;86&lt;/item&gt;&lt;item&gt;87&lt;/item&gt;&lt;/record-ids&gt;&lt;/item&gt;&lt;/Libraries&gt;"/>
  </w:docVars>
  <w:rsids>
    <w:rsidRoot w:val="00B4562F"/>
    <w:rsid w:val="00000758"/>
    <w:rsid w:val="000011AF"/>
    <w:rsid w:val="0000214E"/>
    <w:rsid w:val="00002805"/>
    <w:rsid w:val="000041C1"/>
    <w:rsid w:val="00004EDB"/>
    <w:rsid w:val="00005D10"/>
    <w:rsid w:val="00006244"/>
    <w:rsid w:val="00007033"/>
    <w:rsid w:val="000115C5"/>
    <w:rsid w:val="00011667"/>
    <w:rsid w:val="00011FBD"/>
    <w:rsid w:val="00012356"/>
    <w:rsid w:val="00012ABD"/>
    <w:rsid w:val="00012B31"/>
    <w:rsid w:val="000148A3"/>
    <w:rsid w:val="00014D35"/>
    <w:rsid w:val="00016FE2"/>
    <w:rsid w:val="0002264E"/>
    <w:rsid w:val="00022DB0"/>
    <w:rsid w:val="00023854"/>
    <w:rsid w:val="00024771"/>
    <w:rsid w:val="00024EA3"/>
    <w:rsid w:val="0002599D"/>
    <w:rsid w:val="000259E6"/>
    <w:rsid w:val="000265FA"/>
    <w:rsid w:val="00026771"/>
    <w:rsid w:val="000279E1"/>
    <w:rsid w:val="00030514"/>
    <w:rsid w:val="000309F4"/>
    <w:rsid w:val="00033476"/>
    <w:rsid w:val="00037631"/>
    <w:rsid w:val="0003763F"/>
    <w:rsid w:val="00040237"/>
    <w:rsid w:val="00041288"/>
    <w:rsid w:val="000419F8"/>
    <w:rsid w:val="00041D40"/>
    <w:rsid w:val="00043B0E"/>
    <w:rsid w:val="000440B1"/>
    <w:rsid w:val="0004489D"/>
    <w:rsid w:val="00046E1A"/>
    <w:rsid w:val="00050FD2"/>
    <w:rsid w:val="000522F1"/>
    <w:rsid w:val="00053211"/>
    <w:rsid w:val="00053A9C"/>
    <w:rsid w:val="0005465A"/>
    <w:rsid w:val="000607E3"/>
    <w:rsid w:val="00062CD5"/>
    <w:rsid w:val="00063E7D"/>
    <w:rsid w:val="00063E92"/>
    <w:rsid w:val="0006458C"/>
    <w:rsid w:val="00064B41"/>
    <w:rsid w:val="00066CED"/>
    <w:rsid w:val="00067E0B"/>
    <w:rsid w:val="00070C04"/>
    <w:rsid w:val="000717CA"/>
    <w:rsid w:val="0007200C"/>
    <w:rsid w:val="00072026"/>
    <w:rsid w:val="00073C17"/>
    <w:rsid w:val="0007470C"/>
    <w:rsid w:val="00074DC9"/>
    <w:rsid w:val="000754AC"/>
    <w:rsid w:val="00080D19"/>
    <w:rsid w:val="00081FFB"/>
    <w:rsid w:val="00083658"/>
    <w:rsid w:val="00086E41"/>
    <w:rsid w:val="0009013C"/>
    <w:rsid w:val="000901A8"/>
    <w:rsid w:val="00090218"/>
    <w:rsid w:val="00090C48"/>
    <w:rsid w:val="00092191"/>
    <w:rsid w:val="0009279E"/>
    <w:rsid w:val="00093E50"/>
    <w:rsid w:val="00095A41"/>
    <w:rsid w:val="000963CD"/>
    <w:rsid w:val="000974C2"/>
    <w:rsid w:val="000A0A61"/>
    <w:rsid w:val="000A1849"/>
    <w:rsid w:val="000A26F5"/>
    <w:rsid w:val="000A31BA"/>
    <w:rsid w:val="000A35DD"/>
    <w:rsid w:val="000A3D96"/>
    <w:rsid w:val="000A41AA"/>
    <w:rsid w:val="000A55E4"/>
    <w:rsid w:val="000A58D2"/>
    <w:rsid w:val="000A6059"/>
    <w:rsid w:val="000A6525"/>
    <w:rsid w:val="000A6B75"/>
    <w:rsid w:val="000A717E"/>
    <w:rsid w:val="000A74CE"/>
    <w:rsid w:val="000A7698"/>
    <w:rsid w:val="000B0009"/>
    <w:rsid w:val="000B1D8A"/>
    <w:rsid w:val="000B1FCA"/>
    <w:rsid w:val="000B2BCC"/>
    <w:rsid w:val="000B2EF5"/>
    <w:rsid w:val="000B2F3E"/>
    <w:rsid w:val="000B31C0"/>
    <w:rsid w:val="000B491E"/>
    <w:rsid w:val="000C0D42"/>
    <w:rsid w:val="000C0F6B"/>
    <w:rsid w:val="000C1759"/>
    <w:rsid w:val="000C264A"/>
    <w:rsid w:val="000C3354"/>
    <w:rsid w:val="000C335E"/>
    <w:rsid w:val="000C3B95"/>
    <w:rsid w:val="000C3C78"/>
    <w:rsid w:val="000C49B1"/>
    <w:rsid w:val="000C6834"/>
    <w:rsid w:val="000C7AD6"/>
    <w:rsid w:val="000D0330"/>
    <w:rsid w:val="000D0BFA"/>
    <w:rsid w:val="000D2051"/>
    <w:rsid w:val="000D241C"/>
    <w:rsid w:val="000D33EE"/>
    <w:rsid w:val="000D5CF9"/>
    <w:rsid w:val="000E037B"/>
    <w:rsid w:val="000E32B2"/>
    <w:rsid w:val="000E5540"/>
    <w:rsid w:val="000E65C6"/>
    <w:rsid w:val="000E6963"/>
    <w:rsid w:val="000E7138"/>
    <w:rsid w:val="000F0FE5"/>
    <w:rsid w:val="000F1D34"/>
    <w:rsid w:val="000F3C0D"/>
    <w:rsid w:val="000F5E8B"/>
    <w:rsid w:val="000F60CB"/>
    <w:rsid w:val="000F6C04"/>
    <w:rsid w:val="000F7AB1"/>
    <w:rsid w:val="000F7ADF"/>
    <w:rsid w:val="000F7E2A"/>
    <w:rsid w:val="00100C9B"/>
    <w:rsid w:val="00100D9E"/>
    <w:rsid w:val="00100E1D"/>
    <w:rsid w:val="00101CDC"/>
    <w:rsid w:val="0010376F"/>
    <w:rsid w:val="00104A9C"/>
    <w:rsid w:val="00105D0B"/>
    <w:rsid w:val="001065CF"/>
    <w:rsid w:val="00106A38"/>
    <w:rsid w:val="00110335"/>
    <w:rsid w:val="00111238"/>
    <w:rsid w:val="00111DC4"/>
    <w:rsid w:val="00113A8A"/>
    <w:rsid w:val="001143F6"/>
    <w:rsid w:val="0011449E"/>
    <w:rsid w:val="00115BDC"/>
    <w:rsid w:val="0011640D"/>
    <w:rsid w:val="00117BA0"/>
    <w:rsid w:val="001208B9"/>
    <w:rsid w:val="00120D69"/>
    <w:rsid w:val="00120E0E"/>
    <w:rsid w:val="001236DF"/>
    <w:rsid w:val="00123B6C"/>
    <w:rsid w:val="00125BE1"/>
    <w:rsid w:val="00126972"/>
    <w:rsid w:val="00126A7C"/>
    <w:rsid w:val="0012700F"/>
    <w:rsid w:val="001275F8"/>
    <w:rsid w:val="00131C81"/>
    <w:rsid w:val="001334F1"/>
    <w:rsid w:val="00133F7B"/>
    <w:rsid w:val="00134DA7"/>
    <w:rsid w:val="001364CC"/>
    <w:rsid w:val="00136A7A"/>
    <w:rsid w:val="00136C8A"/>
    <w:rsid w:val="00136E5A"/>
    <w:rsid w:val="00137D8C"/>
    <w:rsid w:val="001402E2"/>
    <w:rsid w:val="0014097A"/>
    <w:rsid w:val="00144385"/>
    <w:rsid w:val="00144445"/>
    <w:rsid w:val="00145082"/>
    <w:rsid w:val="001452A2"/>
    <w:rsid w:val="001452F6"/>
    <w:rsid w:val="0014530F"/>
    <w:rsid w:val="001455A5"/>
    <w:rsid w:val="00147385"/>
    <w:rsid w:val="001474E7"/>
    <w:rsid w:val="0014788A"/>
    <w:rsid w:val="001519E5"/>
    <w:rsid w:val="00152811"/>
    <w:rsid w:val="001529E5"/>
    <w:rsid w:val="001536A2"/>
    <w:rsid w:val="001537A4"/>
    <w:rsid w:val="00156301"/>
    <w:rsid w:val="001566F6"/>
    <w:rsid w:val="00156EA2"/>
    <w:rsid w:val="001570AD"/>
    <w:rsid w:val="001572B7"/>
    <w:rsid w:val="001610CA"/>
    <w:rsid w:val="00163538"/>
    <w:rsid w:val="00163540"/>
    <w:rsid w:val="00163A1A"/>
    <w:rsid w:val="00165333"/>
    <w:rsid w:val="0016659A"/>
    <w:rsid w:val="00166652"/>
    <w:rsid w:val="00166A8F"/>
    <w:rsid w:val="00166AC8"/>
    <w:rsid w:val="00166EE3"/>
    <w:rsid w:val="00171932"/>
    <w:rsid w:val="00173D4E"/>
    <w:rsid w:val="00173E7F"/>
    <w:rsid w:val="001741A8"/>
    <w:rsid w:val="00176D27"/>
    <w:rsid w:val="0018099E"/>
    <w:rsid w:val="00180D66"/>
    <w:rsid w:val="001826D0"/>
    <w:rsid w:val="00182947"/>
    <w:rsid w:val="00182EAF"/>
    <w:rsid w:val="00186416"/>
    <w:rsid w:val="0018649F"/>
    <w:rsid w:val="00187BDD"/>
    <w:rsid w:val="00191080"/>
    <w:rsid w:val="0019254D"/>
    <w:rsid w:val="00192B9C"/>
    <w:rsid w:val="00192E34"/>
    <w:rsid w:val="0019349E"/>
    <w:rsid w:val="0019467C"/>
    <w:rsid w:val="00194BA6"/>
    <w:rsid w:val="001951AA"/>
    <w:rsid w:val="00195718"/>
    <w:rsid w:val="001963BE"/>
    <w:rsid w:val="00196FF2"/>
    <w:rsid w:val="001972D9"/>
    <w:rsid w:val="00197567"/>
    <w:rsid w:val="001A0FD9"/>
    <w:rsid w:val="001A2536"/>
    <w:rsid w:val="001A28EA"/>
    <w:rsid w:val="001A2DC4"/>
    <w:rsid w:val="001A3EAC"/>
    <w:rsid w:val="001A47D5"/>
    <w:rsid w:val="001A543B"/>
    <w:rsid w:val="001A5B28"/>
    <w:rsid w:val="001A6D37"/>
    <w:rsid w:val="001A7A50"/>
    <w:rsid w:val="001B0161"/>
    <w:rsid w:val="001B2381"/>
    <w:rsid w:val="001B3D3F"/>
    <w:rsid w:val="001B4461"/>
    <w:rsid w:val="001B4753"/>
    <w:rsid w:val="001B5B72"/>
    <w:rsid w:val="001B7C50"/>
    <w:rsid w:val="001C09E9"/>
    <w:rsid w:val="001C0F34"/>
    <w:rsid w:val="001C1186"/>
    <w:rsid w:val="001C2C91"/>
    <w:rsid w:val="001C2E50"/>
    <w:rsid w:val="001C7929"/>
    <w:rsid w:val="001C7E7A"/>
    <w:rsid w:val="001D02B4"/>
    <w:rsid w:val="001D0391"/>
    <w:rsid w:val="001D1892"/>
    <w:rsid w:val="001D1B85"/>
    <w:rsid w:val="001D209C"/>
    <w:rsid w:val="001D24AC"/>
    <w:rsid w:val="001D4547"/>
    <w:rsid w:val="001D46F6"/>
    <w:rsid w:val="001D4BB1"/>
    <w:rsid w:val="001D6582"/>
    <w:rsid w:val="001D7077"/>
    <w:rsid w:val="001D741C"/>
    <w:rsid w:val="001D7835"/>
    <w:rsid w:val="001E030B"/>
    <w:rsid w:val="001E1154"/>
    <w:rsid w:val="001E1AE2"/>
    <w:rsid w:val="001E2339"/>
    <w:rsid w:val="001E3986"/>
    <w:rsid w:val="001F0ECE"/>
    <w:rsid w:val="001F13F9"/>
    <w:rsid w:val="001F25C5"/>
    <w:rsid w:val="001F2DC0"/>
    <w:rsid w:val="001F2ECB"/>
    <w:rsid w:val="001F3030"/>
    <w:rsid w:val="001F35B6"/>
    <w:rsid w:val="001F486E"/>
    <w:rsid w:val="001F631D"/>
    <w:rsid w:val="001F74A9"/>
    <w:rsid w:val="001F7A8C"/>
    <w:rsid w:val="001F7FF6"/>
    <w:rsid w:val="00202078"/>
    <w:rsid w:val="00202D9F"/>
    <w:rsid w:val="002034B0"/>
    <w:rsid w:val="00203AE7"/>
    <w:rsid w:val="002049D5"/>
    <w:rsid w:val="002064A0"/>
    <w:rsid w:val="0020719A"/>
    <w:rsid w:val="00207E63"/>
    <w:rsid w:val="00210124"/>
    <w:rsid w:val="0021535B"/>
    <w:rsid w:val="00217095"/>
    <w:rsid w:val="002176F5"/>
    <w:rsid w:val="00217B4D"/>
    <w:rsid w:val="002228D3"/>
    <w:rsid w:val="00223662"/>
    <w:rsid w:val="00223E05"/>
    <w:rsid w:val="0022429F"/>
    <w:rsid w:val="00224FDD"/>
    <w:rsid w:val="0023133F"/>
    <w:rsid w:val="002353D1"/>
    <w:rsid w:val="00235600"/>
    <w:rsid w:val="00235E38"/>
    <w:rsid w:val="002373D7"/>
    <w:rsid w:val="00240498"/>
    <w:rsid w:val="00240672"/>
    <w:rsid w:val="00240D96"/>
    <w:rsid w:val="00246AA3"/>
    <w:rsid w:val="0025171D"/>
    <w:rsid w:val="00251A41"/>
    <w:rsid w:val="00253412"/>
    <w:rsid w:val="00254B1C"/>
    <w:rsid w:val="0025557D"/>
    <w:rsid w:val="00255D3C"/>
    <w:rsid w:val="00257970"/>
    <w:rsid w:val="00260D69"/>
    <w:rsid w:val="00262EF1"/>
    <w:rsid w:val="002630A5"/>
    <w:rsid w:val="00263FA4"/>
    <w:rsid w:val="0026409C"/>
    <w:rsid w:val="00264327"/>
    <w:rsid w:val="00265367"/>
    <w:rsid w:val="002675F1"/>
    <w:rsid w:val="00267BD7"/>
    <w:rsid w:val="00267FBB"/>
    <w:rsid w:val="002701A8"/>
    <w:rsid w:val="00270BAD"/>
    <w:rsid w:val="00270E71"/>
    <w:rsid w:val="00271BE0"/>
    <w:rsid w:val="0027234F"/>
    <w:rsid w:val="0027355C"/>
    <w:rsid w:val="00274BE6"/>
    <w:rsid w:val="00276557"/>
    <w:rsid w:val="002812C4"/>
    <w:rsid w:val="0028194B"/>
    <w:rsid w:val="0028338E"/>
    <w:rsid w:val="0028430F"/>
    <w:rsid w:val="00284D53"/>
    <w:rsid w:val="002851CF"/>
    <w:rsid w:val="00287099"/>
    <w:rsid w:val="00287F97"/>
    <w:rsid w:val="00290B9C"/>
    <w:rsid w:val="00292A0B"/>
    <w:rsid w:val="00292FCD"/>
    <w:rsid w:val="00294C4D"/>
    <w:rsid w:val="0029502B"/>
    <w:rsid w:val="0029507C"/>
    <w:rsid w:val="0029566B"/>
    <w:rsid w:val="0029636A"/>
    <w:rsid w:val="002973BC"/>
    <w:rsid w:val="002A3638"/>
    <w:rsid w:val="002A4034"/>
    <w:rsid w:val="002A6116"/>
    <w:rsid w:val="002A6343"/>
    <w:rsid w:val="002A649B"/>
    <w:rsid w:val="002A6980"/>
    <w:rsid w:val="002B1573"/>
    <w:rsid w:val="002B1ABC"/>
    <w:rsid w:val="002B2561"/>
    <w:rsid w:val="002B3BA2"/>
    <w:rsid w:val="002B3F15"/>
    <w:rsid w:val="002B40B0"/>
    <w:rsid w:val="002B549C"/>
    <w:rsid w:val="002B579B"/>
    <w:rsid w:val="002B6639"/>
    <w:rsid w:val="002B6CAB"/>
    <w:rsid w:val="002C0965"/>
    <w:rsid w:val="002C636C"/>
    <w:rsid w:val="002D19C6"/>
    <w:rsid w:val="002D2853"/>
    <w:rsid w:val="002D2FB6"/>
    <w:rsid w:val="002D3006"/>
    <w:rsid w:val="002D3D84"/>
    <w:rsid w:val="002D3D94"/>
    <w:rsid w:val="002D4461"/>
    <w:rsid w:val="002D4CA7"/>
    <w:rsid w:val="002D5539"/>
    <w:rsid w:val="002D648F"/>
    <w:rsid w:val="002D6AC5"/>
    <w:rsid w:val="002D6EAF"/>
    <w:rsid w:val="002D6F04"/>
    <w:rsid w:val="002D7933"/>
    <w:rsid w:val="002E055B"/>
    <w:rsid w:val="002E2250"/>
    <w:rsid w:val="002E3E68"/>
    <w:rsid w:val="002E40F1"/>
    <w:rsid w:val="002E454B"/>
    <w:rsid w:val="002E4741"/>
    <w:rsid w:val="002E4A8E"/>
    <w:rsid w:val="002E4CF0"/>
    <w:rsid w:val="002E66EE"/>
    <w:rsid w:val="002E69D7"/>
    <w:rsid w:val="002E6B76"/>
    <w:rsid w:val="002E6E60"/>
    <w:rsid w:val="002F1E97"/>
    <w:rsid w:val="002F238D"/>
    <w:rsid w:val="002F2933"/>
    <w:rsid w:val="002F45B1"/>
    <w:rsid w:val="002F5B32"/>
    <w:rsid w:val="002F7C08"/>
    <w:rsid w:val="0030076D"/>
    <w:rsid w:val="0030170A"/>
    <w:rsid w:val="0030226A"/>
    <w:rsid w:val="0030420F"/>
    <w:rsid w:val="00304976"/>
    <w:rsid w:val="00304BDA"/>
    <w:rsid w:val="0030559A"/>
    <w:rsid w:val="00305B3E"/>
    <w:rsid w:val="00305E1C"/>
    <w:rsid w:val="00305E66"/>
    <w:rsid w:val="0031020A"/>
    <w:rsid w:val="0031282A"/>
    <w:rsid w:val="00312862"/>
    <w:rsid w:val="00313EC8"/>
    <w:rsid w:val="00314BE5"/>
    <w:rsid w:val="00315830"/>
    <w:rsid w:val="003168C6"/>
    <w:rsid w:val="00316C88"/>
    <w:rsid w:val="00316D1E"/>
    <w:rsid w:val="00316D47"/>
    <w:rsid w:val="00316EB6"/>
    <w:rsid w:val="00317FE9"/>
    <w:rsid w:val="0032036E"/>
    <w:rsid w:val="0032088C"/>
    <w:rsid w:val="00320E6C"/>
    <w:rsid w:val="00320E92"/>
    <w:rsid w:val="00320F87"/>
    <w:rsid w:val="003216CD"/>
    <w:rsid w:val="00322F22"/>
    <w:rsid w:val="00323BAA"/>
    <w:rsid w:val="00325121"/>
    <w:rsid w:val="00325166"/>
    <w:rsid w:val="003251C0"/>
    <w:rsid w:val="003251F5"/>
    <w:rsid w:val="003268D5"/>
    <w:rsid w:val="00327803"/>
    <w:rsid w:val="00327BD2"/>
    <w:rsid w:val="00327F3F"/>
    <w:rsid w:val="00327FAF"/>
    <w:rsid w:val="003313FE"/>
    <w:rsid w:val="0033554E"/>
    <w:rsid w:val="003367C6"/>
    <w:rsid w:val="003373F9"/>
    <w:rsid w:val="0034033C"/>
    <w:rsid w:val="00341218"/>
    <w:rsid w:val="00342166"/>
    <w:rsid w:val="0034309E"/>
    <w:rsid w:val="00343147"/>
    <w:rsid w:val="00344F0C"/>
    <w:rsid w:val="00345DEA"/>
    <w:rsid w:val="003466EC"/>
    <w:rsid w:val="00346B7C"/>
    <w:rsid w:val="00346E90"/>
    <w:rsid w:val="003566BB"/>
    <w:rsid w:val="00357D80"/>
    <w:rsid w:val="00357F51"/>
    <w:rsid w:val="00357FB8"/>
    <w:rsid w:val="00361060"/>
    <w:rsid w:val="003621F4"/>
    <w:rsid w:val="00362230"/>
    <w:rsid w:val="00362A83"/>
    <w:rsid w:val="00363CB8"/>
    <w:rsid w:val="00364316"/>
    <w:rsid w:val="0036490F"/>
    <w:rsid w:val="00366514"/>
    <w:rsid w:val="00366A82"/>
    <w:rsid w:val="00366BBE"/>
    <w:rsid w:val="00366D98"/>
    <w:rsid w:val="00370B4A"/>
    <w:rsid w:val="00370BC3"/>
    <w:rsid w:val="00370D93"/>
    <w:rsid w:val="00372170"/>
    <w:rsid w:val="003746DB"/>
    <w:rsid w:val="00375DAA"/>
    <w:rsid w:val="003769E6"/>
    <w:rsid w:val="00376E5F"/>
    <w:rsid w:val="00377F91"/>
    <w:rsid w:val="00380047"/>
    <w:rsid w:val="00380D12"/>
    <w:rsid w:val="00381333"/>
    <w:rsid w:val="00381CB3"/>
    <w:rsid w:val="00382A47"/>
    <w:rsid w:val="00382A66"/>
    <w:rsid w:val="00383390"/>
    <w:rsid w:val="00383F37"/>
    <w:rsid w:val="0038439A"/>
    <w:rsid w:val="00385E3A"/>
    <w:rsid w:val="00387A07"/>
    <w:rsid w:val="00387CCA"/>
    <w:rsid w:val="003916B1"/>
    <w:rsid w:val="00391E64"/>
    <w:rsid w:val="00391EEE"/>
    <w:rsid w:val="00392C60"/>
    <w:rsid w:val="0039300F"/>
    <w:rsid w:val="003940F7"/>
    <w:rsid w:val="003A2113"/>
    <w:rsid w:val="003A278F"/>
    <w:rsid w:val="003A3583"/>
    <w:rsid w:val="003A42A0"/>
    <w:rsid w:val="003A46EA"/>
    <w:rsid w:val="003A49D9"/>
    <w:rsid w:val="003A4ABC"/>
    <w:rsid w:val="003A51D1"/>
    <w:rsid w:val="003A6445"/>
    <w:rsid w:val="003A7613"/>
    <w:rsid w:val="003B0CE8"/>
    <w:rsid w:val="003B0D29"/>
    <w:rsid w:val="003B0ED5"/>
    <w:rsid w:val="003B18A9"/>
    <w:rsid w:val="003B232A"/>
    <w:rsid w:val="003B37A9"/>
    <w:rsid w:val="003B386B"/>
    <w:rsid w:val="003B4072"/>
    <w:rsid w:val="003B447A"/>
    <w:rsid w:val="003B4571"/>
    <w:rsid w:val="003B4D49"/>
    <w:rsid w:val="003B7E11"/>
    <w:rsid w:val="003C09CE"/>
    <w:rsid w:val="003C2BD7"/>
    <w:rsid w:val="003C3BAF"/>
    <w:rsid w:val="003C4B17"/>
    <w:rsid w:val="003C5513"/>
    <w:rsid w:val="003C571F"/>
    <w:rsid w:val="003C57A1"/>
    <w:rsid w:val="003C7BFA"/>
    <w:rsid w:val="003D070E"/>
    <w:rsid w:val="003D1F29"/>
    <w:rsid w:val="003D24BE"/>
    <w:rsid w:val="003D4723"/>
    <w:rsid w:val="003D560D"/>
    <w:rsid w:val="003D631F"/>
    <w:rsid w:val="003D661B"/>
    <w:rsid w:val="003D7C0A"/>
    <w:rsid w:val="003D7CFD"/>
    <w:rsid w:val="003D7D03"/>
    <w:rsid w:val="003D7D19"/>
    <w:rsid w:val="003E1FFF"/>
    <w:rsid w:val="003E44A6"/>
    <w:rsid w:val="003E4C3B"/>
    <w:rsid w:val="003E4C9A"/>
    <w:rsid w:val="003E5818"/>
    <w:rsid w:val="003E733E"/>
    <w:rsid w:val="003E76CB"/>
    <w:rsid w:val="003E792A"/>
    <w:rsid w:val="003F1B52"/>
    <w:rsid w:val="003F4B20"/>
    <w:rsid w:val="003F588F"/>
    <w:rsid w:val="003F5D96"/>
    <w:rsid w:val="003F7F80"/>
    <w:rsid w:val="00402390"/>
    <w:rsid w:val="00403D1B"/>
    <w:rsid w:val="004047A1"/>
    <w:rsid w:val="004050F7"/>
    <w:rsid w:val="004073C0"/>
    <w:rsid w:val="004076B5"/>
    <w:rsid w:val="00410287"/>
    <w:rsid w:val="004103E0"/>
    <w:rsid w:val="004106D5"/>
    <w:rsid w:val="00410856"/>
    <w:rsid w:val="004120EF"/>
    <w:rsid w:val="00415A84"/>
    <w:rsid w:val="00416095"/>
    <w:rsid w:val="0041626A"/>
    <w:rsid w:val="00416F3A"/>
    <w:rsid w:val="00417B0A"/>
    <w:rsid w:val="00421AAB"/>
    <w:rsid w:val="0042242D"/>
    <w:rsid w:val="0042273B"/>
    <w:rsid w:val="00425405"/>
    <w:rsid w:val="00427237"/>
    <w:rsid w:val="00427B65"/>
    <w:rsid w:val="004306E6"/>
    <w:rsid w:val="00433848"/>
    <w:rsid w:val="00434122"/>
    <w:rsid w:val="00434A5E"/>
    <w:rsid w:val="0043548C"/>
    <w:rsid w:val="00441AF9"/>
    <w:rsid w:val="004421D9"/>
    <w:rsid w:val="0044274C"/>
    <w:rsid w:val="00443540"/>
    <w:rsid w:val="00444759"/>
    <w:rsid w:val="0044479D"/>
    <w:rsid w:val="00444E8D"/>
    <w:rsid w:val="00444F6E"/>
    <w:rsid w:val="00446A02"/>
    <w:rsid w:val="00447965"/>
    <w:rsid w:val="004505B3"/>
    <w:rsid w:val="004512D3"/>
    <w:rsid w:val="004516CE"/>
    <w:rsid w:val="00453830"/>
    <w:rsid w:val="0045412A"/>
    <w:rsid w:val="0045751E"/>
    <w:rsid w:val="004577EF"/>
    <w:rsid w:val="004605CE"/>
    <w:rsid w:val="00461A4D"/>
    <w:rsid w:val="00462251"/>
    <w:rsid w:val="00465B5E"/>
    <w:rsid w:val="004713C8"/>
    <w:rsid w:val="00471445"/>
    <w:rsid w:val="00471F2A"/>
    <w:rsid w:val="00472837"/>
    <w:rsid w:val="004743F2"/>
    <w:rsid w:val="0047489B"/>
    <w:rsid w:val="00477A53"/>
    <w:rsid w:val="00480148"/>
    <w:rsid w:val="004801BC"/>
    <w:rsid w:val="00480203"/>
    <w:rsid w:val="00482313"/>
    <w:rsid w:val="0048310F"/>
    <w:rsid w:val="0048576F"/>
    <w:rsid w:val="00485C3A"/>
    <w:rsid w:val="004869DF"/>
    <w:rsid w:val="00487241"/>
    <w:rsid w:val="00487B90"/>
    <w:rsid w:val="00487CAB"/>
    <w:rsid w:val="00490191"/>
    <w:rsid w:val="00490F0D"/>
    <w:rsid w:val="00491038"/>
    <w:rsid w:val="004911AF"/>
    <w:rsid w:val="00491EBC"/>
    <w:rsid w:val="0049244B"/>
    <w:rsid w:val="00492A26"/>
    <w:rsid w:val="00492D33"/>
    <w:rsid w:val="00496A37"/>
    <w:rsid w:val="00497750"/>
    <w:rsid w:val="004A0927"/>
    <w:rsid w:val="004A30CA"/>
    <w:rsid w:val="004A3B11"/>
    <w:rsid w:val="004A3F6E"/>
    <w:rsid w:val="004A5009"/>
    <w:rsid w:val="004A51AF"/>
    <w:rsid w:val="004A5C22"/>
    <w:rsid w:val="004A6EBF"/>
    <w:rsid w:val="004A6EFF"/>
    <w:rsid w:val="004A74A4"/>
    <w:rsid w:val="004A773A"/>
    <w:rsid w:val="004B2AFA"/>
    <w:rsid w:val="004B2B5D"/>
    <w:rsid w:val="004B2BD5"/>
    <w:rsid w:val="004B2C5A"/>
    <w:rsid w:val="004B37C4"/>
    <w:rsid w:val="004B3CA2"/>
    <w:rsid w:val="004B576E"/>
    <w:rsid w:val="004B6EBA"/>
    <w:rsid w:val="004C00DF"/>
    <w:rsid w:val="004C05AA"/>
    <w:rsid w:val="004C1624"/>
    <w:rsid w:val="004C2450"/>
    <w:rsid w:val="004C33E8"/>
    <w:rsid w:val="004C4356"/>
    <w:rsid w:val="004C5DFB"/>
    <w:rsid w:val="004C5EFA"/>
    <w:rsid w:val="004C6737"/>
    <w:rsid w:val="004C6B65"/>
    <w:rsid w:val="004C6D77"/>
    <w:rsid w:val="004C7EFA"/>
    <w:rsid w:val="004D258B"/>
    <w:rsid w:val="004D2609"/>
    <w:rsid w:val="004D3CD1"/>
    <w:rsid w:val="004D5278"/>
    <w:rsid w:val="004D6165"/>
    <w:rsid w:val="004D7C8B"/>
    <w:rsid w:val="004D7DD8"/>
    <w:rsid w:val="004D7F21"/>
    <w:rsid w:val="004E0B95"/>
    <w:rsid w:val="004E2F44"/>
    <w:rsid w:val="004E33E3"/>
    <w:rsid w:val="004E3874"/>
    <w:rsid w:val="004E3A9C"/>
    <w:rsid w:val="004E684C"/>
    <w:rsid w:val="004E76B4"/>
    <w:rsid w:val="004E7C5C"/>
    <w:rsid w:val="004F0A29"/>
    <w:rsid w:val="004F2233"/>
    <w:rsid w:val="004F2F8F"/>
    <w:rsid w:val="004F35EF"/>
    <w:rsid w:val="004F4654"/>
    <w:rsid w:val="004F57F2"/>
    <w:rsid w:val="005029D1"/>
    <w:rsid w:val="0050320C"/>
    <w:rsid w:val="00503BF6"/>
    <w:rsid w:val="00505D53"/>
    <w:rsid w:val="005073A3"/>
    <w:rsid w:val="00512210"/>
    <w:rsid w:val="00515EE7"/>
    <w:rsid w:val="00516CE3"/>
    <w:rsid w:val="00517FE1"/>
    <w:rsid w:val="00521403"/>
    <w:rsid w:val="0052356A"/>
    <w:rsid w:val="0052521F"/>
    <w:rsid w:val="0052554B"/>
    <w:rsid w:val="00526030"/>
    <w:rsid w:val="00527121"/>
    <w:rsid w:val="00527B2F"/>
    <w:rsid w:val="005309B8"/>
    <w:rsid w:val="00530E66"/>
    <w:rsid w:val="00532014"/>
    <w:rsid w:val="00532324"/>
    <w:rsid w:val="00532E6B"/>
    <w:rsid w:val="00533AF1"/>
    <w:rsid w:val="005344A8"/>
    <w:rsid w:val="00534AF4"/>
    <w:rsid w:val="00535C59"/>
    <w:rsid w:val="005368DC"/>
    <w:rsid w:val="00536CBD"/>
    <w:rsid w:val="0053721B"/>
    <w:rsid w:val="005426DD"/>
    <w:rsid w:val="00544777"/>
    <w:rsid w:val="00545212"/>
    <w:rsid w:val="005456D9"/>
    <w:rsid w:val="00545A74"/>
    <w:rsid w:val="00546B7E"/>
    <w:rsid w:val="005506E9"/>
    <w:rsid w:val="005512CC"/>
    <w:rsid w:val="00551361"/>
    <w:rsid w:val="005518EC"/>
    <w:rsid w:val="00551F6A"/>
    <w:rsid w:val="00553C53"/>
    <w:rsid w:val="00554E2E"/>
    <w:rsid w:val="005555C0"/>
    <w:rsid w:val="00555B97"/>
    <w:rsid w:val="00555C71"/>
    <w:rsid w:val="0055667E"/>
    <w:rsid w:val="00562E78"/>
    <w:rsid w:val="005636E8"/>
    <w:rsid w:val="00563C5B"/>
    <w:rsid w:val="00563E2A"/>
    <w:rsid w:val="005643E9"/>
    <w:rsid w:val="005655BE"/>
    <w:rsid w:val="00565DFF"/>
    <w:rsid w:val="00566BE5"/>
    <w:rsid w:val="00566FB9"/>
    <w:rsid w:val="005674A9"/>
    <w:rsid w:val="00567E45"/>
    <w:rsid w:val="00570982"/>
    <w:rsid w:val="005719E2"/>
    <w:rsid w:val="00571EFF"/>
    <w:rsid w:val="00571F30"/>
    <w:rsid w:val="00574272"/>
    <w:rsid w:val="005746AD"/>
    <w:rsid w:val="00574DDF"/>
    <w:rsid w:val="00575C7D"/>
    <w:rsid w:val="00575FD9"/>
    <w:rsid w:val="005763C1"/>
    <w:rsid w:val="0057687C"/>
    <w:rsid w:val="00580476"/>
    <w:rsid w:val="00581986"/>
    <w:rsid w:val="00581EDA"/>
    <w:rsid w:val="005825FD"/>
    <w:rsid w:val="00584D00"/>
    <w:rsid w:val="00585B0E"/>
    <w:rsid w:val="0058613D"/>
    <w:rsid w:val="005863FB"/>
    <w:rsid w:val="00586D2D"/>
    <w:rsid w:val="00591341"/>
    <w:rsid w:val="00592032"/>
    <w:rsid w:val="005928DE"/>
    <w:rsid w:val="00592C12"/>
    <w:rsid w:val="00594712"/>
    <w:rsid w:val="00594C01"/>
    <w:rsid w:val="005959C2"/>
    <w:rsid w:val="00596580"/>
    <w:rsid w:val="00596C41"/>
    <w:rsid w:val="005A26DE"/>
    <w:rsid w:val="005A2A62"/>
    <w:rsid w:val="005A334B"/>
    <w:rsid w:val="005A34E1"/>
    <w:rsid w:val="005A3988"/>
    <w:rsid w:val="005A4778"/>
    <w:rsid w:val="005A5640"/>
    <w:rsid w:val="005A5ED3"/>
    <w:rsid w:val="005A6BBA"/>
    <w:rsid w:val="005B11A1"/>
    <w:rsid w:val="005B2862"/>
    <w:rsid w:val="005B2E3C"/>
    <w:rsid w:val="005B37F8"/>
    <w:rsid w:val="005B3B4C"/>
    <w:rsid w:val="005B62AE"/>
    <w:rsid w:val="005C1A5F"/>
    <w:rsid w:val="005C2972"/>
    <w:rsid w:val="005C2C6B"/>
    <w:rsid w:val="005C4367"/>
    <w:rsid w:val="005C545C"/>
    <w:rsid w:val="005C5F86"/>
    <w:rsid w:val="005C60DD"/>
    <w:rsid w:val="005C6E80"/>
    <w:rsid w:val="005C77B0"/>
    <w:rsid w:val="005D0294"/>
    <w:rsid w:val="005D21D6"/>
    <w:rsid w:val="005D2670"/>
    <w:rsid w:val="005D5E0C"/>
    <w:rsid w:val="005D680F"/>
    <w:rsid w:val="005D7602"/>
    <w:rsid w:val="005D7B6E"/>
    <w:rsid w:val="005E0042"/>
    <w:rsid w:val="005E0FE1"/>
    <w:rsid w:val="005E34A3"/>
    <w:rsid w:val="005E3C34"/>
    <w:rsid w:val="005E4CED"/>
    <w:rsid w:val="005E5A8B"/>
    <w:rsid w:val="005E6354"/>
    <w:rsid w:val="005F0FE2"/>
    <w:rsid w:val="005F165A"/>
    <w:rsid w:val="005F1F16"/>
    <w:rsid w:val="005F2139"/>
    <w:rsid w:val="005F2DAB"/>
    <w:rsid w:val="005F4D72"/>
    <w:rsid w:val="005F6D50"/>
    <w:rsid w:val="005F7D55"/>
    <w:rsid w:val="00601A2D"/>
    <w:rsid w:val="00603EFF"/>
    <w:rsid w:val="00603F3C"/>
    <w:rsid w:val="0060450F"/>
    <w:rsid w:val="006062C8"/>
    <w:rsid w:val="0060764C"/>
    <w:rsid w:val="006107EA"/>
    <w:rsid w:val="00611089"/>
    <w:rsid w:val="00614580"/>
    <w:rsid w:val="00614A18"/>
    <w:rsid w:val="00614A47"/>
    <w:rsid w:val="0061654F"/>
    <w:rsid w:val="00621904"/>
    <w:rsid w:val="00622DE0"/>
    <w:rsid w:val="0062592B"/>
    <w:rsid w:val="00626840"/>
    <w:rsid w:val="00627609"/>
    <w:rsid w:val="0062798F"/>
    <w:rsid w:val="00627D49"/>
    <w:rsid w:val="006315C3"/>
    <w:rsid w:val="00631F06"/>
    <w:rsid w:val="006334E2"/>
    <w:rsid w:val="00633B41"/>
    <w:rsid w:val="00636877"/>
    <w:rsid w:val="0064231D"/>
    <w:rsid w:val="006431A4"/>
    <w:rsid w:val="00643876"/>
    <w:rsid w:val="00643A79"/>
    <w:rsid w:val="00644701"/>
    <w:rsid w:val="00644D89"/>
    <w:rsid w:val="006466A2"/>
    <w:rsid w:val="00647C37"/>
    <w:rsid w:val="00647FE4"/>
    <w:rsid w:val="0065047F"/>
    <w:rsid w:val="006528C8"/>
    <w:rsid w:val="00655E42"/>
    <w:rsid w:val="00656000"/>
    <w:rsid w:val="00657292"/>
    <w:rsid w:val="00657C35"/>
    <w:rsid w:val="006606FA"/>
    <w:rsid w:val="0066176B"/>
    <w:rsid w:val="006649AC"/>
    <w:rsid w:val="00665286"/>
    <w:rsid w:val="00666B27"/>
    <w:rsid w:val="00667A5B"/>
    <w:rsid w:val="00670B67"/>
    <w:rsid w:val="0067172B"/>
    <w:rsid w:val="00671D8B"/>
    <w:rsid w:val="00672EE1"/>
    <w:rsid w:val="00673024"/>
    <w:rsid w:val="006732CA"/>
    <w:rsid w:val="006737E0"/>
    <w:rsid w:val="00673869"/>
    <w:rsid w:val="00673977"/>
    <w:rsid w:val="006748B3"/>
    <w:rsid w:val="00674C8A"/>
    <w:rsid w:val="00676E13"/>
    <w:rsid w:val="00677C46"/>
    <w:rsid w:val="00680AAB"/>
    <w:rsid w:val="00681B1F"/>
    <w:rsid w:val="00681FD9"/>
    <w:rsid w:val="00684997"/>
    <w:rsid w:val="00691416"/>
    <w:rsid w:val="00692B45"/>
    <w:rsid w:val="00693AF5"/>
    <w:rsid w:val="00693BA4"/>
    <w:rsid w:val="00695374"/>
    <w:rsid w:val="0069657D"/>
    <w:rsid w:val="006A099B"/>
    <w:rsid w:val="006A0FDC"/>
    <w:rsid w:val="006A12AF"/>
    <w:rsid w:val="006A20A4"/>
    <w:rsid w:val="006A3D3F"/>
    <w:rsid w:val="006A4AFC"/>
    <w:rsid w:val="006A4E17"/>
    <w:rsid w:val="006A77BD"/>
    <w:rsid w:val="006B40E8"/>
    <w:rsid w:val="006B4328"/>
    <w:rsid w:val="006B4C04"/>
    <w:rsid w:val="006B59DB"/>
    <w:rsid w:val="006B6EF5"/>
    <w:rsid w:val="006B7240"/>
    <w:rsid w:val="006C222C"/>
    <w:rsid w:val="006C280B"/>
    <w:rsid w:val="006C3A1F"/>
    <w:rsid w:val="006C47BE"/>
    <w:rsid w:val="006C4AA7"/>
    <w:rsid w:val="006C5A9C"/>
    <w:rsid w:val="006C724F"/>
    <w:rsid w:val="006C741F"/>
    <w:rsid w:val="006D0DD3"/>
    <w:rsid w:val="006D0F81"/>
    <w:rsid w:val="006D1B0A"/>
    <w:rsid w:val="006D2954"/>
    <w:rsid w:val="006D4307"/>
    <w:rsid w:val="006D621B"/>
    <w:rsid w:val="006D6461"/>
    <w:rsid w:val="006D70E8"/>
    <w:rsid w:val="006D7ABD"/>
    <w:rsid w:val="006E0EC7"/>
    <w:rsid w:val="006E1C7F"/>
    <w:rsid w:val="006E202C"/>
    <w:rsid w:val="006E304B"/>
    <w:rsid w:val="006E3B7B"/>
    <w:rsid w:val="006E5828"/>
    <w:rsid w:val="006E6DA1"/>
    <w:rsid w:val="006F0A87"/>
    <w:rsid w:val="006F124C"/>
    <w:rsid w:val="006F3495"/>
    <w:rsid w:val="006F3842"/>
    <w:rsid w:val="006F39A0"/>
    <w:rsid w:val="006F57DB"/>
    <w:rsid w:val="006F5817"/>
    <w:rsid w:val="006F5C12"/>
    <w:rsid w:val="006F5DFD"/>
    <w:rsid w:val="007004F7"/>
    <w:rsid w:val="007007CD"/>
    <w:rsid w:val="007008A2"/>
    <w:rsid w:val="00701333"/>
    <w:rsid w:val="007018D5"/>
    <w:rsid w:val="00701913"/>
    <w:rsid w:val="00701B47"/>
    <w:rsid w:val="00703264"/>
    <w:rsid w:val="00703B5A"/>
    <w:rsid w:val="00703C13"/>
    <w:rsid w:val="00704C58"/>
    <w:rsid w:val="00705340"/>
    <w:rsid w:val="007062B8"/>
    <w:rsid w:val="00706593"/>
    <w:rsid w:val="00707626"/>
    <w:rsid w:val="0070764C"/>
    <w:rsid w:val="00710B39"/>
    <w:rsid w:val="0071144C"/>
    <w:rsid w:val="007115D0"/>
    <w:rsid w:val="00712FE2"/>
    <w:rsid w:val="007135A8"/>
    <w:rsid w:val="00713A67"/>
    <w:rsid w:val="0071585B"/>
    <w:rsid w:val="00716D3F"/>
    <w:rsid w:val="0072026E"/>
    <w:rsid w:val="00722087"/>
    <w:rsid w:val="00723AD3"/>
    <w:rsid w:val="00723D4E"/>
    <w:rsid w:val="00724142"/>
    <w:rsid w:val="00724E97"/>
    <w:rsid w:val="00725AD2"/>
    <w:rsid w:val="00725BEC"/>
    <w:rsid w:val="007275FE"/>
    <w:rsid w:val="00730693"/>
    <w:rsid w:val="0073147F"/>
    <w:rsid w:val="0073399B"/>
    <w:rsid w:val="00733DF4"/>
    <w:rsid w:val="007342C1"/>
    <w:rsid w:val="007348D8"/>
    <w:rsid w:val="007355F8"/>
    <w:rsid w:val="007371AC"/>
    <w:rsid w:val="00737E35"/>
    <w:rsid w:val="00744A7D"/>
    <w:rsid w:val="00744AA5"/>
    <w:rsid w:val="00746221"/>
    <w:rsid w:val="00746E08"/>
    <w:rsid w:val="00751E23"/>
    <w:rsid w:val="00751FA0"/>
    <w:rsid w:val="0075541E"/>
    <w:rsid w:val="007563E9"/>
    <w:rsid w:val="00756B65"/>
    <w:rsid w:val="00757632"/>
    <w:rsid w:val="00757AB1"/>
    <w:rsid w:val="00761E91"/>
    <w:rsid w:val="00763658"/>
    <w:rsid w:val="00764546"/>
    <w:rsid w:val="0076586D"/>
    <w:rsid w:val="00766E52"/>
    <w:rsid w:val="00770133"/>
    <w:rsid w:val="00772A7A"/>
    <w:rsid w:val="00775685"/>
    <w:rsid w:val="00776897"/>
    <w:rsid w:val="0077742C"/>
    <w:rsid w:val="00780055"/>
    <w:rsid w:val="007802A9"/>
    <w:rsid w:val="007809C0"/>
    <w:rsid w:val="007823F8"/>
    <w:rsid w:val="00783FA4"/>
    <w:rsid w:val="00784610"/>
    <w:rsid w:val="007856A2"/>
    <w:rsid w:val="00786E05"/>
    <w:rsid w:val="007870DF"/>
    <w:rsid w:val="007872D3"/>
    <w:rsid w:val="0078732E"/>
    <w:rsid w:val="00791088"/>
    <w:rsid w:val="0079554A"/>
    <w:rsid w:val="007963E4"/>
    <w:rsid w:val="00797C9A"/>
    <w:rsid w:val="00797FE3"/>
    <w:rsid w:val="007A0F29"/>
    <w:rsid w:val="007A2E56"/>
    <w:rsid w:val="007A31A5"/>
    <w:rsid w:val="007A40DE"/>
    <w:rsid w:val="007A43EC"/>
    <w:rsid w:val="007A5FB3"/>
    <w:rsid w:val="007B049B"/>
    <w:rsid w:val="007B0CEA"/>
    <w:rsid w:val="007B19EB"/>
    <w:rsid w:val="007B36ED"/>
    <w:rsid w:val="007B414D"/>
    <w:rsid w:val="007B41AB"/>
    <w:rsid w:val="007B41F7"/>
    <w:rsid w:val="007B5296"/>
    <w:rsid w:val="007B56FA"/>
    <w:rsid w:val="007B7BF2"/>
    <w:rsid w:val="007C03E6"/>
    <w:rsid w:val="007C09A4"/>
    <w:rsid w:val="007C2C21"/>
    <w:rsid w:val="007C2CF6"/>
    <w:rsid w:val="007C355E"/>
    <w:rsid w:val="007C4601"/>
    <w:rsid w:val="007D025C"/>
    <w:rsid w:val="007D17EE"/>
    <w:rsid w:val="007D23A8"/>
    <w:rsid w:val="007D446D"/>
    <w:rsid w:val="007D45AE"/>
    <w:rsid w:val="007D4B99"/>
    <w:rsid w:val="007D4C35"/>
    <w:rsid w:val="007D4F82"/>
    <w:rsid w:val="007D64F9"/>
    <w:rsid w:val="007E1EBF"/>
    <w:rsid w:val="007E24B3"/>
    <w:rsid w:val="007E581C"/>
    <w:rsid w:val="007E5938"/>
    <w:rsid w:val="007E6528"/>
    <w:rsid w:val="007F01EA"/>
    <w:rsid w:val="007F53CA"/>
    <w:rsid w:val="007F710D"/>
    <w:rsid w:val="007F7AB7"/>
    <w:rsid w:val="0080053D"/>
    <w:rsid w:val="0080380C"/>
    <w:rsid w:val="0080494B"/>
    <w:rsid w:val="008053B8"/>
    <w:rsid w:val="0080656A"/>
    <w:rsid w:val="00806A1F"/>
    <w:rsid w:val="00806B7D"/>
    <w:rsid w:val="00810FE2"/>
    <w:rsid w:val="00811093"/>
    <w:rsid w:val="008120CE"/>
    <w:rsid w:val="008144BC"/>
    <w:rsid w:val="008148FF"/>
    <w:rsid w:val="00814E20"/>
    <w:rsid w:val="00815C33"/>
    <w:rsid w:val="00816C31"/>
    <w:rsid w:val="00816DC7"/>
    <w:rsid w:val="00817647"/>
    <w:rsid w:val="00823405"/>
    <w:rsid w:val="0082374A"/>
    <w:rsid w:val="00824930"/>
    <w:rsid w:val="00825484"/>
    <w:rsid w:val="00825CCD"/>
    <w:rsid w:val="00826489"/>
    <w:rsid w:val="00826A1B"/>
    <w:rsid w:val="00827912"/>
    <w:rsid w:val="00831C2D"/>
    <w:rsid w:val="00831FD2"/>
    <w:rsid w:val="00833469"/>
    <w:rsid w:val="008345F0"/>
    <w:rsid w:val="00836D51"/>
    <w:rsid w:val="00836DC2"/>
    <w:rsid w:val="008417AC"/>
    <w:rsid w:val="00841F69"/>
    <w:rsid w:val="008459BF"/>
    <w:rsid w:val="00845A74"/>
    <w:rsid w:val="008476B9"/>
    <w:rsid w:val="00847DD5"/>
    <w:rsid w:val="00850B12"/>
    <w:rsid w:val="00851294"/>
    <w:rsid w:val="00851CD3"/>
    <w:rsid w:val="00851EB3"/>
    <w:rsid w:val="008521B1"/>
    <w:rsid w:val="0085225A"/>
    <w:rsid w:val="0085293D"/>
    <w:rsid w:val="00855A08"/>
    <w:rsid w:val="00856819"/>
    <w:rsid w:val="008569C2"/>
    <w:rsid w:val="00856C83"/>
    <w:rsid w:val="00857219"/>
    <w:rsid w:val="00860300"/>
    <w:rsid w:val="00862C3B"/>
    <w:rsid w:val="00862E6A"/>
    <w:rsid w:val="00863328"/>
    <w:rsid w:val="00863E2F"/>
    <w:rsid w:val="00864957"/>
    <w:rsid w:val="00866D5A"/>
    <w:rsid w:val="00867FD7"/>
    <w:rsid w:val="00870239"/>
    <w:rsid w:val="00871D32"/>
    <w:rsid w:val="008726C1"/>
    <w:rsid w:val="00872740"/>
    <w:rsid w:val="0087288C"/>
    <w:rsid w:val="00874153"/>
    <w:rsid w:val="00874A52"/>
    <w:rsid w:val="00876BD4"/>
    <w:rsid w:val="008800AA"/>
    <w:rsid w:val="00880F57"/>
    <w:rsid w:val="008816A3"/>
    <w:rsid w:val="008817C6"/>
    <w:rsid w:val="00882200"/>
    <w:rsid w:val="008826D8"/>
    <w:rsid w:val="0088440B"/>
    <w:rsid w:val="0088466C"/>
    <w:rsid w:val="00885A77"/>
    <w:rsid w:val="00886380"/>
    <w:rsid w:val="008872E6"/>
    <w:rsid w:val="00887788"/>
    <w:rsid w:val="00891B7F"/>
    <w:rsid w:val="00892444"/>
    <w:rsid w:val="00893013"/>
    <w:rsid w:val="008934FA"/>
    <w:rsid w:val="00893B0F"/>
    <w:rsid w:val="00894708"/>
    <w:rsid w:val="00894C35"/>
    <w:rsid w:val="00895A3C"/>
    <w:rsid w:val="008969BE"/>
    <w:rsid w:val="00897410"/>
    <w:rsid w:val="008A027C"/>
    <w:rsid w:val="008A0FEA"/>
    <w:rsid w:val="008A128B"/>
    <w:rsid w:val="008A1615"/>
    <w:rsid w:val="008A1AF9"/>
    <w:rsid w:val="008A2395"/>
    <w:rsid w:val="008A4605"/>
    <w:rsid w:val="008A53AA"/>
    <w:rsid w:val="008A57F5"/>
    <w:rsid w:val="008A6A35"/>
    <w:rsid w:val="008A7249"/>
    <w:rsid w:val="008A7E18"/>
    <w:rsid w:val="008A7FA6"/>
    <w:rsid w:val="008B0403"/>
    <w:rsid w:val="008B0C32"/>
    <w:rsid w:val="008B0CFF"/>
    <w:rsid w:val="008B13EF"/>
    <w:rsid w:val="008B1B11"/>
    <w:rsid w:val="008B4F21"/>
    <w:rsid w:val="008C0126"/>
    <w:rsid w:val="008C1FF7"/>
    <w:rsid w:val="008C2C6E"/>
    <w:rsid w:val="008C3AD5"/>
    <w:rsid w:val="008C43CA"/>
    <w:rsid w:val="008C48DC"/>
    <w:rsid w:val="008C626B"/>
    <w:rsid w:val="008C7257"/>
    <w:rsid w:val="008C7E2F"/>
    <w:rsid w:val="008D0264"/>
    <w:rsid w:val="008D0A69"/>
    <w:rsid w:val="008D148D"/>
    <w:rsid w:val="008D23C6"/>
    <w:rsid w:val="008D2956"/>
    <w:rsid w:val="008D2E7B"/>
    <w:rsid w:val="008D2E90"/>
    <w:rsid w:val="008D65D2"/>
    <w:rsid w:val="008D6E56"/>
    <w:rsid w:val="008D7011"/>
    <w:rsid w:val="008D7112"/>
    <w:rsid w:val="008E15E3"/>
    <w:rsid w:val="008E18C6"/>
    <w:rsid w:val="008E1A5B"/>
    <w:rsid w:val="008E27EC"/>
    <w:rsid w:val="008E2BB7"/>
    <w:rsid w:val="008E3807"/>
    <w:rsid w:val="008E4789"/>
    <w:rsid w:val="008E4A96"/>
    <w:rsid w:val="008E5D09"/>
    <w:rsid w:val="008E7E1A"/>
    <w:rsid w:val="008F0A11"/>
    <w:rsid w:val="008F0FA3"/>
    <w:rsid w:val="008F1829"/>
    <w:rsid w:val="008F26AA"/>
    <w:rsid w:val="008F2C95"/>
    <w:rsid w:val="008F2CC8"/>
    <w:rsid w:val="008F33EF"/>
    <w:rsid w:val="008F3999"/>
    <w:rsid w:val="008F443F"/>
    <w:rsid w:val="008F4C1A"/>
    <w:rsid w:val="008F4ED1"/>
    <w:rsid w:val="008F5526"/>
    <w:rsid w:val="008F6306"/>
    <w:rsid w:val="008F6A23"/>
    <w:rsid w:val="008F71B5"/>
    <w:rsid w:val="008F7B5C"/>
    <w:rsid w:val="0090010F"/>
    <w:rsid w:val="00900373"/>
    <w:rsid w:val="00900878"/>
    <w:rsid w:val="009037F0"/>
    <w:rsid w:val="009039CE"/>
    <w:rsid w:val="00903BAF"/>
    <w:rsid w:val="00905B33"/>
    <w:rsid w:val="00905DBA"/>
    <w:rsid w:val="00906829"/>
    <w:rsid w:val="00906D81"/>
    <w:rsid w:val="00906FA8"/>
    <w:rsid w:val="00907354"/>
    <w:rsid w:val="00907C5B"/>
    <w:rsid w:val="00910598"/>
    <w:rsid w:val="009115C9"/>
    <w:rsid w:val="0091243F"/>
    <w:rsid w:val="00913D61"/>
    <w:rsid w:val="009146B2"/>
    <w:rsid w:val="009149F1"/>
    <w:rsid w:val="00915656"/>
    <w:rsid w:val="00917A02"/>
    <w:rsid w:val="00920295"/>
    <w:rsid w:val="00920D5C"/>
    <w:rsid w:val="00920EA8"/>
    <w:rsid w:val="00921356"/>
    <w:rsid w:val="00921A32"/>
    <w:rsid w:val="00922950"/>
    <w:rsid w:val="0092310C"/>
    <w:rsid w:val="009231FF"/>
    <w:rsid w:val="0092588C"/>
    <w:rsid w:val="009259A2"/>
    <w:rsid w:val="00925CF6"/>
    <w:rsid w:val="009277A5"/>
    <w:rsid w:val="00930F28"/>
    <w:rsid w:val="00931436"/>
    <w:rsid w:val="00931A83"/>
    <w:rsid w:val="0093344B"/>
    <w:rsid w:val="009360D4"/>
    <w:rsid w:val="0093683A"/>
    <w:rsid w:val="00937520"/>
    <w:rsid w:val="009402C8"/>
    <w:rsid w:val="0094078F"/>
    <w:rsid w:val="00940D5E"/>
    <w:rsid w:val="0094193A"/>
    <w:rsid w:val="00942A3B"/>
    <w:rsid w:val="00946A61"/>
    <w:rsid w:val="00946B96"/>
    <w:rsid w:val="00947922"/>
    <w:rsid w:val="00947C40"/>
    <w:rsid w:val="00950843"/>
    <w:rsid w:val="00951854"/>
    <w:rsid w:val="00952A04"/>
    <w:rsid w:val="009532B8"/>
    <w:rsid w:val="0095343F"/>
    <w:rsid w:val="0095571E"/>
    <w:rsid w:val="0095799E"/>
    <w:rsid w:val="009605CE"/>
    <w:rsid w:val="00960719"/>
    <w:rsid w:val="00960D78"/>
    <w:rsid w:val="0096178B"/>
    <w:rsid w:val="009634C3"/>
    <w:rsid w:val="009651F7"/>
    <w:rsid w:val="00966024"/>
    <w:rsid w:val="0096673A"/>
    <w:rsid w:val="00967F7A"/>
    <w:rsid w:val="009708DE"/>
    <w:rsid w:val="00972017"/>
    <w:rsid w:val="00972A72"/>
    <w:rsid w:val="00974F63"/>
    <w:rsid w:val="00976C94"/>
    <w:rsid w:val="00976D23"/>
    <w:rsid w:val="00977DBC"/>
    <w:rsid w:val="00977F51"/>
    <w:rsid w:val="0098001E"/>
    <w:rsid w:val="00981A81"/>
    <w:rsid w:val="00981E31"/>
    <w:rsid w:val="009821E0"/>
    <w:rsid w:val="009822AB"/>
    <w:rsid w:val="00982943"/>
    <w:rsid w:val="00982970"/>
    <w:rsid w:val="00983FB2"/>
    <w:rsid w:val="009843E1"/>
    <w:rsid w:val="0098789E"/>
    <w:rsid w:val="00987A2C"/>
    <w:rsid w:val="00987DF9"/>
    <w:rsid w:val="00990B66"/>
    <w:rsid w:val="00992AEC"/>
    <w:rsid w:val="009943FF"/>
    <w:rsid w:val="00995176"/>
    <w:rsid w:val="009957F6"/>
    <w:rsid w:val="00995BDE"/>
    <w:rsid w:val="00996F1B"/>
    <w:rsid w:val="00997C12"/>
    <w:rsid w:val="009A1784"/>
    <w:rsid w:val="009A1CB9"/>
    <w:rsid w:val="009A3C59"/>
    <w:rsid w:val="009A54E9"/>
    <w:rsid w:val="009A5572"/>
    <w:rsid w:val="009B0644"/>
    <w:rsid w:val="009B073B"/>
    <w:rsid w:val="009B1508"/>
    <w:rsid w:val="009B1A53"/>
    <w:rsid w:val="009B59B7"/>
    <w:rsid w:val="009B6D52"/>
    <w:rsid w:val="009B6E40"/>
    <w:rsid w:val="009C1F4F"/>
    <w:rsid w:val="009C335C"/>
    <w:rsid w:val="009C39DF"/>
    <w:rsid w:val="009C5F74"/>
    <w:rsid w:val="009D0363"/>
    <w:rsid w:val="009D178C"/>
    <w:rsid w:val="009D1831"/>
    <w:rsid w:val="009D1C46"/>
    <w:rsid w:val="009D2E21"/>
    <w:rsid w:val="009D2FDE"/>
    <w:rsid w:val="009D36EF"/>
    <w:rsid w:val="009D64F6"/>
    <w:rsid w:val="009D702C"/>
    <w:rsid w:val="009D707B"/>
    <w:rsid w:val="009D7B0D"/>
    <w:rsid w:val="009E0790"/>
    <w:rsid w:val="009E1480"/>
    <w:rsid w:val="009E2E17"/>
    <w:rsid w:val="009E4296"/>
    <w:rsid w:val="009E530B"/>
    <w:rsid w:val="009F0E4B"/>
    <w:rsid w:val="009F3412"/>
    <w:rsid w:val="009F3D33"/>
    <w:rsid w:val="009F3E8F"/>
    <w:rsid w:val="009F4B99"/>
    <w:rsid w:val="009F51C9"/>
    <w:rsid w:val="009F799C"/>
    <w:rsid w:val="009F7DB8"/>
    <w:rsid w:val="00A00C2B"/>
    <w:rsid w:val="00A012FA"/>
    <w:rsid w:val="00A0357B"/>
    <w:rsid w:val="00A038E1"/>
    <w:rsid w:val="00A041D3"/>
    <w:rsid w:val="00A0605A"/>
    <w:rsid w:val="00A06645"/>
    <w:rsid w:val="00A06F1E"/>
    <w:rsid w:val="00A07956"/>
    <w:rsid w:val="00A10547"/>
    <w:rsid w:val="00A10B61"/>
    <w:rsid w:val="00A11253"/>
    <w:rsid w:val="00A11A87"/>
    <w:rsid w:val="00A142B0"/>
    <w:rsid w:val="00A14FA9"/>
    <w:rsid w:val="00A151DA"/>
    <w:rsid w:val="00A15F0D"/>
    <w:rsid w:val="00A16757"/>
    <w:rsid w:val="00A169C8"/>
    <w:rsid w:val="00A21006"/>
    <w:rsid w:val="00A23967"/>
    <w:rsid w:val="00A24873"/>
    <w:rsid w:val="00A24E36"/>
    <w:rsid w:val="00A25114"/>
    <w:rsid w:val="00A25435"/>
    <w:rsid w:val="00A25E27"/>
    <w:rsid w:val="00A26312"/>
    <w:rsid w:val="00A276DF"/>
    <w:rsid w:val="00A32E13"/>
    <w:rsid w:val="00A33593"/>
    <w:rsid w:val="00A34E9C"/>
    <w:rsid w:val="00A3505F"/>
    <w:rsid w:val="00A35ECE"/>
    <w:rsid w:val="00A36557"/>
    <w:rsid w:val="00A36CE3"/>
    <w:rsid w:val="00A3741F"/>
    <w:rsid w:val="00A40130"/>
    <w:rsid w:val="00A4075E"/>
    <w:rsid w:val="00A409B8"/>
    <w:rsid w:val="00A47110"/>
    <w:rsid w:val="00A50652"/>
    <w:rsid w:val="00A5092A"/>
    <w:rsid w:val="00A5219A"/>
    <w:rsid w:val="00A533C6"/>
    <w:rsid w:val="00A54F54"/>
    <w:rsid w:val="00A551A4"/>
    <w:rsid w:val="00A627BA"/>
    <w:rsid w:val="00A62DE3"/>
    <w:rsid w:val="00A648D5"/>
    <w:rsid w:val="00A672F6"/>
    <w:rsid w:val="00A71335"/>
    <w:rsid w:val="00A72065"/>
    <w:rsid w:val="00A72569"/>
    <w:rsid w:val="00A728AE"/>
    <w:rsid w:val="00A73E9E"/>
    <w:rsid w:val="00A744FE"/>
    <w:rsid w:val="00A751F4"/>
    <w:rsid w:val="00A754EB"/>
    <w:rsid w:val="00A76E42"/>
    <w:rsid w:val="00A77E85"/>
    <w:rsid w:val="00A8199C"/>
    <w:rsid w:val="00A82962"/>
    <w:rsid w:val="00A830E4"/>
    <w:rsid w:val="00A8365E"/>
    <w:rsid w:val="00A8464E"/>
    <w:rsid w:val="00A84B71"/>
    <w:rsid w:val="00A84D24"/>
    <w:rsid w:val="00A87199"/>
    <w:rsid w:val="00A87770"/>
    <w:rsid w:val="00A878EA"/>
    <w:rsid w:val="00A924DB"/>
    <w:rsid w:val="00A9278E"/>
    <w:rsid w:val="00A95412"/>
    <w:rsid w:val="00A96B86"/>
    <w:rsid w:val="00A96F9C"/>
    <w:rsid w:val="00A97063"/>
    <w:rsid w:val="00A97BB3"/>
    <w:rsid w:val="00AA0024"/>
    <w:rsid w:val="00AA0878"/>
    <w:rsid w:val="00AA0F2F"/>
    <w:rsid w:val="00AA24E8"/>
    <w:rsid w:val="00AA3D37"/>
    <w:rsid w:val="00AA4713"/>
    <w:rsid w:val="00AA4E42"/>
    <w:rsid w:val="00AA59DB"/>
    <w:rsid w:val="00AA5E89"/>
    <w:rsid w:val="00AA5FBF"/>
    <w:rsid w:val="00AA704B"/>
    <w:rsid w:val="00AA7750"/>
    <w:rsid w:val="00AA77DA"/>
    <w:rsid w:val="00AB078F"/>
    <w:rsid w:val="00AB0BE6"/>
    <w:rsid w:val="00AB26E9"/>
    <w:rsid w:val="00AB4E07"/>
    <w:rsid w:val="00AB5369"/>
    <w:rsid w:val="00AC0503"/>
    <w:rsid w:val="00AC07F7"/>
    <w:rsid w:val="00AC1049"/>
    <w:rsid w:val="00AC1347"/>
    <w:rsid w:val="00AC1A1C"/>
    <w:rsid w:val="00AC4572"/>
    <w:rsid w:val="00AC4985"/>
    <w:rsid w:val="00AC65F1"/>
    <w:rsid w:val="00AC68F0"/>
    <w:rsid w:val="00AC6FA1"/>
    <w:rsid w:val="00AD2B03"/>
    <w:rsid w:val="00AD4669"/>
    <w:rsid w:val="00AD5FA9"/>
    <w:rsid w:val="00AD607A"/>
    <w:rsid w:val="00AD6A9D"/>
    <w:rsid w:val="00AD7B06"/>
    <w:rsid w:val="00AE0ED7"/>
    <w:rsid w:val="00AE3B41"/>
    <w:rsid w:val="00AE4554"/>
    <w:rsid w:val="00AE4A3B"/>
    <w:rsid w:val="00AE6A6D"/>
    <w:rsid w:val="00AF1514"/>
    <w:rsid w:val="00AF3AF7"/>
    <w:rsid w:val="00AF5213"/>
    <w:rsid w:val="00AF523E"/>
    <w:rsid w:val="00AF783F"/>
    <w:rsid w:val="00B006A9"/>
    <w:rsid w:val="00B01985"/>
    <w:rsid w:val="00B01BFF"/>
    <w:rsid w:val="00B0205B"/>
    <w:rsid w:val="00B022DD"/>
    <w:rsid w:val="00B026F1"/>
    <w:rsid w:val="00B04124"/>
    <w:rsid w:val="00B061AD"/>
    <w:rsid w:val="00B06BD6"/>
    <w:rsid w:val="00B07986"/>
    <w:rsid w:val="00B1061F"/>
    <w:rsid w:val="00B10EFC"/>
    <w:rsid w:val="00B1150A"/>
    <w:rsid w:val="00B12A3F"/>
    <w:rsid w:val="00B14121"/>
    <w:rsid w:val="00B24E6F"/>
    <w:rsid w:val="00B24FFF"/>
    <w:rsid w:val="00B26199"/>
    <w:rsid w:val="00B270C4"/>
    <w:rsid w:val="00B27B02"/>
    <w:rsid w:val="00B3009B"/>
    <w:rsid w:val="00B30A02"/>
    <w:rsid w:val="00B315C8"/>
    <w:rsid w:val="00B32AC4"/>
    <w:rsid w:val="00B32F98"/>
    <w:rsid w:val="00B33B19"/>
    <w:rsid w:val="00B364B4"/>
    <w:rsid w:val="00B36611"/>
    <w:rsid w:val="00B36692"/>
    <w:rsid w:val="00B3685F"/>
    <w:rsid w:val="00B41FC1"/>
    <w:rsid w:val="00B426CD"/>
    <w:rsid w:val="00B44093"/>
    <w:rsid w:val="00B440B6"/>
    <w:rsid w:val="00B445BE"/>
    <w:rsid w:val="00B4562F"/>
    <w:rsid w:val="00B45B12"/>
    <w:rsid w:val="00B46DDB"/>
    <w:rsid w:val="00B47436"/>
    <w:rsid w:val="00B50D75"/>
    <w:rsid w:val="00B54CBB"/>
    <w:rsid w:val="00B55391"/>
    <w:rsid w:val="00B5581F"/>
    <w:rsid w:val="00B5694C"/>
    <w:rsid w:val="00B57442"/>
    <w:rsid w:val="00B57842"/>
    <w:rsid w:val="00B57C3E"/>
    <w:rsid w:val="00B602D4"/>
    <w:rsid w:val="00B6043E"/>
    <w:rsid w:val="00B61CA7"/>
    <w:rsid w:val="00B61E2D"/>
    <w:rsid w:val="00B61F42"/>
    <w:rsid w:val="00B6270A"/>
    <w:rsid w:val="00B63550"/>
    <w:rsid w:val="00B6382F"/>
    <w:rsid w:val="00B64B3F"/>
    <w:rsid w:val="00B669CA"/>
    <w:rsid w:val="00B7219B"/>
    <w:rsid w:val="00B7349F"/>
    <w:rsid w:val="00B73767"/>
    <w:rsid w:val="00B7566D"/>
    <w:rsid w:val="00B75ED9"/>
    <w:rsid w:val="00B76037"/>
    <w:rsid w:val="00B7625A"/>
    <w:rsid w:val="00B76CA0"/>
    <w:rsid w:val="00B816E4"/>
    <w:rsid w:val="00B8247D"/>
    <w:rsid w:val="00B82B43"/>
    <w:rsid w:val="00B842E7"/>
    <w:rsid w:val="00B8444D"/>
    <w:rsid w:val="00B85319"/>
    <w:rsid w:val="00B856B5"/>
    <w:rsid w:val="00B8719E"/>
    <w:rsid w:val="00B8733A"/>
    <w:rsid w:val="00B87B59"/>
    <w:rsid w:val="00B906BA"/>
    <w:rsid w:val="00B924D5"/>
    <w:rsid w:val="00B92B3B"/>
    <w:rsid w:val="00B94906"/>
    <w:rsid w:val="00B94C95"/>
    <w:rsid w:val="00B95427"/>
    <w:rsid w:val="00B97231"/>
    <w:rsid w:val="00B975F2"/>
    <w:rsid w:val="00BA2ADF"/>
    <w:rsid w:val="00BA31E1"/>
    <w:rsid w:val="00BA3B0E"/>
    <w:rsid w:val="00BA4A88"/>
    <w:rsid w:val="00BA4B01"/>
    <w:rsid w:val="00BA5285"/>
    <w:rsid w:val="00BA5DB9"/>
    <w:rsid w:val="00BB0930"/>
    <w:rsid w:val="00BB0C47"/>
    <w:rsid w:val="00BB368C"/>
    <w:rsid w:val="00BB37F0"/>
    <w:rsid w:val="00BB4960"/>
    <w:rsid w:val="00BB5D77"/>
    <w:rsid w:val="00BB7AC8"/>
    <w:rsid w:val="00BC1EB5"/>
    <w:rsid w:val="00BC58D4"/>
    <w:rsid w:val="00BD3231"/>
    <w:rsid w:val="00BD3955"/>
    <w:rsid w:val="00BD4EC4"/>
    <w:rsid w:val="00BD5485"/>
    <w:rsid w:val="00BD58B4"/>
    <w:rsid w:val="00BD5D75"/>
    <w:rsid w:val="00BD6336"/>
    <w:rsid w:val="00BD6339"/>
    <w:rsid w:val="00BD6912"/>
    <w:rsid w:val="00BE1401"/>
    <w:rsid w:val="00BE1AD5"/>
    <w:rsid w:val="00BE4356"/>
    <w:rsid w:val="00BE48FB"/>
    <w:rsid w:val="00BE5B19"/>
    <w:rsid w:val="00BE6A02"/>
    <w:rsid w:val="00BE6C69"/>
    <w:rsid w:val="00BE6D30"/>
    <w:rsid w:val="00BE7108"/>
    <w:rsid w:val="00BE7AED"/>
    <w:rsid w:val="00BF1EA8"/>
    <w:rsid w:val="00BF223A"/>
    <w:rsid w:val="00BF2C8D"/>
    <w:rsid w:val="00BF4564"/>
    <w:rsid w:val="00BF57C1"/>
    <w:rsid w:val="00BF790B"/>
    <w:rsid w:val="00C02407"/>
    <w:rsid w:val="00C027ED"/>
    <w:rsid w:val="00C02C70"/>
    <w:rsid w:val="00C0346A"/>
    <w:rsid w:val="00C03C81"/>
    <w:rsid w:val="00C042EB"/>
    <w:rsid w:val="00C04300"/>
    <w:rsid w:val="00C0538C"/>
    <w:rsid w:val="00C0562E"/>
    <w:rsid w:val="00C0738D"/>
    <w:rsid w:val="00C10445"/>
    <w:rsid w:val="00C115A6"/>
    <w:rsid w:val="00C14DC4"/>
    <w:rsid w:val="00C14EEC"/>
    <w:rsid w:val="00C1614A"/>
    <w:rsid w:val="00C210F5"/>
    <w:rsid w:val="00C2151D"/>
    <w:rsid w:val="00C22896"/>
    <w:rsid w:val="00C22D7E"/>
    <w:rsid w:val="00C231AD"/>
    <w:rsid w:val="00C232D9"/>
    <w:rsid w:val="00C233DD"/>
    <w:rsid w:val="00C236FA"/>
    <w:rsid w:val="00C23F87"/>
    <w:rsid w:val="00C24187"/>
    <w:rsid w:val="00C24E5B"/>
    <w:rsid w:val="00C26B64"/>
    <w:rsid w:val="00C2717C"/>
    <w:rsid w:val="00C3095A"/>
    <w:rsid w:val="00C30FED"/>
    <w:rsid w:val="00C314EB"/>
    <w:rsid w:val="00C316FD"/>
    <w:rsid w:val="00C3188F"/>
    <w:rsid w:val="00C335C9"/>
    <w:rsid w:val="00C342BF"/>
    <w:rsid w:val="00C348FD"/>
    <w:rsid w:val="00C353FA"/>
    <w:rsid w:val="00C401FF"/>
    <w:rsid w:val="00C4020D"/>
    <w:rsid w:val="00C40E56"/>
    <w:rsid w:val="00C40EA7"/>
    <w:rsid w:val="00C426CB"/>
    <w:rsid w:val="00C42940"/>
    <w:rsid w:val="00C44907"/>
    <w:rsid w:val="00C45BD4"/>
    <w:rsid w:val="00C50612"/>
    <w:rsid w:val="00C513A9"/>
    <w:rsid w:val="00C51BDF"/>
    <w:rsid w:val="00C5341B"/>
    <w:rsid w:val="00C53C71"/>
    <w:rsid w:val="00C5499E"/>
    <w:rsid w:val="00C54B68"/>
    <w:rsid w:val="00C54ED9"/>
    <w:rsid w:val="00C5682F"/>
    <w:rsid w:val="00C578EF"/>
    <w:rsid w:val="00C60B78"/>
    <w:rsid w:val="00C62251"/>
    <w:rsid w:val="00C638B5"/>
    <w:rsid w:val="00C638E5"/>
    <w:rsid w:val="00C63AEE"/>
    <w:rsid w:val="00C662AF"/>
    <w:rsid w:val="00C6635B"/>
    <w:rsid w:val="00C665B5"/>
    <w:rsid w:val="00C668E0"/>
    <w:rsid w:val="00C66C78"/>
    <w:rsid w:val="00C66F13"/>
    <w:rsid w:val="00C67D68"/>
    <w:rsid w:val="00C724BF"/>
    <w:rsid w:val="00C72F14"/>
    <w:rsid w:val="00C7339D"/>
    <w:rsid w:val="00C760C2"/>
    <w:rsid w:val="00C810C2"/>
    <w:rsid w:val="00C81C43"/>
    <w:rsid w:val="00C824B8"/>
    <w:rsid w:val="00C83740"/>
    <w:rsid w:val="00C866AA"/>
    <w:rsid w:val="00C86CB7"/>
    <w:rsid w:val="00C873D8"/>
    <w:rsid w:val="00C87815"/>
    <w:rsid w:val="00C919DB"/>
    <w:rsid w:val="00C928E9"/>
    <w:rsid w:val="00C93077"/>
    <w:rsid w:val="00C93BD8"/>
    <w:rsid w:val="00C9570B"/>
    <w:rsid w:val="00C9706D"/>
    <w:rsid w:val="00CA06B7"/>
    <w:rsid w:val="00CA0A1C"/>
    <w:rsid w:val="00CA11CC"/>
    <w:rsid w:val="00CA1878"/>
    <w:rsid w:val="00CA467D"/>
    <w:rsid w:val="00CA6EF2"/>
    <w:rsid w:val="00CA78BD"/>
    <w:rsid w:val="00CA7F0B"/>
    <w:rsid w:val="00CB00B6"/>
    <w:rsid w:val="00CB1F62"/>
    <w:rsid w:val="00CB3020"/>
    <w:rsid w:val="00CB32C8"/>
    <w:rsid w:val="00CB55D0"/>
    <w:rsid w:val="00CB62B8"/>
    <w:rsid w:val="00CC1248"/>
    <w:rsid w:val="00CC26C5"/>
    <w:rsid w:val="00CC32AD"/>
    <w:rsid w:val="00CC5388"/>
    <w:rsid w:val="00CC5431"/>
    <w:rsid w:val="00CC5F3A"/>
    <w:rsid w:val="00CC61A0"/>
    <w:rsid w:val="00CD22C6"/>
    <w:rsid w:val="00CD2D88"/>
    <w:rsid w:val="00CD2E24"/>
    <w:rsid w:val="00CD5008"/>
    <w:rsid w:val="00CD6415"/>
    <w:rsid w:val="00CE4952"/>
    <w:rsid w:val="00CE5EDF"/>
    <w:rsid w:val="00CE737F"/>
    <w:rsid w:val="00CE7C9C"/>
    <w:rsid w:val="00CE7EDA"/>
    <w:rsid w:val="00CF1113"/>
    <w:rsid w:val="00CF1745"/>
    <w:rsid w:val="00CF5BE8"/>
    <w:rsid w:val="00CF706C"/>
    <w:rsid w:val="00CF7C6E"/>
    <w:rsid w:val="00D00A8A"/>
    <w:rsid w:val="00D019E7"/>
    <w:rsid w:val="00D025C2"/>
    <w:rsid w:val="00D04041"/>
    <w:rsid w:val="00D04791"/>
    <w:rsid w:val="00D05959"/>
    <w:rsid w:val="00D05F24"/>
    <w:rsid w:val="00D0600F"/>
    <w:rsid w:val="00D06AED"/>
    <w:rsid w:val="00D07A19"/>
    <w:rsid w:val="00D111EB"/>
    <w:rsid w:val="00D11C15"/>
    <w:rsid w:val="00D1228F"/>
    <w:rsid w:val="00D13495"/>
    <w:rsid w:val="00D134C3"/>
    <w:rsid w:val="00D13AED"/>
    <w:rsid w:val="00D1425C"/>
    <w:rsid w:val="00D15235"/>
    <w:rsid w:val="00D15813"/>
    <w:rsid w:val="00D15EE7"/>
    <w:rsid w:val="00D15F61"/>
    <w:rsid w:val="00D161A1"/>
    <w:rsid w:val="00D170FD"/>
    <w:rsid w:val="00D17DD0"/>
    <w:rsid w:val="00D2483E"/>
    <w:rsid w:val="00D24DA8"/>
    <w:rsid w:val="00D265B0"/>
    <w:rsid w:val="00D27C08"/>
    <w:rsid w:val="00D30476"/>
    <w:rsid w:val="00D30E2F"/>
    <w:rsid w:val="00D318E4"/>
    <w:rsid w:val="00D32252"/>
    <w:rsid w:val="00D32BF4"/>
    <w:rsid w:val="00D335EA"/>
    <w:rsid w:val="00D33A59"/>
    <w:rsid w:val="00D33F81"/>
    <w:rsid w:val="00D3418E"/>
    <w:rsid w:val="00D34571"/>
    <w:rsid w:val="00D361C6"/>
    <w:rsid w:val="00D37727"/>
    <w:rsid w:val="00D42805"/>
    <w:rsid w:val="00D429F1"/>
    <w:rsid w:val="00D433E5"/>
    <w:rsid w:val="00D449CA"/>
    <w:rsid w:val="00D453FF"/>
    <w:rsid w:val="00D46F03"/>
    <w:rsid w:val="00D47C34"/>
    <w:rsid w:val="00D47EB3"/>
    <w:rsid w:val="00D50D28"/>
    <w:rsid w:val="00D50E18"/>
    <w:rsid w:val="00D51115"/>
    <w:rsid w:val="00D513F3"/>
    <w:rsid w:val="00D5182D"/>
    <w:rsid w:val="00D52B6C"/>
    <w:rsid w:val="00D52C48"/>
    <w:rsid w:val="00D54C47"/>
    <w:rsid w:val="00D54CC1"/>
    <w:rsid w:val="00D54CF5"/>
    <w:rsid w:val="00D54E0C"/>
    <w:rsid w:val="00D56047"/>
    <w:rsid w:val="00D568CB"/>
    <w:rsid w:val="00D56E6D"/>
    <w:rsid w:val="00D5742A"/>
    <w:rsid w:val="00D60343"/>
    <w:rsid w:val="00D61C4E"/>
    <w:rsid w:val="00D62EAC"/>
    <w:rsid w:val="00D634C1"/>
    <w:rsid w:val="00D63608"/>
    <w:rsid w:val="00D6625B"/>
    <w:rsid w:val="00D70FFA"/>
    <w:rsid w:val="00D723C5"/>
    <w:rsid w:val="00D7288E"/>
    <w:rsid w:val="00D72A43"/>
    <w:rsid w:val="00D72BBF"/>
    <w:rsid w:val="00D74B61"/>
    <w:rsid w:val="00D756A4"/>
    <w:rsid w:val="00D760DC"/>
    <w:rsid w:val="00D76266"/>
    <w:rsid w:val="00D7747E"/>
    <w:rsid w:val="00D775CB"/>
    <w:rsid w:val="00D80306"/>
    <w:rsid w:val="00D80454"/>
    <w:rsid w:val="00D82208"/>
    <w:rsid w:val="00D826A2"/>
    <w:rsid w:val="00D84796"/>
    <w:rsid w:val="00D8577D"/>
    <w:rsid w:val="00D875A3"/>
    <w:rsid w:val="00D9113D"/>
    <w:rsid w:val="00D91D3B"/>
    <w:rsid w:val="00D92014"/>
    <w:rsid w:val="00D92417"/>
    <w:rsid w:val="00D9403A"/>
    <w:rsid w:val="00D941E4"/>
    <w:rsid w:val="00D963A7"/>
    <w:rsid w:val="00D97711"/>
    <w:rsid w:val="00D9775E"/>
    <w:rsid w:val="00DA098D"/>
    <w:rsid w:val="00DA0A2F"/>
    <w:rsid w:val="00DA0D39"/>
    <w:rsid w:val="00DA13E3"/>
    <w:rsid w:val="00DA2A20"/>
    <w:rsid w:val="00DA3E15"/>
    <w:rsid w:val="00DA464B"/>
    <w:rsid w:val="00DA5044"/>
    <w:rsid w:val="00DA696C"/>
    <w:rsid w:val="00DA7045"/>
    <w:rsid w:val="00DA7303"/>
    <w:rsid w:val="00DA7466"/>
    <w:rsid w:val="00DB01F2"/>
    <w:rsid w:val="00DB3C72"/>
    <w:rsid w:val="00DB6788"/>
    <w:rsid w:val="00DB6A1C"/>
    <w:rsid w:val="00DB770B"/>
    <w:rsid w:val="00DB7CEC"/>
    <w:rsid w:val="00DC0D63"/>
    <w:rsid w:val="00DC12A8"/>
    <w:rsid w:val="00DC13F0"/>
    <w:rsid w:val="00DC2106"/>
    <w:rsid w:val="00DC49CD"/>
    <w:rsid w:val="00DC54D3"/>
    <w:rsid w:val="00DC597C"/>
    <w:rsid w:val="00DC6ABB"/>
    <w:rsid w:val="00DC7177"/>
    <w:rsid w:val="00DC782A"/>
    <w:rsid w:val="00DC783D"/>
    <w:rsid w:val="00DD0236"/>
    <w:rsid w:val="00DD0A00"/>
    <w:rsid w:val="00DD0B02"/>
    <w:rsid w:val="00DD1B4F"/>
    <w:rsid w:val="00DD3434"/>
    <w:rsid w:val="00DD4B55"/>
    <w:rsid w:val="00DD643D"/>
    <w:rsid w:val="00DD66A1"/>
    <w:rsid w:val="00DD7CA5"/>
    <w:rsid w:val="00DE04D4"/>
    <w:rsid w:val="00DE090C"/>
    <w:rsid w:val="00DE31F7"/>
    <w:rsid w:val="00DE5273"/>
    <w:rsid w:val="00DE5F51"/>
    <w:rsid w:val="00DE6EEF"/>
    <w:rsid w:val="00DF094E"/>
    <w:rsid w:val="00DF0D2B"/>
    <w:rsid w:val="00DF463C"/>
    <w:rsid w:val="00DF4767"/>
    <w:rsid w:val="00DF49EA"/>
    <w:rsid w:val="00DF4F31"/>
    <w:rsid w:val="00DF5B0D"/>
    <w:rsid w:val="00DF6315"/>
    <w:rsid w:val="00DF6819"/>
    <w:rsid w:val="00DF685B"/>
    <w:rsid w:val="00DF6C2F"/>
    <w:rsid w:val="00E00F80"/>
    <w:rsid w:val="00E02839"/>
    <w:rsid w:val="00E02A43"/>
    <w:rsid w:val="00E03C98"/>
    <w:rsid w:val="00E04476"/>
    <w:rsid w:val="00E05BD2"/>
    <w:rsid w:val="00E0685D"/>
    <w:rsid w:val="00E11092"/>
    <w:rsid w:val="00E11330"/>
    <w:rsid w:val="00E11BD9"/>
    <w:rsid w:val="00E123BA"/>
    <w:rsid w:val="00E12E47"/>
    <w:rsid w:val="00E13188"/>
    <w:rsid w:val="00E13870"/>
    <w:rsid w:val="00E1415C"/>
    <w:rsid w:val="00E16E4C"/>
    <w:rsid w:val="00E174F6"/>
    <w:rsid w:val="00E20490"/>
    <w:rsid w:val="00E204C3"/>
    <w:rsid w:val="00E22065"/>
    <w:rsid w:val="00E22B7B"/>
    <w:rsid w:val="00E22C0E"/>
    <w:rsid w:val="00E22F3C"/>
    <w:rsid w:val="00E24B9D"/>
    <w:rsid w:val="00E24F51"/>
    <w:rsid w:val="00E25E25"/>
    <w:rsid w:val="00E30BC6"/>
    <w:rsid w:val="00E31A6D"/>
    <w:rsid w:val="00E34B9B"/>
    <w:rsid w:val="00E3538B"/>
    <w:rsid w:val="00E3559C"/>
    <w:rsid w:val="00E3632F"/>
    <w:rsid w:val="00E40F43"/>
    <w:rsid w:val="00E40F6E"/>
    <w:rsid w:val="00E4159D"/>
    <w:rsid w:val="00E42304"/>
    <w:rsid w:val="00E42F8A"/>
    <w:rsid w:val="00E436F6"/>
    <w:rsid w:val="00E44D85"/>
    <w:rsid w:val="00E45981"/>
    <w:rsid w:val="00E45D4F"/>
    <w:rsid w:val="00E4756A"/>
    <w:rsid w:val="00E513A0"/>
    <w:rsid w:val="00E52159"/>
    <w:rsid w:val="00E522C2"/>
    <w:rsid w:val="00E52559"/>
    <w:rsid w:val="00E5260B"/>
    <w:rsid w:val="00E526C0"/>
    <w:rsid w:val="00E539DD"/>
    <w:rsid w:val="00E56F06"/>
    <w:rsid w:val="00E60998"/>
    <w:rsid w:val="00E60B6E"/>
    <w:rsid w:val="00E60F5E"/>
    <w:rsid w:val="00E633F8"/>
    <w:rsid w:val="00E64C91"/>
    <w:rsid w:val="00E65AB7"/>
    <w:rsid w:val="00E65EE8"/>
    <w:rsid w:val="00E66707"/>
    <w:rsid w:val="00E66D7F"/>
    <w:rsid w:val="00E6726F"/>
    <w:rsid w:val="00E70936"/>
    <w:rsid w:val="00E71453"/>
    <w:rsid w:val="00E71DA1"/>
    <w:rsid w:val="00E71E87"/>
    <w:rsid w:val="00E72C79"/>
    <w:rsid w:val="00E7478F"/>
    <w:rsid w:val="00E76D4A"/>
    <w:rsid w:val="00E77B04"/>
    <w:rsid w:val="00E77C8E"/>
    <w:rsid w:val="00E80D7F"/>
    <w:rsid w:val="00E81277"/>
    <w:rsid w:val="00E83F3F"/>
    <w:rsid w:val="00E8497F"/>
    <w:rsid w:val="00E851FE"/>
    <w:rsid w:val="00E8623F"/>
    <w:rsid w:val="00E86524"/>
    <w:rsid w:val="00E873F2"/>
    <w:rsid w:val="00E92610"/>
    <w:rsid w:val="00E94D53"/>
    <w:rsid w:val="00E95699"/>
    <w:rsid w:val="00E956D6"/>
    <w:rsid w:val="00E96F12"/>
    <w:rsid w:val="00E97A1A"/>
    <w:rsid w:val="00EA02C9"/>
    <w:rsid w:val="00EA077D"/>
    <w:rsid w:val="00EA22A8"/>
    <w:rsid w:val="00EA2C0E"/>
    <w:rsid w:val="00EA31BC"/>
    <w:rsid w:val="00EA5589"/>
    <w:rsid w:val="00EA56F8"/>
    <w:rsid w:val="00EA6E4D"/>
    <w:rsid w:val="00EA77FC"/>
    <w:rsid w:val="00EB0024"/>
    <w:rsid w:val="00EB162A"/>
    <w:rsid w:val="00EB17FA"/>
    <w:rsid w:val="00EB199C"/>
    <w:rsid w:val="00EB1A26"/>
    <w:rsid w:val="00EB2B8B"/>
    <w:rsid w:val="00EB2F7E"/>
    <w:rsid w:val="00EB408D"/>
    <w:rsid w:val="00EB496D"/>
    <w:rsid w:val="00EB4C01"/>
    <w:rsid w:val="00EB5A50"/>
    <w:rsid w:val="00EB6419"/>
    <w:rsid w:val="00EC0C20"/>
    <w:rsid w:val="00EC1AAF"/>
    <w:rsid w:val="00EC1C27"/>
    <w:rsid w:val="00EC1C93"/>
    <w:rsid w:val="00EC1CB4"/>
    <w:rsid w:val="00EC23D3"/>
    <w:rsid w:val="00ED0045"/>
    <w:rsid w:val="00ED0481"/>
    <w:rsid w:val="00ED0E47"/>
    <w:rsid w:val="00ED146D"/>
    <w:rsid w:val="00ED1C70"/>
    <w:rsid w:val="00ED209E"/>
    <w:rsid w:val="00ED4233"/>
    <w:rsid w:val="00ED49DB"/>
    <w:rsid w:val="00ED5C48"/>
    <w:rsid w:val="00ED76A9"/>
    <w:rsid w:val="00ED7A91"/>
    <w:rsid w:val="00EE036E"/>
    <w:rsid w:val="00EE0892"/>
    <w:rsid w:val="00EE1DEA"/>
    <w:rsid w:val="00EE30CD"/>
    <w:rsid w:val="00EE362F"/>
    <w:rsid w:val="00EE38F3"/>
    <w:rsid w:val="00EE4472"/>
    <w:rsid w:val="00EE5819"/>
    <w:rsid w:val="00EE5C1D"/>
    <w:rsid w:val="00EE6E06"/>
    <w:rsid w:val="00EE7193"/>
    <w:rsid w:val="00EF0F01"/>
    <w:rsid w:val="00EF150E"/>
    <w:rsid w:val="00EF257F"/>
    <w:rsid w:val="00EF3B14"/>
    <w:rsid w:val="00EF4181"/>
    <w:rsid w:val="00EF4B92"/>
    <w:rsid w:val="00EF4FA6"/>
    <w:rsid w:val="00EF5763"/>
    <w:rsid w:val="00EF709D"/>
    <w:rsid w:val="00EF7199"/>
    <w:rsid w:val="00EF7310"/>
    <w:rsid w:val="00F00074"/>
    <w:rsid w:val="00F00919"/>
    <w:rsid w:val="00F021CD"/>
    <w:rsid w:val="00F031B1"/>
    <w:rsid w:val="00F044CD"/>
    <w:rsid w:val="00F04C2E"/>
    <w:rsid w:val="00F10CAB"/>
    <w:rsid w:val="00F1203E"/>
    <w:rsid w:val="00F1391A"/>
    <w:rsid w:val="00F13FC7"/>
    <w:rsid w:val="00F14D15"/>
    <w:rsid w:val="00F158B1"/>
    <w:rsid w:val="00F168BC"/>
    <w:rsid w:val="00F170EF"/>
    <w:rsid w:val="00F17897"/>
    <w:rsid w:val="00F20487"/>
    <w:rsid w:val="00F22B09"/>
    <w:rsid w:val="00F231CE"/>
    <w:rsid w:val="00F24B40"/>
    <w:rsid w:val="00F255B0"/>
    <w:rsid w:val="00F31521"/>
    <w:rsid w:val="00F31667"/>
    <w:rsid w:val="00F322FF"/>
    <w:rsid w:val="00F32730"/>
    <w:rsid w:val="00F328C8"/>
    <w:rsid w:val="00F339A9"/>
    <w:rsid w:val="00F3418E"/>
    <w:rsid w:val="00F34575"/>
    <w:rsid w:val="00F353B7"/>
    <w:rsid w:val="00F35798"/>
    <w:rsid w:val="00F35E87"/>
    <w:rsid w:val="00F364DA"/>
    <w:rsid w:val="00F377ED"/>
    <w:rsid w:val="00F37B59"/>
    <w:rsid w:val="00F42366"/>
    <w:rsid w:val="00F4366D"/>
    <w:rsid w:val="00F44B40"/>
    <w:rsid w:val="00F44CC8"/>
    <w:rsid w:val="00F46120"/>
    <w:rsid w:val="00F46FCA"/>
    <w:rsid w:val="00F47960"/>
    <w:rsid w:val="00F501CB"/>
    <w:rsid w:val="00F505A0"/>
    <w:rsid w:val="00F527EA"/>
    <w:rsid w:val="00F542A2"/>
    <w:rsid w:val="00F543C6"/>
    <w:rsid w:val="00F54B41"/>
    <w:rsid w:val="00F54FFF"/>
    <w:rsid w:val="00F55081"/>
    <w:rsid w:val="00F56DD8"/>
    <w:rsid w:val="00F602F9"/>
    <w:rsid w:val="00F61611"/>
    <w:rsid w:val="00F658FD"/>
    <w:rsid w:val="00F6696C"/>
    <w:rsid w:val="00F71ED3"/>
    <w:rsid w:val="00F72980"/>
    <w:rsid w:val="00F73A2D"/>
    <w:rsid w:val="00F74883"/>
    <w:rsid w:val="00F74944"/>
    <w:rsid w:val="00F77034"/>
    <w:rsid w:val="00F77FF5"/>
    <w:rsid w:val="00F81185"/>
    <w:rsid w:val="00F81362"/>
    <w:rsid w:val="00F8274C"/>
    <w:rsid w:val="00F82830"/>
    <w:rsid w:val="00F83FCB"/>
    <w:rsid w:val="00F844EB"/>
    <w:rsid w:val="00F85040"/>
    <w:rsid w:val="00F850B1"/>
    <w:rsid w:val="00F86152"/>
    <w:rsid w:val="00F8644F"/>
    <w:rsid w:val="00F870EF"/>
    <w:rsid w:val="00F871FA"/>
    <w:rsid w:val="00F9039A"/>
    <w:rsid w:val="00F9100F"/>
    <w:rsid w:val="00F92F58"/>
    <w:rsid w:val="00F9448D"/>
    <w:rsid w:val="00F95132"/>
    <w:rsid w:val="00F9530D"/>
    <w:rsid w:val="00F9582D"/>
    <w:rsid w:val="00FA0391"/>
    <w:rsid w:val="00FA03B0"/>
    <w:rsid w:val="00FA04CA"/>
    <w:rsid w:val="00FA3DA8"/>
    <w:rsid w:val="00FA4014"/>
    <w:rsid w:val="00FA42EE"/>
    <w:rsid w:val="00FA45B5"/>
    <w:rsid w:val="00FA566E"/>
    <w:rsid w:val="00FA5ED1"/>
    <w:rsid w:val="00FA6D7B"/>
    <w:rsid w:val="00FA7C79"/>
    <w:rsid w:val="00FB191A"/>
    <w:rsid w:val="00FB1A9C"/>
    <w:rsid w:val="00FB265A"/>
    <w:rsid w:val="00FB306E"/>
    <w:rsid w:val="00FB30B8"/>
    <w:rsid w:val="00FB3F7D"/>
    <w:rsid w:val="00FB56F6"/>
    <w:rsid w:val="00FB58CE"/>
    <w:rsid w:val="00FB6587"/>
    <w:rsid w:val="00FB7AF3"/>
    <w:rsid w:val="00FC342F"/>
    <w:rsid w:val="00FC3A2B"/>
    <w:rsid w:val="00FC3E54"/>
    <w:rsid w:val="00FC4B04"/>
    <w:rsid w:val="00FC5607"/>
    <w:rsid w:val="00FC799D"/>
    <w:rsid w:val="00FD1561"/>
    <w:rsid w:val="00FD22F3"/>
    <w:rsid w:val="00FD4BF5"/>
    <w:rsid w:val="00FD4D49"/>
    <w:rsid w:val="00FD5331"/>
    <w:rsid w:val="00FD536F"/>
    <w:rsid w:val="00FD5BB4"/>
    <w:rsid w:val="00FD794C"/>
    <w:rsid w:val="00FE0486"/>
    <w:rsid w:val="00FE1281"/>
    <w:rsid w:val="00FE1DF3"/>
    <w:rsid w:val="00FE24B5"/>
    <w:rsid w:val="00FE2575"/>
    <w:rsid w:val="00FE2BBF"/>
    <w:rsid w:val="00FE4431"/>
    <w:rsid w:val="00FF0362"/>
    <w:rsid w:val="00FF0748"/>
    <w:rsid w:val="00FF0B47"/>
    <w:rsid w:val="00FF131A"/>
    <w:rsid w:val="00FF2630"/>
    <w:rsid w:val="00FF2AE4"/>
    <w:rsid w:val="00FF2FD7"/>
    <w:rsid w:val="00FF5850"/>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lsdException w:name="header" w:locked="1" w:uiPriority="0"/>
    <w:lsdException w:name="footer" w:locked="1"/>
    <w:lsdException w:name="index heading" w:semiHidden="1" w:unhideWhenUsed="1"/>
    <w:lsdException w:name="caption" w:locked="1" w:uiPriority="0" w:qFormat="1"/>
    <w:lsdException w:name="table of figures" w:locked="1" w:uiPriority="0"/>
    <w:lsdException w:name="envelope address" w:semiHidden="1" w:unhideWhenUsed="1"/>
    <w:lsdException w:name="envelope return" w:semiHidden="1" w:unhideWhenUsed="1"/>
    <w:lsdException w:name="footnote reference" w:locked="1" w:uiPriority="0"/>
    <w:lsdException w:name="annotation reference" w:lock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D7D03"/>
    <w:pPr>
      <w:spacing w:after="240" w:line="312" w:lineRule="auto"/>
      <w:jc w:val="both"/>
    </w:pPr>
    <w:rPr>
      <w:rFonts w:ascii="Tahoma" w:eastAsia="SimSun" w:hAnsi="Tahoma" w:cs="Tahoma"/>
      <w:lang w:eastAsia="zh-CN"/>
    </w:rPr>
  </w:style>
  <w:style w:type="paragraph" w:styleId="Heading1">
    <w:name w:val="heading 1"/>
    <w:basedOn w:val="Normal"/>
    <w:next w:val="Normal"/>
    <w:link w:val="Heading1Char"/>
    <w:uiPriority w:val="99"/>
    <w:qFormat/>
    <w:rsid w:val="009039CE"/>
    <w:pPr>
      <w:keepNext/>
      <w:spacing w:before="360" w:after="160"/>
      <w:outlineLvl w:val="0"/>
    </w:pPr>
    <w:rPr>
      <w:b/>
      <w:bCs/>
      <w:caps/>
      <w:color w:val="215868"/>
      <w:sz w:val="24"/>
      <w:szCs w:val="32"/>
    </w:rPr>
  </w:style>
  <w:style w:type="paragraph" w:styleId="Heading2">
    <w:name w:val="heading 2"/>
    <w:basedOn w:val="Normal"/>
    <w:next w:val="Normal"/>
    <w:link w:val="Heading2Char"/>
    <w:uiPriority w:val="99"/>
    <w:qFormat/>
    <w:rsid w:val="00D5182D"/>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3B232A"/>
    <w:pPr>
      <w:keepNext/>
      <w:spacing w:after="120"/>
      <w:outlineLvl w:val="2"/>
    </w:pPr>
    <w:rPr>
      <w:color w:val="41A7BF"/>
    </w:rPr>
  </w:style>
  <w:style w:type="paragraph" w:styleId="Heading4">
    <w:name w:val="heading 4"/>
    <w:basedOn w:val="Normal"/>
    <w:next w:val="Normal"/>
    <w:link w:val="Heading4Char"/>
    <w:uiPriority w:val="99"/>
    <w:qFormat/>
    <w:rsid w:val="00ED7A91"/>
    <w:pPr>
      <w:keepNext/>
      <w:numPr>
        <w:ilvl w:val="3"/>
        <w:numId w:val="1"/>
      </w:numPr>
      <w:outlineLvl w:val="3"/>
    </w:pPr>
    <w:rPr>
      <w:u w:val="single"/>
    </w:rPr>
  </w:style>
  <w:style w:type="paragraph" w:styleId="Heading5">
    <w:name w:val="heading 5"/>
    <w:basedOn w:val="Normal"/>
    <w:next w:val="Normal"/>
    <w:link w:val="Heading5Char"/>
    <w:uiPriority w:val="99"/>
    <w:qFormat/>
    <w:rsid w:val="00ED7A91"/>
    <w:pPr>
      <w:keepNext/>
      <w:numPr>
        <w:ilvl w:val="4"/>
        <w:numId w:val="1"/>
      </w:numPr>
      <w:tabs>
        <w:tab w:val="left" w:pos="709"/>
      </w:tabs>
      <w:outlineLvl w:val="4"/>
    </w:pPr>
    <w:rPr>
      <w:b/>
      <w:i/>
    </w:rPr>
  </w:style>
  <w:style w:type="paragraph" w:styleId="Heading6">
    <w:name w:val="heading 6"/>
    <w:basedOn w:val="Normal"/>
    <w:next w:val="Normal"/>
    <w:link w:val="Heading6Char"/>
    <w:uiPriority w:val="99"/>
    <w:qFormat/>
    <w:rsid w:val="00ED7A91"/>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ED7A91"/>
    <w:pPr>
      <w:keepNext/>
      <w:outlineLvl w:val="6"/>
    </w:pPr>
    <w:rPr>
      <w:i/>
    </w:rPr>
  </w:style>
  <w:style w:type="paragraph" w:styleId="Heading8">
    <w:name w:val="heading 8"/>
    <w:basedOn w:val="Normal"/>
    <w:next w:val="Normal"/>
    <w:link w:val="Heading8Char"/>
    <w:uiPriority w:val="99"/>
    <w:qFormat/>
    <w:rsid w:val="00ED7A91"/>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ED7A91"/>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039CE"/>
    <w:rPr>
      <w:rFonts w:ascii="Tahoma" w:eastAsia="SimSun" w:hAnsi="Tahoma" w:cs="Tahoma"/>
      <w:b/>
      <w:bCs/>
      <w:caps/>
      <w:color w:val="215868"/>
      <w:sz w:val="24"/>
      <w:szCs w:val="32"/>
      <w:lang w:eastAsia="zh-CN"/>
    </w:rPr>
  </w:style>
  <w:style w:type="character" w:customStyle="1" w:styleId="Heading2Char">
    <w:name w:val="Heading 2 Char"/>
    <w:link w:val="Heading2"/>
    <w:uiPriority w:val="99"/>
    <w:locked/>
    <w:rsid w:val="00D5182D"/>
    <w:rPr>
      <w:rFonts w:ascii="Tahoma" w:eastAsia="SimSun" w:hAnsi="Tahoma" w:cs="Tahoma"/>
      <w:b/>
      <w:color w:val="215868"/>
      <w:sz w:val="28"/>
      <w:szCs w:val="28"/>
      <w:lang w:val="en-GB" w:eastAsia="ja-JP"/>
    </w:rPr>
  </w:style>
  <w:style w:type="character" w:customStyle="1" w:styleId="Heading3Char">
    <w:name w:val="Heading 3 Char"/>
    <w:link w:val="Heading3"/>
    <w:uiPriority w:val="99"/>
    <w:locked/>
    <w:rsid w:val="003B232A"/>
    <w:rPr>
      <w:rFonts w:ascii="Tahoma" w:eastAsia="SimSun" w:hAnsi="Tahoma" w:cs="Tahoma"/>
      <w:color w:val="41A7BF"/>
      <w:sz w:val="20"/>
      <w:szCs w:val="20"/>
      <w:lang w:eastAsia="zh-CN"/>
    </w:rPr>
  </w:style>
  <w:style w:type="character" w:customStyle="1" w:styleId="Heading4Char">
    <w:name w:val="Heading 4 Char"/>
    <w:link w:val="Heading4"/>
    <w:uiPriority w:val="99"/>
    <w:locked/>
    <w:rsid w:val="00ED7A91"/>
    <w:rPr>
      <w:rFonts w:ascii="Tahoma" w:eastAsia="SimSun" w:hAnsi="Tahoma" w:cs="Tahoma"/>
      <w:sz w:val="22"/>
      <w:u w:val="single"/>
      <w:lang w:eastAsia="zh-CN"/>
    </w:rPr>
  </w:style>
  <w:style w:type="character" w:customStyle="1" w:styleId="Heading5Char">
    <w:name w:val="Heading 5 Char"/>
    <w:link w:val="Heading5"/>
    <w:uiPriority w:val="99"/>
    <w:locked/>
    <w:rsid w:val="00ED7A91"/>
    <w:rPr>
      <w:rFonts w:ascii="Tahoma" w:eastAsia="SimSun" w:hAnsi="Tahoma" w:cs="Tahoma"/>
      <w:b/>
      <w:i/>
      <w:sz w:val="22"/>
      <w:lang w:eastAsia="zh-CN"/>
    </w:rPr>
  </w:style>
  <w:style w:type="character" w:customStyle="1" w:styleId="Heading6Char">
    <w:name w:val="Heading 6 Char"/>
    <w:link w:val="Heading6"/>
    <w:uiPriority w:val="99"/>
    <w:locked/>
    <w:rsid w:val="00ED7A91"/>
    <w:rPr>
      <w:rFonts w:ascii="Tahoma" w:eastAsia="SimSun" w:hAnsi="Tahoma" w:cs="Tahoma"/>
      <w:b/>
      <w:sz w:val="28"/>
      <w:lang w:eastAsia="zh-CN"/>
    </w:rPr>
  </w:style>
  <w:style w:type="character" w:customStyle="1" w:styleId="Heading7Char">
    <w:name w:val="Heading 7 Char"/>
    <w:link w:val="Heading7"/>
    <w:uiPriority w:val="99"/>
    <w:locked/>
    <w:rsid w:val="00ED7A91"/>
    <w:rPr>
      <w:rFonts w:ascii="Times New Roman" w:eastAsia="SimSun" w:hAnsi="Times New Roman" w:cs="Times New Roman"/>
      <w:i/>
      <w:sz w:val="20"/>
      <w:szCs w:val="20"/>
      <w:lang w:eastAsia="zh-CN"/>
    </w:rPr>
  </w:style>
  <w:style w:type="character" w:customStyle="1" w:styleId="Heading8Char">
    <w:name w:val="Heading 8 Char"/>
    <w:link w:val="Heading8"/>
    <w:uiPriority w:val="99"/>
    <w:locked/>
    <w:rsid w:val="00ED7A91"/>
    <w:rPr>
      <w:rFonts w:ascii="Tahoma" w:eastAsia="SimSun" w:hAnsi="Tahoma" w:cs="Tahoma"/>
      <w:sz w:val="48"/>
      <w:lang w:eastAsia="zh-CN"/>
    </w:rPr>
  </w:style>
  <w:style w:type="character" w:customStyle="1" w:styleId="Heading9Char">
    <w:name w:val="Heading 9 Char"/>
    <w:link w:val="Heading9"/>
    <w:uiPriority w:val="99"/>
    <w:locked/>
    <w:rsid w:val="00ED7A91"/>
    <w:rPr>
      <w:rFonts w:ascii="Tahoma" w:eastAsia="SimSun" w:hAnsi="Tahoma" w:cs="Tahoma"/>
      <w:i/>
      <w:sz w:val="22"/>
      <w:lang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sz w:val="16"/>
      <w:szCs w:val="16"/>
    </w:rPr>
  </w:style>
  <w:style w:type="character" w:customStyle="1" w:styleId="BalloonTextChar">
    <w:name w:val="Balloon Text Char"/>
    <w:link w:val="BalloonText"/>
    <w:uiPriority w:val="99"/>
    <w:locked/>
    <w:rsid w:val="00ED7A91"/>
    <w:rPr>
      <w:rFonts w:ascii="Tahoma" w:eastAsia="SimSun" w:hAnsi="Tahoma" w:cs="Tahoma"/>
      <w:sz w:val="16"/>
      <w:szCs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uiPriority w:val="99"/>
    <w:rsid w:val="00ED7A9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uiPriority w:val="99"/>
    <w:semiHidden/>
    <w:rsid w:val="00ED7A91"/>
    <w:rPr>
      <w:rFonts w:cs="Times New Roman"/>
      <w:sz w:val="16"/>
      <w:szCs w:val="16"/>
    </w:rPr>
  </w:style>
  <w:style w:type="paragraph" w:styleId="CommentText">
    <w:name w:val="annotation text"/>
    <w:basedOn w:val="Normal"/>
    <w:link w:val="CommentTextChar"/>
    <w:uiPriority w:val="99"/>
    <w:semiHidden/>
    <w:rsid w:val="00ED7A91"/>
  </w:style>
  <w:style w:type="character" w:customStyle="1" w:styleId="CommentTextChar">
    <w:name w:val="Comment Text Char"/>
    <w:link w:val="CommentText"/>
    <w:uiPriority w:val="99"/>
    <w:semiHidden/>
    <w:locked/>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link w:val="CommentSubject"/>
    <w:uiPriority w:val="99"/>
    <w:semiHidden/>
    <w:locked/>
    <w:rsid w:val="00ED7A9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ED7A91"/>
    <w:pPr>
      <w:spacing w:line="288" w:lineRule="auto"/>
    </w:pPr>
  </w:style>
  <w:style w:type="paragraph" w:styleId="Footer">
    <w:name w:val="footer"/>
    <w:basedOn w:val="Normal"/>
    <w:link w:val="FooterChar"/>
    <w:uiPriority w:val="99"/>
    <w:rsid w:val="00ED7A91"/>
    <w:pPr>
      <w:tabs>
        <w:tab w:val="center" w:pos="4320"/>
        <w:tab w:val="right" w:pos="8640"/>
      </w:tabs>
    </w:pPr>
  </w:style>
  <w:style w:type="character" w:customStyle="1" w:styleId="FooterChar">
    <w:name w:val="Footer Char"/>
    <w:link w:val="Footer"/>
    <w:uiPriority w:val="99"/>
    <w:locked/>
    <w:rsid w:val="00ED7A91"/>
    <w:rPr>
      <w:rFonts w:ascii="Times New Roman" w:eastAsia="SimSun" w:hAnsi="Times New Roman" w:cs="Times New Roman"/>
      <w:sz w:val="20"/>
      <w:szCs w:val="20"/>
      <w:lang w:eastAsia="zh-CN"/>
    </w:rPr>
  </w:style>
  <w:style w:type="character" w:styleId="FootnoteReference">
    <w:name w:val="footnote reference"/>
    <w:uiPriority w:val="99"/>
    <w:semiHidden/>
    <w:rsid w:val="00ED7A91"/>
    <w:rPr>
      <w:rFonts w:cs="Times New Roman"/>
      <w:vertAlign w:val="superscript"/>
    </w:rPr>
  </w:style>
  <w:style w:type="paragraph" w:styleId="FootnoteText">
    <w:name w:val="footnote text"/>
    <w:basedOn w:val="Normal"/>
    <w:link w:val="FootnoteTextChar"/>
    <w:uiPriority w:val="99"/>
    <w:semiHidden/>
    <w:rsid w:val="00ED7A91"/>
    <w:pPr>
      <w:spacing w:line="240" w:lineRule="auto"/>
      <w:jc w:val="left"/>
    </w:pPr>
    <w:rPr>
      <w:rFonts w:ascii="Calibri" w:eastAsia="Calibri" w:hAnsi="Calibri"/>
      <w:lang w:eastAsia="en-US"/>
    </w:rPr>
  </w:style>
  <w:style w:type="character" w:customStyle="1" w:styleId="FootnoteTextChar">
    <w:name w:val="Footnote Text Char"/>
    <w:link w:val="FootnoteText"/>
    <w:uiPriority w:val="99"/>
    <w:semiHidden/>
    <w:locked/>
    <w:rsid w:val="00ED7A91"/>
    <w:rPr>
      <w:rFonts w:cs="Times New Roman"/>
      <w:sz w:val="20"/>
      <w:szCs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sz w:val="18"/>
      <w:u w:val="single"/>
    </w:rPr>
  </w:style>
  <w:style w:type="character" w:customStyle="1" w:styleId="HeaderChar">
    <w:name w:val="Header Char"/>
    <w:link w:val="Header"/>
    <w:uiPriority w:val="99"/>
    <w:locked/>
    <w:rsid w:val="00ED7A91"/>
    <w:rPr>
      <w:rFonts w:ascii="Times New Roman" w:eastAsia="SimSun" w:hAnsi="Times New Roman" w:cs="Times New Roman"/>
      <w:sz w:val="20"/>
      <w:szCs w:val="20"/>
      <w:u w:val="single"/>
      <w:lang w:eastAsia="zh-CN"/>
    </w:rPr>
  </w:style>
  <w:style w:type="character" w:styleId="Hyperlink">
    <w:name w:val="Hyperlink"/>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Cs w:val="22"/>
    </w:rPr>
  </w:style>
  <w:style w:type="character" w:styleId="PageNumber">
    <w:name w:val="page number"/>
    <w:uiPriority w:val="99"/>
    <w:semiHidden/>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uiPriority w:val="99"/>
    <w:rsid w:val="00ED7A91"/>
    <w:rPr>
      <w:rFonts w:eastAsia="SimSun" w:cs="Times New Roman"/>
      <w:sz w:val="18"/>
      <w:szCs w:val="18"/>
      <w:lang w:val="en-AU" w:eastAsia="en-US" w:bidi="ar-SA"/>
    </w:rPr>
  </w:style>
  <w:style w:type="paragraph" w:customStyle="1" w:styleId="Spaceundertable">
    <w:name w:val="Space under table"/>
    <w:basedOn w:val="Normal"/>
    <w:uiPriority w:val="99"/>
    <w:rsid w:val="00ED7A91"/>
    <w:pPr>
      <w:numPr>
        <w:numId w:val="4"/>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99"/>
    <w:rsid w:val="00ED7A91"/>
    <w:pPr>
      <w:tabs>
        <w:tab w:val="left" w:pos="2835"/>
      </w:tabs>
      <w:spacing w:before="40" w:after="4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Cs w:val="21"/>
      <w:lang w:eastAsia="ja-JP"/>
    </w:rPr>
  </w:style>
  <w:style w:type="paragraph" w:customStyle="1" w:styleId="Tabletextleft">
    <w:name w:val="Table text (left)"/>
    <w:basedOn w:val="Normal"/>
    <w:uiPriority w:val="99"/>
    <w:rsid w:val="00ED7A91"/>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2"/>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ED7A91"/>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87288C"/>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ED7A91"/>
    <w:pPr>
      <w:tabs>
        <w:tab w:val="left" w:pos="1800"/>
        <w:tab w:val="right" w:leader="dot" w:pos="9240"/>
      </w:tabs>
      <w:spacing w:after="60" w:line="240" w:lineRule="auto"/>
      <w:ind w:left="1800" w:right="602" w:hanging="960"/>
      <w:jc w:val="left"/>
    </w:pPr>
    <w:rPr>
      <w:noProof/>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3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34"/>
    <w:qFormat/>
    <w:rsid w:val="00B4562F"/>
    <w:pPr>
      <w:ind w:left="720"/>
      <w:contextualSpacing/>
    </w:pPr>
  </w:style>
  <w:style w:type="paragraph" w:styleId="NoSpacing">
    <w:name w:val="No Spacing"/>
    <w:link w:val="NoSpacingChar"/>
    <w:uiPriority w:val="99"/>
    <w:qFormat/>
    <w:rsid w:val="00A32E13"/>
    <w:rPr>
      <w:rFonts w:eastAsia="Times New Roman"/>
      <w:sz w:val="22"/>
      <w:szCs w:val="22"/>
      <w:lang w:val="en-US" w:eastAsia="en-US"/>
    </w:rPr>
  </w:style>
  <w:style w:type="character" w:customStyle="1" w:styleId="NoSpacingChar">
    <w:name w:val="No Spacing Char"/>
    <w:link w:val="NoSpacing"/>
    <w:uiPriority w:val="99"/>
    <w:locked/>
    <w:rsid w:val="00A32E13"/>
    <w:rPr>
      <w:rFonts w:eastAsia="Times New Roman"/>
      <w:sz w:val="22"/>
      <w:szCs w:val="22"/>
      <w:lang w:val="en-US" w:eastAsia="en-US" w:bidi="ar-SA"/>
    </w:rPr>
  </w:style>
  <w:style w:type="character" w:styleId="FollowedHyperlink">
    <w:name w:val="FollowedHyperlink"/>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Cs w:val="22"/>
      <w:lang w:eastAsia="en-US"/>
    </w:rPr>
  </w:style>
  <w:style w:type="paragraph" w:customStyle="1" w:styleId="TableText">
    <w:name w:val="TableText"/>
    <w:basedOn w:val="Normal"/>
    <w:link w:val="TableTextChar"/>
    <w:uiPriority w:val="99"/>
    <w:rsid w:val="00E71E87"/>
    <w:pPr>
      <w:keepNext/>
      <w:spacing w:after="0" w:line="240" w:lineRule="auto"/>
      <w:jc w:val="left"/>
    </w:pPr>
    <w:rPr>
      <w:rFonts w:ascii="Arial Narrow" w:eastAsia="Times New Roman" w:hAnsi="Arial Narrow" w:cs="Times New Roman"/>
      <w:sz w:val="18"/>
      <w:lang w:eastAsia="en-US"/>
    </w:rPr>
  </w:style>
  <w:style w:type="character" w:customStyle="1" w:styleId="TableTextChar">
    <w:name w:val="TableText Char"/>
    <w:link w:val="TableText"/>
    <w:uiPriority w:val="99"/>
    <w:rsid w:val="00E71E87"/>
    <w:rPr>
      <w:rFonts w:ascii="Arial Narrow" w:eastAsia="Times New Roman" w:hAnsi="Arial Narrow"/>
      <w:sz w:val="18"/>
      <w:lang w:eastAsia="en-US"/>
    </w:rPr>
  </w:style>
  <w:style w:type="paragraph" w:customStyle="1" w:styleId="TableText0">
    <w:name w:val="Table Text"/>
    <w:basedOn w:val="Normal"/>
    <w:link w:val="TableTextChar0"/>
    <w:qFormat/>
    <w:rsid w:val="00ED0045"/>
    <w:pPr>
      <w:keepNext/>
      <w:spacing w:before="40" w:after="40"/>
      <w:jc w:val="left"/>
    </w:pPr>
    <w:rPr>
      <w:rFonts w:ascii="Arial Narrow" w:hAnsi="Arial Narrow" w:cs="Times New Roman"/>
      <w:sz w:val="18"/>
      <w:lang w:val="en-GB" w:eastAsia="en-US"/>
    </w:rPr>
  </w:style>
  <w:style w:type="character" w:customStyle="1" w:styleId="TableTextChar0">
    <w:name w:val="Table Text Char"/>
    <w:link w:val="TableText0"/>
    <w:rsid w:val="00ED0045"/>
    <w:rPr>
      <w:rFonts w:ascii="Arial Narrow" w:eastAsia="SimSun" w:hAnsi="Arial Narrow"/>
      <w:sz w:val="18"/>
      <w:lang w:val="en-GB" w:eastAsia="en-US"/>
    </w:rPr>
  </w:style>
  <w:style w:type="paragraph" w:customStyle="1" w:styleId="Tabletext1">
    <w:name w:val="Table text"/>
    <w:basedOn w:val="Normal"/>
    <w:qFormat/>
    <w:rsid w:val="001065CF"/>
    <w:pPr>
      <w:keepNext/>
      <w:spacing w:before="40" w:after="40" w:line="240" w:lineRule="auto"/>
      <w:jc w:val="left"/>
    </w:pPr>
    <w:rPr>
      <w:rFonts w:ascii="Arial Narrow" w:hAnsi="Arial Narrow"/>
      <w:sz w:val="18"/>
      <w:lang w:val="en-US" w:eastAsia="ja-JP"/>
    </w:rPr>
  </w:style>
  <w:style w:type="paragraph" w:customStyle="1" w:styleId="Default">
    <w:name w:val="Default"/>
    <w:rsid w:val="00EA22A8"/>
    <w:pPr>
      <w:autoSpaceDE w:val="0"/>
      <w:autoSpaceDN w:val="0"/>
      <w:adjustRightInd w:val="0"/>
    </w:pPr>
    <w:rPr>
      <w:rFonts w:ascii="Tahoma" w:hAnsi="Tahoma" w:cs="Tahoma"/>
      <w:color w:val="000000"/>
      <w:sz w:val="24"/>
      <w:szCs w:val="24"/>
    </w:rPr>
  </w:style>
  <w:style w:type="paragraph" w:styleId="EndnoteText">
    <w:name w:val="endnote text"/>
    <w:basedOn w:val="Normal"/>
    <w:link w:val="EndnoteTextChar"/>
    <w:uiPriority w:val="99"/>
    <w:semiHidden/>
    <w:unhideWhenUsed/>
    <w:rsid w:val="009149F1"/>
    <w:pPr>
      <w:spacing w:after="0" w:line="240" w:lineRule="auto"/>
    </w:pPr>
  </w:style>
  <w:style w:type="character" w:customStyle="1" w:styleId="EndnoteTextChar">
    <w:name w:val="Endnote Text Char"/>
    <w:basedOn w:val="DefaultParagraphFont"/>
    <w:link w:val="EndnoteText"/>
    <w:uiPriority w:val="99"/>
    <w:semiHidden/>
    <w:rsid w:val="009149F1"/>
    <w:rPr>
      <w:rFonts w:ascii="Tahoma" w:eastAsia="SimSun" w:hAnsi="Tahoma" w:cs="Tahoma"/>
      <w:lang w:eastAsia="zh-CN"/>
    </w:rPr>
  </w:style>
  <w:style w:type="character" w:styleId="EndnoteReference">
    <w:name w:val="endnote reference"/>
    <w:basedOn w:val="DefaultParagraphFont"/>
    <w:uiPriority w:val="99"/>
    <w:semiHidden/>
    <w:unhideWhenUsed/>
    <w:rsid w:val="009149F1"/>
    <w:rPr>
      <w:vertAlign w:val="superscript"/>
    </w:rPr>
  </w:style>
  <w:style w:type="paragraph" w:styleId="Revision">
    <w:name w:val="Revision"/>
    <w:hidden/>
    <w:uiPriority w:val="99"/>
    <w:semiHidden/>
    <w:rsid w:val="00F44B40"/>
    <w:rPr>
      <w:rFonts w:ascii="Tahoma" w:eastAsia="SimSun" w:hAnsi="Tahoma" w:cs="Tahoma"/>
      <w:lang w:eastAsia="zh-CN"/>
    </w:rPr>
  </w:style>
  <w:style w:type="character" w:customStyle="1" w:styleId="citation">
    <w:name w:val="citation"/>
    <w:basedOn w:val="DefaultParagraphFont"/>
    <w:rsid w:val="005655BE"/>
  </w:style>
  <w:style w:type="paragraph" w:styleId="HTMLPreformatted">
    <w:name w:val="HTML Preformatted"/>
    <w:basedOn w:val="Normal"/>
    <w:link w:val="HTMLPreformattedChar"/>
    <w:uiPriority w:val="99"/>
    <w:semiHidden/>
    <w:unhideWhenUsed/>
    <w:rsid w:val="00B32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uiPriority w:val="99"/>
    <w:semiHidden/>
    <w:rsid w:val="00B32AC4"/>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lsdException w:name="header" w:locked="1" w:uiPriority="0"/>
    <w:lsdException w:name="footer" w:locked="1"/>
    <w:lsdException w:name="index heading" w:semiHidden="1" w:unhideWhenUsed="1"/>
    <w:lsdException w:name="caption" w:locked="1" w:uiPriority="0" w:qFormat="1"/>
    <w:lsdException w:name="table of figures" w:locked="1" w:uiPriority="0"/>
    <w:lsdException w:name="envelope address" w:semiHidden="1" w:unhideWhenUsed="1"/>
    <w:lsdException w:name="envelope return" w:semiHidden="1" w:unhideWhenUsed="1"/>
    <w:lsdException w:name="footnote reference" w:locked="1" w:uiPriority="0"/>
    <w:lsdException w:name="annotation reference" w:lock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D7D03"/>
    <w:pPr>
      <w:spacing w:after="240" w:line="312" w:lineRule="auto"/>
      <w:jc w:val="both"/>
    </w:pPr>
    <w:rPr>
      <w:rFonts w:ascii="Tahoma" w:eastAsia="SimSun" w:hAnsi="Tahoma" w:cs="Tahoma"/>
      <w:lang w:eastAsia="zh-CN"/>
    </w:rPr>
  </w:style>
  <w:style w:type="paragraph" w:styleId="Heading1">
    <w:name w:val="heading 1"/>
    <w:basedOn w:val="Normal"/>
    <w:next w:val="Normal"/>
    <w:link w:val="Heading1Char"/>
    <w:uiPriority w:val="99"/>
    <w:qFormat/>
    <w:rsid w:val="009039CE"/>
    <w:pPr>
      <w:keepNext/>
      <w:spacing w:before="360" w:after="160"/>
      <w:outlineLvl w:val="0"/>
    </w:pPr>
    <w:rPr>
      <w:b/>
      <w:bCs/>
      <w:caps/>
      <w:color w:val="215868"/>
      <w:sz w:val="24"/>
      <w:szCs w:val="32"/>
    </w:rPr>
  </w:style>
  <w:style w:type="paragraph" w:styleId="Heading2">
    <w:name w:val="heading 2"/>
    <w:basedOn w:val="Normal"/>
    <w:next w:val="Normal"/>
    <w:link w:val="Heading2Char"/>
    <w:uiPriority w:val="99"/>
    <w:qFormat/>
    <w:rsid w:val="00D5182D"/>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3B232A"/>
    <w:pPr>
      <w:keepNext/>
      <w:spacing w:after="120"/>
      <w:outlineLvl w:val="2"/>
    </w:pPr>
    <w:rPr>
      <w:color w:val="41A7BF"/>
    </w:rPr>
  </w:style>
  <w:style w:type="paragraph" w:styleId="Heading4">
    <w:name w:val="heading 4"/>
    <w:basedOn w:val="Normal"/>
    <w:next w:val="Normal"/>
    <w:link w:val="Heading4Char"/>
    <w:uiPriority w:val="99"/>
    <w:qFormat/>
    <w:rsid w:val="00ED7A91"/>
    <w:pPr>
      <w:keepNext/>
      <w:numPr>
        <w:ilvl w:val="3"/>
        <w:numId w:val="1"/>
      </w:numPr>
      <w:outlineLvl w:val="3"/>
    </w:pPr>
    <w:rPr>
      <w:u w:val="single"/>
    </w:rPr>
  </w:style>
  <w:style w:type="paragraph" w:styleId="Heading5">
    <w:name w:val="heading 5"/>
    <w:basedOn w:val="Normal"/>
    <w:next w:val="Normal"/>
    <w:link w:val="Heading5Char"/>
    <w:uiPriority w:val="99"/>
    <w:qFormat/>
    <w:rsid w:val="00ED7A91"/>
    <w:pPr>
      <w:keepNext/>
      <w:numPr>
        <w:ilvl w:val="4"/>
        <w:numId w:val="1"/>
      </w:numPr>
      <w:tabs>
        <w:tab w:val="left" w:pos="709"/>
      </w:tabs>
      <w:outlineLvl w:val="4"/>
    </w:pPr>
    <w:rPr>
      <w:b/>
      <w:i/>
    </w:rPr>
  </w:style>
  <w:style w:type="paragraph" w:styleId="Heading6">
    <w:name w:val="heading 6"/>
    <w:basedOn w:val="Normal"/>
    <w:next w:val="Normal"/>
    <w:link w:val="Heading6Char"/>
    <w:uiPriority w:val="99"/>
    <w:qFormat/>
    <w:rsid w:val="00ED7A91"/>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ED7A91"/>
    <w:pPr>
      <w:keepNext/>
      <w:outlineLvl w:val="6"/>
    </w:pPr>
    <w:rPr>
      <w:i/>
    </w:rPr>
  </w:style>
  <w:style w:type="paragraph" w:styleId="Heading8">
    <w:name w:val="heading 8"/>
    <w:basedOn w:val="Normal"/>
    <w:next w:val="Normal"/>
    <w:link w:val="Heading8Char"/>
    <w:uiPriority w:val="99"/>
    <w:qFormat/>
    <w:rsid w:val="00ED7A91"/>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ED7A91"/>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039CE"/>
    <w:rPr>
      <w:rFonts w:ascii="Tahoma" w:eastAsia="SimSun" w:hAnsi="Tahoma" w:cs="Tahoma"/>
      <w:b/>
      <w:bCs/>
      <w:caps/>
      <w:color w:val="215868"/>
      <w:sz w:val="24"/>
      <w:szCs w:val="32"/>
      <w:lang w:eastAsia="zh-CN"/>
    </w:rPr>
  </w:style>
  <w:style w:type="character" w:customStyle="1" w:styleId="Heading2Char">
    <w:name w:val="Heading 2 Char"/>
    <w:link w:val="Heading2"/>
    <w:uiPriority w:val="99"/>
    <w:locked/>
    <w:rsid w:val="00D5182D"/>
    <w:rPr>
      <w:rFonts w:ascii="Tahoma" w:eastAsia="SimSun" w:hAnsi="Tahoma" w:cs="Tahoma"/>
      <w:b/>
      <w:color w:val="215868"/>
      <w:sz w:val="28"/>
      <w:szCs w:val="28"/>
      <w:lang w:val="en-GB" w:eastAsia="ja-JP"/>
    </w:rPr>
  </w:style>
  <w:style w:type="character" w:customStyle="1" w:styleId="Heading3Char">
    <w:name w:val="Heading 3 Char"/>
    <w:link w:val="Heading3"/>
    <w:uiPriority w:val="99"/>
    <w:locked/>
    <w:rsid w:val="003B232A"/>
    <w:rPr>
      <w:rFonts w:ascii="Tahoma" w:eastAsia="SimSun" w:hAnsi="Tahoma" w:cs="Tahoma"/>
      <w:color w:val="41A7BF"/>
      <w:sz w:val="20"/>
      <w:szCs w:val="20"/>
      <w:lang w:eastAsia="zh-CN"/>
    </w:rPr>
  </w:style>
  <w:style w:type="character" w:customStyle="1" w:styleId="Heading4Char">
    <w:name w:val="Heading 4 Char"/>
    <w:link w:val="Heading4"/>
    <w:uiPriority w:val="99"/>
    <w:locked/>
    <w:rsid w:val="00ED7A91"/>
    <w:rPr>
      <w:rFonts w:ascii="Tahoma" w:eastAsia="SimSun" w:hAnsi="Tahoma" w:cs="Tahoma"/>
      <w:sz w:val="22"/>
      <w:u w:val="single"/>
      <w:lang w:eastAsia="zh-CN"/>
    </w:rPr>
  </w:style>
  <w:style w:type="character" w:customStyle="1" w:styleId="Heading5Char">
    <w:name w:val="Heading 5 Char"/>
    <w:link w:val="Heading5"/>
    <w:uiPriority w:val="99"/>
    <w:locked/>
    <w:rsid w:val="00ED7A91"/>
    <w:rPr>
      <w:rFonts w:ascii="Tahoma" w:eastAsia="SimSun" w:hAnsi="Tahoma" w:cs="Tahoma"/>
      <w:b/>
      <w:i/>
      <w:sz w:val="22"/>
      <w:lang w:eastAsia="zh-CN"/>
    </w:rPr>
  </w:style>
  <w:style w:type="character" w:customStyle="1" w:styleId="Heading6Char">
    <w:name w:val="Heading 6 Char"/>
    <w:link w:val="Heading6"/>
    <w:uiPriority w:val="99"/>
    <w:locked/>
    <w:rsid w:val="00ED7A91"/>
    <w:rPr>
      <w:rFonts w:ascii="Tahoma" w:eastAsia="SimSun" w:hAnsi="Tahoma" w:cs="Tahoma"/>
      <w:b/>
      <w:sz w:val="28"/>
      <w:lang w:eastAsia="zh-CN"/>
    </w:rPr>
  </w:style>
  <w:style w:type="character" w:customStyle="1" w:styleId="Heading7Char">
    <w:name w:val="Heading 7 Char"/>
    <w:link w:val="Heading7"/>
    <w:uiPriority w:val="99"/>
    <w:locked/>
    <w:rsid w:val="00ED7A91"/>
    <w:rPr>
      <w:rFonts w:ascii="Times New Roman" w:eastAsia="SimSun" w:hAnsi="Times New Roman" w:cs="Times New Roman"/>
      <w:i/>
      <w:sz w:val="20"/>
      <w:szCs w:val="20"/>
      <w:lang w:eastAsia="zh-CN"/>
    </w:rPr>
  </w:style>
  <w:style w:type="character" w:customStyle="1" w:styleId="Heading8Char">
    <w:name w:val="Heading 8 Char"/>
    <w:link w:val="Heading8"/>
    <w:uiPriority w:val="99"/>
    <w:locked/>
    <w:rsid w:val="00ED7A91"/>
    <w:rPr>
      <w:rFonts w:ascii="Tahoma" w:eastAsia="SimSun" w:hAnsi="Tahoma" w:cs="Tahoma"/>
      <w:sz w:val="48"/>
      <w:lang w:eastAsia="zh-CN"/>
    </w:rPr>
  </w:style>
  <w:style w:type="character" w:customStyle="1" w:styleId="Heading9Char">
    <w:name w:val="Heading 9 Char"/>
    <w:link w:val="Heading9"/>
    <w:uiPriority w:val="99"/>
    <w:locked/>
    <w:rsid w:val="00ED7A91"/>
    <w:rPr>
      <w:rFonts w:ascii="Tahoma" w:eastAsia="SimSun" w:hAnsi="Tahoma" w:cs="Tahoma"/>
      <w:i/>
      <w:sz w:val="22"/>
      <w:lang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sz w:val="16"/>
      <w:szCs w:val="16"/>
    </w:rPr>
  </w:style>
  <w:style w:type="character" w:customStyle="1" w:styleId="BalloonTextChar">
    <w:name w:val="Balloon Text Char"/>
    <w:link w:val="BalloonText"/>
    <w:uiPriority w:val="99"/>
    <w:locked/>
    <w:rsid w:val="00ED7A91"/>
    <w:rPr>
      <w:rFonts w:ascii="Tahoma" w:eastAsia="SimSun" w:hAnsi="Tahoma" w:cs="Tahoma"/>
      <w:sz w:val="16"/>
      <w:szCs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uiPriority w:val="99"/>
    <w:rsid w:val="00ED7A9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uiPriority w:val="99"/>
    <w:semiHidden/>
    <w:rsid w:val="00ED7A91"/>
    <w:rPr>
      <w:rFonts w:cs="Times New Roman"/>
      <w:sz w:val="16"/>
      <w:szCs w:val="16"/>
    </w:rPr>
  </w:style>
  <w:style w:type="paragraph" w:styleId="CommentText">
    <w:name w:val="annotation text"/>
    <w:basedOn w:val="Normal"/>
    <w:link w:val="CommentTextChar"/>
    <w:uiPriority w:val="99"/>
    <w:semiHidden/>
    <w:rsid w:val="00ED7A91"/>
  </w:style>
  <w:style w:type="character" w:customStyle="1" w:styleId="CommentTextChar">
    <w:name w:val="Comment Text Char"/>
    <w:link w:val="CommentText"/>
    <w:uiPriority w:val="99"/>
    <w:semiHidden/>
    <w:locked/>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link w:val="CommentSubject"/>
    <w:uiPriority w:val="99"/>
    <w:semiHidden/>
    <w:locked/>
    <w:rsid w:val="00ED7A9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ED7A91"/>
    <w:pPr>
      <w:spacing w:line="288" w:lineRule="auto"/>
    </w:pPr>
  </w:style>
  <w:style w:type="paragraph" w:styleId="Footer">
    <w:name w:val="footer"/>
    <w:basedOn w:val="Normal"/>
    <w:link w:val="FooterChar"/>
    <w:uiPriority w:val="99"/>
    <w:rsid w:val="00ED7A91"/>
    <w:pPr>
      <w:tabs>
        <w:tab w:val="center" w:pos="4320"/>
        <w:tab w:val="right" w:pos="8640"/>
      </w:tabs>
    </w:pPr>
  </w:style>
  <w:style w:type="character" w:customStyle="1" w:styleId="FooterChar">
    <w:name w:val="Footer Char"/>
    <w:link w:val="Footer"/>
    <w:uiPriority w:val="99"/>
    <w:locked/>
    <w:rsid w:val="00ED7A91"/>
    <w:rPr>
      <w:rFonts w:ascii="Times New Roman" w:eastAsia="SimSun" w:hAnsi="Times New Roman" w:cs="Times New Roman"/>
      <w:sz w:val="20"/>
      <w:szCs w:val="20"/>
      <w:lang w:eastAsia="zh-CN"/>
    </w:rPr>
  </w:style>
  <w:style w:type="character" w:styleId="FootnoteReference">
    <w:name w:val="footnote reference"/>
    <w:uiPriority w:val="99"/>
    <w:semiHidden/>
    <w:rsid w:val="00ED7A91"/>
    <w:rPr>
      <w:rFonts w:cs="Times New Roman"/>
      <w:vertAlign w:val="superscript"/>
    </w:rPr>
  </w:style>
  <w:style w:type="paragraph" w:styleId="FootnoteText">
    <w:name w:val="footnote text"/>
    <w:basedOn w:val="Normal"/>
    <w:link w:val="FootnoteTextChar"/>
    <w:uiPriority w:val="99"/>
    <w:semiHidden/>
    <w:rsid w:val="00ED7A91"/>
    <w:pPr>
      <w:spacing w:line="240" w:lineRule="auto"/>
      <w:jc w:val="left"/>
    </w:pPr>
    <w:rPr>
      <w:rFonts w:ascii="Calibri" w:eastAsia="Calibri" w:hAnsi="Calibri"/>
      <w:lang w:eastAsia="en-US"/>
    </w:rPr>
  </w:style>
  <w:style w:type="character" w:customStyle="1" w:styleId="FootnoteTextChar">
    <w:name w:val="Footnote Text Char"/>
    <w:link w:val="FootnoteText"/>
    <w:uiPriority w:val="99"/>
    <w:semiHidden/>
    <w:locked/>
    <w:rsid w:val="00ED7A91"/>
    <w:rPr>
      <w:rFonts w:cs="Times New Roman"/>
      <w:sz w:val="20"/>
      <w:szCs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sz w:val="18"/>
      <w:u w:val="single"/>
    </w:rPr>
  </w:style>
  <w:style w:type="character" w:customStyle="1" w:styleId="HeaderChar">
    <w:name w:val="Header Char"/>
    <w:link w:val="Header"/>
    <w:uiPriority w:val="99"/>
    <w:locked/>
    <w:rsid w:val="00ED7A91"/>
    <w:rPr>
      <w:rFonts w:ascii="Times New Roman" w:eastAsia="SimSun" w:hAnsi="Times New Roman" w:cs="Times New Roman"/>
      <w:sz w:val="20"/>
      <w:szCs w:val="20"/>
      <w:u w:val="single"/>
      <w:lang w:eastAsia="zh-CN"/>
    </w:rPr>
  </w:style>
  <w:style w:type="character" w:styleId="Hyperlink">
    <w:name w:val="Hyperlink"/>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Cs w:val="22"/>
    </w:rPr>
  </w:style>
  <w:style w:type="character" w:styleId="PageNumber">
    <w:name w:val="page number"/>
    <w:uiPriority w:val="99"/>
    <w:semiHidden/>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uiPriority w:val="99"/>
    <w:rsid w:val="00ED7A91"/>
    <w:rPr>
      <w:rFonts w:eastAsia="SimSun" w:cs="Times New Roman"/>
      <w:sz w:val="18"/>
      <w:szCs w:val="18"/>
      <w:lang w:val="en-AU" w:eastAsia="en-US" w:bidi="ar-SA"/>
    </w:rPr>
  </w:style>
  <w:style w:type="paragraph" w:customStyle="1" w:styleId="Spaceundertable">
    <w:name w:val="Space under table"/>
    <w:basedOn w:val="Normal"/>
    <w:uiPriority w:val="99"/>
    <w:rsid w:val="00ED7A91"/>
    <w:pPr>
      <w:numPr>
        <w:numId w:val="4"/>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99"/>
    <w:rsid w:val="00ED7A91"/>
    <w:pPr>
      <w:tabs>
        <w:tab w:val="left" w:pos="2835"/>
      </w:tabs>
      <w:spacing w:before="40" w:after="4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Cs w:val="21"/>
      <w:lang w:eastAsia="ja-JP"/>
    </w:rPr>
  </w:style>
  <w:style w:type="paragraph" w:customStyle="1" w:styleId="Tabletextleft">
    <w:name w:val="Table text (left)"/>
    <w:basedOn w:val="Normal"/>
    <w:uiPriority w:val="99"/>
    <w:rsid w:val="00ED7A91"/>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2"/>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ED7A91"/>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87288C"/>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ED7A91"/>
    <w:pPr>
      <w:tabs>
        <w:tab w:val="left" w:pos="1800"/>
        <w:tab w:val="right" w:leader="dot" w:pos="9240"/>
      </w:tabs>
      <w:spacing w:after="60" w:line="240" w:lineRule="auto"/>
      <w:ind w:left="1800" w:right="602" w:hanging="960"/>
      <w:jc w:val="left"/>
    </w:pPr>
    <w:rPr>
      <w:noProof/>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3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34"/>
    <w:qFormat/>
    <w:rsid w:val="00B4562F"/>
    <w:pPr>
      <w:ind w:left="720"/>
      <w:contextualSpacing/>
    </w:pPr>
  </w:style>
  <w:style w:type="paragraph" w:styleId="NoSpacing">
    <w:name w:val="No Spacing"/>
    <w:link w:val="NoSpacingChar"/>
    <w:uiPriority w:val="99"/>
    <w:qFormat/>
    <w:rsid w:val="00A32E13"/>
    <w:rPr>
      <w:rFonts w:eastAsia="Times New Roman"/>
      <w:sz w:val="22"/>
      <w:szCs w:val="22"/>
      <w:lang w:val="en-US" w:eastAsia="en-US"/>
    </w:rPr>
  </w:style>
  <w:style w:type="character" w:customStyle="1" w:styleId="NoSpacingChar">
    <w:name w:val="No Spacing Char"/>
    <w:link w:val="NoSpacing"/>
    <w:uiPriority w:val="99"/>
    <w:locked/>
    <w:rsid w:val="00A32E13"/>
    <w:rPr>
      <w:rFonts w:eastAsia="Times New Roman"/>
      <w:sz w:val="22"/>
      <w:szCs w:val="22"/>
      <w:lang w:val="en-US" w:eastAsia="en-US" w:bidi="ar-SA"/>
    </w:rPr>
  </w:style>
  <w:style w:type="character" w:styleId="FollowedHyperlink">
    <w:name w:val="FollowedHyperlink"/>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Cs w:val="22"/>
      <w:lang w:eastAsia="en-US"/>
    </w:rPr>
  </w:style>
  <w:style w:type="paragraph" w:customStyle="1" w:styleId="TableText">
    <w:name w:val="TableText"/>
    <w:basedOn w:val="Normal"/>
    <w:link w:val="TableTextChar"/>
    <w:uiPriority w:val="99"/>
    <w:rsid w:val="00E71E87"/>
    <w:pPr>
      <w:keepNext/>
      <w:spacing w:after="0" w:line="240" w:lineRule="auto"/>
      <w:jc w:val="left"/>
    </w:pPr>
    <w:rPr>
      <w:rFonts w:ascii="Arial Narrow" w:eastAsia="Times New Roman" w:hAnsi="Arial Narrow" w:cs="Times New Roman"/>
      <w:sz w:val="18"/>
      <w:lang w:eastAsia="en-US"/>
    </w:rPr>
  </w:style>
  <w:style w:type="character" w:customStyle="1" w:styleId="TableTextChar">
    <w:name w:val="TableText Char"/>
    <w:link w:val="TableText"/>
    <w:uiPriority w:val="99"/>
    <w:rsid w:val="00E71E87"/>
    <w:rPr>
      <w:rFonts w:ascii="Arial Narrow" w:eastAsia="Times New Roman" w:hAnsi="Arial Narrow"/>
      <w:sz w:val="18"/>
      <w:lang w:eastAsia="en-US"/>
    </w:rPr>
  </w:style>
  <w:style w:type="paragraph" w:customStyle="1" w:styleId="TableText0">
    <w:name w:val="Table Text"/>
    <w:basedOn w:val="Normal"/>
    <w:link w:val="TableTextChar0"/>
    <w:qFormat/>
    <w:rsid w:val="00ED0045"/>
    <w:pPr>
      <w:keepNext/>
      <w:spacing w:before="40" w:after="40"/>
      <w:jc w:val="left"/>
    </w:pPr>
    <w:rPr>
      <w:rFonts w:ascii="Arial Narrow" w:hAnsi="Arial Narrow" w:cs="Times New Roman"/>
      <w:sz w:val="18"/>
      <w:lang w:val="en-GB" w:eastAsia="en-US"/>
    </w:rPr>
  </w:style>
  <w:style w:type="character" w:customStyle="1" w:styleId="TableTextChar0">
    <w:name w:val="Table Text Char"/>
    <w:link w:val="TableText0"/>
    <w:rsid w:val="00ED0045"/>
    <w:rPr>
      <w:rFonts w:ascii="Arial Narrow" w:eastAsia="SimSun" w:hAnsi="Arial Narrow"/>
      <w:sz w:val="18"/>
      <w:lang w:val="en-GB" w:eastAsia="en-US"/>
    </w:rPr>
  </w:style>
  <w:style w:type="paragraph" w:customStyle="1" w:styleId="Tabletext1">
    <w:name w:val="Table text"/>
    <w:basedOn w:val="Normal"/>
    <w:qFormat/>
    <w:rsid w:val="001065CF"/>
    <w:pPr>
      <w:keepNext/>
      <w:spacing w:before="40" w:after="40" w:line="240" w:lineRule="auto"/>
      <w:jc w:val="left"/>
    </w:pPr>
    <w:rPr>
      <w:rFonts w:ascii="Arial Narrow" w:hAnsi="Arial Narrow"/>
      <w:sz w:val="18"/>
      <w:lang w:val="en-US" w:eastAsia="ja-JP"/>
    </w:rPr>
  </w:style>
  <w:style w:type="paragraph" w:customStyle="1" w:styleId="Default">
    <w:name w:val="Default"/>
    <w:rsid w:val="00EA22A8"/>
    <w:pPr>
      <w:autoSpaceDE w:val="0"/>
      <w:autoSpaceDN w:val="0"/>
      <w:adjustRightInd w:val="0"/>
    </w:pPr>
    <w:rPr>
      <w:rFonts w:ascii="Tahoma" w:hAnsi="Tahoma" w:cs="Tahoma"/>
      <w:color w:val="000000"/>
      <w:sz w:val="24"/>
      <w:szCs w:val="24"/>
    </w:rPr>
  </w:style>
  <w:style w:type="paragraph" w:styleId="EndnoteText">
    <w:name w:val="endnote text"/>
    <w:basedOn w:val="Normal"/>
    <w:link w:val="EndnoteTextChar"/>
    <w:uiPriority w:val="99"/>
    <w:semiHidden/>
    <w:unhideWhenUsed/>
    <w:rsid w:val="009149F1"/>
    <w:pPr>
      <w:spacing w:after="0" w:line="240" w:lineRule="auto"/>
    </w:pPr>
  </w:style>
  <w:style w:type="character" w:customStyle="1" w:styleId="EndnoteTextChar">
    <w:name w:val="Endnote Text Char"/>
    <w:basedOn w:val="DefaultParagraphFont"/>
    <w:link w:val="EndnoteText"/>
    <w:uiPriority w:val="99"/>
    <w:semiHidden/>
    <w:rsid w:val="009149F1"/>
    <w:rPr>
      <w:rFonts w:ascii="Tahoma" w:eastAsia="SimSun" w:hAnsi="Tahoma" w:cs="Tahoma"/>
      <w:lang w:eastAsia="zh-CN"/>
    </w:rPr>
  </w:style>
  <w:style w:type="character" w:styleId="EndnoteReference">
    <w:name w:val="endnote reference"/>
    <w:basedOn w:val="DefaultParagraphFont"/>
    <w:uiPriority w:val="99"/>
    <w:semiHidden/>
    <w:unhideWhenUsed/>
    <w:rsid w:val="009149F1"/>
    <w:rPr>
      <w:vertAlign w:val="superscript"/>
    </w:rPr>
  </w:style>
  <w:style w:type="paragraph" w:styleId="Revision">
    <w:name w:val="Revision"/>
    <w:hidden/>
    <w:uiPriority w:val="99"/>
    <w:semiHidden/>
    <w:rsid w:val="00F44B40"/>
    <w:rPr>
      <w:rFonts w:ascii="Tahoma" w:eastAsia="SimSun" w:hAnsi="Tahoma" w:cs="Tahoma"/>
      <w:lang w:eastAsia="zh-CN"/>
    </w:rPr>
  </w:style>
  <w:style w:type="character" w:customStyle="1" w:styleId="citation">
    <w:name w:val="citation"/>
    <w:basedOn w:val="DefaultParagraphFont"/>
    <w:rsid w:val="005655BE"/>
  </w:style>
  <w:style w:type="paragraph" w:styleId="HTMLPreformatted">
    <w:name w:val="HTML Preformatted"/>
    <w:basedOn w:val="Normal"/>
    <w:link w:val="HTMLPreformattedChar"/>
    <w:uiPriority w:val="99"/>
    <w:semiHidden/>
    <w:unhideWhenUsed/>
    <w:rsid w:val="00B32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uiPriority w:val="99"/>
    <w:semiHidden/>
    <w:rsid w:val="00B32AC4"/>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64207">
      <w:marLeft w:val="0"/>
      <w:marRight w:val="0"/>
      <w:marTop w:val="0"/>
      <w:marBottom w:val="0"/>
      <w:divBdr>
        <w:top w:val="none" w:sz="0" w:space="0" w:color="auto"/>
        <w:left w:val="none" w:sz="0" w:space="0" w:color="auto"/>
        <w:bottom w:val="none" w:sz="0" w:space="0" w:color="auto"/>
        <w:right w:val="none" w:sz="0" w:space="0" w:color="auto"/>
      </w:divBdr>
      <w:divsChild>
        <w:div w:id="98764227">
          <w:marLeft w:val="240"/>
          <w:marRight w:val="240"/>
          <w:marTop w:val="360"/>
          <w:marBottom w:val="0"/>
          <w:divBdr>
            <w:top w:val="none" w:sz="0" w:space="0" w:color="auto"/>
            <w:left w:val="none" w:sz="0" w:space="0" w:color="auto"/>
            <w:bottom w:val="none" w:sz="0" w:space="0" w:color="auto"/>
            <w:right w:val="none" w:sz="0" w:space="0" w:color="auto"/>
          </w:divBdr>
          <w:divsChild>
            <w:div w:id="98764214">
              <w:marLeft w:val="480"/>
              <w:marRight w:val="480"/>
              <w:marTop w:val="240"/>
              <w:marBottom w:val="0"/>
              <w:divBdr>
                <w:top w:val="none" w:sz="0" w:space="0" w:color="auto"/>
                <w:left w:val="none" w:sz="0" w:space="0" w:color="auto"/>
                <w:bottom w:val="none" w:sz="0" w:space="0" w:color="auto"/>
                <w:right w:val="none" w:sz="0" w:space="0" w:color="auto"/>
              </w:divBdr>
              <w:divsChild>
                <w:div w:id="98764216">
                  <w:marLeft w:val="720"/>
                  <w:marRight w:val="720"/>
                  <w:marTop w:val="0"/>
                  <w:marBottom w:val="0"/>
                  <w:divBdr>
                    <w:top w:val="none" w:sz="0" w:space="0" w:color="auto"/>
                    <w:left w:val="none" w:sz="0" w:space="0" w:color="auto"/>
                    <w:bottom w:val="none" w:sz="0" w:space="0" w:color="auto"/>
                    <w:right w:val="none" w:sz="0" w:space="0" w:color="auto"/>
                  </w:divBdr>
                  <w:divsChild>
                    <w:div w:id="9876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4209">
      <w:marLeft w:val="0"/>
      <w:marRight w:val="0"/>
      <w:marTop w:val="0"/>
      <w:marBottom w:val="0"/>
      <w:divBdr>
        <w:top w:val="none" w:sz="0" w:space="0" w:color="auto"/>
        <w:left w:val="none" w:sz="0" w:space="0" w:color="auto"/>
        <w:bottom w:val="none" w:sz="0" w:space="0" w:color="auto"/>
        <w:right w:val="none" w:sz="0" w:space="0" w:color="auto"/>
      </w:divBdr>
      <w:divsChild>
        <w:div w:id="98764222">
          <w:marLeft w:val="0"/>
          <w:marRight w:val="0"/>
          <w:marTop w:val="0"/>
          <w:marBottom w:val="0"/>
          <w:divBdr>
            <w:top w:val="none" w:sz="0" w:space="0" w:color="auto"/>
            <w:left w:val="none" w:sz="0" w:space="0" w:color="auto"/>
            <w:bottom w:val="none" w:sz="0" w:space="0" w:color="auto"/>
            <w:right w:val="none" w:sz="0" w:space="0" w:color="auto"/>
          </w:divBdr>
          <w:divsChild>
            <w:div w:id="9876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4213">
      <w:marLeft w:val="0"/>
      <w:marRight w:val="0"/>
      <w:marTop w:val="0"/>
      <w:marBottom w:val="0"/>
      <w:divBdr>
        <w:top w:val="none" w:sz="0" w:space="0" w:color="auto"/>
        <w:left w:val="none" w:sz="0" w:space="0" w:color="auto"/>
        <w:bottom w:val="none" w:sz="0" w:space="0" w:color="auto"/>
        <w:right w:val="none" w:sz="0" w:space="0" w:color="auto"/>
      </w:divBdr>
      <w:divsChild>
        <w:div w:id="98764211">
          <w:marLeft w:val="240"/>
          <w:marRight w:val="240"/>
          <w:marTop w:val="360"/>
          <w:marBottom w:val="0"/>
          <w:divBdr>
            <w:top w:val="none" w:sz="0" w:space="0" w:color="auto"/>
            <w:left w:val="none" w:sz="0" w:space="0" w:color="auto"/>
            <w:bottom w:val="none" w:sz="0" w:space="0" w:color="auto"/>
            <w:right w:val="none" w:sz="0" w:space="0" w:color="auto"/>
          </w:divBdr>
          <w:divsChild>
            <w:div w:id="98764208">
              <w:marLeft w:val="480"/>
              <w:marRight w:val="480"/>
              <w:marTop w:val="240"/>
              <w:marBottom w:val="0"/>
              <w:divBdr>
                <w:top w:val="none" w:sz="0" w:space="0" w:color="auto"/>
                <w:left w:val="none" w:sz="0" w:space="0" w:color="auto"/>
                <w:bottom w:val="none" w:sz="0" w:space="0" w:color="auto"/>
                <w:right w:val="none" w:sz="0" w:space="0" w:color="auto"/>
              </w:divBdr>
              <w:divsChild>
                <w:div w:id="98764221">
                  <w:marLeft w:val="720"/>
                  <w:marRight w:val="720"/>
                  <w:marTop w:val="0"/>
                  <w:marBottom w:val="0"/>
                  <w:divBdr>
                    <w:top w:val="none" w:sz="0" w:space="0" w:color="auto"/>
                    <w:left w:val="none" w:sz="0" w:space="0" w:color="auto"/>
                    <w:bottom w:val="none" w:sz="0" w:space="0" w:color="auto"/>
                    <w:right w:val="none" w:sz="0" w:space="0" w:color="auto"/>
                  </w:divBdr>
                  <w:divsChild>
                    <w:div w:id="987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4218">
      <w:marLeft w:val="0"/>
      <w:marRight w:val="0"/>
      <w:marTop w:val="0"/>
      <w:marBottom w:val="0"/>
      <w:divBdr>
        <w:top w:val="none" w:sz="0" w:space="0" w:color="auto"/>
        <w:left w:val="none" w:sz="0" w:space="0" w:color="auto"/>
        <w:bottom w:val="none" w:sz="0" w:space="0" w:color="auto"/>
        <w:right w:val="none" w:sz="0" w:space="0" w:color="auto"/>
      </w:divBdr>
      <w:divsChild>
        <w:div w:id="98764206">
          <w:marLeft w:val="0"/>
          <w:marRight w:val="0"/>
          <w:marTop w:val="0"/>
          <w:marBottom w:val="0"/>
          <w:divBdr>
            <w:top w:val="none" w:sz="0" w:space="0" w:color="auto"/>
            <w:left w:val="none" w:sz="0" w:space="0" w:color="auto"/>
            <w:bottom w:val="none" w:sz="0" w:space="0" w:color="auto"/>
            <w:right w:val="none" w:sz="0" w:space="0" w:color="auto"/>
          </w:divBdr>
          <w:divsChild>
            <w:div w:id="987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4220">
      <w:marLeft w:val="0"/>
      <w:marRight w:val="0"/>
      <w:marTop w:val="0"/>
      <w:marBottom w:val="0"/>
      <w:divBdr>
        <w:top w:val="none" w:sz="0" w:space="0" w:color="auto"/>
        <w:left w:val="none" w:sz="0" w:space="0" w:color="auto"/>
        <w:bottom w:val="none" w:sz="0" w:space="0" w:color="auto"/>
        <w:right w:val="none" w:sz="0" w:space="0" w:color="auto"/>
      </w:divBdr>
      <w:divsChild>
        <w:div w:id="98764210">
          <w:marLeft w:val="0"/>
          <w:marRight w:val="0"/>
          <w:marTop w:val="0"/>
          <w:marBottom w:val="150"/>
          <w:divBdr>
            <w:top w:val="single" w:sz="6" w:space="15" w:color="FFFFFF"/>
            <w:left w:val="none" w:sz="0" w:space="0" w:color="auto"/>
            <w:bottom w:val="none" w:sz="0" w:space="0" w:color="auto"/>
            <w:right w:val="none" w:sz="0" w:space="0" w:color="auto"/>
          </w:divBdr>
          <w:divsChild>
            <w:div w:id="9876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4226">
      <w:marLeft w:val="0"/>
      <w:marRight w:val="0"/>
      <w:marTop w:val="0"/>
      <w:marBottom w:val="0"/>
      <w:divBdr>
        <w:top w:val="none" w:sz="0" w:space="0" w:color="auto"/>
        <w:left w:val="none" w:sz="0" w:space="0" w:color="auto"/>
        <w:bottom w:val="none" w:sz="0" w:space="0" w:color="auto"/>
        <w:right w:val="none" w:sz="0" w:space="0" w:color="auto"/>
      </w:divBdr>
      <w:divsChild>
        <w:div w:id="98764212">
          <w:marLeft w:val="0"/>
          <w:marRight w:val="0"/>
          <w:marTop w:val="0"/>
          <w:marBottom w:val="150"/>
          <w:divBdr>
            <w:top w:val="single" w:sz="6" w:space="15" w:color="FFFFFF"/>
            <w:left w:val="none" w:sz="0" w:space="0" w:color="auto"/>
            <w:bottom w:val="none" w:sz="0" w:space="0" w:color="auto"/>
            <w:right w:val="none" w:sz="0" w:space="0" w:color="auto"/>
          </w:divBdr>
          <w:divsChild>
            <w:div w:id="987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8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tiff"/><Relationship Id="rId2" Type="http://schemas.openxmlformats.org/officeDocument/2006/relationships/numbering" Target="numbering.xml"/><Relationship Id="rId16" Type="http://schemas.openxmlformats.org/officeDocument/2006/relationships/image" Target="media/image2.tif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tiff"/><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29522-6DBB-471B-B63B-BAA1273E4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33</Pages>
  <Words>9566</Words>
  <Characters>58312</Characters>
  <Application>Microsoft Office Word</Application>
  <DocSecurity>0</DocSecurity>
  <Lines>485</Lines>
  <Paragraphs>135</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67743</CharactersWithSpaces>
  <SharedDoc>false</SharedDoc>
  <HLinks>
    <vt:vector size="144" baseType="variant">
      <vt:variant>
        <vt:i4>1507388</vt:i4>
      </vt:variant>
      <vt:variant>
        <vt:i4>140</vt:i4>
      </vt:variant>
      <vt:variant>
        <vt:i4>0</vt:i4>
      </vt:variant>
      <vt:variant>
        <vt:i4>5</vt:i4>
      </vt:variant>
      <vt:variant>
        <vt:lpwstr/>
      </vt:variant>
      <vt:variant>
        <vt:lpwstr>_Toc323542852</vt:lpwstr>
      </vt:variant>
      <vt:variant>
        <vt:i4>1507388</vt:i4>
      </vt:variant>
      <vt:variant>
        <vt:i4>134</vt:i4>
      </vt:variant>
      <vt:variant>
        <vt:i4>0</vt:i4>
      </vt:variant>
      <vt:variant>
        <vt:i4>5</vt:i4>
      </vt:variant>
      <vt:variant>
        <vt:lpwstr/>
      </vt:variant>
      <vt:variant>
        <vt:lpwstr>_Toc323542851</vt:lpwstr>
      </vt:variant>
      <vt:variant>
        <vt:i4>1507388</vt:i4>
      </vt:variant>
      <vt:variant>
        <vt:i4>128</vt:i4>
      </vt:variant>
      <vt:variant>
        <vt:i4>0</vt:i4>
      </vt:variant>
      <vt:variant>
        <vt:i4>5</vt:i4>
      </vt:variant>
      <vt:variant>
        <vt:lpwstr/>
      </vt:variant>
      <vt:variant>
        <vt:lpwstr>_Toc323542850</vt:lpwstr>
      </vt:variant>
      <vt:variant>
        <vt:i4>1441852</vt:i4>
      </vt:variant>
      <vt:variant>
        <vt:i4>122</vt:i4>
      </vt:variant>
      <vt:variant>
        <vt:i4>0</vt:i4>
      </vt:variant>
      <vt:variant>
        <vt:i4>5</vt:i4>
      </vt:variant>
      <vt:variant>
        <vt:lpwstr/>
      </vt:variant>
      <vt:variant>
        <vt:lpwstr>_Toc323542849</vt:lpwstr>
      </vt:variant>
      <vt:variant>
        <vt:i4>1441852</vt:i4>
      </vt:variant>
      <vt:variant>
        <vt:i4>116</vt:i4>
      </vt:variant>
      <vt:variant>
        <vt:i4>0</vt:i4>
      </vt:variant>
      <vt:variant>
        <vt:i4>5</vt:i4>
      </vt:variant>
      <vt:variant>
        <vt:lpwstr/>
      </vt:variant>
      <vt:variant>
        <vt:lpwstr>_Toc323542848</vt:lpwstr>
      </vt:variant>
      <vt:variant>
        <vt:i4>1441852</vt:i4>
      </vt:variant>
      <vt:variant>
        <vt:i4>110</vt:i4>
      </vt:variant>
      <vt:variant>
        <vt:i4>0</vt:i4>
      </vt:variant>
      <vt:variant>
        <vt:i4>5</vt:i4>
      </vt:variant>
      <vt:variant>
        <vt:lpwstr/>
      </vt:variant>
      <vt:variant>
        <vt:lpwstr>_Toc323542847</vt:lpwstr>
      </vt:variant>
      <vt:variant>
        <vt:i4>1441852</vt:i4>
      </vt:variant>
      <vt:variant>
        <vt:i4>104</vt:i4>
      </vt:variant>
      <vt:variant>
        <vt:i4>0</vt:i4>
      </vt:variant>
      <vt:variant>
        <vt:i4>5</vt:i4>
      </vt:variant>
      <vt:variant>
        <vt:lpwstr/>
      </vt:variant>
      <vt:variant>
        <vt:lpwstr>_Toc323542846</vt:lpwstr>
      </vt:variant>
      <vt:variant>
        <vt:i4>1441852</vt:i4>
      </vt:variant>
      <vt:variant>
        <vt:i4>98</vt:i4>
      </vt:variant>
      <vt:variant>
        <vt:i4>0</vt:i4>
      </vt:variant>
      <vt:variant>
        <vt:i4>5</vt:i4>
      </vt:variant>
      <vt:variant>
        <vt:lpwstr/>
      </vt:variant>
      <vt:variant>
        <vt:lpwstr>_Toc323542845</vt:lpwstr>
      </vt:variant>
      <vt:variant>
        <vt:i4>1441852</vt:i4>
      </vt:variant>
      <vt:variant>
        <vt:i4>92</vt:i4>
      </vt:variant>
      <vt:variant>
        <vt:i4>0</vt:i4>
      </vt:variant>
      <vt:variant>
        <vt:i4>5</vt:i4>
      </vt:variant>
      <vt:variant>
        <vt:lpwstr/>
      </vt:variant>
      <vt:variant>
        <vt:lpwstr>_Toc323542844</vt:lpwstr>
      </vt:variant>
      <vt:variant>
        <vt:i4>1441852</vt:i4>
      </vt:variant>
      <vt:variant>
        <vt:i4>86</vt:i4>
      </vt:variant>
      <vt:variant>
        <vt:i4>0</vt:i4>
      </vt:variant>
      <vt:variant>
        <vt:i4>5</vt:i4>
      </vt:variant>
      <vt:variant>
        <vt:lpwstr/>
      </vt:variant>
      <vt:variant>
        <vt:lpwstr>_Toc323542843</vt:lpwstr>
      </vt:variant>
      <vt:variant>
        <vt:i4>1441852</vt:i4>
      </vt:variant>
      <vt:variant>
        <vt:i4>80</vt:i4>
      </vt:variant>
      <vt:variant>
        <vt:i4>0</vt:i4>
      </vt:variant>
      <vt:variant>
        <vt:i4>5</vt:i4>
      </vt:variant>
      <vt:variant>
        <vt:lpwstr/>
      </vt:variant>
      <vt:variant>
        <vt:lpwstr>_Toc323542842</vt:lpwstr>
      </vt:variant>
      <vt:variant>
        <vt:i4>1441852</vt:i4>
      </vt:variant>
      <vt:variant>
        <vt:i4>74</vt:i4>
      </vt:variant>
      <vt:variant>
        <vt:i4>0</vt:i4>
      </vt:variant>
      <vt:variant>
        <vt:i4>5</vt:i4>
      </vt:variant>
      <vt:variant>
        <vt:lpwstr/>
      </vt:variant>
      <vt:variant>
        <vt:lpwstr>_Toc323542841</vt:lpwstr>
      </vt:variant>
      <vt:variant>
        <vt:i4>1441852</vt:i4>
      </vt:variant>
      <vt:variant>
        <vt:i4>68</vt:i4>
      </vt:variant>
      <vt:variant>
        <vt:i4>0</vt:i4>
      </vt:variant>
      <vt:variant>
        <vt:i4>5</vt:i4>
      </vt:variant>
      <vt:variant>
        <vt:lpwstr/>
      </vt:variant>
      <vt:variant>
        <vt:lpwstr>_Toc323542840</vt:lpwstr>
      </vt:variant>
      <vt:variant>
        <vt:i4>1114172</vt:i4>
      </vt:variant>
      <vt:variant>
        <vt:i4>62</vt:i4>
      </vt:variant>
      <vt:variant>
        <vt:i4>0</vt:i4>
      </vt:variant>
      <vt:variant>
        <vt:i4>5</vt:i4>
      </vt:variant>
      <vt:variant>
        <vt:lpwstr/>
      </vt:variant>
      <vt:variant>
        <vt:lpwstr>_Toc323542839</vt:lpwstr>
      </vt:variant>
      <vt:variant>
        <vt:i4>1114172</vt:i4>
      </vt:variant>
      <vt:variant>
        <vt:i4>56</vt:i4>
      </vt:variant>
      <vt:variant>
        <vt:i4>0</vt:i4>
      </vt:variant>
      <vt:variant>
        <vt:i4>5</vt:i4>
      </vt:variant>
      <vt:variant>
        <vt:lpwstr/>
      </vt:variant>
      <vt:variant>
        <vt:lpwstr>_Toc323542838</vt:lpwstr>
      </vt:variant>
      <vt:variant>
        <vt:i4>1114172</vt:i4>
      </vt:variant>
      <vt:variant>
        <vt:i4>50</vt:i4>
      </vt:variant>
      <vt:variant>
        <vt:i4>0</vt:i4>
      </vt:variant>
      <vt:variant>
        <vt:i4>5</vt:i4>
      </vt:variant>
      <vt:variant>
        <vt:lpwstr/>
      </vt:variant>
      <vt:variant>
        <vt:lpwstr>_Toc323542837</vt:lpwstr>
      </vt:variant>
      <vt:variant>
        <vt:i4>1114172</vt:i4>
      </vt:variant>
      <vt:variant>
        <vt:i4>44</vt:i4>
      </vt:variant>
      <vt:variant>
        <vt:i4>0</vt:i4>
      </vt:variant>
      <vt:variant>
        <vt:i4>5</vt:i4>
      </vt:variant>
      <vt:variant>
        <vt:lpwstr/>
      </vt:variant>
      <vt:variant>
        <vt:lpwstr>_Toc323542836</vt:lpwstr>
      </vt:variant>
      <vt:variant>
        <vt:i4>1114172</vt:i4>
      </vt:variant>
      <vt:variant>
        <vt:i4>38</vt:i4>
      </vt:variant>
      <vt:variant>
        <vt:i4>0</vt:i4>
      </vt:variant>
      <vt:variant>
        <vt:i4>5</vt:i4>
      </vt:variant>
      <vt:variant>
        <vt:lpwstr/>
      </vt:variant>
      <vt:variant>
        <vt:lpwstr>_Toc323542835</vt:lpwstr>
      </vt:variant>
      <vt:variant>
        <vt:i4>1114172</vt:i4>
      </vt:variant>
      <vt:variant>
        <vt:i4>32</vt:i4>
      </vt:variant>
      <vt:variant>
        <vt:i4>0</vt:i4>
      </vt:variant>
      <vt:variant>
        <vt:i4>5</vt:i4>
      </vt:variant>
      <vt:variant>
        <vt:lpwstr/>
      </vt:variant>
      <vt:variant>
        <vt:lpwstr>_Toc323542834</vt:lpwstr>
      </vt:variant>
      <vt:variant>
        <vt:i4>1114172</vt:i4>
      </vt:variant>
      <vt:variant>
        <vt:i4>26</vt:i4>
      </vt:variant>
      <vt:variant>
        <vt:i4>0</vt:i4>
      </vt:variant>
      <vt:variant>
        <vt:i4>5</vt:i4>
      </vt:variant>
      <vt:variant>
        <vt:lpwstr/>
      </vt:variant>
      <vt:variant>
        <vt:lpwstr>_Toc323542833</vt:lpwstr>
      </vt:variant>
      <vt:variant>
        <vt:i4>1114172</vt:i4>
      </vt:variant>
      <vt:variant>
        <vt:i4>20</vt:i4>
      </vt:variant>
      <vt:variant>
        <vt:i4>0</vt:i4>
      </vt:variant>
      <vt:variant>
        <vt:i4>5</vt:i4>
      </vt:variant>
      <vt:variant>
        <vt:lpwstr/>
      </vt:variant>
      <vt:variant>
        <vt:lpwstr>_Toc323542832</vt:lpwstr>
      </vt:variant>
      <vt:variant>
        <vt:i4>1114172</vt:i4>
      </vt:variant>
      <vt:variant>
        <vt:i4>14</vt:i4>
      </vt:variant>
      <vt:variant>
        <vt:i4>0</vt:i4>
      </vt:variant>
      <vt:variant>
        <vt:i4>5</vt:i4>
      </vt:variant>
      <vt:variant>
        <vt:lpwstr/>
      </vt:variant>
      <vt:variant>
        <vt:lpwstr>_Toc323542831</vt:lpwstr>
      </vt:variant>
      <vt:variant>
        <vt:i4>1114172</vt:i4>
      </vt:variant>
      <vt:variant>
        <vt:i4>8</vt:i4>
      </vt:variant>
      <vt:variant>
        <vt:i4>0</vt:i4>
      </vt:variant>
      <vt:variant>
        <vt:i4>5</vt:i4>
      </vt:variant>
      <vt:variant>
        <vt:lpwstr/>
      </vt:variant>
      <vt:variant>
        <vt:lpwstr>_Toc323542830</vt:lpwstr>
      </vt:variant>
      <vt:variant>
        <vt:i4>1048636</vt:i4>
      </vt:variant>
      <vt:variant>
        <vt:i4>2</vt:i4>
      </vt:variant>
      <vt:variant>
        <vt:i4>0</vt:i4>
      </vt:variant>
      <vt:variant>
        <vt:i4>5</vt:i4>
      </vt:variant>
      <vt:variant>
        <vt:lpwstr/>
      </vt:variant>
      <vt:variant>
        <vt:lpwstr>_Toc323542829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Liliana Bulfone</dc:creator>
  <cp:lastModifiedBy>McCandless Sean</cp:lastModifiedBy>
  <cp:revision>6</cp:revision>
  <cp:lastPrinted>2014-07-14T01:35:00Z</cp:lastPrinted>
  <dcterms:created xsi:type="dcterms:W3CDTF">2014-07-09T23:33:00Z</dcterms:created>
  <dcterms:modified xsi:type="dcterms:W3CDTF">2014-07-14T01:38:00Z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