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57625"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0065F1FC" wp14:editId="6201025F">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49022156"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71C5CD69" w14:textId="127C3147" w:rsidR="00BC1364" w:rsidRPr="00F715D1" w:rsidRDefault="00BC1364" w:rsidP="00261235">
      <w:pPr>
        <w:pStyle w:val="Subtitle"/>
      </w:pPr>
      <w:r w:rsidRPr="00F715D1">
        <w:t xml:space="preserve">Application No. </w:t>
      </w:r>
      <w:r w:rsidR="00712B1D">
        <w:t>15</w:t>
      </w:r>
      <w:r w:rsidR="003B42C4">
        <w:t>9</w:t>
      </w:r>
      <w:r w:rsidR="009B169C">
        <w:t>7</w:t>
      </w:r>
      <w:r w:rsidR="00424791">
        <w:t xml:space="preserve"> –</w:t>
      </w:r>
      <w:r w:rsidR="00261235">
        <w:t xml:space="preserve"> </w:t>
      </w:r>
      <w:r w:rsidR="009B169C">
        <w:t xml:space="preserve">Cryoablation for </w:t>
      </w:r>
      <w:r w:rsidR="00F922EB" w:rsidRPr="00287855">
        <w:t>biopsy-confirmed renal cell carcinoma (RCC) ≤4 cm in patients not suitable for partial nephrectomy</w:t>
      </w:r>
    </w:p>
    <w:p w14:paraId="4C6627EF" w14:textId="77777777" w:rsidR="00BC1364" w:rsidRPr="00F715D1" w:rsidRDefault="00B35595" w:rsidP="00194A71">
      <w:pPr>
        <w:tabs>
          <w:tab w:val="left" w:pos="3686"/>
        </w:tabs>
        <w:spacing w:after="240"/>
        <w:ind w:left="1440" w:hanging="14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9B169C">
        <w:rPr>
          <w:rFonts w:ascii="Arial" w:hAnsi="Arial" w:cs="Arial"/>
          <w:b/>
          <w:szCs w:val="24"/>
        </w:rPr>
        <w:t>Boston Scientific / BTG International Asia Limited</w:t>
      </w:r>
    </w:p>
    <w:p w14:paraId="0616E028"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194A71">
        <w:rPr>
          <w:rFonts w:ascii="Arial" w:hAnsi="Arial" w:cs="Arial"/>
          <w:b/>
          <w:szCs w:val="24"/>
        </w:rPr>
        <w:t>80</w:t>
      </w:r>
      <w:r w:rsidR="00194A71" w:rsidRPr="00194A71">
        <w:rPr>
          <w:rFonts w:ascii="Arial" w:hAnsi="Arial" w:cs="Arial"/>
          <w:b/>
          <w:szCs w:val="24"/>
          <w:vertAlign w:val="superscript"/>
        </w:rPr>
        <w:t>th</w:t>
      </w:r>
      <w:r w:rsidR="00194A71">
        <w:rPr>
          <w:rFonts w:ascii="Arial" w:hAnsi="Arial" w:cs="Arial"/>
          <w:b/>
          <w:szCs w:val="24"/>
        </w:rPr>
        <w:t xml:space="preserve"> </w:t>
      </w:r>
      <w:r w:rsidRPr="00F715D1">
        <w:rPr>
          <w:rFonts w:ascii="Arial" w:hAnsi="Arial" w:cs="Arial"/>
          <w:b/>
          <w:szCs w:val="24"/>
        </w:rPr>
        <w:t xml:space="preserve">Meeting, </w:t>
      </w:r>
      <w:r w:rsidR="00194A71">
        <w:rPr>
          <w:rFonts w:ascii="Arial" w:hAnsi="Arial" w:cs="Arial"/>
          <w:b/>
          <w:szCs w:val="24"/>
        </w:rPr>
        <w:t>26-27 November 2020</w:t>
      </w:r>
    </w:p>
    <w:p w14:paraId="36A21A53" w14:textId="77777777" w:rsidR="0041184F" w:rsidRPr="00B03EAB" w:rsidRDefault="006A0D97" w:rsidP="00B03EAB">
      <w:pPr>
        <w:spacing w:after="360"/>
        <w:rPr>
          <w:color w:val="0000FF"/>
          <w:szCs w:val="24"/>
          <w:u w:val="single"/>
        </w:rPr>
      </w:pPr>
      <w:r w:rsidRPr="00F715D1">
        <w:rPr>
          <w:szCs w:val="24"/>
        </w:rPr>
        <w:t xml:space="preserve">Context for decision: </w:t>
      </w:r>
      <w:proofErr w:type="gramStart"/>
      <w:r w:rsidRPr="00F715D1">
        <w:rPr>
          <w:szCs w:val="24"/>
        </w:rPr>
        <w:t>MSAC makes its advice in accordance wit</w:t>
      </w:r>
      <w:r w:rsidR="00F715D1">
        <w:rPr>
          <w:szCs w:val="24"/>
        </w:rPr>
        <w:t>h its Terms of Reference</w:t>
      </w:r>
      <w:proofErr w:type="gramEnd"/>
      <w:r w:rsidR="00F715D1">
        <w:rPr>
          <w:szCs w:val="24"/>
        </w:rPr>
        <w:t>,</w:t>
      </w:r>
      <w:r w:rsidRPr="00F715D1">
        <w:rPr>
          <w:szCs w:val="24"/>
        </w:rPr>
        <w:t xml:space="preserve"> </w:t>
      </w:r>
      <w:hyperlink r:id="rId9" w:tooltip="Link to Medical Services Advisory Committee website" w:history="1">
        <w:proofErr w:type="gramStart"/>
        <w:r w:rsidR="00F715D1" w:rsidRPr="00F715D1">
          <w:rPr>
            <w:rStyle w:val="Hyperlink"/>
            <w:szCs w:val="24"/>
          </w:rPr>
          <w:t>visit the MSAC website</w:t>
        </w:r>
        <w:proofErr w:type="gramEnd"/>
      </w:hyperlink>
    </w:p>
    <w:p w14:paraId="03D8BA0C" w14:textId="77777777" w:rsidR="003D7F29" w:rsidRPr="00F715D1" w:rsidRDefault="003D7F29" w:rsidP="00F715D1">
      <w:pPr>
        <w:pStyle w:val="Heading1"/>
      </w:pPr>
      <w:r w:rsidRPr="00F715D1">
        <w:t>Purpose of application</w:t>
      </w:r>
      <w:r w:rsidR="00822C7E" w:rsidRPr="00F715D1">
        <w:t xml:space="preserve"> </w:t>
      </w:r>
    </w:p>
    <w:p w14:paraId="2C66144F" w14:textId="77777777" w:rsidR="00F922EB" w:rsidRDefault="00DF489D" w:rsidP="00F922EB">
      <w:r w:rsidRPr="00F922EB">
        <w:t>An application requesting Medicare Benefit</w:t>
      </w:r>
      <w:r w:rsidR="00EA5C0E" w:rsidRPr="00F922EB">
        <w:t>s</w:t>
      </w:r>
      <w:r w:rsidRPr="00F922EB">
        <w:t xml:space="preserve"> Schedule (MBS) listing of </w:t>
      </w:r>
      <w:r w:rsidR="00F922EB" w:rsidRPr="00545D24">
        <w:t xml:space="preserve">cryoablation for the treatment of biopsy-confirmed </w:t>
      </w:r>
      <w:r w:rsidR="00F922EB">
        <w:t xml:space="preserve">renal cell carcinoma (RCC) </w:t>
      </w:r>
      <w:r w:rsidR="00F922EB" w:rsidRPr="00545D24">
        <w:t>≤4 cm</w:t>
      </w:r>
      <w:r w:rsidR="00F922EB">
        <w:t xml:space="preserve">, </w:t>
      </w:r>
      <w:r w:rsidR="00F922EB" w:rsidRPr="00D67F51">
        <w:t xml:space="preserve">in patients not suitable for </w:t>
      </w:r>
      <w:r w:rsidR="00F922EB">
        <w:t>partial nephrectomy (PN)</w:t>
      </w:r>
      <w:r w:rsidR="00F922EB" w:rsidRPr="00D67F51">
        <w:t xml:space="preserve">, </w:t>
      </w:r>
      <w:proofErr w:type="gramStart"/>
      <w:r w:rsidR="00F922EB" w:rsidRPr="00D67F51">
        <w:t>was received</w:t>
      </w:r>
      <w:proofErr w:type="gramEnd"/>
      <w:r w:rsidR="00F922EB" w:rsidRPr="00D67F51">
        <w:t xml:space="preserve"> from Boston Scientific/BTG International Asia Limited by the Department of Health</w:t>
      </w:r>
      <w:r w:rsidR="00F922EB">
        <w:t>.</w:t>
      </w:r>
    </w:p>
    <w:p w14:paraId="6325EC25" w14:textId="77777777" w:rsidR="00E977EE" w:rsidRPr="00F715D1" w:rsidRDefault="00E977EE" w:rsidP="00F715D1">
      <w:pPr>
        <w:pStyle w:val="Heading1"/>
      </w:pPr>
      <w:r w:rsidRPr="00F715D1">
        <w:t>MSAC’s advice to the Minister</w:t>
      </w:r>
    </w:p>
    <w:p w14:paraId="7110E6F3" w14:textId="1E1D834F" w:rsidR="00D26E4B" w:rsidRDefault="00D26E4B" w:rsidP="001E7C51">
      <w:pPr>
        <w:spacing w:after="240"/>
      </w:pPr>
      <w:r w:rsidRPr="008C7612">
        <w:t xml:space="preserve">After considering the strength of the available evidence in relation to comparative safety, clinical effectiveness and cost-effectiveness, MSAC supported </w:t>
      </w:r>
      <w:r>
        <w:t>Medicare Benefits Schedule (</w:t>
      </w:r>
      <w:r w:rsidRPr="008C7612">
        <w:t>MBS</w:t>
      </w:r>
      <w:r>
        <w:t>)</w:t>
      </w:r>
      <w:r w:rsidRPr="008C7612">
        <w:t xml:space="preserve"> funding of cryoablation </w:t>
      </w:r>
      <w:r>
        <w:t xml:space="preserve">(CA) </w:t>
      </w:r>
      <w:r w:rsidRPr="008C7612">
        <w:t>for biopsy-confirmed renal cell carcinoma (RCC) ≤4 cm in patients not suitable for partial nephrectomy</w:t>
      </w:r>
      <w:r>
        <w:t xml:space="preserve"> (PN)</w:t>
      </w:r>
      <w:r w:rsidRPr="008C7612">
        <w:t xml:space="preserve">. MSAC accepted that cryoablation in the proposed population was safe, effective and cost-effective compared with active surveillance/delayed therapy. MSAC advised that the Department should liaise with stakeholders to determine a reduced fee </w:t>
      </w:r>
      <w:r w:rsidR="00167586">
        <w:t xml:space="preserve">from that proposed by the applicant </w:t>
      </w:r>
      <w:r w:rsidRPr="008C7612">
        <w:t>that is commensurate with the time and complexity for the procedure</w:t>
      </w:r>
      <w:r>
        <w:t>.</w:t>
      </w:r>
    </w:p>
    <w:tbl>
      <w:tblPr>
        <w:tblStyle w:val="TableGrid"/>
        <w:tblW w:w="0" w:type="auto"/>
        <w:tblLook w:val="04A0" w:firstRow="1" w:lastRow="0" w:firstColumn="1" w:lastColumn="0" w:noHBand="0" w:noVBand="1"/>
        <w:tblDescription w:val="Consumer summary of MSAC consideration"/>
      </w:tblPr>
      <w:tblGrid>
        <w:gridCol w:w="9016"/>
      </w:tblGrid>
      <w:tr w:rsidR="007C76A8" w14:paraId="34CFD1D0" w14:textId="77777777" w:rsidTr="007C76A8">
        <w:trPr>
          <w:tblHeader/>
        </w:trPr>
        <w:tc>
          <w:tcPr>
            <w:tcW w:w="9016" w:type="dxa"/>
          </w:tcPr>
          <w:p w14:paraId="01870B79" w14:textId="2E8C3506" w:rsidR="007C76A8" w:rsidRPr="007C76A8" w:rsidRDefault="007C76A8" w:rsidP="007C76A8">
            <w:pPr>
              <w:spacing w:before="120" w:after="120"/>
              <w:rPr>
                <w:b/>
              </w:rPr>
            </w:pPr>
            <w:r w:rsidRPr="007C76A8">
              <w:rPr>
                <w:b/>
              </w:rPr>
              <w:t>Consumer summary</w:t>
            </w:r>
          </w:p>
        </w:tc>
      </w:tr>
      <w:tr w:rsidR="007C76A8" w14:paraId="5308DC5B" w14:textId="77777777" w:rsidTr="007C76A8">
        <w:tc>
          <w:tcPr>
            <w:tcW w:w="9016" w:type="dxa"/>
          </w:tcPr>
          <w:p w14:paraId="4F8829B2" w14:textId="77777777" w:rsidR="007C76A8" w:rsidRDefault="007C76A8" w:rsidP="007C76A8">
            <w:pPr>
              <w:spacing w:before="120" w:after="240"/>
            </w:pPr>
            <w:r>
              <w:t xml:space="preserve">Boston Scientific/BTG International Asia Limited applied for public funding </w:t>
            </w:r>
            <w:proofErr w:type="gramStart"/>
            <w:r>
              <w:t>via the Medicare Benefits Schedule (MBS) for cryoablation for renal cell carcinoma in certain patients</w:t>
            </w:r>
            <w:proofErr w:type="gramEnd"/>
            <w:r>
              <w:t>.</w:t>
            </w:r>
          </w:p>
          <w:p w14:paraId="35B47013" w14:textId="77777777" w:rsidR="007C76A8" w:rsidRDefault="007C76A8" w:rsidP="007C76A8">
            <w:pPr>
              <w:spacing w:after="240"/>
            </w:pPr>
            <w:r>
              <w:t xml:space="preserve">Renal cell carcinoma is a type of kidney cancer. </w:t>
            </w:r>
          </w:p>
          <w:p w14:paraId="663C5DA5" w14:textId="77777777" w:rsidR="007C76A8" w:rsidRDefault="007C76A8" w:rsidP="007C76A8">
            <w:pPr>
              <w:spacing w:after="240"/>
            </w:pPr>
            <w:r>
              <w:t xml:space="preserve">This application relates to patients who have kidney cancer, their tumour measures 4cm or less and they would not benefit from surgery to remove the affected area (partial nephrectomy).  </w:t>
            </w:r>
          </w:p>
          <w:p w14:paraId="34E16D7E" w14:textId="77777777" w:rsidR="007C76A8" w:rsidRDefault="007C76A8" w:rsidP="007C76A8">
            <w:pPr>
              <w:spacing w:after="240"/>
            </w:pPr>
            <w:r>
              <w:lastRenderedPageBreak/>
              <w:t xml:space="preserve">Cryoablation (also called cryotherapy or cryosurgery) uses extreme cold to destroy cancer cells. </w:t>
            </w:r>
          </w:p>
          <w:p w14:paraId="4732397D" w14:textId="77BCF5A0" w:rsidR="007C76A8" w:rsidRDefault="007C76A8" w:rsidP="007C76A8">
            <w:pPr>
              <w:spacing w:after="240"/>
            </w:pPr>
            <w:r>
              <w:t>In cryoablation, ultra-thin needles are placed in the tumour, and argon gas is passed into the needles, which quickly cool to</w:t>
            </w:r>
            <w:r w:rsidR="006728D4">
              <w:t xml:space="preserve"> a temperature well below </w:t>
            </w:r>
            <w:r w:rsidR="006728D4" w:rsidRPr="00D67F51">
              <w:t>−100°C</w:t>
            </w:r>
            <w:bookmarkStart w:id="0" w:name="_GoBack"/>
            <w:bookmarkEnd w:id="0"/>
            <w:r>
              <w:t xml:space="preserve">. This forms an ice ball around the needle tip, which freezes the tumour. Helium gas </w:t>
            </w:r>
            <w:proofErr w:type="gramStart"/>
            <w:r>
              <w:t>is then passed</w:t>
            </w:r>
            <w:proofErr w:type="gramEnd"/>
            <w:r>
              <w:t xml:space="preserve"> through the needles to thaw the tissue. The freeze–thaw process </w:t>
            </w:r>
            <w:proofErr w:type="gramStart"/>
            <w:r>
              <w:t>is repeated</w:t>
            </w:r>
            <w:proofErr w:type="gramEnd"/>
            <w:r>
              <w:t xml:space="preserve"> at least twice to destroy the cancer cells and a small number of healthy cells around the edge of the tumour.</w:t>
            </w:r>
          </w:p>
          <w:p w14:paraId="6CD44B85" w14:textId="77777777" w:rsidR="007C76A8" w:rsidRDefault="007C76A8" w:rsidP="007C76A8">
            <w:pPr>
              <w:spacing w:after="240"/>
            </w:pPr>
            <w:r>
              <w:t xml:space="preserve">MSAC considered that cryoablation was safe, effective and good value for money compared with active surveillance (“watch and wait”) or delayed therapy. </w:t>
            </w:r>
          </w:p>
          <w:p w14:paraId="276228BA" w14:textId="77777777" w:rsidR="007C76A8" w:rsidRPr="007C76A8" w:rsidRDefault="007C76A8" w:rsidP="007C76A8">
            <w:pPr>
              <w:spacing w:before="240" w:after="120"/>
              <w:rPr>
                <w:b/>
              </w:rPr>
            </w:pPr>
            <w:r w:rsidRPr="007C76A8">
              <w:rPr>
                <w:b/>
              </w:rPr>
              <w:t>MSAC’s advice to the Commonwealth Minister for Health</w:t>
            </w:r>
          </w:p>
          <w:p w14:paraId="23B0DC87" w14:textId="7BC12156" w:rsidR="007C76A8" w:rsidRDefault="007C76A8" w:rsidP="007C76A8">
            <w:pPr>
              <w:spacing w:after="240"/>
            </w:pPr>
            <w:r>
              <w:t>MSAC supported MBS funding for cryoablation for people with renal cell carcinoma where the tumour is 4cm or less in size and they would not benefit from surgical removal.</w:t>
            </w:r>
          </w:p>
        </w:tc>
      </w:tr>
    </w:tbl>
    <w:p w14:paraId="0CB925D7" w14:textId="77777777" w:rsidR="00550354" w:rsidRPr="00F715D1" w:rsidRDefault="00550354" w:rsidP="00F715D1">
      <w:pPr>
        <w:pStyle w:val="Heading1"/>
      </w:pPr>
      <w:r w:rsidRPr="00F715D1">
        <w:lastRenderedPageBreak/>
        <w:t xml:space="preserve">Summary of consideration and rationale for MSAC’s advice </w:t>
      </w:r>
    </w:p>
    <w:p w14:paraId="4E12244C" w14:textId="51642C9E" w:rsidR="00D26E4B" w:rsidRDefault="00D26E4B" w:rsidP="007A2E52">
      <w:pPr>
        <w:spacing w:after="240"/>
      </w:pPr>
      <w:r>
        <w:t xml:space="preserve">MSAC noted the purpose of the application was to request MBS listing for CA for the treatment of biopsy-confirmed RCC </w:t>
      </w:r>
      <w:r>
        <w:sym w:font="Symbol" w:char="F0A3"/>
      </w:r>
      <w:r>
        <w:t xml:space="preserve">4 cm </w:t>
      </w:r>
      <w:r w:rsidR="007A2E52">
        <w:t xml:space="preserve">(without spread to regional nodes or metastases) </w:t>
      </w:r>
      <w:r>
        <w:t>in patients not suitable</w:t>
      </w:r>
      <w:r w:rsidR="00173BFB">
        <w:t xml:space="preserve"> for</w:t>
      </w:r>
      <w:r>
        <w:t xml:space="preserve"> PN.</w:t>
      </w:r>
    </w:p>
    <w:p w14:paraId="6808E0B1" w14:textId="488252C1" w:rsidR="00D26E4B" w:rsidRDefault="0034512E" w:rsidP="004B4D0B">
      <w:r>
        <w:t>MSAC noted t</w:t>
      </w:r>
      <w:r w:rsidR="00D26E4B">
        <w:t xml:space="preserve">he two main comparators presented in the application were active surveillance/delayed therapy (AS/DT) and laparoscopic radical nephrectomy (RN). </w:t>
      </w:r>
      <w:r>
        <w:t>However, MSAC did not consider laparoscopic RN to be an appropriate comparator</w:t>
      </w:r>
      <w:r w:rsidR="00173BFB">
        <w:t>, as the application</w:t>
      </w:r>
      <w:r w:rsidR="00365BD1">
        <w:t xml:space="preserve"> </w:t>
      </w:r>
      <w:r w:rsidR="00173BFB">
        <w:t>s</w:t>
      </w:r>
      <w:r w:rsidR="00365BD1">
        <w:t xml:space="preserve">eeks </w:t>
      </w:r>
      <w:r w:rsidR="00753A96">
        <w:t xml:space="preserve">funding </w:t>
      </w:r>
      <w:r w:rsidR="00173BFB">
        <w:t>for patients who are not suitable for this procedure.</w:t>
      </w:r>
      <w:r>
        <w:t xml:space="preserve"> </w:t>
      </w:r>
      <w:r w:rsidR="00D26E4B">
        <w:t xml:space="preserve">MSAC </w:t>
      </w:r>
      <w:r>
        <w:t xml:space="preserve">also </w:t>
      </w:r>
      <w:r w:rsidR="00D26E4B">
        <w:t>noted that other thermal ablation (OTA) and PN were included as supplementary comparators in the applicant</w:t>
      </w:r>
      <w:r w:rsidR="00E138E6">
        <w:t xml:space="preserve"> </w:t>
      </w:r>
      <w:r w:rsidR="00D26E4B">
        <w:t>developed assessment report (ADAR) for clinical comparison only.</w:t>
      </w:r>
      <w:r w:rsidR="007D374E">
        <w:t xml:space="preserve"> </w:t>
      </w:r>
    </w:p>
    <w:p w14:paraId="61CBCE4B" w14:textId="4B0D0D3C" w:rsidR="00091BA2" w:rsidRDefault="00E34C1B" w:rsidP="004447CF">
      <w:pPr>
        <w:spacing w:before="240" w:after="240"/>
      </w:pPr>
      <w:r>
        <w:t xml:space="preserve">MSAC reviewed the </w:t>
      </w:r>
      <w:r w:rsidR="00091BA2">
        <w:t>e</w:t>
      </w:r>
      <w:r w:rsidR="00FD4A47">
        <w:t xml:space="preserve">vidence on the </w:t>
      </w:r>
      <w:r w:rsidR="00091BA2">
        <w:t xml:space="preserve">comparative safety and effectiveness </w:t>
      </w:r>
      <w:r w:rsidR="00365BD1">
        <w:t>of</w:t>
      </w:r>
      <w:r w:rsidR="00FD4A47">
        <w:t xml:space="preserve"> CA</w:t>
      </w:r>
      <w:r w:rsidR="00365BD1">
        <w:t xml:space="preserve"> for the proposed indication</w:t>
      </w:r>
      <w:r w:rsidR="00FD4A47">
        <w:t xml:space="preserve">. </w:t>
      </w:r>
      <w:r w:rsidR="00091BA2">
        <w:t>MSAC noted that due to a paucity of studies directly comparing CA with AS/DT</w:t>
      </w:r>
      <w:r w:rsidR="00FD4A47">
        <w:t xml:space="preserve"> (the main comparator)</w:t>
      </w:r>
      <w:proofErr w:type="gramStart"/>
      <w:r w:rsidR="00091BA2">
        <w:t>,</w:t>
      </w:r>
      <w:proofErr w:type="gramEnd"/>
      <w:r w:rsidR="00091BA2">
        <w:t xml:space="preserve"> the ADAR used studies involving other thermal ablative procedures (</w:t>
      </w:r>
      <w:r w:rsidR="00365BD1">
        <w:t>OTA, including</w:t>
      </w:r>
      <w:r w:rsidR="00091BA2">
        <w:t xml:space="preserve"> radiofrequency ablation [RFA] and microwave ablation [MWA]) as a proxy for CA and justified </w:t>
      </w:r>
      <w:r w:rsidR="00173BFB">
        <w:t xml:space="preserve">this approach </w:t>
      </w:r>
      <w:r w:rsidR="00091BA2">
        <w:t>by</w:t>
      </w:r>
      <w:r w:rsidR="00173BFB">
        <w:t xml:space="preserve"> presenting a</w:t>
      </w:r>
      <w:r w:rsidR="00091BA2">
        <w:t xml:space="preserve"> supplementary comparison of CA versus OTA.  </w:t>
      </w:r>
    </w:p>
    <w:p w14:paraId="58813282" w14:textId="77777777" w:rsidR="00FD4A47" w:rsidRDefault="00FD4A47" w:rsidP="00FD4A47">
      <w:pPr>
        <w:spacing w:before="240" w:after="240"/>
      </w:pPr>
      <w:r>
        <w:t>MSAC reviewed the safety profile of CA versus OTA and accepted that CA had non-inferior safety compared to OTA. MSAC noted that cancer-specific mortality was the same for CA versus OTA, and that non-cancer mortality HR was lower for CA versus OTA. Overall, MSAC considered that CA had likely similar outcomes (i.e. non-inferior safety and effectiveness) compared to OTA.</w:t>
      </w:r>
    </w:p>
    <w:p w14:paraId="43B163BB" w14:textId="4DD89A67" w:rsidR="007A2E52" w:rsidRDefault="00091BA2" w:rsidP="004447CF">
      <w:pPr>
        <w:spacing w:before="240" w:after="240"/>
      </w:pPr>
      <w:r>
        <w:t xml:space="preserve">MSAC accepted CA would have inferior safety compared to AS/DT as some patients on AS would </w:t>
      </w:r>
      <w:r w:rsidR="00173BFB">
        <w:t xml:space="preserve">have </w:t>
      </w:r>
      <w:r>
        <w:t>never received DT. MSAC noted that cancer-specific mortality and non-cancer mortality w</w:t>
      </w:r>
      <w:r w:rsidR="00753A96">
        <w:t>ere</w:t>
      </w:r>
      <w:r>
        <w:t xml:space="preserve"> significantly lower for CA compared to AS/DT. Overall, MSAC considered CA to have superior clinical effectiveness </w:t>
      </w:r>
      <w:r w:rsidR="00753A96">
        <w:t xml:space="preserve">and </w:t>
      </w:r>
      <w:r>
        <w:t>inferior safety compared to AS/DT.</w:t>
      </w:r>
    </w:p>
    <w:p w14:paraId="1AF2EC18" w14:textId="2DB9A73B" w:rsidR="00033118" w:rsidDel="00291D13" w:rsidRDefault="007D374E" w:rsidP="00033118">
      <w:pPr>
        <w:spacing w:after="240"/>
      </w:pPr>
      <w:r>
        <w:t>MSAC co</w:t>
      </w:r>
      <w:r w:rsidR="00FD4A47">
        <w:t>nsidered the cost-</w:t>
      </w:r>
      <w:r w:rsidR="002064D7">
        <w:t xml:space="preserve">utility analysis </w:t>
      </w:r>
      <w:r w:rsidR="00FD4A47">
        <w:t>for CA versus AS/DT</w:t>
      </w:r>
      <w:r>
        <w:t xml:space="preserve">, along with the supplementary analyses provided in the pre-MSAC response. MSAC </w:t>
      </w:r>
      <w:r w:rsidR="00033118" w:rsidDel="00291D13">
        <w:t>noted that the time horizon in the model was 10 years</w:t>
      </w:r>
      <w:r>
        <w:t>,</w:t>
      </w:r>
      <w:r w:rsidR="00033118" w:rsidDel="00291D13">
        <w:t xml:space="preserve"> and </w:t>
      </w:r>
      <w:r w:rsidR="005C12C0">
        <w:t xml:space="preserve">the model </w:t>
      </w:r>
      <w:r w:rsidR="00033118" w:rsidDel="00291D13">
        <w:t>include</w:t>
      </w:r>
      <w:r>
        <w:t>d</w:t>
      </w:r>
      <w:r w:rsidR="00033118" w:rsidDel="00291D13">
        <w:t xml:space="preserve"> a percentage of repeat procedures</w:t>
      </w:r>
      <w:r>
        <w:t xml:space="preserve">. </w:t>
      </w:r>
      <w:r w:rsidR="00753A96">
        <w:t>T</w:t>
      </w:r>
      <w:r w:rsidR="00033118" w:rsidDel="00291D13">
        <w:t xml:space="preserve">he model did not account for </w:t>
      </w:r>
      <w:proofErr w:type="gramStart"/>
      <w:r w:rsidR="00033118" w:rsidDel="00291D13">
        <w:t>recurrence</w:t>
      </w:r>
      <w:r w:rsidR="00753A96">
        <w:t>,</w:t>
      </w:r>
      <w:proofErr w:type="gramEnd"/>
      <w:r w:rsidR="00753A96">
        <w:t xml:space="preserve"> however</w:t>
      </w:r>
      <w:r>
        <w:t xml:space="preserve"> MSAC noted that</w:t>
      </w:r>
      <w:r w:rsidR="00033118" w:rsidDel="00291D13">
        <w:t xml:space="preserve"> RCCs are typically slow-growing tumours.</w:t>
      </w:r>
      <w:r>
        <w:t xml:space="preserve"> </w:t>
      </w:r>
      <w:r w:rsidR="00033118" w:rsidDel="00291D13">
        <w:t>MSAC noted that the incremental cost-effectiveness ratios (ICERs) generated from the economic model showed that CA was dominant in all scenarios, except those including a long inpatient stay</w:t>
      </w:r>
      <w:r>
        <w:t xml:space="preserve">, </w:t>
      </w:r>
      <w:r w:rsidR="00033118" w:rsidDel="00291D13">
        <w:t xml:space="preserve">which </w:t>
      </w:r>
      <w:r>
        <w:t xml:space="preserve">MSAC considered </w:t>
      </w:r>
      <w:r w:rsidR="00033118" w:rsidDel="00291D13">
        <w:t xml:space="preserve">would be unlikely given that CA is </w:t>
      </w:r>
      <w:r>
        <w:t xml:space="preserve">typically </w:t>
      </w:r>
      <w:r w:rsidR="00033118" w:rsidDel="00291D13">
        <w:t xml:space="preserve">a day procedure. </w:t>
      </w:r>
    </w:p>
    <w:p w14:paraId="25074D42" w14:textId="49F70907" w:rsidR="00033118" w:rsidRDefault="00033118" w:rsidP="00291D13">
      <w:pPr>
        <w:spacing w:after="240"/>
      </w:pPr>
      <w:r w:rsidDel="00291D13">
        <w:t>MSAC noted the</w:t>
      </w:r>
      <w:r w:rsidR="002064D7">
        <w:t xml:space="preserve"> economic evaluation and budget impact analysis did not take into consider</w:t>
      </w:r>
      <w:r w:rsidR="00BC40D3">
        <w:t>ation</w:t>
      </w:r>
      <w:r w:rsidR="002064D7">
        <w:t xml:space="preserve"> the cost of consumables (</w:t>
      </w:r>
      <w:r w:rsidR="00BC40D3">
        <w:t>in particular</w:t>
      </w:r>
      <w:r w:rsidR="005C12C0">
        <w:t>,</w:t>
      </w:r>
      <w:r w:rsidR="002064D7">
        <w:t xml:space="preserve"> the cost of</w:t>
      </w:r>
      <w:r w:rsidDel="00291D13">
        <w:t xml:space="preserve"> CA needles</w:t>
      </w:r>
      <w:r w:rsidR="002064D7">
        <w:t xml:space="preserve">) and that there was uncertainty </w:t>
      </w:r>
      <w:r w:rsidR="00753A96">
        <w:t xml:space="preserve">regarding </w:t>
      </w:r>
      <w:r w:rsidR="002064D7">
        <w:t xml:space="preserve">whether </w:t>
      </w:r>
      <w:r w:rsidR="00365BD1">
        <w:t xml:space="preserve">the </w:t>
      </w:r>
      <w:r w:rsidR="00753A96">
        <w:t xml:space="preserve">estimated </w:t>
      </w:r>
      <w:r w:rsidR="002064D7">
        <w:t xml:space="preserve">hospital costs would cover the cost of the CA needles. MSAC </w:t>
      </w:r>
      <w:r w:rsidR="00BC40D3">
        <w:t>noted</w:t>
      </w:r>
      <w:r w:rsidR="002064D7">
        <w:t xml:space="preserve"> the</w:t>
      </w:r>
      <w:r w:rsidR="00BC40D3">
        <w:t>r</w:t>
      </w:r>
      <w:r w:rsidR="005C12C0">
        <w:t>e</w:t>
      </w:r>
      <w:r w:rsidR="00BC40D3">
        <w:t xml:space="preserve"> could be </w:t>
      </w:r>
      <w:r w:rsidDel="00291D13">
        <w:t>high out-of-pocket costs for patients</w:t>
      </w:r>
      <w:r w:rsidR="00BC40D3">
        <w:t xml:space="preserve"> if the cost of the CA needles </w:t>
      </w:r>
      <w:proofErr w:type="gramStart"/>
      <w:r w:rsidR="00BC40D3">
        <w:t xml:space="preserve">is not </w:t>
      </w:r>
      <w:r w:rsidR="00753A96">
        <w:t>covered</w:t>
      </w:r>
      <w:proofErr w:type="gramEnd"/>
      <w:r w:rsidR="00753A96">
        <w:t xml:space="preserve"> by</w:t>
      </w:r>
      <w:r w:rsidR="00BC40D3">
        <w:t xml:space="preserve"> the hospital cost</w:t>
      </w:r>
      <w:r w:rsidR="00365BD1">
        <w:t>s</w:t>
      </w:r>
      <w:r w:rsidDel="00291D13">
        <w:t xml:space="preserve">. </w:t>
      </w:r>
      <w:r w:rsidR="002064D7">
        <w:t>Additional analysis by MSAC indicated that i</w:t>
      </w:r>
      <w:r w:rsidDel="00291D13">
        <w:t xml:space="preserve">ncluding the </w:t>
      </w:r>
      <w:r w:rsidR="002064D7">
        <w:t xml:space="preserve">CA needle cost </w:t>
      </w:r>
      <w:r w:rsidR="00753A96">
        <w:t xml:space="preserve">as a separate cost in addition to the hospital costs </w:t>
      </w:r>
      <w:r w:rsidR="002064D7">
        <w:t>increased</w:t>
      </w:r>
      <w:r w:rsidDel="00291D13">
        <w:t xml:space="preserve"> the base case ICER from dominant to around $11,000 per quality-adjusted life year gained. </w:t>
      </w:r>
      <w:r w:rsidRPr="009C632D" w:rsidDel="00291D13">
        <w:t xml:space="preserve">This </w:t>
      </w:r>
      <w:r w:rsidR="00753A96" w:rsidRPr="009C632D">
        <w:t xml:space="preserve">approach would </w:t>
      </w:r>
      <w:r w:rsidRPr="009C632D" w:rsidDel="00291D13">
        <w:t xml:space="preserve">also result in a cost to non-MBS budgets of $3.3 million over 5 years, which MSAC considered </w:t>
      </w:r>
      <w:proofErr w:type="gramStart"/>
      <w:r w:rsidRPr="009C632D" w:rsidDel="00291D13">
        <w:t>had not been adequately accounted for</w:t>
      </w:r>
      <w:proofErr w:type="gramEnd"/>
      <w:r w:rsidR="00BC40D3" w:rsidRPr="009C632D">
        <w:t xml:space="preserve"> by the applicant</w:t>
      </w:r>
      <w:r w:rsidRPr="009C632D" w:rsidDel="00291D13">
        <w:t>.</w:t>
      </w:r>
    </w:p>
    <w:p w14:paraId="7BD86209" w14:textId="7E17BE73" w:rsidR="00291D13" w:rsidRDefault="00D26E4B" w:rsidP="00291D13">
      <w:pPr>
        <w:spacing w:after="240"/>
      </w:pPr>
      <w:r>
        <w:t xml:space="preserve">MSAC considered </w:t>
      </w:r>
      <w:r w:rsidR="00033118">
        <w:t xml:space="preserve">whether the item descriptor should </w:t>
      </w:r>
      <w:r w:rsidR="00BC40D3">
        <w:t>allow</w:t>
      </w:r>
      <w:r w:rsidR="00033118">
        <w:t xml:space="preserve"> any mode of delivering CA (i.e. laparoscopic, percutaneous and open). MSAC noted </w:t>
      </w:r>
      <w:r w:rsidR="00753A96">
        <w:t xml:space="preserve">that the </w:t>
      </w:r>
      <w:r w:rsidR="00033118">
        <w:t xml:space="preserve">pre-MSAC response highlighted that percutaneous, laparoscopic and open procedures </w:t>
      </w:r>
      <w:proofErr w:type="gramStart"/>
      <w:r w:rsidR="00033118">
        <w:t>are all reimbursed</w:t>
      </w:r>
      <w:proofErr w:type="gramEnd"/>
      <w:r w:rsidR="00033118">
        <w:t xml:space="preserve"> under the MBS at the same fee for liver cancer. MSAC considered </w:t>
      </w:r>
      <w:r>
        <w:t xml:space="preserve">that the claim of no difference between laparoscopic, percutaneous and open CA was reasonable, but </w:t>
      </w:r>
      <w:proofErr w:type="gramStart"/>
      <w:r>
        <w:t>was based</w:t>
      </w:r>
      <w:proofErr w:type="gramEnd"/>
      <w:r>
        <w:t xml:space="preserve"> on limited evidence and has implications for the cost of the procedure. MSAC </w:t>
      </w:r>
      <w:r w:rsidR="00033118">
        <w:t xml:space="preserve">noted that for a percutaneous or open CA, the MBS item </w:t>
      </w:r>
      <w:proofErr w:type="gramStart"/>
      <w:r w:rsidR="00033118">
        <w:t>may</w:t>
      </w:r>
      <w:proofErr w:type="gramEnd"/>
      <w:r w:rsidR="00033118">
        <w:t xml:space="preserve"> be claimed by both the surgeon and the </w:t>
      </w:r>
      <w:r w:rsidR="004B4D0B">
        <w:t>radiologist</w:t>
      </w:r>
      <w:r w:rsidR="00BC40D3">
        <w:t xml:space="preserve">.  </w:t>
      </w:r>
      <w:r w:rsidR="00033118">
        <w:t xml:space="preserve">MSAC suggested that </w:t>
      </w:r>
      <w:r>
        <w:t xml:space="preserve">the Department </w:t>
      </w:r>
      <w:proofErr w:type="gramStart"/>
      <w:r w:rsidR="00033118">
        <w:t>may</w:t>
      </w:r>
      <w:proofErr w:type="gramEnd"/>
      <w:r w:rsidR="00033118">
        <w:t xml:space="preserve"> wish to </w:t>
      </w:r>
      <w:r>
        <w:t xml:space="preserve">consider the potential for co-claiming of laparoscopic procedures </w:t>
      </w:r>
      <w:r w:rsidR="00753A96">
        <w:t xml:space="preserve">and CA </w:t>
      </w:r>
      <w:r>
        <w:t xml:space="preserve">for RCC. </w:t>
      </w:r>
    </w:p>
    <w:p w14:paraId="41ED6276" w14:textId="4ADBECF6" w:rsidR="00033118" w:rsidRDefault="00D26E4B" w:rsidP="007A2E52">
      <w:pPr>
        <w:spacing w:after="240"/>
      </w:pPr>
      <w:r>
        <w:t xml:space="preserve">MSAC considered whether the proposed MBS item for CA </w:t>
      </w:r>
      <w:proofErr w:type="gramStart"/>
      <w:r>
        <w:t>should be broadened</w:t>
      </w:r>
      <w:proofErr w:type="gramEnd"/>
      <w:r>
        <w:t xml:space="preserve"> to include OTA, as a general item for ablative procedures of the kidney. MSAC noted that CA machines are not widely available, and </w:t>
      </w:r>
      <w:r w:rsidR="00753A96">
        <w:t xml:space="preserve">allowing for use of </w:t>
      </w:r>
      <w:r>
        <w:t>OTA may i</w:t>
      </w:r>
      <w:r w:rsidR="00365BD1">
        <w:t>mprove</w:t>
      </w:r>
      <w:r>
        <w:t xml:space="preserve"> patient access. MSAC </w:t>
      </w:r>
      <w:r w:rsidR="002A2AD7">
        <w:t xml:space="preserve">recalled an application for </w:t>
      </w:r>
      <w:r w:rsidR="00092677">
        <w:t xml:space="preserve">MWA to treat patients with surgically </w:t>
      </w:r>
      <w:proofErr w:type="spellStart"/>
      <w:r w:rsidR="00092677">
        <w:t>unresectable</w:t>
      </w:r>
      <w:proofErr w:type="spellEnd"/>
      <w:r w:rsidR="00092677">
        <w:t xml:space="preserve"> liver tumours (MSAC Application 1402)</w:t>
      </w:r>
      <w:r w:rsidR="00FA749B">
        <w:t xml:space="preserve"> which</w:t>
      </w:r>
      <w:r w:rsidR="00092677">
        <w:t xml:space="preserve"> compared MWA against RFA in the liver. MSAC </w:t>
      </w:r>
      <w:r>
        <w:t xml:space="preserve">requested that the Department review the </w:t>
      </w:r>
      <w:r w:rsidR="00092677">
        <w:t xml:space="preserve">evidence presented in MSAC 1402 </w:t>
      </w:r>
      <w:r w:rsidR="00FA749B">
        <w:t xml:space="preserve">and </w:t>
      </w:r>
      <w:r w:rsidR="00092677">
        <w:t>inform the MSAC Executive on whether the level of evidence for broadening CA to OTA in the kidney is consistent with MSAC 1402 or whether additional</w:t>
      </w:r>
      <w:r>
        <w:t xml:space="preserve"> evidence would be required to determine whether OTA could be included in the item descriptor</w:t>
      </w:r>
      <w:r w:rsidR="005C12C0">
        <w:t xml:space="preserve"> for RCC</w:t>
      </w:r>
      <w:r>
        <w:t xml:space="preserve"> along with CA</w:t>
      </w:r>
      <w:r w:rsidR="005C12C0">
        <w:t xml:space="preserve">. </w:t>
      </w:r>
    </w:p>
    <w:p w14:paraId="7F495E69" w14:textId="70A58F04" w:rsidR="00E138E6" w:rsidRDefault="00E138E6" w:rsidP="007A2E52">
      <w:pPr>
        <w:spacing w:after="240"/>
      </w:pPr>
      <w:r>
        <w:t>MSAC considered that the sentence “</w:t>
      </w:r>
      <w:r w:rsidR="00FA749B">
        <w:t>n</w:t>
      </w:r>
      <w:r w:rsidRPr="006904ED">
        <w:t>ot to be used as salvage therapy after partial nephrectomy or previous thermal or radiofrequency ablation</w:t>
      </w:r>
      <w:r>
        <w:t xml:space="preserve">” should </w:t>
      </w:r>
      <w:r w:rsidR="00092677">
        <w:t xml:space="preserve">not be included in </w:t>
      </w:r>
      <w:r>
        <w:t xml:space="preserve">the item descriptor, as </w:t>
      </w:r>
      <w:r w:rsidR="007A2E52">
        <w:t xml:space="preserve">the </w:t>
      </w:r>
      <w:r>
        <w:t>cost-effectiveness</w:t>
      </w:r>
      <w:r w:rsidR="005C12C0">
        <w:t xml:space="preserve"> of CA in the proposed indication</w:t>
      </w:r>
      <w:r>
        <w:t xml:space="preserve"> </w:t>
      </w:r>
      <w:proofErr w:type="gramStart"/>
      <w:r>
        <w:t>is predicated</w:t>
      </w:r>
      <w:proofErr w:type="gramEnd"/>
      <w:r>
        <w:t xml:space="preserve"> on this. </w:t>
      </w:r>
      <w:r w:rsidR="00092677">
        <w:t xml:space="preserve">MSAC also considered that the item descriptor should state ‘renal cell carcinoma’ rather than ‘localised primary malignant tumour of the kidney’ </w:t>
      </w:r>
      <w:r w:rsidR="005C12C0">
        <w:t>in line with the presented evidence</w:t>
      </w:r>
      <w:r w:rsidR="00092677">
        <w:t>.</w:t>
      </w:r>
    </w:p>
    <w:p w14:paraId="32FA7F01" w14:textId="0D182EF2" w:rsidR="004447CF" w:rsidDel="002A2AD7" w:rsidRDefault="004447CF" w:rsidP="004447CF">
      <w:pPr>
        <w:spacing w:after="240"/>
      </w:pPr>
      <w:r w:rsidDel="002A2AD7">
        <w:t>MSAC noted the proposed fee for CA</w:t>
      </w:r>
      <w:r w:rsidR="00580514">
        <w:t xml:space="preserve"> </w:t>
      </w:r>
      <w:proofErr w:type="gramStart"/>
      <w:r w:rsidR="00580514">
        <w:t>was</w:t>
      </w:r>
      <w:r w:rsidDel="002A2AD7">
        <w:t xml:space="preserve"> based</w:t>
      </w:r>
      <w:proofErr w:type="gramEnd"/>
      <w:r w:rsidDel="002A2AD7">
        <w:t xml:space="preserve"> on a similar MBS item for </w:t>
      </w:r>
      <w:r w:rsidR="005C12C0">
        <w:t xml:space="preserve">ablation of an </w:t>
      </w:r>
      <w:proofErr w:type="spellStart"/>
      <w:r w:rsidR="005C12C0">
        <w:t>u</w:t>
      </w:r>
      <w:r w:rsidR="005C12C0" w:rsidRPr="005C12C0">
        <w:t>nresectable</w:t>
      </w:r>
      <w:proofErr w:type="spellEnd"/>
      <w:r w:rsidR="005C12C0" w:rsidRPr="005C12C0">
        <w:t xml:space="preserve"> primary malignant tumour of the liver</w:t>
      </w:r>
      <w:r w:rsidDel="002A2AD7">
        <w:t xml:space="preserve">. However, </w:t>
      </w:r>
      <w:r w:rsidR="005C12C0">
        <w:t xml:space="preserve">MSAC noted </w:t>
      </w:r>
      <w:r w:rsidDel="002A2AD7">
        <w:t xml:space="preserve">lesions in the kidney are likely to be smaller and the procedure is less complex and likely to take less time than in the liver. </w:t>
      </w:r>
      <w:r w:rsidR="00580514">
        <w:t>Therefore, MSAC considered that it was inappropriate for the fee for CA in the kidney to be the same as the fee for ablation</w:t>
      </w:r>
      <w:r w:rsidR="005C12C0">
        <w:t xml:space="preserve"> of a liver tumour</w:t>
      </w:r>
      <w:r w:rsidR="00580514">
        <w:t xml:space="preserve">. </w:t>
      </w:r>
      <w:r w:rsidDel="002A2AD7">
        <w:t xml:space="preserve">MSAC </w:t>
      </w:r>
      <w:r w:rsidR="00580514">
        <w:t>advised</w:t>
      </w:r>
      <w:r w:rsidR="00580514" w:rsidRPr="00580514">
        <w:t xml:space="preserve"> that the Department should liaise with stakeholders to determine a reduced fee that is commensurate with the time and complexity for the procedure.</w:t>
      </w:r>
    </w:p>
    <w:p w14:paraId="53472871" w14:textId="77777777" w:rsidR="007C76A8" w:rsidRDefault="007C76A8">
      <w:r>
        <w:br w:type="page"/>
      </w:r>
    </w:p>
    <w:p w14:paraId="4C7D9D9D" w14:textId="3F845895" w:rsidR="00D26E4B" w:rsidRDefault="00E138E6" w:rsidP="007A2E52">
      <w:pPr>
        <w:spacing w:after="240"/>
      </w:pPr>
      <w:r>
        <w:t xml:space="preserve">The MSAC-supported MBS item descriptor is as follows: </w:t>
      </w:r>
    </w:p>
    <w:tbl>
      <w:tblPr>
        <w:tblStyle w:val="TableGrid1"/>
        <w:tblW w:w="4981" w:type="pct"/>
        <w:tblLook w:val="04A0" w:firstRow="1" w:lastRow="0" w:firstColumn="1" w:lastColumn="0" w:noHBand="0" w:noVBand="1"/>
        <w:tblCaption w:val="Proposed Item descriptor for cryoablation "/>
        <w:tblDescription w:val="The proposed MBS item descriptor for cryoablation in the submission"/>
      </w:tblPr>
      <w:tblGrid>
        <w:gridCol w:w="4547"/>
        <w:gridCol w:w="4435"/>
      </w:tblGrid>
      <w:tr w:rsidR="00E138E6" w:rsidRPr="00545D24" w14:paraId="731EAFA9" w14:textId="77777777" w:rsidTr="003A7EA2">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1F3C9B4E" w14:textId="77777777" w:rsidR="00E138E6" w:rsidRPr="00545D24" w:rsidRDefault="00E138E6" w:rsidP="00167586">
            <w:pPr>
              <w:keepNext/>
              <w:rPr>
                <w:rFonts w:ascii="Arial Narrow" w:hAnsi="Arial Narrow" w:cs="Arial"/>
                <w:b/>
                <w:bCs/>
                <w:sz w:val="20"/>
                <w:lang w:eastAsia="en-US"/>
              </w:rPr>
            </w:pPr>
            <w:r w:rsidRPr="00545D24">
              <w:rPr>
                <w:rFonts w:ascii="Arial Narrow" w:hAnsi="Arial Narrow" w:cs="Arial"/>
                <w:b/>
                <w:bCs/>
                <w:sz w:val="20"/>
                <w:lang w:eastAsia="en-US"/>
              </w:rPr>
              <w:t>Category 3 – THERAPEUTIC PROCEDURES</w:t>
            </w:r>
          </w:p>
        </w:tc>
      </w:tr>
      <w:tr w:rsidR="00E138E6" w:rsidRPr="00545D24" w14:paraId="28641139" w14:textId="77777777" w:rsidTr="003A7EA2">
        <w:tc>
          <w:tcPr>
            <w:tcW w:w="2531" w:type="pct"/>
          </w:tcPr>
          <w:p w14:paraId="7B45ECAA" w14:textId="77777777" w:rsidR="00E138E6" w:rsidRPr="00545D24" w:rsidRDefault="00E138E6" w:rsidP="00167586">
            <w:pPr>
              <w:keepNext/>
              <w:rPr>
                <w:rFonts w:cs="Arial"/>
                <w:b/>
                <w:bCs/>
                <w:sz w:val="20"/>
                <w:lang w:eastAsia="en-US"/>
              </w:rPr>
            </w:pPr>
            <w:r w:rsidRPr="00545D24">
              <w:rPr>
                <w:rFonts w:cs="Arial"/>
                <w:b/>
                <w:bCs/>
                <w:sz w:val="20"/>
                <w:lang w:eastAsia="en-US"/>
              </w:rPr>
              <w:t>T8. SURGICAL OPERATIONS</w:t>
            </w:r>
          </w:p>
        </w:tc>
        <w:tc>
          <w:tcPr>
            <w:tcW w:w="2469" w:type="pct"/>
          </w:tcPr>
          <w:p w14:paraId="449522C7" w14:textId="77777777" w:rsidR="00E138E6" w:rsidRPr="00545D24" w:rsidRDefault="00E138E6" w:rsidP="00167586">
            <w:pPr>
              <w:keepNext/>
              <w:jc w:val="right"/>
              <w:rPr>
                <w:rFonts w:cs="Arial"/>
                <w:b/>
                <w:bCs/>
                <w:sz w:val="20"/>
                <w:lang w:eastAsia="en-US"/>
              </w:rPr>
            </w:pPr>
            <w:r w:rsidRPr="00545D24">
              <w:rPr>
                <w:rFonts w:cs="Arial"/>
                <w:b/>
                <w:bCs/>
                <w:sz w:val="20"/>
                <w:lang w:eastAsia="en-US"/>
              </w:rPr>
              <w:t>XX. CRYOABLATION</w:t>
            </w:r>
          </w:p>
        </w:tc>
      </w:tr>
      <w:tr w:rsidR="00E138E6" w:rsidRPr="00545D24" w14:paraId="0FA629E4" w14:textId="77777777" w:rsidTr="003A7EA2">
        <w:tc>
          <w:tcPr>
            <w:tcW w:w="5000" w:type="pct"/>
            <w:gridSpan w:val="2"/>
          </w:tcPr>
          <w:p w14:paraId="21F584E3" w14:textId="77777777" w:rsidR="00E138E6" w:rsidRPr="00545D24" w:rsidRDefault="00E138E6" w:rsidP="00167586">
            <w:pPr>
              <w:rPr>
                <w:snapToGrid w:val="0"/>
                <w:sz w:val="20"/>
              </w:rPr>
            </w:pPr>
            <w:r w:rsidRPr="00545D24">
              <w:rPr>
                <w:snapToGrid w:val="0"/>
                <w:sz w:val="20"/>
              </w:rPr>
              <w:t>CRYOABLATION</w:t>
            </w:r>
          </w:p>
          <w:p w14:paraId="0BB02748" w14:textId="664436BB" w:rsidR="005C12C0" w:rsidRPr="00545D24" w:rsidRDefault="002A2AD7" w:rsidP="00167586">
            <w:pPr>
              <w:rPr>
                <w:snapToGrid w:val="0"/>
                <w:sz w:val="20"/>
              </w:rPr>
            </w:pPr>
            <w:r>
              <w:rPr>
                <w:snapToGrid w:val="0"/>
                <w:sz w:val="20"/>
              </w:rPr>
              <w:t>Renal cell carcinoma</w:t>
            </w:r>
            <w:r w:rsidR="00E138E6" w:rsidRPr="00545D24">
              <w:rPr>
                <w:snapToGrid w:val="0"/>
                <w:sz w:val="20"/>
              </w:rPr>
              <w:t xml:space="preserve">, not more than 4 cm in diameter, destruction of, by percutaneous, laparoscopic or open cryoablation (including any associated imaging services), where malignancy </w:t>
            </w:r>
            <w:r w:rsidR="00E138E6" w:rsidRPr="00365BD1">
              <w:rPr>
                <w:snapToGrid w:val="0"/>
                <w:sz w:val="20"/>
              </w:rPr>
              <w:t>has previously been</w:t>
            </w:r>
            <w:r w:rsidR="00E138E6" w:rsidRPr="004447CF">
              <w:rPr>
                <w:snapToGrid w:val="0"/>
                <w:sz w:val="20"/>
              </w:rPr>
              <w:t xml:space="preserve"> confirmed </w:t>
            </w:r>
            <w:r w:rsidR="00E138E6" w:rsidRPr="00545D24">
              <w:rPr>
                <w:snapToGrid w:val="0"/>
                <w:sz w:val="20"/>
              </w:rPr>
              <w:t>by histopathological examination and a multi-disciplinary team has reviewed treatment options for the patient and assessed that partial nephrectomy is not suitable.</w:t>
            </w:r>
          </w:p>
          <w:p w14:paraId="5D90E1AF" w14:textId="4B857408" w:rsidR="005C12C0" w:rsidRPr="00800956" w:rsidRDefault="00E138E6" w:rsidP="00800956">
            <w:pPr>
              <w:spacing w:before="240" w:after="240"/>
              <w:rPr>
                <w:snapToGrid w:val="0"/>
                <w:sz w:val="20"/>
              </w:rPr>
            </w:pPr>
            <w:r w:rsidRPr="00545D24">
              <w:rPr>
                <w:snapToGrid w:val="0"/>
                <w:sz w:val="20"/>
              </w:rPr>
              <w:t>Not being associated with a service to which item 36522 or 36525 applies.</w:t>
            </w:r>
          </w:p>
          <w:p w14:paraId="32B18111" w14:textId="39E9E8B3" w:rsidR="00E138E6" w:rsidRPr="00545D24" w:rsidRDefault="006728D4" w:rsidP="00167586">
            <w:pPr>
              <w:rPr>
                <w:snapToGrid w:val="0"/>
                <w:sz w:val="20"/>
              </w:rPr>
            </w:pPr>
            <w:hyperlink r:id="rId10" w:tooltip="a web-link to explanation of note TN.8.2 Multiple Operation Rule on the Medicare Benefits Schedule" w:history="1">
              <w:r w:rsidR="00E138E6" w:rsidRPr="00545D24">
                <w:rPr>
                  <w:snapToGrid w:val="0"/>
                  <w:color w:val="0000FF"/>
                  <w:sz w:val="20"/>
                  <w:u w:val="single"/>
                </w:rPr>
                <w:t>Multiple Operation Rule</w:t>
              </w:r>
            </w:hyperlink>
          </w:p>
          <w:p w14:paraId="5EB148A2" w14:textId="77777777" w:rsidR="00E138E6" w:rsidRPr="00545D24" w:rsidRDefault="00E138E6" w:rsidP="00167586">
            <w:pPr>
              <w:rPr>
                <w:snapToGrid w:val="0"/>
                <w:sz w:val="20"/>
              </w:rPr>
            </w:pPr>
            <w:r w:rsidRPr="00545D24">
              <w:rPr>
                <w:snapToGrid w:val="0"/>
                <w:sz w:val="20"/>
              </w:rPr>
              <w:t>(</w:t>
            </w:r>
            <w:proofErr w:type="spellStart"/>
            <w:r w:rsidRPr="00545D24">
              <w:rPr>
                <w:snapToGrid w:val="0"/>
                <w:sz w:val="20"/>
              </w:rPr>
              <w:t>Anaes</w:t>
            </w:r>
            <w:proofErr w:type="spellEnd"/>
            <w:r w:rsidRPr="00545D24">
              <w:rPr>
                <w:snapToGrid w:val="0"/>
                <w:sz w:val="20"/>
              </w:rPr>
              <w:t xml:space="preserve">.) </w:t>
            </w:r>
          </w:p>
          <w:p w14:paraId="523C586D" w14:textId="77777777" w:rsidR="00E138E6" w:rsidRPr="00545D24" w:rsidRDefault="00E138E6" w:rsidP="00167586">
            <w:pPr>
              <w:rPr>
                <w:snapToGrid w:val="0"/>
                <w:sz w:val="20"/>
              </w:rPr>
            </w:pPr>
            <w:r w:rsidRPr="00545D24">
              <w:rPr>
                <w:snapToGrid w:val="0"/>
                <w:sz w:val="20"/>
              </w:rPr>
              <w:t>(See para TN.8.XX1, TN.8.XX2 of explanatory notes to this category)</w:t>
            </w:r>
          </w:p>
          <w:p w14:paraId="701924D0" w14:textId="2C38F233" w:rsidR="00E138E6" w:rsidRPr="00545D24" w:rsidRDefault="00E138E6" w:rsidP="00557AD1">
            <w:pPr>
              <w:rPr>
                <w:snapToGrid w:val="0"/>
              </w:rPr>
            </w:pPr>
            <w:r w:rsidRPr="00545D24">
              <w:rPr>
                <w:b/>
                <w:bCs/>
                <w:sz w:val="20"/>
              </w:rPr>
              <w:t>Fee</w:t>
            </w:r>
            <w:r w:rsidRPr="00545D24">
              <w:rPr>
                <w:sz w:val="20"/>
              </w:rPr>
              <w:t>: $</w:t>
            </w:r>
            <w:r w:rsidR="002A2AD7">
              <w:rPr>
                <w:sz w:val="20"/>
              </w:rPr>
              <w:t xml:space="preserve">To be advised </w:t>
            </w:r>
            <w:r w:rsidR="00557AD1" w:rsidRPr="00545D24">
              <w:rPr>
                <w:snapToGrid w:val="0"/>
              </w:rPr>
              <w:t xml:space="preserve"> </w:t>
            </w:r>
          </w:p>
        </w:tc>
      </w:tr>
      <w:tr w:rsidR="00E138E6" w:rsidRPr="00545D24" w14:paraId="7CA3E612" w14:textId="77777777" w:rsidTr="003A7EA2">
        <w:tc>
          <w:tcPr>
            <w:tcW w:w="5000" w:type="pct"/>
            <w:gridSpan w:val="2"/>
          </w:tcPr>
          <w:p w14:paraId="74A1B9B6" w14:textId="77777777" w:rsidR="00E138E6" w:rsidRPr="00545D24" w:rsidRDefault="00E138E6" w:rsidP="00167586">
            <w:pPr>
              <w:rPr>
                <w:sz w:val="20"/>
              </w:rPr>
            </w:pPr>
            <w:r w:rsidRPr="00545D24">
              <w:rPr>
                <w:b/>
                <w:bCs/>
                <w:sz w:val="20"/>
              </w:rPr>
              <w:t>TN.8.XX1</w:t>
            </w:r>
            <w:r w:rsidRPr="00545D24">
              <w:rPr>
                <w:sz w:val="20"/>
              </w:rPr>
              <w:t xml:space="preserve"> For the purpose of the proposed item, a multi-disciplinary team typically includes </w:t>
            </w:r>
            <w:proofErr w:type="gramStart"/>
            <w:r w:rsidRPr="00545D24">
              <w:rPr>
                <w:sz w:val="20"/>
              </w:rPr>
              <w:t>a</w:t>
            </w:r>
            <w:proofErr w:type="gramEnd"/>
            <w:r w:rsidRPr="00545D24">
              <w:rPr>
                <w:sz w:val="20"/>
              </w:rPr>
              <w:t xml:space="preserve"> urologist, interventional radiologist and oncologist. Patients eligible for Medicare-funded cryoablation needs to be considered by the multi-disciplinary team as not suitable for partial nephrectomy and typically have one or more of the following characteristics:</w:t>
            </w:r>
          </w:p>
          <w:p w14:paraId="7B5E698F" w14:textId="77777777" w:rsidR="00E138E6" w:rsidRPr="00545D24" w:rsidRDefault="00E138E6" w:rsidP="00167586">
            <w:pPr>
              <w:rPr>
                <w:sz w:val="20"/>
              </w:rPr>
            </w:pPr>
            <w:r w:rsidRPr="00545D24">
              <w:rPr>
                <w:sz w:val="20"/>
              </w:rPr>
              <w:t>•</w:t>
            </w:r>
            <w:r w:rsidRPr="00545D24">
              <w:rPr>
                <w:sz w:val="20"/>
              </w:rPr>
              <w:tab/>
              <w:t>Elderly and/or frailty;</w:t>
            </w:r>
          </w:p>
          <w:p w14:paraId="70048942" w14:textId="77777777" w:rsidR="00E138E6" w:rsidRPr="00545D24" w:rsidRDefault="00E138E6" w:rsidP="00167586">
            <w:pPr>
              <w:rPr>
                <w:sz w:val="20"/>
              </w:rPr>
            </w:pPr>
            <w:r w:rsidRPr="00545D24">
              <w:rPr>
                <w:sz w:val="20"/>
              </w:rPr>
              <w:t>•</w:t>
            </w:r>
            <w:r w:rsidRPr="00545D24">
              <w:rPr>
                <w:sz w:val="20"/>
              </w:rPr>
              <w:tab/>
              <w:t>High surgical risk;</w:t>
            </w:r>
          </w:p>
          <w:p w14:paraId="7912A1FC" w14:textId="77777777" w:rsidR="00E138E6" w:rsidRPr="00545D24" w:rsidRDefault="00E138E6" w:rsidP="00167586">
            <w:pPr>
              <w:rPr>
                <w:sz w:val="20"/>
              </w:rPr>
            </w:pPr>
            <w:r w:rsidRPr="00545D24">
              <w:rPr>
                <w:sz w:val="20"/>
              </w:rPr>
              <w:t>•</w:t>
            </w:r>
            <w:r w:rsidRPr="00545D24">
              <w:rPr>
                <w:sz w:val="20"/>
              </w:rPr>
              <w:tab/>
              <w:t>Poor renal function;</w:t>
            </w:r>
          </w:p>
          <w:p w14:paraId="5ADD27DF" w14:textId="77777777" w:rsidR="00E138E6" w:rsidRPr="00545D24" w:rsidRDefault="00E138E6" w:rsidP="00167586">
            <w:pPr>
              <w:rPr>
                <w:sz w:val="20"/>
              </w:rPr>
            </w:pPr>
            <w:r w:rsidRPr="00545D24">
              <w:rPr>
                <w:sz w:val="20"/>
              </w:rPr>
              <w:t>•</w:t>
            </w:r>
            <w:r w:rsidRPr="00545D24">
              <w:rPr>
                <w:sz w:val="20"/>
              </w:rPr>
              <w:tab/>
              <w:t>Solitary kidney;</w:t>
            </w:r>
          </w:p>
          <w:p w14:paraId="124BAFCC" w14:textId="7F2068CD" w:rsidR="00E138E6" w:rsidRPr="00545D24" w:rsidRDefault="004447CF" w:rsidP="004447CF">
            <w:pPr>
              <w:rPr>
                <w:sz w:val="20"/>
              </w:rPr>
            </w:pPr>
            <w:r>
              <w:rPr>
                <w:sz w:val="20"/>
              </w:rPr>
              <w:t>•</w:t>
            </w:r>
            <w:r>
              <w:rPr>
                <w:sz w:val="20"/>
              </w:rPr>
              <w:tab/>
              <w:t>Bilateral kidney tumours.</w:t>
            </w:r>
          </w:p>
        </w:tc>
      </w:tr>
      <w:tr w:rsidR="00E138E6" w:rsidRPr="00545D24" w14:paraId="38CCCD1E" w14:textId="77777777" w:rsidTr="003A7EA2">
        <w:tc>
          <w:tcPr>
            <w:tcW w:w="5000" w:type="pct"/>
            <w:gridSpan w:val="2"/>
          </w:tcPr>
          <w:p w14:paraId="36BE2CE3" w14:textId="77777777" w:rsidR="00E138E6" w:rsidRPr="00545D24" w:rsidRDefault="00E138E6" w:rsidP="00167586">
            <w:pPr>
              <w:rPr>
                <w:sz w:val="20"/>
              </w:rPr>
            </w:pPr>
            <w:r w:rsidRPr="00545D24">
              <w:rPr>
                <w:b/>
                <w:bCs/>
                <w:sz w:val="20"/>
              </w:rPr>
              <w:t>TN.8.XX2</w:t>
            </w:r>
            <w:r w:rsidRPr="00545D24">
              <w:rPr>
                <w:sz w:val="20"/>
              </w:rPr>
              <w:t xml:space="preserve"> For the purpose of the proposed item, the procedure is to </w:t>
            </w:r>
            <w:proofErr w:type="gramStart"/>
            <w:r w:rsidRPr="00545D24">
              <w:rPr>
                <w:sz w:val="20"/>
              </w:rPr>
              <w:t>be performed</w:t>
            </w:r>
            <w:proofErr w:type="gramEnd"/>
            <w:r w:rsidRPr="00545D24">
              <w:rPr>
                <w:sz w:val="20"/>
              </w:rPr>
              <w:t xml:space="preserve"> by an interventional radiologist specially trained for the procedure. Percutaneous cryoablation should be the preferred approach unless the percutaneous approach </w:t>
            </w:r>
            <w:proofErr w:type="gramStart"/>
            <w:r w:rsidRPr="00545D24">
              <w:rPr>
                <w:sz w:val="20"/>
              </w:rPr>
              <w:t>is considered</w:t>
            </w:r>
            <w:proofErr w:type="gramEnd"/>
            <w:r w:rsidRPr="00545D24">
              <w:rPr>
                <w:sz w:val="20"/>
              </w:rPr>
              <w:t xml:space="preserve"> not suitable for the individual patient by the multi-disciplinary team.</w:t>
            </w:r>
          </w:p>
        </w:tc>
      </w:tr>
    </w:tbl>
    <w:p w14:paraId="1B59578A" w14:textId="6ED19A17" w:rsidR="004447CF" w:rsidRPr="0003154A" w:rsidRDefault="004447CF" w:rsidP="007C76A8">
      <w:pPr>
        <w:spacing w:before="240" w:after="120"/>
        <w:rPr>
          <w:b/>
        </w:rPr>
      </w:pPr>
      <w:r>
        <w:rPr>
          <w:b/>
        </w:rPr>
        <w:t>Other discussion</w:t>
      </w:r>
    </w:p>
    <w:p w14:paraId="09E8F1E8" w14:textId="096F68C6" w:rsidR="00D26E4B" w:rsidRDefault="00D26E4B" w:rsidP="007A2E52">
      <w:pPr>
        <w:spacing w:after="240"/>
      </w:pPr>
      <w:r>
        <w:t xml:space="preserve">MSAC noted the applicant’s suggestion to include the </w:t>
      </w:r>
      <w:r w:rsidR="0003154A">
        <w:t xml:space="preserve">CA </w:t>
      </w:r>
      <w:r>
        <w:t xml:space="preserve">needles on Part C of the Prostheses List (PL) at a benefit amount of </w:t>
      </w:r>
      <w:r w:rsidRPr="004A3BEA">
        <w:t>$</w:t>
      </w:r>
      <w:r w:rsidR="004A3BEA" w:rsidRPr="004A3BEA">
        <w:rPr>
          <w:b/>
        </w:rPr>
        <w:t>redacted</w:t>
      </w:r>
      <w:r>
        <w:t xml:space="preserve">. </w:t>
      </w:r>
      <w:r w:rsidRPr="0003154A">
        <w:t>MSAC</w:t>
      </w:r>
      <w:r w:rsidR="00291D13">
        <w:t xml:space="preserve"> noted</w:t>
      </w:r>
      <w:r w:rsidRPr="0003154A">
        <w:t xml:space="preserve"> </w:t>
      </w:r>
      <w:r w:rsidR="004447CF" w:rsidRPr="0003154A">
        <w:t xml:space="preserve">that </w:t>
      </w:r>
      <w:r w:rsidR="0003154A" w:rsidRPr="0003154A">
        <w:t xml:space="preserve">the role of MSAC is not to </w:t>
      </w:r>
      <w:proofErr w:type="gramStart"/>
      <w:r w:rsidR="0003154A" w:rsidRPr="0003154A">
        <w:t>advise</w:t>
      </w:r>
      <w:proofErr w:type="gramEnd"/>
      <w:r w:rsidR="0003154A" w:rsidRPr="0003154A">
        <w:t xml:space="preserve"> about the PL; this is the role of the Prostheses </w:t>
      </w:r>
      <w:r w:rsidR="00800956">
        <w:t>List Advisory Committee (PLAC).</w:t>
      </w:r>
    </w:p>
    <w:p w14:paraId="5B58A27F" w14:textId="77777777" w:rsidR="00BC1364" w:rsidRPr="00F715D1" w:rsidRDefault="00BC1364" w:rsidP="00F715D1">
      <w:pPr>
        <w:pStyle w:val="Heading1"/>
      </w:pPr>
      <w:r w:rsidRPr="00F715D1">
        <w:t>Background</w:t>
      </w:r>
    </w:p>
    <w:p w14:paraId="2AE1E027" w14:textId="7F8CCE9B" w:rsidR="00F922EB" w:rsidRPr="00F922EB" w:rsidRDefault="00F922EB" w:rsidP="005A6CCF">
      <w:pPr>
        <w:spacing w:after="240"/>
      </w:pPr>
      <w:r w:rsidRPr="00F922EB">
        <w:t>This is the first submission (Applicant Developed Assessment Report [ADAR]) for MSAC Application 1597 - cryoablation for the treatment of biopsy-confirmed RCC ≤4 cm, in patients not suitable for PN.</w:t>
      </w:r>
      <w:r w:rsidR="00557AD1">
        <w:t xml:space="preserve"> </w:t>
      </w:r>
    </w:p>
    <w:p w14:paraId="3660FA97" w14:textId="77777777" w:rsidR="00BC1364" w:rsidRPr="00F715D1" w:rsidRDefault="00BC1364" w:rsidP="00F715D1">
      <w:pPr>
        <w:pStyle w:val="Heading1"/>
      </w:pPr>
      <w:r w:rsidRPr="00F715D1">
        <w:t>Prerequisites to implementation of any funding advice</w:t>
      </w:r>
    </w:p>
    <w:p w14:paraId="0BDD1A57" w14:textId="546D0BE9" w:rsidR="00054585" w:rsidRPr="00800956" w:rsidRDefault="00054585" w:rsidP="00054585">
      <w:bookmarkStart w:id="1" w:name="_Hlk46104825"/>
      <w:r w:rsidRPr="00D43219">
        <w:t>The proposed medical service relies on devices to achieve its intended effect: a CA system (multi-use) and CA needles (single-use consumables)</w:t>
      </w:r>
      <w:r>
        <w:t>.</w:t>
      </w:r>
      <w:bookmarkEnd w:id="1"/>
      <w:r>
        <w:t xml:space="preserve"> </w:t>
      </w:r>
      <w:r w:rsidRPr="0037350A">
        <w:t xml:space="preserve">Items on the Australian Register of Therapeutic Goods (ARTG) that are relevant to this application </w:t>
      </w:r>
      <w:proofErr w:type="gramStart"/>
      <w:r w:rsidRPr="0037350A">
        <w:t>are shown</w:t>
      </w:r>
      <w:proofErr w:type="gramEnd"/>
      <w:r w:rsidRPr="0037350A">
        <w:t xml:space="preserve"> in </w:t>
      </w:r>
      <w:r w:rsidRPr="0037350A">
        <w:fldChar w:fldCharType="begin"/>
      </w:r>
      <w:r w:rsidRPr="0037350A">
        <w:instrText xml:space="preserve"> REF _Ref34745102 \h </w:instrText>
      </w:r>
      <w:r>
        <w:instrText xml:space="preserve"> \* MERGEFORMAT </w:instrText>
      </w:r>
      <w:r w:rsidRPr="0037350A">
        <w:fldChar w:fldCharType="separate"/>
      </w:r>
      <w:r w:rsidRPr="0037350A">
        <w:t xml:space="preserve">Table </w:t>
      </w:r>
      <w:r w:rsidRPr="0037350A">
        <w:rPr>
          <w:noProof/>
        </w:rPr>
        <w:t>1</w:t>
      </w:r>
      <w:r w:rsidRPr="0037350A">
        <w:fldChar w:fldCharType="end"/>
      </w:r>
      <w:r w:rsidR="007C76A8">
        <w:t>.</w:t>
      </w:r>
    </w:p>
    <w:p w14:paraId="3C482EA2" w14:textId="464BA79A" w:rsidR="00054585" w:rsidRPr="003A7EA2" w:rsidRDefault="00054585" w:rsidP="00800956">
      <w:pPr>
        <w:spacing w:before="240"/>
        <w:rPr>
          <w:rFonts w:ascii="Arial Narrow" w:hAnsi="Arial Narrow"/>
          <w:b/>
          <w:sz w:val="20"/>
        </w:rPr>
      </w:pPr>
      <w:bookmarkStart w:id="2" w:name="_Ref40795757"/>
      <w:r w:rsidRPr="003A7EA2">
        <w:rPr>
          <w:rFonts w:ascii="Arial Narrow" w:hAnsi="Arial Narrow"/>
          <w:b/>
          <w:sz w:val="20"/>
        </w:rPr>
        <w:t xml:space="preserve">Table </w:t>
      </w:r>
      <w:r w:rsidR="00C736E0" w:rsidRPr="003A7EA2">
        <w:rPr>
          <w:rFonts w:ascii="Arial Narrow" w:hAnsi="Arial Narrow"/>
          <w:b/>
          <w:sz w:val="20"/>
        </w:rPr>
        <w:fldChar w:fldCharType="begin"/>
      </w:r>
      <w:r w:rsidR="00C736E0" w:rsidRPr="003A7EA2">
        <w:rPr>
          <w:rFonts w:ascii="Arial Narrow" w:hAnsi="Arial Narrow"/>
          <w:b/>
          <w:sz w:val="20"/>
        </w:rPr>
        <w:instrText xml:space="preserve"> SEQ Table \* ARABIC </w:instrText>
      </w:r>
      <w:r w:rsidR="00C736E0" w:rsidRPr="003A7EA2">
        <w:rPr>
          <w:rFonts w:ascii="Arial Narrow" w:hAnsi="Arial Narrow"/>
          <w:b/>
          <w:sz w:val="20"/>
        </w:rPr>
        <w:fldChar w:fldCharType="separate"/>
      </w:r>
      <w:r w:rsidRPr="003A7EA2">
        <w:rPr>
          <w:rFonts w:ascii="Arial Narrow" w:hAnsi="Arial Narrow"/>
          <w:b/>
          <w:sz w:val="20"/>
        </w:rPr>
        <w:t>1</w:t>
      </w:r>
      <w:r w:rsidR="00C736E0" w:rsidRPr="003A7EA2">
        <w:rPr>
          <w:rFonts w:ascii="Arial Narrow" w:hAnsi="Arial Narrow"/>
          <w:b/>
          <w:sz w:val="20"/>
        </w:rPr>
        <w:fldChar w:fldCharType="end"/>
      </w:r>
      <w:bookmarkEnd w:id="2"/>
      <w:r w:rsidR="00071451" w:rsidRPr="003A7EA2">
        <w:rPr>
          <w:rFonts w:ascii="Arial Narrow" w:hAnsi="Arial Narrow"/>
          <w:b/>
          <w:sz w:val="20"/>
        </w:rPr>
        <w:tab/>
      </w:r>
      <w:r w:rsidRPr="003A7EA2">
        <w:rPr>
          <w:rFonts w:ascii="Arial Narrow" w:hAnsi="Arial Narrow"/>
          <w:b/>
          <w:sz w:val="20"/>
        </w:rPr>
        <w:t>Cryoablation products listed on the ARTG</w:t>
      </w:r>
    </w:p>
    <w:tbl>
      <w:tblPr>
        <w:tblStyle w:val="TableGrid1"/>
        <w:tblW w:w="8642" w:type="dxa"/>
        <w:tblLayout w:type="fixed"/>
        <w:tblLook w:val="04A0" w:firstRow="1" w:lastRow="0" w:firstColumn="1" w:lastColumn="0" w:noHBand="0" w:noVBand="1"/>
        <w:tblCaption w:val="Table 10 XXX listed on the Australian Register of Therapeutic Goods"/>
        <w:tblDescription w:val="This table provides the registry number, product number, product description, product category and sponsor for products that relate to the technology being assessed and that are currently registered on the Australian Register of Therapeutic Goods."/>
      </w:tblPr>
      <w:tblGrid>
        <w:gridCol w:w="988"/>
        <w:gridCol w:w="3260"/>
        <w:gridCol w:w="1701"/>
        <w:gridCol w:w="2693"/>
      </w:tblGrid>
      <w:tr w:rsidR="00054585" w:rsidRPr="00265ACA" w14:paraId="51A36602" w14:textId="77777777" w:rsidTr="00054585">
        <w:trPr>
          <w:cnfStyle w:val="100000000000" w:firstRow="1" w:lastRow="0" w:firstColumn="0" w:lastColumn="0" w:oddVBand="0" w:evenVBand="0" w:oddHBand="0" w:evenHBand="0" w:firstRowFirstColumn="0" w:firstRowLastColumn="0" w:lastRowFirstColumn="0" w:lastRowLastColumn="0"/>
          <w:tblHeader/>
        </w:trPr>
        <w:tc>
          <w:tcPr>
            <w:tcW w:w="988" w:type="dxa"/>
          </w:tcPr>
          <w:p w14:paraId="3831CB14" w14:textId="77777777" w:rsidR="00054585" w:rsidRPr="00265ACA" w:rsidRDefault="00054585" w:rsidP="007C76A8">
            <w:pPr>
              <w:pStyle w:val="TableHeading"/>
              <w:spacing w:before="0" w:after="0"/>
            </w:pPr>
            <w:r w:rsidRPr="00265ACA">
              <w:t>ARTG no.</w:t>
            </w:r>
          </w:p>
        </w:tc>
        <w:tc>
          <w:tcPr>
            <w:tcW w:w="3260" w:type="dxa"/>
          </w:tcPr>
          <w:p w14:paraId="69488A04" w14:textId="77777777" w:rsidR="00054585" w:rsidRPr="00265ACA" w:rsidRDefault="00054585" w:rsidP="007C76A8">
            <w:pPr>
              <w:pStyle w:val="TableHeading"/>
              <w:spacing w:before="0" w:after="0"/>
            </w:pPr>
            <w:r w:rsidRPr="00265ACA">
              <w:t>Product description</w:t>
            </w:r>
          </w:p>
        </w:tc>
        <w:tc>
          <w:tcPr>
            <w:tcW w:w="1701" w:type="dxa"/>
          </w:tcPr>
          <w:p w14:paraId="1EE3ADCC" w14:textId="77777777" w:rsidR="00054585" w:rsidRPr="00265ACA" w:rsidRDefault="00054585" w:rsidP="007C76A8">
            <w:pPr>
              <w:pStyle w:val="TableHeading"/>
              <w:spacing w:before="0" w:after="0"/>
            </w:pPr>
            <w:r w:rsidRPr="00265ACA">
              <w:t>Product category</w:t>
            </w:r>
          </w:p>
        </w:tc>
        <w:tc>
          <w:tcPr>
            <w:tcW w:w="2693" w:type="dxa"/>
          </w:tcPr>
          <w:p w14:paraId="1F8F25A1" w14:textId="77777777" w:rsidR="00054585" w:rsidRPr="00265ACA" w:rsidRDefault="00054585" w:rsidP="007C76A8">
            <w:pPr>
              <w:pStyle w:val="TableHeading"/>
              <w:spacing w:before="0" w:after="0"/>
            </w:pPr>
            <w:r w:rsidRPr="00265ACA">
              <w:t>Sponsor</w:t>
            </w:r>
          </w:p>
        </w:tc>
      </w:tr>
      <w:tr w:rsidR="00054585" w:rsidRPr="00265ACA" w14:paraId="2733736A" w14:textId="77777777" w:rsidTr="00054585">
        <w:tc>
          <w:tcPr>
            <w:tcW w:w="988" w:type="dxa"/>
          </w:tcPr>
          <w:p w14:paraId="048D3060" w14:textId="77777777" w:rsidR="00054585" w:rsidRPr="0022325F" w:rsidRDefault="00054585" w:rsidP="007C76A8">
            <w:pPr>
              <w:pStyle w:val="Tabletext"/>
              <w:spacing w:before="0" w:after="0"/>
            </w:pPr>
            <w:r w:rsidRPr="00054585">
              <w:rPr>
                <w:sz w:val="18"/>
                <w:szCs w:val="18"/>
              </w:rPr>
              <w:t>221468</w:t>
            </w:r>
          </w:p>
        </w:tc>
        <w:tc>
          <w:tcPr>
            <w:tcW w:w="3260" w:type="dxa"/>
          </w:tcPr>
          <w:p w14:paraId="37857797" w14:textId="77777777" w:rsidR="00054585" w:rsidRPr="0022325F" w:rsidRDefault="00054585" w:rsidP="007C76A8">
            <w:pPr>
              <w:pStyle w:val="Tabletext"/>
              <w:spacing w:before="0" w:after="0"/>
            </w:pPr>
            <w:r w:rsidRPr="00054585">
              <w:t>Visual-ICE Cryoablation System - Electronic general cryosurgical system</w:t>
            </w:r>
          </w:p>
        </w:tc>
        <w:tc>
          <w:tcPr>
            <w:tcW w:w="1701" w:type="dxa"/>
          </w:tcPr>
          <w:p w14:paraId="1649B5D9" w14:textId="77777777" w:rsidR="00054585" w:rsidRPr="0022325F" w:rsidRDefault="00054585" w:rsidP="007C76A8">
            <w:pPr>
              <w:pStyle w:val="Tabletext"/>
              <w:spacing w:before="0" w:after="0"/>
            </w:pPr>
            <w:r w:rsidRPr="0022325F">
              <w:t xml:space="preserve">Medical Device Class </w:t>
            </w:r>
            <w:proofErr w:type="spellStart"/>
            <w:r w:rsidRPr="0022325F">
              <w:t>IIb</w:t>
            </w:r>
            <w:proofErr w:type="spellEnd"/>
          </w:p>
        </w:tc>
        <w:tc>
          <w:tcPr>
            <w:tcW w:w="2693" w:type="dxa"/>
          </w:tcPr>
          <w:p w14:paraId="24D1FF14" w14:textId="77777777" w:rsidR="00054585" w:rsidRPr="0022325F" w:rsidRDefault="00054585" w:rsidP="007C76A8">
            <w:pPr>
              <w:pStyle w:val="Tabletext"/>
              <w:spacing w:before="0" w:after="0"/>
            </w:pPr>
            <w:r w:rsidRPr="00DE1F21">
              <w:t>Big Green Surgical Company Pty Ltd., Australia</w:t>
            </w:r>
          </w:p>
        </w:tc>
      </w:tr>
      <w:tr w:rsidR="00054585" w:rsidRPr="00265ACA" w14:paraId="4C73C6BE" w14:textId="77777777" w:rsidTr="00054585">
        <w:tc>
          <w:tcPr>
            <w:tcW w:w="988" w:type="dxa"/>
          </w:tcPr>
          <w:p w14:paraId="7BDF787B" w14:textId="77777777" w:rsidR="00054585" w:rsidRPr="0022325F" w:rsidRDefault="00054585" w:rsidP="007C76A8">
            <w:pPr>
              <w:pStyle w:val="Tabletext"/>
              <w:spacing w:before="0" w:after="0"/>
            </w:pPr>
            <w:r w:rsidRPr="00054585">
              <w:rPr>
                <w:sz w:val="18"/>
                <w:szCs w:val="18"/>
              </w:rPr>
              <w:t>224583</w:t>
            </w:r>
          </w:p>
        </w:tc>
        <w:tc>
          <w:tcPr>
            <w:tcW w:w="3260" w:type="dxa"/>
          </w:tcPr>
          <w:p w14:paraId="471DF1C2" w14:textId="77777777" w:rsidR="00054585" w:rsidRPr="0022325F" w:rsidRDefault="00054585" w:rsidP="007C76A8">
            <w:pPr>
              <w:pStyle w:val="Tabletext"/>
              <w:spacing w:before="0" w:after="0"/>
            </w:pPr>
            <w:r w:rsidRPr="00054585">
              <w:t>Cryotherapy set</w:t>
            </w:r>
          </w:p>
        </w:tc>
        <w:tc>
          <w:tcPr>
            <w:tcW w:w="1701" w:type="dxa"/>
          </w:tcPr>
          <w:p w14:paraId="62D068AE" w14:textId="77777777" w:rsidR="00054585" w:rsidRPr="0022325F" w:rsidRDefault="00054585" w:rsidP="007C76A8">
            <w:pPr>
              <w:pStyle w:val="Tabletext"/>
              <w:spacing w:before="0" w:after="0"/>
            </w:pPr>
            <w:r w:rsidRPr="00DE1F21">
              <w:t xml:space="preserve">Medical Device Class </w:t>
            </w:r>
            <w:proofErr w:type="spellStart"/>
            <w:r w:rsidRPr="00DE1F21">
              <w:t>IIb</w:t>
            </w:r>
            <w:proofErr w:type="spellEnd"/>
          </w:p>
        </w:tc>
        <w:tc>
          <w:tcPr>
            <w:tcW w:w="2693" w:type="dxa"/>
          </w:tcPr>
          <w:p w14:paraId="704CC6CE" w14:textId="77777777" w:rsidR="00054585" w:rsidRPr="00DE1F21" w:rsidRDefault="00054585" w:rsidP="007C76A8">
            <w:pPr>
              <w:pStyle w:val="Tabletext"/>
              <w:spacing w:before="0" w:after="0"/>
            </w:pPr>
            <w:r w:rsidRPr="00DE1F21">
              <w:t>Big Green Surgical Company Pty Ltd., Australia</w:t>
            </w:r>
          </w:p>
        </w:tc>
      </w:tr>
      <w:tr w:rsidR="00054585" w:rsidRPr="00265ACA" w14:paraId="5B03027D" w14:textId="77777777" w:rsidTr="00054585">
        <w:tc>
          <w:tcPr>
            <w:tcW w:w="988" w:type="dxa"/>
          </w:tcPr>
          <w:p w14:paraId="109C553F" w14:textId="77777777" w:rsidR="00054585" w:rsidRPr="0022325F" w:rsidRDefault="00054585" w:rsidP="007C76A8">
            <w:pPr>
              <w:pStyle w:val="Tabletext"/>
              <w:spacing w:before="0" w:after="0"/>
            </w:pPr>
            <w:r w:rsidRPr="00054585">
              <w:rPr>
                <w:sz w:val="18"/>
                <w:szCs w:val="18"/>
              </w:rPr>
              <w:t>308786</w:t>
            </w:r>
          </w:p>
        </w:tc>
        <w:tc>
          <w:tcPr>
            <w:tcW w:w="3260" w:type="dxa"/>
          </w:tcPr>
          <w:p w14:paraId="587F0CC7" w14:textId="77777777" w:rsidR="00054585" w:rsidRPr="0022325F" w:rsidRDefault="00054585" w:rsidP="007C76A8">
            <w:pPr>
              <w:pStyle w:val="Tabletext"/>
              <w:spacing w:before="0" w:after="0"/>
            </w:pPr>
            <w:proofErr w:type="spellStart"/>
            <w:r w:rsidRPr="00054585">
              <w:t>ProSense</w:t>
            </w:r>
            <w:proofErr w:type="spellEnd"/>
            <w:r w:rsidRPr="00054585">
              <w:t xml:space="preserve"> Unit - Electronic general cryosurgical system</w:t>
            </w:r>
          </w:p>
        </w:tc>
        <w:tc>
          <w:tcPr>
            <w:tcW w:w="1701" w:type="dxa"/>
          </w:tcPr>
          <w:p w14:paraId="1D1A25A8" w14:textId="77777777" w:rsidR="00054585" w:rsidRPr="0022325F" w:rsidRDefault="00054585" w:rsidP="007C76A8">
            <w:pPr>
              <w:pStyle w:val="Tabletext"/>
              <w:spacing w:before="0" w:after="0"/>
            </w:pPr>
            <w:r w:rsidRPr="00DE1F21">
              <w:t xml:space="preserve">Medical Device Class </w:t>
            </w:r>
            <w:proofErr w:type="spellStart"/>
            <w:r w:rsidRPr="00DE1F21">
              <w:t>IIb</w:t>
            </w:r>
            <w:proofErr w:type="spellEnd"/>
          </w:p>
        </w:tc>
        <w:tc>
          <w:tcPr>
            <w:tcW w:w="2693" w:type="dxa"/>
          </w:tcPr>
          <w:p w14:paraId="0F235F13" w14:textId="77777777" w:rsidR="00054585" w:rsidRPr="0022325F" w:rsidRDefault="00054585" w:rsidP="007C76A8">
            <w:pPr>
              <w:pStyle w:val="Tabletext"/>
              <w:spacing w:before="0" w:after="0"/>
            </w:pPr>
            <w:r w:rsidRPr="00DE1F21">
              <w:t>Surgeons Choice Australia Pty Ltd., Australia</w:t>
            </w:r>
          </w:p>
        </w:tc>
      </w:tr>
    </w:tbl>
    <w:p w14:paraId="1D836428" w14:textId="77777777" w:rsidR="00054585" w:rsidRDefault="00054585" w:rsidP="006D547D">
      <w:pPr>
        <w:pStyle w:val="Tablenotes"/>
        <w:rPr>
          <w:rStyle w:val="Hyperlink"/>
          <w:rFonts w:asciiTheme="minorHAnsi" w:hAnsiTheme="minorHAnsi"/>
        </w:rPr>
      </w:pPr>
      <w:r w:rsidRPr="00265ACA">
        <w:t xml:space="preserve">Source: Therapeutic Goods Administration, accessed </w:t>
      </w:r>
      <w:r>
        <w:t>20 November</w:t>
      </w:r>
      <w:r w:rsidRPr="00265ACA">
        <w:t xml:space="preserve"> </w:t>
      </w:r>
      <w:proofErr w:type="gramStart"/>
      <w:r w:rsidRPr="00265ACA">
        <w:t xml:space="preserve">2020  </w:t>
      </w:r>
      <w:proofErr w:type="gramEnd"/>
      <w:r w:rsidR="006728D4">
        <w:fldChar w:fldCharType="begin"/>
      </w:r>
      <w:r w:rsidR="006728D4">
        <w:instrText xml:space="preserve"> HYPERL</w:instrText>
      </w:r>
      <w:r w:rsidR="006728D4">
        <w:instrText xml:space="preserve">INK "https://www.ebs.tga.gov.au/" </w:instrText>
      </w:r>
      <w:r w:rsidR="006728D4">
        <w:fldChar w:fldCharType="separate"/>
      </w:r>
      <w:r w:rsidRPr="00265ACA">
        <w:rPr>
          <w:rStyle w:val="Hyperlink"/>
          <w:rFonts w:asciiTheme="minorHAnsi" w:hAnsiTheme="minorHAnsi"/>
        </w:rPr>
        <w:t>Link to TGA.gov.au</w:t>
      </w:r>
      <w:r w:rsidR="006728D4">
        <w:rPr>
          <w:rStyle w:val="Hyperlink"/>
          <w:rFonts w:asciiTheme="minorHAnsi" w:hAnsiTheme="minorHAnsi"/>
        </w:rPr>
        <w:fldChar w:fldCharType="end"/>
      </w:r>
    </w:p>
    <w:p w14:paraId="54A617D7" w14:textId="77777777" w:rsidR="00BC1364" w:rsidRPr="00054585" w:rsidRDefault="00054585" w:rsidP="006D547D">
      <w:pPr>
        <w:pStyle w:val="Tablenotes"/>
      </w:pPr>
      <w:r w:rsidRPr="00FE7C58">
        <w:t xml:space="preserve">Abbreviations: ARTG </w:t>
      </w:r>
      <w:r>
        <w:t>no</w:t>
      </w:r>
      <w:proofErr w:type="gramStart"/>
      <w:r>
        <w:t>.</w:t>
      </w:r>
      <w:r w:rsidRPr="00FE7C58">
        <w:t>=</w:t>
      </w:r>
      <w:proofErr w:type="gramEnd"/>
      <w:r w:rsidRPr="00FE7C58">
        <w:t xml:space="preserve"> Australian Register of Therapeutic Goods</w:t>
      </w:r>
      <w:r>
        <w:t xml:space="preserve"> number</w:t>
      </w:r>
      <w:r w:rsidRPr="00FE7C58">
        <w:t>.</w:t>
      </w:r>
    </w:p>
    <w:p w14:paraId="02ED6D9F" w14:textId="77777777" w:rsidR="00BC1364" w:rsidRPr="00F715D1" w:rsidRDefault="00BC1364" w:rsidP="00F715D1">
      <w:pPr>
        <w:pStyle w:val="Heading1"/>
      </w:pPr>
      <w:r w:rsidRPr="00F715D1">
        <w:t>Proposal for public funding</w:t>
      </w:r>
    </w:p>
    <w:p w14:paraId="4EB579E6" w14:textId="6A7682A2" w:rsidR="00054585" w:rsidRDefault="00054585" w:rsidP="00054585">
      <w:r w:rsidRPr="00240908">
        <w:fldChar w:fldCharType="begin"/>
      </w:r>
      <w:r w:rsidRPr="00240908">
        <w:instrText xml:space="preserve"> REF _Ref45998066 \h  \* MERGEFORMAT </w:instrText>
      </w:r>
      <w:r w:rsidRPr="00240908">
        <w:fldChar w:fldCharType="separate"/>
      </w:r>
      <w:r w:rsidRPr="009A1837">
        <w:t>Table 2</w:t>
      </w:r>
      <w:r w:rsidRPr="00240908">
        <w:fldChar w:fldCharType="end"/>
      </w:r>
      <w:r w:rsidRPr="006764E1">
        <w:t xml:space="preserve"> presents the </w:t>
      </w:r>
      <w:r>
        <w:t xml:space="preserve">applicant </w:t>
      </w:r>
      <w:r w:rsidRPr="006764E1">
        <w:t xml:space="preserve">proposed MBS item descriptor. </w:t>
      </w:r>
      <w:bookmarkStart w:id="3" w:name="_Ref45998066"/>
    </w:p>
    <w:p w14:paraId="23125528" w14:textId="6CD30B59" w:rsidR="00054585" w:rsidRPr="003A7EA2" w:rsidRDefault="00054585" w:rsidP="00800956">
      <w:pPr>
        <w:spacing w:before="240"/>
        <w:rPr>
          <w:rFonts w:ascii="Arial Narrow" w:hAnsi="Arial Narrow"/>
          <w:b/>
          <w:sz w:val="20"/>
        </w:rPr>
      </w:pPr>
      <w:r w:rsidRPr="003A7EA2">
        <w:rPr>
          <w:rFonts w:ascii="Arial Narrow" w:hAnsi="Arial Narrow"/>
          <w:b/>
          <w:sz w:val="20"/>
        </w:rPr>
        <w:t xml:space="preserve">Table </w:t>
      </w:r>
      <w:r w:rsidR="00C736E0" w:rsidRPr="003A7EA2">
        <w:rPr>
          <w:rFonts w:ascii="Arial Narrow" w:hAnsi="Arial Narrow"/>
          <w:b/>
          <w:sz w:val="20"/>
        </w:rPr>
        <w:fldChar w:fldCharType="begin"/>
      </w:r>
      <w:r w:rsidR="00C736E0" w:rsidRPr="003A7EA2">
        <w:rPr>
          <w:rFonts w:ascii="Arial Narrow" w:hAnsi="Arial Narrow"/>
          <w:b/>
          <w:sz w:val="20"/>
        </w:rPr>
        <w:instrText xml:space="preserve"> SEQ Table \* ARABIC </w:instrText>
      </w:r>
      <w:r w:rsidR="00C736E0" w:rsidRPr="003A7EA2">
        <w:rPr>
          <w:rFonts w:ascii="Arial Narrow" w:hAnsi="Arial Narrow"/>
          <w:b/>
          <w:sz w:val="20"/>
        </w:rPr>
        <w:fldChar w:fldCharType="separate"/>
      </w:r>
      <w:proofErr w:type="gramStart"/>
      <w:r w:rsidRPr="003A7EA2">
        <w:rPr>
          <w:rFonts w:ascii="Arial Narrow" w:hAnsi="Arial Narrow"/>
          <w:b/>
          <w:sz w:val="20"/>
        </w:rPr>
        <w:t>2</w:t>
      </w:r>
      <w:proofErr w:type="gramEnd"/>
      <w:r w:rsidR="00C736E0" w:rsidRPr="003A7EA2">
        <w:rPr>
          <w:rFonts w:ascii="Arial Narrow" w:hAnsi="Arial Narrow"/>
          <w:b/>
          <w:sz w:val="20"/>
        </w:rPr>
        <w:fldChar w:fldCharType="end"/>
      </w:r>
      <w:bookmarkEnd w:id="3"/>
      <w:r w:rsidR="00071451" w:rsidRPr="003A7EA2">
        <w:rPr>
          <w:rFonts w:ascii="Arial Narrow" w:hAnsi="Arial Narrow"/>
          <w:b/>
          <w:sz w:val="20"/>
        </w:rPr>
        <w:tab/>
      </w:r>
      <w:r w:rsidRPr="003A7EA2">
        <w:rPr>
          <w:rFonts w:ascii="Arial Narrow" w:hAnsi="Arial Narrow"/>
          <w:b/>
          <w:sz w:val="20"/>
        </w:rPr>
        <w:t>MBS item descriptor proposed by the applicant</w:t>
      </w:r>
    </w:p>
    <w:tbl>
      <w:tblPr>
        <w:tblStyle w:val="TableGrid1"/>
        <w:tblW w:w="4981" w:type="pct"/>
        <w:tblLook w:val="04A0" w:firstRow="1" w:lastRow="0" w:firstColumn="1" w:lastColumn="0" w:noHBand="0" w:noVBand="1"/>
        <w:tblCaption w:val="Proposed Item descriptor for cryoablation "/>
        <w:tblDescription w:val="The proposed MBS item descriptor for cryoablation in the submission"/>
      </w:tblPr>
      <w:tblGrid>
        <w:gridCol w:w="4547"/>
        <w:gridCol w:w="4435"/>
      </w:tblGrid>
      <w:tr w:rsidR="00054585" w:rsidRPr="00545D24" w14:paraId="37B0DFA3" w14:textId="77777777" w:rsidTr="003A7EA2">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1159A8E4" w14:textId="77777777" w:rsidR="00054585" w:rsidRPr="00545D24" w:rsidRDefault="00054585" w:rsidP="002C6E55">
            <w:pPr>
              <w:keepNext/>
              <w:rPr>
                <w:rFonts w:ascii="Arial Narrow" w:hAnsi="Arial Narrow" w:cs="Arial"/>
                <w:b/>
                <w:bCs/>
                <w:sz w:val="20"/>
                <w:lang w:eastAsia="en-US"/>
              </w:rPr>
            </w:pPr>
            <w:r w:rsidRPr="00545D24">
              <w:rPr>
                <w:rFonts w:ascii="Arial Narrow" w:hAnsi="Arial Narrow" w:cs="Arial"/>
                <w:b/>
                <w:bCs/>
                <w:sz w:val="20"/>
                <w:lang w:eastAsia="en-US"/>
              </w:rPr>
              <w:t>Category 3 – THERAPEUTIC PROCEDURES</w:t>
            </w:r>
          </w:p>
        </w:tc>
      </w:tr>
      <w:tr w:rsidR="00054585" w:rsidRPr="00545D24" w14:paraId="7550C913" w14:textId="77777777" w:rsidTr="003A7EA2">
        <w:tc>
          <w:tcPr>
            <w:tcW w:w="2531" w:type="pct"/>
          </w:tcPr>
          <w:p w14:paraId="17803B85" w14:textId="77777777" w:rsidR="00054585" w:rsidRPr="00545D24" w:rsidRDefault="00054585" w:rsidP="002C6E55">
            <w:pPr>
              <w:keepNext/>
              <w:rPr>
                <w:rFonts w:cs="Arial"/>
                <w:b/>
                <w:bCs/>
                <w:sz w:val="20"/>
                <w:lang w:eastAsia="en-US"/>
              </w:rPr>
            </w:pPr>
            <w:r w:rsidRPr="00545D24">
              <w:rPr>
                <w:rFonts w:cs="Arial"/>
                <w:b/>
                <w:bCs/>
                <w:sz w:val="20"/>
                <w:lang w:eastAsia="en-US"/>
              </w:rPr>
              <w:t>T8. SURGICAL OPERATIONS</w:t>
            </w:r>
          </w:p>
        </w:tc>
        <w:tc>
          <w:tcPr>
            <w:tcW w:w="2469" w:type="pct"/>
          </w:tcPr>
          <w:p w14:paraId="2D7825D9" w14:textId="77777777" w:rsidR="00054585" w:rsidRPr="00545D24" w:rsidRDefault="00054585" w:rsidP="002C6E55">
            <w:pPr>
              <w:keepNext/>
              <w:jc w:val="right"/>
              <w:rPr>
                <w:rFonts w:cs="Arial"/>
                <w:b/>
                <w:bCs/>
                <w:sz w:val="20"/>
                <w:lang w:eastAsia="en-US"/>
              </w:rPr>
            </w:pPr>
            <w:r w:rsidRPr="00545D24">
              <w:rPr>
                <w:rFonts w:cs="Arial"/>
                <w:b/>
                <w:bCs/>
                <w:sz w:val="20"/>
                <w:lang w:eastAsia="en-US"/>
              </w:rPr>
              <w:t>XX. CRYOABLATION</w:t>
            </w:r>
          </w:p>
        </w:tc>
      </w:tr>
      <w:tr w:rsidR="00054585" w:rsidRPr="00545D24" w14:paraId="68FF5A9C" w14:textId="77777777" w:rsidTr="003A7EA2">
        <w:tc>
          <w:tcPr>
            <w:tcW w:w="5000" w:type="pct"/>
            <w:gridSpan w:val="2"/>
          </w:tcPr>
          <w:p w14:paraId="373ED68A" w14:textId="77777777" w:rsidR="00054585" w:rsidRPr="00545D24" w:rsidRDefault="00054585" w:rsidP="002C6E55">
            <w:pPr>
              <w:rPr>
                <w:snapToGrid w:val="0"/>
                <w:sz w:val="20"/>
              </w:rPr>
            </w:pPr>
            <w:r w:rsidRPr="00545D24">
              <w:rPr>
                <w:snapToGrid w:val="0"/>
                <w:sz w:val="20"/>
              </w:rPr>
              <w:t>CRYOABLATION</w:t>
            </w:r>
          </w:p>
          <w:p w14:paraId="00B930B2" w14:textId="77777777" w:rsidR="00054585" w:rsidRPr="00545D24" w:rsidRDefault="00054585" w:rsidP="002C6E55">
            <w:pPr>
              <w:rPr>
                <w:snapToGrid w:val="0"/>
                <w:sz w:val="20"/>
              </w:rPr>
            </w:pPr>
            <w:r w:rsidRPr="00545D24">
              <w:rPr>
                <w:snapToGrid w:val="0"/>
                <w:sz w:val="20"/>
              </w:rPr>
              <w:t xml:space="preserve">Localised primary malignant tumour of the kidney, not more than 4 cm in diameter, destruction of, by percutaneous, laparoscopic or open cryoablation (including any associated imaging services), where malignancy </w:t>
            </w:r>
            <w:proofErr w:type="spellStart"/>
            <w:r w:rsidRPr="00D71AD4">
              <w:rPr>
                <w:strike/>
                <w:snapToGrid w:val="0"/>
                <w:color w:val="FF0000"/>
                <w:sz w:val="20"/>
              </w:rPr>
              <w:t>is</w:t>
            </w:r>
            <w:r w:rsidR="00D71AD4">
              <w:rPr>
                <w:snapToGrid w:val="0"/>
                <w:color w:val="FF0000"/>
                <w:sz w:val="20"/>
              </w:rPr>
              <w:t>has</w:t>
            </w:r>
            <w:proofErr w:type="spellEnd"/>
            <w:r w:rsidR="00D71AD4">
              <w:rPr>
                <w:snapToGrid w:val="0"/>
                <w:color w:val="FF0000"/>
                <w:sz w:val="20"/>
              </w:rPr>
              <w:t xml:space="preserve"> previously been</w:t>
            </w:r>
            <w:r w:rsidRPr="00545D24">
              <w:rPr>
                <w:snapToGrid w:val="0"/>
                <w:sz w:val="20"/>
              </w:rPr>
              <w:t xml:space="preserve"> confirmed by histopathological examination and a multi-disciplinary team has reviewed treatment options for the patient and assessed that partial nephrectomy is not suitable.</w:t>
            </w:r>
          </w:p>
          <w:p w14:paraId="5B8DD7DB" w14:textId="77777777" w:rsidR="00054585" w:rsidRPr="00545D24" w:rsidRDefault="00054585" w:rsidP="002C6E55">
            <w:pPr>
              <w:rPr>
                <w:snapToGrid w:val="0"/>
                <w:sz w:val="20"/>
              </w:rPr>
            </w:pPr>
            <w:r w:rsidRPr="00545D24">
              <w:rPr>
                <w:snapToGrid w:val="0"/>
                <w:sz w:val="20"/>
              </w:rPr>
              <w:t>Not being associated with a service to which item 36522 or 36525 applies.</w:t>
            </w:r>
          </w:p>
          <w:p w14:paraId="6B9ED96E" w14:textId="77777777" w:rsidR="00054585" w:rsidRPr="00545D24" w:rsidRDefault="006728D4" w:rsidP="002C6E55">
            <w:pPr>
              <w:rPr>
                <w:snapToGrid w:val="0"/>
                <w:sz w:val="20"/>
              </w:rPr>
            </w:pPr>
            <w:hyperlink r:id="rId11" w:tooltip="a web-link to explanation of note TN.8.2 Multiple Operation Rule on the Medicare Benefits Schedule" w:history="1">
              <w:r w:rsidR="00054585" w:rsidRPr="00545D24">
                <w:rPr>
                  <w:snapToGrid w:val="0"/>
                  <w:color w:val="0000FF"/>
                  <w:sz w:val="20"/>
                  <w:u w:val="single"/>
                </w:rPr>
                <w:t>Multiple Operation Rule</w:t>
              </w:r>
            </w:hyperlink>
          </w:p>
          <w:p w14:paraId="48083357" w14:textId="77777777" w:rsidR="00054585" w:rsidRPr="00545D24" w:rsidRDefault="00054585" w:rsidP="002C6E55">
            <w:pPr>
              <w:rPr>
                <w:snapToGrid w:val="0"/>
                <w:sz w:val="20"/>
              </w:rPr>
            </w:pPr>
            <w:r w:rsidRPr="00545D24">
              <w:rPr>
                <w:snapToGrid w:val="0"/>
                <w:sz w:val="20"/>
              </w:rPr>
              <w:t>(</w:t>
            </w:r>
            <w:proofErr w:type="spellStart"/>
            <w:r w:rsidRPr="00545D24">
              <w:rPr>
                <w:snapToGrid w:val="0"/>
                <w:sz w:val="20"/>
              </w:rPr>
              <w:t>Anaes</w:t>
            </w:r>
            <w:proofErr w:type="spellEnd"/>
            <w:r w:rsidRPr="00545D24">
              <w:rPr>
                <w:snapToGrid w:val="0"/>
                <w:sz w:val="20"/>
              </w:rPr>
              <w:t xml:space="preserve">.) </w:t>
            </w:r>
          </w:p>
          <w:p w14:paraId="7DA67D79" w14:textId="77777777" w:rsidR="00054585" w:rsidRPr="00545D24" w:rsidRDefault="00054585" w:rsidP="002C6E55">
            <w:pPr>
              <w:rPr>
                <w:snapToGrid w:val="0"/>
                <w:sz w:val="20"/>
              </w:rPr>
            </w:pPr>
            <w:r w:rsidRPr="00545D24">
              <w:rPr>
                <w:snapToGrid w:val="0"/>
                <w:sz w:val="20"/>
              </w:rPr>
              <w:t>(See para TN.8.XX1, TN.8.XX2 of explanatory notes to this category)</w:t>
            </w:r>
          </w:p>
          <w:p w14:paraId="7728883C" w14:textId="77777777" w:rsidR="00054585" w:rsidRPr="00545D24" w:rsidRDefault="00054585" w:rsidP="002C6E55">
            <w:pPr>
              <w:rPr>
                <w:snapToGrid w:val="0"/>
              </w:rPr>
            </w:pPr>
            <w:r w:rsidRPr="00545D24">
              <w:rPr>
                <w:b/>
                <w:bCs/>
                <w:sz w:val="20"/>
              </w:rPr>
              <w:t>Fee</w:t>
            </w:r>
            <w:r w:rsidRPr="00545D24">
              <w:rPr>
                <w:sz w:val="20"/>
              </w:rPr>
              <w:t>: $830.15</w:t>
            </w:r>
          </w:p>
        </w:tc>
      </w:tr>
      <w:tr w:rsidR="00054585" w:rsidRPr="00545D24" w14:paraId="36D79769" w14:textId="77777777" w:rsidTr="003A7EA2">
        <w:tc>
          <w:tcPr>
            <w:tcW w:w="5000" w:type="pct"/>
            <w:gridSpan w:val="2"/>
          </w:tcPr>
          <w:p w14:paraId="2743F368" w14:textId="77777777" w:rsidR="00054585" w:rsidRPr="00545D24" w:rsidRDefault="00054585" w:rsidP="002C6E55">
            <w:pPr>
              <w:rPr>
                <w:sz w:val="20"/>
              </w:rPr>
            </w:pPr>
            <w:r w:rsidRPr="00545D24">
              <w:rPr>
                <w:b/>
                <w:bCs/>
                <w:sz w:val="20"/>
              </w:rPr>
              <w:t>TN.8.XX1</w:t>
            </w:r>
            <w:r w:rsidRPr="00545D24">
              <w:rPr>
                <w:sz w:val="20"/>
              </w:rPr>
              <w:t xml:space="preserve"> For the purpose of the proposed item, a multi-disciplinary team typically includes </w:t>
            </w:r>
            <w:proofErr w:type="gramStart"/>
            <w:r w:rsidRPr="00545D24">
              <w:rPr>
                <w:sz w:val="20"/>
              </w:rPr>
              <w:t>a</w:t>
            </w:r>
            <w:proofErr w:type="gramEnd"/>
            <w:r w:rsidRPr="00545D24">
              <w:rPr>
                <w:sz w:val="20"/>
              </w:rPr>
              <w:t xml:space="preserve"> urologist, interventional radiologist and oncologist. Patients eligible for Medicare-funded cryoablation needs to be considered by the multi-disciplinary team as not suitable for partial nephrectomy and typically have one or more of the following characteristics:</w:t>
            </w:r>
          </w:p>
          <w:p w14:paraId="74DDA35C" w14:textId="77777777" w:rsidR="00054585" w:rsidRPr="00545D24" w:rsidRDefault="00054585" w:rsidP="002C6E55">
            <w:pPr>
              <w:rPr>
                <w:sz w:val="20"/>
              </w:rPr>
            </w:pPr>
            <w:r w:rsidRPr="00545D24">
              <w:rPr>
                <w:sz w:val="20"/>
              </w:rPr>
              <w:t>•</w:t>
            </w:r>
            <w:r w:rsidRPr="00545D24">
              <w:rPr>
                <w:sz w:val="20"/>
              </w:rPr>
              <w:tab/>
              <w:t>Elderly and/or frailty;</w:t>
            </w:r>
          </w:p>
          <w:p w14:paraId="75D104AB" w14:textId="77777777" w:rsidR="00054585" w:rsidRPr="00545D24" w:rsidRDefault="00054585" w:rsidP="002C6E55">
            <w:pPr>
              <w:rPr>
                <w:sz w:val="20"/>
              </w:rPr>
            </w:pPr>
            <w:r w:rsidRPr="00545D24">
              <w:rPr>
                <w:sz w:val="20"/>
              </w:rPr>
              <w:t>•</w:t>
            </w:r>
            <w:r w:rsidRPr="00545D24">
              <w:rPr>
                <w:sz w:val="20"/>
              </w:rPr>
              <w:tab/>
              <w:t>High surgical risk;</w:t>
            </w:r>
          </w:p>
          <w:p w14:paraId="6EAD04E3" w14:textId="77777777" w:rsidR="00054585" w:rsidRPr="00545D24" w:rsidRDefault="00054585" w:rsidP="002C6E55">
            <w:pPr>
              <w:rPr>
                <w:sz w:val="20"/>
              </w:rPr>
            </w:pPr>
            <w:r w:rsidRPr="00545D24">
              <w:rPr>
                <w:sz w:val="20"/>
              </w:rPr>
              <w:t>•</w:t>
            </w:r>
            <w:r w:rsidRPr="00545D24">
              <w:rPr>
                <w:sz w:val="20"/>
              </w:rPr>
              <w:tab/>
              <w:t>Poor renal function;</w:t>
            </w:r>
          </w:p>
          <w:p w14:paraId="7EA16089" w14:textId="77777777" w:rsidR="00054585" w:rsidRPr="00545D24" w:rsidRDefault="00054585" w:rsidP="002C6E55">
            <w:pPr>
              <w:rPr>
                <w:sz w:val="20"/>
              </w:rPr>
            </w:pPr>
            <w:r w:rsidRPr="00545D24">
              <w:rPr>
                <w:sz w:val="20"/>
              </w:rPr>
              <w:t>•</w:t>
            </w:r>
            <w:r w:rsidRPr="00545D24">
              <w:rPr>
                <w:sz w:val="20"/>
              </w:rPr>
              <w:tab/>
              <w:t>Solitary kidney;</w:t>
            </w:r>
          </w:p>
          <w:p w14:paraId="10017384" w14:textId="77777777" w:rsidR="00054585" w:rsidRPr="00545D24" w:rsidRDefault="00054585" w:rsidP="002C6E55">
            <w:pPr>
              <w:rPr>
                <w:sz w:val="20"/>
              </w:rPr>
            </w:pPr>
            <w:r w:rsidRPr="00545D24">
              <w:rPr>
                <w:sz w:val="20"/>
              </w:rPr>
              <w:t>•</w:t>
            </w:r>
            <w:r w:rsidRPr="00545D24">
              <w:rPr>
                <w:sz w:val="20"/>
              </w:rPr>
              <w:tab/>
              <w:t>Bilateral kidney tumours;</w:t>
            </w:r>
          </w:p>
          <w:p w14:paraId="22B9394A" w14:textId="77777777" w:rsidR="00054585" w:rsidRPr="00545D24" w:rsidRDefault="00054585" w:rsidP="002C6E55">
            <w:pPr>
              <w:rPr>
                <w:sz w:val="20"/>
              </w:rPr>
            </w:pPr>
            <w:r w:rsidRPr="00545D24">
              <w:rPr>
                <w:sz w:val="20"/>
              </w:rPr>
              <w:t>•</w:t>
            </w:r>
            <w:r w:rsidRPr="00545D24">
              <w:rPr>
                <w:sz w:val="20"/>
              </w:rPr>
              <w:tab/>
            </w:r>
            <w:r w:rsidRPr="00D71AD4">
              <w:rPr>
                <w:strike/>
                <w:color w:val="FF0000"/>
                <w:sz w:val="20"/>
              </w:rPr>
              <w:t>Hereditary/multiple renal cell carcinomas.</w:t>
            </w:r>
          </w:p>
        </w:tc>
      </w:tr>
      <w:tr w:rsidR="00054585" w:rsidRPr="00545D24" w14:paraId="15FD3F04" w14:textId="77777777" w:rsidTr="003A7EA2">
        <w:tc>
          <w:tcPr>
            <w:tcW w:w="5000" w:type="pct"/>
            <w:gridSpan w:val="2"/>
          </w:tcPr>
          <w:p w14:paraId="07D87495" w14:textId="77777777" w:rsidR="00054585" w:rsidRPr="00545D24" w:rsidRDefault="00054585" w:rsidP="002C6E55">
            <w:pPr>
              <w:rPr>
                <w:sz w:val="20"/>
              </w:rPr>
            </w:pPr>
            <w:r w:rsidRPr="00545D24">
              <w:rPr>
                <w:b/>
                <w:bCs/>
                <w:sz w:val="20"/>
              </w:rPr>
              <w:t>TN.8.XX2</w:t>
            </w:r>
            <w:r w:rsidRPr="00545D24">
              <w:rPr>
                <w:sz w:val="20"/>
              </w:rPr>
              <w:t xml:space="preserve"> For the purpose of the proposed item, the procedure is to </w:t>
            </w:r>
            <w:proofErr w:type="gramStart"/>
            <w:r w:rsidRPr="00545D24">
              <w:rPr>
                <w:sz w:val="20"/>
              </w:rPr>
              <w:t>be performed</w:t>
            </w:r>
            <w:proofErr w:type="gramEnd"/>
            <w:r w:rsidRPr="00545D24">
              <w:rPr>
                <w:sz w:val="20"/>
              </w:rPr>
              <w:t xml:space="preserve"> by an interventional radiologist specially trained for the procedure. Percutaneous cryoablation should be the preferred approach unless the percutaneous approach </w:t>
            </w:r>
            <w:proofErr w:type="gramStart"/>
            <w:r w:rsidRPr="00545D24">
              <w:rPr>
                <w:sz w:val="20"/>
              </w:rPr>
              <w:t>is considered</w:t>
            </w:r>
            <w:proofErr w:type="gramEnd"/>
            <w:r w:rsidRPr="00545D24">
              <w:rPr>
                <w:sz w:val="20"/>
              </w:rPr>
              <w:t xml:space="preserve"> not suitable for the individual patient by the multi-disciplinary team.</w:t>
            </w:r>
          </w:p>
        </w:tc>
      </w:tr>
    </w:tbl>
    <w:p w14:paraId="2F67297D" w14:textId="77777777" w:rsidR="00054585" w:rsidRPr="00B02E35" w:rsidRDefault="00054585" w:rsidP="006D547D">
      <w:pPr>
        <w:pStyle w:val="Tablenotes"/>
        <w:rPr>
          <w:color w:val="3366FF"/>
          <w:szCs w:val="24"/>
        </w:rPr>
      </w:pPr>
      <w:r w:rsidRPr="0037350A">
        <w:t>Source: Table 7, p48 of the ADAR</w:t>
      </w:r>
      <w:r w:rsidR="00D71AD4">
        <w:t>. Red text indicates changes advised by the Evaluation Sub-Committee (ESC)</w:t>
      </w:r>
      <w:r>
        <w:t>.</w:t>
      </w:r>
    </w:p>
    <w:p w14:paraId="02CA46FB" w14:textId="7E02A3AD" w:rsidR="00347221" w:rsidRDefault="00054585" w:rsidP="005A6CCF">
      <w:pPr>
        <w:widowControl w:val="0"/>
        <w:rPr>
          <w:iCs/>
          <w:snapToGrid w:val="0"/>
          <w:lang w:eastAsia="en-US"/>
        </w:rPr>
      </w:pPr>
      <w:r>
        <w:rPr>
          <w:szCs w:val="24"/>
        </w:rPr>
        <w:t>The applicant proposed item descriptor and fee are consistent with the ratified PICO</w:t>
      </w:r>
      <w:r>
        <w:rPr>
          <w:rStyle w:val="FootnoteReference"/>
          <w:szCs w:val="24"/>
        </w:rPr>
        <w:footnoteReference w:id="1"/>
      </w:r>
      <w:r>
        <w:rPr>
          <w:szCs w:val="24"/>
        </w:rPr>
        <w:t xml:space="preserve"> confirmation. However</w:t>
      </w:r>
      <w:r w:rsidR="00347221">
        <w:rPr>
          <w:szCs w:val="24"/>
        </w:rPr>
        <w:t>, t</w:t>
      </w:r>
      <w:r>
        <w:rPr>
          <w:szCs w:val="24"/>
        </w:rPr>
        <w:t xml:space="preserve">he </w:t>
      </w:r>
      <w:r w:rsidR="009842FE">
        <w:rPr>
          <w:szCs w:val="24"/>
        </w:rPr>
        <w:t>Commentary</w:t>
      </w:r>
      <w:r>
        <w:rPr>
          <w:szCs w:val="24"/>
        </w:rPr>
        <w:t xml:space="preserve"> noted that MSAC may wish to consider</w:t>
      </w:r>
      <w:r w:rsidR="00347221">
        <w:rPr>
          <w:szCs w:val="24"/>
        </w:rPr>
        <w:t xml:space="preserve"> w</w:t>
      </w:r>
      <w:r>
        <w:rPr>
          <w:iCs/>
          <w:snapToGrid w:val="0"/>
          <w:lang w:eastAsia="en-US"/>
        </w:rPr>
        <w:t xml:space="preserve">hether there is </w:t>
      </w:r>
      <w:r w:rsidRPr="00A57028">
        <w:rPr>
          <w:iCs/>
          <w:snapToGrid w:val="0"/>
          <w:lang w:eastAsia="en-US"/>
        </w:rPr>
        <w:t xml:space="preserve">any need to further refine the proposed </w:t>
      </w:r>
      <w:r>
        <w:rPr>
          <w:iCs/>
          <w:snapToGrid w:val="0"/>
          <w:lang w:eastAsia="en-US"/>
        </w:rPr>
        <w:t xml:space="preserve">descriptor </w:t>
      </w:r>
      <w:r w:rsidRPr="00A57028">
        <w:rPr>
          <w:iCs/>
          <w:snapToGrid w:val="0"/>
          <w:lang w:eastAsia="en-US"/>
        </w:rPr>
        <w:t>wording to align with the evidence presented (e.g. introducing age restrictions, limit to percutaneous CA, etc.) and, or, adding an extra item on salvage CA.</w:t>
      </w:r>
    </w:p>
    <w:p w14:paraId="33EBD80D" w14:textId="2386F277" w:rsidR="00347221" w:rsidRPr="00096D7F" w:rsidRDefault="00347221" w:rsidP="00800956">
      <w:pPr>
        <w:widowControl w:val="0"/>
        <w:spacing w:before="240"/>
        <w:rPr>
          <w:iCs/>
          <w:snapToGrid w:val="0"/>
          <w:lang w:eastAsia="en-US"/>
        </w:rPr>
      </w:pPr>
      <w:r>
        <w:rPr>
          <w:iCs/>
          <w:snapToGrid w:val="0"/>
          <w:lang w:eastAsia="en-US"/>
        </w:rPr>
        <w:t xml:space="preserve">The </w:t>
      </w:r>
      <w:r w:rsidRPr="00096D7F">
        <w:rPr>
          <w:iCs/>
          <w:snapToGrid w:val="0"/>
          <w:lang w:eastAsia="en-US"/>
        </w:rPr>
        <w:t xml:space="preserve">pre-MSAC response </w:t>
      </w:r>
      <w:r w:rsidR="00D76948">
        <w:rPr>
          <w:iCs/>
          <w:snapToGrid w:val="0"/>
          <w:lang w:eastAsia="en-US"/>
        </w:rPr>
        <w:t xml:space="preserve">acknowledged and supported </w:t>
      </w:r>
      <w:r w:rsidRPr="00096D7F">
        <w:rPr>
          <w:iCs/>
          <w:snapToGrid w:val="0"/>
          <w:lang w:eastAsia="en-US"/>
        </w:rPr>
        <w:t xml:space="preserve">ESC’s advice: </w:t>
      </w:r>
    </w:p>
    <w:p w14:paraId="16AC6F79" w14:textId="14F26306" w:rsidR="00347221" w:rsidRPr="005A6CCF" w:rsidRDefault="00D76948" w:rsidP="005A6CCF">
      <w:pPr>
        <w:pStyle w:val="ListParagraph"/>
        <w:widowControl w:val="0"/>
        <w:numPr>
          <w:ilvl w:val="0"/>
          <w:numId w:val="37"/>
        </w:numPr>
        <w:rPr>
          <w:szCs w:val="24"/>
        </w:rPr>
      </w:pPr>
      <w:r>
        <w:t>that “</w:t>
      </w:r>
      <w:r w:rsidRPr="00C71794">
        <w:t>where malignancy is confirmed by histopathological examination</w:t>
      </w:r>
      <w:r>
        <w:t>” be changed to “</w:t>
      </w:r>
      <w:r w:rsidRPr="00C71794">
        <w:t xml:space="preserve">where malignancy </w:t>
      </w:r>
      <w:r>
        <w:t>has previously been</w:t>
      </w:r>
      <w:r w:rsidRPr="00C71794">
        <w:t xml:space="preserve"> confirmed by histopathological examination</w:t>
      </w:r>
      <w:r>
        <w:t>”;</w:t>
      </w:r>
    </w:p>
    <w:p w14:paraId="4CB5DCBD" w14:textId="4B8C4080" w:rsidR="00347221" w:rsidRPr="005A6CCF" w:rsidRDefault="00347221" w:rsidP="005A6CCF">
      <w:pPr>
        <w:pStyle w:val="ListParagraph"/>
        <w:widowControl w:val="0"/>
        <w:numPr>
          <w:ilvl w:val="0"/>
          <w:numId w:val="37"/>
        </w:numPr>
        <w:rPr>
          <w:szCs w:val="24"/>
        </w:rPr>
      </w:pPr>
      <w:r w:rsidRPr="005A6CCF">
        <w:rPr>
          <w:iCs/>
        </w:rPr>
        <w:t>that ‘hereditary/multiple RCC’ should be removed from the technical note as this is inconsistent with the item descriptor for CA for ‘localised primary malignant tumour’</w:t>
      </w:r>
      <w:r w:rsidR="00D76948" w:rsidRPr="00096D7F">
        <w:rPr>
          <w:iCs/>
        </w:rPr>
        <w:t>; and</w:t>
      </w:r>
    </w:p>
    <w:p w14:paraId="3AF8092B" w14:textId="78D30D2F" w:rsidR="00347221" w:rsidRPr="00096D7F" w:rsidRDefault="00D76948" w:rsidP="005A6CCF">
      <w:pPr>
        <w:pStyle w:val="ListParagraph"/>
        <w:widowControl w:val="0"/>
        <w:numPr>
          <w:ilvl w:val="0"/>
          <w:numId w:val="37"/>
        </w:numPr>
        <w:rPr>
          <w:szCs w:val="24"/>
        </w:rPr>
      </w:pPr>
      <w:proofErr w:type="gramStart"/>
      <w:r w:rsidRPr="00096D7F">
        <w:rPr>
          <w:iCs/>
        </w:rPr>
        <w:t>the</w:t>
      </w:r>
      <w:proofErr w:type="gramEnd"/>
      <w:r w:rsidRPr="00096D7F">
        <w:rPr>
          <w:iCs/>
        </w:rPr>
        <w:t xml:space="preserve"> </w:t>
      </w:r>
      <w:r w:rsidR="00347221" w:rsidRPr="005A6CCF">
        <w:rPr>
          <w:iCs/>
        </w:rPr>
        <w:t>proposal to include “tumour of significant complexity not amendable to PN” in the technical note was not supported by any evidence.</w:t>
      </w:r>
    </w:p>
    <w:p w14:paraId="74EB39D4" w14:textId="77777777"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7F16799D" w14:textId="380130C3" w:rsidR="00BC1364" w:rsidRPr="002C6E55" w:rsidRDefault="002C6E55" w:rsidP="002C6E55">
      <w:pPr>
        <w:rPr>
          <w:snapToGrid w:val="0"/>
          <w:szCs w:val="24"/>
        </w:rPr>
      </w:pPr>
      <w:r w:rsidRPr="00173E2D">
        <w:rPr>
          <w:snapToGrid w:val="0"/>
          <w:szCs w:val="24"/>
        </w:rPr>
        <w:t xml:space="preserve">Consultation feedback </w:t>
      </w:r>
      <w:proofErr w:type="gramStart"/>
      <w:r w:rsidRPr="00173E2D">
        <w:rPr>
          <w:snapToGrid w:val="0"/>
          <w:szCs w:val="24"/>
        </w:rPr>
        <w:t>was received</w:t>
      </w:r>
      <w:proofErr w:type="gramEnd"/>
      <w:r w:rsidRPr="00173E2D">
        <w:rPr>
          <w:snapToGrid w:val="0"/>
          <w:szCs w:val="24"/>
        </w:rPr>
        <w:t xml:space="preserve"> from one specialist organisation</w:t>
      </w:r>
      <w:r w:rsidR="007A0BEF">
        <w:rPr>
          <w:snapToGrid w:val="0"/>
          <w:szCs w:val="24"/>
        </w:rPr>
        <w:t xml:space="preserve">, </w:t>
      </w:r>
      <w:r w:rsidRPr="00173E2D">
        <w:rPr>
          <w:snapToGrid w:val="0"/>
          <w:szCs w:val="24"/>
        </w:rPr>
        <w:t>which was supportive of MBS listing of CA for the proposed MBS population. The response noted that the availability of an alternative ablative technique would increase patient and clinician choice for treatment of small renal masses</w:t>
      </w:r>
      <w:r w:rsidRPr="00173E2D">
        <w:rPr>
          <w:color w:val="000000"/>
          <w:szCs w:val="24"/>
        </w:rPr>
        <w:t xml:space="preserve">, and that currently there is no evidence that one form of ablative therapy (CA, </w:t>
      </w:r>
      <w:r w:rsidR="00683E86">
        <w:rPr>
          <w:color w:val="000000"/>
          <w:szCs w:val="24"/>
        </w:rPr>
        <w:t>radiofrequency ablation [</w:t>
      </w:r>
      <w:r w:rsidRPr="00173E2D">
        <w:rPr>
          <w:color w:val="000000"/>
          <w:szCs w:val="24"/>
        </w:rPr>
        <w:t>RFA</w:t>
      </w:r>
      <w:r w:rsidR="00683E86">
        <w:rPr>
          <w:color w:val="000000"/>
          <w:szCs w:val="24"/>
        </w:rPr>
        <w:t>]</w:t>
      </w:r>
      <w:r w:rsidRPr="00173E2D">
        <w:rPr>
          <w:color w:val="000000"/>
          <w:szCs w:val="24"/>
        </w:rPr>
        <w:t xml:space="preserve"> or </w:t>
      </w:r>
      <w:r w:rsidR="00683E86">
        <w:rPr>
          <w:color w:val="000000"/>
          <w:szCs w:val="24"/>
        </w:rPr>
        <w:t>microwave ablation [</w:t>
      </w:r>
      <w:r w:rsidRPr="00173E2D">
        <w:rPr>
          <w:color w:val="000000"/>
          <w:szCs w:val="24"/>
        </w:rPr>
        <w:t>MWA</w:t>
      </w:r>
      <w:r w:rsidR="00683E86">
        <w:rPr>
          <w:color w:val="000000"/>
          <w:szCs w:val="24"/>
        </w:rPr>
        <w:t>]</w:t>
      </w:r>
      <w:r w:rsidRPr="00173E2D">
        <w:rPr>
          <w:color w:val="000000"/>
          <w:szCs w:val="24"/>
        </w:rPr>
        <w:t>) is clinically or ontologically superior to the other forms of energy ablation.</w:t>
      </w:r>
      <w:r w:rsidR="00BC1364" w:rsidRPr="00F72715">
        <w:rPr>
          <w:i/>
          <w:szCs w:val="24"/>
        </w:rPr>
        <w:t xml:space="preserve"> </w:t>
      </w:r>
    </w:p>
    <w:p w14:paraId="1C448921" w14:textId="77777777" w:rsidR="00BC1364" w:rsidRPr="00F715D1" w:rsidRDefault="00BC1364" w:rsidP="00F715D1">
      <w:pPr>
        <w:pStyle w:val="Heading1"/>
      </w:pPr>
      <w:r w:rsidRPr="00F715D1">
        <w:t>Proposed intervention’s place in clinical management</w:t>
      </w:r>
    </w:p>
    <w:p w14:paraId="0C4D6BAB" w14:textId="77777777" w:rsidR="00CF4E81" w:rsidRDefault="00CF4E81" w:rsidP="00572859">
      <w:pPr>
        <w:pStyle w:val="Heading2"/>
        <w:spacing w:after="120"/>
      </w:pPr>
      <w:r w:rsidRPr="00CF4E81">
        <w:t>Description of Proposed Intervention</w:t>
      </w:r>
    </w:p>
    <w:p w14:paraId="112826D6" w14:textId="0EAD030E" w:rsidR="002C6E55" w:rsidRPr="002C6E55" w:rsidRDefault="002C6E55" w:rsidP="002C6E55">
      <w:pPr>
        <w:tabs>
          <w:tab w:val="left" w:pos="720"/>
          <w:tab w:val="left" w:pos="1140"/>
        </w:tabs>
        <w:spacing w:after="240"/>
      </w:pPr>
      <w:r>
        <w:t>C</w:t>
      </w:r>
      <w:r w:rsidRPr="00D67F51">
        <w:t>ryoablation (CA), or cryotherapy or cryosurgery, is the</w:t>
      </w:r>
      <w:r>
        <w:t xml:space="preserve"> use of extreme cold to destroy </w:t>
      </w:r>
      <w:r w:rsidRPr="00D67F51">
        <w:t xml:space="preserve">tissues. The procedure involves the identification and insertion, under image guidance, of ultra-thin probes (CA needles) into the targeted site, followed by rapid freezing and thawing. During the freezing phase, pressurised argon gas delivered into a small chamber inside the tip of the needle expands and cools rapidly to a temperature well below −100°C. An </w:t>
      </w:r>
      <w:r w:rsidR="00DF51F4" w:rsidRPr="00D67F51">
        <w:t>ice ball</w:t>
      </w:r>
      <w:r w:rsidRPr="00D67F51">
        <w:t xml:space="preserve"> </w:t>
      </w:r>
      <w:proofErr w:type="gramStart"/>
      <w:r w:rsidRPr="00D67F51">
        <w:t>is produced</w:t>
      </w:r>
      <w:proofErr w:type="gramEnd"/>
      <w:r w:rsidRPr="00D67F51">
        <w:t xml:space="preserve"> around the needle and engulfs the tumour, causing its rapid freezing and expansion. During the thawing phase, helium gas delivered into the probe or electrical heating of the needle results in the thawing of the region. The freeze-thaw process </w:t>
      </w:r>
      <w:proofErr w:type="gramStart"/>
      <w:r w:rsidRPr="00D67F51">
        <w:t>is repeated</w:t>
      </w:r>
      <w:proofErr w:type="gramEnd"/>
      <w:r w:rsidRPr="00D67F51">
        <w:t xml:space="preserve"> for a minimum of two cycles to ensure adequate freezing and destruction of the tumour cells, and a small margin of surrounding tissues.</w:t>
      </w:r>
    </w:p>
    <w:p w14:paraId="4C669D8F" w14:textId="77777777" w:rsidR="00CF4E81" w:rsidRPr="00CF4E81" w:rsidRDefault="00CF4E81" w:rsidP="00572859">
      <w:pPr>
        <w:pStyle w:val="Heading2"/>
        <w:spacing w:after="120"/>
      </w:pPr>
      <w:r w:rsidRPr="00CF4E81">
        <w:t>Description of Medical Condition(s)</w:t>
      </w:r>
    </w:p>
    <w:p w14:paraId="6DCB90C0" w14:textId="36BBC456" w:rsidR="002C6E55" w:rsidRPr="00545D24" w:rsidRDefault="002C6E55" w:rsidP="002C6E55">
      <w:pPr>
        <w:rPr>
          <w:i/>
          <w:iCs/>
        </w:rPr>
      </w:pPr>
      <w:r w:rsidRPr="00545D24">
        <w:t xml:space="preserve">Kidney cancer </w:t>
      </w:r>
      <w:proofErr w:type="gramStart"/>
      <w:r w:rsidRPr="00545D24">
        <w:t xml:space="preserve">is </w:t>
      </w:r>
      <w:r>
        <w:t>predicted</w:t>
      </w:r>
      <w:proofErr w:type="gramEnd"/>
      <w:r>
        <w:t xml:space="preserve"> </w:t>
      </w:r>
      <w:r w:rsidRPr="00545D24">
        <w:t xml:space="preserve">to remain the seventh most commonly diagnosed cancer in Australia in 2020, </w:t>
      </w:r>
      <w:r>
        <w:t xml:space="preserve">based on estimates that </w:t>
      </w:r>
      <w:r w:rsidRPr="00545D24">
        <w:t xml:space="preserve">4,193 new cases </w:t>
      </w:r>
      <w:r>
        <w:t>will be diagnosed in 2020, accounting</w:t>
      </w:r>
      <w:r w:rsidRPr="00545D24">
        <w:t xml:space="preserve"> for 2.9% of all new cases of cancer diagnosed.</w:t>
      </w:r>
      <w:r w:rsidRPr="00545D24">
        <w:rPr>
          <w:vertAlign w:val="superscript"/>
        </w:rPr>
        <w:footnoteReference w:id="2"/>
      </w:r>
      <w:r>
        <w:t xml:space="preserve"> </w:t>
      </w:r>
      <w:r w:rsidRPr="00545D24">
        <w:t xml:space="preserve">Kidney cancer </w:t>
      </w:r>
      <w:proofErr w:type="gramStart"/>
      <w:r w:rsidRPr="00545D24">
        <w:t>is estimated</w:t>
      </w:r>
      <w:proofErr w:type="gramEnd"/>
      <w:r w:rsidRPr="00545D24">
        <w:t xml:space="preserve"> to be responsible for 917 deaths in 2020</w:t>
      </w:r>
      <w:r>
        <w:t>,</w:t>
      </w:r>
      <w:r w:rsidRPr="00545D24">
        <w:rPr>
          <w:vertAlign w:val="superscript"/>
        </w:rPr>
        <w:footnoteReference w:id="3"/>
      </w:r>
      <w:r w:rsidRPr="00545D24">
        <w:t xml:space="preserve"> </w:t>
      </w:r>
      <w:r>
        <w:t>accounting</w:t>
      </w:r>
      <w:r w:rsidRPr="00545D24">
        <w:t xml:space="preserve"> for 1.9% of all deaths from cancers in 2020. </w:t>
      </w:r>
      <w:r>
        <w:t>The mean age at diagnosis was</w:t>
      </w:r>
      <w:r w:rsidRPr="00545D24">
        <w:t xml:space="preserve"> 64.1 ye</w:t>
      </w:r>
      <w:r>
        <w:t>ars (median 65.5 years) in 2016,</w:t>
      </w:r>
      <w:r w:rsidRPr="00545D24">
        <w:rPr>
          <w:vertAlign w:val="superscript"/>
        </w:rPr>
        <w:footnoteReference w:id="4"/>
      </w:r>
      <w:r>
        <w:t xml:space="preserve"> and the mean age at death was </w:t>
      </w:r>
      <w:r w:rsidRPr="00545D24">
        <w:t>74.8 years (median 76.5 years) in 2018.</w:t>
      </w:r>
      <w:r w:rsidRPr="00545D24">
        <w:rPr>
          <w:vertAlign w:val="superscript"/>
        </w:rPr>
        <w:footnoteReference w:id="5"/>
      </w:r>
      <w:r w:rsidRPr="00545D24">
        <w:t xml:space="preserve"> </w:t>
      </w:r>
      <w:bookmarkStart w:id="4" w:name="_Hlk46864354"/>
    </w:p>
    <w:bookmarkEnd w:id="4"/>
    <w:p w14:paraId="1B02207E" w14:textId="6F31AA36" w:rsidR="002C6E55" w:rsidRDefault="002C6E55" w:rsidP="00800956">
      <w:pPr>
        <w:spacing w:before="240"/>
      </w:pPr>
      <w:r w:rsidRPr="00545D24">
        <w:t xml:space="preserve">Renal cell carcinoma (RCC) is the most common type of kidney cancer, accounting for 90% of all kidney cancers. Clear cell RCC is the most common subtype of RCC (about 75%). Papillary and </w:t>
      </w:r>
      <w:proofErr w:type="spellStart"/>
      <w:r w:rsidRPr="00545D24">
        <w:t>chromophobe</w:t>
      </w:r>
      <w:proofErr w:type="spellEnd"/>
      <w:r w:rsidRPr="00545D24">
        <w:t xml:space="preserve"> RCC makes up about 10-15% and 5% of RCC cases respectively.</w:t>
      </w:r>
      <w:r w:rsidRPr="00545D24">
        <w:rPr>
          <w:vertAlign w:val="superscript"/>
        </w:rPr>
        <w:footnoteReference w:id="6"/>
      </w:r>
      <w:r w:rsidRPr="00545D24">
        <w:t xml:space="preserve"> Owing to the increasing use of diagnostic imaging (</w:t>
      </w:r>
      <w:r>
        <w:t>ultrasound [</w:t>
      </w:r>
      <w:r w:rsidRPr="00545D24">
        <w:t>U/S</w:t>
      </w:r>
      <w:r>
        <w:t>]</w:t>
      </w:r>
      <w:r w:rsidRPr="00545D24">
        <w:t xml:space="preserve">, </w:t>
      </w:r>
      <w:r>
        <w:t>computed tomography [</w:t>
      </w:r>
      <w:r w:rsidRPr="00545D24">
        <w:t>CT</w:t>
      </w:r>
      <w:r>
        <w:t>]</w:t>
      </w:r>
      <w:r w:rsidRPr="00545D24">
        <w:t xml:space="preserve">) to investigate abdominal symptoms not related to the kidney, small renal masses (SRMs) are increasingly detected at early asymptomatic stage, which in turn is considered to contribute to the increasing incidence of RCC. </w:t>
      </w:r>
    </w:p>
    <w:p w14:paraId="3BA530AE" w14:textId="77777777" w:rsidR="002C6E55" w:rsidRPr="00545D24" w:rsidRDefault="002C6E55" w:rsidP="00800956">
      <w:pPr>
        <w:spacing w:before="240"/>
      </w:pPr>
      <w:r>
        <w:t xml:space="preserve">Cryoablation </w:t>
      </w:r>
      <w:proofErr w:type="gramStart"/>
      <w:r>
        <w:t>is proposed</w:t>
      </w:r>
      <w:proofErr w:type="gramEnd"/>
      <w:r>
        <w:t xml:space="preserve"> for use in p</w:t>
      </w:r>
      <w:r w:rsidRPr="00545D24">
        <w:t>atients:</w:t>
      </w:r>
    </w:p>
    <w:p w14:paraId="4B4951CF" w14:textId="77777777" w:rsidR="002C6E55" w:rsidRPr="00545D24" w:rsidRDefault="002C6E55" w:rsidP="002C6E55">
      <w:pPr>
        <w:numPr>
          <w:ilvl w:val="0"/>
          <w:numId w:val="29"/>
        </w:numPr>
        <w:contextualSpacing/>
        <w:jc w:val="both"/>
      </w:pPr>
      <w:r w:rsidRPr="00545D24">
        <w:t xml:space="preserve">with localised primary malignant renal cell carcinoma (stage T1aN0M0), ≤4 cm in greatest dimension, with malignancy confirmed by pre-ablation biopsy; and </w:t>
      </w:r>
    </w:p>
    <w:p w14:paraId="2C92297C" w14:textId="28C5F34F" w:rsidR="00CF4E81" w:rsidRDefault="002C6E55" w:rsidP="00800956">
      <w:pPr>
        <w:numPr>
          <w:ilvl w:val="0"/>
          <w:numId w:val="29"/>
        </w:numPr>
        <w:contextualSpacing/>
        <w:jc w:val="both"/>
      </w:pPr>
      <w:proofErr w:type="gramStart"/>
      <w:r w:rsidRPr="00545D24">
        <w:t>indicated</w:t>
      </w:r>
      <w:proofErr w:type="gramEnd"/>
      <w:r w:rsidRPr="00545D24">
        <w:t xml:space="preserve"> for intervention after diagnosis but not suitable for partial nephrectomy; patients with one or more of the following characteristics are the focus of interest for this application: elderly and/or frailty, high surgical risk, poor renal function, solitary kidney, bilateral kidney tumours, and hereditary/multiple renal cell carcinomas.</w:t>
      </w:r>
    </w:p>
    <w:p w14:paraId="7E4E3670" w14:textId="77777777" w:rsidR="002C6E55" w:rsidRDefault="002C6E55" w:rsidP="00572859">
      <w:pPr>
        <w:spacing w:after="240"/>
      </w:pPr>
      <w:r w:rsidRPr="00BA75A1">
        <w:t>The current and proposed clinical management algorithm</w:t>
      </w:r>
      <w:r>
        <w:t>s</w:t>
      </w:r>
      <w:r w:rsidRPr="00BA75A1">
        <w:t xml:space="preserve"> for </w:t>
      </w:r>
      <w:r>
        <w:t xml:space="preserve">the treatment of </w:t>
      </w:r>
      <w:r w:rsidRPr="00BA75A1">
        <w:t>patients with biopsy-proven T1a RCC</w:t>
      </w:r>
      <w:r>
        <w:t xml:space="preserve">, </w:t>
      </w:r>
      <w:r w:rsidRPr="00BA75A1">
        <w:rPr>
          <w:iCs/>
        </w:rPr>
        <w:t>compiled based on international clinical practice guidelines</w:t>
      </w:r>
      <w:r>
        <w:rPr>
          <w:rStyle w:val="FootnoteReference"/>
          <w:iCs/>
        </w:rPr>
        <w:footnoteReference w:id="7"/>
      </w:r>
      <w:r w:rsidRPr="00BA75A1">
        <w:rPr>
          <w:iCs/>
        </w:rPr>
        <w:t>,</w:t>
      </w:r>
      <w:r w:rsidRPr="00BA75A1">
        <w:t xml:space="preserve"> </w:t>
      </w:r>
      <w:proofErr w:type="gramStart"/>
      <w:r w:rsidRPr="00BA75A1">
        <w:t>are</w:t>
      </w:r>
      <w:r>
        <w:t xml:space="preserve"> </w:t>
      </w:r>
      <w:r w:rsidRPr="00BA75A1">
        <w:t>presented</w:t>
      </w:r>
      <w:proofErr w:type="gramEnd"/>
      <w:r w:rsidRPr="00BA75A1">
        <w:t xml:space="preserve"> in </w:t>
      </w:r>
      <w:r w:rsidRPr="00BA75A1">
        <w:fldChar w:fldCharType="begin"/>
      </w:r>
      <w:r w:rsidRPr="00BA75A1">
        <w:instrText xml:space="preserve"> REF _Ref45292105 \h </w:instrText>
      </w:r>
      <w:r>
        <w:instrText xml:space="preserve"> \* MERGEFORMAT </w:instrText>
      </w:r>
      <w:r w:rsidRPr="00BA75A1">
        <w:fldChar w:fldCharType="separate"/>
      </w:r>
      <w:r>
        <w:t xml:space="preserve">Figure </w:t>
      </w:r>
      <w:r>
        <w:rPr>
          <w:noProof/>
        </w:rPr>
        <w:t>1</w:t>
      </w:r>
      <w:r w:rsidRPr="00BA75A1">
        <w:fldChar w:fldCharType="end"/>
      </w:r>
      <w:r w:rsidRPr="00BA75A1">
        <w:t xml:space="preserve"> and </w:t>
      </w:r>
      <w:r w:rsidRPr="00BA75A1">
        <w:fldChar w:fldCharType="begin"/>
      </w:r>
      <w:r w:rsidRPr="00BA75A1">
        <w:instrText xml:space="preserve"> REF _Ref45292156 \h </w:instrText>
      </w:r>
      <w:r>
        <w:instrText xml:space="preserve"> \* MERGEFORMAT </w:instrText>
      </w:r>
      <w:r w:rsidRPr="00BA75A1">
        <w:fldChar w:fldCharType="separate"/>
      </w:r>
      <w:r>
        <w:t xml:space="preserve">Figure </w:t>
      </w:r>
      <w:r>
        <w:rPr>
          <w:noProof/>
        </w:rPr>
        <w:t>2</w:t>
      </w:r>
      <w:r w:rsidRPr="00BA75A1">
        <w:fldChar w:fldCharType="end"/>
      </w:r>
      <w:r w:rsidRPr="00BA75A1">
        <w:t>.</w:t>
      </w:r>
    </w:p>
    <w:p w14:paraId="198B4FF7" w14:textId="77777777" w:rsidR="002C6E55" w:rsidRDefault="002C6E55" w:rsidP="002C6E55">
      <w:r>
        <w:rPr>
          <w:noProof/>
        </w:rPr>
        <w:drawing>
          <wp:inline distT="0" distB="0" distL="0" distR="0" wp14:anchorId="160723AA" wp14:editId="43247DD3">
            <wp:extent cx="5657850" cy="6457950"/>
            <wp:effectExtent l="19050" t="19050" r="19050" b="19050"/>
            <wp:docPr id="38" name="Picture 38" descr="The current and proposed clinical management algorithms for the treatment of patients with biopsy-proven T1a RCC, compiled based on international clinical practice guidelines , are presented in Figure 1 and Figure 2." title="The current and proposed clinical management algorithms for the treatment of patients with biopsy-proven T1a RCC, compiled based on international clinical practice guidelines , are presented in Figure 1 and 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7850" cy="6457950"/>
                    </a:xfrm>
                    <a:prstGeom prst="rect">
                      <a:avLst/>
                    </a:prstGeom>
                    <a:noFill/>
                    <a:ln>
                      <a:solidFill>
                        <a:schemeClr val="tx1"/>
                      </a:solidFill>
                    </a:ln>
                  </pic:spPr>
                </pic:pic>
              </a:graphicData>
            </a:graphic>
          </wp:inline>
        </w:drawing>
      </w:r>
    </w:p>
    <w:p w14:paraId="10877227" w14:textId="77777777" w:rsidR="002C6E55" w:rsidRPr="00C736E0" w:rsidRDefault="002C6E55" w:rsidP="00C736E0">
      <w:pPr>
        <w:rPr>
          <w:rFonts w:ascii="Arial Narrow" w:hAnsi="Arial Narrow"/>
          <w:b/>
          <w:sz w:val="20"/>
        </w:rPr>
      </w:pPr>
      <w:bookmarkStart w:id="5" w:name="_Ref45292105"/>
      <w:bookmarkStart w:id="6" w:name="_Hlk44509124"/>
      <w:r w:rsidRPr="00C736E0">
        <w:rPr>
          <w:rFonts w:ascii="Arial Narrow" w:hAnsi="Arial Narrow"/>
          <w:b/>
          <w:sz w:val="20"/>
        </w:rPr>
        <w:t xml:space="preserve">Figure </w:t>
      </w:r>
      <w:proofErr w:type="gramStart"/>
      <w:r w:rsidRPr="00C736E0">
        <w:rPr>
          <w:rFonts w:ascii="Arial Narrow" w:hAnsi="Arial Narrow"/>
          <w:b/>
          <w:sz w:val="20"/>
        </w:rPr>
        <w:t>1</w:t>
      </w:r>
      <w:bookmarkEnd w:id="5"/>
      <w:proofErr w:type="gramEnd"/>
      <w:r w:rsidRPr="00C736E0">
        <w:rPr>
          <w:rFonts w:ascii="Arial Narrow" w:hAnsi="Arial Narrow"/>
          <w:b/>
          <w:sz w:val="20"/>
        </w:rPr>
        <w:t xml:space="preserve"> Current clinical management algorithm for biopsy-proven T1a RCC in the absence of public funding for the proposed medical service</w:t>
      </w:r>
    </w:p>
    <w:bookmarkEnd w:id="6"/>
    <w:p w14:paraId="3732F738" w14:textId="77777777" w:rsidR="002C6E55" w:rsidRPr="00DF51F4" w:rsidRDefault="002C6E55" w:rsidP="00572859">
      <w:pPr>
        <w:pStyle w:val="Tablenotes"/>
        <w:spacing w:before="0" w:after="0"/>
        <w:contextualSpacing w:val="0"/>
        <w:rPr>
          <w:sz w:val="16"/>
          <w:szCs w:val="16"/>
        </w:rPr>
      </w:pPr>
      <w:r w:rsidRPr="00DF51F4">
        <w:rPr>
          <w:sz w:val="16"/>
          <w:szCs w:val="16"/>
        </w:rPr>
        <w:t>Source: Figure 2, p53 of the ADAR (reproduced from Figure 1, p18 of the Ratified PICO for 1597, April 2020).</w:t>
      </w:r>
    </w:p>
    <w:p w14:paraId="3942E9E6" w14:textId="77777777" w:rsidR="002C6E55" w:rsidRPr="00DF51F4" w:rsidRDefault="002C6E55" w:rsidP="00572859">
      <w:pPr>
        <w:pStyle w:val="Tablenotes"/>
        <w:spacing w:before="0" w:after="0"/>
        <w:contextualSpacing w:val="0"/>
        <w:rPr>
          <w:sz w:val="16"/>
          <w:szCs w:val="16"/>
        </w:rPr>
      </w:pPr>
      <w:r w:rsidRPr="00DF51F4">
        <w:rPr>
          <w:sz w:val="16"/>
          <w:szCs w:val="16"/>
        </w:rPr>
        <w:t>Abbreviations: AS/DT=active surveillance/delayed therapy; CA=cryoablation; MWA=microwave ablation; PN=partial nephrectomy; RFA=radiofrequency ablation; RN=radical nephrectomy; TA=thermal ablation</w:t>
      </w:r>
    </w:p>
    <w:p w14:paraId="5713EC21" w14:textId="77777777" w:rsidR="002C6E55" w:rsidRPr="00DF51F4" w:rsidRDefault="002C6E55" w:rsidP="00572859">
      <w:pPr>
        <w:pStyle w:val="Tablenotes"/>
        <w:spacing w:before="0" w:after="0"/>
        <w:contextualSpacing w:val="0"/>
        <w:rPr>
          <w:sz w:val="16"/>
          <w:szCs w:val="16"/>
        </w:rPr>
      </w:pPr>
      <w:r w:rsidRPr="00DF51F4">
        <w:rPr>
          <w:sz w:val="16"/>
          <w:szCs w:val="16"/>
        </w:rPr>
        <w:t>Note: dotted line refers to treatment options not currently funded on the Medicare Benefits Schedule (MBS).</w:t>
      </w:r>
    </w:p>
    <w:p w14:paraId="32568415" w14:textId="77777777" w:rsidR="002C6E55" w:rsidRPr="00DF51F4" w:rsidRDefault="002C6E55" w:rsidP="00572859">
      <w:pPr>
        <w:pStyle w:val="Tablenotes"/>
        <w:spacing w:before="0" w:after="0"/>
        <w:contextualSpacing w:val="0"/>
        <w:rPr>
          <w:sz w:val="16"/>
          <w:szCs w:val="16"/>
        </w:rPr>
      </w:pPr>
      <w:r w:rsidRPr="00DF51F4">
        <w:rPr>
          <w:sz w:val="16"/>
          <w:szCs w:val="16"/>
        </w:rPr>
        <w:t xml:space="preserve">Clinical management algorithm </w:t>
      </w:r>
      <w:proofErr w:type="gramStart"/>
      <w:r w:rsidRPr="00DF51F4">
        <w:rPr>
          <w:sz w:val="16"/>
          <w:szCs w:val="16"/>
        </w:rPr>
        <w:t>was constructed</w:t>
      </w:r>
      <w:proofErr w:type="gramEnd"/>
      <w:r w:rsidRPr="00DF51F4">
        <w:rPr>
          <w:sz w:val="16"/>
          <w:szCs w:val="16"/>
        </w:rPr>
        <w:t xml:space="preserve"> during PICO development based on international guidelines and public funding status on the MBS at the time.</w:t>
      </w:r>
    </w:p>
    <w:p w14:paraId="2F7807CC" w14:textId="77777777" w:rsidR="002C6E55" w:rsidRDefault="002C6E55" w:rsidP="002C6E55">
      <w:r>
        <w:rPr>
          <w:noProof/>
        </w:rPr>
        <w:drawing>
          <wp:inline distT="0" distB="0" distL="0" distR="0" wp14:anchorId="51611477" wp14:editId="2A6CB39D">
            <wp:extent cx="5562600" cy="5476875"/>
            <wp:effectExtent l="19050" t="19050" r="19050" b="28575"/>
            <wp:docPr id="39" name="Picture 39" descr="The current and proposed clinical management algorithms for the treatment of patients with biopsy-proven T1a RCC, compiled based on international clinical practice guidelines , are presented in Figure 1 and Figure 2." title="The current and proposed clinical management algorithms for the treatment of patients with biopsy-proven T1a RCC, compiled based on international clinical practice guidelines , are presented in Figure 1 and 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0" cy="5476875"/>
                    </a:xfrm>
                    <a:prstGeom prst="rect">
                      <a:avLst/>
                    </a:prstGeom>
                    <a:noFill/>
                    <a:ln>
                      <a:solidFill>
                        <a:schemeClr val="tx1"/>
                      </a:solidFill>
                    </a:ln>
                  </pic:spPr>
                </pic:pic>
              </a:graphicData>
            </a:graphic>
          </wp:inline>
        </w:drawing>
      </w:r>
    </w:p>
    <w:p w14:paraId="2ACFD89B" w14:textId="77777777" w:rsidR="002C6E55" w:rsidRPr="00C736E0" w:rsidRDefault="002C6E55" w:rsidP="00C736E0">
      <w:pPr>
        <w:rPr>
          <w:rFonts w:ascii="Arial Narrow" w:hAnsi="Arial Narrow"/>
          <w:b/>
          <w:sz w:val="20"/>
        </w:rPr>
      </w:pPr>
      <w:bookmarkStart w:id="7" w:name="_Ref45292156"/>
      <w:r w:rsidRPr="00C736E0">
        <w:rPr>
          <w:rFonts w:ascii="Arial Narrow" w:hAnsi="Arial Narrow"/>
          <w:b/>
          <w:sz w:val="20"/>
        </w:rPr>
        <w:t>Figure 2</w:t>
      </w:r>
      <w:bookmarkEnd w:id="7"/>
      <w:r w:rsidRPr="00C736E0">
        <w:rPr>
          <w:rFonts w:ascii="Arial Narrow" w:hAnsi="Arial Narrow"/>
          <w:b/>
          <w:sz w:val="20"/>
        </w:rPr>
        <w:t xml:space="preserve"> Proposed clinical management algorithm for biopsy-proven T1a RCC after the proposed listing (including potential leakage)</w:t>
      </w:r>
    </w:p>
    <w:p w14:paraId="02B56E55" w14:textId="77777777" w:rsidR="002C6E55" w:rsidRDefault="002C6E55" w:rsidP="006D547D">
      <w:pPr>
        <w:pStyle w:val="Tablenotes"/>
      </w:pPr>
      <w:r>
        <w:t xml:space="preserve">Source: Figure 3, p54 of the ADAR </w:t>
      </w:r>
      <w:r w:rsidRPr="00BA75A1">
        <w:t>(reproduced from Figure 3, p20 of the Ratified PICO for 1597, April 2020).</w:t>
      </w:r>
    </w:p>
    <w:p w14:paraId="055652F4" w14:textId="77777777" w:rsidR="002C6E55" w:rsidRDefault="002C6E55" w:rsidP="006D547D">
      <w:pPr>
        <w:pStyle w:val="Tablenotes"/>
      </w:pPr>
      <w:r>
        <w:t>Abbreviations: AS/DT=active surveillance/delayed therapy; CA=cryoablation; MWA=microwave ablation; PN=partial nephrectomy; RFA=radiofrequency ablation; RN=radical nephrectomy; TA=thermal ablation</w:t>
      </w:r>
    </w:p>
    <w:p w14:paraId="5BB9043A" w14:textId="77777777" w:rsidR="002C6E55" w:rsidRDefault="002C6E55" w:rsidP="006D547D">
      <w:pPr>
        <w:pStyle w:val="Tablenotes"/>
      </w:pPr>
      <w:r>
        <w:t xml:space="preserve">Note: dotted line refers to treatment options not currently funded on the MBS; line in </w:t>
      </w:r>
      <w:r>
        <w:rPr>
          <w:b/>
          <w:color w:val="FF0000"/>
        </w:rPr>
        <w:t>red</w:t>
      </w:r>
      <w:r>
        <w:t xml:space="preserve"> refers to the proposed medical service on the MBS; dotted line in </w:t>
      </w:r>
      <w:r>
        <w:rPr>
          <w:color w:val="FF0000"/>
        </w:rPr>
        <w:t>red</w:t>
      </w:r>
      <w:r>
        <w:t xml:space="preserve"> refers to potential leakage of use.</w:t>
      </w:r>
    </w:p>
    <w:p w14:paraId="63E40EA2" w14:textId="77777777" w:rsidR="002C6E55" w:rsidRDefault="002C6E55" w:rsidP="006D547D">
      <w:pPr>
        <w:pStyle w:val="Tablenotes"/>
      </w:pPr>
      <w:r>
        <w:t xml:space="preserve">* Potential leakage may be caused by patient preferences (e.g. patients preferring interventional treatment </w:t>
      </w:r>
      <w:proofErr w:type="gramStart"/>
      <w:r>
        <w:t>over</w:t>
      </w:r>
      <w:proofErr w:type="gramEnd"/>
      <w:r>
        <w:t xml:space="preserve"> conservative treatment).</w:t>
      </w:r>
    </w:p>
    <w:p w14:paraId="3F124B25" w14:textId="77777777" w:rsidR="002C6E55" w:rsidRDefault="002C6E55" w:rsidP="006D547D">
      <w:pPr>
        <w:pStyle w:val="Tablenotes"/>
      </w:pPr>
      <w:r>
        <w:t xml:space="preserve">^ Potential leakage may be caused by patient preferences (e.g. patients preferring cryotherapy </w:t>
      </w:r>
      <w:proofErr w:type="gramStart"/>
      <w:r>
        <w:t>over</w:t>
      </w:r>
      <w:proofErr w:type="gramEnd"/>
      <w:r>
        <w:t xml:space="preserve"> more invasive treatments even though also eligible for PN). Clinician preferences may also play a role in patients’ choice of treatment, especially if </w:t>
      </w:r>
      <w:proofErr w:type="gramStart"/>
      <w:r>
        <w:t>an investment in cryotherapy equipment is required by the clinician/service provider</w:t>
      </w:r>
      <w:proofErr w:type="gramEnd"/>
      <w:r>
        <w:t xml:space="preserve">. </w:t>
      </w:r>
    </w:p>
    <w:p w14:paraId="3BD9B2AB" w14:textId="77777777" w:rsidR="002C6E55" w:rsidRPr="002C6E55" w:rsidRDefault="002C6E55" w:rsidP="006D547D">
      <w:pPr>
        <w:pStyle w:val="Tablenotes"/>
      </w:pPr>
      <w:r>
        <w:t xml:space="preserve">Clinical management algorithm </w:t>
      </w:r>
      <w:proofErr w:type="gramStart"/>
      <w:r>
        <w:t>was constructed</w:t>
      </w:r>
      <w:proofErr w:type="gramEnd"/>
      <w:r>
        <w:t xml:space="preserve"> during PICO development based on international guidelines and public funding status on the MBS at the time.</w:t>
      </w:r>
    </w:p>
    <w:p w14:paraId="29A81700" w14:textId="77777777" w:rsidR="00BC1364" w:rsidRPr="00F715D1" w:rsidRDefault="00BC1364" w:rsidP="00F715D1">
      <w:pPr>
        <w:pStyle w:val="Heading1"/>
      </w:pPr>
      <w:r w:rsidRPr="00F715D1">
        <w:t xml:space="preserve">Comparator </w:t>
      </w:r>
    </w:p>
    <w:p w14:paraId="30871C6A" w14:textId="77777777" w:rsidR="002C6E55" w:rsidRDefault="002C6E55" w:rsidP="00572859">
      <w:pPr>
        <w:spacing w:after="120"/>
      </w:pPr>
      <w:r w:rsidRPr="00545D24">
        <w:t>The</w:t>
      </w:r>
      <w:r>
        <w:t xml:space="preserve"> ADAR presented two</w:t>
      </w:r>
      <w:r w:rsidRPr="00545D24">
        <w:t xml:space="preserve"> main comparators: </w:t>
      </w:r>
    </w:p>
    <w:p w14:paraId="4A59D7F0" w14:textId="77777777" w:rsidR="002C6E55" w:rsidRPr="003A7EA2" w:rsidRDefault="002C6E55" w:rsidP="003A7EA2">
      <w:pPr>
        <w:rPr>
          <w:u w:val="single"/>
        </w:rPr>
      </w:pPr>
      <w:r w:rsidRPr="003A7EA2">
        <w:rPr>
          <w:u w:val="single"/>
        </w:rPr>
        <w:t xml:space="preserve">Active surveillance/delayed therapy (AS/DT) </w:t>
      </w:r>
    </w:p>
    <w:p w14:paraId="73BDEC53" w14:textId="77777777" w:rsidR="002C6E55" w:rsidRDefault="002C6E55" w:rsidP="002C6E55">
      <w:pPr>
        <w:pStyle w:val="ListParagraph"/>
        <w:spacing w:after="240"/>
        <w:ind w:left="0"/>
      </w:pPr>
      <w:r w:rsidRPr="00AA3DBF">
        <w:t>Active surveillance involves the regular imaging monitoring of patients, with delayed treatment potentially indicated when the tumour reaches a particular growth rate or size, or when the patients decides they want to undergo intervention. Th</w:t>
      </w:r>
      <w:r>
        <w:t>erefore, the ADAR asserted that</w:t>
      </w:r>
      <w:r w:rsidRPr="00AA3DBF">
        <w:t xml:space="preserve"> for many patients, AS/DT is not a lack of active treatment, but simply a delay in treatment.</w:t>
      </w:r>
    </w:p>
    <w:p w14:paraId="582019B2" w14:textId="27DC6EB2" w:rsidR="002C6E55" w:rsidRPr="003A7EA2" w:rsidRDefault="002C6E55" w:rsidP="003A7EA2">
      <w:pPr>
        <w:rPr>
          <w:u w:val="single"/>
        </w:rPr>
      </w:pPr>
      <w:r w:rsidRPr="003A7EA2">
        <w:rPr>
          <w:u w:val="single"/>
        </w:rPr>
        <w:t xml:space="preserve">Laparoscopic </w:t>
      </w:r>
      <w:r w:rsidR="00683E86" w:rsidRPr="003A7EA2">
        <w:rPr>
          <w:u w:val="single"/>
        </w:rPr>
        <w:t>radical nephrectomy (</w:t>
      </w:r>
      <w:r w:rsidRPr="003A7EA2">
        <w:rPr>
          <w:u w:val="single"/>
        </w:rPr>
        <w:t>RN</w:t>
      </w:r>
      <w:r w:rsidR="00683E86" w:rsidRPr="003A7EA2">
        <w:rPr>
          <w:u w:val="single"/>
        </w:rPr>
        <w:t>)</w:t>
      </w:r>
    </w:p>
    <w:p w14:paraId="6286B115" w14:textId="77777777" w:rsidR="002C6E55" w:rsidRPr="00545D24" w:rsidRDefault="002C6E55" w:rsidP="002C6E55">
      <w:pPr>
        <w:spacing w:after="240"/>
      </w:pPr>
      <w:r>
        <w:t>L</w:t>
      </w:r>
      <w:r w:rsidRPr="00FB4EB8">
        <w:t xml:space="preserve">aparoscopic </w:t>
      </w:r>
      <w:r>
        <w:t xml:space="preserve">RN, which involves removal of the whole kidney, </w:t>
      </w:r>
      <w:r w:rsidRPr="00FB4EB8">
        <w:t>is a treatment option for</w:t>
      </w:r>
      <w:r>
        <w:t xml:space="preserve"> patients with</w:t>
      </w:r>
      <w:r w:rsidRPr="00FB4EB8">
        <w:t xml:space="preserve"> tumours not amenable to </w:t>
      </w:r>
      <w:r>
        <w:t xml:space="preserve">PN. The relevant MBS items for reimbursement of RN </w:t>
      </w:r>
      <w:proofErr w:type="gramStart"/>
      <w:r>
        <w:t>are:</w:t>
      </w:r>
      <w:proofErr w:type="gramEnd"/>
      <w:r>
        <w:t xml:space="preserve"> 36516, 36519, 36526, 36528, 36529 and 36575.</w:t>
      </w:r>
    </w:p>
    <w:p w14:paraId="6444504A" w14:textId="77777777" w:rsidR="002C6E55" w:rsidRDefault="002C6E55" w:rsidP="002C6E55">
      <w:pPr>
        <w:spacing w:after="240"/>
      </w:pPr>
      <w:r w:rsidRPr="00545D24">
        <w:t xml:space="preserve">Two additional </w:t>
      </w:r>
      <w:r>
        <w:t xml:space="preserve">(supplementary) comparators </w:t>
      </w:r>
      <w:proofErr w:type="gramStart"/>
      <w:r>
        <w:t>were also presented</w:t>
      </w:r>
      <w:proofErr w:type="gramEnd"/>
      <w:r>
        <w:t xml:space="preserve"> in the ADAR: Other thermal ablation (OTA; including RFA and MWA) and PN. </w:t>
      </w:r>
    </w:p>
    <w:p w14:paraId="2BC902AC" w14:textId="77777777" w:rsidR="002C6E55" w:rsidRDefault="002C6E55" w:rsidP="002C6E55">
      <w:pPr>
        <w:spacing w:after="240"/>
      </w:pPr>
      <w:r>
        <w:t xml:space="preserve">The ADAR included OTA as a supplementary comparator on the basis that RFA and MWA </w:t>
      </w:r>
      <w:proofErr w:type="gramStart"/>
      <w:r>
        <w:t>are recommended</w:t>
      </w:r>
      <w:proofErr w:type="gramEnd"/>
      <w:r>
        <w:t xml:space="preserve"> alongside CA in international clinical guidelines</w:t>
      </w:r>
      <w:r w:rsidRPr="00D77FD3">
        <w:t xml:space="preserve"> and can therefore potentially be used instead of CA.</w:t>
      </w:r>
      <w:r>
        <w:t xml:space="preserve"> A comparison of CA, RFW and MWA </w:t>
      </w:r>
      <w:proofErr w:type="gramStart"/>
      <w:r>
        <w:t>is presented</w:t>
      </w:r>
      <w:proofErr w:type="gramEnd"/>
      <w:r>
        <w:t xml:space="preserve"> in </w:t>
      </w:r>
      <w:r>
        <w:fldChar w:fldCharType="begin"/>
      </w:r>
      <w:r>
        <w:instrText xml:space="preserve"> REF _Ref54335780 \h </w:instrText>
      </w:r>
      <w:r>
        <w:fldChar w:fldCharType="separate"/>
      </w:r>
      <w:r>
        <w:t xml:space="preserve">Table </w:t>
      </w:r>
      <w:r>
        <w:rPr>
          <w:noProof/>
        </w:rPr>
        <w:t>3</w:t>
      </w:r>
      <w:r>
        <w:fldChar w:fldCharType="end"/>
      </w:r>
      <w:r>
        <w:fldChar w:fldCharType="begin"/>
      </w:r>
      <w:r>
        <w:instrText xml:space="preserve"> REF _Ref45286750 \h </w:instrText>
      </w:r>
      <w:r>
        <w:fldChar w:fldCharType="end"/>
      </w:r>
      <w:r>
        <w:t>.</w:t>
      </w:r>
      <w:r w:rsidRPr="00D33696">
        <w:t xml:space="preserve"> PN </w:t>
      </w:r>
      <w:r>
        <w:t>was included as a</w:t>
      </w:r>
      <w:r w:rsidRPr="00D33696">
        <w:t xml:space="preserve"> supplementary comparator based on </w:t>
      </w:r>
      <w:proofErr w:type="gramStart"/>
      <w:r w:rsidRPr="00D33696">
        <w:t>the potential of leakage of use in patients suitable for PN but who prefer percutaneous CA instead</w:t>
      </w:r>
      <w:proofErr w:type="gramEnd"/>
      <w:r>
        <w:t>.</w:t>
      </w:r>
    </w:p>
    <w:p w14:paraId="59784784" w14:textId="77777777" w:rsidR="002C6E55" w:rsidRDefault="002C6E55" w:rsidP="002C6E55">
      <w:pPr>
        <w:spacing w:after="240"/>
      </w:pPr>
      <w:r>
        <w:t>The ADAR presented both clinical and economic comparison of CA vs the main comparators (AS/DT and RN) and a</w:t>
      </w:r>
      <w:r w:rsidRPr="00545D24">
        <w:t xml:space="preserve"> clinical comparison </w:t>
      </w:r>
      <w:r>
        <w:t xml:space="preserve">only </w:t>
      </w:r>
      <w:r w:rsidRPr="00545D24">
        <w:t>of CA versus</w:t>
      </w:r>
      <w:r>
        <w:t xml:space="preserve"> the supplementary comparators (OTA and PN) (i.e. an economic comparison of CA vs OTA or PN </w:t>
      </w:r>
      <w:proofErr w:type="gramStart"/>
      <w:r>
        <w:t>was not provided</w:t>
      </w:r>
      <w:proofErr w:type="gramEnd"/>
      <w:r>
        <w:t>).</w:t>
      </w:r>
    </w:p>
    <w:p w14:paraId="1FD1CB19" w14:textId="09D32967" w:rsidR="00800956" w:rsidRPr="00800956" w:rsidRDefault="00BF56EF" w:rsidP="00800956">
      <w:pPr>
        <w:spacing w:after="240"/>
      </w:pPr>
      <w:r>
        <w:rPr>
          <w:iCs/>
        </w:rPr>
        <w:t xml:space="preserve">The </w:t>
      </w:r>
      <w:r w:rsidR="009842FE">
        <w:rPr>
          <w:iCs/>
        </w:rPr>
        <w:t>Commentary</w:t>
      </w:r>
      <w:r w:rsidR="002C6E55">
        <w:rPr>
          <w:iCs/>
        </w:rPr>
        <w:t xml:space="preserve"> noted that the comparators are consistent with the ratified PICO confirmation. </w:t>
      </w:r>
      <w:bookmarkStart w:id="8" w:name="_Ref54335780"/>
      <w:bookmarkStart w:id="9" w:name="_Ref51069304"/>
      <w:r w:rsidR="00800956">
        <w:rPr>
          <w:rFonts w:ascii="Arial Narrow" w:hAnsi="Arial Narrow"/>
          <w:b/>
          <w:sz w:val="20"/>
        </w:rPr>
        <w:br w:type="page"/>
      </w:r>
    </w:p>
    <w:p w14:paraId="53E5EC7C" w14:textId="5A5F9486" w:rsidR="002C6E55" w:rsidRPr="003A7EA2" w:rsidRDefault="002C6E55" w:rsidP="003A7EA2">
      <w:pPr>
        <w:rPr>
          <w:rFonts w:ascii="Arial Narrow" w:hAnsi="Arial Narrow"/>
          <w:b/>
          <w:sz w:val="20"/>
        </w:rPr>
      </w:pPr>
      <w:r w:rsidRPr="003A7EA2">
        <w:rPr>
          <w:rFonts w:ascii="Arial Narrow" w:hAnsi="Arial Narrow"/>
          <w:b/>
          <w:sz w:val="20"/>
        </w:rPr>
        <w:t xml:space="preserve">Table </w:t>
      </w:r>
      <w:r w:rsidR="00C736E0" w:rsidRPr="003A7EA2">
        <w:rPr>
          <w:rFonts w:ascii="Arial Narrow" w:hAnsi="Arial Narrow"/>
          <w:b/>
          <w:sz w:val="20"/>
        </w:rPr>
        <w:fldChar w:fldCharType="begin"/>
      </w:r>
      <w:r w:rsidR="00C736E0" w:rsidRPr="003A7EA2">
        <w:rPr>
          <w:rFonts w:ascii="Arial Narrow" w:hAnsi="Arial Narrow"/>
          <w:b/>
          <w:sz w:val="20"/>
        </w:rPr>
        <w:instrText xml:space="preserve"> SEQ Table \* ARABIC </w:instrText>
      </w:r>
      <w:r w:rsidR="00C736E0" w:rsidRPr="003A7EA2">
        <w:rPr>
          <w:rFonts w:ascii="Arial Narrow" w:hAnsi="Arial Narrow"/>
          <w:b/>
          <w:sz w:val="20"/>
        </w:rPr>
        <w:fldChar w:fldCharType="separate"/>
      </w:r>
      <w:r w:rsidRPr="003A7EA2">
        <w:rPr>
          <w:rFonts w:ascii="Arial Narrow" w:hAnsi="Arial Narrow"/>
          <w:b/>
          <w:sz w:val="20"/>
        </w:rPr>
        <w:t>3</w:t>
      </w:r>
      <w:r w:rsidR="00C736E0" w:rsidRPr="003A7EA2">
        <w:rPr>
          <w:rFonts w:ascii="Arial Narrow" w:hAnsi="Arial Narrow"/>
          <w:b/>
          <w:sz w:val="20"/>
        </w:rPr>
        <w:fldChar w:fldCharType="end"/>
      </w:r>
      <w:bookmarkEnd w:id="8"/>
      <w:r w:rsidR="00071451" w:rsidRPr="003A7EA2">
        <w:rPr>
          <w:rFonts w:ascii="Arial Narrow" w:hAnsi="Arial Narrow"/>
          <w:b/>
          <w:sz w:val="20"/>
        </w:rPr>
        <w:tab/>
      </w:r>
      <w:r w:rsidRPr="003A7EA2">
        <w:rPr>
          <w:rFonts w:ascii="Arial Narrow" w:hAnsi="Arial Narrow"/>
          <w:b/>
          <w:sz w:val="20"/>
        </w:rPr>
        <w:t>Comparison of CA, RFA and MWA</w:t>
      </w:r>
      <w:bookmarkEnd w:id="9"/>
      <w:r w:rsidRPr="003A7EA2">
        <w:rPr>
          <w:rFonts w:ascii="Arial Narrow" w:hAnsi="Arial Narrow"/>
          <w:b/>
          <w:sz w:val="20"/>
        </w:rPr>
        <w:t xml:space="preserve"> </w:t>
      </w:r>
    </w:p>
    <w:tbl>
      <w:tblPr>
        <w:tblStyle w:val="TableGrid"/>
        <w:tblW w:w="9180" w:type="dxa"/>
        <w:tblLayout w:type="fixed"/>
        <w:tblLook w:val="04A0" w:firstRow="1" w:lastRow="0" w:firstColumn="1" w:lastColumn="0" w:noHBand="0" w:noVBand="1"/>
        <w:tblCaption w:val="Comparison of cryoablation, radiofrequency ablation and microwave ablation"/>
        <w:tblDescription w:val="This table provides a comparison of three thermal ablation modalities: cryoablation, RFA and MWA."/>
      </w:tblPr>
      <w:tblGrid>
        <w:gridCol w:w="1384"/>
        <w:gridCol w:w="2693"/>
        <w:gridCol w:w="2410"/>
        <w:gridCol w:w="2693"/>
      </w:tblGrid>
      <w:tr w:rsidR="002C6E55" w14:paraId="1C5683FE" w14:textId="77777777" w:rsidTr="00572859">
        <w:trPr>
          <w:cantSplit/>
          <w:tblHeader/>
        </w:trPr>
        <w:tc>
          <w:tcPr>
            <w:tcW w:w="1384" w:type="dxa"/>
            <w:tcBorders>
              <w:top w:val="single" w:sz="4" w:space="0" w:color="auto"/>
              <w:left w:val="single" w:sz="4" w:space="0" w:color="auto"/>
              <w:bottom w:val="nil"/>
              <w:right w:val="single" w:sz="4" w:space="0" w:color="auto"/>
            </w:tcBorders>
          </w:tcPr>
          <w:p w14:paraId="36AE347A" w14:textId="77777777" w:rsidR="002C6E55" w:rsidRDefault="002C6E55" w:rsidP="00572859">
            <w:pPr>
              <w:spacing w:before="40" w:after="40"/>
              <w:rPr>
                <w:rFonts w:ascii="Arial Narrow" w:hAnsi="Arial Narrow"/>
                <w:b/>
                <w:sz w:val="20"/>
                <w:lang w:eastAsia="en-US"/>
              </w:rPr>
            </w:pP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54200795" w14:textId="77777777" w:rsidR="002C6E55" w:rsidRDefault="002C6E55" w:rsidP="00572859">
            <w:pPr>
              <w:spacing w:before="40" w:after="40"/>
              <w:jc w:val="center"/>
              <w:rPr>
                <w:rFonts w:ascii="Arial Narrow" w:hAnsi="Arial Narrow"/>
                <w:b/>
                <w:sz w:val="20"/>
                <w:lang w:eastAsia="en-US"/>
              </w:rPr>
            </w:pPr>
            <w:r>
              <w:rPr>
                <w:rFonts w:ascii="Arial Narrow" w:hAnsi="Arial Narrow"/>
                <w:b/>
                <w:sz w:val="20"/>
                <w:lang w:eastAsia="en-US"/>
              </w:rPr>
              <w:t>CA</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6BCFC21B" w14:textId="77777777" w:rsidR="002C6E55" w:rsidRDefault="002C6E55" w:rsidP="00572859">
            <w:pPr>
              <w:spacing w:before="40" w:after="40"/>
              <w:jc w:val="center"/>
              <w:rPr>
                <w:rFonts w:ascii="Arial Narrow" w:hAnsi="Arial Narrow"/>
                <w:b/>
                <w:sz w:val="20"/>
                <w:lang w:eastAsia="en-US"/>
              </w:rPr>
            </w:pPr>
            <w:r>
              <w:rPr>
                <w:rFonts w:ascii="Arial Narrow" w:hAnsi="Arial Narrow"/>
                <w:b/>
                <w:sz w:val="20"/>
                <w:lang w:eastAsia="en-US"/>
              </w:rPr>
              <w:t>OTA</w:t>
            </w:r>
          </w:p>
        </w:tc>
      </w:tr>
      <w:tr w:rsidR="002C6E55" w14:paraId="5A212B4F" w14:textId="77777777" w:rsidTr="00572859">
        <w:trPr>
          <w:cantSplit/>
          <w:tblHeader/>
        </w:trPr>
        <w:tc>
          <w:tcPr>
            <w:tcW w:w="1384" w:type="dxa"/>
            <w:tcBorders>
              <w:top w:val="nil"/>
              <w:left w:val="single" w:sz="4" w:space="0" w:color="auto"/>
              <w:bottom w:val="single" w:sz="4" w:space="0" w:color="auto"/>
              <w:right w:val="single" w:sz="4" w:space="0" w:color="auto"/>
            </w:tcBorders>
          </w:tcPr>
          <w:p w14:paraId="3E125641" w14:textId="77777777" w:rsidR="002C6E55" w:rsidRDefault="002C6E55" w:rsidP="00572859">
            <w:pPr>
              <w:spacing w:before="40" w:after="40"/>
              <w:rPr>
                <w:rFonts w:ascii="Arial Narrow" w:hAnsi="Arial Narrow"/>
                <w:b/>
                <w:sz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083D12E" w14:textId="77777777" w:rsidR="002C6E55" w:rsidRDefault="002C6E55" w:rsidP="00572859">
            <w:pPr>
              <w:spacing w:before="40" w:after="40"/>
              <w:rPr>
                <w:rFonts w:ascii="Arial Narrow" w:hAnsi="Arial Narrow"/>
                <w:b/>
                <w:sz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FCBC2F" w14:textId="77777777" w:rsidR="002C6E55" w:rsidRDefault="002C6E55" w:rsidP="00572859">
            <w:pPr>
              <w:spacing w:before="40" w:after="40"/>
              <w:jc w:val="center"/>
              <w:rPr>
                <w:rFonts w:ascii="Arial Narrow" w:hAnsi="Arial Narrow"/>
                <w:b/>
                <w:sz w:val="20"/>
                <w:lang w:eastAsia="en-US"/>
              </w:rPr>
            </w:pPr>
            <w:r>
              <w:rPr>
                <w:rFonts w:ascii="Arial Narrow" w:hAnsi="Arial Narrow"/>
                <w:b/>
                <w:sz w:val="20"/>
                <w:lang w:eastAsia="en-US"/>
              </w:rPr>
              <w:t>RFA</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CC352F" w14:textId="77777777" w:rsidR="002C6E55" w:rsidRDefault="002C6E55" w:rsidP="00572859">
            <w:pPr>
              <w:spacing w:before="40" w:after="40"/>
              <w:jc w:val="center"/>
              <w:rPr>
                <w:rFonts w:ascii="Arial Narrow" w:hAnsi="Arial Narrow"/>
                <w:b/>
                <w:sz w:val="20"/>
                <w:lang w:eastAsia="en-US"/>
              </w:rPr>
            </w:pPr>
            <w:r>
              <w:rPr>
                <w:rFonts w:ascii="Arial Narrow" w:hAnsi="Arial Narrow"/>
                <w:b/>
                <w:sz w:val="20"/>
                <w:lang w:eastAsia="en-US"/>
              </w:rPr>
              <w:t>MWA</w:t>
            </w:r>
          </w:p>
        </w:tc>
      </w:tr>
      <w:tr w:rsidR="002C6E55" w14:paraId="31B2B7E7" w14:textId="77777777" w:rsidTr="00572859">
        <w:trPr>
          <w:cantSplit/>
        </w:trPr>
        <w:tc>
          <w:tcPr>
            <w:tcW w:w="1384" w:type="dxa"/>
            <w:tcBorders>
              <w:top w:val="single" w:sz="4" w:space="0" w:color="auto"/>
              <w:left w:val="single" w:sz="4" w:space="0" w:color="auto"/>
              <w:bottom w:val="single" w:sz="4" w:space="0" w:color="auto"/>
              <w:right w:val="single" w:sz="4" w:space="0" w:color="auto"/>
            </w:tcBorders>
            <w:hideMark/>
          </w:tcPr>
          <w:p w14:paraId="45874A5E" w14:textId="77777777" w:rsidR="002C6E55" w:rsidRDefault="002C6E55" w:rsidP="00572859">
            <w:pPr>
              <w:spacing w:before="40" w:after="40"/>
              <w:rPr>
                <w:rFonts w:ascii="Arial Narrow" w:hAnsi="Arial Narrow"/>
                <w:sz w:val="20"/>
                <w:lang w:eastAsia="en-US"/>
              </w:rPr>
            </w:pPr>
            <w:r>
              <w:rPr>
                <w:rFonts w:ascii="Arial Narrow" w:hAnsi="Arial Narrow"/>
                <w:sz w:val="20"/>
                <w:lang w:eastAsia="en-US"/>
              </w:rPr>
              <w:t>Mechanism of action</w:t>
            </w:r>
          </w:p>
        </w:tc>
        <w:tc>
          <w:tcPr>
            <w:tcW w:w="2693" w:type="dxa"/>
            <w:tcBorders>
              <w:top w:val="single" w:sz="4" w:space="0" w:color="auto"/>
              <w:left w:val="single" w:sz="4" w:space="0" w:color="auto"/>
              <w:bottom w:val="single" w:sz="4" w:space="0" w:color="auto"/>
              <w:right w:val="single" w:sz="4" w:space="0" w:color="auto"/>
            </w:tcBorders>
            <w:hideMark/>
          </w:tcPr>
          <w:p w14:paraId="723CDBBA" w14:textId="77777777" w:rsidR="002C6E55" w:rsidRDefault="002C6E55" w:rsidP="00572859">
            <w:pPr>
              <w:spacing w:before="40" w:after="40"/>
              <w:rPr>
                <w:rFonts w:ascii="Arial Narrow" w:hAnsi="Arial Narrow"/>
                <w:sz w:val="20"/>
                <w:lang w:eastAsia="en-US"/>
              </w:rPr>
            </w:pPr>
            <w:r>
              <w:rPr>
                <w:rFonts w:ascii="Arial Narrow" w:hAnsi="Arial Narrow"/>
                <w:sz w:val="20"/>
                <w:lang w:eastAsia="en-US"/>
              </w:rPr>
              <w:t xml:space="preserve">Uses alternating freeze/thaw cycles to generate an ice ball with temperatures as low as –140°C. Cell death occurs within the visible ice ball in the range of –20 to </w:t>
            </w:r>
            <w:proofErr w:type="gramStart"/>
            <w:r>
              <w:rPr>
                <w:rFonts w:ascii="Arial Narrow" w:hAnsi="Arial Narrow"/>
                <w:sz w:val="20"/>
                <w:lang w:eastAsia="en-US"/>
              </w:rPr>
              <w:t>–40°C.</w:t>
            </w:r>
            <w:proofErr w:type="gramEnd"/>
            <w:r>
              <w:rPr>
                <w:rFonts w:ascii="Arial Narrow" w:hAnsi="Arial Narrow"/>
                <w:sz w:val="20"/>
                <w:lang w:eastAsia="en-US"/>
              </w:rPr>
              <w:t xml:space="preserve"> Tissue destruction can occur directly at the lowest temperatures, and via extracellular ice crystal formation and leading to cell dehydration and death at higher temperatures</w:t>
            </w:r>
          </w:p>
        </w:tc>
        <w:tc>
          <w:tcPr>
            <w:tcW w:w="2410" w:type="dxa"/>
            <w:tcBorders>
              <w:top w:val="single" w:sz="4" w:space="0" w:color="auto"/>
              <w:left w:val="single" w:sz="4" w:space="0" w:color="auto"/>
              <w:bottom w:val="single" w:sz="4" w:space="0" w:color="auto"/>
              <w:right w:val="single" w:sz="4" w:space="0" w:color="auto"/>
            </w:tcBorders>
            <w:hideMark/>
          </w:tcPr>
          <w:p w14:paraId="23C657C6" w14:textId="77777777" w:rsidR="002C6E55" w:rsidRDefault="002C6E55" w:rsidP="00572859">
            <w:pPr>
              <w:spacing w:before="40" w:after="40"/>
              <w:rPr>
                <w:rFonts w:ascii="Arial Narrow" w:hAnsi="Arial Narrow"/>
                <w:sz w:val="20"/>
                <w:lang w:eastAsia="en-US"/>
              </w:rPr>
            </w:pPr>
            <w:r>
              <w:rPr>
                <w:rFonts w:ascii="Arial Narrow" w:hAnsi="Arial Narrow"/>
                <w:sz w:val="20"/>
                <w:lang w:eastAsia="en-US"/>
              </w:rPr>
              <w:t>High temperature (&gt;55°C) achieved by alternating current which results in vibration of and friction between water molecules, resulting in thermal injury and coagulative necrosis</w:t>
            </w:r>
          </w:p>
        </w:tc>
        <w:tc>
          <w:tcPr>
            <w:tcW w:w="2693" w:type="dxa"/>
            <w:tcBorders>
              <w:top w:val="single" w:sz="4" w:space="0" w:color="auto"/>
              <w:left w:val="single" w:sz="4" w:space="0" w:color="auto"/>
              <w:bottom w:val="single" w:sz="4" w:space="0" w:color="auto"/>
              <w:right w:val="single" w:sz="4" w:space="0" w:color="auto"/>
            </w:tcBorders>
            <w:hideMark/>
          </w:tcPr>
          <w:p w14:paraId="0B21FB4F" w14:textId="77777777" w:rsidR="002C6E55" w:rsidRDefault="002C6E55" w:rsidP="00572859">
            <w:pPr>
              <w:spacing w:before="40" w:after="40"/>
              <w:rPr>
                <w:rFonts w:ascii="Arial Narrow" w:hAnsi="Arial Narrow"/>
                <w:sz w:val="20"/>
                <w:lang w:eastAsia="en-US"/>
              </w:rPr>
            </w:pPr>
            <w:r>
              <w:rPr>
                <w:rFonts w:ascii="Arial Narrow" w:hAnsi="Arial Narrow"/>
                <w:sz w:val="20"/>
                <w:lang w:eastAsia="en-US"/>
              </w:rPr>
              <w:t>High temperature achieved by the oscillating microwave field increasing kinetic energy in water molecules, resulting in thermal injury and coagulative necrosis</w:t>
            </w:r>
          </w:p>
        </w:tc>
      </w:tr>
      <w:tr w:rsidR="002C6E55" w14:paraId="1A99FE68" w14:textId="77777777" w:rsidTr="00572859">
        <w:trPr>
          <w:cantSplit/>
        </w:trPr>
        <w:tc>
          <w:tcPr>
            <w:tcW w:w="1384" w:type="dxa"/>
            <w:tcBorders>
              <w:top w:val="single" w:sz="4" w:space="0" w:color="auto"/>
              <w:left w:val="single" w:sz="4" w:space="0" w:color="auto"/>
              <w:bottom w:val="single" w:sz="4" w:space="0" w:color="auto"/>
              <w:right w:val="single" w:sz="4" w:space="0" w:color="auto"/>
            </w:tcBorders>
            <w:hideMark/>
          </w:tcPr>
          <w:p w14:paraId="3045E738" w14:textId="77777777" w:rsidR="002C6E55" w:rsidRDefault="002C6E55" w:rsidP="00572859">
            <w:pPr>
              <w:spacing w:before="40" w:after="40"/>
              <w:rPr>
                <w:rFonts w:ascii="Arial Narrow" w:hAnsi="Arial Narrow"/>
                <w:sz w:val="20"/>
                <w:lang w:eastAsia="en-US"/>
              </w:rPr>
            </w:pPr>
            <w:r>
              <w:rPr>
                <w:rFonts w:ascii="Arial Narrow" w:hAnsi="Arial Narrow"/>
                <w:sz w:val="20"/>
                <w:lang w:eastAsia="en-US"/>
              </w:rPr>
              <w:t>Ablation speed</w:t>
            </w:r>
          </w:p>
        </w:tc>
        <w:tc>
          <w:tcPr>
            <w:tcW w:w="2693" w:type="dxa"/>
            <w:tcBorders>
              <w:top w:val="single" w:sz="4" w:space="0" w:color="auto"/>
              <w:left w:val="single" w:sz="4" w:space="0" w:color="auto"/>
              <w:bottom w:val="single" w:sz="4" w:space="0" w:color="auto"/>
              <w:right w:val="single" w:sz="4" w:space="0" w:color="auto"/>
            </w:tcBorders>
            <w:hideMark/>
          </w:tcPr>
          <w:p w14:paraId="04C42212" w14:textId="77777777" w:rsidR="002C6E55" w:rsidRDefault="002C6E55" w:rsidP="00572859">
            <w:pPr>
              <w:spacing w:before="40" w:after="40"/>
              <w:rPr>
                <w:rFonts w:ascii="Arial Narrow" w:hAnsi="Arial Narrow"/>
                <w:sz w:val="20"/>
                <w:lang w:eastAsia="en-US"/>
              </w:rPr>
            </w:pPr>
            <w:r>
              <w:rPr>
                <w:rFonts w:ascii="Arial Narrow" w:hAnsi="Arial Narrow"/>
                <w:sz w:val="20"/>
                <w:lang w:eastAsia="en-US"/>
              </w:rPr>
              <w:t>28-40 min</w:t>
            </w:r>
          </w:p>
        </w:tc>
        <w:tc>
          <w:tcPr>
            <w:tcW w:w="2410" w:type="dxa"/>
            <w:tcBorders>
              <w:top w:val="single" w:sz="4" w:space="0" w:color="auto"/>
              <w:left w:val="single" w:sz="4" w:space="0" w:color="auto"/>
              <w:bottom w:val="single" w:sz="4" w:space="0" w:color="auto"/>
              <w:right w:val="single" w:sz="4" w:space="0" w:color="auto"/>
            </w:tcBorders>
            <w:hideMark/>
          </w:tcPr>
          <w:p w14:paraId="735BAE07" w14:textId="77777777" w:rsidR="002C6E55" w:rsidRDefault="002C6E55" w:rsidP="00572859">
            <w:pPr>
              <w:spacing w:before="40" w:after="40"/>
              <w:rPr>
                <w:rFonts w:ascii="Arial Narrow" w:hAnsi="Arial Narrow"/>
                <w:sz w:val="20"/>
                <w:lang w:eastAsia="en-US"/>
              </w:rPr>
            </w:pPr>
            <w:r>
              <w:rPr>
                <w:rFonts w:ascii="Arial Narrow" w:hAnsi="Arial Narrow"/>
                <w:sz w:val="20"/>
                <w:lang w:eastAsia="en-US"/>
              </w:rPr>
              <w:t>12-30 min</w:t>
            </w:r>
          </w:p>
        </w:tc>
        <w:tc>
          <w:tcPr>
            <w:tcW w:w="2693" w:type="dxa"/>
            <w:tcBorders>
              <w:top w:val="single" w:sz="4" w:space="0" w:color="auto"/>
              <w:left w:val="single" w:sz="4" w:space="0" w:color="auto"/>
              <w:bottom w:val="single" w:sz="4" w:space="0" w:color="auto"/>
              <w:right w:val="single" w:sz="4" w:space="0" w:color="auto"/>
            </w:tcBorders>
            <w:hideMark/>
          </w:tcPr>
          <w:p w14:paraId="1F304A2A" w14:textId="77777777" w:rsidR="002C6E55" w:rsidRDefault="002C6E55" w:rsidP="00572859">
            <w:pPr>
              <w:spacing w:before="40" w:after="40"/>
              <w:rPr>
                <w:rFonts w:ascii="Arial Narrow" w:hAnsi="Arial Narrow"/>
                <w:sz w:val="20"/>
                <w:lang w:eastAsia="en-US"/>
              </w:rPr>
            </w:pPr>
            <w:r>
              <w:rPr>
                <w:rFonts w:ascii="Arial Narrow" w:hAnsi="Arial Narrow"/>
                <w:sz w:val="20"/>
                <w:lang w:eastAsia="en-US"/>
              </w:rPr>
              <w:t>5-8 min</w:t>
            </w:r>
          </w:p>
        </w:tc>
      </w:tr>
      <w:tr w:rsidR="002C6E55" w14:paraId="78D29200" w14:textId="77777777" w:rsidTr="00572859">
        <w:trPr>
          <w:cantSplit/>
        </w:trPr>
        <w:tc>
          <w:tcPr>
            <w:tcW w:w="1384" w:type="dxa"/>
            <w:tcBorders>
              <w:top w:val="single" w:sz="4" w:space="0" w:color="auto"/>
              <w:left w:val="single" w:sz="4" w:space="0" w:color="auto"/>
              <w:bottom w:val="single" w:sz="4" w:space="0" w:color="auto"/>
              <w:right w:val="single" w:sz="4" w:space="0" w:color="auto"/>
            </w:tcBorders>
            <w:hideMark/>
          </w:tcPr>
          <w:p w14:paraId="20C1AAC2" w14:textId="77777777" w:rsidR="002C6E55" w:rsidRDefault="002C6E55" w:rsidP="00572859">
            <w:pPr>
              <w:spacing w:before="40" w:after="40"/>
              <w:rPr>
                <w:rFonts w:ascii="Arial Narrow" w:hAnsi="Arial Narrow"/>
                <w:sz w:val="20"/>
                <w:lang w:eastAsia="en-US"/>
              </w:rPr>
            </w:pPr>
            <w:r>
              <w:rPr>
                <w:rFonts w:ascii="Arial Narrow" w:hAnsi="Arial Narrow"/>
                <w:sz w:val="20"/>
                <w:lang w:eastAsia="en-US"/>
              </w:rPr>
              <w:t>Tumour size</w:t>
            </w:r>
          </w:p>
        </w:tc>
        <w:tc>
          <w:tcPr>
            <w:tcW w:w="2693" w:type="dxa"/>
            <w:tcBorders>
              <w:top w:val="single" w:sz="4" w:space="0" w:color="auto"/>
              <w:left w:val="single" w:sz="4" w:space="0" w:color="auto"/>
              <w:bottom w:val="single" w:sz="4" w:space="0" w:color="auto"/>
              <w:right w:val="single" w:sz="4" w:space="0" w:color="auto"/>
            </w:tcBorders>
            <w:hideMark/>
          </w:tcPr>
          <w:p w14:paraId="40C09930" w14:textId="77777777" w:rsidR="002C6E55" w:rsidRDefault="002C6E55" w:rsidP="00572859">
            <w:pPr>
              <w:spacing w:before="40" w:after="40"/>
              <w:rPr>
                <w:rFonts w:ascii="Arial Narrow" w:hAnsi="Arial Narrow"/>
                <w:sz w:val="20"/>
                <w:lang w:eastAsia="en-US"/>
              </w:rPr>
            </w:pPr>
            <w:r>
              <w:rPr>
                <w:rFonts w:ascii="Arial Narrow" w:hAnsi="Arial Narrow"/>
                <w:sz w:val="20"/>
                <w:lang w:eastAsia="en-US"/>
              </w:rPr>
              <w:t>Up to 8cm</w:t>
            </w:r>
          </w:p>
        </w:tc>
        <w:tc>
          <w:tcPr>
            <w:tcW w:w="2410" w:type="dxa"/>
            <w:tcBorders>
              <w:top w:val="single" w:sz="4" w:space="0" w:color="auto"/>
              <w:left w:val="single" w:sz="4" w:space="0" w:color="auto"/>
              <w:bottom w:val="single" w:sz="4" w:space="0" w:color="auto"/>
              <w:right w:val="single" w:sz="4" w:space="0" w:color="auto"/>
            </w:tcBorders>
            <w:hideMark/>
          </w:tcPr>
          <w:p w14:paraId="37C18F91" w14:textId="77777777" w:rsidR="002C6E55" w:rsidRDefault="002C6E55" w:rsidP="00572859">
            <w:pPr>
              <w:spacing w:before="40" w:after="40"/>
              <w:rPr>
                <w:rFonts w:ascii="Arial Narrow" w:hAnsi="Arial Narrow"/>
                <w:sz w:val="20"/>
                <w:lang w:eastAsia="en-US"/>
              </w:rPr>
            </w:pPr>
            <w:r>
              <w:rPr>
                <w:rFonts w:ascii="Arial Narrow" w:hAnsi="Arial Narrow"/>
                <w:sz w:val="20"/>
                <w:lang w:eastAsia="en-US"/>
              </w:rPr>
              <w:t>&lt; 3 cm</w:t>
            </w:r>
          </w:p>
        </w:tc>
        <w:tc>
          <w:tcPr>
            <w:tcW w:w="2693" w:type="dxa"/>
            <w:tcBorders>
              <w:top w:val="single" w:sz="4" w:space="0" w:color="auto"/>
              <w:left w:val="single" w:sz="4" w:space="0" w:color="auto"/>
              <w:bottom w:val="single" w:sz="4" w:space="0" w:color="auto"/>
              <w:right w:val="single" w:sz="4" w:space="0" w:color="auto"/>
            </w:tcBorders>
            <w:hideMark/>
          </w:tcPr>
          <w:p w14:paraId="17AD924F" w14:textId="77777777" w:rsidR="002C6E55" w:rsidRDefault="002C6E55" w:rsidP="00572859">
            <w:pPr>
              <w:spacing w:before="40" w:after="40"/>
              <w:rPr>
                <w:rFonts w:ascii="Arial Narrow" w:hAnsi="Arial Narrow"/>
                <w:sz w:val="20"/>
                <w:lang w:eastAsia="en-US"/>
              </w:rPr>
            </w:pPr>
            <w:r>
              <w:rPr>
                <w:rFonts w:ascii="Arial Narrow" w:hAnsi="Arial Narrow"/>
                <w:sz w:val="20"/>
                <w:lang w:eastAsia="en-US"/>
              </w:rPr>
              <w:t>Up to 8cm</w:t>
            </w:r>
          </w:p>
        </w:tc>
      </w:tr>
      <w:tr w:rsidR="002C6E55" w14:paraId="5519DD89" w14:textId="77777777" w:rsidTr="00572859">
        <w:trPr>
          <w:cantSplit/>
        </w:trPr>
        <w:tc>
          <w:tcPr>
            <w:tcW w:w="1384" w:type="dxa"/>
            <w:tcBorders>
              <w:top w:val="single" w:sz="4" w:space="0" w:color="auto"/>
              <w:left w:val="single" w:sz="4" w:space="0" w:color="auto"/>
              <w:bottom w:val="single" w:sz="4" w:space="0" w:color="auto"/>
              <w:right w:val="single" w:sz="4" w:space="0" w:color="auto"/>
            </w:tcBorders>
            <w:hideMark/>
          </w:tcPr>
          <w:p w14:paraId="4137F7C5" w14:textId="77777777" w:rsidR="002C6E55" w:rsidRDefault="002C6E55" w:rsidP="00572859">
            <w:pPr>
              <w:spacing w:before="40" w:after="40"/>
              <w:rPr>
                <w:rFonts w:ascii="Arial Narrow" w:hAnsi="Arial Narrow"/>
                <w:sz w:val="20"/>
                <w:lang w:eastAsia="en-US"/>
              </w:rPr>
            </w:pPr>
            <w:r>
              <w:rPr>
                <w:rFonts w:ascii="Arial Narrow" w:hAnsi="Arial Narrow"/>
                <w:sz w:val="20"/>
                <w:lang w:eastAsia="en-US"/>
              </w:rPr>
              <w:t xml:space="preserve">Relative advantages </w:t>
            </w:r>
          </w:p>
        </w:tc>
        <w:tc>
          <w:tcPr>
            <w:tcW w:w="2693" w:type="dxa"/>
            <w:tcBorders>
              <w:top w:val="single" w:sz="4" w:space="0" w:color="auto"/>
              <w:left w:val="single" w:sz="4" w:space="0" w:color="auto"/>
              <w:bottom w:val="single" w:sz="4" w:space="0" w:color="auto"/>
              <w:right w:val="single" w:sz="4" w:space="0" w:color="auto"/>
            </w:tcBorders>
            <w:hideMark/>
          </w:tcPr>
          <w:p w14:paraId="1B291E74" w14:textId="77777777" w:rsidR="002C6E55" w:rsidRDefault="002C6E55" w:rsidP="00572859">
            <w:pPr>
              <w:pStyle w:val="ListParagraph"/>
              <w:numPr>
                <w:ilvl w:val="0"/>
                <w:numId w:val="30"/>
              </w:numPr>
              <w:spacing w:before="40" w:after="40"/>
              <w:ind w:left="357" w:hanging="357"/>
              <w:contextualSpacing w:val="0"/>
              <w:rPr>
                <w:rFonts w:ascii="Arial Narrow" w:hAnsi="Arial Narrow"/>
                <w:sz w:val="20"/>
                <w:lang w:eastAsia="en-US"/>
              </w:rPr>
            </w:pPr>
            <w:r>
              <w:rPr>
                <w:rFonts w:ascii="Arial Narrow" w:hAnsi="Arial Narrow"/>
                <w:sz w:val="20"/>
                <w:lang w:eastAsia="en-US"/>
              </w:rPr>
              <w:t>No grounding pads required so reduced risk of skin burns</w:t>
            </w:r>
          </w:p>
          <w:p w14:paraId="13821279" w14:textId="77777777" w:rsidR="002C6E55" w:rsidRDefault="002C6E55" w:rsidP="00572859">
            <w:pPr>
              <w:pStyle w:val="ListParagraph"/>
              <w:numPr>
                <w:ilvl w:val="0"/>
                <w:numId w:val="30"/>
              </w:numPr>
              <w:spacing w:before="40" w:after="40"/>
              <w:ind w:left="357" w:hanging="357"/>
              <w:contextualSpacing w:val="0"/>
              <w:rPr>
                <w:rFonts w:ascii="Arial Narrow" w:hAnsi="Arial Narrow"/>
                <w:sz w:val="20"/>
                <w:lang w:eastAsia="en-US"/>
              </w:rPr>
            </w:pPr>
            <w:r>
              <w:rPr>
                <w:rFonts w:ascii="Arial Narrow" w:hAnsi="Arial Narrow"/>
                <w:sz w:val="20"/>
                <w:lang w:eastAsia="en-US"/>
              </w:rPr>
              <w:t>Larger active treatment area than RFA</w:t>
            </w:r>
          </w:p>
          <w:p w14:paraId="000B66A1" w14:textId="77777777" w:rsidR="002C6E55" w:rsidRDefault="002C6E55" w:rsidP="00572859">
            <w:pPr>
              <w:pStyle w:val="ListParagraph"/>
              <w:numPr>
                <w:ilvl w:val="0"/>
                <w:numId w:val="30"/>
              </w:numPr>
              <w:spacing w:before="40" w:after="40"/>
              <w:ind w:left="357" w:hanging="357"/>
              <w:contextualSpacing w:val="0"/>
              <w:rPr>
                <w:rFonts w:ascii="Arial Narrow" w:hAnsi="Arial Narrow"/>
                <w:sz w:val="20"/>
                <w:lang w:eastAsia="en-US"/>
              </w:rPr>
            </w:pPr>
            <w:r>
              <w:rPr>
                <w:rFonts w:ascii="Arial Narrow" w:hAnsi="Arial Narrow"/>
                <w:sz w:val="20"/>
                <w:lang w:eastAsia="en-US"/>
              </w:rPr>
              <w:t>Ability of visually monitor the ice ball during treatment using imaging</w:t>
            </w:r>
          </w:p>
          <w:p w14:paraId="506CEA95" w14:textId="77777777" w:rsidR="002C6E55" w:rsidRDefault="002C6E55" w:rsidP="00572859">
            <w:pPr>
              <w:pStyle w:val="ListParagraph"/>
              <w:numPr>
                <w:ilvl w:val="0"/>
                <w:numId w:val="30"/>
              </w:numPr>
              <w:spacing w:before="40" w:after="40"/>
              <w:ind w:left="357" w:hanging="357"/>
              <w:contextualSpacing w:val="0"/>
              <w:rPr>
                <w:rFonts w:ascii="Arial Narrow" w:hAnsi="Arial Narrow"/>
                <w:sz w:val="20"/>
                <w:lang w:eastAsia="en-US"/>
              </w:rPr>
            </w:pPr>
            <w:r>
              <w:rPr>
                <w:rFonts w:ascii="Arial Narrow" w:hAnsi="Arial Narrow"/>
                <w:sz w:val="20"/>
                <w:lang w:eastAsia="en-US"/>
              </w:rPr>
              <w:t>Less risk to ureter and collecting systems than methods that use heating</w:t>
            </w:r>
          </w:p>
          <w:p w14:paraId="7D702387" w14:textId="77777777" w:rsidR="002C6E55" w:rsidRDefault="002C6E55" w:rsidP="00572859">
            <w:pPr>
              <w:pStyle w:val="ListParagraph"/>
              <w:numPr>
                <w:ilvl w:val="0"/>
                <w:numId w:val="30"/>
              </w:numPr>
              <w:spacing w:before="40" w:after="40"/>
              <w:ind w:left="357" w:hanging="357"/>
              <w:contextualSpacing w:val="0"/>
              <w:rPr>
                <w:rFonts w:ascii="Arial Narrow" w:hAnsi="Arial Narrow"/>
                <w:sz w:val="20"/>
                <w:lang w:eastAsia="en-US"/>
              </w:rPr>
            </w:pPr>
            <w:r>
              <w:rPr>
                <w:rFonts w:ascii="Arial Narrow" w:hAnsi="Arial Narrow"/>
                <w:sz w:val="20"/>
                <w:lang w:eastAsia="en-US"/>
              </w:rPr>
              <w:t>Better for central tumours than methods that use heating</w:t>
            </w:r>
          </w:p>
          <w:p w14:paraId="520FF1DF" w14:textId="77777777" w:rsidR="002C6E55" w:rsidRDefault="002C6E55" w:rsidP="00572859">
            <w:pPr>
              <w:pStyle w:val="ListParagraph"/>
              <w:numPr>
                <w:ilvl w:val="0"/>
                <w:numId w:val="30"/>
              </w:numPr>
              <w:spacing w:before="40" w:after="240"/>
              <w:ind w:left="357" w:hanging="357"/>
              <w:contextualSpacing w:val="0"/>
              <w:rPr>
                <w:rFonts w:ascii="Arial Narrow" w:hAnsi="Arial Narrow"/>
                <w:sz w:val="20"/>
                <w:lang w:eastAsia="en-US"/>
              </w:rPr>
            </w:pPr>
            <w:r>
              <w:rPr>
                <w:rFonts w:ascii="Arial Narrow" w:hAnsi="Arial Narrow"/>
                <w:sz w:val="20"/>
                <w:lang w:eastAsia="en-US"/>
              </w:rPr>
              <w:t>Less painful than RFA/MWA</w:t>
            </w:r>
          </w:p>
        </w:tc>
        <w:tc>
          <w:tcPr>
            <w:tcW w:w="2410" w:type="dxa"/>
            <w:tcBorders>
              <w:top w:val="single" w:sz="4" w:space="0" w:color="auto"/>
              <w:left w:val="single" w:sz="4" w:space="0" w:color="auto"/>
              <w:bottom w:val="single" w:sz="4" w:space="0" w:color="auto"/>
              <w:right w:val="single" w:sz="4" w:space="0" w:color="auto"/>
            </w:tcBorders>
            <w:hideMark/>
          </w:tcPr>
          <w:p w14:paraId="48BECD5B" w14:textId="77777777" w:rsidR="002C6E55" w:rsidRDefault="002C6E55" w:rsidP="00572859">
            <w:pPr>
              <w:pStyle w:val="ListParagraph"/>
              <w:numPr>
                <w:ilvl w:val="0"/>
                <w:numId w:val="30"/>
              </w:numPr>
              <w:spacing w:before="40" w:after="40"/>
              <w:ind w:left="357" w:hanging="357"/>
              <w:contextualSpacing w:val="0"/>
              <w:rPr>
                <w:rFonts w:ascii="Arial Narrow" w:hAnsi="Arial Narrow"/>
                <w:sz w:val="20"/>
                <w:lang w:eastAsia="en-US"/>
              </w:rPr>
            </w:pPr>
            <w:r>
              <w:rPr>
                <w:rFonts w:ascii="Arial Narrow" w:hAnsi="Arial Narrow"/>
                <w:sz w:val="20"/>
                <w:lang w:eastAsia="en-US"/>
              </w:rPr>
              <w:t xml:space="preserve">Faster ablation speed than CA </w:t>
            </w:r>
          </w:p>
        </w:tc>
        <w:tc>
          <w:tcPr>
            <w:tcW w:w="2693" w:type="dxa"/>
            <w:tcBorders>
              <w:top w:val="single" w:sz="4" w:space="0" w:color="auto"/>
              <w:left w:val="single" w:sz="4" w:space="0" w:color="auto"/>
              <w:bottom w:val="single" w:sz="4" w:space="0" w:color="auto"/>
              <w:right w:val="single" w:sz="4" w:space="0" w:color="auto"/>
            </w:tcBorders>
            <w:hideMark/>
          </w:tcPr>
          <w:p w14:paraId="5AD8F1A0" w14:textId="77777777" w:rsidR="002C6E55" w:rsidRDefault="002C6E55" w:rsidP="00572859">
            <w:pPr>
              <w:pStyle w:val="ListParagraph"/>
              <w:numPr>
                <w:ilvl w:val="0"/>
                <w:numId w:val="30"/>
              </w:numPr>
              <w:spacing w:before="40" w:after="40"/>
              <w:ind w:left="357" w:hanging="357"/>
              <w:contextualSpacing w:val="0"/>
              <w:rPr>
                <w:rFonts w:ascii="Arial Narrow" w:hAnsi="Arial Narrow"/>
                <w:sz w:val="20"/>
                <w:lang w:eastAsia="en-US"/>
              </w:rPr>
            </w:pPr>
            <w:r>
              <w:rPr>
                <w:rFonts w:ascii="Arial Narrow" w:hAnsi="Arial Narrow"/>
                <w:sz w:val="20"/>
                <w:lang w:eastAsia="en-US"/>
              </w:rPr>
              <w:t>No grounding pads required so reduced risk of skin burns</w:t>
            </w:r>
          </w:p>
          <w:p w14:paraId="4FBA7199" w14:textId="77777777" w:rsidR="002C6E55" w:rsidRDefault="002C6E55" w:rsidP="00572859">
            <w:pPr>
              <w:pStyle w:val="ListParagraph"/>
              <w:numPr>
                <w:ilvl w:val="0"/>
                <w:numId w:val="30"/>
              </w:numPr>
              <w:spacing w:before="40" w:after="40"/>
              <w:ind w:left="357" w:hanging="357"/>
              <w:contextualSpacing w:val="0"/>
              <w:rPr>
                <w:rFonts w:ascii="Arial Narrow" w:hAnsi="Arial Narrow"/>
                <w:sz w:val="20"/>
                <w:lang w:eastAsia="en-US"/>
              </w:rPr>
            </w:pPr>
            <w:r>
              <w:rPr>
                <w:rFonts w:ascii="Arial Narrow" w:hAnsi="Arial Narrow"/>
                <w:sz w:val="20"/>
                <w:lang w:eastAsia="en-US"/>
              </w:rPr>
              <w:t>Larger active treatment area than RFA</w:t>
            </w:r>
          </w:p>
          <w:p w14:paraId="3EA4D8B1" w14:textId="77777777" w:rsidR="002C6E55" w:rsidRDefault="002C6E55" w:rsidP="00572859">
            <w:pPr>
              <w:pStyle w:val="ListParagraph"/>
              <w:numPr>
                <w:ilvl w:val="0"/>
                <w:numId w:val="30"/>
              </w:numPr>
              <w:spacing w:before="40" w:after="40"/>
              <w:ind w:left="357" w:hanging="357"/>
              <w:contextualSpacing w:val="0"/>
              <w:rPr>
                <w:rFonts w:ascii="Arial Narrow" w:hAnsi="Arial Narrow"/>
                <w:sz w:val="20"/>
                <w:lang w:eastAsia="en-US"/>
              </w:rPr>
            </w:pPr>
            <w:r>
              <w:rPr>
                <w:rFonts w:ascii="Arial Narrow" w:hAnsi="Arial Narrow"/>
                <w:sz w:val="20"/>
                <w:lang w:eastAsia="en-US"/>
              </w:rPr>
              <w:t xml:space="preserve">Faster ablation speed than RFA and CA </w:t>
            </w:r>
          </w:p>
        </w:tc>
      </w:tr>
      <w:tr w:rsidR="002C6E55" w14:paraId="191097DB" w14:textId="77777777" w:rsidTr="00572859">
        <w:trPr>
          <w:cantSplit/>
        </w:trPr>
        <w:tc>
          <w:tcPr>
            <w:tcW w:w="1384" w:type="dxa"/>
            <w:tcBorders>
              <w:top w:val="single" w:sz="4" w:space="0" w:color="auto"/>
              <w:left w:val="single" w:sz="4" w:space="0" w:color="auto"/>
              <w:bottom w:val="single" w:sz="4" w:space="0" w:color="auto"/>
              <w:right w:val="single" w:sz="4" w:space="0" w:color="auto"/>
            </w:tcBorders>
            <w:hideMark/>
          </w:tcPr>
          <w:p w14:paraId="5C54A570" w14:textId="77777777" w:rsidR="002C6E55" w:rsidRDefault="002C6E55" w:rsidP="00572859">
            <w:pPr>
              <w:spacing w:before="40" w:after="40"/>
              <w:rPr>
                <w:rFonts w:ascii="Arial Narrow" w:hAnsi="Arial Narrow"/>
                <w:sz w:val="20"/>
                <w:lang w:eastAsia="en-US"/>
              </w:rPr>
            </w:pPr>
            <w:r>
              <w:rPr>
                <w:rFonts w:ascii="Arial Narrow" w:hAnsi="Arial Narrow"/>
                <w:sz w:val="20"/>
                <w:lang w:eastAsia="en-US"/>
              </w:rPr>
              <w:t>Relative disadvantages</w:t>
            </w:r>
          </w:p>
        </w:tc>
        <w:tc>
          <w:tcPr>
            <w:tcW w:w="2693" w:type="dxa"/>
            <w:tcBorders>
              <w:top w:val="single" w:sz="4" w:space="0" w:color="auto"/>
              <w:left w:val="single" w:sz="4" w:space="0" w:color="auto"/>
              <w:bottom w:val="single" w:sz="4" w:space="0" w:color="auto"/>
              <w:right w:val="single" w:sz="4" w:space="0" w:color="auto"/>
            </w:tcBorders>
            <w:hideMark/>
          </w:tcPr>
          <w:p w14:paraId="365B9D45" w14:textId="77777777" w:rsidR="002C6E55" w:rsidRDefault="002C6E55" w:rsidP="00572859">
            <w:pPr>
              <w:pStyle w:val="ListParagraph"/>
              <w:numPr>
                <w:ilvl w:val="0"/>
                <w:numId w:val="31"/>
              </w:numPr>
              <w:spacing w:before="40" w:after="40"/>
              <w:ind w:left="357" w:hanging="357"/>
              <w:contextualSpacing w:val="0"/>
              <w:rPr>
                <w:rFonts w:ascii="Arial Narrow" w:hAnsi="Arial Narrow"/>
                <w:sz w:val="20"/>
                <w:lang w:eastAsia="en-US"/>
              </w:rPr>
            </w:pPr>
            <w:r>
              <w:rPr>
                <w:rFonts w:ascii="Arial Narrow" w:hAnsi="Arial Narrow"/>
                <w:sz w:val="20"/>
                <w:lang w:eastAsia="en-US"/>
              </w:rPr>
              <w:t>Slower ablation speed than RFA/MWA</w:t>
            </w:r>
          </w:p>
          <w:p w14:paraId="73AD22E6" w14:textId="77777777" w:rsidR="002C6E55" w:rsidRDefault="002C6E55" w:rsidP="00572859">
            <w:pPr>
              <w:pStyle w:val="ListParagraph"/>
              <w:numPr>
                <w:ilvl w:val="0"/>
                <w:numId w:val="31"/>
              </w:numPr>
              <w:spacing w:before="40" w:after="40"/>
              <w:ind w:left="357" w:hanging="357"/>
              <w:contextualSpacing w:val="0"/>
              <w:rPr>
                <w:rFonts w:ascii="Arial Narrow" w:hAnsi="Arial Narrow"/>
                <w:sz w:val="20"/>
                <w:lang w:eastAsia="en-US"/>
              </w:rPr>
            </w:pPr>
            <w:r>
              <w:rPr>
                <w:rFonts w:ascii="Arial Narrow" w:hAnsi="Arial Narrow"/>
                <w:sz w:val="20"/>
                <w:lang w:eastAsia="en-US"/>
              </w:rPr>
              <w:t xml:space="preserve">Higher rate of bleeding than RFA/MWA </w:t>
            </w:r>
          </w:p>
        </w:tc>
        <w:tc>
          <w:tcPr>
            <w:tcW w:w="2410" w:type="dxa"/>
            <w:tcBorders>
              <w:top w:val="single" w:sz="4" w:space="0" w:color="auto"/>
              <w:left w:val="single" w:sz="4" w:space="0" w:color="auto"/>
              <w:bottom w:val="single" w:sz="4" w:space="0" w:color="auto"/>
              <w:right w:val="single" w:sz="4" w:space="0" w:color="auto"/>
            </w:tcBorders>
            <w:hideMark/>
          </w:tcPr>
          <w:p w14:paraId="5420D2A8" w14:textId="77777777" w:rsidR="002C6E55" w:rsidRDefault="002C6E55" w:rsidP="00572859">
            <w:pPr>
              <w:pStyle w:val="ListParagraph"/>
              <w:numPr>
                <w:ilvl w:val="0"/>
                <w:numId w:val="31"/>
              </w:numPr>
              <w:spacing w:before="40" w:after="40"/>
              <w:ind w:left="357" w:hanging="357"/>
              <w:contextualSpacing w:val="0"/>
              <w:rPr>
                <w:rFonts w:ascii="Arial Narrow" w:hAnsi="Arial Narrow"/>
                <w:sz w:val="20"/>
                <w:lang w:eastAsia="en-US"/>
              </w:rPr>
            </w:pPr>
            <w:r>
              <w:rPr>
                <w:rFonts w:ascii="Arial Narrow" w:hAnsi="Arial Narrow"/>
                <w:sz w:val="20"/>
                <w:lang w:eastAsia="en-US"/>
              </w:rPr>
              <w:t>Skin pad burns due to use of grounding pads</w:t>
            </w:r>
          </w:p>
          <w:p w14:paraId="0A3E4FAD" w14:textId="77777777" w:rsidR="002C6E55" w:rsidRDefault="002C6E55" w:rsidP="00572859">
            <w:pPr>
              <w:pStyle w:val="ListParagraph"/>
              <w:numPr>
                <w:ilvl w:val="0"/>
                <w:numId w:val="31"/>
              </w:numPr>
              <w:spacing w:before="40" w:after="40"/>
              <w:ind w:left="357" w:hanging="357"/>
              <w:contextualSpacing w:val="0"/>
              <w:rPr>
                <w:rFonts w:ascii="Arial Narrow" w:hAnsi="Arial Narrow"/>
                <w:sz w:val="20"/>
                <w:lang w:eastAsia="en-US"/>
              </w:rPr>
            </w:pPr>
            <w:r>
              <w:rPr>
                <w:rFonts w:ascii="Arial Narrow" w:hAnsi="Arial Narrow"/>
                <w:sz w:val="20"/>
                <w:lang w:eastAsia="en-US"/>
              </w:rPr>
              <w:t xml:space="preserve">Slower ablation speed than MWA (12-30 </w:t>
            </w:r>
            <w:proofErr w:type="spellStart"/>
            <w:r>
              <w:rPr>
                <w:rFonts w:ascii="Arial Narrow" w:hAnsi="Arial Narrow"/>
                <w:sz w:val="20"/>
                <w:lang w:eastAsia="en-US"/>
              </w:rPr>
              <w:t>mins</w:t>
            </w:r>
            <w:proofErr w:type="spellEnd"/>
            <w:r>
              <w:rPr>
                <w:rFonts w:ascii="Arial Narrow" w:hAnsi="Arial Narrow"/>
                <w:sz w:val="20"/>
                <w:lang w:eastAsia="en-US"/>
              </w:rPr>
              <w:t>)</w:t>
            </w:r>
          </w:p>
          <w:p w14:paraId="13834EC1" w14:textId="77777777" w:rsidR="002C6E55" w:rsidRDefault="002C6E55" w:rsidP="00572859">
            <w:pPr>
              <w:pStyle w:val="ListParagraph"/>
              <w:numPr>
                <w:ilvl w:val="0"/>
                <w:numId w:val="31"/>
              </w:numPr>
              <w:spacing w:before="40" w:after="40"/>
              <w:ind w:left="357" w:hanging="357"/>
              <w:contextualSpacing w:val="0"/>
              <w:rPr>
                <w:rFonts w:ascii="Arial Narrow" w:hAnsi="Arial Narrow"/>
                <w:sz w:val="20"/>
                <w:lang w:eastAsia="en-US"/>
              </w:rPr>
            </w:pPr>
            <w:r>
              <w:rPr>
                <w:rFonts w:ascii="Arial Narrow" w:hAnsi="Arial Narrow"/>
                <w:sz w:val="20"/>
                <w:lang w:eastAsia="en-US"/>
              </w:rPr>
              <w:t>Heating may damage the renal collecting system</w:t>
            </w:r>
          </w:p>
        </w:tc>
        <w:tc>
          <w:tcPr>
            <w:tcW w:w="2693" w:type="dxa"/>
            <w:tcBorders>
              <w:top w:val="single" w:sz="4" w:space="0" w:color="auto"/>
              <w:left w:val="single" w:sz="4" w:space="0" w:color="auto"/>
              <w:bottom w:val="single" w:sz="4" w:space="0" w:color="auto"/>
              <w:right w:val="single" w:sz="4" w:space="0" w:color="auto"/>
            </w:tcBorders>
            <w:hideMark/>
          </w:tcPr>
          <w:p w14:paraId="2F7110B7" w14:textId="77777777" w:rsidR="002C6E55" w:rsidRDefault="002C6E55" w:rsidP="00572859">
            <w:pPr>
              <w:pStyle w:val="ListParagraph"/>
              <w:numPr>
                <w:ilvl w:val="0"/>
                <w:numId w:val="31"/>
              </w:numPr>
              <w:spacing w:before="40" w:after="40"/>
              <w:ind w:left="357" w:hanging="357"/>
              <w:contextualSpacing w:val="0"/>
              <w:rPr>
                <w:rFonts w:ascii="Arial Narrow" w:hAnsi="Arial Narrow"/>
                <w:sz w:val="20"/>
                <w:lang w:eastAsia="en-US"/>
              </w:rPr>
            </w:pPr>
            <w:r>
              <w:rPr>
                <w:rFonts w:ascii="Arial Narrow" w:hAnsi="Arial Narrow"/>
                <w:sz w:val="20"/>
                <w:lang w:eastAsia="en-US"/>
              </w:rPr>
              <w:t>Increased treatment zone weighted towards axis of long needle so increases risk of burns to body wall, peritoneum and nearby structures</w:t>
            </w:r>
          </w:p>
          <w:p w14:paraId="1F9B04B7" w14:textId="77777777" w:rsidR="002C6E55" w:rsidRDefault="002C6E55" w:rsidP="00572859">
            <w:pPr>
              <w:pStyle w:val="ListParagraph"/>
              <w:numPr>
                <w:ilvl w:val="0"/>
                <w:numId w:val="31"/>
              </w:numPr>
              <w:spacing w:before="40" w:after="40"/>
              <w:ind w:left="357" w:hanging="357"/>
              <w:contextualSpacing w:val="0"/>
              <w:rPr>
                <w:rFonts w:ascii="Arial Narrow" w:hAnsi="Arial Narrow"/>
                <w:sz w:val="20"/>
                <w:lang w:eastAsia="en-US"/>
              </w:rPr>
            </w:pPr>
            <w:r>
              <w:rPr>
                <w:rFonts w:ascii="Arial Narrow" w:hAnsi="Arial Narrow"/>
                <w:sz w:val="20"/>
                <w:lang w:eastAsia="en-US"/>
              </w:rPr>
              <w:t>Heating may damage the renal collecting system</w:t>
            </w:r>
          </w:p>
        </w:tc>
      </w:tr>
    </w:tbl>
    <w:p w14:paraId="2C9E68F4" w14:textId="77777777" w:rsidR="002C6E55" w:rsidRDefault="002C6E55" w:rsidP="006D547D">
      <w:pPr>
        <w:pStyle w:val="Tablenotes"/>
      </w:pPr>
      <w:r>
        <w:t>Source: Table 4, p43 of the ADAR</w:t>
      </w:r>
    </w:p>
    <w:p w14:paraId="542D1B8D" w14:textId="77777777" w:rsidR="002C6E55" w:rsidRDefault="002C6E55" w:rsidP="006D547D">
      <w:pPr>
        <w:pStyle w:val="Tablenotes"/>
      </w:pPr>
      <w:r>
        <w:t>Abbreviations: CA=cryoablation; DT=delayed therapy; MWA=microwave ablation; N/A=not applicable; OTA=other thermal ablation; RFA=radiofrequency ablation; TA=thermal ablation</w:t>
      </w:r>
    </w:p>
    <w:p w14:paraId="6186D1ED" w14:textId="77777777" w:rsidR="00BC1364" w:rsidRPr="00F715D1" w:rsidRDefault="00BC1364" w:rsidP="00F715D1">
      <w:pPr>
        <w:pStyle w:val="Heading1"/>
      </w:pPr>
      <w:r w:rsidRPr="00F715D1">
        <w:t>Comparative safety</w:t>
      </w:r>
    </w:p>
    <w:p w14:paraId="314DC491" w14:textId="2908BEBE" w:rsidR="00800956" w:rsidRPr="00800956" w:rsidRDefault="002C6E55" w:rsidP="00800956">
      <w:pPr>
        <w:spacing w:after="240"/>
      </w:pPr>
      <w:proofErr w:type="gramStart"/>
      <w:r>
        <w:t xml:space="preserve">A total of </w:t>
      </w:r>
      <w:r w:rsidRPr="00D30E70">
        <w:t>39</w:t>
      </w:r>
      <w:proofErr w:type="gramEnd"/>
      <w:r w:rsidRPr="00D30E70">
        <w:t xml:space="preserve"> cohort studies, the majority of which were retrospective registry-based studies in the US</w:t>
      </w:r>
      <w:r>
        <w:t>, were presented in the ADAR</w:t>
      </w:r>
      <w:r w:rsidRPr="00D30E70">
        <w:t xml:space="preserve">. </w:t>
      </w:r>
      <w:proofErr w:type="gramStart"/>
      <w:r w:rsidRPr="00D30E70">
        <w:t>There were no direct randomised trials that compared CA versus any of the comparators.</w:t>
      </w:r>
      <w:proofErr w:type="gramEnd"/>
      <w:r>
        <w:t xml:space="preserve"> Studies that reported the use of </w:t>
      </w:r>
      <w:r w:rsidR="00683E86">
        <w:t>thermal ablation (</w:t>
      </w:r>
      <w:r>
        <w:t>TA</w:t>
      </w:r>
      <w:r w:rsidR="00683E86">
        <w:t>)</w:t>
      </w:r>
      <w:r>
        <w:t xml:space="preserve"> were used as a proxy for CA [</w:t>
      </w:r>
      <w:proofErr w:type="gramStart"/>
      <w:r>
        <w:t>CA(</w:t>
      </w:r>
      <w:proofErr w:type="gramEnd"/>
      <w:r>
        <w:t>TA)]. Of the 39 included studies, s</w:t>
      </w:r>
      <w:r w:rsidRPr="00D30E70">
        <w:t xml:space="preserve">ix cohort studies </w:t>
      </w:r>
      <w:r>
        <w:t xml:space="preserve">informed the comparison of CA </w:t>
      </w:r>
      <w:r w:rsidRPr="00D30E70">
        <w:t xml:space="preserve">versus AS/DT </w:t>
      </w:r>
      <w:r>
        <w:t xml:space="preserve">(main comparator 1) </w:t>
      </w:r>
      <w:r w:rsidRPr="00D30E70">
        <w:t xml:space="preserve">and seven cohort studies </w:t>
      </w:r>
      <w:r>
        <w:t>informed</w:t>
      </w:r>
      <w:r w:rsidRPr="00D30E70">
        <w:t xml:space="preserve"> the comparison </w:t>
      </w:r>
      <w:r>
        <w:t xml:space="preserve">of CA </w:t>
      </w:r>
      <w:r w:rsidRPr="00D30E70">
        <w:t>versus laparoscopic RN</w:t>
      </w:r>
      <w:r>
        <w:t xml:space="preserve"> (main comparator 2)</w:t>
      </w:r>
      <w:r w:rsidRPr="00D30E70">
        <w:t xml:space="preserve">. </w:t>
      </w:r>
      <w:r>
        <w:t>As such, m</w:t>
      </w:r>
      <w:r w:rsidRPr="00D30E70">
        <w:t xml:space="preserve">ost of the evidence </w:t>
      </w:r>
      <w:r>
        <w:t xml:space="preserve">pertained to the comparison of CA </w:t>
      </w:r>
      <w:r w:rsidRPr="00D30E70">
        <w:t>v</w:t>
      </w:r>
      <w:r>
        <w:t>ersus the supplementary comparators, OTA (k=21) or PN (k</w:t>
      </w:r>
      <w:r w:rsidRPr="00D30E70">
        <w:t>=12).</w:t>
      </w:r>
      <w:r>
        <w:t xml:space="preserve"> </w:t>
      </w:r>
      <w:r w:rsidRPr="00D30E70">
        <w:t xml:space="preserve">None of the studies </w:t>
      </w:r>
      <w:proofErr w:type="gramStart"/>
      <w:r w:rsidRPr="00D30E70">
        <w:t>were</w:t>
      </w:r>
      <w:proofErr w:type="gramEnd"/>
      <w:r w:rsidRPr="00D30E70">
        <w:t xml:space="preserve"> Australian. </w:t>
      </w:r>
      <w:bookmarkStart w:id="10" w:name="_Toc46840359"/>
      <w:bookmarkStart w:id="11" w:name="_Toc50104599"/>
      <w:r w:rsidR="00800956">
        <w:rPr>
          <w:u w:val="single"/>
        </w:rPr>
        <w:br w:type="page"/>
      </w:r>
    </w:p>
    <w:p w14:paraId="38A871F5" w14:textId="079319B4" w:rsidR="002C6E55" w:rsidRPr="003A7EA2" w:rsidRDefault="002C6E55" w:rsidP="003A7EA2">
      <w:pPr>
        <w:rPr>
          <w:u w:val="single"/>
        </w:rPr>
      </w:pPr>
      <w:r w:rsidRPr="003A7EA2">
        <w:rPr>
          <w:u w:val="single"/>
        </w:rPr>
        <w:t>CA vs. AS/DT (main comparator 1)</w:t>
      </w:r>
      <w:bookmarkEnd w:id="10"/>
      <w:bookmarkEnd w:id="11"/>
    </w:p>
    <w:p w14:paraId="31289334" w14:textId="77777777" w:rsidR="002C6E55" w:rsidRPr="00545D24" w:rsidRDefault="002C6E55" w:rsidP="002C6E55">
      <w:pPr>
        <w:spacing w:after="240"/>
        <w:rPr>
          <w:i/>
          <w:iCs/>
        </w:rPr>
      </w:pPr>
      <w:r>
        <w:t>The ADAR presented s</w:t>
      </w:r>
      <w:r w:rsidRPr="00545D24">
        <w:t xml:space="preserve">ix cohort studies </w:t>
      </w:r>
      <w:r>
        <w:t xml:space="preserve">based on three US databases. Two studies </w:t>
      </w:r>
      <w:proofErr w:type="gramStart"/>
      <w:r>
        <w:t>were based</w:t>
      </w:r>
      <w:proofErr w:type="gramEnd"/>
      <w:r>
        <w:t xml:space="preserve"> on data from one US-based prospective DISSRM</w:t>
      </w:r>
      <w:r>
        <w:rPr>
          <w:rStyle w:val="FootnoteReference"/>
        </w:rPr>
        <w:footnoteReference w:id="8"/>
      </w:r>
      <w:r>
        <w:t xml:space="preserve"> registry (</w:t>
      </w:r>
      <w:proofErr w:type="spellStart"/>
      <w:r>
        <w:t>Alam</w:t>
      </w:r>
      <w:proofErr w:type="spellEnd"/>
      <w:r>
        <w:t xml:space="preserve"> 2019</w:t>
      </w:r>
      <w:r>
        <w:rPr>
          <w:rStyle w:val="FootnoteReference"/>
        </w:rPr>
        <w:footnoteReference w:id="9"/>
      </w:r>
      <w:r>
        <w:t xml:space="preserve"> and Danzig 2019</w:t>
      </w:r>
      <w:r>
        <w:rPr>
          <w:rStyle w:val="FootnoteReference"/>
        </w:rPr>
        <w:footnoteReference w:id="10"/>
      </w:r>
      <w:r>
        <w:t>), and the remaining four studies were based on two US-based retrospective databases: SEER</w:t>
      </w:r>
      <w:r>
        <w:rPr>
          <w:rStyle w:val="FootnoteReference"/>
        </w:rPr>
        <w:footnoteReference w:id="11"/>
      </w:r>
      <w:r>
        <w:t xml:space="preserve"> (</w:t>
      </w:r>
      <w:proofErr w:type="spellStart"/>
      <w:r>
        <w:t>Uhlig</w:t>
      </w:r>
      <w:proofErr w:type="spellEnd"/>
      <w:r>
        <w:t xml:space="preserve"> 2018</w:t>
      </w:r>
      <w:r>
        <w:rPr>
          <w:rStyle w:val="FootnoteReference"/>
        </w:rPr>
        <w:footnoteReference w:id="12"/>
      </w:r>
      <w:r>
        <w:t xml:space="preserve"> and Abdel-Rahman 2017</w:t>
      </w:r>
      <w:r>
        <w:rPr>
          <w:rStyle w:val="FootnoteReference"/>
        </w:rPr>
        <w:footnoteReference w:id="13"/>
      </w:r>
      <w:r>
        <w:t>) and SEER-Medicare (Xing 2018</w:t>
      </w:r>
      <w:r>
        <w:rPr>
          <w:rStyle w:val="FootnoteReference"/>
        </w:rPr>
        <w:footnoteReference w:id="14"/>
      </w:r>
      <w:r>
        <w:t xml:space="preserve"> and </w:t>
      </w:r>
      <w:proofErr w:type="spellStart"/>
      <w:r>
        <w:t>Larcher</w:t>
      </w:r>
      <w:proofErr w:type="spellEnd"/>
      <w:r>
        <w:t xml:space="preserve"> 2016a</w:t>
      </w:r>
      <w:r>
        <w:rPr>
          <w:rStyle w:val="FootnoteReference"/>
        </w:rPr>
        <w:footnoteReference w:id="15"/>
      </w:r>
      <w:r>
        <w:t xml:space="preserve">). </w:t>
      </w:r>
      <w:r w:rsidRPr="00545D24">
        <w:t xml:space="preserve"> </w:t>
      </w:r>
      <w:r>
        <w:t>A</w:t>
      </w:r>
      <w:r w:rsidRPr="00545D24">
        <w:t xml:space="preserve">ll </w:t>
      </w:r>
      <w:r>
        <w:t xml:space="preserve">six studies </w:t>
      </w:r>
      <w:r w:rsidRPr="00545D24">
        <w:t xml:space="preserve">assessed TA except one study, </w:t>
      </w:r>
      <w:proofErr w:type="spellStart"/>
      <w:r w:rsidRPr="00545D24">
        <w:t>Uhlig</w:t>
      </w:r>
      <w:proofErr w:type="spellEnd"/>
      <w:r w:rsidRPr="00545D24">
        <w:t xml:space="preserve"> 2018, which assessed cryosurgery, as well as TA, and in patients with</w:t>
      </w:r>
      <w:r>
        <w:t xml:space="preserve"> </w:t>
      </w:r>
      <w:r w:rsidRPr="00545D24">
        <w:t xml:space="preserve">histologically confirmed T1a clear cell RCC. </w:t>
      </w:r>
    </w:p>
    <w:p w14:paraId="7CA40B80" w14:textId="77777777" w:rsidR="002C6E55" w:rsidRPr="00545D24" w:rsidRDefault="002C6E55" w:rsidP="002C6E55">
      <w:pPr>
        <w:spacing w:after="240"/>
      </w:pPr>
      <w:bookmarkStart w:id="12" w:name="_Hlk46777603"/>
      <w:r w:rsidRPr="00545D24">
        <w:t>There were no direct randomised data to inform the comparative safety of CA (or TA) versus AS/DT in the proposed MBS populatio</w:t>
      </w:r>
      <w:bookmarkEnd w:id="12"/>
      <w:r>
        <w:t xml:space="preserve">n. </w:t>
      </w:r>
      <w:r w:rsidRPr="00545D24">
        <w:t xml:space="preserve">The ADAR argued that a majority (84% in </w:t>
      </w:r>
      <w:proofErr w:type="spellStart"/>
      <w:r w:rsidRPr="00545D24">
        <w:t>Alam</w:t>
      </w:r>
      <w:proofErr w:type="spellEnd"/>
      <w:r w:rsidRPr="00545D24">
        <w:t xml:space="preserve"> 2019) of the patients on AS would eventually receive a delayed therapy. Therefore, any adverse events (AEs) associated with the delayed therapy should also be included as the AE profile of the management strategy AS/DT. Because a proportion of patients on AS would never receive any DT, the ADAR claimed </w:t>
      </w:r>
      <w:r>
        <w:t>inferiority in the safety of CA</w:t>
      </w:r>
      <w:r w:rsidRPr="00545D24">
        <w:t xml:space="preserve"> when compared with AS/DT.</w:t>
      </w:r>
    </w:p>
    <w:p w14:paraId="3C5A36FE" w14:textId="72E136DD" w:rsidR="002C6E55" w:rsidRPr="00E94C40" w:rsidRDefault="002C6E55" w:rsidP="002C6E55">
      <w:pPr>
        <w:tabs>
          <w:tab w:val="num" w:pos="720"/>
        </w:tabs>
        <w:spacing w:after="240"/>
      </w:pPr>
      <w:r w:rsidRPr="00E94C40">
        <w:t xml:space="preserve">The </w:t>
      </w:r>
      <w:r w:rsidR="009842FE">
        <w:t>Commentary</w:t>
      </w:r>
      <w:r w:rsidRPr="00E94C40">
        <w:t xml:space="preserve"> noted that the ADAR did not provide any safety data regarding the </w:t>
      </w:r>
      <w:r>
        <w:t>CA</w:t>
      </w:r>
      <w:r w:rsidRPr="00E94C40">
        <w:t xml:space="preserve"> procedure itself. Typical adverse events known to be associated with </w:t>
      </w:r>
      <w:r>
        <w:t>CA</w:t>
      </w:r>
      <w:r w:rsidRPr="00E94C40">
        <w:t xml:space="preserve"> include perioperative bleeding and incomplete treatment necessitating re-treatment. The </w:t>
      </w:r>
      <w:r w:rsidR="009842FE">
        <w:t>Commentary</w:t>
      </w:r>
      <w:r w:rsidRPr="00E94C40">
        <w:t xml:space="preserve"> considered that inclusion of </w:t>
      </w:r>
      <w:r>
        <w:t>AEs</w:t>
      </w:r>
      <w:r w:rsidRPr="00E94C40">
        <w:t xml:space="preserve"> associated with the therapy delayed to the AE profile of the management strategy AS/DT, but exclusion of AEs associated with re-ablatio</w:t>
      </w:r>
      <w:r>
        <w:t>n or salvage therapy after CA, was</w:t>
      </w:r>
      <w:r w:rsidRPr="00E94C40">
        <w:t xml:space="preserve"> not appropriate. Despite the lack of evidence presented, </w:t>
      </w:r>
      <w:r>
        <w:t xml:space="preserve">the </w:t>
      </w:r>
      <w:r w:rsidR="009842FE">
        <w:t>Commentary</w:t>
      </w:r>
      <w:r>
        <w:t xml:space="preserve"> considered that </w:t>
      </w:r>
      <w:r w:rsidRPr="00E94C40">
        <w:t xml:space="preserve">the claim of inferiority in </w:t>
      </w:r>
      <w:r>
        <w:t>safety for CA versus AS/DT seemed</w:t>
      </w:r>
      <w:r w:rsidRPr="00E94C40">
        <w:t xml:space="preserve"> reasonable from a theoretical perspective: </w:t>
      </w:r>
      <w:r>
        <w:t xml:space="preserve">One hundred percent </w:t>
      </w:r>
      <w:r w:rsidRPr="00E94C40">
        <w:t>% of the patients receiving CA are at risk of AEs, whereas only patients managed with initial AS and receiv</w:t>
      </w:r>
      <w:r>
        <w:t>ing</w:t>
      </w:r>
      <w:r w:rsidRPr="00E94C40">
        <w:t xml:space="preserve"> delayed therapy are at risk of intervention-associated AEs.</w:t>
      </w:r>
    </w:p>
    <w:p w14:paraId="6BFC9419" w14:textId="77777777" w:rsidR="002C6E55" w:rsidRPr="003A7EA2" w:rsidRDefault="002C6E55" w:rsidP="003A7EA2">
      <w:pPr>
        <w:rPr>
          <w:u w:val="single"/>
        </w:rPr>
      </w:pPr>
      <w:bookmarkStart w:id="13" w:name="_Toc46840360"/>
      <w:bookmarkStart w:id="14" w:name="_Toc50104600"/>
      <w:r w:rsidRPr="003A7EA2">
        <w:rPr>
          <w:u w:val="single"/>
        </w:rPr>
        <w:t>CA vs. laparoscopic RN (main comparator 2)</w:t>
      </w:r>
      <w:bookmarkEnd w:id="13"/>
      <w:bookmarkEnd w:id="14"/>
    </w:p>
    <w:p w14:paraId="53CA7D84" w14:textId="77777777" w:rsidR="002C6E55" w:rsidRPr="00545D24" w:rsidRDefault="002C6E55" w:rsidP="002C6E55">
      <w:pPr>
        <w:spacing w:after="240"/>
      </w:pPr>
      <w:r>
        <w:t>The ADAR presented s</w:t>
      </w:r>
      <w:r w:rsidRPr="00545D24">
        <w:t xml:space="preserve">even cohort studies </w:t>
      </w:r>
      <w:r>
        <w:t>based on three US databases</w:t>
      </w:r>
      <w:r w:rsidRPr="00545D24">
        <w:t xml:space="preserve">. </w:t>
      </w:r>
      <w:r w:rsidRPr="0066773D">
        <w:t xml:space="preserve">Two studies </w:t>
      </w:r>
      <w:proofErr w:type="gramStart"/>
      <w:r w:rsidRPr="0066773D">
        <w:t>were based</w:t>
      </w:r>
      <w:proofErr w:type="gramEnd"/>
      <w:r w:rsidRPr="0066773D">
        <w:t xml:space="preserve"> on data from the prospective DISSRM registry (</w:t>
      </w:r>
      <w:proofErr w:type="spellStart"/>
      <w:r w:rsidRPr="0066773D">
        <w:t>Alam</w:t>
      </w:r>
      <w:proofErr w:type="spellEnd"/>
      <w:r w:rsidRPr="0066773D">
        <w:t xml:space="preserve"> 2019 and Danzig 2019), and the remaining five </w:t>
      </w:r>
      <w:r>
        <w:t xml:space="preserve">studies were based on </w:t>
      </w:r>
      <w:r w:rsidRPr="0066773D">
        <w:t>two retrospective d</w:t>
      </w:r>
      <w:r w:rsidRPr="007B235E">
        <w:t>atabases: SEER-Medicare (</w:t>
      </w:r>
      <w:proofErr w:type="spellStart"/>
      <w:r w:rsidRPr="007B235E">
        <w:t>Talenfeld</w:t>
      </w:r>
      <w:proofErr w:type="spellEnd"/>
      <w:r w:rsidRPr="007B235E">
        <w:t xml:space="preserve"> 2018</w:t>
      </w:r>
      <w:r w:rsidRPr="007B235E">
        <w:rPr>
          <w:rStyle w:val="FootnoteReference"/>
        </w:rPr>
        <w:footnoteReference w:id="16"/>
      </w:r>
      <w:r w:rsidRPr="007B235E">
        <w:t xml:space="preserve">, Xing 2018 and </w:t>
      </w:r>
      <w:proofErr w:type="spellStart"/>
      <w:r w:rsidRPr="007B235E">
        <w:t>Kowalczyk</w:t>
      </w:r>
      <w:proofErr w:type="spellEnd"/>
      <w:r w:rsidRPr="007B235E">
        <w:t xml:space="preserve"> 2013</w:t>
      </w:r>
      <w:r w:rsidRPr="007B235E">
        <w:rPr>
          <w:rStyle w:val="FootnoteReference"/>
        </w:rPr>
        <w:footnoteReference w:id="17"/>
      </w:r>
      <w:r w:rsidRPr="007B235E">
        <w:t>) and SEER (</w:t>
      </w:r>
      <w:r w:rsidRPr="0066773D">
        <w:t>Moskowitz 2016</w:t>
      </w:r>
      <w:r>
        <w:rPr>
          <w:rStyle w:val="FootnoteReference"/>
        </w:rPr>
        <w:footnoteReference w:id="18"/>
      </w:r>
      <w:r w:rsidRPr="0066773D">
        <w:t xml:space="preserve"> and </w:t>
      </w:r>
      <w:proofErr w:type="spellStart"/>
      <w:r w:rsidRPr="0066773D">
        <w:t>Chouieri</w:t>
      </w:r>
      <w:proofErr w:type="spellEnd"/>
      <w:r w:rsidRPr="0066773D">
        <w:t xml:space="preserve"> 2011</w:t>
      </w:r>
      <w:r>
        <w:rPr>
          <w:rStyle w:val="FootnoteReference"/>
        </w:rPr>
        <w:footnoteReference w:id="19"/>
      </w:r>
      <w:r w:rsidRPr="0066773D">
        <w:t xml:space="preserve">). </w:t>
      </w:r>
      <w:r w:rsidRPr="00545D24">
        <w:t>Six of the seven studies assessed TA, rather than CA alone. The seventh</w:t>
      </w:r>
      <w:r>
        <w:t xml:space="preserve"> study, Danzig 2015, assessed CA (n</w:t>
      </w:r>
      <w:r w:rsidRPr="00545D24">
        <w:t>=14, 64% laparo</w:t>
      </w:r>
      <w:r>
        <w:t>scopic, 36% percutaneous), RN (n=15), AS (n=68) and PN (n</w:t>
      </w:r>
      <w:r w:rsidRPr="00545D24">
        <w:t>=65) but was a study on SRMs.</w:t>
      </w:r>
      <w:r>
        <w:t xml:space="preserve"> As </w:t>
      </w:r>
      <w:proofErr w:type="gramStart"/>
      <w:r>
        <w:t>such</w:t>
      </w:r>
      <w:proofErr w:type="gramEnd"/>
      <w:r>
        <w:t xml:space="preserve"> there </w:t>
      </w:r>
      <w:r w:rsidRPr="00795F34">
        <w:t xml:space="preserve">was no data available specifically comparing </w:t>
      </w:r>
      <w:r>
        <w:t xml:space="preserve">the safety of </w:t>
      </w:r>
      <w:r w:rsidRPr="00795F34">
        <w:t>percutaneous CA with laparoscopic RN in patients with biopsy-confirmed T1a RCC</w:t>
      </w:r>
      <w:r>
        <w:t>, rather the ADAR presented data on TA as a proxy for CA.</w:t>
      </w:r>
    </w:p>
    <w:p w14:paraId="1A3E034D" w14:textId="77777777" w:rsidR="002C6E55" w:rsidRDefault="002C6E55" w:rsidP="002C6E55">
      <w:pPr>
        <w:spacing w:after="240"/>
        <w:rPr>
          <w:i/>
          <w:iCs/>
        </w:rPr>
      </w:pPr>
      <w:r w:rsidRPr="00545D24">
        <w:t xml:space="preserve">The primary evidence base presented to </w:t>
      </w:r>
      <w:r>
        <w:t xml:space="preserve">inform the comparative safety of </w:t>
      </w:r>
      <w:proofErr w:type="gramStart"/>
      <w:r>
        <w:t>CA(</w:t>
      </w:r>
      <w:proofErr w:type="gramEnd"/>
      <w:r>
        <w:t xml:space="preserve">TA) </w:t>
      </w:r>
      <w:r w:rsidRPr="00545D24">
        <w:t xml:space="preserve">vs. laparoscopic RN was </w:t>
      </w:r>
      <w:proofErr w:type="spellStart"/>
      <w:r w:rsidRPr="00545D24">
        <w:t>Talenfeld</w:t>
      </w:r>
      <w:proofErr w:type="spellEnd"/>
      <w:r w:rsidRPr="00545D24">
        <w:t xml:space="preserve"> 2018, supported by Xing 2018 and </w:t>
      </w:r>
      <w:proofErr w:type="spellStart"/>
      <w:r w:rsidRPr="00545D24">
        <w:t>Kowalczyk</w:t>
      </w:r>
      <w:proofErr w:type="spellEnd"/>
      <w:r w:rsidRPr="00545D24">
        <w:t xml:space="preserve"> 2013.</w:t>
      </w:r>
      <w:r>
        <w:t xml:space="preserve"> </w:t>
      </w:r>
      <w:r w:rsidRPr="00795F34">
        <w:t xml:space="preserve">In patients diagnosed with T1a RCC, acute renal failure and non-urological complications up to 30 days following treatment were significantly higher for RN compared with percutaneous CA(TA); rates for percutaneous CA(TA) compared with RN were 6% versus 12% for acute renal failure, respectively, and 12% versus 27%, respectively for non-urological complications. No complications were seen at a higher rate for </w:t>
      </w:r>
      <w:proofErr w:type="gramStart"/>
      <w:r w:rsidRPr="00795F34">
        <w:t>CA(</w:t>
      </w:r>
      <w:proofErr w:type="gramEnd"/>
      <w:r w:rsidRPr="00795F34">
        <w:t xml:space="preserve">TA) compared with RN. </w:t>
      </w:r>
      <w:r>
        <w:t xml:space="preserve">Based on the evidence presented, the </w:t>
      </w:r>
      <w:r w:rsidRPr="00072D38">
        <w:t>ADAR claimed superiority in the comparative safety of CA vs. laparoscopic RN.</w:t>
      </w:r>
      <w:r w:rsidRPr="00545D24">
        <w:rPr>
          <w:i/>
          <w:iCs/>
        </w:rPr>
        <w:t xml:space="preserve"> </w:t>
      </w:r>
    </w:p>
    <w:p w14:paraId="335EAA88" w14:textId="5A3AF761" w:rsidR="002C6E55" w:rsidRPr="00F1306E" w:rsidRDefault="002C6E55" w:rsidP="00096D7F">
      <w:pPr>
        <w:spacing w:after="240"/>
        <w:rPr>
          <w:iCs/>
        </w:rPr>
      </w:pPr>
      <w:r w:rsidRPr="00F1306E">
        <w:rPr>
          <w:iCs/>
        </w:rPr>
        <w:t xml:space="preserve">The </w:t>
      </w:r>
      <w:r w:rsidR="009842FE">
        <w:rPr>
          <w:iCs/>
        </w:rPr>
        <w:t>Commentary</w:t>
      </w:r>
      <w:r w:rsidRPr="00F1306E">
        <w:rPr>
          <w:iCs/>
        </w:rPr>
        <w:t xml:space="preserve"> noted that</w:t>
      </w:r>
      <w:r w:rsidR="00096D7F">
        <w:rPr>
          <w:iCs/>
        </w:rPr>
        <w:t xml:space="preserve"> p</w:t>
      </w:r>
      <w:r w:rsidRPr="00F1306E">
        <w:rPr>
          <w:iCs/>
        </w:rPr>
        <w:t xml:space="preserve">atients in the included studies </w:t>
      </w:r>
      <w:proofErr w:type="gramStart"/>
      <w:r w:rsidRPr="00F1306E">
        <w:rPr>
          <w:iCs/>
        </w:rPr>
        <w:t>were not randomised</w:t>
      </w:r>
      <w:proofErr w:type="gramEnd"/>
      <w:r w:rsidRPr="00F1306E">
        <w:rPr>
          <w:iCs/>
        </w:rPr>
        <w:t xml:space="preserve"> to receive either TA or RN. Provider preference and expertise, availability of equipment, as well as patient and tumour characteristics, all might have contributed to the decision on selection of treatment (TA or RN). Potential impact of selection bias on ou</w:t>
      </w:r>
      <w:r w:rsidR="00096D7F">
        <w:rPr>
          <w:iCs/>
        </w:rPr>
        <w:t xml:space="preserve">tcomes </w:t>
      </w:r>
      <w:proofErr w:type="gramStart"/>
      <w:r w:rsidR="00096D7F">
        <w:rPr>
          <w:iCs/>
        </w:rPr>
        <w:t>could not be ruled out</w:t>
      </w:r>
      <w:proofErr w:type="gramEnd"/>
      <w:r w:rsidR="00096D7F">
        <w:rPr>
          <w:iCs/>
        </w:rPr>
        <w:t xml:space="preserve">. </w:t>
      </w:r>
      <w:r w:rsidRPr="00F1306E">
        <w:rPr>
          <w:iCs/>
        </w:rPr>
        <w:t xml:space="preserve">The ADAR used TA as a proxy for CA, claiming (a) TA is non-inferior to RN, (b) CA is non-inferior to TA, and therefore (c) CA is non-inferior to RN. However, the ADAR did not provide any formal indirect comparison analysis using </w:t>
      </w:r>
      <w:r>
        <w:rPr>
          <w:iCs/>
        </w:rPr>
        <w:t>O</w:t>
      </w:r>
      <w:r w:rsidRPr="00F1306E">
        <w:rPr>
          <w:iCs/>
        </w:rPr>
        <w:t>TA as a common comparator to establish claim (c).</w:t>
      </w:r>
      <w:r w:rsidR="00096D7F">
        <w:rPr>
          <w:iCs/>
        </w:rPr>
        <w:t xml:space="preserve"> Further, a</w:t>
      </w:r>
      <w:r w:rsidRPr="00F1306E">
        <w:rPr>
          <w:iCs/>
        </w:rPr>
        <w:t xml:space="preserve">ll three studies included only patients aged ≥65 years. </w:t>
      </w:r>
      <w:r w:rsidR="00096D7F">
        <w:rPr>
          <w:iCs/>
        </w:rPr>
        <w:t xml:space="preserve">As </w:t>
      </w:r>
      <w:proofErr w:type="gramStart"/>
      <w:r w:rsidR="00096D7F">
        <w:rPr>
          <w:iCs/>
        </w:rPr>
        <w:t>such</w:t>
      </w:r>
      <w:proofErr w:type="gramEnd"/>
      <w:r w:rsidR="00096D7F">
        <w:rPr>
          <w:iCs/>
        </w:rPr>
        <w:t xml:space="preserve"> the </w:t>
      </w:r>
      <w:r w:rsidR="009842FE">
        <w:rPr>
          <w:iCs/>
        </w:rPr>
        <w:t>Commentary</w:t>
      </w:r>
      <w:r w:rsidR="00096D7F">
        <w:rPr>
          <w:iCs/>
        </w:rPr>
        <w:t xml:space="preserve"> suggested that the a</w:t>
      </w:r>
      <w:r w:rsidRPr="00F1306E">
        <w:rPr>
          <w:iCs/>
        </w:rPr>
        <w:t xml:space="preserve">pplicability of results </w:t>
      </w:r>
      <w:r w:rsidR="00096D7F">
        <w:rPr>
          <w:iCs/>
        </w:rPr>
        <w:t>to the proposed MBS population was</w:t>
      </w:r>
      <w:r w:rsidRPr="00F1306E">
        <w:rPr>
          <w:iCs/>
        </w:rPr>
        <w:t xml:space="preserve"> not clear. </w:t>
      </w:r>
    </w:p>
    <w:p w14:paraId="51C0E45E" w14:textId="77777777" w:rsidR="002C6E55" w:rsidRPr="003A7EA2" w:rsidRDefault="002C6E55" w:rsidP="003A7EA2">
      <w:pPr>
        <w:rPr>
          <w:u w:val="single"/>
        </w:rPr>
      </w:pPr>
      <w:r w:rsidRPr="003A7EA2">
        <w:rPr>
          <w:u w:val="single"/>
        </w:rPr>
        <w:t>CA vs. OTA (supplementary comparator 1)</w:t>
      </w:r>
    </w:p>
    <w:p w14:paraId="7005D67E" w14:textId="77777777" w:rsidR="002C6E55" w:rsidRDefault="002C6E55" w:rsidP="002C6E55">
      <w:pPr>
        <w:spacing w:after="240"/>
      </w:pPr>
      <w:r>
        <w:t>The ADAR presented 21</w:t>
      </w:r>
      <w:r w:rsidRPr="00F20A3E">
        <w:t xml:space="preserve"> cohort studies based on data from two US-based databases (</w:t>
      </w:r>
      <w:r w:rsidRPr="00D37B74">
        <w:t>NCDB</w:t>
      </w:r>
      <w:r>
        <w:rPr>
          <w:rStyle w:val="FootnoteReference"/>
        </w:rPr>
        <w:footnoteReference w:id="20"/>
      </w:r>
      <w:r w:rsidRPr="00F20A3E">
        <w:t xml:space="preserve"> and SEER), </w:t>
      </w:r>
      <w:proofErr w:type="gramStart"/>
      <w:r w:rsidRPr="00F20A3E">
        <w:t>eight</w:t>
      </w:r>
      <w:proofErr w:type="gramEnd"/>
      <w:r w:rsidRPr="00F20A3E">
        <w:t xml:space="preserve"> US centres, one European centre (Italy) and one Asian centre (Turkey).</w:t>
      </w:r>
      <w:r>
        <w:t xml:space="preserve"> </w:t>
      </w:r>
      <w:r w:rsidRPr="00D43219">
        <w:t>There were no direct randomised studies to inform</w:t>
      </w:r>
      <w:r>
        <w:t xml:space="preserve"> the</w:t>
      </w:r>
      <w:r w:rsidRPr="00D43219">
        <w:t xml:space="preserve"> </w:t>
      </w:r>
      <w:r>
        <w:t>comparison</w:t>
      </w:r>
      <w:r w:rsidRPr="00D43219">
        <w:t xml:space="preserve"> of CA versus </w:t>
      </w:r>
      <w:r>
        <w:t>O</w:t>
      </w:r>
      <w:r w:rsidRPr="00D43219">
        <w:t xml:space="preserve">TA (RFA, MWA) or any Australian study. </w:t>
      </w:r>
      <w:r w:rsidRPr="00F20A3E">
        <w:t xml:space="preserve">Six studies specifically provided data on patients with T1a RCC and one study was in patients with T1 RCC (up to 7 cm tumour diameter); the remaining studies </w:t>
      </w:r>
      <w:r>
        <w:t>included patients with</w:t>
      </w:r>
      <w:r w:rsidRPr="00F20A3E">
        <w:t xml:space="preserve"> SRM, although some provided subgroup analyses for patients with RCC. Most studies compared CA with RFA; two studies compared CA with MWA and three studies compared CA with RFA and MWA.</w:t>
      </w:r>
    </w:p>
    <w:p w14:paraId="2B0292A4" w14:textId="77777777" w:rsidR="002C6E55" w:rsidRPr="00113CC9" w:rsidRDefault="002C6E55" w:rsidP="002C6E55">
      <w:pPr>
        <w:spacing w:after="240"/>
      </w:pPr>
      <w:r>
        <w:t xml:space="preserve">Of the 21 studies comparing CA with OTA, nine cohort studies from six treatment centres presented data on complication rates. Two of the studies, De </w:t>
      </w:r>
      <w:proofErr w:type="spellStart"/>
      <w:r>
        <w:t>Cobelli</w:t>
      </w:r>
      <w:proofErr w:type="spellEnd"/>
      <w:r>
        <w:t xml:space="preserve"> 2020</w:t>
      </w:r>
      <w:r>
        <w:rPr>
          <w:rStyle w:val="FootnoteReference"/>
        </w:rPr>
        <w:footnoteReference w:id="21"/>
      </w:r>
      <w:r>
        <w:t xml:space="preserve"> and Zhou 2018</w:t>
      </w:r>
      <w:r>
        <w:rPr>
          <w:rStyle w:val="FootnoteReference"/>
        </w:rPr>
        <w:footnoteReference w:id="22"/>
      </w:r>
      <w:r>
        <w:t xml:space="preserve">, </w:t>
      </w:r>
      <w:proofErr w:type="gramStart"/>
      <w:r>
        <w:t>were excluded</w:t>
      </w:r>
      <w:proofErr w:type="gramEnd"/>
      <w:r>
        <w:t xml:space="preserve"> from further review with the ADAR </w:t>
      </w:r>
      <w:r w:rsidRPr="00DA3328">
        <w:t>citing errors/internal inconsistencies in the studies</w:t>
      </w:r>
      <w:r>
        <w:t>. The ADAR claimed it</w:t>
      </w:r>
      <w:r w:rsidRPr="00C00BFC">
        <w:t xml:space="preserve"> </w:t>
      </w:r>
      <w:r>
        <w:t>was</w:t>
      </w:r>
      <w:r w:rsidRPr="00C00BFC">
        <w:t xml:space="preserve"> </w:t>
      </w:r>
      <w:r>
        <w:t xml:space="preserve">difficult to compare </w:t>
      </w:r>
      <w:r w:rsidRPr="00F20A3E">
        <w:t xml:space="preserve">safety </w:t>
      </w:r>
      <w:r>
        <w:t xml:space="preserve">across treatment groups due to the differences in patient and disease characteristics seen in each group; i.e. in many of the included studies, percutaneous CA tends to be used in larger and more </w:t>
      </w:r>
      <w:proofErr w:type="gramStart"/>
      <w:r>
        <w:t>centrally-located</w:t>
      </w:r>
      <w:proofErr w:type="gramEnd"/>
      <w:r>
        <w:t xml:space="preserve"> tumours than percutaneous RFA. Bleeding complications tended to be slightly higher following CA and urothelial stricture tended to be slightly higher following RFA. However, the ADAR claimed that these results overall suggest little difference in complications between percutaneous CA and percutaneous RFA and MWA.</w:t>
      </w:r>
    </w:p>
    <w:p w14:paraId="1CC06297" w14:textId="09E661BB" w:rsidR="002C6E55" w:rsidRDefault="002C6E55" w:rsidP="002C6E55">
      <w:pPr>
        <w:spacing w:after="240"/>
      </w:pPr>
      <w:r w:rsidRPr="00DA3328">
        <w:t>The</w:t>
      </w:r>
      <w:r>
        <w:t xml:space="preserve"> </w:t>
      </w:r>
      <w:r w:rsidR="009842FE">
        <w:t>Commentary</w:t>
      </w:r>
      <w:r>
        <w:t xml:space="preserve"> noted that the seven studies included in the ADAR were unadjusted </w:t>
      </w:r>
      <w:proofErr w:type="gramStart"/>
      <w:r>
        <w:t>studies</w:t>
      </w:r>
      <w:r w:rsidRPr="00DA3328">
        <w:t>,</w:t>
      </w:r>
      <w:proofErr w:type="gramEnd"/>
      <w:r w:rsidRPr="00DA3328">
        <w:t xml:space="preserve"> </w:t>
      </w:r>
      <w:r>
        <w:t>as such t</w:t>
      </w:r>
      <w:r w:rsidRPr="00E55392">
        <w:t xml:space="preserve">he </w:t>
      </w:r>
      <w:r w:rsidRPr="00E55392">
        <w:rPr>
          <w:iCs/>
        </w:rPr>
        <w:t>potential bias of the results of the studies was likely</w:t>
      </w:r>
      <w:r w:rsidRPr="00E55392">
        <w:t>.</w:t>
      </w:r>
      <w:r>
        <w:t xml:space="preserve"> In addition, </w:t>
      </w:r>
      <w:r w:rsidRPr="00E55392">
        <w:t>all of the presented studies used the percutaneous mode of delivery</w:t>
      </w:r>
      <w:r>
        <w:t xml:space="preserve"> for CA</w:t>
      </w:r>
      <w:r w:rsidRPr="00E55392">
        <w:t xml:space="preserve">. Comparative safety of CA via </w:t>
      </w:r>
      <w:proofErr w:type="spellStart"/>
      <w:r w:rsidRPr="00E55392">
        <w:t>laparocopic</w:t>
      </w:r>
      <w:proofErr w:type="spellEnd"/>
      <w:r w:rsidRPr="00E55392">
        <w:t xml:space="preserve"> or open surgical approach versus </w:t>
      </w:r>
      <w:r>
        <w:t>O</w:t>
      </w:r>
      <w:r w:rsidRPr="00E55392">
        <w:t xml:space="preserve">TA (any mode of delivery) is therefore not clear. </w:t>
      </w:r>
      <w:r>
        <w:t xml:space="preserve">The pre-ESC response acknowledged that </w:t>
      </w:r>
      <w:r w:rsidRPr="00AD5836">
        <w:t>there is a lack of evidence to inform the comparative safety and effectiveness of CA/TA using different modalities, versus the other comparators using different modalities.</w:t>
      </w:r>
      <w:r>
        <w:t xml:space="preserve"> The applicant claimed </w:t>
      </w:r>
      <w:r w:rsidRPr="00AD5836">
        <w:t>the majority of recent evidence relates to the percutaneous mode, which is the preferred methodology due to its being less invasive and highly effective.</w:t>
      </w:r>
      <w:r>
        <w:t xml:space="preserve"> The applicant claimed this preference </w:t>
      </w:r>
      <w:proofErr w:type="gramStart"/>
      <w:r>
        <w:t>is supported</w:t>
      </w:r>
      <w:proofErr w:type="gramEnd"/>
      <w:r>
        <w:t xml:space="preserve"> by the fact that 90.2% of the 202 RFA/MWA procedures reimbursed for treatment of primary liver cancer in the 2019 to 2020 financial year used the percutaneous mode of delivery.</w:t>
      </w:r>
    </w:p>
    <w:p w14:paraId="1B92F980" w14:textId="3211FB11" w:rsidR="002C6E55" w:rsidRPr="00DA3328" w:rsidRDefault="002C6E55" w:rsidP="002C6E55">
      <w:pPr>
        <w:spacing w:after="240"/>
        <w:rPr>
          <w:iCs/>
        </w:rPr>
      </w:pPr>
      <w:r>
        <w:t>The</w:t>
      </w:r>
      <w:r w:rsidRPr="00DA3328">
        <w:t xml:space="preserve"> </w:t>
      </w:r>
      <w:r w:rsidR="009842FE">
        <w:t>Commentary</w:t>
      </w:r>
      <w:r>
        <w:t xml:space="preserve"> also</w:t>
      </w:r>
      <w:r w:rsidRPr="00DA3328">
        <w:t xml:space="preserve"> noted that </w:t>
      </w:r>
      <w:r>
        <w:t xml:space="preserve">in three studies (two of which the ADAR excluded) </w:t>
      </w:r>
      <w:r w:rsidRPr="00DA3328">
        <w:rPr>
          <w:iCs/>
        </w:rPr>
        <w:t xml:space="preserve">complication rates appeared to be numerically higher with percutaneous CA: </w:t>
      </w:r>
    </w:p>
    <w:p w14:paraId="707A5147" w14:textId="39B93B7D" w:rsidR="002C6E55" w:rsidRPr="00DA3328" w:rsidRDefault="002C6E55" w:rsidP="002C6E55">
      <w:pPr>
        <w:numPr>
          <w:ilvl w:val="0"/>
          <w:numId w:val="33"/>
        </w:numPr>
        <w:spacing w:after="240"/>
        <w:contextualSpacing/>
        <w:jc w:val="both"/>
        <w:rPr>
          <w:iCs/>
        </w:rPr>
      </w:pPr>
      <w:r w:rsidRPr="00DA3328">
        <w:rPr>
          <w:iCs/>
        </w:rPr>
        <w:t xml:space="preserve">De </w:t>
      </w:r>
      <w:proofErr w:type="spellStart"/>
      <w:r w:rsidRPr="00DA3328">
        <w:rPr>
          <w:iCs/>
        </w:rPr>
        <w:t>Cobrelli</w:t>
      </w:r>
      <w:proofErr w:type="spellEnd"/>
      <w:r w:rsidRPr="00DA3328">
        <w:rPr>
          <w:iCs/>
        </w:rPr>
        <w:t xml:space="preserve"> 2020, post-procedure complications (percutaneous CA vs. p</w:t>
      </w:r>
      <w:r>
        <w:rPr>
          <w:iCs/>
        </w:rPr>
        <w:t>ercutaneous MWA) 9.8% vs. 3.6%</w:t>
      </w:r>
      <w:r w:rsidR="00D76948">
        <w:rPr>
          <w:iCs/>
        </w:rPr>
        <w:t>;</w:t>
      </w:r>
    </w:p>
    <w:p w14:paraId="1F8D1053" w14:textId="4DEBC511" w:rsidR="002C6E55" w:rsidRPr="00DA3328" w:rsidRDefault="002C6E55" w:rsidP="002C6E55">
      <w:pPr>
        <w:numPr>
          <w:ilvl w:val="0"/>
          <w:numId w:val="33"/>
        </w:numPr>
        <w:spacing w:after="240"/>
        <w:contextualSpacing/>
        <w:jc w:val="both"/>
      </w:pPr>
      <w:r w:rsidRPr="00DA3328">
        <w:rPr>
          <w:iCs/>
        </w:rPr>
        <w:t>Zhou 2018, complication rates (percutaneous CA vs.</w:t>
      </w:r>
      <w:r>
        <w:rPr>
          <w:iCs/>
        </w:rPr>
        <w:t xml:space="preserve"> percutaneous MWA), 15% vs. 11%</w:t>
      </w:r>
      <w:r w:rsidR="00D76948">
        <w:rPr>
          <w:iCs/>
        </w:rPr>
        <w:t>; and</w:t>
      </w:r>
    </w:p>
    <w:p w14:paraId="01B7F9A0" w14:textId="77777777" w:rsidR="002C6E55" w:rsidRPr="006D547D" w:rsidRDefault="002C6E55" w:rsidP="006D547D">
      <w:pPr>
        <w:numPr>
          <w:ilvl w:val="0"/>
          <w:numId w:val="33"/>
        </w:numPr>
        <w:spacing w:after="240"/>
        <w:ind w:left="714" w:hanging="357"/>
        <w:jc w:val="both"/>
      </w:pPr>
      <w:r w:rsidRPr="00DA3328">
        <w:rPr>
          <w:iCs/>
        </w:rPr>
        <w:t>Camacho 2015</w:t>
      </w:r>
      <w:r>
        <w:rPr>
          <w:rStyle w:val="FootnoteReference"/>
          <w:iCs/>
        </w:rPr>
        <w:footnoteReference w:id="23"/>
      </w:r>
      <w:r w:rsidRPr="00DA3328">
        <w:rPr>
          <w:iCs/>
        </w:rPr>
        <w:t>, total complications (percutaneous CA vs. percutaneous RFA) 12.5% vs. 6.7%.</w:t>
      </w:r>
    </w:p>
    <w:p w14:paraId="09F02ED1" w14:textId="3FAEB092" w:rsidR="002C6E55" w:rsidRPr="00E55392" w:rsidRDefault="002C6E55" w:rsidP="006D547D">
      <w:pPr>
        <w:spacing w:before="240" w:after="240"/>
        <w:rPr>
          <w:iCs/>
        </w:rPr>
      </w:pPr>
      <w:bookmarkStart w:id="15" w:name="_Hlk46777699"/>
      <w:r>
        <w:rPr>
          <w:iCs/>
        </w:rPr>
        <w:t>Overall,</w:t>
      </w:r>
      <w:r w:rsidRPr="00E55392">
        <w:rPr>
          <w:iCs/>
        </w:rPr>
        <w:t xml:space="preserve"> the </w:t>
      </w:r>
      <w:r w:rsidR="009842FE">
        <w:rPr>
          <w:iCs/>
        </w:rPr>
        <w:t>Commentary</w:t>
      </w:r>
      <w:r w:rsidRPr="00E55392">
        <w:rPr>
          <w:iCs/>
        </w:rPr>
        <w:t xml:space="preserve"> considered that there is little confidence that the claim of “similar” safety of CA versus </w:t>
      </w:r>
      <w:r>
        <w:rPr>
          <w:iCs/>
        </w:rPr>
        <w:t>O</w:t>
      </w:r>
      <w:r w:rsidRPr="00E55392">
        <w:rPr>
          <w:iCs/>
        </w:rPr>
        <w:t xml:space="preserve">TA (RFA, MWA) is valid. </w:t>
      </w:r>
    </w:p>
    <w:bookmarkEnd w:id="15"/>
    <w:p w14:paraId="5E40CA8A" w14:textId="77777777" w:rsidR="002C6E55" w:rsidRPr="003A7EA2" w:rsidRDefault="002C6E55" w:rsidP="003A7EA2">
      <w:pPr>
        <w:rPr>
          <w:u w:val="single"/>
        </w:rPr>
      </w:pPr>
      <w:r w:rsidRPr="003A7EA2">
        <w:rPr>
          <w:u w:val="single"/>
        </w:rPr>
        <w:t>CA vs. PN (supplementary comparator 2)</w:t>
      </w:r>
    </w:p>
    <w:p w14:paraId="76A6ECF5" w14:textId="77777777" w:rsidR="002C6E55" w:rsidRDefault="002C6E55" w:rsidP="002C6E55">
      <w:pPr>
        <w:spacing w:after="240"/>
      </w:pPr>
      <w:r>
        <w:t xml:space="preserve">The ADAR presented twelve cohort studies based on data from three US-based databases (DISSRM, NCDB and SEER), three US centres (Mayo Clinic, Cleveland Clinic and Washington School of Medicine), one European centre (Milan, Italy) and one Asian centre (Ankara, Turkey). Four studies specifically provided data on patients with T1a RCC; the remaining studies included patients with SRM. Most studies compared CA with PN; only one study comparing TA with PN was included because it provided data for an outcome for which there were no CA versus PN studies available. There was a mix of studies assessing percutaneous CA, laparoscopic CA or both, or where the mode of delivery </w:t>
      </w:r>
      <w:proofErr w:type="gramStart"/>
      <w:r>
        <w:t>was not specified</w:t>
      </w:r>
      <w:proofErr w:type="gramEnd"/>
      <w:r>
        <w:t>.</w:t>
      </w:r>
    </w:p>
    <w:p w14:paraId="7CDD65F1" w14:textId="77777777" w:rsidR="002C6E55" w:rsidRPr="00027AC8" w:rsidRDefault="002C6E55" w:rsidP="002C6E55">
      <w:pPr>
        <w:spacing w:after="240"/>
      </w:pPr>
      <w:r>
        <w:t xml:space="preserve">Of the 12 studies comparing CA with PN, six cohort studies (that included patients with SRMs rather than </w:t>
      </w:r>
      <w:r w:rsidRPr="00D43219">
        <w:t>biopsy-confirmed T1a RCC</w:t>
      </w:r>
      <w:r>
        <w:t>) presented data on complication rates. The ADAR reported that</w:t>
      </w:r>
      <w:r w:rsidRPr="00027AC8">
        <w:t xml:space="preserve"> in a population of patients </w:t>
      </w:r>
      <w:r w:rsidRPr="00D37B74">
        <w:t>with T1 SRM aged &gt; 75 years,</w:t>
      </w:r>
      <w:r w:rsidRPr="00027AC8">
        <w:t xml:space="preserve"> minor post-operative complications occurred more frequency following PN than CA (25% versus 8%; P=0.009). There was no significant difference in major complications; however, the analysis </w:t>
      </w:r>
      <w:proofErr w:type="gramStart"/>
      <w:r w:rsidRPr="00027AC8">
        <w:t>was based</w:t>
      </w:r>
      <w:proofErr w:type="gramEnd"/>
      <w:r w:rsidRPr="00027AC8">
        <w:t xml:space="preserve"> on small patient numbers. Other studies showed no difference in complications between CA and PN, with the exception of one study in which complications occurred more frequently for CA compared with PN (28% versus 20%); in </w:t>
      </w:r>
      <w:proofErr w:type="gramStart"/>
      <w:r w:rsidRPr="00027AC8">
        <w:t>this</w:t>
      </w:r>
      <w:proofErr w:type="gramEnd"/>
      <w:r w:rsidRPr="00027AC8">
        <w:t xml:space="preserve"> study the analysis was adjusted for American Society of </w:t>
      </w:r>
      <w:proofErr w:type="spellStart"/>
      <w:r w:rsidRPr="00027AC8">
        <w:t>Anesthesiologists</w:t>
      </w:r>
      <w:proofErr w:type="spellEnd"/>
      <w:r w:rsidRPr="00027AC8">
        <w:t xml:space="preserve"> (ASA) score only and did not take into account tumour characteristics. </w:t>
      </w:r>
      <w:r w:rsidRPr="00D37B74">
        <w:t xml:space="preserve">Based on these findings, a clinical claim of superior safety </w:t>
      </w:r>
      <w:proofErr w:type="gramStart"/>
      <w:r w:rsidRPr="00D37B74">
        <w:t>was made</w:t>
      </w:r>
      <w:proofErr w:type="gramEnd"/>
      <w:r w:rsidRPr="00D37B74">
        <w:t xml:space="preserve"> in the ADAR, although it was noted that this is based on low quality evidence.</w:t>
      </w:r>
    </w:p>
    <w:p w14:paraId="549CC0F7" w14:textId="4AB564EF" w:rsidR="00DB5833" w:rsidRPr="002C6E55" w:rsidRDefault="002C6E55" w:rsidP="002C6E55">
      <w:pPr>
        <w:spacing w:after="240"/>
        <w:contextualSpacing/>
        <w:rPr>
          <w:iCs/>
        </w:rPr>
      </w:pPr>
      <w:r>
        <w:rPr>
          <w:iCs/>
        </w:rPr>
        <w:t xml:space="preserve">The </w:t>
      </w:r>
      <w:r w:rsidR="009842FE">
        <w:rPr>
          <w:iCs/>
        </w:rPr>
        <w:t>Commentary</w:t>
      </w:r>
      <w:r>
        <w:rPr>
          <w:iCs/>
        </w:rPr>
        <w:t xml:space="preserve"> considered that the evidence presented in the ADAR did not support a claim of superior safety of CA versus PN in the proposed MBS population.</w:t>
      </w:r>
      <w:r w:rsidR="00DB5833" w:rsidRPr="005A4362">
        <w:rPr>
          <w:i/>
          <w:szCs w:val="24"/>
        </w:rPr>
        <w:t xml:space="preserve"> </w:t>
      </w:r>
    </w:p>
    <w:p w14:paraId="1CA3ABA9" w14:textId="77777777" w:rsidR="00BC1364" w:rsidRPr="00F715D1" w:rsidRDefault="00BC1364" w:rsidP="00F715D1">
      <w:pPr>
        <w:pStyle w:val="Heading1"/>
      </w:pPr>
      <w:r w:rsidRPr="00F715D1">
        <w:t>Comparative effectiveness</w:t>
      </w:r>
    </w:p>
    <w:p w14:paraId="4DFD2366" w14:textId="77777777" w:rsidR="002C6E55" w:rsidRPr="003A7EA2" w:rsidRDefault="002C6E55" w:rsidP="003A7EA2">
      <w:pPr>
        <w:rPr>
          <w:u w:val="single"/>
        </w:rPr>
      </w:pPr>
      <w:r w:rsidRPr="003A7EA2">
        <w:rPr>
          <w:u w:val="single"/>
        </w:rPr>
        <w:t xml:space="preserve">CA vs. AS/DT (main comparator 1) </w:t>
      </w:r>
    </w:p>
    <w:p w14:paraId="0343D1F5" w14:textId="77777777" w:rsidR="002C6E55" w:rsidRPr="00545D24" w:rsidRDefault="002C6E55" w:rsidP="006D547D">
      <w:pPr>
        <w:spacing w:after="240"/>
      </w:pPr>
      <w:r>
        <w:t>Based on the evidence presented, the ADAR suggested</w:t>
      </w:r>
      <w:r w:rsidRPr="009E121C">
        <w:t xml:space="preserve"> that </w:t>
      </w:r>
      <w:proofErr w:type="gramStart"/>
      <w:r w:rsidRPr="009E121C">
        <w:t>CA(</w:t>
      </w:r>
      <w:proofErr w:type="gramEnd"/>
      <w:r w:rsidRPr="009E121C">
        <w:t xml:space="preserve">TA) is significantly more </w:t>
      </w:r>
      <w:r w:rsidRPr="006730B1">
        <w:t>effective than</w:t>
      </w:r>
      <w:r w:rsidRPr="009E121C">
        <w:t xml:space="preserve"> AS/DT in patients with </w:t>
      </w:r>
      <w:r w:rsidRPr="006730B1">
        <w:t>biopsy-confirmed T1a RCC or SRM.</w:t>
      </w:r>
      <w:r w:rsidRPr="009E121C">
        <w:t xml:space="preserve"> Other-cause mortality (HR 0.47; 95% CI 0.33, 0.67) and cancer-specific mortality (HR 0.69; 95% CI 0.39, 0.88) were significantly lower for </w:t>
      </w:r>
      <w:proofErr w:type="gramStart"/>
      <w:r w:rsidRPr="009E121C">
        <w:t>CA(</w:t>
      </w:r>
      <w:proofErr w:type="gramEnd"/>
      <w:r w:rsidRPr="009E121C">
        <w:t>TA) compared with AS/DT (moderate quality evidence). In addition, CA(TA) did not appear to impact on renal function, resulting in only a 2.6 mL/min/1.73 m</w:t>
      </w:r>
      <w:r w:rsidRPr="009E121C">
        <w:rPr>
          <w:vertAlign w:val="superscript"/>
        </w:rPr>
        <w:t>2</w:t>
      </w:r>
      <w:r w:rsidRPr="009E121C">
        <w:t xml:space="preserve"> reduction in </w:t>
      </w:r>
      <w:proofErr w:type="spellStart"/>
      <w:r w:rsidRPr="009E121C">
        <w:t>eGFR</w:t>
      </w:r>
      <w:proofErr w:type="spellEnd"/>
      <w:r w:rsidRPr="009E121C">
        <w:t xml:space="preserve"> compared with patients receiving AS/DT (95% CI -6.1, 1.0), and no difference in CKD upstaging-free survival (P=0.98). </w:t>
      </w:r>
      <w:r>
        <w:t>T</w:t>
      </w:r>
      <w:r w:rsidRPr="009E121C">
        <w:t xml:space="preserve">here was no significant difference in quality of life as measured by the SF-12 total, physical component and mental component scores, with all differences &lt; 2 points. </w:t>
      </w:r>
      <w:r w:rsidRPr="006730B1">
        <w:t xml:space="preserve">Based on these findings, a clinical claim of superior effectiveness of CA over AS/DT </w:t>
      </w:r>
      <w:proofErr w:type="gramStart"/>
      <w:r w:rsidRPr="006730B1">
        <w:t>was made</w:t>
      </w:r>
      <w:proofErr w:type="gramEnd"/>
      <w:r>
        <w:t xml:space="preserve"> in the ADAR</w:t>
      </w:r>
      <w:r w:rsidRPr="006730B1">
        <w:t>.</w:t>
      </w:r>
      <w:r w:rsidRPr="009E121C">
        <w:rPr>
          <w:i/>
        </w:rPr>
        <w:t xml:space="preserve"> </w:t>
      </w:r>
    </w:p>
    <w:p w14:paraId="4DC0DEAF" w14:textId="18CA3B2A" w:rsidR="009842FE" w:rsidRPr="00800956" w:rsidRDefault="002C6E55" w:rsidP="00800956">
      <w:pPr>
        <w:spacing w:after="240"/>
      </w:pPr>
      <w:r w:rsidRPr="003C203B">
        <w:t xml:space="preserve">The balance of clinical benefits and harms of </w:t>
      </w:r>
      <w:proofErr w:type="gramStart"/>
      <w:r w:rsidRPr="003C203B">
        <w:t>CA</w:t>
      </w:r>
      <w:r>
        <w:t>(</w:t>
      </w:r>
      <w:proofErr w:type="gramEnd"/>
      <w:r>
        <w:t>TA)</w:t>
      </w:r>
      <w:r w:rsidRPr="003C203B">
        <w:t xml:space="preserve"> compared with AS/DT is presented in </w:t>
      </w:r>
      <w:r>
        <w:fldChar w:fldCharType="begin"/>
      </w:r>
      <w:r>
        <w:instrText xml:space="preserve"> REF _Ref51078922 \h </w:instrText>
      </w:r>
      <w:r>
        <w:fldChar w:fldCharType="separate"/>
      </w:r>
      <w:r>
        <w:t xml:space="preserve">Table </w:t>
      </w:r>
      <w:r>
        <w:rPr>
          <w:noProof/>
        </w:rPr>
        <w:t>4</w:t>
      </w:r>
      <w:r>
        <w:fldChar w:fldCharType="end"/>
      </w:r>
      <w:bookmarkStart w:id="16" w:name="_Ref51078922"/>
      <w:r w:rsidR="00800956">
        <w:t xml:space="preserve">. </w:t>
      </w:r>
      <w:r w:rsidR="009842FE">
        <w:br w:type="page"/>
      </w:r>
    </w:p>
    <w:p w14:paraId="5FABDA44" w14:textId="4766CC85" w:rsidR="002C6E55" w:rsidRPr="003A7EA2" w:rsidRDefault="002C6E55" w:rsidP="003A7EA2">
      <w:pPr>
        <w:rPr>
          <w:rFonts w:ascii="Arial Narrow" w:hAnsi="Arial Narrow"/>
          <w:b/>
          <w:sz w:val="20"/>
        </w:rPr>
      </w:pPr>
      <w:r w:rsidRPr="003A7EA2">
        <w:rPr>
          <w:rFonts w:ascii="Arial Narrow" w:hAnsi="Arial Narrow"/>
          <w:b/>
          <w:sz w:val="20"/>
        </w:rPr>
        <w:t xml:space="preserve">Table </w:t>
      </w:r>
      <w:r w:rsidR="00C736E0" w:rsidRPr="003A7EA2">
        <w:rPr>
          <w:rFonts w:ascii="Arial Narrow" w:hAnsi="Arial Narrow"/>
          <w:b/>
          <w:sz w:val="20"/>
        </w:rPr>
        <w:fldChar w:fldCharType="begin"/>
      </w:r>
      <w:r w:rsidR="00C736E0" w:rsidRPr="003A7EA2">
        <w:rPr>
          <w:rFonts w:ascii="Arial Narrow" w:hAnsi="Arial Narrow"/>
          <w:b/>
          <w:sz w:val="20"/>
        </w:rPr>
        <w:instrText xml:space="preserve"> SEQ Table \* ARABIC </w:instrText>
      </w:r>
      <w:r w:rsidR="00C736E0" w:rsidRPr="003A7EA2">
        <w:rPr>
          <w:rFonts w:ascii="Arial Narrow" w:hAnsi="Arial Narrow"/>
          <w:b/>
          <w:sz w:val="20"/>
        </w:rPr>
        <w:fldChar w:fldCharType="separate"/>
      </w:r>
      <w:r w:rsidRPr="003A7EA2">
        <w:rPr>
          <w:rFonts w:ascii="Arial Narrow" w:hAnsi="Arial Narrow"/>
          <w:b/>
          <w:sz w:val="20"/>
        </w:rPr>
        <w:t>4</w:t>
      </w:r>
      <w:r w:rsidR="00C736E0" w:rsidRPr="003A7EA2">
        <w:rPr>
          <w:rFonts w:ascii="Arial Narrow" w:hAnsi="Arial Narrow"/>
          <w:b/>
          <w:sz w:val="20"/>
        </w:rPr>
        <w:fldChar w:fldCharType="end"/>
      </w:r>
      <w:bookmarkEnd w:id="16"/>
      <w:r w:rsidR="00071451" w:rsidRPr="003A7EA2">
        <w:rPr>
          <w:rFonts w:ascii="Arial Narrow" w:hAnsi="Arial Narrow"/>
          <w:b/>
          <w:sz w:val="20"/>
        </w:rPr>
        <w:tab/>
      </w:r>
      <w:r w:rsidRPr="003A7EA2">
        <w:rPr>
          <w:rFonts w:ascii="Arial Narrow" w:hAnsi="Arial Narrow"/>
          <w:b/>
          <w:sz w:val="20"/>
        </w:rPr>
        <w:t xml:space="preserve">Balance of clinical benefits and harms of CA, relative to AS/DT, and as measured by the critical patient-relevant outcomes in the key studies </w:t>
      </w:r>
    </w:p>
    <w:tbl>
      <w:tblPr>
        <w:tblStyle w:val="TableGrid1"/>
        <w:tblW w:w="5000" w:type="pct"/>
        <w:tblLook w:val="04A0" w:firstRow="1" w:lastRow="0" w:firstColumn="1" w:lastColumn="0" w:noHBand="0" w:noVBand="1"/>
        <w:tblDescription w:val="Summary of findings table"/>
      </w:tblPr>
      <w:tblGrid>
        <w:gridCol w:w="1413"/>
        <w:gridCol w:w="1843"/>
        <w:gridCol w:w="992"/>
        <w:gridCol w:w="1277"/>
        <w:gridCol w:w="1700"/>
        <w:gridCol w:w="1791"/>
      </w:tblGrid>
      <w:tr w:rsidR="002C6E55" w:rsidRPr="00FB324D" w14:paraId="6A5F1E19" w14:textId="77777777" w:rsidTr="003A7EA2">
        <w:trPr>
          <w:cnfStyle w:val="100000000000" w:firstRow="1" w:lastRow="0" w:firstColumn="0" w:lastColumn="0" w:oddVBand="0" w:evenVBand="0" w:oddHBand="0" w:evenHBand="0" w:firstRowFirstColumn="0" w:firstRowLastColumn="0" w:lastRowFirstColumn="0" w:lastRowLastColumn="0"/>
          <w:tblHeader/>
        </w:trPr>
        <w:tc>
          <w:tcPr>
            <w:tcW w:w="784" w:type="pct"/>
          </w:tcPr>
          <w:p w14:paraId="5EE14695" w14:textId="77777777" w:rsidR="002C6E55" w:rsidRPr="00FB324D" w:rsidRDefault="002C6E55" w:rsidP="005A6CCF">
            <w:pPr>
              <w:rPr>
                <w:rFonts w:ascii="Arial Narrow" w:hAnsi="Arial Narrow"/>
                <w:b/>
                <w:sz w:val="18"/>
                <w:szCs w:val="18"/>
              </w:rPr>
            </w:pPr>
            <w:r w:rsidRPr="00FB324D">
              <w:rPr>
                <w:rFonts w:ascii="Arial Narrow" w:hAnsi="Arial Narrow"/>
                <w:b/>
                <w:sz w:val="18"/>
                <w:szCs w:val="18"/>
              </w:rPr>
              <w:t>Outcomes (units)</w:t>
            </w:r>
          </w:p>
          <w:p w14:paraId="035DA0D8" w14:textId="77777777" w:rsidR="002C6E55" w:rsidRPr="00FB324D" w:rsidRDefault="002C6E55" w:rsidP="005A6CCF">
            <w:pPr>
              <w:rPr>
                <w:rFonts w:ascii="Arial Narrow" w:hAnsi="Arial Narrow"/>
                <w:b/>
                <w:sz w:val="18"/>
                <w:szCs w:val="18"/>
              </w:rPr>
            </w:pPr>
            <w:r w:rsidRPr="00FB324D">
              <w:rPr>
                <w:rFonts w:ascii="Arial Narrow" w:hAnsi="Arial Narrow"/>
                <w:b/>
                <w:sz w:val="18"/>
                <w:szCs w:val="18"/>
              </w:rPr>
              <w:t>Follow-up</w:t>
            </w:r>
          </w:p>
        </w:tc>
        <w:tc>
          <w:tcPr>
            <w:tcW w:w="1022" w:type="pct"/>
          </w:tcPr>
          <w:p w14:paraId="39F0225C" w14:textId="77777777" w:rsidR="002C6E55" w:rsidRPr="00FB324D" w:rsidRDefault="002C6E55" w:rsidP="005A6CCF">
            <w:pPr>
              <w:rPr>
                <w:rFonts w:ascii="Arial Narrow" w:hAnsi="Arial Narrow"/>
                <w:b/>
                <w:sz w:val="18"/>
                <w:szCs w:val="18"/>
              </w:rPr>
            </w:pPr>
            <w:r w:rsidRPr="00FB324D">
              <w:rPr>
                <w:rFonts w:ascii="Arial Narrow" w:hAnsi="Arial Narrow"/>
                <w:b/>
                <w:sz w:val="18"/>
                <w:szCs w:val="18"/>
              </w:rPr>
              <w:t xml:space="preserve">Participants </w:t>
            </w:r>
          </w:p>
          <w:p w14:paraId="4C62FD7C" w14:textId="77777777" w:rsidR="002C6E55" w:rsidRPr="00FB324D" w:rsidRDefault="002C6E55" w:rsidP="005A6CCF">
            <w:pPr>
              <w:rPr>
                <w:rFonts w:ascii="Arial Narrow" w:hAnsi="Arial Narrow"/>
                <w:b/>
                <w:sz w:val="18"/>
                <w:szCs w:val="18"/>
              </w:rPr>
            </w:pPr>
            <w:r w:rsidRPr="00FB324D">
              <w:rPr>
                <w:rFonts w:ascii="Arial Narrow" w:hAnsi="Arial Narrow"/>
                <w:b/>
                <w:sz w:val="18"/>
                <w:szCs w:val="18"/>
              </w:rPr>
              <w:t xml:space="preserve">Study type </w:t>
            </w:r>
          </w:p>
          <w:p w14:paraId="0CA364A1" w14:textId="77777777" w:rsidR="002C6E55" w:rsidRPr="00FB324D" w:rsidRDefault="002C6E55" w:rsidP="005A6CCF">
            <w:pPr>
              <w:rPr>
                <w:rFonts w:ascii="Arial Narrow" w:hAnsi="Arial Narrow"/>
                <w:b/>
                <w:sz w:val="18"/>
                <w:szCs w:val="18"/>
              </w:rPr>
            </w:pPr>
            <w:r w:rsidRPr="00FB324D">
              <w:rPr>
                <w:rFonts w:ascii="Arial Narrow" w:hAnsi="Arial Narrow"/>
                <w:b/>
                <w:sz w:val="18"/>
                <w:szCs w:val="18"/>
              </w:rPr>
              <w:t>(Study ID/location or database)</w:t>
            </w:r>
          </w:p>
          <w:p w14:paraId="73581B26" w14:textId="77777777" w:rsidR="002C6E55" w:rsidRPr="00FB324D" w:rsidRDefault="002C6E55" w:rsidP="005A6CCF">
            <w:pPr>
              <w:rPr>
                <w:rFonts w:ascii="Arial Narrow" w:hAnsi="Arial Narrow"/>
                <w:b/>
                <w:sz w:val="18"/>
                <w:szCs w:val="18"/>
              </w:rPr>
            </w:pPr>
          </w:p>
        </w:tc>
        <w:tc>
          <w:tcPr>
            <w:tcW w:w="550" w:type="pct"/>
          </w:tcPr>
          <w:p w14:paraId="16167685" w14:textId="77777777" w:rsidR="002C6E55" w:rsidRPr="00FB324D" w:rsidRDefault="002C6E55" w:rsidP="005A6CCF">
            <w:pPr>
              <w:rPr>
                <w:rFonts w:ascii="Arial Narrow" w:hAnsi="Arial Narrow"/>
                <w:b/>
                <w:sz w:val="18"/>
                <w:szCs w:val="18"/>
              </w:rPr>
            </w:pPr>
            <w:r w:rsidRPr="00FB324D">
              <w:rPr>
                <w:rFonts w:ascii="Arial Narrow" w:hAnsi="Arial Narrow"/>
                <w:b/>
                <w:sz w:val="18"/>
                <w:szCs w:val="18"/>
              </w:rPr>
              <w:t>Quality of evidence (GRADE)</w:t>
            </w:r>
            <w:r w:rsidRPr="00FB324D">
              <w:rPr>
                <w:rFonts w:ascii="Arial Narrow" w:hAnsi="Arial Narrow" w:cs="Arial"/>
                <w:b/>
                <w:sz w:val="18"/>
                <w:szCs w:val="18"/>
                <w:vertAlign w:val="superscript"/>
              </w:rPr>
              <w:t xml:space="preserve"> a</w:t>
            </w:r>
          </w:p>
        </w:tc>
        <w:tc>
          <w:tcPr>
            <w:tcW w:w="708" w:type="pct"/>
          </w:tcPr>
          <w:p w14:paraId="76CD8D93" w14:textId="77777777" w:rsidR="002C6E55" w:rsidRPr="00FB324D" w:rsidRDefault="002C6E55" w:rsidP="005A6CCF">
            <w:pPr>
              <w:rPr>
                <w:rFonts w:ascii="Arial Narrow" w:hAnsi="Arial Narrow"/>
                <w:b/>
                <w:sz w:val="18"/>
                <w:szCs w:val="18"/>
              </w:rPr>
            </w:pPr>
            <w:r w:rsidRPr="00FB324D">
              <w:rPr>
                <w:rFonts w:ascii="Arial Narrow" w:hAnsi="Arial Narrow"/>
                <w:b/>
                <w:sz w:val="18"/>
                <w:szCs w:val="18"/>
              </w:rPr>
              <w:t>Relative effect (95% CI) and/or P value</w:t>
            </w:r>
          </w:p>
          <w:p w14:paraId="46BD489F" w14:textId="77777777" w:rsidR="002C6E55" w:rsidRPr="00FB324D" w:rsidRDefault="002C6E55" w:rsidP="005A6CCF">
            <w:pPr>
              <w:rPr>
                <w:rFonts w:ascii="Arial Narrow" w:hAnsi="Arial Narrow"/>
                <w:b/>
                <w:sz w:val="18"/>
                <w:szCs w:val="18"/>
              </w:rPr>
            </w:pPr>
          </w:p>
        </w:tc>
        <w:tc>
          <w:tcPr>
            <w:tcW w:w="943" w:type="pct"/>
          </w:tcPr>
          <w:p w14:paraId="6697DE4A" w14:textId="77777777" w:rsidR="002C6E55" w:rsidRPr="00FB324D" w:rsidRDefault="002C6E55" w:rsidP="005A6CCF">
            <w:pPr>
              <w:rPr>
                <w:rFonts w:ascii="Arial Narrow" w:hAnsi="Arial Narrow"/>
                <w:b/>
                <w:sz w:val="18"/>
                <w:szCs w:val="18"/>
              </w:rPr>
            </w:pPr>
            <w:r w:rsidRPr="00FB324D">
              <w:rPr>
                <w:rFonts w:ascii="Arial Narrow" w:hAnsi="Arial Narrow"/>
                <w:b/>
                <w:sz w:val="18"/>
                <w:szCs w:val="18"/>
              </w:rPr>
              <w:t xml:space="preserve">Risk with AS/DT </w:t>
            </w:r>
          </w:p>
          <w:p w14:paraId="6B37B79D" w14:textId="77777777" w:rsidR="002C6E55" w:rsidRPr="00FB324D" w:rsidRDefault="002C6E55" w:rsidP="005A6CCF">
            <w:pPr>
              <w:rPr>
                <w:rFonts w:ascii="Arial Narrow" w:hAnsi="Arial Narrow"/>
                <w:b/>
                <w:sz w:val="18"/>
                <w:szCs w:val="18"/>
              </w:rPr>
            </w:pPr>
          </w:p>
        </w:tc>
        <w:tc>
          <w:tcPr>
            <w:tcW w:w="993" w:type="pct"/>
          </w:tcPr>
          <w:p w14:paraId="538BF01B" w14:textId="77777777" w:rsidR="002C6E55" w:rsidRPr="00FB324D" w:rsidRDefault="002C6E55" w:rsidP="005A6CCF">
            <w:pPr>
              <w:rPr>
                <w:rFonts w:ascii="Arial Narrow" w:hAnsi="Arial Narrow"/>
                <w:b/>
                <w:sz w:val="18"/>
                <w:szCs w:val="18"/>
              </w:rPr>
            </w:pPr>
            <w:r w:rsidRPr="00FB324D">
              <w:rPr>
                <w:rFonts w:ascii="Arial Narrow" w:hAnsi="Arial Narrow"/>
                <w:b/>
                <w:sz w:val="18"/>
                <w:szCs w:val="18"/>
              </w:rPr>
              <w:t>Risk with CA</w:t>
            </w:r>
          </w:p>
          <w:p w14:paraId="3A870F34" w14:textId="77777777" w:rsidR="002C6E55" w:rsidRPr="00FB324D" w:rsidRDefault="002C6E55" w:rsidP="005A6CCF">
            <w:pPr>
              <w:rPr>
                <w:rFonts w:ascii="Arial Narrow" w:hAnsi="Arial Narrow"/>
                <w:b/>
                <w:sz w:val="18"/>
                <w:szCs w:val="18"/>
              </w:rPr>
            </w:pPr>
          </w:p>
        </w:tc>
      </w:tr>
      <w:tr w:rsidR="002C6E55" w:rsidRPr="007462CB" w14:paraId="03996E5A" w14:textId="77777777" w:rsidTr="003A7EA2">
        <w:tc>
          <w:tcPr>
            <w:tcW w:w="784" w:type="pct"/>
          </w:tcPr>
          <w:p w14:paraId="5E12879C" w14:textId="77777777" w:rsidR="002C6E55" w:rsidRPr="007462CB" w:rsidRDefault="002C6E55" w:rsidP="005A6CCF">
            <w:pPr>
              <w:rPr>
                <w:sz w:val="18"/>
                <w:szCs w:val="18"/>
              </w:rPr>
            </w:pPr>
            <w:r>
              <w:rPr>
                <w:sz w:val="18"/>
                <w:szCs w:val="18"/>
              </w:rPr>
              <w:t>Other-cause</w:t>
            </w:r>
            <w:r w:rsidRPr="007462CB">
              <w:rPr>
                <w:sz w:val="18"/>
                <w:szCs w:val="18"/>
              </w:rPr>
              <w:t xml:space="preserve"> mortality</w:t>
            </w:r>
          </w:p>
          <w:p w14:paraId="07E96668" w14:textId="77777777" w:rsidR="002C6E55" w:rsidRPr="007462CB" w:rsidRDefault="002C6E55" w:rsidP="005A6CCF">
            <w:pPr>
              <w:rPr>
                <w:sz w:val="18"/>
                <w:szCs w:val="18"/>
              </w:rPr>
            </w:pPr>
            <w:r w:rsidRPr="007462CB">
              <w:rPr>
                <w:sz w:val="18"/>
                <w:szCs w:val="18"/>
              </w:rPr>
              <w:t>(rate; median FU 34 months)</w:t>
            </w:r>
          </w:p>
        </w:tc>
        <w:tc>
          <w:tcPr>
            <w:tcW w:w="1022" w:type="pct"/>
          </w:tcPr>
          <w:p w14:paraId="200A6B7D" w14:textId="77777777" w:rsidR="002C6E55" w:rsidRPr="007462CB" w:rsidRDefault="002C6E55" w:rsidP="005A6CCF">
            <w:pPr>
              <w:rPr>
                <w:rFonts w:cs="Arial"/>
                <w:sz w:val="18"/>
                <w:szCs w:val="18"/>
              </w:rPr>
            </w:pPr>
            <w:r w:rsidRPr="007462CB">
              <w:rPr>
                <w:rFonts w:cs="Arial"/>
                <w:sz w:val="18"/>
                <w:szCs w:val="18"/>
              </w:rPr>
              <w:t>TA=647; AS/DT=647</w:t>
            </w:r>
          </w:p>
          <w:p w14:paraId="4ACA6DBB" w14:textId="77777777" w:rsidR="002C6E55" w:rsidRPr="007462CB" w:rsidRDefault="002C6E55" w:rsidP="005A6CCF">
            <w:pPr>
              <w:rPr>
                <w:rFonts w:cs="Arial"/>
                <w:sz w:val="18"/>
                <w:szCs w:val="18"/>
              </w:rPr>
            </w:pPr>
            <w:r w:rsidRPr="007462CB">
              <w:rPr>
                <w:sz w:val="18"/>
                <w:szCs w:val="18"/>
              </w:rPr>
              <w:t>1 retrospective cohort (Xing 2018/SEER-Medicare)</w:t>
            </w:r>
          </w:p>
        </w:tc>
        <w:tc>
          <w:tcPr>
            <w:tcW w:w="550" w:type="pct"/>
          </w:tcPr>
          <w:p w14:paraId="52E0782C" w14:textId="77777777" w:rsidR="002C6E55" w:rsidRPr="007462CB" w:rsidRDefault="002C6E55" w:rsidP="005A6CCF">
            <w:pPr>
              <w:rPr>
                <w:sz w:val="18"/>
                <w:szCs w:val="18"/>
              </w:rPr>
            </w:pPr>
            <w:r w:rsidRPr="007462CB">
              <w:rPr>
                <w:sz w:val="18"/>
                <w:szCs w:val="18"/>
              </w:rPr>
              <w:t>Moderate</w:t>
            </w:r>
          </w:p>
          <w:p w14:paraId="086F16A4" w14:textId="77777777" w:rsidR="002C6E55" w:rsidRPr="007462CB" w:rsidRDefault="002C6E55" w:rsidP="005A6CCF">
            <w:pPr>
              <w:rPr>
                <w:rFonts w:cs="Arial"/>
                <w:sz w:val="18"/>
                <w:szCs w:val="18"/>
                <w:vertAlign w:val="superscript"/>
              </w:rPr>
            </w:pPr>
            <w:r w:rsidRPr="007462CB">
              <w:rPr>
                <w:sz w:val="18"/>
                <w:szCs w:val="18"/>
              </w:rPr>
              <w:t>(●●●○)</w:t>
            </w:r>
          </w:p>
        </w:tc>
        <w:tc>
          <w:tcPr>
            <w:tcW w:w="708" w:type="pct"/>
          </w:tcPr>
          <w:p w14:paraId="28C43F36" w14:textId="77777777" w:rsidR="002C6E55" w:rsidRPr="00DA5D1D" w:rsidRDefault="002C6E55" w:rsidP="005A6CCF">
            <w:pPr>
              <w:rPr>
                <w:rFonts w:cs="Arial"/>
                <w:sz w:val="18"/>
                <w:szCs w:val="18"/>
              </w:rPr>
            </w:pPr>
            <w:r w:rsidRPr="00DA5D1D">
              <w:rPr>
                <w:rFonts w:cs="Arial"/>
                <w:sz w:val="18"/>
                <w:szCs w:val="18"/>
              </w:rPr>
              <w:t>HR 0.47</w:t>
            </w:r>
          </w:p>
          <w:p w14:paraId="0BB9C5D9" w14:textId="77777777" w:rsidR="002C6E55" w:rsidRPr="00DA5D1D" w:rsidRDefault="002C6E55" w:rsidP="005A6CCF">
            <w:pPr>
              <w:rPr>
                <w:rFonts w:cs="Arial"/>
                <w:sz w:val="18"/>
                <w:szCs w:val="18"/>
              </w:rPr>
            </w:pPr>
            <w:r w:rsidRPr="00DA5D1D">
              <w:rPr>
                <w:rFonts w:cs="Arial"/>
                <w:sz w:val="18"/>
                <w:szCs w:val="18"/>
              </w:rPr>
              <w:t>(0.33, 0.67)</w:t>
            </w:r>
          </w:p>
        </w:tc>
        <w:tc>
          <w:tcPr>
            <w:tcW w:w="943" w:type="pct"/>
          </w:tcPr>
          <w:p w14:paraId="70E7D764" w14:textId="77777777" w:rsidR="002C6E55" w:rsidRPr="006C46D7" w:rsidRDefault="002C6E55" w:rsidP="005A6CCF">
            <w:pPr>
              <w:rPr>
                <w:rFonts w:cs="Arial"/>
                <w:sz w:val="18"/>
                <w:szCs w:val="18"/>
                <w:u w:val="single"/>
              </w:rPr>
            </w:pPr>
            <w:r w:rsidRPr="006C46D7">
              <w:rPr>
                <w:rFonts w:cs="Arial"/>
                <w:sz w:val="18"/>
                <w:szCs w:val="18"/>
                <w:u w:val="single"/>
              </w:rPr>
              <w:t>5-year OCM</w:t>
            </w:r>
          </w:p>
          <w:p w14:paraId="093F1510" w14:textId="77777777" w:rsidR="002C6E55" w:rsidRPr="007462CB" w:rsidRDefault="002C6E55" w:rsidP="005A6CCF">
            <w:pPr>
              <w:rPr>
                <w:rFonts w:cs="Arial"/>
                <w:sz w:val="18"/>
                <w:szCs w:val="18"/>
              </w:rPr>
            </w:pPr>
            <w:r>
              <w:rPr>
                <w:rFonts w:cs="Arial"/>
                <w:sz w:val="18"/>
                <w:szCs w:val="18"/>
              </w:rPr>
              <w:t>102 per 1000 patients</w:t>
            </w:r>
          </w:p>
        </w:tc>
        <w:tc>
          <w:tcPr>
            <w:tcW w:w="993" w:type="pct"/>
          </w:tcPr>
          <w:p w14:paraId="5417B27F" w14:textId="77777777" w:rsidR="002C6E55" w:rsidRPr="006C46D7" w:rsidRDefault="002C6E55" w:rsidP="005A6CCF">
            <w:pPr>
              <w:rPr>
                <w:rFonts w:cs="Arial"/>
                <w:sz w:val="18"/>
                <w:szCs w:val="18"/>
                <w:u w:val="single"/>
              </w:rPr>
            </w:pPr>
            <w:r w:rsidRPr="006C46D7">
              <w:rPr>
                <w:rFonts w:cs="Arial"/>
                <w:sz w:val="18"/>
                <w:szCs w:val="18"/>
                <w:u w:val="single"/>
              </w:rPr>
              <w:t>5-year OCM</w:t>
            </w:r>
          </w:p>
          <w:p w14:paraId="2C278802" w14:textId="77777777" w:rsidR="002C6E55" w:rsidRPr="007462CB" w:rsidRDefault="002C6E55" w:rsidP="005A6CCF">
            <w:pPr>
              <w:rPr>
                <w:rFonts w:cs="Arial"/>
                <w:sz w:val="18"/>
                <w:szCs w:val="18"/>
              </w:rPr>
            </w:pPr>
            <w:r>
              <w:rPr>
                <w:rFonts w:cs="Arial"/>
                <w:sz w:val="18"/>
                <w:szCs w:val="18"/>
              </w:rPr>
              <w:t>48 per 1000 patients</w:t>
            </w:r>
          </w:p>
        </w:tc>
      </w:tr>
      <w:tr w:rsidR="002C6E55" w:rsidRPr="007462CB" w14:paraId="2AC11A3B" w14:textId="77777777" w:rsidTr="003A7EA2">
        <w:tc>
          <w:tcPr>
            <w:tcW w:w="784" w:type="pct"/>
          </w:tcPr>
          <w:p w14:paraId="302B19F6" w14:textId="77777777" w:rsidR="002C6E55" w:rsidRPr="007462CB" w:rsidRDefault="002C6E55" w:rsidP="005A6CCF">
            <w:pPr>
              <w:rPr>
                <w:sz w:val="18"/>
                <w:szCs w:val="18"/>
              </w:rPr>
            </w:pPr>
            <w:r w:rsidRPr="007462CB">
              <w:rPr>
                <w:sz w:val="18"/>
                <w:szCs w:val="18"/>
              </w:rPr>
              <w:t>Cancer-specific mortality</w:t>
            </w:r>
          </w:p>
          <w:p w14:paraId="008FACBE" w14:textId="77777777" w:rsidR="002C6E55" w:rsidRPr="007462CB" w:rsidRDefault="002C6E55" w:rsidP="005A6CCF">
            <w:pPr>
              <w:rPr>
                <w:sz w:val="18"/>
                <w:szCs w:val="18"/>
              </w:rPr>
            </w:pPr>
            <w:r w:rsidRPr="007462CB">
              <w:rPr>
                <w:sz w:val="18"/>
                <w:szCs w:val="18"/>
              </w:rPr>
              <w:t>(rate; median FU 34 months)</w:t>
            </w:r>
          </w:p>
        </w:tc>
        <w:tc>
          <w:tcPr>
            <w:tcW w:w="1022" w:type="pct"/>
          </w:tcPr>
          <w:p w14:paraId="22E2953F" w14:textId="77777777" w:rsidR="002C6E55" w:rsidRPr="007462CB" w:rsidRDefault="002C6E55" w:rsidP="005A6CCF">
            <w:pPr>
              <w:rPr>
                <w:rFonts w:cs="Arial"/>
                <w:sz w:val="18"/>
                <w:szCs w:val="18"/>
              </w:rPr>
            </w:pPr>
            <w:r w:rsidRPr="007462CB">
              <w:rPr>
                <w:rFonts w:cs="Arial"/>
                <w:sz w:val="18"/>
                <w:szCs w:val="18"/>
              </w:rPr>
              <w:t>TA=647; AS/DT=647</w:t>
            </w:r>
          </w:p>
          <w:p w14:paraId="69844968" w14:textId="77777777" w:rsidR="002C6E55" w:rsidRPr="007462CB" w:rsidRDefault="002C6E55" w:rsidP="005A6CCF">
            <w:pPr>
              <w:rPr>
                <w:rFonts w:cs="Arial"/>
                <w:sz w:val="18"/>
                <w:szCs w:val="18"/>
              </w:rPr>
            </w:pPr>
            <w:r w:rsidRPr="007462CB">
              <w:rPr>
                <w:sz w:val="18"/>
                <w:szCs w:val="18"/>
              </w:rPr>
              <w:t>1 retrospective cohort (Xing 2018/SEER-Medicare)</w:t>
            </w:r>
          </w:p>
        </w:tc>
        <w:tc>
          <w:tcPr>
            <w:tcW w:w="550" w:type="pct"/>
          </w:tcPr>
          <w:p w14:paraId="130116FA" w14:textId="77777777" w:rsidR="002C6E55" w:rsidRPr="007462CB" w:rsidRDefault="002C6E55" w:rsidP="005A6CCF">
            <w:pPr>
              <w:rPr>
                <w:sz w:val="18"/>
                <w:szCs w:val="18"/>
              </w:rPr>
            </w:pPr>
            <w:r w:rsidRPr="007462CB">
              <w:rPr>
                <w:sz w:val="18"/>
                <w:szCs w:val="18"/>
              </w:rPr>
              <w:t>Moderate</w:t>
            </w:r>
          </w:p>
          <w:p w14:paraId="2BDB3E1A" w14:textId="77777777" w:rsidR="002C6E55" w:rsidRPr="007462CB" w:rsidRDefault="002C6E55" w:rsidP="005A6CCF">
            <w:pPr>
              <w:rPr>
                <w:rFonts w:cs="Arial"/>
                <w:sz w:val="18"/>
                <w:szCs w:val="18"/>
                <w:vertAlign w:val="superscript"/>
              </w:rPr>
            </w:pPr>
            <w:r w:rsidRPr="007462CB">
              <w:rPr>
                <w:sz w:val="18"/>
                <w:szCs w:val="18"/>
              </w:rPr>
              <w:t>(●●●○)</w:t>
            </w:r>
          </w:p>
        </w:tc>
        <w:tc>
          <w:tcPr>
            <w:tcW w:w="708" w:type="pct"/>
          </w:tcPr>
          <w:p w14:paraId="14EA37A6" w14:textId="77777777" w:rsidR="002C6E55" w:rsidRPr="007462CB" w:rsidRDefault="002C6E55" w:rsidP="005A6CCF">
            <w:pPr>
              <w:rPr>
                <w:sz w:val="18"/>
                <w:szCs w:val="18"/>
              </w:rPr>
            </w:pPr>
            <w:r w:rsidRPr="007462CB">
              <w:rPr>
                <w:sz w:val="18"/>
                <w:szCs w:val="18"/>
              </w:rPr>
              <w:t xml:space="preserve">HR 0.69 </w:t>
            </w:r>
          </w:p>
          <w:p w14:paraId="7865AABA" w14:textId="77777777" w:rsidR="002C6E55" w:rsidRPr="007462CB" w:rsidRDefault="002C6E55" w:rsidP="005A6CCF">
            <w:pPr>
              <w:rPr>
                <w:rFonts w:cs="Arial"/>
                <w:sz w:val="18"/>
                <w:szCs w:val="18"/>
                <w:vertAlign w:val="superscript"/>
              </w:rPr>
            </w:pPr>
            <w:r w:rsidRPr="007462CB">
              <w:rPr>
                <w:sz w:val="18"/>
                <w:szCs w:val="18"/>
              </w:rPr>
              <w:t>(0.39, 0.88)</w:t>
            </w:r>
          </w:p>
        </w:tc>
        <w:tc>
          <w:tcPr>
            <w:tcW w:w="943" w:type="pct"/>
          </w:tcPr>
          <w:p w14:paraId="6F539016" w14:textId="77777777" w:rsidR="002C6E55" w:rsidRPr="007462CB" w:rsidRDefault="002C6E55" w:rsidP="005A6CCF">
            <w:pPr>
              <w:rPr>
                <w:rFonts w:cs="Arial"/>
                <w:sz w:val="18"/>
                <w:szCs w:val="18"/>
                <w:u w:val="single"/>
              </w:rPr>
            </w:pPr>
            <w:r w:rsidRPr="007462CB">
              <w:rPr>
                <w:rFonts w:cs="Arial"/>
                <w:sz w:val="18"/>
                <w:szCs w:val="18"/>
                <w:u w:val="single"/>
              </w:rPr>
              <w:t>5-year CSM</w:t>
            </w:r>
          </w:p>
          <w:p w14:paraId="73CB9932" w14:textId="77777777" w:rsidR="002C6E55" w:rsidRPr="007462CB" w:rsidRDefault="002C6E55" w:rsidP="005A6CCF">
            <w:pPr>
              <w:rPr>
                <w:rFonts w:cs="Arial"/>
                <w:sz w:val="18"/>
                <w:szCs w:val="18"/>
              </w:rPr>
            </w:pPr>
            <w:r w:rsidRPr="007462CB">
              <w:rPr>
                <w:rFonts w:cs="Arial"/>
                <w:sz w:val="18"/>
                <w:szCs w:val="18"/>
              </w:rPr>
              <w:t>45 per 1000 patients</w:t>
            </w:r>
          </w:p>
        </w:tc>
        <w:tc>
          <w:tcPr>
            <w:tcW w:w="993" w:type="pct"/>
          </w:tcPr>
          <w:p w14:paraId="64C10115" w14:textId="77777777" w:rsidR="002C6E55" w:rsidRPr="007462CB" w:rsidRDefault="002C6E55" w:rsidP="005A6CCF">
            <w:pPr>
              <w:rPr>
                <w:rFonts w:cs="Arial"/>
                <w:sz w:val="18"/>
                <w:szCs w:val="18"/>
                <w:u w:val="single"/>
              </w:rPr>
            </w:pPr>
            <w:r w:rsidRPr="007462CB">
              <w:rPr>
                <w:rFonts w:cs="Arial"/>
                <w:sz w:val="18"/>
                <w:szCs w:val="18"/>
                <w:u w:val="single"/>
              </w:rPr>
              <w:t>5-year CSM</w:t>
            </w:r>
          </w:p>
          <w:p w14:paraId="5B536E73" w14:textId="77777777" w:rsidR="002C6E55" w:rsidRPr="007462CB" w:rsidRDefault="002C6E55" w:rsidP="005A6CCF">
            <w:pPr>
              <w:rPr>
                <w:rFonts w:cs="Arial"/>
                <w:sz w:val="18"/>
                <w:szCs w:val="18"/>
              </w:rPr>
            </w:pPr>
            <w:r w:rsidRPr="007462CB">
              <w:rPr>
                <w:rFonts w:cs="Arial"/>
                <w:sz w:val="18"/>
                <w:szCs w:val="18"/>
              </w:rPr>
              <w:t>31 per 1000 patients</w:t>
            </w:r>
          </w:p>
        </w:tc>
      </w:tr>
      <w:tr w:rsidR="002C6E55" w:rsidRPr="007462CB" w14:paraId="1411EB44" w14:textId="77777777" w:rsidTr="003A7EA2">
        <w:tc>
          <w:tcPr>
            <w:tcW w:w="784" w:type="pct"/>
          </w:tcPr>
          <w:p w14:paraId="4D1804DA" w14:textId="77777777" w:rsidR="002C6E55" w:rsidRPr="007462CB" w:rsidRDefault="002C6E55" w:rsidP="005A6CCF">
            <w:pPr>
              <w:rPr>
                <w:rFonts w:cs="Arial"/>
                <w:sz w:val="18"/>
                <w:szCs w:val="18"/>
              </w:rPr>
            </w:pPr>
            <w:r w:rsidRPr="007462CB">
              <w:rPr>
                <w:rFonts w:cs="Arial"/>
                <w:sz w:val="18"/>
                <w:szCs w:val="18"/>
              </w:rPr>
              <w:t xml:space="preserve">Change in </w:t>
            </w:r>
            <w:proofErr w:type="spellStart"/>
            <w:r w:rsidRPr="007462CB">
              <w:rPr>
                <w:rFonts w:cs="Arial"/>
                <w:sz w:val="18"/>
                <w:szCs w:val="18"/>
              </w:rPr>
              <w:t>eGFR</w:t>
            </w:r>
            <w:proofErr w:type="spellEnd"/>
            <w:r w:rsidRPr="007462CB">
              <w:rPr>
                <w:rFonts w:cs="Arial"/>
                <w:sz w:val="18"/>
                <w:szCs w:val="18"/>
              </w:rPr>
              <w:t xml:space="preserve"> (mL/min/1.73m</w:t>
            </w:r>
            <w:r w:rsidRPr="00FB324D">
              <w:rPr>
                <w:rFonts w:cs="Arial"/>
                <w:sz w:val="18"/>
                <w:szCs w:val="18"/>
                <w:vertAlign w:val="superscript"/>
              </w:rPr>
              <w:t>2</w:t>
            </w:r>
            <w:r w:rsidRPr="007462CB">
              <w:rPr>
                <w:rFonts w:cs="Arial"/>
                <w:sz w:val="18"/>
                <w:szCs w:val="18"/>
              </w:rPr>
              <w:t>; up to 12 months FU)</w:t>
            </w:r>
          </w:p>
        </w:tc>
        <w:tc>
          <w:tcPr>
            <w:tcW w:w="1022" w:type="pct"/>
          </w:tcPr>
          <w:p w14:paraId="2D7EFA9C" w14:textId="77777777" w:rsidR="002C6E55" w:rsidRPr="007462CB" w:rsidRDefault="002C6E55" w:rsidP="005A6CCF">
            <w:pPr>
              <w:rPr>
                <w:rFonts w:cs="Arial"/>
                <w:sz w:val="18"/>
                <w:szCs w:val="18"/>
              </w:rPr>
            </w:pPr>
            <w:r w:rsidRPr="007462CB">
              <w:rPr>
                <w:rFonts w:cs="Arial"/>
                <w:sz w:val="18"/>
                <w:szCs w:val="18"/>
              </w:rPr>
              <w:t>TA=27; AS/DT=176; (PN=140)</w:t>
            </w:r>
          </w:p>
          <w:p w14:paraId="7B60FD39" w14:textId="77777777" w:rsidR="002C6E55" w:rsidRPr="007462CB" w:rsidRDefault="002C6E55" w:rsidP="005A6CCF">
            <w:pPr>
              <w:rPr>
                <w:rFonts w:cs="Arial"/>
                <w:sz w:val="18"/>
                <w:szCs w:val="18"/>
              </w:rPr>
            </w:pPr>
            <w:r w:rsidRPr="007462CB">
              <w:rPr>
                <w:rFonts w:cs="Arial"/>
                <w:sz w:val="18"/>
                <w:szCs w:val="18"/>
              </w:rPr>
              <w:t>1 prospective cohort (</w:t>
            </w:r>
            <w:proofErr w:type="spellStart"/>
            <w:r w:rsidRPr="007462CB">
              <w:rPr>
                <w:rFonts w:cs="Arial"/>
                <w:sz w:val="18"/>
                <w:szCs w:val="18"/>
              </w:rPr>
              <w:t>Alam</w:t>
            </w:r>
            <w:proofErr w:type="spellEnd"/>
            <w:r w:rsidRPr="007462CB">
              <w:rPr>
                <w:rFonts w:cs="Arial"/>
                <w:sz w:val="18"/>
                <w:szCs w:val="18"/>
              </w:rPr>
              <w:t xml:space="preserve"> 2019/DISSRM)</w:t>
            </w:r>
          </w:p>
        </w:tc>
        <w:tc>
          <w:tcPr>
            <w:tcW w:w="550" w:type="pct"/>
          </w:tcPr>
          <w:p w14:paraId="52DF69A5" w14:textId="77777777" w:rsidR="002C6E55" w:rsidRPr="007462CB" w:rsidRDefault="002C6E55" w:rsidP="005A6CCF">
            <w:pPr>
              <w:rPr>
                <w:sz w:val="18"/>
                <w:szCs w:val="18"/>
              </w:rPr>
            </w:pPr>
            <w:r w:rsidRPr="007462CB">
              <w:rPr>
                <w:sz w:val="18"/>
                <w:szCs w:val="18"/>
              </w:rPr>
              <w:t>Low</w:t>
            </w:r>
          </w:p>
          <w:p w14:paraId="5FE4B52F" w14:textId="77777777" w:rsidR="002C6E55" w:rsidRPr="007462CB" w:rsidRDefault="002C6E55" w:rsidP="005A6CCF">
            <w:pPr>
              <w:rPr>
                <w:rFonts w:cs="Arial"/>
                <w:sz w:val="18"/>
                <w:szCs w:val="18"/>
              </w:rPr>
            </w:pPr>
            <w:r w:rsidRPr="007462CB">
              <w:rPr>
                <w:sz w:val="18"/>
                <w:szCs w:val="18"/>
              </w:rPr>
              <w:t>(●●○○)</w:t>
            </w:r>
          </w:p>
        </w:tc>
        <w:tc>
          <w:tcPr>
            <w:tcW w:w="708" w:type="pct"/>
          </w:tcPr>
          <w:p w14:paraId="6407A889" w14:textId="77777777" w:rsidR="002C6E55" w:rsidRPr="007462CB" w:rsidRDefault="002C6E55" w:rsidP="005A6CCF">
            <w:pPr>
              <w:rPr>
                <w:rFonts w:cs="Arial"/>
                <w:sz w:val="18"/>
                <w:szCs w:val="18"/>
              </w:rPr>
            </w:pPr>
            <w:r w:rsidRPr="007462CB">
              <w:rPr>
                <w:rFonts w:cs="Arial"/>
                <w:sz w:val="18"/>
                <w:szCs w:val="18"/>
              </w:rPr>
              <w:t>MD -2.55</w:t>
            </w:r>
          </w:p>
          <w:p w14:paraId="14D96F28" w14:textId="77777777" w:rsidR="002C6E55" w:rsidRPr="007462CB" w:rsidRDefault="002C6E55" w:rsidP="005A6CCF">
            <w:pPr>
              <w:rPr>
                <w:rFonts w:cs="Arial"/>
                <w:sz w:val="18"/>
                <w:szCs w:val="18"/>
              </w:rPr>
            </w:pPr>
            <w:r w:rsidRPr="007462CB">
              <w:rPr>
                <w:rFonts w:cs="Arial"/>
                <w:sz w:val="18"/>
                <w:szCs w:val="18"/>
              </w:rPr>
              <w:t>(-6.07, 0.97)</w:t>
            </w:r>
          </w:p>
        </w:tc>
        <w:tc>
          <w:tcPr>
            <w:tcW w:w="943" w:type="pct"/>
          </w:tcPr>
          <w:p w14:paraId="748A0DC5" w14:textId="77777777" w:rsidR="002C6E55" w:rsidRPr="007462CB" w:rsidRDefault="002C6E55" w:rsidP="005A6CCF">
            <w:pPr>
              <w:rPr>
                <w:rFonts w:cs="Arial"/>
                <w:sz w:val="18"/>
                <w:szCs w:val="18"/>
                <w:u w:val="single"/>
              </w:rPr>
            </w:pPr>
            <w:r w:rsidRPr="007462CB">
              <w:rPr>
                <w:rFonts w:cs="Arial"/>
                <w:sz w:val="18"/>
                <w:szCs w:val="18"/>
                <w:u w:val="single"/>
              </w:rPr>
              <w:t xml:space="preserve">12-month change in </w:t>
            </w:r>
            <w:proofErr w:type="spellStart"/>
            <w:r w:rsidRPr="007462CB">
              <w:rPr>
                <w:rFonts w:cs="Arial"/>
                <w:sz w:val="18"/>
                <w:szCs w:val="18"/>
                <w:u w:val="single"/>
              </w:rPr>
              <w:t>eGFR</w:t>
            </w:r>
            <w:proofErr w:type="spellEnd"/>
          </w:p>
          <w:p w14:paraId="6F3F4044" w14:textId="77777777" w:rsidR="002C6E55" w:rsidRPr="007462CB" w:rsidRDefault="002C6E55" w:rsidP="005A6CCF">
            <w:pPr>
              <w:rPr>
                <w:rFonts w:cs="Arial"/>
                <w:sz w:val="18"/>
                <w:szCs w:val="18"/>
              </w:rPr>
            </w:pPr>
            <w:r w:rsidRPr="007462CB">
              <w:rPr>
                <w:rFonts w:cs="Arial"/>
                <w:sz w:val="18"/>
                <w:szCs w:val="18"/>
              </w:rPr>
              <w:t>–5 mL/min/1.73 m</w:t>
            </w:r>
            <w:r w:rsidRPr="007462CB">
              <w:rPr>
                <w:rFonts w:cs="Arial"/>
                <w:sz w:val="18"/>
                <w:szCs w:val="18"/>
                <w:vertAlign w:val="superscript"/>
              </w:rPr>
              <w:t>2</w:t>
            </w:r>
          </w:p>
        </w:tc>
        <w:tc>
          <w:tcPr>
            <w:tcW w:w="993" w:type="pct"/>
          </w:tcPr>
          <w:p w14:paraId="68915AB9" w14:textId="77777777" w:rsidR="002C6E55" w:rsidRPr="007462CB" w:rsidRDefault="002C6E55" w:rsidP="005A6CCF">
            <w:pPr>
              <w:rPr>
                <w:rFonts w:cs="Arial"/>
                <w:sz w:val="18"/>
                <w:szCs w:val="18"/>
                <w:u w:val="single"/>
              </w:rPr>
            </w:pPr>
            <w:r w:rsidRPr="007462CB">
              <w:rPr>
                <w:rFonts w:cs="Arial"/>
                <w:sz w:val="18"/>
                <w:szCs w:val="18"/>
                <w:u w:val="single"/>
              </w:rPr>
              <w:t xml:space="preserve">12-month change in </w:t>
            </w:r>
            <w:proofErr w:type="spellStart"/>
            <w:r w:rsidRPr="007462CB">
              <w:rPr>
                <w:rFonts w:cs="Arial"/>
                <w:sz w:val="18"/>
                <w:szCs w:val="18"/>
                <w:u w:val="single"/>
              </w:rPr>
              <w:t>eGFR</w:t>
            </w:r>
            <w:proofErr w:type="spellEnd"/>
          </w:p>
          <w:p w14:paraId="2B526C4F" w14:textId="77777777" w:rsidR="002C6E55" w:rsidRPr="007462CB" w:rsidRDefault="002C6E55" w:rsidP="005A6CCF">
            <w:pPr>
              <w:rPr>
                <w:rFonts w:cs="Arial"/>
                <w:sz w:val="18"/>
                <w:szCs w:val="18"/>
              </w:rPr>
            </w:pPr>
            <w:r w:rsidRPr="007462CB">
              <w:rPr>
                <w:rFonts w:cs="Arial"/>
                <w:sz w:val="18"/>
                <w:szCs w:val="18"/>
              </w:rPr>
              <w:t>–7.6 mL/min/1.73 m</w:t>
            </w:r>
            <w:r w:rsidRPr="007462CB">
              <w:rPr>
                <w:rFonts w:cs="Arial"/>
                <w:sz w:val="18"/>
                <w:szCs w:val="18"/>
                <w:vertAlign w:val="superscript"/>
              </w:rPr>
              <w:t>2</w:t>
            </w:r>
          </w:p>
        </w:tc>
      </w:tr>
      <w:tr w:rsidR="002C6E55" w:rsidRPr="007462CB" w14:paraId="17F5D353" w14:textId="77777777" w:rsidTr="003A7EA2">
        <w:tc>
          <w:tcPr>
            <w:tcW w:w="784" w:type="pct"/>
          </w:tcPr>
          <w:p w14:paraId="0E7B5E02" w14:textId="77777777" w:rsidR="002C6E55" w:rsidRPr="007462CB" w:rsidRDefault="002C6E55" w:rsidP="005A6CCF">
            <w:pPr>
              <w:rPr>
                <w:rFonts w:cs="Arial"/>
                <w:sz w:val="18"/>
                <w:szCs w:val="18"/>
              </w:rPr>
            </w:pPr>
            <w:r w:rsidRPr="007462CB">
              <w:rPr>
                <w:rFonts w:cs="Arial"/>
                <w:sz w:val="18"/>
                <w:szCs w:val="18"/>
              </w:rPr>
              <w:t>CKD-upstaging</w:t>
            </w:r>
          </w:p>
          <w:p w14:paraId="2DD21F16" w14:textId="77777777" w:rsidR="002C6E55" w:rsidRPr="007462CB" w:rsidRDefault="002C6E55" w:rsidP="005A6CCF">
            <w:pPr>
              <w:rPr>
                <w:rFonts w:cs="Arial"/>
                <w:sz w:val="18"/>
                <w:szCs w:val="18"/>
              </w:rPr>
            </w:pPr>
            <w:r w:rsidRPr="007462CB">
              <w:rPr>
                <w:rFonts w:cs="Arial"/>
                <w:sz w:val="18"/>
                <w:szCs w:val="18"/>
              </w:rPr>
              <w:t>(rate; median 18 months FU)</w:t>
            </w:r>
          </w:p>
        </w:tc>
        <w:tc>
          <w:tcPr>
            <w:tcW w:w="1022" w:type="pct"/>
          </w:tcPr>
          <w:p w14:paraId="70FF56D9" w14:textId="77777777" w:rsidR="002C6E55" w:rsidRPr="007462CB" w:rsidRDefault="002C6E55" w:rsidP="005A6CCF">
            <w:pPr>
              <w:rPr>
                <w:rFonts w:cs="Arial"/>
                <w:sz w:val="18"/>
                <w:szCs w:val="18"/>
              </w:rPr>
            </w:pPr>
            <w:r w:rsidRPr="007462CB">
              <w:rPr>
                <w:rFonts w:cs="Arial"/>
                <w:sz w:val="18"/>
                <w:szCs w:val="18"/>
              </w:rPr>
              <w:t>CA=14; AS/DT=68</w:t>
            </w:r>
          </w:p>
          <w:p w14:paraId="0EB3A418" w14:textId="77777777" w:rsidR="002C6E55" w:rsidRPr="007462CB" w:rsidRDefault="002C6E55" w:rsidP="005A6CCF">
            <w:pPr>
              <w:rPr>
                <w:rFonts w:cs="Arial"/>
                <w:sz w:val="18"/>
                <w:szCs w:val="18"/>
              </w:rPr>
            </w:pPr>
            <w:r w:rsidRPr="007462CB">
              <w:rPr>
                <w:rFonts w:cs="Arial"/>
                <w:sz w:val="18"/>
                <w:szCs w:val="18"/>
              </w:rPr>
              <w:t>1 prospective cohort</w:t>
            </w:r>
          </w:p>
          <w:p w14:paraId="1CAAD781" w14:textId="77777777" w:rsidR="002C6E55" w:rsidRPr="007462CB" w:rsidRDefault="002C6E55" w:rsidP="005A6CCF">
            <w:pPr>
              <w:rPr>
                <w:rFonts w:cs="Arial"/>
                <w:sz w:val="18"/>
                <w:szCs w:val="18"/>
              </w:rPr>
            </w:pPr>
            <w:r w:rsidRPr="007462CB">
              <w:rPr>
                <w:rFonts w:cs="Arial"/>
                <w:sz w:val="18"/>
                <w:szCs w:val="18"/>
              </w:rPr>
              <w:t>(Danzig 2015/DISSRM)</w:t>
            </w:r>
          </w:p>
        </w:tc>
        <w:tc>
          <w:tcPr>
            <w:tcW w:w="550" w:type="pct"/>
          </w:tcPr>
          <w:p w14:paraId="611A3ED6" w14:textId="77777777" w:rsidR="002C6E55" w:rsidRPr="007462CB" w:rsidRDefault="002C6E55" w:rsidP="005A6CCF">
            <w:pPr>
              <w:rPr>
                <w:sz w:val="18"/>
                <w:szCs w:val="18"/>
              </w:rPr>
            </w:pPr>
            <w:r w:rsidRPr="007462CB">
              <w:rPr>
                <w:sz w:val="18"/>
                <w:szCs w:val="18"/>
              </w:rPr>
              <w:t>Low</w:t>
            </w:r>
          </w:p>
          <w:p w14:paraId="46E982D1" w14:textId="77777777" w:rsidR="002C6E55" w:rsidRPr="007462CB" w:rsidRDefault="002C6E55" w:rsidP="005A6CCF">
            <w:pPr>
              <w:rPr>
                <w:rFonts w:cs="Arial"/>
                <w:sz w:val="18"/>
                <w:szCs w:val="18"/>
              </w:rPr>
            </w:pPr>
            <w:r w:rsidRPr="007462CB">
              <w:rPr>
                <w:sz w:val="18"/>
                <w:szCs w:val="18"/>
              </w:rPr>
              <w:t>(●●○○)</w:t>
            </w:r>
          </w:p>
        </w:tc>
        <w:tc>
          <w:tcPr>
            <w:tcW w:w="708" w:type="pct"/>
          </w:tcPr>
          <w:p w14:paraId="074C550F" w14:textId="77777777" w:rsidR="002C6E55" w:rsidRPr="007462CB" w:rsidRDefault="002C6E55" w:rsidP="005A6CCF">
            <w:pPr>
              <w:rPr>
                <w:rFonts w:cs="Arial"/>
                <w:sz w:val="18"/>
                <w:szCs w:val="18"/>
              </w:rPr>
            </w:pPr>
            <w:r w:rsidRPr="007462CB">
              <w:rPr>
                <w:rFonts w:cs="Arial"/>
                <w:sz w:val="18"/>
                <w:szCs w:val="18"/>
              </w:rPr>
              <w:t>P=0.98</w:t>
            </w:r>
          </w:p>
        </w:tc>
        <w:tc>
          <w:tcPr>
            <w:tcW w:w="943" w:type="pct"/>
          </w:tcPr>
          <w:p w14:paraId="1667DEB8" w14:textId="77777777" w:rsidR="002C6E55" w:rsidRPr="007462CB" w:rsidRDefault="002C6E55" w:rsidP="005A6CCF">
            <w:pPr>
              <w:rPr>
                <w:rFonts w:cs="Arial"/>
                <w:sz w:val="18"/>
                <w:szCs w:val="18"/>
                <w:u w:val="single"/>
              </w:rPr>
            </w:pPr>
            <w:r w:rsidRPr="007462CB">
              <w:rPr>
                <w:rFonts w:cs="Arial"/>
                <w:sz w:val="18"/>
                <w:szCs w:val="18"/>
                <w:u w:val="single"/>
              </w:rPr>
              <w:t>2-year CKD upstaging</w:t>
            </w:r>
          </w:p>
          <w:p w14:paraId="29D7EA26" w14:textId="77777777" w:rsidR="002C6E55" w:rsidRPr="007462CB" w:rsidRDefault="002C6E55" w:rsidP="005A6CCF">
            <w:pPr>
              <w:rPr>
                <w:rFonts w:cs="Arial"/>
                <w:sz w:val="18"/>
                <w:szCs w:val="18"/>
              </w:rPr>
            </w:pPr>
            <w:r w:rsidRPr="007462CB">
              <w:rPr>
                <w:rFonts w:cs="Arial"/>
                <w:sz w:val="18"/>
                <w:szCs w:val="18"/>
              </w:rPr>
              <w:t>70 per 1000 patients</w:t>
            </w:r>
          </w:p>
        </w:tc>
        <w:tc>
          <w:tcPr>
            <w:tcW w:w="993" w:type="pct"/>
          </w:tcPr>
          <w:p w14:paraId="5B3E7B36" w14:textId="77777777" w:rsidR="002C6E55" w:rsidRPr="007462CB" w:rsidRDefault="002C6E55" w:rsidP="005A6CCF">
            <w:pPr>
              <w:rPr>
                <w:rFonts w:cs="Arial"/>
                <w:sz w:val="18"/>
                <w:szCs w:val="18"/>
                <w:u w:val="single"/>
              </w:rPr>
            </w:pPr>
            <w:r w:rsidRPr="007462CB">
              <w:rPr>
                <w:rFonts w:cs="Arial"/>
                <w:sz w:val="18"/>
                <w:szCs w:val="18"/>
                <w:u w:val="single"/>
              </w:rPr>
              <w:t>2-year CKD upstaging</w:t>
            </w:r>
          </w:p>
          <w:p w14:paraId="0709A46E" w14:textId="77777777" w:rsidR="002C6E55" w:rsidRPr="007462CB" w:rsidRDefault="002C6E55" w:rsidP="005A6CCF">
            <w:pPr>
              <w:rPr>
                <w:rFonts w:cs="Arial"/>
                <w:sz w:val="18"/>
                <w:szCs w:val="18"/>
              </w:rPr>
            </w:pPr>
            <w:r w:rsidRPr="007462CB">
              <w:rPr>
                <w:rFonts w:cs="Arial"/>
                <w:sz w:val="18"/>
                <w:szCs w:val="18"/>
              </w:rPr>
              <w:t>70 per 1000 patients</w:t>
            </w:r>
          </w:p>
        </w:tc>
      </w:tr>
      <w:tr w:rsidR="002C6E55" w:rsidRPr="007462CB" w14:paraId="68320E12" w14:textId="77777777" w:rsidTr="003A7EA2">
        <w:tc>
          <w:tcPr>
            <w:tcW w:w="784" w:type="pct"/>
          </w:tcPr>
          <w:p w14:paraId="4CB8D5F1" w14:textId="77777777" w:rsidR="002C6E55" w:rsidRPr="007462CB" w:rsidRDefault="002C6E55" w:rsidP="005A6CCF">
            <w:pPr>
              <w:rPr>
                <w:sz w:val="18"/>
                <w:szCs w:val="18"/>
              </w:rPr>
            </w:pPr>
            <w:r w:rsidRPr="007462CB">
              <w:rPr>
                <w:sz w:val="18"/>
                <w:szCs w:val="18"/>
              </w:rPr>
              <w:t>Quality of life – change in SF-12 Total score</w:t>
            </w:r>
          </w:p>
          <w:p w14:paraId="69F460A1" w14:textId="77777777" w:rsidR="002C6E55" w:rsidRPr="007462CB" w:rsidRDefault="002C6E55" w:rsidP="005A6CCF">
            <w:pPr>
              <w:rPr>
                <w:sz w:val="18"/>
                <w:szCs w:val="18"/>
              </w:rPr>
            </w:pPr>
            <w:r w:rsidRPr="007462CB">
              <w:rPr>
                <w:sz w:val="18"/>
                <w:szCs w:val="18"/>
              </w:rPr>
              <w:t>(up to 7 years FU)</w:t>
            </w:r>
          </w:p>
        </w:tc>
        <w:tc>
          <w:tcPr>
            <w:tcW w:w="1022" w:type="pct"/>
          </w:tcPr>
          <w:p w14:paraId="5F2BF7C6" w14:textId="77777777" w:rsidR="002C6E55" w:rsidRPr="007462CB" w:rsidRDefault="002C6E55" w:rsidP="005A6CCF">
            <w:pPr>
              <w:rPr>
                <w:sz w:val="18"/>
                <w:szCs w:val="18"/>
              </w:rPr>
            </w:pPr>
            <w:r w:rsidRPr="007462CB">
              <w:rPr>
                <w:sz w:val="18"/>
                <w:szCs w:val="18"/>
              </w:rPr>
              <w:t>TA=37; AS/DT=233; (PN=218)</w:t>
            </w:r>
          </w:p>
          <w:p w14:paraId="34CD475D" w14:textId="77777777" w:rsidR="002C6E55" w:rsidRPr="007462CB" w:rsidRDefault="002C6E55" w:rsidP="005A6CCF">
            <w:pPr>
              <w:rPr>
                <w:sz w:val="18"/>
                <w:szCs w:val="18"/>
              </w:rPr>
            </w:pPr>
            <w:r w:rsidRPr="007462CB">
              <w:rPr>
                <w:sz w:val="18"/>
                <w:szCs w:val="18"/>
              </w:rPr>
              <w:t>1 retrospective cohort (</w:t>
            </w:r>
            <w:proofErr w:type="spellStart"/>
            <w:r w:rsidRPr="007462CB">
              <w:rPr>
                <w:sz w:val="18"/>
                <w:szCs w:val="18"/>
              </w:rPr>
              <w:t>Alam</w:t>
            </w:r>
            <w:proofErr w:type="spellEnd"/>
            <w:r w:rsidRPr="007462CB">
              <w:rPr>
                <w:sz w:val="18"/>
                <w:szCs w:val="18"/>
              </w:rPr>
              <w:t xml:space="preserve"> 2019/DISSRM</w:t>
            </w:r>
            <w:r>
              <w:rPr>
                <w:sz w:val="18"/>
                <w:szCs w:val="18"/>
              </w:rPr>
              <w:t>)</w:t>
            </w:r>
          </w:p>
        </w:tc>
        <w:tc>
          <w:tcPr>
            <w:tcW w:w="550" w:type="pct"/>
          </w:tcPr>
          <w:p w14:paraId="42378BDC" w14:textId="77777777" w:rsidR="002C6E55" w:rsidRPr="007462CB" w:rsidRDefault="002C6E55" w:rsidP="005A6CCF">
            <w:pPr>
              <w:rPr>
                <w:sz w:val="18"/>
                <w:szCs w:val="18"/>
              </w:rPr>
            </w:pPr>
            <w:r w:rsidRPr="007462CB">
              <w:rPr>
                <w:sz w:val="18"/>
                <w:szCs w:val="18"/>
              </w:rPr>
              <w:t>Low</w:t>
            </w:r>
          </w:p>
          <w:p w14:paraId="67FD3EED" w14:textId="77777777" w:rsidR="002C6E55" w:rsidRPr="007462CB" w:rsidRDefault="002C6E55" w:rsidP="005A6CCF">
            <w:pPr>
              <w:rPr>
                <w:sz w:val="18"/>
                <w:szCs w:val="18"/>
              </w:rPr>
            </w:pPr>
            <w:r w:rsidRPr="007462CB">
              <w:rPr>
                <w:sz w:val="18"/>
                <w:szCs w:val="18"/>
              </w:rPr>
              <w:t>(●●○○)</w:t>
            </w:r>
          </w:p>
        </w:tc>
        <w:tc>
          <w:tcPr>
            <w:tcW w:w="708" w:type="pct"/>
          </w:tcPr>
          <w:p w14:paraId="7963F94A" w14:textId="77777777" w:rsidR="002C6E55" w:rsidRPr="007462CB" w:rsidRDefault="002C6E55" w:rsidP="005A6CCF">
            <w:pPr>
              <w:rPr>
                <w:sz w:val="18"/>
                <w:szCs w:val="18"/>
              </w:rPr>
            </w:pPr>
            <w:r w:rsidRPr="007462CB">
              <w:rPr>
                <w:sz w:val="18"/>
                <w:szCs w:val="18"/>
              </w:rPr>
              <w:t xml:space="preserve">MD 0.98 </w:t>
            </w:r>
          </w:p>
          <w:p w14:paraId="0B5F7B01" w14:textId="77777777" w:rsidR="002C6E55" w:rsidRPr="007462CB" w:rsidRDefault="002C6E55" w:rsidP="005A6CCF">
            <w:pPr>
              <w:rPr>
                <w:sz w:val="18"/>
                <w:szCs w:val="18"/>
              </w:rPr>
            </w:pPr>
            <w:r w:rsidRPr="007462CB">
              <w:rPr>
                <w:sz w:val="18"/>
                <w:szCs w:val="18"/>
              </w:rPr>
              <w:t>(-5.48, 7.44)</w:t>
            </w:r>
          </w:p>
        </w:tc>
        <w:tc>
          <w:tcPr>
            <w:tcW w:w="943" w:type="pct"/>
          </w:tcPr>
          <w:p w14:paraId="68FE9739" w14:textId="77777777" w:rsidR="002C6E55" w:rsidRPr="007462CB" w:rsidRDefault="002C6E55" w:rsidP="005A6CCF">
            <w:pPr>
              <w:rPr>
                <w:sz w:val="18"/>
                <w:szCs w:val="18"/>
                <w:u w:val="single"/>
              </w:rPr>
            </w:pPr>
            <w:r w:rsidRPr="007462CB">
              <w:rPr>
                <w:sz w:val="18"/>
                <w:szCs w:val="18"/>
                <w:u w:val="single"/>
              </w:rPr>
              <w:t>7-year change in SF-12 Total score</w:t>
            </w:r>
          </w:p>
          <w:p w14:paraId="09FC58F3" w14:textId="77777777" w:rsidR="002C6E55" w:rsidRPr="007462CB" w:rsidRDefault="002C6E55" w:rsidP="005A6CCF">
            <w:pPr>
              <w:rPr>
                <w:sz w:val="18"/>
                <w:szCs w:val="18"/>
              </w:rPr>
            </w:pPr>
            <w:r>
              <w:rPr>
                <w:sz w:val="18"/>
                <w:szCs w:val="18"/>
              </w:rPr>
              <w:t>–5 points</w:t>
            </w:r>
          </w:p>
        </w:tc>
        <w:tc>
          <w:tcPr>
            <w:tcW w:w="993" w:type="pct"/>
          </w:tcPr>
          <w:p w14:paraId="30ED23B1" w14:textId="77777777" w:rsidR="002C6E55" w:rsidRPr="007462CB" w:rsidRDefault="002C6E55" w:rsidP="005A6CCF">
            <w:pPr>
              <w:rPr>
                <w:sz w:val="18"/>
                <w:szCs w:val="18"/>
                <w:u w:val="single"/>
              </w:rPr>
            </w:pPr>
            <w:r w:rsidRPr="007462CB">
              <w:rPr>
                <w:sz w:val="18"/>
                <w:szCs w:val="18"/>
                <w:u w:val="single"/>
              </w:rPr>
              <w:t>7-year change in SF-12 Total score</w:t>
            </w:r>
          </w:p>
          <w:p w14:paraId="147F06BC" w14:textId="77777777" w:rsidR="002C6E55" w:rsidRPr="007462CB" w:rsidRDefault="002C6E55" w:rsidP="005A6CCF">
            <w:pPr>
              <w:rPr>
                <w:sz w:val="18"/>
                <w:szCs w:val="18"/>
              </w:rPr>
            </w:pPr>
            <w:r w:rsidRPr="007462CB">
              <w:rPr>
                <w:sz w:val="18"/>
                <w:szCs w:val="18"/>
              </w:rPr>
              <w:t>–4 points</w:t>
            </w:r>
          </w:p>
        </w:tc>
      </w:tr>
      <w:tr w:rsidR="002C6E55" w:rsidRPr="007462CB" w14:paraId="246FD66F" w14:textId="77777777" w:rsidTr="003A7EA2">
        <w:tc>
          <w:tcPr>
            <w:tcW w:w="784" w:type="pct"/>
          </w:tcPr>
          <w:p w14:paraId="6352B615" w14:textId="77777777" w:rsidR="002C6E55" w:rsidRPr="007462CB" w:rsidRDefault="002C6E55" w:rsidP="005A6CCF">
            <w:pPr>
              <w:rPr>
                <w:sz w:val="18"/>
                <w:szCs w:val="18"/>
              </w:rPr>
            </w:pPr>
            <w:r w:rsidRPr="007462CB">
              <w:rPr>
                <w:sz w:val="18"/>
                <w:szCs w:val="18"/>
              </w:rPr>
              <w:t>Quality of life – change in SF-12 PCS</w:t>
            </w:r>
          </w:p>
          <w:p w14:paraId="772032E5" w14:textId="77777777" w:rsidR="002C6E55" w:rsidRPr="007462CB" w:rsidRDefault="002C6E55" w:rsidP="005A6CCF">
            <w:pPr>
              <w:rPr>
                <w:sz w:val="18"/>
                <w:szCs w:val="18"/>
              </w:rPr>
            </w:pPr>
            <w:r w:rsidRPr="007462CB">
              <w:rPr>
                <w:sz w:val="18"/>
                <w:szCs w:val="18"/>
              </w:rPr>
              <w:t>(up to 7 years FU)</w:t>
            </w:r>
          </w:p>
        </w:tc>
        <w:tc>
          <w:tcPr>
            <w:tcW w:w="1022" w:type="pct"/>
          </w:tcPr>
          <w:p w14:paraId="294D7148" w14:textId="77777777" w:rsidR="002C6E55" w:rsidRPr="007462CB" w:rsidRDefault="002C6E55" w:rsidP="005A6CCF">
            <w:pPr>
              <w:rPr>
                <w:sz w:val="18"/>
                <w:szCs w:val="18"/>
              </w:rPr>
            </w:pPr>
            <w:r w:rsidRPr="007462CB">
              <w:rPr>
                <w:sz w:val="18"/>
                <w:szCs w:val="18"/>
              </w:rPr>
              <w:t>TA=37; AS/DT=233; (PN=218)</w:t>
            </w:r>
          </w:p>
          <w:p w14:paraId="1AFF94D3" w14:textId="77777777" w:rsidR="002C6E55" w:rsidRPr="007462CB" w:rsidRDefault="002C6E55" w:rsidP="005A6CCF">
            <w:pPr>
              <w:rPr>
                <w:sz w:val="18"/>
                <w:szCs w:val="18"/>
              </w:rPr>
            </w:pPr>
            <w:r w:rsidRPr="007462CB">
              <w:rPr>
                <w:sz w:val="18"/>
                <w:szCs w:val="18"/>
              </w:rPr>
              <w:t>1 retrospective cohort (</w:t>
            </w:r>
            <w:proofErr w:type="spellStart"/>
            <w:r w:rsidRPr="007462CB">
              <w:rPr>
                <w:sz w:val="18"/>
                <w:szCs w:val="18"/>
              </w:rPr>
              <w:t>Alam</w:t>
            </w:r>
            <w:proofErr w:type="spellEnd"/>
            <w:r w:rsidRPr="007462CB">
              <w:rPr>
                <w:sz w:val="18"/>
                <w:szCs w:val="18"/>
              </w:rPr>
              <w:t xml:space="preserve"> 2019/DISSRM</w:t>
            </w:r>
            <w:r>
              <w:rPr>
                <w:sz w:val="18"/>
                <w:szCs w:val="18"/>
              </w:rPr>
              <w:t>)</w:t>
            </w:r>
          </w:p>
        </w:tc>
        <w:tc>
          <w:tcPr>
            <w:tcW w:w="550" w:type="pct"/>
          </w:tcPr>
          <w:p w14:paraId="59FD28EF" w14:textId="77777777" w:rsidR="002C6E55" w:rsidRPr="007462CB" w:rsidRDefault="002C6E55" w:rsidP="005A6CCF">
            <w:pPr>
              <w:rPr>
                <w:sz w:val="18"/>
                <w:szCs w:val="18"/>
              </w:rPr>
            </w:pPr>
            <w:r w:rsidRPr="007462CB">
              <w:rPr>
                <w:sz w:val="18"/>
                <w:szCs w:val="18"/>
              </w:rPr>
              <w:t>Low</w:t>
            </w:r>
          </w:p>
          <w:p w14:paraId="60184133" w14:textId="77777777" w:rsidR="002C6E55" w:rsidRPr="007462CB" w:rsidRDefault="002C6E55" w:rsidP="005A6CCF">
            <w:pPr>
              <w:rPr>
                <w:sz w:val="18"/>
                <w:szCs w:val="18"/>
              </w:rPr>
            </w:pPr>
            <w:r w:rsidRPr="007462CB">
              <w:rPr>
                <w:sz w:val="18"/>
                <w:szCs w:val="18"/>
              </w:rPr>
              <w:t>(●●○○)</w:t>
            </w:r>
          </w:p>
        </w:tc>
        <w:tc>
          <w:tcPr>
            <w:tcW w:w="708" w:type="pct"/>
          </w:tcPr>
          <w:p w14:paraId="1D8A1C58" w14:textId="77777777" w:rsidR="002C6E55" w:rsidRPr="007462CB" w:rsidRDefault="002C6E55" w:rsidP="005A6CCF">
            <w:pPr>
              <w:rPr>
                <w:sz w:val="18"/>
                <w:szCs w:val="18"/>
              </w:rPr>
            </w:pPr>
            <w:r w:rsidRPr="007462CB">
              <w:rPr>
                <w:sz w:val="18"/>
                <w:szCs w:val="18"/>
              </w:rPr>
              <w:t xml:space="preserve">MD 1.78 </w:t>
            </w:r>
          </w:p>
          <w:p w14:paraId="566E1523" w14:textId="77777777" w:rsidR="002C6E55" w:rsidRPr="007462CB" w:rsidRDefault="002C6E55" w:rsidP="005A6CCF">
            <w:pPr>
              <w:rPr>
                <w:sz w:val="18"/>
                <w:szCs w:val="18"/>
              </w:rPr>
            </w:pPr>
            <w:r w:rsidRPr="007462CB">
              <w:rPr>
                <w:sz w:val="18"/>
                <w:szCs w:val="18"/>
              </w:rPr>
              <w:t>(-2.68, 6.24)</w:t>
            </w:r>
          </w:p>
        </w:tc>
        <w:tc>
          <w:tcPr>
            <w:tcW w:w="943" w:type="pct"/>
          </w:tcPr>
          <w:p w14:paraId="582DD042" w14:textId="77777777" w:rsidR="002C6E55" w:rsidRPr="007462CB" w:rsidRDefault="002C6E55" w:rsidP="005A6CCF">
            <w:pPr>
              <w:rPr>
                <w:sz w:val="18"/>
                <w:szCs w:val="18"/>
                <w:u w:val="single"/>
              </w:rPr>
            </w:pPr>
            <w:r w:rsidRPr="007462CB">
              <w:rPr>
                <w:sz w:val="18"/>
                <w:szCs w:val="18"/>
                <w:u w:val="single"/>
              </w:rPr>
              <w:t>7-year change in SF-12 PCS</w:t>
            </w:r>
          </w:p>
          <w:p w14:paraId="709B4712" w14:textId="77777777" w:rsidR="002C6E55" w:rsidRPr="007462CB" w:rsidRDefault="002C6E55" w:rsidP="005A6CCF">
            <w:pPr>
              <w:rPr>
                <w:sz w:val="18"/>
                <w:szCs w:val="18"/>
              </w:rPr>
            </w:pPr>
            <w:r>
              <w:rPr>
                <w:sz w:val="18"/>
                <w:szCs w:val="18"/>
              </w:rPr>
              <w:t>–4 points</w:t>
            </w:r>
          </w:p>
        </w:tc>
        <w:tc>
          <w:tcPr>
            <w:tcW w:w="993" w:type="pct"/>
          </w:tcPr>
          <w:p w14:paraId="1002683D" w14:textId="77777777" w:rsidR="002C6E55" w:rsidRPr="007462CB" w:rsidRDefault="002C6E55" w:rsidP="005A6CCF">
            <w:pPr>
              <w:rPr>
                <w:sz w:val="18"/>
                <w:szCs w:val="18"/>
                <w:u w:val="single"/>
              </w:rPr>
            </w:pPr>
            <w:r w:rsidRPr="007462CB">
              <w:rPr>
                <w:sz w:val="18"/>
                <w:szCs w:val="18"/>
                <w:u w:val="single"/>
              </w:rPr>
              <w:t>7-year change in SF-12 PCS</w:t>
            </w:r>
          </w:p>
          <w:p w14:paraId="4765B8D0" w14:textId="77777777" w:rsidR="002C6E55" w:rsidRPr="007462CB" w:rsidRDefault="002C6E55" w:rsidP="005A6CCF">
            <w:pPr>
              <w:rPr>
                <w:sz w:val="18"/>
                <w:szCs w:val="18"/>
              </w:rPr>
            </w:pPr>
            <w:r w:rsidRPr="007462CB">
              <w:rPr>
                <w:sz w:val="18"/>
                <w:szCs w:val="18"/>
              </w:rPr>
              <w:t>2 points</w:t>
            </w:r>
          </w:p>
        </w:tc>
      </w:tr>
      <w:tr w:rsidR="002C6E55" w:rsidRPr="007462CB" w14:paraId="5A562AE0" w14:textId="77777777" w:rsidTr="003A7EA2">
        <w:tc>
          <w:tcPr>
            <w:tcW w:w="784" w:type="pct"/>
          </w:tcPr>
          <w:p w14:paraId="7182361D" w14:textId="77777777" w:rsidR="002C6E55" w:rsidRPr="007462CB" w:rsidRDefault="002C6E55" w:rsidP="005A6CCF">
            <w:pPr>
              <w:rPr>
                <w:sz w:val="18"/>
                <w:szCs w:val="18"/>
              </w:rPr>
            </w:pPr>
            <w:r w:rsidRPr="007462CB">
              <w:rPr>
                <w:sz w:val="18"/>
                <w:szCs w:val="18"/>
              </w:rPr>
              <w:t>Quality of life – change in SF-12 MCS</w:t>
            </w:r>
          </w:p>
          <w:p w14:paraId="2B62F5EA" w14:textId="77777777" w:rsidR="002C6E55" w:rsidRPr="007462CB" w:rsidRDefault="002C6E55" w:rsidP="005A6CCF">
            <w:pPr>
              <w:rPr>
                <w:sz w:val="18"/>
                <w:szCs w:val="18"/>
              </w:rPr>
            </w:pPr>
            <w:r w:rsidRPr="007462CB">
              <w:rPr>
                <w:sz w:val="18"/>
                <w:szCs w:val="18"/>
              </w:rPr>
              <w:t>(up to 7 years FU)</w:t>
            </w:r>
          </w:p>
        </w:tc>
        <w:tc>
          <w:tcPr>
            <w:tcW w:w="1022" w:type="pct"/>
          </w:tcPr>
          <w:p w14:paraId="0E80E3C2" w14:textId="77777777" w:rsidR="002C6E55" w:rsidRPr="007462CB" w:rsidRDefault="002C6E55" w:rsidP="005A6CCF">
            <w:pPr>
              <w:rPr>
                <w:sz w:val="18"/>
                <w:szCs w:val="18"/>
              </w:rPr>
            </w:pPr>
            <w:r w:rsidRPr="007462CB">
              <w:rPr>
                <w:sz w:val="18"/>
                <w:szCs w:val="18"/>
              </w:rPr>
              <w:t>TA=37; AS/DT=233; (PN=218)</w:t>
            </w:r>
          </w:p>
          <w:p w14:paraId="01AE437A" w14:textId="77777777" w:rsidR="002C6E55" w:rsidRPr="007462CB" w:rsidRDefault="002C6E55" w:rsidP="005A6CCF">
            <w:pPr>
              <w:rPr>
                <w:sz w:val="18"/>
                <w:szCs w:val="18"/>
              </w:rPr>
            </w:pPr>
            <w:r w:rsidRPr="007462CB">
              <w:rPr>
                <w:sz w:val="18"/>
                <w:szCs w:val="18"/>
              </w:rPr>
              <w:t>1 retrospective cohort (</w:t>
            </w:r>
            <w:proofErr w:type="spellStart"/>
            <w:r w:rsidRPr="007462CB">
              <w:rPr>
                <w:sz w:val="18"/>
                <w:szCs w:val="18"/>
              </w:rPr>
              <w:t>Alam</w:t>
            </w:r>
            <w:proofErr w:type="spellEnd"/>
            <w:r w:rsidRPr="007462CB">
              <w:rPr>
                <w:sz w:val="18"/>
                <w:szCs w:val="18"/>
              </w:rPr>
              <w:t xml:space="preserve"> 2019/DISSRM</w:t>
            </w:r>
            <w:r>
              <w:rPr>
                <w:sz w:val="18"/>
                <w:szCs w:val="18"/>
              </w:rPr>
              <w:t>)</w:t>
            </w:r>
          </w:p>
        </w:tc>
        <w:tc>
          <w:tcPr>
            <w:tcW w:w="550" w:type="pct"/>
          </w:tcPr>
          <w:p w14:paraId="155F4310" w14:textId="77777777" w:rsidR="002C6E55" w:rsidRPr="007462CB" w:rsidRDefault="002C6E55" w:rsidP="005A6CCF">
            <w:pPr>
              <w:rPr>
                <w:sz w:val="18"/>
                <w:szCs w:val="18"/>
              </w:rPr>
            </w:pPr>
            <w:r w:rsidRPr="007462CB">
              <w:rPr>
                <w:sz w:val="18"/>
                <w:szCs w:val="18"/>
              </w:rPr>
              <w:t>Low</w:t>
            </w:r>
          </w:p>
          <w:p w14:paraId="029C88F2" w14:textId="77777777" w:rsidR="002C6E55" w:rsidRPr="007462CB" w:rsidRDefault="002C6E55" w:rsidP="005A6CCF">
            <w:pPr>
              <w:rPr>
                <w:sz w:val="18"/>
                <w:szCs w:val="18"/>
              </w:rPr>
            </w:pPr>
            <w:r w:rsidRPr="007462CB">
              <w:rPr>
                <w:sz w:val="18"/>
                <w:szCs w:val="18"/>
              </w:rPr>
              <w:t>(●●○○)</w:t>
            </w:r>
          </w:p>
        </w:tc>
        <w:tc>
          <w:tcPr>
            <w:tcW w:w="708" w:type="pct"/>
          </w:tcPr>
          <w:p w14:paraId="4A3E6502" w14:textId="77777777" w:rsidR="002C6E55" w:rsidRPr="007462CB" w:rsidRDefault="002C6E55" w:rsidP="005A6CCF">
            <w:pPr>
              <w:rPr>
                <w:sz w:val="18"/>
                <w:szCs w:val="18"/>
              </w:rPr>
            </w:pPr>
            <w:r w:rsidRPr="007462CB">
              <w:rPr>
                <w:sz w:val="18"/>
                <w:szCs w:val="18"/>
              </w:rPr>
              <w:t xml:space="preserve">MD -0.87 </w:t>
            </w:r>
          </w:p>
          <w:p w14:paraId="56B5E74D" w14:textId="77777777" w:rsidR="002C6E55" w:rsidRPr="007462CB" w:rsidRDefault="002C6E55" w:rsidP="005A6CCF">
            <w:pPr>
              <w:rPr>
                <w:sz w:val="18"/>
                <w:szCs w:val="18"/>
              </w:rPr>
            </w:pPr>
            <w:r w:rsidRPr="007462CB">
              <w:rPr>
                <w:sz w:val="18"/>
                <w:szCs w:val="18"/>
              </w:rPr>
              <w:t>(-4.59, 2.85)</w:t>
            </w:r>
          </w:p>
        </w:tc>
        <w:tc>
          <w:tcPr>
            <w:tcW w:w="943" w:type="pct"/>
          </w:tcPr>
          <w:p w14:paraId="1B776332" w14:textId="77777777" w:rsidR="002C6E55" w:rsidRPr="007462CB" w:rsidRDefault="002C6E55" w:rsidP="005A6CCF">
            <w:pPr>
              <w:rPr>
                <w:sz w:val="18"/>
                <w:szCs w:val="18"/>
                <w:u w:val="single"/>
              </w:rPr>
            </w:pPr>
            <w:r w:rsidRPr="007462CB">
              <w:rPr>
                <w:sz w:val="18"/>
                <w:szCs w:val="18"/>
                <w:u w:val="single"/>
              </w:rPr>
              <w:t>7-year change in SF-12 PCS</w:t>
            </w:r>
          </w:p>
          <w:p w14:paraId="4E25300F" w14:textId="77777777" w:rsidR="002C6E55" w:rsidRPr="007462CB" w:rsidRDefault="002C6E55" w:rsidP="005A6CCF">
            <w:pPr>
              <w:rPr>
                <w:sz w:val="18"/>
                <w:szCs w:val="18"/>
              </w:rPr>
            </w:pPr>
            <w:r>
              <w:rPr>
                <w:sz w:val="18"/>
                <w:szCs w:val="18"/>
              </w:rPr>
              <w:t>2.5 points</w:t>
            </w:r>
          </w:p>
        </w:tc>
        <w:tc>
          <w:tcPr>
            <w:tcW w:w="993" w:type="pct"/>
          </w:tcPr>
          <w:p w14:paraId="03B18073" w14:textId="77777777" w:rsidR="002C6E55" w:rsidRPr="007462CB" w:rsidRDefault="002C6E55" w:rsidP="005A6CCF">
            <w:pPr>
              <w:rPr>
                <w:sz w:val="18"/>
                <w:szCs w:val="18"/>
                <w:u w:val="single"/>
              </w:rPr>
            </w:pPr>
            <w:r w:rsidRPr="007462CB">
              <w:rPr>
                <w:sz w:val="18"/>
                <w:szCs w:val="18"/>
                <w:u w:val="single"/>
              </w:rPr>
              <w:t>7-year change in SF-12 PCS</w:t>
            </w:r>
          </w:p>
          <w:p w14:paraId="4B997CD1" w14:textId="77777777" w:rsidR="002C6E55" w:rsidRPr="007462CB" w:rsidRDefault="002C6E55" w:rsidP="005A6CCF">
            <w:pPr>
              <w:rPr>
                <w:sz w:val="18"/>
                <w:szCs w:val="18"/>
              </w:rPr>
            </w:pPr>
            <w:r w:rsidRPr="007462CB">
              <w:rPr>
                <w:sz w:val="18"/>
                <w:szCs w:val="18"/>
              </w:rPr>
              <w:t>1.5 points</w:t>
            </w:r>
          </w:p>
        </w:tc>
      </w:tr>
    </w:tbl>
    <w:p w14:paraId="36B7C21F" w14:textId="77777777" w:rsidR="002C6E55" w:rsidRDefault="002C6E55" w:rsidP="006D547D">
      <w:pPr>
        <w:pStyle w:val="Tablenotes"/>
      </w:pPr>
      <w:r w:rsidRPr="00094A76">
        <w:rPr>
          <w:szCs w:val="18"/>
        </w:rPr>
        <w:t xml:space="preserve">Source: </w:t>
      </w:r>
      <w:r>
        <w:rPr>
          <w:szCs w:val="18"/>
        </w:rPr>
        <w:t>Table ES2, p 17 of the ADAR</w:t>
      </w:r>
      <w:r w:rsidRPr="00FB324D">
        <w:rPr>
          <w:szCs w:val="18"/>
        </w:rPr>
        <w:br/>
      </w:r>
      <w:r>
        <w:t xml:space="preserve">Abbreviations: </w:t>
      </w:r>
      <w:r w:rsidRPr="00FB324D">
        <w:t xml:space="preserve">AS/DT=active surveillance/deferred therapy; CA=cryoablation; CI=confidence interval; CKD=chronic kidney disease; </w:t>
      </w:r>
      <w:proofErr w:type="spellStart"/>
      <w:r w:rsidRPr="00FB324D">
        <w:t>eGFR</w:t>
      </w:r>
      <w:proofErr w:type="spellEnd"/>
      <w:r w:rsidRPr="00FB324D">
        <w:t>=estimated glomerular filtration rate; FU=follow-up; MCS=mental component score; MD=mean difference; min=minute; PCS=physical component score; PN=partial nephrectomy; SF-12=Short Form-12; TA=thermal ablation</w:t>
      </w:r>
    </w:p>
    <w:p w14:paraId="429EE492" w14:textId="77777777" w:rsidR="002C6E55" w:rsidRPr="00FB324D" w:rsidRDefault="002C6E55" w:rsidP="006D547D">
      <w:pPr>
        <w:pStyle w:val="Tablenotes"/>
      </w:pPr>
      <w:r>
        <w:t xml:space="preserve">Note: outcomes shown in grey shading are statistically significantly in favour of </w:t>
      </w:r>
      <w:proofErr w:type="gramStart"/>
      <w:r>
        <w:t>CA(</w:t>
      </w:r>
      <w:proofErr w:type="gramEnd"/>
      <w:r>
        <w:t xml:space="preserve">TA) over AS/DT. </w:t>
      </w:r>
    </w:p>
    <w:p w14:paraId="64B38F8D" w14:textId="77777777" w:rsidR="002C6E55" w:rsidRPr="006D547D" w:rsidRDefault="002C6E55" w:rsidP="006D547D">
      <w:pPr>
        <w:pStyle w:val="Tablenotes"/>
      </w:pPr>
      <w:proofErr w:type="gramStart"/>
      <w:r w:rsidRPr="00FB324D">
        <w:rPr>
          <w:szCs w:val="18"/>
          <w:vertAlign w:val="superscript"/>
        </w:rPr>
        <w:t xml:space="preserve">a </w:t>
      </w:r>
      <w:r w:rsidRPr="00FB324D">
        <w:rPr>
          <w:szCs w:val="18"/>
        </w:rPr>
        <w:t>GRADE Working Group grades of evidence (</w:t>
      </w:r>
      <w:proofErr w:type="spellStart"/>
      <w:r w:rsidRPr="00FB324D">
        <w:rPr>
          <w:szCs w:val="18"/>
        </w:rPr>
        <w:t>Guyatt</w:t>
      </w:r>
      <w:proofErr w:type="spellEnd"/>
      <w:r w:rsidRPr="00FB324D">
        <w:rPr>
          <w:szCs w:val="18"/>
        </w:rPr>
        <w:t xml:space="preserve"> et al., 2013)</w:t>
      </w:r>
      <w:r>
        <w:rPr>
          <w:szCs w:val="18"/>
        </w:rPr>
        <w:t xml:space="preserve">: </w:t>
      </w:r>
      <w:r w:rsidRPr="007462CB">
        <w:rPr>
          <w:szCs w:val="18"/>
        </w:rPr>
        <w:t>●●●●</w:t>
      </w:r>
      <w:r w:rsidRPr="00FB324D">
        <w:rPr>
          <w:color w:val="00B050"/>
        </w:rPr>
        <w:t xml:space="preserve"> </w:t>
      </w:r>
      <w:r w:rsidRPr="00FB324D">
        <w:rPr>
          <w:b/>
        </w:rPr>
        <w:t>High quality:</w:t>
      </w:r>
      <w:r w:rsidRPr="00FB324D">
        <w:t xml:space="preserve"> We are very confident that the true effect lies close to that of the estimate of effect</w:t>
      </w:r>
      <w:r>
        <w:t xml:space="preserve">; </w:t>
      </w:r>
      <w:r w:rsidRPr="007462CB">
        <w:rPr>
          <w:szCs w:val="18"/>
        </w:rPr>
        <w:t>●●●○</w:t>
      </w:r>
      <w:r w:rsidRPr="00FB324D">
        <w:rPr>
          <w:rFonts w:cs="Cambria Math"/>
          <w:color w:val="C00000"/>
        </w:rPr>
        <w:t xml:space="preserve"> </w:t>
      </w:r>
      <w:r w:rsidRPr="00FB324D">
        <w:rPr>
          <w:b/>
        </w:rPr>
        <w:t>Moderate quality:</w:t>
      </w:r>
      <w:r w:rsidRPr="00FB324D">
        <w:t xml:space="preserve"> We are moderately confident in the effect estimate: The true effect is likely to be close to the estimate of the effect, but there is a possibility that it is substantially different</w:t>
      </w:r>
      <w:r>
        <w:t xml:space="preserve">; </w:t>
      </w:r>
      <w:r w:rsidRPr="007462CB">
        <w:rPr>
          <w:szCs w:val="18"/>
        </w:rPr>
        <w:t>●○○</w:t>
      </w:r>
      <w:r w:rsidRPr="00FB324D">
        <w:rPr>
          <w:b/>
        </w:rPr>
        <w:t>Low quality:</w:t>
      </w:r>
      <w:r w:rsidRPr="00FB324D">
        <w:t xml:space="preserve"> Our confidence in the effect estimate is limited: The true effect may be substantially different from the estimate of the effect</w:t>
      </w:r>
      <w:r>
        <w:t xml:space="preserve">; </w:t>
      </w:r>
      <w:r w:rsidRPr="007462CB">
        <w:rPr>
          <w:szCs w:val="18"/>
        </w:rPr>
        <w:t>●○○○</w:t>
      </w:r>
      <w:r w:rsidRPr="00FB324D">
        <w:rPr>
          <w:rFonts w:cs="Cambria Math"/>
          <w:color w:val="C00000"/>
        </w:rPr>
        <w:t xml:space="preserve"> </w:t>
      </w:r>
      <w:r w:rsidRPr="00FB324D">
        <w:rPr>
          <w:b/>
        </w:rPr>
        <w:t>Very low quality:</w:t>
      </w:r>
      <w:r w:rsidRPr="00FB324D">
        <w:t xml:space="preserve"> We have very little confidence in the effect estimate: The true effect is likely to be substantially different from the estimate of effect.</w:t>
      </w:r>
      <w:proofErr w:type="gramEnd"/>
      <w:r>
        <w:t xml:space="preserve"> Justification for quality of evidence </w:t>
      </w:r>
      <w:proofErr w:type="spellStart"/>
      <w:r>
        <w:t>gradings</w:t>
      </w:r>
      <w:proofErr w:type="spellEnd"/>
      <w:r>
        <w:t xml:space="preserve"> </w:t>
      </w:r>
      <w:proofErr w:type="gramStart"/>
      <w:r>
        <w:t>are provided</w:t>
      </w:r>
      <w:proofErr w:type="gramEnd"/>
      <w:r>
        <w:t xml:space="preserve"> in the source table.</w:t>
      </w:r>
    </w:p>
    <w:p w14:paraId="5796FE3F" w14:textId="19743B99" w:rsidR="002C6E55" w:rsidRPr="006730B1" w:rsidRDefault="002C6E55" w:rsidP="006D547D">
      <w:pPr>
        <w:tabs>
          <w:tab w:val="num" w:pos="720"/>
        </w:tabs>
        <w:spacing w:after="240"/>
      </w:pPr>
      <w:r w:rsidRPr="006730B1">
        <w:t xml:space="preserve">The </w:t>
      </w:r>
      <w:r w:rsidR="009842FE">
        <w:t>Commentary</w:t>
      </w:r>
      <w:r w:rsidRPr="006730B1">
        <w:t xml:space="preserve"> noted that the applicability of results from Xing 2018 to the proposed MBS population was uncertain, given the study assessed TA, rather than CA alone, and only in patients aged </w:t>
      </w:r>
      <w:r w:rsidRPr="006730B1">
        <w:rPr>
          <w:rFonts w:cs="Calibri"/>
        </w:rPr>
        <w:t>≥</w:t>
      </w:r>
      <w:r w:rsidRPr="006730B1">
        <w:t xml:space="preserve">66 years. It was not clear why </w:t>
      </w:r>
      <w:proofErr w:type="spellStart"/>
      <w:r w:rsidRPr="006730B1">
        <w:t>Uhlig</w:t>
      </w:r>
      <w:proofErr w:type="spellEnd"/>
      <w:r w:rsidRPr="006730B1">
        <w:t xml:space="preserve"> 2018, a study that assessed cryosurgery, albeit via liquid nitrogen, in patients with histologically confirmed T1a RCC and aged </w:t>
      </w:r>
      <w:r w:rsidRPr="006730B1">
        <w:rPr>
          <w:rFonts w:cs="Calibri"/>
        </w:rPr>
        <w:t>≥</w:t>
      </w:r>
      <w:r w:rsidRPr="006730B1">
        <w:t xml:space="preserve">18 years </w:t>
      </w:r>
      <w:proofErr w:type="gramStart"/>
      <w:r w:rsidRPr="006730B1">
        <w:t>was excluded</w:t>
      </w:r>
      <w:proofErr w:type="gramEnd"/>
      <w:r w:rsidRPr="006730B1">
        <w:t xml:space="preserve">. The ADAR did not provide any justification on the selection of results from Xing 2018 alone. </w:t>
      </w:r>
    </w:p>
    <w:p w14:paraId="56A4918D" w14:textId="4177FF2F" w:rsidR="002C6E55" w:rsidRDefault="002C6E55" w:rsidP="006D547D">
      <w:pPr>
        <w:spacing w:after="240"/>
      </w:pPr>
      <w:bookmarkStart w:id="17" w:name="_Hlk46833900"/>
      <w:r>
        <w:t>T</w:t>
      </w:r>
      <w:r w:rsidRPr="006730B1">
        <w:t xml:space="preserve">he </w:t>
      </w:r>
      <w:r w:rsidR="009842FE">
        <w:t>Commentary</w:t>
      </w:r>
      <w:r w:rsidRPr="006730B1">
        <w:t xml:space="preserve"> considered that the claim of </w:t>
      </w:r>
      <w:r w:rsidRPr="006730B1">
        <w:rPr>
          <w:iCs/>
        </w:rPr>
        <w:t>overall</w:t>
      </w:r>
      <w:r w:rsidRPr="006730B1">
        <w:t xml:space="preserve"> superiority </w:t>
      </w:r>
      <w:r w:rsidRPr="006730B1">
        <w:rPr>
          <w:iCs/>
        </w:rPr>
        <w:t xml:space="preserve">of </w:t>
      </w:r>
      <w:r w:rsidRPr="006730B1">
        <w:t>TA</w:t>
      </w:r>
      <w:r w:rsidRPr="006730B1">
        <w:rPr>
          <w:iCs/>
        </w:rPr>
        <w:t xml:space="preserve"> (any modality, any mode of delivery)</w:t>
      </w:r>
      <w:r w:rsidRPr="006730B1">
        <w:t xml:space="preserve"> over AS/DT</w:t>
      </w:r>
      <w:r w:rsidRPr="006730B1">
        <w:rPr>
          <w:iCs/>
        </w:rPr>
        <w:t xml:space="preserve"> appeared</w:t>
      </w:r>
      <w:r w:rsidRPr="006730B1">
        <w:t xml:space="preserve"> reasonable, although the magnitude of difference in treatment benefit is uncertain (Xing 2018 excluded patients aged &lt;66 years, potential selection bias due to non-randomised study design).</w:t>
      </w:r>
    </w:p>
    <w:p w14:paraId="02709FD3" w14:textId="77777777" w:rsidR="002C6E55" w:rsidRDefault="002C6E55" w:rsidP="006D547D">
      <w:pPr>
        <w:spacing w:after="240"/>
      </w:pPr>
      <w:r>
        <w:t xml:space="preserve">The pre-ESC response acknowledged that </w:t>
      </w:r>
      <w:proofErr w:type="spellStart"/>
      <w:r>
        <w:t>Uhlig</w:t>
      </w:r>
      <w:proofErr w:type="spellEnd"/>
      <w:r>
        <w:t xml:space="preserve"> (2018) </w:t>
      </w:r>
      <w:proofErr w:type="gramStart"/>
      <w:r>
        <w:t>could have been used</w:t>
      </w:r>
      <w:proofErr w:type="gramEnd"/>
      <w:r>
        <w:t xml:space="preserve">, instead of Xing (2018), as the primary evidence base for the comparison of CA vs. AS/DT on the basis that </w:t>
      </w:r>
      <w:proofErr w:type="spellStart"/>
      <w:r>
        <w:t>Uhlig</w:t>
      </w:r>
      <w:proofErr w:type="spellEnd"/>
      <w:r>
        <w:t xml:space="preserve"> (2018) is more applicable to the Australian setting. However, the pre-ESC response clarified that Xing (2018) was selected over </w:t>
      </w:r>
      <w:proofErr w:type="spellStart"/>
      <w:r>
        <w:t>Uhlig</w:t>
      </w:r>
      <w:proofErr w:type="spellEnd"/>
      <w:r>
        <w:t xml:space="preserve"> (2018) on the basis that Xing (2018): </w:t>
      </w:r>
      <w:r w:rsidRPr="00C860E3">
        <w:t>more comprehensively factored in potential confounders</w:t>
      </w:r>
      <w:r>
        <w:t>;</w:t>
      </w:r>
      <w:r w:rsidRPr="00C860E3">
        <w:t xml:space="preserve"> provided results for both the AS/DT and RN comparisons (ensuring consistency across the comparisons)</w:t>
      </w:r>
      <w:proofErr w:type="gramStart"/>
      <w:r>
        <w:t>;</w:t>
      </w:r>
      <w:proofErr w:type="gramEnd"/>
      <w:r>
        <w:t xml:space="preserve"> and was considered the</w:t>
      </w:r>
      <w:r w:rsidRPr="00C860E3">
        <w:t xml:space="preserve"> most conservative of the two </w:t>
      </w:r>
      <w:r>
        <w:t>studies</w:t>
      </w:r>
      <w:r w:rsidRPr="00C860E3">
        <w:t>.</w:t>
      </w:r>
      <w:r>
        <w:t xml:space="preserve"> The pre-ESC response also claimed that using </w:t>
      </w:r>
      <w:proofErr w:type="spellStart"/>
      <w:r>
        <w:t>Uhlig</w:t>
      </w:r>
      <w:proofErr w:type="spellEnd"/>
      <w:r>
        <w:t xml:space="preserve"> (2018) instead of Xing (2018) would not change the clinical claim that </w:t>
      </w:r>
      <w:r w:rsidRPr="002E14EB">
        <w:t>cryoablation is superior to AS/DT in terms of effectiveness</w:t>
      </w:r>
      <w:r>
        <w:t>.</w:t>
      </w:r>
      <w:bookmarkEnd w:id="17"/>
    </w:p>
    <w:p w14:paraId="35B00DB6" w14:textId="77777777" w:rsidR="002C6E55" w:rsidRPr="003A7EA2" w:rsidRDefault="002C6E55" w:rsidP="003A7EA2">
      <w:pPr>
        <w:rPr>
          <w:u w:val="single"/>
        </w:rPr>
      </w:pPr>
      <w:r w:rsidRPr="003A7EA2">
        <w:rPr>
          <w:u w:val="single"/>
        </w:rPr>
        <w:t>CA vs. laparoscopic RN (main comparator 2)</w:t>
      </w:r>
    </w:p>
    <w:p w14:paraId="3E0AD177" w14:textId="77777777" w:rsidR="002C6E55" w:rsidRPr="009E121C" w:rsidRDefault="002C6E55" w:rsidP="006D547D">
      <w:pPr>
        <w:spacing w:after="240"/>
      </w:pPr>
      <w:r>
        <w:t>Based on the evidence presented, the ADAR suggested</w:t>
      </w:r>
      <w:r w:rsidRPr="009E121C">
        <w:t xml:space="preserve"> that </w:t>
      </w:r>
      <w:proofErr w:type="gramStart"/>
      <w:r w:rsidRPr="009E121C">
        <w:t>CA(</w:t>
      </w:r>
      <w:proofErr w:type="gramEnd"/>
      <w:r w:rsidRPr="009E121C">
        <w:t xml:space="preserve">TA) has similar effectiveness to laparoscopic RN in terms of oncological outcomes in patients with </w:t>
      </w:r>
      <w:r w:rsidRPr="00632381">
        <w:t>biopsy-confirmed T1a RCC or SRM.</w:t>
      </w:r>
      <w:r w:rsidRPr="009E121C">
        <w:t xml:space="preserve"> Other-cause mortality (HR 0.92; 95% CI 0.65, 1.32) and cancer-specific mortality (HR 0.89; 95% CI 0.59, 1.70) were similar for </w:t>
      </w:r>
      <w:proofErr w:type="gramStart"/>
      <w:r w:rsidRPr="009E121C">
        <w:t>CA(</w:t>
      </w:r>
      <w:proofErr w:type="gramEnd"/>
      <w:r w:rsidRPr="009E121C">
        <w:t xml:space="preserve">TA) compared with RN (moderate quality evidence). </w:t>
      </w:r>
      <w:proofErr w:type="gramStart"/>
      <w:r w:rsidRPr="009E121C">
        <w:t>CA(</w:t>
      </w:r>
      <w:proofErr w:type="gramEnd"/>
      <w:r w:rsidRPr="009E121C">
        <w:t xml:space="preserve">TA) did not appear to impact on renal function, whereas RN did, with RN resulting in a </w:t>
      </w:r>
      <w:r>
        <w:t>4.27</w:t>
      </w:r>
      <w:r w:rsidRPr="009E121C">
        <w:t xml:space="preserve"> mL/min/1.73 m</w:t>
      </w:r>
      <w:r w:rsidRPr="009E121C">
        <w:rPr>
          <w:vertAlign w:val="superscript"/>
        </w:rPr>
        <w:t>2</w:t>
      </w:r>
      <w:r w:rsidRPr="009E121C">
        <w:t xml:space="preserve"> reduction in </w:t>
      </w:r>
      <w:proofErr w:type="spellStart"/>
      <w:r w:rsidRPr="009E121C">
        <w:t>eGFR</w:t>
      </w:r>
      <w:proofErr w:type="spellEnd"/>
      <w:r w:rsidRPr="009E121C">
        <w:t xml:space="preserve"> compared with patients receiving CA(TA) (95% CI </w:t>
      </w:r>
      <w:r>
        <w:t>0</w:t>
      </w:r>
      <w:r w:rsidRPr="00027AC8">
        <w:t xml:space="preserve">.26, 8.28). In addition, the rate of renal insufficiency was 19.0 per 100-person years for </w:t>
      </w:r>
      <w:proofErr w:type="gramStart"/>
      <w:r w:rsidRPr="00027AC8">
        <w:t>CA(</w:t>
      </w:r>
      <w:proofErr w:type="gramEnd"/>
      <w:r w:rsidRPr="00027AC8">
        <w:t>TA) compared with 38.3 per 100-person years for RN. There</w:t>
      </w:r>
      <w:r w:rsidRPr="009E121C">
        <w:t xml:space="preserve"> was no significant difference in quality of life as measured by the SF-12 total, physical component and mental component scores, with all differences &lt; 2 points. </w:t>
      </w:r>
      <w:r w:rsidRPr="00BA5A35">
        <w:t xml:space="preserve">Based on these findings, a clinical claim of non-inferior effectiveness of CA over RN </w:t>
      </w:r>
      <w:proofErr w:type="gramStart"/>
      <w:r>
        <w:t>was made</w:t>
      </w:r>
      <w:proofErr w:type="gramEnd"/>
      <w:r>
        <w:t xml:space="preserve"> in the ADAR</w:t>
      </w:r>
      <w:r w:rsidRPr="00BA5A35">
        <w:t>.</w:t>
      </w:r>
      <w:r w:rsidRPr="009E121C">
        <w:rPr>
          <w:i/>
        </w:rPr>
        <w:t xml:space="preserve"> </w:t>
      </w:r>
    </w:p>
    <w:p w14:paraId="4012A49D" w14:textId="77777777" w:rsidR="002C6E55" w:rsidRDefault="002C6E55" w:rsidP="006D547D">
      <w:pPr>
        <w:spacing w:after="240"/>
        <w:rPr>
          <w:b/>
        </w:rPr>
      </w:pPr>
      <w:r>
        <w:t xml:space="preserve">The balance of clinical benefits and harms of </w:t>
      </w:r>
      <w:proofErr w:type="gramStart"/>
      <w:r>
        <w:t>CA(</w:t>
      </w:r>
      <w:proofErr w:type="gramEnd"/>
      <w:r>
        <w:t xml:space="preserve">TA) compared with RN is presented in </w:t>
      </w:r>
      <w:r>
        <w:rPr>
          <w:b/>
        </w:rPr>
        <w:fldChar w:fldCharType="begin"/>
      </w:r>
      <w:r>
        <w:rPr>
          <w:b/>
        </w:rPr>
        <w:instrText xml:space="preserve"> REF _Ref51078669 \h  \* MERGEFORMAT </w:instrText>
      </w:r>
      <w:r>
        <w:rPr>
          <w:b/>
        </w:rPr>
      </w:r>
      <w:r>
        <w:rPr>
          <w:b/>
        </w:rPr>
        <w:fldChar w:fldCharType="separate"/>
      </w:r>
      <w:r>
        <w:t xml:space="preserve">Table </w:t>
      </w:r>
      <w:r>
        <w:rPr>
          <w:noProof/>
        </w:rPr>
        <w:t>5</w:t>
      </w:r>
      <w:r>
        <w:rPr>
          <w:b/>
        </w:rPr>
        <w:fldChar w:fldCharType="end"/>
      </w:r>
      <w:r>
        <w:t xml:space="preserve">. </w:t>
      </w:r>
    </w:p>
    <w:p w14:paraId="2641E178" w14:textId="36EC1DCD" w:rsidR="002C6E55" w:rsidRDefault="002C6E55" w:rsidP="006D547D">
      <w:pPr>
        <w:spacing w:after="240"/>
      </w:pPr>
      <w:r>
        <w:t xml:space="preserve">The </w:t>
      </w:r>
      <w:r w:rsidR="009842FE">
        <w:t>Commentary</w:t>
      </w:r>
      <w:r>
        <w:t xml:space="preserve"> considered th</w:t>
      </w:r>
      <w:r w:rsidRPr="00583EA3">
        <w:t xml:space="preserve">e overall claim of non-inferiority of </w:t>
      </w:r>
      <w:proofErr w:type="gramStart"/>
      <w:r>
        <w:t>CA(</w:t>
      </w:r>
      <w:proofErr w:type="gramEnd"/>
      <w:r w:rsidRPr="00583EA3">
        <w:t>TA</w:t>
      </w:r>
      <w:r>
        <w:t>)</w:t>
      </w:r>
      <w:r w:rsidRPr="00583EA3">
        <w:t xml:space="preserve"> (any mode of delivery) vs. RN (any mode of delivery) </w:t>
      </w:r>
      <w:r>
        <w:t>to be</w:t>
      </w:r>
      <w:r w:rsidRPr="00583EA3">
        <w:t xml:space="preserve"> reasonable.</w:t>
      </w:r>
    </w:p>
    <w:p w14:paraId="4873888B" w14:textId="77777777" w:rsidR="002C6E55" w:rsidRPr="003A7EA2" w:rsidRDefault="002C6E55" w:rsidP="003A7EA2">
      <w:pPr>
        <w:rPr>
          <w:rFonts w:ascii="Arial Narrow" w:hAnsi="Arial Narrow"/>
          <w:b/>
          <w:sz w:val="20"/>
        </w:rPr>
      </w:pPr>
      <w:bookmarkStart w:id="18" w:name="_Ref51078669"/>
      <w:r w:rsidRPr="003A7EA2">
        <w:rPr>
          <w:rFonts w:ascii="Arial Narrow" w:hAnsi="Arial Narrow"/>
          <w:b/>
          <w:sz w:val="20"/>
        </w:rPr>
        <w:t xml:space="preserve">Table </w:t>
      </w:r>
      <w:r w:rsidR="00C736E0" w:rsidRPr="003A7EA2">
        <w:rPr>
          <w:rFonts w:ascii="Arial Narrow" w:hAnsi="Arial Narrow"/>
          <w:b/>
          <w:sz w:val="20"/>
        </w:rPr>
        <w:fldChar w:fldCharType="begin"/>
      </w:r>
      <w:r w:rsidR="00C736E0" w:rsidRPr="003A7EA2">
        <w:rPr>
          <w:rFonts w:ascii="Arial Narrow" w:hAnsi="Arial Narrow"/>
          <w:b/>
          <w:sz w:val="20"/>
        </w:rPr>
        <w:instrText xml:space="preserve"> SEQ Table \* ARABIC </w:instrText>
      </w:r>
      <w:r w:rsidR="00C736E0" w:rsidRPr="003A7EA2">
        <w:rPr>
          <w:rFonts w:ascii="Arial Narrow" w:hAnsi="Arial Narrow"/>
          <w:b/>
          <w:sz w:val="20"/>
        </w:rPr>
        <w:fldChar w:fldCharType="separate"/>
      </w:r>
      <w:r w:rsidRPr="003A7EA2">
        <w:rPr>
          <w:rFonts w:ascii="Arial Narrow" w:hAnsi="Arial Narrow"/>
          <w:b/>
          <w:sz w:val="20"/>
        </w:rPr>
        <w:t>5</w:t>
      </w:r>
      <w:r w:rsidR="00C736E0" w:rsidRPr="003A7EA2">
        <w:rPr>
          <w:rFonts w:ascii="Arial Narrow" w:hAnsi="Arial Narrow"/>
          <w:b/>
          <w:sz w:val="20"/>
        </w:rPr>
        <w:fldChar w:fldCharType="end"/>
      </w:r>
      <w:bookmarkEnd w:id="18"/>
      <w:r w:rsidRPr="003A7EA2">
        <w:rPr>
          <w:rFonts w:ascii="Arial Narrow" w:hAnsi="Arial Narrow"/>
          <w:b/>
          <w:sz w:val="20"/>
        </w:rPr>
        <w:tab/>
        <w:t xml:space="preserve">Balance of clinical benefits and harms of CA, relative to RN, and as measured by the critical patient-relevant outcomes in the key studies </w:t>
      </w:r>
    </w:p>
    <w:tbl>
      <w:tblPr>
        <w:tblStyle w:val="TableGrid1"/>
        <w:tblW w:w="5000" w:type="pct"/>
        <w:tblLook w:val="04A0" w:firstRow="1" w:lastRow="0" w:firstColumn="1" w:lastColumn="0" w:noHBand="0" w:noVBand="1"/>
        <w:tblDescription w:val="Summary of findings table"/>
      </w:tblPr>
      <w:tblGrid>
        <w:gridCol w:w="1415"/>
        <w:gridCol w:w="1754"/>
        <w:gridCol w:w="919"/>
        <w:gridCol w:w="1566"/>
        <w:gridCol w:w="1663"/>
        <w:gridCol w:w="1699"/>
      </w:tblGrid>
      <w:tr w:rsidR="002C6E55" w:rsidRPr="00BB57AF" w14:paraId="13CD0441" w14:textId="77777777" w:rsidTr="003A7EA2">
        <w:trPr>
          <w:cnfStyle w:val="100000000000" w:firstRow="1" w:lastRow="0" w:firstColumn="0" w:lastColumn="0" w:oddVBand="0" w:evenVBand="0" w:oddHBand="0" w:evenHBand="0" w:firstRowFirstColumn="0" w:firstRowLastColumn="0" w:lastRowFirstColumn="0" w:lastRowLastColumn="0"/>
          <w:tblHeader/>
        </w:trPr>
        <w:tc>
          <w:tcPr>
            <w:tcW w:w="767" w:type="pct"/>
          </w:tcPr>
          <w:p w14:paraId="134A0F12" w14:textId="77777777" w:rsidR="002C6E55" w:rsidRPr="00FE110B" w:rsidRDefault="002C6E55" w:rsidP="009842FE">
            <w:pPr>
              <w:rPr>
                <w:rFonts w:ascii="Arial Narrow" w:hAnsi="Arial Narrow"/>
                <w:b/>
                <w:sz w:val="20"/>
              </w:rPr>
            </w:pPr>
            <w:r w:rsidRPr="00FE110B">
              <w:rPr>
                <w:rFonts w:ascii="Arial Narrow" w:hAnsi="Arial Narrow"/>
                <w:b/>
                <w:sz w:val="20"/>
              </w:rPr>
              <w:t>Outcomes (units)</w:t>
            </w:r>
          </w:p>
          <w:p w14:paraId="1B30DF76" w14:textId="77777777" w:rsidR="002C6E55" w:rsidRPr="00FE110B" w:rsidRDefault="002C6E55" w:rsidP="009842FE">
            <w:pPr>
              <w:rPr>
                <w:rFonts w:ascii="Arial Narrow" w:hAnsi="Arial Narrow"/>
                <w:b/>
                <w:sz w:val="20"/>
              </w:rPr>
            </w:pPr>
            <w:r w:rsidRPr="00FE110B">
              <w:rPr>
                <w:rFonts w:ascii="Arial Narrow" w:hAnsi="Arial Narrow"/>
                <w:b/>
                <w:sz w:val="20"/>
              </w:rPr>
              <w:t>Follow-up</w:t>
            </w:r>
          </w:p>
        </w:tc>
        <w:tc>
          <w:tcPr>
            <w:tcW w:w="1005" w:type="pct"/>
          </w:tcPr>
          <w:p w14:paraId="3CF97501" w14:textId="77777777" w:rsidR="002C6E55" w:rsidRPr="00FE110B" w:rsidRDefault="002C6E55" w:rsidP="009842FE">
            <w:pPr>
              <w:rPr>
                <w:rFonts w:ascii="Arial Narrow" w:hAnsi="Arial Narrow"/>
                <w:b/>
                <w:sz w:val="20"/>
              </w:rPr>
            </w:pPr>
            <w:r w:rsidRPr="00FE110B">
              <w:rPr>
                <w:rFonts w:ascii="Arial Narrow" w:hAnsi="Arial Narrow"/>
                <w:b/>
                <w:sz w:val="20"/>
              </w:rPr>
              <w:t xml:space="preserve">Participants </w:t>
            </w:r>
          </w:p>
          <w:p w14:paraId="490A779C" w14:textId="77777777" w:rsidR="002C6E55" w:rsidRPr="00FE110B" w:rsidRDefault="002C6E55" w:rsidP="009842FE">
            <w:pPr>
              <w:rPr>
                <w:rFonts w:ascii="Arial Narrow" w:hAnsi="Arial Narrow"/>
                <w:b/>
                <w:sz w:val="20"/>
              </w:rPr>
            </w:pPr>
            <w:r w:rsidRPr="00FE110B">
              <w:rPr>
                <w:rFonts w:ascii="Arial Narrow" w:hAnsi="Arial Narrow"/>
                <w:b/>
                <w:sz w:val="20"/>
              </w:rPr>
              <w:t xml:space="preserve">Study type </w:t>
            </w:r>
          </w:p>
          <w:p w14:paraId="319B8A1E" w14:textId="77777777" w:rsidR="002C6E55" w:rsidRPr="00FE110B" w:rsidRDefault="002C6E55" w:rsidP="009842FE">
            <w:pPr>
              <w:rPr>
                <w:rFonts w:ascii="Arial Narrow" w:hAnsi="Arial Narrow"/>
                <w:b/>
                <w:sz w:val="20"/>
              </w:rPr>
            </w:pPr>
            <w:r w:rsidRPr="00FE110B">
              <w:rPr>
                <w:rFonts w:ascii="Arial Narrow" w:hAnsi="Arial Narrow"/>
                <w:b/>
                <w:sz w:val="20"/>
              </w:rPr>
              <w:t>(Study ID/location or database)</w:t>
            </w:r>
          </w:p>
          <w:p w14:paraId="370E70B3" w14:textId="77777777" w:rsidR="002C6E55" w:rsidRPr="00FE110B" w:rsidRDefault="002C6E55" w:rsidP="009842FE">
            <w:pPr>
              <w:rPr>
                <w:rFonts w:ascii="Arial Narrow" w:hAnsi="Arial Narrow"/>
                <w:b/>
                <w:sz w:val="20"/>
              </w:rPr>
            </w:pPr>
          </w:p>
        </w:tc>
        <w:tc>
          <w:tcPr>
            <w:tcW w:w="533" w:type="pct"/>
          </w:tcPr>
          <w:p w14:paraId="400647A9" w14:textId="77777777" w:rsidR="002C6E55" w:rsidRPr="00FE110B" w:rsidRDefault="002C6E55" w:rsidP="009842FE">
            <w:pPr>
              <w:jc w:val="center"/>
              <w:rPr>
                <w:rFonts w:ascii="Arial Narrow" w:hAnsi="Arial Narrow"/>
                <w:b/>
                <w:sz w:val="20"/>
              </w:rPr>
            </w:pPr>
            <w:r w:rsidRPr="00FE110B">
              <w:rPr>
                <w:rFonts w:ascii="Arial Narrow" w:hAnsi="Arial Narrow"/>
                <w:b/>
                <w:sz w:val="20"/>
              </w:rPr>
              <w:t>Quality of evidence (GRADE)</w:t>
            </w:r>
            <w:r w:rsidRPr="00FE110B">
              <w:rPr>
                <w:rFonts w:ascii="Arial Narrow" w:hAnsi="Arial Narrow" w:cs="Arial"/>
                <w:b/>
                <w:sz w:val="20"/>
                <w:vertAlign w:val="superscript"/>
              </w:rPr>
              <w:t xml:space="preserve"> a</w:t>
            </w:r>
          </w:p>
        </w:tc>
        <w:tc>
          <w:tcPr>
            <w:tcW w:w="759" w:type="pct"/>
          </w:tcPr>
          <w:p w14:paraId="4BF806EB" w14:textId="77777777" w:rsidR="002C6E55" w:rsidRPr="00FE110B" w:rsidRDefault="002C6E55" w:rsidP="009842FE">
            <w:pPr>
              <w:jc w:val="center"/>
              <w:rPr>
                <w:rFonts w:ascii="Arial Narrow" w:hAnsi="Arial Narrow"/>
                <w:b/>
                <w:sz w:val="20"/>
              </w:rPr>
            </w:pPr>
            <w:r w:rsidRPr="00FE110B">
              <w:rPr>
                <w:rFonts w:ascii="Arial Narrow" w:hAnsi="Arial Narrow"/>
                <w:b/>
                <w:sz w:val="20"/>
              </w:rPr>
              <w:t>Relative/absolute effect (95% CI) and/or P value</w:t>
            </w:r>
          </w:p>
          <w:p w14:paraId="052E4E20" w14:textId="77777777" w:rsidR="002C6E55" w:rsidRPr="00FE110B" w:rsidRDefault="002C6E55" w:rsidP="009842FE">
            <w:pPr>
              <w:jc w:val="center"/>
              <w:rPr>
                <w:rFonts w:ascii="Arial Narrow" w:hAnsi="Arial Narrow"/>
                <w:b/>
                <w:sz w:val="20"/>
              </w:rPr>
            </w:pPr>
          </w:p>
        </w:tc>
        <w:tc>
          <w:tcPr>
            <w:tcW w:w="962" w:type="pct"/>
          </w:tcPr>
          <w:p w14:paraId="5C77D28D" w14:textId="77777777" w:rsidR="002C6E55" w:rsidRPr="00FE110B" w:rsidRDefault="002C6E55" w:rsidP="009842FE">
            <w:pPr>
              <w:jc w:val="center"/>
              <w:rPr>
                <w:rFonts w:ascii="Arial Narrow" w:hAnsi="Arial Narrow"/>
                <w:b/>
                <w:sz w:val="20"/>
              </w:rPr>
            </w:pPr>
            <w:r w:rsidRPr="00FE110B">
              <w:rPr>
                <w:rFonts w:ascii="Arial Narrow" w:hAnsi="Arial Narrow"/>
                <w:b/>
                <w:sz w:val="20"/>
              </w:rPr>
              <w:t>Risk with RN</w:t>
            </w:r>
          </w:p>
          <w:p w14:paraId="7BD55C83" w14:textId="77777777" w:rsidR="002C6E55" w:rsidRPr="00FE110B" w:rsidRDefault="002C6E55" w:rsidP="009842FE">
            <w:pPr>
              <w:jc w:val="center"/>
              <w:rPr>
                <w:rFonts w:ascii="Arial Narrow" w:hAnsi="Arial Narrow"/>
                <w:b/>
                <w:sz w:val="20"/>
              </w:rPr>
            </w:pPr>
          </w:p>
        </w:tc>
        <w:tc>
          <w:tcPr>
            <w:tcW w:w="974" w:type="pct"/>
          </w:tcPr>
          <w:p w14:paraId="434B0001" w14:textId="77777777" w:rsidR="002C6E55" w:rsidRPr="00FE110B" w:rsidRDefault="002C6E55" w:rsidP="009842FE">
            <w:pPr>
              <w:jc w:val="center"/>
              <w:rPr>
                <w:rFonts w:ascii="Arial Narrow" w:hAnsi="Arial Narrow"/>
                <w:b/>
                <w:sz w:val="20"/>
              </w:rPr>
            </w:pPr>
            <w:r w:rsidRPr="00FE110B">
              <w:rPr>
                <w:rFonts w:ascii="Arial Narrow" w:hAnsi="Arial Narrow"/>
                <w:b/>
                <w:sz w:val="20"/>
              </w:rPr>
              <w:t>Risk with CA</w:t>
            </w:r>
          </w:p>
          <w:p w14:paraId="2F4C0E4A" w14:textId="77777777" w:rsidR="002C6E55" w:rsidRPr="00FE110B" w:rsidRDefault="002C6E55" w:rsidP="009842FE">
            <w:pPr>
              <w:jc w:val="center"/>
              <w:rPr>
                <w:rFonts w:ascii="Arial Narrow" w:hAnsi="Arial Narrow"/>
                <w:b/>
                <w:sz w:val="20"/>
              </w:rPr>
            </w:pPr>
          </w:p>
        </w:tc>
      </w:tr>
      <w:tr w:rsidR="002C6E55" w:rsidRPr="00BB57AF" w14:paraId="3A401461" w14:textId="77777777" w:rsidTr="003A7EA2">
        <w:tc>
          <w:tcPr>
            <w:tcW w:w="767" w:type="pct"/>
          </w:tcPr>
          <w:p w14:paraId="3B28DD26" w14:textId="77777777" w:rsidR="002C6E55" w:rsidRPr="00FE110B" w:rsidRDefault="002C6E55" w:rsidP="009842FE">
            <w:pPr>
              <w:rPr>
                <w:sz w:val="20"/>
              </w:rPr>
            </w:pPr>
            <w:r w:rsidRPr="00FE110B">
              <w:rPr>
                <w:sz w:val="20"/>
              </w:rPr>
              <w:t>Other-cause mortality</w:t>
            </w:r>
          </w:p>
          <w:p w14:paraId="29B8C2BD" w14:textId="77777777" w:rsidR="002C6E55" w:rsidRPr="00FE110B" w:rsidRDefault="002C6E55" w:rsidP="009842FE">
            <w:pPr>
              <w:rPr>
                <w:sz w:val="20"/>
              </w:rPr>
            </w:pPr>
            <w:r w:rsidRPr="00FE110B">
              <w:rPr>
                <w:sz w:val="20"/>
              </w:rPr>
              <w:t>(rate; median FU 42 months)</w:t>
            </w:r>
          </w:p>
        </w:tc>
        <w:tc>
          <w:tcPr>
            <w:tcW w:w="1005" w:type="pct"/>
          </w:tcPr>
          <w:p w14:paraId="30138E86" w14:textId="77777777" w:rsidR="002C6E55" w:rsidRPr="00FE110B" w:rsidRDefault="002C6E55" w:rsidP="009842FE">
            <w:pPr>
              <w:rPr>
                <w:rFonts w:cs="Arial"/>
                <w:sz w:val="20"/>
              </w:rPr>
            </w:pPr>
            <w:r w:rsidRPr="00FE110B">
              <w:rPr>
                <w:rFonts w:cs="Arial"/>
                <w:sz w:val="20"/>
              </w:rPr>
              <w:t>TA=733; RN=733</w:t>
            </w:r>
          </w:p>
          <w:p w14:paraId="794F778E" w14:textId="77777777" w:rsidR="002C6E55" w:rsidRPr="00FE110B" w:rsidRDefault="002C6E55" w:rsidP="009842FE">
            <w:pPr>
              <w:rPr>
                <w:rFonts w:cs="Arial"/>
                <w:sz w:val="20"/>
              </w:rPr>
            </w:pPr>
            <w:r w:rsidRPr="00FE110B">
              <w:rPr>
                <w:sz w:val="20"/>
              </w:rPr>
              <w:t>1 retrospective cohort (Xing 2018/SEER-Medicare)</w:t>
            </w:r>
          </w:p>
        </w:tc>
        <w:tc>
          <w:tcPr>
            <w:tcW w:w="533" w:type="pct"/>
          </w:tcPr>
          <w:p w14:paraId="78AA6A5C" w14:textId="77777777" w:rsidR="002C6E55" w:rsidRPr="00FE110B" w:rsidRDefault="002C6E55" w:rsidP="009842FE">
            <w:pPr>
              <w:jc w:val="center"/>
              <w:rPr>
                <w:sz w:val="20"/>
              </w:rPr>
            </w:pPr>
            <w:r w:rsidRPr="00FE110B">
              <w:rPr>
                <w:sz w:val="20"/>
              </w:rPr>
              <w:t>Moderate</w:t>
            </w:r>
          </w:p>
          <w:p w14:paraId="3CBF3B4A" w14:textId="77777777" w:rsidR="002C6E55" w:rsidRPr="00FE110B" w:rsidRDefault="002C6E55" w:rsidP="009842FE">
            <w:pPr>
              <w:jc w:val="center"/>
              <w:rPr>
                <w:rFonts w:cs="Arial"/>
                <w:sz w:val="20"/>
                <w:vertAlign w:val="superscript"/>
              </w:rPr>
            </w:pPr>
            <w:r w:rsidRPr="00FE110B">
              <w:rPr>
                <w:sz w:val="20"/>
              </w:rPr>
              <w:t>(●●●○)</w:t>
            </w:r>
          </w:p>
        </w:tc>
        <w:tc>
          <w:tcPr>
            <w:tcW w:w="759" w:type="pct"/>
          </w:tcPr>
          <w:p w14:paraId="0F526711" w14:textId="77777777" w:rsidR="002C6E55" w:rsidRPr="00FE110B" w:rsidRDefault="002C6E55" w:rsidP="009842FE">
            <w:pPr>
              <w:jc w:val="center"/>
              <w:rPr>
                <w:sz w:val="20"/>
              </w:rPr>
            </w:pPr>
            <w:r w:rsidRPr="00FE110B">
              <w:rPr>
                <w:sz w:val="20"/>
              </w:rPr>
              <w:t>HR 0.92</w:t>
            </w:r>
          </w:p>
          <w:p w14:paraId="6748C134" w14:textId="77777777" w:rsidR="002C6E55" w:rsidRPr="00FE110B" w:rsidRDefault="002C6E55" w:rsidP="009842FE">
            <w:pPr>
              <w:jc w:val="center"/>
              <w:rPr>
                <w:rFonts w:cs="Arial"/>
                <w:sz w:val="20"/>
                <w:vertAlign w:val="superscript"/>
              </w:rPr>
            </w:pPr>
            <w:r w:rsidRPr="00FE110B">
              <w:rPr>
                <w:sz w:val="20"/>
              </w:rPr>
              <w:t>(0.65, 1.32)</w:t>
            </w:r>
          </w:p>
        </w:tc>
        <w:tc>
          <w:tcPr>
            <w:tcW w:w="962" w:type="pct"/>
          </w:tcPr>
          <w:p w14:paraId="6D28D369" w14:textId="77777777" w:rsidR="002C6E55" w:rsidRPr="00FE110B" w:rsidRDefault="002C6E55" w:rsidP="009842FE">
            <w:pPr>
              <w:jc w:val="center"/>
              <w:rPr>
                <w:rFonts w:cs="Arial"/>
                <w:sz w:val="20"/>
                <w:u w:val="single"/>
              </w:rPr>
            </w:pPr>
            <w:r w:rsidRPr="00FE110B">
              <w:rPr>
                <w:rFonts w:cs="Arial"/>
                <w:sz w:val="20"/>
                <w:u w:val="single"/>
              </w:rPr>
              <w:t>5-year OCM</w:t>
            </w:r>
          </w:p>
          <w:p w14:paraId="52435615" w14:textId="77777777" w:rsidR="002C6E55" w:rsidRPr="00FE110B" w:rsidRDefault="002C6E55" w:rsidP="009842FE">
            <w:pPr>
              <w:jc w:val="center"/>
              <w:rPr>
                <w:rFonts w:cs="Arial"/>
                <w:sz w:val="20"/>
              </w:rPr>
            </w:pPr>
            <w:r w:rsidRPr="00FE110B">
              <w:rPr>
                <w:rFonts w:cs="Arial"/>
                <w:sz w:val="20"/>
              </w:rPr>
              <w:t>47 per 1000 patients</w:t>
            </w:r>
          </w:p>
        </w:tc>
        <w:tc>
          <w:tcPr>
            <w:tcW w:w="974" w:type="pct"/>
          </w:tcPr>
          <w:p w14:paraId="7C4A560B" w14:textId="77777777" w:rsidR="002C6E55" w:rsidRPr="00FE110B" w:rsidRDefault="002C6E55" w:rsidP="009842FE">
            <w:pPr>
              <w:jc w:val="center"/>
              <w:rPr>
                <w:rFonts w:cs="Arial"/>
                <w:sz w:val="20"/>
                <w:u w:val="single"/>
              </w:rPr>
            </w:pPr>
            <w:r w:rsidRPr="00FE110B">
              <w:rPr>
                <w:rFonts w:cs="Arial"/>
                <w:sz w:val="20"/>
                <w:u w:val="single"/>
              </w:rPr>
              <w:t>5-year OCM</w:t>
            </w:r>
          </w:p>
          <w:p w14:paraId="4AD3CBD9" w14:textId="77777777" w:rsidR="002C6E55" w:rsidRPr="00FE110B" w:rsidRDefault="002C6E55" w:rsidP="009842FE">
            <w:pPr>
              <w:jc w:val="center"/>
              <w:rPr>
                <w:rFonts w:cs="Arial"/>
                <w:sz w:val="20"/>
              </w:rPr>
            </w:pPr>
            <w:r w:rsidRPr="00FE110B">
              <w:rPr>
                <w:rFonts w:cs="Arial"/>
                <w:sz w:val="20"/>
              </w:rPr>
              <w:t>43 per 1000 patients</w:t>
            </w:r>
          </w:p>
        </w:tc>
      </w:tr>
      <w:tr w:rsidR="002C6E55" w:rsidRPr="00BB57AF" w14:paraId="1B395B68" w14:textId="77777777" w:rsidTr="003A7EA2">
        <w:tc>
          <w:tcPr>
            <w:tcW w:w="767" w:type="pct"/>
          </w:tcPr>
          <w:p w14:paraId="475AB131" w14:textId="77777777" w:rsidR="002C6E55" w:rsidRPr="00FE110B" w:rsidRDefault="002C6E55" w:rsidP="009842FE">
            <w:pPr>
              <w:rPr>
                <w:sz w:val="20"/>
              </w:rPr>
            </w:pPr>
            <w:r w:rsidRPr="00FE110B">
              <w:rPr>
                <w:sz w:val="20"/>
              </w:rPr>
              <w:t>Cancer-specific mortality</w:t>
            </w:r>
          </w:p>
          <w:p w14:paraId="7D4C8A7A" w14:textId="77777777" w:rsidR="002C6E55" w:rsidRPr="00FE110B" w:rsidRDefault="002C6E55" w:rsidP="009842FE">
            <w:pPr>
              <w:rPr>
                <w:sz w:val="20"/>
              </w:rPr>
            </w:pPr>
            <w:r w:rsidRPr="00FE110B">
              <w:rPr>
                <w:sz w:val="20"/>
              </w:rPr>
              <w:t>(rate; median FU 42 months)</w:t>
            </w:r>
          </w:p>
        </w:tc>
        <w:tc>
          <w:tcPr>
            <w:tcW w:w="1005" w:type="pct"/>
          </w:tcPr>
          <w:p w14:paraId="7C6956D0" w14:textId="77777777" w:rsidR="002C6E55" w:rsidRPr="00FE110B" w:rsidRDefault="002C6E55" w:rsidP="009842FE">
            <w:pPr>
              <w:rPr>
                <w:rFonts w:cs="Arial"/>
                <w:sz w:val="20"/>
              </w:rPr>
            </w:pPr>
            <w:r w:rsidRPr="00FE110B">
              <w:rPr>
                <w:rFonts w:cs="Arial"/>
                <w:sz w:val="20"/>
              </w:rPr>
              <w:t>TA=733; RN=733</w:t>
            </w:r>
          </w:p>
          <w:p w14:paraId="70346A5D" w14:textId="77777777" w:rsidR="002C6E55" w:rsidRPr="00FE110B" w:rsidRDefault="002C6E55" w:rsidP="009842FE">
            <w:pPr>
              <w:rPr>
                <w:rFonts w:cs="Arial"/>
                <w:sz w:val="20"/>
              </w:rPr>
            </w:pPr>
            <w:r w:rsidRPr="00FE110B">
              <w:rPr>
                <w:sz w:val="20"/>
              </w:rPr>
              <w:t>1 retrospective cohort (Xing 2018/SEER-Medicare)</w:t>
            </w:r>
          </w:p>
        </w:tc>
        <w:tc>
          <w:tcPr>
            <w:tcW w:w="533" w:type="pct"/>
          </w:tcPr>
          <w:p w14:paraId="25E154EB" w14:textId="77777777" w:rsidR="002C6E55" w:rsidRPr="00FE110B" w:rsidRDefault="002C6E55" w:rsidP="009842FE">
            <w:pPr>
              <w:jc w:val="center"/>
              <w:rPr>
                <w:sz w:val="20"/>
              </w:rPr>
            </w:pPr>
            <w:r w:rsidRPr="00FE110B">
              <w:rPr>
                <w:sz w:val="20"/>
              </w:rPr>
              <w:t>Moderate</w:t>
            </w:r>
          </w:p>
          <w:p w14:paraId="50837AD6" w14:textId="77777777" w:rsidR="002C6E55" w:rsidRPr="00FE110B" w:rsidRDefault="002C6E55" w:rsidP="009842FE">
            <w:pPr>
              <w:jc w:val="center"/>
              <w:rPr>
                <w:rFonts w:cs="Arial"/>
                <w:sz w:val="20"/>
                <w:vertAlign w:val="superscript"/>
              </w:rPr>
            </w:pPr>
            <w:r w:rsidRPr="00FE110B">
              <w:rPr>
                <w:sz w:val="20"/>
              </w:rPr>
              <w:t>(●●●○)</w:t>
            </w:r>
          </w:p>
        </w:tc>
        <w:tc>
          <w:tcPr>
            <w:tcW w:w="759" w:type="pct"/>
          </w:tcPr>
          <w:p w14:paraId="5F0C37CF" w14:textId="77777777" w:rsidR="002C6E55" w:rsidRPr="00FE110B" w:rsidRDefault="002C6E55" w:rsidP="009842FE">
            <w:pPr>
              <w:jc w:val="center"/>
              <w:rPr>
                <w:sz w:val="20"/>
              </w:rPr>
            </w:pPr>
            <w:r w:rsidRPr="00FE110B">
              <w:rPr>
                <w:sz w:val="20"/>
              </w:rPr>
              <w:t>HR 0.89</w:t>
            </w:r>
          </w:p>
          <w:p w14:paraId="72C5F8C2" w14:textId="77777777" w:rsidR="002C6E55" w:rsidRPr="00FE110B" w:rsidRDefault="002C6E55" w:rsidP="009842FE">
            <w:pPr>
              <w:jc w:val="center"/>
              <w:rPr>
                <w:rFonts w:cs="Arial"/>
                <w:sz w:val="20"/>
                <w:vertAlign w:val="superscript"/>
              </w:rPr>
            </w:pPr>
            <w:r w:rsidRPr="00FE110B">
              <w:rPr>
                <w:sz w:val="20"/>
              </w:rPr>
              <w:t>(0.59, 1.70)</w:t>
            </w:r>
          </w:p>
        </w:tc>
        <w:tc>
          <w:tcPr>
            <w:tcW w:w="962" w:type="pct"/>
          </w:tcPr>
          <w:p w14:paraId="2FE50E48" w14:textId="77777777" w:rsidR="002C6E55" w:rsidRPr="00FE110B" w:rsidRDefault="002C6E55" w:rsidP="009842FE">
            <w:pPr>
              <w:jc w:val="center"/>
              <w:rPr>
                <w:rFonts w:cs="Arial"/>
                <w:sz w:val="20"/>
                <w:u w:val="single"/>
              </w:rPr>
            </w:pPr>
            <w:r w:rsidRPr="00FE110B">
              <w:rPr>
                <w:rFonts w:cs="Arial"/>
                <w:sz w:val="20"/>
                <w:u w:val="single"/>
              </w:rPr>
              <w:t>5-year CSM</w:t>
            </w:r>
          </w:p>
          <w:p w14:paraId="0161B7E7" w14:textId="77777777" w:rsidR="002C6E55" w:rsidRPr="00FE110B" w:rsidRDefault="002C6E55" w:rsidP="009842FE">
            <w:pPr>
              <w:jc w:val="center"/>
              <w:rPr>
                <w:rFonts w:cs="Arial"/>
                <w:sz w:val="20"/>
              </w:rPr>
            </w:pPr>
            <w:r w:rsidRPr="00FE110B">
              <w:rPr>
                <w:rFonts w:cs="Arial"/>
                <w:sz w:val="20"/>
              </w:rPr>
              <w:t>35 per 1000 patients</w:t>
            </w:r>
          </w:p>
        </w:tc>
        <w:tc>
          <w:tcPr>
            <w:tcW w:w="974" w:type="pct"/>
          </w:tcPr>
          <w:p w14:paraId="1CD8C0EF" w14:textId="77777777" w:rsidR="002C6E55" w:rsidRPr="00FE110B" w:rsidRDefault="002C6E55" w:rsidP="009842FE">
            <w:pPr>
              <w:jc w:val="center"/>
              <w:rPr>
                <w:rFonts w:cs="Arial"/>
                <w:sz w:val="20"/>
                <w:u w:val="single"/>
              </w:rPr>
            </w:pPr>
            <w:r w:rsidRPr="00FE110B">
              <w:rPr>
                <w:rFonts w:cs="Arial"/>
                <w:sz w:val="20"/>
                <w:u w:val="single"/>
              </w:rPr>
              <w:t>5-year CSM</w:t>
            </w:r>
          </w:p>
          <w:p w14:paraId="426E4427" w14:textId="77777777" w:rsidR="002C6E55" w:rsidRPr="00FE110B" w:rsidRDefault="002C6E55" w:rsidP="009842FE">
            <w:pPr>
              <w:jc w:val="center"/>
              <w:rPr>
                <w:rFonts w:cs="Arial"/>
                <w:sz w:val="20"/>
              </w:rPr>
            </w:pPr>
            <w:r w:rsidRPr="00FE110B">
              <w:rPr>
                <w:rFonts w:cs="Arial"/>
                <w:sz w:val="20"/>
              </w:rPr>
              <w:t>31 per 1000 patients</w:t>
            </w:r>
          </w:p>
        </w:tc>
      </w:tr>
      <w:tr w:rsidR="002C6E55" w:rsidRPr="00BB57AF" w14:paraId="0A7D68D8" w14:textId="77777777" w:rsidTr="003A7EA2">
        <w:tc>
          <w:tcPr>
            <w:tcW w:w="767" w:type="pct"/>
          </w:tcPr>
          <w:p w14:paraId="02746EAA" w14:textId="77777777" w:rsidR="002C6E55" w:rsidRPr="00FE110B" w:rsidRDefault="002C6E55" w:rsidP="009842FE">
            <w:pPr>
              <w:rPr>
                <w:rFonts w:cs="Arial"/>
                <w:sz w:val="20"/>
              </w:rPr>
            </w:pPr>
            <w:r w:rsidRPr="00FE110B">
              <w:rPr>
                <w:rFonts w:cs="Arial"/>
                <w:sz w:val="20"/>
              </w:rPr>
              <w:t xml:space="preserve">Change in </w:t>
            </w:r>
            <w:proofErr w:type="spellStart"/>
            <w:r w:rsidRPr="00FE110B">
              <w:rPr>
                <w:rFonts w:cs="Arial"/>
                <w:sz w:val="20"/>
              </w:rPr>
              <w:t>eGFR</w:t>
            </w:r>
            <w:proofErr w:type="spellEnd"/>
            <w:r w:rsidRPr="00FE110B">
              <w:rPr>
                <w:rFonts w:cs="Arial"/>
                <w:sz w:val="20"/>
              </w:rPr>
              <w:t xml:space="preserve"> (mL/min/1.73m</w:t>
            </w:r>
            <w:r w:rsidRPr="00FE110B">
              <w:rPr>
                <w:rFonts w:cs="Arial"/>
                <w:sz w:val="20"/>
                <w:vertAlign w:val="superscript"/>
              </w:rPr>
              <w:t>2</w:t>
            </w:r>
            <w:r w:rsidRPr="00FE110B">
              <w:rPr>
                <w:rFonts w:cs="Arial"/>
                <w:sz w:val="20"/>
              </w:rPr>
              <w:t>; up to 12 months FU)</w:t>
            </w:r>
          </w:p>
        </w:tc>
        <w:tc>
          <w:tcPr>
            <w:tcW w:w="1005" w:type="pct"/>
          </w:tcPr>
          <w:p w14:paraId="47C626FB" w14:textId="77777777" w:rsidR="002C6E55" w:rsidRPr="00FE110B" w:rsidRDefault="002C6E55" w:rsidP="009842FE">
            <w:pPr>
              <w:rPr>
                <w:rFonts w:cs="Arial"/>
                <w:sz w:val="20"/>
              </w:rPr>
            </w:pPr>
            <w:r w:rsidRPr="00FE110B">
              <w:rPr>
                <w:rFonts w:cs="Arial"/>
                <w:sz w:val="20"/>
              </w:rPr>
              <w:t>TA=27; RN=38; (PN=140)</w:t>
            </w:r>
          </w:p>
          <w:p w14:paraId="17D24002" w14:textId="77777777" w:rsidR="002C6E55" w:rsidRPr="00FE110B" w:rsidRDefault="002C6E55" w:rsidP="009842FE">
            <w:pPr>
              <w:rPr>
                <w:rFonts w:cs="Arial"/>
                <w:sz w:val="20"/>
              </w:rPr>
            </w:pPr>
            <w:r w:rsidRPr="00FE110B">
              <w:rPr>
                <w:rFonts w:cs="Arial"/>
                <w:sz w:val="20"/>
              </w:rPr>
              <w:t>1 prospective cohort (</w:t>
            </w:r>
            <w:proofErr w:type="spellStart"/>
            <w:r w:rsidRPr="00FE110B">
              <w:rPr>
                <w:rFonts w:cs="Arial"/>
                <w:sz w:val="20"/>
              </w:rPr>
              <w:t>Alam</w:t>
            </w:r>
            <w:proofErr w:type="spellEnd"/>
            <w:r w:rsidRPr="00FE110B">
              <w:rPr>
                <w:rFonts w:cs="Arial"/>
                <w:sz w:val="20"/>
              </w:rPr>
              <w:t xml:space="preserve"> 2019/DISSRM)</w:t>
            </w:r>
          </w:p>
        </w:tc>
        <w:tc>
          <w:tcPr>
            <w:tcW w:w="533" w:type="pct"/>
          </w:tcPr>
          <w:p w14:paraId="77EE4884" w14:textId="77777777" w:rsidR="002C6E55" w:rsidRPr="00FE110B" w:rsidRDefault="002C6E55" w:rsidP="009842FE">
            <w:pPr>
              <w:pStyle w:val="Tabletext"/>
              <w:spacing w:before="0" w:after="0"/>
              <w:jc w:val="center"/>
              <w:rPr>
                <w:szCs w:val="20"/>
              </w:rPr>
            </w:pPr>
            <w:r w:rsidRPr="00FE110B">
              <w:rPr>
                <w:szCs w:val="20"/>
              </w:rPr>
              <w:t>Moderate</w:t>
            </w:r>
          </w:p>
          <w:p w14:paraId="0B60EE36" w14:textId="77777777" w:rsidR="002C6E55" w:rsidRPr="00FE110B" w:rsidRDefault="002C6E55" w:rsidP="009842FE">
            <w:pPr>
              <w:jc w:val="center"/>
              <w:rPr>
                <w:rFonts w:cs="Arial"/>
                <w:sz w:val="20"/>
              </w:rPr>
            </w:pPr>
            <w:r w:rsidRPr="00FE110B">
              <w:rPr>
                <w:sz w:val="20"/>
              </w:rPr>
              <w:t>(●●●○)</w:t>
            </w:r>
          </w:p>
        </w:tc>
        <w:tc>
          <w:tcPr>
            <w:tcW w:w="759" w:type="pct"/>
          </w:tcPr>
          <w:p w14:paraId="209F43A5" w14:textId="77777777" w:rsidR="002C6E55" w:rsidRPr="00FE110B" w:rsidRDefault="002C6E55" w:rsidP="009842FE">
            <w:pPr>
              <w:jc w:val="center"/>
              <w:rPr>
                <w:rFonts w:cs="Arial"/>
                <w:sz w:val="20"/>
              </w:rPr>
            </w:pPr>
            <w:r w:rsidRPr="00FE110B">
              <w:rPr>
                <w:rFonts w:cs="Arial"/>
                <w:sz w:val="20"/>
              </w:rPr>
              <w:t>MD 4.27</w:t>
            </w:r>
          </w:p>
          <w:p w14:paraId="18F2C2FF" w14:textId="77777777" w:rsidR="002C6E55" w:rsidRPr="00FE110B" w:rsidRDefault="002C6E55" w:rsidP="009842FE">
            <w:pPr>
              <w:jc w:val="center"/>
              <w:rPr>
                <w:rFonts w:cs="Arial"/>
                <w:sz w:val="20"/>
              </w:rPr>
            </w:pPr>
            <w:r w:rsidRPr="00FE110B">
              <w:rPr>
                <w:rFonts w:cs="Arial"/>
                <w:sz w:val="20"/>
              </w:rPr>
              <w:t>(0.26, 8.28)</w:t>
            </w:r>
          </w:p>
        </w:tc>
        <w:tc>
          <w:tcPr>
            <w:tcW w:w="962" w:type="pct"/>
          </w:tcPr>
          <w:p w14:paraId="342F7100" w14:textId="77777777" w:rsidR="002C6E55" w:rsidRPr="00FE110B" w:rsidRDefault="002C6E55" w:rsidP="009842FE">
            <w:pPr>
              <w:jc w:val="center"/>
              <w:rPr>
                <w:rFonts w:cs="Arial"/>
                <w:sz w:val="20"/>
                <w:u w:val="single"/>
              </w:rPr>
            </w:pPr>
            <w:r w:rsidRPr="00FE110B">
              <w:rPr>
                <w:rFonts w:cs="Arial"/>
                <w:sz w:val="20"/>
                <w:u w:val="single"/>
              </w:rPr>
              <w:t xml:space="preserve">12-month change in </w:t>
            </w:r>
            <w:proofErr w:type="spellStart"/>
            <w:r w:rsidRPr="00FE110B">
              <w:rPr>
                <w:rFonts w:cs="Arial"/>
                <w:sz w:val="20"/>
                <w:u w:val="single"/>
              </w:rPr>
              <w:t>eGFR</w:t>
            </w:r>
            <w:proofErr w:type="spellEnd"/>
          </w:p>
          <w:p w14:paraId="1B0EE7F7" w14:textId="77777777" w:rsidR="002C6E55" w:rsidRPr="00FE110B" w:rsidRDefault="002C6E55" w:rsidP="009842FE">
            <w:pPr>
              <w:jc w:val="center"/>
              <w:rPr>
                <w:rFonts w:cs="Arial"/>
                <w:sz w:val="20"/>
              </w:rPr>
            </w:pPr>
            <w:r w:rsidRPr="00FE110B">
              <w:rPr>
                <w:rFonts w:cs="Arial"/>
                <w:sz w:val="20"/>
              </w:rPr>
              <w:t>–22 mL/min/1.73 m</w:t>
            </w:r>
            <w:r w:rsidRPr="00FE110B">
              <w:rPr>
                <w:rFonts w:cs="Arial"/>
                <w:sz w:val="20"/>
                <w:vertAlign w:val="superscript"/>
              </w:rPr>
              <w:t>2</w:t>
            </w:r>
          </w:p>
        </w:tc>
        <w:tc>
          <w:tcPr>
            <w:tcW w:w="974" w:type="pct"/>
          </w:tcPr>
          <w:p w14:paraId="25E5B5D7" w14:textId="77777777" w:rsidR="002C6E55" w:rsidRPr="00FE110B" w:rsidRDefault="002C6E55" w:rsidP="009842FE">
            <w:pPr>
              <w:jc w:val="center"/>
              <w:rPr>
                <w:rFonts w:cs="Arial"/>
                <w:sz w:val="20"/>
                <w:u w:val="single"/>
              </w:rPr>
            </w:pPr>
            <w:r w:rsidRPr="00FE110B">
              <w:rPr>
                <w:rFonts w:cs="Arial"/>
                <w:sz w:val="20"/>
                <w:u w:val="single"/>
              </w:rPr>
              <w:t xml:space="preserve">12-month change in </w:t>
            </w:r>
            <w:proofErr w:type="spellStart"/>
            <w:r w:rsidRPr="00FE110B">
              <w:rPr>
                <w:rFonts w:cs="Arial"/>
                <w:sz w:val="20"/>
                <w:u w:val="single"/>
              </w:rPr>
              <w:t>eGFR</w:t>
            </w:r>
            <w:proofErr w:type="spellEnd"/>
          </w:p>
          <w:p w14:paraId="787DBB0A" w14:textId="77777777" w:rsidR="002C6E55" w:rsidRPr="00FE110B" w:rsidRDefault="002C6E55" w:rsidP="009842FE">
            <w:pPr>
              <w:jc w:val="center"/>
              <w:rPr>
                <w:rFonts w:cs="Arial"/>
                <w:sz w:val="20"/>
              </w:rPr>
            </w:pPr>
            <w:r w:rsidRPr="00FE110B">
              <w:rPr>
                <w:rFonts w:cs="Arial"/>
                <w:sz w:val="20"/>
              </w:rPr>
              <w:t>–17 mL/min/1.73 m</w:t>
            </w:r>
            <w:r w:rsidRPr="00FE110B">
              <w:rPr>
                <w:rFonts w:cs="Arial"/>
                <w:sz w:val="20"/>
                <w:vertAlign w:val="superscript"/>
              </w:rPr>
              <w:t>2</w:t>
            </w:r>
          </w:p>
        </w:tc>
      </w:tr>
      <w:tr w:rsidR="002C6E55" w:rsidRPr="00BB57AF" w14:paraId="04F6D784" w14:textId="77777777" w:rsidTr="003A7EA2">
        <w:tc>
          <w:tcPr>
            <w:tcW w:w="767" w:type="pct"/>
          </w:tcPr>
          <w:p w14:paraId="082BE3D7" w14:textId="77777777" w:rsidR="002C6E55" w:rsidRPr="00FE110B" w:rsidRDefault="002C6E55" w:rsidP="009842FE">
            <w:pPr>
              <w:rPr>
                <w:rFonts w:cs="Arial"/>
                <w:sz w:val="20"/>
              </w:rPr>
            </w:pPr>
            <w:r w:rsidRPr="00FE110B">
              <w:rPr>
                <w:rFonts w:cs="Arial"/>
                <w:sz w:val="20"/>
              </w:rPr>
              <w:t>Renal insufficiency</w:t>
            </w:r>
          </w:p>
          <w:p w14:paraId="16D05985" w14:textId="77777777" w:rsidR="002C6E55" w:rsidRPr="00FE110B" w:rsidRDefault="002C6E55" w:rsidP="009842FE">
            <w:pPr>
              <w:rPr>
                <w:rFonts w:cs="Arial"/>
                <w:sz w:val="20"/>
              </w:rPr>
            </w:pPr>
            <w:r w:rsidRPr="00FE110B">
              <w:rPr>
                <w:rFonts w:cs="Arial"/>
                <w:sz w:val="20"/>
              </w:rPr>
              <w:t>(rate per 100-py; median 18 months FU)</w:t>
            </w:r>
          </w:p>
        </w:tc>
        <w:tc>
          <w:tcPr>
            <w:tcW w:w="1005" w:type="pct"/>
          </w:tcPr>
          <w:p w14:paraId="5206EF73" w14:textId="77777777" w:rsidR="002C6E55" w:rsidRPr="00FE110B" w:rsidRDefault="002C6E55" w:rsidP="009842FE">
            <w:pPr>
              <w:rPr>
                <w:rFonts w:cs="Arial"/>
                <w:sz w:val="20"/>
              </w:rPr>
            </w:pPr>
            <w:r w:rsidRPr="00FE110B">
              <w:rPr>
                <w:rFonts w:cs="Arial"/>
                <w:sz w:val="20"/>
              </w:rPr>
              <w:t xml:space="preserve">TA=211; RN=535 </w:t>
            </w:r>
          </w:p>
          <w:p w14:paraId="6F1CE817" w14:textId="77777777" w:rsidR="002C6E55" w:rsidRPr="00FE110B" w:rsidRDefault="002C6E55" w:rsidP="009842FE">
            <w:pPr>
              <w:rPr>
                <w:rFonts w:cs="Arial"/>
                <w:sz w:val="20"/>
              </w:rPr>
            </w:pPr>
            <w:r w:rsidRPr="00FE110B">
              <w:rPr>
                <w:rFonts w:cs="Arial"/>
                <w:sz w:val="20"/>
              </w:rPr>
              <w:t>1 prospective cohort (</w:t>
            </w:r>
            <w:proofErr w:type="spellStart"/>
            <w:r w:rsidRPr="00FE110B">
              <w:rPr>
                <w:rFonts w:cs="Arial"/>
                <w:sz w:val="20"/>
              </w:rPr>
              <w:t>Kowalczyk</w:t>
            </w:r>
            <w:proofErr w:type="spellEnd"/>
            <w:r w:rsidRPr="00FE110B">
              <w:rPr>
                <w:rFonts w:cs="Arial"/>
                <w:sz w:val="20"/>
              </w:rPr>
              <w:t xml:space="preserve"> 2013/SEER-Medicare)</w:t>
            </w:r>
          </w:p>
        </w:tc>
        <w:tc>
          <w:tcPr>
            <w:tcW w:w="533" w:type="pct"/>
          </w:tcPr>
          <w:p w14:paraId="4300A7FA" w14:textId="77777777" w:rsidR="002C6E55" w:rsidRPr="00FE110B" w:rsidRDefault="002C6E55" w:rsidP="009842FE">
            <w:pPr>
              <w:pStyle w:val="Tabletext"/>
              <w:spacing w:before="0" w:after="0"/>
              <w:jc w:val="center"/>
              <w:rPr>
                <w:szCs w:val="20"/>
              </w:rPr>
            </w:pPr>
            <w:r w:rsidRPr="00FE110B">
              <w:rPr>
                <w:szCs w:val="20"/>
              </w:rPr>
              <w:t>Moderate</w:t>
            </w:r>
          </w:p>
          <w:p w14:paraId="0B38F1C6" w14:textId="77777777" w:rsidR="002C6E55" w:rsidRPr="00FE110B" w:rsidRDefault="002C6E55" w:rsidP="009842FE">
            <w:pPr>
              <w:jc w:val="center"/>
              <w:rPr>
                <w:rFonts w:cs="Arial"/>
                <w:sz w:val="20"/>
              </w:rPr>
            </w:pPr>
            <w:r w:rsidRPr="00FE110B">
              <w:rPr>
                <w:sz w:val="20"/>
              </w:rPr>
              <w:t>(●●●○)</w:t>
            </w:r>
          </w:p>
        </w:tc>
        <w:tc>
          <w:tcPr>
            <w:tcW w:w="759" w:type="pct"/>
          </w:tcPr>
          <w:p w14:paraId="229FE524" w14:textId="77777777" w:rsidR="002C6E55" w:rsidRPr="00FE110B" w:rsidRDefault="002C6E55" w:rsidP="009842FE">
            <w:pPr>
              <w:jc w:val="center"/>
              <w:rPr>
                <w:rFonts w:cs="Arial"/>
                <w:sz w:val="20"/>
              </w:rPr>
            </w:pPr>
            <w:r w:rsidRPr="00FE110B">
              <w:rPr>
                <w:rFonts w:cs="Arial"/>
                <w:sz w:val="20"/>
              </w:rPr>
              <w:t>No formal test between TA and RN</w:t>
            </w:r>
          </w:p>
        </w:tc>
        <w:tc>
          <w:tcPr>
            <w:tcW w:w="962" w:type="pct"/>
          </w:tcPr>
          <w:p w14:paraId="6B264FFF" w14:textId="77777777" w:rsidR="002C6E55" w:rsidRPr="00FE110B" w:rsidRDefault="002C6E55" w:rsidP="009842FE">
            <w:pPr>
              <w:jc w:val="center"/>
              <w:rPr>
                <w:rFonts w:cs="Arial"/>
                <w:sz w:val="20"/>
                <w:u w:val="single"/>
              </w:rPr>
            </w:pPr>
            <w:r w:rsidRPr="00FE110B">
              <w:rPr>
                <w:rFonts w:cs="Arial"/>
                <w:sz w:val="20"/>
                <w:u w:val="single"/>
              </w:rPr>
              <w:t>Rate per 100-py</w:t>
            </w:r>
          </w:p>
          <w:p w14:paraId="37D7D323" w14:textId="77777777" w:rsidR="002C6E55" w:rsidRPr="00FE110B" w:rsidRDefault="002C6E55" w:rsidP="009842FE">
            <w:pPr>
              <w:jc w:val="center"/>
              <w:rPr>
                <w:rFonts w:cs="Arial"/>
                <w:sz w:val="20"/>
              </w:rPr>
            </w:pPr>
            <w:r w:rsidRPr="00FE110B">
              <w:rPr>
                <w:rFonts w:cs="Arial"/>
                <w:sz w:val="20"/>
              </w:rPr>
              <w:t>38.3</w:t>
            </w:r>
          </w:p>
        </w:tc>
        <w:tc>
          <w:tcPr>
            <w:tcW w:w="974" w:type="pct"/>
          </w:tcPr>
          <w:p w14:paraId="6DCBB5F6" w14:textId="77777777" w:rsidR="002C6E55" w:rsidRPr="00FE110B" w:rsidRDefault="002C6E55" w:rsidP="009842FE">
            <w:pPr>
              <w:jc w:val="center"/>
              <w:rPr>
                <w:rFonts w:cs="Arial"/>
                <w:sz w:val="20"/>
                <w:u w:val="single"/>
              </w:rPr>
            </w:pPr>
            <w:r w:rsidRPr="00FE110B">
              <w:rPr>
                <w:rFonts w:cs="Arial"/>
                <w:sz w:val="20"/>
                <w:u w:val="single"/>
              </w:rPr>
              <w:t>Rate per 100-py</w:t>
            </w:r>
          </w:p>
          <w:p w14:paraId="3B108CD0" w14:textId="77777777" w:rsidR="002C6E55" w:rsidRPr="00FE110B" w:rsidRDefault="002C6E55" w:rsidP="009842FE">
            <w:pPr>
              <w:jc w:val="center"/>
              <w:rPr>
                <w:rFonts w:cs="Arial"/>
                <w:sz w:val="20"/>
              </w:rPr>
            </w:pPr>
            <w:r w:rsidRPr="00FE110B">
              <w:rPr>
                <w:rFonts w:cs="Arial"/>
                <w:sz w:val="20"/>
              </w:rPr>
              <w:t>19.0</w:t>
            </w:r>
          </w:p>
        </w:tc>
      </w:tr>
      <w:tr w:rsidR="002C6E55" w:rsidRPr="00BB57AF" w14:paraId="03138020" w14:textId="77777777" w:rsidTr="003A7EA2">
        <w:tc>
          <w:tcPr>
            <w:tcW w:w="767" w:type="pct"/>
          </w:tcPr>
          <w:p w14:paraId="0CB68F2A" w14:textId="77777777" w:rsidR="002C6E55" w:rsidRPr="00FE110B" w:rsidRDefault="002C6E55" w:rsidP="009842FE">
            <w:pPr>
              <w:rPr>
                <w:sz w:val="20"/>
              </w:rPr>
            </w:pPr>
            <w:r w:rsidRPr="00FE110B">
              <w:rPr>
                <w:sz w:val="20"/>
              </w:rPr>
              <w:t>Quality of life – change in SF-12 Total score</w:t>
            </w:r>
          </w:p>
          <w:p w14:paraId="529EF82D" w14:textId="77777777" w:rsidR="002C6E55" w:rsidRPr="00FE110B" w:rsidRDefault="002C6E55" w:rsidP="009842FE">
            <w:pPr>
              <w:rPr>
                <w:sz w:val="20"/>
              </w:rPr>
            </w:pPr>
            <w:r w:rsidRPr="00FE110B">
              <w:rPr>
                <w:sz w:val="20"/>
              </w:rPr>
              <w:t>(up to 7 years FU)</w:t>
            </w:r>
          </w:p>
        </w:tc>
        <w:tc>
          <w:tcPr>
            <w:tcW w:w="1005" w:type="pct"/>
          </w:tcPr>
          <w:p w14:paraId="37A3BFD9" w14:textId="77777777" w:rsidR="002C6E55" w:rsidRPr="00FE110B" w:rsidRDefault="002C6E55" w:rsidP="009842FE">
            <w:pPr>
              <w:rPr>
                <w:sz w:val="20"/>
              </w:rPr>
            </w:pPr>
            <w:r w:rsidRPr="00FE110B">
              <w:rPr>
                <w:sz w:val="20"/>
              </w:rPr>
              <w:t>TA=37; RN=38; (PN=218)</w:t>
            </w:r>
          </w:p>
          <w:p w14:paraId="2003B815" w14:textId="77777777" w:rsidR="002C6E55" w:rsidRPr="00FE110B" w:rsidRDefault="002C6E55" w:rsidP="009842FE">
            <w:pPr>
              <w:rPr>
                <w:sz w:val="20"/>
              </w:rPr>
            </w:pPr>
            <w:r w:rsidRPr="00FE110B">
              <w:rPr>
                <w:sz w:val="20"/>
              </w:rPr>
              <w:t>1 retrospective cohort (</w:t>
            </w:r>
            <w:proofErr w:type="spellStart"/>
            <w:r w:rsidRPr="00FE110B">
              <w:rPr>
                <w:sz w:val="20"/>
              </w:rPr>
              <w:t>Alam</w:t>
            </w:r>
            <w:proofErr w:type="spellEnd"/>
            <w:r w:rsidRPr="00FE110B">
              <w:rPr>
                <w:sz w:val="20"/>
              </w:rPr>
              <w:t xml:space="preserve"> 2019/DISSRM)</w:t>
            </w:r>
          </w:p>
        </w:tc>
        <w:tc>
          <w:tcPr>
            <w:tcW w:w="533" w:type="pct"/>
          </w:tcPr>
          <w:p w14:paraId="49B9C5B6" w14:textId="77777777" w:rsidR="002C6E55" w:rsidRPr="00FE110B" w:rsidRDefault="002C6E55" w:rsidP="009842FE">
            <w:pPr>
              <w:pStyle w:val="Tabletext"/>
              <w:spacing w:before="0" w:after="0"/>
              <w:jc w:val="center"/>
              <w:rPr>
                <w:szCs w:val="20"/>
              </w:rPr>
            </w:pPr>
            <w:r w:rsidRPr="00FE110B">
              <w:rPr>
                <w:szCs w:val="20"/>
              </w:rPr>
              <w:t>Low</w:t>
            </w:r>
          </w:p>
          <w:p w14:paraId="76E2A6EA" w14:textId="77777777" w:rsidR="002C6E55" w:rsidRPr="00FE110B" w:rsidRDefault="002C6E55" w:rsidP="009842FE">
            <w:pPr>
              <w:pStyle w:val="Tabletext"/>
              <w:spacing w:before="0" w:after="0"/>
              <w:jc w:val="center"/>
              <w:rPr>
                <w:szCs w:val="20"/>
              </w:rPr>
            </w:pPr>
            <w:r w:rsidRPr="00FE110B">
              <w:rPr>
                <w:szCs w:val="20"/>
              </w:rPr>
              <w:t>(●●○○)</w:t>
            </w:r>
          </w:p>
        </w:tc>
        <w:tc>
          <w:tcPr>
            <w:tcW w:w="759" w:type="pct"/>
          </w:tcPr>
          <w:p w14:paraId="702A4A01" w14:textId="77777777" w:rsidR="002C6E55" w:rsidRPr="00FE110B" w:rsidRDefault="002C6E55" w:rsidP="009842FE">
            <w:pPr>
              <w:jc w:val="center"/>
              <w:rPr>
                <w:rFonts w:cs="Arial"/>
                <w:sz w:val="20"/>
              </w:rPr>
            </w:pPr>
            <w:r w:rsidRPr="00FE110B">
              <w:rPr>
                <w:rFonts w:cs="Arial"/>
                <w:sz w:val="20"/>
              </w:rPr>
              <w:t>MD 1.55</w:t>
            </w:r>
          </w:p>
          <w:p w14:paraId="2165F0E4" w14:textId="77777777" w:rsidR="002C6E55" w:rsidRPr="00FE110B" w:rsidRDefault="002C6E55" w:rsidP="009842FE">
            <w:pPr>
              <w:jc w:val="center"/>
              <w:rPr>
                <w:rFonts w:cs="Arial"/>
                <w:sz w:val="20"/>
              </w:rPr>
            </w:pPr>
            <w:r w:rsidRPr="00FE110B">
              <w:rPr>
                <w:rFonts w:cs="Arial"/>
                <w:sz w:val="20"/>
              </w:rPr>
              <w:t>(-5.76, 8.86)</w:t>
            </w:r>
          </w:p>
        </w:tc>
        <w:tc>
          <w:tcPr>
            <w:tcW w:w="962" w:type="pct"/>
          </w:tcPr>
          <w:p w14:paraId="5ED71D4A" w14:textId="77777777" w:rsidR="002C6E55" w:rsidRPr="00FE110B" w:rsidRDefault="002C6E55" w:rsidP="009842FE">
            <w:pPr>
              <w:jc w:val="center"/>
              <w:rPr>
                <w:sz w:val="20"/>
                <w:u w:val="single"/>
              </w:rPr>
            </w:pPr>
            <w:r w:rsidRPr="00FE110B">
              <w:rPr>
                <w:sz w:val="20"/>
                <w:u w:val="single"/>
              </w:rPr>
              <w:t>7-year change in SF-12 Total score</w:t>
            </w:r>
          </w:p>
          <w:p w14:paraId="7D8B7E24" w14:textId="77777777" w:rsidR="002C6E55" w:rsidRPr="00FE110B" w:rsidRDefault="002C6E55" w:rsidP="009842FE">
            <w:pPr>
              <w:jc w:val="center"/>
              <w:rPr>
                <w:sz w:val="20"/>
              </w:rPr>
            </w:pPr>
            <w:r w:rsidRPr="00FE110B">
              <w:rPr>
                <w:sz w:val="20"/>
              </w:rPr>
              <w:t>5 points</w:t>
            </w:r>
          </w:p>
        </w:tc>
        <w:tc>
          <w:tcPr>
            <w:tcW w:w="974" w:type="pct"/>
          </w:tcPr>
          <w:p w14:paraId="6B73183F" w14:textId="77777777" w:rsidR="002C6E55" w:rsidRPr="00FE110B" w:rsidRDefault="002C6E55" w:rsidP="009842FE">
            <w:pPr>
              <w:jc w:val="center"/>
              <w:rPr>
                <w:sz w:val="20"/>
                <w:u w:val="single"/>
              </w:rPr>
            </w:pPr>
            <w:r w:rsidRPr="00FE110B">
              <w:rPr>
                <w:sz w:val="20"/>
                <w:u w:val="single"/>
              </w:rPr>
              <w:t>7-year change in SF-12 Total score</w:t>
            </w:r>
          </w:p>
          <w:p w14:paraId="39761BC1" w14:textId="77777777" w:rsidR="002C6E55" w:rsidRPr="00FE110B" w:rsidRDefault="002C6E55" w:rsidP="009842FE">
            <w:pPr>
              <w:jc w:val="center"/>
              <w:rPr>
                <w:sz w:val="20"/>
              </w:rPr>
            </w:pPr>
            <w:r w:rsidRPr="00FE110B">
              <w:rPr>
                <w:sz w:val="20"/>
              </w:rPr>
              <w:t>6.5 points</w:t>
            </w:r>
          </w:p>
        </w:tc>
      </w:tr>
      <w:tr w:rsidR="002C6E55" w:rsidRPr="00BB57AF" w14:paraId="703EEB7B" w14:textId="77777777" w:rsidTr="003A7EA2">
        <w:tc>
          <w:tcPr>
            <w:tcW w:w="767" w:type="pct"/>
          </w:tcPr>
          <w:p w14:paraId="1E270A44" w14:textId="77777777" w:rsidR="002C6E55" w:rsidRPr="00FE110B" w:rsidRDefault="002C6E55" w:rsidP="009842FE">
            <w:pPr>
              <w:rPr>
                <w:sz w:val="20"/>
              </w:rPr>
            </w:pPr>
            <w:r w:rsidRPr="00FE110B">
              <w:rPr>
                <w:sz w:val="20"/>
              </w:rPr>
              <w:t>Quality of life – change in SF-12 PCS</w:t>
            </w:r>
          </w:p>
          <w:p w14:paraId="5AC1A6D9" w14:textId="77777777" w:rsidR="002C6E55" w:rsidRPr="00FE110B" w:rsidRDefault="002C6E55" w:rsidP="009842FE">
            <w:pPr>
              <w:rPr>
                <w:sz w:val="20"/>
              </w:rPr>
            </w:pPr>
            <w:r w:rsidRPr="00FE110B">
              <w:rPr>
                <w:sz w:val="20"/>
              </w:rPr>
              <w:t>(up to 7 years FU)</w:t>
            </w:r>
          </w:p>
        </w:tc>
        <w:tc>
          <w:tcPr>
            <w:tcW w:w="1005" w:type="pct"/>
          </w:tcPr>
          <w:p w14:paraId="522AC300" w14:textId="77777777" w:rsidR="002C6E55" w:rsidRPr="00FE110B" w:rsidRDefault="002C6E55" w:rsidP="009842FE">
            <w:pPr>
              <w:rPr>
                <w:sz w:val="20"/>
              </w:rPr>
            </w:pPr>
            <w:r w:rsidRPr="00FE110B">
              <w:rPr>
                <w:sz w:val="20"/>
              </w:rPr>
              <w:t>TA=37; RN=38; (PN=218)</w:t>
            </w:r>
          </w:p>
          <w:p w14:paraId="4D87AD9E" w14:textId="77777777" w:rsidR="002C6E55" w:rsidRPr="00FE110B" w:rsidRDefault="002C6E55" w:rsidP="009842FE">
            <w:pPr>
              <w:rPr>
                <w:sz w:val="20"/>
              </w:rPr>
            </w:pPr>
            <w:r w:rsidRPr="00FE110B">
              <w:rPr>
                <w:sz w:val="20"/>
              </w:rPr>
              <w:t>1 retrospective cohort (</w:t>
            </w:r>
            <w:proofErr w:type="spellStart"/>
            <w:r w:rsidRPr="00FE110B">
              <w:rPr>
                <w:sz w:val="20"/>
              </w:rPr>
              <w:t>Alam</w:t>
            </w:r>
            <w:proofErr w:type="spellEnd"/>
            <w:r w:rsidRPr="00FE110B">
              <w:rPr>
                <w:sz w:val="20"/>
              </w:rPr>
              <w:t xml:space="preserve"> 2019/DISSRM)</w:t>
            </w:r>
          </w:p>
        </w:tc>
        <w:tc>
          <w:tcPr>
            <w:tcW w:w="533" w:type="pct"/>
          </w:tcPr>
          <w:p w14:paraId="691C5F56" w14:textId="77777777" w:rsidR="002C6E55" w:rsidRPr="00FE110B" w:rsidRDefault="002C6E55" w:rsidP="009842FE">
            <w:pPr>
              <w:pStyle w:val="Tabletext"/>
              <w:spacing w:before="0" w:after="0"/>
              <w:jc w:val="center"/>
              <w:rPr>
                <w:szCs w:val="20"/>
              </w:rPr>
            </w:pPr>
            <w:r w:rsidRPr="00FE110B">
              <w:rPr>
                <w:szCs w:val="20"/>
              </w:rPr>
              <w:t>Low</w:t>
            </w:r>
          </w:p>
          <w:p w14:paraId="00825763" w14:textId="77777777" w:rsidR="002C6E55" w:rsidRPr="00FE110B" w:rsidRDefault="002C6E55" w:rsidP="009842FE">
            <w:pPr>
              <w:pStyle w:val="Tabletext"/>
              <w:spacing w:before="0" w:after="0"/>
              <w:jc w:val="center"/>
              <w:rPr>
                <w:szCs w:val="20"/>
              </w:rPr>
            </w:pPr>
            <w:r w:rsidRPr="00FE110B">
              <w:rPr>
                <w:szCs w:val="20"/>
              </w:rPr>
              <w:t>(●●○○)</w:t>
            </w:r>
          </w:p>
        </w:tc>
        <w:tc>
          <w:tcPr>
            <w:tcW w:w="759" w:type="pct"/>
          </w:tcPr>
          <w:p w14:paraId="235F2F15" w14:textId="77777777" w:rsidR="002C6E55" w:rsidRPr="00FE110B" w:rsidRDefault="002C6E55" w:rsidP="009842FE">
            <w:pPr>
              <w:jc w:val="center"/>
              <w:rPr>
                <w:rFonts w:cs="Arial"/>
                <w:sz w:val="20"/>
              </w:rPr>
            </w:pPr>
            <w:r w:rsidRPr="00FE110B">
              <w:rPr>
                <w:rFonts w:cs="Arial"/>
                <w:sz w:val="20"/>
              </w:rPr>
              <w:t>MD 1.15</w:t>
            </w:r>
          </w:p>
          <w:p w14:paraId="159E025D" w14:textId="77777777" w:rsidR="002C6E55" w:rsidRPr="00FE110B" w:rsidRDefault="002C6E55" w:rsidP="009842FE">
            <w:pPr>
              <w:jc w:val="center"/>
              <w:rPr>
                <w:rFonts w:cs="Arial"/>
                <w:sz w:val="20"/>
              </w:rPr>
            </w:pPr>
            <w:r w:rsidRPr="00FE110B">
              <w:rPr>
                <w:rFonts w:cs="Arial"/>
                <w:sz w:val="20"/>
              </w:rPr>
              <w:t>(-3.90, 6.20)</w:t>
            </w:r>
          </w:p>
        </w:tc>
        <w:tc>
          <w:tcPr>
            <w:tcW w:w="962" w:type="pct"/>
          </w:tcPr>
          <w:p w14:paraId="69CD5E92" w14:textId="77777777" w:rsidR="002C6E55" w:rsidRPr="00FE110B" w:rsidRDefault="002C6E55" w:rsidP="009842FE">
            <w:pPr>
              <w:jc w:val="center"/>
              <w:rPr>
                <w:sz w:val="20"/>
                <w:u w:val="single"/>
              </w:rPr>
            </w:pPr>
            <w:r w:rsidRPr="00FE110B">
              <w:rPr>
                <w:sz w:val="20"/>
                <w:u w:val="single"/>
              </w:rPr>
              <w:t>7-year change in SF-12 PCS</w:t>
            </w:r>
          </w:p>
          <w:p w14:paraId="06B1F2C1" w14:textId="77777777" w:rsidR="002C6E55" w:rsidRPr="00FE110B" w:rsidRDefault="002C6E55" w:rsidP="009842FE">
            <w:pPr>
              <w:jc w:val="center"/>
              <w:rPr>
                <w:sz w:val="20"/>
              </w:rPr>
            </w:pPr>
            <w:r w:rsidRPr="00FE110B">
              <w:rPr>
                <w:sz w:val="20"/>
              </w:rPr>
              <w:t>0 points</w:t>
            </w:r>
          </w:p>
        </w:tc>
        <w:tc>
          <w:tcPr>
            <w:tcW w:w="974" w:type="pct"/>
          </w:tcPr>
          <w:p w14:paraId="73BA7A87" w14:textId="77777777" w:rsidR="002C6E55" w:rsidRPr="00FE110B" w:rsidRDefault="002C6E55" w:rsidP="009842FE">
            <w:pPr>
              <w:jc w:val="center"/>
              <w:rPr>
                <w:sz w:val="20"/>
                <w:u w:val="single"/>
              </w:rPr>
            </w:pPr>
            <w:r w:rsidRPr="00FE110B">
              <w:rPr>
                <w:sz w:val="20"/>
                <w:u w:val="single"/>
              </w:rPr>
              <w:t>7-year change in SF-12 PCS</w:t>
            </w:r>
          </w:p>
          <w:p w14:paraId="53FB7185" w14:textId="77777777" w:rsidR="002C6E55" w:rsidRPr="00FE110B" w:rsidRDefault="002C6E55" w:rsidP="009842FE">
            <w:pPr>
              <w:jc w:val="center"/>
              <w:rPr>
                <w:sz w:val="20"/>
              </w:rPr>
            </w:pPr>
            <w:r w:rsidRPr="00FE110B">
              <w:rPr>
                <w:sz w:val="20"/>
              </w:rPr>
              <w:t>1 points</w:t>
            </w:r>
          </w:p>
        </w:tc>
      </w:tr>
      <w:tr w:rsidR="002C6E55" w:rsidRPr="00BB57AF" w14:paraId="2A8D14DF" w14:textId="77777777" w:rsidTr="003A7EA2">
        <w:tc>
          <w:tcPr>
            <w:tcW w:w="767" w:type="pct"/>
          </w:tcPr>
          <w:p w14:paraId="38DCCAAA" w14:textId="77777777" w:rsidR="002C6E55" w:rsidRPr="00FE110B" w:rsidRDefault="002C6E55" w:rsidP="009842FE">
            <w:pPr>
              <w:rPr>
                <w:sz w:val="20"/>
              </w:rPr>
            </w:pPr>
            <w:r w:rsidRPr="00FE110B">
              <w:rPr>
                <w:sz w:val="20"/>
              </w:rPr>
              <w:t>Quality of life – change in SF-12 MCS</w:t>
            </w:r>
          </w:p>
          <w:p w14:paraId="0957B4B4" w14:textId="77777777" w:rsidR="002C6E55" w:rsidRPr="00FE110B" w:rsidRDefault="002C6E55" w:rsidP="009842FE">
            <w:pPr>
              <w:rPr>
                <w:sz w:val="20"/>
              </w:rPr>
            </w:pPr>
            <w:r w:rsidRPr="00FE110B">
              <w:rPr>
                <w:sz w:val="20"/>
              </w:rPr>
              <w:t>(up to 7 years FU)</w:t>
            </w:r>
          </w:p>
        </w:tc>
        <w:tc>
          <w:tcPr>
            <w:tcW w:w="1005" w:type="pct"/>
          </w:tcPr>
          <w:p w14:paraId="04BC01CF" w14:textId="77777777" w:rsidR="002C6E55" w:rsidRPr="00FE110B" w:rsidRDefault="002C6E55" w:rsidP="009842FE">
            <w:pPr>
              <w:rPr>
                <w:sz w:val="20"/>
              </w:rPr>
            </w:pPr>
            <w:r w:rsidRPr="00FE110B">
              <w:rPr>
                <w:sz w:val="20"/>
              </w:rPr>
              <w:t>TA=37; RN=38; (PN=218)</w:t>
            </w:r>
          </w:p>
          <w:p w14:paraId="3B9E2051" w14:textId="77777777" w:rsidR="002C6E55" w:rsidRPr="00FE110B" w:rsidRDefault="002C6E55" w:rsidP="009842FE">
            <w:pPr>
              <w:rPr>
                <w:sz w:val="20"/>
              </w:rPr>
            </w:pPr>
            <w:r w:rsidRPr="00FE110B">
              <w:rPr>
                <w:sz w:val="20"/>
              </w:rPr>
              <w:t>1 retrospective cohort (</w:t>
            </w:r>
            <w:proofErr w:type="spellStart"/>
            <w:r w:rsidRPr="00FE110B">
              <w:rPr>
                <w:sz w:val="20"/>
              </w:rPr>
              <w:t>Alam</w:t>
            </w:r>
            <w:proofErr w:type="spellEnd"/>
            <w:r w:rsidRPr="00FE110B">
              <w:rPr>
                <w:sz w:val="20"/>
              </w:rPr>
              <w:t xml:space="preserve"> 2019/DISSRM)</w:t>
            </w:r>
          </w:p>
        </w:tc>
        <w:tc>
          <w:tcPr>
            <w:tcW w:w="533" w:type="pct"/>
          </w:tcPr>
          <w:p w14:paraId="3C4A8D28" w14:textId="77777777" w:rsidR="002C6E55" w:rsidRPr="00FE110B" w:rsidRDefault="002C6E55" w:rsidP="009842FE">
            <w:pPr>
              <w:pStyle w:val="Tabletext"/>
              <w:spacing w:before="0" w:after="0"/>
              <w:jc w:val="center"/>
              <w:rPr>
                <w:szCs w:val="20"/>
              </w:rPr>
            </w:pPr>
            <w:r w:rsidRPr="00FE110B">
              <w:rPr>
                <w:szCs w:val="20"/>
              </w:rPr>
              <w:t>Low</w:t>
            </w:r>
          </w:p>
          <w:p w14:paraId="1316072F" w14:textId="77777777" w:rsidR="002C6E55" w:rsidRPr="00FE110B" w:rsidRDefault="002C6E55" w:rsidP="009842FE">
            <w:pPr>
              <w:pStyle w:val="Tabletext"/>
              <w:spacing w:before="0" w:after="0"/>
              <w:jc w:val="center"/>
              <w:rPr>
                <w:szCs w:val="20"/>
              </w:rPr>
            </w:pPr>
            <w:r w:rsidRPr="00FE110B">
              <w:rPr>
                <w:szCs w:val="20"/>
              </w:rPr>
              <w:t>(●●○○)</w:t>
            </w:r>
          </w:p>
        </w:tc>
        <w:tc>
          <w:tcPr>
            <w:tcW w:w="759" w:type="pct"/>
          </w:tcPr>
          <w:p w14:paraId="4F1E4CC5" w14:textId="77777777" w:rsidR="002C6E55" w:rsidRPr="00FE110B" w:rsidRDefault="002C6E55" w:rsidP="009842FE">
            <w:pPr>
              <w:jc w:val="center"/>
              <w:rPr>
                <w:rFonts w:cs="Arial"/>
                <w:sz w:val="20"/>
              </w:rPr>
            </w:pPr>
          </w:p>
          <w:p w14:paraId="58741255" w14:textId="77777777" w:rsidR="002C6E55" w:rsidRPr="00FE110B" w:rsidRDefault="002C6E55" w:rsidP="009842FE">
            <w:pPr>
              <w:jc w:val="center"/>
              <w:rPr>
                <w:rFonts w:cs="Arial"/>
                <w:sz w:val="20"/>
              </w:rPr>
            </w:pPr>
            <w:r w:rsidRPr="00FE110B">
              <w:rPr>
                <w:rFonts w:cs="Arial"/>
                <w:sz w:val="20"/>
              </w:rPr>
              <w:t>MD 0.43</w:t>
            </w:r>
          </w:p>
          <w:p w14:paraId="77F02EE0" w14:textId="77777777" w:rsidR="002C6E55" w:rsidRPr="00FE110B" w:rsidRDefault="002C6E55" w:rsidP="009842FE">
            <w:pPr>
              <w:jc w:val="center"/>
              <w:rPr>
                <w:rFonts w:cs="Arial"/>
                <w:sz w:val="20"/>
              </w:rPr>
            </w:pPr>
            <w:r w:rsidRPr="00FE110B">
              <w:rPr>
                <w:rFonts w:cs="Arial"/>
                <w:sz w:val="20"/>
              </w:rPr>
              <w:t>(-3.77, 4.63)</w:t>
            </w:r>
          </w:p>
        </w:tc>
        <w:tc>
          <w:tcPr>
            <w:tcW w:w="962" w:type="pct"/>
          </w:tcPr>
          <w:p w14:paraId="54434C12" w14:textId="77777777" w:rsidR="002C6E55" w:rsidRPr="00FE110B" w:rsidRDefault="002C6E55" w:rsidP="009842FE">
            <w:pPr>
              <w:jc w:val="center"/>
              <w:rPr>
                <w:sz w:val="20"/>
                <w:u w:val="single"/>
              </w:rPr>
            </w:pPr>
            <w:r w:rsidRPr="00FE110B">
              <w:rPr>
                <w:sz w:val="20"/>
                <w:u w:val="single"/>
              </w:rPr>
              <w:t>7-year change in SF-12 PCS</w:t>
            </w:r>
          </w:p>
          <w:p w14:paraId="34CA42C1" w14:textId="77777777" w:rsidR="002C6E55" w:rsidRPr="00FE110B" w:rsidRDefault="002C6E55" w:rsidP="009842FE">
            <w:pPr>
              <w:jc w:val="center"/>
              <w:rPr>
                <w:sz w:val="20"/>
              </w:rPr>
            </w:pPr>
            <w:r w:rsidRPr="00FE110B">
              <w:rPr>
                <w:sz w:val="20"/>
              </w:rPr>
              <w:t>5.5 points</w:t>
            </w:r>
          </w:p>
        </w:tc>
        <w:tc>
          <w:tcPr>
            <w:tcW w:w="974" w:type="pct"/>
          </w:tcPr>
          <w:p w14:paraId="4E6FB563" w14:textId="77777777" w:rsidR="002C6E55" w:rsidRPr="00FE110B" w:rsidRDefault="002C6E55" w:rsidP="009842FE">
            <w:pPr>
              <w:jc w:val="center"/>
              <w:rPr>
                <w:sz w:val="20"/>
                <w:u w:val="single"/>
              </w:rPr>
            </w:pPr>
            <w:r w:rsidRPr="00FE110B">
              <w:rPr>
                <w:sz w:val="20"/>
                <w:u w:val="single"/>
              </w:rPr>
              <w:t>7-year change in SF-12 PCS</w:t>
            </w:r>
          </w:p>
          <w:p w14:paraId="2E8E778C" w14:textId="77777777" w:rsidR="002C6E55" w:rsidRPr="00FE110B" w:rsidRDefault="002C6E55" w:rsidP="009842FE">
            <w:pPr>
              <w:jc w:val="center"/>
              <w:rPr>
                <w:sz w:val="20"/>
              </w:rPr>
            </w:pPr>
            <w:r w:rsidRPr="00FE110B">
              <w:rPr>
                <w:sz w:val="20"/>
              </w:rPr>
              <w:t>6 points</w:t>
            </w:r>
          </w:p>
        </w:tc>
      </w:tr>
      <w:tr w:rsidR="002C6E55" w:rsidRPr="00BB57AF" w14:paraId="3AA068E6" w14:textId="77777777" w:rsidTr="003A7EA2">
        <w:tc>
          <w:tcPr>
            <w:tcW w:w="767" w:type="pct"/>
          </w:tcPr>
          <w:p w14:paraId="01666EC8" w14:textId="77777777" w:rsidR="002C6E55" w:rsidRPr="00FE110B" w:rsidRDefault="002C6E55" w:rsidP="009842FE">
            <w:pPr>
              <w:pStyle w:val="Tabletext"/>
              <w:spacing w:before="0" w:after="0"/>
              <w:rPr>
                <w:szCs w:val="20"/>
              </w:rPr>
            </w:pPr>
            <w:r w:rsidRPr="00FE110B">
              <w:rPr>
                <w:szCs w:val="20"/>
              </w:rPr>
              <w:t>Acute renal failure (rate; 30 d FU)</w:t>
            </w:r>
          </w:p>
        </w:tc>
        <w:tc>
          <w:tcPr>
            <w:tcW w:w="1005" w:type="pct"/>
          </w:tcPr>
          <w:p w14:paraId="51B491DF" w14:textId="77777777" w:rsidR="002C6E55" w:rsidRPr="00FE110B" w:rsidRDefault="002C6E55" w:rsidP="009842FE">
            <w:pPr>
              <w:pStyle w:val="Tabletext"/>
              <w:spacing w:before="0" w:after="0"/>
              <w:rPr>
                <w:szCs w:val="20"/>
              </w:rPr>
            </w:pPr>
            <w:r w:rsidRPr="00FE110B">
              <w:rPr>
                <w:szCs w:val="20"/>
              </w:rPr>
              <w:t>PTA=456; RN=1748</w:t>
            </w:r>
          </w:p>
          <w:p w14:paraId="174D0017" w14:textId="77777777" w:rsidR="002C6E55" w:rsidRPr="00FE110B" w:rsidRDefault="002C6E55" w:rsidP="009842FE">
            <w:pPr>
              <w:pStyle w:val="Tabletext"/>
              <w:spacing w:before="0" w:after="0"/>
              <w:rPr>
                <w:szCs w:val="20"/>
              </w:rPr>
            </w:pPr>
            <w:r w:rsidRPr="00FE110B">
              <w:rPr>
                <w:szCs w:val="20"/>
              </w:rPr>
              <w:t>1 retrospective cohort (</w:t>
            </w:r>
            <w:proofErr w:type="spellStart"/>
            <w:r w:rsidRPr="00FE110B">
              <w:rPr>
                <w:szCs w:val="20"/>
              </w:rPr>
              <w:t>Talenfeld</w:t>
            </w:r>
            <w:proofErr w:type="spellEnd"/>
            <w:r w:rsidRPr="00FE110B">
              <w:rPr>
                <w:szCs w:val="20"/>
              </w:rPr>
              <w:t xml:space="preserve"> 2018/SEER-Medicare)</w:t>
            </w:r>
          </w:p>
        </w:tc>
        <w:tc>
          <w:tcPr>
            <w:tcW w:w="533" w:type="pct"/>
          </w:tcPr>
          <w:p w14:paraId="00093CC3" w14:textId="77777777" w:rsidR="002C6E55" w:rsidRPr="00FE110B" w:rsidRDefault="002C6E55" w:rsidP="009842FE">
            <w:pPr>
              <w:pStyle w:val="Tabletext"/>
              <w:spacing w:before="0" w:after="0"/>
              <w:jc w:val="center"/>
              <w:rPr>
                <w:szCs w:val="20"/>
              </w:rPr>
            </w:pPr>
            <w:r w:rsidRPr="00FE110B">
              <w:rPr>
                <w:szCs w:val="20"/>
              </w:rPr>
              <w:t>Moderate</w:t>
            </w:r>
          </w:p>
          <w:p w14:paraId="7D6CC679" w14:textId="77777777" w:rsidR="002C6E55" w:rsidRPr="00FE110B" w:rsidRDefault="002C6E55" w:rsidP="009842FE">
            <w:pPr>
              <w:pStyle w:val="Tabletext"/>
              <w:spacing w:before="0" w:after="0"/>
              <w:jc w:val="center"/>
              <w:rPr>
                <w:szCs w:val="20"/>
              </w:rPr>
            </w:pPr>
            <w:r w:rsidRPr="00FE110B">
              <w:rPr>
                <w:szCs w:val="20"/>
              </w:rPr>
              <w:t>(●●●○)</w:t>
            </w:r>
          </w:p>
        </w:tc>
        <w:tc>
          <w:tcPr>
            <w:tcW w:w="759" w:type="pct"/>
          </w:tcPr>
          <w:p w14:paraId="510714A8" w14:textId="77777777" w:rsidR="002C6E55" w:rsidRPr="00FE110B" w:rsidRDefault="002C6E55" w:rsidP="009842FE">
            <w:pPr>
              <w:jc w:val="center"/>
              <w:rPr>
                <w:rFonts w:cs="Arial"/>
                <w:sz w:val="20"/>
              </w:rPr>
            </w:pPr>
            <w:r w:rsidRPr="00FE110B">
              <w:rPr>
                <w:rFonts w:cs="Arial"/>
                <w:sz w:val="20"/>
              </w:rPr>
              <w:t>6% (4, 8)</w:t>
            </w:r>
          </w:p>
          <w:p w14:paraId="17B04C85" w14:textId="77777777" w:rsidR="002C6E55" w:rsidRPr="00FE110B" w:rsidRDefault="002C6E55" w:rsidP="009842FE">
            <w:pPr>
              <w:jc w:val="center"/>
              <w:rPr>
                <w:rFonts w:cs="Arial"/>
                <w:sz w:val="20"/>
              </w:rPr>
            </w:pPr>
            <w:r w:rsidRPr="00FE110B">
              <w:rPr>
                <w:rFonts w:cs="Arial"/>
                <w:sz w:val="20"/>
              </w:rPr>
              <w:t>vs</w:t>
            </w:r>
          </w:p>
          <w:p w14:paraId="61745BD6" w14:textId="77777777" w:rsidR="002C6E55" w:rsidRPr="00FE110B" w:rsidRDefault="002C6E55" w:rsidP="009842FE">
            <w:pPr>
              <w:jc w:val="center"/>
              <w:rPr>
                <w:rFonts w:cs="Arial"/>
                <w:sz w:val="20"/>
              </w:rPr>
            </w:pPr>
            <w:r w:rsidRPr="00FE110B">
              <w:rPr>
                <w:rFonts w:cs="Arial"/>
                <w:sz w:val="20"/>
              </w:rPr>
              <w:t>12% (10, 14)</w:t>
            </w:r>
          </w:p>
          <w:p w14:paraId="47F4128F" w14:textId="77777777" w:rsidR="002C6E55" w:rsidRPr="00FE110B" w:rsidRDefault="002C6E55" w:rsidP="009842FE">
            <w:pPr>
              <w:jc w:val="center"/>
              <w:rPr>
                <w:rFonts w:cs="Arial"/>
                <w:sz w:val="20"/>
                <w:vertAlign w:val="superscript"/>
              </w:rPr>
            </w:pPr>
            <w:r w:rsidRPr="00FE110B">
              <w:rPr>
                <w:rFonts w:cs="Arial"/>
                <w:sz w:val="20"/>
              </w:rPr>
              <w:t>RR = 0.5</w:t>
            </w:r>
            <w:r w:rsidRPr="00FE110B">
              <w:rPr>
                <w:rFonts w:cs="Arial"/>
                <w:sz w:val="20"/>
                <w:vertAlign w:val="superscript"/>
              </w:rPr>
              <w:t>b</w:t>
            </w:r>
          </w:p>
        </w:tc>
        <w:tc>
          <w:tcPr>
            <w:tcW w:w="962" w:type="pct"/>
          </w:tcPr>
          <w:p w14:paraId="7978CE6A" w14:textId="77777777" w:rsidR="002C6E55" w:rsidRPr="00FE110B" w:rsidRDefault="002C6E55" w:rsidP="009842FE">
            <w:pPr>
              <w:jc w:val="center"/>
              <w:rPr>
                <w:sz w:val="20"/>
                <w:u w:val="single"/>
              </w:rPr>
            </w:pPr>
            <w:r w:rsidRPr="00FE110B">
              <w:rPr>
                <w:sz w:val="20"/>
                <w:u w:val="single"/>
              </w:rPr>
              <w:t>30-day acute renal failure</w:t>
            </w:r>
          </w:p>
          <w:p w14:paraId="2A93A9E0" w14:textId="77777777" w:rsidR="002C6E55" w:rsidRPr="00FE110B" w:rsidRDefault="002C6E55" w:rsidP="009842FE">
            <w:pPr>
              <w:jc w:val="center"/>
              <w:rPr>
                <w:sz w:val="20"/>
              </w:rPr>
            </w:pPr>
            <w:r w:rsidRPr="00FE110B">
              <w:rPr>
                <w:sz w:val="20"/>
              </w:rPr>
              <w:t>120 per 1000</w:t>
            </w:r>
          </w:p>
        </w:tc>
        <w:tc>
          <w:tcPr>
            <w:tcW w:w="974" w:type="pct"/>
          </w:tcPr>
          <w:p w14:paraId="7DE8C978" w14:textId="77777777" w:rsidR="002C6E55" w:rsidRPr="00FE110B" w:rsidRDefault="002C6E55" w:rsidP="009842FE">
            <w:pPr>
              <w:jc w:val="center"/>
              <w:rPr>
                <w:sz w:val="20"/>
                <w:u w:val="single"/>
              </w:rPr>
            </w:pPr>
            <w:r w:rsidRPr="00FE110B">
              <w:rPr>
                <w:sz w:val="20"/>
                <w:u w:val="single"/>
              </w:rPr>
              <w:t>30-day acute renal failure</w:t>
            </w:r>
          </w:p>
          <w:p w14:paraId="6685EB4A" w14:textId="77777777" w:rsidR="002C6E55" w:rsidRPr="00FE110B" w:rsidRDefault="002C6E55" w:rsidP="009842FE">
            <w:pPr>
              <w:jc w:val="center"/>
              <w:rPr>
                <w:sz w:val="20"/>
              </w:rPr>
            </w:pPr>
            <w:r w:rsidRPr="00FE110B">
              <w:rPr>
                <w:sz w:val="20"/>
              </w:rPr>
              <w:t>60 per 1000</w:t>
            </w:r>
          </w:p>
        </w:tc>
      </w:tr>
      <w:tr w:rsidR="002C6E55" w:rsidRPr="00BB57AF" w14:paraId="30B25BF5" w14:textId="77777777" w:rsidTr="003A7EA2">
        <w:tc>
          <w:tcPr>
            <w:tcW w:w="767" w:type="pct"/>
          </w:tcPr>
          <w:p w14:paraId="36E5126D" w14:textId="77777777" w:rsidR="002C6E55" w:rsidRPr="00FE110B" w:rsidRDefault="002C6E55" w:rsidP="009842FE">
            <w:pPr>
              <w:pStyle w:val="Tabletext"/>
              <w:spacing w:before="0" w:after="0"/>
              <w:rPr>
                <w:szCs w:val="20"/>
              </w:rPr>
            </w:pPr>
            <w:r w:rsidRPr="00FE110B">
              <w:rPr>
                <w:szCs w:val="20"/>
              </w:rPr>
              <w:t>Non-urological complications (rate; 30 d FU)</w:t>
            </w:r>
          </w:p>
        </w:tc>
        <w:tc>
          <w:tcPr>
            <w:tcW w:w="1005" w:type="pct"/>
          </w:tcPr>
          <w:p w14:paraId="0D00B565" w14:textId="77777777" w:rsidR="002C6E55" w:rsidRPr="00FE110B" w:rsidRDefault="002C6E55" w:rsidP="009842FE">
            <w:pPr>
              <w:pStyle w:val="Tabletext"/>
              <w:spacing w:before="0" w:after="0"/>
              <w:rPr>
                <w:szCs w:val="20"/>
              </w:rPr>
            </w:pPr>
            <w:r w:rsidRPr="00FE110B">
              <w:rPr>
                <w:szCs w:val="20"/>
              </w:rPr>
              <w:t>PTA=456; RN=1748</w:t>
            </w:r>
          </w:p>
          <w:p w14:paraId="6F3B9657" w14:textId="77777777" w:rsidR="002C6E55" w:rsidRPr="00FE110B" w:rsidRDefault="002C6E55" w:rsidP="009842FE">
            <w:pPr>
              <w:pStyle w:val="Tabletext"/>
              <w:spacing w:before="0" w:after="0"/>
              <w:rPr>
                <w:szCs w:val="20"/>
              </w:rPr>
            </w:pPr>
            <w:r w:rsidRPr="00FE110B">
              <w:rPr>
                <w:szCs w:val="20"/>
              </w:rPr>
              <w:t>1 retrospective cohort (</w:t>
            </w:r>
            <w:proofErr w:type="spellStart"/>
            <w:r w:rsidRPr="00FE110B">
              <w:rPr>
                <w:szCs w:val="20"/>
              </w:rPr>
              <w:t>Talenfeld</w:t>
            </w:r>
            <w:proofErr w:type="spellEnd"/>
            <w:r w:rsidRPr="00FE110B">
              <w:rPr>
                <w:szCs w:val="20"/>
              </w:rPr>
              <w:t xml:space="preserve"> 2018/SEER-Medicare)</w:t>
            </w:r>
          </w:p>
        </w:tc>
        <w:tc>
          <w:tcPr>
            <w:tcW w:w="533" w:type="pct"/>
          </w:tcPr>
          <w:p w14:paraId="5C037FB7" w14:textId="77777777" w:rsidR="002C6E55" w:rsidRPr="00FE110B" w:rsidRDefault="002C6E55" w:rsidP="009842FE">
            <w:pPr>
              <w:pStyle w:val="Tabletext"/>
              <w:spacing w:before="0" w:after="0"/>
              <w:jc w:val="center"/>
              <w:rPr>
                <w:szCs w:val="20"/>
              </w:rPr>
            </w:pPr>
            <w:r w:rsidRPr="00FE110B">
              <w:rPr>
                <w:szCs w:val="20"/>
              </w:rPr>
              <w:t>Moderate</w:t>
            </w:r>
          </w:p>
          <w:p w14:paraId="0D476FEB" w14:textId="77777777" w:rsidR="002C6E55" w:rsidRPr="00FE110B" w:rsidRDefault="002C6E55" w:rsidP="009842FE">
            <w:pPr>
              <w:pStyle w:val="Tabletext"/>
              <w:spacing w:before="0" w:after="0"/>
              <w:jc w:val="center"/>
              <w:rPr>
                <w:szCs w:val="20"/>
              </w:rPr>
            </w:pPr>
            <w:r w:rsidRPr="00FE110B">
              <w:rPr>
                <w:szCs w:val="20"/>
              </w:rPr>
              <w:t>(●●●○)</w:t>
            </w:r>
          </w:p>
        </w:tc>
        <w:tc>
          <w:tcPr>
            <w:tcW w:w="759" w:type="pct"/>
          </w:tcPr>
          <w:p w14:paraId="089D3515" w14:textId="77777777" w:rsidR="002C6E55" w:rsidRPr="00FE110B" w:rsidRDefault="002C6E55" w:rsidP="009842FE">
            <w:pPr>
              <w:jc w:val="center"/>
              <w:rPr>
                <w:rFonts w:cs="Arial"/>
                <w:sz w:val="20"/>
              </w:rPr>
            </w:pPr>
            <w:r w:rsidRPr="00FE110B">
              <w:rPr>
                <w:rFonts w:cs="Arial"/>
                <w:sz w:val="20"/>
              </w:rPr>
              <w:t>12% (10, 15)</w:t>
            </w:r>
          </w:p>
          <w:p w14:paraId="120A2EA3" w14:textId="77777777" w:rsidR="002C6E55" w:rsidRPr="00FE110B" w:rsidRDefault="002C6E55" w:rsidP="009842FE">
            <w:pPr>
              <w:jc w:val="center"/>
              <w:rPr>
                <w:rFonts w:cs="Arial"/>
                <w:sz w:val="20"/>
              </w:rPr>
            </w:pPr>
            <w:r w:rsidRPr="00FE110B">
              <w:rPr>
                <w:rFonts w:cs="Arial"/>
                <w:sz w:val="20"/>
              </w:rPr>
              <w:t>vs</w:t>
            </w:r>
          </w:p>
          <w:p w14:paraId="2BABEC0C" w14:textId="77777777" w:rsidR="002C6E55" w:rsidRPr="00FE110B" w:rsidRDefault="002C6E55" w:rsidP="009842FE">
            <w:pPr>
              <w:jc w:val="center"/>
              <w:rPr>
                <w:rFonts w:cs="Arial"/>
                <w:sz w:val="20"/>
              </w:rPr>
            </w:pPr>
            <w:r w:rsidRPr="00FE110B">
              <w:rPr>
                <w:rFonts w:cs="Arial"/>
                <w:sz w:val="20"/>
              </w:rPr>
              <w:t>27% (24, 29)</w:t>
            </w:r>
          </w:p>
          <w:p w14:paraId="7D8B511C" w14:textId="77777777" w:rsidR="002C6E55" w:rsidRPr="00FE110B" w:rsidRDefault="002C6E55" w:rsidP="009842FE">
            <w:pPr>
              <w:pStyle w:val="Tabletext"/>
              <w:spacing w:before="0" w:after="0"/>
              <w:jc w:val="center"/>
              <w:rPr>
                <w:szCs w:val="20"/>
                <w:vertAlign w:val="superscript"/>
              </w:rPr>
            </w:pPr>
            <w:r w:rsidRPr="00FE110B">
              <w:rPr>
                <w:szCs w:val="20"/>
              </w:rPr>
              <w:t>RR = 0.44</w:t>
            </w:r>
            <w:r w:rsidRPr="00FE110B">
              <w:rPr>
                <w:szCs w:val="20"/>
                <w:vertAlign w:val="superscript"/>
              </w:rPr>
              <w:t>b</w:t>
            </w:r>
          </w:p>
        </w:tc>
        <w:tc>
          <w:tcPr>
            <w:tcW w:w="962" w:type="pct"/>
          </w:tcPr>
          <w:p w14:paraId="64B3ADAF" w14:textId="77777777" w:rsidR="002C6E55" w:rsidRPr="00FE110B" w:rsidRDefault="002C6E55" w:rsidP="009842FE">
            <w:pPr>
              <w:jc w:val="center"/>
              <w:rPr>
                <w:sz w:val="20"/>
                <w:u w:val="single"/>
              </w:rPr>
            </w:pPr>
            <w:r w:rsidRPr="00FE110B">
              <w:rPr>
                <w:sz w:val="20"/>
                <w:u w:val="single"/>
              </w:rPr>
              <w:t>30-day non-urologic complications</w:t>
            </w:r>
          </w:p>
          <w:p w14:paraId="5C1AFEFE" w14:textId="77777777" w:rsidR="002C6E55" w:rsidRPr="00FE110B" w:rsidRDefault="002C6E55" w:rsidP="009842FE">
            <w:pPr>
              <w:jc w:val="center"/>
              <w:rPr>
                <w:sz w:val="20"/>
              </w:rPr>
            </w:pPr>
            <w:r w:rsidRPr="00FE110B">
              <w:rPr>
                <w:sz w:val="20"/>
              </w:rPr>
              <w:t>270 per 1000</w:t>
            </w:r>
          </w:p>
        </w:tc>
        <w:tc>
          <w:tcPr>
            <w:tcW w:w="974" w:type="pct"/>
          </w:tcPr>
          <w:p w14:paraId="12B5501C" w14:textId="77777777" w:rsidR="002C6E55" w:rsidRPr="00FE110B" w:rsidRDefault="002C6E55" w:rsidP="009842FE">
            <w:pPr>
              <w:jc w:val="center"/>
              <w:rPr>
                <w:sz w:val="20"/>
                <w:u w:val="single"/>
              </w:rPr>
            </w:pPr>
            <w:r w:rsidRPr="00FE110B">
              <w:rPr>
                <w:sz w:val="20"/>
                <w:u w:val="single"/>
              </w:rPr>
              <w:t>30-day non-urologic complications</w:t>
            </w:r>
          </w:p>
          <w:p w14:paraId="50CF02FC" w14:textId="77777777" w:rsidR="002C6E55" w:rsidRPr="00FE110B" w:rsidRDefault="002C6E55" w:rsidP="009842FE">
            <w:pPr>
              <w:jc w:val="center"/>
              <w:rPr>
                <w:sz w:val="20"/>
              </w:rPr>
            </w:pPr>
            <w:r w:rsidRPr="00FE110B">
              <w:rPr>
                <w:sz w:val="20"/>
              </w:rPr>
              <w:t>120 per 1000</w:t>
            </w:r>
          </w:p>
        </w:tc>
      </w:tr>
    </w:tbl>
    <w:p w14:paraId="457E9ABF" w14:textId="77777777" w:rsidR="002C6E55" w:rsidRPr="00FE110B" w:rsidRDefault="002C6E55" w:rsidP="006D547D">
      <w:pPr>
        <w:pStyle w:val="Tablenotes"/>
      </w:pPr>
      <w:r w:rsidRPr="00FE110B">
        <w:t>Source: Table ES3, p19 of the ADAR</w:t>
      </w:r>
    </w:p>
    <w:p w14:paraId="25037BF0" w14:textId="77777777" w:rsidR="002C6E55" w:rsidRPr="00FE110B" w:rsidRDefault="002C6E55" w:rsidP="006D547D">
      <w:pPr>
        <w:pStyle w:val="Tablenotes"/>
      </w:pPr>
      <w:r w:rsidRPr="00FE110B">
        <w:t xml:space="preserve">Abbreviations: CA=cryoablation; CI=confidence interval; CKD=chronic kidney disease; </w:t>
      </w:r>
      <w:proofErr w:type="spellStart"/>
      <w:r w:rsidRPr="00FE110B">
        <w:t>eGFR</w:t>
      </w:r>
      <w:proofErr w:type="spellEnd"/>
      <w:r w:rsidRPr="00FE110B">
        <w:t>=estimated glomerular filtration rate; FU=follow-up; MCS=mental component score; MD=mean difference; min=minute; OR=odds ratio; PCA=percutaneous cryoablation; PCS=physical component score; PN=partial nephrectomy; RN=radical nephrectomy; SF-12=Short Form-12; TA=thermal ablation</w:t>
      </w:r>
    </w:p>
    <w:p w14:paraId="11B664E8" w14:textId="77777777" w:rsidR="002C6E55" w:rsidRPr="00FE110B" w:rsidRDefault="002C6E55" w:rsidP="006D547D">
      <w:pPr>
        <w:pStyle w:val="Tablenotes"/>
      </w:pPr>
      <w:r w:rsidRPr="00FE110B">
        <w:t xml:space="preserve">Note: outcomes shown in grey shading are statistically significantly in favour of CA over RN.  </w:t>
      </w:r>
    </w:p>
    <w:p w14:paraId="1D49CD09" w14:textId="77777777" w:rsidR="002C6E55" w:rsidRPr="00FE110B" w:rsidRDefault="002C6E55" w:rsidP="006D547D">
      <w:pPr>
        <w:pStyle w:val="Tablenotes"/>
      </w:pPr>
      <w:proofErr w:type="gramStart"/>
      <w:r w:rsidRPr="00FE110B">
        <w:t>a GRADE Working Group grades of evidence (</w:t>
      </w:r>
      <w:proofErr w:type="spellStart"/>
      <w:r w:rsidRPr="00FE110B">
        <w:t>Guyatt</w:t>
      </w:r>
      <w:proofErr w:type="spellEnd"/>
      <w:r w:rsidRPr="00FE110B">
        <w:t xml:space="preserve"> et al., 2013): ●●●● High quality: We are very confident that the true effect lies close to that of the estimate of effect; ●●●○ Moderate quality: We are moderately confident in the effect estimate: The true effect is likely to be close to the estimate of the effect, but there is a possibility that it is substantially different; ●●○○Low quality: Our confidence in the effect estimate is limited: The true effect may be substantially different from the estimate of the effect; ●○○○ Very low quality: We have very little confidence in the effect estimate: The true effect is likely to be substantially different from the estimate of effect.</w:t>
      </w:r>
      <w:proofErr w:type="gramEnd"/>
      <w:r w:rsidRPr="00FE110B">
        <w:t xml:space="preserve"> Justification for quality of evidence </w:t>
      </w:r>
      <w:proofErr w:type="spellStart"/>
      <w:r w:rsidRPr="00FE110B">
        <w:t>gradings</w:t>
      </w:r>
      <w:proofErr w:type="spellEnd"/>
      <w:r w:rsidRPr="00FE110B">
        <w:t xml:space="preserve"> </w:t>
      </w:r>
      <w:proofErr w:type="gramStart"/>
      <w:r w:rsidRPr="00FE110B">
        <w:t>are provided</w:t>
      </w:r>
      <w:proofErr w:type="gramEnd"/>
      <w:r w:rsidRPr="00FE110B">
        <w:t xml:space="preserve"> in the source table.</w:t>
      </w:r>
    </w:p>
    <w:p w14:paraId="334B80F3" w14:textId="77777777" w:rsidR="002C6E55" w:rsidRDefault="002C6E55" w:rsidP="006D547D">
      <w:pPr>
        <w:pStyle w:val="Tablenotes"/>
      </w:pPr>
      <w:proofErr w:type="gramStart"/>
      <w:r w:rsidRPr="00FE110B">
        <w:t>b</w:t>
      </w:r>
      <w:proofErr w:type="gramEnd"/>
      <w:r w:rsidRPr="00FE110B">
        <w:t xml:space="preserve"> Post hoc calculation based on adjusted rates</w:t>
      </w:r>
    </w:p>
    <w:p w14:paraId="729ECA55" w14:textId="77777777" w:rsidR="002C6E55" w:rsidRPr="003A7EA2" w:rsidRDefault="002C6E55" w:rsidP="003A7EA2">
      <w:pPr>
        <w:rPr>
          <w:u w:val="single"/>
        </w:rPr>
      </w:pPr>
      <w:bookmarkStart w:id="19" w:name="_Toc46840361"/>
      <w:bookmarkStart w:id="20" w:name="_Toc50104601"/>
      <w:r w:rsidRPr="003A7EA2">
        <w:rPr>
          <w:u w:val="single"/>
        </w:rPr>
        <w:t>CA vs. OTA (supplementary comparator 1)</w:t>
      </w:r>
      <w:bookmarkEnd w:id="19"/>
      <w:bookmarkEnd w:id="20"/>
    </w:p>
    <w:p w14:paraId="50C519D6" w14:textId="77777777" w:rsidR="002C6E55" w:rsidRPr="006D547D" w:rsidRDefault="002C6E55" w:rsidP="006D547D">
      <w:pPr>
        <w:spacing w:after="240"/>
        <w:rPr>
          <w:lang w:eastAsia="en-US"/>
        </w:rPr>
      </w:pPr>
      <w:r>
        <w:t>Based on the evidence presented, the ADAR stated t</w:t>
      </w:r>
      <w:r w:rsidRPr="00E679E0">
        <w:t xml:space="preserve">here were no statistically significant differences between CA and OTA for cancer-specific mortality (HR 1.03; 95% CI 0.45, 2.33) </w:t>
      </w:r>
      <w:r w:rsidRPr="00FE110B">
        <w:t>and that the majority of studies reported no difference between CA and OTA for overall mortality/survival.</w:t>
      </w:r>
      <w:r w:rsidRPr="00E679E0">
        <w:t xml:space="preserve"> However, </w:t>
      </w:r>
      <w:r>
        <w:t xml:space="preserve">the ADAR noted that </w:t>
      </w:r>
      <w:r w:rsidRPr="00E679E0">
        <w:t xml:space="preserve">in the large study providing the primary evidence for overall mortality, there was a small, statistically significant difference in favour of CA over OTA (HR 0.87; 95% CI). </w:t>
      </w:r>
      <w:r>
        <w:t>The ADAR also reported that t</w:t>
      </w:r>
      <w:r w:rsidRPr="00E679E0">
        <w:t xml:space="preserve">here was no statistically significant difference in local recurrence-free survival between CA and RFA (HR 1.37; 95% CI 0.26, 7.32); however, the quality of this evidence was impacted by the small number of events (low quality evidence).  </w:t>
      </w:r>
      <w:r w:rsidRPr="00E679E0">
        <w:rPr>
          <w:lang w:eastAsia="en-US"/>
        </w:rPr>
        <w:t xml:space="preserve">Based on </w:t>
      </w:r>
      <w:r w:rsidRPr="00FE110B">
        <w:rPr>
          <w:lang w:eastAsia="en-US"/>
        </w:rPr>
        <w:t xml:space="preserve">these findings, the clinical claim in the ADAR </w:t>
      </w:r>
      <w:proofErr w:type="gramStart"/>
      <w:r w:rsidRPr="00FE110B">
        <w:rPr>
          <w:lang w:eastAsia="en-US"/>
        </w:rPr>
        <w:t xml:space="preserve">is of </w:t>
      </w:r>
      <w:r>
        <w:rPr>
          <w:lang w:eastAsia="en-US"/>
        </w:rPr>
        <w:t>non-</w:t>
      </w:r>
      <w:r w:rsidRPr="00FE110B">
        <w:rPr>
          <w:lang w:eastAsia="en-US"/>
        </w:rPr>
        <w:t>inferior effectiveness and similar safety of C</w:t>
      </w:r>
      <w:r w:rsidR="006D547D">
        <w:rPr>
          <w:lang w:eastAsia="en-US"/>
        </w:rPr>
        <w:t>A compared</w:t>
      </w:r>
      <w:proofErr w:type="gramEnd"/>
      <w:r w:rsidR="006D547D">
        <w:rPr>
          <w:lang w:eastAsia="en-US"/>
        </w:rPr>
        <w:t xml:space="preserve"> with OTA (RFA/MWA). </w:t>
      </w:r>
    </w:p>
    <w:p w14:paraId="347D036E" w14:textId="77777777" w:rsidR="002C6E55" w:rsidRPr="006D547D" w:rsidRDefault="002C6E55" w:rsidP="006D547D">
      <w:pPr>
        <w:spacing w:after="240"/>
      </w:pPr>
      <w:r w:rsidRPr="00FE110B">
        <w:t xml:space="preserve">The balance of clinical benefits and harms of CA compared with OTA </w:t>
      </w:r>
      <w:proofErr w:type="gramStart"/>
      <w:r w:rsidRPr="00FE110B">
        <w:t>is presented</w:t>
      </w:r>
      <w:proofErr w:type="gramEnd"/>
      <w:r w:rsidRPr="00FE110B">
        <w:t xml:space="preserve"> in </w:t>
      </w:r>
      <w:r>
        <w:fldChar w:fldCharType="begin"/>
      </w:r>
      <w:r>
        <w:instrText xml:space="preserve"> REF _Ref51082612 \h  \* MERGEFORMAT </w:instrText>
      </w:r>
      <w:r>
        <w:fldChar w:fldCharType="separate"/>
      </w:r>
      <w:r>
        <w:t>Table </w:t>
      </w:r>
      <w:r>
        <w:rPr>
          <w:noProof/>
        </w:rPr>
        <w:t>6</w:t>
      </w:r>
      <w:r>
        <w:fldChar w:fldCharType="end"/>
      </w:r>
      <w:r w:rsidR="006D547D">
        <w:t xml:space="preserve">. </w:t>
      </w:r>
    </w:p>
    <w:p w14:paraId="3AF960E3" w14:textId="77777777" w:rsidR="002C6E55" w:rsidRPr="00E679E0" w:rsidRDefault="002C6E55" w:rsidP="006D547D">
      <w:pPr>
        <w:spacing w:after="240"/>
        <w:rPr>
          <w:lang w:eastAsia="en-US"/>
        </w:rPr>
      </w:pPr>
      <w:r>
        <w:rPr>
          <w:lang w:eastAsia="en-US"/>
        </w:rPr>
        <w:t xml:space="preserve">The ADAR has used this claim </w:t>
      </w:r>
      <w:r w:rsidRPr="00E679E0">
        <w:rPr>
          <w:lang w:eastAsia="en-US"/>
        </w:rPr>
        <w:t>to justify the inclusion of data from studies assessing TA as a group (including CA and RFA/MWA) as a proxy for CA.</w:t>
      </w:r>
      <w:r>
        <w:rPr>
          <w:lang w:eastAsia="en-US"/>
        </w:rPr>
        <w:t xml:space="preserve"> The a</w:t>
      </w:r>
      <w:r w:rsidRPr="00E679E0">
        <w:rPr>
          <w:lang w:eastAsia="en-US"/>
        </w:rPr>
        <w:t>pplicant note</w:t>
      </w:r>
      <w:r>
        <w:rPr>
          <w:lang w:eastAsia="en-US"/>
        </w:rPr>
        <w:t>d</w:t>
      </w:r>
      <w:r w:rsidRPr="00E679E0">
        <w:rPr>
          <w:lang w:eastAsia="en-US"/>
        </w:rPr>
        <w:t xml:space="preserve"> that MSAC may wish to consider whether consideration of MBS-listing should be extended to RFA and MWA, rather than limited to just CA. </w:t>
      </w:r>
    </w:p>
    <w:p w14:paraId="0C06BAB6" w14:textId="430C76DE" w:rsidR="002C6E55" w:rsidRPr="003A7EA2" w:rsidRDefault="002C6E55" w:rsidP="003A7EA2">
      <w:pPr>
        <w:keepNext/>
        <w:keepLines/>
        <w:rPr>
          <w:rFonts w:ascii="Arial Narrow" w:hAnsi="Arial Narrow"/>
          <w:b/>
          <w:sz w:val="20"/>
        </w:rPr>
      </w:pPr>
      <w:bookmarkStart w:id="21" w:name="_Ref51082612"/>
      <w:r w:rsidRPr="003A7EA2">
        <w:rPr>
          <w:rFonts w:ascii="Arial Narrow" w:hAnsi="Arial Narrow"/>
          <w:b/>
          <w:sz w:val="20"/>
        </w:rPr>
        <w:t xml:space="preserve">Table </w:t>
      </w:r>
      <w:r w:rsidR="00C736E0" w:rsidRPr="003A7EA2">
        <w:rPr>
          <w:rFonts w:ascii="Arial Narrow" w:hAnsi="Arial Narrow"/>
          <w:b/>
          <w:sz w:val="20"/>
        </w:rPr>
        <w:fldChar w:fldCharType="begin"/>
      </w:r>
      <w:r w:rsidR="00C736E0" w:rsidRPr="003A7EA2">
        <w:rPr>
          <w:rFonts w:ascii="Arial Narrow" w:hAnsi="Arial Narrow"/>
          <w:b/>
          <w:sz w:val="20"/>
        </w:rPr>
        <w:instrText xml:space="preserve"> SEQ Table \* ARABIC </w:instrText>
      </w:r>
      <w:r w:rsidR="00C736E0" w:rsidRPr="003A7EA2">
        <w:rPr>
          <w:rFonts w:ascii="Arial Narrow" w:hAnsi="Arial Narrow"/>
          <w:b/>
          <w:sz w:val="20"/>
        </w:rPr>
        <w:fldChar w:fldCharType="separate"/>
      </w:r>
      <w:r w:rsidRPr="003A7EA2">
        <w:rPr>
          <w:rFonts w:ascii="Arial Narrow" w:hAnsi="Arial Narrow"/>
          <w:b/>
          <w:sz w:val="20"/>
        </w:rPr>
        <w:t>6</w:t>
      </w:r>
      <w:r w:rsidR="00C736E0" w:rsidRPr="003A7EA2">
        <w:rPr>
          <w:rFonts w:ascii="Arial Narrow" w:hAnsi="Arial Narrow"/>
          <w:b/>
          <w:sz w:val="20"/>
        </w:rPr>
        <w:fldChar w:fldCharType="end"/>
      </w:r>
      <w:bookmarkEnd w:id="21"/>
      <w:r w:rsidR="00071451" w:rsidRPr="003A7EA2">
        <w:rPr>
          <w:rFonts w:ascii="Arial Narrow" w:hAnsi="Arial Narrow"/>
          <w:b/>
          <w:sz w:val="20"/>
        </w:rPr>
        <w:tab/>
      </w:r>
      <w:r w:rsidRPr="003A7EA2">
        <w:rPr>
          <w:rFonts w:ascii="Arial Narrow" w:hAnsi="Arial Narrow"/>
          <w:b/>
          <w:sz w:val="20"/>
        </w:rPr>
        <w:t xml:space="preserve">Balance of clinical benefits and harms of CA, relative to OTA, and as measured by the critical patient-relevant outcomes in the key studies </w:t>
      </w:r>
    </w:p>
    <w:tbl>
      <w:tblPr>
        <w:tblW w:w="5000" w:type="pct"/>
        <w:tblLook w:val="04A0" w:firstRow="1" w:lastRow="0" w:firstColumn="1" w:lastColumn="0" w:noHBand="0" w:noVBand="1"/>
        <w:tblDescription w:val="Summary of findings table"/>
      </w:tblPr>
      <w:tblGrid>
        <w:gridCol w:w="1366"/>
        <w:gridCol w:w="1796"/>
        <w:gridCol w:w="944"/>
        <w:gridCol w:w="1566"/>
        <w:gridCol w:w="1697"/>
        <w:gridCol w:w="1647"/>
      </w:tblGrid>
      <w:tr w:rsidR="002C6E55" w:rsidRPr="003A7EA2" w14:paraId="19016EFD" w14:textId="77777777" w:rsidTr="002C6E55">
        <w:trPr>
          <w:cantSplit/>
          <w:tblHeader/>
        </w:trPr>
        <w:tc>
          <w:tcPr>
            <w:tcW w:w="760" w:type="pct"/>
            <w:tcBorders>
              <w:top w:val="single" w:sz="4" w:space="0" w:color="auto"/>
              <w:left w:val="single" w:sz="4" w:space="0" w:color="auto"/>
              <w:bottom w:val="single" w:sz="4" w:space="0" w:color="auto"/>
              <w:right w:val="single" w:sz="4" w:space="0" w:color="auto"/>
            </w:tcBorders>
          </w:tcPr>
          <w:p w14:paraId="79358E36" w14:textId="77777777" w:rsidR="002C6E55" w:rsidRPr="003A7EA2" w:rsidRDefault="002C6E55" w:rsidP="003A7EA2">
            <w:pPr>
              <w:keepNext/>
              <w:keepLines/>
              <w:rPr>
                <w:rFonts w:ascii="Arial Narrow" w:hAnsi="Arial Narrow"/>
                <w:b/>
                <w:sz w:val="20"/>
              </w:rPr>
            </w:pPr>
            <w:r w:rsidRPr="003A7EA2">
              <w:rPr>
                <w:rFonts w:ascii="Arial Narrow" w:hAnsi="Arial Narrow"/>
                <w:b/>
                <w:sz w:val="20"/>
              </w:rPr>
              <w:t>Outcomes (units)</w:t>
            </w:r>
          </w:p>
          <w:p w14:paraId="169DB35E" w14:textId="77777777" w:rsidR="002C6E55" w:rsidRPr="003A7EA2" w:rsidRDefault="002C6E55" w:rsidP="003A7EA2">
            <w:pPr>
              <w:keepNext/>
              <w:keepLines/>
              <w:rPr>
                <w:rFonts w:ascii="Arial Narrow" w:hAnsi="Arial Narrow"/>
                <w:b/>
                <w:sz w:val="20"/>
              </w:rPr>
            </w:pPr>
            <w:r w:rsidRPr="003A7EA2">
              <w:rPr>
                <w:rFonts w:ascii="Arial Narrow" w:hAnsi="Arial Narrow"/>
                <w:b/>
                <w:sz w:val="20"/>
              </w:rPr>
              <w:t>Follow-up</w:t>
            </w:r>
          </w:p>
        </w:tc>
        <w:tc>
          <w:tcPr>
            <w:tcW w:w="998" w:type="pct"/>
            <w:tcBorders>
              <w:top w:val="single" w:sz="4" w:space="0" w:color="auto"/>
              <w:left w:val="single" w:sz="4" w:space="0" w:color="auto"/>
              <w:bottom w:val="single" w:sz="4" w:space="0" w:color="auto"/>
              <w:right w:val="single" w:sz="4" w:space="0" w:color="auto"/>
            </w:tcBorders>
          </w:tcPr>
          <w:p w14:paraId="3AF6D977" w14:textId="77777777" w:rsidR="002C6E55" w:rsidRPr="003A7EA2" w:rsidRDefault="002C6E55" w:rsidP="003A7EA2">
            <w:pPr>
              <w:keepNext/>
              <w:keepLines/>
              <w:rPr>
                <w:rFonts w:ascii="Arial Narrow" w:hAnsi="Arial Narrow"/>
                <w:b/>
                <w:sz w:val="20"/>
              </w:rPr>
            </w:pPr>
            <w:r w:rsidRPr="003A7EA2">
              <w:rPr>
                <w:rFonts w:ascii="Arial Narrow" w:hAnsi="Arial Narrow"/>
                <w:b/>
                <w:sz w:val="20"/>
              </w:rPr>
              <w:t xml:space="preserve">Participants </w:t>
            </w:r>
          </w:p>
          <w:p w14:paraId="2B018C8A" w14:textId="77777777" w:rsidR="002C6E55" w:rsidRPr="003A7EA2" w:rsidRDefault="002C6E55" w:rsidP="003A7EA2">
            <w:pPr>
              <w:keepNext/>
              <w:keepLines/>
              <w:rPr>
                <w:rFonts w:ascii="Arial Narrow" w:hAnsi="Arial Narrow"/>
                <w:b/>
                <w:sz w:val="20"/>
              </w:rPr>
            </w:pPr>
            <w:r w:rsidRPr="003A7EA2">
              <w:rPr>
                <w:rFonts w:ascii="Arial Narrow" w:hAnsi="Arial Narrow"/>
                <w:b/>
                <w:sz w:val="20"/>
              </w:rPr>
              <w:t xml:space="preserve">Study type </w:t>
            </w:r>
          </w:p>
          <w:p w14:paraId="75794998" w14:textId="77777777" w:rsidR="002C6E55" w:rsidRPr="003A7EA2" w:rsidRDefault="002C6E55" w:rsidP="003A7EA2">
            <w:pPr>
              <w:keepNext/>
              <w:keepLines/>
              <w:rPr>
                <w:rFonts w:ascii="Arial Narrow" w:hAnsi="Arial Narrow"/>
                <w:b/>
                <w:sz w:val="20"/>
              </w:rPr>
            </w:pPr>
            <w:r w:rsidRPr="003A7EA2">
              <w:rPr>
                <w:rFonts w:ascii="Arial Narrow" w:hAnsi="Arial Narrow"/>
                <w:b/>
                <w:sz w:val="20"/>
              </w:rPr>
              <w:t>(Study ID/location or database)</w:t>
            </w:r>
          </w:p>
          <w:p w14:paraId="490946A7" w14:textId="77777777" w:rsidR="002C6E55" w:rsidRPr="003A7EA2" w:rsidRDefault="002C6E55" w:rsidP="003A7EA2">
            <w:pPr>
              <w:keepNext/>
              <w:keepLines/>
              <w:rPr>
                <w:rFonts w:ascii="Arial Narrow" w:hAnsi="Arial Narrow"/>
                <w:b/>
                <w:sz w:val="20"/>
              </w:rPr>
            </w:pPr>
          </w:p>
        </w:tc>
        <w:tc>
          <w:tcPr>
            <w:tcW w:w="526" w:type="pct"/>
            <w:tcBorders>
              <w:top w:val="single" w:sz="4" w:space="0" w:color="auto"/>
              <w:left w:val="single" w:sz="4" w:space="0" w:color="auto"/>
              <w:bottom w:val="single" w:sz="4" w:space="0" w:color="auto"/>
              <w:right w:val="single" w:sz="4" w:space="0" w:color="auto"/>
            </w:tcBorders>
          </w:tcPr>
          <w:p w14:paraId="03E84705" w14:textId="77777777" w:rsidR="002C6E55" w:rsidRPr="003A7EA2" w:rsidRDefault="002C6E55" w:rsidP="003A7EA2">
            <w:pPr>
              <w:keepNext/>
              <w:keepLines/>
              <w:jc w:val="center"/>
              <w:rPr>
                <w:rFonts w:ascii="Arial Narrow" w:hAnsi="Arial Narrow"/>
                <w:b/>
                <w:sz w:val="20"/>
              </w:rPr>
            </w:pPr>
            <w:r w:rsidRPr="003A7EA2">
              <w:rPr>
                <w:rFonts w:ascii="Arial Narrow" w:hAnsi="Arial Narrow"/>
                <w:b/>
                <w:sz w:val="20"/>
              </w:rPr>
              <w:t>Quality of evidence (GRADE)</w:t>
            </w:r>
            <w:r w:rsidRPr="003A7EA2">
              <w:rPr>
                <w:rFonts w:ascii="Arial Narrow" w:hAnsi="Arial Narrow" w:cs="Arial"/>
                <w:b/>
                <w:sz w:val="20"/>
                <w:vertAlign w:val="superscript"/>
              </w:rPr>
              <w:t xml:space="preserve"> a</w:t>
            </w:r>
          </w:p>
        </w:tc>
        <w:tc>
          <w:tcPr>
            <w:tcW w:w="858" w:type="pct"/>
            <w:tcBorders>
              <w:top w:val="single" w:sz="4" w:space="0" w:color="auto"/>
              <w:left w:val="single" w:sz="4" w:space="0" w:color="auto"/>
              <w:bottom w:val="single" w:sz="4" w:space="0" w:color="auto"/>
              <w:right w:val="single" w:sz="4" w:space="0" w:color="auto"/>
            </w:tcBorders>
          </w:tcPr>
          <w:p w14:paraId="00F92FD6" w14:textId="77777777" w:rsidR="002C6E55" w:rsidRPr="003A7EA2" w:rsidRDefault="002C6E55" w:rsidP="003A7EA2">
            <w:pPr>
              <w:keepNext/>
              <w:keepLines/>
              <w:jc w:val="center"/>
              <w:rPr>
                <w:rFonts w:ascii="Arial Narrow" w:hAnsi="Arial Narrow"/>
                <w:b/>
                <w:sz w:val="20"/>
              </w:rPr>
            </w:pPr>
            <w:r w:rsidRPr="003A7EA2">
              <w:rPr>
                <w:rFonts w:ascii="Arial Narrow" w:hAnsi="Arial Narrow"/>
                <w:b/>
                <w:sz w:val="20"/>
              </w:rPr>
              <w:t>Relative/absolute effect (95% CI) and/or P value</w:t>
            </w:r>
          </w:p>
          <w:p w14:paraId="72ACCDE0" w14:textId="77777777" w:rsidR="002C6E55" w:rsidRPr="003A7EA2" w:rsidRDefault="002C6E55" w:rsidP="003A7EA2">
            <w:pPr>
              <w:keepNext/>
              <w:keepLines/>
              <w:jc w:val="center"/>
              <w:rPr>
                <w:rFonts w:ascii="Arial Narrow" w:hAnsi="Arial Narrow"/>
                <w:b/>
                <w:sz w:val="20"/>
              </w:rPr>
            </w:pPr>
          </w:p>
        </w:tc>
        <w:tc>
          <w:tcPr>
            <w:tcW w:w="943" w:type="pct"/>
            <w:tcBorders>
              <w:top w:val="single" w:sz="4" w:space="0" w:color="auto"/>
              <w:left w:val="single" w:sz="4" w:space="0" w:color="auto"/>
              <w:bottom w:val="single" w:sz="4" w:space="0" w:color="auto"/>
              <w:right w:val="single" w:sz="4" w:space="0" w:color="auto"/>
            </w:tcBorders>
          </w:tcPr>
          <w:p w14:paraId="6A62FFDD" w14:textId="77777777" w:rsidR="002C6E55" w:rsidRPr="003A7EA2" w:rsidRDefault="002C6E55" w:rsidP="003A7EA2">
            <w:pPr>
              <w:keepNext/>
              <w:keepLines/>
              <w:jc w:val="center"/>
              <w:rPr>
                <w:rFonts w:ascii="Arial Narrow" w:hAnsi="Arial Narrow"/>
                <w:b/>
                <w:sz w:val="20"/>
              </w:rPr>
            </w:pPr>
            <w:r w:rsidRPr="003A7EA2">
              <w:rPr>
                <w:rFonts w:ascii="Arial Narrow" w:hAnsi="Arial Narrow"/>
                <w:b/>
                <w:sz w:val="20"/>
              </w:rPr>
              <w:t>Risk with OTA</w:t>
            </w:r>
          </w:p>
          <w:p w14:paraId="72FE9F78" w14:textId="77777777" w:rsidR="002C6E55" w:rsidRPr="003A7EA2" w:rsidRDefault="002C6E55" w:rsidP="003A7EA2">
            <w:pPr>
              <w:keepNext/>
              <w:keepLines/>
              <w:jc w:val="center"/>
              <w:rPr>
                <w:rFonts w:ascii="Arial Narrow" w:hAnsi="Arial Narrow"/>
                <w:b/>
                <w:sz w:val="20"/>
              </w:rPr>
            </w:pPr>
          </w:p>
        </w:tc>
        <w:tc>
          <w:tcPr>
            <w:tcW w:w="915" w:type="pct"/>
            <w:tcBorders>
              <w:top w:val="single" w:sz="4" w:space="0" w:color="auto"/>
              <w:left w:val="single" w:sz="4" w:space="0" w:color="auto"/>
              <w:bottom w:val="single" w:sz="4" w:space="0" w:color="auto"/>
              <w:right w:val="single" w:sz="4" w:space="0" w:color="auto"/>
            </w:tcBorders>
          </w:tcPr>
          <w:p w14:paraId="2D38A4CC" w14:textId="77777777" w:rsidR="002C6E55" w:rsidRPr="003A7EA2" w:rsidRDefault="002C6E55" w:rsidP="003A7EA2">
            <w:pPr>
              <w:keepNext/>
              <w:keepLines/>
              <w:jc w:val="center"/>
              <w:rPr>
                <w:rFonts w:ascii="Arial Narrow" w:hAnsi="Arial Narrow"/>
                <w:b/>
                <w:sz w:val="20"/>
              </w:rPr>
            </w:pPr>
            <w:r w:rsidRPr="003A7EA2">
              <w:rPr>
                <w:rFonts w:ascii="Arial Narrow" w:hAnsi="Arial Narrow"/>
                <w:b/>
                <w:sz w:val="20"/>
              </w:rPr>
              <w:t>Risk with CA</w:t>
            </w:r>
          </w:p>
          <w:p w14:paraId="7116F6A8" w14:textId="77777777" w:rsidR="002C6E55" w:rsidRPr="003A7EA2" w:rsidRDefault="002C6E55" w:rsidP="003A7EA2">
            <w:pPr>
              <w:keepNext/>
              <w:keepLines/>
              <w:jc w:val="center"/>
              <w:rPr>
                <w:rFonts w:ascii="Arial Narrow" w:hAnsi="Arial Narrow"/>
                <w:b/>
                <w:sz w:val="20"/>
              </w:rPr>
            </w:pPr>
          </w:p>
        </w:tc>
      </w:tr>
      <w:tr w:rsidR="002C6E55" w:rsidRPr="003A7EA2" w14:paraId="7B191F3F" w14:textId="77777777" w:rsidTr="002C6E55">
        <w:trPr>
          <w:cantSplit/>
        </w:trPr>
        <w:tc>
          <w:tcPr>
            <w:tcW w:w="7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B9F5F" w14:textId="77777777" w:rsidR="002C6E55" w:rsidRPr="003A7EA2" w:rsidRDefault="002C6E55" w:rsidP="003A7EA2">
            <w:pPr>
              <w:keepNext/>
              <w:keepLines/>
              <w:rPr>
                <w:rFonts w:ascii="Arial Narrow" w:hAnsi="Arial Narrow"/>
                <w:sz w:val="20"/>
              </w:rPr>
            </w:pPr>
            <w:r w:rsidRPr="003A7EA2">
              <w:rPr>
                <w:rFonts w:ascii="Arial Narrow" w:hAnsi="Arial Narrow"/>
                <w:sz w:val="20"/>
              </w:rPr>
              <w:t>Overall mortality</w:t>
            </w:r>
          </w:p>
          <w:p w14:paraId="43EDF9F2" w14:textId="77777777" w:rsidR="002C6E55" w:rsidRPr="003A7EA2" w:rsidRDefault="002C6E55" w:rsidP="003A7EA2">
            <w:pPr>
              <w:keepNext/>
              <w:keepLines/>
              <w:rPr>
                <w:rFonts w:ascii="Arial Narrow" w:hAnsi="Arial Narrow"/>
                <w:sz w:val="20"/>
              </w:rPr>
            </w:pPr>
            <w:r w:rsidRPr="003A7EA2">
              <w:rPr>
                <w:rFonts w:ascii="Arial Narrow" w:hAnsi="Arial Narrow"/>
                <w:sz w:val="20"/>
              </w:rPr>
              <w:t>(rate; median FU 30 months)</w:t>
            </w:r>
          </w:p>
        </w:tc>
        <w:tc>
          <w:tcPr>
            <w:tcW w:w="9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9A8B1D" w14:textId="77777777" w:rsidR="002C6E55" w:rsidRPr="003A7EA2" w:rsidRDefault="002C6E55" w:rsidP="003A7EA2">
            <w:pPr>
              <w:keepNext/>
              <w:keepLines/>
              <w:rPr>
                <w:rFonts w:ascii="Arial Narrow" w:hAnsi="Arial Narrow"/>
                <w:sz w:val="20"/>
              </w:rPr>
            </w:pPr>
            <w:r w:rsidRPr="003A7EA2">
              <w:rPr>
                <w:rFonts w:ascii="Arial Narrow" w:hAnsi="Arial Narrow"/>
                <w:sz w:val="20"/>
              </w:rPr>
              <w:t xml:space="preserve">CA=3936; OTA=2322; </w:t>
            </w:r>
          </w:p>
          <w:p w14:paraId="12D794FB" w14:textId="77777777" w:rsidR="002C6E55" w:rsidRPr="003A7EA2" w:rsidRDefault="002C6E55" w:rsidP="003A7EA2">
            <w:pPr>
              <w:keepNext/>
              <w:keepLines/>
              <w:rPr>
                <w:rFonts w:ascii="Arial Narrow" w:hAnsi="Arial Narrow"/>
                <w:sz w:val="20"/>
              </w:rPr>
            </w:pPr>
            <w:r w:rsidRPr="003A7EA2">
              <w:rPr>
                <w:rFonts w:ascii="Arial Narrow" w:hAnsi="Arial Narrow"/>
                <w:sz w:val="20"/>
              </w:rPr>
              <w:t xml:space="preserve">1 retrospective cohort </w:t>
            </w:r>
          </w:p>
          <w:p w14:paraId="737B128F" w14:textId="77777777" w:rsidR="002C6E55" w:rsidRPr="003A7EA2" w:rsidRDefault="002C6E55" w:rsidP="003A7EA2">
            <w:pPr>
              <w:keepNext/>
              <w:keepLines/>
              <w:rPr>
                <w:rFonts w:ascii="Arial Narrow" w:hAnsi="Arial Narrow" w:cs="Arial"/>
                <w:sz w:val="20"/>
              </w:rPr>
            </w:pPr>
            <w:r w:rsidRPr="003A7EA2">
              <w:rPr>
                <w:rFonts w:ascii="Arial Narrow" w:hAnsi="Arial Narrow"/>
                <w:sz w:val="20"/>
              </w:rPr>
              <w:t>(Wu 2019/NCDB)</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3ECB0" w14:textId="77777777" w:rsidR="002C6E55" w:rsidRPr="003A7EA2" w:rsidRDefault="002C6E55" w:rsidP="003A7EA2">
            <w:pPr>
              <w:keepNext/>
              <w:keepLines/>
              <w:jc w:val="center"/>
              <w:rPr>
                <w:rFonts w:ascii="Arial Narrow" w:hAnsi="Arial Narrow"/>
                <w:sz w:val="20"/>
              </w:rPr>
            </w:pPr>
            <w:r w:rsidRPr="003A7EA2">
              <w:rPr>
                <w:rFonts w:ascii="Arial Narrow" w:hAnsi="Arial Narrow"/>
                <w:sz w:val="20"/>
              </w:rPr>
              <w:t>Moderate</w:t>
            </w:r>
          </w:p>
          <w:p w14:paraId="071BF5C8" w14:textId="77777777" w:rsidR="002C6E55" w:rsidRPr="003A7EA2" w:rsidRDefault="002C6E55" w:rsidP="003A7EA2">
            <w:pPr>
              <w:keepNext/>
              <w:keepLines/>
              <w:jc w:val="center"/>
              <w:rPr>
                <w:rFonts w:ascii="Arial Narrow" w:hAnsi="Arial Narrow"/>
                <w:sz w:val="20"/>
              </w:rPr>
            </w:pPr>
            <w:r w:rsidRPr="003A7EA2">
              <w:rPr>
                <w:rFonts w:ascii="Arial Narrow" w:hAnsi="Arial Narrow"/>
                <w:sz w:val="20"/>
              </w:rPr>
              <w:t>(●●●○)</w:t>
            </w:r>
          </w:p>
        </w:tc>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0A4F7" w14:textId="77777777" w:rsidR="002C6E55" w:rsidRPr="003A7EA2" w:rsidRDefault="002C6E55" w:rsidP="003A7EA2">
            <w:pPr>
              <w:keepNext/>
              <w:keepLines/>
              <w:jc w:val="center"/>
              <w:rPr>
                <w:rFonts w:ascii="Arial Narrow" w:hAnsi="Arial Narrow" w:cs="Arial"/>
                <w:sz w:val="20"/>
              </w:rPr>
            </w:pPr>
            <w:r w:rsidRPr="003A7EA2">
              <w:rPr>
                <w:rFonts w:ascii="Arial Narrow" w:hAnsi="Arial Narrow" w:cs="Arial"/>
                <w:sz w:val="20"/>
              </w:rPr>
              <w:t>HR 0.87</w:t>
            </w:r>
          </w:p>
          <w:p w14:paraId="51B5711F" w14:textId="77777777" w:rsidR="002C6E55" w:rsidRPr="003A7EA2" w:rsidRDefault="002C6E55" w:rsidP="003A7EA2">
            <w:pPr>
              <w:keepNext/>
              <w:keepLines/>
              <w:jc w:val="center"/>
              <w:rPr>
                <w:rFonts w:ascii="Arial Narrow" w:hAnsi="Arial Narrow" w:cs="Arial"/>
                <w:sz w:val="20"/>
              </w:rPr>
            </w:pPr>
            <w:r w:rsidRPr="003A7EA2">
              <w:rPr>
                <w:rFonts w:ascii="Arial Narrow" w:hAnsi="Arial Narrow" w:cs="Arial"/>
                <w:sz w:val="20"/>
              </w:rPr>
              <w:t>(0.78, 0.98)</w:t>
            </w:r>
          </w:p>
        </w:tc>
        <w:tc>
          <w:tcPr>
            <w:tcW w:w="9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1807D" w14:textId="77777777" w:rsidR="002C6E55" w:rsidRPr="003A7EA2" w:rsidRDefault="002C6E55" w:rsidP="003A7EA2">
            <w:pPr>
              <w:keepNext/>
              <w:keepLines/>
              <w:jc w:val="center"/>
              <w:rPr>
                <w:rFonts w:ascii="Arial Narrow" w:hAnsi="Arial Narrow" w:cs="Arial"/>
                <w:sz w:val="20"/>
                <w:u w:val="single"/>
              </w:rPr>
            </w:pPr>
            <w:r w:rsidRPr="003A7EA2">
              <w:rPr>
                <w:rFonts w:ascii="Arial Narrow" w:hAnsi="Arial Narrow" w:cs="Arial"/>
                <w:sz w:val="20"/>
                <w:u w:val="single"/>
              </w:rPr>
              <w:t>10-year overall mortality</w:t>
            </w:r>
          </w:p>
          <w:p w14:paraId="726B0729" w14:textId="77777777" w:rsidR="002C6E55" w:rsidRPr="003A7EA2" w:rsidRDefault="002C6E55" w:rsidP="003A7EA2">
            <w:pPr>
              <w:keepNext/>
              <w:keepLines/>
              <w:jc w:val="center"/>
              <w:rPr>
                <w:rFonts w:ascii="Arial Narrow" w:hAnsi="Arial Narrow" w:cs="Arial"/>
                <w:sz w:val="20"/>
              </w:rPr>
            </w:pPr>
            <w:r w:rsidRPr="003A7EA2">
              <w:rPr>
                <w:rFonts w:ascii="Arial Narrow" w:hAnsi="Arial Narrow" w:cs="Arial"/>
                <w:sz w:val="20"/>
              </w:rPr>
              <w:t>450 per 1000 patients</w:t>
            </w:r>
          </w:p>
          <w:p w14:paraId="0EFEA23D" w14:textId="77777777" w:rsidR="002C6E55" w:rsidRPr="003A7EA2" w:rsidRDefault="002C6E55" w:rsidP="003A7EA2">
            <w:pPr>
              <w:keepNext/>
              <w:keepLines/>
              <w:jc w:val="center"/>
              <w:rPr>
                <w:rFonts w:ascii="Arial Narrow" w:hAnsi="Arial Narrow" w:cs="Arial"/>
                <w:sz w:val="20"/>
              </w:rPr>
            </w:pPr>
          </w:p>
        </w:tc>
        <w:tc>
          <w:tcPr>
            <w:tcW w:w="9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2B8D4" w14:textId="77777777" w:rsidR="002C6E55" w:rsidRPr="003A7EA2" w:rsidRDefault="002C6E55" w:rsidP="003A7EA2">
            <w:pPr>
              <w:keepNext/>
              <w:keepLines/>
              <w:jc w:val="center"/>
              <w:rPr>
                <w:rFonts w:ascii="Arial Narrow" w:hAnsi="Arial Narrow" w:cs="Arial"/>
                <w:sz w:val="20"/>
                <w:u w:val="single"/>
              </w:rPr>
            </w:pPr>
            <w:r w:rsidRPr="003A7EA2">
              <w:rPr>
                <w:rFonts w:ascii="Arial Narrow" w:hAnsi="Arial Narrow" w:cs="Arial"/>
                <w:sz w:val="20"/>
                <w:u w:val="single"/>
              </w:rPr>
              <w:t>10-year overall mortality</w:t>
            </w:r>
          </w:p>
          <w:p w14:paraId="52997F78" w14:textId="77777777" w:rsidR="002C6E55" w:rsidRPr="003A7EA2" w:rsidRDefault="002C6E55" w:rsidP="003A7EA2">
            <w:pPr>
              <w:keepNext/>
              <w:keepLines/>
              <w:jc w:val="center"/>
              <w:rPr>
                <w:rFonts w:ascii="Arial Narrow" w:hAnsi="Arial Narrow" w:cs="Arial"/>
                <w:sz w:val="20"/>
              </w:rPr>
            </w:pPr>
            <w:r w:rsidRPr="003A7EA2">
              <w:rPr>
                <w:rFonts w:ascii="Arial Narrow" w:hAnsi="Arial Narrow" w:cs="Arial"/>
                <w:sz w:val="20"/>
              </w:rPr>
              <w:t>392 per 1000 patients</w:t>
            </w:r>
          </w:p>
          <w:p w14:paraId="65BC125B" w14:textId="77777777" w:rsidR="002C6E55" w:rsidRPr="003A7EA2" w:rsidRDefault="002C6E55" w:rsidP="003A7EA2">
            <w:pPr>
              <w:keepNext/>
              <w:keepLines/>
              <w:jc w:val="center"/>
              <w:rPr>
                <w:rFonts w:ascii="Arial Narrow" w:hAnsi="Arial Narrow" w:cs="Arial"/>
                <w:sz w:val="20"/>
              </w:rPr>
            </w:pPr>
          </w:p>
        </w:tc>
      </w:tr>
      <w:tr w:rsidR="002C6E55" w:rsidRPr="00BB57AF" w14:paraId="05F934BA" w14:textId="77777777" w:rsidTr="002C6E55">
        <w:trPr>
          <w:cantSplit/>
        </w:trPr>
        <w:tc>
          <w:tcPr>
            <w:tcW w:w="760" w:type="pct"/>
            <w:tcBorders>
              <w:top w:val="single" w:sz="4" w:space="0" w:color="auto"/>
              <w:left w:val="single" w:sz="4" w:space="0" w:color="auto"/>
              <w:bottom w:val="single" w:sz="4" w:space="0" w:color="auto"/>
              <w:right w:val="single" w:sz="4" w:space="0" w:color="auto"/>
            </w:tcBorders>
            <w:shd w:val="clear" w:color="auto" w:fill="auto"/>
          </w:tcPr>
          <w:p w14:paraId="0DD0AD33" w14:textId="77777777" w:rsidR="002C6E55" w:rsidRPr="00FE110B" w:rsidRDefault="002C6E55" w:rsidP="002C6E55">
            <w:pPr>
              <w:keepNext/>
              <w:keepLines/>
              <w:rPr>
                <w:rFonts w:ascii="Arial Narrow" w:hAnsi="Arial Narrow"/>
                <w:sz w:val="20"/>
              </w:rPr>
            </w:pPr>
            <w:r w:rsidRPr="00FE110B">
              <w:rPr>
                <w:rFonts w:ascii="Arial Narrow" w:hAnsi="Arial Narrow"/>
                <w:sz w:val="20"/>
              </w:rPr>
              <w:t>Cancer-specific mortality</w:t>
            </w:r>
          </w:p>
          <w:p w14:paraId="19913401" w14:textId="77777777" w:rsidR="002C6E55" w:rsidRPr="00FE110B" w:rsidRDefault="002C6E55" w:rsidP="002C6E55">
            <w:pPr>
              <w:keepNext/>
              <w:keepLines/>
              <w:rPr>
                <w:rFonts w:ascii="Arial Narrow" w:hAnsi="Arial Narrow"/>
                <w:sz w:val="20"/>
              </w:rPr>
            </w:pPr>
            <w:r w:rsidRPr="00FE110B">
              <w:rPr>
                <w:rFonts w:ascii="Arial Narrow" w:hAnsi="Arial Narrow"/>
                <w:sz w:val="20"/>
              </w:rPr>
              <w:t>(rate; median FU 42 months)</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7284BFDC" w14:textId="77777777" w:rsidR="002C6E55" w:rsidRPr="00FE110B" w:rsidRDefault="002C6E55" w:rsidP="002C6E55">
            <w:pPr>
              <w:keepNext/>
              <w:keepLines/>
              <w:rPr>
                <w:rFonts w:ascii="Arial Narrow" w:hAnsi="Arial Narrow" w:cs="Arial"/>
                <w:sz w:val="20"/>
              </w:rPr>
            </w:pPr>
            <w:r w:rsidRPr="00FE110B">
              <w:rPr>
                <w:rFonts w:ascii="Arial Narrow" w:hAnsi="Arial Narrow" w:cs="Arial"/>
                <w:sz w:val="20"/>
              </w:rPr>
              <w:t>CA=315; OTA=155</w:t>
            </w:r>
          </w:p>
          <w:p w14:paraId="69C14F49" w14:textId="77777777" w:rsidR="002C6E55" w:rsidRPr="00FE110B" w:rsidRDefault="002C6E55" w:rsidP="002C6E55">
            <w:pPr>
              <w:keepNext/>
              <w:keepLines/>
              <w:rPr>
                <w:rFonts w:ascii="Arial Narrow" w:hAnsi="Arial Narrow" w:cs="Arial"/>
                <w:sz w:val="20"/>
              </w:rPr>
            </w:pPr>
            <w:r w:rsidRPr="00FE110B">
              <w:rPr>
                <w:rFonts w:ascii="Arial Narrow" w:hAnsi="Arial Narrow"/>
                <w:sz w:val="20"/>
              </w:rPr>
              <w:t>1 retrospective cohort (</w:t>
            </w:r>
            <w:proofErr w:type="spellStart"/>
            <w:r w:rsidRPr="00FE110B">
              <w:rPr>
                <w:rFonts w:ascii="Arial Narrow" w:hAnsi="Arial Narrow"/>
                <w:sz w:val="20"/>
              </w:rPr>
              <w:t>Uhlig</w:t>
            </w:r>
            <w:proofErr w:type="spellEnd"/>
            <w:r w:rsidRPr="00FE110B">
              <w:rPr>
                <w:rFonts w:ascii="Arial Narrow" w:hAnsi="Arial Narrow"/>
                <w:sz w:val="20"/>
              </w:rPr>
              <w:t xml:space="preserve"> 2018/SEER)</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380B80CE" w14:textId="77777777" w:rsidR="002C6E55" w:rsidRPr="00FE110B" w:rsidRDefault="002C6E55" w:rsidP="002C6E55">
            <w:pPr>
              <w:keepNext/>
              <w:keepLines/>
              <w:jc w:val="center"/>
              <w:rPr>
                <w:rFonts w:ascii="Arial Narrow" w:hAnsi="Arial Narrow"/>
                <w:sz w:val="20"/>
              </w:rPr>
            </w:pPr>
            <w:r w:rsidRPr="00FE110B">
              <w:rPr>
                <w:rFonts w:ascii="Arial Narrow" w:hAnsi="Arial Narrow"/>
                <w:sz w:val="20"/>
              </w:rPr>
              <w:t>Moderate</w:t>
            </w:r>
          </w:p>
          <w:p w14:paraId="2C593E25" w14:textId="77777777" w:rsidR="002C6E55" w:rsidRPr="00FE110B" w:rsidRDefault="002C6E55" w:rsidP="002C6E55">
            <w:pPr>
              <w:keepNext/>
              <w:keepLines/>
              <w:jc w:val="center"/>
              <w:rPr>
                <w:rFonts w:ascii="Arial Narrow" w:hAnsi="Arial Narrow" w:cs="Arial"/>
                <w:sz w:val="20"/>
                <w:vertAlign w:val="superscript"/>
              </w:rPr>
            </w:pPr>
            <w:r w:rsidRPr="00FE110B">
              <w:rPr>
                <w:rFonts w:ascii="Arial Narrow" w:hAnsi="Arial Narrow"/>
                <w:sz w:val="20"/>
              </w:rPr>
              <w:t>(●●●○)</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76B1ED13" w14:textId="77777777" w:rsidR="002C6E55" w:rsidRPr="00FE110B" w:rsidRDefault="002C6E55" w:rsidP="002C6E55">
            <w:pPr>
              <w:keepNext/>
              <w:keepLines/>
              <w:jc w:val="center"/>
              <w:rPr>
                <w:rFonts w:ascii="Arial Narrow" w:hAnsi="Arial Narrow"/>
                <w:sz w:val="20"/>
              </w:rPr>
            </w:pPr>
            <w:r w:rsidRPr="00FE110B">
              <w:rPr>
                <w:rFonts w:ascii="Arial Narrow" w:hAnsi="Arial Narrow"/>
                <w:sz w:val="20"/>
              </w:rPr>
              <w:t>HR 1.03</w:t>
            </w:r>
          </w:p>
          <w:p w14:paraId="22E0F7BA" w14:textId="77777777" w:rsidR="002C6E55" w:rsidRPr="00FE110B" w:rsidRDefault="002C6E55" w:rsidP="002C6E55">
            <w:pPr>
              <w:keepNext/>
              <w:keepLines/>
              <w:jc w:val="center"/>
              <w:rPr>
                <w:rFonts w:ascii="Arial Narrow" w:hAnsi="Arial Narrow" w:cs="Arial"/>
                <w:sz w:val="20"/>
                <w:vertAlign w:val="superscript"/>
              </w:rPr>
            </w:pPr>
            <w:r w:rsidRPr="00FE110B">
              <w:rPr>
                <w:rFonts w:ascii="Arial Narrow" w:hAnsi="Arial Narrow"/>
                <w:sz w:val="20"/>
              </w:rPr>
              <w:t>(0.45, 2.33)</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2B8C5DEF" w14:textId="77777777" w:rsidR="002C6E55" w:rsidRPr="00FE110B" w:rsidRDefault="002C6E55" w:rsidP="002C6E55">
            <w:pPr>
              <w:keepNext/>
              <w:keepLines/>
              <w:jc w:val="center"/>
              <w:rPr>
                <w:rFonts w:ascii="Arial Narrow" w:hAnsi="Arial Narrow" w:cs="Arial"/>
                <w:sz w:val="20"/>
                <w:u w:val="single"/>
              </w:rPr>
            </w:pPr>
            <w:r w:rsidRPr="00FE110B">
              <w:rPr>
                <w:rFonts w:ascii="Arial Narrow" w:hAnsi="Arial Narrow" w:cs="Arial"/>
                <w:sz w:val="20"/>
                <w:u w:val="single"/>
              </w:rPr>
              <w:t>5-year CSM</w:t>
            </w:r>
          </w:p>
          <w:p w14:paraId="42FC589D" w14:textId="77777777" w:rsidR="002C6E55" w:rsidRPr="00FE110B" w:rsidRDefault="002C6E55" w:rsidP="002C6E55">
            <w:pPr>
              <w:keepNext/>
              <w:keepLines/>
              <w:jc w:val="center"/>
              <w:rPr>
                <w:rFonts w:ascii="Arial Narrow" w:hAnsi="Arial Narrow" w:cs="Arial"/>
                <w:sz w:val="20"/>
              </w:rPr>
            </w:pPr>
            <w:r w:rsidRPr="00FE110B">
              <w:rPr>
                <w:rFonts w:ascii="Arial Narrow" w:hAnsi="Arial Narrow" w:cs="Arial"/>
                <w:sz w:val="20"/>
              </w:rPr>
              <w:t>70 per 1000 patients</w:t>
            </w:r>
          </w:p>
        </w:tc>
        <w:tc>
          <w:tcPr>
            <w:tcW w:w="915" w:type="pct"/>
            <w:tcBorders>
              <w:top w:val="single" w:sz="4" w:space="0" w:color="auto"/>
              <w:left w:val="single" w:sz="4" w:space="0" w:color="auto"/>
              <w:bottom w:val="single" w:sz="4" w:space="0" w:color="auto"/>
              <w:right w:val="single" w:sz="4" w:space="0" w:color="auto"/>
            </w:tcBorders>
            <w:shd w:val="clear" w:color="auto" w:fill="auto"/>
          </w:tcPr>
          <w:p w14:paraId="65E0611D" w14:textId="77777777" w:rsidR="002C6E55" w:rsidRPr="00FE110B" w:rsidRDefault="002C6E55" w:rsidP="002C6E55">
            <w:pPr>
              <w:keepNext/>
              <w:keepLines/>
              <w:jc w:val="center"/>
              <w:rPr>
                <w:rFonts w:ascii="Arial Narrow" w:hAnsi="Arial Narrow" w:cs="Arial"/>
                <w:sz w:val="20"/>
                <w:u w:val="single"/>
              </w:rPr>
            </w:pPr>
            <w:r w:rsidRPr="00FE110B">
              <w:rPr>
                <w:rFonts w:ascii="Arial Narrow" w:hAnsi="Arial Narrow" w:cs="Arial"/>
                <w:sz w:val="20"/>
                <w:u w:val="single"/>
              </w:rPr>
              <w:t>5-year CSM</w:t>
            </w:r>
          </w:p>
          <w:p w14:paraId="6BFA8CD2" w14:textId="77777777" w:rsidR="002C6E55" w:rsidRPr="00FE110B" w:rsidRDefault="002C6E55" w:rsidP="002C6E55">
            <w:pPr>
              <w:keepNext/>
              <w:keepLines/>
              <w:jc w:val="center"/>
              <w:rPr>
                <w:rFonts w:ascii="Arial Narrow" w:hAnsi="Arial Narrow" w:cs="Arial"/>
                <w:sz w:val="20"/>
              </w:rPr>
            </w:pPr>
            <w:r w:rsidRPr="00FE110B">
              <w:rPr>
                <w:rFonts w:ascii="Arial Narrow" w:hAnsi="Arial Narrow" w:cs="Arial"/>
                <w:sz w:val="20"/>
              </w:rPr>
              <w:t>72 per 1000 patients</w:t>
            </w:r>
          </w:p>
        </w:tc>
      </w:tr>
      <w:tr w:rsidR="002C6E55" w:rsidRPr="00BB57AF" w14:paraId="7260383D" w14:textId="77777777" w:rsidTr="002C6E55">
        <w:trPr>
          <w:cantSplit/>
        </w:trPr>
        <w:tc>
          <w:tcPr>
            <w:tcW w:w="760" w:type="pct"/>
            <w:tcBorders>
              <w:top w:val="single" w:sz="4" w:space="0" w:color="auto"/>
              <w:left w:val="single" w:sz="4" w:space="0" w:color="auto"/>
              <w:bottom w:val="single" w:sz="4" w:space="0" w:color="auto"/>
              <w:right w:val="single" w:sz="4" w:space="0" w:color="auto"/>
            </w:tcBorders>
            <w:shd w:val="clear" w:color="auto" w:fill="auto"/>
          </w:tcPr>
          <w:p w14:paraId="44686E5B" w14:textId="77777777" w:rsidR="002C6E55" w:rsidRPr="00FE110B" w:rsidRDefault="002C6E55" w:rsidP="002C6E55">
            <w:pPr>
              <w:keepNext/>
              <w:keepLines/>
              <w:rPr>
                <w:rFonts w:ascii="Arial Narrow" w:hAnsi="Arial Narrow"/>
                <w:sz w:val="20"/>
              </w:rPr>
            </w:pPr>
            <w:r w:rsidRPr="00FE110B">
              <w:rPr>
                <w:rFonts w:ascii="Arial Narrow" w:hAnsi="Arial Narrow"/>
                <w:sz w:val="20"/>
              </w:rPr>
              <w:t>Local recurrence</w:t>
            </w:r>
          </w:p>
          <w:p w14:paraId="755E6808" w14:textId="77777777" w:rsidR="002C6E55" w:rsidRPr="00FE110B" w:rsidRDefault="002C6E55" w:rsidP="002C6E55">
            <w:pPr>
              <w:keepNext/>
              <w:keepLines/>
              <w:rPr>
                <w:rFonts w:ascii="Arial Narrow" w:hAnsi="Arial Narrow"/>
                <w:sz w:val="20"/>
              </w:rPr>
            </w:pPr>
            <w:r w:rsidRPr="00FE110B">
              <w:rPr>
                <w:rFonts w:ascii="Arial Narrow" w:hAnsi="Arial Narrow"/>
                <w:sz w:val="20"/>
              </w:rPr>
              <w:t>(rate; median FU 5 years)</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41C9E5FB" w14:textId="77777777" w:rsidR="002C6E55" w:rsidRPr="00FE110B" w:rsidRDefault="002C6E55" w:rsidP="002C6E55">
            <w:pPr>
              <w:keepNext/>
              <w:keepLines/>
              <w:rPr>
                <w:rFonts w:ascii="Arial Narrow" w:hAnsi="Arial Narrow" w:cs="Arial"/>
                <w:sz w:val="20"/>
              </w:rPr>
            </w:pPr>
            <w:r w:rsidRPr="00FE110B">
              <w:rPr>
                <w:rFonts w:ascii="Arial Narrow" w:hAnsi="Arial Narrow" w:cs="Arial"/>
                <w:sz w:val="20"/>
              </w:rPr>
              <w:t>CA=108; RFA=73; (PN=835)</w:t>
            </w:r>
          </w:p>
          <w:p w14:paraId="79889763" w14:textId="77777777" w:rsidR="002C6E55" w:rsidRPr="00FE110B" w:rsidRDefault="002C6E55" w:rsidP="002C6E55">
            <w:pPr>
              <w:keepNext/>
              <w:keepLines/>
              <w:rPr>
                <w:rFonts w:ascii="Arial Narrow" w:hAnsi="Arial Narrow" w:cs="Arial"/>
                <w:sz w:val="20"/>
              </w:rPr>
            </w:pPr>
            <w:r w:rsidRPr="00FE110B">
              <w:rPr>
                <w:rFonts w:ascii="Arial Narrow" w:hAnsi="Arial Narrow" w:cs="Arial"/>
                <w:sz w:val="20"/>
              </w:rPr>
              <w:t xml:space="preserve">1 retrospective cohort </w:t>
            </w:r>
          </w:p>
          <w:p w14:paraId="08249C91" w14:textId="77777777" w:rsidR="002C6E55" w:rsidRPr="00FE110B" w:rsidRDefault="002C6E55" w:rsidP="002C6E55">
            <w:pPr>
              <w:keepNext/>
              <w:keepLines/>
              <w:rPr>
                <w:rFonts w:ascii="Arial Narrow" w:hAnsi="Arial Narrow" w:cs="Arial"/>
                <w:sz w:val="20"/>
              </w:rPr>
            </w:pPr>
            <w:r w:rsidRPr="00FE110B">
              <w:rPr>
                <w:rFonts w:ascii="Arial Narrow" w:hAnsi="Arial Narrow" w:cs="Arial"/>
                <w:sz w:val="20"/>
              </w:rPr>
              <w:t>(Andrews 2018/SEER)</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7F9713DB" w14:textId="77777777" w:rsidR="002C6E55" w:rsidRPr="00FE110B" w:rsidRDefault="002C6E55" w:rsidP="002C6E55">
            <w:pPr>
              <w:pStyle w:val="Tabletext"/>
              <w:jc w:val="center"/>
              <w:rPr>
                <w:szCs w:val="20"/>
              </w:rPr>
            </w:pPr>
            <w:r w:rsidRPr="00FE110B">
              <w:rPr>
                <w:szCs w:val="20"/>
              </w:rPr>
              <w:t>Low</w:t>
            </w:r>
          </w:p>
          <w:p w14:paraId="61E1A6B4" w14:textId="77777777" w:rsidR="002C6E55" w:rsidRPr="00FE110B" w:rsidRDefault="002C6E55" w:rsidP="002C6E55">
            <w:pPr>
              <w:keepNext/>
              <w:keepLines/>
              <w:jc w:val="center"/>
              <w:rPr>
                <w:rFonts w:ascii="Arial Narrow" w:hAnsi="Arial Narrow"/>
                <w:sz w:val="20"/>
              </w:rPr>
            </w:pPr>
            <w:r w:rsidRPr="00FE110B">
              <w:rPr>
                <w:rFonts w:ascii="Arial Narrow" w:hAnsi="Arial Narrow"/>
                <w:sz w:val="20"/>
              </w:rPr>
              <w:t>(●●○○)</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28C521D5" w14:textId="77777777" w:rsidR="002C6E55" w:rsidRPr="00FE110B" w:rsidRDefault="002C6E55" w:rsidP="002C6E55">
            <w:pPr>
              <w:keepNext/>
              <w:keepLines/>
              <w:jc w:val="center"/>
              <w:rPr>
                <w:rFonts w:ascii="Arial Narrow" w:hAnsi="Arial Narrow"/>
                <w:sz w:val="20"/>
              </w:rPr>
            </w:pPr>
            <w:r w:rsidRPr="00FE110B">
              <w:rPr>
                <w:rFonts w:ascii="Arial Narrow" w:hAnsi="Arial Narrow"/>
                <w:sz w:val="20"/>
              </w:rPr>
              <w:t>HR 1.37</w:t>
            </w:r>
          </w:p>
          <w:p w14:paraId="2DAFA513" w14:textId="77777777" w:rsidR="002C6E55" w:rsidRPr="00FE110B" w:rsidRDefault="002C6E55" w:rsidP="002C6E55">
            <w:pPr>
              <w:keepNext/>
              <w:keepLines/>
              <w:jc w:val="center"/>
              <w:rPr>
                <w:rFonts w:ascii="Arial Narrow" w:hAnsi="Arial Narrow"/>
                <w:sz w:val="20"/>
              </w:rPr>
            </w:pPr>
            <w:r w:rsidRPr="00FE110B">
              <w:rPr>
                <w:rFonts w:ascii="Arial Narrow" w:hAnsi="Arial Narrow"/>
                <w:sz w:val="20"/>
              </w:rPr>
              <w:t>(0.26, 7.32)</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465C8253" w14:textId="77777777" w:rsidR="002C6E55" w:rsidRPr="00FE110B" w:rsidRDefault="002C6E55" w:rsidP="002C6E55">
            <w:pPr>
              <w:keepNext/>
              <w:keepLines/>
              <w:jc w:val="center"/>
              <w:rPr>
                <w:rFonts w:ascii="Arial Narrow" w:hAnsi="Arial Narrow" w:cs="Arial"/>
                <w:sz w:val="20"/>
                <w:u w:val="single"/>
              </w:rPr>
            </w:pPr>
            <w:r w:rsidRPr="00FE110B">
              <w:rPr>
                <w:rFonts w:ascii="Arial Narrow" w:hAnsi="Arial Narrow" w:cs="Arial"/>
                <w:sz w:val="20"/>
                <w:u w:val="single"/>
              </w:rPr>
              <w:t>5-year local recurrence</w:t>
            </w:r>
          </w:p>
          <w:p w14:paraId="66007B5F" w14:textId="77777777" w:rsidR="002C6E55" w:rsidRPr="00FE110B" w:rsidRDefault="002C6E55" w:rsidP="002C6E55">
            <w:pPr>
              <w:keepNext/>
              <w:keepLines/>
              <w:jc w:val="center"/>
              <w:rPr>
                <w:rFonts w:ascii="Arial Narrow" w:hAnsi="Arial Narrow" w:cs="Arial"/>
                <w:sz w:val="20"/>
              </w:rPr>
            </w:pPr>
            <w:r w:rsidRPr="00FE110B">
              <w:rPr>
                <w:rFonts w:ascii="Arial Narrow" w:hAnsi="Arial Narrow" w:cs="Arial"/>
                <w:sz w:val="20"/>
              </w:rPr>
              <w:t>55 per 1000 patients</w:t>
            </w:r>
          </w:p>
        </w:tc>
        <w:tc>
          <w:tcPr>
            <w:tcW w:w="915" w:type="pct"/>
            <w:tcBorders>
              <w:top w:val="single" w:sz="4" w:space="0" w:color="auto"/>
              <w:left w:val="single" w:sz="4" w:space="0" w:color="auto"/>
              <w:bottom w:val="single" w:sz="4" w:space="0" w:color="auto"/>
              <w:right w:val="single" w:sz="4" w:space="0" w:color="auto"/>
            </w:tcBorders>
            <w:shd w:val="clear" w:color="auto" w:fill="auto"/>
          </w:tcPr>
          <w:p w14:paraId="3B89E7D1" w14:textId="77777777" w:rsidR="002C6E55" w:rsidRPr="00FE110B" w:rsidRDefault="002C6E55" w:rsidP="002C6E55">
            <w:pPr>
              <w:keepNext/>
              <w:keepLines/>
              <w:jc w:val="center"/>
              <w:rPr>
                <w:rFonts w:ascii="Arial Narrow" w:hAnsi="Arial Narrow" w:cs="Arial"/>
                <w:sz w:val="20"/>
                <w:u w:val="single"/>
              </w:rPr>
            </w:pPr>
            <w:r w:rsidRPr="00FE110B">
              <w:rPr>
                <w:rFonts w:ascii="Arial Narrow" w:hAnsi="Arial Narrow" w:cs="Arial"/>
                <w:sz w:val="20"/>
                <w:u w:val="single"/>
              </w:rPr>
              <w:t>5-year local recurrence</w:t>
            </w:r>
          </w:p>
          <w:p w14:paraId="348F23E1" w14:textId="77777777" w:rsidR="002C6E55" w:rsidRPr="00FE110B" w:rsidRDefault="002C6E55" w:rsidP="002C6E55">
            <w:pPr>
              <w:keepNext/>
              <w:keepLines/>
              <w:jc w:val="center"/>
              <w:rPr>
                <w:rFonts w:ascii="Arial Narrow" w:hAnsi="Arial Narrow" w:cs="Arial"/>
                <w:sz w:val="20"/>
              </w:rPr>
            </w:pPr>
            <w:r w:rsidRPr="00FE110B">
              <w:rPr>
                <w:rFonts w:ascii="Arial Narrow" w:hAnsi="Arial Narrow" w:cs="Arial"/>
                <w:sz w:val="20"/>
              </w:rPr>
              <w:t>75 per 1000 patients</w:t>
            </w:r>
          </w:p>
        </w:tc>
      </w:tr>
      <w:tr w:rsidR="002C6E55" w:rsidRPr="00BB57AF" w14:paraId="783B6D1F" w14:textId="77777777" w:rsidTr="002C6E55">
        <w:trPr>
          <w:cantSplit/>
        </w:trPr>
        <w:tc>
          <w:tcPr>
            <w:tcW w:w="760" w:type="pct"/>
            <w:tcBorders>
              <w:top w:val="single" w:sz="4" w:space="0" w:color="auto"/>
              <w:left w:val="single" w:sz="4" w:space="0" w:color="auto"/>
              <w:bottom w:val="single" w:sz="4" w:space="0" w:color="auto"/>
              <w:right w:val="single" w:sz="4" w:space="0" w:color="auto"/>
            </w:tcBorders>
          </w:tcPr>
          <w:p w14:paraId="705A83A1" w14:textId="77777777" w:rsidR="002C6E55" w:rsidRPr="00FE110B" w:rsidRDefault="002C6E55" w:rsidP="002C6E55">
            <w:pPr>
              <w:keepNext/>
              <w:keepLines/>
              <w:rPr>
                <w:rFonts w:ascii="Arial Narrow" w:hAnsi="Arial Narrow" w:cs="Arial"/>
                <w:sz w:val="20"/>
              </w:rPr>
            </w:pPr>
            <w:r w:rsidRPr="00FE110B">
              <w:rPr>
                <w:rFonts w:ascii="Arial Narrow" w:hAnsi="Arial Narrow" w:cs="Arial"/>
                <w:sz w:val="20"/>
              </w:rPr>
              <w:t>CKD upstaging</w:t>
            </w:r>
          </w:p>
          <w:p w14:paraId="5B78A0E9" w14:textId="77777777" w:rsidR="002C6E55" w:rsidRPr="00FE110B" w:rsidRDefault="002C6E55" w:rsidP="002C6E55">
            <w:pPr>
              <w:keepNext/>
              <w:keepLines/>
              <w:rPr>
                <w:rFonts w:ascii="Arial Narrow" w:hAnsi="Arial Narrow" w:cs="Arial"/>
                <w:sz w:val="20"/>
                <w:highlight w:val="yellow"/>
              </w:rPr>
            </w:pPr>
            <w:r w:rsidRPr="00FE110B">
              <w:rPr>
                <w:rFonts w:ascii="Arial Narrow" w:hAnsi="Arial Narrow" w:cs="Arial"/>
                <w:sz w:val="20"/>
              </w:rPr>
              <w:t>(rate; 2 years FU)</w:t>
            </w:r>
          </w:p>
        </w:tc>
        <w:tc>
          <w:tcPr>
            <w:tcW w:w="998" w:type="pct"/>
            <w:tcBorders>
              <w:top w:val="single" w:sz="4" w:space="0" w:color="auto"/>
              <w:left w:val="single" w:sz="4" w:space="0" w:color="auto"/>
              <w:bottom w:val="single" w:sz="4" w:space="0" w:color="auto"/>
              <w:right w:val="single" w:sz="4" w:space="0" w:color="auto"/>
            </w:tcBorders>
          </w:tcPr>
          <w:p w14:paraId="3DC1FA5D" w14:textId="77777777" w:rsidR="002C6E55" w:rsidRPr="00FE110B" w:rsidRDefault="002C6E55" w:rsidP="002C6E55">
            <w:pPr>
              <w:keepNext/>
              <w:keepLines/>
              <w:rPr>
                <w:rFonts w:ascii="Arial Narrow" w:hAnsi="Arial Narrow" w:cs="Arial"/>
                <w:sz w:val="20"/>
              </w:rPr>
            </w:pPr>
            <w:r w:rsidRPr="00FE110B">
              <w:rPr>
                <w:rFonts w:ascii="Arial Narrow" w:hAnsi="Arial Narrow" w:cs="Arial"/>
                <w:sz w:val="20"/>
              </w:rPr>
              <w:t>CA=26; RFA=244; MWA=27 (tumours)</w:t>
            </w:r>
          </w:p>
          <w:p w14:paraId="55AE94F4" w14:textId="77777777" w:rsidR="002C6E55" w:rsidRPr="00FE110B" w:rsidRDefault="002C6E55" w:rsidP="002C6E55">
            <w:pPr>
              <w:keepNext/>
              <w:keepLines/>
              <w:rPr>
                <w:rFonts w:ascii="Arial Narrow" w:hAnsi="Arial Narrow" w:cs="Arial"/>
                <w:sz w:val="20"/>
              </w:rPr>
            </w:pPr>
            <w:r w:rsidRPr="00FE110B">
              <w:rPr>
                <w:rFonts w:ascii="Arial Narrow" w:hAnsi="Arial Narrow" w:cs="Arial"/>
                <w:sz w:val="20"/>
              </w:rPr>
              <w:t>1 retrospective cohort (Zhou 2019/Tufts University)</w:t>
            </w:r>
          </w:p>
        </w:tc>
        <w:tc>
          <w:tcPr>
            <w:tcW w:w="526" w:type="pct"/>
            <w:tcBorders>
              <w:top w:val="single" w:sz="4" w:space="0" w:color="auto"/>
              <w:left w:val="single" w:sz="4" w:space="0" w:color="auto"/>
              <w:bottom w:val="single" w:sz="4" w:space="0" w:color="auto"/>
              <w:right w:val="single" w:sz="4" w:space="0" w:color="auto"/>
            </w:tcBorders>
          </w:tcPr>
          <w:p w14:paraId="2595464F" w14:textId="77777777" w:rsidR="002C6E55" w:rsidRPr="00FE110B" w:rsidRDefault="002C6E55" w:rsidP="002C6E55">
            <w:pPr>
              <w:pStyle w:val="Tabletext"/>
              <w:jc w:val="center"/>
              <w:rPr>
                <w:szCs w:val="20"/>
              </w:rPr>
            </w:pPr>
            <w:r w:rsidRPr="00FE110B">
              <w:rPr>
                <w:szCs w:val="20"/>
              </w:rPr>
              <w:t>Very low</w:t>
            </w:r>
          </w:p>
          <w:p w14:paraId="6AB70D3A" w14:textId="77777777" w:rsidR="002C6E55" w:rsidRPr="00FE110B" w:rsidRDefault="002C6E55" w:rsidP="002C6E55">
            <w:pPr>
              <w:keepNext/>
              <w:keepLines/>
              <w:jc w:val="center"/>
              <w:rPr>
                <w:rFonts w:ascii="Arial Narrow" w:hAnsi="Arial Narrow" w:cs="Arial"/>
                <w:sz w:val="20"/>
                <w:highlight w:val="yellow"/>
              </w:rPr>
            </w:pPr>
            <w:r w:rsidRPr="00FE110B">
              <w:rPr>
                <w:rFonts w:ascii="Arial Narrow" w:hAnsi="Arial Narrow"/>
                <w:sz w:val="20"/>
              </w:rPr>
              <w:t>(●○○○)</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B8363AF" w14:textId="77777777" w:rsidR="002C6E55" w:rsidRPr="00FE110B" w:rsidRDefault="002C6E55" w:rsidP="002C6E55">
            <w:pPr>
              <w:keepNext/>
              <w:keepLines/>
              <w:jc w:val="center"/>
              <w:rPr>
                <w:rFonts w:ascii="Arial Narrow" w:hAnsi="Arial Narrow" w:cs="Arial"/>
                <w:sz w:val="20"/>
              </w:rPr>
            </w:pPr>
            <w:r w:rsidRPr="00FE110B">
              <w:rPr>
                <w:rFonts w:ascii="Arial Narrow" w:hAnsi="Arial Narrow" w:cs="Arial"/>
                <w:sz w:val="20"/>
              </w:rPr>
              <w:t>No CKD upstaging in any group</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4A93DC7B" w14:textId="77777777" w:rsidR="002C6E55" w:rsidRPr="00FE110B" w:rsidRDefault="002C6E55" w:rsidP="002C6E55">
            <w:pPr>
              <w:keepNext/>
              <w:keepLines/>
              <w:jc w:val="center"/>
              <w:rPr>
                <w:rFonts w:ascii="Arial Narrow" w:hAnsi="Arial Narrow" w:cs="Arial"/>
                <w:sz w:val="20"/>
              </w:rPr>
            </w:pPr>
            <w:r w:rsidRPr="00FE110B">
              <w:rPr>
                <w:rFonts w:ascii="Arial Narrow" w:hAnsi="Arial Narrow" w:cs="Arial"/>
                <w:sz w:val="20"/>
              </w:rPr>
              <w:t>-</w:t>
            </w:r>
          </w:p>
        </w:tc>
        <w:tc>
          <w:tcPr>
            <w:tcW w:w="915" w:type="pct"/>
            <w:tcBorders>
              <w:top w:val="single" w:sz="4" w:space="0" w:color="auto"/>
              <w:left w:val="single" w:sz="4" w:space="0" w:color="auto"/>
              <w:bottom w:val="single" w:sz="4" w:space="0" w:color="auto"/>
              <w:right w:val="single" w:sz="4" w:space="0" w:color="auto"/>
            </w:tcBorders>
            <w:shd w:val="clear" w:color="auto" w:fill="auto"/>
          </w:tcPr>
          <w:p w14:paraId="257E4575" w14:textId="77777777" w:rsidR="002C6E55" w:rsidRPr="00FE110B" w:rsidRDefault="002C6E55" w:rsidP="002C6E55">
            <w:pPr>
              <w:keepNext/>
              <w:keepLines/>
              <w:jc w:val="center"/>
              <w:rPr>
                <w:rFonts w:ascii="Arial Narrow" w:hAnsi="Arial Narrow" w:cs="Arial"/>
                <w:sz w:val="20"/>
              </w:rPr>
            </w:pPr>
            <w:r w:rsidRPr="00FE110B">
              <w:rPr>
                <w:rFonts w:ascii="Arial Narrow" w:hAnsi="Arial Narrow" w:cs="Arial"/>
                <w:sz w:val="20"/>
              </w:rPr>
              <w:t>-</w:t>
            </w:r>
          </w:p>
        </w:tc>
      </w:tr>
      <w:tr w:rsidR="002C6E55" w:rsidRPr="00BB57AF" w14:paraId="45B9FDEA" w14:textId="77777777" w:rsidTr="002C6E55">
        <w:trPr>
          <w:cantSplit/>
        </w:trPr>
        <w:tc>
          <w:tcPr>
            <w:tcW w:w="760" w:type="pct"/>
            <w:tcBorders>
              <w:top w:val="single" w:sz="4" w:space="0" w:color="auto"/>
              <w:left w:val="single" w:sz="4" w:space="0" w:color="auto"/>
              <w:bottom w:val="single" w:sz="4" w:space="0" w:color="auto"/>
              <w:right w:val="single" w:sz="4" w:space="0" w:color="auto"/>
            </w:tcBorders>
            <w:shd w:val="clear" w:color="auto" w:fill="auto"/>
          </w:tcPr>
          <w:p w14:paraId="1AD63361" w14:textId="77777777" w:rsidR="002C6E55" w:rsidRPr="00FE110B" w:rsidRDefault="002C6E55" w:rsidP="002C6E55">
            <w:pPr>
              <w:pStyle w:val="Tabletext"/>
              <w:spacing w:before="0" w:after="0"/>
              <w:rPr>
                <w:szCs w:val="20"/>
              </w:rPr>
            </w:pPr>
            <w:r w:rsidRPr="00FE110B">
              <w:rPr>
                <w:szCs w:val="20"/>
              </w:rPr>
              <w:t>Complications</w:t>
            </w:r>
          </w:p>
          <w:p w14:paraId="267DC01F" w14:textId="77777777" w:rsidR="002C6E55" w:rsidRPr="00FE110B" w:rsidRDefault="002C6E55" w:rsidP="002C6E55">
            <w:pPr>
              <w:pStyle w:val="Tabletext"/>
              <w:spacing w:before="0" w:after="0"/>
              <w:rPr>
                <w:szCs w:val="20"/>
              </w:rPr>
            </w:pPr>
            <w:r w:rsidRPr="00FE110B">
              <w:rPr>
                <w:szCs w:val="20"/>
              </w:rPr>
              <w:t>(rate; various FU)</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41401B5C" w14:textId="77777777" w:rsidR="002C6E55" w:rsidRPr="00FE110B" w:rsidRDefault="002C6E55" w:rsidP="002C6E55">
            <w:pPr>
              <w:pStyle w:val="Tabletext"/>
              <w:spacing w:before="0" w:after="0"/>
              <w:rPr>
                <w:szCs w:val="20"/>
              </w:rPr>
            </w:pPr>
            <w:r w:rsidRPr="00FE110B">
              <w:rPr>
                <w:szCs w:val="20"/>
              </w:rPr>
              <w:t>7 retrospective cohorts from the US Europe and Asia</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536677CE" w14:textId="77777777" w:rsidR="002C6E55" w:rsidRPr="00FE110B" w:rsidRDefault="002C6E55" w:rsidP="002C6E55">
            <w:pPr>
              <w:pStyle w:val="Tabletext"/>
              <w:jc w:val="center"/>
              <w:rPr>
                <w:szCs w:val="20"/>
              </w:rPr>
            </w:pPr>
            <w:r w:rsidRPr="00FE110B">
              <w:rPr>
                <w:szCs w:val="20"/>
              </w:rPr>
              <w:t>Very low</w:t>
            </w:r>
          </w:p>
          <w:p w14:paraId="1D0EFC72" w14:textId="77777777" w:rsidR="002C6E55" w:rsidRPr="00FE110B" w:rsidRDefault="002C6E55" w:rsidP="002C6E55">
            <w:pPr>
              <w:pStyle w:val="Tabletext"/>
              <w:spacing w:before="0" w:after="0"/>
              <w:jc w:val="center"/>
              <w:rPr>
                <w:szCs w:val="20"/>
              </w:rPr>
            </w:pPr>
            <w:r w:rsidRPr="00FE110B">
              <w:rPr>
                <w:szCs w:val="20"/>
              </w:rPr>
              <w:t>(●○○○)</w:t>
            </w:r>
          </w:p>
        </w:tc>
        <w:tc>
          <w:tcPr>
            <w:tcW w:w="2716" w:type="pct"/>
            <w:gridSpan w:val="3"/>
            <w:tcBorders>
              <w:top w:val="single" w:sz="4" w:space="0" w:color="auto"/>
              <w:left w:val="single" w:sz="4" w:space="0" w:color="auto"/>
              <w:bottom w:val="single" w:sz="4" w:space="0" w:color="auto"/>
              <w:right w:val="single" w:sz="4" w:space="0" w:color="auto"/>
            </w:tcBorders>
            <w:shd w:val="clear" w:color="auto" w:fill="auto"/>
          </w:tcPr>
          <w:p w14:paraId="62F75663" w14:textId="77777777" w:rsidR="002C6E55" w:rsidRPr="00FE110B" w:rsidRDefault="002C6E55" w:rsidP="002C6E55">
            <w:pPr>
              <w:keepNext/>
              <w:keepLines/>
              <w:jc w:val="center"/>
              <w:rPr>
                <w:rFonts w:ascii="Arial Narrow" w:hAnsi="Arial Narrow"/>
                <w:sz w:val="20"/>
              </w:rPr>
            </w:pPr>
            <w:r w:rsidRPr="00FE110B">
              <w:rPr>
                <w:rFonts w:ascii="Arial Narrow" w:hAnsi="Arial Narrow"/>
                <w:sz w:val="20"/>
              </w:rPr>
              <w:t>No clear difference in proportion of patients/ablations with complications between CA, RFA and MWA. Some differences in types of complications related to different tumour types and mechanisms of action of treatments</w:t>
            </w:r>
          </w:p>
        </w:tc>
      </w:tr>
    </w:tbl>
    <w:p w14:paraId="0B4ECDB5" w14:textId="77777777" w:rsidR="002C6E55" w:rsidRPr="00FE110B" w:rsidRDefault="002C6E55" w:rsidP="006D547D">
      <w:pPr>
        <w:pStyle w:val="Tablenotes"/>
      </w:pPr>
      <w:r w:rsidRPr="00FE110B">
        <w:t>Source: Table ES4, p21 of the ADAR</w:t>
      </w:r>
    </w:p>
    <w:p w14:paraId="6936481B" w14:textId="77777777" w:rsidR="002C6E55" w:rsidRPr="00FE110B" w:rsidRDefault="002C6E55" w:rsidP="006D547D">
      <w:pPr>
        <w:pStyle w:val="Tablenotes"/>
      </w:pPr>
      <w:r w:rsidRPr="00FE110B">
        <w:t xml:space="preserve">Abbreviations: CA=cryoablation; CI=confidence interval; CKD=chronic kidney disease; </w:t>
      </w:r>
      <w:proofErr w:type="spellStart"/>
      <w:r w:rsidRPr="00FE110B">
        <w:t>eGFR</w:t>
      </w:r>
      <w:proofErr w:type="spellEnd"/>
      <w:r w:rsidRPr="00FE110B">
        <w:t>=estimated glomerular filtration rate; FU=follow-up; MCS=mental component score; MD=mean difference; min=minute; PCA=percutaneous cryoablation; PCS=physical component score; PN=partial nephrectomy; RN=radical nephrectomy; SF-12=Short Form-12; TA=thermal ablation</w:t>
      </w:r>
    </w:p>
    <w:p w14:paraId="62792C37" w14:textId="77777777" w:rsidR="002C6E55" w:rsidRPr="00FE110B" w:rsidRDefault="002C6E55" w:rsidP="006D547D">
      <w:pPr>
        <w:pStyle w:val="Tablenotes"/>
      </w:pPr>
      <w:r w:rsidRPr="00FE110B">
        <w:t xml:space="preserve">Note: outcomes shown in </w:t>
      </w:r>
      <w:r>
        <w:t xml:space="preserve">grey </w:t>
      </w:r>
      <w:r w:rsidRPr="00FE110B">
        <w:t>shading are statistically significantly in favour of CA over OTA</w:t>
      </w:r>
      <w:r>
        <w:t>.</w:t>
      </w:r>
    </w:p>
    <w:p w14:paraId="5DA23636" w14:textId="77777777" w:rsidR="002C6E55" w:rsidRPr="00FE110B" w:rsidRDefault="002C6E55" w:rsidP="006D547D">
      <w:pPr>
        <w:pStyle w:val="Tablenotes"/>
      </w:pPr>
      <w:proofErr w:type="gramStart"/>
      <w:r w:rsidRPr="00FE110B">
        <w:t>a GRADE Working Group grades of evidence (</w:t>
      </w:r>
      <w:proofErr w:type="spellStart"/>
      <w:r w:rsidRPr="00FE110B">
        <w:t>Guyatt</w:t>
      </w:r>
      <w:proofErr w:type="spellEnd"/>
      <w:r w:rsidRPr="00FE110B">
        <w:t xml:space="preserve"> et al., 2013): ●●●● High quality: We are very confident that the true effect lies close to that of the estimate of effect; ●●●○ Moderate quality: We are moderately confident in the effect estimate: The true effect is likely to be close to the estimate of the effect, but there is a possibility that it is substantially different; ●●○○Low quality: Our confidence in the effect estimate is limited: The true effect may be substantially different from the estimate of the effect; ●○○○ Very low quality: We have very little confidence in the effect estimate: The true effect is likely to be substantially different from the estimate of effect.</w:t>
      </w:r>
      <w:proofErr w:type="gramEnd"/>
      <w:r w:rsidRPr="00FE110B">
        <w:t xml:space="preserve"> Justification for quality of evidence </w:t>
      </w:r>
      <w:proofErr w:type="spellStart"/>
      <w:r w:rsidRPr="00FE110B">
        <w:t>gradings</w:t>
      </w:r>
      <w:proofErr w:type="spellEnd"/>
      <w:r w:rsidRPr="00FE110B">
        <w:t xml:space="preserve"> </w:t>
      </w:r>
      <w:proofErr w:type="gramStart"/>
      <w:r w:rsidRPr="00FE110B">
        <w:t>are provided</w:t>
      </w:r>
      <w:proofErr w:type="gramEnd"/>
      <w:r w:rsidRPr="00FE110B">
        <w:t xml:space="preserve"> in the sourc</w:t>
      </w:r>
      <w:r w:rsidR="006D547D">
        <w:t xml:space="preserve">e table. </w:t>
      </w:r>
    </w:p>
    <w:p w14:paraId="3306959A" w14:textId="77777777" w:rsidR="002C6E55" w:rsidRPr="003A7EA2" w:rsidRDefault="002C6E55" w:rsidP="003A7EA2">
      <w:pPr>
        <w:rPr>
          <w:u w:val="single"/>
        </w:rPr>
      </w:pPr>
      <w:bookmarkStart w:id="22" w:name="_Toc46840362"/>
      <w:bookmarkStart w:id="23" w:name="_Toc50104602"/>
      <w:r w:rsidRPr="003A7EA2">
        <w:rPr>
          <w:u w:val="single"/>
        </w:rPr>
        <w:t>CA vs. PN (supplementary comparator 2)</w:t>
      </w:r>
      <w:bookmarkEnd w:id="22"/>
      <w:bookmarkEnd w:id="23"/>
    </w:p>
    <w:p w14:paraId="1EA60293" w14:textId="77777777" w:rsidR="002C6E55" w:rsidRDefault="002C6E55" w:rsidP="006D547D">
      <w:pPr>
        <w:spacing w:after="240"/>
      </w:pPr>
      <w:r w:rsidRPr="00027AC8">
        <w:t xml:space="preserve">Based </w:t>
      </w:r>
      <w:r>
        <w:t>on the evidence presented, the ADAR suggested</w:t>
      </w:r>
      <w:r w:rsidRPr="00027AC8">
        <w:t xml:space="preserve"> that CA has inferior </w:t>
      </w:r>
      <w:r w:rsidRPr="001F5220">
        <w:t>effectiveness</w:t>
      </w:r>
      <w:r w:rsidRPr="00027AC8">
        <w:t xml:space="preserve"> to PN in patients with </w:t>
      </w:r>
      <w:r w:rsidRPr="00027AC8">
        <w:rPr>
          <w:i/>
        </w:rPr>
        <w:t>T1a RCC</w:t>
      </w:r>
      <w:r w:rsidRPr="00027AC8">
        <w:t>. Both overall mortality and cancer-specific</w:t>
      </w:r>
      <w:r w:rsidRPr="00E679E0">
        <w:t xml:space="preserve"> mortality were significantly higher for CA compared with PN (HR 1.46; 95% CI 1.32, 1.63 and HR 2.44; 95% CI 1.40, 4.26, respectively). While there was no significant difference in local recurrence between CA and PN (HR 1.90; 95% CI 0.71, 4.26), the evidence for this outcome was considered to be low quality due to imprecision. There was no difference between CA and PN in terms of renal function (moderate quality </w:t>
      </w:r>
      <w:r w:rsidRPr="008562E1">
        <w:t xml:space="preserve">evidence) and quality of life (low quality evidence). </w:t>
      </w:r>
      <w:r w:rsidRPr="001F5220">
        <w:t xml:space="preserve">Based on these findings, a claim of inferior effectiveness </w:t>
      </w:r>
      <w:r w:rsidRPr="00FE110B">
        <w:rPr>
          <w:lang w:eastAsia="en-US"/>
        </w:rPr>
        <w:t xml:space="preserve">of CA compared with </w:t>
      </w:r>
      <w:r>
        <w:rPr>
          <w:lang w:eastAsia="en-US"/>
        </w:rPr>
        <w:t xml:space="preserve">PN </w:t>
      </w:r>
      <w:proofErr w:type="gramStart"/>
      <w:r w:rsidRPr="001F5220">
        <w:t>was made</w:t>
      </w:r>
      <w:proofErr w:type="gramEnd"/>
      <w:r w:rsidRPr="001F5220">
        <w:t xml:space="preserve"> in the ADAR.</w:t>
      </w:r>
    </w:p>
    <w:p w14:paraId="61BD7BC5" w14:textId="77777777" w:rsidR="002C6E55" w:rsidRDefault="002C6E55" w:rsidP="006D547D">
      <w:pPr>
        <w:spacing w:after="240"/>
      </w:pPr>
      <w:r w:rsidRPr="00FE110B">
        <w:t xml:space="preserve">The balance of clinical benefits and harms of CA compared with </w:t>
      </w:r>
      <w:r>
        <w:t>PN</w:t>
      </w:r>
      <w:r w:rsidRPr="00FE110B">
        <w:t xml:space="preserve"> </w:t>
      </w:r>
      <w:proofErr w:type="gramStart"/>
      <w:r w:rsidRPr="00FE110B">
        <w:t>is presented</w:t>
      </w:r>
      <w:proofErr w:type="gramEnd"/>
      <w:r w:rsidRPr="00FE110B">
        <w:t xml:space="preserve"> in</w:t>
      </w:r>
      <w:r w:rsidRPr="001F5220">
        <w:t xml:space="preserve"> </w:t>
      </w:r>
      <w:r>
        <w:fldChar w:fldCharType="begin"/>
      </w:r>
      <w:r>
        <w:instrText xml:space="preserve"> REF _Ref51087401 \h </w:instrText>
      </w:r>
      <w:r>
        <w:fldChar w:fldCharType="separate"/>
      </w:r>
      <w:r>
        <w:t xml:space="preserve">Table </w:t>
      </w:r>
      <w:r>
        <w:rPr>
          <w:noProof/>
        </w:rPr>
        <w:t>7</w:t>
      </w:r>
      <w:r>
        <w:fldChar w:fldCharType="end"/>
      </w:r>
      <w:r w:rsidR="006D547D">
        <w:t>.</w:t>
      </w:r>
    </w:p>
    <w:p w14:paraId="3D422183" w14:textId="24E0FC23" w:rsidR="002C6E55" w:rsidRPr="00E679E0" w:rsidRDefault="002C6E55" w:rsidP="006D547D">
      <w:pPr>
        <w:spacing w:after="240"/>
      </w:pPr>
      <w:r>
        <w:t xml:space="preserve">The </w:t>
      </w:r>
      <w:r w:rsidR="009842FE">
        <w:t>Commentary</w:t>
      </w:r>
      <w:r>
        <w:t xml:space="preserve"> considered the claim of inferior effectiveness of CA comp</w:t>
      </w:r>
      <w:r w:rsidR="006D547D">
        <w:t>ared with PN to be appropriate.</w:t>
      </w:r>
    </w:p>
    <w:p w14:paraId="2D0C7C7A" w14:textId="0222159A" w:rsidR="002C6E55" w:rsidRPr="003A7EA2" w:rsidRDefault="002C6E55" w:rsidP="003A7EA2">
      <w:pPr>
        <w:keepNext/>
        <w:keepLines/>
        <w:rPr>
          <w:rFonts w:ascii="Arial Narrow" w:hAnsi="Arial Narrow"/>
          <w:b/>
          <w:sz w:val="20"/>
        </w:rPr>
      </w:pPr>
      <w:bookmarkStart w:id="24" w:name="_Ref51087401"/>
      <w:r w:rsidRPr="003A7EA2">
        <w:rPr>
          <w:rFonts w:ascii="Arial Narrow" w:hAnsi="Arial Narrow"/>
          <w:b/>
          <w:sz w:val="20"/>
        </w:rPr>
        <w:t xml:space="preserve">Table </w:t>
      </w:r>
      <w:r w:rsidR="00C736E0" w:rsidRPr="003A7EA2">
        <w:rPr>
          <w:rFonts w:ascii="Arial Narrow" w:hAnsi="Arial Narrow"/>
          <w:b/>
          <w:sz w:val="20"/>
        </w:rPr>
        <w:fldChar w:fldCharType="begin"/>
      </w:r>
      <w:r w:rsidR="00C736E0" w:rsidRPr="003A7EA2">
        <w:rPr>
          <w:rFonts w:ascii="Arial Narrow" w:hAnsi="Arial Narrow"/>
          <w:b/>
          <w:sz w:val="20"/>
        </w:rPr>
        <w:instrText xml:space="preserve"> SEQ Table \* ARABIC </w:instrText>
      </w:r>
      <w:r w:rsidR="00C736E0" w:rsidRPr="003A7EA2">
        <w:rPr>
          <w:rFonts w:ascii="Arial Narrow" w:hAnsi="Arial Narrow"/>
          <w:b/>
          <w:sz w:val="20"/>
        </w:rPr>
        <w:fldChar w:fldCharType="separate"/>
      </w:r>
      <w:r w:rsidRPr="003A7EA2">
        <w:rPr>
          <w:rFonts w:ascii="Arial Narrow" w:hAnsi="Arial Narrow"/>
          <w:b/>
          <w:sz w:val="20"/>
        </w:rPr>
        <w:t>7</w:t>
      </w:r>
      <w:r w:rsidR="00C736E0" w:rsidRPr="003A7EA2">
        <w:rPr>
          <w:rFonts w:ascii="Arial Narrow" w:hAnsi="Arial Narrow"/>
          <w:b/>
          <w:sz w:val="20"/>
        </w:rPr>
        <w:fldChar w:fldCharType="end"/>
      </w:r>
      <w:bookmarkEnd w:id="24"/>
      <w:r w:rsidR="00071451" w:rsidRPr="003A7EA2">
        <w:rPr>
          <w:rFonts w:ascii="Arial Narrow" w:hAnsi="Arial Narrow"/>
          <w:b/>
          <w:sz w:val="20"/>
        </w:rPr>
        <w:tab/>
      </w:r>
      <w:r w:rsidRPr="003A7EA2">
        <w:rPr>
          <w:rFonts w:ascii="Arial Narrow" w:hAnsi="Arial Narrow"/>
          <w:b/>
          <w:sz w:val="20"/>
        </w:rPr>
        <w:t xml:space="preserve">Balance of clinical benefits and harms of CA, relative to PN, and as measured by the critical patient-relevant outcomes in the key studies </w:t>
      </w:r>
    </w:p>
    <w:tbl>
      <w:tblPr>
        <w:tblStyle w:val="TableGrid1"/>
        <w:tblW w:w="5000" w:type="pct"/>
        <w:tblLook w:val="04A0" w:firstRow="1" w:lastRow="0" w:firstColumn="1" w:lastColumn="0" w:noHBand="0" w:noVBand="1"/>
        <w:tblDescription w:val="Summary of findings table"/>
      </w:tblPr>
      <w:tblGrid>
        <w:gridCol w:w="1370"/>
        <w:gridCol w:w="1799"/>
        <w:gridCol w:w="949"/>
        <w:gridCol w:w="1431"/>
        <w:gridCol w:w="1723"/>
        <w:gridCol w:w="1744"/>
      </w:tblGrid>
      <w:tr w:rsidR="002C6E55" w:rsidRPr="009842FE" w14:paraId="64B864DF" w14:textId="77777777" w:rsidTr="003A7EA2">
        <w:trPr>
          <w:cnfStyle w:val="100000000000" w:firstRow="1" w:lastRow="0" w:firstColumn="0" w:lastColumn="0" w:oddVBand="0" w:evenVBand="0" w:oddHBand="0" w:evenHBand="0" w:firstRowFirstColumn="0" w:firstRowLastColumn="0" w:lastRowFirstColumn="0" w:lastRowLastColumn="0"/>
          <w:tblHeader/>
        </w:trPr>
        <w:tc>
          <w:tcPr>
            <w:tcW w:w="767" w:type="pct"/>
          </w:tcPr>
          <w:p w14:paraId="53101EA6" w14:textId="77777777" w:rsidR="002C6E55" w:rsidRPr="009842FE" w:rsidRDefault="002C6E55" w:rsidP="003A7EA2">
            <w:pPr>
              <w:keepNext/>
              <w:keepLines/>
              <w:rPr>
                <w:rFonts w:ascii="Arial Narrow" w:hAnsi="Arial Narrow"/>
                <w:b/>
                <w:sz w:val="18"/>
                <w:szCs w:val="18"/>
              </w:rPr>
            </w:pPr>
            <w:r w:rsidRPr="009842FE">
              <w:rPr>
                <w:rFonts w:ascii="Arial Narrow" w:hAnsi="Arial Narrow"/>
                <w:b/>
                <w:sz w:val="18"/>
                <w:szCs w:val="18"/>
              </w:rPr>
              <w:t>Outcomes (units)</w:t>
            </w:r>
          </w:p>
          <w:p w14:paraId="2C74A757" w14:textId="77777777" w:rsidR="002C6E55" w:rsidRPr="009842FE" w:rsidRDefault="002C6E55" w:rsidP="003A7EA2">
            <w:pPr>
              <w:keepNext/>
              <w:keepLines/>
              <w:rPr>
                <w:rFonts w:ascii="Arial Narrow" w:hAnsi="Arial Narrow"/>
                <w:b/>
                <w:sz w:val="18"/>
                <w:szCs w:val="18"/>
              </w:rPr>
            </w:pPr>
            <w:r w:rsidRPr="009842FE">
              <w:rPr>
                <w:rFonts w:ascii="Arial Narrow" w:hAnsi="Arial Narrow"/>
                <w:b/>
                <w:sz w:val="18"/>
                <w:szCs w:val="18"/>
              </w:rPr>
              <w:t>Follow-up</w:t>
            </w:r>
          </w:p>
        </w:tc>
        <w:tc>
          <w:tcPr>
            <w:tcW w:w="1005" w:type="pct"/>
          </w:tcPr>
          <w:p w14:paraId="124470B3" w14:textId="77777777" w:rsidR="002C6E55" w:rsidRPr="009842FE" w:rsidRDefault="002C6E55" w:rsidP="003A7EA2">
            <w:pPr>
              <w:keepNext/>
              <w:keepLines/>
              <w:rPr>
                <w:rFonts w:ascii="Arial Narrow" w:hAnsi="Arial Narrow"/>
                <w:b/>
                <w:sz w:val="18"/>
                <w:szCs w:val="18"/>
              </w:rPr>
            </w:pPr>
            <w:r w:rsidRPr="009842FE">
              <w:rPr>
                <w:rFonts w:ascii="Arial Narrow" w:hAnsi="Arial Narrow"/>
                <w:b/>
                <w:sz w:val="18"/>
                <w:szCs w:val="18"/>
              </w:rPr>
              <w:t xml:space="preserve">Participants </w:t>
            </w:r>
          </w:p>
          <w:p w14:paraId="66A4506D" w14:textId="77777777" w:rsidR="002C6E55" w:rsidRPr="009842FE" w:rsidRDefault="002C6E55" w:rsidP="003A7EA2">
            <w:pPr>
              <w:keepNext/>
              <w:keepLines/>
              <w:rPr>
                <w:rFonts w:ascii="Arial Narrow" w:hAnsi="Arial Narrow"/>
                <w:b/>
                <w:sz w:val="18"/>
                <w:szCs w:val="18"/>
              </w:rPr>
            </w:pPr>
            <w:r w:rsidRPr="009842FE">
              <w:rPr>
                <w:rFonts w:ascii="Arial Narrow" w:hAnsi="Arial Narrow"/>
                <w:b/>
                <w:sz w:val="18"/>
                <w:szCs w:val="18"/>
              </w:rPr>
              <w:t xml:space="preserve">Study type </w:t>
            </w:r>
          </w:p>
          <w:p w14:paraId="636AB354" w14:textId="42653AC9" w:rsidR="002C6E55" w:rsidRPr="009842FE" w:rsidRDefault="009842FE" w:rsidP="003A7EA2">
            <w:pPr>
              <w:keepNext/>
              <w:keepLines/>
              <w:rPr>
                <w:rFonts w:ascii="Arial Narrow" w:hAnsi="Arial Narrow"/>
                <w:b/>
                <w:sz w:val="18"/>
                <w:szCs w:val="18"/>
              </w:rPr>
            </w:pPr>
            <w:r>
              <w:rPr>
                <w:rFonts w:ascii="Arial Narrow" w:hAnsi="Arial Narrow"/>
                <w:b/>
                <w:sz w:val="18"/>
                <w:szCs w:val="18"/>
              </w:rPr>
              <w:t>(Study ID/location or database)</w:t>
            </w:r>
          </w:p>
        </w:tc>
        <w:tc>
          <w:tcPr>
            <w:tcW w:w="533" w:type="pct"/>
          </w:tcPr>
          <w:p w14:paraId="0F6E7A48" w14:textId="77777777" w:rsidR="002C6E55" w:rsidRPr="009842FE" w:rsidRDefault="002C6E55" w:rsidP="003A7EA2">
            <w:pPr>
              <w:keepNext/>
              <w:keepLines/>
              <w:jc w:val="center"/>
              <w:rPr>
                <w:rFonts w:ascii="Arial Narrow" w:hAnsi="Arial Narrow"/>
                <w:b/>
                <w:sz w:val="18"/>
                <w:szCs w:val="18"/>
              </w:rPr>
            </w:pPr>
            <w:r w:rsidRPr="009842FE">
              <w:rPr>
                <w:rFonts w:ascii="Arial Narrow" w:hAnsi="Arial Narrow"/>
                <w:b/>
                <w:sz w:val="18"/>
                <w:szCs w:val="18"/>
              </w:rPr>
              <w:t>Quality of evidence (GRADE)</w:t>
            </w:r>
            <w:r w:rsidRPr="009842FE">
              <w:rPr>
                <w:rFonts w:ascii="Arial Narrow" w:hAnsi="Arial Narrow" w:cs="Arial"/>
                <w:b/>
                <w:sz w:val="18"/>
                <w:szCs w:val="18"/>
                <w:vertAlign w:val="superscript"/>
              </w:rPr>
              <w:t xml:space="preserve"> a</w:t>
            </w:r>
          </w:p>
        </w:tc>
        <w:tc>
          <w:tcPr>
            <w:tcW w:w="759" w:type="pct"/>
          </w:tcPr>
          <w:p w14:paraId="1C55CAB0" w14:textId="77777777" w:rsidR="002C6E55" w:rsidRPr="009842FE" w:rsidRDefault="002C6E55" w:rsidP="003A7EA2">
            <w:pPr>
              <w:keepNext/>
              <w:keepLines/>
              <w:jc w:val="center"/>
              <w:rPr>
                <w:rFonts w:ascii="Arial Narrow" w:hAnsi="Arial Narrow"/>
                <w:b/>
                <w:sz w:val="18"/>
                <w:szCs w:val="18"/>
              </w:rPr>
            </w:pPr>
            <w:r w:rsidRPr="009842FE">
              <w:rPr>
                <w:rFonts w:ascii="Arial Narrow" w:hAnsi="Arial Narrow"/>
                <w:b/>
                <w:sz w:val="18"/>
                <w:szCs w:val="18"/>
              </w:rPr>
              <w:t>Relative/absolute effect (95% CI) and/or P value</w:t>
            </w:r>
          </w:p>
          <w:p w14:paraId="224D9410" w14:textId="77777777" w:rsidR="002C6E55" w:rsidRPr="009842FE" w:rsidRDefault="002C6E55" w:rsidP="003A7EA2">
            <w:pPr>
              <w:keepNext/>
              <w:keepLines/>
              <w:jc w:val="center"/>
              <w:rPr>
                <w:rFonts w:ascii="Arial Narrow" w:hAnsi="Arial Narrow"/>
                <w:b/>
                <w:sz w:val="18"/>
                <w:szCs w:val="18"/>
              </w:rPr>
            </w:pPr>
          </w:p>
        </w:tc>
        <w:tc>
          <w:tcPr>
            <w:tcW w:w="962" w:type="pct"/>
          </w:tcPr>
          <w:p w14:paraId="1535E04A" w14:textId="77777777" w:rsidR="002C6E55" w:rsidRPr="009842FE" w:rsidRDefault="002C6E55" w:rsidP="003A7EA2">
            <w:pPr>
              <w:keepNext/>
              <w:keepLines/>
              <w:jc w:val="center"/>
              <w:rPr>
                <w:rFonts w:ascii="Arial Narrow" w:hAnsi="Arial Narrow"/>
                <w:b/>
                <w:sz w:val="18"/>
                <w:szCs w:val="18"/>
              </w:rPr>
            </w:pPr>
            <w:r w:rsidRPr="009842FE">
              <w:rPr>
                <w:rFonts w:ascii="Arial Narrow" w:hAnsi="Arial Narrow"/>
                <w:b/>
                <w:sz w:val="18"/>
                <w:szCs w:val="18"/>
              </w:rPr>
              <w:t>Risk with PN</w:t>
            </w:r>
          </w:p>
          <w:p w14:paraId="4EEA2C62" w14:textId="77777777" w:rsidR="002C6E55" w:rsidRPr="009842FE" w:rsidRDefault="002C6E55" w:rsidP="003A7EA2">
            <w:pPr>
              <w:keepNext/>
              <w:keepLines/>
              <w:jc w:val="center"/>
              <w:rPr>
                <w:rFonts w:ascii="Arial Narrow" w:hAnsi="Arial Narrow"/>
                <w:b/>
                <w:sz w:val="18"/>
                <w:szCs w:val="18"/>
              </w:rPr>
            </w:pPr>
          </w:p>
        </w:tc>
        <w:tc>
          <w:tcPr>
            <w:tcW w:w="974" w:type="pct"/>
          </w:tcPr>
          <w:p w14:paraId="08B5799B" w14:textId="77777777" w:rsidR="002C6E55" w:rsidRPr="009842FE" w:rsidRDefault="002C6E55" w:rsidP="003A7EA2">
            <w:pPr>
              <w:keepNext/>
              <w:keepLines/>
              <w:jc w:val="center"/>
              <w:rPr>
                <w:rFonts w:ascii="Arial Narrow" w:hAnsi="Arial Narrow"/>
                <w:b/>
                <w:sz w:val="18"/>
                <w:szCs w:val="18"/>
              </w:rPr>
            </w:pPr>
            <w:r w:rsidRPr="009842FE">
              <w:rPr>
                <w:rFonts w:ascii="Arial Narrow" w:hAnsi="Arial Narrow"/>
                <w:b/>
                <w:sz w:val="18"/>
                <w:szCs w:val="18"/>
              </w:rPr>
              <w:t>Risk with CA</w:t>
            </w:r>
          </w:p>
          <w:p w14:paraId="3506E628" w14:textId="77777777" w:rsidR="002C6E55" w:rsidRPr="009842FE" w:rsidRDefault="002C6E55" w:rsidP="003A7EA2">
            <w:pPr>
              <w:keepNext/>
              <w:keepLines/>
              <w:jc w:val="center"/>
              <w:rPr>
                <w:rFonts w:ascii="Arial Narrow" w:hAnsi="Arial Narrow"/>
                <w:b/>
                <w:sz w:val="18"/>
                <w:szCs w:val="18"/>
              </w:rPr>
            </w:pPr>
          </w:p>
        </w:tc>
      </w:tr>
      <w:tr w:rsidR="002C6E55" w:rsidRPr="009842FE" w14:paraId="2A1C09E3" w14:textId="77777777" w:rsidTr="003A7EA2">
        <w:tc>
          <w:tcPr>
            <w:tcW w:w="767" w:type="pct"/>
          </w:tcPr>
          <w:p w14:paraId="11029EC6" w14:textId="77777777" w:rsidR="002C6E55" w:rsidRPr="009842FE" w:rsidRDefault="002C6E55" w:rsidP="003A7EA2">
            <w:pPr>
              <w:keepNext/>
              <w:keepLines/>
              <w:rPr>
                <w:color w:val="7F7F7F" w:themeColor="text1" w:themeTint="80"/>
                <w:sz w:val="18"/>
                <w:szCs w:val="18"/>
              </w:rPr>
            </w:pPr>
            <w:r w:rsidRPr="009842FE">
              <w:rPr>
                <w:color w:val="7F7F7F" w:themeColor="text1" w:themeTint="80"/>
                <w:sz w:val="18"/>
                <w:szCs w:val="18"/>
              </w:rPr>
              <w:t>Overall mortality</w:t>
            </w:r>
          </w:p>
          <w:p w14:paraId="2C91CAA7" w14:textId="77777777" w:rsidR="002C6E55" w:rsidRPr="009842FE" w:rsidRDefault="002C6E55" w:rsidP="003A7EA2">
            <w:pPr>
              <w:keepNext/>
              <w:keepLines/>
              <w:rPr>
                <w:color w:val="7F7F7F" w:themeColor="text1" w:themeTint="80"/>
                <w:sz w:val="18"/>
                <w:szCs w:val="18"/>
              </w:rPr>
            </w:pPr>
            <w:r w:rsidRPr="009842FE">
              <w:rPr>
                <w:color w:val="7F7F7F" w:themeColor="text1" w:themeTint="80"/>
                <w:sz w:val="18"/>
                <w:szCs w:val="18"/>
              </w:rPr>
              <w:t>(rate; up to &gt; 10 years FU)</w:t>
            </w:r>
          </w:p>
        </w:tc>
        <w:tc>
          <w:tcPr>
            <w:tcW w:w="1005" w:type="pct"/>
          </w:tcPr>
          <w:p w14:paraId="70182F66" w14:textId="77777777" w:rsidR="002C6E55" w:rsidRPr="009842FE" w:rsidRDefault="002C6E55" w:rsidP="003A7EA2">
            <w:pPr>
              <w:keepNext/>
              <w:keepLines/>
              <w:rPr>
                <w:rFonts w:cs="Arial"/>
                <w:color w:val="7F7F7F" w:themeColor="text1" w:themeTint="80"/>
                <w:sz w:val="18"/>
                <w:szCs w:val="18"/>
              </w:rPr>
            </w:pPr>
            <w:r w:rsidRPr="009842FE">
              <w:rPr>
                <w:rFonts w:cs="Arial"/>
                <w:color w:val="7F7F7F" w:themeColor="text1" w:themeTint="80"/>
                <w:sz w:val="18"/>
                <w:szCs w:val="18"/>
              </w:rPr>
              <w:t>CA=6,629; PN=6,629</w:t>
            </w:r>
          </w:p>
          <w:p w14:paraId="6ADF47E0" w14:textId="77777777" w:rsidR="002C6E55" w:rsidRPr="009842FE" w:rsidRDefault="002C6E55" w:rsidP="003A7EA2">
            <w:pPr>
              <w:keepNext/>
              <w:keepLines/>
              <w:rPr>
                <w:rFonts w:cs="Arial"/>
                <w:color w:val="7F7F7F" w:themeColor="text1" w:themeTint="80"/>
                <w:sz w:val="18"/>
                <w:szCs w:val="18"/>
              </w:rPr>
            </w:pPr>
            <w:r w:rsidRPr="009842FE">
              <w:rPr>
                <w:color w:val="7F7F7F" w:themeColor="text1" w:themeTint="80"/>
                <w:sz w:val="18"/>
                <w:szCs w:val="18"/>
              </w:rPr>
              <w:t>1 retrospective cohort (</w:t>
            </w:r>
            <w:proofErr w:type="spellStart"/>
            <w:r w:rsidRPr="009842FE">
              <w:rPr>
                <w:color w:val="7F7F7F" w:themeColor="text1" w:themeTint="80"/>
                <w:sz w:val="18"/>
                <w:szCs w:val="18"/>
              </w:rPr>
              <w:t>Kitley</w:t>
            </w:r>
            <w:proofErr w:type="spellEnd"/>
            <w:r w:rsidRPr="009842FE">
              <w:rPr>
                <w:color w:val="7F7F7F" w:themeColor="text1" w:themeTint="80"/>
                <w:sz w:val="18"/>
                <w:szCs w:val="18"/>
              </w:rPr>
              <w:t xml:space="preserve"> 2019; NCDB)</w:t>
            </w:r>
          </w:p>
        </w:tc>
        <w:tc>
          <w:tcPr>
            <w:tcW w:w="533" w:type="pct"/>
          </w:tcPr>
          <w:p w14:paraId="12D544E7" w14:textId="77777777" w:rsidR="002C6E55" w:rsidRPr="009842FE" w:rsidRDefault="002C6E55" w:rsidP="003A7EA2">
            <w:pPr>
              <w:keepNext/>
              <w:keepLines/>
              <w:jc w:val="center"/>
              <w:rPr>
                <w:color w:val="7F7F7F" w:themeColor="text1" w:themeTint="80"/>
                <w:sz w:val="18"/>
                <w:szCs w:val="18"/>
              </w:rPr>
            </w:pPr>
            <w:r w:rsidRPr="009842FE">
              <w:rPr>
                <w:color w:val="7F7F7F" w:themeColor="text1" w:themeTint="80"/>
                <w:sz w:val="18"/>
                <w:szCs w:val="18"/>
              </w:rPr>
              <w:t>Moderate</w:t>
            </w:r>
          </w:p>
          <w:p w14:paraId="1AC11462" w14:textId="77777777" w:rsidR="002C6E55" w:rsidRPr="009842FE" w:rsidRDefault="002C6E55" w:rsidP="003A7EA2">
            <w:pPr>
              <w:keepNext/>
              <w:keepLines/>
              <w:jc w:val="center"/>
              <w:rPr>
                <w:rFonts w:cs="Arial"/>
                <w:color w:val="7F7F7F" w:themeColor="text1" w:themeTint="80"/>
                <w:sz w:val="18"/>
                <w:szCs w:val="18"/>
                <w:vertAlign w:val="superscript"/>
              </w:rPr>
            </w:pPr>
            <w:r w:rsidRPr="009842FE">
              <w:rPr>
                <w:color w:val="7F7F7F" w:themeColor="text1" w:themeTint="80"/>
                <w:sz w:val="18"/>
                <w:szCs w:val="18"/>
              </w:rPr>
              <w:t>(●●●○)</w:t>
            </w:r>
          </w:p>
        </w:tc>
        <w:tc>
          <w:tcPr>
            <w:tcW w:w="759" w:type="pct"/>
          </w:tcPr>
          <w:p w14:paraId="7C37AB7F" w14:textId="77777777" w:rsidR="002C6E55" w:rsidRPr="009842FE" w:rsidRDefault="002C6E55" w:rsidP="003A7EA2">
            <w:pPr>
              <w:keepNext/>
              <w:keepLines/>
              <w:jc w:val="center"/>
              <w:rPr>
                <w:color w:val="7F7F7F" w:themeColor="text1" w:themeTint="80"/>
                <w:sz w:val="18"/>
                <w:szCs w:val="18"/>
              </w:rPr>
            </w:pPr>
            <w:r w:rsidRPr="009842FE">
              <w:rPr>
                <w:color w:val="7F7F7F" w:themeColor="text1" w:themeTint="80"/>
                <w:sz w:val="18"/>
                <w:szCs w:val="18"/>
              </w:rPr>
              <w:t>HR 1.46</w:t>
            </w:r>
          </w:p>
          <w:p w14:paraId="7EBB144E" w14:textId="77777777" w:rsidR="002C6E55" w:rsidRPr="009842FE" w:rsidRDefault="002C6E55" w:rsidP="003A7EA2">
            <w:pPr>
              <w:keepNext/>
              <w:keepLines/>
              <w:jc w:val="center"/>
              <w:rPr>
                <w:rFonts w:cs="Arial"/>
                <w:color w:val="7F7F7F" w:themeColor="text1" w:themeTint="80"/>
                <w:sz w:val="18"/>
                <w:szCs w:val="18"/>
                <w:vertAlign w:val="superscript"/>
              </w:rPr>
            </w:pPr>
            <w:r w:rsidRPr="009842FE">
              <w:rPr>
                <w:color w:val="7F7F7F" w:themeColor="text1" w:themeTint="80"/>
                <w:sz w:val="18"/>
                <w:szCs w:val="18"/>
              </w:rPr>
              <w:t>(1.32, 1.63)</w:t>
            </w:r>
          </w:p>
        </w:tc>
        <w:tc>
          <w:tcPr>
            <w:tcW w:w="962" w:type="pct"/>
          </w:tcPr>
          <w:p w14:paraId="6A06E733" w14:textId="77777777" w:rsidR="002C6E55" w:rsidRPr="009842FE" w:rsidRDefault="002C6E55" w:rsidP="003A7EA2">
            <w:pPr>
              <w:keepNext/>
              <w:keepLines/>
              <w:jc w:val="center"/>
              <w:rPr>
                <w:rFonts w:cs="Arial"/>
                <w:color w:val="7F7F7F" w:themeColor="text1" w:themeTint="80"/>
                <w:sz w:val="18"/>
                <w:szCs w:val="18"/>
                <w:u w:val="single"/>
              </w:rPr>
            </w:pPr>
            <w:r w:rsidRPr="009842FE">
              <w:rPr>
                <w:rFonts w:cs="Arial"/>
                <w:color w:val="7F7F7F" w:themeColor="text1" w:themeTint="80"/>
                <w:sz w:val="18"/>
                <w:szCs w:val="18"/>
                <w:u w:val="single"/>
              </w:rPr>
              <w:t>8-year OM</w:t>
            </w:r>
          </w:p>
          <w:p w14:paraId="25E07AE7" w14:textId="77777777" w:rsidR="002C6E55" w:rsidRPr="009842FE" w:rsidRDefault="002C6E55" w:rsidP="003A7EA2">
            <w:pPr>
              <w:keepNext/>
              <w:keepLines/>
              <w:jc w:val="center"/>
              <w:rPr>
                <w:rFonts w:cs="Arial"/>
                <w:color w:val="7F7F7F" w:themeColor="text1" w:themeTint="80"/>
                <w:sz w:val="18"/>
                <w:szCs w:val="18"/>
              </w:rPr>
            </w:pPr>
            <w:r w:rsidRPr="009842FE">
              <w:rPr>
                <w:rFonts w:cs="Arial"/>
                <w:color w:val="7F7F7F" w:themeColor="text1" w:themeTint="80"/>
                <w:sz w:val="18"/>
                <w:szCs w:val="18"/>
              </w:rPr>
              <w:t>251 per 1000 patients</w:t>
            </w:r>
          </w:p>
        </w:tc>
        <w:tc>
          <w:tcPr>
            <w:tcW w:w="974" w:type="pct"/>
          </w:tcPr>
          <w:p w14:paraId="2FD7AE8F" w14:textId="77777777" w:rsidR="002C6E55" w:rsidRPr="009842FE" w:rsidRDefault="002C6E55" w:rsidP="003A7EA2">
            <w:pPr>
              <w:keepNext/>
              <w:keepLines/>
              <w:jc w:val="center"/>
              <w:rPr>
                <w:rFonts w:cs="Arial"/>
                <w:color w:val="7F7F7F" w:themeColor="text1" w:themeTint="80"/>
                <w:sz w:val="18"/>
                <w:szCs w:val="18"/>
                <w:u w:val="single"/>
              </w:rPr>
            </w:pPr>
            <w:r w:rsidRPr="009842FE">
              <w:rPr>
                <w:rFonts w:cs="Arial"/>
                <w:color w:val="7F7F7F" w:themeColor="text1" w:themeTint="80"/>
                <w:sz w:val="18"/>
                <w:szCs w:val="18"/>
                <w:u w:val="single"/>
              </w:rPr>
              <w:t>8-year OM</w:t>
            </w:r>
          </w:p>
          <w:p w14:paraId="00507819" w14:textId="77777777" w:rsidR="002C6E55" w:rsidRPr="009842FE" w:rsidRDefault="002C6E55" w:rsidP="003A7EA2">
            <w:pPr>
              <w:keepNext/>
              <w:keepLines/>
              <w:jc w:val="center"/>
              <w:rPr>
                <w:rFonts w:cs="Arial"/>
                <w:color w:val="7F7F7F" w:themeColor="text1" w:themeTint="80"/>
                <w:sz w:val="18"/>
                <w:szCs w:val="18"/>
              </w:rPr>
            </w:pPr>
            <w:r w:rsidRPr="009842FE">
              <w:rPr>
                <w:rFonts w:cs="Arial"/>
                <w:color w:val="7F7F7F" w:themeColor="text1" w:themeTint="80"/>
                <w:sz w:val="18"/>
                <w:szCs w:val="18"/>
              </w:rPr>
              <w:t>366 per 1000 patients</w:t>
            </w:r>
          </w:p>
        </w:tc>
      </w:tr>
      <w:tr w:rsidR="002C6E55" w:rsidRPr="009842FE" w14:paraId="79912FC3" w14:textId="77777777" w:rsidTr="003A7EA2">
        <w:tc>
          <w:tcPr>
            <w:tcW w:w="767" w:type="pct"/>
          </w:tcPr>
          <w:p w14:paraId="10B402CA" w14:textId="77777777" w:rsidR="002C6E55" w:rsidRPr="009842FE" w:rsidRDefault="002C6E55" w:rsidP="00572859">
            <w:pPr>
              <w:rPr>
                <w:color w:val="7F7F7F" w:themeColor="text1" w:themeTint="80"/>
                <w:sz w:val="18"/>
                <w:szCs w:val="18"/>
              </w:rPr>
            </w:pPr>
            <w:r w:rsidRPr="009842FE">
              <w:rPr>
                <w:color w:val="7F7F7F" w:themeColor="text1" w:themeTint="80"/>
                <w:sz w:val="18"/>
                <w:szCs w:val="18"/>
              </w:rPr>
              <w:t>Cancer-specific mortality</w:t>
            </w:r>
          </w:p>
          <w:p w14:paraId="64DBBF85" w14:textId="77777777" w:rsidR="002C6E55" w:rsidRPr="009842FE" w:rsidRDefault="002C6E55" w:rsidP="00572859">
            <w:pPr>
              <w:rPr>
                <w:color w:val="7F7F7F" w:themeColor="text1" w:themeTint="80"/>
                <w:sz w:val="18"/>
                <w:szCs w:val="18"/>
              </w:rPr>
            </w:pPr>
            <w:r w:rsidRPr="009842FE">
              <w:rPr>
                <w:color w:val="7F7F7F" w:themeColor="text1" w:themeTint="80"/>
                <w:sz w:val="18"/>
                <w:szCs w:val="18"/>
              </w:rPr>
              <w:t>(rate; up to &gt; 10 years FU)</w:t>
            </w:r>
          </w:p>
        </w:tc>
        <w:tc>
          <w:tcPr>
            <w:tcW w:w="1005" w:type="pct"/>
          </w:tcPr>
          <w:p w14:paraId="5D4F3DBC" w14:textId="77777777" w:rsidR="002C6E55" w:rsidRPr="009842FE" w:rsidRDefault="002C6E55" w:rsidP="00572859">
            <w:pPr>
              <w:rPr>
                <w:rFonts w:cs="Arial"/>
                <w:color w:val="7F7F7F" w:themeColor="text1" w:themeTint="80"/>
                <w:sz w:val="18"/>
                <w:szCs w:val="18"/>
              </w:rPr>
            </w:pPr>
            <w:r w:rsidRPr="009842FE">
              <w:rPr>
                <w:rFonts w:cs="Arial"/>
                <w:color w:val="7F7F7F" w:themeColor="text1" w:themeTint="80"/>
                <w:sz w:val="18"/>
                <w:szCs w:val="18"/>
              </w:rPr>
              <w:t>CA=1044; PN=1044</w:t>
            </w:r>
          </w:p>
          <w:p w14:paraId="44004F21" w14:textId="77777777" w:rsidR="002C6E55" w:rsidRPr="009842FE" w:rsidRDefault="002C6E55" w:rsidP="00572859">
            <w:pPr>
              <w:rPr>
                <w:rFonts w:cs="Arial"/>
                <w:color w:val="7F7F7F" w:themeColor="text1" w:themeTint="80"/>
                <w:sz w:val="18"/>
                <w:szCs w:val="18"/>
              </w:rPr>
            </w:pPr>
            <w:r w:rsidRPr="009842FE">
              <w:rPr>
                <w:color w:val="7F7F7F" w:themeColor="text1" w:themeTint="80"/>
                <w:sz w:val="18"/>
                <w:szCs w:val="18"/>
              </w:rPr>
              <w:t>1 retrospective cohort (Liao 2019; SEER)</w:t>
            </w:r>
          </w:p>
        </w:tc>
        <w:tc>
          <w:tcPr>
            <w:tcW w:w="533" w:type="pct"/>
          </w:tcPr>
          <w:p w14:paraId="5AE88C2A" w14:textId="77777777" w:rsidR="002C6E55" w:rsidRPr="009842FE" w:rsidRDefault="002C6E55" w:rsidP="00572859">
            <w:pPr>
              <w:jc w:val="center"/>
              <w:rPr>
                <w:color w:val="7F7F7F" w:themeColor="text1" w:themeTint="80"/>
                <w:sz w:val="18"/>
                <w:szCs w:val="18"/>
              </w:rPr>
            </w:pPr>
            <w:r w:rsidRPr="009842FE">
              <w:rPr>
                <w:color w:val="7F7F7F" w:themeColor="text1" w:themeTint="80"/>
                <w:sz w:val="18"/>
                <w:szCs w:val="18"/>
              </w:rPr>
              <w:t>Moderate</w:t>
            </w:r>
          </w:p>
          <w:p w14:paraId="265605AB" w14:textId="77777777" w:rsidR="002C6E55" w:rsidRPr="009842FE" w:rsidRDefault="002C6E55" w:rsidP="00572859">
            <w:pPr>
              <w:jc w:val="center"/>
              <w:rPr>
                <w:rFonts w:cs="Arial"/>
                <w:color w:val="7F7F7F" w:themeColor="text1" w:themeTint="80"/>
                <w:sz w:val="18"/>
                <w:szCs w:val="18"/>
                <w:vertAlign w:val="superscript"/>
              </w:rPr>
            </w:pPr>
            <w:r w:rsidRPr="009842FE">
              <w:rPr>
                <w:color w:val="7F7F7F" w:themeColor="text1" w:themeTint="80"/>
                <w:sz w:val="18"/>
                <w:szCs w:val="18"/>
              </w:rPr>
              <w:t>(●●●○)</w:t>
            </w:r>
          </w:p>
        </w:tc>
        <w:tc>
          <w:tcPr>
            <w:tcW w:w="759" w:type="pct"/>
          </w:tcPr>
          <w:p w14:paraId="4D2445DD" w14:textId="77777777" w:rsidR="002C6E55" w:rsidRPr="009842FE" w:rsidRDefault="002C6E55" w:rsidP="00572859">
            <w:pPr>
              <w:jc w:val="center"/>
              <w:rPr>
                <w:color w:val="7F7F7F" w:themeColor="text1" w:themeTint="80"/>
                <w:sz w:val="18"/>
                <w:szCs w:val="18"/>
              </w:rPr>
            </w:pPr>
            <w:r w:rsidRPr="009842FE">
              <w:rPr>
                <w:color w:val="7F7F7F" w:themeColor="text1" w:themeTint="80"/>
                <w:sz w:val="18"/>
                <w:szCs w:val="18"/>
              </w:rPr>
              <w:t>HR 2.44</w:t>
            </w:r>
          </w:p>
          <w:p w14:paraId="039919D6" w14:textId="77777777" w:rsidR="002C6E55" w:rsidRPr="009842FE" w:rsidRDefault="002C6E55" w:rsidP="00572859">
            <w:pPr>
              <w:jc w:val="center"/>
              <w:rPr>
                <w:rFonts w:cs="Arial"/>
                <w:color w:val="7F7F7F" w:themeColor="text1" w:themeTint="80"/>
                <w:sz w:val="18"/>
                <w:szCs w:val="18"/>
                <w:vertAlign w:val="superscript"/>
              </w:rPr>
            </w:pPr>
            <w:r w:rsidRPr="009842FE">
              <w:rPr>
                <w:color w:val="7F7F7F" w:themeColor="text1" w:themeTint="80"/>
                <w:sz w:val="18"/>
                <w:szCs w:val="18"/>
              </w:rPr>
              <w:t>(1.40, 4.26)</w:t>
            </w:r>
          </w:p>
        </w:tc>
        <w:tc>
          <w:tcPr>
            <w:tcW w:w="962" w:type="pct"/>
          </w:tcPr>
          <w:p w14:paraId="2380E576" w14:textId="77777777" w:rsidR="002C6E55" w:rsidRPr="009842FE" w:rsidRDefault="002C6E55" w:rsidP="00572859">
            <w:pPr>
              <w:jc w:val="center"/>
              <w:rPr>
                <w:rFonts w:cs="Arial"/>
                <w:color w:val="7F7F7F" w:themeColor="text1" w:themeTint="80"/>
                <w:sz w:val="18"/>
                <w:szCs w:val="18"/>
                <w:u w:val="single"/>
              </w:rPr>
            </w:pPr>
            <w:r w:rsidRPr="009842FE">
              <w:rPr>
                <w:rFonts w:cs="Arial"/>
                <w:color w:val="7F7F7F" w:themeColor="text1" w:themeTint="80"/>
                <w:sz w:val="18"/>
                <w:szCs w:val="18"/>
                <w:u w:val="single"/>
              </w:rPr>
              <w:t>5-year CSM</w:t>
            </w:r>
          </w:p>
          <w:p w14:paraId="22EF949E" w14:textId="77777777" w:rsidR="002C6E55" w:rsidRPr="009842FE" w:rsidRDefault="002C6E55" w:rsidP="00572859">
            <w:pPr>
              <w:jc w:val="center"/>
              <w:rPr>
                <w:rFonts w:cs="Arial"/>
                <w:color w:val="7F7F7F" w:themeColor="text1" w:themeTint="80"/>
                <w:sz w:val="18"/>
                <w:szCs w:val="18"/>
              </w:rPr>
            </w:pPr>
            <w:r w:rsidRPr="009842FE">
              <w:rPr>
                <w:rFonts w:cs="Arial"/>
                <w:color w:val="7F7F7F" w:themeColor="text1" w:themeTint="80"/>
                <w:sz w:val="18"/>
                <w:szCs w:val="18"/>
              </w:rPr>
              <w:t>13 per 1000 patients</w:t>
            </w:r>
          </w:p>
        </w:tc>
        <w:tc>
          <w:tcPr>
            <w:tcW w:w="974" w:type="pct"/>
          </w:tcPr>
          <w:p w14:paraId="5C254671" w14:textId="77777777" w:rsidR="002C6E55" w:rsidRPr="009842FE" w:rsidRDefault="002C6E55" w:rsidP="00572859">
            <w:pPr>
              <w:jc w:val="center"/>
              <w:rPr>
                <w:rFonts w:cs="Arial"/>
                <w:color w:val="7F7F7F" w:themeColor="text1" w:themeTint="80"/>
                <w:sz w:val="18"/>
                <w:szCs w:val="18"/>
                <w:u w:val="single"/>
              </w:rPr>
            </w:pPr>
            <w:r w:rsidRPr="009842FE">
              <w:rPr>
                <w:rFonts w:cs="Arial"/>
                <w:color w:val="7F7F7F" w:themeColor="text1" w:themeTint="80"/>
                <w:sz w:val="18"/>
                <w:szCs w:val="18"/>
                <w:u w:val="single"/>
              </w:rPr>
              <w:t>5-year CSM</w:t>
            </w:r>
          </w:p>
          <w:p w14:paraId="1D0C3D1C" w14:textId="77777777" w:rsidR="002C6E55" w:rsidRPr="009842FE" w:rsidRDefault="002C6E55" w:rsidP="00572859">
            <w:pPr>
              <w:jc w:val="center"/>
              <w:rPr>
                <w:rFonts w:cs="Arial"/>
                <w:color w:val="7F7F7F" w:themeColor="text1" w:themeTint="80"/>
                <w:sz w:val="18"/>
                <w:szCs w:val="18"/>
              </w:rPr>
            </w:pPr>
            <w:r w:rsidRPr="009842FE">
              <w:rPr>
                <w:rFonts w:cs="Arial"/>
                <w:color w:val="7F7F7F" w:themeColor="text1" w:themeTint="80"/>
                <w:sz w:val="18"/>
                <w:szCs w:val="18"/>
              </w:rPr>
              <w:t>32 per 1000 patients</w:t>
            </w:r>
          </w:p>
        </w:tc>
      </w:tr>
      <w:tr w:rsidR="002C6E55" w:rsidRPr="009842FE" w14:paraId="18CD756B" w14:textId="77777777" w:rsidTr="003A7EA2">
        <w:tc>
          <w:tcPr>
            <w:tcW w:w="767" w:type="pct"/>
          </w:tcPr>
          <w:p w14:paraId="51E24ED0" w14:textId="77777777" w:rsidR="002C6E55" w:rsidRPr="009842FE" w:rsidRDefault="002C6E55" w:rsidP="00572859">
            <w:pPr>
              <w:rPr>
                <w:sz w:val="18"/>
                <w:szCs w:val="18"/>
              </w:rPr>
            </w:pPr>
            <w:r w:rsidRPr="009842FE">
              <w:rPr>
                <w:sz w:val="18"/>
                <w:szCs w:val="18"/>
              </w:rPr>
              <w:t>Local recurrence</w:t>
            </w:r>
          </w:p>
          <w:p w14:paraId="71F66EE1" w14:textId="77777777" w:rsidR="002C6E55" w:rsidRPr="009842FE" w:rsidRDefault="002C6E55" w:rsidP="00572859">
            <w:pPr>
              <w:rPr>
                <w:sz w:val="18"/>
                <w:szCs w:val="18"/>
              </w:rPr>
            </w:pPr>
            <w:r w:rsidRPr="009842FE">
              <w:rPr>
                <w:sz w:val="18"/>
                <w:szCs w:val="18"/>
              </w:rPr>
              <w:t>(rate; median FU 5 years)</w:t>
            </w:r>
          </w:p>
        </w:tc>
        <w:tc>
          <w:tcPr>
            <w:tcW w:w="1005" w:type="pct"/>
          </w:tcPr>
          <w:p w14:paraId="1608AE78" w14:textId="77777777" w:rsidR="002C6E55" w:rsidRPr="009842FE" w:rsidRDefault="002C6E55" w:rsidP="00572859">
            <w:pPr>
              <w:rPr>
                <w:rFonts w:cs="Arial"/>
                <w:sz w:val="18"/>
                <w:szCs w:val="18"/>
              </w:rPr>
            </w:pPr>
            <w:r w:rsidRPr="009842FE">
              <w:rPr>
                <w:rFonts w:cs="Arial"/>
                <w:sz w:val="18"/>
                <w:szCs w:val="18"/>
              </w:rPr>
              <w:t>CA=108; PN=835</w:t>
            </w:r>
          </w:p>
          <w:p w14:paraId="6619E777" w14:textId="77777777" w:rsidR="002C6E55" w:rsidRPr="009842FE" w:rsidRDefault="002C6E55" w:rsidP="00572859">
            <w:pPr>
              <w:rPr>
                <w:rFonts w:cs="Arial"/>
                <w:sz w:val="18"/>
                <w:szCs w:val="18"/>
              </w:rPr>
            </w:pPr>
            <w:r w:rsidRPr="009842FE">
              <w:rPr>
                <w:rFonts w:cs="Arial"/>
                <w:sz w:val="18"/>
                <w:szCs w:val="18"/>
              </w:rPr>
              <w:t>1 retrospective cohort study</w:t>
            </w:r>
          </w:p>
          <w:p w14:paraId="0AD1B113" w14:textId="77777777" w:rsidR="002C6E55" w:rsidRPr="009842FE" w:rsidRDefault="002C6E55" w:rsidP="00572859">
            <w:pPr>
              <w:rPr>
                <w:rFonts w:cs="Arial"/>
                <w:sz w:val="18"/>
                <w:szCs w:val="18"/>
              </w:rPr>
            </w:pPr>
            <w:r w:rsidRPr="009842FE">
              <w:rPr>
                <w:rFonts w:cs="Arial"/>
                <w:sz w:val="18"/>
                <w:szCs w:val="18"/>
              </w:rPr>
              <w:t>(Andrews 2018/SEER)</w:t>
            </w:r>
          </w:p>
        </w:tc>
        <w:tc>
          <w:tcPr>
            <w:tcW w:w="533" w:type="pct"/>
          </w:tcPr>
          <w:p w14:paraId="2982EE82" w14:textId="77777777" w:rsidR="002C6E55" w:rsidRPr="009842FE" w:rsidRDefault="002C6E55" w:rsidP="00572859">
            <w:pPr>
              <w:pStyle w:val="Tabletext"/>
              <w:jc w:val="center"/>
              <w:rPr>
                <w:sz w:val="18"/>
                <w:szCs w:val="18"/>
              </w:rPr>
            </w:pPr>
            <w:r w:rsidRPr="009842FE">
              <w:rPr>
                <w:sz w:val="18"/>
                <w:szCs w:val="18"/>
              </w:rPr>
              <w:t>Low</w:t>
            </w:r>
          </w:p>
          <w:p w14:paraId="1F04CB71" w14:textId="77777777" w:rsidR="002C6E55" w:rsidRPr="009842FE" w:rsidRDefault="002C6E55" w:rsidP="00572859">
            <w:pPr>
              <w:jc w:val="center"/>
              <w:rPr>
                <w:sz w:val="18"/>
                <w:szCs w:val="18"/>
              </w:rPr>
            </w:pPr>
            <w:r w:rsidRPr="009842FE">
              <w:rPr>
                <w:sz w:val="18"/>
                <w:szCs w:val="18"/>
              </w:rPr>
              <w:t>(●●○○)</w:t>
            </w:r>
          </w:p>
        </w:tc>
        <w:tc>
          <w:tcPr>
            <w:tcW w:w="759" w:type="pct"/>
          </w:tcPr>
          <w:p w14:paraId="15FD7C34" w14:textId="77777777" w:rsidR="002C6E55" w:rsidRPr="009842FE" w:rsidRDefault="002C6E55" w:rsidP="00572859">
            <w:pPr>
              <w:jc w:val="center"/>
              <w:rPr>
                <w:sz w:val="18"/>
                <w:szCs w:val="18"/>
              </w:rPr>
            </w:pPr>
            <w:r w:rsidRPr="009842FE">
              <w:rPr>
                <w:sz w:val="18"/>
                <w:szCs w:val="18"/>
              </w:rPr>
              <w:t>HR 1.90</w:t>
            </w:r>
          </w:p>
          <w:p w14:paraId="38929BAD" w14:textId="77777777" w:rsidR="002C6E55" w:rsidRPr="009842FE" w:rsidRDefault="002C6E55" w:rsidP="00572859">
            <w:pPr>
              <w:jc w:val="center"/>
              <w:rPr>
                <w:sz w:val="18"/>
                <w:szCs w:val="18"/>
              </w:rPr>
            </w:pPr>
            <w:r w:rsidRPr="009842FE">
              <w:rPr>
                <w:sz w:val="18"/>
                <w:szCs w:val="18"/>
              </w:rPr>
              <w:t>(0.71, 5.12)</w:t>
            </w:r>
          </w:p>
        </w:tc>
        <w:tc>
          <w:tcPr>
            <w:tcW w:w="962" w:type="pct"/>
          </w:tcPr>
          <w:p w14:paraId="6B6B0BF2" w14:textId="77777777" w:rsidR="002C6E55" w:rsidRPr="009842FE" w:rsidRDefault="002C6E55" w:rsidP="00572859">
            <w:pPr>
              <w:jc w:val="center"/>
              <w:rPr>
                <w:rFonts w:cs="Arial"/>
                <w:sz w:val="18"/>
                <w:szCs w:val="18"/>
                <w:u w:val="single"/>
              </w:rPr>
            </w:pPr>
            <w:r w:rsidRPr="009842FE">
              <w:rPr>
                <w:rFonts w:cs="Arial"/>
                <w:sz w:val="18"/>
                <w:szCs w:val="18"/>
                <w:u w:val="single"/>
              </w:rPr>
              <w:t>5-year local recurrence</w:t>
            </w:r>
          </w:p>
          <w:p w14:paraId="04B6236D" w14:textId="77777777" w:rsidR="002C6E55" w:rsidRPr="009842FE" w:rsidRDefault="002C6E55" w:rsidP="00572859">
            <w:pPr>
              <w:jc w:val="center"/>
              <w:rPr>
                <w:rFonts w:cs="Arial"/>
                <w:sz w:val="18"/>
                <w:szCs w:val="18"/>
              </w:rPr>
            </w:pPr>
            <w:r w:rsidRPr="009842FE">
              <w:rPr>
                <w:rFonts w:cs="Arial"/>
                <w:sz w:val="18"/>
                <w:szCs w:val="18"/>
              </w:rPr>
              <w:t>26 per 1000 patients</w:t>
            </w:r>
          </w:p>
        </w:tc>
        <w:tc>
          <w:tcPr>
            <w:tcW w:w="974" w:type="pct"/>
          </w:tcPr>
          <w:p w14:paraId="5A79BE46" w14:textId="77777777" w:rsidR="002C6E55" w:rsidRPr="009842FE" w:rsidRDefault="002C6E55" w:rsidP="00572859">
            <w:pPr>
              <w:jc w:val="center"/>
              <w:rPr>
                <w:rFonts w:cs="Arial"/>
                <w:sz w:val="18"/>
                <w:szCs w:val="18"/>
                <w:u w:val="single"/>
              </w:rPr>
            </w:pPr>
            <w:r w:rsidRPr="009842FE">
              <w:rPr>
                <w:rFonts w:cs="Arial"/>
                <w:sz w:val="18"/>
                <w:szCs w:val="18"/>
                <w:u w:val="single"/>
              </w:rPr>
              <w:t>5-year local recurrence</w:t>
            </w:r>
          </w:p>
          <w:p w14:paraId="0B856DAE" w14:textId="77777777" w:rsidR="002C6E55" w:rsidRPr="009842FE" w:rsidRDefault="002C6E55" w:rsidP="00572859">
            <w:pPr>
              <w:jc w:val="center"/>
              <w:rPr>
                <w:rFonts w:cs="Arial"/>
                <w:sz w:val="18"/>
                <w:szCs w:val="18"/>
              </w:rPr>
            </w:pPr>
            <w:r w:rsidRPr="009842FE">
              <w:rPr>
                <w:rFonts w:cs="Arial"/>
                <w:sz w:val="18"/>
                <w:szCs w:val="18"/>
              </w:rPr>
              <w:t>49 per 1000 patients</w:t>
            </w:r>
          </w:p>
        </w:tc>
      </w:tr>
      <w:tr w:rsidR="002C6E55" w:rsidRPr="009842FE" w14:paraId="68FA9095" w14:textId="77777777" w:rsidTr="003A7EA2">
        <w:tc>
          <w:tcPr>
            <w:tcW w:w="767" w:type="pct"/>
          </w:tcPr>
          <w:p w14:paraId="1D1E4F1B" w14:textId="77777777" w:rsidR="002C6E55" w:rsidRPr="009842FE" w:rsidRDefault="002C6E55" w:rsidP="00572859">
            <w:pPr>
              <w:pStyle w:val="Tabletext"/>
              <w:rPr>
                <w:sz w:val="18"/>
                <w:szCs w:val="18"/>
              </w:rPr>
            </w:pPr>
            <w:proofErr w:type="spellStart"/>
            <w:r w:rsidRPr="009842FE">
              <w:rPr>
                <w:sz w:val="18"/>
                <w:szCs w:val="18"/>
              </w:rPr>
              <w:t>eGFR</w:t>
            </w:r>
            <w:proofErr w:type="spellEnd"/>
          </w:p>
          <w:p w14:paraId="2ECD925B" w14:textId="77777777" w:rsidR="002C6E55" w:rsidRPr="009842FE" w:rsidRDefault="002C6E55" w:rsidP="00572859">
            <w:pPr>
              <w:pStyle w:val="Tabletext"/>
              <w:rPr>
                <w:sz w:val="18"/>
                <w:szCs w:val="18"/>
              </w:rPr>
            </w:pPr>
            <w:r w:rsidRPr="009842FE">
              <w:rPr>
                <w:sz w:val="18"/>
                <w:szCs w:val="18"/>
              </w:rPr>
              <w:t>(mL/min/1.73m</w:t>
            </w:r>
            <w:r w:rsidRPr="009842FE">
              <w:rPr>
                <w:sz w:val="18"/>
                <w:szCs w:val="18"/>
                <w:vertAlign w:val="superscript"/>
              </w:rPr>
              <w:t>2</w:t>
            </w:r>
            <w:r w:rsidRPr="009842FE">
              <w:rPr>
                <w:sz w:val="18"/>
                <w:szCs w:val="18"/>
              </w:rPr>
              <w:t xml:space="preserve">; 12 months FU) </w:t>
            </w:r>
          </w:p>
        </w:tc>
        <w:tc>
          <w:tcPr>
            <w:tcW w:w="1005" w:type="pct"/>
          </w:tcPr>
          <w:p w14:paraId="1F7474D8" w14:textId="77777777" w:rsidR="002C6E55" w:rsidRPr="009842FE" w:rsidRDefault="002C6E55" w:rsidP="00572859">
            <w:pPr>
              <w:pStyle w:val="Tabletext"/>
              <w:rPr>
                <w:sz w:val="18"/>
                <w:szCs w:val="18"/>
              </w:rPr>
            </w:pPr>
            <w:r w:rsidRPr="009842FE">
              <w:rPr>
                <w:sz w:val="18"/>
                <w:szCs w:val="18"/>
              </w:rPr>
              <w:t>CA=65; PN=65</w:t>
            </w:r>
          </w:p>
          <w:p w14:paraId="51B33665" w14:textId="77777777" w:rsidR="002C6E55" w:rsidRPr="009842FE" w:rsidRDefault="002C6E55" w:rsidP="00572859">
            <w:pPr>
              <w:pStyle w:val="Tabletext"/>
              <w:rPr>
                <w:sz w:val="18"/>
                <w:szCs w:val="18"/>
              </w:rPr>
            </w:pPr>
            <w:r w:rsidRPr="009842FE">
              <w:rPr>
                <w:sz w:val="18"/>
                <w:szCs w:val="18"/>
              </w:rPr>
              <w:t>1 retrospective cohort (</w:t>
            </w:r>
            <w:proofErr w:type="spellStart"/>
            <w:r w:rsidRPr="009842FE">
              <w:rPr>
                <w:sz w:val="18"/>
                <w:szCs w:val="18"/>
              </w:rPr>
              <w:t>Bertolo</w:t>
            </w:r>
            <w:proofErr w:type="spellEnd"/>
            <w:r w:rsidRPr="009842FE">
              <w:rPr>
                <w:sz w:val="18"/>
                <w:szCs w:val="18"/>
              </w:rPr>
              <w:t xml:space="preserve"> 2019/Cleveland Clinic)</w:t>
            </w:r>
          </w:p>
        </w:tc>
        <w:tc>
          <w:tcPr>
            <w:tcW w:w="533" w:type="pct"/>
          </w:tcPr>
          <w:p w14:paraId="633A95CF" w14:textId="77777777" w:rsidR="002C6E55" w:rsidRPr="009842FE" w:rsidRDefault="002C6E55" w:rsidP="00572859">
            <w:pPr>
              <w:pStyle w:val="Tabletext"/>
              <w:jc w:val="center"/>
              <w:rPr>
                <w:sz w:val="18"/>
                <w:szCs w:val="18"/>
              </w:rPr>
            </w:pPr>
            <w:r w:rsidRPr="009842FE">
              <w:rPr>
                <w:sz w:val="18"/>
                <w:szCs w:val="18"/>
              </w:rPr>
              <w:t>Moderate</w:t>
            </w:r>
          </w:p>
          <w:p w14:paraId="59920D39" w14:textId="77777777" w:rsidR="002C6E55" w:rsidRPr="009842FE" w:rsidRDefault="002C6E55" w:rsidP="00572859">
            <w:pPr>
              <w:pStyle w:val="Tabletext"/>
              <w:jc w:val="center"/>
              <w:rPr>
                <w:sz w:val="18"/>
                <w:szCs w:val="18"/>
              </w:rPr>
            </w:pPr>
            <w:r w:rsidRPr="009842FE">
              <w:rPr>
                <w:sz w:val="18"/>
                <w:szCs w:val="18"/>
              </w:rPr>
              <w:t>(●●●○)</w:t>
            </w:r>
          </w:p>
        </w:tc>
        <w:tc>
          <w:tcPr>
            <w:tcW w:w="759" w:type="pct"/>
          </w:tcPr>
          <w:p w14:paraId="53123A8B" w14:textId="77777777" w:rsidR="002C6E55" w:rsidRPr="009842FE" w:rsidRDefault="002C6E55" w:rsidP="00572859">
            <w:pPr>
              <w:jc w:val="center"/>
              <w:rPr>
                <w:rFonts w:cs="Arial"/>
                <w:sz w:val="18"/>
                <w:szCs w:val="18"/>
              </w:rPr>
            </w:pPr>
            <w:r w:rsidRPr="009842FE">
              <w:rPr>
                <w:rFonts w:cs="Arial"/>
                <w:sz w:val="18"/>
                <w:szCs w:val="18"/>
              </w:rPr>
              <w:t>MD 1.2</w:t>
            </w:r>
          </w:p>
          <w:p w14:paraId="7D5CC37B" w14:textId="77777777" w:rsidR="002C6E55" w:rsidRPr="009842FE" w:rsidRDefault="002C6E55" w:rsidP="00572859">
            <w:pPr>
              <w:jc w:val="center"/>
              <w:rPr>
                <w:rFonts w:cs="Arial"/>
                <w:sz w:val="18"/>
                <w:szCs w:val="18"/>
                <w:highlight w:val="yellow"/>
              </w:rPr>
            </w:pPr>
            <w:r w:rsidRPr="009842FE">
              <w:rPr>
                <w:rFonts w:cs="Arial"/>
                <w:sz w:val="18"/>
                <w:szCs w:val="18"/>
              </w:rPr>
              <w:t>(-6.5, 8.9)</w:t>
            </w:r>
          </w:p>
        </w:tc>
        <w:tc>
          <w:tcPr>
            <w:tcW w:w="962" w:type="pct"/>
          </w:tcPr>
          <w:p w14:paraId="6AC42F7B" w14:textId="77777777" w:rsidR="002C6E55" w:rsidRPr="009842FE" w:rsidRDefault="002C6E55" w:rsidP="00572859">
            <w:pPr>
              <w:jc w:val="center"/>
              <w:rPr>
                <w:rFonts w:cs="Arial"/>
                <w:sz w:val="18"/>
                <w:szCs w:val="18"/>
                <w:u w:val="single"/>
              </w:rPr>
            </w:pPr>
            <w:r w:rsidRPr="009842FE">
              <w:rPr>
                <w:rFonts w:cs="Arial"/>
                <w:sz w:val="18"/>
                <w:szCs w:val="18"/>
                <w:u w:val="single"/>
              </w:rPr>
              <w:t xml:space="preserve">12-month </w:t>
            </w:r>
            <w:proofErr w:type="spellStart"/>
            <w:r w:rsidRPr="009842FE">
              <w:rPr>
                <w:rFonts w:cs="Arial"/>
                <w:sz w:val="18"/>
                <w:szCs w:val="18"/>
                <w:u w:val="single"/>
              </w:rPr>
              <w:t>eGFR</w:t>
            </w:r>
            <w:proofErr w:type="spellEnd"/>
          </w:p>
          <w:p w14:paraId="035E6DCF" w14:textId="77777777" w:rsidR="002C6E55" w:rsidRPr="009842FE" w:rsidRDefault="002C6E55" w:rsidP="00572859">
            <w:pPr>
              <w:jc w:val="center"/>
              <w:rPr>
                <w:rFonts w:cs="Arial"/>
                <w:sz w:val="18"/>
                <w:szCs w:val="18"/>
                <w:highlight w:val="yellow"/>
              </w:rPr>
            </w:pPr>
            <w:r w:rsidRPr="009842FE">
              <w:rPr>
                <w:rFonts w:cs="Arial"/>
                <w:sz w:val="18"/>
                <w:szCs w:val="18"/>
              </w:rPr>
              <w:t>56 mL/min/1.73 m</w:t>
            </w:r>
            <w:r w:rsidRPr="009842FE">
              <w:rPr>
                <w:rFonts w:cs="Arial"/>
                <w:sz w:val="18"/>
                <w:szCs w:val="18"/>
                <w:vertAlign w:val="superscript"/>
              </w:rPr>
              <w:t>2</w:t>
            </w:r>
          </w:p>
        </w:tc>
        <w:tc>
          <w:tcPr>
            <w:tcW w:w="974" w:type="pct"/>
          </w:tcPr>
          <w:p w14:paraId="58A755DF" w14:textId="77777777" w:rsidR="002C6E55" w:rsidRPr="009842FE" w:rsidRDefault="002C6E55" w:rsidP="00572859">
            <w:pPr>
              <w:jc w:val="center"/>
              <w:rPr>
                <w:rFonts w:cs="Arial"/>
                <w:sz w:val="18"/>
                <w:szCs w:val="18"/>
                <w:u w:val="single"/>
              </w:rPr>
            </w:pPr>
            <w:r w:rsidRPr="009842FE">
              <w:rPr>
                <w:rFonts w:cs="Arial"/>
                <w:sz w:val="18"/>
                <w:szCs w:val="18"/>
                <w:u w:val="single"/>
              </w:rPr>
              <w:t xml:space="preserve">12-month </w:t>
            </w:r>
            <w:proofErr w:type="spellStart"/>
            <w:r w:rsidRPr="009842FE">
              <w:rPr>
                <w:rFonts w:cs="Arial"/>
                <w:sz w:val="18"/>
                <w:szCs w:val="18"/>
                <w:u w:val="single"/>
              </w:rPr>
              <w:t>eGFR</w:t>
            </w:r>
            <w:proofErr w:type="spellEnd"/>
          </w:p>
          <w:p w14:paraId="26962447" w14:textId="77777777" w:rsidR="002C6E55" w:rsidRPr="009842FE" w:rsidRDefault="002C6E55" w:rsidP="00572859">
            <w:pPr>
              <w:jc w:val="center"/>
              <w:rPr>
                <w:rFonts w:cs="Arial"/>
                <w:sz w:val="18"/>
                <w:szCs w:val="18"/>
                <w:highlight w:val="yellow"/>
              </w:rPr>
            </w:pPr>
            <w:r w:rsidRPr="009842FE">
              <w:rPr>
                <w:rFonts w:cs="Arial"/>
                <w:sz w:val="18"/>
                <w:szCs w:val="18"/>
              </w:rPr>
              <w:t>57 mL/min/1.73 m</w:t>
            </w:r>
            <w:r w:rsidRPr="009842FE">
              <w:rPr>
                <w:rFonts w:cs="Arial"/>
                <w:sz w:val="18"/>
                <w:szCs w:val="18"/>
                <w:vertAlign w:val="superscript"/>
              </w:rPr>
              <w:t>2</w:t>
            </w:r>
          </w:p>
        </w:tc>
      </w:tr>
      <w:tr w:rsidR="002C6E55" w:rsidRPr="009842FE" w14:paraId="6A4F9465" w14:textId="77777777" w:rsidTr="003A7EA2">
        <w:tc>
          <w:tcPr>
            <w:tcW w:w="767" w:type="pct"/>
          </w:tcPr>
          <w:p w14:paraId="6F898755" w14:textId="77777777" w:rsidR="002C6E55" w:rsidRPr="009842FE" w:rsidRDefault="002C6E55" w:rsidP="00572859">
            <w:pPr>
              <w:rPr>
                <w:rFonts w:cs="Arial"/>
                <w:sz w:val="18"/>
                <w:szCs w:val="18"/>
              </w:rPr>
            </w:pPr>
            <w:r w:rsidRPr="009842FE">
              <w:rPr>
                <w:rFonts w:cs="Arial"/>
                <w:sz w:val="18"/>
                <w:szCs w:val="18"/>
              </w:rPr>
              <w:t>CKD upstaging</w:t>
            </w:r>
          </w:p>
          <w:p w14:paraId="0A19B49A" w14:textId="77777777" w:rsidR="002C6E55" w:rsidRPr="009842FE" w:rsidRDefault="002C6E55" w:rsidP="00572859">
            <w:pPr>
              <w:rPr>
                <w:rFonts w:cs="Arial"/>
                <w:sz w:val="18"/>
                <w:szCs w:val="18"/>
              </w:rPr>
            </w:pPr>
            <w:r w:rsidRPr="009842FE">
              <w:rPr>
                <w:rFonts w:cs="Arial"/>
                <w:sz w:val="18"/>
                <w:szCs w:val="18"/>
              </w:rPr>
              <w:t>(rate; up to 3 months FU)</w:t>
            </w:r>
          </w:p>
        </w:tc>
        <w:tc>
          <w:tcPr>
            <w:tcW w:w="1005" w:type="pct"/>
          </w:tcPr>
          <w:p w14:paraId="17324101" w14:textId="77777777" w:rsidR="002C6E55" w:rsidRPr="009842FE" w:rsidRDefault="002C6E55" w:rsidP="00572859">
            <w:pPr>
              <w:pStyle w:val="Tabletext"/>
              <w:rPr>
                <w:sz w:val="18"/>
                <w:szCs w:val="18"/>
              </w:rPr>
            </w:pPr>
            <w:r w:rsidRPr="009842FE">
              <w:rPr>
                <w:sz w:val="18"/>
                <w:szCs w:val="18"/>
              </w:rPr>
              <w:t>CA=294; PN=310 retrospective cohort</w:t>
            </w:r>
          </w:p>
          <w:p w14:paraId="7DF47AA8" w14:textId="77777777" w:rsidR="002C6E55" w:rsidRPr="009842FE" w:rsidRDefault="002C6E55" w:rsidP="00572859">
            <w:pPr>
              <w:pStyle w:val="Tabletext"/>
              <w:rPr>
                <w:sz w:val="18"/>
                <w:szCs w:val="18"/>
              </w:rPr>
            </w:pPr>
            <w:r w:rsidRPr="009842FE">
              <w:rPr>
                <w:sz w:val="18"/>
                <w:szCs w:val="18"/>
              </w:rPr>
              <w:t>(Mason 2017/Mayo Clinic)</w:t>
            </w:r>
          </w:p>
        </w:tc>
        <w:tc>
          <w:tcPr>
            <w:tcW w:w="533" w:type="pct"/>
          </w:tcPr>
          <w:p w14:paraId="2712812F" w14:textId="77777777" w:rsidR="002C6E55" w:rsidRPr="009842FE" w:rsidRDefault="002C6E55" w:rsidP="00572859">
            <w:pPr>
              <w:pStyle w:val="Tabletext"/>
              <w:jc w:val="center"/>
              <w:rPr>
                <w:sz w:val="18"/>
                <w:szCs w:val="18"/>
              </w:rPr>
            </w:pPr>
            <w:r w:rsidRPr="009842FE">
              <w:rPr>
                <w:sz w:val="18"/>
                <w:szCs w:val="18"/>
              </w:rPr>
              <w:t>Moderate</w:t>
            </w:r>
          </w:p>
          <w:p w14:paraId="0BF2AF2F" w14:textId="77777777" w:rsidR="002C6E55" w:rsidRPr="009842FE" w:rsidRDefault="002C6E55" w:rsidP="00572859">
            <w:pPr>
              <w:pStyle w:val="Tabletext"/>
              <w:jc w:val="center"/>
              <w:rPr>
                <w:sz w:val="18"/>
                <w:szCs w:val="18"/>
              </w:rPr>
            </w:pPr>
            <w:r w:rsidRPr="009842FE">
              <w:rPr>
                <w:sz w:val="18"/>
                <w:szCs w:val="18"/>
              </w:rPr>
              <w:t>(●●●○)</w:t>
            </w:r>
          </w:p>
        </w:tc>
        <w:tc>
          <w:tcPr>
            <w:tcW w:w="759" w:type="pct"/>
          </w:tcPr>
          <w:p w14:paraId="78376002" w14:textId="77777777" w:rsidR="002C6E55" w:rsidRPr="009842FE" w:rsidRDefault="002C6E55" w:rsidP="00572859">
            <w:pPr>
              <w:jc w:val="center"/>
              <w:rPr>
                <w:rFonts w:cs="Arial"/>
                <w:sz w:val="18"/>
                <w:szCs w:val="18"/>
              </w:rPr>
            </w:pPr>
            <w:r w:rsidRPr="009842FE">
              <w:rPr>
                <w:rFonts w:cs="Arial"/>
                <w:sz w:val="18"/>
                <w:szCs w:val="18"/>
              </w:rPr>
              <w:t>MD 4.9%</w:t>
            </w:r>
          </w:p>
          <w:p w14:paraId="7F6B26EE" w14:textId="77777777" w:rsidR="002C6E55" w:rsidRPr="009842FE" w:rsidRDefault="002C6E55" w:rsidP="00572859">
            <w:pPr>
              <w:jc w:val="center"/>
              <w:rPr>
                <w:rFonts w:cs="Arial"/>
                <w:sz w:val="18"/>
                <w:szCs w:val="18"/>
              </w:rPr>
            </w:pPr>
            <w:r w:rsidRPr="009842FE">
              <w:rPr>
                <w:rFonts w:cs="Arial"/>
                <w:sz w:val="18"/>
                <w:szCs w:val="18"/>
              </w:rPr>
              <w:t>P=0.12</w:t>
            </w:r>
          </w:p>
        </w:tc>
        <w:tc>
          <w:tcPr>
            <w:tcW w:w="962" w:type="pct"/>
          </w:tcPr>
          <w:p w14:paraId="4CC1828E" w14:textId="77777777" w:rsidR="002C6E55" w:rsidRPr="009842FE" w:rsidRDefault="002C6E55" w:rsidP="00572859">
            <w:pPr>
              <w:jc w:val="center"/>
              <w:rPr>
                <w:rFonts w:cs="Arial"/>
                <w:sz w:val="18"/>
                <w:szCs w:val="18"/>
                <w:u w:val="single"/>
              </w:rPr>
            </w:pPr>
            <w:r w:rsidRPr="009842FE">
              <w:rPr>
                <w:rFonts w:cs="Arial"/>
                <w:sz w:val="18"/>
                <w:szCs w:val="18"/>
                <w:u w:val="single"/>
              </w:rPr>
              <w:t>3-month CKD upstaging</w:t>
            </w:r>
          </w:p>
          <w:p w14:paraId="36BA526F" w14:textId="77777777" w:rsidR="002C6E55" w:rsidRPr="009842FE" w:rsidRDefault="002C6E55" w:rsidP="00572859">
            <w:pPr>
              <w:jc w:val="center"/>
              <w:rPr>
                <w:rFonts w:cs="Arial"/>
                <w:sz w:val="18"/>
                <w:szCs w:val="18"/>
              </w:rPr>
            </w:pPr>
            <w:r w:rsidRPr="009842FE">
              <w:rPr>
                <w:rFonts w:cs="Arial"/>
                <w:sz w:val="18"/>
                <w:szCs w:val="18"/>
              </w:rPr>
              <w:t>168 per 1000 patients</w:t>
            </w:r>
          </w:p>
        </w:tc>
        <w:tc>
          <w:tcPr>
            <w:tcW w:w="974" w:type="pct"/>
          </w:tcPr>
          <w:p w14:paraId="24F945CA" w14:textId="77777777" w:rsidR="002C6E55" w:rsidRPr="009842FE" w:rsidRDefault="002C6E55" w:rsidP="00572859">
            <w:pPr>
              <w:jc w:val="center"/>
              <w:rPr>
                <w:rFonts w:cs="Arial"/>
                <w:sz w:val="18"/>
                <w:szCs w:val="18"/>
                <w:u w:val="single"/>
              </w:rPr>
            </w:pPr>
            <w:r w:rsidRPr="009842FE">
              <w:rPr>
                <w:rFonts w:cs="Arial"/>
                <w:sz w:val="18"/>
                <w:szCs w:val="18"/>
                <w:u w:val="single"/>
              </w:rPr>
              <w:t>3-month CKD upstaging</w:t>
            </w:r>
          </w:p>
          <w:p w14:paraId="09F72B94" w14:textId="77777777" w:rsidR="002C6E55" w:rsidRPr="009842FE" w:rsidRDefault="002C6E55" w:rsidP="00572859">
            <w:pPr>
              <w:jc w:val="center"/>
              <w:rPr>
                <w:rFonts w:cs="Arial"/>
                <w:sz w:val="18"/>
                <w:szCs w:val="18"/>
              </w:rPr>
            </w:pPr>
            <w:r w:rsidRPr="009842FE">
              <w:rPr>
                <w:rFonts w:cs="Arial"/>
                <w:sz w:val="18"/>
                <w:szCs w:val="18"/>
              </w:rPr>
              <w:t>217 per 1000 patients</w:t>
            </w:r>
          </w:p>
        </w:tc>
      </w:tr>
      <w:tr w:rsidR="002C6E55" w:rsidRPr="009842FE" w14:paraId="18AA33BA" w14:textId="77777777" w:rsidTr="003A7EA2">
        <w:tc>
          <w:tcPr>
            <w:tcW w:w="767" w:type="pct"/>
          </w:tcPr>
          <w:p w14:paraId="09FCD969" w14:textId="77777777" w:rsidR="002C6E55" w:rsidRPr="009842FE" w:rsidRDefault="002C6E55" w:rsidP="00572859">
            <w:pPr>
              <w:rPr>
                <w:sz w:val="18"/>
                <w:szCs w:val="18"/>
              </w:rPr>
            </w:pPr>
            <w:r w:rsidRPr="009842FE">
              <w:rPr>
                <w:sz w:val="18"/>
                <w:szCs w:val="18"/>
              </w:rPr>
              <w:t>Quality of life – change in SF-12 Total score</w:t>
            </w:r>
          </w:p>
          <w:p w14:paraId="442D4824" w14:textId="77777777" w:rsidR="002C6E55" w:rsidRPr="009842FE" w:rsidRDefault="002C6E55" w:rsidP="00572859">
            <w:pPr>
              <w:rPr>
                <w:sz w:val="18"/>
                <w:szCs w:val="18"/>
              </w:rPr>
            </w:pPr>
            <w:r w:rsidRPr="009842FE">
              <w:rPr>
                <w:sz w:val="18"/>
                <w:szCs w:val="18"/>
              </w:rPr>
              <w:t>(up to 7 years FU)</w:t>
            </w:r>
          </w:p>
        </w:tc>
        <w:tc>
          <w:tcPr>
            <w:tcW w:w="1005" w:type="pct"/>
          </w:tcPr>
          <w:p w14:paraId="1835735C" w14:textId="77777777" w:rsidR="002C6E55" w:rsidRPr="009842FE" w:rsidRDefault="002C6E55" w:rsidP="00572859">
            <w:pPr>
              <w:rPr>
                <w:sz w:val="18"/>
                <w:szCs w:val="18"/>
              </w:rPr>
            </w:pPr>
            <w:r w:rsidRPr="009842FE">
              <w:rPr>
                <w:sz w:val="18"/>
                <w:szCs w:val="18"/>
              </w:rPr>
              <w:t>TA=37; PN=218</w:t>
            </w:r>
          </w:p>
          <w:p w14:paraId="55974193" w14:textId="77777777" w:rsidR="002C6E55" w:rsidRPr="009842FE" w:rsidRDefault="002C6E55" w:rsidP="00572859">
            <w:pPr>
              <w:rPr>
                <w:sz w:val="18"/>
                <w:szCs w:val="18"/>
              </w:rPr>
            </w:pPr>
            <w:r w:rsidRPr="009842FE">
              <w:rPr>
                <w:sz w:val="18"/>
                <w:szCs w:val="18"/>
              </w:rPr>
              <w:t>1 retrospective cohort (</w:t>
            </w:r>
            <w:proofErr w:type="spellStart"/>
            <w:r w:rsidRPr="009842FE">
              <w:rPr>
                <w:sz w:val="18"/>
                <w:szCs w:val="18"/>
              </w:rPr>
              <w:t>Alam</w:t>
            </w:r>
            <w:proofErr w:type="spellEnd"/>
            <w:r w:rsidRPr="009842FE">
              <w:rPr>
                <w:sz w:val="18"/>
                <w:szCs w:val="18"/>
              </w:rPr>
              <w:t xml:space="preserve"> 2019/DISSRM)</w:t>
            </w:r>
          </w:p>
        </w:tc>
        <w:tc>
          <w:tcPr>
            <w:tcW w:w="533" w:type="pct"/>
          </w:tcPr>
          <w:p w14:paraId="26BB843D" w14:textId="77777777" w:rsidR="002C6E55" w:rsidRPr="009842FE" w:rsidRDefault="002C6E55" w:rsidP="00572859">
            <w:pPr>
              <w:jc w:val="center"/>
              <w:rPr>
                <w:sz w:val="18"/>
                <w:szCs w:val="18"/>
              </w:rPr>
            </w:pPr>
            <w:r w:rsidRPr="009842FE">
              <w:rPr>
                <w:sz w:val="18"/>
                <w:szCs w:val="18"/>
              </w:rPr>
              <w:t>Low</w:t>
            </w:r>
          </w:p>
          <w:p w14:paraId="02CCD7DA" w14:textId="77777777" w:rsidR="002C6E55" w:rsidRPr="009842FE" w:rsidRDefault="002C6E55" w:rsidP="00572859">
            <w:pPr>
              <w:jc w:val="center"/>
              <w:rPr>
                <w:sz w:val="18"/>
                <w:szCs w:val="18"/>
              </w:rPr>
            </w:pPr>
            <w:r w:rsidRPr="009842FE">
              <w:rPr>
                <w:sz w:val="18"/>
                <w:szCs w:val="18"/>
              </w:rPr>
              <w:t>(●●○○)</w:t>
            </w:r>
          </w:p>
        </w:tc>
        <w:tc>
          <w:tcPr>
            <w:tcW w:w="759" w:type="pct"/>
          </w:tcPr>
          <w:p w14:paraId="078188CF" w14:textId="77777777" w:rsidR="002C6E55" w:rsidRPr="009842FE" w:rsidRDefault="002C6E55" w:rsidP="00572859">
            <w:pPr>
              <w:jc w:val="center"/>
              <w:rPr>
                <w:sz w:val="18"/>
                <w:szCs w:val="18"/>
              </w:rPr>
            </w:pPr>
            <w:r w:rsidRPr="009842FE">
              <w:rPr>
                <w:sz w:val="18"/>
                <w:szCs w:val="18"/>
              </w:rPr>
              <w:t>MD -2.25</w:t>
            </w:r>
          </w:p>
          <w:p w14:paraId="0F6A330A" w14:textId="77777777" w:rsidR="002C6E55" w:rsidRPr="009842FE" w:rsidRDefault="002C6E55" w:rsidP="00572859">
            <w:pPr>
              <w:jc w:val="center"/>
              <w:rPr>
                <w:sz w:val="18"/>
                <w:szCs w:val="18"/>
              </w:rPr>
            </w:pPr>
            <w:r w:rsidRPr="009842FE">
              <w:rPr>
                <w:sz w:val="18"/>
                <w:szCs w:val="18"/>
              </w:rPr>
              <w:t>(-8.09, 3.58)</w:t>
            </w:r>
          </w:p>
        </w:tc>
        <w:tc>
          <w:tcPr>
            <w:tcW w:w="962" w:type="pct"/>
          </w:tcPr>
          <w:p w14:paraId="7834B5D3" w14:textId="77777777" w:rsidR="002C6E55" w:rsidRPr="009842FE" w:rsidRDefault="002C6E55" w:rsidP="00572859">
            <w:pPr>
              <w:jc w:val="center"/>
              <w:rPr>
                <w:sz w:val="18"/>
                <w:szCs w:val="18"/>
                <w:u w:val="single"/>
              </w:rPr>
            </w:pPr>
            <w:r w:rsidRPr="009842FE">
              <w:rPr>
                <w:sz w:val="18"/>
                <w:szCs w:val="18"/>
                <w:u w:val="single"/>
              </w:rPr>
              <w:t>7-year change in SF-12 Total score</w:t>
            </w:r>
          </w:p>
          <w:p w14:paraId="1930613E" w14:textId="77777777" w:rsidR="002C6E55" w:rsidRPr="009842FE" w:rsidRDefault="002C6E55" w:rsidP="00572859">
            <w:pPr>
              <w:jc w:val="center"/>
              <w:rPr>
                <w:sz w:val="18"/>
                <w:szCs w:val="18"/>
              </w:rPr>
            </w:pPr>
            <w:r w:rsidRPr="009842FE">
              <w:rPr>
                <w:sz w:val="18"/>
                <w:szCs w:val="18"/>
              </w:rPr>
              <w:t>3 points</w:t>
            </w:r>
          </w:p>
        </w:tc>
        <w:tc>
          <w:tcPr>
            <w:tcW w:w="974" w:type="pct"/>
          </w:tcPr>
          <w:p w14:paraId="700F53DF" w14:textId="77777777" w:rsidR="002C6E55" w:rsidRPr="009842FE" w:rsidRDefault="002C6E55" w:rsidP="00572859">
            <w:pPr>
              <w:jc w:val="center"/>
              <w:rPr>
                <w:sz w:val="18"/>
                <w:szCs w:val="18"/>
                <w:u w:val="single"/>
              </w:rPr>
            </w:pPr>
            <w:r w:rsidRPr="009842FE">
              <w:rPr>
                <w:sz w:val="18"/>
                <w:szCs w:val="18"/>
                <w:u w:val="single"/>
              </w:rPr>
              <w:t>7-year change in SF-12 Total score</w:t>
            </w:r>
          </w:p>
          <w:p w14:paraId="171195BD" w14:textId="77777777" w:rsidR="002C6E55" w:rsidRPr="009842FE" w:rsidRDefault="002C6E55" w:rsidP="00572859">
            <w:pPr>
              <w:jc w:val="center"/>
              <w:rPr>
                <w:sz w:val="18"/>
                <w:szCs w:val="18"/>
              </w:rPr>
            </w:pPr>
            <w:r w:rsidRPr="009842FE">
              <w:rPr>
                <w:sz w:val="18"/>
                <w:szCs w:val="18"/>
              </w:rPr>
              <w:t>1 point</w:t>
            </w:r>
          </w:p>
        </w:tc>
      </w:tr>
      <w:tr w:rsidR="002C6E55" w:rsidRPr="009842FE" w14:paraId="2AE15E82" w14:textId="77777777" w:rsidTr="003A7EA2">
        <w:tc>
          <w:tcPr>
            <w:tcW w:w="767" w:type="pct"/>
          </w:tcPr>
          <w:p w14:paraId="548F25A9" w14:textId="77777777" w:rsidR="002C6E55" w:rsidRPr="009842FE" w:rsidRDefault="002C6E55" w:rsidP="00572859">
            <w:pPr>
              <w:rPr>
                <w:sz w:val="18"/>
                <w:szCs w:val="18"/>
              </w:rPr>
            </w:pPr>
            <w:r w:rsidRPr="009842FE">
              <w:rPr>
                <w:sz w:val="18"/>
                <w:szCs w:val="18"/>
              </w:rPr>
              <w:t>Quality of life – change in SF-12 PCS</w:t>
            </w:r>
          </w:p>
          <w:p w14:paraId="12A49BFD" w14:textId="77777777" w:rsidR="002C6E55" w:rsidRPr="009842FE" w:rsidRDefault="002C6E55" w:rsidP="00572859">
            <w:pPr>
              <w:rPr>
                <w:sz w:val="18"/>
                <w:szCs w:val="18"/>
              </w:rPr>
            </w:pPr>
            <w:r w:rsidRPr="009842FE">
              <w:rPr>
                <w:sz w:val="18"/>
                <w:szCs w:val="18"/>
              </w:rPr>
              <w:t>(up to 7 years FU)</w:t>
            </w:r>
          </w:p>
        </w:tc>
        <w:tc>
          <w:tcPr>
            <w:tcW w:w="1005" w:type="pct"/>
          </w:tcPr>
          <w:p w14:paraId="5000F959" w14:textId="77777777" w:rsidR="002C6E55" w:rsidRPr="009842FE" w:rsidRDefault="002C6E55" w:rsidP="00572859">
            <w:pPr>
              <w:rPr>
                <w:sz w:val="18"/>
                <w:szCs w:val="18"/>
              </w:rPr>
            </w:pPr>
            <w:r w:rsidRPr="009842FE">
              <w:rPr>
                <w:sz w:val="18"/>
                <w:szCs w:val="18"/>
              </w:rPr>
              <w:t>TA=37; PN=218</w:t>
            </w:r>
          </w:p>
          <w:p w14:paraId="506AAD43" w14:textId="77777777" w:rsidR="002C6E55" w:rsidRPr="009842FE" w:rsidRDefault="002C6E55" w:rsidP="00572859">
            <w:pPr>
              <w:rPr>
                <w:sz w:val="18"/>
                <w:szCs w:val="18"/>
              </w:rPr>
            </w:pPr>
            <w:r w:rsidRPr="009842FE">
              <w:rPr>
                <w:sz w:val="18"/>
                <w:szCs w:val="18"/>
              </w:rPr>
              <w:t>1 retrospective cohort (</w:t>
            </w:r>
            <w:proofErr w:type="spellStart"/>
            <w:r w:rsidRPr="009842FE">
              <w:rPr>
                <w:sz w:val="18"/>
                <w:szCs w:val="18"/>
              </w:rPr>
              <w:t>Alam</w:t>
            </w:r>
            <w:proofErr w:type="spellEnd"/>
            <w:r w:rsidRPr="009842FE">
              <w:rPr>
                <w:sz w:val="18"/>
                <w:szCs w:val="18"/>
              </w:rPr>
              <w:t xml:space="preserve"> 2019/DISSRM)</w:t>
            </w:r>
          </w:p>
        </w:tc>
        <w:tc>
          <w:tcPr>
            <w:tcW w:w="533" w:type="pct"/>
          </w:tcPr>
          <w:p w14:paraId="2785CCB1" w14:textId="77777777" w:rsidR="002C6E55" w:rsidRPr="009842FE" w:rsidRDefault="002C6E55" w:rsidP="00572859">
            <w:pPr>
              <w:jc w:val="center"/>
              <w:rPr>
                <w:sz w:val="18"/>
                <w:szCs w:val="18"/>
              </w:rPr>
            </w:pPr>
            <w:r w:rsidRPr="009842FE">
              <w:rPr>
                <w:sz w:val="18"/>
                <w:szCs w:val="18"/>
              </w:rPr>
              <w:t>Low</w:t>
            </w:r>
          </w:p>
          <w:p w14:paraId="530A649D" w14:textId="77777777" w:rsidR="002C6E55" w:rsidRPr="009842FE" w:rsidRDefault="002C6E55" w:rsidP="00572859">
            <w:pPr>
              <w:jc w:val="center"/>
              <w:rPr>
                <w:sz w:val="18"/>
                <w:szCs w:val="18"/>
              </w:rPr>
            </w:pPr>
            <w:r w:rsidRPr="009842FE">
              <w:rPr>
                <w:sz w:val="18"/>
                <w:szCs w:val="18"/>
              </w:rPr>
              <w:t>(●●○○)</w:t>
            </w:r>
          </w:p>
        </w:tc>
        <w:tc>
          <w:tcPr>
            <w:tcW w:w="759" w:type="pct"/>
          </w:tcPr>
          <w:p w14:paraId="50C2AB5C" w14:textId="77777777" w:rsidR="002C6E55" w:rsidRPr="009842FE" w:rsidRDefault="002C6E55" w:rsidP="00572859">
            <w:pPr>
              <w:jc w:val="center"/>
              <w:rPr>
                <w:sz w:val="18"/>
                <w:szCs w:val="18"/>
              </w:rPr>
            </w:pPr>
            <w:r w:rsidRPr="009842FE">
              <w:rPr>
                <w:sz w:val="18"/>
                <w:szCs w:val="18"/>
              </w:rPr>
              <w:t>MD -1.46</w:t>
            </w:r>
          </w:p>
          <w:p w14:paraId="5734B778" w14:textId="77777777" w:rsidR="002C6E55" w:rsidRPr="009842FE" w:rsidRDefault="002C6E55" w:rsidP="00572859">
            <w:pPr>
              <w:jc w:val="center"/>
              <w:rPr>
                <w:sz w:val="18"/>
                <w:szCs w:val="18"/>
              </w:rPr>
            </w:pPr>
            <w:r w:rsidRPr="009842FE">
              <w:rPr>
                <w:sz w:val="18"/>
                <w:szCs w:val="18"/>
              </w:rPr>
              <w:t>(-5.51, 2.58)</w:t>
            </w:r>
          </w:p>
        </w:tc>
        <w:tc>
          <w:tcPr>
            <w:tcW w:w="962" w:type="pct"/>
          </w:tcPr>
          <w:p w14:paraId="1C6F68A3" w14:textId="77777777" w:rsidR="002C6E55" w:rsidRPr="009842FE" w:rsidRDefault="002C6E55" w:rsidP="00572859">
            <w:pPr>
              <w:jc w:val="center"/>
              <w:rPr>
                <w:sz w:val="18"/>
                <w:szCs w:val="18"/>
                <w:u w:val="single"/>
              </w:rPr>
            </w:pPr>
            <w:r w:rsidRPr="009842FE">
              <w:rPr>
                <w:sz w:val="18"/>
                <w:szCs w:val="18"/>
                <w:u w:val="single"/>
              </w:rPr>
              <w:t>7-year change in SF-12 PCS</w:t>
            </w:r>
          </w:p>
          <w:p w14:paraId="790DFA38" w14:textId="77777777" w:rsidR="002C6E55" w:rsidRPr="009842FE" w:rsidRDefault="002C6E55" w:rsidP="00572859">
            <w:pPr>
              <w:jc w:val="center"/>
              <w:rPr>
                <w:sz w:val="18"/>
                <w:szCs w:val="18"/>
              </w:rPr>
            </w:pPr>
            <w:r w:rsidRPr="009842FE">
              <w:rPr>
                <w:sz w:val="18"/>
                <w:szCs w:val="18"/>
              </w:rPr>
              <w:t>0 points</w:t>
            </w:r>
          </w:p>
        </w:tc>
        <w:tc>
          <w:tcPr>
            <w:tcW w:w="974" w:type="pct"/>
          </w:tcPr>
          <w:p w14:paraId="284541B6" w14:textId="77777777" w:rsidR="002C6E55" w:rsidRPr="009842FE" w:rsidRDefault="002C6E55" w:rsidP="00572859">
            <w:pPr>
              <w:jc w:val="center"/>
              <w:rPr>
                <w:sz w:val="18"/>
                <w:szCs w:val="18"/>
                <w:u w:val="single"/>
              </w:rPr>
            </w:pPr>
            <w:r w:rsidRPr="009842FE">
              <w:rPr>
                <w:sz w:val="18"/>
                <w:szCs w:val="18"/>
                <w:u w:val="single"/>
              </w:rPr>
              <w:t>7-year change in SF-12 PCS</w:t>
            </w:r>
          </w:p>
          <w:p w14:paraId="03F6B744" w14:textId="77777777" w:rsidR="002C6E55" w:rsidRPr="009842FE" w:rsidRDefault="002C6E55" w:rsidP="00572859">
            <w:pPr>
              <w:jc w:val="center"/>
              <w:rPr>
                <w:sz w:val="18"/>
                <w:szCs w:val="18"/>
              </w:rPr>
            </w:pPr>
            <w:r w:rsidRPr="009842FE">
              <w:rPr>
                <w:sz w:val="18"/>
                <w:szCs w:val="18"/>
              </w:rPr>
              <w:t>-1.5 points</w:t>
            </w:r>
          </w:p>
        </w:tc>
      </w:tr>
      <w:tr w:rsidR="002C6E55" w:rsidRPr="009842FE" w14:paraId="33A52267" w14:textId="77777777" w:rsidTr="003A7EA2">
        <w:tc>
          <w:tcPr>
            <w:tcW w:w="767" w:type="pct"/>
          </w:tcPr>
          <w:p w14:paraId="22F35A8C" w14:textId="77777777" w:rsidR="002C6E55" w:rsidRPr="009842FE" w:rsidRDefault="002C6E55" w:rsidP="00572859">
            <w:pPr>
              <w:rPr>
                <w:sz w:val="18"/>
                <w:szCs w:val="18"/>
              </w:rPr>
            </w:pPr>
            <w:r w:rsidRPr="009842FE">
              <w:rPr>
                <w:sz w:val="18"/>
                <w:szCs w:val="18"/>
              </w:rPr>
              <w:t>Quality of life – change in SF-12 MCS</w:t>
            </w:r>
          </w:p>
          <w:p w14:paraId="6CE584F9" w14:textId="77777777" w:rsidR="002C6E55" w:rsidRPr="009842FE" w:rsidRDefault="002C6E55" w:rsidP="00572859">
            <w:pPr>
              <w:rPr>
                <w:sz w:val="18"/>
                <w:szCs w:val="18"/>
              </w:rPr>
            </w:pPr>
            <w:r w:rsidRPr="009842FE">
              <w:rPr>
                <w:sz w:val="18"/>
                <w:szCs w:val="18"/>
              </w:rPr>
              <w:t>(up to 7 years FU)</w:t>
            </w:r>
          </w:p>
        </w:tc>
        <w:tc>
          <w:tcPr>
            <w:tcW w:w="1005" w:type="pct"/>
          </w:tcPr>
          <w:p w14:paraId="3C2B35AD" w14:textId="77777777" w:rsidR="002C6E55" w:rsidRPr="009842FE" w:rsidRDefault="002C6E55" w:rsidP="00572859">
            <w:pPr>
              <w:rPr>
                <w:sz w:val="18"/>
                <w:szCs w:val="18"/>
              </w:rPr>
            </w:pPr>
            <w:r w:rsidRPr="009842FE">
              <w:rPr>
                <w:sz w:val="18"/>
                <w:szCs w:val="18"/>
              </w:rPr>
              <w:t>TA=37; PN=218</w:t>
            </w:r>
          </w:p>
          <w:p w14:paraId="60B6F301" w14:textId="77777777" w:rsidR="002C6E55" w:rsidRPr="009842FE" w:rsidRDefault="002C6E55" w:rsidP="00572859">
            <w:pPr>
              <w:rPr>
                <w:sz w:val="18"/>
                <w:szCs w:val="18"/>
              </w:rPr>
            </w:pPr>
            <w:r w:rsidRPr="009842FE">
              <w:rPr>
                <w:sz w:val="18"/>
                <w:szCs w:val="18"/>
              </w:rPr>
              <w:t>1 retrospective cohort (</w:t>
            </w:r>
            <w:proofErr w:type="spellStart"/>
            <w:r w:rsidRPr="009842FE">
              <w:rPr>
                <w:sz w:val="18"/>
                <w:szCs w:val="18"/>
              </w:rPr>
              <w:t>Alam</w:t>
            </w:r>
            <w:proofErr w:type="spellEnd"/>
            <w:r w:rsidRPr="009842FE">
              <w:rPr>
                <w:sz w:val="18"/>
                <w:szCs w:val="18"/>
              </w:rPr>
              <w:t xml:space="preserve"> 2019/DISSRM)</w:t>
            </w:r>
          </w:p>
        </w:tc>
        <w:tc>
          <w:tcPr>
            <w:tcW w:w="533" w:type="pct"/>
          </w:tcPr>
          <w:p w14:paraId="6595604D" w14:textId="77777777" w:rsidR="002C6E55" w:rsidRPr="009842FE" w:rsidRDefault="002C6E55" w:rsidP="00572859">
            <w:pPr>
              <w:jc w:val="center"/>
              <w:rPr>
                <w:sz w:val="18"/>
                <w:szCs w:val="18"/>
              </w:rPr>
            </w:pPr>
            <w:r w:rsidRPr="009842FE">
              <w:rPr>
                <w:sz w:val="18"/>
                <w:szCs w:val="18"/>
              </w:rPr>
              <w:t>Low</w:t>
            </w:r>
          </w:p>
          <w:p w14:paraId="2E9C5C3D" w14:textId="77777777" w:rsidR="002C6E55" w:rsidRPr="009842FE" w:rsidRDefault="002C6E55" w:rsidP="00572859">
            <w:pPr>
              <w:jc w:val="center"/>
              <w:rPr>
                <w:sz w:val="18"/>
                <w:szCs w:val="18"/>
              </w:rPr>
            </w:pPr>
            <w:r w:rsidRPr="009842FE">
              <w:rPr>
                <w:sz w:val="18"/>
                <w:szCs w:val="18"/>
              </w:rPr>
              <w:t>(●●○○)</w:t>
            </w:r>
          </w:p>
        </w:tc>
        <w:tc>
          <w:tcPr>
            <w:tcW w:w="759" w:type="pct"/>
          </w:tcPr>
          <w:p w14:paraId="3F8B6A13" w14:textId="77777777" w:rsidR="002C6E55" w:rsidRPr="009842FE" w:rsidRDefault="002C6E55" w:rsidP="00572859">
            <w:pPr>
              <w:jc w:val="center"/>
              <w:rPr>
                <w:sz w:val="18"/>
                <w:szCs w:val="18"/>
              </w:rPr>
            </w:pPr>
            <w:r w:rsidRPr="009842FE">
              <w:rPr>
                <w:sz w:val="18"/>
                <w:szCs w:val="18"/>
              </w:rPr>
              <w:t>MD -0.90</w:t>
            </w:r>
          </w:p>
          <w:p w14:paraId="6271338A" w14:textId="77777777" w:rsidR="002C6E55" w:rsidRPr="009842FE" w:rsidRDefault="002C6E55" w:rsidP="00572859">
            <w:pPr>
              <w:jc w:val="center"/>
              <w:rPr>
                <w:sz w:val="18"/>
                <w:szCs w:val="18"/>
              </w:rPr>
            </w:pPr>
            <w:r w:rsidRPr="009842FE">
              <w:rPr>
                <w:sz w:val="18"/>
                <w:szCs w:val="18"/>
              </w:rPr>
              <w:t>(-4.27, 2.49)</w:t>
            </w:r>
          </w:p>
        </w:tc>
        <w:tc>
          <w:tcPr>
            <w:tcW w:w="962" w:type="pct"/>
          </w:tcPr>
          <w:p w14:paraId="2BD330C4" w14:textId="77777777" w:rsidR="002C6E55" w:rsidRPr="009842FE" w:rsidRDefault="002C6E55" w:rsidP="00572859">
            <w:pPr>
              <w:jc w:val="center"/>
              <w:rPr>
                <w:sz w:val="18"/>
                <w:szCs w:val="18"/>
                <w:u w:val="single"/>
              </w:rPr>
            </w:pPr>
            <w:r w:rsidRPr="009842FE">
              <w:rPr>
                <w:sz w:val="18"/>
                <w:szCs w:val="18"/>
                <w:u w:val="single"/>
              </w:rPr>
              <w:t>7-year change in SF-12 PCS</w:t>
            </w:r>
          </w:p>
          <w:p w14:paraId="60029DCD" w14:textId="77777777" w:rsidR="002C6E55" w:rsidRPr="009842FE" w:rsidRDefault="002C6E55" w:rsidP="00572859">
            <w:pPr>
              <w:jc w:val="center"/>
              <w:rPr>
                <w:sz w:val="18"/>
                <w:szCs w:val="18"/>
              </w:rPr>
            </w:pPr>
            <w:r w:rsidRPr="009842FE">
              <w:rPr>
                <w:sz w:val="18"/>
                <w:szCs w:val="18"/>
              </w:rPr>
              <w:t>-1.5 points</w:t>
            </w:r>
          </w:p>
        </w:tc>
        <w:tc>
          <w:tcPr>
            <w:tcW w:w="974" w:type="pct"/>
          </w:tcPr>
          <w:p w14:paraId="5F6CB011" w14:textId="77777777" w:rsidR="002C6E55" w:rsidRPr="009842FE" w:rsidRDefault="002C6E55" w:rsidP="00572859">
            <w:pPr>
              <w:jc w:val="center"/>
              <w:rPr>
                <w:sz w:val="18"/>
                <w:szCs w:val="18"/>
                <w:u w:val="single"/>
              </w:rPr>
            </w:pPr>
            <w:r w:rsidRPr="009842FE">
              <w:rPr>
                <w:sz w:val="18"/>
                <w:szCs w:val="18"/>
                <w:u w:val="single"/>
              </w:rPr>
              <w:t>7-year change in SF-12 PCS</w:t>
            </w:r>
          </w:p>
          <w:p w14:paraId="67AB59E9" w14:textId="77777777" w:rsidR="002C6E55" w:rsidRPr="009842FE" w:rsidRDefault="002C6E55" w:rsidP="00572859">
            <w:pPr>
              <w:jc w:val="center"/>
              <w:rPr>
                <w:sz w:val="18"/>
                <w:szCs w:val="18"/>
              </w:rPr>
            </w:pPr>
            <w:r w:rsidRPr="009842FE">
              <w:rPr>
                <w:sz w:val="18"/>
                <w:szCs w:val="18"/>
              </w:rPr>
              <w:t>-2.5 points</w:t>
            </w:r>
          </w:p>
        </w:tc>
      </w:tr>
      <w:tr w:rsidR="002C6E55" w:rsidRPr="009842FE" w14:paraId="153EF4C6" w14:textId="77777777" w:rsidTr="003A7EA2">
        <w:tc>
          <w:tcPr>
            <w:tcW w:w="767" w:type="pct"/>
          </w:tcPr>
          <w:p w14:paraId="61258C54" w14:textId="77777777" w:rsidR="002C6E55" w:rsidRPr="009842FE" w:rsidRDefault="002C6E55" w:rsidP="00572859">
            <w:pPr>
              <w:pStyle w:val="Tabletext"/>
              <w:rPr>
                <w:sz w:val="18"/>
                <w:szCs w:val="18"/>
              </w:rPr>
            </w:pPr>
            <w:r w:rsidRPr="009842FE">
              <w:rPr>
                <w:sz w:val="18"/>
                <w:szCs w:val="18"/>
              </w:rPr>
              <w:t>Intraoperative complications</w:t>
            </w:r>
          </w:p>
          <w:p w14:paraId="78855438" w14:textId="77777777" w:rsidR="002C6E55" w:rsidRPr="009842FE" w:rsidRDefault="002C6E55" w:rsidP="00572859">
            <w:pPr>
              <w:pStyle w:val="Tabletext"/>
              <w:rPr>
                <w:sz w:val="18"/>
                <w:szCs w:val="18"/>
              </w:rPr>
            </w:pPr>
            <w:r w:rsidRPr="009842FE">
              <w:rPr>
                <w:sz w:val="18"/>
                <w:szCs w:val="18"/>
              </w:rPr>
              <w:t>(rate; up to 12 months FU)</w:t>
            </w:r>
          </w:p>
        </w:tc>
        <w:tc>
          <w:tcPr>
            <w:tcW w:w="1005" w:type="pct"/>
          </w:tcPr>
          <w:p w14:paraId="2DFCE327" w14:textId="77777777" w:rsidR="002C6E55" w:rsidRPr="009842FE" w:rsidRDefault="002C6E55" w:rsidP="00572859">
            <w:pPr>
              <w:pStyle w:val="Tabletext"/>
              <w:rPr>
                <w:sz w:val="18"/>
                <w:szCs w:val="18"/>
              </w:rPr>
            </w:pPr>
            <w:r w:rsidRPr="009842FE">
              <w:rPr>
                <w:sz w:val="18"/>
                <w:szCs w:val="18"/>
              </w:rPr>
              <w:t>CA=65; PN=65</w:t>
            </w:r>
          </w:p>
          <w:p w14:paraId="59A31DEB" w14:textId="77777777" w:rsidR="002C6E55" w:rsidRPr="009842FE" w:rsidRDefault="002C6E55" w:rsidP="00572859">
            <w:pPr>
              <w:pStyle w:val="Tabletext"/>
              <w:rPr>
                <w:sz w:val="18"/>
                <w:szCs w:val="18"/>
              </w:rPr>
            </w:pPr>
            <w:r w:rsidRPr="009842FE">
              <w:rPr>
                <w:sz w:val="18"/>
                <w:szCs w:val="18"/>
              </w:rPr>
              <w:t>1 retrospective cohort (</w:t>
            </w:r>
            <w:proofErr w:type="spellStart"/>
            <w:r w:rsidRPr="009842FE">
              <w:rPr>
                <w:sz w:val="18"/>
                <w:szCs w:val="18"/>
              </w:rPr>
              <w:t>Bertolo</w:t>
            </w:r>
            <w:proofErr w:type="spellEnd"/>
            <w:r w:rsidRPr="009842FE">
              <w:rPr>
                <w:sz w:val="18"/>
                <w:szCs w:val="18"/>
              </w:rPr>
              <w:t xml:space="preserve"> 2019/Cleveland Clinic)</w:t>
            </w:r>
          </w:p>
        </w:tc>
        <w:tc>
          <w:tcPr>
            <w:tcW w:w="533" w:type="pct"/>
          </w:tcPr>
          <w:p w14:paraId="61BF9689" w14:textId="77777777" w:rsidR="002C6E55" w:rsidRPr="009842FE" w:rsidRDefault="002C6E55" w:rsidP="00572859">
            <w:pPr>
              <w:pStyle w:val="Tabletext"/>
              <w:jc w:val="center"/>
              <w:rPr>
                <w:sz w:val="18"/>
                <w:szCs w:val="18"/>
              </w:rPr>
            </w:pPr>
            <w:r w:rsidRPr="009842FE">
              <w:rPr>
                <w:sz w:val="18"/>
                <w:szCs w:val="18"/>
              </w:rPr>
              <w:t>Low</w:t>
            </w:r>
          </w:p>
          <w:p w14:paraId="0DFF01A1" w14:textId="77777777" w:rsidR="002C6E55" w:rsidRPr="009842FE" w:rsidRDefault="002C6E55" w:rsidP="00572859">
            <w:pPr>
              <w:pStyle w:val="Tabletext"/>
              <w:jc w:val="center"/>
              <w:rPr>
                <w:sz w:val="18"/>
                <w:szCs w:val="18"/>
              </w:rPr>
            </w:pPr>
            <w:r w:rsidRPr="009842FE">
              <w:rPr>
                <w:sz w:val="18"/>
                <w:szCs w:val="18"/>
              </w:rPr>
              <w:t>(●●○○)</w:t>
            </w:r>
          </w:p>
        </w:tc>
        <w:tc>
          <w:tcPr>
            <w:tcW w:w="759" w:type="pct"/>
          </w:tcPr>
          <w:p w14:paraId="0AEE3AA2" w14:textId="77777777" w:rsidR="002C6E55" w:rsidRPr="009842FE" w:rsidRDefault="002C6E55" w:rsidP="00572859">
            <w:pPr>
              <w:jc w:val="center"/>
              <w:rPr>
                <w:rFonts w:cs="Arial"/>
                <w:sz w:val="18"/>
                <w:szCs w:val="18"/>
              </w:rPr>
            </w:pPr>
            <w:r w:rsidRPr="009842FE">
              <w:rPr>
                <w:rFonts w:cs="Arial"/>
                <w:sz w:val="18"/>
                <w:szCs w:val="18"/>
              </w:rPr>
              <w:t>MD -1.5%</w:t>
            </w:r>
          </w:p>
          <w:p w14:paraId="704C14B7" w14:textId="77777777" w:rsidR="002C6E55" w:rsidRPr="009842FE" w:rsidRDefault="002C6E55" w:rsidP="00572859">
            <w:pPr>
              <w:jc w:val="center"/>
              <w:rPr>
                <w:rFonts w:cs="Arial"/>
                <w:sz w:val="18"/>
                <w:szCs w:val="18"/>
              </w:rPr>
            </w:pPr>
            <w:r w:rsidRPr="009842FE">
              <w:rPr>
                <w:rFonts w:cs="Arial"/>
                <w:sz w:val="18"/>
                <w:szCs w:val="18"/>
              </w:rPr>
              <w:t>P=0.5</w:t>
            </w:r>
          </w:p>
        </w:tc>
        <w:tc>
          <w:tcPr>
            <w:tcW w:w="962" w:type="pct"/>
          </w:tcPr>
          <w:p w14:paraId="31C3B5B4" w14:textId="77777777" w:rsidR="002C6E55" w:rsidRPr="009842FE" w:rsidRDefault="002C6E55" w:rsidP="00572859">
            <w:pPr>
              <w:jc w:val="center"/>
              <w:rPr>
                <w:rFonts w:cs="Arial"/>
                <w:sz w:val="18"/>
                <w:szCs w:val="18"/>
                <w:u w:val="single"/>
              </w:rPr>
            </w:pPr>
            <w:r w:rsidRPr="009842FE">
              <w:rPr>
                <w:rFonts w:cs="Arial"/>
                <w:sz w:val="18"/>
                <w:szCs w:val="18"/>
                <w:u w:val="single"/>
              </w:rPr>
              <w:t>Intraoperative complications</w:t>
            </w:r>
          </w:p>
          <w:p w14:paraId="3C1E92BB" w14:textId="77777777" w:rsidR="002C6E55" w:rsidRPr="009842FE" w:rsidRDefault="002C6E55" w:rsidP="00572859">
            <w:pPr>
              <w:jc w:val="center"/>
              <w:rPr>
                <w:rFonts w:cs="Arial"/>
                <w:sz w:val="18"/>
                <w:szCs w:val="18"/>
              </w:rPr>
            </w:pPr>
            <w:r w:rsidRPr="009842FE">
              <w:rPr>
                <w:rFonts w:cs="Arial"/>
                <w:sz w:val="18"/>
                <w:szCs w:val="18"/>
              </w:rPr>
              <w:t>31 per 1000 patients</w:t>
            </w:r>
          </w:p>
        </w:tc>
        <w:tc>
          <w:tcPr>
            <w:tcW w:w="974" w:type="pct"/>
          </w:tcPr>
          <w:p w14:paraId="7BEFEFB0" w14:textId="77777777" w:rsidR="002C6E55" w:rsidRPr="009842FE" w:rsidRDefault="002C6E55" w:rsidP="00572859">
            <w:pPr>
              <w:jc w:val="center"/>
              <w:rPr>
                <w:rFonts w:cs="Arial"/>
                <w:sz w:val="18"/>
                <w:szCs w:val="18"/>
                <w:u w:val="single"/>
              </w:rPr>
            </w:pPr>
            <w:r w:rsidRPr="009842FE">
              <w:rPr>
                <w:rFonts w:cs="Arial"/>
                <w:sz w:val="18"/>
                <w:szCs w:val="18"/>
                <w:u w:val="single"/>
              </w:rPr>
              <w:t>Intraoperative complications</w:t>
            </w:r>
          </w:p>
          <w:p w14:paraId="3ECB3863" w14:textId="77777777" w:rsidR="002C6E55" w:rsidRPr="009842FE" w:rsidRDefault="002C6E55" w:rsidP="00572859">
            <w:pPr>
              <w:jc w:val="center"/>
              <w:rPr>
                <w:rFonts w:cs="Arial"/>
                <w:sz w:val="18"/>
                <w:szCs w:val="18"/>
              </w:rPr>
            </w:pPr>
            <w:r w:rsidRPr="009842FE">
              <w:rPr>
                <w:rFonts w:cs="Arial"/>
                <w:sz w:val="18"/>
                <w:szCs w:val="18"/>
              </w:rPr>
              <w:t>16 per 1000 patients</w:t>
            </w:r>
          </w:p>
        </w:tc>
      </w:tr>
      <w:tr w:rsidR="002C6E55" w:rsidRPr="009842FE" w14:paraId="66CA312D" w14:textId="77777777" w:rsidTr="003A7EA2">
        <w:tc>
          <w:tcPr>
            <w:tcW w:w="767" w:type="pct"/>
          </w:tcPr>
          <w:p w14:paraId="2B411C5C" w14:textId="77777777" w:rsidR="002C6E55" w:rsidRPr="009842FE" w:rsidRDefault="002C6E55" w:rsidP="00572859">
            <w:pPr>
              <w:pStyle w:val="Tabletext"/>
              <w:rPr>
                <w:sz w:val="18"/>
                <w:szCs w:val="18"/>
              </w:rPr>
            </w:pPr>
            <w:r w:rsidRPr="009842FE">
              <w:rPr>
                <w:sz w:val="18"/>
                <w:szCs w:val="18"/>
              </w:rPr>
              <w:t>Postoperative complications</w:t>
            </w:r>
          </w:p>
          <w:p w14:paraId="7BE9B362" w14:textId="77777777" w:rsidR="002C6E55" w:rsidRPr="009842FE" w:rsidRDefault="002C6E55" w:rsidP="00572859">
            <w:pPr>
              <w:pStyle w:val="Tabletext"/>
              <w:rPr>
                <w:sz w:val="18"/>
                <w:szCs w:val="18"/>
              </w:rPr>
            </w:pPr>
            <w:r w:rsidRPr="009842FE">
              <w:rPr>
                <w:sz w:val="18"/>
                <w:szCs w:val="18"/>
              </w:rPr>
              <w:t>(rate; up to 12 months FU)</w:t>
            </w:r>
          </w:p>
        </w:tc>
        <w:tc>
          <w:tcPr>
            <w:tcW w:w="1005" w:type="pct"/>
          </w:tcPr>
          <w:p w14:paraId="4F93BF1F" w14:textId="77777777" w:rsidR="002C6E55" w:rsidRPr="009842FE" w:rsidRDefault="002C6E55" w:rsidP="00572859">
            <w:pPr>
              <w:pStyle w:val="Tabletext"/>
              <w:rPr>
                <w:sz w:val="18"/>
                <w:szCs w:val="18"/>
              </w:rPr>
            </w:pPr>
            <w:r w:rsidRPr="009842FE">
              <w:rPr>
                <w:sz w:val="18"/>
                <w:szCs w:val="18"/>
              </w:rPr>
              <w:t>CA=65; PN=65</w:t>
            </w:r>
          </w:p>
          <w:p w14:paraId="7217E04D" w14:textId="77777777" w:rsidR="002C6E55" w:rsidRPr="009842FE" w:rsidRDefault="002C6E55" w:rsidP="00572859">
            <w:pPr>
              <w:pStyle w:val="Tabletext"/>
              <w:rPr>
                <w:sz w:val="18"/>
                <w:szCs w:val="18"/>
              </w:rPr>
            </w:pPr>
            <w:r w:rsidRPr="009842FE">
              <w:rPr>
                <w:sz w:val="18"/>
                <w:szCs w:val="18"/>
              </w:rPr>
              <w:t>1 retrospective cohort (</w:t>
            </w:r>
            <w:proofErr w:type="spellStart"/>
            <w:r w:rsidRPr="009842FE">
              <w:rPr>
                <w:sz w:val="18"/>
                <w:szCs w:val="18"/>
              </w:rPr>
              <w:t>Bertolo</w:t>
            </w:r>
            <w:proofErr w:type="spellEnd"/>
            <w:r w:rsidRPr="009842FE">
              <w:rPr>
                <w:sz w:val="18"/>
                <w:szCs w:val="18"/>
              </w:rPr>
              <w:t xml:space="preserve"> 2019/Cleveland Clinic)</w:t>
            </w:r>
          </w:p>
        </w:tc>
        <w:tc>
          <w:tcPr>
            <w:tcW w:w="533" w:type="pct"/>
          </w:tcPr>
          <w:p w14:paraId="1904D439" w14:textId="77777777" w:rsidR="002C6E55" w:rsidRPr="009842FE" w:rsidRDefault="002C6E55" w:rsidP="00572859">
            <w:pPr>
              <w:pStyle w:val="Tabletext"/>
              <w:jc w:val="center"/>
              <w:rPr>
                <w:sz w:val="18"/>
                <w:szCs w:val="18"/>
              </w:rPr>
            </w:pPr>
            <w:r w:rsidRPr="009842FE">
              <w:rPr>
                <w:sz w:val="18"/>
                <w:szCs w:val="18"/>
              </w:rPr>
              <w:t>Low</w:t>
            </w:r>
          </w:p>
          <w:p w14:paraId="694E580F" w14:textId="77777777" w:rsidR="002C6E55" w:rsidRPr="009842FE" w:rsidRDefault="002C6E55" w:rsidP="00572859">
            <w:pPr>
              <w:pStyle w:val="Tabletext"/>
              <w:jc w:val="center"/>
              <w:rPr>
                <w:sz w:val="18"/>
                <w:szCs w:val="18"/>
              </w:rPr>
            </w:pPr>
            <w:r w:rsidRPr="009842FE">
              <w:rPr>
                <w:sz w:val="18"/>
                <w:szCs w:val="18"/>
              </w:rPr>
              <w:t>(●●○○)</w:t>
            </w:r>
          </w:p>
        </w:tc>
        <w:tc>
          <w:tcPr>
            <w:tcW w:w="759" w:type="pct"/>
          </w:tcPr>
          <w:p w14:paraId="7D9530FB" w14:textId="77777777" w:rsidR="002C6E55" w:rsidRPr="009842FE" w:rsidRDefault="002C6E55" w:rsidP="00572859">
            <w:pPr>
              <w:jc w:val="center"/>
              <w:rPr>
                <w:rFonts w:cs="Arial"/>
                <w:sz w:val="18"/>
                <w:szCs w:val="18"/>
              </w:rPr>
            </w:pPr>
            <w:r w:rsidRPr="009842FE">
              <w:rPr>
                <w:rFonts w:cs="Arial"/>
                <w:sz w:val="18"/>
                <w:szCs w:val="18"/>
              </w:rPr>
              <w:t>MD -22%</w:t>
            </w:r>
          </w:p>
          <w:p w14:paraId="5F84FED9" w14:textId="77777777" w:rsidR="002C6E55" w:rsidRPr="009842FE" w:rsidRDefault="002C6E55" w:rsidP="00572859">
            <w:pPr>
              <w:jc w:val="center"/>
              <w:rPr>
                <w:rFonts w:cs="Arial"/>
                <w:sz w:val="18"/>
                <w:szCs w:val="18"/>
              </w:rPr>
            </w:pPr>
            <w:r w:rsidRPr="009842FE">
              <w:rPr>
                <w:rFonts w:cs="Arial"/>
                <w:sz w:val="18"/>
                <w:szCs w:val="18"/>
              </w:rPr>
              <w:t>P=0.007</w:t>
            </w:r>
          </w:p>
        </w:tc>
        <w:tc>
          <w:tcPr>
            <w:tcW w:w="962" w:type="pct"/>
          </w:tcPr>
          <w:p w14:paraId="0C31B9CE" w14:textId="77777777" w:rsidR="002C6E55" w:rsidRPr="009842FE" w:rsidRDefault="002C6E55" w:rsidP="00572859">
            <w:pPr>
              <w:jc w:val="center"/>
              <w:rPr>
                <w:rFonts w:cs="Arial"/>
                <w:sz w:val="18"/>
                <w:szCs w:val="18"/>
                <w:u w:val="single"/>
              </w:rPr>
            </w:pPr>
            <w:r w:rsidRPr="009842FE">
              <w:rPr>
                <w:rFonts w:cs="Arial"/>
                <w:sz w:val="18"/>
                <w:szCs w:val="18"/>
                <w:u w:val="single"/>
              </w:rPr>
              <w:t>Postoperative complications</w:t>
            </w:r>
          </w:p>
          <w:p w14:paraId="6AB1C7AF" w14:textId="77777777" w:rsidR="002C6E55" w:rsidRPr="009842FE" w:rsidRDefault="002C6E55" w:rsidP="00572859">
            <w:pPr>
              <w:jc w:val="center"/>
              <w:rPr>
                <w:rFonts w:cs="Arial"/>
                <w:sz w:val="18"/>
                <w:szCs w:val="18"/>
              </w:rPr>
            </w:pPr>
            <w:r w:rsidRPr="009842FE">
              <w:rPr>
                <w:rFonts w:cs="Arial"/>
                <w:sz w:val="18"/>
                <w:szCs w:val="18"/>
              </w:rPr>
              <w:t>308 per 1000 patients</w:t>
            </w:r>
          </w:p>
        </w:tc>
        <w:tc>
          <w:tcPr>
            <w:tcW w:w="974" w:type="pct"/>
          </w:tcPr>
          <w:p w14:paraId="41467917" w14:textId="77777777" w:rsidR="002C6E55" w:rsidRPr="009842FE" w:rsidRDefault="002C6E55" w:rsidP="00572859">
            <w:pPr>
              <w:jc w:val="center"/>
              <w:rPr>
                <w:rFonts w:cs="Arial"/>
                <w:sz w:val="18"/>
                <w:szCs w:val="18"/>
                <w:u w:val="single"/>
              </w:rPr>
            </w:pPr>
            <w:r w:rsidRPr="009842FE">
              <w:rPr>
                <w:rFonts w:cs="Arial"/>
                <w:sz w:val="18"/>
                <w:szCs w:val="18"/>
                <w:u w:val="single"/>
              </w:rPr>
              <w:t>Postoperative complications</w:t>
            </w:r>
          </w:p>
          <w:p w14:paraId="47A02C24" w14:textId="77777777" w:rsidR="002C6E55" w:rsidRPr="009842FE" w:rsidRDefault="002C6E55" w:rsidP="00572859">
            <w:pPr>
              <w:jc w:val="center"/>
              <w:rPr>
                <w:rFonts w:cs="Arial"/>
                <w:sz w:val="18"/>
                <w:szCs w:val="18"/>
              </w:rPr>
            </w:pPr>
            <w:r w:rsidRPr="009842FE">
              <w:rPr>
                <w:rFonts w:cs="Arial"/>
                <w:sz w:val="18"/>
                <w:szCs w:val="18"/>
              </w:rPr>
              <w:t>92 per 1000 patients</w:t>
            </w:r>
          </w:p>
        </w:tc>
      </w:tr>
      <w:tr w:rsidR="002C6E55" w:rsidRPr="009842FE" w14:paraId="6CD2BF7B" w14:textId="77777777" w:rsidTr="003A7EA2">
        <w:tc>
          <w:tcPr>
            <w:tcW w:w="767" w:type="pct"/>
          </w:tcPr>
          <w:p w14:paraId="75CD6BDA" w14:textId="77777777" w:rsidR="002C6E55" w:rsidRPr="009842FE" w:rsidRDefault="002C6E55" w:rsidP="00572859">
            <w:pPr>
              <w:pStyle w:val="Tabletext"/>
              <w:rPr>
                <w:sz w:val="18"/>
                <w:szCs w:val="18"/>
              </w:rPr>
            </w:pPr>
            <w:r w:rsidRPr="009842FE">
              <w:rPr>
                <w:sz w:val="18"/>
                <w:szCs w:val="18"/>
              </w:rPr>
              <w:t xml:space="preserve">Postoperative complications – </w:t>
            </w:r>
            <w:proofErr w:type="spellStart"/>
            <w:r w:rsidRPr="009842FE">
              <w:rPr>
                <w:sz w:val="18"/>
                <w:szCs w:val="18"/>
              </w:rPr>
              <w:t>Clavien</w:t>
            </w:r>
            <w:proofErr w:type="spellEnd"/>
            <w:r w:rsidRPr="009842FE">
              <w:rPr>
                <w:sz w:val="18"/>
                <w:szCs w:val="18"/>
              </w:rPr>
              <w:t xml:space="preserve"> I-II</w:t>
            </w:r>
          </w:p>
          <w:p w14:paraId="64AF8899" w14:textId="77777777" w:rsidR="002C6E55" w:rsidRPr="009842FE" w:rsidRDefault="002C6E55" w:rsidP="00572859">
            <w:pPr>
              <w:pStyle w:val="Tabletext"/>
              <w:rPr>
                <w:sz w:val="18"/>
                <w:szCs w:val="18"/>
              </w:rPr>
            </w:pPr>
            <w:r w:rsidRPr="009842FE">
              <w:rPr>
                <w:sz w:val="18"/>
                <w:szCs w:val="18"/>
              </w:rPr>
              <w:t>(rate; up to 12 months FU)</w:t>
            </w:r>
          </w:p>
        </w:tc>
        <w:tc>
          <w:tcPr>
            <w:tcW w:w="1005" w:type="pct"/>
          </w:tcPr>
          <w:p w14:paraId="3D183FE8" w14:textId="77777777" w:rsidR="002C6E55" w:rsidRPr="009842FE" w:rsidRDefault="002C6E55" w:rsidP="00572859">
            <w:pPr>
              <w:pStyle w:val="Tabletext"/>
              <w:rPr>
                <w:sz w:val="18"/>
                <w:szCs w:val="18"/>
              </w:rPr>
            </w:pPr>
            <w:r w:rsidRPr="009842FE">
              <w:rPr>
                <w:sz w:val="18"/>
                <w:szCs w:val="18"/>
              </w:rPr>
              <w:t>CA=65; PN=65</w:t>
            </w:r>
          </w:p>
          <w:p w14:paraId="66587774" w14:textId="77777777" w:rsidR="002C6E55" w:rsidRPr="009842FE" w:rsidRDefault="002C6E55" w:rsidP="00572859">
            <w:pPr>
              <w:pStyle w:val="Tabletext"/>
              <w:rPr>
                <w:sz w:val="18"/>
                <w:szCs w:val="18"/>
              </w:rPr>
            </w:pPr>
            <w:r w:rsidRPr="009842FE">
              <w:rPr>
                <w:sz w:val="18"/>
                <w:szCs w:val="18"/>
              </w:rPr>
              <w:t>1 retrospective cohort (</w:t>
            </w:r>
            <w:proofErr w:type="spellStart"/>
            <w:r w:rsidRPr="009842FE">
              <w:rPr>
                <w:sz w:val="18"/>
                <w:szCs w:val="18"/>
              </w:rPr>
              <w:t>Bertolo</w:t>
            </w:r>
            <w:proofErr w:type="spellEnd"/>
            <w:r w:rsidRPr="009842FE">
              <w:rPr>
                <w:sz w:val="18"/>
                <w:szCs w:val="18"/>
              </w:rPr>
              <w:t xml:space="preserve"> 2019/Cleveland Clinic)</w:t>
            </w:r>
          </w:p>
        </w:tc>
        <w:tc>
          <w:tcPr>
            <w:tcW w:w="533" w:type="pct"/>
          </w:tcPr>
          <w:p w14:paraId="6AEB849D" w14:textId="77777777" w:rsidR="002C6E55" w:rsidRPr="009842FE" w:rsidRDefault="002C6E55" w:rsidP="00572859">
            <w:pPr>
              <w:pStyle w:val="Tabletext"/>
              <w:jc w:val="center"/>
              <w:rPr>
                <w:sz w:val="18"/>
                <w:szCs w:val="18"/>
              </w:rPr>
            </w:pPr>
            <w:r w:rsidRPr="009842FE">
              <w:rPr>
                <w:sz w:val="18"/>
                <w:szCs w:val="18"/>
              </w:rPr>
              <w:t>Low</w:t>
            </w:r>
          </w:p>
          <w:p w14:paraId="684B7551" w14:textId="77777777" w:rsidR="002C6E55" w:rsidRPr="009842FE" w:rsidRDefault="002C6E55" w:rsidP="00572859">
            <w:pPr>
              <w:pStyle w:val="Tabletext"/>
              <w:jc w:val="center"/>
              <w:rPr>
                <w:sz w:val="18"/>
                <w:szCs w:val="18"/>
              </w:rPr>
            </w:pPr>
            <w:r w:rsidRPr="009842FE">
              <w:rPr>
                <w:sz w:val="18"/>
                <w:szCs w:val="18"/>
              </w:rPr>
              <w:t>(●●○○)</w:t>
            </w:r>
          </w:p>
        </w:tc>
        <w:tc>
          <w:tcPr>
            <w:tcW w:w="759" w:type="pct"/>
          </w:tcPr>
          <w:p w14:paraId="31E08F0D" w14:textId="77777777" w:rsidR="002C6E55" w:rsidRPr="009842FE" w:rsidRDefault="002C6E55" w:rsidP="00572859">
            <w:pPr>
              <w:jc w:val="center"/>
              <w:rPr>
                <w:rFonts w:cs="Arial"/>
                <w:sz w:val="18"/>
                <w:szCs w:val="18"/>
              </w:rPr>
            </w:pPr>
            <w:r w:rsidRPr="009842FE">
              <w:rPr>
                <w:rFonts w:cs="Arial"/>
                <w:sz w:val="18"/>
                <w:szCs w:val="18"/>
              </w:rPr>
              <w:t>MD -16.9%</w:t>
            </w:r>
          </w:p>
          <w:p w14:paraId="0EDCAB69" w14:textId="77777777" w:rsidR="002C6E55" w:rsidRPr="009842FE" w:rsidRDefault="002C6E55" w:rsidP="00572859">
            <w:pPr>
              <w:jc w:val="center"/>
              <w:rPr>
                <w:rFonts w:cs="Arial"/>
                <w:sz w:val="18"/>
                <w:szCs w:val="18"/>
              </w:rPr>
            </w:pPr>
            <w:r w:rsidRPr="009842FE">
              <w:rPr>
                <w:rFonts w:cs="Arial"/>
                <w:sz w:val="18"/>
                <w:szCs w:val="18"/>
              </w:rPr>
              <w:t>P=0.009</w:t>
            </w:r>
          </w:p>
        </w:tc>
        <w:tc>
          <w:tcPr>
            <w:tcW w:w="962" w:type="pct"/>
          </w:tcPr>
          <w:p w14:paraId="42A88BC6" w14:textId="77777777" w:rsidR="002C6E55" w:rsidRPr="009842FE" w:rsidRDefault="002C6E55" w:rsidP="00572859">
            <w:pPr>
              <w:jc w:val="center"/>
              <w:rPr>
                <w:rFonts w:cs="Arial"/>
                <w:sz w:val="18"/>
                <w:szCs w:val="18"/>
                <w:u w:val="single"/>
              </w:rPr>
            </w:pPr>
            <w:r w:rsidRPr="009842FE">
              <w:rPr>
                <w:rFonts w:cs="Arial"/>
                <w:sz w:val="18"/>
                <w:szCs w:val="18"/>
                <w:u w:val="single"/>
              </w:rPr>
              <w:t xml:space="preserve">Grade I-II postoperative complications </w:t>
            </w:r>
          </w:p>
          <w:p w14:paraId="57070059" w14:textId="77777777" w:rsidR="002C6E55" w:rsidRPr="009842FE" w:rsidRDefault="002C6E55" w:rsidP="00572859">
            <w:pPr>
              <w:jc w:val="center"/>
              <w:rPr>
                <w:rFonts w:cs="Arial"/>
                <w:sz w:val="18"/>
                <w:szCs w:val="18"/>
              </w:rPr>
            </w:pPr>
            <w:r w:rsidRPr="009842FE">
              <w:rPr>
                <w:rFonts w:cs="Arial"/>
                <w:sz w:val="18"/>
                <w:szCs w:val="18"/>
              </w:rPr>
              <w:t>246 per 1000 patients</w:t>
            </w:r>
          </w:p>
        </w:tc>
        <w:tc>
          <w:tcPr>
            <w:tcW w:w="974" w:type="pct"/>
          </w:tcPr>
          <w:p w14:paraId="42A532DE" w14:textId="77777777" w:rsidR="002C6E55" w:rsidRPr="009842FE" w:rsidRDefault="002C6E55" w:rsidP="00572859">
            <w:pPr>
              <w:jc w:val="center"/>
              <w:rPr>
                <w:rFonts w:cs="Arial"/>
                <w:sz w:val="18"/>
                <w:szCs w:val="18"/>
                <w:u w:val="single"/>
              </w:rPr>
            </w:pPr>
            <w:r w:rsidRPr="009842FE">
              <w:rPr>
                <w:rFonts w:cs="Arial"/>
                <w:sz w:val="18"/>
                <w:szCs w:val="18"/>
                <w:u w:val="single"/>
              </w:rPr>
              <w:t>Grade I-II postoperative complications</w:t>
            </w:r>
          </w:p>
          <w:p w14:paraId="569D5500" w14:textId="77777777" w:rsidR="002C6E55" w:rsidRPr="009842FE" w:rsidRDefault="002C6E55" w:rsidP="00572859">
            <w:pPr>
              <w:jc w:val="center"/>
              <w:rPr>
                <w:rFonts w:cs="Arial"/>
                <w:sz w:val="18"/>
                <w:szCs w:val="18"/>
              </w:rPr>
            </w:pPr>
            <w:r w:rsidRPr="009842FE">
              <w:rPr>
                <w:rFonts w:cs="Arial"/>
                <w:sz w:val="18"/>
                <w:szCs w:val="18"/>
              </w:rPr>
              <w:t>77 per 1000 patients</w:t>
            </w:r>
          </w:p>
        </w:tc>
      </w:tr>
      <w:tr w:rsidR="002C6E55" w:rsidRPr="009842FE" w14:paraId="15609E6D" w14:textId="77777777" w:rsidTr="003A7EA2">
        <w:tc>
          <w:tcPr>
            <w:tcW w:w="767" w:type="pct"/>
          </w:tcPr>
          <w:p w14:paraId="6C08D3C2" w14:textId="77777777" w:rsidR="002C6E55" w:rsidRPr="009842FE" w:rsidRDefault="002C6E55" w:rsidP="00572859">
            <w:pPr>
              <w:pStyle w:val="Tabletext"/>
              <w:keepNext/>
              <w:keepLines/>
              <w:rPr>
                <w:sz w:val="18"/>
                <w:szCs w:val="18"/>
              </w:rPr>
            </w:pPr>
            <w:r w:rsidRPr="009842FE">
              <w:rPr>
                <w:sz w:val="18"/>
                <w:szCs w:val="18"/>
              </w:rPr>
              <w:t xml:space="preserve">Postoperative complications – </w:t>
            </w:r>
            <w:proofErr w:type="spellStart"/>
            <w:r w:rsidRPr="009842FE">
              <w:rPr>
                <w:sz w:val="18"/>
                <w:szCs w:val="18"/>
              </w:rPr>
              <w:t>Clavien</w:t>
            </w:r>
            <w:proofErr w:type="spellEnd"/>
            <w:r w:rsidRPr="009842FE">
              <w:rPr>
                <w:sz w:val="18"/>
                <w:szCs w:val="18"/>
              </w:rPr>
              <w:t xml:space="preserve"> III-IV</w:t>
            </w:r>
          </w:p>
          <w:p w14:paraId="29B09FE8" w14:textId="77777777" w:rsidR="002C6E55" w:rsidRPr="009842FE" w:rsidRDefault="002C6E55" w:rsidP="00572859">
            <w:pPr>
              <w:pStyle w:val="Tabletext"/>
              <w:keepNext/>
              <w:keepLines/>
              <w:rPr>
                <w:sz w:val="18"/>
                <w:szCs w:val="18"/>
              </w:rPr>
            </w:pPr>
            <w:r w:rsidRPr="009842FE">
              <w:rPr>
                <w:sz w:val="18"/>
                <w:szCs w:val="18"/>
              </w:rPr>
              <w:t>(rate; up to 12 months FU)</w:t>
            </w:r>
          </w:p>
        </w:tc>
        <w:tc>
          <w:tcPr>
            <w:tcW w:w="1005" w:type="pct"/>
          </w:tcPr>
          <w:p w14:paraId="77F34671" w14:textId="77777777" w:rsidR="002C6E55" w:rsidRPr="009842FE" w:rsidRDefault="002C6E55" w:rsidP="00572859">
            <w:pPr>
              <w:pStyle w:val="Tabletext"/>
              <w:keepNext/>
              <w:keepLines/>
              <w:rPr>
                <w:sz w:val="18"/>
                <w:szCs w:val="18"/>
              </w:rPr>
            </w:pPr>
            <w:r w:rsidRPr="009842FE">
              <w:rPr>
                <w:sz w:val="18"/>
                <w:szCs w:val="18"/>
              </w:rPr>
              <w:t>CA=65; PN=65</w:t>
            </w:r>
          </w:p>
          <w:p w14:paraId="4AE261F9" w14:textId="77777777" w:rsidR="002C6E55" w:rsidRPr="009842FE" w:rsidRDefault="002C6E55" w:rsidP="00572859">
            <w:pPr>
              <w:pStyle w:val="Tabletext"/>
              <w:keepNext/>
              <w:keepLines/>
              <w:rPr>
                <w:sz w:val="18"/>
                <w:szCs w:val="18"/>
              </w:rPr>
            </w:pPr>
            <w:r w:rsidRPr="009842FE">
              <w:rPr>
                <w:sz w:val="18"/>
                <w:szCs w:val="18"/>
              </w:rPr>
              <w:t>1 retrospective cohort (</w:t>
            </w:r>
            <w:proofErr w:type="spellStart"/>
            <w:r w:rsidRPr="009842FE">
              <w:rPr>
                <w:sz w:val="18"/>
                <w:szCs w:val="18"/>
              </w:rPr>
              <w:t>Bertolo</w:t>
            </w:r>
            <w:proofErr w:type="spellEnd"/>
            <w:r w:rsidRPr="009842FE">
              <w:rPr>
                <w:sz w:val="18"/>
                <w:szCs w:val="18"/>
              </w:rPr>
              <w:t xml:space="preserve"> 2019/Cleveland Clinic)</w:t>
            </w:r>
          </w:p>
        </w:tc>
        <w:tc>
          <w:tcPr>
            <w:tcW w:w="533" w:type="pct"/>
          </w:tcPr>
          <w:p w14:paraId="69D57049" w14:textId="77777777" w:rsidR="002C6E55" w:rsidRPr="009842FE" w:rsidRDefault="002C6E55" w:rsidP="00572859">
            <w:pPr>
              <w:pStyle w:val="Tabletext"/>
              <w:keepNext/>
              <w:keepLines/>
              <w:jc w:val="center"/>
              <w:rPr>
                <w:sz w:val="18"/>
                <w:szCs w:val="18"/>
              </w:rPr>
            </w:pPr>
            <w:r w:rsidRPr="009842FE">
              <w:rPr>
                <w:sz w:val="18"/>
                <w:szCs w:val="18"/>
              </w:rPr>
              <w:t>Low</w:t>
            </w:r>
          </w:p>
          <w:p w14:paraId="3C4190C3" w14:textId="77777777" w:rsidR="002C6E55" w:rsidRPr="009842FE" w:rsidRDefault="002C6E55" w:rsidP="00572859">
            <w:pPr>
              <w:pStyle w:val="Tabletext"/>
              <w:keepNext/>
              <w:keepLines/>
              <w:jc w:val="center"/>
              <w:rPr>
                <w:sz w:val="18"/>
                <w:szCs w:val="18"/>
              </w:rPr>
            </w:pPr>
            <w:r w:rsidRPr="009842FE">
              <w:rPr>
                <w:sz w:val="18"/>
                <w:szCs w:val="18"/>
              </w:rPr>
              <w:t>(●●○○)</w:t>
            </w:r>
          </w:p>
        </w:tc>
        <w:tc>
          <w:tcPr>
            <w:tcW w:w="759" w:type="pct"/>
          </w:tcPr>
          <w:p w14:paraId="3A5B666D" w14:textId="77777777" w:rsidR="002C6E55" w:rsidRPr="009842FE" w:rsidRDefault="002C6E55" w:rsidP="00572859">
            <w:pPr>
              <w:keepNext/>
              <w:keepLines/>
              <w:jc w:val="center"/>
              <w:rPr>
                <w:rFonts w:cs="Arial"/>
                <w:sz w:val="18"/>
                <w:szCs w:val="18"/>
              </w:rPr>
            </w:pPr>
            <w:r w:rsidRPr="009842FE">
              <w:rPr>
                <w:rFonts w:cs="Arial"/>
                <w:sz w:val="18"/>
                <w:szCs w:val="18"/>
              </w:rPr>
              <w:t>MD -4.7%</w:t>
            </w:r>
          </w:p>
          <w:p w14:paraId="5F75386A" w14:textId="77777777" w:rsidR="002C6E55" w:rsidRPr="009842FE" w:rsidRDefault="002C6E55" w:rsidP="00572859">
            <w:pPr>
              <w:keepNext/>
              <w:keepLines/>
              <w:jc w:val="center"/>
              <w:rPr>
                <w:rFonts w:cs="Arial"/>
                <w:sz w:val="18"/>
                <w:szCs w:val="18"/>
              </w:rPr>
            </w:pPr>
            <w:r w:rsidRPr="009842FE">
              <w:rPr>
                <w:rFonts w:cs="Arial"/>
                <w:sz w:val="18"/>
                <w:szCs w:val="18"/>
              </w:rPr>
              <w:t>P=0.2</w:t>
            </w:r>
          </w:p>
        </w:tc>
        <w:tc>
          <w:tcPr>
            <w:tcW w:w="962" w:type="pct"/>
          </w:tcPr>
          <w:p w14:paraId="2F022C07" w14:textId="77777777" w:rsidR="002C6E55" w:rsidRPr="009842FE" w:rsidRDefault="002C6E55" w:rsidP="00572859">
            <w:pPr>
              <w:keepNext/>
              <w:keepLines/>
              <w:jc w:val="center"/>
              <w:rPr>
                <w:rFonts w:cs="Arial"/>
                <w:sz w:val="18"/>
                <w:szCs w:val="18"/>
                <w:u w:val="single"/>
              </w:rPr>
            </w:pPr>
            <w:r w:rsidRPr="009842FE">
              <w:rPr>
                <w:rFonts w:cs="Arial"/>
                <w:sz w:val="18"/>
                <w:szCs w:val="18"/>
                <w:u w:val="single"/>
              </w:rPr>
              <w:t>Postoperative complications</w:t>
            </w:r>
          </w:p>
          <w:p w14:paraId="015FC324" w14:textId="77777777" w:rsidR="002C6E55" w:rsidRPr="009842FE" w:rsidRDefault="002C6E55" w:rsidP="00572859">
            <w:pPr>
              <w:keepNext/>
              <w:keepLines/>
              <w:jc w:val="center"/>
              <w:rPr>
                <w:rFonts w:cs="Arial"/>
                <w:sz w:val="18"/>
                <w:szCs w:val="18"/>
              </w:rPr>
            </w:pPr>
            <w:r w:rsidRPr="009842FE">
              <w:rPr>
                <w:rFonts w:cs="Arial"/>
                <w:sz w:val="18"/>
                <w:szCs w:val="18"/>
              </w:rPr>
              <w:t>62 per 1000 patients</w:t>
            </w:r>
          </w:p>
        </w:tc>
        <w:tc>
          <w:tcPr>
            <w:tcW w:w="974" w:type="pct"/>
          </w:tcPr>
          <w:p w14:paraId="51CDF134" w14:textId="77777777" w:rsidR="002C6E55" w:rsidRPr="009842FE" w:rsidRDefault="002C6E55" w:rsidP="00572859">
            <w:pPr>
              <w:keepNext/>
              <w:keepLines/>
              <w:jc w:val="center"/>
              <w:rPr>
                <w:rFonts w:cs="Arial"/>
                <w:sz w:val="18"/>
                <w:szCs w:val="18"/>
                <w:u w:val="single"/>
              </w:rPr>
            </w:pPr>
            <w:r w:rsidRPr="009842FE">
              <w:rPr>
                <w:rFonts w:cs="Arial"/>
                <w:sz w:val="18"/>
                <w:szCs w:val="18"/>
                <w:u w:val="single"/>
              </w:rPr>
              <w:t>Postoperative complications</w:t>
            </w:r>
          </w:p>
          <w:p w14:paraId="64AB2969" w14:textId="77777777" w:rsidR="002C6E55" w:rsidRPr="009842FE" w:rsidRDefault="002C6E55" w:rsidP="00572859">
            <w:pPr>
              <w:keepNext/>
              <w:keepLines/>
              <w:jc w:val="center"/>
              <w:rPr>
                <w:rFonts w:cs="Arial"/>
                <w:sz w:val="18"/>
                <w:szCs w:val="18"/>
              </w:rPr>
            </w:pPr>
            <w:r w:rsidRPr="009842FE">
              <w:rPr>
                <w:rFonts w:cs="Arial"/>
                <w:sz w:val="18"/>
                <w:szCs w:val="18"/>
              </w:rPr>
              <w:t>15 per 1000 patients</w:t>
            </w:r>
          </w:p>
        </w:tc>
      </w:tr>
    </w:tbl>
    <w:p w14:paraId="36AA8A0C" w14:textId="77777777" w:rsidR="002C6E55" w:rsidRDefault="002C6E55" w:rsidP="00572859">
      <w:pPr>
        <w:pStyle w:val="Tablenotes"/>
        <w:keepNext/>
        <w:keepLines/>
      </w:pPr>
      <w:r>
        <w:t>Source: Table ES5, p22 of the ADAR</w:t>
      </w:r>
    </w:p>
    <w:p w14:paraId="477ECF04" w14:textId="77777777" w:rsidR="002C6E55" w:rsidRDefault="002C6E55" w:rsidP="00DF51F4">
      <w:pPr>
        <w:pStyle w:val="Tablenotes"/>
        <w:keepNext/>
        <w:keepLines/>
        <w:spacing w:after="0"/>
      </w:pPr>
      <w:r>
        <w:t xml:space="preserve">Abbreviations: </w:t>
      </w:r>
      <w:r w:rsidRPr="00FB324D">
        <w:t xml:space="preserve">CA=cryoablation; CI=confidence interval; CKD=chronic kidney disease; </w:t>
      </w:r>
      <w:proofErr w:type="spellStart"/>
      <w:r w:rsidRPr="00FB324D">
        <w:t>eGFR</w:t>
      </w:r>
      <w:proofErr w:type="spellEnd"/>
      <w:r w:rsidRPr="00FB324D">
        <w:t xml:space="preserve">=estimated glomerular filtration rate; FU=follow-up; MCS=mental component score; MD=mean difference; min=minute; </w:t>
      </w:r>
      <w:r>
        <w:t xml:space="preserve">PCA=percutaneous cryoablation; </w:t>
      </w:r>
      <w:r w:rsidRPr="00FB324D">
        <w:t xml:space="preserve">PCS=physical component score; PN=partial nephrectomy; </w:t>
      </w:r>
      <w:r>
        <w:t xml:space="preserve">RN=radical nephrectomy; </w:t>
      </w:r>
      <w:r w:rsidRPr="00FB324D">
        <w:t>SF-12=Short Form-12; TA=thermal ablation</w:t>
      </w:r>
    </w:p>
    <w:p w14:paraId="66D8B26E" w14:textId="77777777" w:rsidR="002C6E55" w:rsidRPr="00FB324D" w:rsidRDefault="002C6E55" w:rsidP="00572859">
      <w:pPr>
        <w:keepNext/>
        <w:keepLines/>
        <w:widowControl w:val="0"/>
        <w:rPr>
          <w:rFonts w:ascii="Arial Narrow" w:hAnsi="Arial Narrow" w:cs="Arial"/>
          <w:snapToGrid w:val="0"/>
          <w:sz w:val="16"/>
          <w:lang w:eastAsia="en-US"/>
        </w:rPr>
      </w:pPr>
      <w:r>
        <w:rPr>
          <w:rFonts w:ascii="Arial Narrow" w:hAnsi="Arial Narrow" w:cs="Arial"/>
          <w:snapToGrid w:val="0"/>
          <w:sz w:val="16"/>
          <w:lang w:eastAsia="en-US"/>
        </w:rPr>
        <w:t xml:space="preserve">Note: outcomes shown in shading are statistically significantly in favour of CA over PN. Outcomes shown in grey text are statistically significantly in favour of RN over CA.  </w:t>
      </w:r>
    </w:p>
    <w:p w14:paraId="224207F8" w14:textId="77777777" w:rsidR="002C6E55" w:rsidRPr="006D547D" w:rsidRDefault="002C6E55" w:rsidP="00572859">
      <w:pPr>
        <w:keepNext/>
        <w:keepLines/>
        <w:spacing w:after="240"/>
        <w:rPr>
          <w:rFonts w:ascii="Arial Narrow" w:hAnsi="Arial Narrow" w:cs="Arial"/>
          <w:sz w:val="16"/>
          <w:szCs w:val="16"/>
        </w:rPr>
      </w:pPr>
      <w:proofErr w:type="gramStart"/>
      <w:r w:rsidRPr="00FB324D">
        <w:rPr>
          <w:rFonts w:ascii="Arial Narrow" w:hAnsi="Arial Narrow" w:cs="Arial"/>
          <w:sz w:val="16"/>
          <w:szCs w:val="18"/>
          <w:vertAlign w:val="superscript"/>
        </w:rPr>
        <w:t xml:space="preserve">a </w:t>
      </w:r>
      <w:r w:rsidRPr="00FB324D">
        <w:rPr>
          <w:rFonts w:ascii="Arial Narrow" w:hAnsi="Arial Narrow" w:cs="Arial"/>
          <w:sz w:val="16"/>
          <w:szCs w:val="18"/>
        </w:rPr>
        <w:t>GRADE Working Group grades of evidence (</w:t>
      </w:r>
      <w:proofErr w:type="spellStart"/>
      <w:r w:rsidRPr="00FB324D">
        <w:rPr>
          <w:rFonts w:ascii="Arial Narrow" w:hAnsi="Arial Narrow" w:cs="Arial"/>
          <w:sz w:val="16"/>
          <w:szCs w:val="18"/>
        </w:rPr>
        <w:t>Guyatt</w:t>
      </w:r>
      <w:proofErr w:type="spellEnd"/>
      <w:r w:rsidRPr="00FB324D">
        <w:rPr>
          <w:rFonts w:ascii="Arial Narrow" w:hAnsi="Arial Narrow" w:cs="Arial"/>
          <w:sz w:val="16"/>
          <w:szCs w:val="18"/>
        </w:rPr>
        <w:t xml:space="preserve"> et al., 2013)</w:t>
      </w:r>
      <w:r>
        <w:rPr>
          <w:rFonts w:ascii="Arial Narrow" w:hAnsi="Arial Narrow" w:cs="Arial"/>
          <w:sz w:val="16"/>
          <w:szCs w:val="18"/>
        </w:rPr>
        <w:t xml:space="preserve">: </w:t>
      </w:r>
      <w:r w:rsidRPr="007462CB">
        <w:rPr>
          <w:rFonts w:ascii="Arial Narrow" w:hAnsi="Arial Narrow"/>
          <w:sz w:val="18"/>
          <w:szCs w:val="18"/>
        </w:rPr>
        <w:t>●●●●</w:t>
      </w:r>
      <w:r w:rsidRPr="00FB324D">
        <w:rPr>
          <w:rFonts w:ascii="Arial Narrow" w:hAnsi="Arial Narrow"/>
          <w:color w:val="00B050"/>
          <w:sz w:val="16"/>
          <w:szCs w:val="16"/>
        </w:rPr>
        <w:t xml:space="preserve"> </w:t>
      </w:r>
      <w:r w:rsidRPr="00FB324D">
        <w:rPr>
          <w:rFonts w:ascii="Arial Narrow" w:hAnsi="Arial Narrow" w:cs="Arial"/>
          <w:b/>
          <w:bCs/>
          <w:sz w:val="16"/>
          <w:szCs w:val="16"/>
        </w:rPr>
        <w:t>High quality:</w:t>
      </w:r>
      <w:r w:rsidRPr="00FB324D">
        <w:rPr>
          <w:rFonts w:ascii="Arial Narrow" w:hAnsi="Arial Narrow" w:cs="Arial"/>
          <w:sz w:val="16"/>
          <w:szCs w:val="16"/>
        </w:rPr>
        <w:t xml:space="preserve"> We are very confident that the true effect lies close to</w:t>
      </w:r>
      <w:r>
        <w:rPr>
          <w:rFonts w:ascii="Arial Narrow" w:hAnsi="Arial Narrow" w:cs="Arial"/>
          <w:sz w:val="16"/>
          <w:szCs w:val="16"/>
        </w:rPr>
        <w:t xml:space="preserve"> that of the estimate of effect; </w:t>
      </w:r>
      <w:r w:rsidRPr="007462CB">
        <w:rPr>
          <w:rFonts w:ascii="Arial Narrow" w:hAnsi="Arial Narrow"/>
          <w:sz w:val="18"/>
          <w:szCs w:val="18"/>
        </w:rPr>
        <w:t>●●●○</w:t>
      </w:r>
      <w:r w:rsidRPr="00FB324D">
        <w:rPr>
          <w:rFonts w:ascii="Arial Narrow" w:hAnsi="Arial Narrow" w:cs="Cambria Math"/>
          <w:color w:val="C00000"/>
          <w:sz w:val="16"/>
          <w:szCs w:val="16"/>
        </w:rPr>
        <w:t xml:space="preserve"> </w:t>
      </w:r>
      <w:r w:rsidRPr="00FB324D">
        <w:rPr>
          <w:rFonts w:ascii="Arial Narrow" w:hAnsi="Arial Narrow" w:cs="Arial"/>
          <w:b/>
          <w:bCs/>
          <w:sz w:val="16"/>
          <w:szCs w:val="16"/>
        </w:rPr>
        <w:t>Moderate quality:</w:t>
      </w:r>
      <w:r w:rsidRPr="00FB324D">
        <w:rPr>
          <w:rFonts w:ascii="Arial Narrow" w:hAnsi="Arial Narrow" w:cs="Arial"/>
          <w:sz w:val="16"/>
          <w:szCs w:val="16"/>
        </w:rPr>
        <w:t xml:space="preserve"> We are moderately confident in the effect estimate: The true effect is likely to be close to the estimate of the effect, but there is a possibility that it is substantially different</w:t>
      </w:r>
      <w:r>
        <w:rPr>
          <w:rFonts w:ascii="Arial Narrow" w:hAnsi="Arial Narrow" w:cs="Arial"/>
          <w:sz w:val="16"/>
          <w:szCs w:val="16"/>
        </w:rPr>
        <w:t xml:space="preserve">; </w:t>
      </w:r>
      <w:r w:rsidRPr="00BB57AF">
        <w:rPr>
          <w:rFonts w:ascii="Arial Narrow" w:hAnsi="Arial Narrow" w:cs="Arial"/>
          <w:sz w:val="16"/>
          <w:szCs w:val="16"/>
        </w:rPr>
        <w:t>●●○○Low quality:</w:t>
      </w:r>
      <w:r w:rsidRPr="00FB324D">
        <w:rPr>
          <w:rFonts w:ascii="Arial Narrow" w:hAnsi="Arial Narrow" w:cs="Arial"/>
          <w:sz w:val="16"/>
          <w:szCs w:val="16"/>
        </w:rPr>
        <w:t xml:space="preserve"> Our confidence in the effect estimate is limited: The true effect may be substantially different </w:t>
      </w:r>
      <w:r>
        <w:rPr>
          <w:rFonts w:ascii="Arial Narrow" w:hAnsi="Arial Narrow" w:cs="Arial"/>
          <w:sz w:val="16"/>
          <w:szCs w:val="16"/>
        </w:rPr>
        <w:t xml:space="preserve">from the estimate of the effect; </w:t>
      </w:r>
      <w:r w:rsidRPr="00BB57AF">
        <w:rPr>
          <w:rFonts w:ascii="Arial Narrow" w:hAnsi="Arial Narrow" w:cs="Arial"/>
          <w:sz w:val="16"/>
          <w:szCs w:val="16"/>
        </w:rPr>
        <w:t>●○○○ Very low quality:</w:t>
      </w:r>
      <w:r w:rsidRPr="00FB324D">
        <w:rPr>
          <w:rFonts w:ascii="Arial Narrow" w:hAnsi="Arial Narrow" w:cs="Arial"/>
          <w:sz w:val="16"/>
          <w:szCs w:val="16"/>
        </w:rPr>
        <w:t xml:space="preserve"> We have very little confidence in the effect estimate: The true effect is likely to be substantially different from the estimate of effect.</w:t>
      </w:r>
      <w:proofErr w:type="gramEnd"/>
      <w:r>
        <w:rPr>
          <w:rFonts w:ascii="Arial Narrow" w:hAnsi="Arial Narrow" w:cs="Arial"/>
          <w:sz w:val="16"/>
          <w:szCs w:val="16"/>
        </w:rPr>
        <w:t xml:space="preserve"> </w:t>
      </w:r>
      <w:r w:rsidRPr="00BB57AF">
        <w:rPr>
          <w:rFonts w:ascii="Arial Narrow" w:hAnsi="Arial Narrow" w:cs="Arial"/>
          <w:sz w:val="16"/>
          <w:szCs w:val="16"/>
        </w:rPr>
        <w:t xml:space="preserve">Justification for quality of evidence </w:t>
      </w:r>
      <w:proofErr w:type="spellStart"/>
      <w:r w:rsidRPr="00BB57AF">
        <w:rPr>
          <w:rFonts w:ascii="Arial Narrow" w:hAnsi="Arial Narrow" w:cs="Arial"/>
          <w:sz w:val="16"/>
          <w:szCs w:val="16"/>
        </w:rPr>
        <w:t>gradings</w:t>
      </w:r>
      <w:proofErr w:type="spellEnd"/>
      <w:r w:rsidRPr="00BB57AF">
        <w:rPr>
          <w:rFonts w:ascii="Arial Narrow" w:hAnsi="Arial Narrow" w:cs="Arial"/>
          <w:sz w:val="16"/>
          <w:szCs w:val="16"/>
        </w:rPr>
        <w:t xml:space="preserve"> </w:t>
      </w:r>
      <w:proofErr w:type="gramStart"/>
      <w:r w:rsidRPr="00BB57AF">
        <w:rPr>
          <w:rFonts w:ascii="Arial Narrow" w:hAnsi="Arial Narrow" w:cs="Arial"/>
          <w:sz w:val="16"/>
          <w:szCs w:val="16"/>
        </w:rPr>
        <w:t>are provided</w:t>
      </w:r>
      <w:proofErr w:type="gramEnd"/>
      <w:r w:rsidRPr="00BB57AF">
        <w:rPr>
          <w:rFonts w:ascii="Arial Narrow" w:hAnsi="Arial Narrow" w:cs="Arial"/>
          <w:sz w:val="16"/>
          <w:szCs w:val="16"/>
        </w:rPr>
        <w:t xml:space="preserve"> in the source table.</w:t>
      </w:r>
    </w:p>
    <w:p w14:paraId="5A387F0C" w14:textId="77777777" w:rsidR="00F37B9C" w:rsidRDefault="00C06B0B" w:rsidP="006D547D">
      <w:pPr>
        <w:pStyle w:val="Heading2"/>
      </w:pPr>
      <w:r>
        <w:t>Clinical c</w:t>
      </w:r>
      <w:r w:rsidR="00F37B9C" w:rsidRPr="00F37B9C">
        <w:t>laim</w:t>
      </w:r>
    </w:p>
    <w:p w14:paraId="446ED3EA" w14:textId="77777777" w:rsidR="002C6E55" w:rsidRDefault="002C6E55" w:rsidP="002C6E55">
      <w:pPr>
        <w:pStyle w:val="Heading3"/>
      </w:pPr>
      <w:r w:rsidRPr="00545D24">
        <w:t>CA vs. AS/DT (</w:t>
      </w:r>
      <w:r>
        <w:t>main comparator</w:t>
      </w:r>
      <w:r w:rsidRPr="00545D24">
        <w:t xml:space="preserve"> 1)</w:t>
      </w:r>
      <w:r w:rsidRPr="006730B1">
        <w:t xml:space="preserve"> </w:t>
      </w:r>
    </w:p>
    <w:p w14:paraId="6AC488B4" w14:textId="77777777" w:rsidR="002C6E55" w:rsidRDefault="002C6E55" w:rsidP="006D547D">
      <w:pPr>
        <w:spacing w:after="240"/>
        <w:rPr>
          <w:lang w:eastAsia="en-US"/>
        </w:rPr>
      </w:pPr>
      <w:r>
        <w:t>T</w:t>
      </w:r>
      <w:r w:rsidRPr="00FF6608">
        <w:t>he ADAR claimed that</w:t>
      </w:r>
      <w:r>
        <w:rPr>
          <w:lang w:eastAsia="en-US"/>
        </w:rPr>
        <w:t xml:space="preserve"> relative to AS/DT</w:t>
      </w:r>
      <w:r w:rsidRPr="00FF6608">
        <w:rPr>
          <w:lang w:eastAsia="en-US"/>
        </w:rPr>
        <w:t>,</w:t>
      </w:r>
      <w:r w:rsidRPr="00FF6608">
        <w:t xml:space="preserve"> CA has</w:t>
      </w:r>
      <w:r w:rsidRPr="00FF6608">
        <w:rPr>
          <w:lang w:eastAsia="en-US"/>
        </w:rPr>
        <w:t xml:space="preserve"> inferior safety and superior effectiveness, with an overall claim of superiority. </w:t>
      </w:r>
    </w:p>
    <w:p w14:paraId="10BD5349" w14:textId="34857C8D" w:rsidR="002C6E55" w:rsidRPr="00884AB4" w:rsidRDefault="002C6E55" w:rsidP="00572859">
      <w:pPr>
        <w:spacing w:after="120"/>
        <w:contextualSpacing/>
        <w:jc w:val="both"/>
        <w:rPr>
          <w:lang w:eastAsia="en-US"/>
        </w:rPr>
      </w:pPr>
      <w:r w:rsidRPr="00884AB4">
        <w:rPr>
          <w:lang w:eastAsia="en-US"/>
        </w:rPr>
        <w:t xml:space="preserve">The </w:t>
      </w:r>
      <w:r w:rsidR="009842FE">
        <w:rPr>
          <w:lang w:eastAsia="en-US"/>
        </w:rPr>
        <w:t>Commentary</w:t>
      </w:r>
      <w:r w:rsidRPr="00884AB4">
        <w:rPr>
          <w:lang w:eastAsia="en-US"/>
        </w:rPr>
        <w:t xml:space="preserve"> considered that: </w:t>
      </w:r>
    </w:p>
    <w:p w14:paraId="4A30CE97" w14:textId="02CF2153" w:rsidR="002C6E55" w:rsidRPr="00884AB4" w:rsidRDefault="00D76948" w:rsidP="006D547D">
      <w:pPr>
        <w:pStyle w:val="ListParagraph"/>
        <w:numPr>
          <w:ilvl w:val="0"/>
          <w:numId w:val="34"/>
        </w:numPr>
        <w:spacing w:after="240"/>
      </w:pPr>
      <w:r>
        <w:rPr>
          <w:lang w:eastAsia="en-US"/>
        </w:rPr>
        <w:t>t</w:t>
      </w:r>
      <w:r w:rsidR="002C6E55" w:rsidRPr="00884AB4">
        <w:rPr>
          <w:iCs/>
          <w:lang w:eastAsia="en-US"/>
        </w:rPr>
        <w:t>he claim of inferior safety was not based on evidence (no evidence presented)</w:t>
      </w:r>
      <w:r>
        <w:rPr>
          <w:iCs/>
          <w:lang w:eastAsia="en-US"/>
        </w:rPr>
        <w:t>;</w:t>
      </w:r>
    </w:p>
    <w:p w14:paraId="4D72641A" w14:textId="5F3E1623" w:rsidR="002C6E55" w:rsidRDefault="00D76948" w:rsidP="006D547D">
      <w:pPr>
        <w:pStyle w:val="ListParagraph"/>
        <w:numPr>
          <w:ilvl w:val="0"/>
          <w:numId w:val="34"/>
        </w:numPr>
        <w:spacing w:after="240"/>
      </w:pPr>
      <w:proofErr w:type="gramStart"/>
      <w:r>
        <w:rPr>
          <w:iCs/>
          <w:lang w:eastAsia="en-US"/>
        </w:rPr>
        <w:t>t</w:t>
      </w:r>
      <w:r w:rsidR="002C6E55" w:rsidRPr="00884AB4">
        <w:rPr>
          <w:iCs/>
          <w:lang w:eastAsia="en-US"/>
        </w:rPr>
        <w:t>he</w:t>
      </w:r>
      <w:proofErr w:type="gramEnd"/>
      <w:r w:rsidR="002C6E55" w:rsidRPr="00884AB4">
        <w:rPr>
          <w:iCs/>
          <w:lang w:eastAsia="en-US"/>
        </w:rPr>
        <w:t xml:space="preserve"> claim of superior effectiveness of TA (any modality, any mode of delivery) over AS/DT appears reasonable (Xing 2018), although the magnitude of difference in treatment benefit is uncertain (Xing 2018 excluded patients aged &lt;66 years, potential selection bias due to non-randomised study design)</w:t>
      </w:r>
      <w:r w:rsidR="002C6E55" w:rsidRPr="00884AB4">
        <w:rPr>
          <w:lang w:eastAsia="en-US"/>
        </w:rPr>
        <w:t>.</w:t>
      </w:r>
    </w:p>
    <w:p w14:paraId="38770CD7" w14:textId="77777777" w:rsidR="002C6E55" w:rsidRPr="00545D24" w:rsidRDefault="002C6E55" w:rsidP="002C6E55">
      <w:pPr>
        <w:pStyle w:val="Heading3"/>
      </w:pPr>
      <w:r w:rsidRPr="00545D24">
        <w:t>CA vs. laparoscopic RN (</w:t>
      </w:r>
      <w:r>
        <w:t>main comparator</w:t>
      </w:r>
      <w:r w:rsidRPr="00545D24">
        <w:t xml:space="preserve"> 2)</w:t>
      </w:r>
    </w:p>
    <w:p w14:paraId="4A347450" w14:textId="77777777" w:rsidR="002C6E55" w:rsidRDefault="002C6E55" w:rsidP="006D547D">
      <w:pPr>
        <w:spacing w:after="240"/>
        <w:rPr>
          <w:lang w:eastAsia="en-US"/>
        </w:rPr>
      </w:pPr>
      <w:r>
        <w:t>The ADAR claimed that r</w:t>
      </w:r>
      <w:r>
        <w:rPr>
          <w:lang w:eastAsia="en-US"/>
        </w:rPr>
        <w:t>elative to laparoscopic RN</w:t>
      </w:r>
      <w:r w:rsidRPr="00FF6608">
        <w:rPr>
          <w:lang w:eastAsia="en-US"/>
        </w:rPr>
        <w:t xml:space="preserve">, CA has superior safety and non-inferior effectiveness, with an overall claim of non-inferiority. </w:t>
      </w:r>
    </w:p>
    <w:p w14:paraId="595F0398" w14:textId="272C2E9C" w:rsidR="002C6E55" w:rsidRDefault="002C6E55" w:rsidP="00572859">
      <w:pPr>
        <w:spacing w:after="120"/>
        <w:contextualSpacing/>
        <w:jc w:val="both"/>
        <w:rPr>
          <w:lang w:eastAsia="en-US"/>
        </w:rPr>
      </w:pPr>
      <w:r>
        <w:rPr>
          <w:lang w:eastAsia="en-US"/>
        </w:rPr>
        <w:t xml:space="preserve">The </w:t>
      </w:r>
      <w:r w:rsidR="009842FE">
        <w:rPr>
          <w:lang w:eastAsia="en-US"/>
        </w:rPr>
        <w:t>Commentary</w:t>
      </w:r>
      <w:r>
        <w:rPr>
          <w:lang w:eastAsia="en-US"/>
        </w:rPr>
        <w:t xml:space="preserve"> considered that:</w:t>
      </w:r>
    </w:p>
    <w:p w14:paraId="2D19B297" w14:textId="624B42A7" w:rsidR="002C6E55" w:rsidRDefault="00D76948" w:rsidP="006D547D">
      <w:pPr>
        <w:pStyle w:val="ListParagraph"/>
        <w:numPr>
          <w:ilvl w:val="0"/>
          <w:numId w:val="35"/>
        </w:numPr>
        <w:spacing w:after="240"/>
        <w:rPr>
          <w:lang w:eastAsia="en-US"/>
        </w:rPr>
      </w:pPr>
      <w:r>
        <w:rPr>
          <w:lang w:eastAsia="en-US"/>
        </w:rPr>
        <w:t>t</w:t>
      </w:r>
      <w:r w:rsidR="002C6E55" w:rsidRPr="00FE5D04">
        <w:rPr>
          <w:lang w:eastAsia="en-US"/>
        </w:rPr>
        <w:t>he claim of superior safety appears reasonable though potential selection bias due to inherent limitation on study design cannot be ruled out</w:t>
      </w:r>
      <w:r>
        <w:rPr>
          <w:lang w:eastAsia="en-US"/>
        </w:rPr>
        <w:t>;</w:t>
      </w:r>
    </w:p>
    <w:p w14:paraId="4DE51290" w14:textId="77777777" w:rsidR="002C6E55" w:rsidRDefault="002C6E55" w:rsidP="006D547D">
      <w:pPr>
        <w:pStyle w:val="ListParagraph"/>
        <w:numPr>
          <w:ilvl w:val="0"/>
          <w:numId w:val="35"/>
        </w:numPr>
        <w:spacing w:after="240"/>
        <w:rPr>
          <w:lang w:eastAsia="en-US"/>
        </w:rPr>
      </w:pPr>
      <w:r w:rsidRPr="00FE5D04">
        <w:rPr>
          <w:lang w:eastAsia="en-US"/>
        </w:rPr>
        <w:t xml:space="preserve">The validity of the claim of non-inferiority in effectiveness depends on validity of the claim that CA is equivalent to TA. </w:t>
      </w:r>
    </w:p>
    <w:p w14:paraId="6805F1A1" w14:textId="77777777" w:rsidR="002C6E55" w:rsidRDefault="002C6E55" w:rsidP="002C6E55">
      <w:pPr>
        <w:pStyle w:val="Heading3"/>
      </w:pPr>
      <w:r>
        <w:t>CA vs. OTA (s</w:t>
      </w:r>
      <w:r w:rsidRPr="00545D24">
        <w:t xml:space="preserve">upplementary </w:t>
      </w:r>
      <w:r>
        <w:t>c</w:t>
      </w:r>
      <w:r w:rsidRPr="00545D24">
        <w:t>omparator 1)</w:t>
      </w:r>
    </w:p>
    <w:p w14:paraId="4713AD17" w14:textId="77777777" w:rsidR="002C6E55" w:rsidRDefault="002C6E55" w:rsidP="006D547D">
      <w:pPr>
        <w:spacing w:after="240"/>
        <w:rPr>
          <w:lang w:eastAsia="en-US"/>
        </w:rPr>
      </w:pPr>
      <w:r>
        <w:rPr>
          <w:lang w:eastAsia="en-US"/>
        </w:rPr>
        <w:t>The ADAR claimed that relative to other TA (RFA, MWA)</w:t>
      </w:r>
      <w:r w:rsidRPr="00FF6608">
        <w:rPr>
          <w:lang w:eastAsia="en-US"/>
        </w:rPr>
        <w:t xml:space="preserve">, CA has similar safety and non-inferior effectiveness, with an overall claim of non-inferiority. </w:t>
      </w:r>
    </w:p>
    <w:p w14:paraId="58E43202" w14:textId="1DE79C3C" w:rsidR="002C6E55" w:rsidRDefault="002C6E55" w:rsidP="006D547D">
      <w:pPr>
        <w:spacing w:after="240"/>
        <w:rPr>
          <w:lang w:eastAsia="en-US"/>
        </w:rPr>
      </w:pPr>
      <w:r>
        <w:rPr>
          <w:lang w:eastAsia="en-US"/>
        </w:rPr>
        <w:t xml:space="preserve">The </w:t>
      </w:r>
      <w:r w:rsidR="009842FE">
        <w:rPr>
          <w:lang w:eastAsia="en-US"/>
        </w:rPr>
        <w:t>Commentary</w:t>
      </w:r>
      <w:r>
        <w:rPr>
          <w:lang w:eastAsia="en-US"/>
        </w:rPr>
        <w:t xml:space="preserve"> considered that this </w:t>
      </w:r>
      <w:r w:rsidRPr="00FE5D04">
        <w:rPr>
          <w:lang w:eastAsia="en-US"/>
        </w:rPr>
        <w:t>claim seem</w:t>
      </w:r>
      <w:r>
        <w:rPr>
          <w:lang w:eastAsia="en-US"/>
        </w:rPr>
        <w:t>ed</w:t>
      </w:r>
      <w:r w:rsidRPr="00FE5D04">
        <w:rPr>
          <w:lang w:eastAsia="en-US"/>
        </w:rPr>
        <w:t xml:space="preserve"> acceptable</w:t>
      </w:r>
      <w:r w:rsidRPr="00FF6608">
        <w:rPr>
          <w:lang w:eastAsia="en-US"/>
        </w:rPr>
        <w:t xml:space="preserve">, </w:t>
      </w:r>
      <w:r w:rsidRPr="00FE5D04">
        <w:rPr>
          <w:lang w:eastAsia="en-US"/>
        </w:rPr>
        <w:t>noting (a) the lack of direct randomised data comparing CA vs. RFA/MWA and (b) very limited evidence on CA (laparoscopic CA, open CA) vs. RFA (any mode of delivery).</w:t>
      </w:r>
    </w:p>
    <w:p w14:paraId="455F4AB9" w14:textId="77777777" w:rsidR="002C6E55" w:rsidRPr="00545D24" w:rsidRDefault="002C6E55" w:rsidP="002C6E55">
      <w:pPr>
        <w:pStyle w:val="Heading3"/>
      </w:pPr>
      <w:r>
        <w:t>CA vs. PN (supplementary c</w:t>
      </w:r>
      <w:r w:rsidRPr="00545D24">
        <w:t>omparator 2)</w:t>
      </w:r>
    </w:p>
    <w:p w14:paraId="73C2666F" w14:textId="77777777" w:rsidR="002C6E55" w:rsidRDefault="002C6E55" w:rsidP="006D547D">
      <w:pPr>
        <w:spacing w:after="240"/>
        <w:rPr>
          <w:lang w:eastAsia="en-US"/>
        </w:rPr>
      </w:pPr>
      <w:r>
        <w:rPr>
          <w:lang w:eastAsia="en-US"/>
        </w:rPr>
        <w:t>The ADAR claimed that relative to PN</w:t>
      </w:r>
      <w:r w:rsidRPr="00FF6608">
        <w:rPr>
          <w:lang w:eastAsia="en-US"/>
        </w:rPr>
        <w:t xml:space="preserve">, CA has superior safety and inferior effectiveness, with an overall claim of inferiority. </w:t>
      </w:r>
    </w:p>
    <w:p w14:paraId="03E09841" w14:textId="7A85D310" w:rsidR="002C6E55" w:rsidRDefault="002C6E55" w:rsidP="006D547D">
      <w:pPr>
        <w:spacing w:after="240"/>
        <w:rPr>
          <w:lang w:eastAsia="en-US"/>
        </w:rPr>
      </w:pPr>
      <w:r>
        <w:rPr>
          <w:lang w:eastAsia="en-US"/>
        </w:rPr>
        <w:t xml:space="preserve">The </w:t>
      </w:r>
      <w:r w:rsidR="009842FE">
        <w:rPr>
          <w:lang w:eastAsia="en-US"/>
        </w:rPr>
        <w:t>Commentary</w:t>
      </w:r>
      <w:r>
        <w:rPr>
          <w:lang w:eastAsia="en-US"/>
        </w:rPr>
        <w:t xml:space="preserve"> considered that the</w:t>
      </w:r>
      <w:r w:rsidRPr="00FE5D04">
        <w:rPr>
          <w:lang w:eastAsia="en-US"/>
        </w:rPr>
        <w:t xml:space="preserve"> </w:t>
      </w:r>
      <w:proofErr w:type="gramStart"/>
      <w:r w:rsidRPr="00FE5D04">
        <w:rPr>
          <w:lang w:eastAsia="en-US"/>
        </w:rPr>
        <w:t xml:space="preserve">overall claim of non-inferiority </w:t>
      </w:r>
      <w:r>
        <w:rPr>
          <w:lang w:eastAsia="en-US"/>
        </w:rPr>
        <w:t xml:space="preserve">of CA with PN was </w:t>
      </w:r>
      <w:r w:rsidRPr="00FE5D04">
        <w:rPr>
          <w:lang w:eastAsia="en-US"/>
        </w:rPr>
        <w:t>supported by the evidence base</w:t>
      </w:r>
      <w:proofErr w:type="gramEnd"/>
      <w:r w:rsidRPr="00FF6608">
        <w:rPr>
          <w:lang w:eastAsia="en-US"/>
        </w:rPr>
        <w:t>.</w:t>
      </w:r>
      <w:bookmarkStart w:id="25" w:name="_Toc395200751"/>
      <w:bookmarkStart w:id="26" w:name="_Toc46328878"/>
      <w:bookmarkStart w:id="27" w:name="_Toc50104603"/>
    </w:p>
    <w:bookmarkEnd w:id="25"/>
    <w:bookmarkEnd w:id="26"/>
    <w:bookmarkEnd w:id="27"/>
    <w:p w14:paraId="5A3DA6B1" w14:textId="77777777" w:rsidR="00BC1364" w:rsidRPr="00F715D1" w:rsidRDefault="006D547D" w:rsidP="00F715D1">
      <w:pPr>
        <w:pStyle w:val="Heading1"/>
      </w:pPr>
      <w:r>
        <w:t>Econ</w:t>
      </w:r>
      <w:r w:rsidR="00BC1364" w:rsidRPr="00F715D1">
        <w:t>omic evaluation</w:t>
      </w:r>
    </w:p>
    <w:p w14:paraId="005B0B99" w14:textId="77777777" w:rsidR="00C856E8" w:rsidRPr="00A55001" w:rsidRDefault="00C856E8" w:rsidP="00C856E8">
      <w:pPr>
        <w:keepNext/>
      </w:pPr>
      <w:r w:rsidRPr="00A55001">
        <w:t>Based on clinical claims that CA has 1) inferior safety and superior effectiveness compare to AS/DT, and 2) superior safety and non-inferior effectiveness compared to laparoscopic RN, the ADAR presented two economic evaluations:</w:t>
      </w:r>
    </w:p>
    <w:p w14:paraId="3FD8A65A" w14:textId="77777777" w:rsidR="00C856E8" w:rsidRPr="00A55001" w:rsidRDefault="00C856E8" w:rsidP="00C856E8">
      <w:pPr>
        <w:pStyle w:val="ListParagraph"/>
        <w:numPr>
          <w:ilvl w:val="0"/>
          <w:numId w:val="56"/>
        </w:numPr>
      </w:pPr>
      <w:r w:rsidRPr="00A55001">
        <w:t>A cost-utility analysis comparing CA with AS/DT (main comparator 1)</w:t>
      </w:r>
    </w:p>
    <w:p w14:paraId="7572A642" w14:textId="77777777" w:rsidR="00C856E8" w:rsidRPr="00A55001" w:rsidRDefault="00C856E8" w:rsidP="00C856E8">
      <w:pPr>
        <w:pStyle w:val="ListParagraph"/>
        <w:numPr>
          <w:ilvl w:val="0"/>
          <w:numId w:val="56"/>
        </w:numPr>
        <w:spacing w:after="240"/>
      </w:pPr>
      <w:r w:rsidRPr="00A55001">
        <w:t xml:space="preserve">A cost analysis comparing CA with laparoscopic RN (main comparator 2). </w:t>
      </w:r>
    </w:p>
    <w:p w14:paraId="0A034C2C" w14:textId="77777777" w:rsidR="00C856E8" w:rsidRDefault="00C856E8" w:rsidP="00C856E8">
      <w:pPr>
        <w:pStyle w:val="Heading2"/>
      </w:pPr>
      <w:r w:rsidRPr="00545D24">
        <w:t>CA vs. AS/DT (</w:t>
      </w:r>
      <w:r>
        <w:t>main comparator</w:t>
      </w:r>
      <w:r w:rsidRPr="00545D24">
        <w:t xml:space="preserve"> 1)</w:t>
      </w:r>
      <w:r w:rsidRPr="006730B1">
        <w:t xml:space="preserve"> </w:t>
      </w:r>
    </w:p>
    <w:p w14:paraId="3B8DF9D1" w14:textId="77777777" w:rsidR="00C856E8" w:rsidRDefault="00C856E8" w:rsidP="00C856E8">
      <w:pPr>
        <w:spacing w:after="240"/>
      </w:pPr>
      <w:r>
        <w:t>The economic evaluation for CA vs. AS/DT is summarised in</w:t>
      </w:r>
      <w:r>
        <w:fldChar w:fldCharType="begin"/>
      </w:r>
      <w:r>
        <w:instrText xml:space="preserve"> REF _Ref404370956 \h </w:instrText>
      </w:r>
      <w:r>
        <w:fldChar w:fldCharType="separate"/>
      </w:r>
      <w:r>
        <w:t xml:space="preserve"> Table </w:t>
      </w:r>
      <w:r>
        <w:rPr>
          <w:noProof/>
        </w:rPr>
        <w:t>8</w:t>
      </w:r>
      <w:r>
        <w:fldChar w:fldCharType="end"/>
      </w:r>
      <w:r>
        <w:t>.</w:t>
      </w:r>
    </w:p>
    <w:p w14:paraId="648EBDBC" w14:textId="2B062B74" w:rsidR="00C856E8" w:rsidRPr="003A7EA2" w:rsidRDefault="00C856E8" w:rsidP="003A7EA2">
      <w:pPr>
        <w:rPr>
          <w:rFonts w:ascii="Arial Narrow" w:hAnsi="Arial Narrow"/>
          <w:b/>
          <w:sz w:val="20"/>
        </w:rPr>
      </w:pPr>
      <w:bookmarkStart w:id="28" w:name="_Ref404370956"/>
      <w:bookmarkStart w:id="29" w:name="_Ref394419656"/>
      <w:bookmarkStart w:id="30" w:name="_Toc399251123"/>
      <w:r w:rsidRPr="003A7EA2">
        <w:rPr>
          <w:rFonts w:ascii="Arial Narrow" w:hAnsi="Arial Narrow"/>
          <w:b/>
          <w:sz w:val="20"/>
        </w:rPr>
        <w:t xml:space="preserve">Table </w:t>
      </w:r>
      <w:r w:rsidR="00C736E0" w:rsidRPr="003A7EA2">
        <w:rPr>
          <w:rFonts w:ascii="Arial Narrow" w:hAnsi="Arial Narrow"/>
          <w:b/>
          <w:sz w:val="20"/>
        </w:rPr>
        <w:fldChar w:fldCharType="begin"/>
      </w:r>
      <w:r w:rsidR="00C736E0" w:rsidRPr="003A7EA2">
        <w:rPr>
          <w:rFonts w:ascii="Arial Narrow" w:hAnsi="Arial Narrow"/>
          <w:b/>
          <w:sz w:val="20"/>
        </w:rPr>
        <w:instrText xml:space="preserve"> SEQ Table \* ARABIC </w:instrText>
      </w:r>
      <w:r w:rsidR="00C736E0" w:rsidRPr="003A7EA2">
        <w:rPr>
          <w:rFonts w:ascii="Arial Narrow" w:hAnsi="Arial Narrow"/>
          <w:b/>
          <w:sz w:val="20"/>
        </w:rPr>
        <w:fldChar w:fldCharType="separate"/>
      </w:r>
      <w:r w:rsidRPr="003A7EA2">
        <w:rPr>
          <w:rFonts w:ascii="Arial Narrow" w:hAnsi="Arial Narrow"/>
          <w:b/>
          <w:sz w:val="20"/>
        </w:rPr>
        <w:t>8</w:t>
      </w:r>
      <w:r w:rsidR="00C736E0" w:rsidRPr="003A7EA2">
        <w:rPr>
          <w:rFonts w:ascii="Arial Narrow" w:hAnsi="Arial Narrow"/>
          <w:b/>
          <w:sz w:val="20"/>
        </w:rPr>
        <w:fldChar w:fldCharType="end"/>
      </w:r>
      <w:bookmarkEnd w:id="28"/>
      <w:r w:rsidR="00071451" w:rsidRPr="003A7EA2">
        <w:rPr>
          <w:rFonts w:ascii="Arial Narrow" w:hAnsi="Arial Narrow"/>
          <w:b/>
          <w:sz w:val="20"/>
        </w:rPr>
        <w:tab/>
      </w:r>
      <w:r w:rsidRPr="003A7EA2">
        <w:rPr>
          <w:rFonts w:ascii="Arial Narrow" w:hAnsi="Arial Narrow"/>
          <w:b/>
          <w:sz w:val="20"/>
        </w:rPr>
        <w:t>Summary of the economic evaluation</w:t>
      </w:r>
      <w:bookmarkEnd w:id="29"/>
      <w:bookmarkEnd w:id="30"/>
      <w:r w:rsidRPr="003A7EA2">
        <w:rPr>
          <w:rFonts w:ascii="Arial Narrow" w:hAnsi="Arial Narrow"/>
          <w:b/>
          <w:sz w:val="20"/>
        </w:rPr>
        <w:t xml:space="preserve"> </w:t>
      </w:r>
    </w:p>
    <w:tbl>
      <w:tblPr>
        <w:tblStyle w:val="TableGrid1"/>
        <w:tblW w:w="0" w:type="auto"/>
        <w:tblLook w:val="01E0" w:firstRow="1" w:lastRow="1" w:firstColumn="1" w:lastColumn="1" w:noHBand="0" w:noVBand="0"/>
        <w:tblCaption w:val="Table 12 Summary of the economic evaluation"/>
        <w:tblDescription w:val="This table describes the key constructs of the economic evaluation that is provided in the assessment report."/>
      </w:tblPr>
      <w:tblGrid>
        <w:gridCol w:w="3190"/>
        <w:gridCol w:w="5826"/>
      </w:tblGrid>
      <w:tr w:rsidR="00C856E8" w:rsidRPr="00183E4D" w14:paraId="47C7ED53" w14:textId="77777777" w:rsidTr="003A7EA2">
        <w:trPr>
          <w:cnfStyle w:val="100000000000" w:firstRow="1" w:lastRow="0" w:firstColumn="0" w:lastColumn="0" w:oddVBand="0" w:evenVBand="0" w:oddHBand="0" w:evenHBand="0" w:firstRowFirstColumn="0" w:firstRowLastColumn="0" w:lastRowFirstColumn="0" w:lastRowLastColumn="0"/>
          <w:trHeight w:val="20"/>
          <w:tblHeader/>
        </w:trPr>
        <w:tc>
          <w:tcPr>
            <w:tcW w:w="3192" w:type="dxa"/>
          </w:tcPr>
          <w:p w14:paraId="5311B295" w14:textId="77777777" w:rsidR="00C856E8" w:rsidRPr="00157E9E" w:rsidRDefault="00C856E8" w:rsidP="00C856E8">
            <w:pPr>
              <w:pStyle w:val="Tabletext"/>
              <w:keepNext/>
              <w:rPr>
                <w:b/>
              </w:rPr>
            </w:pPr>
            <w:r w:rsidRPr="00157E9E">
              <w:rPr>
                <w:b/>
              </w:rPr>
              <w:t>Perspective</w:t>
            </w:r>
          </w:p>
        </w:tc>
        <w:tc>
          <w:tcPr>
            <w:tcW w:w="5829" w:type="dxa"/>
          </w:tcPr>
          <w:p w14:paraId="68FCDD6F" w14:textId="77777777" w:rsidR="00C856E8" w:rsidRPr="00183E4D" w:rsidRDefault="00C856E8" w:rsidP="00C856E8">
            <w:pPr>
              <w:pStyle w:val="Tabletext"/>
              <w:keepNext/>
            </w:pPr>
            <w:r>
              <w:t>Australian healthcare</w:t>
            </w:r>
          </w:p>
        </w:tc>
      </w:tr>
      <w:tr w:rsidR="00C856E8" w:rsidRPr="00183E4D" w14:paraId="3082D21B" w14:textId="77777777" w:rsidTr="003A7EA2">
        <w:trPr>
          <w:trHeight w:val="20"/>
        </w:trPr>
        <w:tc>
          <w:tcPr>
            <w:tcW w:w="3192" w:type="dxa"/>
          </w:tcPr>
          <w:p w14:paraId="5BE8689C" w14:textId="77777777" w:rsidR="00C856E8" w:rsidRPr="00157E9E" w:rsidRDefault="00C856E8" w:rsidP="00C856E8">
            <w:pPr>
              <w:pStyle w:val="Tabletext"/>
              <w:keepNext/>
              <w:rPr>
                <w:b/>
              </w:rPr>
            </w:pPr>
            <w:r w:rsidRPr="00157E9E">
              <w:rPr>
                <w:b/>
              </w:rPr>
              <w:t>Comparator</w:t>
            </w:r>
          </w:p>
        </w:tc>
        <w:tc>
          <w:tcPr>
            <w:tcW w:w="5829" w:type="dxa"/>
          </w:tcPr>
          <w:p w14:paraId="7E02123E" w14:textId="77777777" w:rsidR="00C856E8" w:rsidRPr="00183E4D" w:rsidRDefault="00C856E8" w:rsidP="00C856E8">
            <w:pPr>
              <w:pStyle w:val="Tabletext"/>
              <w:keepNext/>
            </w:pPr>
            <w:r>
              <w:t>AS</w:t>
            </w:r>
          </w:p>
        </w:tc>
      </w:tr>
      <w:tr w:rsidR="00C856E8" w:rsidRPr="00183E4D" w14:paraId="18CBBC24" w14:textId="77777777" w:rsidTr="003A7EA2">
        <w:trPr>
          <w:trHeight w:val="20"/>
        </w:trPr>
        <w:tc>
          <w:tcPr>
            <w:tcW w:w="3192" w:type="dxa"/>
          </w:tcPr>
          <w:p w14:paraId="25C319C5" w14:textId="77777777" w:rsidR="00C856E8" w:rsidRPr="00157E9E" w:rsidRDefault="00C856E8" w:rsidP="00C856E8">
            <w:pPr>
              <w:pStyle w:val="Tabletext"/>
              <w:keepNext/>
              <w:rPr>
                <w:b/>
              </w:rPr>
            </w:pPr>
            <w:r w:rsidRPr="00157E9E">
              <w:rPr>
                <w:b/>
              </w:rPr>
              <w:t>Type of economic evaluation</w:t>
            </w:r>
          </w:p>
        </w:tc>
        <w:tc>
          <w:tcPr>
            <w:tcW w:w="5829" w:type="dxa"/>
          </w:tcPr>
          <w:p w14:paraId="48C06ABD" w14:textId="77777777" w:rsidR="00C856E8" w:rsidRPr="0035691E" w:rsidRDefault="00C856E8" w:rsidP="00C856E8">
            <w:pPr>
              <w:pStyle w:val="Tabletext"/>
              <w:keepNext/>
              <w:rPr>
                <w:vanish/>
                <w:color w:val="C00000"/>
              </w:rPr>
            </w:pPr>
            <w:r>
              <w:t>C</w:t>
            </w:r>
            <w:r w:rsidRPr="00183E4D">
              <w:t>ost-utility</w:t>
            </w:r>
          </w:p>
        </w:tc>
      </w:tr>
      <w:tr w:rsidR="00C856E8" w:rsidRPr="00183E4D" w14:paraId="79C61279" w14:textId="77777777" w:rsidTr="003A7EA2">
        <w:trPr>
          <w:trHeight w:val="20"/>
        </w:trPr>
        <w:tc>
          <w:tcPr>
            <w:tcW w:w="3192" w:type="dxa"/>
          </w:tcPr>
          <w:p w14:paraId="5AFD5EA2" w14:textId="77777777" w:rsidR="00C856E8" w:rsidRPr="00157E9E" w:rsidRDefault="00C856E8" w:rsidP="00C856E8">
            <w:pPr>
              <w:pStyle w:val="Tabletext"/>
              <w:keepNext/>
              <w:rPr>
                <w:b/>
              </w:rPr>
            </w:pPr>
            <w:r w:rsidRPr="00157E9E">
              <w:rPr>
                <w:b/>
              </w:rPr>
              <w:t>Sources of evidence</w:t>
            </w:r>
          </w:p>
        </w:tc>
        <w:tc>
          <w:tcPr>
            <w:tcW w:w="5829" w:type="dxa"/>
          </w:tcPr>
          <w:p w14:paraId="45245779" w14:textId="77777777" w:rsidR="00C856E8" w:rsidRDefault="00C856E8" w:rsidP="00C856E8">
            <w:pPr>
              <w:pStyle w:val="Tabletext"/>
              <w:keepNext/>
            </w:pPr>
            <w:r w:rsidRPr="00183E4D">
              <w:t>Systematic review</w:t>
            </w:r>
            <w:r>
              <w:t xml:space="preserve"> and ABS for safety and effectiveness</w:t>
            </w:r>
          </w:p>
          <w:p w14:paraId="1E3CA902" w14:textId="77777777" w:rsidR="00C856E8" w:rsidRDefault="00C856E8" w:rsidP="00C856E8">
            <w:pPr>
              <w:pStyle w:val="Tabletext"/>
              <w:keepNext/>
            </w:pPr>
            <w:r>
              <w:t>MBS, PBS, NHCDC public cost weights, Reeve (2018) for costs</w:t>
            </w:r>
          </w:p>
          <w:p w14:paraId="182C625C" w14:textId="77777777" w:rsidR="00C856E8" w:rsidRPr="0035691E" w:rsidRDefault="00C856E8" w:rsidP="00C856E8">
            <w:pPr>
              <w:pStyle w:val="Tabletext"/>
              <w:keepNext/>
              <w:rPr>
                <w:vanish/>
                <w:color w:val="C00000"/>
              </w:rPr>
            </w:pPr>
            <w:r>
              <w:t>Maxwell (2016) for utilities</w:t>
            </w:r>
          </w:p>
        </w:tc>
      </w:tr>
      <w:tr w:rsidR="00C856E8" w:rsidRPr="00183E4D" w14:paraId="5DEDC200" w14:textId="77777777" w:rsidTr="003A7EA2">
        <w:trPr>
          <w:trHeight w:val="20"/>
        </w:trPr>
        <w:tc>
          <w:tcPr>
            <w:tcW w:w="3192" w:type="dxa"/>
            <w:hideMark/>
          </w:tcPr>
          <w:p w14:paraId="3EBFAEDB" w14:textId="77777777" w:rsidR="00C856E8" w:rsidRPr="00157E9E" w:rsidRDefault="00C856E8" w:rsidP="00C856E8">
            <w:pPr>
              <w:pStyle w:val="Tabletext"/>
              <w:keepNext/>
              <w:rPr>
                <w:b/>
              </w:rPr>
            </w:pPr>
            <w:r w:rsidRPr="00157E9E">
              <w:rPr>
                <w:b/>
              </w:rPr>
              <w:t>Time horizon</w:t>
            </w:r>
          </w:p>
        </w:tc>
        <w:tc>
          <w:tcPr>
            <w:tcW w:w="5829" w:type="dxa"/>
            <w:hideMark/>
          </w:tcPr>
          <w:p w14:paraId="5AA3EDFC" w14:textId="77777777" w:rsidR="00C856E8" w:rsidRPr="0035691E" w:rsidRDefault="00C856E8" w:rsidP="00C856E8">
            <w:pPr>
              <w:pStyle w:val="Tabletext"/>
              <w:keepNext/>
              <w:rPr>
                <w:vanish/>
                <w:color w:val="C00000"/>
              </w:rPr>
            </w:pPr>
            <w:r>
              <w:t xml:space="preserve">10 </w:t>
            </w:r>
            <w:r w:rsidRPr="00183E4D">
              <w:t>years in the model base case</w:t>
            </w:r>
          </w:p>
        </w:tc>
      </w:tr>
      <w:tr w:rsidR="00C856E8" w:rsidRPr="00183E4D" w14:paraId="591CB2F6" w14:textId="77777777" w:rsidTr="003A7EA2">
        <w:trPr>
          <w:trHeight w:val="20"/>
        </w:trPr>
        <w:tc>
          <w:tcPr>
            <w:tcW w:w="3192" w:type="dxa"/>
            <w:hideMark/>
          </w:tcPr>
          <w:p w14:paraId="05385198" w14:textId="77777777" w:rsidR="00C856E8" w:rsidRPr="00157E9E" w:rsidRDefault="00C856E8" w:rsidP="00C856E8">
            <w:pPr>
              <w:pStyle w:val="Tabletext"/>
              <w:keepNext/>
              <w:rPr>
                <w:b/>
              </w:rPr>
            </w:pPr>
            <w:r w:rsidRPr="00157E9E">
              <w:rPr>
                <w:b/>
              </w:rPr>
              <w:t>Outcomes</w:t>
            </w:r>
          </w:p>
        </w:tc>
        <w:tc>
          <w:tcPr>
            <w:tcW w:w="5829" w:type="dxa"/>
          </w:tcPr>
          <w:p w14:paraId="5C9EF4A8" w14:textId="77777777" w:rsidR="00C856E8" w:rsidRPr="0035691E" w:rsidRDefault="00C856E8" w:rsidP="00C856E8">
            <w:pPr>
              <w:pStyle w:val="Tabletext"/>
              <w:keepNext/>
              <w:rPr>
                <w:vanish/>
                <w:color w:val="C00000"/>
              </w:rPr>
            </w:pPr>
            <w:r>
              <w:t xml:space="preserve">Costs, Life Years, </w:t>
            </w:r>
            <w:r w:rsidRPr="00183E4D">
              <w:t>and QALYs</w:t>
            </w:r>
          </w:p>
        </w:tc>
      </w:tr>
      <w:tr w:rsidR="00C856E8" w:rsidRPr="00183E4D" w14:paraId="27399FDB" w14:textId="77777777" w:rsidTr="003A7EA2">
        <w:trPr>
          <w:trHeight w:val="20"/>
        </w:trPr>
        <w:tc>
          <w:tcPr>
            <w:tcW w:w="3192" w:type="dxa"/>
            <w:hideMark/>
          </w:tcPr>
          <w:p w14:paraId="3D0A70B8" w14:textId="77777777" w:rsidR="00C856E8" w:rsidRPr="00157E9E" w:rsidRDefault="00C856E8" w:rsidP="00C856E8">
            <w:pPr>
              <w:pStyle w:val="Tabletext"/>
              <w:keepNext/>
              <w:rPr>
                <w:b/>
              </w:rPr>
            </w:pPr>
            <w:r w:rsidRPr="00157E9E">
              <w:rPr>
                <w:b/>
              </w:rPr>
              <w:t>Methods used to generate results</w:t>
            </w:r>
          </w:p>
        </w:tc>
        <w:tc>
          <w:tcPr>
            <w:tcW w:w="5829" w:type="dxa"/>
          </w:tcPr>
          <w:p w14:paraId="54930528" w14:textId="77777777" w:rsidR="00C856E8" w:rsidRPr="0035691E" w:rsidRDefault="00C856E8" w:rsidP="00C856E8">
            <w:pPr>
              <w:pStyle w:val="Tabletext"/>
              <w:keepNext/>
              <w:rPr>
                <w:vanish/>
                <w:color w:val="C00000"/>
              </w:rPr>
            </w:pPr>
            <w:r>
              <w:t>C</w:t>
            </w:r>
            <w:r w:rsidRPr="00183E4D">
              <w:t>ohort expected value analysis</w:t>
            </w:r>
          </w:p>
        </w:tc>
      </w:tr>
      <w:tr w:rsidR="00C856E8" w:rsidRPr="00183E4D" w14:paraId="1110F8B5" w14:textId="77777777" w:rsidTr="003A7EA2">
        <w:trPr>
          <w:trHeight w:val="20"/>
        </w:trPr>
        <w:tc>
          <w:tcPr>
            <w:tcW w:w="3192" w:type="dxa"/>
          </w:tcPr>
          <w:p w14:paraId="68B6639B" w14:textId="77777777" w:rsidR="00C856E8" w:rsidRPr="00157E9E" w:rsidRDefault="00C856E8" w:rsidP="00C856E8">
            <w:pPr>
              <w:pStyle w:val="Tabletext"/>
              <w:keepNext/>
              <w:rPr>
                <w:b/>
              </w:rPr>
            </w:pPr>
            <w:r w:rsidRPr="00157E9E">
              <w:rPr>
                <w:b/>
              </w:rPr>
              <w:t>Health states</w:t>
            </w:r>
          </w:p>
        </w:tc>
        <w:tc>
          <w:tcPr>
            <w:tcW w:w="5829" w:type="dxa"/>
          </w:tcPr>
          <w:p w14:paraId="3818235A" w14:textId="77777777" w:rsidR="00C856E8" w:rsidRPr="0035691E" w:rsidRDefault="00C856E8" w:rsidP="00C856E8">
            <w:pPr>
              <w:pStyle w:val="Tabletext"/>
              <w:keepNext/>
              <w:rPr>
                <w:vanish/>
                <w:color w:val="C00000"/>
              </w:rPr>
            </w:pPr>
            <w:r>
              <w:t>Alive, dead</w:t>
            </w:r>
          </w:p>
        </w:tc>
      </w:tr>
      <w:tr w:rsidR="00C856E8" w:rsidRPr="00183E4D" w14:paraId="7D216EE7" w14:textId="77777777" w:rsidTr="003A7EA2">
        <w:trPr>
          <w:trHeight w:val="20"/>
        </w:trPr>
        <w:tc>
          <w:tcPr>
            <w:tcW w:w="3192" w:type="dxa"/>
            <w:hideMark/>
          </w:tcPr>
          <w:p w14:paraId="5321F665" w14:textId="77777777" w:rsidR="00C856E8" w:rsidRPr="00157E9E" w:rsidRDefault="00C856E8" w:rsidP="00C856E8">
            <w:pPr>
              <w:pStyle w:val="Tabletext"/>
              <w:keepNext/>
              <w:rPr>
                <w:b/>
              </w:rPr>
            </w:pPr>
            <w:r w:rsidRPr="00157E9E">
              <w:rPr>
                <w:b/>
              </w:rPr>
              <w:t>Cycle length</w:t>
            </w:r>
          </w:p>
        </w:tc>
        <w:tc>
          <w:tcPr>
            <w:tcW w:w="5829" w:type="dxa"/>
          </w:tcPr>
          <w:p w14:paraId="58F654D6" w14:textId="77777777" w:rsidR="00C856E8" w:rsidRPr="0035691E" w:rsidRDefault="00C856E8" w:rsidP="00C856E8">
            <w:pPr>
              <w:pStyle w:val="Tabletext"/>
              <w:keepNext/>
              <w:rPr>
                <w:vanish/>
                <w:color w:val="C00000"/>
              </w:rPr>
            </w:pPr>
            <w:r>
              <w:t>6 months</w:t>
            </w:r>
          </w:p>
        </w:tc>
      </w:tr>
      <w:tr w:rsidR="00C856E8" w:rsidRPr="00183E4D" w14:paraId="3D23DF8E" w14:textId="77777777" w:rsidTr="003A7EA2">
        <w:trPr>
          <w:trHeight w:val="20"/>
        </w:trPr>
        <w:tc>
          <w:tcPr>
            <w:tcW w:w="3192" w:type="dxa"/>
            <w:hideMark/>
          </w:tcPr>
          <w:p w14:paraId="06A899F8" w14:textId="77777777" w:rsidR="00C856E8" w:rsidRPr="00157E9E" w:rsidRDefault="00C856E8" w:rsidP="00C856E8">
            <w:pPr>
              <w:pStyle w:val="Tabletext"/>
              <w:keepNext/>
              <w:rPr>
                <w:b/>
              </w:rPr>
            </w:pPr>
            <w:r w:rsidRPr="00157E9E">
              <w:rPr>
                <w:b/>
              </w:rPr>
              <w:t>Discount rate</w:t>
            </w:r>
          </w:p>
        </w:tc>
        <w:tc>
          <w:tcPr>
            <w:tcW w:w="5829" w:type="dxa"/>
          </w:tcPr>
          <w:p w14:paraId="0D2770ED" w14:textId="77777777" w:rsidR="00C856E8" w:rsidRPr="00183E4D" w:rsidRDefault="00C856E8" w:rsidP="00C856E8">
            <w:pPr>
              <w:pStyle w:val="Tabletext"/>
              <w:keepNext/>
            </w:pPr>
            <w:r>
              <w:t>5% p.a. on costs and outcomes</w:t>
            </w:r>
          </w:p>
        </w:tc>
      </w:tr>
      <w:tr w:rsidR="00C856E8" w:rsidRPr="00183E4D" w14:paraId="760F13C6" w14:textId="77777777" w:rsidTr="003A7EA2">
        <w:trPr>
          <w:trHeight w:val="20"/>
        </w:trPr>
        <w:tc>
          <w:tcPr>
            <w:tcW w:w="3192" w:type="dxa"/>
            <w:hideMark/>
          </w:tcPr>
          <w:p w14:paraId="244431EA" w14:textId="77777777" w:rsidR="00C856E8" w:rsidRPr="00157E9E" w:rsidRDefault="00C856E8" w:rsidP="00C856E8">
            <w:pPr>
              <w:pStyle w:val="Tabletext"/>
              <w:keepNext/>
              <w:rPr>
                <w:b/>
              </w:rPr>
            </w:pPr>
            <w:r w:rsidRPr="00157E9E">
              <w:rPr>
                <w:b/>
              </w:rPr>
              <w:t>Software packages used</w:t>
            </w:r>
          </w:p>
        </w:tc>
        <w:tc>
          <w:tcPr>
            <w:tcW w:w="5829" w:type="dxa"/>
          </w:tcPr>
          <w:p w14:paraId="673BA3FD" w14:textId="77777777" w:rsidR="00C856E8" w:rsidRPr="00183E4D" w:rsidRDefault="00C856E8" w:rsidP="00C856E8">
            <w:pPr>
              <w:pStyle w:val="Tabletext"/>
              <w:keepNext/>
            </w:pPr>
            <w:r>
              <w:t>Microsoft Excel</w:t>
            </w:r>
          </w:p>
        </w:tc>
      </w:tr>
    </w:tbl>
    <w:p w14:paraId="3B767E3A" w14:textId="0214B0D4" w:rsidR="00C856E8" w:rsidRPr="00EC2E9E" w:rsidRDefault="00C856E8" w:rsidP="00C856E8">
      <w:pPr>
        <w:pStyle w:val="Tablenotes"/>
      </w:pPr>
      <w:r w:rsidRPr="00DF51F4">
        <w:rPr>
          <w:rStyle w:val="Emphasis"/>
          <w:i w:val="0"/>
        </w:rPr>
        <w:t xml:space="preserve">Source: Table 8, p22 of the </w:t>
      </w:r>
      <w:r w:rsidR="009842FE" w:rsidRPr="00DF51F4">
        <w:rPr>
          <w:rStyle w:val="Emphasis"/>
          <w:i w:val="0"/>
        </w:rPr>
        <w:t>Commentary</w:t>
      </w:r>
      <w:r w:rsidRPr="00EC2E9E">
        <w:rPr>
          <w:rStyle w:val="Emphasis"/>
        </w:rPr>
        <w:br/>
      </w:r>
      <w:r w:rsidR="00DF51F4">
        <w:t>Abbreviations</w:t>
      </w:r>
      <w:r>
        <w:t xml:space="preserve">: </w:t>
      </w:r>
      <w:r w:rsidRPr="00EC2E9E">
        <w:t>ABS = Australian Bureau of Statistics, AS = active surveillance, MBS = Medicare benefits schedule, NHCDC = National hospital cost data collection, PBS = pharmaceutical benefits scheme, QALY = quality adjusted life year</w:t>
      </w:r>
    </w:p>
    <w:p w14:paraId="4BD5551B" w14:textId="66A66BC6" w:rsidR="00C856E8" w:rsidRDefault="00C856E8" w:rsidP="00C856E8">
      <w:r>
        <w:t xml:space="preserve">The </w:t>
      </w:r>
      <w:r w:rsidR="009842FE">
        <w:t>Commentary</w:t>
      </w:r>
      <w:r>
        <w:t xml:space="preserve"> noted the following limitations with the economic model:</w:t>
      </w:r>
    </w:p>
    <w:p w14:paraId="522EC513" w14:textId="77777777" w:rsidR="00C856E8" w:rsidRDefault="00C856E8" w:rsidP="00C856E8">
      <w:pPr>
        <w:pStyle w:val="ListParagraph"/>
        <w:numPr>
          <w:ilvl w:val="0"/>
          <w:numId w:val="59"/>
        </w:numPr>
      </w:pPr>
      <w:r w:rsidRPr="00EC2E9E">
        <w:t xml:space="preserve">CA </w:t>
      </w:r>
      <w:proofErr w:type="gramStart"/>
      <w:r>
        <w:t>was nominated</w:t>
      </w:r>
      <w:proofErr w:type="gramEnd"/>
      <w:r>
        <w:t xml:space="preserve"> as </w:t>
      </w:r>
      <w:r w:rsidRPr="00EC2E9E">
        <w:t xml:space="preserve">the delayed </w:t>
      </w:r>
      <w:r>
        <w:t>therapy for the comparator arm, but this was incorrect s</w:t>
      </w:r>
      <w:r w:rsidRPr="00EC2E9E">
        <w:t>ince the decision problem is whether CA is cost-effective compared with current management (AS/DT) and CA is not currently listed on the MBS.</w:t>
      </w:r>
    </w:p>
    <w:p w14:paraId="674B42B1" w14:textId="77777777" w:rsidR="00C856E8" w:rsidRPr="00975A83" w:rsidRDefault="00C856E8" w:rsidP="00C856E8">
      <w:pPr>
        <w:pStyle w:val="ListParagraph"/>
        <w:numPr>
          <w:ilvl w:val="0"/>
          <w:numId w:val="59"/>
        </w:numPr>
        <w:spacing w:after="240"/>
        <w:rPr>
          <w:i/>
        </w:rPr>
      </w:pPr>
      <w:r>
        <w:t>T</w:t>
      </w:r>
      <w:r w:rsidRPr="00EC2E9E">
        <w:t>he types of costs included in the model</w:t>
      </w:r>
      <w:r>
        <w:t xml:space="preserve"> were considered </w:t>
      </w:r>
      <w:proofErr w:type="gramStart"/>
      <w:r>
        <w:t>t</w:t>
      </w:r>
      <w:r w:rsidRPr="00EC2E9E">
        <w:t>o be appropriate</w:t>
      </w:r>
      <w:proofErr w:type="gramEnd"/>
      <w:r w:rsidRPr="00EC2E9E">
        <w:t>, but a detailed breakdown of CA equipment costs for laparoscopic, percutaneous, and open CA should have been provided.</w:t>
      </w:r>
    </w:p>
    <w:p w14:paraId="3CA76FC3" w14:textId="179A6872" w:rsidR="00E72A12" w:rsidRPr="00800956" w:rsidRDefault="00C856E8" w:rsidP="00800956">
      <w:pPr>
        <w:spacing w:after="240"/>
      </w:pPr>
      <w:r w:rsidRPr="00EC2E9E">
        <w:t>The overall estimated costs and QALYs for the intervention and comparator in the model, using the base case assumptions</w:t>
      </w:r>
      <w:r>
        <w:t xml:space="preserve"> and including the </w:t>
      </w:r>
      <w:r w:rsidR="009842FE">
        <w:t>Commentary</w:t>
      </w:r>
      <w:r>
        <w:t xml:space="preserve"> respecified </w:t>
      </w:r>
      <w:r w:rsidRPr="00EC2E9E">
        <w:t xml:space="preserve">base case </w:t>
      </w:r>
      <w:r>
        <w:t>(</w:t>
      </w:r>
      <w:r>
        <w:rPr>
          <w:i/>
        </w:rPr>
        <w:t xml:space="preserve">italics) </w:t>
      </w:r>
      <w:r w:rsidRPr="00EC2E9E">
        <w:t xml:space="preserve">to include the costs associated with RN as the delayed therapy intervention, are shown in </w:t>
      </w:r>
      <w:r w:rsidRPr="00EC2E9E">
        <w:fldChar w:fldCharType="begin"/>
      </w:r>
      <w:r w:rsidRPr="00EC2E9E">
        <w:instrText xml:space="preserve"> REF _Ref51091661 \h  \* MERGEFORMAT </w:instrText>
      </w:r>
      <w:r w:rsidRPr="00EC2E9E">
        <w:fldChar w:fldCharType="separate"/>
      </w:r>
      <w:r w:rsidRPr="0035691E">
        <w:t xml:space="preserve">Table </w:t>
      </w:r>
      <w:r>
        <w:rPr>
          <w:noProof/>
        </w:rPr>
        <w:t>9</w:t>
      </w:r>
      <w:r w:rsidRPr="00EC2E9E">
        <w:fldChar w:fldCharType="end"/>
      </w:r>
      <w:r w:rsidRPr="00EC2E9E">
        <w:t xml:space="preserve">. </w:t>
      </w:r>
      <w:bookmarkStart w:id="31" w:name="_Ref51091661"/>
      <w:bookmarkStart w:id="32" w:name="_Toc399251124"/>
      <w:r w:rsidR="00E72A12">
        <w:br w:type="page"/>
      </w:r>
    </w:p>
    <w:p w14:paraId="06FC47A7" w14:textId="45F755E8" w:rsidR="00C856E8" w:rsidRPr="003A7EA2" w:rsidRDefault="00C856E8" w:rsidP="003A7EA2">
      <w:pPr>
        <w:rPr>
          <w:rFonts w:ascii="Arial Narrow" w:hAnsi="Arial Narrow"/>
          <w:b/>
          <w:sz w:val="20"/>
        </w:rPr>
      </w:pPr>
      <w:r w:rsidRPr="003A7EA2">
        <w:rPr>
          <w:rFonts w:ascii="Arial Narrow" w:hAnsi="Arial Narrow"/>
          <w:b/>
          <w:sz w:val="20"/>
        </w:rPr>
        <w:t xml:space="preserve">Table </w:t>
      </w:r>
      <w:r w:rsidR="00C736E0" w:rsidRPr="003A7EA2">
        <w:rPr>
          <w:rFonts w:ascii="Arial Narrow" w:hAnsi="Arial Narrow"/>
          <w:b/>
          <w:sz w:val="20"/>
        </w:rPr>
        <w:fldChar w:fldCharType="begin"/>
      </w:r>
      <w:r w:rsidR="00C736E0" w:rsidRPr="003A7EA2">
        <w:rPr>
          <w:rFonts w:ascii="Arial Narrow" w:hAnsi="Arial Narrow"/>
          <w:b/>
          <w:sz w:val="20"/>
        </w:rPr>
        <w:instrText xml:space="preserve"> SEQ Table \* ARABIC </w:instrText>
      </w:r>
      <w:r w:rsidR="00C736E0" w:rsidRPr="003A7EA2">
        <w:rPr>
          <w:rFonts w:ascii="Arial Narrow" w:hAnsi="Arial Narrow"/>
          <w:b/>
          <w:sz w:val="20"/>
        </w:rPr>
        <w:fldChar w:fldCharType="separate"/>
      </w:r>
      <w:proofErr w:type="gramStart"/>
      <w:r w:rsidRPr="003A7EA2">
        <w:rPr>
          <w:rFonts w:ascii="Arial Narrow" w:hAnsi="Arial Narrow"/>
          <w:b/>
          <w:sz w:val="20"/>
        </w:rPr>
        <w:t>9</w:t>
      </w:r>
      <w:proofErr w:type="gramEnd"/>
      <w:r w:rsidR="00C736E0" w:rsidRPr="003A7EA2">
        <w:rPr>
          <w:rFonts w:ascii="Arial Narrow" w:hAnsi="Arial Narrow"/>
          <w:b/>
          <w:sz w:val="20"/>
        </w:rPr>
        <w:fldChar w:fldCharType="end"/>
      </w:r>
      <w:bookmarkEnd w:id="31"/>
      <w:r w:rsidRPr="003A7EA2">
        <w:rPr>
          <w:rFonts w:ascii="Arial Narrow" w:hAnsi="Arial Narrow"/>
          <w:b/>
          <w:sz w:val="20"/>
        </w:rPr>
        <w:tab/>
      </w:r>
      <w:bookmarkEnd w:id="32"/>
      <w:r w:rsidRPr="003A7EA2">
        <w:rPr>
          <w:rFonts w:ascii="Arial Narrow" w:hAnsi="Arial Narrow"/>
          <w:b/>
          <w:sz w:val="20"/>
        </w:rPr>
        <w:t>Base case results of the economic evaluation</w:t>
      </w:r>
    </w:p>
    <w:tbl>
      <w:tblPr>
        <w:tblStyle w:val="TableGrid2"/>
        <w:tblW w:w="9072" w:type="dxa"/>
        <w:tblInd w:w="108" w:type="dxa"/>
        <w:tblLayout w:type="fixed"/>
        <w:tblLook w:val="04A0" w:firstRow="1" w:lastRow="0" w:firstColumn="1" w:lastColumn="0" w:noHBand="0" w:noVBand="1"/>
        <w:tblCaption w:val="Table 13"/>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evaluation."/>
      </w:tblPr>
      <w:tblGrid>
        <w:gridCol w:w="1447"/>
        <w:gridCol w:w="1275"/>
        <w:gridCol w:w="1560"/>
        <w:gridCol w:w="1417"/>
        <w:gridCol w:w="1559"/>
        <w:gridCol w:w="1814"/>
      </w:tblGrid>
      <w:tr w:rsidR="00C856E8" w:rsidRPr="0035691E" w14:paraId="0924E560" w14:textId="77777777" w:rsidTr="00C856E8">
        <w:trPr>
          <w:cnfStyle w:val="100000000000" w:firstRow="1" w:lastRow="0" w:firstColumn="0" w:lastColumn="0" w:oddVBand="0" w:evenVBand="0" w:oddHBand="0" w:evenHBand="0" w:firstRowFirstColumn="0" w:firstRowLastColumn="0" w:lastRowFirstColumn="0" w:lastRowLastColumn="0"/>
          <w:tblHeader/>
        </w:trPr>
        <w:tc>
          <w:tcPr>
            <w:tcW w:w="1447" w:type="dxa"/>
            <w:tcBorders>
              <w:bottom w:val="single" w:sz="4" w:space="0" w:color="auto"/>
            </w:tcBorders>
          </w:tcPr>
          <w:p w14:paraId="17558B37" w14:textId="77777777" w:rsidR="00C856E8" w:rsidRPr="0035691E" w:rsidRDefault="00C856E8" w:rsidP="00C856E8">
            <w:pPr>
              <w:pStyle w:val="Tabletextboldleft"/>
            </w:pPr>
          </w:p>
        </w:tc>
        <w:tc>
          <w:tcPr>
            <w:tcW w:w="1275" w:type="dxa"/>
            <w:tcBorders>
              <w:bottom w:val="single" w:sz="4" w:space="0" w:color="auto"/>
            </w:tcBorders>
          </w:tcPr>
          <w:p w14:paraId="47CA83A3" w14:textId="77777777" w:rsidR="00C856E8" w:rsidRPr="0035691E" w:rsidRDefault="00C856E8" w:rsidP="00C856E8">
            <w:pPr>
              <w:pStyle w:val="Tabletextboldleft"/>
            </w:pPr>
            <w:r w:rsidRPr="0035691E">
              <w:t>Cost</w:t>
            </w:r>
          </w:p>
        </w:tc>
        <w:tc>
          <w:tcPr>
            <w:tcW w:w="1560" w:type="dxa"/>
            <w:tcBorders>
              <w:bottom w:val="single" w:sz="4" w:space="0" w:color="auto"/>
            </w:tcBorders>
          </w:tcPr>
          <w:p w14:paraId="3F28E912" w14:textId="77777777" w:rsidR="00C856E8" w:rsidRPr="0035691E" w:rsidRDefault="00C856E8" w:rsidP="00C856E8">
            <w:pPr>
              <w:pStyle w:val="Tabletextboldleft"/>
            </w:pPr>
            <w:r w:rsidRPr="0035691E">
              <w:t>Incremental cost</w:t>
            </w:r>
          </w:p>
        </w:tc>
        <w:tc>
          <w:tcPr>
            <w:tcW w:w="1417" w:type="dxa"/>
            <w:tcBorders>
              <w:bottom w:val="single" w:sz="4" w:space="0" w:color="auto"/>
            </w:tcBorders>
          </w:tcPr>
          <w:p w14:paraId="1F821DC0" w14:textId="77777777" w:rsidR="00C856E8" w:rsidRPr="0035691E" w:rsidRDefault="00C856E8" w:rsidP="00C856E8">
            <w:pPr>
              <w:pStyle w:val="Tabletextboldleft"/>
            </w:pPr>
            <w:r w:rsidRPr="0035691E">
              <w:t>Effectiveness (QALYs)</w:t>
            </w:r>
          </w:p>
        </w:tc>
        <w:tc>
          <w:tcPr>
            <w:tcW w:w="1559" w:type="dxa"/>
            <w:tcBorders>
              <w:bottom w:val="single" w:sz="4" w:space="0" w:color="auto"/>
            </w:tcBorders>
          </w:tcPr>
          <w:p w14:paraId="5DBC09CB" w14:textId="77777777" w:rsidR="00C856E8" w:rsidRPr="0035691E" w:rsidRDefault="00C856E8" w:rsidP="00C856E8">
            <w:pPr>
              <w:pStyle w:val="Tabletextboldleft"/>
            </w:pPr>
            <w:r w:rsidRPr="0035691E">
              <w:t>Incremental effectiveness</w:t>
            </w:r>
          </w:p>
        </w:tc>
        <w:tc>
          <w:tcPr>
            <w:tcW w:w="1814" w:type="dxa"/>
            <w:tcBorders>
              <w:bottom w:val="single" w:sz="4" w:space="0" w:color="auto"/>
            </w:tcBorders>
          </w:tcPr>
          <w:p w14:paraId="11D08FAF" w14:textId="77777777" w:rsidR="00C856E8" w:rsidRPr="0035691E" w:rsidRDefault="00C856E8" w:rsidP="00C856E8">
            <w:pPr>
              <w:pStyle w:val="Tabletextboldleft"/>
            </w:pPr>
            <w:r w:rsidRPr="0035691E">
              <w:t>ICER</w:t>
            </w:r>
          </w:p>
        </w:tc>
      </w:tr>
      <w:tr w:rsidR="00C856E8" w:rsidRPr="0035691E" w14:paraId="048F6053" w14:textId="77777777" w:rsidTr="00C856E8">
        <w:tc>
          <w:tcPr>
            <w:tcW w:w="1447" w:type="dxa"/>
          </w:tcPr>
          <w:p w14:paraId="67803B36" w14:textId="77777777" w:rsidR="00C856E8" w:rsidRPr="0035691E" w:rsidRDefault="00C856E8" w:rsidP="00C856E8">
            <w:pPr>
              <w:pStyle w:val="Tabletext"/>
            </w:pPr>
            <w:r>
              <w:t>Cryoablation</w:t>
            </w:r>
          </w:p>
        </w:tc>
        <w:tc>
          <w:tcPr>
            <w:tcW w:w="1275" w:type="dxa"/>
          </w:tcPr>
          <w:p w14:paraId="3D6C6E52" w14:textId="77777777" w:rsidR="00C856E8" w:rsidRDefault="00C856E8" w:rsidP="00C856E8">
            <w:pPr>
              <w:pStyle w:val="Tabletext"/>
            </w:pPr>
            <w:r w:rsidRPr="006B7D84">
              <w:t>$16,857</w:t>
            </w:r>
          </w:p>
          <w:p w14:paraId="03D10241" w14:textId="77777777" w:rsidR="00C856E8" w:rsidRPr="004B795A" w:rsidRDefault="00C856E8" w:rsidP="00C856E8">
            <w:pPr>
              <w:pStyle w:val="Tabletext"/>
              <w:rPr>
                <w:i/>
              </w:rPr>
            </w:pPr>
            <w:r>
              <w:t>$</w:t>
            </w:r>
            <w:r>
              <w:rPr>
                <w:i/>
              </w:rPr>
              <w:t>16,193</w:t>
            </w:r>
          </w:p>
        </w:tc>
        <w:tc>
          <w:tcPr>
            <w:tcW w:w="1560" w:type="dxa"/>
          </w:tcPr>
          <w:p w14:paraId="04502F84" w14:textId="77777777" w:rsidR="00C856E8" w:rsidRPr="006B7D84" w:rsidRDefault="00C856E8" w:rsidP="00C856E8">
            <w:pPr>
              <w:pStyle w:val="Tabletext"/>
              <w:rPr>
                <w:i/>
              </w:rPr>
            </w:pPr>
          </w:p>
        </w:tc>
        <w:tc>
          <w:tcPr>
            <w:tcW w:w="1417" w:type="dxa"/>
          </w:tcPr>
          <w:p w14:paraId="133B7B66" w14:textId="77777777" w:rsidR="00C856E8" w:rsidRPr="0035691E" w:rsidRDefault="00C856E8" w:rsidP="00C856E8">
            <w:pPr>
              <w:pStyle w:val="Tabletext"/>
            </w:pPr>
            <w:r w:rsidRPr="006B7D84">
              <w:t>5.785</w:t>
            </w:r>
          </w:p>
        </w:tc>
        <w:tc>
          <w:tcPr>
            <w:tcW w:w="1559" w:type="dxa"/>
          </w:tcPr>
          <w:p w14:paraId="6BF9C47B" w14:textId="77777777" w:rsidR="00C856E8" w:rsidRPr="006B7D84" w:rsidRDefault="00C856E8" w:rsidP="00C856E8">
            <w:pPr>
              <w:pStyle w:val="Tabletext"/>
              <w:rPr>
                <w:i/>
              </w:rPr>
            </w:pPr>
          </w:p>
        </w:tc>
        <w:tc>
          <w:tcPr>
            <w:tcW w:w="1814" w:type="dxa"/>
          </w:tcPr>
          <w:p w14:paraId="67F38703" w14:textId="77777777" w:rsidR="00C856E8" w:rsidRPr="0035691E" w:rsidRDefault="00C856E8" w:rsidP="00C856E8">
            <w:pPr>
              <w:pStyle w:val="Tabletext"/>
            </w:pPr>
          </w:p>
        </w:tc>
      </w:tr>
      <w:tr w:rsidR="00C856E8" w:rsidRPr="00183E4D" w14:paraId="3895B18B" w14:textId="77777777" w:rsidTr="00C856E8">
        <w:tc>
          <w:tcPr>
            <w:tcW w:w="1447" w:type="dxa"/>
          </w:tcPr>
          <w:p w14:paraId="0B6F08A7" w14:textId="77777777" w:rsidR="00C856E8" w:rsidRPr="0035691E" w:rsidRDefault="00C856E8" w:rsidP="00C856E8">
            <w:pPr>
              <w:pStyle w:val="Tabletext"/>
            </w:pPr>
            <w:r>
              <w:t>AS/DT</w:t>
            </w:r>
          </w:p>
        </w:tc>
        <w:tc>
          <w:tcPr>
            <w:tcW w:w="1275" w:type="dxa"/>
          </w:tcPr>
          <w:p w14:paraId="3DABA07F" w14:textId="77777777" w:rsidR="00C856E8" w:rsidRPr="006B7D84" w:rsidRDefault="00C856E8" w:rsidP="00C856E8">
            <w:pPr>
              <w:pStyle w:val="Tabletext"/>
            </w:pPr>
            <w:r w:rsidRPr="006B7D84">
              <w:t>$16,942</w:t>
            </w:r>
          </w:p>
          <w:p w14:paraId="7C38F9F4" w14:textId="77777777" w:rsidR="00C856E8" w:rsidRPr="006B7D84" w:rsidRDefault="00C856E8" w:rsidP="00C856E8">
            <w:pPr>
              <w:pStyle w:val="Tabletext"/>
              <w:rPr>
                <w:i/>
              </w:rPr>
            </w:pPr>
            <w:r w:rsidRPr="006B7D84">
              <w:rPr>
                <w:i/>
              </w:rPr>
              <w:t>$21,</w:t>
            </w:r>
            <w:r>
              <w:rPr>
                <w:i/>
              </w:rPr>
              <w:t>807</w:t>
            </w:r>
          </w:p>
        </w:tc>
        <w:tc>
          <w:tcPr>
            <w:tcW w:w="1560" w:type="dxa"/>
          </w:tcPr>
          <w:p w14:paraId="30DA1355" w14:textId="77777777" w:rsidR="00C856E8" w:rsidRPr="006B7D84" w:rsidRDefault="00C856E8" w:rsidP="00C856E8">
            <w:pPr>
              <w:pStyle w:val="Tabletext"/>
            </w:pPr>
            <w:r w:rsidRPr="006B7D84">
              <w:t>-$85</w:t>
            </w:r>
          </w:p>
          <w:p w14:paraId="392469F0" w14:textId="77777777" w:rsidR="00C856E8" w:rsidRPr="00183E4D" w:rsidRDefault="00C856E8" w:rsidP="00C856E8">
            <w:pPr>
              <w:pStyle w:val="Tabletext"/>
            </w:pPr>
            <w:r w:rsidRPr="006B7D84">
              <w:rPr>
                <w:i/>
              </w:rPr>
              <w:t>-$4,901</w:t>
            </w:r>
          </w:p>
        </w:tc>
        <w:tc>
          <w:tcPr>
            <w:tcW w:w="1417" w:type="dxa"/>
          </w:tcPr>
          <w:p w14:paraId="4500EFA8" w14:textId="77777777" w:rsidR="00C856E8" w:rsidRPr="006B7D84" w:rsidRDefault="00C856E8" w:rsidP="00C856E8">
            <w:pPr>
              <w:pStyle w:val="Tabletext"/>
            </w:pPr>
            <w:r w:rsidRPr="006B7D84">
              <w:t>5.682</w:t>
            </w:r>
          </w:p>
          <w:p w14:paraId="4FF6E735" w14:textId="77777777" w:rsidR="00C856E8" w:rsidRPr="006B7D84" w:rsidRDefault="00C856E8" w:rsidP="00C856E8">
            <w:pPr>
              <w:pStyle w:val="Tabletext"/>
              <w:rPr>
                <w:i/>
              </w:rPr>
            </w:pPr>
            <w:r w:rsidRPr="006B7D84">
              <w:rPr>
                <w:i/>
              </w:rPr>
              <w:t>5.676</w:t>
            </w:r>
          </w:p>
        </w:tc>
        <w:tc>
          <w:tcPr>
            <w:tcW w:w="1559" w:type="dxa"/>
          </w:tcPr>
          <w:p w14:paraId="4E10BAAA" w14:textId="77777777" w:rsidR="00C856E8" w:rsidRPr="006B7D84" w:rsidRDefault="00C856E8" w:rsidP="00C856E8">
            <w:pPr>
              <w:pStyle w:val="Tabletext"/>
            </w:pPr>
            <w:r w:rsidRPr="006B7D84">
              <w:t>0.104</w:t>
            </w:r>
          </w:p>
          <w:p w14:paraId="72D5E080" w14:textId="77777777" w:rsidR="00C856E8" w:rsidRPr="00183E4D" w:rsidRDefault="00C856E8" w:rsidP="00C856E8">
            <w:pPr>
              <w:pStyle w:val="Tabletext"/>
            </w:pPr>
            <w:r w:rsidRPr="006B7D84">
              <w:rPr>
                <w:i/>
              </w:rPr>
              <w:t>0.110</w:t>
            </w:r>
          </w:p>
        </w:tc>
        <w:tc>
          <w:tcPr>
            <w:tcW w:w="1814" w:type="dxa"/>
          </w:tcPr>
          <w:p w14:paraId="1212790D" w14:textId="77777777" w:rsidR="00C856E8" w:rsidRPr="006B7D84" w:rsidRDefault="00C856E8" w:rsidP="00C856E8">
            <w:pPr>
              <w:pStyle w:val="Tabletext"/>
            </w:pPr>
            <w:r w:rsidRPr="006B7D84">
              <w:t>-$825 (dominant)</w:t>
            </w:r>
          </w:p>
          <w:p w14:paraId="69BAA696" w14:textId="77777777" w:rsidR="00C856E8" w:rsidRPr="006B7D84" w:rsidRDefault="00C856E8" w:rsidP="00C856E8">
            <w:pPr>
              <w:pStyle w:val="Tabletext"/>
              <w:rPr>
                <w:i/>
              </w:rPr>
            </w:pPr>
            <w:r w:rsidRPr="006B7D84">
              <w:rPr>
                <w:i/>
              </w:rPr>
              <w:t>-$44,</w:t>
            </w:r>
            <w:r>
              <w:rPr>
                <w:i/>
              </w:rPr>
              <w:t>662</w:t>
            </w:r>
            <w:r w:rsidRPr="006B7D84">
              <w:rPr>
                <w:i/>
              </w:rPr>
              <w:t xml:space="preserve"> (dominant)</w:t>
            </w:r>
          </w:p>
        </w:tc>
      </w:tr>
    </w:tbl>
    <w:p w14:paraId="61C8EE4C" w14:textId="0C1ED234" w:rsidR="00C856E8" w:rsidRPr="00DF51F4" w:rsidRDefault="00C856E8" w:rsidP="00C856E8">
      <w:pPr>
        <w:pStyle w:val="Tablenotes"/>
        <w:rPr>
          <w:i/>
        </w:rPr>
      </w:pPr>
      <w:r>
        <w:t xml:space="preserve">Source: Table 9, p23 of the </w:t>
      </w:r>
      <w:r w:rsidR="009842FE">
        <w:t>Commentary</w:t>
      </w:r>
      <w:r>
        <w:t xml:space="preserve">. </w:t>
      </w:r>
      <w:r w:rsidRPr="00DF51F4">
        <w:rPr>
          <w:i/>
        </w:rPr>
        <w:t>Base case respecified so RN is the delayed therapy intervention. Updated MBS and PBS costs are included.</w:t>
      </w:r>
    </w:p>
    <w:p w14:paraId="746ABA6A" w14:textId="77777777" w:rsidR="00C856E8" w:rsidRDefault="00C856E8" w:rsidP="00C856E8">
      <w:pPr>
        <w:pStyle w:val="Tablenotes"/>
      </w:pPr>
      <w:r>
        <w:t xml:space="preserve">Abbreviations: AS/DT = active surveillance/delayed therapy, CA = cryoablation, </w:t>
      </w:r>
      <w:r w:rsidRPr="00183E4D">
        <w:t>ICER = Incremental Cost Effectiveness Ratio</w:t>
      </w:r>
      <w:r>
        <w:t>, QALY = quality adjusted life year</w:t>
      </w:r>
    </w:p>
    <w:p w14:paraId="3578D113" w14:textId="7FDBFFCF" w:rsidR="00C856E8" w:rsidRDefault="00C856E8" w:rsidP="00C856E8">
      <w:pPr>
        <w:spacing w:before="240" w:after="240"/>
      </w:pPr>
      <w:r>
        <w:t xml:space="preserve">The </w:t>
      </w:r>
      <w:r w:rsidR="009842FE">
        <w:t>Commentary</w:t>
      </w:r>
      <w:r>
        <w:t xml:space="preserve"> also noted that the </w:t>
      </w:r>
      <w:r w:rsidRPr="00EC2E9E">
        <w:t xml:space="preserve">results of the economic evaluation are likely to </w:t>
      </w:r>
      <w:proofErr w:type="gramStart"/>
      <w:r w:rsidRPr="00EC2E9E">
        <w:t>be biased</w:t>
      </w:r>
      <w:proofErr w:type="gramEnd"/>
      <w:r w:rsidRPr="00EC2E9E">
        <w:t xml:space="preserve"> </w:t>
      </w:r>
      <w:r>
        <w:t>si</w:t>
      </w:r>
      <w:r w:rsidRPr="00EC2E9E">
        <w:t>nce the modelled incremental effectiveness is based on a trial not applicable to the intended population</w:t>
      </w:r>
      <w:r>
        <w:t>.</w:t>
      </w:r>
      <w:r w:rsidRPr="00EC2E9E">
        <w:t xml:space="preserve"> The </w:t>
      </w:r>
      <w:r w:rsidR="009842FE">
        <w:t>Commentary</w:t>
      </w:r>
      <w:r w:rsidRPr="00EC2E9E">
        <w:t xml:space="preserve"> considered that cancer-specific survival from </w:t>
      </w:r>
      <w:proofErr w:type="spellStart"/>
      <w:r w:rsidRPr="00EC2E9E">
        <w:t>Uhlig</w:t>
      </w:r>
      <w:proofErr w:type="spellEnd"/>
      <w:r w:rsidRPr="00EC2E9E">
        <w:t xml:space="preserve"> (2018), which compares CA and other TA with DT, </w:t>
      </w:r>
      <w:proofErr w:type="gramStart"/>
      <w:r w:rsidRPr="00EC2E9E">
        <w:t>may</w:t>
      </w:r>
      <w:proofErr w:type="gramEnd"/>
      <w:r w:rsidRPr="00EC2E9E">
        <w:t xml:space="preserve"> be more appropriate.</w:t>
      </w:r>
    </w:p>
    <w:p w14:paraId="6038BBCA" w14:textId="3A781CE2" w:rsidR="00C856E8" w:rsidRDefault="00C856E8" w:rsidP="00C856E8">
      <w:pPr>
        <w:spacing w:after="240"/>
      </w:pPr>
      <w:r>
        <w:fldChar w:fldCharType="begin"/>
      </w:r>
      <w:r>
        <w:instrText xml:space="preserve"> REF _Ref46838779 \h </w:instrText>
      </w:r>
      <w:r>
        <w:fldChar w:fldCharType="separate"/>
      </w:r>
      <w:r>
        <w:t xml:space="preserve">Table </w:t>
      </w:r>
      <w:r>
        <w:rPr>
          <w:noProof/>
        </w:rPr>
        <w:t>10</w:t>
      </w:r>
      <w:r>
        <w:fldChar w:fldCharType="end"/>
      </w:r>
      <w:r>
        <w:t xml:space="preserve"> presents the sensitivity analyses conducted by the ADAR and </w:t>
      </w:r>
      <w:r w:rsidR="009842FE">
        <w:t>Commentary</w:t>
      </w:r>
      <w:r>
        <w:t xml:space="preserve">. </w:t>
      </w:r>
    </w:p>
    <w:p w14:paraId="57F88414" w14:textId="0A46746C" w:rsidR="00C856E8" w:rsidRPr="00E0750C" w:rsidRDefault="00C856E8" w:rsidP="00C856E8">
      <w:pPr>
        <w:spacing w:after="240"/>
      </w:pPr>
      <w:r w:rsidRPr="00E0750C">
        <w:t xml:space="preserve">The </w:t>
      </w:r>
      <w:r w:rsidR="009842FE">
        <w:t>Commentary</w:t>
      </w:r>
      <w:r w:rsidRPr="00E0750C">
        <w:t xml:space="preserve"> noted that the </w:t>
      </w:r>
      <w:r>
        <w:t>Australian Defined diagnosis-related grou</w:t>
      </w:r>
      <w:r w:rsidRPr="006B5301">
        <w:t>ps (AR-DRGs)</w:t>
      </w:r>
      <w:r w:rsidRPr="00E0750C">
        <w:t xml:space="preserve"> selected for treatment of T1a RCC (</w:t>
      </w:r>
      <w:r w:rsidRPr="00E0750C">
        <w:rPr>
          <w:rFonts w:cs="Calibri"/>
        </w:rPr>
        <w:t>≤</w:t>
      </w:r>
      <w:r w:rsidRPr="00E0750C">
        <w:t xml:space="preserve">4cm) are inappropriate and favour CA. </w:t>
      </w:r>
      <w:r w:rsidR="00E72A12">
        <w:br/>
      </w:r>
      <w:r w:rsidRPr="00E0750C">
        <w:t>AR-DRG L62C (used for CA), and L62A and L62B (used for RN) are partitioned as medical DRGs which means they do not involve an operating room procedure</w:t>
      </w:r>
      <w:r w:rsidRPr="00E0750C">
        <w:rPr>
          <w:rStyle w:val="FootnoteReference"/>
        </w:rPr>
        <w:footnoteReference w:id="24"/>
      </w:r>
      <w:r w:rsidRPr="00E0750C">
        <w:t xml:space="preserve">. A more appropriate DRG might be L03C (Kidney, Ureter and Major Bladder Procedures for Neoplasm, Minor Complexity) which is partitioned as a surgical DRG. The impact of applying alternate DRGs </w:t>
      </w:r>
      <w:proofErr w:type="gramStart"/>
      <w:r>
        <w:t>was explored</w:t>
      </w:r>
      <w:proofErr w:type="gramEnd"/>
      <w:r>
        <w:t xml:space="preserve"> </w:t>
      </w:r>
      <w:r w:rsidRPr="00E0750C">
        <w:t>in a</w:t>
      </w:r>
      <w:r>
        <w:t>n additional</w:t>
      </w:r>
      <w:r w:rsidRPr="00E0750C">
        <w:t xml:space="preserve"> sensitivity analysis </w:t>
      </w:r>
      <w:r>
        <w:t>(</w:t>
      </w:r>
      <w:r>
        <w:fldChar w:fldCharType="begin"/>
      </w:r>
      <w:r>
        <w:instrText xml:space="preserve"> REF _Ref46838779 \h </w:instrText>
      </w:r>
      <w:r>
        <w:fldChar w:fldCharType="separate"/>
      </w:r>
      <w:r>
        <w:t xml:space="preserve">Table </w:t>
      </w:r>
      <w:r>
        <w:rPr>
          <w:noProof/>
        </w:rPr>
        <w:t>10</w:t>
      </w:r>
      <w:r>
        <w:fldChar w:fldCharType="end"/>
      </w:r>
      <w:r>
        <w:t xml:space="preserve">) </w:t>
      </w:r>
      <w:r w:rsidRPr="00E0750C">
        <w:t xml:space="preserve">and has a substantial effect on the ICER. The </w:t>
      </w:r>
      <w:r w:rsidR="009842FE">
        <w:t>Commentary</w:t>
      </w:r>
      <w:r>
        <w:t xml:space="preserve"> considered that the </w:t>
      </w:r>
      <w:r w:rsidRPr="00E0750C">
        <w:t xml:space="preserve">ICER presented </w:t>
      </w:r>
      <w:r>
        <w:t xml:space="preserve">in the ADAR </w:t>
      </w:r>
      <w:r w:rsidRPr="00E0750C">
        <w:t>does not accurately represent the cost effectiveness of CA.</w:t>
      </w:r>
    </w:p>
    <w:p w14:paraId="54AA334E" w14:textId="100592F1" w:rsidR="00C856E8" w:rsidRPr="003A7EA2" w:rsidRDefault="00C856E8" w:rsidP="003A7EA2">
      <w:pPr>
        <w:rPr>
          <w:rFonts w:ascii="Arial Narrow" w:hAnsi="Arial Narrow"/>
          <w:b/>
          <w:sz w:val="20"/>
        </w:rPr>
      </w:pPr>
      <w:bookmarkStart w:id="33" w:name="_Ref46838779"/>
      <w:r w:rsidRPr="003A7EA2">
        <w:rPr>
          <w:rFonts w:ascii="Arial Narrow" w:hAnsi="Arial Narrow"/>
          <w:b/>
          <w:sz w:val="20"/>
        </w:rPr>
        <w:t xml:space="preserve">Table </w:t>
      </w:r>
      <w:bookmarkStart w:id="34" w:name="_Ref46787510"/>
      <w:r w:rsidRPr="003A7EA2">
        <w:rPr>
          <w:rFonts w:ascii="Arial Narrow" w:hAnsi="Arial Narrow"/>
          <w:b/>
          <w:sz w:val="20"/>
        </w:rPr>
        <w:fldChar w:fldCharType="begin"/>
      </w:r>
      <w:r w:rsidRPr="003A7EA2">
        <w:rPr>
          <w:rFonts w:ascii="Arial Narrow" w:hAnsi="Arial Narrow"/>
          <w:b/>
          <w:sz w:val="20"/>
        </w:rPr>
        <w:instrText xml:space="preserve"> SEQ Table \* ARABIC </w:instrText>
      </w:r>
      <w:r w:rsidRPr="003A7EA2">
        <w:rPr>
          <w:rFonts w:ascii="Arial Narrow" w:hAnsi="Arial Narrow"/>
          <w:b/>
          <w:sz w:val="20"/>
        </w:rPr>
        <w:fldChar w:fldCharType="separate"/>
      </w:r>
      <w:r w:rsidRPr="003A7EA2">
        <w:rPr>
          <w:rFonts w:ascii="Arial Narrow" w:hAnsi="Arial Narrow"/>
          <w:b/>
          <w:sz w:val="20"/>
        </w:rPr>
        <w:t>10</w:t>
      </w:r>
      <w:r w:rsidRPr="003A7EA2">
        <w:rPr>
          <w:rFonts w:ascii="Arial Narrow" w:hAnsi="Arial Narrow"/>
          <w:b/>
          <w:sz w:val="20"/>
        </w:rPr>
        <w:fldChar w:fldCharType="end"/>
      </w:r>
      <w:bookmarkEnd w:id="33"/>
      <w:bookmarkEnd w:id="34"/>
      <w:r w:rsidR="00071451" w:rsidRPr="003A7EA2">
        <w:rPr>
          <w:rFonts w:ascii="Arial Narrow" w:hAnsi="Arial Narrow"/>
          <w:b/>
          <w:sz w:val="20"/>
        </w:rPr>
        <w:tab/>
      </w:r>
      <w:r w:rsidRPr="003A7EA2">
        <w:rPr>
          <w:rFonts w:ascii="Arial Narrow" w:hAnsi="Arial Narrow"/>
          <w:b/>
          <w:sz w:val="20"/>
        </w:rPr>
        <w:t>Sensitivity analysis of the cost utility analysis - respecified base case</w:t>
      </w:r>
    </w:p>
    <w:tbl>
      <w:tblPr>
        <w:tblStyle w:val="TableGrid2"/>
        <w:tblW w:w="9270" w:type="dxa"/>
        <w:tblLook w:val="04A0" w:firstRow="1" w:lastRow="0" w:firstColumn="1" w:lastColumn="0" w:noHBand="0" w:noVBand="1"/>
        <w:tblCaption w:val="Table 89 Sensitivity analysis"/>
        <w:tblDescription w:val="This table describes the impact of varying model inputs on the incremental costs, quality adjusted life years, and incremental cost effectiveness ratio."/>
      </w:tblPr>
      <w:tblGrid>
        <w:gridCol w:w="4530"/>
        <w:gridCol w:w="1283"/>
        <w:gridCol w:w="1137"/>
        <w:gridCol w:w="1237"/>
        <w:gridCol w:w="1092"/>
      </w:tblGrid>
      <w:tr w:rsidR="00C856E8" w:rsidRPr="00D901F5" w14:paraId="0EDB9685" w14:textId="77777777" w:rsidTr="00C856E8">
        <w:trPr>
          <w:cnfStyle w:val="100000000000" w:firstRow="1" w:lastRow="0" w:firstColumn="0" w:lastColumn="0" w:oddVBand="0" w:evenVBand="0" w:oddHBand="0" w:evenHBand="0" w:firstRowFirstColumn="0" w:firstRowLastColumn="0" w:lastRowFirstColumn="0" w:lastRowLastColumn="0"/>
          <w:trHeight w:val="300"/>
          <w:tblHeader/>
        </w:trPr>
        <w:tc>
          <w:tcPr>
            <w:tcW w:w="4530" w:type="dxa"/>
            <w:noWrap/>
            <w:hideMark/>
          </w:tcPr>
          <w:p w14:paraId="207F087C" w14:textId="77777777" w:rsidR="00C856E8" w:rsidRPr="00223F1C" w:rsidRDefault="00C856E8" w:rsidP="00C856E8">
            <w:pPr>
              <w:pStyle w:val="Tabletext"/>
              <w:rPr>
                <w:b/>
              </w:rPr>
            </w:pPr>
            <w:r w:rsidRPr="00223F1C">
              <w:rPr>
                <w:b/>
              </w:rPr>
              <w:t>Analyses</w:t>
            </w:r>
          </w:p>
        </w:tc>
        <w:tc>
          <w:tcPr>
            <w:tcW w:w="1283" w:type="dxa"/>
            <w:noWrap/>
            <w:hideMark/>
          </w:tcPr>
          <w:p w14:paraId="44754C05" w14:textId="77777777" w:rsidR="00C856E8" w:rsidRPr="00223F1C" w:rsidRDefault="00C856E8" w:rsidP="00C856E8">
            <w:pPr>
              <w:pStyle w:val="Tabletext"/>
              <w:rPr>
                <w:b/>
              </w:rPr>
            </w:pPr>
            <w:r w:rsidRPr="00223F1C">
              <w:rPr>
                <w:b/>
              </w:rPr>
              <w:t>Incremental cost</w:t>
            </w:r>
          </w:p>
        </w:tc>
        <w:tc>
          <w:tcPr>
            <w:tcW w:w="1128" w:type="dxa"/>
            <w:noWrap/>
            <w:hideMark/>
          </w:tcPr>
          <w:p w14:paraId="62F246E3" w14:textId="77777777" w:rsidR="00C856E8" w:rsidRPr="00223F1C" w:rsidRDefault="00C856E8" w:rsidP="00C856E8">
            <w:pPr>
              <w:pStyle w:val="Tabletext"/>
              <w:rPr>
                <w:b/>
              </w:rPr>
            </w:pPr>
            <w:r w:rsidRPr="00223F1C">
              <w:rPr>
                <w:b/>
              </w:rPr>
              <w:t>Incremental QALY</w:t>
            </w:r>
          </w:p>
        </w:tc>
        <w:tc>
          <w:tcPr>
            <w:tcW w:w="1237" w:type="dxa"/>
            <w:noWrap/>
            <w:hideMark/>
          </w:tcPr>
          <w:p w14:paraId="039661F6" w14:textId="77777777" w:rsidR="00C856E8" w:rsidRPr="00223F1C" w:rsidRDefault="00C856E8" w:rsidP="00C856E8">
            <w:pPr>
              <w:pStyle w:val="Tabletext"/>
              <w:rPr>
                <w:b/>
              </w:rPr>
            </w:pPr>
            <w:r w:rsidRPr="00223F1C">
              <w:rPr>
                <w:b/>
              </w:rPr>
              <w:t>ICER</w:t>
            </w:r>
          </w:p>
        </w:tc>
        <w:tc>
          <w:tcPr>
            <w:tcW w:w="1092" w:type="dxa"/>
            <w:noWrap/>
            <w:hideMark/>
          </w:tcPr>
          <w:p w14:paraId="3B38D8A2" w14:textId="77777777" w:rsidR="00C856E8" w:rsidRPr="00223F1C" w:rsidRDefault="00C856E8" w:rsidP="00C856E8">
            <w:pPr>
              <w:pStyle w:val="Tabletext"/>
              <w:rPr>
                <w:b/>
              </w:rPr>
            </w:pPr>
            <w:r w:rsidRPr="00223F1C">
              <w:rPr>
                <w:b/>
              </w:rPr>
              <w:t>% change to ICER</w:t>
            </w:r>
          </w:p>
        </w:tc>
      </w:tr>
      <w:tr w:rsidR="00C856E8" w:rsidRPr="00D901F5" w14:paraId="7D655537" w14:textId="77777777" w:rsidTr="00C856E8">
        <w:trPr>
          <w:cnfStyle w:val="100000000000" w:firstRow="1" w:lastRow="0" w:firstColumn="0" w:lastColumn="0" w:oddVBand="0" w:evenVBand="0" w:oddHBand="0" w:evenHBand="0" w:firstRowFirstColumn="0" w:firstRowLastColumn="0" w:lastRowFirstColumn="0" w:lastRowLastColumn="0"/>
          <w:trHeight w:val="20"/>
          <w:tblHeader/>
        </w:trPr>
        <w:tc>
          <w:tcPr>
            <w:tcW w:w="4530" w:type="dxa"/>
            <w:noWrap/>
            <w:hideMark/>
          </w:tcPr>
          <w:p w14:paraId="192A33BA" w14:textId="77777777" w:rsidR="00C856E8" w:rsidRPr="00223F1C" w:rsidRDefault="00C856E8" w:rsidP="00C856E8">
            <w:pPr>
              <w:pStyle w:val="Tabletext"/>
              <w:rPr>
                <w:b/>
              </w:rPr>
            </w:pPr>
            <w:r w:rsidRPr="00223F1C">
              <w:rPr>
                <w:b/>
              </w:rPr>
              <w:t xml:space="preserve">Base case </w:t>
            </w:r>
            <w:r w:rsidRPr="00223F1C">
              <w:rPr>
                <w:b/>
                <w:i/>
                <w:iCs/>
              </w:rPr>
              <w:t>(respecified)</w:t>
            </w:r>
          </w:p>
        </w:tc>
        <w:tc>
          <w:tcPr>
            <w:tcW w:w="1283" w:type="dxa"/>
            <w:noWrap/>
          </w:tcPr>
          <w:p w14:paraId="030F1E05" w14:textId="77777777" w:rsidR="00C856E8" w:rsidRPr="00223F1C" w:rsidRDefault="00C856E8" w:rsidP="00C856E8">
            <w:pPr>
              <w:pStyle w:val="Tabletext"/>
              <w:jc w:val="right"/>
              <w:rPr>
                <w:b/>
                <w:i/>
                <w:iCs/>
              </w:rPr>
            </w:pPr>
            <w:r w:rsidRPr="00223F1C">
              <w:rPr>
                <w:rFonts w:cs="Calibri"/>
                <w:b/>
                <w:i/>
                <w:color w:val="000000"/>
              </w:rPr>
              <w:t>-$4,893.63</w:t>
            </w:r>
          </w:p>
        </w:tc>
        <w:tc>
          <w:tcPr>
            <w:tcW w:w="1128" w:type="dxa"/>
            <w:noWrap/>
          </w:tcPr>
          <w:p w14:paraId="75FF692D" w14:textId="77777777" w:rsidR="00C856E8" w:rsidRPr="00223F1C" w:rsidRDefault="00C856E8" w:rsidP="00C856E8">
            <w:pPr>
              <w:pStyle w:val="Tabletext"/>
              <w:jc w:val="right"/>
              <w:rPr>
                <w:b/>
                <w:i/>
              </w:rPr>
            </w:pPr>
            <w:r w:rsidRPr="00223F1C">
              <w:rPr>
                <w:rFonts w:cs="Calibri"/>
                <w:b/>
                <w:i/>
                <w:color w:val="000000"/>
              </w:rPr>
              <w:t>0.110</w:t>
            </w:r>
          </w:p>
        </w:tc>
        <w:tc>
          <w:tcPr>
            <w:tcW w:w="1237" w:type="dxa"/>
            <w:noWrap/>
          </w:tcPr>
          <w:p w14:paraId="6272C880" w14:textId="77777777" w:rsidR="00C856E8" w:rsidRPr="00223F1C" w:rsidRDefault="00C856E8" w:rsidP="00C856E8">
            <w:pPr>
              <w:pStyle w:val="Tabletext"/>
              <w:jc w:val="right"/>
              <w:rPr>
                <w:b/>
                <w:i/>
                <w:iCs/>
              </w:rPr>
            </w:pPr>
            <w:r w:rsidRPr="00223F1C">
              <w:rPr>
                <w:rFonts w:cs="Calibri"/>
                <w:b/>
                <w:i/>
                <w:color w:val="000000"/>
              </w:rPr>
              <w:t>-$44,662</w:t>
            </w:r>
          </w:p>
        </w:tc>
        <w:tc>
          <w:tcPr>
            <w:tcW w:w="1092" w:type="dxa"/>
            <w:noWrap/>
          </w:tcPr>
          <w:p w14:paraId="6882CFA8" w14:textId="77777777" w:rsidR="00C856E8" w:rsidRPr="00223F1C" w:rsidRDefault="00C856E8" w:rsidP="00C856E8">
            <w:pPr>
              <w:pStyle w:val="Tabletext"/>
              <w:jc w:val="right"/>
              <w:rPr>
                <w:b/>
                <w:i/>
                <w:iCs/>
              </w:rPr>
            </w:pPr>
            <w:r w:rsidRPr="00223F1C">
              <w:rPr>
                <w:rFonts w:cs="Calibri"/>
                <w:b/>
                <w:i/>
                <w:color w:val="000000"/>
              </w:rPr>
              <w:t>0%</w:t>
            </w:r>
          </w:p>
        </w:tc>
      </w:tr>
      <w:tr w:rsidR="00C856E8" w:rsidRPr="00D901F5" w14:paraId="71CCAEC4" w14:textId="77777777" w:rsidTr="00C856E8">
        <w:trPr>
          <w:trHeight w:val="20"/>
        </w:trPr>
        <w:tc>
          <w:tcPr>
            <w:tcW w:w="4530" w:type="dxa"/>
            <w:noWrap/>
          </w:tcPr>
          <w:p w14:paraId="3383227B" w14:textId="77777777" w:rsidR="00C856E8" w:rsidRPr="00D901F5" w:rsidRDefault="00C856E8" w:rsidP="00C856E8">
            <w:pPr>
              <w:pStyle w:val="Tabletext"/>
            </w:pPr>
            <w:r>
              <w:t>Demographics</w:t>
            </w:r>
          </w:p>
        </w:tc>
        <w:tc>
          <w:tcPr>
            <w:tcW w:w="1283" w:type="dxa"/>
          </w:tcPr>
          <w:p w14:paraId="48CE9A21" w14:textId="77777777" w:rsidR="00C856E8" w:rsidRPr="00223F1C" w:rsidRDefault="00C856E8" w:rsidP="00C856E8">
            <w:pPr>
              <w:pStyle w:val="Tabletext"/>
              <w:jc w:val="right"/>
              <w:rPr>
                <w:i/>
              </w:rPr>
            </w:pPr>
          </w:p>
        </w:tc>
        <w:tc>
          <w:tcPr>
            <w:tcW w:w="1128" w:type="dxa"/>
          </w:tcPr>
          <w:p w14:paraId="38FBCED6" w14:textId="77777777" w:rsidR="00C856E8" w:rsidRPr="00223F1C" w:rsidRDefault="00C856E8" w:rsidP="00C856E8">
            <w:pPr>
              <w:pStyle w:val="Tabletext"/>
              <w:jc w:val="right"/>
              <w:rPr>
                <w:i/>
              </w:rPr>
            </w:pPr>
          </w:p>
        </w:tc>
        <w:tc>
          <w:tcPr>
            <w:tcW w:w="1237" w:type="dxa"/>
          </w:tcPr>
          <w:p w14:paraId="2F3AC255" w14:textId="77777777" w:rsidR="00C856E8" w:rsidRPr="00223F1C" w:rsidRDefault="00C856E8" w:rsidP="00C856E8">
            <w:pPr>
              <w:pStyle w:val="Tabletext"/>
              <w:jc w:val="right"/>
              <w:rPr>
                <w:i/>
              </w:rPr>
            </w:pPr>
          </w:p>
        </w:tc>
        <w:tc>
          <w:tcPr>
            <w:tcW w:w="1092" w:type="dxa"/>
          </w:tcPr>
          <w:p w14:paraId="7C3E0181" w14:textId="77777777" w:rsidR="00C856E8" w:rsidRPr="00223F1C" w:rsidRDefault="00C856E8" w:rsidP="00C856E8">
            <w:pPr>
              <w:pStyle w:val="Tabletext"/>
              <w:jc w:val="right"/>
              <w:rPr>
                <w:i/>
              </w:rPr>
            </w:pPr>
          </w:p>
        </w:tc>
      </w:tr>
      <w:tr w:rsidR="00C856E8" w:rsidRPr="00D901F5" w14:paraId="4FC94F62" w14:textId="77777777" w:rsidTr="00C856E8">
        <w:trPr>
          <w:trHeight w:val="20"/>
        </w:trPr>
        <w:tc>
          <w:tcPr>
            <w:tcW w:w="4530" w:type="dxa"/>
          </w:tcPr>
          <w:p w14:paraId="54598D9D" w14:textId="77777777" w:rsidR="00C856E8" w:rsidRPr="00D901F5" w:rsidRDefault="00C856E8" w:rsidP="00C856E8">
            <w:pPr>
              <w:pStyle w:val="Tabletext"/>
            </w:pPr>
            <w:r>
              <w:t>Increase age to 80</w:t>
            </w:r>
          </w:p>
        </w:tc>
        <w:tc>
          <w:tcPr>
            <w:tcW w:w="1283" w:type="dxa"/>
            <w:noWrap/>
          </w:tcPr>
          <w:p w14:paraId="0A9A95FB" w14:textId="77777777" w:rsidR="00C856E8" w:rsidRPr="00223F1C" w:rsidRDefault="00C856E8" w:rsidP="00C856E8">
            <w:pPr>
              <w:pStyle w:val="Tabletext"/>
              <w:jc w:val="right"/>
              <w:rPr>
                <w:i/>
                <w:iCs/>
              </w:rPr>
            </w:pPr>
            <w:r w:rsidRPr="00223F1C">
              <w:rPr>
                <w:rFonts w:cs="Calibri"/>
                <w:i/>
                <w:color w:val="000000"/>
              </w:rPr>
              <w:t>-$5,063.23</w:t>
            </w:r>
          </w:p>
        </w:tc>
        <w:tc>
          <w:tcPr>
            <w:tcW w:w="1128" w:type="dxa"/>
            <w:noWrap/>
          </w:tcPr>
          <w:p w14:paraId="67787EC5" w14:textId="77777777" w:rsidR="00C856E8" w:rsidRPr="00223F1C" w:rsidRDefault="00C856E8" w:rsidP="00C856E8">
            <w:pPr>
              <w:pStyle w:val="Tabletext"/>
              <w:jc w:val="right"/>
              <w:rPr>
                <w:i/>
              </w:rPr>
            </w:pPr>
            <w:r w:rsidRPr="00223F1C">
              <w:rPr>
                <w:rFonts w:cs="Calibri"/>
                <w:i/>
                <w:color w:val="000000"/>
              </w:rPr>
              <w:t>0.100</w:t>
            </w:r>
          </w:p>
        </w:tc>
        <w:tc>
          <w:tcPr>
            <w:tcW w:w="1237" w:type="dxa"/>
            <w:noWrap/>
          </w:tcPr>
          <w:p w14:paraId="14A43B70" w14:textId="77777777" w:rsidR="00C856E8" w:rsidRPr="00223F1C" w:rsidRDefault="00C856E8" w:rsidP="00C856E8">
            <w:pPr>
              <w:pStyle w:val="Tabletext"/>
              <w:jc w:val="right"/>
              <w:rPr>
                <w:i/>
                <w:iCs/>
              </w:rPr>
            </w:pPr>
            <w:r w:rsidRPr="00223F1C">
              <w:rPr>
                <w:rFonts w:cs="Calibri"/>
                <w:i/>
                <w:color w:val="000000"/>
              </w:rPr>
              <w:t>-$50,845</w:t>
            </w:r>
          </w:p>
        </w:tc>
        <w:tc>
          <w:tcPr>
            <w:tcW w:w="1092" w:type="dxa"/>
            <w:noWrap/>
          </w:tcPr>
          <w:p w14:paraId="7B88F26E" w14:textId="77777777" w:rsidR="00C856E8" w:rsidRPr="00223F1C" w:rsidRDefault="00C856E8" w:rsidP="00C856E8">
            <w:pPr>
              <w:pStyle w:val="Tabletext"/>
              <w:jc w:val="right"/>
              <w:rPr>
                <w:i/>
                <w:iCs/>
              </w:rPr>
            </w:pPr>
            <w:r w:rsidRPr="00223F1C">
              <w:rPr>
                <w:rFonts w:cs="Calibri"/>
                <w:i/>
                <w:color w:val="000000"/>
              </w:rPr>
              <w:t>14%</w:t>
            </w:r>
          </w:p>
        </w:tc>
      </w:tr>
      <w:tr w:rsidR="00C856E8" w:rsidRPr="00D901F5" w14:paraId="4BB29672" w14:textId="77777777" w:rsidTr="00C856E8">
        <w:trPr>
          <w:trHeight w:val="20"/>
        </w:trPr>
        <w:tc>
          <w:tcPr>
            <w:tcW w:w="4530" w:type="dxa"/>
          </w:tcPr>
          <w:p w14:paraId="78F75251" w14:textId="77777777" w:rsidR="00C856E8" w:rsidRPr="00D901F5" w:rsidRDefault="00C856E8" w:rsidP="00C856E8">
            <w:pPr>
              <w:pStyle w:val="Tabletext"/>
            </w:pPr>
            <w:r>
              <w:t>Decrease age to 70</w:t>
            </w:r>
          </w:p>
        </w:tc>
        <w:tc>
          <w:tcPr>
            <w:tcW w:w="1283" w:type="dxa"/>
            <w:noWrap/>
          </w:tcPr>
          <w:p w14:paraId="431DE6F6" w14:textId="77777777" w:rsidR="00C856E8" w:rsidRPr="00223F1C" w:rsidRDefault="00C856E8" w:rsidP="00C856E8">
            <w:pPr>
              <w:pStyle w:val="Tabletext"/>
              <w:jc w:val="right"/>
              <w:rPr>
                <w:i/>
                <w:iCs/>
              </w:rPr>
            </w:pPr>
            <w:r w:rsidRPr="00223F1C">
              <w:rPr>
                <w:rFonts w:cs="Calibri"/>
                <w:i/>
                <w:color w:val="000000"/>
              </w:rPr>
              <w:t>-$4,793.09</w:t>
            </w:r>
          </w:p>
        </w:tc>
        <w:tc>
          <w:tcPr>
            <w:tcW w:w="1128" w:type="dxa"/>
            <w:noWrap/>
          </w:tcPr>
          <w:p w14:paraId="6D3236D1" w14:textId="77777777" w:rsidR="00C856E8" w:rsidRPr="00223F1C" w:rsidRDefault="00C856E8" w:rsidP="00C856E8">
            <w:pPr>
              <w:pStyle w:val="Tabletext"/>
              <w:jc w:val="right"/>
              <w:rPr>
                <w:i/>
              </w:rPr>
            </w:pPr>
            <w:r w:rsidRPr="00223F1C">
              <w:rPr>
                <w:rFonts w:cs="Calibri"/>
                <w:i/>
                <w:color w:val="000000"/>
              </w:rPr>
              <w:t>0.115</w:t>
            </w:r>
          </w:p>
        </w:tc>
        <w:tc>
          <w:tcPr>
            <w:tcW w:w="1237" w:type="dxa"/>
            <w:noWrap/>
          </w:tcPr>
          <w:p w14:paraId="3A6DECC2" w14:textId="77777777" w:rsidR="00C856E8" w:rsidRPr="00223F1C" w:rsidRDefault="00C856E8" w:rsidP="00C856E8">
            <w:pPr>
              <w:pStyle w:val="Tabletext"/>
              <w:jc w:val="right"/>
              <w:rPr>
                <w:i/>
                <w:iCs/>
              </w:rPr>
            </w:pPr>
            <w:r w:rsidRPr="00223F1C">
              <w:rPr>
                <w:rFonts w:cs="Calibri"/>
                <w:i/>
                <w:color w:val="000000"/>
              </w:rPr>
              <w:t>-$41,560</w:t>
            </w:r>
          </w:p>
        </w:tc>
        <w:tc>
          <w:tcPr>
            <w:tcW w:w="1092" w:type="dxa"/>
            <w:noWrap/>
          </w:tcPr>
          <w:p w14:paraId="262099A2" w14:textId="77777777" w:rsidR="00C856E8" w:rsidRPr="00223F1C" w:rsidRDefault="00C856E8" w:rsidP="00C856E8">
            <w:pPr>
              <w:pStyle w:val="Tabletext"/>
              <w:jc w:val="right"/>
              <w:rPr>
                <w:i/>
                <w:iCs/>
              </w:rPr>
            </w:pPr>
            <w:r w:rsidRPr="00223F1C">
              <w:rPr>
                <w:rFonts w:cs="Calibri"/>
                <w:i/>
                <w:color w:val="000000"/>
              </w:rPr>
              <w:t>-7%</w:t>
            </w:r>
          </w:p>
        </w:tc>
      </w:tr>
      <w:tr w:rsidR="00C856E8" w:rsidRPr="00D901F5" w14:paraId="380E961F" w14:textId="77777777" w:rsidTr="00C856E8">
        <w:trPr>
          <w:trHeight w:val="20"/>
        </w:trPr>
        <w:tc>
          <w:tcPr>
            <w:tcW w:w="4530" w:type="dxa"/>
          </w:tcPr>
          <w:p w14:paraId="1D426EE7" w14:textId="77777777" w:rsidR="00C856E8" w:rsidRPr="00D901F5" w:rsidRDefault="00C856E8" w:rsidP="00C856E8">
            <w:pPr>
              <w:pStyle w:val="Tabletext"/>
            </w:pPr>
            <w:r>
              <w:t>Discounting</w:t>
            </w:r>
          </w:p>
        </w:tc>
        <w:tc>
          <w:tcPr>
            <w:tcW w:w="1283" w:type="dxa"/>
          </w:tcPr>
          <w:p w14:paraId="18A56571" w14:textId="77777777" w:rsidR="00C856E8" w:rsidRPr="00223F1C" w:rsidRDefault="00C856E8" w:rsidP="00C856E8">
            <w:pPr>
              <w:pStyle w:val="Tabletext"/>
              <w:jc w:val="right"/>
              <w:rPr>
                <w:i/>
              </w:rPr>
            </w:pPr>
          </w:p>
        </w:tc>
        <w:tc>
          <w:tcPr>
            <w:tcW w:w="1128" w:type="dxa"/>
          </w:tcPr>
          <w:p w14:paraId="1C316B82" w14:textId="77777777" w:rsidR="00C856E8" w:rsidRPr="00223F1C" w:rsidRDefault="00C856E8" w:rsidP="00C856E8">
            <w:pPr>
              <w:pStyle w:val="Tabletext"/>
              <w:jc w:val="right"/>
              <w:rPr>
                <w:i/>
              </w:rPr>
            </w:pPr>
          </w:p>
        </w:tc>
        <w:tc>
          <w:tcPr>
            <w:tcW w:w="1237" w:type="dxa"/>
          </w:tcPr>
          <w:p w14:paraId="2EF60A55" w14:textId="77777777" w:rsidR="00C856E8" w:rsidRPr="00223F1C" w:rsidRDefault="00C856E8" w:rsidP="00C856E8">
            <w:pPr>
              <w:pStyle w:val="Tabletext"/>
              <w:jc w:val="right"/>
              <w:rPr>
                <w:i/>
              </w:rPr>
            </w:pPr>
          </w:p>
        </w:tc>
        <w:tc>
          <w:tcPr>
            <w:tcW w:w="1092" w:type="dxa"/>
          </w:tcPr>
          <w:p w14:paraId="2FF729E2" w14:textId="77777777" w:rsidR="00C856E8" w:rsidRPr="00223F1C" w:rsidRDefault="00C856E8" w:rsidP="00C856E8">
            <w:pPr>
              <w:pStyle w:val="Tabletext"/>
              <w:jc w:val="right"/>
              <w:rPr>
                <w:i/>
              </w:rPr>
            </w:pPr>
          </w:p>
        </w:tc>
      </w:tr>
      <w:tr w:rsidR="00C856E8" w:rsidRPr="00D901F5" w14:paraId="5998DDB9" w14:textId="77777777" w:rsidTr="00C856E8">
        <w:trPr>
          <w:trHeight w:val="20"/>
        </w:trPr>
        <w:tc>
          <w:tcPr>
            <w:tcW w:w="4530" w:type="dxa"/>
          </w:tcPr>
          <w:p w14:paraId="22A206FE" w14:textId="77777777" w:rsidR="00C856E8" w:rsidRPr="00D901F5" w:rsidRDefault="00C856E8" w:rsidP="00C856E8">
            <w:pPr>
              <w:pStyle w:val="Tabletext"/>
            </w:pPr>
            <w:r>
              <w:t>No discounting on outcomes</w:t>
            </w:r>
          </w:p>
        </w:tc>
        <w:tc>
          <w:tcPr>
            <w:tcW w:w="1283" w:type="dxa"/>
            <w:noWrap/>
          </w:tcPr>
          <w:p w14:paraId="3CF30F0C" w14:textId="77777777" w:rsidR="00C856E8" w:rsidRPr="00223F1C" w:rsidRDefault="00C856E8" w:rsidP="00C856E8">
            <w:pPr>
              <w:pStyle w:val="Tabletext"/>
              <w:jc w:val="right"/>
              <w:rPr>
                <w:i/>
                <w:iCs/>
              </w:rPr>
            </w:pPr>
            <w:r w:rsidRPr="00223F1C">
              <w:rPr>
                <w:rFonts w:cs="Calibri"/>
                <w:i/>
                <w:color w:val="000000"/>
              </w:rPr>
              <w:t>-$4,893.63</w:t>
            </w:r>
          </w:p>
        </w:tc>
        <w:tc>
          <w:tcPr>
            <w:tcW w:w="1128" w:type="dxa"/>
            <w:noWrap/>
          </w:tcPr>
          <w:p w14:paraId="539511DB" w14:textId="77777777" w:rsidR="00C856E8" w:rsidRPr="00223F1C" w:rsidRDefault="00C856E8" w:rsidP="00C856E8">
            <w:pPr>
              <w:pStyle w:val="Tabletext"/>
              <w:jc w:val="right"/>
              <w:rPr>
                <w:i/>
              </w:rPr>
            </w:pPr>
            <w:r w:rsidRPr="00223F1C">
              <w:rPr>
                <w:rFonts w:cs="Calibri"/>
                <w:i/>
                <w:color w:val="000000"/>
              </w:rPr>
              <w:t>0.144</w:t>
            </w:r>
          </w:p>
        </w:tc>
        <w:tc>
          <w:tcPr>
            <w:tcW w:w="1237" w:type="dxa"/>
            <w:noWrap/>
          </w:tcPr>
          <w:p w14:paraId="18DAD7E0" w14:textId="77777777" w:rsidR="00C856E8" w:rsidRPr="00223F1C" w:rsidRDefault="00C856E8" w:rsidP="00C856E8">
            <w:pPr>
              <w:pStyle w:val="Tabletext"/>
              <w:jc w:val="right"/>
              <w:rPr>
                <w:i/>
                <w:iCs/>
              </w:rPr>
            </w:pPr>
            <w:r w:rsidRPr="00223F1C">
              <w:rPr>
                <w:rFonts w:cs="Calibri"/>
                <w:i/>
                <w:color w:val="000000"/>
              </w:rPr>
              <w:t>-$33,976</w:t>
            </w:r>
          </w:p>
        </w:tc>
        <w:tc>
          <w:tcPr>
            <w:tcW w:w="1092" w:type="dxa"/>
            <w:noWrap/>
          </w:tcPr>
          <w:p w14:paraId="1E9873A2" w14:textId="77777777" w:rsidR="00C856E8" w:rsidRPr="00223F1C" w:rsidRDefault="00C856E8" w:rsidP="00C856E8">
            <w:pPr>
              <w:pStyle w:val="Tabletext"/>
              <w:jc w:val="right"/>
              <w:rPr>
                <w:i/>
                <w:iCs/>
              </w:rPr>
            </w:pPr>
            <w:r w:rsidRPr="00223F1C">
              <w:rPr>
                <w:rFonts w:cs="Calibri"/>
                <w:i/>
                <w:color w:val="000000"/>
              </w:rPr>
              <w:t>-24%</w:t>
            </w:r>
          </w:p>
        </w:tc>
      </w:tr>
      <w:tr w:rsidR="00C856E8" w:rsidRPr="00D901F5" w14:paraId="212EA3FD" w14:textId="77777777" w:rsidTr="00C856E8">
        <w:trPr>
          <w:trHeight w:val="20"/>
        </w:trPr>
        <w:tc>
          <w:tcPr>
            <w:tcW w:w="4530" w:type="dxa"/>
          </w:tcPr>
          <w:p w14:paraId="587EF42C" w14:textId="77777777" w:rsidR="00C856E8" w:rsidRPr="00D901F5" w:rsidRDefault="00C856E8" w:rsidP="00C856E8">
            <w:pPr>
              <w:pStyle w:val="Tabletext"/>
            </w:pPr>
            <w:r>
              <w:t>No discounting on costs</w:t>
            </w:r>
          </w:p>
        </w:tc>
        <w:tc>
          <w:tcPr>
            <w:tcW w:w="1283" w:type="dxa"/>
            <w:noWrap/>
          </w:tcPr>
          <w:p w14:paraId="196A2064" w14:textId="77777777" w:rsidR="00C856E8" w:rsidRPr="00223F1C" w:rsidRDefault="00C856E8" w:rsidP="00C856E8">
            <w:pPr>
              <w:pStyle w:val="Tabletext"/>
              <w:jc w:val="right"/>
              <w:rPr>
                <w:i/>
                <w:iCs/>
              </w:rPr>
            </w:pPr>
            <w:r w:rsidRPr="00223F1C">
              <w:rPr>
                <w:rFonts w:cs="Calibri"/>
                <w:i/>
                <w:color w:val="000000"/>
              </w:rPr>
              <w:t>-$5,678.27</w:t>
            </w:r>
          </w:p>
        </w:tc>
        <w:tc>
          <w:tcPr>
            <w:tcW w:w="1128" w:type="dxa"/>
            <w:noWrap/>
          </w:tcPr>
          <w:p w14:paraId="17695F18" w14:textId="77777777" w:rsidR="00C856E8" w:rsidRPr="00223F1C" w:rsidRDefault="00C856E8" w:rsidP="00C856E8">
            <w:pPr>
              <w:pStyle w:val="Tabletext"/>
              <w:jc w:val="right"/>
              <w:rPr>
                <w:i/>
              </w:rPr>
            </w:pPr>
            <w:r w:rsidRPr="00223F1C">
              <w:rPr>
                <w:rFonts w:cs="Calibri"/>
                <w:i/>
                <w:color w:val="000000"/>
              </w:rPr>
              <w:t>0.110</w:t>
            </w:r>
          </w:p>
        </w:tc>
        <w:tc>
          <w:tcPr>
            <w:tcW w:w="1237" w:type="dxa"/>
            <w:noWrap/>
          </w:tcPr>
          <w:p w14:paraId="4071C920" w14:textId="77777777" w:rsidR="00C856E8" w:rsidRPr="00223F1C" w:rsidRDefault="00C856E8" w:rsidP="00C856E8">
            <w:pPr>
              <w:pStyle w:val="Tabletext"/>
              <w:jc w:val="right"/>
              <w:rPr>
                <w:i/>
                <w:iCs/>
              </w:rPr>
            </w:pPr>
            <w:r w:rsidRPr="00223F1C">
              <w:rPr>
                <w:rFonts w:cs="Calibri"/>
                <w:i/>
                <w:color w:val="000000"/>
              </w:rPr>
              <w:t>-$51,823</w:t>
            </w:r>
          </w:p>
        </w:tc>
        <w:tc>
          <w:tcPr>
            <w:tcW w:w="1092" w:type="dxa"/>
            <w:noWrap/>
          </w:tcPr>
          <w:p w14:paraId="683DAD4F" w14:textId="77777777" w:rsidR="00C856E8" w:rsidRPr="00223F1C" w:rsidRDefault="00C856E8" w:rsidP="00C856E8">
            <w:pPr>
              <w:pStyle w:val="Tabletext"/>
              <w:jc w:val="right"/>
              <w:rPr>
                <w:i/>
                <w:iCs/>
              </w:rPr>
            </w:pPr>
            <w:r w:rsidRPr="00223F1C">
              <w:rPr>
                <w:rFonts w:cs="Calibri"/>
                <w:i/>
                <w:color w:val="000000"/>
              </w:rPr>
              <w:t>16%</w:t>
            </w:r>
          </w:p>
        </w:tc>
      </w:tr>
      <w:tr w:rsidR="00C856E8" w:rsidRPr="00D901F5" w14:paraId="5D6D8D52" w14:textId="77777777" w:rsidTr="00C856E8">
        <w:trPr>
          <w:trHeight w:val="20"/>
        </w:trPr>
        <w:tc>
          <w:tcPr>
            <w:tcW w:w="4530" w:type="dxa"/>
          </w:tcPr>
          <w:p w14:paraId="1555F728" w14:textId="77777777" w:rsidR="00C856E8" w:rsidRPr="00D901F5" w:rsidRDefault="00C856E8" w:rsidP="00C856E8">
            <w:pPr>
              <w:pStyle w:val="Tabletext"/>
            </w:pPr>
            <w:r>
              <w:t>Undiscounted (0%)</w:t>
            </w:r>
          </w:p>
        </w:tc>
        <w:tc>
          <w:tcPr>
            <w:tcW w:w="1283" w:type="dxa"/>
          </w:tcPr>
          <w:p w14:paraId="1DF76FA2" w14:textId="77777777" w:rsidR="00C856E8" w:rsidRPr="00223F1C" w:rsidRDefault="00C856E8" w:rsidP="00C856E8">
            <w:pPr>
              <w:pStyle w:val="Tabletext"/>
              <w:jc w:val="right"/>
              <w:rPr>
                <w:i/>
              </w:rPr>
            </w:pPr>
            <w:r w:rsidRPr="00223F1C">
              <w:rPr>
                <w:rFonts w:cs="Calibri"/>
                <w:i/>
                <w:color w:val="000000"/>
              </w:rPr>
              <w:t>-$5,678.27</w:t>
            </w:r>
          </w:p>
        </w:tc>
        <w:tc>
          <w:tcPr>
            <w:tcW w:w="1128" w:type="dxa"/>
          </w:tcPr>
          <w:p w14:paraId="388252DF" w14:textId="77777777" w:rsidR="00C856E8" w:rsidRPr="00223F1C" w:rsidRDefault="00C856E8" w:rsidP="00C856E8">
            <w:pPr>
              <w:pStyle w:val="Tabletext"/>
              <w:jc w:val="right"/>
              <w:rPr>
                <w:i/>
              </w:rPr>
            </w:pPr>
            <w:r w:rsidRPr="00223F1C">
              <w:rPr>
                <w:rFonts w:cs="Calibri"/>
                <w:i/>
                <w:color w:val="000000"/>
              </w:rPr>
              <w:t>0.144</w:t>
            </w:r>
          </w:p>
        </w:tc>
        <w:tc>
          <w:tcPr>
            <w:tcW w:w="1237" w:type="dxa"/>
          </w:tcPr>
          <w:p w14:paraId="7AB2179D" w14:textId="77777777" w:rsidR="00C856E8" w:rsidRPr="00223F1C" w:rsidRDefault="00C856E8" w:rsidP="00C856E8">
            <w:pPr>
              <w:pStyle w:val="Tabletext"/>
              <w:jc w:val="right"/>
              <w:rPr>
                <w:i/>
              </w:rPr>
            </w:pPr>
            <w:r w:rsidRPr="00223F1C">
              <w:rPr>
                <w:rFonts w:cs="Calibri"/>
                <w:i/>
                <w:color w:val="000000"/>
              </w:rPr>
              <w:t>-$39,424</w:t>
            </w:r>
          </w:p>
        </w:tc>
        <w:tc>
          <w:tcPr>
            <w:tcW w:w="1092" w:type="dxa"/>
          </w:tcPr>
          <w:p w14:paraId="1D40E3BD" w14:textId="77777777" w:rsidR="00C856E8" w:rsidRPr="00223F1C" w:rsidRDefault="00C856E8" w:rsidP="00C856E8">
            <w:pPr>
              <w:pStyle w:val="Tabletext"/>
              <w:jc w:val="right"/>
              <w:rPr>
                <w:i/>
              </w:rPr>
            </w:pPr>
            <w:r w:rsidRPr="00223F1C">
              <w:rPr>
                <w:rFonts w:cs="Calibri"/>
                <w:i/>
                <w:color w:val="000000"/>
              </w:rPr>
              <w:t>-12%</w:t>
            </w:r>
          </w:p>
        </w:tc>
      </w:tr>
      <w:tr w:rsidR="00C856E8" w:rsidRPr="00D901F5" w14:paraId="01E1D208" w14:textId="77777777" w:rsidTr="00C856E8">
        <w:trPr>
          <w:trHeight w:val="20"/>
        </w:trPr>
        <w:tc>
          <w:tcPr>
            <w:tcW w:w="4530" w:type="dxa"/>
          </w:tcPr>
          <w:p w14:paraId="4ED35D74" w14:textId="77777777" w:rsidR="00C856E8" w:rsidRPr="00D901F5" w:rsidRDefault="00C856E8" w:rsidP="00C856E8">
            <w:pPr>
              <w:pStyle w:val="Tabletext"/>
            </w:pPr>
            <w:r>
              <w:t>Reduce discount to 3.5%</w:t>
            </w:r>
          </w:p>
        </w:tc>
        <w:tc>
          <w:tcPr>
            <w:tcW w:w="1283" w:type="dxa"/>
            <w:noWrap/>
          </w:tcPr>
          <w:p w14:paraId="1DB4FCBD" w14:textId="77777777" w:rsidR="00C856E8" w:rsidRPr="00223F1C" w:rsidRDefault="00C856E8" w:rsidP="00C856E8">
            <w:pPr>
              <w:pStyle w:val="Tabletext"/>
              <w:jc w:val="right"/>
              <w:rPr>
                <w:i/>
                <w:iCs/>
              </w:rPr>
            </w:pPr>
            <w:r w:rsidRPr="00223F1C">
              <w:rPr>
                <w:rFonts w:cs="Calibri"/>
                <w:i/>
                <w:color w:val="000000"/>
              </w:rPr>
              <w:t>-$5,119.94</w:t>
            </w:r>
          </w:p>
        </w:tc>
        <w:tc>
          <w:tcPr>
            <w:tcW w:w="1128" w:type="dxa"/>
            <w:noWrap/>
          </w:tcPr>
          <w:p w14:paraId="4350B115" w14:textId="77777777" w:rsidR="00C856E8" w:rsidRPr="00223F1C" w:rsidRDefault="00C856E8" w:rsidP="00C856E8">
            <w:pPr>
              <w:pStyle w:val="Tabletext"/>
              <w:jc w:val="right"/>
              <w:rPr>
                <w:i/>
              </w:rPr>
            </w:pPr>
            <w:r w:rsidRPr="00223F1C">
              <w:rPr>
                <w:rFonts w:cs="Calibri"/>
                <w:i/>
                <w:color w:val="000000"/>
              </w:rPr>
              <w:t>0.119</w:t>
            </w:r>
          </w:p>
        </w:tc>
        <w:tc>
          <w:tcPr>
            <w:tcW w:w="1237" w:type="dxa"/>
            <w:noWrap/>
          </w:tcPr>
          <w:p w14:paraId="09A644FB" w14:textId="77777777" w:rsidR="00C856E8" w:rsidRPr="00223F1C" w:rsidRDefault="00C856E8" w:rsidP="00C856E8">
            <w:pPr>
              <w:pStyle w:val="Tabletext"/>
              <w:jc w:val="right"/>
              <w:rPr>
                <w:i/>
                <w:iCs/>
              </w:rPr>
            </w:pPr>
            <w:r w:rsidRPr="00223F1C">
              <w:rPr>
                <w:rFonts w:cs="Calibri"/>
                <w:i/>
                <w:color w:val="000000"/>
              </w:rPr>
              <w:t>-$43,159</w:t>
            </w:r>
          </w:p>
        </w:tc>
        <w:tc>
          <w:tcPr>
            <w:tcW w:w="1092" w:type="dxa"/>
            <w:noWrap/>
          </w:tcPr>
          <w:p w14:paraId="4AB0F633" w14:textId="77777777" w:rsidR="00C856E8" w:rsidRPr="00223F1C" w:rsidRDefault="00C856E8" w:rsidP="00C856E8">
            <w:pPr>
              <w:pStyle w:val="Tabletext"/>
              <w:jc w:val="right"/>
              <w:rPr>
                <w:i/>
                <w:iCs/>
              </w:rPr>
            </w:pPr>
            <w:r w:rsidRPr="00223F1C">
              <w:rPr>
                <w:rFonts w:cs="Calibri"/>
                <w:i/>
                <w:color w:val="000000"/>
              </w:rPr>
              <w:t>-3%</w:t>
            </w:r>
          </w:p>
        </w:tc>
      </w:tr>
      <w:tr w:rsidR="00C856E8" w:rsidRPr="00D901F5" w14:paraId="5E18865C" w14:textId="77777777" w:rsidTr="00C856E8">
        <w:trPr>
          <w:trHeight w:val="20"/>
        </w:trPr>
        <w:tc>
          <w:tcPr>
            <w:tcW w:w="4530" w:type="dxa"/>
          </w:tcPr>
          <w:p w14:paraId="4F4325AB" w14:textId="77777777" w:rsidR="00C856E8" w:rsidRPr="00D901F5" w:rsidRDefault="00C856E8" w:rsidP="00C856E8">
            <w:pPr>
              <w:pStyle w:val="Tabletext"/>
            </w:pPr>
            <w:r>
              <w:t>Time horizon</w:t>
            </w:r>
          </w:p>
        </w:tc>
        <w:tc>
          <w:tcPr>
            <w:tcW w:w="1283" w:type="dxa"/>
            <w:noWrap/>
          </w:tcPr>
          <w:p w14:paraId="5E08E3C5" w14:textId="77777777" w:rsidR="00C856E8" w:rsidRPr="00223F1C" w:rsidRDefault="00C856E8" w:rsidP="00C856E8">
            <w:pPr>
              <w:pStyle w:val="Tabletext"/>
              <w:jc w:val="right"/>
              <w:rPr>
                <w:i/>
                <w:iCs/>
              </w:rPr>
            </w:pPr>
          </w:p>
        </w:tc>
        <w:tc>
          <w:tcPr>
            <w:tcW w:w="1128" w:type="dxa"/>
            <w:noWrap/>
          </w:tcPr>
          <w:p w14:paraId="1616D476" w14:textId="77777777" w:rsidR="00C856E8" w:rsidRPr="00223F1C" w:rsidRDefault="00C856E8" w:rsidP="00C856E8">
            <w:pPr>
              <w:pStyle w:val="Tabletext"/>
              <w:jc w:val="right"/>
              <w:rPr>
                <w:i/>
              </w:rPr>
            </w:pPr>
          </w:p>
        </w:tc>
        <w:tc>
          <w:tcPr>
            <w:tcW w:w="1237" w:type="dxa"/>
            <w:noWrap/>
          </w:tcPr>
          <w:p w14:paraId="04E168D2" w14:textId="77777777" w:rsidR="00C856E8" w:rsidRPr="00223F1C" w:rsidRDefault="00C856E8" w:rsidP="00C856E8">
            <w:pPr>
              <w:pStyle w:val="Tabletext"/>
              <w:jc w:val="right"/>
              <w:rPr>
                <w:i/>
                <w:iCs/>
              </w:rPr>
            </w:pPr>
          </w:p>
        </w:tc>
        <w:tc>
          <w:tcPr>
            <w:tcW w:w="1092" w:type="dxa"/>
            <w:noWrap/>
          </w:tcPr>
          <w:p w14:paraId="567EEB5F" w14:textId="77777777" w:rsidR="00C856E8" w:rsidRPr="00223F1C" w:rsidRDefault="00C856E8" w:rsidP="00C856E8">
            <w:pPr>
              <w:pStyle w:val="Tabletext"/>
              <w:jc w:val="right"/>
              <w:rPr>
                <w:i/>
                <w:iCs/>
              </w:rPr>
            </w:pPr>
          </w:p>
        </w:tc>
      </w:tr>
      <w:tr w:rsidR="00C856E8" w:rsidRPr="00D901F5" w14:paraId="0EB8012D" w14:textId="77777777" w:rsidTr="00C856E8">
        <w:trPr>
          <w:trHeight w:val="20"/>
        </w:trPr>
        <w:tc>
          <w:tcPr>
            <w:tcW w:w="4530" w:type="dxa"/>
          </w:tcPr>
          <w:p w14:paraId="6DE75202" w14:textId="77777777" w:rsidR="00C856E8" w:rsidRPr="00906662" w:rsidRDefault="00C856E8" w:rsidP="00C856E8">
            <w:pPr>
              <w:pStyle w:val="Tabletext"/>
              <w:rPr>
                <w:iCs/>
              </w:rPr>
            </w:pPr>
            <w:r>
              <w:rPr>
                <w:iCs/>
              </w:rPr>
              <w:t>7 years</w:t>
            </w:r>
          </w:p>
        </w:tc>
        <w:tc>
          <w:tcPr>
            <w:tcW w:w="1283" w:type="dxa"/>
            <w:noWrap/>
          </w:tcPr>
          <w:p w14:paraId="5E4207B8" w14:textId="77777777" w:rsidR="00C856E8" w:rsidRPr="00223F1C" w:rsidRDefault="00C856E8" w:rsidP="00C856E8">
            <w:pPr>
              <w:pStyle w:val="Tabletext"/>
              <w:jc w:val="right"/>
              <w:rPr>
                <w:i/>
                <w:iCs/>
              </w:rPr>
            </w:pPr>
            <w:r w:rsidRPr="00223F1C">
              <w:rPr>
                <w:rFonts w:cs="Calibri"/>
                <w:i/>
                <w:color w:val="000000"/>
              </w:rPr>
              <w:t>-$4,989.31</w:t>
            </w:r>
          </w:p>
        </w:tc>
        <w:tc>
          <w:tcPr>
            <w:tcW w:w="1128" w:type="dxa"/>
            <w:noWrap/>
          </w:tcPr>
          <w:p w14:paraId="262EF463" w14:textId="77777777" w:rsidR="00C856E8" w:rsidRPr="00223F1C" w:rsidRDefault="00C856E8" w:rsidP="00C856E8">
            <w:pPr>
              <w:pStyle w:val="Tabletext"/>
              <w:jc w:val="right"/>
              <w:rPr>
                <w:i/>
                <w:iCs/>
              </w:rPr>
            </w:pPr>
            <w:r w:rsidRPr="00223F1C">
              <w:rPr>
                <w:rFonts w:cs="Calibri"/>
                <w:i/>
                <w:color w:val="000000"/>
              </w:rPr>
              <w:t>0.063</w:t>
            </w:r>
          </w:p>
        </w:tc>
        <w:tc>
          <w:tcPr>
            <w:tcW w:w="1237" w:type="dxa"/>
            <w:noWrap/>
          </w:tcPr>
          <w:p w14:paraId="72624BEF" w14:textId="77777777" w:rsidR="00C856E8" w:rsidRPr="00223F1C" w:rsidRDefault="00C856E8" w:rsidP="00C856E8">
            <w:pPr>
              <w:pStyle w:val="Tabletext"/>
              <w:jc w:val="right"/>
              <w:rPr>
                <w:i/>
                <w:iCs/>
              </w:rPr>
            </w:pPr>
            <w:r w:rsidRPr="00223F1C">
              <w:rPr>
                <w:rFonts w:cs="Calibri"/>
                <w:i/>
                <w:color w:val="000000"/>
              </w:rPr>
              <w:t>-$79,381</w:t>
            </w:r>
          </w:p>
        </w:tc>
        <w:tc>
          <w:tcPr>
            <w:tcW w:w="1092" w:type="dxa"/>
            <w:noWrap/>
          </w:tcPr>
          <w:p w14:paraId="40080516" w14:textId="77777777" w:rsidR="00C856E8" w:rsidRPr="00223F1C" w:rsidRDefault="00C856E8" w:rsidP="00C856E8">
            <w:pPr>
              <w:pStyle w:val="Tabletext"/>
              <w:jc w:val="right"/>
              <w:rPr>
                <w:i/>
                <w:iCs/>
              </w:rPr>
            </w:pPr>
            <w:r w:rsidRPr="00223F1C">
              <w:rPr>
                <w:rFonts w:cs="Calibri"/>
                <w:i/>
                <w:color w:val="000000"/>
              </w:rPr>
              <w:t>78%</w:t>
            </w:r>
          </w:p>
        </w:tc>
      </w:tr>
      <w:tr w:rsidR="00C856E8" w:rsidRPr="00D901F5" w14:paraId="42BC9C4B" w14:textId="77777777" w:rsidTr="00C856E8">
        <w:trPr>
          <w:trHeight w:val="20"/>
        </w:trPr>
        <w:tc>
          <w:tcPr>
            <w:tcW w:w="4530" w:type="dxa"/>
          </w:tcPr>
          <w:p w14:paraId="4411C934" w14:textId="77777777" w:rsidR="00C856E8" w:rsidRPr="00906662" w:rsidRDefault="00C856E8" w:rsidP="00C856E8">
            <w:pPr>
              <w:pStyle w:val="Tabletext"/>
              <w:rPr>
                <w:iCs/>
              </w:rPr>
            </w:pPr>
            <w:r>
              <w:rPr>
                <w:iCs/>
              </w:rPr>
              <w:t>5 years</w:t>
            </w:r>
          </w:p>
        </w:tc>
        <w:tc>
          <w:tcPr>
            <w:tcW w:w="1283" w:type="dxa"/>
            <w:noWrap/>
          </w:tcPr>
          <w:p w14:paraId="7960B005" w14:textId="77777777" w:rsidR="00C856E8" w:rsidRPr="00223F1C" w:rsidRDefault="00C856E8" w:rsidP="00C856E8">
            <w:pPr>
              <w:pStyle w:val="Tabletext"/>
              <w:jc w:val="right"/>
              <w:rPr>
                <w:i/>
                <w:iCs/>
              </w:rPr>
            </w:pPr>
            <w:r w:rsidRPr="00223F1C">
              <w:rPr>
                <w:rFonts w:cs="Calibri"/>
                <w:i/>
                <w:color w:val="000000"/>
              </w:rPr>
              <w:t>-$5,048.80</w:t>
            </w:r>
          </w:p>
        </w:tc>
        <w:tc>
          <w:tcPr>
            <w:tcW w:w="1128" w:type="dxa"/>
            <w:noWrap/>
          </w:tcPr>
          <w:p w14:paraId="0D4DB1BF" w14:textId="77777777" w:rsidR="00C856E8" w:rsidRPr="00223F1C" w:rsidRDefault="00C856E8" w:rsidP="00C856E8">
            <w:pPr>
              <w:pStyle w:val="Tabletext"/>
              <w:jc w:val="right"/>
              <w:rPr>
                <w:i/>
                <w:iCs/>
              </w:rPr>
            </w:pPr>
            <w:r w:rsidRPr="00223F1C">
              <w:rPr>
                <w:rFonts w:cs="Calibri"/>
                <w:i/>
                <w:color w:val="000000"/>
              </w:rPr>
              <w:t>0.034</w:t>
            </w:r>
          </w:p>
        </w:tc>
        <w:tc>
          <w:tcPr>
            <w:tcW w:w="1237" w:type="dxa"/>
            <w:noWrap/>
          </w:tcPr>
          <w:p w14:paraId="78A89EA9" w14:textId="77777777" w:rsidR="00C856E8" w:rsidRPr="00223F1C" w:rsidRDefault="00C856E8" w:rsidP="00C856E8">
            <w:pPr>
              <w:pStyle w:val="Tabletext"/>
              <w:jc w:val="right"/>
              <w:rPr>
                <w:i/>
                <w:iCs/>
              </w:rPr>
            </w:pPr>
            <w:r w:rsidRPr="00223F1C">
              <w:rPr>
                <w:rFonts w:cs="Calibri"/>
                <w:i/>
                <w:color w:val="000000"/>
              </w:rPr>
              <w:t>-$147,023</w:t>
            </w:r>
          </w:p>
        </w:tc>
        <w:tc>
          <w:tcPr>
            <w:tcW w:w="1092" w:type="dxa"/>
            <w:noWrap/>
          </w:tcPr>
          <w:p w14:paraId="77DBB506" w14:textId="77777777" w:rsidR="00C856E8" w:rsidRPr="00223F1C" w:rsidRDefault="00C856E8" w:rsidP="00C856E8">
            <w:pPr>
              <w:pStyle w:val="Tabletext"/>
              <w:jc w:val="right"/>
              <w:rPr>
                <w:i/>
                <w:iCs/>
              </w:rPr>
            </w:pPr>
            <w:r w:rsidRPr="00223F1C">
              <w:rPr>
                <w:rFonts w:cs="Calibri"/>
                <w:i/>
                <w:color w:val="000000"/>
              </w:rPr>
              <w:t>229%</w:t>
            </w:r>
          </w:p>
        </w:tc>
      </w:tr>
      <w:tr w:rsidR="00C856E8" w:rsidRPr="00D901F5" w14:paraId="26902CF1" w14:textId="77777777" w:rsidTr="00C856E8">
        <w:trPr>
          <w:trHeight w:val="20"/>
        </w:trPr>
        <w:tc>
          <w:tcPr>
            <w:tcW w:w="4530" w:type="dxa"/>
          </w:tcPr>
          <w:p w14:paraId="58C4BF7D" w14:textId="77777777" w:rsidR="00C856E8" w:rsidRPr="00D901F5" w:rsidRDefault="00C856E8" w:rsidP="00C856E8">
            <w:pPr>
              <w:pStyle w:val="Tabletext"/>
            </w:pPr>
            <w:r>
              <w:t>Efficacy</w:t>
            </w:r>
          </w:p>
        </w:tc>
        <w:tc>
          <w:tcPr>
            <w:tcW w:w="1283" w:type="dxa"/>
          </w:tcPr>
          <w:p w14:paraId="0EF2FAE0" w14:textId="77777777" w:rsidR="00C856E8" w:rsidRPr="00223F1C" w:rsidRDefault="00C856E8" w:rsidP="00C856E8">
            <w:pPr>
              <w:pStyle w:val="Tabletext"/>
              <w:jc w:val="right"/>
              <w:rPr>
                <w:i/>
              </w:rPr>
            </w:pPr>
          </w:p>
        </w:tc>
        <w:tc>
          <w:tcPr>
            <w:tcW w:w="1128" w:type="dxa"/>
          </w:tcPr>
          <w:p w14:paraId="1A8F1C66" w14:textId="77777777" w:rsidR="00C856E8" w:rsidRPr="00223F1C" w:rsidRDefault="00C856E8" w:rsidP="00C856E8">
            <w:pPr>
              <w:pStyle w:val="Tabletext"/>
              <w:jc w:val="right"/>
              <w:rPr>
                <w:i/>
              </w:rPr>
            </w:pPr>
          </w:p>
        </w:tc>
        <w:tc>
          <w:tcPr>
            <w:tcW w:w="1237" w:type="dxa"/>
          </w:tcPr>
          <w:p w14:paraId="7F41314B" w14:textId="77777777" w:rsidR="00C856E8" w:rsidRPr="00223F1C" w:rsidRDefault="00C856E8" w:rsidP="00C856E8">
            <w:pPr>
              <w:pStyle w:val="Tabletext"/>
              <w:jc w:val="right"/>
              <w:rPr>
                <w:i/>
              </w:rPr>
            </w:pPr>
          </w:p>
        </w:tc>
        <w:tc>
          <w:tcPr>
            <w:tcW w:w="1092" w:type="dxa"/>
          </w:tcPr>
          <w:p w14:paraId="030D0BF3" w14:textId="77777777" w:rsidR="00C856E8" w:rsidRPr="00223F1C" w:rsidRDefault="00C856E8" w:rsidP="00C856E8">
            <w:pPr>
              <w:pStyle w:val="Tabletext"/>
              <w:jc w:val="right"/>
              <w:rPr>
                <w:i/>
              </w:rPr>
            </w:pPr>
          </w:p>
        </w:tc>
      </w:tr>
      <w:tr w:rsidR="00C856E8" w:rsidRPr="00D901F5" w14:paraId="0FEC0ED1" w14:textId="77777777" w:rsidTr="00C856E8">
        <w:trPr>
          <w:trHeight w:val="20"/>
        </w:trPr>
        <w:tc>
          <w:tcPr>
            <w:tcW w:w="4530" w:type="dxa"/>
          </w:tcPr>
          <w:p w14:paraId="0418CDDB" w14:textId="77777777" w:rsidR="00C856E8" w:rsidRPr="00D901F5" w:rsidRDefault="00C856E8" w:rsidP="00C856E8">
            <w:pPr>
              <w:pStyle w:val="Tabletext"/>
            </w:pPr>
            <w:r>
              <w:t>Use lower 95% CI for HR of AS/DT vs CA</w:t>
            </w:r>
          </w:p>
        </w:tc>
        <w:tc>
          <w:tcPr>
            <w:tcW w:w="1283" w:type="dxa"/>
            <w:noWrap/>
          </w:tcPr>
          <w:p w14:paraId="469E0CCC" w14:textId="77777777" w:rsidR="00C856E8" w:rsidRPr="00223F1C" w:rsidRDefault="00C856E8" w:rsidP="00C856E8">
            <w:pPr>
              <w:pStyle w:val="Tabletext"/>
              <w:jc w:val="right"/>
              <w:rPr>
                <w:i/>
                <w:iCs/>
              </w:rPr>
            </w:pPr>
            <w:r w:rsidRPr="00223F1C">
              <w:rPr>
                <w:rFonts w:cs="Calibri"/>
                <w:i/>
                <w:color w:val="000000"/>
              </w:rPr>
              <w:t>-$4,260.72</w:t>
            </w:r>
          </w:p>
        </w:tc>
        <w:tc>
          <w:tcPr>
            <w:tcW w:w="1128" w:type="dxa"/>
            <w:noWrap/>
          </w:tcPr>
          <w:p w14:paraId="385DB777" w14:textId="77777777" w:rsidR="00C856E8" w:rsidRPr="00223F1C" w:rsidRDefault="00C856E8" w:rsidP="00C856E8">
            <w:pPr>
              <w:pStyle w:val="Tabletext"/>
              <w:jc w:val="right"/>
              <w:rPr>
                <w:i/>
              </w:rPr>
            </w:pPr>
            <w:r w:rsidRPr="00223F1C">
              <w:rPr>
                <w:rFonts w:cs="Calibri"/>
                <w:i/>
                <w:color w:val="000000"/>
              </w:rPr>
              <w:t>0.036</w:t>
            </w:r>
          </w:p>
        </w:tc>
        <w:tc>
          <w:tcPr>
            <w:tcW w:w="1237" w:type="dxa"/>
            <w:noWrap/>
          </w:tcPr>
          <w:p w14:paraId="7E542366" w14:textId="77777777" w:rsidR="00C856E8" w:rsidRPr="00223F1C" w:rsidRDefault="00C856E8" w:rsidP="00C856E8">
            <w:pPr>
              <w:pStyle w:val="Tabletext"/>
              <w:jc w:val="right"/>
              <w:rPr>
                <w:i/>
                <w:iCs/>
              </w:rPr>
            </w:pPr>
            <w:r w:rsidRPr="00223F1C">
              <w:rPr>
                <w:rFonts w:cs="Calibri"/>
                <w:i/>
                <w:color w:val="000000"/>
              </w:rPr>
              <w:t>-$119,552</w:t>
            </w:r>
          </w:p>
        </w:tc>
        <w:tc>
          <w:tcPr>
            <w:tcW w:w="1092" w:type="dxa"/>
            <w:noWrap/>
          </w:tcPr>
          <w:p w14:paraId="7CDEF1B8" w14:textId="77777777" w:rsidR="00C856E8" w:rsidRPr="00223F1C" w:rsidRDefault="00C856E8" w:rsidP="00C856E8">
            <w:pPr>
              <w:pStyle w:val="Tabletext"/>
              <w:jc w:val="right"/>
              <w:rPr>
                <w:i/>
                <w:iCs/>
              </w:rPr>
            </w:pPr>
            <w:r w:rsidRPr="00223F1C">
              <w:rPr>
                <w:rFonts w:cs="Calibri"/>
                <w:i/>
                <w:color w:val="000000"/>
              </w:rPr>
              <w:t>168%</w:t>
            </w:r>
          </w:p>
        </w:tc>
      </w:tr>
      <w:tr w:rsidR="00C856E8" w:rsidRPr="00D901F5" w14:paraId="7DE988CC" w14:textId="77777777" w:rsidTr="00C856E8">
        <w:trPr>
          <w:trHeight w:val="20"/>
        </w:trPr>
        <w:tc>
          <w:tcPr>
            <w:tcW w:w="4530" w:type="dxa"/>
          </w:tcPr>
          <w:p w14:paraId="6E011BD9" w14:textId="77777777" w:rsidR="00C856E8" w:rsidRPr="00D901F5" w:rsidRDefault="00C856E8" w:rsidP="00C856E8">
            <w:pPr>
              <w:pStyle w:val="Tabletext"/>
            </w:pPr>
            <w:r>
              <w:t>Use upper 95% CI for HR of AS/DT vs CA</w:t>
            </w:r>
          </w:p>
        </w:tc>
        <w:tc>
          <w:tcPr>
            <w:tcW w:w="1283" w:type="dxa"/>
            <w:noWrap/>
          </w:tcPr>
          <w:p w14:paraId="3B964F50" w14:textId="77777777" w:rsidR="00C856E8" w:rsidRPr="00223F1C" w:rsidRDefault="00C856E8" w:rsidP="00C856E8">
            <w:pPr>
              <w:pStyle w:val="Tabletext"/>
              <w:jc w:val="right"/>
              <w:rPr>
                <w:i/>
                <w:iCs/>
              </w:rPr>
            </w:pPr>
            <w:r w:rsidRPr="00223F1C">
              <w:rPr>
                <w:rFonts w:cs="Calibri"/>
                <w:i/>
                <w:color w:val="000000"/>
              </w:rPr>
              <w:t>-$7,148.37</w:t>
            </w:r>
          </w:p>
        </w:tc>
        <w:tc>
          <w:tcPr>
            <w:tcW w:w="1128" w:type="dxa"/>
            <w:noWrap/>
          </w:tcPr>
          <w:p w14:paraId="106D9718" w14:textId="77777777" w:rsidR="00C856E8" w:rsidRPr="00223F1C" w:rsidRDefault="00C856E8" w:rsidP="00C856E8">
            <w:pPr>
              <w:pStyle w:val="Tabletext"/>
              <w:jc w:val="right"/>
              <w:rPr>
                <w:i/>
              </w:rPr>
            </w:pPr>
            <w:r w:rsidRPr="00223F1C">
              <w:rPr>
                <w:rFonts w:cs="Calibri"/>
                <w:i/>
                <w:color w:val="000000"/>
              </w:rPr>
              <w:t>0.373</w:t>
            </w:r>
          </w:p>
        </w:tc>
        <w:tc>
          <w:tcPr>
            <w:tcW w:w="1237" w:type="dxa"/>
            <w:noWrap/>
          </w:tcPr>
          <w:p w14:paraId="574A1DD4" w14:textId="77777777" w:rsidR="00C856E8" w:rsidRPr="00223F1C" w:rsidRDefault="00C856E8" w:rsidP="00C856E8">
            <w:pPr>
              <w:pStyle w:val="Tabletext"/>
              <w:jc w:val="right"/>
              <w:rPr>
                <w:i/>
                <w:iCs/>
              </w:rPr>
            </w:pPr>
            <w:r w:rsidRPr="00223F1C">
              <w:rPr>
                <w:rFonts w:cs="Calibri"/>
                <w:i/>
                <w:color w:val="000000"/>
              </w:rPr>
              <w:t>-$19,167</w:t>
            </w:r>
          </w:p>
        </w:tc>
        <w:tc>
          <w:tcPr>
            <w:tcW w:w="1092" w:type="dxa"/>
            <w:noWrap/>
          </w:tcPr>
          <w:p w14:paraId="51672B00" w14:textId="77777777" w:rsidR="00C856E8" w:rsidRPr="00223F1C" w:rsidRDefault="00C856E8" w:rsidP="00C856E8">
            <w:pPr>
              <w:pStyle w:val="Tabletext"/>
              <w:jc w:val="right"/>
              <w:rPr>
                <w:i/>
                <w:iCs/>
              </w:rPr>
            </w:pPr>
            <w:r w:rsidRPr="00223F1C">
              <w:rPr>
                <w:rFonts w:cs="Calibri"/>
                <w:i/>
                <w:color w:val="000000"/>
              </w:rPr>
              <w:t>-57%</w:t>
            </w:r>
          </w:p>
        </w:tc>
      </w:tr>
      <w:tr w:rsidR="00C856E8" w:rsidRPr="00D901F5" w14:paraId="72D73A04" w14:textId="77777777" w:rsidTr="00C856E8">
        <w:trPr>
          <w:trHeight w:val="20"/>
        </w:trPr>
        <w:tc>
          <w:tcPr>
            <w:tcW w:w="4530" w:type="dxa"/>
          </w:tcPr>
          <w:p w14:paraId="0331E63C" w14:textId="77777777" w:rsidR="00C856E8" w:rsidRPr="00906662" w:rsidRDefault="00C856E8" w:rsidP="00C856E8">
            <w:pPr>
              <w:pStyle w:val="Tabletext"/>
              <w:rPr>
                <w:iCs/>
              </w:rPr>
            </w:pPr>
            <w:r>
              <w:rPr>
                <w:iCs/>
              </w:rPr>
              <w:t>Use digitised CSS curves for CA and AS/DT</w:t>
            </w:r>
          </w:p>
        </w:tc>
        <w:tc>
          <w:tcPr>
            <w:tcW w:w="1283" w:type="dxa"/>
            <w:noWrap/>
          </w:tcPr>
          <w:p w14:paraId="2C5A4378" w14:textId="77777777" w:rsidR="00C856E8" w:rsidRPr="00223F1C" w:rsidRDefault="00C856E8" w:rsidP="00C856E8">
            <w:pPr>
              <w:pStyle w:val="Tabletext"/>
              <w:jc w:val="right"/>
              <w:rPr>
                <w:i/>
                <w:iCs/>
              </w:rPr>
            </w:pPr>
            <w:r w:rsidRPr="00223F1C">
              <w:rPr>
                <w:rFonts w:cs="Calibri"/>
                <w:i/>
                <w:color w:val="000000"/>
              </w:rPr>
              <w:t>-$4,987.82</w:t>
            </w:r>
          </w:p>
        </w:tc>
        <w:tc>
          <w:tcPr>
            <w:tcW w:w="1128" w:type="dxa"/>
            <w:noWrap/>
          </w:tcPr>
          <w:p w14:paraId="1DDB2ADD" w14:textId="77777777" w:rsidR="00C856E8" w:rsidRPr="00223F1C" w:rsidRDefault="00C856E8" w:rsidP="00C856E8">
            <w:pPr>
              <w:pStyle w:val="Tabletext"/>
              <w:jc w:val="right"/>
              <w:rPr>
                <w:i/>
                <w:iCs/>
              </w:rPr>
            </w:pPr>
            <w:r w:rsidRPr="00223F1C">
              <w:rPr>
                <w:rFonts w:cs="Calibri"/>
                <w:i/>
                <w:color w:val="000000"/>
              </w:rPr>
              <w:t>0.164</w:t>
            </w:r>
          </w:p>
        </w:tc>
        <w:tc>
          <w:tcPr>
            <w:tcW w:w="1237" w:type="dxa"/>
            <w:noWrap/>
          </w:tcPr>
          <w:p w14:paraId="7C0829B6" w14:textId="77777777" w:rsidR="00C856E8" w:rsidRPr="00223F1C" w:rsidRDefault="00C856E8" w:rsidP="00C856E8">
            <w:pPr>
              <w:pStyle w:val="Tabletext"/>
              <w:jc w:val="right"/>
              <w:rPr>
                <w:i/>
                <w:iCs/>
              </w:rPr>
            </w:pPr>
            <w:r w:rsidRPr="00223F1C">
              <w:rPr>
                <w:rFonts w:cs="Calibri"/>
                <w:i/>
                <w:color w:val="000000"/>
              </w:rPr>
              <w:t>-$30,381</w:t>
            </w:r>
          </w:p>
        </w:tc>
        <w:tc>
          <w:tcPr>
            <w:tcW w:w="1092" w:type="dxa"/>
            <w:noWrap/>
          </w:tcPr>
          <w:p w14:paraId="60352B9E" w14:textId="77777777" w:rsidR="00C856E8" w:rsidRPr="00223F1C" w:rsidRDefault="00C856E8" w:rsidP="00C856E8">
            <w:pPr>
              <w:pStyle w:val="Tabletext"/>
              <w:jc w:val="right"/>
              <w:rPr>
                <w:i/>
                <w:iCs/>
              </w:rPr>
            </w:pPr>
            <w:r w:rsidRPr="00223F1C">
              <w:rPr>
                <w:rFonts w:cs="Calibri"/>
                <w:i/>
                <w:color w:val="000000"/>
              </w:rPr>
              <w:t>-32%</w:t>
            </w:r>
          </w:p>
        </w:tc>
      </w:tr>
      <w:tr w:rsidR="00C856E8" w:rsidRPr="00D901F5" w14:paraId="26430B97" w14:textId="77777777" w:rsidTr="00C856E8">
        <w:trPr>
          <w:trHeight w:val="20"/>
        </w:trPr>
        <w:tc>
          <w:tcPr>
            <w:tcW w:w="4530" w:type="dxa"/>
          </w:tcPr>
          <w:p w14:paraId="45D9A1B1" w14:textId="77777777" w:rsidR="00C856E8" w:rsidRPr="00906662" w:rsidRDefault="00C856E8" w:rsidP="00C856E8">
            <w:pPr>
              <w:pStyle w:val="Tabletext"/>
              <w:rPr>
                <w:iCs/>
              </w:rPr>
            </w:pPr>
            <w:r>
              <w:rPr>
                <w:iCs/>
              </w:rPr>
              <w:t>Use digitised OS curves for CA and AS/DT</w:t>
            </w:r>
          </w:p>
        </w:tc>
        <w:tc>
          <w:tcPr>
            <w:tcW w:w="1283" w:type="dxa"/>
            <w:noWrap/>
          </w:tcPr>
          <w:p w14:paraId="491CCF0E" w14:textId="77777777" w:rsidR="00C856E8" w:rsidRPr="00223F1C" w:rsidRDefault="00C856E8" w:rsidP="00C856E8">
            <w:pPr>
              <w:pStyle w:val="Tabletext"/>
              <w:jc w:val="right"/>
              <w:rPr>
                <w:i/>
                <w:iCs/>
              </w:rPr>
            </w:pPr>
            <w:r w:rsidRPr="00223F1C">
              <w:rPr>
                <w:rFonts w:cs="Calibri"/>
                <w:i/>
                <w:color w:val="000000"/>
              </w:rPr>
              <w:t>-$6,145.63</w:t>
            </w:r>
          </w:p>
        </w:tc>
        <w:tc>
          <w:tcPr>
            <w:tcW w:w="1128" w:type="dxa"/>
            <w:noWrap/>
          </w:tcPr>
          <w:p w14:paraId="7140180F" w14:textId="77777777" w:rsidR="00C856E8" w:rsidRPr="00223F1C" w:rsidRDefault="00C856E8" w:rsidP="00C856E8">
            <w:pPr>
              <w:pStyle w:val="Tabletext"/>
              <w:jc w:val="right"/>
              <w:rPr>
                <w:i/>
                <w:iCs/>
              </w:rPr>
            </w:pPr>
            <w:r w:rsidRPr="00223F1C">
              <w:rPr>
                <w:rFonts w:cs="Calibri"/>
                <w:i/>
                <w:color w:val="000000"/>
              </w:rPr>
              <w:t>0.562</w:t>
            </w:r>
          </w:p>
        </w:tc>
        <w:tc>
          <w:tcPr>
            <w:tcW w:w="1237" w:type="dxa"/>
            <w:noWrap/>
          </w:tcPr>
          <w:p w14:paraId="42E7FEB2" w14:textId="77777777" w:rsidR="00C856E8" w:rsidRPr="00223F1C" w:rsidRDefault="00C856E8" w:rsidP="00C856E8">
            <w:pPr>
              <w:pStyle w:val="Tabletext"/>
              <w:jc w:val="right"/>
              <w:rPr>
                <w:i/>
                <w:iCs/>
              </w:rPr>
            </w:pPr>
            <w:r w:rsidRPr="00223F1C">
              <w:rPr>
                <w:rFonts w:cs="Calibri"/>
                <w:i/>
                <w:color w:val="000000"/>
              </w:rPr>
              <w:t>-$10,935</w:t>
            </w:r>
          </w:p>
        </w:tc>
        <w:tc>
          <w:tcPr>
            <w:tcW w:w="1092" w:type="dxa"/>
            <w:noWrap/>
          </w:tcPr>
          <w:p w14:paraId="5922C742" w14:textId="77777777" w:rsidR="00C856E8" w:rsidRPr="00223F1C" w:rsidRDefault="00C856E8" w:rsidP="00C856E8">
            <w:pPr>
              <w:pStyle w:val="Tabletext"/>
              <w:jc w:val="right"/>
              <w:rPr>
                <w:i/>
                <w:iCs/>
              </w:rPr>
            </w:pPr>
            <w:r w:rsidRPr="00223F1C">
              <w:rPr>
                <w:rFonts w:cs="Calibri"/>
                <w:i/>
                <w:color w:val="000000"/>
              </w:rPr>
              <w:t>-76%</w:t>
            </w:r>
          </w:p>
        </w:tc>
      </w:tr>
      <w:tr w:rsidR="00C856E8" w:rsidRPr="00D901F5" w14:paraId="3EFF648A" w14:textId="77777777" w:rsidTr="00C856E8">
        <w:trPr>
          <w:trHeight w:val="20"/>
        </w:trPr>
        <w:tc>
          <w:tcPr>
            <w:tcW w:w="4530" w:type="dxa"/>
            <w:noWrap/>
          </w:tcPr>
          <w:p w14:paraId="752066CF" w14:textId="77777777" w:rsidR="00C856E8" w:rsidRPr="00906662" w:rsidRDefault="00C856E8" w:rsidP="00C856E8">
            <w:pPr>
              <w:pStyle w:val="Tabletext"/>
              <w:rPr>
                <w:i/>
              </w:rPr>
            </w:pPr>
            <w:r w:rsidRPr="00906662">
              <w:rPr>
                <w:i/>
              </w:rPr>
              <w:t xml:space="preserve">Change % receiving </w:t>
            </w:r>
            <w:r>
              <w:rPr>
                <w:i/>
              </w:rPr>
              <w:t>delayed</w:t>
            </w:r>
            <w:r w:rsidRPr="00906662">
              <w:rPr>
                <w:i/>
              </w:rPr>
              <w:t xml:space="preserve"> therapy to 100%</w:t>
            </w:r>
          </w:p>
        </w:tc>
        <w:tc>
          <w:tcPr>
            <w:tcW w:w="1283" w:type="dxa"/>
            <w:noWrap/>
          </w:tcPr>
          <w:p w14:paraId="771513EC" w14:textId="77777777" w:rsidR="00C856E8" w:rsidRPr="00223F1C" w:rsidRDefault="00C856E8" w:rsidP="00C856E8">
            <w:pPr>
              <w:pStyle w:val="Tabletext"/>
              <w:jc w:val="right"/>
              <w:rPr>
                <w:i/>
              </w:rPr>
            </w:pPr>
            <w:r w:rsidRPr="00223F1C">
              <w:rPr>
                <w:rFonts w:cs="Calibri"/>
                <w:i/>
              </w:rPr>
              <w:t>-$6,336.57</w:t>
            </w:r>
          </w:p>
        </w:tc>
        <w:tc>
          <w:tcPr>
            <w:tcW w:w="1128" w:type="dxa"/>
            <w:noWrap/>
          </w:tcPr>
          <w:p w14:paraId="7EAA4755" w14:textId="77777777" w:rsidR="00C856E8" w:rsidRPr="00223F1C" w:rsidRDefault="00C856E8" w:rsidP="00C856E8">
            <w:pPr>
              <w:pStyle w:val="Tabletext"/>
              <w:jc w:val="right"/>
              <w:rPr>
                <w:i/>
              </w:rPr>
            </w:pPr>
            <w:r w:rsidRPr="00223F1C">
              <w:rPr>
                <w:rFonts w:cs="Calibri"/>
                <w:i/>
              </w:rPr>
              <w:t>0.110</w:t>
            </w:r>
          </w:p>
        </w:tc>
        <w:tc>
          <w:tcPr>
            <w:tcW w:w="1237" w:type="dxa"/>
            <w:noWrap/>
          </w:tcPr>
          <w:p w14:paraId="657F78CB" w14:textId="77777777" w:rsidR="00C856E8" w:rsidRPr="00223F1C" w:rsidRDefault="00C856E8" w:rsidP="00C856E8">
            <w:pPr>
              <w:pStyle w:val="Tabletext"/>
              <w:jc w:val="right"/>
              <w:rPr>
                <w:i/>
              </w:rPr>
            </w:pPr>
            <w:r w:rsidRPr="00223F1C">
              <w:rPr>
                <w:rFonts w:cs="Calibri"/>
                <w:i/>
              </w:rPr>
              <w:t>-$57,831</w:t>
            </w:r>
          </w:p>
        </w:tc>
        <w:tc>
          <w:tcPr>
            <w:tcW w:w="1092" w:type="dxa"/>
            <w:noWrap/>
          </w:tcPr>
          <w:p w14:paraId="6649F9C2" w14:textId="77777777" w:rsidR="00C856E8" w:rsidRPr="00223F1C" w:rsidRDefault="00C856E8" w:rsidP="00C856E8">
            <w:pPr>
              <w:pStyle w:val="Tabletext"/>
              <w:jc w:val="right"/>
              <w:rPr>
                <w:i/>
              </w:rPr>
            </w:pPr>
            <w:r w:rsidRPr="00223F1C">
              <w:rPr>
                <w:rFonts w:cs="Calibri"/>
                <w:i/>
              </w:rPr>
              <w:t>29%</w:t>
            </w:r>
          </w:p>
        </w:tc>
      </w:tr>
      <w:tr w:rsidR="00C856E8" w:rsidRPr="00D901F5" w14:paraId="19669FCD" w14:textId="77777777" w:rsidTr="00C856E8">
        <w:trPr>
          <w:trHeight w:val="20"/>
        </w:trPr>
        <w:tc>
          <w:tcPr>
            <w:tcW w:w="4530" w:type="dxa"/>
          </w:tcPr>
          <w:p w14:paraId="66C0CC89" w14:textId="77777777" w:rsidR="00C856E8" w:rsidRPr="00906662" w:rsidRDefault="00C856E8" w:rsidP="00C856E8">
            <w:pPr>
              <w:pStyle w:val="Tabletext"/>
            </w:pPr>
            <w:r w:rsidRPr="00906662">
              <w:t xml:space="preserve">Change % receiving </w:t>
            </w:r>
            <w:r>
              <w:t>delayed</w:t>
            </w:r>
            <w:r w:rsidRPr="00906662">
              <w:t xml:space="preserve"> therapy to </w:t>
            </w:r>
            <w:r>
              <w:t>50</w:t>
            </w:r>
            <w:r w:rsidRPr="00906662">
              <w:t>%</w:t>
            </w:r>
          </w:p>
        </w:tc>
        <w:tc>
          <w:tcPr>
            <w:tcW w:w="1283" w:type="dxa"/>
            <w:noWrap/>
          </w:tcPr>
          <w:p w14:paraId="0D738BC6" w14:textId="77777777" w:rsidR="00C856E8" w:rsidRPr="00223F1C" w:rsidRDefault="00C856E8" w:rsidP="00C856E8">
            <w:pPr>
              <w:pStyle w:val="Tabletext"/>
              <w:jc w:val="right"/>
              <w:rPr>
                <w:i/>
                <w:iCs/>
              </w:rPr>
            </w:pPr>
            <w:r w:rsidRPr="00223F1C">
              <w:rPr>
                <w:rFonts w:cs="Calibri"/>
                <w:i/>
                <w:color w:val="000000"/>
              </w:rPr>
              <w:t>-$1,827.38</w:t>
            </w:r>
          </w:p>
        </w:tc>
        <w:tc>
          <w:tcPr>
            <w:tcW w:w="1128" w:type="dxa"/>
            <w:noWrap/>
          </w:tcPr>
          <w:p w14:paraId="24C5E2E7" w14:textId="77777777" w:rsidR="00C856E8" w:rsidRPr="00223F1C" w:rsidRDefault="00C856E8" w:rsidP="00C856E8">
            <w:pPr>
              <w:pStyle w:val="Tabletext"/>
              <w:jc w:val="right"/>
              <w:rPr>
                <w:i/>
              </w:rPr>
            </w:pPr>
            <w:r w:rsidRPr="00223F1C">
              <w:rPr>
                <w:rFonts w:cs="Calibri"/>
                <w:i/>
                <w:color w:val="000000"/>
              </w:rPr>
              <w:t>0.110</w:t>
            </w:r>
          </w:p>
        </w:tc>
        <w:tc>
          <w:tcPr>
            <w:tcW w:w="1237" w:type="dxa"/>
            <w:noWrap/>
          </w:tcPr>
          <w:p w14:paraId="569E85B1" w14:textId="77777777" w:rsidR="00C856E8" w:rsidRPr="00223F1C" w:rsidRDefault="00C856E8" w:rsidP="00C856E8">
            <w:pPr>
              <w:pStyle w:val="Tabletext"/>
              <w:jc w:val="right"/>
              <w:rPr>
                <w:i/>
                <w:iCs/>
              </w:rPr>
            </w:pPr>
            <w:r w:rsidRPr="00223F1C">
              <w:rPr>
                <w:rFonts w:cs="Calibri"/>
                <w:i/>
                <w:color w:val="000000"/>
              </w:rPr>
              <w:t>-$16,678</w:t>
            </w:r>
          </w:p>
        </w:tc>
        <w:tc>
          <w:tcPr>
            <w:tcW w:w="1092" w:type="dxa"/>
            <w:noWrap/>
          </w:tcPr>
          <w:p w14:paraId="1A7BC5F9" w14:textId="77777777" w:rsidR="00C856E8" w:rsidRPr="00223F1C" w:rsidRDefault="00C856E8" w:rsidP="00C856E8">
            <w:pPr>
              <w:pStyle w:val="Tabletext"/>
              <w:jc w:val="right"/>
              <w:rPr>
                <w:i/>
                <w:iCs/>
              </w:rPr>
            </w:pPr>
            <w:r w:rsidRPr="00223F1C">
              <w:rPr>
                <w:rFonts w:cs="Calibri"/>
                <w:i/>
                <w:color w:val="000000"/>
              </w:rPr>
              <w:t>-63%</w:t>
            </w:r>
          </w:p>
        </w:tc>
      </w:tr>
      <w:tr w:rsidR="00C856E8" w:rsidRPr="00D901F5" w14:paraId="0AC599FC" w14:textId="77777777" w:rsidTr="00C856E8">
        <w:trPr>
          <w:trHeight w:val="20"/>
        </w:trPr>
        <w:tc>
          <w:tcPr>
            <w:tcW w:w="4530" w:type="dxa"/>
          </w:tcPr>
          <w:p w14:paraId="110D33BF" w14:textId="77777777" w:rsidR="00C856E8" w:rsidRPr="00F41C11" w:rsidRDefault="00C856E8" w:rsidP="00C856E8">
            <w:pPr>
              <w:pStyle w:val="Tabletext"/>
              <w:rPr>
                <w:i/>
              </w:rPr>
            </w:pPr>
            <w:r w:rsidRPr="00F41C11">
              <w:rPr>
                <w:i/>
              </w:rPr>
              <w:t xml:space="preserve">Change % receiving </w:t>
            </w:r>
            <w:r>
              <w:rPr>
                <w:i/>
              </w:rPr>
              <w:t>delayed</w:t>
            </w:r>
            <w:r w:rsidRPr="00F41C11">
              <w:rPr>
                <w:i/>
              </w:rPr>
              <w:t xml:space="preserve"> therapy to </w:t>
            </w:r>
            <w:r>
              <w:rPr>
                <w:i/>
              </w:rPr>
              <w:t>0</w:t>
            </w:r>
            <w:r w:rsidRPr="00F41C11">
              <w:rPr>
                <w:i/>
              </w:rPr>
              <w:t>%</w:t>
            </w:r>
          </w:p>
        </w:tc>
        <w:tc>
          <w:tcPr>
            <w:tcW w:w="1283" w:type="dxa"/>
            <w:noWrap/>
          </w:tcPr>
          <w:p w14:paraId="4286E9AC" w14:textId="77777777" w:rsidR="00C856E8" w:rsidRPr="00223F1C" w:rsidRDefault="00C856E8" w:rsidP="00C856E8">
            <w:pPr>
              <w:pStyle w:val="Tabletext"/>
              <w:jc w:val="right"/>
              <w:rPr>
                <w:rFonts w:cs="Calibri"/>
                <w:i/>
                <w:color w:val="000000"/>
              </w:rPr>
            </w:pPr>
            <w:r w:rsidRPr="00F41C11">
              <w:rPr>
                <w:rFonts w:cs="Calibri"/>
                <w:i/>
                <w:color w:val="000000"/>
              </w:rPr>
              <w:t>$2,681.81</w:t>
            </w:r>
          </w:p>
        </w:tc>
        <w:tc>
          <w:tcPr>
            <w:tcW w:w="1128" w:type="dxa"/>
            <w:noWrap/>
          </w:tcPr>
          <w:p w14:paraId="4CBF49AB" w14:textId="77777777" w:rsidR="00C856E8" w:rsidRPr="00223F1C" w:rsidRDefault="00C856E8" w:rsidP="00C856E8">
            <w:pPr>
              <w:pStyle w:val="Tabletext"/>
              <w:jc w:val="right"/>
              <w:rPr>
                <w:rFonts w:cs="Calibri"/>
                <w:i/>
                <w:color w:val="000000"/>
              </w:rPr>
            </w:pPr>
            <w:r w:rsidRPr="00F41C11">
              <w:rPr>
                <w:rFonts w:cs="Calibri"/>
                <w:i/>
                <w:color w:val="000000"/>
              </w:rPr>
              <w:t>0.110</w:t>
            </w:r>
          </w:p>
        </w:tc>
        <w:tc>
          <w:tcPr>
            <w:tcW w:w="1237" w:type="dxa"/>
            <w:noWrap/>
          </w:tcPr>
          <w:p w14:paraId="617A0B52" w14:textId="77777777" w:rsidR="00C856E8" w:rsidRPr="00223F1C" w:rsidRDefault="00C856E8" w:rsidP="00C856E8">
            <w:pPr>
              <w:pStyle w:val="Tabletext"/>
              <w:jc w:val="right"/>
              <w:rPr>
                <w:rFonts w:cs="Calibri"/>
                <w:i/>
                <w:color w:val="000000"/>
              </w:rPr>
            </w:pPr>
            <w:r w:rsidRPr="00F41C11">
              <w:rPr>
                <w:rFonts w:cs="Calibri"/>
                <w:i/>
                <w:color w:val="000000"/>
              </w:rPr>
              <w:t>$24,475</w:t>
            </w:r>
          </w:p>
        </w:tc>
        <w:tc>
          <w:tcPr>
            <w:tcW w:w="1092" w:type="dxa"/>
            <w:noWrap/>
          </w:tcPr>
          <w:p w14:paraId="22113FB4" w14:textId="77777777" w:rsidR="00C856E8" w:rsidRPr="00223F1C" w:rsidRDefault="00C856E8" w:rsidP="00C856E8">
            <w:pPr>
              <w:pStyle w:val="Tabletext"/>
              <w:jc w:val="right"/>
              <w:rPr>
                <w:rFonts w:cs="Calibri"/>
                <w:i/>
                <w:color w:val="000000"/>
              </w:rPr>
            </w:pPr>
            <w:r w:rsidRPr="00F41C11">
              <w:rPr>
                <w:rFonts w:cs="Calibri"/>
                <w:i/>
                <w:color w:val="000000"/>
              </w:rPr>
              <w:t>-155%</w:t>
            </w:r>
          </w:p>
        </w:tc>
      </w:tr>
      <w:tr w:rsidR="00C856E8" w:rsidRPr="00D901F5" w14:paraId="3A9033AB" w14:textId="77777777" w:rsidTr="00C856E8">
        <w:trPr>
          <w:trHeight w:val="20"/>
        </w:trPr>
        <w:tc>
          <w:tcPr>
            <w:tcW w:w="4530" w:type="dxa"/>
          </w:tcPr>
          <w:p w14:paraId="59B117DC" w14:textId="77777777" w:rsidR="00C856E8" w:rsidRPr="00D901F5" w:rsidRDefault="00C856E8" w:rsidP="00C856E8">
            <w:pPr>
              <w:pStyle w:val="Tabletext"/>
            </w:pPr>
            <w:r>
              <w:t>Change time of delayed therapy to 1.6 years</w:t>
            </w:r>
          </w:p>
        </w:tc>
        <w:tc>
          <w:tcPr>
            <w:tcW w:w="1283" w:type="dxa"/>
            <w:noWrap/>
          </w:tcPr>
          <w:p w14:paraId="79ED3F6A" w14:textId="77777777" w:rsidR="00C856E8" w:rsidRPr="00223F1C" w:rsidRDefault="00C856E8" w:rsidP="00C856E8">
            <w:pPr>
              <w:pStyle w:val="Tabletext"/>
              <w:jc w:val="right"/>
              <w:rPr>
                <w:i/>
                <w:iCs/>
              </w:rPr>
            </w:pPr>
            <w:r w:rsidRPr="00223F1C">
              <w:rPr>
                <w:rFonts w:cs="Calibri"/>
                <w:i/>
                <w:color w:val="000000"/>
              </w:rPr>
              <w:t>-$5,122.75</w:t>
            </w:r>
          </w:p>
        </w:tc>
        <w:tc>
          <w:tcPr>
            <w:tcW w:w="1128" w:type="dxa"/>
            <w:noWrap/>
          </w:tcPr>
          <w:p w14:paraId="1DA6C650" w14:textId="77777777" w:rsidR="00C856E8" w:rsidRPr="00223F1C" w:rsidRDefault="00C856E8" w:rsidP="00C856E8">
            <w:pPr>
              <w:pStyle w:val="Tabletext"/>
              <w:jc w:val="right"/>
              <w:rPr>
                <w:i/>
              </w:rPr>
            </w:pPr>
            <w:r w:rsidRPr="00223F1C">
              <w:rPr>
                <w:rFonts w:cs="Calibri"/>
                <w:i/>
                <w:color w:val="000000"/>
              </w:rPr>
              <w:t>0.100</w:t>
            </w:r>
          </w:p>
        </w:tc>
        <w:tc>
          <w:tcPr>
            <w:tcW w:w="1237" w:type="dxa"/>
            <w:noWrap/>
          </w:tcPr>
          <w:p w14:paraId="2212A7D5" w14:textId="77777777" w:rsidR="00C856E8" w:rsidRPr="00223F1C" w:rsidRDefault="00C856E8" w:rsidP="00C856E8">
            <w:pPr>
              <w:pStyle w:val="Tabletext"/>
              <w:jc w:val="right"/>
              <w:rPr>
                <w:i/>
                <w:iCs/>
              </w:rPr>
            </w:pPr>
            <w:r w:rsidRPr="00223F1C">
              <w:rPr>
                <w:rFonts w:cs="Calibri"/>
                <w:i/>
                <w:color w:val="000000"/>
              </w:rPr>
              <w:t>-$51,328</w:t>
            </w:r>
          </w:p>
        </w:tc>
        <w:tc>
          <w:tcPr>
            <w:tcW w:w="1092" w:type="dxa"/>
            <w:noWrap/>
          </w:tcPr>
          <w:p w14:paraId="40BD55C5" w14:textId="77777777" w:rsidR="00C856E8" w:rsidRPr="00223F1C" w:rsidRDefault="00C856E8" w:rsidP="00C856E8">
            <w:pPr>
              <w:pStyle w:val="Tabletext"/>
              <w:jc w:val="right"/>
              <w:rPr>
                <w:i/>
                <w:iCs/>
              </w:rPr>
            </w:pPr>
            <w:r w:rsidRPr="00223F1C">
              <w:rPr>
                <w:rFonts w:cs="Calibri"/>
                <w:i/>
                <w:color w:val="000000"/>
              </w:rPr>
              <w:t>15%</w:t>
            </w:r>
          </w:p>
        </w:tc>
      </w:tr>
      <w:tr w:rsidR="00C856E8" w:rsidRPr="00D901F5" w14:paraId="32811804" w14:textId="77777777" w:rsidTr="00C856E8">
        <w:trPr>
          <w:trHeight w:val="20"/>
        </w:trPr>
        <w:tc>
          <w:tcPr>
            <w:tcW w:w="4530" w:type="dxa"/>
          </w:tcPr>
          <w:p w14:paraId="491AFD70" w14:textId="77777777" w:rsidR="00C856E8" w:rsidRPr="00D901F5" w:rsidRDefault="00C856E8" w:rsidP="00C856E8">
            <w:pPr>
              <w:pStyle w:val="Tabletext"/>
            </w:pPr>
            <w:r>
              <w:t>Change time of delayed therapy to 5 years</w:t>
            </w:r>
          </w:p>
        </w:tc>
        <w:tc>
          <w:tcPr>
            <w:tcW w:w="1283" w:type="dxa"/>
            <w:noWrap/>
          </w:tcPr>
          <w:p w14:paraId="2B79951E" w14:textId="77777777" w:rsidR="00C856E8" w:rsidRPr="00223F1C" w:rsidRDefault="00C856E8" w:rsidP="00C856E8">
            <w:pPr>
              <w:pStyle w:val="Tabletext"/>
              <w:jc w:val="right"/>
              <w:rPr>
                <w:i/>
                <w:iCs/>
              </w:rPr>
            </w:pPr>
            <w:r w:rsidRPr="00223F1C">
              <w:rPr>
                <w:rFonts w:cs="Calibri"/>
                <w:i/>
                <w:color w:val="000000"/>
              </w:rPr>
              <w:t>-$4,443.32</w:t>
            </w:r>
          </w:p>
        </w:tc>
        <w:tc>
          <w:tcPr>
            <w:tcW w:w="1128" w:type="dxa"/>
            <w:noWrap/>
          </w:tcPr>
          <w:p w14:paraId="725A7B29" w14:textId="77777777" w:rsidR="00C856E8" w:rsidRPr="00223F1C" w:rsidRDefault="00C856E8" w:rsidP="00C856E8">
            <w:pPr>
              <w:pStyle w:val="Tabletext"/>
              <w:jc w:val="right"/>
              <w:rPr>
                <w:i/>
              </w:rPr>
            </w:pPr>
            <w:r w:rsidRPr="00223F1C">
              <w:rPr>
                <w:rFonts w:cs="Calibri"/>
                <w:i/>
                <w:color w:val="000000"/>
              </w:rPr>
              <w:t>0.109</w:t>
            </w:r>
          </w:p>
        </w:tc>
        <w:tc>
          <w:tcPr>
            <w:tcW w:w="1237" w:type="dxa"/>
            <w:noWrap/>
          </w:tcPr>
          <w:p w14:paraId="1433B6E1" w14:textId="77777777" w:rsidR="00C856E8" w:rsidRPr="00223F1C" w:rsidRDefault="00C856E8" w:rsidP="00C856E8">
            <w:pPr>
              <w:pStyle w:val="Tabletext"/>
              <w:jc w:val="right"/>
              <w:rPr>
                <w:i/>
                <w:iCs/>
              </w:rPr>
            </w:pPr>
            <w:r w:rsidRPr="00223F1C">
              <w:rPr>
                <w:rFonts w:cs="Calibri"/>
                <w:i/>
                <w:color w:val="000000"/>
              </w:rPr>
              <w:t>-$40,891</w:t>
            </w:r>
          </w:p>
        </w:tc>
        <w:tc>
          <w:tcPr>
            <w:tcW w:w="1092" w:type="dxa"/>
            <w:noWrap/>
          </w:tcPr>
          <w:p w14:paraId="1EFB8745" w14:textId="77777777" w:rsidR="00C856E8" w:rsidRPr="00223F1C" w:rsidRDefault="00C856E8" w:rsidP="00C856E8">
            <w:pPr>
              <w:pStyle w:val="Tabletext"/>
              <w:jc w:val="right"/>
              <w:rPr>
                <w:i/>
                <w:iCs/>
              </w:rPr>
            </w:pPr>
            <w:r w:rsidRPr="00223F1C">
              <w:rPr>
                <w:rFonts w:cs="Calibri"/>
                <w:i/>
                <w:color w:val="000000"/>
              </w:rPr>
              <w:t>-8%</w:t>
            </w:r>
          </w:p>
        </w:tc>
      </w:tr>
      <w:tr w:rsidR="00C856E8" w:rsidRPr="00D901F5" w14:paraId="4ED2D7EB" w14:textId="77777777" w:rsidTr="00C856E8">
        <w:trPr>
          <w:trHeight w:val="20"/>
        </w:trPr>
        <w:tc>
          <w:tcPr>
            <w:tcW w:w="4530" w:type="dxa"/>
          </w:tcPr>
          <w:p w14:paraId="1D8322E7" w14:textId="77777777" w:rsidR="00C856E8" w:rsidRPr="00D901F5" w:rsidRDefault="00C856E8" w:rsidP="00C856E8">
            <w:pPr>
              <w:pStyle w:val="Tabletext"/>
              <w:rPr>
                <w:i/>
                <w:iCs/>
              </w:rPr>
            </w:pPr>
            <w:r>
              <w:t>Change time of delayed therapy to 7 years</w:t>
            </w:r>
          </w:p>
        </w:tc>
        <w:tc>
          <w:tcPr>
            <w:tcW w:w="1283" w:type="dxa"/>
            <w:noWrap/>
          </w:tcPr>
          <w:p w14:paraId="4ADEBC67" w14:textId="77777777" w:rsidR="00C856E8" w:rsidRPr="00223F1C" w:rsidRDefault="00C856E8" w:rsidP="00C856E8">
            <w:pPr>
              <w:pStyle w:val="Tabletext"/>
              <w:jc w:val="right"/>
              <w:rPr>
                <w:i/>
                <w:iCs/>
              </w:rPr>
            </w:pPr>
            <w:r w:rsidRPr="00223F1C">
              <w:rPr>
                <w:rFonts w:cs="Calibri"/>
                <w:i/>
                <w:color w:val="000000"/>
              </w:rPr>
              <w:t>-$4,000.52</w:t>
            </w:r>
          </w:p>
        </w:tc>
        <w:tc>
          <w:tcPr>
            <w:tcW w:w="1128" w:type="dxa"/>
            <w:noWrap/>
          </w:tcPr>
          <w:p w14:paraId="5DEE9601" w14:textId="77777777" w:rsidR="00C856E8" w:rsidRPr="00223F1C" w:rsidRDefault="00C856E8" w:rsidP="00C856E8">
            <w:pPr>
              <w:pStyle w:val="Tabletext"/>
              <w:jc w:val="right"/>
              <w:rPr>
                <w:i/>
                <w:iCs/>
              </w:rPr>
            </w:pPr>
            <w:r w:rsidRPr="00223F1C">
              <w:rPr>
                <w:rFonts w:cs="Calibri"/>
                <w:i/>
                <w:color w:val="000000"/>
              </w:rPr>
              <w:t>0.108</w:t>
            </w:r>
          </w:p>
        </w:tc>
        <w:tc>
          <w:tcPr>
            <w:tcW w:w="1237" w:type="dxa"/>
            <w:noWrap/>
          </w:tcPr>
          <w:p w14:paraId="24FD955B" w14:textId="77777777" w:rsidR="00C856E8" w:rsidRPr="00223F1C" w:rsidRDefault="00C856E8" w:rsidP="00C856E8">
            <w:pPr>
              <w:pStyle w:val="Tabletext"/>
              <w:jc w:val="right"/>
              <w:rPr>
                <w:i/>
                <w:iCs/>
              </w:rPr>
            </w:pPr>
            <w:r w:rsidRPr="00223F1C">
              <w:rPr>
                <w:rFonts w:cs="Calibri"/>
                <w:i/>
                <w:color w:val="000000"/>
              </w:rPr>
              <w:t>-$37,097</w:t>
            </w:r>
          </w:p>
        </w:tc>
        <w:tc>
          <w:tcPr>
            <w:tcW w:w="1092" w:type="dxa"/>
            <w:noWrap/>
          </w:tcPr>
          <w:p w14:paraId="2F579A9A" w14:textId="77777777" w:rsidR="00C856E8" w:rsidRPr="00223F1C" w:rsidRDefault="00C856E8" w:rsidP="00C856E8">
            <w:pPr>
              <w:pStyle w:val="Tabletext"/>
              <w:jc w:val="right"/>
              <w:rPr>
                <w:i/>
                <w:iCs/>
              </w:rPr>
            </w:pPr>
            <w:r w:rsidRPr="00223F1C">
              <w:rPr>
                <w:rFonts w:cs="Calibri"/>
                <w:i/>
                <w:color w:val="000000"/>
              </w:rPr>
              <w:t>-17%</w:t>
            </w:r>
          </w:p>
        </w:tc>
      </w:tr>
      <w:tr w:rsidR="00C856E8" w:rsidRPr="00D901F5" w14:paraId="282862A9" w14:textId="77777777" w:rsidTr="00C856E8">
        <w:trPr>
          <w:trHeight w:val="20"/>
        </w:trPr>
        <w:tc>
          <w:tcPr>
            <w:tcW w:w="4530" w:type="dxa"/>
          </w:tcPr>
          <w:p w14:paraId="09B22146" w14:textId="77777777" w:rsidR="00C856E8" w:rsidRDefault="00C856E8" w:rsidP="00C856E8">
            <w:pPr>
              <w:pStyle w:val="Tabletext"/>
            </w:pPr>
            <w:r w:rsidRPr="008F6C89">
              <w:rPr>
                <w:i/>
              </w:rPr>
              <w:t>Change rate of repeat CA to 9%</w:t>
            </w:r>
          </w:p>
        </w:tc>
        <w:tc>
          <w:tcPr>
            <w:tcW w:w="1283" w:type="dxa"/>
            <w:noWrap/>
            <w:vAlign w:val="bottom"/>
          </w:tcPr>
          <w:p w14:paraId="11B3382C" w14:textId="77777777" w:rsidR="00C856E8" w:rsidRPr="00223F1C" w:rsidRDefault="00C856E8" w:rsidP="00C856E8">
            <w:pPr>
              <w:pStyle w:val="Tabletext"/>
              <w:jc w:val="right"/>
              <w:rPr>
                <w:rFonts w:cs="Calibri"/>
                <w:i/>
                <w:color w:val="000000"/>
              </w:rPr>
            </w:pPr>
            <w:r w:rsidRPr="008F6C89">
              <w:rPr>
                <w:rFonts w:cs="Calibri"/>
                <w:i/>
                <w:color w:val="000000"/>
              </w:rPr>
              <w:t>-$4,755.51</w:t>
            </w:r>
          </w:p>
        </w:tc>
        <w:tc>
          <w:tcPr>
            <w:tcW w:w="1128" w:type="dxa"/>
            <w:noWrap/>
            <w:vAlign w:val="bottom"/>
          </w:tcPr>
          <w:p w14:paraId="237EBD3D" w14:textId="77777777" w:rsidR="00C856E8" w:rsidRPr="00223F1C" w:rsidRDefault="00C856E8" w:rsidP="00C856E8">
            <w:pPr>
              <w:pStyle w:val="Tabletext"/>
              <w:jc w:val="right"/>
              <w:rPr>
                <w:rFonts w:cs="Calibri"/>
                <w:i/>
                <w:color w:val="000000"/>
              </w:rPr>
            </w:pPr>
            <w:r w:rsidRPr="008F6C89">
              <w:rPr>
                <w:rFonts w:cs="Calibri"/>
                <w:i/>
                <w:color w:val="000000"/>
              </w:rPr>
              <w:t>0.109</w:t>
            </w:r>
          </w:p>
        </w:tc>
        <w:tc>
          <w:tcPr>
            <w:tcW w:w="1237" w:type="dxa"/>
            <w:noWrap/>
            <w:vAlign w:val="bottom"/>
          </w:tcPr>
          <w:p w14:paraId="502E8B0D" w14:textId="77777777" w:rsidR="00C856E8" w:rsidRPr="00223F1C" w:rsidRDefault="00C856E8" w:rsidP="00C856E8">
            <w:pPr>
              <w:pStyle w:val="Tabletext"/>
              <w:jc w:val="right"/>
              <w:rPr>
                <w:rFonts w:cs="Calibri"/>
                <w:i/>
                <w:color w:val="000000"/>
              </w:rPr>
            </w:pPr>
            <w:r w:rsidRPr="008F6C89">
              <w:rPr>
                <w:rFonts w:cs="Calibri"/>
                <w:i/>
                <w:color w:val="000000"/>
              </w:rPr>
              <w:t>-$43,455</w:t>
            </w:r>
          </w:p>
        </w:tc>
        <w:tc>
          <w:tcPr>
            <w:tcW w:w="1092" w:type="dxa"/>
            <w:noWrap/>
            <w:vAlign w:val="bottom"/>
          </w:tcPr>
          <w:p w14:paraId="24994CEA" w14:textId="77777777" w:rsidR="00C856E8" w:rsidRPr="00223F1C" w:rsidRDefault="00C856E8" w:rsidP="00C856E8">
            <w:pPr>
              <w:pStyle w:val="Tabletext"/>
              <w:jc w:val="right"/>
              <w:rPr>
                <w:rFonts w:cs="Calibri"/>
                <w:i/>
                <w:color w:val="000000"/>
              </w:rPr>
            </w:pPr>
            <w:r w:rsidRPr="008F6C89">
              <w:rPr>
                <w:rFonts w:cs="Calibri"/>
                <w:i/>
                <w:color w:val="000000"/>
              </w:rPr>
              <w:t>-3%</w:t>
            </w:r>
          </w:p>
        </w:tc>
      </w:tr>
      <w:tr w:rsidR="00C856E8" w:rsidRPr="00D901F5" w14:paraId="47EEF8D6" w14:textId="77777777" w:rsidTr="00C856E8">
        <w:trPr>
          <w:trHeight w:val="20"/>
        </w:trPr>
        <w:tc>
          <w:tcPr>
            <w:tcW w:w="4530" w:type="dxa"/>
            <w:noWrap/>
          </w:tcPr>
          <w:p w14:paraId="305DA2F8" w14:textId="77777777" w:rsidR="00C856E8" w:rsidRPr="00D901F5" w:rsidRDefault="00C856E8" w:rsidP="00C856E8">
            <w:pPr>
              <w:pStyle w:val="Tabletext"/>
            </w:pPr>
            <w:r>
              <w:t>Costs</w:t>
            </w:r>
          </w:p>
        </w:tc>
        <w:tc>
          <w:tcPr>
            <w:tcW w:w="1283" w:type="dxa"/>
            <w:noWrap/>
          </w:tcPr>
          <w:p w14:paraId="1341D911" w14:textId="77777777" w:rsidR="00C856E8" w:rsidRPr="00223F1C" w:rsidRDefault="00C856E8" w:rsidP="00C856E8">
            <w:pPr>
              <w:pStyle w:val="Tabletext"/>
              <w:jc w:val="right"/>
              <w:rPr>
                <w:i/>
              </w:rPr>
            </w:pPr>
          </w:p>
        </w:tc>
        <w:tc>
          <w:tcPr>
            <w:tcW w:w="1128" w:type="dxa"/>
            <w:noWrap/>
          </w:tcPr>
          <w:p w14:paraId="603113E7" w14:textId="77777777" w:rsidR="00C856E8" w:rsidRPr="00223F1C" w:rsidRDefault="00C856E8" w:rsidP="00C856E8">
            <w:pPr>
              <w:pStyle w:val="Tabletext"/>
              <w:jc w:val="right"/>
              <w:rPr>
                <w:i/>
              </w:rPr>
            </w:pPr>
          </w:p>
        </w:tc>
        <w:tc>
          <w:tcPr>
            <w:tcW w:w="1237" w:type="dxa"/>
            <w:noWrap/>
          </w:tcPr>
          <w:p w14:paraId="55D55DA2" w14:textId="77777777" w:rsidR="00C856E8" w:rsidRPr="00223F1C" w:rsidRDefault="00C856E8" w:rsidP="00C856E8">
            <w:pPr>
              <w:pStyle w:val="Tabletext"/>
              <w:jc w:val="right"/>
              <w:rPr>
                <w:i/>
              </w:rPr>
            </w:pPr>
          </w:p>
        </w:tc>
        <w:tc>
          <w:tcPr>
            <w:tcW w:w="1092" w:type="dxa"/>
            <w:noWrap/>
          </w:tcPr>
          <w:p w14:paraId="7575EC16" w14:textId="77777777" w:rsidR="00C856E8" w:rsidRPr="00223F1C" w:rsidRDefault="00C856E8" w:rsidP="00C856E8">
            <w:pPr>
              <w:pStyle w:val="Tabletext"/>
              <w:jc w:val="right"/>
              <w:rPr>
                <w:i/>
              </w:rPr>
            </w:pPr>
          </w:p>
        </w:tc>
      </w:tr>
      <w:tr w:rsidR="00C856E8" w:rsidRPr="00D901F5" w14:paraId="03FC1B48" w14:textId="77777777" w:rsidTr="00C856E8">
        <w:trPr>
          <w:trHeight w:val="20"/>
        </w:trPr>
        <w:tc>
          <w:tcPr>
            <w:tcW w:w="4530" w:type="dxa"/>
          </w:tcPr>
          <w:p w14:paraId="35CCF280" w14:textId="77777777" w:rsidR="00C856E8" w:rsidRPr="00D901F5" w:rsidRDefault="00C856E8" w:rsidP="00C856E8">
            <w:pPr>
              <w:pStyle w:val="Tabletext"/>
            </w:pPr>
            <w:r>
              <w:t>Remove cost of death</w:t>
            </w:r>
          </w:p>
        </w:tc>
        <w:tc>
          <w:tcPr>
            <w:tcW w:w="1283" w:type="dxa"/>
            <w:noWrap/>
          </w:tcPr>
          <w:p w14:paraId="127FDA4A" w14:textId="77777777" w:rsidR="00C856E8" w:rsidRPr="00223F1C" w:rsidRDefault="00C856E8" w:rsidP="00C856E8">
            <w:pPr>
              <w:pStyle w:val="Tabletext"/>
              <w:jc w:val="right"/>
              <w:rPr>
                <w:i/>
                <w:iCs/>
              </w:rPr>
            </w:pPr>
            <w:r w:rsidRPr="00223F1C">
              <w:rPr>
                <w:rFonts w:cs="Calibri"/>
                <w:i/>
                <w:color w:val="000000"/>
              </w:rPr>
              <w:t>-$3,983.10</w:t>
            </w:r>
          </w:p>
        </w:tc>
        <w:tc>
          <w:tcPr>
            <w:tcW w:w="1128" w:type="dxa"/>
            <w:noWrap/>
          </w:tcPr>
          <w:p w14:paraId="4DE60ECA" w14:textId="77777777" w:rsidR="00C856E8" w:rsidRPr="00223F1C" w:rsidRDefault="00C856E8" w:rsidP="00C856E8">
            <w:pPr>
              <w:pStyle w:val="Tabletext"/>
              <w:jc w:val="right"/>
              <w:rPr>
                <w:i/>
              </w:rPr>
            </w:pPr>
            <w:r w:rsidRPr="00223F1C">
              <w:rPr>
                <w:rFonts w:cs="Calibri"/>
                <w:i/>
                <w:color w:val="000000"/>
              </w:rPr>
              <w:t>0.110</w:t>
            </w:r>
          </w:p>
        </w:tc>
        <w:tc>
          <w:tcPr>
            <w:tcW w:w="1237" w:type="dxa"/>
            <w:noWrap/>
          </w:tcPr>
          <w:p w14:paraId="0DD24748" w14:textId="77777777" w:rsidR="00C856E8" w:rsidRPr="00223F1C" w:rsidRDefault="00C856E8" w:rsidP="00C856E8">
            <w:pPr>
              <w:pStyle w:val="Tabletext"/>
              <w:jc w:val="right"/>
              <w:rPr>
                <w:i/>
                <w:iCs/>
              </w:rPr>
            </w:pPr>
            <w:r w:rsidRPr="00223F1C">
              <w:rPr>
                <w:rFonts w:cs="Calibri"/>
                <w:i/>
                <w:color w:val="000000"/>
              </w:rPr>
              <w:t>-$36,352</w:t>
            </w:r>
          </w:p>
        </w:tc>
        <w:tc>
          <w:tcPr>
            <w:tcW w:w="1092" w:type="dxa"/>
            <w:noWrap/>
          </w:tcPr>
          <w:p w14:paraId="57055E36" w14:textId="77777777" w:rsidR="00C856E8" w:rsidRPr="00223F1C" w:rsidRDefault="00C856E8" w:rsidP="00C856E8">
            <w:pPr>
              <w:pStyle w:val="Tabletext"/>
              <w:jc w:val="right"/>
              <w:rPr>
                <w:i/>
                <w:iCs/>
              </w:rPr>
            </w:pPr>
            <w:r w:rsidRPr="00223F1C">
              <w:rPr>
                <w:rFonts w:cs="Calibri"/>
                <w:i/>
                <w:color w:val="000000"/>
              </w:rPr>
              <w:t>-19%</w:t>
            </w:r>
          </w:p>
        </w:tc>
      </w:tr>
      <w:tr w:rsidR="00C856E8" w:rsidRPr="00D901F5" w14:paraId="536BAA8C" w14:textId="77777777" w:rsidTr="00C856E8">
        <w:trPr>
          <w:trHeight w:val="20"/>
        </w:trPr>
        <w:tc>
          <w:tcPr>
            <w:tcW w:w="4530" w:type="dxa"/>
          </w:tcPr>
          <w:p w14:paraId="79AF4E94" w14:textId="77777777" w:rsidR="00C856E8" w:rsidRPr="00D901F5" w:rsidRDefault="00C856E8" w:rsidP="00C856E8">
            <w:pPr>
              <w:pStyle w:val="Tabletext"/>
            </w:pPr>
            <w:r>
              <w:t>Halve cost of death</w:t>
            </w:r>
          </w:p>
        </w:tc>
        <w:tc>
          <w:tcPr>
            <w:tcW w:w="1283" w:type="dxa"/>
            <w:noWrap/>
          </w:tcPr>
          <w:p w14:paraId="55667129" w14:textId="77777777" w:rsidR="00C856E8" w:rsidRPr="00223F1C" w:rsidRDefault="00C856E8" w:rsidP="00C856E8">
            <w:pPr>
              <w:pStyle w:val="Tabletext"/>
              <w:jc w:val="right"/>
              <w:rPr>
                <w:i/>
                <w:iCs/>
              </w:rPr>
            </w:pPr>
            <w:r w:rsidRPr="00223F1C">
              <w:rPr>
                <w:rFonts w:cs="Calibri"/>
                <w:i/>
                <w:color w:val="000000"/>
              </w:rPr>
              <w:t>-$4,438.37</w:t>
            </w:r>
          </w:p>
        </w:tc>
        <w:tc>
          <w:tcPr>
            <w:tcW w:w="1128" w:type="dxa"/>
            <w:noWrap/>
          </w:tcPr>
          <w:p w14:paraId="5610133A" w14:textId="77777777" w:rsidR="00C856E8" w:rsidRPr="00223F1C" w:rsidRDefault="00C856E8" w:rsidP="00C856E8">
            <w:pPr>
              <w:pStyle w:val="Tabletext"/>
              <w:jc w:val="right"/>
              <w:rPr>
                <w:i/>
              </w:rPr>
            </w:pPr>
            <w:r w:rsidRPr="00223F1C">
              <w:rPr>
                <w:rFonts w:cs="Calibri"/>
                <w:i/>
                <w:color w:val="000000"/>
              </w:rPr>
              <w:t>0.110</w:t>
            </w:r>
          </w:p>
        </w:tc>
        <w:tc>
          <w:tcPr>
            <w:tcW w:w="1237" w:type="dxa"/>
            <w:noWrap/>
          </w:tcPr>
          <w:p w14:paraId="41BE7009" w14:textId="77777777" w:rsidR="00C856E8" w:rsidRPr="00223F1C" w:rsidRDefault="00C856E8" w:rsidP="00C856E8">
            <w:pPr>
              <w:pStyle w:val="Tabletext"/>
              <w:jc w:val="right"/>
              <w:rPr>
                <w:i/>
                <w:iCs/>
              </w:rPr>
            </w:pPr>
            <w:r w:rsidRPr="00223F1C">
              <w:rPr>
                <w:rFonts w:cs="Calibri"/>
                <w:i/>
                <w:color w:val="000000"/>
              </w:rPr>
              <w:t>-$40,507</w:t>
            </w:r>
          </w:p>
        </w:tc>
        <w:tc>
          <w:tcPr>
            <w:tcW w:w="1092" w:type="dxa"/>
            <w:noWrap/>
          </w:tcPr>
          <w:p w14:paraId="41DCEC8D" w14:textId="77777777" w:rsidR="00C856E8" w:rsidRPr="00223F1C" w:rsidRDefault="00C856E8" w:rsidP="00C856E8">
            <w:pPr>
              <w:pStyle w:val="Tabletext"/>
              <w:jc w:val="right"/>
              <w:rPr>
                <w:i/>
                <w:iCs/>
              </w:rPr>
            </w:pPr>
            <w:r w:rsidRPr="00223F1C">
              <w:rPr>
                <w:rFonts w:cs="Calibri"/>
                <w:i/>
                <w:color w:val="000000"/>
              </w:rPr>
              <w:t>-9%</w:t>
            </w:r>
          </w:p>
        </w:tc>
      </w:tr>
      <w:tr w:rsidR="00C856E8" w:rsidRPr="00D901F5" w14:paraId="66DB8F03" w14:textId="77777777" w:rsidTr="00C856E8">
        <w:trPr>
          <w:trHeight w:val="20"/>
        </w:trPr>
        <w:tc>
          <w:tcPr>
            <w:tcW w:w="4530" w:type="dxa"/>
          </w:tcPr>
          <w:p w14:paraId="647AA814" w14:textId="77777777" w:rsidR="00C856E8" w:rsidRPr="005D3BB4" w:rsidRDefault="00C856E8" w:rsidP="00C856E8">
            <w:pPr>
              <w:pStyle w:val="Tabletext"/>
              <w:rPr>
                <w:i/>
              </w:rPr>
            </w:pPr>
            <w:r w:rsidRPr="005D3BB4">
              <w:rPr>
                <w:i/>
              </w:rPr>
              <w:t>Change hospital costs to surgical DRGs</w:t>
            </w:r>
          </w:p>
        </w:tc>
        <w:tc>
          <w:tcPr>
            <w:tcW w:w="1283" w:type="dxa"/>
            <w:noWrap/>
          </w:tcPr>
          <w:p w14:paraId="508F04B2" w14:textId="77777777" w:rsidR="00C856E8" w:rsidRPr="005D3BB4" w:rsidRDefault="00C856E8" w:rsidP="00C856E8">
            <w:pPr>
              <w:pStyle w:val="Tabletext"/>
              <w:jc w:val="right"/>
              <w:rPr>
                <w:i/>
              </w:rPr>
            </w:pPr>
            <w:r w:rsidRPr="005D3BB4">
              <w:rPr>
                <w:i/>
              </w:rPr>
              <w:t>$3,643.26</w:t>
            </w:r>
          </w:p>
        </w:tc>
        <w:tc>
          <w:tcPr>
            <w:tcW w:w="1128" w:type="dxa"/>
            <w:noWrap/>
          </w:tcPr>
          <w:p w14:paraId="19B3FD0E" w14:textId="77777777" w:rsidR="00C856E8" w:rsidRPr="005D3BB4" w:rsidRDefault="00C856E8" w:rsidP="00C856E8">
            <w:pPr>
              <w:pStyle w:val="Tabletext"/>
              <w:jc w:val="right"/>
              <w:rPr>
                <w:i/>
              </w:rPr>
            </w:pPr>
            <w:r w:rsidRPr="005D3BB4">
              <w:rPr>
                <w:i/>
              </w:rPr>
              <w:t>0.103</w:t>
            </w:r>
          </w:p>
        </w:tc>
        <w:tc>
          <w:tcPr>
            <w:tcW w:w="1237" w:type="dxa"/>
            <w:noWrap/>
          </w:tcPr>
          <w:p w14:paraId="28FFB424" w14:textId="77777777" w:rsidR="00C856E8" w:rsidRPr="005D3BB4" w:rsidRDefault="00C856E8" w:rsidP="00C856E8">
            <w:pPr>
              <w:pStyle w:val="Tabletext"/>
              <w:jc w:val="right"/>
              <w:rPr>
                <w:i/>
              </w:rPr>
            </w:pPr>
            <w:r w:rsidRPr="005D3BB4">
              <w:rPr>
                <w:i/>
              </w:rPr>
              <w:t>$35,444</w:t>
            </w:r>
          </w:p>
        </w:tc>
        <w:tc>
          <w:tcPr>
            <w:tcW w:w="1092" w:type="dxa"/>
            <w:noWrap/>
          </w:tcPr>
          <w:p w14:paraId="74AE8970" w14:textId="77777777" w:rsidR="00C856E8" w:rsidRPr="005D3BB4" w:rsidRDefault="00C856E8" w:rsidP="00C856E8">
            <w:pPr>
              <w:pStyle w:val="Tabletext"/>
              <w:jc w:val="right"/>
              <w:rPr>
                <w:i/>
              </w:rPr>
            </w:pPr>
            <w:r w:rsidRPr="005D3BB4">
              <w:rPr>
                <w:i/>
              </w:rPr>
              <w:t>-179%</w:t>
            </w:r>
          </w:p>
        </w:tc>
      </w:tr>
      <w:tr w:rsidR="00C856E8" w:rsidRPr="00D901F5" w14:paraId="374B5588" w14:textId="77777777" w:rsidTr="00C856E8">
        <w:trPr>
          <w:trHeight w:val="20"/>
        </w:trPr>
        <w:tc>
          <w:tcPr>
            <w:tcW w:w="4530" w:type="dxa"/>
          </w:tcPr>
          <w:p w14:paraId="100A53B7" w14:textId="77777777" w:rsidR="00C856E8" w:rsidRPr="005D3BB4" w:rsidRDefault="00C856E8" w:rsidP="00C856E8">
            <w:pPr>
              <w:pStyle w:val="Tabletext"/>
              <w:rPr>
                <w:i/>
              </w:rPr>
            </w:pPr>
            <w:r w:rsidRPr="005D3BB4">
              <w:rPr>
                <w:i/>
              </w:rPr>
              <w:t>Change hospital costs to private costs</w:t>
            </w:r>
          </w:p>
        </w:tc>
        <w:tc>
          <w:tcPr>
            <w:tcW w:w="1283" w:type="dxa"/>
            <w:noWrap/>
          </w:tcPr>
          <w:p w14:paraId="773A3CFD" w14:textId="77777777" w:rsidR="00C856E8" w:rsidRPr="005D3BB4" w:rsidRDefault="00C856E8" w:rsidP="00C856E8">
            <w:pPr>
              <w:pStyle w:val="Tabletext"/>
              <w:jc w:val="right"/>
              <w:rPr>
                <w:i/>
              </w:rPr>
            </w:pPr>
            <w:r w:rsidRPr="005D3BB4">
              <w:rPr>
                <w:i/>
              </w:rPr>
              <w:t>-$5,093.09</w:t>
            </w:r>
          </w:p>
        </w:tc>
        <w:tc>
          <w:tcPr>
            <w:tcW w:w="1128" w:type="dxa"/>
            <w:noWrap/>
          </w:tcPr>
          <w:p w14:paraId="1042A7E1" w14:textId="77777777" w:rsidR="00C856E8" w:rsidRPr="005D3BB4" w:rsidRDefault="00C856E8" w:rsidP="00C856E8">
            <w:pPr>
              <w:pStyle w:val="Tabletext"/>
              <w:jc w:val="right"/>
              <w:rPr>
                <w:i/>
              </w:rPr>
            </w:pPr>
            <w:r w:rsidRPr="005D3BB4">
              <w:rPr>
                <w:i/>
              </w:rPr>
              <w:t>0.117</w:t>
            </w:r>
          </w:p>
        </w:tc>
        <w:tc>
          <w:tcPr>
            <w:tcW w:w="1237" w:type="dxa"/>
            <w:noWrap/>
          </w:tcPr>
          <w:p w14:paraId="682F20DA" w14:textId="77777777" w:rsidR="00C856E8" w:rsidRPr="005D3BB4" w:rsidRDefault="00C856E8" w:rsidP="00C856E8">
            <w:pPr>
              <w:pStyle w:val="Tabletext"/>
              <w:jc w:val="right"/>
              <w:rPr>
                <w:i/>
              </w:rPr>
            </w:pPr>
            <w:r w:rsidRPr="005D3BB4">
              <w:rPr>
                <w:i/>
              </w:rPr>
              <w:t>-$43,526</w:t>
            </w:r>
          </w:p>
        </w:tc>
        <w:tc>
          <w:tcPr>
            <w:tcW w:w="1092" w:type="dxa"/>
            <w:noWrap/>
          </w:tcPr>
          <w:p w14:paraId="730C3B49" w14:textId="77777777" w:rsidR="00C856E8" w:rsidRPr="005D3BB4" w:rsidRDefault="00C856E8" w:rsidP="00C856E8">
            <w:pPr>
              <w:pStyle w:val="Tabletext"/>
              <w:jc w:val="right"/>
              <w:rPr>
                <w:i/>
              </w:rPr>
            </w:pPr>
            <w:r w:rsidRPr="005D3BB4">
              <w:rPr>
                <w:i/>
              </w:rPr>
              <w:t>-3%</w:t>
            </w:r>
          </w:p>
        </w:tc>
      </w:tr>
      <w:tr w:rsidR="00C856E8" w:rsidRPr="00D901F5" w14:paraId="5C72DF36" w14:textId="77777777" w:rsidTr="00C856E8">
        <w:trPr>
          <w:trHeight w:val="20"/>
        </w:trPr>
        <w:tc>
          <w:tcPr>
            <w:tcW w:w="4530" w:type="dxa"/>
          </w:tcPr>
          <w:p w14:paraId="601D1F8A" w14:textId="77777777" w:rsidR="00C856E8" w:rsidRPr="005D3BB4" w:rsidRDefault="00C856E8" w:rsidP="00C856E8">
            <w:pPr>
              <w:pStyle w:val="Tabletext"/>
              <w:rPr>
                <w:i/>
              </w:rPr>
            </w:pPr>
            <w:r w:rsidRPr="005D3BB4">
              <w:rPr>
                <w:i/>
              </w:rPr>
              <w:t>Reduce average cost of non-urological AEs from $1000 to $0</w:t>
            </w:r>
          </w:p>
        </w:tc>
        <w:tc>
          <w:tcPr>
            <w:tcW w:w="1283" w:type="dxa"/>
            <w:noWrap/>
          </w:tcPr>
          <w:p w14:paraId="584FE8DE" w14:textId="77777777" w:rsidR="00C856E8" w:rsidRPr="005D3BB4" w:rsidRDefault="00C856E8" w:rsidP="00C856E8">
            <w:pPr>
              <w:pStyle w:val="Tabletext"/>
              <w:jc w:val="right"/>
              <w:rPr>
                <w:i/>
              </w:rPr>
            </w:pPr>
            <w:r w:rsidRPr="005D3BB4">
              <w:rPr>
                <w:i/>
              </w:rPr>
              <w:t>-$4,812.72</w:t>
            </w:r>
          </w:p>
        </w:tc>
        <w:tc>
          <w:tcPr>
            <w:tcW w:w="1128" w:type="dxa"/>
            <w:noWrap/>
          </w:tcPr>
          <w:p w14:paraId="0CA57088" w14:textId="77777777" w:rsidR="00C856E8" w:rsidRPr="005D3BB4" w:rsidRDefault="00C856E8" w:rsidP="00C856E8">
            <w:pPr>
              <w:pStyle w:val="Tabletext"/>
              <w:jc w:val="right"/>
              <w:rPr>
                <w:i/>
              </w:rPr>
            </w:pPr>
            <w:r w:rsidRPr="005D3BB4">
              <w:rPr>
                <w:i/>
              </w:rPr>
              <w:t>0.110</w:t>
            </w:r>
          </w:p>
        </w:tc>
        <w:tc>
          <w:tcPr>
            <w:tcW w:w="1237" w:type="dxa"/>
            <w:noWrap/>
          </w:tcPr>
          <w:p w14:paraId="41DAC9C1" w14:textId="77777777" w:rsidR="00C856E8" w:rsidRPr="005D3BB4" w:rsidRDefault="00C856E8" w:rsidP="00C856E8">
            <w:pPr>
              <w:pStyle w:val="Tabletext"/>
              <w:jc w:val="right"/>
              <w:rPr>
                <w:i/>
              </w:rPr>
            </w:pPr>
            <w:r w:rsidRPr="005D3BB4">
              <w:rPr>
                <w:i/>
              </w:rPr>
              <w:t>-$43,923</w:t>
            </w:r>
          </w:p>
        </w:tc>
        <w:tc>
          <w:tcPr>
            <w:tcW w:w="1092" w:type="dxa"/>
            <w:noWrap/>
          </w:tcPr>
          <w:p w14:paraId="017ABB5F" w14:textId="77777777" w:rsidR="00C856E8" w:rsidRPr="005D3BB4" w:rsidRDefault="00C856E8" w:rsidP="00C856E8">
            <w:pPr>
              <w:pStyle w:val="Tabletext"/>
              <w:jc w:val="right"/>
              <w:rPr>
                <w:i/>
              </w:rPr>
            </w:pPr>
            <w:r w:rsidRPr="005D3BB4">
              <w:rPr>
                <w:i/>
              </w:rPr>
              <w:t>-2%</w:t>
            </w:r>
          </w:p>
        </w:tc>
      </w:tr>
      <w:tr w:rsidR="00C856E8" w:rsidRPr="00D901F5" w14:paraId="650856DF" w14:textId="77777777" w:rsidTr="00C856E8">
        <w:trPr>
          <w:trHeight w:val="20"/>
        </w:trPr>
        <w:tc>
          <w:tcPr>
            <w:tcW w:w="4530" w:type="dxa"/>
          </w:tcPr>
          <w:p w14:paraId="3DEA0132" w14:textId="77777777" w:rsidR="00C856E8" w:rsidRPr="005D3BB4" w:rsidRDefault="00C856E8" w:rsidP="00C856E8">
            <w:pPr>
              <w:pStyle w:val="Tabletext"/>
              <w:rPr>
                <w:i/>
              </w:rPr>
            </w:pPr>
            <w:r w:rsidRPr="005D3BB4">
              <w:rPr>
                <w:i/>
              </w:rPr>
              <w:t>Reduce average cost of non-urological AEs from $1000 to $500</w:t>
            </w:r>
          </w:p>
        </w:tc>
        <w:tc>
          <w:tcPr>
            <w:tcW w:w="1283" w:type="dxa"/>
            <w:noWrap/>
          </w:tcPr>
          <w:p w14:paraId="553CB3A7" w14:textId="77777777" w:rsidR="00C856E8" w:rsidRPr="005D3BB4" w:rsidRDefault="00C856E8" w:rsidP="00C856E8">
            <w:pPr>
              <w:pStyle w:val="Tabletext"/>
              <w:jc w:val="right"/>
              <w:rPr>
                <w:i/>
              </w:rPr>
            </w:pPr>
            <w:r w:rsidRPr="005D3BB4">
              <w:rPr>
                <w:i/>
              </w:rPr>
              <w:t>-$4,853.17</w:t>
            </w:r>
          </w:p>
        </w:tc>
        <w:tc>
          <w:tcPr>
            <w:tcW w:w="1128" w:type="dxa"/>
            <w:noWrap/>
          </w:tcPr>
          <w:p w14:paraId="14C4FB5E" w14:textId="77777777" w:rsidR="00C856E8" w:rsidRPr="005D3BB4" w:rsidRDefault="00C856E8" w:rsidP="00C856E8">
            <w:pPr>
              <w:pStyle w:val="Tabletext"/>
              <w:jc w:val="right"/>
              <w:rPr>
                <w:i/>
              </w:rPr>
            </w:pPr>
            <w:r w:rsidRPr="005D3BB4">
              <w:rPr>
                <w:i/>
              </w:rPr>
              <w:t>0.110</w:t>
            </w:r>
          </w:p>
        </w:tc>
        <w:tc>
          <w:tcPr>
            <w:tcW w:w="1237" w:type="dxa"/>
            <w:noWrap/>
          </w:tcPr>
          <w:p w14:paraId="63EBF5A0" w14:textId="77777777" w:rsidR="00C856E8" w:rsidRPr="005D3BB4" w:rsidRDefault="00C856E8" w:rsidP="00C856E8">
            <w:pPr>
              <w:pStyle w:val="Tabletext"/>
              <w:jc w:val="right"/>
              <w:rPr>
                <w:i/>
              </w:rPr>
            </w:pPr>
            <w:r w:rsidRPr="005D3BB4">
              <w:rPr>
                <w:i/>
              </w:rPr>
              <w:t>-$44,292</w:t>
            </w:r>
          </w:p>
        </w:tc>
        <w:tc>
          <w:tcPr>
            <w:tcW w:w="1092" w:type="dxa"/>
            <w:noWrap/>
          </w:tcPr>
          <w:p w14:paraId="6E3AE8F8" w14:textId="77777777" w:rsidR="00C856E8" w:rsidRPr="005D3BB4" w:rsidRDefault="00C856E8" w:rsidP="00C856E8">
            <w:pPr>
              <w:pStyle w:val="Tabletext"/>
              <w:jc w:val="right"/>
              <w:rPr>
                <w:i/>
              </w:rPr>
            </w:pPr>
            <w:r w:rsidRPr="005D3BB4">
              <w:rPr>
                <w:i/>
              </w:rPr>
              <w:t>-1%</w:t>
            </w:r>
          </w:p>
        </w:tc>
      </w:tr>
      <w:tr w:rsidR="00C856E8" w:rsidRPr="00D901F5" w14:paraId="1701E5F0" w14:textId="77777777" w:rsidTr="00C856E8">
        <w:trPr>
          <w:trHeight w:val="20"/>
        </w:trPr>
        <w:tc>
          <w:tcPr>
            <w:tcW w:w="4530" w:type="dxa"/>
          </w:tcPr>
          <w:p w14:paraId="0BF98EB1" w14:textId="77777777" w:rsidR="00C856E8" w:rsidRPr="005D3BB4" w:rsidRDefault="00C856E8" w:rsidP="00C856E8">
            <w:pPr>
              <w:pStyle w:val="Tabletext"/>
              <w:rPr>
                <w:i/>
              </w:rPr>
            </w:pPr>
            <w:r w:rsidRPr="005D3BB4">
              <w:rPr>
                <w:i/>
              </w:rPr>
              <w:t>Increase average cost of non-urological AEs from $1000 to $1500</w:t>
            </w:r>
          </w:p>
        </w:tc>
        <w:tc>
          <w:tcPr>
            <w:tcW w:w="1283" w:type="dxa"/>
            <w:noWrap/>
          </w:tcPr>
          <w:p w14:paraId="7FE3E26E" w14:textId="77777777" w:rsidR="00C856E8" w:rsidRPr="005D3BB4" w:rsidRDefault="00C856E8" w:rsidP="00C856E8">
            <w:pPr>
              <w:pStyle w:val="Tabletext"/>
              <w:jc w:val="right"/>
              <w:rPr>
                <w:i/>
              </w:rPr>
            </w:pPr>
            <w:r w:rsidRPr="005D3BB4">
              <w:rPr>
                <w:i/>
              </w:rPr>
              <w:t>-$4,934.09</w:t>
            </w:r>
          </w:p>
        </w:tc>
        <w:tc>
          <w:tcPr>
            <w:tcW w:w="1128" w:type="dxa"/>
            <w:noWrap/>
          </w:tcPr>
          <w:p w14:paraId="647296C3" w14:textId="77777777" w:rsidR="00C856E8" w:rsidRPr="005D3BB4" w:rsidRDefault="00C856E8" w:rsidP="00C856E8">
            <w:pPr>
              <w:pStyle w:val="Tabletext"/>
              <w:jc w:val="right"/>
              <w:rPr>
                <w:i/>
              </w:rPr>
            </w:pPr>
            <w:r w:rsidRPr="005D3BB4">
              <w:rPr>
                <w:i/>
              </w:rPr>
              <w:t>0.110</w:t>
            </w:r>
          </w:p>
        </w:tc>
        <w:tc>
          <w:tcPr>
            <w:tcW w:w="1237" w:type="dxa"/>
            <w:noWrap/>
          </w:tcPr>
          <w:p w14:paraId="1B0E99F9" w14:textId="77777777" w:rsidR="00C856E8" w:rsidRPr="005D3BB4" w:rsidRDefault="00C856E8" w:rsidP="00C856E8">
            <w:pPr>
              <w:pStyle w:val="Tabletext"/>
              <w:jc w:val="right"/>
              <w:rPr>
                <w:i/>
              </w:rPr>
            </w:pPr>
            <w:r w:rsidRPr="005D3BB4">
              <w:rPr>
                <w:i/>
              </w:rPr>
              <w:t>-$45,031</w:t>
            </w:r>
          </w:p>
        </w:tc>
        <w:tc>
          <w:tcPr>
            <w:tcW w:w="1092" w:type="dxa"/>
            <w:noWrap/>
          </w:tcPr>
          <w:p w14:paraId="1A35A4D9" w14:textId="77777777" w:rsidR="00C856E8" w:rsidRPr="005D3BB4" w:rsidRDefault="00C856E8" w:rsidP="00C856E8">
            <w:pPr>
              <w:pStyle w:val="Tabletext"/>
              <w:jc w:val="right"/>
              <w:rPr>
                <w:i/>
              </w:rPr>
            </w:pPr>
            <w:r w:rsidRPr="005D3BB4">
              <w:rPr>
                <w:i/>
              </w:rPr>
              <w:t>1%</w:t>
            </w:r>
          </w:p>
        </w:tc>
      </w:tr>
      <w:tr w:rsidR="00C856E8" w:rsidRPr="00D901F5" w14:paraId="67C3E0C8" w14:textId="77777777" w:rsidTr="00C856E8">
        <w:trPr>
          <w:trHeight w:val="20"/>
        </w:trPr>
        <w:tc>
          <w:tcPr>
            <w:tcW w:w="4530" w:type="dxa"/>
          </w:tcPr>
          <w:p w14:paraId="3EDED824" w14:textId="77777777" w:rsidR="00C856E8" w:rsidRPr="00D901F5" w:rsidRDefault="00C856E8" w:rsidP="00C856E8">
            <w:pPr>
              <w:pStyle w:val="Tabletext"/>
            </w:pPr>
            <w:r>
              <w:t>Quality of Life</w:t>
            </w:r>
          </w:p>
        </w:tc>
        <w:tc>
          <w:tcPr>
            <w:tcW w:w="1283" w:type="dxa"/>
            <w:noWrap/>
          </w:tcPr>
          <w:p w14:paraId="0616C083" w14:textId="77777777" w:rsidR="00C856E8" w:rsidRPr="00223F1C" w:rsidRDefault="00C856E8" w:rsidP="00C856E8">
            <w:pPr>
              <w:pStyle w:val="Tabletext"/>
              <w:jc w:val="right"/>
              <w:rPr>
                <w:i/>
                <w:iCs/>
              </w:rPr>
            </w:pPr>
          </w:p>
        </w:tc>
        <w:tc>
          <w:tcPr>
            <w:tcW w:w="1128" w:type="dxa"/>
            <w:noWrap/>
          </w:tcPr>
          <w:p w14:paraId="31E4167E" w14:textId="77777777" w:rsidR="00C856E8" w:rsidRPr="00223F1C" w:rsidRDefault="00C856E8" w:rsidP="00C856E8">
            <w:pPr>
              <w:pStyle w:val="Tabletext"/>
              <w:jc w:val="right"/>
              <w:rPr>
                <w:i/>
              </w:rPr>
            </w:pPr>
          </w:p>
        </w:tc>
        <w:tc>
          <w:tcPr>
            <w:tcW w:w="1237" w:type="dxa"/>
            <w:noWrap/>
          </w:tcPr>
          <w:p w14:paraId="163F9C65" w14:textId="77777777" w:rsidR="00C856E8" w:rsidRPr="00223F1C" w:rsidRDefault="00C856E8" w:rsidP="00C856E8">
            <w:pPr>
              <w:pStyle w:val="Tabletext"/>
              <w:jc w:val="right"/>
              <w:rPr>
                <w:i/>
                <w:iCs/>
              </w:rPr>
            </w:pPr>
          </w:p>
        </w:tc>
        <w:tc>
          <w:tcPr>
            <w:tcW w:w="1092" w:type="dxa"/>
            <w:noWrap/>
          </w:tcPr>
          <w:p w14:paraId="215F8025" w14:textId="77777777" w:rsidR="00C856E8" w:rsidRPr="00223F1C" w:rsidRDefault="00C856E8" w:rsidP="00C856E8">
            <w:pPr>
              <w:pStyle w:val="Tabletext"/>
              <w:jc w:val="right"/>
              <w:rPr>
                <w:i/>
                <w:iCs/>
              </w:rPr>
            </w:pPr>
          </w:p>
        </w:tc>
      </w:tr>
      <w:tr w:rsidR="00C856E8" w:rsidRPr="00D901F5" w14:paraId="1DCCC2E2" w14:textId="77777777" w:rsidTr="00C856E8">
        <w:trPr>
          <w:trHeight w:val="20"/>
        </w:trPr>
        <w:tc>
          <w:tcPr>
            <w:tcW w:w="4530" w:type="dxa"/>
          </w:tcPr>
          <w:p w14:paraId="60935496" w14:textId="77777777" w:rsidR="00C856E8" w:rsidRPr="00906662" w:rsidRDefault="00C856E8" w:rsidP="00C856E8">
            <w:pPr>
              <w:pStyle w:val="Tabletext"/>
              <w:rPr>
                <w:iCs/>
              </w:rPr>
            </w:pPr>
            <w:r>
              <w:rPr>
                <w:iCs/>
              </w:rPr>
              <w:t>Background utility = 1</w:t>
            </w:r>
          </w:p>
        </w:tc>
        <w:tc>
          <w:tcPr>
            <w:tcW w:w="1283" w:type="dxa"/>
            <w:noWrap/>
          </w:tcPr>
          <w:p w14:paraId="0F20E8F8" w14:textId="77777777" w:rsidR="00C856E8" w:rsidRPr="00223F1C" w:rsidRDefault="00C856E8" w:rsidP="00C856E8">
            <w:pPr>
              <w:pStyle w:val="Tabletext"/>
              <w:jc w:val="right"/>
              <w:rPr>
                <w:i/>
                <w:iCs/>
              </w:rPr>
            </w:pPr>
            <w:r w:rsidRPr="00223F1C">
              <w:rPr>
                <w:rFonts w:cs="Calibri"/>
                <w:i/>
                <w:color w:val="000000"/>
              </w:rPr>
              <w:t>-$4,893.63</w:t>
            </w:r>
          </w:p>
        </w:tc>
        <w:tc>
          <w:tcPr>
            <w:tcW w:w="1128" w:type="dxa"/>
            <w:noWrap/>
          </w:tcPr>
          <w:p w14:paraId="7C9629D6" w14:textId="77777777" w:rsidR="00C856E8" w:rsidRPr="00223F1C" w:rsidRDefault="00C856E8" w:rsidP="00C856E8">
            <w:pPr>
              <w:pStyle w:val="Tabletext"/>
              <w:jc w:val="right"/>
              <w:rPr>
                <w:i/>
                <w:iCs/>
              </w:rPr>
            </w:pPr>
            <w:r w:rsidRPr="00223F1C">
              <w:rPr>
                <w:rFonts w:cs="Calibri"/>
                <w:i/>
                <w:color w:val="000000"/>
              </w:rPr>
              <w:t>0.127</w:t>
            </w:r>
          </w:p>
        </w:tc>
        <w:tc>
          <w:tcPr>
            <w:tcW w:w="1237" w:type="dxa"/>
            <w:noWrap/>
          </w:tcPr>
          <w:p w14:paraId="27CFFC57" w14:textId="77777777" w:rsidR="00C856E8" w:rsidRPr="00223F1C" w:rsidRDefault="00C856E8" w:rsidP="00C856E8">
            <w:pPr>
              <w:pStyle w:val="Tabletext"/>
              <w:jc w:val="right"/>
              <w:rPr>
                <w:i/>
                <w:iCs/>
              </w:rPr>
            </w:pPr>
            <w:r w:rsidRPr="00223F1C">
              <w:rPr>
                <w:rFonts w:cs="Calibri"/>
                <w:i/>
                <w:color w:val="000000"/>
              </w:rPr>
              <w:t>-$38,457</w:t>
            </w:r>
          </w:p>
        </w:tc>
        <w:tc>
          <w:tcPr>
            <w:tcW w:w="1092" w:type="dxa"/>
            <w:noWrap/>
          </w:tcPr>
          <w:p w14:paraId="71106A59" w14:textId="77777777" w:rsidR="00C856E8" w:rsidRPr="00223F1C" w:rsidRDefault="00C856E8" w:rsidP="00C856E8">
            <w:pPr>
              <w:pStyle w:val="Tabletext"/>
              <w:jc w:val="right"/>
              <w:rPr>
                <w:i/>
                <w:iCs/>
              </w:rPr>
            </w:pPr>
            <w:r w:rsidRPr="00223F1C">
              <w:rPr>
                <w:rFonts w:cs="Calibri"/>
                <w:i/>
                <w:color w:val="000000"/>
              </w:rPr>
              <w:t>-14%</w:t>
            </w:r>
          </w:p>
        </w:tc>
      </w:tr>
      <w:tr w:rsidR="00C856E8" w:rsidRPr="00D901F5" w14:paraId="4E5016CC" w14:textId="77777777" w:rsidTr="00C856E8">
        <w:trPr>
          <w:trHeight w:val="20"/>
        </w:trPr>
        <w:tc>
          <w:tcPr>
            <w:tcW w:w="4530" w:type="dxa"/>
          </w:tcPr>
          <w:p w14:paraId="535D16F7" w14:textId="77777777" w:rsidR="00C856E8" w:rsidRPr="00D901F5" w:rsidRDefault="00C856E8" w:rsidP="00C856E8">
            <w:pPr>
              <w:pStyle w:val="Tabletext"/>
            </w:pPr>
            <w:r>
              <w:t>Background utility = 0.7</w:t>
            </w:r>
          </w:p>
        </w:tc>
        <w:tc>
          <w:tcPr>
            <w:tcW w:w="1283" w:type="dxa"/>
          </w:tcPr>
          <w:p w14:paraId="3546EAC8" w14:textId="77777777" w:rsidR="00C856E8" w:rsidRPr="00223F1C" w:rsidRDefault="00C856E8" w:rsidP="00C856E8">
            <w:pPr>
              <w:pStyle w:val="Tabletext"/>
              <w:jc w:val="right"/>
              <w:rPr>
                <w:i/>
              </w:rPr>
            </w:pPr>
            <w:r w:rsidRPr="00223F1C">
              <w:rPr>
                <w:rFonts w:cs="Calibri"/>
                <w:i/>
                <w:color w:val="000000"/>
              </w:rPr>
              <w:t>-$4,893.63</w:t>
            </w:r>
          </w:p>
        </w:tc>
        <w:tc>
          <w:tcPr>
            <w:tcW w:w="1128" w:type="dxa"/>
          </w:tcPr>
          <w:p w14:paraId="7CA9C774" w14:textId="77777777" w:rsidR="00C856E8" w:rsidRPr="00223F1C" w:rsidRDefault="00C856E8" w:rsidP="00C856E8">
            <w:pPr>
              <w:pStyle w:val="Tabletext"/>
              <w:jc w:val="right"/>
              <w:rPr>
                <w:i/>
              </w:rPr>
            </w:pPr>
            <w:r w:rsidRPr="00223F1C">
              <w:rPr>
                <w:rFonts w:cs="Calibri"/>
                <w:i/>
                <w:color w:val="000000"/>
              </w:rPr>
              <w:t>0.089</w:t>
            </w:r>
          </w:p>
        </w:tc>
        <w:tc>
          <w:tcPr>
            <w:tcW w:w="1237" w:type="dxa"/>
          </w:tcPr>
          <w:p w14:paraId="1855B450" w14:textId="77777777" w:rsidR="00C856E8" w:rsidRPr="00223F1C" w:rsidRDefault="00C856E8" w:rsidP="00C856E8">
            <w:pPr>
              <w:pStyle w:val="Tabletext"/>
              <w:jc w:val="right"/>
              <w:rPr>
                <w:i/>
              </w:rPr>
            </w:pPr>
            <w:r w:rsidRPr="00223F1C">
              <w:rPr>
                <w:rFonts w:cs="Calibri"/>
                <w:i/>
                <w:color w:val="000000"/>
              </w:rPr>
              <w:t>-$54,939</w:t>
            </w:r>
          </w:p>
        </w:tc>
        <w:tc>
          <w:tcPr>
            <w:tcW w:w="1092" w:type="dxa"/>
          </w:tcPr>
          <w:p w14:paraId="2AF32E9D" w14:textId="77777777" w:rsidR="00C856E8" w:rsidRPr="00223F1C" w:rsidRDefault="00C856E8" w:rsidP="00C856E8">
            <w:pPr>
              <w:pStyle w:val="Tabletext"/>
              <w:jc w:val="right"/>
              <w:rPr>
                <w:i/>
              </w:rPr>
            </w:pPr>
            <w:r w:rsidRPr="00223F1C">
              <w:rPr>
                <w:rFonts w:cs="Calibri"/>
                <w:i/>
                <w:color w:val="000000"/>
              </w:rPr>
              <w:t>23%</w:t>
            </w:r>
          </w:p>
        </w:tc>
      </w:tr>
      <w:tr w:rsidR="00C856E8" w:rsidRPr="00D901F5" w14:paraId="767378DB" w14:textId="77777777" w:rsidTr="00C856E8">
        <w:trPr>
          <w:trHeight w:val="20"/>
        </w:trPr>
        <w:tc>
          <w:tcPr>
            <w:tcW w:w="9270" w:type="dxa"/>
            <w:gridSpan w:val="5"/>
          </w:tcPr>
          <w:p w14:paraId="7187812C" w14:textId="77777777" w:rsidR="00C856E8" w:rsidRPr="00223F1C" w:rsidRDefault="00C856E8" w:rsidP="00C856E8">
            <w:pPr>
              <w:pStyle w:val="Tabletext"/>
              <w:keepNext/>
              <w:rPr>
                <w:rFonts w:cs="Calibri"/>
                <w:i/>
                <w:color w:val="000000"/>
              </w:rPr>
            </w:pPr>
            <w:r>
              <w:t>Multivariate analyses</w:t>
            </w:r>
          </w:p>
        </w:tc>
      </w:tr>
      <w:tr w:rsidR="00C856E8" w:rsidRPr="00D901F5" w14:paraId="43DA18DF" w14:textId="77777777" w:rsidTr="00C856E8">
        <w:trPr>
          <w:trHeight w:val="20"/>
        </w:trPr>
        <w:tc>
          <w:tcPr>
            <w:tcW w:w="4530" w:type="dxa"/>
          </w:tcPr>
          <w:p w14:paraId="46F05DC6" w14:textId="77777777" w:rsidR="00C856E8" w:rsidRDefault="00C856E8" w:rsidP="00C856E8">
            <w:pPr>
              <w:pStyle w:val="Tabletext"/>
            </w:pPr>
            <w:r>
              <w:t>Change % receiving delayed therapy to 81%, change hospital costs to surgical DRGs</w:t>
            </w:r>
          </w:p>
        </w:tc>
        <w:tc>
          <w:tcPr>
            <w:tcW w:w="1283" w:type="dxa"/>
          </w:tcPr>
          <w:p w14:paraId="0E4A4448" w14:textId="77777777" w:rsidR="00C856E8" w:rsidRPr="00223F1C" w:rsidRDefault="00C856E8" w:rsidP="00C856E8">
            <w:pPr>
              <w:pStyle w:val="Tabletext"/>
              <w:jc w:val="right"/>
              <w:rPr>
                <w:rFonts w:cs="Calibri"/>
                <w:i/>
                <w:color w:val="000000"/>
              </w:rPr>
            </w:pPr>
            <w:r w:rsidRPr="00FE61C6">
              <w:rPr>
                <w:rFonts w:cs="Calibri"/>
                <w:i/>
                <w:color w:val="000000"/>
              </w:rPr>
              <w:t>$4,169</w:t>
            </w:r>
          </w:p>
        </w:tc>
        <w:tc>
          <w:tcPr>
            <w:tcW w:w="1128" w:type="dxa"/>
          </w:tcPr>
          <w:p w14:paraId="522A3F58" w14:textId="77777777" w:rsidR="00C856E8" w:rsidRPr="00223F1C" w:rsidRDefault="00C856E8" w:rsidP="00C856E8">
            <w:pPr>
              <w:pStyle w:val="Tabletext"/>
              <w:jc w:val="right"/>
              <w:rPr>
                <w:rFonts w:cs="Calibri"/>
                <w:i/>
                <w:color w:val="000000"/>
              </w:rPr>
            </w:pPr>
            <w:r w:rsidRPr="00FE61C6">
              <w:rPr>
                <w:rFonts w:cs="Calibri"/>
                <w:i/>
                <w:color w:val="000000"/>
              </w:rPr>
              <w:t>0.103</w:t>
            </w:r>
          </w:p>
        </w:tc>
        <w:tc>
          <w:tcPr>
            <w:tcW w:w="1237" w:type="dxa"/>
          </w:tcPr>
          <w:p w14:paraId="39CCEDDC" w14:textId="77777777" w:rsidR="00C856E8" w:rsidRPr="00223F1C" w:rsidRDefault="00C856E8" w:rsidP="00C856E8">
            <w:pPr>
              <w:pStyle w:val="Tabletext"/>
              <w:jc w:val="right"/>
              <w:rPr>
                <w:rFonts w:cs="Calibri"/>
                <w:i/>
                <w:color w:val="000000"/>
              </w:rPr>
            </w:pPr>
            <w:r w:rsidRPr="00FE61C6">
              <w:rPr>
                <w:rFonts w:cs="Calibri"/>
                <w:i/>
                <w:color w:val="000000"/>
              </w:rPr>
              <w:t>$40,558</w:t>
            </w:r>
          </w:p>
        </w:tc>
        <w:tc>
          <w:tcPr>
            <w:tcW w:w="1092" w:type="dxa"/>
          </w:tcPr>
          <w:p w14:paraId="05CDD110" w14:textId="77777777" w:rsidR="00C856E8" w:rsidRPr="00223F1C" w:rsidRDefault="00C856E8" w:rsidP="00C856E8">
            <w:pPr>
              <w:pStyle w:val="Tabletext"/>
              <w:jc w:val="right"/>
              <w:rPr>
                <w:rFonts w:cs="Calibri"/>
                <w:i/>
                <w:color w:val="000000"/>
              </w:rPr>
            </w:pPr>
            <w:r>
              <w:rPr>
                <w:rFonts w:cs="Calibri"/>
                <w:i/>
                <w:color w:val="000000"/>
              </w:rPr>
              <w:t>-191%</w:t>
            </w:r>
          </w:p>
        </w:tc>
      </w:tr>
    </w:tbl>
    <w:p w14:paraId="20F8F67C" w14:textId="73754619" w:rsidR="00C856E8" w:rsidRPr="00DF51F4" w:rsidRDefault="00C856E8" w:rsidP="00C856E8">
      <w:pPr>
        <w:pStyle w:val="Tablenotes"/>
        <w:rPr>
          <w:i/>
        </w:rPr>
      </w:pPr>
      <w:r>
        <w:t xml:space="preserve">Source: Table 85, p166 of the </w:t>
      </w:r>
      <w:r w:rsidR="009842FE">
        <w:t>Commentary</w:t>
      </w:r>
      <w:r w:rsidRPr="00DF51F4">
        <w:rPr>
          <w:i/>
        </w:rPr>
        <w:t xml:space="preserve">. Base case respecified so RN is the delayed therapy intervention. Updated MBS and PBS costs are included. </w:t>
      </w:r>
    </w:p>
    <w:p w14:paraId="0A14B3DD" w14:textId="77777777" w:rsidR="00C856E8" w:rsidRDefault="00C856E8" w:rsidP="00C856E8">
      <w:pPr>
        <w:pStyle w:val="Tablenotes"/>
      </w:pPr>
      <w:r>
        <w:t>Abbreviations: AS/DT = active surveillance/delayed therapy, CA = cryoablation, CSS = cancer specific survival, DRG = diagnosis related group, AEs = adverse events, HR = hazard ratio, ICER = incremental cost effectiveness ratio, OS = overall survival</w:t>
      </w:r>
      <w:proofErr w:type="gramStart"/>
      <w:r>
        <w:t>,  QALY</w:t>
      </w:r>
      <w:proofErr w:type="gramEnd"/>
      <w:r>
        <w:t xml:space="preserve"> = quality adjusted life year</w:t>
      </w:r>
    </w:p>
    <w:p w14:paraId="7E2EF04E" w14:textId="5DC91F28" w:rsidR="00C856E8" w:rsidRDefault="00C856E8" w:rsidP="00C856E8">
      <w:pPr>
        <w:spacing w:after="240"/>
      </w:pPr>
      <w:r>
        <w:t>The respecified base case is sensitive to the model time horizon, efficacy inputs from Xing (2018), the cost of hospitalisation, and the proportion of patients receiving DT (</w:t>
      </w:r>
      <w:r>
        <w:fldChar w:fldCharType="begin"/>
      </w:r>
      <w:r>
        <w:instrText xml:space="preserve"> REF _Ref46826125 \h </w:instrText>
      </w:r>
      <w:r>
        <w:fldChar w:fldCharType="separate"/>
      </w:r>
      <w:r>
        <w:t xml:space="preserve">Table </w:t>
      </w:r>
      <w:r>
        <w:rPr>
          <w:noProof/>
        </w:rPr>
        <w:t>11</w:t>
      </w:r>
      <w:r>
        <w:fldChar w:fldCharType="end"/>
      </w:r>
      <w:r>
        <w:t>).</w:t>
      </w:r>
    </w:p>
    <w:p w14:paraId="69C5EBC6" w14:textId="77777777" w:rsidR="00C856E8" w:rsidRPr="003A7EA2" w:rsidRDefault="00C856E8" w:rsidP="003A7EA2">
      <w:pPr>
        <w:keepNext/>
        <w:keepLines/>
        <w:rPr>
          <w:rFonts w:ascii="Arial Narrow" w:hAnsi="Arial Narrow"/>
          <w:b/>
          <w:i/>
          <w:sz w:val="20"/>
        </w:rPr>
      </w:pPr>
      <w:bookmarkStart w:id="35" w:name="_Ref46826125"/>
      <w:bookmarkStart w:id="36" w:name="_Toc399251127"/>
      <w:r w:rsidRPr="003A7EA2">
        <w:rPr>
          <w:rFonts w:ascii="Arial Narrow" w:hAnsi="Arial Narrow"/>
          <w:b/>
          <w:sz w:val="20"/>
        </w:rPr>
        <w:t xml:space="preserve">Table </w:t>
      </w:r>
      <w:r w:rsidR="00C736E0" w:rsidRPr="003A7EA2">
        <w:rPr>
          <w:rFonts w:ascii="Arial Narrow" w:hAnsi="Arial Narrow"/>
          <w:b/>
          <w:sz w:val="20"/>
        </w:rPr>
        <w:fldChar w:fldCharType="begin"/>
      </w:r>
      <w:r w:rsidR="00C736E0" w:rsidRPr="003A7EA2">
        <w:rPr>
          <w:rFonts w:ascii="Arial Narrow" w:hAnsi="Arial Narrow"/>
          <w:b/>
          <w:sz w:val="20"/>
        </w:rPr>
        <w:instrText xml:space="preserve"> SEQ Table \* ARABIC </w:instrText>
      </w:r>
      <w:r w:rsidR="00C736E0" w:rsidRPr="003A7EA2">
        <w:rPr>
          <w:rFonts w:ascii="Arial Narrow" w:hAnsi="Arial Narrow"/>
          <w:b/>
          <w:sz w:val="20"/>
        </w:rPr>
        <w:fldChar w:fldCharType="separate"/>
      </w:r>
      <w:r w:rsidRPr="003A7EA2">
        <w:rPr>
          <w:rFonts w:ascii="Arial Narrow" w:hAnsi="Arial Narrow"/>
          <w:b/>
          <w:sz w:val="20"/>
        </w:rPr>
        <w:t>11</w:t>
      </w:r>
      <w:r w:rsidR="00C736E0" w:rsidRPr="003A7EA2">
        <w:rPr>
          <w:rFonts w:ascii="Arial Narrow" w:hAnsi="Arial Narrow"/>
          <w:b/>
          <w:sz w:val="20"/>
        </w:rPr>
        <w:fldChar w:fldCharType="end"/>
      </w:r>
      <w:bookmarkEnd w:id="35"/>
      <w:r w:rsidRPr="003A7EA2">
        <w:rPr>
          <w:rFonts w:ascii="Arial Narrow" w:hAnsi="Arial Narrow"/>
          <w:b/>
          <w:sz w:val="20"/>
        </w:rPr>
        <w:tab/>
        <w:t>Key drivers of the economic model</w:t>
      </w:r>
      <w:bookmarkEnd w:id="36"/>
      <w:r w:rsidRPr="003A7EA2">
        <w:rPr>
          <w:rFonts w:ascii="Arial Narrow" w:hAnsi="Arial Narrow"/>
          <w:b/>
          <w:sz w:val="20"/>
        </w:rPr>
        <w:t xml:space="preserve"> – </w:t>
      </w:r>
      <w:r w:rsidRPr="003A7EA2">
        <w:rPr>
          <w:rFonts w:ascii="Arial Narrow" w:hAnsi="Arial Narrow"/>
          <w:b/>
          <w:i/>
          <w:sz w:val="20"/>
        </w:rPr>
        <w:t>respecified base case</w:t>
      </w:r>
    </w:p>
    <w:tbl>
      <w:tblPr>
        <w:tblStyle w:val="TableGrid1"/>
        <w:tblW w:w="5107" w:type="pct"/>
        <w:tblLook w:val="04A0" w:firstRow="1" w:lastRow="0" w:firstColumn="1" w:lastColumn="0" w:noHBand="0" w:noVBand="1"/>
        <w:tblCaption w:val="Table 14 Key drivers of the economic model"/>
        <w:tblDescription w:val="This table describes what factors and assumptions in the economic evaluation affect the incremental cost-effectiveness to the greatest extent."/>
      </w:tblPr>
      <w:tblGrid>
        <w:gridCol w:w="1888"/>
        <w:gridCol w:w="4369"/>
        <w:gridCol w:w="2952"/>
      </w:tblGrid>
      <w:tr w:rsidR="00C856E8" w:rsidRPr="00A55001" w14:paraId="34CA3819" w14:textId="77777777" w:rsidTr="00614FED">
        <w:trPr>
          <w:cnfStyle w:val="100000000000" w:firstRow="1" w:lastRow="0" w:firstColumn="0" w:lastColumn="0" w:oddVBand="0" w:evenVBand="0" w:oddHBand="0" w:evenHBand="0" w:firstRowFirstColumn="0" w:firstRowLastColumn="0" w:lastRowFirstColumn="0" w:lastRowLastColumn="0"/>
          <w:tblHeader/>
        </w:trPr>
        <w:tc>
          <w:tcPr>
            <w:tcW w:w="1025" w:type="pct"/>
          </w:tcPr>
          <w:p w14:paraId="68F30C7B" w14:textId="77777777" w:rsidR="00C856E8" w:rsidRPr="00A55001" w:rsidRDefault="00C856E8" w:rsidP="003A7EA2">
            <w:pPr>
              <w:pStyle w:val="TableHeading"/>
              <w:keepLines/>
              <w:rPr>
                <w:snapToGrid w:val="0"/>
                <w:lang w:eastAsia="en-US"/>
              </w:rPr>
            </w:pPr>
            <w:r w:rsidRPr="00A55001">
              <w:rPr>
                <w:snapToGrid w:val="0"/>
                <w:lang w:eastAsia="en-US"/>
              </w:rPr>
              <w:t>Description</w:t>
            </w:r>
          </w:p>
        </w:tc>
        <w:tc>
          <w:tcPr>
            <w:tcW w:w="2372" w:type="pct"/>
          </w:tcPr>
          <w:p w14:paraId="4F32A6B2" w14:textId="77777777" w:rsidR="00C856E8" w:rsidRPr="00A55001" w:rsidRDefault="00C856E8" w:rsidP="003A7EA2">
            <w:pPr>
              <w:pStyle w:val="TableHeading"/>
              <w:keepLines/>
              <w:rPr>
                <w:snapToGrid w:val="0"/>
                <w:lang w:eastAsia="en-US"/>
              </w:rPr>
            </w:pPr>
            <w:r w:rsidRPr="00A55001">
              <w:rPr>
                <w:snapToGrid w:val="0"/>
                <w:lang w:eastAsia="en-US"/>
              </w:rPr>
              <w:t>Method/Value</w:t>
            </w:r>
          </w:p>
        </w:tc>
        <w:tc>
          <w:tcPr>
            <w:tcW w:w="1603" w:type="pct"/>
          </w:tcPr>
          <w:p w14:paraId="6531D699" w14:textId="77777777" w:rsidR="00C856E8" w:rsidRPr="00A55001" w:rsidRDefault="00C856E8" w:rsidP="00486A70">
            <w:pPr>
              <w:pStyle w:val="TableHeading"/>
              <w:keepLines/>
              <w:ind w:left="997" w:hanging="997"/>
              <w:jc w:val="left"/>
              <w:rPr>
                <w:snapToGrid w:val="0"/>
                <w:lang w:eastAsia="en-US"/>
              </w:rPr>
            </w:pPr>
            <w:r w:rsidRPr="00A55001">
              <w:rPr>
                <w:snapToGrid w:val="0"/>
                <w:lang w:eastAsia="en-US"/>
              </w:rPr>
              <w:t>Impact</w:t>
            </w:r>
          </w:p>
          <w:p w14:paraId="4402A6EA" w14:textId="77777777" w:rsidR="00C856E8" w:rsidRPr="00A55001" w:rsidRDefault="00C856E8" w:rsidP="00486A70">
            <w:pPr>
              <w:pStyle w:val="TableHeading"/>
              <w:keepLines/>
              <w:ind w:left="997" w:hanging="997"/>
              <w:jc w:val="left"/>
              <w:rPr>
                <w:snapToGrid w:val="0"/>
                <w:lang w:eastAsia="en-US"/>
              </w:rPr>
            </w:pPr>
            <w:r w:rsidRPr="00A55001">
              <w:rPr>
                <w:snapToGrid w:val="0"/>
                <w:lang w:eastAsia="en-US"/>
              </w:rPr>
              <w:t>Base case: -$44,662/ QALY gained (dominant)</w:t>
            </w:r>
          </w:p>
        </w:tc>
      </w:tr>
      <w:tr w:rsidR="00C856E8" w:rsidRPr="00A55001" w14:paraId="33A39D52" w14:textId="77777777" w:rsidTr="00486A70">
        <w:tc>
          <w:tcPr>
            <w:tcW w:w="1025" w:type="pct"/>
          </w:tcPr>
          <w:p w14:paraId="4CD6EFCC" w14:textId="77777777" w:rsidR="00C856E8" w:rsidRPr="00A55001" w:rsidRDefault="00C856E8" w:rsidP="003A7EA2">
            <w:pPr>
              <w:pStyle w:val="TableHeading"/>
              <w:keepLines/>
              <w:rPr>
                <w:b w:val="0"/>
                <w:snapToGrid w:val="0"/>
                <w:lang w:eastAsia="en-US"/>
              </w:rPr>
            </w:pPr>
            <w:r w:rsidRPr="00A55001">
              <w:rPr>
                <w:b w:val="0"/>
                <w:snapToGrid w:val="0"/>
                <w:lang w:eastAsia="en-US"/>
              </w:rPr>
              <w:t>Time horizon</w:t>
            </w:r>
          </w:p>
        </w:tc>
        <w:tc>
          <w:tcPr>
            <w:tcW w:w="2372" w:type="pct"/>
          </w:tcPr>
          <w:p w14:paraId="6CBA4158" w14:textId="77777777" w:rsidR="00C856E8" w:rsidRPr="00A55001" w:rsidRDefault="00C856E8" w:rsidP="003A7EA2">
            <w:pPr>
              <w:pStyle w:val="TableHeading"/>
              <w:keepLines/>
              <w:ind w:left="0" w:firstLine="0"/>
              <w:rPr>
                <w:b w:val="0"/>
                <w:snapToGrid w:val="0"/>
                <w:lang w:eastAsia="en-US"/>
              </w:rPr>
            </w:pPr>
            <w:r w:rsidRPr="00A55001">
              <w:rPr>
                <w:b w:val="0"/>
                <w:snapToGrid w:val="0"/>
                <w:lang w:eastAsia="en-US"/>
              </w:rPr>
              <w:t>Reducing the time horizon increases the dominance of CA versus AS/DT. The time horizon is reasonable and may be too short. Since the clinical data was not extrapolated the impact of extending the time horizon cannot be evaluated.</w:t>
            </w:r>
          </w:p>
        </w:tc>
        <w:tc>
          <w:tcPr>
            <w:tcW w:w="1603" w:type="pct"/>
          </w:tcPr>
          <w:p w14:paraId="4069BDD0" w14:textId="77777777" w:rsidR="00C856E8" w:rsidRPr="00A55001" w:rsidRDefault="00C856E8" w:rsidP="003A7EA2">
            <w:pPr>
              <w:pStyle w:val="TableHeading"/>
              <w:keepLines/>
              <w:rPr>
                <w:b w:val="0"/>
                <w:snapToGrid w:val="0"/>
                <w:lang w:eastAsia="en-US"/>
              </w:rPr>
            </w:pPr>
            <w:r w:rsidRPr="00A55001">
              <w:rPr>
                <w:b w:val="0"/>
                <w:snapToGrid w:val="0"/>
                <w:lang w:eastAsia="en-US"/>
              </w:rPr>
              <w:t>Uncertain</w:t>
            </w:r>
          </w:p>
        </w:tc>
      </w:tr>
      <w:tr w:rsidR="00C856E8" w:rsidRPr="00A55001" w14:paraId="458A9D17" w14:textId="77777777" w:rsidTr="00486A70">
        <w:tc>
          <w:tcPr>
            <w:tcW w:w="1025" w:type="pct"/>
          </w:tcPr>
          <w:p w14:paraId="26D71494" w14:textId="77777777" w:rsidR="00C856E8" w:rsidRPr="00A55001" w:rsidRDefault="00C856E8" w:rsidP="00C856E8">
            <w:pPr>
              <w:pStyle w:val="TableHeading"/>
              <w:ind w:left="0" w:firstLine="0"/>
              <w:jc w:val="left"/>
              <w:rPr>
                <w:b w:val="0"/>
                <w:snapToGrid w:val="0"/>
                <w:lang w:eastAsia="en-US"/>
              </w:rPr>
            </w:pPr>
            <w:r w:rsidRPr="00A55001">
              <w:rPr>
                <w:b w:val="0"/>
                <w:snapToGrid w:val="0"/>
                <w:lang w:eastAsia="en-US"/>
              </w:rPr>
              <w:t>Efficacy inputs from Xing (2018)</w:t>
            </w:r>
          </w:p>
        </w:tc>
        <w:tc>
          <w:tcPr>
            <w:tcW w:w="2372" w:type="pct"/>
          </w:tcPr>
          <w:p w14:paraId="243D37AD" w14:textId="77777777" w:rsidR="00C856E8" w:rsidRPr="00A55001" w:rsidRDefault="00C856E8" w:rsidP="00C856E8">
            <w:pPr>
              <w:pStyle w:val="TableHeading"/>
              <w:ind w:left="0" w:firstLine="0"/>
              <w:rPr>
                <w:b w:val="0"/>
                <w:snapToGrid w:val="0"/>
                <w:lang w:eastAsia="en-US"/>
              </w:rPr>
            </w:pPr>
            <w:r w:rsidRPr="00A55001">
              <w:rPr>
                <w:b w:val="0"/>
                <w:snapToGrid w:val="0"/>
                <w:lang w:eastAsia="en-US"/>
              </w:rPr>
              <w:t>Base case applies a point estimate hazard ratio based on Xing (2018). Sensitivity analyses using the upper and lower 95% confidence intervals (CI) show that the ICER is sensitive to this parameter</w:t>
            </w:r>
          </w:p>
        </w:tc>
        <w:tc>
          <w:tcPr>
            <w:tcW w:w="1603" w:type="pct"/>
          </w:tcPr>
          <w:p w14:paraId="5B8DAD61" w14:textId="77777777" w:rsidR="00C856E8" w:rsidRPr="00A55001" w:rsidRDefault="00C856E8" w:rsidP="00C856E8">
            <w:pPr>
              <w:pStyle w:val="TableHeading"/>
              <w:rPr>
                <w:b w:val="0"/>
                <w:snapToGrid w:val="0"/>
                <w:lang w:eastAsia="en-US"/>
              </w:rPr>
            </w:pPr>
            <w:r w:rsidRPr="00A55001">
              <w:rPr>
                <w:b w:val="0"/>
                <w:snapToGrid w:val="0"/>
                <w:lang w:eastAsia="en-US"/>
              </w:rPr>
              <w:t>Uncertain</w:t>
            </w:r>
          </w:p>
          <w:p w14:paraId="654151A8" w14:textId="77777777" w:rsidR="00C856E8" w:rsidRPr="00A55001" w:rsidRDefault="00C856E8" w:rsidP="00C856E8">
            <w:pPr>
              <w:pStyle w:val="TableHeading"/>
              <w:rPr>
                <w:b w:val="0"/>
                <w:snapToGrid w:val="0"/>
                <w:lang w:eastAsia="en-US"/>
              </w:rPr>
            </w:pPr>
            <w:r w:rsidRPr="00A55001">
              <w:rPr>
                <w:b w:val="0"/>
                <w:snapToGrid w:val="0"/>
                <w:lang w:eastAsia="en-US"/>
              </w:rPr>
              <w:t>Upper 95% CI = -$19,167/QALY</w:t>
            </w:r>
          </w:p>
          <w:p w14:paraId="15E677B2" w14:textId="77777777" w:rsidR="00C856E8" w:rsidRPr="00A55001" w:rsidRDefault="00C856E8" w:rsidP="00C856E8">
            <w:pPr>
              <w:pStyle w:val="TableHeading"/>
              <w:rPr>
                <w:b w:val="0"/>
                <w:snapToGrid w:val="0"/>
                <w:lang w:eastAsia="en-US"/>
              </w:rPr>
            </w:pPr>
            <w:r w:rsidRPr="00A55001">
              <w:rPr>
                <w:b w:val="0"/>
                <w:snapToGrid w:val="0"/>
                <w:lang w:eastAsia="en-US"/>
              </w:rPr>
              <w:t>Lower 95% CI = -$119,552/QALY</w:t>
            </w:r>
          </w:p>
        </w:tc>
      </w:tr>
      <w:tr w:rsidR="00C856E8" w:rsidRPr="00A55001" w14:paraId="2DC132A1" w14:textId="77777777" w:rsidTr="00486A70">
        <w:tc>
          <w:tcPr>
            <w:tcW w:w="1025" w:type="pct"/>
          </w:tcPr>
          <w:p w14:paraId="71B94263" w14:textId="77777777" w:rsidR="00C856E8" w:rsidRPr="00A55001" w:rsidRDefault="00C856E8" w:rsidP="00C856E8">
            <w:pPr>
              <w:pStyle w:val="Tabletext"/>
              <w:rPr>
                <w:snapToGrid w:val="0"/>
              </w:rPr>
            </w:pPr>
            <w:r w:rsidRPr="00A55001">
              <w:rPr>
                <w:snapToGrid w:val="0"/>
              </w:rPr>
              <w:t>Hospitalisation costs</w:t>
            </w:r>
          </w:p>
        </w:tc>
        <w:tc>
          <w:tcPr>
            <w:tcW w:w="2372" w:type="pct"/>
          </w:tcPr>
          <w:p w14:paraId="6B34B14B" w14:textId="77777777" w:rsidR="00C856E8" w:rsidRPr="00A55001" w:rsidRDefault="00C856E8" w:rsidP="00C856E8">
            <w:pPr>
              <w:pStyle w:val="Tabletext"/>
              <w:rPr>
                <w:snapToGrid w:val="0"/>
              </w:rPr>
            </w:pPr>
            <w:r w:rsidRPr="00A55001">
              <w:rPr>
                <w:snapToGrid w:val="0"/>
              </w:rPr>
              <w:t xml:space="preserve">Hospitalisation costs </w:t>
            </w:r>
            <w:proofErr w:type="gramStart"/>
            <w:r w:rsidRPr="00A55001">
              <w:rPr>
                <w:snapToGrid w:val="0"/>
              </w:rPr>
              <w:t>are based</w:t>
            </w:r>
            <w:proofErr w:type="gramEnd"/>
            <w:r w:rsidRPr="00A55001">
              <w:rPr>
                <w:snapToGrid w:val="0"/>
              </w:rPr>
              <w:t xml:space="preserve"> on AR-DRGs L62C for CA and a weighted average of L62A and L62B for RN. These are medical DRGs and should be substituted by surgical DRGs (e.g. L03C)</w:t>
            </w:r>
          </w:p>
        </w:tc>
        <w:tc>
          <w:tcPr>
            <w:tcW w:w="1603" w:type="pct"/>
          </w:tcPr>
          <w:p w14:paraId="5F8288A6" w14:textId="77777777" w:rsidR="00C856E8" w:rsidRPr="00A55001" w:rsidRDefault="00C856E8" w:rsidP="00C856E8">
            <w:pPr>
              <w:pStyle w:val="Tabletext"/>
              <w:rPr>
                <w:snapToGrid w:val="0"/>
              </w:rPr>
            </w:pPr>
            <w:r w:rsidRPr="00A55001">
              <w:rPr>
                <w:snapToGrid w:val="0"/>
              </w:rPr>
              <w:t>High, favours CA</w:t>
            </w:r>
            <w:r w:rsidRPr="00A55001">
              <w:rPr>
                <w:snapToGrid w:val="0"/>
              </w:rPr>
              <w:br/>
              <w:t>Incorporating L03C increased the ICER to +$35,444/QALY</w:t>
            </w:r>
          </w:p>
        </w:tc>
      </w:tr>
      <w:tr w:rsidR="00C856E8" w:rsidRPr="00A55001" w14:paraId="0E7B8FD8" w14:textId="77777777" w:rsidTr="00486A70">
        <w:tc>
          <w:tcPr>
            <w:tcW w:w="1025" w:type="pct"/>
          </w:tcPr>
          <w:p w14:paraId="67C01AA9" w14:textId="77777777" w:rsidR="00C856E8" w:rsidRPr="00A55001" w:rsidRDefault="00C856E8" w:rsidP="00C856E8">
            <w:pPr>
              <w:pStyle w:val="Tabletext"/>
              <w:rPr>
                <w:snapToGrid w:val="0"/>
              </w:rPr>
            </w:pPr>
            <w:r w:rsidRPr="00A55001">
              <w:rPr>
                <w:snapToGrid w:val="0"/>
              </w:rPr>
              <w:t>Proportion receiving delayed therapy (DT)</w:t>
            </w:r>
          </w:p>
        </w:tc>
        <w:tc>
          <w:tcPr>
            <w:tcW w:w="2372" w:type="pct"/>
          </w:tcPr>
          <w:p w14:paraId="4FCBACDF" w14:textId="77777777" w:rsidR="00C856E8" w:rsidRPr="00A55001" w:rsidRDefault="00C856E8" w:rsidP="00C856E8">
            <w:pPr>
              <w:pStyle w:val="Tabletext"/>
              <w:rPr>
                <w:snapToGrid w:val="0"/>
              </w:rPr>
            </w:pPr>
            <w:r w:rsidRPr="00A55001">
              <w:rPr>
                <w:snapToGrid w:val="0"/>
              </w:rPr>
              <w:t>Base case assumes 84% of patients in the comparator arm receive DT. Sensitivity analyses using alternate proportions show the ICER is sensitive to this parameter</w:t>
            </w:r>
          </w:p>
        </w:tc>
        <w:tc>
          <w:tcPr>
            <w:tcW w:w="1603" w:type="pct"/>
          </w:tcPr>
          <w:p w14:paraId="53B3BAEE" w14:textId="77777777" w:rsidR="00C856E8" w:rsidRPr="00A55001" w:rsidRDefault="00C856E8" w:rsidP="00C856E8">
            <w:pPr>
              <w:pStyle w:val="Tabletext"/>
              <w:rPr>
                <w:snapToGrid w:val="0"/>
              </w:rPr>
            </w:pPr>
            <w:r w:rsidRPr="00A55001">
              <w:rPr>
                <w:snapToGrid w:val="0"/>
              </w:rPr>
              <w:t>Uncertain</w:t>
            </w:r>
          </w:p>
          <w:p w14:paraId="31172716" w14:textId="77777777" w:rsidR="00C856E8" w:rsidRPr="00A55001" w:rsidRDefault="00C856E8" w:rsidP="00C856E8">
            <w:pPr>
              <w:pStyle w:val="Tabletext"/>
              <w:rPr>
                <w:snapToGrid w:val="0"/>
              </w:rPr>
            </w:pPr>
            <w:r w:rsidRPr="00A55001">
              <w:rPr>
                <w:snapToGrid w:val="0"/>
              </w:rPr>
              <w:t>0% receiving DT = +$24,475/QALY</w:t>
            </w:r>
          </w:p>
          <w:p w14:paraId="60433CAD" w14:textId="77777777" w:rsidR="00C856E8" w:rsidRPr="00A55001" w:rsidRDefault="00C856E8" w:rsidP="00C856E8">
            <w:pPr>
              <w:pStyle w:val="Tabletext"/>
              <w:rPr>
                <w:snapToGrid w:val="0"/>
              </w:rPr>
            </w:pPr>
            <w:r w:rsidRPr="00A55001">
              <w:rPr>
                <w:snapToGrid w:val="0"/>
              </w:rPr>
              <w:t>100% receiving DT = -$57,831/QALY</w:t>
            </w:r>
          </w:p>
        </w:tc>
      </w:tr>
    </w:tbl>
    <w:p w14:paraId="354A0086" w14:textId="132647C8" w:rsidR="00C856E8" w:rsidRDefault="00C856E8" w:rsidP="00C856E8">
      <w:pPr>
        <w:pStyle w:val="Tablenotes"/>
      </w:pPr>
      <w:r>
        <w:t xml:space="preserve">Source: Table 86, p169 of the </w:t>
      </w:r>
      <w:r w:rsidR="009842FE">
        <w:t>Commentary</w:t>
      </w:r>
    </w:p>
    <w:p w14:paraId="7302F137" w14:textId="77777777" w:rsidR="00C856E8" w:rsidRPr="00183E4D" w:rsidRDefault="00C856E8" w:rsidP="00C856E8">
      <w:pPr>
        <w:pStyle w:val="Tablenotes"/>
      </w:pPr>
      <w:r>
        <w:t>Abbreviations: AR-DRG = Australian refined diagnostic related group, CA = cryoablation, QALY = quality adjusted life year, RN = radical nephrectomy</w:t>
      </w:r>
    </w:p>
    <w:p w14:paraId="0C2E1789" w14:textId="6E4946AA" w:rsidR="00C856E8" w:rsidRPr="00B83DD8" w:rsidRDefault="004A3BEA" w:rsidP="00C856E8">
      <w:pPr>
        <w:spacing w:after="240"/>
        <w:rPr>
          <w:i/>
          <w:color w:val="FF0000"/>
        </w:rPr>
      </w:pPr>
      <w:r w:rsidRPr="004A3BEA">
        <w:rPr>
          <w:b/>
        </w:rPr>
        <w:t>Redacted.</w:t>
      </w:r>
    </w:p>
    <w:p w14:paraId="75AADE93" w14:textId="1BF2C4FE" w:rsidR="00C856E8" w:rsidRDefault="00C856E8" w:rsidP="00C856E8">
      <w:r>
        <w:t xml:space="preserve">The pre-ESC response acknowledged that </w:t>
      </w:r>
      <w:proofErr w:type="spellStart"/>
      <w:r>
        <w:t>Uhlig</w:t>
      </w:r>
      <w:proofErr w:type="spellEnd"/>
      <w:r>
        <w:t xml:space="preserve"> (2018) </w:t>
      </w:r>
      <w:proofErr w:type="gramStart"/>
      <w:r>
        <w:t>may</w:t>
      </w:r>
      <w:proofErr w:type="gramEnd"/>
      <w:r>
        <w:t xml:space="preserve"> be more applicable to the Australian setting than Xing (2018). However, the applicant claimed that t</w:t>
      </w:r>
      <w:r w:rsidRPr="00B83DD8">
        <w:t>he alter</w:t>
      </w:r>
      <w:r>
        <w:t xml:space="preserve">native </w:t>
      </w:r>
      <w:r w:rsidR="00E72A12">
        <w:br/>
      </w:r>
      <w:r>
        <w:t xml:space="preserve">AR-DRG suggested in the </w:t>
      </w:r>
      <w:r w:rsidR="009842FE">
        <w:t>Commentary</w:t>
      </w:r>
      <w:r w:rsidRPr="00B83DD8">
        <w:t xml:space="preserve"> (L03C) </w:t>
      </w:r>
      <w:r>
        <w:t>is</w:t>
      </w:r>
      <w:r w:rsidRPr="00B83DD8">
        <w:t xml:space="preserve"> inappropriate </w:t>
      </w:r>
      <w:r>
        <w:t>on the basis that</w:t>
      </w:r>
      <w:r w:rsidRPr="00B83DD8">
        <w:t xml:space="preserve"> it is not a good fit for the reduced invasiveness and simplicity of </w:t>
      </w:r>
      <w:r>
        <w:t>CA</w:t>
      </w:r>
      <w:r w:rsidRPr="00B83DD8">
        <w:t xml:space="preserve"> (noting that most procedures </w:t>
      </w:r>
      <w:proofErr w:type="gramStart"/>
      <w:r w:rsidRPr="00B83DD8">
        <w:t>would be performed</w:t>
      </w:r>
      <w:proofErr w:type="gramEnd"/>
      <w:r w:rsidRPr="00B83DD8">
        <w:t xml:space="preserve"> percutaneously)</w:t>
      </w:r>
      <w:r>
        <w:t xml:space="preserve">. Further, </w:t>
      </w:r>
      <w:r w:rsidRPr="002F01F7">
        <w:t>the average length of stay for L03C (3</w:t>
      </w:r>
      <w:r>
        <w:t xml:space="preserve">.3 </w:t>
      </w:r>
      <w:r w:rsidRPr="002F01F7">
        <w:t xml:space="preserve">days) substantially exceeds </w:t>
      </w:r>
      <w:r>
        <w:t>the average length of stay for CA</w:t>
      </w:r>
      <w:r w:rsidRPr="002F01F7">
        <w:t xml:space="preserve"> that </w:t>
      </w:r>
      <w:proofErr w:type="gramStart"/>
      <w:r w:rsidRPr="002F01F7">
        <w:t>was identified</w:t>
      </w:r>
      <w:proofErr w:type="gramEnd"/>
      <w:r w:rsidRPr="002F01F7">
        <w:t xml:space="preserve"> in th</w:t>
      </w:r>
      <w:r w:rsidRPr="00235AAA">
        <w:t>e ADAR (1 day).</w:t>
      </w:r>
      <w:r>
        <w:t xml:space="preserve"> Therefore, </w:t>
      </w:r>
      <w:r w:rsidRPr="00CF2B43">
        <w:t xml:space="preserve">the </w:t>
      </w:r>
      <w:r>
        <w:t>applicant proposed</w:t>
      </w:r>
      <w:r w:rsidRPr="00CF2B43">
        <w:t xml:space="preserve"> </w:t>
      </w:r>
      <w:r>
        <w:t>modifying the cost of</w:t>
      </w:r>
      <w:r w:rsidRPr="00CF2B43">
        <w:t xml:space="preserve"> AR-DRG L03C to reflect a length of stay of 1 day</w:t>
      </w:r>
      <w:r>
        <w:t xml:space="preserve">, i.e. </w:t>
      </w:r>
      <w:r w:rsidRPr="00CF2B43">
        <w:t xml:space="preserve">all costs except for operating room costs </w:t>
      </w:r>
      <w:r>
        <w:t xml:space="preserve">are </w:t>
      </w:r>
      <w:r w:rsidRPr="00CF2B43">
        <w:t xml:space="preserve">divided by 3 (i.e. 3.3 days length of stay in L03C </w:t>
      </w:r>
      <w:r>
        <w:t>versus 1 for CA). Using this approach, the applicant proposed a hospital cost of</w:t>
      </w:r>
      <w:r w:rsidRPr="00CF2B43">
        <w:t xml:space="preserve"> $10,207 (indexed to $10</w:t>
      </w:r>
      <w:r>
        <w:t xml:space="preserve">,832) for the CA arm that </w:t>
      </w:r>
      <w:r w:rsidRPr="00CF2B43">
        <w:t xml:space="preserve">contains $7,523 (indexed to $7,983) in operating room costs, which </w:t>
      </w:r>
      <w:r>
        <w:t>the applicant claimed is more than suffic</w:t>
      </w:r>
      <w:r w:rsidR="00800956">
        <w:t>ient to cover consumable costs.</w:t>
      </w:r>
    </w:p>
    <w:p w14:paraId="13D7291B" w14:textId="1AA139C7" w:rsidR="00E72A12" w:rsidRPr="00800956" w:rsidRDefault="00C856E8" w:rsidP="00800956">
      <w:pPr>
        <w:spacing w:before="240"/>
      </w:pPr>
      <w:r>
        <w:t xml:space="preserve">Based on the above, the applicant presented updated results to show the impact of using </w:t>
      </w:r>
      <w:proofErr w:type="spellStart"/>
      <w:r>
        <w:t>Uhlig</w:t>
      </w:r>
      <w:proofErr w:type="spellEnd"/>
      <w:r>
        <w:t xml:space="preserve"> 2018 on the cost-utility analysis (with and without the other changes to the model inputs suggested in the </w:t>
      </w:r>
      <w:r w:rsidR="009842FE">
        <w:t>Commentary</w:t>
      </w:r>
      <w:r>
        <w:t xml:space="preserve">), which were verified by the assessment group and shown in </w:t>
      </w:r>
      <w:r>
        <w:fldChar w:fldCharType="begin"/>
      </w:r>
      <w:r>
        <w:instrText xml:space="preserve"> REF _Ref50979240 \h </w:instrText>
      </w:r>
      <w:r>
        <w:fldChar w:fldCharType="separate"/>
      </w:r>
      <w:r>
        <w:t xml:space="preserve">Table </w:t>
      </w:r>
      <w:r>
        <w:rPr>
          <w:noProof/>
        </w:rPr>
        <w:t>12</w:t>
      </w:r>
      <w:r>
        <w:fldChar w:fldCharType="end"/>
      </w:r>
      <w:r>
        <w:t>. The applicant claimed CA remained cost effective even when the modified AR-DRG hospital costs and effectiveness d</w:t>
      </w:r>
      <w:bookmarkStart w:id="37" w:name="_Ref50979240"/>
      <w:r w:rsidR="00800956">
        <w:t xml:space="preserve">ata from </w:t>
      </w:r>
      <w:proofErr w:type="spellStart"/>
      <w:r w:rsidR="00800956">
        <w:t>Uhlig</w:t>
      </w:r>
      <w:proofErr w:type="spellEnd"/>
      <w:r w:rsidR="00800956">
        <w:t xml:space="preserve"> (2018) are used.</w:t>
      </w:r>
      <w:r w:rsidR="00E72A12">
        <w:br w:type="page"/>
      </w:r>
    </w:p>
    <w:p w14:paraId="6A947991" w14:textId="6912DDE2" w:rsidR="00C856E8" w:rsidRPr="003A7EA2" w:rsidRDefault="00C856E8" w:rsidP="003A7EA2">
      <w:pPr>
        <w:rPr>
          <w:rFonts w:ascii="Arial Narrow" w:hAnsi="Arial Narrow"/>
          <w:b/>
          <w:sz w:val="20"/>
        </w:rPr>
      </w:pPr>
      <w:r w:rsidRPr="003A7EA2">
        <w:rPr>
          <w:rFonts w:ascii="Arial Narrow" w:hAnsi="Arial Narrow"/>
          <w:b/>
          <w:sz w:val="20"/>
        </w:rPr>
        <w:t xml:space="preserve">Table </w:t>
      </w:r>
      <w:r w:rsidR="00C736E0" w:rsidRPr="003A7EA2">
        <w:rPr>
          <w:rFonts w:ascii="Arial Narrow" w:hAnsi="Arial Narrow"/>
          <w:b/>
          <w:sz w:val="20"/>
        </w:rPr>
        <w:fldChar w:fldCharType="begin"/>
      </w:r>
      <w:r w:rsidR="00C736E0" w:rsidRPr="003A7EA2">
        <w:rPr>
          <w:rFonts w:ascii="Arial Narrow" w:hAnsi="Arial Narrow"/>
          <w:b/>
          <w:sz w:val="20"/>
        </w:rPr>
        <w:instrText xml:space="preserve"> SEQ Table \* ARABIC </w:instrText>
      </w:r>
      <w:r w:rsidR="00C736E0" w:rsidRPr="003A7EA2">
        <w:rPr>
          <w:rFonts w:ascii="Arial Narrow" w:hAnsi="Arial Narrow"/>
          <w:b/>
          <w:sz w:val="20"/>
        </w:rPr>
        <w:fldChar w:fldCharType="separate"/>
      </w:r>
      <w:r w:rsidRPr="003A7EA2">
        <w:rPr>
          <w:rFonts w:ascii="Arial Narrow" w:hAnsi="Arial Narrow"/>
          <w:b/>
          <w:sz w:val="20"/>
        </w:rPr>
        <w:t>12</w:t>
      </w:r>
      <w:r w:rsidR="00C736E0" w:rsidRPr="003A7EA2">
        <w:rPr>
          <w:rFonts w:ascii="Arial Narrow" w:hAnsi="Arial Narrow"/>
          <w:b/>
          <w:sz w:val="20"/>
        </w:rPr>
        <w:fldChar w:fldCharType="end"/>
      </w:r>
      <w:bookmarkEnd w:id="37"/>
      <w:r w:rsidRPr="003A7EA2">
        <w:rPr>
          <w:rFonts w:ascii="Arial Narrow" w:hAnsi="Arial Narrow"/>
          <w:b/>
          <w:sz w:val="20"/>
        </w:rPr>
        <w:tab/>
        <w:t>Original and updated results of the cost-utility analysis</w:t>
      </w:r>
    </w:p>
    <w:tbl>
      <w:tblPr>
        <w:tblStyle w:val="TableGrid"/>
        <w:tblW w:w="5000" w:type="pct"/>
        <w:tblLook w:val="04A0" w:firstRow="1" w:lastRow="0" w:firstColumn="1" w:lastColumn="0" w:noHBand="0" w:noVBand="1"/>
        <w:tblCaption w:val="Table 12 Original and updated results of the cost-utility analysis"/>
      </w:tblPr>
      <w:tblGrid>
        <w:gridCol w:w="1554"/>
        <w:gridCol w:w="1432"/>
        <w:gridCol w:w="3341"/>
        <w:gridCol w:w="1331"/>
        <w:gridCol w:w="1358"/>
      </w:tblGrid>
      <w:tr w:rsidR="00C856E8" w:rsidRPr="00DC08C3" w14:paraId="77959635" w14:textId="77777777" w:rsidTr="00C736E0">
        <w:trPr>
          <w:tblHeader/>
        </w:trPr>
        <w:tc>
          <w:tcPr>
            <w:tcW w:w="862" w:type="pct"/>
            <w:tcBorders>
              <w:bottom w:val="single" w:sz="4" w:space="0" w:color="auto"/>
            </w:tcBorders>
          </w:tcPr>
          <w:p w14:paraId="5D08A324" w14:textId="77777777" w:rsidR="00C856E8" w:rsidRPr="00DC08C3" w:rsidRDefault="00C856E8" w:rsidP="00C856E8">
            <w:pPr>
              <w:pStyle w:val="Tabletextbold"/>
              <w:jc w:val="left"/>
            </w:pPr>
            <w:r w:rsidRPr="00DC08C3">
              <w:t>Analysis</w:t>
            </w:r>
          </w:p>
        </w:tc>
        <w:tc>
          <w:tcPr>
            <w:tcW w:w="794" w:type="pct"/>
            <w:tcBorders>
              <w:bottom w:val="single" w:sz="4" w:space="0" w:color="auto"/>
            </w:tcBorders>
          </w:tcPr>
          <w:p w14:paraId="2F677266" w14:textId="77777777" w:rsidR="00C856E8" w:rsidRPr="00DC08C3" w:rsidRDefault="00C856E8" w:rsidP="00C856E8">
            <w:pPr>
              <w:pStyle w:val="Tabletextbold"/>
              <w:jc w:val="left"/>
            </w:pPr>
            <w:r w:rsidRPr="00DC08C3">
              <w:t>Effectiveness data</w:t>
            </w:r>
          </w:p>
        </w:tc>
        <w:tc>
          <w:tcPr>
            <w:tcW w:w="1853" w:type="pct"/>
            <w:tcBorders>
              <w:bottom w:val="single" w:sz="4" w:space="0" w:color="auto"/>
            </w:tcBorders>
          </w:tcPr>
          <w:p w14:paraId="2E9C701F" w14:textId="77777777" w:rsidR="00C856E8" w:rsidRPr="00DC08C3" w:rsidRDefault="00C856E8" w:rsidP="00C856E8">
            <w:pPr>
              <w:pStyle w:val="Tabletextbold"/>
              <w:jc w:val="left"/>
            </w:pPr>
            <w:r w:rsidRPr="00DC08C3">
              <w:t>Costings</w:t>
            </w:r>
          </w:p>
        </w:tc>
        <w:tc>
          <w:tcPr>
            <w:tcW w:w="738" w:type="pct"/>
            <w:tcBorders>
              <w:bottom w:val="single" w:sz="4" w:space="0" w:color="auto"/>
            </w:tcBorders>
          </w:tcPr>
          <w:p w14:paraId="42863086" w14:textId="77777777" w:rsidR="00C856E8" w:rsidRPr="00DC08C3" w:rsidRDefault="00C856E8" w:rsidP="00C856E8">
            <w:pPr>
              <w:pStyle w:val="Tabletextbold"/>
            </w:pPr>
            <w:r w:rsidRPr="00DC08C3">
              <w:t>ICER ($/LYG)</w:t>
            </w:r>
          </w:p>
        </w:tc>
        <w:tc>
          <w:tcPr>
            <w:tcW w:w="753" w:type="pct"/>
            <w:tcBorders>
              <w:bottom w:val="single" w:sz="4" w:space="0" w:color="auto"/>
            </w:tcBorders>
          </w:tcPr>
          <w:p w14:paraId="310067A9" w14:textId="77777777" w:rsidR="00C856E8" w:rsidRPr="00DC08C3" w:rsidRDefault="00C856E8" w:rsidP="00C856E8">
            <w:pPr>
              <w:pStyle w:val="Tabletextbold"/>
            </w:pPr>
            <w:r w:rsidRPr="00DC08C3">
              <w:t>ICER ($/QALY)</w:t>
            </w:r>
          </w:p>
        </w:tc>
      </w:tr>
      <w:tr w:rsidR="00C856E8" w:rsidRPr="00DC08C3" w14:paraId="57BF1940" w14:textId="77777777" w:rsidTr="00C856E8">
        <w:tc>
          <w:tcPr>
            <w:tcW w:w="862" w:type="pct"/>
            <w:tcBorders>
              <w:bottom w:val="dotted" w:sz="4" w:space="0" w:color="auto"/>
            </w:tcBorders>
            <w:shd w:val="clear" w:color="auto" w:fill="D9D9D9" w:themeFill="background1" w:themeFillShade="D9"/>
          </w:tcPr>
          <w:p w14:paraId="40B06AF6" w14:textId="77777777" w:rsidR="00C856E8" w:rsidRPr="00DC08C3" w:rsidRDefault="00C856E8" w:rsidP="00C856E8">
            <w:pPr>
              <w:pStyle w:val="Tabletextcentred"/>
              <w:jc w:val="left"/>
            </w:pPr>
            <w:r w:rsidRPr="00DC08C3">
              <w:t>1. ADAR base case</w:t>
            </w:r>
          </w:p>
        </w:tc>
        <w:tc>
          <w:tcPr>
            <w:tcW w:w="794" w:type="pct"/>
            <w:tcBorders>
              <w:bottom w:val="dotted" w:sz="4" w:space="0" w:color="auto"/>
            </w:tcBorders>
            <w:shd w:val="clear" w:color="auto" w:fill="D9D9D9" w:themeFill="background1" w:themeFillShade="D9"/>
          </w:tcPr>
          <w:p w14:paraId="4B043503" w14:textId="77777777" w:rsidR="00C856E8" w:rsidRPr="00DC08C3" w:rsidRDefault="00C856E8" w:rsidP="00C856E8">
            <w:pPr>
              <w:pStyle w:val="Tabletextcentred"/>
              <w:jc w:val="left"/>
            </w:pPr>
            <w:r w:rsidRPr="00DC08C3">
              <w:t>Xing 2018 (HR)</w:t>
            </w:r>
          </w:p>
        </w:tc>
        <w:tc>
          <w:tcPr>
            <w:tcW w:w="1853" w:type="pct"/>
            <w:tcBorders>
              <w:bottom w:val="dotted" w:sz="4" w:space="0" w:color="auto"/>
            </w:tcBorders>
            <w:shd w:val="clear" w:color="auto" w:fill="D9D9D9" w:themeFill="background1" w:themeFillShade="D9"/>
          </w:tcPr>
          <w:p w14:paraId="7B727F2A" w14:textId="77777777" w:rsidR="00C856E8" w:rsidRPr="00DC08C3" w:rsidRDefault="00C856E8" w:rsidP="00C856E8">
            <w:pPr>
              <w:pStyle w:val="Tabletextcentred"/>
              <w:jc w:val="left"/>
            </w:pPr>
            <w:r w:rsidRPr="00DC08C3">
              <w:t>As per ADAR</w:t>
            </w:r>
          </w:p>
        </w:tc>
        <w:tc>
          <w:tcPr>
            <w:tcW w:w="738" w:type="pct"/>
            <w:tcBorders>
              <w:bottom w:val="dotted" w:sz="4" w:space="0" w:color="auto"/>
            </w:tcBorders>
            <w:shd w:val="clear" w:color="auto" w:fill="D9D9D9" w:themeFill="background1" w:themeFillShade="D9"/>
          </w:tcPr>
          <w:p w14:paraId="72856E9B" w14:textId="77777777" w:rsidR="00C856E8" w:rsidRPr="00DC08C3" w:rsidRDefault="00C856E8" w:rsidP="00C856E8">
            <w:pPr>
              <w:pStyle w:val="Tabletextcentred"/>
            </w:pPr>
            <w:r w:rsidRPr="00DC08C3">
              <w:t>-$707 (dominant)</w:t>
            </w:r>
          </w:p>
        </w:tc>
        <w:tc>
          <w:tcPr>
            <w:tcW w:w="753" w:type="pct"/>
            <w:tcBorders>
              <w:bottom w:val="dotted" w:sz="4" w:space="0" w:color="auto"/>
            </w:tcBorders>
            <w:shd w:val="clear" w:color="auto" w:fill="D9D9D9" w:themeFill="background1" w:themeFillShade="D9"/>
          </w:tcPr>
          <w:p w14:paraId="03F1365C" w14:textId="77777777" w:rsidR="00C856E8" w:rsidRPr="00DC08C3" w:rsidRDefault="00C856E8" w:rsidP="00C856E8">
            <w:pPr>
              <w:pStyle w:val="Tabletextcentred"/>
            </w:pPr>
            <w:r w:rsidRPr="00DC08C3">
              <w:t>-$825 (dominant)</w:t>
            </w:r>
          </w:p>
        </w:tc>
      </w:tr>
      <w:tr w:rsidR="00C856E8" w:rsidRPr="00DC08C3" w14:paraId="310D054F" w14:textId="77777777" w:rsidTr="00C856E8">
        <w:tc>
          <w:tcPr>
            <w:tcW w:w="862" w:type="pct"/>
            <w:tcBorders>
              <w:top w:val="single" w:sz="4" w:space="0" w:color="auto"/>
              <w:bottom w:val="dotted" w:sz="4" w:space="0" w:color="auto"/>
            </w:tcBorders>
          </w:tcPr>
          <w:p w14:paraId="59387E12" w14:textId="586DE619" w:rsidR="00C856E8" w:rsidRPr="00DC08C3" w:rsidRDefault="00C856E8" w:rsidP="00C856E8">
            <w:pPr>
              <w:pStyle w:val="Tabletextcentred"/>
              <w:jc w:val="left"/>
            </w:pPr>
            <w:r w:rsidRPr="00DC08C3">
              <w:t xml:space="preserve">2. </w:t>
            </w:r>
            <w:r w:rsidR="009842FE">
              <w:t>Commentary</w:t>
            </w:r>
            <w:r w:rsidRPr="00DC08C3">
              <w:t xml:space="preserve"> </w:t>
            </w:r>
          </w:p>
        </w:tc>
        <w:tc>
          <w:tcPr>
            <w:tcW w:w="794" w:type="pct"/>
            <w:tcBorders>
              <w:top w:val="single" w:sz="4" w:space="0" w:color="auto"/>
              <w:bottom w:val="dotted" w:sz="4" w:space="0" w:color="auto"/>
            </w:tcBorders>
          </w:tcPr>
          <w:p w14:paraId="67495FDD" w14:textId="77777777" w:rsidR="00C856E8" w:rsidRPr="00DC08C3" w:rsidRDefault="00C856E8" w:rsidP="00C856E8">
            <w:pPr>
              <w:pStyle w:val="Tabletextcentred"/>
              <w:jc w:val="left"/>
            </w:pPr>
            <w:r w:rsidRPr="00DC08C3">
              <w:t>Xing 2018 (HR)</w:t>
            </w:r>
          </w:p>
        </w:tc>
        <w:tc>
          <w:tcPr>
            <w:tcW w:w="1853" w:type="pct"/>
            <w:tcBorders>
              <w:top w:val="single" w:sz="4" w:space="0" w:color="auto"/>
              <w:bottom w:val="dotted" w:sz="4" w:space="0" w:color="auto"/>
            </w:tcBorders>
          </w:tcPr>
          <w:p w14:paraId="04EF8DA3" w14:textId="6029E9A4" w:rsidR="00C856E8" w:rsidRPr="00DC08C3" w:rsidRDefault="00C856E8" w:rsidP="00C856E8">
            <w:pPr>
              <w:pStyle w:val="Tabletextcentred"/>
              <w:jc w:val="left"/>
            </w:pPr>
            <w:r w:rsidRPr="00DC08C3">
              <w:t xml:space="preserve">Update PBS and MBS costs and use RN as DT as per </w:t>
            </w:r>
            <w:r w:rsidR="009842FE">
              <w:t>Commentary</w:t>
            </w:r>
            <w:r w:rsidRPr="00DC08C3">
              <w:t xml:space="preserve"> suggested changes</w:t>
            </w:r>
          </w:p>
        </w:tc>
        <w:tc>
          <w:tcPr>
            <w:tcW w:w="738" w:type="pct"/>
            <w:tcBorders>
              <w:top w:val="single" w:sz="4" w:space="0" w:color="auto"/>
              <w:bottom w:val="dotted" w:sz="4" w:space="0" w:color="auto"/>
            </w:tcBorders>
          </w:tcPr>
          <w:p w14:paraId="75194C5A" w14:textId="77777777" w:rsidR="00C856E8" w:rsidRPr="00DC08C3" w:rsidRDefault="00C856E8" w:rsidP="00C856E8">
            <w:pPr>
              <w:pStyle w:val="Tabletextcentred"/>
            </w:pPr>
            <w:r w:rsidRPr="00DC08C3">
              <w:t>-$40,530 (dominant)</w:t>
            </w:r>
          </w:p>
        </w:tc>
        <w:tc>
          <w:tcPr>
            <w:tcW w:w="753" w:type="pct"/>
            <w:tcBorders>
              <w:top w:val="single" w:sz="4" w:space="0" w:color="auto"/>
              <w:bottom w:val="dotted" w:sz="4" w:space="0" w:color="auto"/>
            </w:tcBorders>
          </w:tcPr>
          <w:p w14:paraId="669303FE" w14:textId="77777777" w:rsidR="00C856E8" w:rsidRPr="00DC08C3" w:rsidRDefault="00C856E8" w:rsidP="00C856E8">
            <w:pPr>
              <w:pStyle w:val="Tabletextcentred"/>
            </w:pPr>
            <w:r w:rsidRPr="00DC08C3">
              <w:t>-$44,662 (dominant)</w:t>
            </w:r>
          </w:p>
        </w:tc>
      </w:tr>
      <w:tr w:rsidR="00C856E8" w:rsidRPr="00DC08C3" w14:paraId="239D9C9A" w14:textId="77777777" w:rsidTr="00C856E8">
        <w:tc>
          <w:tcPr>
            <w:tcW w:w="862" w:type="pct"/>
            <w:tcBorders>
              <w:top w:val="dotted" w:sz="4" w:space="0" w:color="auto"/>
              <w:bottom w:val="dotted" w:sz="4" w:space="0" w:color="auto"/>
            </w:tcBorders>
          </w:tcPr>
          <w:p w14:paraId="5B917FF7" w14:textId="68C8875B" w:rsidR="00C856E8" w:rsidRPr="00DC08C3" w:rsidRDefault="00C856E8" w:rsidP="00C856E8">
            <w:pPr>
              <w:pStyle w:val="Tabletextcentred"/>
              <w:jc w:val="left"/>
            </w:pPr>
            <w:r w:rsidRPr="00DC08C3">
              <w:t xml:space="preserve">3. </w:t>
            </w:r>
            <w:r w:rsidR="009842FE">
              <w:t>Commentary</w:t>
            </w:r>
            <w:r w:rsidRPr="00DC08C3">
              <w:t xml:space="preserve"> – modified 1</w:t>
            </w:r>
          </w:p>
        </w:tc>
        <w:tc>
          <w:tcPr>
            <w:tcW w:w="794" w:type="pct"/>
            <w:tcBorders>
              <w:top w:val="dotted" w:sz="4" w:space="0" w:color="auto"/>
              <w:bottom w:val="dotted" w:sz="4" w:space="0" w:color="auto"/>
            </w:tcBorders>
          </w:tcPr>
          <w:p w14:paraId="77E6FF84" w14:textId="77777777" w:rsidR="00C856E8" w:rsidRPr="00DC08C3" w:rsidRDefault="00C856E8" w:rsidP="00C856E8">
            <w:pPr>
              <w:pStyle w:val="Tabletextcentred"/>
              <w:jc w:val="left"/>
            </w:pPr>
            <w:r w:rsidRPr="00DC08C3">
              <w:t>Xing 2018 (HR)</w:t>
            </w:r>
          </w:p>
        </w:tc>
        <w:tc>
          <w:tcPr>
            <w:tcW w:w="1853" w:type="pct"/>
            <w:tcBorders>
              <w:top w:val="dotted" w:sz="4" w:space="0" w:color="auto"/>
              <w:bottom w:val="dotted" w:sz="4" w:space="0" w:color="auto"/>
            </w:tcBorders>
          </w:tcPr>
          <w:p w14:paraId="73E57485" w14:textId="77777777" w:rsidR="00C856E8" w:rsidRPr="00DC08C3" w:rsidRDefault="00C856E8" w:rsidP="00C856E8">
            <w:pPr>
              <w:pStyle w:val="Tabletextcentred"/>
              <w:jc w:val="left"/>
            </w:pPr>
            <w:r w:rsidRPr="00DC08C3">
              <w:t>As #2 but change AR-DRG to L03C and change LOS to 3.3 for both CA and RN</w:t>
            </w:r>
            <w:r w:rsidRPr="00DC08C3">
              <w:rPr>
                <w:vertAlign w:val="superscript"/>
              </w:rPr>
              <w:t xml:space="preserve"> </w:t>
            </w:r>
          </w:p>
        </w:tc>
        <w:tc>
          <w:tcPr>
            <w:tcW w:w="738" w:type="pct"/>
            <w:tcBorders>
              <w:top w:val="dotted" w:sz="4" w:space="0" w:color="auto"/>
              <w:bottom w:val="dotted" w:sz="4" w:space="0" w:color="auto"/>
            </w:tcBorders>
          </w:tcPr>
          <w:p w14:paraId="44B3FF0A" w14:textId="77777777" w:rsidR="00C856E8" w:rsidRPr="00DC08C3" w:rsidRDefault="00C856E8" w:rsidP="00C856E8">
            <w:pPr>
              <w:pStyle w:val="Tabletextcentred"/>
            </w:pPr>
            <w:r w:rsidRPr="00DC08C3">
              <w:t>$30,676</w:t>
            </w:r>
          </w:p>
        </w:tc>
        <w:tc>
          <w:tcPr>
            <w:tcW w:w="753" w:type="pct"/>
            <w:tcBorders>
              <w:top w:val="dotted" w:sz="4" w:space="0" w:color="auto"/>
              <w:bottom w:val="dotted" w:sz="4" w:space="0" w:color="auto"/>
            </w:tcBorders>
          </w:tcPr>
          <w:p w14:paraId="484BEBB0" w14:textId="77777777" w:rsidR="00C856E8" w:rsidRPr="00DC08C3" w:rsidRDefault="00C856E8" w:rsidP="00C856E8">
            <w:pPr>
              <w:pStyle w:val="Tabletextcentred"/>
            </w:pPr>
            <w:r w:rsidRPr="00DC08C3">
              <w:t>$36,034*</w:t>
            </w:r>
          </w:p>
        </w:tc>
      </w:tr>
      <w:tr w:rsidR="00C856E8" w:rsidRPr="00DC08C3" w14:paraId="19245573" w14:textId="77777777" w:rsidTr="00C856E8">
        <w:tc>
          <w:tcPr>
            <w:tcW w:w="862" w:type="pct"/>
            <w:tcBorders>
              <w:top w:val="dotted" w:sz="4" w:space="0" w:color="auto"/>
              <w:bottom w:val="nil"/>
            </w:tcBorders>
          </w:tcPr>
          <w:p w14:paraId="708D755E" w14:textId="39CF0267" w:rsidR="00C856E8" w:rsidRPr="004174E8" w:rsidRDefault="00C856E8" w:rsidP="00C856E8">
            <w:pPr>
              <w:pStyle w:val="Tabletext"/>
            </w:pPr>
            <w:r w:rsidRPr="004174E8">
              <w:t xml:space="preserve">4. </w:t>
            </w:r>
            <w:r w:rsidR="009842FE">
              <w:t>Commentary</w:t>
            </w:r>
            <w:r w:rsidRPr="004174E8">
              <w:t xml:space="preserve"> – modified 2</w:t>
            </w:r>
          </w:p>
        </w:tc>
        <w:tc>
          <w:tcPr>
            <w:tcW w:w="794" w:type="pct"/>
            <w:tcBorders>
              <w:top w:val="dotted" w:sz="4" w:space="0" w:color="auto"/>
              <w:bottom w:val="nil"/>
            </w:tcBorders>
          </w:tcPr>
          <w:p w14:paraId="7DDC848A" w14:textId="77777777" w:rsidR="00C856E8" w:rsidRPr="004174E8" w:rsidRDefault="00C856E8" w:rsidP="00C856E8">
            <w:pPr>
              <w:pStyle w:val="Tabletextcentred"/>
            </w:pPr>
            <w:proofErr w:type="spellStart"/>
            <w:r w:rsidRPr="004174E8">
              <w:t>Uhlig</w:t>
            </w:r>
            <w:proofErr w:type="spellEnd"/>
            <w:r w:rsidRPr="004174E8">
              <w:t xml:space="preserve"> 2018 (HR)</w:t>
            </w:r>
          </w:p>
        </w:tc>
        <w:tc>
          <w:tcPr>
            <w:tcW w:w="1853" w:type="pct"/>
            <w:tcBorders>
              <w:top w:val="dotted" w:sz="4" w:space="0" w:color="auto"/>
              <w:bottom w:val="nil"/>
            </w:tcBorders>
          </w:tcPr>
          <w:p w14:paraId="0FD5A9D5" w14:textId="77777777" w:rsidR="00C856E8" w:rsidRPr="00BA14D7" w:rsidRDefault="00C856E8" w:rsidP="00C856E8">
            <w:pPr>
              <w:pStyle w:val="Tabletext"/>
            </w:pPr>
            <w:r w:rsidRPr="00BA14D7">
              <w:t xml:space="preserve">As #3 but use </w:t>
            </w:r>
            <w:proofErr w:type="spellStart"/>
            <w:r w:rsidRPr="00BA14D7">
              <w:t>Uhlig</w:t>
            </w:r>
            <w:proofErr w:type="spellEnd"/>
            <w:r w:rsidRPr="00BA14D7">
              <w:t xml:space="preserve"> HR of 4.0 instead of Xing 1.45</w:t>
            </w:r>
            <w:r w:rsidRPr="00BA14D7">
              <w:rPr>
                <w:vertAlign w:val="superscript"/>
              </w:rPr>
              <w:t xml:space="preserve"># </w:t>
            </w:r>
            <w:r w:rsidRPr="00BA14D7">
              <w:rPr>
                <w:i/>
              </w:rPr>
              <w:t>(0.25 CA vs DT)</w:t>
            </w:r>
          </w:p>
        </w:tc>
        <w:tc>
          <w:tcPr>
            <w:tcW w:w="738" w:type="pct"/>
            <w:tcBorders>
              <w:top w:val="dotted" w:sz="4" w:space="0" w:color="auto"/>
              <w:bottom w:val="nil"/>
            </w:tcBorders>
          </w:tcPr>
          <w:p w14:paraId="12E1020F" w14:textId="77777777" w:rsidR="00C856E8" w:rsidRPr="00BA14D7" w:rsidRDefault="00C856E8" w:rsidP="00C856E8">
            <w:pPr>
              <w:pStyle w:val="Tabletextcentred"/>
            </w:pPr>
            <w:r w:rsidRPr="00BA14D7">
              <w:t>-$1,664 (dominant)</w:t>
            </w:r>
          </w:p>
        </w:tc>
        <w:tc>
          <w:tcPr>
            <w:tcW w:w="753" w:type="pct"/>
            <w:tcBorders>
              <w:top w:val="dotted" w:sz="4" w:space="0" w:color="auto"/>
              <w:bottom w:val="nil"/>
            </w:tcBorders>
          </w:tcPr>
          <w:p w14:paraId="5D18BD55" w14:textId="77777777" w:rsidR="00C856E8" w:rsidRPr="00BA14D7" w:rsidRDefault="00C856E8" w:rsidP="00C856E8">
            <w:pPr>
              <w:pStyle w:val="Tabletextcentred"/>
            </w:pPr>
            <w:r w:rsidRPr="00BA14D7">
              <w:t>-$1,936 (dominant)</w:t>
            </w:r>
          </w:p>
        </w:tc>
      </w:tr>
      <w:tr w:rsidR="00C856E8" w:rsidRPr="00DC08C3" w14:paraId="3C3C6E02" w14:textId="77777777" w:rsidTr="00C856E8">
        <w:tc>
          <w:tcPr>
            <w:tcW w:w="862" w:type="pct"/>
            <w:tcBorders>
              <w:top w:val="nil"/>
              <w:bottom w:val="nil"/>
            </w:tcBorders>
          </w:tcPr>
          <w:p w14:paraId="21EEE203" w14:textId="77777777" w:rsidR="00C856E8" w:rsidRPr="004174E8" w:rsidRDefault="00C856E8" w:rsidP="00C856E8">
            <w:pPr>
              <w:pStyle w:val="Tabletextcentred"/>
            </w:pPr>
          </w:p>
        </w:tc>
        <w:tc>
          <w:tcPr>
            <w:tcW w:w="794" w:type="pct"/>
            <w:tcBorders>
              <w:top w:val="nil"/>
              <w:bottom w:val="nil"/>
            </w:tcBorders>
          </w:tcPr>
          <w:p w14:paraId="646160A2" w14:textId="77777777" w:rsidR="00C856E8" w:rsidRPr="004174E8" w:rsidRDefault="00C856E8" w:rsidP="00C856E8">
            <w:pPr>
              <w:pStyle w:val="Tabletextcentred"/>
            </w:pPr>
          </w:p>
        </w:tc>
        <w:tc>
          <w:tcPr>
            <w:tcW w:w="1853" w:type="pct"/>
            <w:tcBorders>
              <w:top w:val="nil"/>
              <w:bottom w:val="nil"/>
            </w:tcBorders>
          </w:tcPr>
          <w:p w14:paraId="06C51500" w14:textId="77777777" w:rsidR="00C856E8" w:rsidRPr="00BA14D7" w:rsidRDefault="00C856E8" w:rsidP="00C856E8">
            <w:pPr>
              <w:pStyle w:val="Tabletext"/>
              <w:rPr>
                <w:i/>
              </w:rPr>
            </w:pPr>
            <w:r w:rsidRPr="00BA14D7">
              <w:rPr>
                <w:i/>
              </w:rPr>
              <w:t xml:space="preserve">As #3 but use </w:t>
            </w:r>
            <w:proofErr w:type="spellStart"/>
            <w:r w:rsidRPr="00BA14D7">
              <w:rPr>
                <w:i/>
              </w:rPr>
              <w:t>Uhlig</w:t>
            </w:r>
            <w:proofErr w:type="spellEnd"/>
            <w:r w:rsidRPr="00BA14D7">
              <w:rPr>
                <w:i/>
              </w:rPr>
              <w:t xml:space="preserve"> HR of 0.14 (lower 95% CI)</w:t>
            </w:r>
          </w:p>
        </w:tc>
        <w:tc>
          <w:tcPr>
            <w:tcW w:w="738" w:type="pct"/>
            <w:tcBorders>
              <w:top w:val="nil"/>
              <w:bottom w:val="nil"/>
            </w:tcBorders>
          </w:tcPr>
          <w:p w14:paraId="51C354ED" w14:textId="77777777" w:rsidR="00C856E8" w:rsidRPr="00BA14D7" w:rsidRDefault="00C856E8" w:rsidP="00C856E8">
            <w:pPr>
              <w:pStyle w:val="Tabletextcentred"/>
              <w:rPr>
                <w:i/>
              </w:rPr>
            </w:pPr>
            <w:r w:rsidRPr="00BA14D7">
              <w:rPr>
                <w:i/>
              </w:rPr>
              <w:t>-$4,584 (dominant)</w:t>
            </w:r>
          </w:p>
        </w:tc>
        <w:tc>
          <w:tcPr>
            <w:tcW w:w="753" w:type="pct"/>
            <w:tcBorders>
              <w:top w:val="nil"/>
              <w:bottom w:val="nil"/>
            </w:tcBorders>
          </w:tcPr>
          <w:p w14:paraId="4D9DDD37" w14:textId="77777777" w:rsidR="00C856E8" w:rsidRPr="00BA14D7" w:rsidRDefault="00C856E8" w:rsidP="00C856E8">
            <w:pPr>
              <w:pStyle w:val="Tabletextcentred"/>
              <w:rPr>
                <w:i/>
              </w:rPr>
            </w:pPr>
            <w:r w:rsidRPr="00BA14D7">
              <w:rPr>
                <w:i/>
              </w:rPr>
              <w:t>-$5,328 (dominant)</w:t>
            </w:r>
          </w:p>
        </w:tc>
      </w:tr>
      <w:tr w:rsidR="00C856E8" w:rsidRPr="00DC08C3" w14:paraId="630D8824" w14:textId="77777777" w:rsidTr="00C856E8">
        <w:tc>
          <w:tcPr>
            <w:tcW w:w="862" w:type="pct"/>
            <w:tcBorders>
              <w:top w:val="nil"/>
              <w:bottom w:val="nil"/>
            </w:tcBorders>
          </w:tcPr>
          <w:p w14:paraId="75551332" w14:textId="77777777" w:rsidR="00C856E8" w:rsidRPr="004174E8" w:rsidRDefault="00C856E8" w:rsidP="00C856E8">
            <w:pPr>
              <w:pStyle w:val="Tabletextcentred"/>
            </w:pPr>
          </w:p>
        </w:tc>
        <w:tc>
          <w:tcPr>
            <w:tcW w:w="794" w:type="pct"/>
            <w:tcBorders>
              <w:top w:val="nil"/>
              <w:bottom w:val="nil"/>
            </w:tcBorders>
          </w:tcPr>
          <w:p w14:paraId="5BCE6883" w14:textId="77777777" w:rsidR="00C856E8" w:rsidRPr="004174E8" w:rsidRDefault="00C856E8" w:rsidP="00C856E8">
            <w:pPr>
              <w:pStyle w:val="Tabletextcentred"/>
            </w:pPr>
          </w:p>
        </w:tc>
        <w:tc>
          <w:tcPr>
            <w:tcW w:w="1853" w:type="pct"/>
            <w:tcBorders>
              <w:top w:val="nil"/>
              <w:bottom w:val="nil"/>
            </w:tcBorders>
          </w:tcPr>
          <w:p w14:paraId="188C5377" w14:textId="77777777" w:rsidR="00C856E8" w:rsidRPr="00BA14D7" w:rsidRDefault="00C856E8" w:rsidP="00C856E8">
            <w:pPr>
              <w:pStyle w:val="Tabletext"/>
              <w:rPr>
                <w:i/>
              </w:rPr>
            </w:pPr>
            <w:r w:rsidRPr="00BA14D7">
              <w:rPr>
                <w:i/>
              </w:rPr>
              <w:t xml:space="preserve">As #3 but use </w:t>
            </w:r>
            <w:proofErr w:type="spellStart"/>
            <w:r w:rsidRPr="00BA14D7">
              <w:rPr>
                <w:i/>
              </w:rPr>
              <w:t>Uhlig</w:t>
            </w:r>
            <w:proofErr w:type="spellEnd"/>
            <w:r w:rsidRPr="00BA14D7">
              <w:rPr>
                <w:i/>
              </w:rPr>
              <w:t xml:space="preserve"> HR of 0.45 (upper 95% CI)</w:t>
            </w:r>
          </w:p>
        </w:tc>
        <w:tc>
          <w:tcPr>
            <w:tcW w:w="738" w:type="pct"/>
            <w:tcBorders>
              <w:top w:val="nil"/>
              <w:bottom w:val="nil"/>
            </w:tcBorders>
          </w:tcPr>
          <w:p w14:paraId="5A6AC8F5" w14:textId="77777777" w:rsidR="00C856E8" w:rsidRPr="00BA14D7" w:rsidRDefault="00C856E8" w:rsidP="00C856E8">
            <w:pPr>
              <w:pStyle w:val="Tabletextcentred"/>
              <w:rPr>
                <w:i/>
              </w:rPr>
            </w:pPr>
            <w:r w:rsidRPr="00BA14D7">
              <w:rPr>
                <w:i/>
              </w:rPr>
              <w:t>$6,637</w:t>
            </w:r>
          </w:p>
        </w:tc>
        <w:tc>
          <w:tcPr>
            <w:tcW w:w="753" w:type="pct"/>
            <w:tcBorders>
              <w:top w:val="nil"/>
              <w:bottom w:val="nil"/>
            </w:tcBorders>
          </w:tcPr>
          <w:p w14:paraId="4DAC38D8" w14:textId="77777777" w:rsidR="00C856E8" w:rsidRPr="00BA14D7" w:rsidRDefault="00C856E8" w:rsidP="00C856E8">
            <w:pPr>
              <w:pStyle w:val="Tabletextcentred"/>
              <w:rPr>
                <w:i/>
              </w:rPr>
            </w:pPr>
            <w:r w:rsidRPr="00BA14D7">
              <w:rPr>
                <w:i/>
              </w:rPr>
              <w:t>$7,740</w:t>
            </w:r>
          </w:p>
        </w:tc>
      </w:tr>
      <w:tr w:rsidR="00C856E8" w:rsidRPr="00DC08C3" w14:paraId="629B7F1F" w14:textId="77777777" w:rsidTr="00C856E8">
        <w:tc>
          <w:tcPr>
            <w:tcW w:w="862" w:type="pct"/>
            <w:tcBorders>
              <w:top w:val="nil"/>
              <w:bottom w:val="double" w:sz="4" w:space="0" w:color="auto"/>
            </w:tcBorders>
          </w:tcPr>
          <w:p w14:paraId="192CA678" w14:textId="77777777" w:rsidR="00C856E8" w:rsidRPr="004174E8" w:rsidRDefault="00C856E8" w:rsidP="00C856E8">
            <w:pPr>
              <w:pStyle w:val="Tabletextcentred"/>
            </w:pPr>
          </w:p>
        </w:tc>
        <w:tc>
          <w:tcPr>
            <w:tcW w:w="794" w:type="pct"/>
            <w:tcBorders>
              <w:top w:val="nil"/>
              <w:bottom w:val="double" w:sz="4" w:space="0" w:color="auto"/>
            </w:tcBorders>
          </w:tcPr>
          <w:p w14:paraId="60FB17D1" w14:textId="77777777" w:rsidR="00C856E8" w:rsidRPr="004174E8" w:rsidRDefault="00C856E8" w:rsidP="00C856E8">
            <w:pPr>
              <w:pStyle w:val="Tabletextcentred"/>
            </w:pPr>
          </w:p>
        </w:tc>
        <w:tc>
          <w:tcPr>
            <w:tcW w:w="1853" w:type="pct"/>
            <w:tcBorders>
              <w:top w:val="nil"/>
              <w:bottom w:val="double" w:sz="4" w:space="0" w:color="auto"/>
            </w:tcBorders>
          </w:tcPr>
          <w:p w14:paraId="1BCD9F0B" w14:textId="77777777" w:rsidR="00C856E8" w:rsidRPr="00BA14D7" w:rsidRDefault="00C856E8" w:rsidP="00C856E8">
            <w:pPr>
              <w:pStyle w:val="Tabletext"/>
              <w:rPr>
                <w:i/>
              </w:rPr>
            </w:pPr>
            <w:r w:rsidRPr="00BA14D7">
              <w:rPr>
                <w:i/>
              </w:rPr>
              <w:t xml:space="preserve">As #3 but use </w:t>
            </w:r>
            <w:proofErr w:type="spellStart"/>
            <w:r w:rsidRPr="00BA14D7">
              <w:rPr>
                <w:i/>
              </w:rPr>
              <w:t>Uhlig</w:t>
            </w:r>
            <w:proofErr w:type="spellEnd"/>
            <w:r w:rsidRPr="00BA14D7">
              <w:rPr>
                <w:i/>
              </w:rPr>
              <w:t xml:space="preserve"> HR of 0.60 (comorbidity-adjusted)</w:t>
            </w:r>
          </w:p>
        </w:tc>
        <w:tc>
          <w:tcPr>
            <w:tcW w:w="738" w:type="pct"/>
            <w:tcBorders>
              <w:top w:val="nil"/>
              <w:bottom w:val="double" w:sz="4" w:space="0" w:color="auto"/>
            </w:tcBorders>
          </w:tcPr>
          <w:p w14:paraId="3A5B34F9" w14:textId="77777777" w:rsidR="00C856E8" w:rsidRPr="00BA14D7" w:rsidRDefault="00C856E8" w:rsidP="00C856E8">
            <w:pPr>
              <w:pStyle w:val="Tabletextcentred"/>
              <w:rPr>
                <w:i/>
              </w:rPr>
            </w:pPr>
            <w:r w:rsidRPr="00BA14D7">
              <w:rPr>
                <w:i/>
              </w:rPr>
              <w:t>$18,311</w:t>
            </w:r>
          </w:p>
        </w:tc>
        <w:tc>
          <w:tcPr>
            <w:tcW w:w="753" w:type="pct"/>
            <w:tcBorders>
              <w:top w:val="nil"/>
              <w:bottom w:val="double" w:sz="4" w:space="0" w:color="auto"/>
            </w:tcBorders>
          </w:tcPr>
          <w:p w14:paraId="580C1557" w14:textId="77777777" w:rsidR="00C856E8" w:rsidRPr="00BA14D7" w:rsidRDefault="00C856E8" w:rsidP="00C856E8">
            <w:pPr>
              <w:pStyle w:val="Tabletextcentred"/>
              <w:rPr>
                <w:i/>
              </w:rPr>
            </w:pPr>
            <w:r w:rsidRPr="00BA14D7">
              <w:rPr>
                <w:i/>
              </w:rPr>
              <w:t>$21,429</w:t>
            </w:r>
          </w:p>
        </w:tc>
      </w:tr>
      <w:tr w:rsidR="00C856E8" w:rsidRPr="00DC08C3" w14:paraId="5DBF67A8" w14:textId="77777777" w:rsidTr="00C856E8">
        <w:tc>
          <w:tcPr>
            <w:tcW w:w="862" w:type="pct"/>
            <w:tcBorders>
              <w:top w:val="double" w:sz="4" w:space="0" w:color="auto"/>
            </w:tcBorders>
          </w:tcPr>
          <w:p w14:paraId="0268C446" w14:textId="77777777" w:rsidR="00C856E8" w:rsidRPr="00DC08C3" w:rsidRDefault="00C856E8" w:rsidP="00C856E8">
            <w:pPr>
              <w:pStyle w:val="Tabletextcentred"/>
              <w:jc w:val="left"/>
            </w:pPr>
            <w:r w:rsidRPr="00DC08C3">
              <w:t>5. Response – modified 1</w:t>
            </w:r>
          </w:p>
        </w:tc>
        <w:tc>
          <w:tcPr>
            <w:tcW w:w="794" w:type="pct"/>
            <w:tcBorders>
              <w:top w:val="double" w:sz="4" w:space="0" w:color="auto"/>
            </w:tcBorders>
          </w:tcPr>
          <w:p w14:paraId="083E5626" w14:textId="77777777" w:rsidR="00C856E8" w:rsidRPr="00DC08C3" w:rsidRDefault="00C856E8" w:rsidP="00C856E8">
            <w:pPr>
              <w:pStyle w:val="Tabletextcentred"/>
              <w:jc w:val="left"/>
            </w:pPr>
            <w:r w:rsidRPr="00DC08C3">
              <w:t>Xing 2018 (HR)</w:t>
            </w:r>
          </w:p>
        </w:tc>
        <w:tc>
          <w:tcPr>
            <w:tcW w:w="1853" w:type="pct"/>
            <w:tcBorders>
              <w:top w:val="double" w:sz="4" w:space="0" w:color="auto"/>
            </w:tcBorders>
          </w:tcPr>
          <w:p w14:paraId="5A7BA36E" w14:textId="77777777" w:rsidR="00C856E8" w:rsidRPr="00DC08C3" w:rsidRDefault="00C856E8" w:rsidP="00C856E8">
            <w:pPr>
              <w:pStyle w:val="Tabletextcentred"/>
              <w:jc w:val="left"/>
            </w:pPr>
            <w:r w:rsidRPr="00DC08C3">
              <w:t>As #3 (but hospitalisation costs and LOS adapted as per Issue 4 below)</w:t>
            </w:r>
          </w:p>
        </w:tc>
        <w:tc>
          <w:tcPr>
            <w:tcW w:w="738" w:type="pct"/>
            <w:tcBorders>
              <w:top w:val="double" w:sz="4" w:space="0" w:color="auto"/>
            </w:tcBorders>
          </w:tcPr>
          <w:p w14:paraId="5439A990" w14:textId="77777777" w:rsidR="00C856E8" w:rsidRPr="00DC08C3" w:rsidRDefault="00C856E8" w:rsidP="00C856E8">
            <w:pPr>
              <w:pStyle w:val="Tabletextcentred"/>
            </w:pPr>
            <w:r w:rsidRPr="00DC08C3">
              <w:t>-$17,579 (dominant)</w:t>
            </w:r>
          </w:p>
        </w:tc>
        <w:tc>
          <w:tcPr>
            <w:tcW w:w="753" w:type="pct"/>
            <w:tcBorders>
              <w:top w:val="double" w:sz="4" w:space="0" w:color="auto"/>
            </w:tcBorders>
          </w:tcPr>
          <w:p w14:paraId="432AD879" w14:textId="77777777" w:rsidR="00C856E8" w:rsidRPr="00DC08C3" w:rsidRDefault="00C856E8" w:rsidP="00C856E8">
            <w:pPr>
              <w:pStyle w:val="Tabletextcentred"/>
            </w:pPr>
            <w:r w:rsidRPr="00DC08C3">
              <w:t>-$19,610 (dominant)</w:t>
            </w:r>
          </w:p>
        </w:tc>
      </w:tr>
      <w:tr w:rsidR="00C856E8" w:rsidRPr="00DC08C3" w14:paraId="37757E25" w14:textId="77777777" w:rsidTr="00C856E8">
        <w:tc>
          <w:tcPr>
            <w:tcW w:w="862" w:type="pct"/>
          </w:tcPr>
          <w:p w14:paraId="12F87FBC" w14:textId="77777777" w:rsidR="00C856E8" w:rsidRPr="00DC08C3" w:rsidRDefault="00C856E8" w:rsidP="00C856E8">
            <w:pPr>
              <w:pStyle w:val="Tabletextcentred"/>
              <w:jc w:val="left"/>
            </w:pPr>
            <w:r w:rsidRPr="00DC08C3">
              <w:t>6. Response – modified 2</w:t>
            </w:r>
          </w:p>
        </w:tc>
        <w:tc>
          <w:tcPr>
            <w:tcW w:w="794" w:type="pct"/>
          </w:tcPr>
          <w:p w14:paraId="624911C2" w14:textId="77777777" w:rsidR="00C856E8" w:rsidRPr="00DC08C3" w:rsidRDefault="00C856E8" w:rsidP="00C856E8">
            <w:pPr>
              <w:pStyle w:val="Tabletextcentred"/>
              <w:jc w:val="left"/>
            </w:pPr>
            <w:proofErr w:type="spellStart"/>
            <w:r w:rsidRPr="00DC08C3">
              <w:t>Uhlig</w:t>
            </w:r>
            <w:proofErr w:type="spellEnd"/>
            <w:r w:rsidRPr="00DC08C3">
              <w:t xml:space="preserve"> 2018 (HR)</w:t>
            </w:r>
          </w:p>
        </w:tc>
        <w:tc>
          <w:tcPr>
            <w:tcW w:w="1853" w:type="pct"/>
          </w:tcPr>
          <w:p w14:paraId="283B1DBD" w14:textId="77777777" w:rsidR="00C856E8" w:rsidRPr="00DC08C3" w:rsidRDefault="00C856E8" w:rsidP="00C856E8">
            <w:pPr>
              <w:pStyle w:val="Tabletextcentred"/>
              <w:jc w:val="left"/>
              <w:rPr>
                <w:highlight w:val="yellow"/>
              </w:rPr>
            </w:pPr>
            <w:r w:rsidRPr="00DC08C3">
              <w:t xml:space="preserve">As #5 but use </w:t>
            </w:r>
            <w:proofErr w:type="spellStart"/>
            <w:r w:rsidRPr="00DC08C3">
              <w:t>Uhlig</w:t>
            </w:r>
            <w:proofErr w:type="spellEnd"/>
            <w:r w:rsidRPr="00DC08C3">
              <w:t xml:space="preserve"> HR of 4.0 instead of Xing 1.45</w:t>
            </w:r>
            <w:r w:rsidRPr="00DC08C3">
              <w:rPr>
                <w:vertAlign w:val="superscript"/>
              </w:rPr>
              <w:t>#</w:t>
            </w:r>
          </w:p>
        </w:tc>
        <w:tc>
          <w:tcPr>
            <w:tcW w:w="738" w:type="pct"/>
          </w:tcPr>
          <w:p w14:paraId="7EF0A277" w14:textId="77777777" w:rsidR="00C856E8" w:rsidRPr="00DC08C3" w:rsidRDefault="00C856E8" w:rsidP="00C856E8">
            <w:pPr>
              <w:pStyle w:val="Tabletextcentred"/>
            </w:pPr>
            <w:r w:rsidRPr="00DC08C3">
              <w:t>-$8,902 (dominant)</w:t>
            </w:r>
          </w:p>
        </w:tc>
        <w:tc>
          <w:tcPr>
            <w:tcW w:w="753" w:type="pct"/>
          </w:tcPr>
          <w:p w14:paraId="7095A205" w14:textId="77777777" w:rsidR="00C856E8" w:rsidRPr="00DC08C3" w:rsidRDefault="00C856E8" w:rsidP="00C856E8">
            <w:pPr>
              <w:pStyle w:val="Tabletextcentred"/>
            </w:pPr>
            <w:r w:rsidRPr="00DC08C3">
              <w:t>-$10,276 (dominant)</w:t>
            </w:r>
          </w:p>
        </w:tc>
      </w:tr>
      <w:tr w:rsidR="00C856E8" w:rsidRPr="00DC08C3" w14:paraId="00919614" w14:textId="77777777" w:rsidTr="00C856E8">
        <w:tc>
          <w:tcPr>
            <w:tcW w:w="862" w:type="pct"/>
          </w:tcPr>
          <w:p w14:paraId="317533AC" w14:textId="77777777" w:rsidR="00C856E8" w:rsidRPr="00DC08C3" w:rsidRDefault="00C856E8" w:rsidP="00C856E8">
            <w:pPr>
              <w:pStyle w:val="Tabletextcentred"/>
              <w:jc w:val="left"/>
            </w:pPr>
            <w:r w:rsidRPr="00DC08C3">
              <w:t>7. Response – modified 2</w:t>
            </w:r>
          </w:p>
        </w:tc>
        <w:tc>
          <w:tcPr>
            <w:tcW w:w="794" w:type="pct"/>
          </w:tcPr>
          <w:p w14:paraId="784C2C57" w14:textId="77777777" w:rsidR="00C856E8" w:rsidRPr="00DC08C3" w:rsidRDefault="00C856E8" w:rsidP="00C856E8">
            <w:pPr>
              <w:pStyle w:val="Tabletextcentred"/>
              <w:jc w:val="left"/>
            </w:pPr>
            <w:proofErr w:type="spellStart"/>
            <w:r w:rsidRPr="00DC08C3">
              <w:t>Uhlig</w:t>
            </w:r>
            <w:proofErr w:type="spellEnd"/>
            <w:r w:rsidRPr="00DC08C3">
              <w:t xml:space="preserve"> 2018 (HR)</w:t>
            </w:r>
          </w:p>
        </w:tc>
        <w:tc>
          <w:tcPr>
            <w:tcW w:w="1853" w:type="pct"/>
          </w:tcPr>
          <w:p w14:paraId="1D4E0429" w14:textId="77777777" w:rsidR="00C856E8" w:rsidRPr="00DC08C3" w:rsidRDefault="00C856E8" w:rsidP="00C856E8">
            <w:pPr>
              <w:pStyle w:val="Tabletextcentred"/>
              <w:jc w:val="left"/>
            </w:pPr>
            <w:r w:rsidRPr="00DC08C3">
              <w:t>As #6 but change DT to 81% from 84%</w:t>
            </w:r>
          </w:p>
        </w:tc>
        <w:tc>
          <w:tcPr>
            <w:tcW w:w="738" w:type="pct"/>
          </w:tcPr>
          <w:p w14:paraId="55026ACA" w14:textId="77777777" w:rsidR="00C856E8" w:rsidRPr="00DC08C3" w:rsidRDefault="00C856E8" w:rsidP="00C856E8">
            <w:pPr>
              <w:pStyle w:val="Tabletextcentred"/>
            </w:pPr>
            <w:r w:rsidRPr="00DC08C3">
              <w:t>-$8,246 (dominant)</w:t>
            </w:r>
          </w:p>
        </w:tc>
        <w:tc>
          <w:tcPr>
            <w:tcW w:w="753" w:type="pct"/>
          </w:tcPr>
          <w:p w14:paraId="58C7B5AD" w14:textId="77777777" w:rsidR="00C856E8" w:rsidRPr="00DC08C3" w:rsidRDefault="00C856E8" w:rsidP="00C856E8">
            <w:pPr>
              <w:pStyle w:val="Tabletextcentred"/>
            </w:pPr>
            <w:r w:rsidRPr="00DC08C3">
              <w:t>-$9,517 (dominant)</w:t>
            </w:r>
          </w:p>
        </w:tc>
      </w:tr>
    </w:tbl>
    <w:p w14:paraId="6C3723C7" w14:textId="77777777" w:rsidR="00C856E8" w:rsidRPr="004174E8" w:rsidRDefault="00C856E8" w:rsidP="00C856E8">
      <w:pPr>
        <w:pStyle w:val="Tablenotes"/>
        <w:rPr>
          <w:i/>
          <w:color w:val="FF0000"/>
        </w:rPr>
      </w:pPr>
      <w:r>
        <w:t>Source: Table 2, p3 of the pre-ESC response.</w:t>
      </w:r>
      <w:r w:rsidRPr="004174E8">
        <w:t xml:space="preserve"> </w:t>
      </w:r>
      <w:r>
        <w:rPr>
          <w:i/>
        </w:rPr>
        <w:t xml:space="preserve">The </w:t>
      </w:r>
      <w:proofErr w:type="gramStart"/>
      <w:r>
        <w:rPr>
          <w:i/>
        </w:rPr>
        <w:t>values presented in the</w:t>
      </w:r>
      <w:r w:rsidRPr="00BA14D7">
        <w:rPr>
          <w:i/>
        </w:rPr>
        <w:t xml:space="preserve"> table were verified by the assessment group</w:t>
      </w:r>
      <w:proofErr w:type="gramEnd"/>
      <w:r w:rsidRPr="004174E8">
        <w:rPr>
          <w:i/>
          <w:color w:val="FF0000"/>
        </w:rPr>
        <w:t>.</w:t>
      </w:r>
    </w:p>
    <w:p w14:paraId="1A647113" w14:textId="77777777" w:rsidR="00C856E8" w:rsidRDefault="00C856E8" w:rsidP="00C856E8">
      <w:pPr>
        <w:pStyle w:val="Tablenotes"/>
      </w:pPr>
      <w:r>
        <w:t xml:space="preserve">Abbreviations: ADAR=Applicant Developed Assessment Report; </w:t>
      </w:r>
      <w:r w:rsidRPr="006D3E07">
        <w:t>AR-DRG=Australian Refined Diagnosis Related Groups;</w:t>
      </w:r>
      <w:r>
        <w:t xml:space="preserve"> DT=delayed therapy; HR=indicates hazard ratio methodology used, i.e. the digitised curves were not used; ICER=incremental cost-effectiveness ratio; LOS=length of stay; </w:t>
      </w:r>
      <w:r w:rsidRPr="006D3E07">
        <w:t>LYG</w:t>
      </w:r>
      <w:r>
        <w:t xml:space="preserve">=incremental life-year gained; QALY=quality adjusted life year </w:t>
      </w:r>
      <w:r>
        <w:br/>
        <w:t>* Critique reported $35,444. Incremental QALYs are identical at 0.103 but costs differ slightly at $3,643 in the critique vs $3,704 in this response</w:t>
      </w:r>
      <w:r>
        <w:br/>
      </w:r>
      <w:r w:rsidRPr="006D3E07">
        <w:rPr>
          <w:vertAlign w:val="superscript"/>
        </w:rPr>
        <w:t>#</w:t>
      </w:r>
      <w:r>
        <w:t xml:space="preserve"> The CA arm is unchanged, just the AS/DT arm changes. </w:t>
      </w:r>
    </w:p>
    <w:p w14:paraId="1A529496" w14:textId="29F85445" w:rsidR="00C856E8" w:rsidRDefault="00C856E8" w:rsidP="00071451">
      <w:pPr>
        <w:spacing w:after="240"/>
      </w:pPr>
      <w:r>
        <w:t>In th</w:t>
      </w:r>
      <w:r w:rsidR="00071451">
        <w:t>e</w:t>
      </w:r>
      <w:r>
        <w:t xml:space="preserve"> p</w:t>
      </w:r>
      <w:r w:rsidR="00071451">
        <w:t xml:space="preserve">re-MSAC response, the applicant </w:t>
      </w:r>
      <w:r>
        <w:t>respecified the baseline population in the economic model</w:t>
      </w:r>
      <w:r w:rsidR="00071451">
        <w:t xml:space="preserve"> by updating Analysis 7 from Table 12 to use age and gender from </w:t>
      </w:r>
      <w:proofErr w:type="spellStart"/>
      <w:r w:rsidR="00071451">
        <w:t>Uhlig</w:t>
      </w:r>
      <w:proofErr w:type="spellEnd"/>
      <w:r w:rsidR="00071451">
        <w:t xml:space="preserve"> 2018. The result indicated that the ICER ($/QALY) changes from -$9,517 (dominant) to -$8,669 (dominant). The difference in discounted costs reduces by 2% to a -$6,496 saving (from -$6,637) and the difference in discounted QALYs increases by 7% to 0.749 (from 0.697). </w:t>
      </w:r>
    </w:p>
    <w:p w14:paraId="6D1AF82F" w14:textId="77777777" w:rsidR="00C856E8" w:rsidRPr="004F21CB" w:rsidRDefault="00C856E8" w:rsidP="00E72A12">
      <w:pPr>
        <w:pStyle w:val="Heading2"/>
        <w:spacing w:after="120"/>
      </w:pPr>
      <w:r w:rsidRPr="00545D24">
        <w:t>CA vs. laparoscopic RN (</w:t>
      </w:r>
      <w:r>
        <w:t>main comparator</w:t>
      </w:r>
      <w:r w:rsidRPr="00545D24">
        <w:t xml:space="preserve"> 2)</w:t>
      </w:r>
    </w:p>
    <w:p w14:paraId="3EB01E08" w14:textId="77777777" w:rsidR="00C856E8" w:rsidRDefault="00C856E8" w:rsidP="00071451">
      <w:pPr>
        <w:spacing w:after="240"/>
      </w:pPr>
      <w:r>
        <w:t xml:space="preserve">The ADAR acknowledged that based on a clinical claim of non-inferior effectiveness and superior safety of CA compared to laparoscopic RN, a cost-utility analysis is the preferred economic evaluation. However, the ADAR claimed that </w:t>
      </w:r>
      <w:r w:rsidRPr="000233C2">
        <w:t xml:space="preserve">despite the safety advantage, the </w:t>
      </w:r>
      <w:r>
        <w:t>clinical evidence</w:t>
      </w:r>
      <w:r w:rsidRPr="000233C2">
        <w:t xml:space="preserve"> did not detect a statistically significant difference in quality of life between the two interventions, </w:t>
      </w:r>
      <w:proofErr w:type="gramStart"/>
      <w:r w:rsidRPr="000233C2">
        <w:t>making any attempt</w:t>
      </w:r>
      <w:proofErr w:type="gramEnd"/>
      <w:r w:rsidRPr="000233C2">
        <w:t xml:space="preserve"> to quantify the benefit of a reduction in AEs subject to uncertainty.</w:t>
      </w:r>
      <w:r>
        <w:t xml:space="preserve"> Therefore, the ADAR presented a cost analysis, quantifying the cost offsets associated with resources used to treat adverse events as well as the costs of providing the index procedure, </w:t>
      </w:r>
      <w:r w:rsidRPr="000233C2">
        <w:t>for the economic evaluation of CA versus laparoscopic RN</w:t>
      </w:r>
      <w:r>
        <w:t xml:space="preserve">. </w:t>
      </w:r>
    </w:p>
    <w:p w14:paraId="25E69625" w14:textId="77777777" w:rsidR="00C856E8" w:rsidRDefault="00C856E8" w:rsidP="00071451">
      <w:pPr>
        <w:spacing w:after="240"/>
      </w:pPr>
      <w:r>
        <w:t xml:space="preserve">The cost analysis is summarised in </w:t>
      </w:r>
      <w:r>
        <w:fldChar w:fldCharType="begin"/>
      </w:r>
      <w:r>
        <w:instrText xml:space="preserve"> REF _Ref46328853 \h </w:instrText>
      </w:r>
      <w:r>
        <w:fldChar w:fldCharType="separate"/>
      </w:r>
      <w:r>
        <w:t xml:space="preserve">Table </w:t>
      </w:r>
      <w:r>
        <w:rPr>
          <w:noProof/>
        </w:rPr>
        <w:t>13</w:t>
      </w:r>
      <w:r>
        <w:fldChar w:fldCharType="end"/>
      </w:r>
      <w:r>
        <w:t>.</w:t>
      </w:r>
    </w:p>
    <w:p w14:paraId="1404190A" w14:textId="77777777" w:rsidR="00C856E8" w:rsidRPr="003A7EA2" w:rsidRDefault="00C856E8" w:rsidP="003A7EA2">
      <w:pPr>
        <w:keepNext/>
        <w:keepLines/>
        <w:rPr>
          <w:rFonts w:ascii="Arial Narrow" w:hAnsi="Arial Narrow"/>
          <w:b/>
          <w:sz w:val="20"/>
        </w:rPr>
      </w:pPr>
      <w:bookmarkStart w:id="38" w:name="_Ref46328853"/>
      <w:r w:rsidRPr="003A7EA2">
        <w:rPr>
          <w:rFonts w:ascii="Arial Narrow" w:hAnsi="Arial Narrow"/>
          <w:b/>
          <w:sz w:val="20"/>
        </w:rPr>
        <w:t xml:space="preserve">Table </w:t>
      </w:r>
      <w:r w:rsidR="00C736E0" w:rsidRPr="003A7EA2">
        <w:rPr>
          <w:rFonts w:ascii="Arial Narrow" w:hAnsi="Arial Narrow"/>
          <w:b/>
          <w:sz w:val="20"/>
        </w:rPr>
        <w:fldChar w:fldCharType="begin"/>
      </w:r>
      <w:r w:rsidR="00C736E0" w:rsidRPr="003A7EA2">
        <w:rPr>
          <w:rFonts w:ascii="Arial Narrow" w:hAnsi="Arial Narrow"/>
          <w:b/>
          <w:sz w:val="20"/>
        </w:rPr>
        <w:instrText xml:space="preserve"> SEQ Table \* ARABIC </w:instrText>
      </w:r>
      <w:r w:rsidR="00C736E0" w:rsidRPr="003A7EA2">
        <w:rPr>
          <w:rFonts w:ascii="Arial Narrow" w:hAnsi="Arial Narrow"/>
          <w:b/>
          <w:sz w:val="20"/>
        </w:rPr>
        <w:fldChar w:fldCharType="separate"/>
      </w:r>
      <w:r w:rsidRPr="003A7EA2">
        <w:rPr>
          <w:rFonts w:ascii="Arial Narrow" w:hAnsi="Arial Narrow"/>
          <w:b/>
          <w:sz w:val="20"/>
        </w:rPr>
        <w:t>13</w:t>
      </w:r>
      <w:r w:rsidR="00C736E0" w:rsidRPr="003A7EA2">
        <w:rPr>
          <w:rFonts w:ascii="Arial Narrow" w:hAnsi="Arial Narrow"/>
          <w:b/>
          <w:sz w:val="20"/>
        </w:rPr>
        <w:fldChar w:fldCharType="end"/>
      </w:r>
      <w:bookmarkEnd w:id="38"/>
      <w:r w:rsidRPr="003A7EA2">
        <w:rPr>
          <w:rFonts w:ascii="Arial Narrow" w:hAnsi="Arial Narrow"/>
          <w:b/>
          <w:sz w:val="20"/>
        </w:rPr>
        <w:tab/>
        <w:t xml:space="preserve">Summary of the economic evaluation (cost analysis) </w:t>
      </w:r>
    </w:p>
    <w:tbl>
      <w:tblPr>
        <w:tblStyle w:val="TableGrid1"/>
        <w:tblW w:w="0" w:type="auto"/>
        <w:tblLook w:val="01E0" w:firstRow="1" w:lastRow="1" w:firstColumn="1" w:lastColumn="1" w:noHBand="0" w:noVBand="0"/>
        <w:tblCaption w:val="Table 15 Summary of the cost analysis"/>
        <w:tblDescription w:val="This table describes the key constructs of the cost analysis that is provided in the assessment report."/>
      </w:tblPr>
      <w:tblGrid>
        <w:gridCol w:w="3077"/>
        <w:gridCol w:w="5831"/>
      </w:tblGrid>
      <w:tr w:rsidR="00C856E8" w:rsidRPr="00183E4D" w14:paraId="509172C4" w14:textId="77777777" w:rsidTr="00614FED">
        <w:trPr>
          <w:cnfStyle w:val="100000000000" w:firstRow="1" w:lastRow="0" w:firstColumn="0" w:lastColumn="0" w:oddVBand="0" w:evenVBand="0" w:oddHBand="0" w:evenHBand="0" w:firstRowFirstColumn="0" w:firstRowLastColumn="0" w:lastRowFirstColumn="0" w:lastRowLastColumn="0"/>
          <w:trHeight w:val="20"/>
          <w:tblHeader/>
        </w:trPr>
        <w:tc>
          <w:tcPr>
            <w:tcW w:w="3077" w:type="dxa"/>
          </w:tcPr>
          <w:p w14:paraId="7C414DA6" w14:textId="77777777" w:rsidR="00C856E8" w:rsidRPr="00C055AB" w:rsidRDefault="00C856E8" w:rsidP="003A7EA2">
            <w:pPr>
              <w:pStyle w:val="Tabletext"/>
              <w:keepNext/>
              <w:keepLines/>
              <w:rPr>
                <w:b/>
              </w:rPr>
            </w:pPr>
            <w:r w:rsidRPr="00C055AB">
              <w:rPr>
                <w:b/>
              </w:rPr>
              <w:t>Perspective</w:t>
            </w:r>
          </w:p>
        </w:tc>
        <w:tc>
          <w:tcPr>
            <w:tcW w:w="5831" w:type="dxa"/>
          </w:tcPr>
          <w:p w14:paraId="704CE245" w14:textId="77777777" w:rsidR="00C856E8" w:rsidRPr="00183E4D" w:rsidRDefault="00C856E8" w:rsidP="003A7EA2">
            <w:pPr>
              <w:pStyle w:val="Tabletext"/>
              <w:keepNext/>
              <w:keepLines/>
            </w:pPr>
            <w:r>
              <w:t>Australian healthcare</w:t>
            </w:r>
          </w:p>
        </w:tc>
      </w:tr>
      <w:tr w:rsidR="00C856E8" w:rsidRPr="00183E4D" w14:paraId="519E080B" w14:textId="77777777" w:rsidTr="00614FED">
        <w:trPr>
          <w:trHeight w:val="20"/>
        </w:trPr>
        <w:tc>
          <w:tcPr>
            <w:tcW w:w="3077" w:type="dxa"/>
          </w:tcPr>
          <w:p w14:paraId="76ECB339" w14:textId="77777777" w:rsidR="00C856E8" w:rsidRPr="00C055AB" w:rsidRDefault="00C856E8" w:rsidP="003A7EA2">
            <w:pPr>
              <w:pStyle w:val="Tabletext"/>
              <w:keepNext/>
              <w:keepLines/>
              <w:rPr>
                <w:b/>
              </w:rPr>
            </w:pPr>
            <w:r w:rsidRPr="00C055AB">
              <w:rPr>
                <w:b/>
              </w:rPr>
              <w:t>Comparator</w:t>
            </w:r>
          </w:p>
        </w:tc>
        <w:tc>
          <w:tcPr>
            <w:tcW w:w="5831" w:type="dxa"/>
          </w:tcPr>
          <w:p w14:paraId="71A492BB" w14:textId="77777777" w:rsidR="00C856E8" w:rsidRPr="00183E4D" w:rsidRDefault="00C856E8" w:rsidP="003A7EA2">
            <w:pPr>
              <w:pStyle w:val="Tabletext"/>
              <w:keepNext/>
              <w:keepLines/>
            </w:pPr>
            <w:r>
              <w:t>Radical nephrectomy (RN)</w:t>
            </w:r>
          </w:p>
        </w:tc>
      </w:tr>
      <w:tr w:rsidR="00C856E8" w:rsidRPr="00183E4D" w14:paraId="65CC7846" w14:textId="77777777" w:rsidTr="00614FED">
        <w:trPr>
          <w:trHeight w:val="20"/>
        </w:trPr>
        <w:tc>
          <w:tcPr>
            <w:tcW w:w="3077" w:type="dxa"/>
          </w:tcPr>
          <w:p w14:paraId="36A76E6E" w14:textId="77777777" w:rsidR="00C856E8" w:rsidRPr="00C055AB" w:rsidRDefault="00C856E8" w:rsidP="003A7EA2">
            <w:pPr>
              <w:pStyle w:val="Tabletext"/>
              <w:keepNext/>
              <w:keepLines/>
              <w:rPr>
                <w:b/>
              </w:rPr>
            </w:pPr>
            <w:r w:rsidRPr="00C055AB">
              <w:rPr>
                <w:b/>
              </w:rPr>
              <w:t>Type of economic evaluation</w:t>
            </w:r>
          </w:p>
        </w:tc>
        <w:tc>
          <w:tcPr>
            <w:tcW w:w="5831" w:type="dxa"/>
          </w:tcPr>
          <w:p w14:paraId="50444308" w14:textId="77777777" w:rsidR="00C856E8" w:rsidRPr="00C055AB" w:rsidRDefault="00C856E8" w:rsidP="003A7EA2">
            <w:pPr>
              <w:pStyle w:val="Tabletext"/>
              <w:keepNext/>
              <w:keepLines/>
            </w:pPr>
            <w:r w:rsidRPr="00C055AB">
              <w:t>Cost analysis</w:t>
            </w:r>
          </w:p>
        </w:tc>
      </w:tr>
      <w:tr w:rsidR="00C856E8" w:rsidRPr="00183E4D" w14:paraId="6B609715" w14:textId="77777777" w:rsidTr="00614FED">
        <w:trPr>
          <w:trHeight w:val="20"/>
        </w:trPr>
        <w:tc>
          <w:tcPr>
            <w:tcW w:w="3077" w:type="dxa"/>
          </w:tcPr>
          <w:p w14:paraId="702F049F" w14:textId="77777777" w:rsidR="00C856E8" w:rsidRPr="00C055AB" w:rsidRDefault="00C856E8" w:rsidP="00C856E8">
            <w:pPr>
              <w:pStyle w:val="Tabletext"/>
              <w:keepNext/>
              <w:rPr>
                <w:b/>
              </w:rPr>
            </w:pPr>
            <w:r w:rsidRPr="00C055AB">
              <w:rPr>
                <w:b/>
              </w:rPr>
              <w:t>Sources of evidence</w:t>
            </w:r>
          </w:p>
        </w:tc>
        <w:tc>
          <w:tcPr>
            <w:tcW w:w="5831" w:type="dxa"/>
          </w:tcPr>
          <w:p w14:paraId="56D136E1" w14:textId="77777777" w:rsidR="00C856E8" w:rsidRDefault="00C856E8" w:rsidP="00C856E8">
            <w:pPr>
              <w:pStyle w:val="Tabletext"/>
              <w:keepNext/>
            </w:pPr>
            <w:r w:rsidRPr="00183E4D">
              <w:t>Systematic review</w:t>
            </w:r>
            <w:r>
              <w:t xml:space="preserve"> and ABS for safety and effectiveness</w:t>
            </w:r>
          </w:p>
          <w:p w14:paraId="33333DF7" w14:textId="77777777" w:rsidR="00C856E8" w:rsidRDefault="00C856E8" w:rsidP="00C856E8">
            <w:pPr>
              <w:pStyle w:val="Tabletext"/>
              <w:keepNext/>
            </w:pPr>
            <w:r>
              <w:t>MBS, PBS, NHCDC public cost weights for costs</w:t>
            </w:r>
          </w:p>
          <w:p w14:paraId="4FDCF99B" w14:textId="77777777" w:rsidR="00C856E8" w:rsidRPr="0035691E" w:rsidRDefault="00C856E8" w:rsidP="00C856E8">
            <w:pPr>
              <w:pStyle w:val="Tabletext"/>
              <w:keepNext/>
              <w:rPr>
                <w:vanish/>
                <w:color w:val="C00000"/>
              </w:rPr>
            </w:pPr>
            <w:r>
              <w:t>Rowley (2011) for conversion from laparoscopic to open RN</w:t>
            </w:r>
          </w:p>
        </w:tc>
      </w:tr>
      <w:tr w:rsidR="00C856E8" w:rsidRPr="00183E4D" w14:paraId="11F9DF23" w14:textId="77777777" w:rsidTr="00614FED">
        <w:trPr>
          <w:trHeight w:val="20"/>
        </w:trPr>
        <w:tc>
          <w:tcPr>
            <w:tcW w:w="3077" w:type="dxa"/>
            <w:hideMark/>
          </w:tcPr>
          <w:p w14:paraId="7390F06B" w14:textId="77777777" w:rsidR="00C856E8" w:rsidRPr="00C055AB" w:rsidRDefault="00C856E8" w:rsidP="00C856E8">
            <w:pPr>
              <w:pStyle w:val="Tabletext"/>
              <w:keepNext/>
              <w:rPr>
                <w:b/>
              </w:rPr>
            </w:pPr>
            <w:r w:rsidRPr="00C055AB">
              <w:rPr>
                <w:b/>
              </w:rPr>
              <w:t>Time horizon</w:t>
            </w:r>
          </w:p>
        </w:tc>
        <w:tc>
          <w:tcPr>
            <w:tcW w:w="5831" w:type="dxa"/>
            <w:hideMark/>
          </w:tcPr>
          <w:p w14:paraId="1A643960" w14:textId="77777777" w:rsidR="00C856E8" w:rsidRPr="0035691E" w:rsidRDefault="00C856E8" w:rsidP="00C856E8">
            <w:pPr>
              <w:pStyle w:val="Tabletext"/>
              <w:keepNext/>
              <w:rPr>
                <w:vanish/>
                <w:color w:val="C00000"/>
              </w:rPr>
            </w:pPr>
            <w:r>
              <w:t>One year</w:t>
            </w:r>
          </w:p>
        </w:tc>
      </w:tr>
      <w:tr w:rsidR="00C856E8" w:rsidRPr="00183E4D" w14:paraId="10CD39E4" w14:textId="77777777" w:rsidTr="00614FED">
        <w:trPr>
          <w:trHeight w:val="20"/>
        </w:trPr>
        <w:tc>
          <w:tcPr>
            <w:tcW w:w="3077" w:type="dxa"/>
            <w:hideMark/>
          </w:tcPr>
          <w:p w14:paraId="39F1EB3A" w14:textId="77777777" w:rsidR="00C856E8" w:rsidRPr="00C055AB" w:rsidRDefault="00C856E8" w:rsidP="00C856E8">
            <w:pPr>
              <w:pStyle w:val="Tabletext"/>
              <w:keepNext/>
              <w:rPr>
                <w:b/>
              </w:rPr>
            </w:pPr>
            <w:r w:rsidRPr="00C055AB">
              <w:rPr>
                <w:b/>
              </w:rPr>
              <w:t>Outcomes</w:t>
            </w:r>
          </w:p>
        </w:tc>
        <w:tc>
          <w:tcPr>
            <w:tcW w:w="5831" w:type="dxa"/>
          </w:tcPr>
          <w:p w14:paraId="10D9DBAD" w14:textId="77777777" w:rsidR="00C856E8" w:rsidRPr="0035691E" w:rsidRDefault="00C856E8" w:rsidP="00C856E8">
            <w:pPr>
              <w:pStyle w:val="Tabletext"/>
              <w:keepNext/>
              <w:rPr>
                <w:vanish/>
                <w:color w:val="C00000"/>
              </w:rPr>
            </w:pPr>
            <w:r>
              <w:t>Costs, adverse events</w:t>
            </w:r>
          </w:p>
        </w:tc>
      </w:tr>
      <w:tr w:rsidR="00C856E8" w:rsidRPr="00183E4D" w14:paraId="2D992CD0" w14:textId="77777777" w:rsidTr="00614FED">
        <w:trPr>
          <w:trHeight w:val="20"/>
        </w:trPr>
        <w:tc>
          <w:tcPr>
            <w:tcW w:w="3077" w:type="dxa"/>
            <w:hideMark/>
          </w:tcPr>
          <w:p w14:paraId="2C32A297" w14:textId="77777777" w:rsidR="00C856E8" w:rsidRPr="00C055AB" w:rsidRDefault="00C856E8" w:rsidP="00C856E8">
            <w:pPr>
              <w:pStyle w:val="Tabletext"/>
              <w:keepNext/>
              <w:rPr>
                <w:b/>
              </w:rPr>
            </w:pPr>
            <w:r w:rsidRPr="00C055AB">
              <w:rPr>
                <w:b/>
              </w:rPr>
              <w:t>Methods used to generate results</w:t>
            </w:r>
          </w:p>
        </w:tc>
        <w:tc>
          <w:tcPr>
            <w:tcW w:w="5831" w:type="dxa"/>
          </w:tcPr>
          <w:p w14:paraId="2D944EA0" w14:textId="77777777" w:rsidR="00C856E8" w:rsidRPr="0035691E" w:rsidRDefault="00C856E8" w:rsidP="00C856E8">
            <w:pPr>
              <w:pStyle w:val="Tabletext"/>
              <w:keepNext/>
              <w:rPr>
                <w:vanish/>
                <w:color w:val="C00000"/>
              </w:rPr>
            </w:pPr>
            <w:r>
              <w:t>T</w:t>
            </w:r>
            <w:r w:rsidRPr="00C554D4">
              <w:t>rial-based</w:t>
            </w:r>
          </w:p>
        </w:tc>
      </w:tr>
      <w:tr w:rsidR="00C856E8" w:rsidRPr="00183E4D" w14:paraId="0ADCED22" w14:textId="77777777" w:rsidTr="00614FED">
        <w:trPr>
          <w:trHeight w:val="20"/>
        </w:trPr>
        <w:tc>
          <w:tcPr>
            <w:tcW w:w="3077" w:type="dxa"/>
            <w:hideMark/>
          </w:tcPr>
          <w:p w14:paraId="6858F57C" w14:textId="77777777" w:rsidR="00C856E8" w:rsidRPr="00C055AB" w:rsidRDefault="00C856E8" w:rsidP="00C856E8">
            <w:pPr>
              <w:pStyle w:val="Tabletext"/>
              <w:keepNext/>
              <w:rPr>
                <w:b/>
              </w:rPr>
            </w:pPr>
            <w:r w:rsidRPr="00C055AB">
              <w:rPr>
                <w:b/>
              </w:rPr>
              <w:t>Discount rate</w:t>
            </w:r>
          </w:p>
        </w:tc>
        <w:tc>
          <w:tcPr>
            <w:tcW w:w="5831" w:type="dxa"/>
          </w:tcPr>
          <w:p w14:paraId="37CE92A7" w14:textId="77777777" w:rsidR="00C856E8" w:rsidRPr="00183E4D" w:rsidRDefault="00C856E8" w:rsidP="00C856E8">
            <w:pPr>
              <w:pStyle w:val="Tabletext"/>
              <w:keepNext/>
            </w:pPr>
            <w:r>
              <w:t>Not applicable</w:t>
            </w:r>
          </w:p>
        </w:tc>
      </w:tr>
      <w:tr w:rsidR="00C856E8" w:rsidRPr="00183E4D" w14:paraId="7848573C" w14:textId="77777777" w:rsidTr="00614FED">
        <w:trPr>
          <w:trHeight w:val="20"/>
        </w:trPr>
        <w:tc>
          <w:tcPr>
            <w:tcW w:w="3077" w:type="dxa"/>
            <w:hideMark/>
          </w:tcPr>
          <w:p w14:paraId="5881EA5F" w14:textId="77777777" w:rsidR="00C856E8" w:rsidRPr="00C055AB" w:rsidRDefault="00C856E8" w:rsidP="00C856E8">
            <w:pPr>
              <w:pStyle w:val="Tabletext"/>
              <w:keepNext/>
              <w:rPr>
                <w:b/>
              </w:rPr>
            </w:pPr>
            <w:r w:rsidRPr="00C055AB">
              <w:rPr>
                <w:b/>
              </w:rPr>
              <w:t>Software packages used</w:t>
            </w:r>
          </w:p>
        </w:tc>
        <w:tc>
          <w:tcPr>
            <w:tcW w:w="5831" w:type="dxa"/>
          </w:tcPr>
          <w:p w14:paraId="0B09211F" w14:textId="77777777" w:rsidR="00C856E8" w:rsidRPr="00183E4D" w:rsidRDefault="00C856E8" w:rsidP="00C856E8">
            <w:pPr>
              <w:pStyle w:val="Tabletext"/>
              <w:keepNext/>
            </w:pPr>
            <w:r>
              <w:t>Microsoft Excel</w:t>
            </w:r>
          </w:p>
        </w:tc>
      </w:tr>
    </w:tbl>
    <w:p w14:paraId="0A4782C0" w14:textId="09EB7FAC" w:rsidR="00C856E8" w:rsidRDefault="00C856E8" w:rsidP="00C856E8">
      <w:pPr>
        <w:pStyle w:val="Tablenotes1"/>
      </w:pPr>
      <w:r w:rsidRPr="00DF51F4">
        <w:rPr>
          <w:rStyle w:val="Emphasis"/>
          <w:i w:val="0"/>
        </w:rPr>
        <w:t xml:space="preserve">Source: Table 11, p25 of the </w:t>
      </w:r>
      <w:r w:rsidR="009842FE" w:rsidRPr="00DF51F4">
        <w:rPr>
          <w:rStyle w:val="Emphasis"/>
          <w:i w:val="0"/>
        </w:rPr>
        <w:t>Commentary</w:t>
      </w:r>
      <w:r w:rsidRPr="000233C2">
        <w:rPr>
          <w:rStyle w:val="Emphasis"/>
        </w:rPr>
        <w:br/>
      </w:r>
      <w:r>
        <w:t xml:space="preserve">Abbreviations: </w:t>
      </w:r>
      <w:r w:rsidRPr="000233C2">
        <w:t>RN = radical nephrectomy</w:t>
      </w:r>
    </w:p>
    <w:p w14:paraId="746FAD3B" w14:textId="749FEFAD" w:rsidR="00C856E8" w:rsidRDefault="00C856E8" w:rsidP="00071451">
      <w:pPr>
        <w:spacing w:after="240"/>
      </w:pPr>
      <w:r w:rsidRPr="000233C2">
        <w:t xml:space="preserve">The </w:t>
      </w:r>
      <w:r w:rsidR="009842FE">
        <w:t>Commentary</w:t>
      </w:r>
      <w:r w:rsidRPr="000233C2">
        <w:t xml:space="preserve"> noted that the clinical claim of non-inferior effectiveness </w:t>
      </w:r>
      <w:proofErr w:type="gramStart"/>
      <w:r w:rsidRPr="000233C2">
        <w:t>is primarily based</w:t>
      </w:r>
      <w:proofErr w:type="gramEnd"/>
      <w:r w:rsidRPr="000233C2">
        <w:t xml:space="preserve"> on clinical evidence derived from Xing (2018). As noted for the economic evaluation of CA vs. AS/DT, the population and comparator in Xing (2018) are not representative of the scenario for which MBS listing of cryoablation </w:t>
      </w:r>
      <w:proofErr w:type="gramStart"/>
      <w:r w:rsidRPr="000233C2">
        <w:t>is sought</w:t>
      </w:r>
      <w:proofErr w:type="gramEnd"/>
      <w:r w:rsidRPr="000233C2">
        <w:t xml:space="preserve">. </w:t>
      </w:r>
      <w:r>
        <w:t>As such, t</w:t>
      </w:r>
      <w:r w:rsidRPr="000233C2">
        <w:t xml:space="preserve">he </w:t>
      </w:r>
      <w:r w:rsidR="009842FE">
        <w:t>Commentary</w:t>
      </w:r>
      <w:r>
        <w:t xml:space="preserve"> considered that the </w:t>
      </w:r>
      <w:r w:rsidRPr="000233C2">
        <w:t>results of the economic evaluation are uncertain.</w:t>
      </w:r>
    </w:p>
    <w:p w14:paraId="1D1F0050" w14:textId="77777777" w:rsidR="00C856E8" w:rsidRPr="00C055AB" w:rsidRDefault="00C856E8" w:rsidP="00071451">
      <w:pPr>
        <w:spacing w:after="240"/>
      </w:pPr>
      <w:r>
        <w:t>The ADAR predicted the overall cost of treatment with CA as $4,625, compared with $11,280 for RN (</w:t>
      </w:r>
      <w:r>
        <w:fldChar w:fldCharType="begin"/>
      </w:r>
      <w:r>
        <w:instrText xml:space="preserve"> REF _Ref46326420 \h </w:instrText>
      </w:r>
      <w:r>
        <w:fldChar w:fldCharType="separate"/>
      </w:r>
      <w:r w:rsidRPr="003A1192">
        <w:t xml:space="preserve">Table </w:t>
      </w:r>
      <w:r>
        <w:rPr>
          <w:noProof/>
        </w:rPr>
        <w:t>14</w:t>
      </w:r>
      <w:r>
        <w:fldChar w:fldCharType="end"/>
      </w:r>
      <w:r>
        <w:t xml:space="preserve">). This translates to a cost saving of $6,655 per patient per course of treatment. The base case </w:t>
      </w:r>
      <w:proofErr w:type="gramStart"/>
      <w:r>
        <w:t>was respecified</w:t>
      </w:r>
      <w:proofErr w:type="gramEnd"/>
      <w:r>
        <w:t xml:space="preserve"> to include current MBS and PBS costs. This resulted in an estimated cost saving of $6,657 per patient per course of treatment. </w:t>
      </w:r>
    </w:p>
    <w:p w14:paraId="5F2E5D2E" w14:textId="0BCBAC54" w:rsidR="00C856E8" w:rsidRPr="003A7EA2" w:rsidRDefault="00C856E8" w:rsidP="003A7EA2">
      <w:pPr>
        <w:keepNext/>
        <w:keepLines/>
        <w:rPr>
          <w:rFonts w:ascii="Arial Narrow" w:hAnsi="Arial Narrow"/>
          <w:b/>
          <w:sz w:val="20"/>
        </w:rPr>
      </w:pPr>
      <w:bookmarkStart w:id="39" w:name="_Ref46326420"/>
      <w:r w:rsidRPr="003A7EA2">
        <w:rPr>
          <w:rFonts w:ascii="Arial Narrow" w:hAnsi="Arial Narrow"/>
          <w:b/>
          <w:sz w:val="20"/>
        </w:rPr>
        <w:t xml:space="preserve">Table </w:t>
      </w:r>
      <w:r w:rsidR="00C736E0" w:rsidRPr="003A7EA2">
        <w:rPr>
          <w:rFonts w:ascii="Arial Narrow" w:hAnsi="Arial Narrow"/>
          <w:b/>
          <w:sz w:val="20"/>
        </w:rPr>
        <w:fldChar w:fldCharType="begin"/>
      </w:r>
      <w:r w:rsidR="00C736E0" w:rsidRPr="003A7EA2">
        <w:rPr>
          <w:rFonts w:ascii="Arial Narrow" w:hAnsi="Arial Narrow"/>
          <w:b/>
          <w:sz w:val="20"/>
        </w:rPr>
        <w:instrText xml:space="preserve"> SEQ Table \* ARABIC </w:instrText>
      </w:r>
      <w:r w:rsidR="00C736E0" w:rsidRPr="003A7EA2">
        <w:rPr>
          <w:rFonts w:ascii="Arial Narrow" w:hAnsi="Arial Narrow"/>
          <w:b/>
          <w:sz w:val="20"/>
        </w:rPr>
        <w:fldChar w:fldCharType="separate"/>
      </w:r>
      <w:r w:rsidRPr="003A7EA2">
        <w:rPr>
          <w:rFonts w:ascii="Arial Narrow" w:hAnsi="Arial Narrow"/>
          <w:b/>
          <w:sz w:val="20"/>
        </w:rPr>
        <w:t>14</w:t>
      </w:r>
      <w:r w:rsidR="00C736E0" w:rsidRPr="003A7EA2">
        <w:rPr>
          <w:rFonts w:ascii="Arial Narrow" w:hAnsi="Arial Narrow"/>
          <w:b/>
          <w:sz w:val="20"/>
        </w:rPr>
        <w:fldChar w:fldCharType="end"/>
      </w:r>
      <w:bookmarkEnd w:id="39"/>
      <w:r w:rsidR="004F4A0A" w:rsidRPr="003A7EA2">
        <w:rPr>
          <w:rFonts w:ascii="Arial Narrow" w:hAnsi="Arial Narrow"/>
          <w:b/>
          <w:sz w:val="20"/>
        </w:rPr>
        <w:t xml:space="preserve"> </w:t>
      </w:r>
      <w:r w:rsidRPr="003A7EA2">
        <w:rPr>
          <w:rFonts w:ascii="Arial Narrow" w:hAnsi="Arial Narrow"/>
          <w:b/>
          <w:sz w:val="20"/>
        </w:rPr>
        <w:t>Results of the cost analysis of cryoablation versus radical nephrectomy – respecified base case</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5 Results of the cost analysis"/>
        <w:tblDescription w:val="This table presents the disaggregated and aggregated costs associated with cryoablation and radical nephrectomy. The base case was respecified to include different hospitalisation costs."/>
      </w:tblPr>
      <w:tblGrid>
        <w:gridCol w:w="4531"/>
        <w:gridCol w:w="1395"/>
        <w:gridCol w:w="1843"/>
        <w:gridCol w:w="1559"/>
      </w:tblGrid>
      <w:tr w:rsidR="00C856E8" w:rsidRPr="00791A76" w14:paraId="41C183A7" w14:textId="77777777" w:rsidTr="00C856E8">
        <w:trPr>
          <w:cantSplit/>
          <w:trHeight w:val="255"/>
          <w:tblHeader/>
        </w:trPr>
        <w:tc>
          <w:tcPr>
            <w:tcW w:w="4531" w:type="dxa"/>
            <w:shd w:val="clear" w:color="auto" w:fill="auto"/>
            <w:noWrap/>
            <w:vAlign w:val="bottom"/>
            <w:hideMark/>
          </w:tcPr>
          <w:p w14:paraId="10B99B7C" w14:textId="77777777" w:rsidR="00C856E8" w:rsidRPr="00172D1C" w:rsidRDefault="00C856E8" w:rsidP="003A7EA2">
            <w:pPr>
              <w:pStyle w:val="Tabletextcentred"/>
              <w:keepNext/>
              <w:keepLines/>
            </w:pPr>
          </w:p>
        </w:tc>
        <w:tc>
          <w:tcPr>
            <w:tcW w:w="1395" w:type="dxa"/>
            <w:shd w:val="clear" w:color="auto" w:fill="auto"/>
            <w:noWrap/>
            <w:vAlign w:val="bottom"/>
            <w:hideMark/>
          </w:tcPr>
          <w:p w14:paraId="3B8E9B7F" w14:textId="77777777" w:rsidR="00C856E8" w:rsidRPr="00791A76" w:rsidRDefault="00C856E8" w:rsidP="003A7EA2">
            <w:pPr>
              <w:pStyle w:val="Tabletextcentred"/>
              <w:keepNext/>
              <w:keepLines/>
              <w:jc w:val="left"/>
              <w:rPr>
                <w:rFonts w:cs="Calibri"/>
                <w:b/>
                <w:bCs/>
                <w:color w:val="000000"/>
              </w:rPr>
            </w:pPr>
            <w:r w:rsidRPr="00791A76">
              <w:rPr>
                <w:rFonts w:cs="Calibri"/>
                <w:b/>
                <w:bCs/>
                <w:color w:val="000000"/>
              </w:rPr>
              <w:t>Cryoablation</w:t>
            </w:r>
          </w:p>
        </w:tc>
        <w:tc>
          <w:tcPr>
            <w:tcW w:w="1843" w:type="dxa"/>
            <w:shd w:val="clear" w:color="auto" w:fill="auto"/>
            <w:noWrap/>
            <w:vAlign w:val="bottom"/>
            <w:hideMark/>
          </w:tcPr>
          <w:p w14:paraId="68F01A7F" w14:textId="77777777" w:rsidR="00C856E8" w:rsidRPr="00791A76" w:rsidRDefault="00C856E8" w:rsidP="003A7EA2">
            <w:pPr>
              <w:pStyle w:val="Tabletextcentred"/>
              <w:keepNext/>
              <w:keepLines/>
              <w:jc w:val="left"/>
              <w:rPr>
                <w:rFonts w:cs="Calibri"/>
                <w:b/>
                <w:bCs/>
                <w:color w:val="000000"/>
              </w:rPr>
            </w:pPr>
            <w:r w:rsidRPr="00791A76">
              <w:rPr>
                <w:rFonts w:cs="Calibri"/>
                <w:b/>
                <w:bCs/>
                <w:color w:val="000000"/>
              </w:rPr>
              <w:t>Radical Nephrectomy</w:t>
            </w:r>
          </w:p>
        </w:tc>
        <w:tc>
          <w:tcPr>
            <w:tcW w:w="1559" w:type="dxa"/>
            <w:shd w:val="clear" w:color="auto" w:fill="auto"/>
            <w:noWrap/>
            <w:vAlign w:val="bottom"/>
            <w:hideMark/>
          </w:tcPr>
          <w:p w14:paraId="5E355F4A" w14:textId="77777777" w:rsidR="00C856E8" w:rsidRPr="00791A76" w:rsidRDefault="00C856E8" w:rsidP="003A7EA2">
            <w:pPr>
              <w:pStyle w:val="Tabletextcentred"/>
              <w:keepNext/>
              <w:keepLines/>
              <w:jc w:val="left"/>
              <w:rPr>
                <w:rFonts w:cs="Calibri"/>
                <w:b/>
                <w:bCs/>
                <w:color w:val="000000"/>
              </w:rPr>
            </w:pPr>
            <w:r w:rsidRPr="00791A76">
              <w:rPr>
                <w:rFonts w:cs="Calibri"/>
                <w:b/>
                <w:bCs/>
                <w:color w:val="000000"/>
              </w:rPr>
              <w:t>Difference</w:t>
            </w:r>
          </w:p>
          <w:p w14:paraId="40957BF7" w14:textId="77777777" w:rsidR="00C856E8" w:rsidRPr="00791A76" w:rsidRDefault="00C856E8" w:rsidP="003A7EA2">
            <w:pPr>
              <w:pStyle w:val="Tabletextcentred"/>
              <w:keepNext/>
              <w:keepLines/>
              <w:jc w:val="left"/>
              <w:rPr>
                <w:rFonts w:cs="Calibri"/>
                <w:b/>
                <w:bCs/>
                <w:color w:val="000000"/>
              </w:rPr>
            </w:pPr>
            <w:r w:rsidRPr="00791A76">
              <w:rPr>
                <w:rFonts w:cs="Calibri"/>
                <w:b/>
                <w:bCs/>
                <w:color w:val="000000"/>
              </w:rPr>
              <w:t>(CA – RN)*</w:t>
            </w:r>
          </w:p>
        </w:tc>
      </w:tr>
      <w:tr w:rsidR="00C856E8" w:rsidRPr="00791A76" w14:paraId="53C67C84" w14:textId="77777777" w:rsidTr="00C856E8">
        <w:trPr>
          <w:cantSplit/>
          <w:trHeight w:val="255"/>
        </w:trPr>
        <w:tc>
          <w:tcPr>
            <w:tcW w:w="9328" w:type="dxa"/>
            <w:gridSpan w:val="4"/>
            <w:shd w:val="clear" w:color="auto" w:fill="auto"/>
            <w:noWrap/>
            <w:vAlign w:val="bottom"/>
            <w:hideMark/>
          </w:tcPr>
          <w:p w14:paraId="37E47E1A" w14:textId="77777777" w:rsidR="00C856E8" w:rsidRPr="00791A76" w:rsidRDefault="00C856E8" w:rsidP="003A7EA2">
            <w:pPr>
              <w:pStyle w:val="Tabletextcentred"/>
              <w:keepNext/>
              <w:keepLines/>
              <w:jc w:val="left"/>
            </w:pPr>
            <w:r w:rsidRPr="00791A76">
              <w:rPr>
                <w:rFonts w:cs="Calibri"/>
                <w:b/>
                <w:bCs/>
                <w:color w:val="000000"/>
              </w:rPr>
              <w:t>Costs associated with the performance of the procedure</w:t>
            </w:r>
          </w:p>
        </w:tc>
      </w:tr>
      <w:tr w:rsidR="00C856E8" w:rsidRPr="00791A76" w14:paraId="41A19DA5" w14:textId="77777777" w:rsidTr="00C856E8">
        <w:trPr>
          <w:cantSplit/>
          <w:trHeight w:val="255"/>
        </w:trPr>
        <w:tc>
          <w:tcPr>
            <w:tcW w:w="4531" w:type="dxa"/>
            <w:tcBorders>
              <w:right w:val="single" w:sz="4" w:space="0" w:color="auto"/>
            </w:tcBorders>
            <w:shd w:val="clear" w:color="auto" w:fill="auto"/>
            <w:noWrap/>
            <w:vAlign w:val="bottom"/>
            <w:hideMark/>
          </w:tcPr>
          <w:p w14:paraId="00A3C254" w14:textId="77777777" w:rsidR="00C856E8" w:rsidRPr="00791A76" w:rsidRDefault="00C856E8" w:rsidP="00C856E8">
            <w:pPr>
              <w:pStyle w:val="Tabletextcentred"/>
              <w:keepNext/>
              <w:jc w:val="left"/>
              <w:rPr>
                <w:rFonts w:cs="Calibri"/>
                <w:color w:val="000000"/>
              </w:rPr>
            </w:pPr>
            <w:r w:rsidRPr="00791A76">
              <w:rPr>
                <w:rFonts w:cs="Calibri"/>
                <w:color w:val="000000"/>
              </w:rPr>
              <w:t>Professional attendance (initial specialist)</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2B2FC"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$89.55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9364D"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$89.55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51BA1"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$0.00</w:t>
            </w:r>
          </w:p>
        </w:tc>
      </w:tr>
      <w:tr w:rsidR="00C856E8" w:rsidRPr="00791A76" w14:paraId="1CFD4175" w14:textId="77777777" w:rsidTr="00C856E8">
        <w:trPr>
          <w:cantSplit/>
          <w:trHeight w:val="255"/>
        </w:trPr>
        <w:tc>
          <w:tcPr>
            <w:tcW w:w="4531" w:type="dxa"/>
            <w:tcBorders>
              <w:right w:val="single" w:sz="4" w:space="0" w:color="auto"/>
            </w:tcBorders>
            <w:shd w:val="clear" w:color="auto" w:fill="auto"/>
            <w:noWrap/>
            <w:vAlign w:val="bottom"/>
            <w:hideMark/>
          </w:tcPr>
          <w:p w14:paraId="70299896" w14:textId="77777777" w:rsidR="00C856E8" w:rsidRPr="00791A76" w:rsidRDefault="00C856E8" w:rsidP="00C856E8">
            <w:pPr>
              <w:pStyle w:val="Tabletextcentred"/>
              <w:keepNext/>
              <w:jc w:val="left"/>
              <w:rPr>
                <w:rFonts w:cs="Calibri"/>
                <w:color w:val="000000"/>
              </w:rPr>
            </w:pPr>
            <w:r w:rsidRPr="00791A76">
              <w:rPr>
                <w:rFonts w:cs="Calibri"/>
                <w:color w:val="000000"/>
              </w:rPr>
              <w:t>Professional attendance (subsequent specialist)</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F9494"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$46.80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39C66"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$45.00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3DC75"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$1.80</w:t>
            </w:r>
          </w:p>
        </w:tc>
      </w:tr>
      <w:tr w:rsidR="00C856E8" w:rsidRPr="00791A76" w14:paraId="2C812891" w14:textId="77777777" w:rsidTr="00C856E8">
        <w:trPr>
          <w:cantSplit/>
          <w:trHeight w:val="255"/>
        </w:trPr>
        <w:tc>
          <w:tcPr>
            <w:tcW w:w="4531" w:type="dxa"/>
            <w:tcBorders>
              <w:right w:val="single" w:sz="4" w:space="0" w:color="auto"/>
            </w:tcBorders>
            <w:shd w:val="clear" w:color="auto" w:fill="auto"/>
            <w:noWrap/>
            <w:vAlign w:val="bottom"/>
            <w:hideMark/>
          </w:tcPr>
          <w:p w14:paraId="3AC4EDE3" w14:textId="77777777" w:rsidR="00C856E8" w:rsidRPr="00791A76" w:rsidRDefault="00C856E8" w:rsidP="00C856E8">
            <w:pPr>
              <w:pStyle w:val="Tabletextcentred"/>
              <w:keepNext/>
              <w:jc w:val="left"/>
              <w:rPr>
                <w:rFonts w:cs="Calibri"/>
                <w:color w:val="000000"/>
              </w:rPr>
            </w:pPr>
            <w:r w:rsidRPr="00791A76">
              <w:rPr>
                <w:rFonts w:cs="Calibri"/>
                <w:color w:val="000000"/>
              </w:rPr>
              <w:t>Pre-treatment pathology</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6E2C6"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$23.14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6A071"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$22.25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5F912"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$0.89</w:t>
            </w:r>
          </w:p>
        </w:tc>
      </w:tr>
      <w:tr w:rsidR="00C856E8" w:rsidRPr="00791A76" w14:paraId="3174AA65" w14:textId="77777777" w:rsidTr="00C856E8">
        <w:trPr>
          <w:cantSplit/>
          <w:trHeight w:val="255"/>
        </w:trPr>
        <w:tc>
          <w:tcPr>
            <w:tcW w:w="4531" w:type="dxa"/>
            <w:tcBorders>
              <w:right w:val="single" w:sz="4" w:space="0" w:color="auto"/>
            </w:tcBorders>
            <w:shd w:val="clear" w:color="auto" w:fill="auto"/>
            <w:noWrap/>
            <w:vAlign w:val="bottom"/>
            <w:hideMark/>
          </w:tcPr>
          <w:p w14:paraId="71FE146B" w14:textId="77777777" w:rsidR="00C856E8" w:rsidRPr="00791A76" w:rsidRDefault="00C856E8" w:rsidP="00C856E8">
            <w:pPr>
              <w:pStyle w:val="Tabletextcentred"/>
              <w:keepNext/>
              <w:jc w:val="left"/>
              <w:rPr>
                <w:rFonts w:cs="Calibri"/>
                <w:color w:val="000000"/>
              </w:rPr>
            </w:pPr>
            <w:r w:rsidRPr="00791A76">
              <w:rPr>
                <w:rFonts w:cs="Calibri"/>
                <w:color w:val="000000"/>
              </w:rPr>
              <w:t>Pre-treatment imaging - CT</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25398"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$380.02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DB879"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$365.40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AD405"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$14.62</w:t>
            </w:r>
          </w:p>
        </w:tc>
      </w:tr>
      <w:tr w:rsidR="00C856E8" w:rsidRPr="00791A76" w14:paraId="2E31B7B5" w14:textId="77777777" w:rsidTr="00C856E8">
        <w:trPr>
          <w:cantSplit/>
          <w:trHeight w:val="255"/>
        </w:trPr>
        <w:tc>
          <w:tcPr>
            <w:tcW w:w="4531" w:type="dxa"/>
            <w:tcBorders>
              <w:right w:val="single" w:sz="4" w:space="0" w:color="auto"/>
            </w:tcBorders>
            <w:shd w:val="clear" w:color="auto" w:fill="auto"/>
            <w:noWrap/>
            <w:vAlign w:val="bottom"/>
            <w:hideMark/>
          </w:tcPr>
          <w:p w14:paraId="63B9B1B7" w14:textId="77777777" w:rsidR="00C856E8" w:rsidRPr="00791A76" w:rsidRDefault="00C856E8" w:rsidP="00C856E8">
            <w:pPr>
              <w:pStyle w:val="Tabletextcentred"/>
              <w:keepNext/>
              <w:jc w:val="left"/>
              <w:rPr>
                <w:rFonts w:cs="Calibri"/>
                <w:color w:val="000000"/>
              </w:rPr>
            </w:pPr>
            <w:r w:rsidRPr="00791A76">
              <w:rPr>
                <w:rFonts w:cs="Calibri"/>
                <w:color w:val="000000"/>
              </w:rPr>
              <w:t>Biopsy</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3AF31"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$177.90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4D259"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$177.90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6A196"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$0.00</w:t>
            </w:r>
          </w:p>
        </w:tc>
      </w:tr>
      <w:tr w:rsidR="00C856E8" w:rsidRPr="00791A76" w14:paraId="5B5DCAB1" w14:textId="77777777" w:rsidTr="00C856E8">
        <w:trPr>
          <w:cantSplit/>
          <w:trHeight w:val="255"/>
        </w:trPr>
        <w:tc>
          <w:tcPr>
            <w:tcW w:w="4531" w:type="dxa"/>
            <w:tcBorders>
              <w:right w:val="single" w:sz="4" w:space="0" w:color="auto"/>
            </w:tcBorders>
            <w:shd w:val="clear" w:color="auto" w:fill="auto"/>
            <w:noWrap/>
            <w:vAlign w:val="bottom"/>
            <w:hideMark/>
          </w:tcPr>
          <w:p w14:paraId="446167C8" w14:textId="77777777" w:rsidR="00C856E8" w:rsidRPr="00791A76" w:rsidRDefault="00C856E8" w:rsidP="00C856E8">
            <w:pPr>
              <w:pStyle w:val="Tabletextcentred"/>
              <w:keepNext/>
              <w:jc w:val="left"/>
              <w:rPr>
                <w:rFonts w:cs="Calibri"/>
                <w:color w:val="000000"/>
              </w:rPr>
            </w:pPr>
            <w:r w:rsidRPr="00791A76">
              <w:rPr>
                <w:rFonts w:cs="Calibri"/>
                <w:color w:val="000000"/>
              </w:rPr>
              <w:t>Pre-anaesthesia consultation and General anaesthesia</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73301"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$64.74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C94EA"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$249.00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9AFE5"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-$184.26</w:t>
            </w:r>
          </w:p>
        </w:tc>
      </w:tr>
      <w:tr w:rsidR="00C856E8" w:rsidRPr="00791A76" w14:paraId="47A4ED99" w14:textId="77777777" w:rsidTr="00C856E8">
        <w:trPr>
          <w:cantSplit/>
          <w:trHeight w:val="255"/>
        </w:trPr>
        <w:tc>
          <w:tcPr>
            <w:tcW w:w="4531" w:type="dxa"/>
            <w:tcBorders>
              <w:right w:val="single" w:sz="4" w:space="0" w:color="auto"/>
            </w:tcBorders>
            <w:shd w:val="clear" w:color="auto" w:fill="auto"/>
            <w:noWrap/>
            <w:vAlign w:val="bottom"/>
            <w:hideMark/>
          </w:tcPr>
          <w:p w14:paraId="3835D4B9" w14:textId="77777777" w:rsidR="00C856E8" w:rsidRPr="00791A76" w:rsidRDefault="00C856E8" w:rsidP="00C856E8">
            <w:pPr>
              <w:pStyle w:val="Tabletextcentred"/>
              <w:keepNext/>
              <w:jc w:val="left"/>
              <w:rPr>
                <w:rFonts w:cs="Calibri"/>
                <w:color w:val="000000"/>
              </w:rPr>
            </w:pPr>
            <w:r w:rsidRPr="00791A76">
              <w:rPr>
                <w:rFonts w:cs="Calibri"/>
                <w:color w:val="000000"/>
              </w:rPr>
              <w:t>Local Anaesthesia</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E90AE"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$26.61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12407"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FD897"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$26.61</w:t>
            </w:r>
          </w:p>
        </w:tc>
      </w:tr>
      <w:tr w:rsidR="00C856E8" w:rsidRPr="00791A76" w14:paraId="3F1D9628" w14:textId="77777777" w:rsidTr="00C856E8">
        <w:trPr>
          <w:cantSplit/>
          <w:trHeight w:val="255"/>
        </w:trPr>
        <w:tc>
          <w:tcPr>
            <w:tcW w:w="4531" w:type="dxa"/>
            <w:tcBorders>
              <w:right w:val="single" w:sz="4" w:space="0" w:color="auto"/>
            </w:tcBorders>
            <w:shd w:val="clear" w:color="auto" w:fill="auto"/>
            <w:noWrap/>
            <w:vAlign w:val="bottom"/>
            <w:hideMark/>
          </w:tcPr>
          <w:p w14:paraId="1D3BF122" w14:textId="77777777" w:rsidR="00C856E8" w:rsidRPr="00791A76" w:rsidRDefault="00C856E8" w:rsidP="00C856E8">
            <w:pPr>
              <w:pStyle w:val="Tabletextcentred"/>
              <w:keepNext/>
              <w:jc w:val="left"/>
              <w:rPr>
                <w:rFonts w:cs="Calibri"/>
                <w:color w:val="000000"/>
              </w:rPr>
            </w:pPr>
            <w:r w:rsidRPr="00791A76">
              <w:rPr>
                <w:rFonts w:cs="Calibri"/>
                <w:color w:val="000000"/>
              </w:rPr>
              <w:t>Procedure</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E6412"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$876.30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1BB4B"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$1,069.42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ADAEE"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-$193.12</w:t>
            </w:r>
          </w:p>
        </w:tc>
      </w:tr>
      <w:tr w:rsidR="00C856E8" w:rsidRPr="00791A76" w14:paraId="3FB6276D" w14:textId="77777777" w:rsidTr="00C856E8">
        <w:trPr>
          <w:cantSplit/>
          <w:trHeight w:val="255"/>
        </w:trPr>
        <w:tc>
          <w:tcPr>
            <w:tcW w:w="4531" w:type="dxa"/>
            <w:tcBorders>
              <w:right w:val="single" w:sz="4" w:space="0" w:color="auto"/>
            </w:tcBorders>
            <w:shd w:val="clear" w:color="auto" w:fill="auto"/>
            <w:noWrap/>
            <w:vAlign w:val="bottom"/>
            <w:hideMark/>
          </w:tcPr>
          <w:p w14:paraId="6D16511F" w14:textId="77777777" w:rsidR="00C856E8" w:rsidRPr="00791A76" w:rsidRDefault="00C856E8" w:rsidP="00C856E8">
            <w:pPr>
              <w:pStyle w:val="Tabletextcentred"/>
              <w:keepNext/>
              <w:jc w:val="left"/>
              <w:rPr>
                <w:rFonts w:cs="Calibri"/>
                <w:color w:val="000000"/>
              </w:rPr>
            </w:pPr>
            <w:r w:rsidRPr="00791A76">
              <w:rPr>
                <w:rFonts w:cs="Calibri"/>
                <w:color w:val="000000"/>
              </w:rPr>
              <w:t>Medication use peri-procedure</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3153D"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$69.32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28C1F"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$66.65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63544"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$2.67</w:t>
            </w:r>
          </w:p>
        </w:tc>
      </w:tr>
      <w:tr w:rsidR="00C856E8" w:rsidRPr="00791A76" w14:paraId="0B89FFCA" w14:textId="77777777" w:rsidTr="00C856E8">
        <w:trPr>
          <w:cantSplit/>
          <w:trHeight w:val="255"/>
        </w:trPr>
        <w:tc>
          <w:tcPr>
            <w:tcW w:w="4531" w:type="dxa"/>
            <w:tcBorders>
              <w:right w:val="single" w:sz="4" w:space="0" w:color="auto"/>
            </w:tcBorders>
            <w:shd w:val="clear" w:color="auto" w:fill="auto"/>
            <w:noWrap/>
            <w:vAlign w:val="bottom"/>
            <w:hideMark/>
          </w:tcPr>
          <w:p w14:paraId="4A136381" w14:textId="77777777" w:rsidR="00C856E8" w:rsidRPr="00791A76" w:rsidRDefault="00C856E8" w:rsidP="00C856E8">
            <w:pPr>
              <w:pStyle w:val="Tabletextcentred"/>
              <w:keepNext/>
              <w:jc w:val="left"/>
              <w:rPr>
                <w:rFonts w:cs="Calibri"/>
                <w:color w:val="000000"/>
              </w:rPr>
            </w:pPr>
            <w:r w:rsidRPr="00791A76">
              <w:rPr>
                <w:rFonts w:cs="Calibri"/>
                <w:color w:val="000000"/>
              </w:rPr>
              <w:t>Hospitalisation</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D1CB6" w14:textId="77777777" w:rsidR="00C856E8" w:rsidRPr="00AC114E" w:rsidRDefault="00C856E8" w:rsidP="00C856E8">
            <w:pPr>
              <w:pStyle w:val="Tabletextcentred"/>
              <w:keepNext/>
              <w:jc w:val="right"/>
              <w:rPr>
                <w:rFonts w:cs="Calibri"/>
                <w:color w:val="000000"/>
                <w:szCs w:val="20"/>
              </w:rPr>
            </w:pPr>
            <w:r w:rsidRPr="00AC114E">
              <w:rPr>
                <w:rFonts w:cs="Calibri"/>
                <w:color w:val="000000"/>
                <w:szCs w:val="20"/>
              </w:rPr>
              <w:t>$1,411.21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34B96" w14:textId="77777777" w:rsidR="00C856E8" w:rsidRPr="00AC114E" w:rsidRDefault="00C856E8" w:rsidP="00C856E8">
            <w:pPr>
              <w:pStyle w:val="Tabletextcentred"/>
              <w:keepNext/>
              <w:jc w:val="right"/>
              <w:rPr>
                <w:rFonts w:cs="Calibri"/>
                <w:color w:val="000000"/>
                <w:szCs w:val="20"/>
              </w:rPr>
            </w:pPr>
            <w:r w:rsidRPr="00AC114E">
              <w:rPr>
                <w:rFonts w:cs="Calibri"/>
                <w:color w:val="000000"/>
                <w:szCs w:val="20"/>
              </w:rPr>
              <w:t>$7,137.93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76853" w14:textId="77777777" w:rsidR="00C856E8" w:rsidRPr="00AC114E" w:rsidRDefault="00C856E8" w:rsidP="00C856E8">
            <w:pPr>
              <w:pStyle w:val="Tabletextcentred"/>
              <w:keepNext/>
              <w:jc w:val="right"/>
              <w:rPr>
                <w:rFonts w:cs="Calibri"/>
                <w:color w:val="000000"/>
                <w:szCs w:val="20"/>
              </w:rPr>
            </w:pPr>
            <w:r w:rsidRPr="00AC114E">
              <w:rPr>
                <w:rFonts w:cs="Calibri"/>
                <w:color w:val="000000"/>
                <w:szCs w:val="20"/>
              </w:rPr>
              <w:t>-$5,726.72</w:t>
            </w:r>
          </w:p>
        </w:tc>
      </w:tr>
      <w:tr w:rsidR="00C856E8" w:rsidRPr="00791A76" w14:paraId="70F7A2E3" w14:textId="77777777" w:rsidTr="00C856E8">
        <w:trPr>
          <w:cantSplit/>
          <w:trHeight w:val="255"/>
        </w:trPr>
        <w:tc>
          <w:tcPr>
            <w:tcW w:w="4531" w:type="dxa"/>
            <w:tcBorders>
              <w:right w:val="single" w:sz="4" w:space="0" w:color="auto"/>
            </w:tcBorders>
            <w:shd w:val="clear" w:color="auto" w:fill="auto"/>
            <w:noWrap/>
            <w:vAlign w:val="bottom"/>
            <w:hideMark/>
          </w:tcPr>
          <w:p w14:paraId="48268E5F" w14:textId="77777777" w:rsidR="00C856E8" w:rsidRPr="00F544A4" w:rsidRDefault="00C856E8" w:rsidP="00C856E8">
            <w:pPr>
              <w:pStyle w:val="Tabletextcentred"/>
              <w:keepNext/>
              <w:jc w:val="left"/>
              <w:rPr>
                <w:rFonts w:cs="Calibri"/>
                <w:b/>
                <w:bCs/>
                <w:iCs/>
                <w:color w:val="000000"/>
              </w:rPr>
            </w:pPr>
            <w:r w:rsidRPr="00F544A4">
              <w:rPr>
                <w:rFonts w:cs="Calibri"/>
                <w:b/>
                <w:bCs/>
                <w:iCs/>
                <w:color w:val="000000"/>
              </w:rPr>
              <w:t>Subtotal</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0AFE0" w14:textId="77777777" w:rsidR="00C856E8" w:rsidRPr="00AC114E" w:rsidRDefault="00C856E8" w:rsidP="00C856E8">
            <w:pPr>
              <w:pStyle w:val="Tabletextcentred"/>
              <w:keepNext/>
              <w:jc w:val="right"/>
              <w:rPr>
                <w:rFonts w:cs="Calibri"/>
                <w:b/>
                <w:bCs/>
                <w:iCs/>
                <w:color w:val="000000"/>
                <w:szCs w:val="20"/>
              </w:rPr>
            </w:pPr>
            <w:r w:rsidRPr="00AC114E">
              <w:rPr>
                <w:rFonts w:cs="Calibri"/>
                <w:b/>
                <w:bCs/>
                <w:i/>
                <w:iCs/>
                <w:color w:val="000000"/>
                <w:szCs w:val="20"/>
              </w:rPr>
              <w:t>$3,165.59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7E44B" w14:textId="77777777" w:rsidR="00C856E8" w:rsidRPr="00AC114E" w:rsidRDefault="00C856E8" w:rsidP="00C856E8">
            <w:pPr>
              <w:pStyle w:val="Tabletextcentred"/>
              <w:keepNext/>
              <w:jc w:val="right"/>
              <w:rPr>
                <w:rFonts w:cs="Calibri"/>
                <w:b/>
                <w:bCs/>
                <w:iCs/>
                <w:color w:val="000000"/>
                <w:szCs w:val="20"/>
              </w:rPr>
            </w:pPr>
            <w:r w:rsidRPr="00AC114E">
              <w:rPr>
                <w:rFonts w:cs="Calibri"/>
                <w:b/>
                <w:bCs/>
                <w:i/>
                <w:iCs/>
                <w:color w:val="000000"/>
                <w:szCs w:val="20"/>
              </w:rPr>
              <w:t>$9,223.11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DC266" w14:textId="77777777" w:rsidR="00C856E8" w:rsidRPr="00AC114E" w:rsidRDefault="00C856E8" w:rsidP="00C856E8">
            <w:pPr>
              <w:pStyle w:val="Tabletextcentred"/>
              <w:keepNext/>
              <w:jc w:val="right"/>
              <w:rPr>
                <w:rFonts w:cs="Calibri"/>
                <w:b/>
                <w:bCs/>
                <w:iCs/>
                <w:color w:val="000000"/>
                <w:szCs w:val="20"/>
              </w:rPr>
            </w:pPr>
            <w:r w:rsidRPr="00AC114E">
              <w:rPr>
                <w:rFonts w:cs="Calibri"/>
                <w:b/>
                <w:bCs/>
                <w:i/>
                <w:iCs/>
                <w:color w:val="000000"/>
                <w:szCs w:val="20"/>
              </w:rPr>
              <w:t>-$6,057.52</w:t>
            </w:r>
          </w:p>
        </w:tc>
      </w:tr>
      <w:tr w:rsidR="00C856E8" w:rsidRPr="00791A76" w14:paraId="54EFE514" w14:textId="77777777" w:rsidTr="00C856E8">
        <w:trPr>
          <w:cantSplit/>
          <w:trHeight w:val="255"/>
        </w:trPr>
        <w:tc>
          <w:tcPr>
            <w:tcW w:w="93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0C484" w14:textId="77777777" w:rsidR="00C856E8" w:rsidRPr="00AC114E" w:rsidRDefault="00C856E8" w:rsidP="00C856E8">
            <w:pPr>
              <w:pStyle w:val="Tabletextcentred"/>
              <w:keepNext/>
              <w:jc w:val="left"/>
              <w:rPr>
                <w:szCs w:val="20"/>
              </w:rPr>
            </w:pPr>
            <w:r w:rsidRPr="00AC114E">
              <w:rPr>
                <w:rFonts w:cs="Calibri"/>
                <w:b/>
                <w:bCs/>
                <w:color w:val="000000"/>
                <w:szCs w:val="20"/>
              </w:rPr>
              <w:t>Costs associated with monitoring or surveillance</w:t>
            </w:r>
          </w:p>
        </w:tc>
      </w:tr>
      <w:tr w:rsidR="00C856E8" w:rsidRPr="00791A76" w14:paraId="2CDD46DB" w14:textId="77777777" w:rsidTr="00C856E8">
        <w:trPr>
          <w:cantSplit/>
          <w:trHeight w:val="255"/>
        </w:trPr>
        <w:tc>
          <w:tcPr>
            <w:tcW w:w="4531" w:type="dxa"/>
            <w:tcBorders>
              <w:right w:val="single" w:sz="4" w:space="0" w:color="auto"/>
            </w:tcBorders>
            <w:shd w:val="clear" w:color="auto" w:fill="auto"/>
            <w:noWrap/>
            <w:vAlign w:val="bottom"/>
            <w:hideMark/>
          </w:tcPr>
          <w:p w14:paraId="1234040A" w14:textId="77777777" w:rsidR="00C856E8" w:rsidRPr="00791A76" w:rsidRDefault="00C856E8" w:rsidP="00C856E8">
            <w:pPr>
              <w:pStyle w:val="Tabletextcentred"/>
              <w:keepNext/>
              <w:jc w:val="left"/>
              <w:rPr>
                <w:rFonts w:cs="Calibri"/>
                <w:color w:val="000000"/>
              </w:rPr>
            </w:pPr>
            <w:r w:rsidRPr="00791A76">
              <w:rPr>
                <w:rFonts w:cs="Calibri"/>
                <w:color w:val="000000"/>
              </w:rPr>
              <w:t>Blood tests - renal function</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BA9F4"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$35.40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3E9EE"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$35.40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225B4"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$0.00</w:t>
            </w:r>
          </w:p>
        </w:tc>
      </w:tr>
      <w:tr w:rsidR="00C856E8" w:rsidRPr="00791A76" w14:paraId="2564995A" w14:textId="77777777" w:rsidTr="00C856E8">
        <w:trPr>
          <w:cantSplit/>
          <w:trHeight w:val="255"/>
        </w:trPr>
        <w:tc>
          <w:tcPr>
            <w:tcW w:w="4531" w:type="dxa"/>
            <w:tcBorders>
              <w:right w:val="single" w:sz="4" w:space="0" w:color="auto"/>
            </w:tcBorders>
            <w:shd w:val="clear" w:color="auto" w:fill="auto"/>
            <w:noWrap/>
            <w:vAlign w:val="bottom"/>
            <w:hideMark/>
          </w:tcPr>
          <w:p w14:paraId="3FF3F894" w14:textId="77777777" w:rsidR="00C856E8" w:rsidRPr="00791A76" w:rsidRDefault="00C856E8" w:rsidP="00C856E8">
            <w:pPr>
              <w:pStyle w:val="Tabletextcentred"/>
              <w:keepNext/>
              <w:jc w:val="left"/>
              <w:rPr>
                <w:rFonts w:cs="Calibri"/>
                <w:color w:val="000000"/>
              </w:rPr>
            </w:pPr>
            <w:r w:rsidRPr="00791A76">
              <w:rPr>
                <w:rFonts w:cs="Calibri"/>
                <w:color w:val="000000"/>
              </w:rPr>
              <w:t>Professional attendances (subsequent specialist)</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42860"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$90.00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D9FDA"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$90.00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A31C7"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$0.00</w:t>
            </w:r>
          </w:p>
        </w:tc>
      </w:tr>
      <w:tr w:rsidR="00C856E8" w:rsidRPr="00791A76" w14:paraId="57357340" w14:textId="77777777" w:rsidTr="00C856E8">
        <w:trPr>
          <w:cantSplit/>
          <w:trHeight w:val="255"/>
        </w:trPr>
        <w:tc>
          <w:tcPr>
            <w:tcW w:w="4531" w:type="dxa"/>
            <w:tcBorders>
              <w:right w:val="single" w:sz="4" w:space="0" w:color="auto"/>
            </w:tcBorders>
            <w:shd w:val="clear" w:color="auto" w:fill="auto"/>
            <w:noWrap/>
            <w:vAlign w:val="bottom"/>
            <w:hideMark/>
          </w:tcPr>
          <w:p w14:paraId="1F5BE76A" w14:textId="77777777" w:rsidR="00C856E8" w:rsidRPr="00791A76" w:rsidRDefault="00C856E8" w:rsidP="00C856E8">
            <w:pPr>
              <w:pStyle w:val="Tabletextcentred"/>
              <w:keepNext/>
              <w:jc w:val="left"/>
              <w:rPr>
                <w:rFonts w:cs="Calibri"/>
                <w:color w:val="000000"/>
              </w:rPr>
            </w:pPr>
            <w:r w:rsidRPr="00791A76">
              <w:rPr>
                <w:rFonts w:cs="Calibri"/>
                <w:color w:val="000000"/>
              </w:rPr>
              <w:t>Imaging - ultrasound</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99F8E"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$225.90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AE075"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1A220"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$225.90</w:t>
            </w:r>
          </w:p>
        </w:tc>
      </w:tr>
      <w:tr w:rsidR="00C856E8" w:rsidRPr="00791A76" w14:paraId="2443C06D" w14:textId="77777777" w:rsidTr="00C856E8">
        <w:trPr>
          <w:cantSplit/>
          <w:trHeight w:val="255"/>
        </w:trPr>
        <w:tc>
          <w:tcPr>
            <w:tcW w:w="4531" w:type="dxa"/>
            <w:tcBorders>
              <w:right w:val="single" w:sz="4" w:space="0" w:color="auto"/>
            </w:tcBorders>
            <w:shd w:val="clear" w:color="auto" w:fill="auto"/>
            <w:noWrap/>
            <w:vAlign w:val="bottom"/>
            <w:hideMark/>
          </w:tcPr>
          <w:p w14:paraId="38933EFC" w14:textId="77777777" w:rsidR="00C856E8" w:rsidRPr="00791A76" w:rsidRDefault="00C856E8" w:rsidP="00C856E8">
            <w:pPr>
              <w:pStyle w:val="Tabletextcentred"/>
              <w:keepNext/>
              <w:jc w:val="left"/>
              <w:rPr>
                <w:rFonts w:cs="Calibri"/>
                <w:color w:val="000000"/>
              </w:rPr>
            </w:pPr>
            <w:r w:rsidRPr="00791A76">
              <w:rPr>
                <w:rFonts w:cs="Calibri"/>
                <w:color w:val="000000"/>
              </w:rPr>
              <w:t xml:space="preserve">Imaging </w:t>
            </w:r>
            <w:r>
              <w:rPr>
                <w:rFonts w:cs="Calibri"/>
                <w:color w:val="000000"/>
              </w:rPr>
              <w:t>–</w:t>
            </w:r>
            <w:r w:rsidRPr="00791A76">
              <w:rPr>
                <w:rFonts w:cs="Calibri"/>
                <w:color w:val="000000"/>
              </w:rPr>
              <w:t xml:space="preserve"> CT</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41022"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$36.54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B9FDF"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1EB3" w14:textId="77777777" w:rsidR="00C856E8" w:rsidRPr="00AC114E" w:rsidRDefault="00C856E8" w:rsidP="00C856E8">
            <w:pPr>
              <w:pStyle w:val="Tabletextcentred"/>
              <w:keepNext/>
              <w:jc w:val="right"/>
              <w:rPr>
                <w:rFonts w:cs="Calibri"/>
                <w:i/>
                <w:color w:val="000000"/>
                <w:szCs w:val="20"/>
              </w:rPr>
            </w:pPr>
            <w:r w:rsidRPr="00AC114E">
              <w:rPr>
                <w:rFonts w:cs="Calibri"/>
                <w:i/>
                <w:color w:val="000000"/>
                <w:szCs w:val="20"/>
              </w:rPr>
              <w:t>$36.54</w:t>
            </w:r>
          </w:p>
        </w:tc>
      </w:tr>
      <w:tr w:rsidR="00C856E8" w:rsidRPr="00791A76" w14:paraId="3A29CA04" w14:textId="77777777" w:rsidTr="00C856E8">
        <w:trPr>
          <w:cantSplit/>
          <w:trHeight w:val="255"/>
        </w:trPr>
        <w:tc>
          <w:tcPr>
            <w:tcW w:w="4531" w:type="dxa"/>
            <w:tcBorders>
              <w:right w:val="single" w:sz="4" w:space="0" w:color="auto"/>
            </w:tcBorders>
            <w:shd w:val="clear" w:color="auto" w:fill="auto"/>
            <w:noWrap/>
            <w:vAlign w:val="bottom"/>
            <w:hideMark/>
          </w:tcPr>
          <w:p w14:paraId="5639D1C4" w14:textId="77777777" w:rsidR="00C856E8" w:rsidRPr="00F544A4" w:rsidRDefault="00C856E8" w:rsidP="00C856E8">
            <w:pPr>
              <w:pStyle w:val="Tabletextcentred"/>
              <w:keepNext/>
              <w:jc w:val="left"/>
              <w:rPr>
                <w:rFonts w:cs="Calibri"/>
                <w:b/>
                <w:bCs/>
                <w:iCs/>
                <w:color w:val="000000"/>
              </w:rPr>
            </w:pPr>
            <w:r w:rsidRPr="00F544A4">
              <w:rPr>
                <w:rFonts w:cs="Calibri"/>
                <w:b/>
                <w:bCs/>
                <w:iCs/>
                <w:color w:val="000000"/>
              </w:rPr>
              <w:t>Subtotal</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12094" w14:textId="77777777" w:rsidR="00C856E8" w:rsidRPr="00AC114E" w:rsidRDefault="00C856E8" w:rsidP="00C856E8">
            <w:pPr>
              <w:pStyle w:val="Tabletextcentred"/>
              <w:keepNext/>
              <w:jc w:val="right"/>
              <w:rPr>
                <w:rFonts w:cs="Calibri"/>
                <w:b/>
                <w:bCs/>
                <w:iCs/>
                <w:color w:val="000000"/>
                <w:szCs w:val="20"/>
              </w:rPr>
            </w:pPr>
            <w:r w:rsidRPr="00AC114E">
              <w:rPr>
                <w:rFonts w:cs="Calibri"/>
                <w:b/>
                <w:bCs/>
                <w:i/>
                <w:iCs/>
                <w:color w:val="000000"/>
                <w:szCs w:val="20"/>
              </w:rPr>
              <w:t>$387.84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B6F1D" w14:textId="77777777" w:rsidR="00C856E8" w:rsidRPr="00AC114E" w:rsidRDefault="00C856E8" w:rsidP="00C856E8">
            <w:pPr>
              <w:pStyle w:val="Tabletextcentred"/>
              <w:keepNext/>
              <w:jc w:val="right"/>
              <w:rPr>
                <w:rFonts w:cs="Calibri"/>
                <w:b/>
                <w:bCs/>
                <w:iCs/>
                <w:color w:val="000000"/>
                <w:szCs w:val="20"/>
              </w:rPr>
            </w:pPr>
            <w:r w:rsidRPr="00AC114E">
              <w:rPr>
                <w:rFonts w:cs="Calibri"/>
                <w:b/>
                <w:bCs/>
                <w:i/>
                <w:iCs/>
                <w:color w:val="000000"/>
                <w:szCs w:val="20"/>
              </w:rPr>
              <w:t>$125.40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2587F" w14:textId="77777777" w:rsidR="00C856E8" w:rsidRPr="00AC114E" w:rsidRDefault="00C856E8" w:rsidP="00C856E8">
            <w:pPr>
              <w:pStyle w:val="Tabletextcentred"/>
              <w:keepNext/>
              <w:jc w:val="right"/>
              <w:rPr>
                <w:rFonts w:cs="Calibri"/>
                <w:b/>
                <w:bCs/>
                <w:iCs/>
                <w:color w:val="000000"/>
                <w:szCs w:val="20"/>
              </w:rPr>
            </w:pPr>
            <w:r w:rsidRPr="00AC114E">
              <w:rPr>
                <w:rFonts w:cs="Calibri"/>
                <w:b/>
                <w:bCs/>
                <w:i/>
                <w:iCs/>
                <w:color w:val="000000"/>
                <w:szCs w:val="20"/>
              </w:rPr>
              <w:t>$262.44</w:t>
            </w:r>
          </w:p>
        </w:tc>
      </w:tr>
      <w:tr w:rsidR="00C856E8" w:rsidRPr="00791A76" w14:paraId="298E2974" w14:textId="77777777" w:rsidTr="00C856E8">
        <w:trPr>
          <w:cantSplit/>
          <w:trHeight w:val="255"/>
        </w:trPr>
        <w:tc>
          <w:tcPr>
            <w:tcW w:w="93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7D909" w14:textId="77777777" w:rsidR="00C856E8" w:rsidRPr="00AC114E" w:rsidRDefault="00C856E8" w:rsidP="00C856E8">
            <w:pPr>
              <w:pStyle w:val="Tabletextcentred"/>
              <w:keepNext/>
              <w:jc w:val="left"/>
              <w:rPr>
                <w:szCs w:val="20"/>
              </w:rPr>
            </w:pPr>
            <w:r w:rsidRPr="00AC114E">
              <w:rPr>
                <w:rFonts w:cs="Calibri"/>
                <w:b/>
                <w:bCs/>
                <w:color w:val="000000"/>
                <w:szCs w:val="20"/>
              </w:rPr>
              <w:t>Costs associated with the management of adverse events or complications</w:t>
            </w:r>
          </w:p>
        </w:tc>
      </w:tr>
      <w:tr w:rsidR="00C856E8" w:rsidRPr="00791A76" w14:paraId="1C98544C" w14:textId="77777777" w:rsidTr="00C856E8">
        <w:trPr>
          <w:cantSplit/>
          <w:trHeight w:val="255"/>
        </w:trPr>
        <w:tc>
          <w:tcPr>
            <w:tcW w:w="4531" w:type="dxa"/>
            <w:tcBorders>
              <w:right w:val="single" w:sz="4" w:space="0" w:color="auto"/>
            </w:tcBorders>
            <w:shd w:val="clear" w:color="auto" w:fill="auto"/>
            <w:noWrap/>
            <w:vAlign w:val="bottom"/>
            <w:hideMark/>
          </w:tcPr>
          <w:p w14:paraId="4DD9124B" w14:textId="77777777" w:rsidR="00C856E8" w:rsidRPr="00791A76" w:rsidRDefault="00C856E8" w:rsidP="00C856E8">
            <w:pPr>
              <w:pStyle w:val="Tabletextcentred"/>
              <w:keepNext/>
              <w:jc w:val="left"/>
              <w:rPr>
                <w:rFonts w:cs="Calibri"/>
                <w:color w:val="000000"/>
              </w:rPr>
            </w:pPr>
            <w:r w:rsidRPr="00791A76">
              <w:rPr>
                <w:rFonts w:cs="Calibri"/>
                <w:color w:val="000000"/>
              </w:rPr>
              <w:t>Move from laparoscopic to open (Nb. cost difference)</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FA835" w14:textId="77777777" w:rsidR="00C856E8" w:rsidRPr="00AC114E" w:rsidRDefault="00C856E8" w:rsidP="00C856E8">
            <w:pPr>
              <w:pStyle w:val="Tabletextcentred"/>
              <w:keepNext/>
              <w:jc w:val="right"/>
              <w:rPr>
                <w:rFonts w:cs="Calibri"/>
                <w:color w:val="000000"/>
                <w:szCs w:val="20"/>
              </w:rPr>
            </w:pPr>
            <w:r w:rsidRPr="00AC114E">
              <w:rPr>
                <w:rFonts w:cs="Calibri"/>
                <w:color w:val="000000"/>
                <w:szCs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4AE61" w14:textId="77777777" w:rsidR="00C856E8" w:rsidRPr="00AC114E" w:rsidRDefault="00C856E8" w:rsidP="00C856E8">
            <w:pPr>
              <w:pStyle w:val="Tabletextcentred"/>
              <w:keepNext/>
              <w:jc w:val="right"/>
              <w:rPr>
                <w:rFonts w:cs="Calibri"/>
                <w:color w:val="000000"/>
                <w:szCs w:val="20"/>
              </w:rPr>
            </w:pPr>
            <w:r w:rsidRPr="00AC114E">
              <w:rPr>
                <w:rFonts w:cs="Calibri"/>
                <w:color w:val="000000"/>
                <w:szCs w:val="20"/>
              </w:rPr>
              <w:t>$102.86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290C2" w14:textId="77777777" w:rsidR="00C856E8" w:rsidRPr="00AC114E" w:rsidRDefault="00C856E8" w:rsidP="00C856E8">
            <w:pPr>
              <w:pStyle w:val="Tabletextcentred"/>
              <w:keepNext/>
              <w:jc w:val="right"/>
              <w:rPr>
                <w:rFonts w:cs="Calibri"/>
                <w:color w:val="000000"/>
                <w:szCs w:val="20"/>
              </w:rPr>
            </w:pPr>
            <w:r w:rsidRPr="00AC114E">
              <w:rPr>
                <w:rFonts w:cs="Calibri"/>
                <w:color w:val="000000"/>
                <w:szCs w:val="20"/>
              </w:rPr>
              <w:t>-$102.86</w:t>
            </w:r>
          </w:p>
        </w:tc>
      </w:tr>
      <w:tr w:rsidR="00C856E8" w:rsidRPr="00791A76" w14:paraId="3278EA21" w14:textId="77777777" w:rsidTr="00C856E8">
        <w:trPr>
          <w:cantSplit/>
          <w:trHeight w:val="255"/>
        </w:trPr>
        <w:tc>
          <w:tcPr>
            <w:tcW w:w="4531" w:type="dxa"/>
            <w:tcBorders>
              <w:right w:val="single" w:sz="4" w:space="0" w:color="auto"/>
            </w:tcBorders>
            <w:shd w:val="clear" w:color="auto" w:fill="auto"/>
            <w:noWrap/>
            <w:vAlign w:val="bottom"/>
            <w:hideMark/>
          </w:tcPr>
          <w:p w14:paraId="1AE697B7" w14:textId="77777777" w:rsidR="00C856E8" w:rsidRPr="00791A76" w:rsidRDefault="00C856E8" w:rsidP="00C856E8">
            <w:pPr>
              <w:pStyle w:val="Tabletextcentred"/>
              <w:keepNext/>
              <w:jc w:val="left"/>
              <w:rPr>
                <w:rFonts w:cs="Calibri"/>
                <w:color w:val="000000"/>
              </w:rPr>
            </w:pPr>
            <w:r w:rsidRPr="00791A76">
              <w:rPr>
                <w:rFonts w:cs="Calibri"/>
                <w:color w:val="000000"/>
              </w:rPr>
              <w:t>Non-urological (within 30 days)</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7127C" w14:textId="77777777" w:rsidR="00C856E8" w:rsidRPr="00AC114E" w:rsidRDefault="00C856E8" w:rsidP="00C856E8">
            <w:pPr>
              <w:pStyle w:val="Tabletextcentred"/>
              <w:keepNext/>
              <w:jc w:val="right"/>
              <w:rPr>
                <w:rFonts w:cs="Calibri"/>
                <w:color w:val="000000"/>
                <w:szCs w:val="20"/>
              </w:rPr>
            </w:pPr>
            <w:r w:rsidRPr="00AC114E">
              <w:rPr>
                <w:rFonts w:cs="Calibri"/>
                <w:color w:val="000000"/>
                <w:szCs w:val="20"/>
              </w:rPr>
              <w:t>$124.80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CF210" w14:textId="77777777" w:rsidR="00C856E8" w:rsidRPr="00AC114E" w:rsidRDefault="00C856E8" w:rsidP="00C856E8">
            <w:pPr>
              <w:pStyle w:val="Tabletextcentred"/>
              <w:keepNext/>
              <w:jc w:val="right"/>
              <w:rPr>
                <w:rFonts w:cs="Calibri"/>
                <w:color w:val="000000"/>
                <w:szCs w:val="20"/>
              </w:rPr>
            </w:pPr>
            <w:r w:rsidRPr="00AC114E">
              <w:rPr>
                <w:rFonts w:cs="Calibri"/>
                <w:color w:val="000000"/>
                <w:szCs w:val="20"/>
              </w:rPr>
              <w:t>$270.00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F59E8" w14:textId="77777777" w:rsidR="00C856E8" w:rsidRPr="00AC114E" w:rsidRDefault="00C856E8" w:rsidP="00C856E8">
            <w:pPr>
              <w:pStyle w:val="Tabletextcentred"/>
              <w:keepNext/>
              <w:jc w:val="right"/>
              <w:rPr>
                <w:rFonts w:cs="Calibri"/>
                <w:color w:val="000000"/>
                <w:szCs w:val="20"/>
              </w:rPr>
            </w:pPr>
            <w:r w:rsidRPr="00AC114E">
              <w:rPr>
                <w:rFonts w:cs="Calibri"/>
                <w:color w:val="000000"/>
                <w:szCs w:val="20"/>
              </w:rPr>
              <w:t>-$145.20</w:t>
            </w:r>
          </w:p>
        </w:tc>
      </w:tr>
      <w:tr w:rsidR="00C856E8" w:rsidRPr="00791A76" w14:paraId="18026FEF" w14:textId="77777777" w:rsidTr="00C856E8">
        <w:trPr>
          <w:cantSplit/>
          <w:trHeight w:val="255"/>
        </w:trPr>
        <w:tc>
          <w:tcPr>
            <w:tcW w:w="4531" w:type="dxa"/>
            <w:tcBorders>
              <w:right w:val="single" w:sz="4" w:space="0" w:color="auto"/>
            </w:tcBorders>
            <w:shd w:val="clear" w:color="auto" w:fill="auto"/>
            <w:noWrap/>
            <w:vAlign w:val="bottom"/>
            <w:hideMark/>
          </w:tcPr>
          <w:p w14:paraId="63BACD73" w14:textId="77777777" w:rsidR="00C856E8" w:rsidRPr="00791A76" w:rsidRDefault="00C856E8" w:rsidP="00C856E8">
            <w:pPr>
              <w:pStyle w:val="Tabletextcentred"/>
              <w:keepNext/>
              <w:jc w:val="left"/>
              <w:rPr>
                <w:rFonts w:cs="Calibri"/>
                <w:color w:val="000000"/>
              </w:rPr>
            </w:pPr>
            <w:r w:rsidRPr="00791A76">
              <w:rPr>
                <w:rFonts w:cs="Calibri"/>
                <w:color w:val="000000"/>
              </w:rPr>
              <w:t>Acute renal failure (within 30 days)</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8B056" w14:textId="77777777" w:rsidR="00C856E8" w:rsidRPr="00AC114E" w:rsidRDefault="00C856E8" w:rsidP="00C856E8">
            <w:pPr>
              <w:pStyle w:val="Tabletextcentred"/>
              <w:keepNext/>
              <w:jc w:val="right"/>
              <w:rPr>
                <w:rFonts w:cs="Calibri"/>
                <w:color w:val="000000"/>
                <w:szCs w:val="20"/>
              </w:rPr>
            </w:pPr>
            <w:r w:rsidRPr="00AC114E">
              <w:rPr>
                <w:rFonts w:cs="Calibri"/>
                <w:color w:val="000000"/>
                <w:szCs w:val="20"/>
              </w:rPr>
              <w:t>$300.01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19AE0" w14:textId="77777777" w:rsidR="00C856E8" w:rsidRPr="00AC114E" w:rsidRDefault="00C856E8" w:rsidP="00C856E8">
            <w:pPr>
              <w:pStyle w:val="Tabletextcentred"/>
              <w:keepNext/>
              <w:jc w:val="right"/>
              <w:rPr>
                <w:rFonts w:cs="Calibri"/>
                <w:color w:val="000000"/>
                <w:szCs w:val="20"/>
              </w:rPr>
            </w:pPr>
            <w:r w:rsidRPr="00AC114E">
              <w:rPr>
                <w:rFonts w:cs="Calibri"/>
                <w:color w:val="000000"/>
                <w:szCs w:val="20"/>
              </w:rPr>
              <w:t>$576.94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F4FBA" w14:textId="77777777" w:rsidR="00C856E8" w:rsidRPr="00AC114E" w:rsidRDefault="00C856E8" w:rsidP="00C856E8">
            <w:pPr>
              <w:pStyle w:val="Tabletextcentred"/>
              <w:keepNext/>
              <w:jc w:val="right"/>
              <w:rPr>
                <w:rFonts w:cs="Calibri"/>
                <w:color w:val="000000"/>
                <w:szCs w:val="20"/>
              </w:rPr>
            </w:pPr>
            <w:r w:rsidRPr="00AC114E">
              <w:rPr>
                <w:rFonts w:cs="Calibri"/>
                <w:color w:val="000000"/>
                <w:szCs w:val="20"/>
              </w:rPr>
              <w:t>-$276.93</w:t>
            </w:r>
          </w:p>
        </w:tc>
      </w:tr>
      <w:tr w:rsidR="00C856E8" w:rsidRPr="00791A76" w14:paraId="025BB6D2" w14:textId="77777777" w:rsidTr="00C856E8">
        <w:trPr>
          <w:cantSplit/>
          <w:trHeight w:val="255"/>
        </w:trPr>
        <w:tc>
          <w:tcPr>
            <w:tcW w:w="4531" w:type="dxa"/>
            <w:tcBorders>
              <w:right w:val="single" w:sz="4" w:space="0" w:color="auto"/>
            </w:tcBorders>
            <w:shd w:val="clear" w:color="auto" w:fill="auto"/>
            <w:noWrap/>
            <w:vAlign w:val="bottom"/>
            <w:hideMark/>
          </w:tcPr>
          <w:p w14:paraId="308CE3BD" w14:textId="77777777" w:rsidR="00C856E8" w:rsidRPr="00791A76" w:rsidRDefault="00C856E8" w:rsidP="00C856E8">
            <w:pPr>
              <w:pStyle w:val="Tabletextcentred"/>
              <w:keepNext/>
              <w:jc w:val="left"/>
              <w:rPr>
                <w:rFonts w:cs="Calibri"/>
                <w:color w:val="000000"/>
              </w:rPr>
            </w:pPr>
            <w:r w:rsidRPr="00791A76">
              <w:rPr>
                <w:rFonts w:cs="Calibri"/>
                <w:color w:val="000000"/>
              </w:rPr>
              <w:t>Renal insufficiency (31-365 days)</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9A12E" w14:textId="77777777" w:rsidR="00C856E8" w:rsidRPr="00AC114E" w:rsidRDefault="00C856E8" w:rsidP="00C856E8">
            <w:pPr>
              <w:pStyle w:val="Tabletextcentred"/>
              <w:keepNext/>
              <w:jc w:val="right"/>
              <w:rPr>
                <w:rFonts w:cs="Calibri"/>
                <w:color w:val="000000"/>
                <w:szCs w:val="20"/>
              </w:rPr>
            </w:pPr>
            <w:r w:rsidRPr="00AC114E">
              <w:rPr>
                <w:rFonts w:cs="Calibri"/>
                <w:color w:val="000000"/>
                <w:szCs w:val="20"/>
              </w:rPr>
              <w:t>$673.10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91B2F" w14:textId="77777777" w:rsidR="00C856E8" w:rsidRPr="00AC114E" w:rsidRDefault="00C856E8" w:rsidP="00C856E8">
            <w:pPr>
              <w:pStyle w:val="Tabletextcentred"/>
              <w:keepNext/>
              <w:jc w:val="right"/>
              <w:rPr>
                <w:rFonts w:cs="Calibri"/>
                <w:color w:val="000000"/>
                <w:szCs w:val="20"/>
              </w:rPr>
            </w:pPr>
            <w:r w:rsidRPr="00AC114E">
              <w:rPr>
                <w:rFonts w:cs="Calibri"/>
                <w:color w:val="000000"/>
                <w:szCs w:val="20"/>
              </w:rPr>
              <w:t>$1,009.65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499C4" w14:textId="77777777" w:rsidR="00C856E8" w:rsidRPr="00AC114E" w:rsidRDefault="00C856E8" w:rsidP="00C856E8">
            <w:pPr>
              <w:pStyle w:val="Tabletextcentred"/>
              <w:keepNext/>
              <w:jc w:val="right"/>
              <w:rPr>
                <w:rFonts w:cs="Calibri"/>
                <w:color w:val="000000"/>
                <w:szCs w:val="20"/>
              </w:rPr>
            </w:pPr>
            <w:r w:rsidRPr="00AC114E">
              <w:rPr>
                <w:rFonts w:cs="Calibri"/>
                <w:color w:val="000000"/>
                <w:szCs w:val="20"/>
              </w:rPr>
              <w:t>-$336.55</w:t>
            </w:r>
          </w:p>
        </w:tc>
      </w:tr>
      <w:tr w:rsidR="00C856E8" w:rsidRPr="00791A76" w14:paraId="60BFC0A0" w14:textId="77777777" w:rsidTr="00C856E8">
        <w:trPr>
          <w:cantSplit/>
          <w:trHeight w:val="255"/>
        </w:trPr>
        <w:tc>
          <w:tcPr>
            <w:tcW w:w="4531" w:type="dxa"/>
            <w:tcBorders>
              <w:right w:val="single" w:sz="4" w:space="0" w:color="auto"/>
            </w:tcBorders>
            <w:shd w:val="clear" w:color="auto" w:fill="auto"/>
            <w:noWrap/>
            <w:vAlign w:val="bottom"/>
            <w:hideMark/>
          </w:tcPr>
          <w:p w14:paraId="138135C3" w14:textId="77777777" w:rsidR="00C856E8" w:rsidRPr="00F544A4" w:rsidRDefault="00C856E8" w:rsidP="00C856E8">
            <w:pPr>
              <w:pStyle w:val="Tabletextcentred"/>
              <w:keepNext/>
              <w:jc w:val="left"/>
              <w:rPr>
                <w:rFonts w:cs="Calibri"/>
                <w:b/>
                <w:bCs/>
                <w:iCs/>
                <w:color w:val="000000"/>
              </w:rPr>
            </w:pPr>
            <w:r w:rsidRPr="00F544A4">
              <w:rPr>
                <w:rFonts w:cs="Calibri"/>
                <w:b/>
                <w:bCs/>
                <w:iCs/>
                <w:color w:val="000000"/>
              </w:rPr>
              <w:t>Subtotal</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83868" w14:textId="77777777" w:rsidR="00C856E8" w:rsidRPr="00AC114E" w:rsidRDefault="00C856E8" w:rsidP="00C856E8">
            <w:pPr>
              <w:pStyle w:val="Tabletextcentred"/>
              <w:keepNext/>
              <w:jc w:val="right"/>
              <w:rPr>
                <w:rFonts w:cs="Calibri"/>
                <w:b/>
                <w:bCs/>
                <w:iCs/>
                <w:color w:val="000000"/>
                <w:szCs w:val="20"/>
              </w:rPr>
            </w:pPr>
            <w:r w:rsidRPr="00AC114E">
              <w:rPr>
                <w:rFonts w:cs="Calibri"/>
                <w:b/>
                <w:bCs/>
                <w:i/>
                <w:iCs/>
                <w:color w:val="000000"/>
                <w:szCs w:val="20"/>
              </w:rPr>
              <w:t>$1,097.91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8D1F5" w14:textId="77777777" w:rsidR="00C856E8" w:rsidRPr="00AC114E" w:rsidRDefault="00C856E8" w:rsidP="00C856E8">
            <w:pPr>
              <w:pStyle w:val="Tabletextcentred"/>
              <w:keepNext/>
              <w:jc w:val="right"/>
              <w:rPr>
                <w:rFonts w:cs="Calibri"/>
                <w:b/>
                <w:bCs/>
                <w:iCs/>
                <w:color w:val="000000"/>
                <w:szCs w:val="20"/>
              </w:rPr>
            </w:pPr>
            <w:r w:rsidRPr="00AC114E">
              <w:rPr>
                <w:rFonts w:cs="Calibri"/>
                <w:b/>
                <w:bCs/>
                <w:i/>
                <w:iCs/>
                <w:color w:val="000000"/>
                <w:szCs w:val="20"/>
              </w:rPr>
              <w:t>$1,959.45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B9E96" w14:textId="77777777" w:rsidR="00C856E8" w:rsidRPr="00AC114E" w:rsidRDefault="00C856E8" w:rsidP="00C856E8">
            <w:pPr>
              <w:pStyle w:val="Tabletextcentred"/>
              <w:keepNext/>
              <w:jc w:val="right"/>
              <w:rPr>
                <w:rFonts w:cs="Calibri"/>
                <w:b/>
                <w:bCs/>
                <w:iCs/>
                <w:color w:val="000000"/>
                <w:szCs w:val="20"/>
              </w:rPr>
            </w:pPr>
            <w:r w:rsidRPr="00AC114E">
              <w:rPr>
                <w:rFonts w:cs="Calibri"/>
                <w:b/>
                <w:bCs/>
                <w:i/>
                <w:iCs/>
                <w:color w:val="000000"/>
                <w:szCs w:val="20"/>
              </w:rPr>
              <w:t>-$861.54</w:t>
            </w:r>
          </w:p>
        </w:tc>
      </w:tr>
      <w:tr w:rsidR="00C856E8" w:rsidRPr="00172D1C" w14:paraId="3805D5D6" w14:textId="77777777" w:rsidTr="00C856E8">
        <w:trPr>
          <w:cantSplit/>
          <w:trHeight w:val="255"/>
        </w:trPr>
        <w:tc>
          <w:tcPr>
            <w:tcW w:w="4531" w:type="dxa"/>
            <w:tcBorders>
              <w:right w:val="single" w:sz="4" w:space="0" w:color="auto"/>
            </w:tcBorders>
            <w:shd w:val="clear" w:color="auto" w:fill="auto"/>
            <w:noWrap/>
            <w:vAlign w:val="bottom"/>
            <w:hideMark/>
          </w:tcPr>
          <w:p w14:paraId="374D95B0" w14:textId="77777777" w:rsidR="00C856E8" w:rsidRPr="00791A76" w:rsidRDefault="00C856E8" w:rsidP="00C856E8">
            <w:pPr>
              <w:pStyle w:val="Tabletextcentred"/>
              <w:keepNext/>
              <w:jc w:val="left"/>
              <w:rPr>
                <w:rFonts w:cs="Calibri"/>
                <w:b/>
                <w:bCs/>
                <w:color w:val="000000"/>
              </w:rPr>
            </w:pPr>
            <w:r w:rsidRPr="00791A76">
              <w:rPr>
                <w:rFonts w:cs="Calibri"/>
                <w:b/>
                <w:bCs/>
                <w:color w:val="000000"/>
              </w:rPr>
              <w:t>Total Health care cost to the Australian Government</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4596E" w14:textId="77777777" w:rsidR="00C856E8" w:rsidRPr="00AC114E" w:rsidRDefault="00C856E8" w:rsidP="00C856E8">
            <w:pPr>
              <w:pStyle w:val="Tabletextcentred"/>
              <w:keepNext/>
              <w:jc w:val="right"/>
              <w:rPr>
                <w:rFonts w:cs="Calibri"/>
                <w:b/>
                <w:bCs/>
                <w:color w:val="000000"/>
                <w:szCs w:val="20"/>
              </w:rPr>
            </w:pPr>
            <w:r w:rsidRPr="00AC114E">
              <w:rPr>
                <w:rFonts w:cs="Calibri"/>
                <w:b/>
                <w:bCs/>
                <w:color w:val="000000"/>
                <w:szCs w:val="20"/>
              </w:rPr>
              <w:t>$4,651.34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7984B" w14:textId="77777777" w:rsidR="00C856E8" w:rsidRPr="00AC114E" w:rsidRDefault="00C856E8" w:rsidP="00C856E8">
            <w:pPr>
              <w:pStyle w:val="Tabletextcentred"/>
              <w:keepNext/>
              <w:jc w:val="right"/>
              <w:rPr>
                <w:rFonts w:cs="Calibri"/>
                <w:b/>
                <w:bCs/>
                <w:color w:val="000000"/>
                <w:szCs w:val="20"/>
              </w:rPr>
            </w:pPr>
            <w:r w:rsidRPr="00AC114E">
              <w:rPr>
                <w:rFonts w:cs="Calibri"/>
                <w:b/>
                <w:bCs/>
                <w:color w:val="000000"/>
                <w:szCs w:val="20"/>
              </w:rPr>
              <w:t>$11,307.96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A4C16" w14:textId="77777777" w:rsidR="00C856E8" w:rsidRPr="00AC114E" w:rsidRDefault="00C856E8" w:rsidP="00C856E8">
            <w:pPr>
              <w:pStyle w:val="Tabletextcentred"/>
              <w:keepNext/>
              <w:jc w:val="right"/>
              <w:rPr>
                <w:rFonts w:cs="Calibri"/>
                <w:b/>
                <w:bCs/>
                <w:color w:val="000000"/>
                <w:szCs w:val="20"/>
              </w:rPr>
            </w:pPr>
            <w:r w:rsidRPr="00AC114E">
              <w:rPr>
                <w:rFonts w:cs="Calibri"/>
                <w:b/>
                <w:bCs/>
                <w:color w:val="000000"/>
                <w:szCs w:val="20"/>
              </w:rPr>
              <w:t>-$6,656.62</w:t>
            </w:r>
          </w:p>
        </w:tc>
      </w:tr>
    </w:tbl>
    <w:p w14:paraId="5CCF6EEB" w14:textId="606D6044" w:rsidR="00C856E8" w:rsidRDefault="00C856E8" w:rsidP="00C856E8">
      <w:pPr>
        <w:pStyle w:val="Tablenotes1"/>
      </w:pPr>
      <w:r>
        <w:t xml:space="preserve">Source: Table 91, p179 of the </w:t>
      </w:r>
      <w:r w:rsidR="009842FE">
        <w:t>Commentary</w:t>
      </w:r>
      <w:r>
        <w:t>.</w:t>
      </w:r>
      <w:r w:rsidRPr="00695EC0">
        <w:rPr>
          <w:i/>
        </w:rPr>
        <w:t xml:space="preserve"> Base case respecified to include updated MBS and PBS costs.</w:t>
      </w:r>
      <w:r>
        <w:br/>
        <w:t xml:space="preserve">Abbreviations: </w:t>
      </w:r>
      <w:r w:rsidRPr="00143078">
        <w:t>CA = cryoablation, RN = radical nephrectomy, * a number less than zero means cryotherapy is less expensive than radical nephrectomy</w:t>
      </w:r>
    </w:p>
    <w:p w14:paraId="61B48FBD" w14:textId="7E89E522" w:rsidR="00E72A12" w:rsidRPr="00800956" w:rsidRDefault="00C856E8" w:rsidP="00800956">
      <w:pPr>
        <w:spacing w:after="240"/>
        <w:rPr>
          <w:i/>
        </w:rPr>
      </w:pPr>
      <w:r>
        <w:t xml:space="preserve">The ADAR presented univariate sensitivity analyses on all variables using plausible extremes and multivariate sensitivity analyses combining variables from the univariate analyses. </w:t>
      </w:r>
      <w:r w:rsidRPr="000233C2">
        <w:t>As noted for the cost utility analysis versus AS/DT, the AR-DRGs selected for treatment of T1a RCC (</w:t>
      </w:r>
      <w:r w:rsidRPr="000233C2">
        <w:rPr>
          <w:rFonts w:cs="Calibri"/>
        </w:rPr>
        <w:t>≤</w:t>
      </w:r>
      <w:r w:rsidRPr="000233C2">
        <w:t xml:space="preserve">4cm) are inappropriate and favour CA. The impact of applying alternate DRGs </w:t>
      </w:r>
      <w:proofErr w:type="gramStart"/>
      <w:r w:rsidRPr="000233C2">
        <w:t>was explored</w:t>
      </w:r>
      <w:proofErr w:type="gramEnd"/>
      <w:r w:rsidRPr="000233C2">
        <w:t xml:space="preserve"> in sensitivity analysis and has a substantial impact on the result</w:t>
      </w:r>
      <w:r>
        <w:t xml:space="preserve"> (</w:t>
      </w:r>
      <w:r>
        <w:fldChar w:fldCharType="begin"/>
      </w:r>
      <w:r>
        <w:instrText xml:space="preserve"> REF _Ref51095272 \h </w:instrText>
      </w:r>
      <w:r>
        <w:fldChar w:fldCharType="separate"/>
      </w:r>
      <w:r>
        <w:t xml:space="preserve">Table </w:t>
      </w:r>
      <w:r>
        <w:rPr>
          <w:noProof/>
        </w:rPr>
        <w:t>15</w:t>
      </w:r>
      <w:r>
        <w:fldChar w:fldCharType="end"/>
      </w:r>
      <w:r>
        <w:t>)</w:t>
      </w:r>
      <w:r w:rsidRPr="000233C2">
        <w:t xml:space="preserve">. </w:t>
      </w:r>
      <w:r>
        <w:t xml:space="preserve">The </w:t>
      </w:r>
      <w:r w:rsidR="009842FE">
        <w:t>Commentary</w:t>
      </w:r>
      <w:r>
        <w:t xml:space="preserve"> therefore considered that the </w:t>
      </w:r>
      <w:r w:rsidRPr="000233C2">
        <w:t>cost savings presented do not accurately represent the costs of listing CA.</w:t>
      </w:r>
      <w:bookmarkStart w:id="40" w:name="_Ref51095272"/>
      <w:r w:rsidR="00E72A12">
        <w:br w:type="page"/>
      </w:r>
    </w:p>
    <w:p w14:paraId="4B769B37" w14:textId="2FD03601" w:rsidR="00C856E8" w:rsidRPr="003A7EA2" w:rsidRDefault="00C856E8" w:rsidP="003A7EA2">
      <w:pPr>
        <w:rPr>
          <w:rFonts w:ascii="Arial Narrow" w:hAnsi="Arial Narrow"/>
          <w:b/>
          <w:sz w:val="20"/>
        </w:rPr>
      </w:pPr>
      <w:r w:rsidRPr="003A7EA2">
        <w:rPr>
          <w:rFonts w:ascii="Arial Narrow" w:hAnsi="Arial Narrow"/>
          <w:b/>
          <w:sz w:val="20"/>
        </w:rPr>
        <w:t xml:space="preserve">Table </w:t>
      </w:r>
      <w:r w:rsidR="00C736E0" w:rsidRPr="003A7EA2">
        <w:rPr>
          <w:rFonts w:ascii="Arial Narrow" w:hAnsi="Arial Narrow"/>
          <w:b/>
          <w:sz w:val="20"/>
        </w:rPr>
        <w:fldChar w:fldCharType="begin"/>
      </w:r>
      <w:r w:rsidR="00C736E0" w:rsidRPr="003A7EA2">
        <w:rPr>
          <w:rFonts w:ascii="Arial Narrow" w:hAnsi="Arial Narrow"/>
          <w:b/>
          <w:sz w:val="20"/>
        </w:rPr>
        <w:instrText xml:space="preserve"> SEQ Table \* ARABIC </w:instrText>
      </w:r>
      <w:r w:rsidR="00C736E0" w:rsidRPr="003A7EA2">
        <w:rPr>
          <w:rFonts w:ascii="Arial Narrow" w:hAnsi="Arial Narrow"/>
          <w:b/>
          <w:sz w:val="20"/>
        </w:rPr>
        <w:fldChar w:fldCharType="separate"/>
      </w:r>
      <w:r w:rsidRPr="003A7EA2">
        <w:rPr>
          <w:rFonts w:ascii="Arial Narrow" w:hAnsi="Arial Narrow"/>
          <w:b/>
          <w:sz w:val="20"/>
        </w:rPr>
        <w:t>15</w:t>
      </w:r>
      <w:r w:rsidR="00C736E0" w:rsidRPr="003A7EA2">
        <w:rPr>
          <w:rFonts w:ascii="Arial Narrow" w:hAnsi="Arial Narrow"/>
          <w:b/>
          <w:sz w:val="20"/>
        </w:rPr>
        <w:fldChar w:fldCharType="end"/>
      </w:r>
      <w:bookmarkEnd w:id="40"/>
      <w:r w:rsidR="004F4A0A" w:rsidRPr="003A7EA2">
        <w:rPr>
          <w:rFonts w:ascii="Arial Narrow" w:hAnsi="Arial Narrow"/>
          <w:b/>
          <w:sz w:val="20"/>
        </w:rPr>
        <w:tab/>
      </w:r>
      <w:r w:rsidRPr="003A7EA2">
        <w:rPr>
          <w:rFonts w:ascii="Arial Narrow" w:hAnsi="Arial Narrow"/>
          <w:b/>
          <w:sz w:val="20"/>
        </w:rPr>
        <w:t>Sensitivity analysis of the cost analysis - respecified base case</w:t>
      </w:r>
    </w:p>
    <w:tbl>
      <w:tblPr>
        <w:tblStyle w:val="TableGrid"/>
        <w:tblW w:w="0" w:type="auto"/>
        <w:tblLook w:val="04A0" w:firstRow="1" w:lastRow="0" w:firstColumn="1" w:lastColumn="0" w:noHBand="0" w:noVBand="1"/>
        <w:tblCaption w:val="Table 15 Sensitivity analysis of the cost analysis - respecified base case"/>
      </w:tblPr>
      <w:tblGrid>
        <w:gridCol w:w="4531"/>
        <w:gridCol w:w="1367"/>
        <w:gridCol w:w="1605"/>
        <w:gridCol w:w="1513"/>
      </w:tblGrid>
      <w:tr w:rsidR="00C856E8" w:rsidRPr="00E4768E" w14:paraId="0A02CED8" w14:textId="77777777" w:rsidTr="00C736E0">
        <w:trPr>
          <w:trHeight w:val="288"/>
          <w:tblHeader/>
        </w:trPr>
        <w:tc>
          <w:tcPr>
            <w:tcW w:w="4531" w:type="dxa"/>
            <w:noWrap/>
            <w:vAlign w:val="center"/>
            <w:hideMark/>
          </w:tcPr>
          <w:p w14:paraId="202D6F4A" w14:textId="77777777" w:rsidR="00C856E8" w:rsidRPr="00E4768E" w:rsidRDefault="00C856E8" w:rsidP="00C856E8">
            <w:pPr>
              <w:pStyle w:val="Tabletextboldleft"/>
            </w:pPr>
            <w:r>
              <w:t>A</w:t>
            </w:r>
            <w:r w:rsidRPr="00E4768E">
              <w:t>nalyses</w:t>
            </w:r>
          </w:p>
        </w:tc>
        <w:tc>
          <w:tcPr>
            <w:tcW w:w="1367" w:type="dxa"/>
            <w:noWrap/>
            <w:vAlign w:val="center"/>
            <w:hideMark/>
          </w:tcPr>
          <w:p w14:paraId="0A13295A" w14:textId="77777777" w:rsidR="00C856E8" w:rsidRPr="00E4768E" w:rsidRDefault="00C856E8" w:rsidP="00C856E8">
            <w:pPr>
              <w:pStyle w:val="Tabletextboldleft"/>
            </w:pPr>
            <w:r>
              <w:rPr>
                <w:rFonts w:cs="Calibri"/>
                <w:color w:val="000000"/>
              </w:rPr>
              <w:t>Cryoablation</w:t>
            </w:r>
          </w:p>
        </w:tc>
        <w:tc>
          <w:tcPr>
            <w:tcW w:w="1605" w:type="dxa"/>
            <w:noWrap/>
            <w:vAlign w:val="center"/>
            <w:hideMark/>
          </w:tcPr>
          <w:p w14:paraId="1C260F67" w14:textId="77777777" w:rsidR="00C856E8" w:rsidRPr="00E4768E" w:rsidRDefault="00C856E8" w:rsidP="00C856E8">
            <w:pPr>
              <w:pStyle w:val="Tabletextboldleft"/>
            </w:pPr>
            <w:r>
              <w:rPr>
                <w:rFonts w:cs="Calibri"/>
                <w:color w:val="000000"/>
              </w:rPr>
              <w:t>Radical Nephrectomy</w:t>
            </w:r>
          </w:p>
        </w:tc>
        <w:tc>
          <w:tcPr>
            <w:tcW w:w="1513" w:type="dxa"/>
            <w:noWrap/>
            <w:vAlign w:val="center"/>
            <w:hideMark/>
          </w:tcPr>
          <w:p w14:paraId="7B29B49C" w14:textId="77777777" w:rsidR="00C856E8" w:rsidRPr="00E4768E" w:rsidRDefault="00C856E8" w:rsidP="00C856E8">
            <w:pPr>
              <w:pStyle w:val="Tabletextboldleft"/>
            </w:pPr>
            <w:r>
              <w:rPr>
                <w:rFonts w:cs="Calibri"/>
                <w:color w:val="000000"/>
              </w:rPr>
              <w:t>Difference</w:t>
            </w:r>
          </w:p>
        </w:tc>
      </w:tr>
      <w:tr w:rsidR="00C856E8" w:rsidRPr="00E4768E" w14:paraId="77E17AEF" w14:textId="77777777" w:rsidTr="00C856E8">
        <w:trPr>
          <w:trHeight w:val="288"/>
        </w:trPr>
        <w:tc>
          <w:tcPr>
            <w:tcW w:w="4531" w:type="dxa"/>
            <w:noWrap/>
            <w:hideMark/>
          </w:tcPr>
          <w:p w14:paraId="28C5E5D9" w14:textId="77777777" w:rsidR="00C856E8" w:rsidRPr="00E4768E" w:rsidRDefault="00C856E8" w:rsidP="00C856E8">
            <w:pPr>
              <w:pStyle w:val="Tabletextboldleft"/>
              <w:rPr>
                <w:i/>
              </w:rPr>
            </w:pPr>
            <w:r w:rsidRPr="00E4768E">
              <w:rPr>
                <w:i/>
              </w:rPr>
              <w:t>Base case (respecified)</w:t>
            </w:r>
          </w:p>
        </w:tc>
        <w:tc>
          <w:tcPr>
            <w:tcW w:w="1367" w:type="dxa"/>
            <w:noWrap/>
            <w:hideMark/>
          </w:tcPr>
          <w:p w14:paraId="4B0F8435" w14:textId="77777777" w:rsidR="00C856E8" w:rsidRPr="00E4768E" w:rsidRDefault="00C856E8" w:rsidP="00C856E8">
            <w:pPr>
              <w:pStyle w:val="Tabletextboldleft"/>
              <w:rPr>
                <w:i/>
              </w:rPr>
            </w:pPr>
            <w:r w:rsidRPr="00E4768E">
              <w:rPr>
                <w:i/>
              </w:rPr>
              <w:t>$4,651.34</w:t>
            </w:r>
          </w:p>
        </w:tc>
        <w:tc>
          <w:tcPr>
            <w:tcW w:w="1605" w:type="dxa"/>
            <w:noWrap/>
            <w:hideMark/>
          </w:tcPr>
          <w:p w14:paraId="2D4FBEF2" w14:textId="77777777" w:rsidR="00C856E8" w:rsidRPr="00E4768E" w:rsidRDefault="00C856E8" w:rsidP="00C856E8">
            <w:pPr>
              <w:pStyle w:val="Tabletextboldleft"/>
              <w:rPr>
                <w:i/>
              </w:rPr>
            </w:pPr>
            <w:r w:rsidRPr="00E4768E">
              <w:rPr>
                <w:i/>
              </w:rPr>
              <w:t>$11,307.96</w:t>
            </w:r>
          </w:p>
        </w:tc>
        <w:tc>
          <w:tcPr>
            <w:tcW w:w="1513" w:type="dxa"/>
            <w:noWrap/>
            <w:hideMark/>
          </w:tcPr>
          <w:p w14:paraId="675D0DA6" w14:textId="77777777" w:rsidR="00C856E8" w:rsidRPr="00E4768E" w:rsidRDefault="00C856E8" w:rsidP="00C856E8">
            <w:pPr>
              <w:pStyle w:val="Tabletextboldleft"/>
              <w:rPr>
                <w:i/>
              </w:rPr>
            </w:pPr>
            <w:r w:rsidRPr="00E4768E">
              <w:rPr>
                <w:i/>
              </w:rPr>
              <w:t>-$6,656.62</w:t>
            </w:r>
          </w:p>
        </w:tc>
      </w:tr>
      <w:tr w:rsidR="00C856E8" w:rsidRPr="00E4768E" w14:paraId="01EC88F0" w14:textId="77777777" w:rsidTr="00C856E8">
        <w:trPr>
          <w:trHeight w:val="288"/>
        </w:trPr>
        <w:tc>
          <w:tcPr>
            <w:tcW w:w="4531" w:type="dxa"/>
            <w:noWrap/>
            <w:hideMark/>
          </w:tcPr>
          <w:p w14:paraId="203616AA" w14:textId="77777777" w:rsidR="00C856E8" w:rsidRPr="00E4768E" w:rsidRDefault="00C856E8" w:rsidP="00C856E8">
            <w:pPr>
              <w:pStyle w:val="Tabletextboldleft"/>
            </w:pPr>
            <w:r w:rsidRPr="00E4768E">
              <w:t>Univariate</w:t>
            </w:r>
          </w:p>
        </w:tc>
        <w:tc>
          <w:tcPr>
            <w:tcW w:w="1367" w:type="dxa"/>
            <w:noWrap/>
            <w:hideMark/>
          </w:tcPr>
          <w:p w14:paraId="56104AB4" w14:textId="77777777" w:rsidR="00C856E8" w:rsidRPr="00E4768E" w:rsidRDefault="00C856E8" w:rsidP="00C856E8">
            <w:pPr>
              <w:rPr>
                <w:b/>
                <w:bCs/>
                <w:i/>
                <w:iCs/>
              </w:rPr>
            </w:pPr>
          </w:p>
        </w:tc>
        <w:tc>
          <w:tcPr>
            <w:tcW w:w="1605" w:type="dxa"/>
            <w:noWrap/>
            <w:hideMark/>
          </w:tcPr>
          <w:p w14:paraId="4A0EB827" w14:textId="77777777" w:rsidR="00C856E8" w:rsidRPr="00E4768E" w:rsidRDefault="00C856E8" w:rsidP="00C856E8">
            <w:pPr>
              <w:rPr>
                <w:i/>
              </w:rPr>
            </w:pPr>
          </w:p>
        </w:tc>
        <w:tc>
          <w:tcPr>
            <w:tcW w:w="1513" w:type="dxa"/>
            <w:noWrap/>
            <w:hideMark/>
          </w:tcPr>
          <w:p w14:paraId="31BB8510" w14:textId="77777777" w:rsidR="00C856E8" w:rsidRPr="00E4768E" w:rsidRDefault="00C856E8" w:rsidP="00C856E8">
            <w:pPr>
              <w:rPr>
                <w:i/>
              </w:rPr>
            </w:pPr>
          </w:p>
        </w:tc>
      </w:tr>
      <w:tr w:rsidR="00C856E8" w:rsidRPr="00E4768E" w14:paraId="356694AE" w14:textId="77777777" w:rsidTr="00C856E8">
        <w:trPr>
          <w:trHeight w:val="288"/>
        </w:trPr>
        <w:tc>
          <w:tcPr>
            <w:tcW w:w="4531" w:type="dxa"/>
            <w:noWrap/>
            <w:hideMark/>
          </w:tcPr>
          <w:p w14:paraId="6A4E15A8" w14:textId="77777777" w:rsidR="00C856E8" w:rsidRPr="00E4768E" w:rsidRDefault="00C856E8" w:rsidP="00C856E8">
            <w:pPr>
              <w:pStyle w:val="Tabletext"/>
            </w:pPr>
            <w:r w:rsidRPr="00E4768E">
              <w:t>Identical hospitalisation costs (lower RN to $1,356.93 from $7137.93)</w:t>
            </w:r>
          </w:p>
        </w:tc>
        <w:tc>
          <w:tcPr>
            <w:tcW w:w="1367" w:type="dxa"/>
            <w:noWrap/>
            <w:hideMark/>
          </w:tcPr>
          <w:p w14:paraId="50A1D042" w14:textId="77777777" w:rsidR="00C856E8" w:rsidRPr="00E4768E" w:rsidRDefault="00C856E8" w:rsidP="00C856E8">
            <w:pPr>
              <w:pStyle w:val="Tabletext"/>
            </w:pPr>
            <w:r w:rsidRPr="00E4768E">
              <w:t>$4,651.34</w:t>
            </w:r>
          </w:p>
        </w:tc>
        <w:tc>
          <w:tcPr>
            <w:tcW w:w="1605" w:type="dxa"/>
            <w:noWrap/>
            <w:hideMark/>
          </w:tcPr>
          <w:p w14:paraId="6ABF58FA" w14:textId="77777777" w:rsidR="00C856E8" w:rsidRPr="00E4768E" w:rsidRDefault="00C856E8" w:rsidP="00C856E8">
            <w:pPr>
              <w:pStyle w:val="Tabletext"/>
            </w:pPr>
            <w:r w:rsidRPr="00E4768E">
              <w:t>$5,526.96</w:t>
            </w:r>
          </w:p>
        </w:tc>
        <w:tc>
          <w:tcPr>
            <w:tcW w:w="1513" w:type="dxa"/>
            <w:noWrap/>
            <w:hideMark/>
          </w:tcPr>
          <w:p w14:paraId="49C56954" w14:textId="77777777" w:rsidR="00C856E8" w:rsidRPr="00E4768E" w:rsidRDefault="00C856E8" w:rsidP="00C856E8">
            <w:pPr>
              <w:pStyle w:val="Tabletext"/>
            </w:pPr>
            <w:r w:rsidRPr="00E4768E">
              <w:t>-$875.62</w:t>
            </w:r>
          </w:p>
        </w:tc>
      </w:tr>
      <w:tr w:rsidR="00C856E8" w:rsidRPr="00E4768E" w14:paraId="3644B418" w14:textId="77777777" w:rsidTr="00C856E8">
        <w:trPr>
          <w:trHeight w:val="288"/>
        </w:trPr>
        <w:tc>
          <w:tcPr>
            <w:tcW w:w="4531" w:type="dxa"/>
            <w:noWrap/>
            <w:hideMark/>
          </w:tcPr>
          <w:p w14:paraId="3B62B6E5" w14:textId="77777777" w:rsidR="00C856E8" w:rsidRPr="00E4768E" w:rsidRDefault="00C856E8" w:rsidP="00C856E8">
            <w:pPr>
              <w:pStyle w:val="Tabletext"/>
            </w:pPr>
            <w:r w:rsidRPr="00E4768E">
              <w:t>Reduce average costs for non-urological AEs from $1000 to $0</w:t>
            </w:r>
          </w:p>
        </w:tc>
        <w:tc>
          <w:tcPr>
            <w:tcW w:w="1367" w:type="dxa"/>
            <w:noWrap/>
            <w:hideMark/>
          </w:tcPr>
          <w:p w14:paraId="550F474E" w14:textId="77777777" w:rsidR="00C856E8" w:rsidRPr="00E4768E" w:rsidRDefault="00C856E8" w:rsidP="00C856E8">
            <w:pPr>
              <w:pStyle w:val="Tabletext"/>
            </w:pPr>
            <w:r w:rsidRPr="00E4768E">
              <w:t>$4,651.34</w:t>
            </w:r>
          </w:p>
        </w:tc>
        <w:tc>
          <w:tcPr>
            <w:tcW w:w="1605" w:type="dxa"/>
            <w:noWrap/>
            <w:hideMark/>
          </w:tcPr>
          <w:p w14:paraId="462F6C8D" w14:textId="77777777" w:rsidR="00C856E8" w:rsidRPr="00E4768E" w:rsidRDefault="00C856E8" w:rsidP="00C856E8">
            <w:pPr>
              <w:pStyle w:val="Tabletext"/>
            </w:pPr>
            <w:r w:rsidRPr="00E4768E">
              <w:t>$11,307.96</w:t>
            </w:r>
          </w:p>
        </w:tc>
        <w:tc>
          <w:tcPr>
            <w:tcW w:w="1513" w:type="dxa"/>
            <w:noWrap/>
            <w:hideMark/>
          </w:tcPr>
          <w:p w14:paraId="246448AC" w14:textId="77777777" w:rsidR="00C856E8" w:rsidRPr="00E4768E" w:rsidRDefault="00C856E8" w:rsidP="00C856E8">
            <w:pPr>
              <w:pStyle w:val="Tabletext"/>
            </w:pPr>
            <w:r w:rsidRPr="00E4768E">
              <w:t>-$6,656.62</w:t>
            </w:r>
          </w:p>
        </w:tc>
      </w:tr>
      <w:tr w:rsidR="00C856E8" w:rsidRPr="00E4768E" w14:paraId="7DB5DB7D" w14:textId="77777777" w:rsidTr="00C856E8">
        <w:trPr>
          <w:trHeight w:val="288"/>
        </w:trPr>
        <w:tc>
          <w:tcPr>
            <w:tcW w:w="4531" w:type="dxa"/>
            <w:noWrap/>
            <w:hideMark/>
          </w:tcPr>
          <w:p w14:paraId="04BDCCBF" w14:textId="77777777" w:rsidR="00C856E8" w:rsidRPr="00E4768E" w:rsidRDefault="00C856E8" w:rsidP="00C856E8">
            <w:pPr>
              <w:pStyle w:val="Tabletext"/>
            </w:pPr>
            <w:r w:rsidRPr="00E4768E">
              <w:t>Reduce average costs for non-urological AEs from $1000 to $500</w:t>
            </w:r>
          </w:p>
        </w:tc>
        <w:tc>
          <w:tcPr>
            <w:tcW w:w="1367" w:type="dxa"/>
            <w:noWrap/>
            <w:hideMark/>
          </w:tcPr>
          <w:p w14:paraId="00646E91" w14:textId="77777777" w:rsidR="00C856E8" w:rsidRPr="00E4768E" w:rsidRDefault="00C856E8" w:rsidP="00C856E8">
            <w:pPr>
              <w:pStyle w:val="Tabletext"/>
            </w:pPr>
            <w:r w:rsidRPr="00E4768E">
              <w:t>$4,588.94</w:t>
            </w:r>
          </w:p>
        </w:tc>
        <w:tc>
          <w:tcPr>
            <w:tcW w:w="1605" w:type="dxa"/>
            <w:noWrap/>
            <w:hideMark/>
          </w:tcPr>
          <w:p w14:paraId="27F2667A" w14:textId="77777777" w:rsidR="00C856E8" w:rsidRPr="00E4768E" w:rsidRDefault="00C856E8" w:rsidP="00C856E8">
            <w:pPr>
              <w:pStyle w:val="Tabletext"/>
            </w:pPr>
            <w:r w:rsidRPr="00E4768E">
              <w:t>$11,172.96</w:t>
            </w:r>
          </w:p>
        </w:tc>
        <w:tc>
          <w:tcPr>
            <w:tcW w:w="1513" w:type="dxa"/>
            <w:noWrap/>
            <w:hideMark/>
          </w:tcPr>
          <w:p w14:paraId="195219D6" w14:textId="77777777" w:rsidR="00C856E8" w:rsidRPr="00E4768E" w:rsidRDefault="00C856E8" w:rsidP="00C856E8">
            <w:pPr>
              <w:pStyle w:val="Tabletext"/>
            </w:pPr>
            <w:r w:rsidRPr="00E4768E">
              <w:t>-$6,584.02</w:t>
            </w:r>
          </w:p>
        </w:tc>
      </w:tr>
      <w:tr w:rsidR="00C856E8" w:rsidRPr="00E4768E" w14:paraId="271EDC76" w14:textId="77777777" w:rsidTr="00C856E8">
        <w:trPr>
          <w:trHeight w:val="288"/>
        </w:trPr>
        <w:tc>
          <w:tcPr>
            <w:tcW w:w="4531" w:type="dxa"/>
            <w:noWrap/>
            <w:hideMark/>
          </w:tcPr>
          <w:p w14:paraId="44B245D1" w14:textId="77777777" w:rsidR="00C856E8" w:rsidRPr="00E4768E" w:rsidRDefault="00C856E8" w:rsidP="00C856E8">
            <w:pPr>
              <w:pStyle w:val="Tabletext"/>
            </w:pPr>
            <w:r w:rsidRPr="00E4768E">
              <w:t>Increase average costs for non-urological AEs from $1000 to $1500</w:t>
            </w:r>
          </w:p>
        </w:tc>
        <w:tc>
          <w:tcPr>
            <w:tcW w:w="1367" w:type="dxa"/>
            <w:noWrap/>
            <w:hideMark/>
          </w:tcPr>
          <w:p w14:paraId="062D4310" w14:textId="77777777" w:rsidR="00C856E8" w:rsidRPr="00E4768E" w:rsidRDefault="00C856E8" w:rsidP="00C856E8">
            <w:pPr>
              <w:pStyle w:val="Tabletext"/>
            </w:pPr>
            <w:r w:rsidRPr="00E4768E">
              <w:t>$4,713.74</w:t>
            </w:r>
          </w:p>
        </w:tc>
        <w:tc>
          <w:tcPr>
            <w:tcW w:w="1605" w:type="dxa"/>
            <w:noWrap/>
            <w:hideMark/>
          </w:tcPr>
          <w:p w14:paraId="11727204" w14:textId="77777777" w:rsidR="00C856E8" w:rsidRPr="00E4768E" w:rsidRDefault="00C856E8" w:rsidP="00C856E8">
            <w:pPr>
              <w:pStyle w:val="Tabletext"/>
            </w:pPr>
            <w:r w:rsidRPr="00E4768E">
              <w:t>$11,442.96</w:t>
            </w:r>
          </w:p>
        </w:tc>
        <w:tc>
          <w:tcPr>
            <w:tcW w:w="1513" w:type="dxa"/>
            <w:noWrap/>
            <w:hideMark/>
          </w:tcPr>
          <w:p w14:paraId="6E8CB594" w14:textId="77777777" w:rsidR="00C856E8" w:rsidRPr="00E4768E" w:rsidRDefault="00C856E8" w:rsidP="00C856E8">
            <w:pPr>
              <w:pStyle w:val="Tabletext"/>
            </w:pPr>
            <w:r w:rsidRPr="00E4768E">
              <w:t>-$6,729.22</w:t>
            </w:r>
          </w:p>
        </w:tc>
      </w:tr>
      <w:tr w:rsidR="00C856E8" w:rsidRPr="00E4768E" w14:paraId="5662C2B5" w14:textId="77777777" w:rsidTr="00C856E8">
        <w:trPr>
          <w:trHeight w:val="288"/>
        </w:trPr>
        <w:tc>
          <w:tcPr>
            <w:tcW w:w="4531" w:type="dxa"/>
            <w:noWrap/>
            <w:hideMark/>
          </w:tcPr>
          <w:p w14:paraId="65FC71B5" w14:textId="77777777" w:rsidR="00C856E8" w:rsidRPr="00E4768E" w:rsidRDefault="00C856E8" w:rsidP="00C856E8">
            <w:pPr>
              <w:pStyle w:val="Tabletext"/>
            </w:pPr>
            <w:r w:rsidRPr="00E4768E">
              <w:t xml:space="preserve">Remove difference in renal </w:t>
            </w:r>
            <w:proofErr w:type="spellStart"/>
            <w:r w:rsidRPr="00E4768E">
              <w:t>insufficency</w:t>
            </w:r>
            <w:proofErr w:type="spellEnd"/>
            <w:r w:rsidRPr="00E4768E">
              <w:t xml:space="preserve"> AE, i.e. both groups = </w:t>
            </w:r>
            <w:proofErr w:type="spellStart"/>
            <w:r w:rsidRPr="00E4768E">
              <w:t>cryo</w:t>
            </w:r>
            <w:proofErr w:type="spellEnd"/>
            <w:r w:rsidRPr="00E4768E">
              <w:t xml:space="preserve"> rate</w:t>
            </w:r>
          </w:p>
        </w:tc>
        <w:tc>
          <w:tcPr>
            <w:tcW w:w="1367" w:type="dxa"/>
            <w:noWrap/>
            <w:hideMark/>
          </w:tcPr>
          <w:p w14:paraId="20A31A9A" w14:textId="77777777" w:rsidR="00C856E8" w:rsidRPr="00E4768E" w:rsidRDefault="00C856E8" w:rsidP="00C856E8">
            <w:pPr>
              <w:pStyle w:val="Tabletext"/>
            </w:pPr>
            <w:r w:rsidRPr="00E4768E">
              <w:t>$4,651.34</w:t>
            </w:r>
          </w:p>
        </w:tc>
        <w:tc>
          <w:tcPr>
            <w:tcW w:w="1605" w:type="dxa"/>
            <w:noWrap/>
            <w:hideMark/>
          </w:tcPr>
          <w:p w14:paraId="2C40445D" w14:textId="77777777" w:rsidR="00C856E8" w:rsidRPr="00E4768E" w:rsidRDefault="00C856E8" w:rsidP="00C856E8">
            <w:pPr>
              <w:pStyle w:val="Tabletext"/>
            </w:pPr>
            <w:r w:rsidRPr="00E4768E">
              <w:t>$10,971.41</w:t>
            </w:r>
          </w:p>
        </w:tc>
        <w:tc>
          <w:tcPr>
            <w:tcW w:w="1513" w:type="dxa"/>
            <w:noWrap/>
            <w:hideMark/>
          </w:tcPr>
          <w:p w14:paraId="388B6307" w14:textId="77777777" w:rsidR="00C856E8" w:rsidRPr="00E4768E" w:rsidRDefault="00C856E8" w:rsidP="00C856E8">
            <w:pPr>
              <w:pStyle w:val="Tabletext"/>
            </w:pPr>
            <w:r w:rsidRPr="00E4768E">
              <w:t>-$6,320.07</w:t>
            </w:r>
          </w:p>
        </w:tc>
      </w:tr>
      <w:tr w:rsidR="00C856E8" w:rsidRPr="00E4768E" w14:paraId="1DDDD60A" w14:textId="77777777" w:rsidTr="00C856E8">
        <w:trPr>
          <w:trHeight w:val="288"/>
        </w:trPr>
        <w:tc>
          <w:tcPr>
            <w:tcW w:w="4531" w:type="dxa"/>
            <w:noWrap/>
            <w:hideMark/>
          </w:tcPr>
          <w:p w14:paraId="25D47851" w14:textId="77777777" w:rsidR="00C856E8" w:rsidRPr="00E4768E" w:rsidRDefault="00C856E8" w:rsidP="00C856E8">
            <w:pPr>
              <w:pStyle w:val="Tabletext"/>
              <w:rPr>
                <w:i/>
              </w:rPr>
            </w:pPr>
            <w:r w:rsidRPr="00E4768E">
              <w:rPr>
                <w:i/>
              </w:rPr>
              <w:t>Use Surgical DRGs</w:t>
            </w:r>
          </w:p>
        </w:tc>
        <w:tc>
          <w:tcPr>
            <w:tcW w:w="1367" w:type="dxa"/>
            <w:noWrap/>
            <w:hideMark/>
          </w:tcPr>
          <w:p w14:paraId="631877BE" w14:textId="77777777" w:rsidR="00C856E8" w:rsidRPr="00E4768E" w:rsidRDefault="00C856E8" w:rsidP="00C856E8">
            <w:pPr>
              <w:pStyle w:val="Tabletext"/>
              <w:rPr>
                <w:i/>
              </w:rPr>
            </w:pPr>
            <w:r w:rsidRPr="00E4768E">
              <w:rPr>
                <w:i/>
              </w:rPr>
              <w:t>$20,331.77</w:t>
            </w:r>
          </w:p>
        </w:tc>
        <w:tc>
          <w:tcPr>
            <w:tcW w:w="1605" w:type="dxa"/>
            <w:noWrap/>
            <w:hideMark/>
          </w:tcPr>
          <w:p w14:paraId="3CB69654" w14:textId="77777777" w:rsidR="00C856E8" w:rsidRPr="00E4768E" w:rsidRDefault="00C856E8" w:rsidP="00C856E8">
            <w:pPr>
              <w:pStyle w:val="Tabletext"/>
              <w:rPr>
                <w:i/>
              </w:rPr>
            </w:pPr>
            <w:r w:rsidRPr="00E4768E">
              <w:rPr>
                <w:i/>
              </w:rPr>
              <w:t>$20,683.85</w:t>
            </w:r>
          </w:p>
        </w:tc>
        <w:tc>
          <w:tcPr>
            <w:tcW w:w="1513" w:type="dxa"/>
            <w:noWrap/>
            <w:hideMark/>
          </w:tcPr>
          <w:p w14:paraId="43B1FA58" w14:textId="77777777" w:rsidR="00C856E8" w:rsidRPr="00E4768E" w:rsidRDefault="00C856E8" w:rsidP="00C856E8">
            <w:pPr>
              <w:pStyle w:val="Tabletext"/>
              <w:rPr>
                <w:i/>
              </w:rPr>
            </w:pPr>
            <w:r w:rsidRPr="00E4768E">
              <w:rPr>
                <w:i/>
              </w:rPr>
              <w:t>-$352.08</w:t>
            </w:r>
          </w:p>
        </w:tc>
      </w:tr>
      <w:tr w:rsidR="00C856E8" w:rsidRPr="00E4768E" w14:paraId="201F37B8" w14:textId="77777777" w:rsidTr="00C856E8">
        <w:trPr>
          <w:trHeight w:val="288"/>
        </w:trPr>
        <w:tc>
          <w:tcPr>
            <w:tcW w:w="4531" w:type="dxa"/>
            <w:noWrap/>
            <w:hideMark/>
          </w:tcPr>
          <w:p w14:paraId="62690FD4" w14:textId="77777777" w:rsidR="00C856E8" w:rsidRPr="00E4768E" w:rsidRDefault="00C856E8" w:rsidP="00C856E8">
            <w:pPr>
              <w:pStyle w:val="Tabletextboldleft"/>
            </w:pPr>
            <w:r w:rsidRPr="00E4768E">
              <w:t>Multivariate</w:t>
            </w:r>
          </w:p>
        </w:tc>
        <w:tc>
          <w:tcPr>
            <w:tcW w:w="1367" w:type="dxa"/>
            <w:noWrap/>
            <w:hideMark/>
          </w:tcPr>
          <w:p w14:paraId="73911BD1" w14:textId="77777777" w:rsidR="00C856E8" w:rsidRPr="00E4768E" w:rsidRDefault="00C856E8" w:rsidP="00C856E8">
            <w:pPr>
              <w:rPr>
                <w:b/>
                <w:bCs/>
                <w:i/>
                <w:iCs/>
              </w:rPr>
            </w:pPr>
          </w:p>
        </w:tc>
        <w:tc>
          <w:tcPr>
            <w:tcW w:w="1605" w:type="dxa"/>
            <w:noWrap/>
            <w:hideMark/>
          </w:tcPr>
          <w:p w14:paraId="20E51F08" w14:textId="77777777" w:rsidR="00C856E8" w:rsidRPr="00E4768E" w:rsidRDefault="00C856E8" w:rsidP="00C856E8">
            <w:pPr>
              <w:rPr>
                <w:i/>
              </w:rPr>
            </w:pPr>
          </w:p>
        </w:tc>
        <w:tc>
          <w:tcPr>
            <w:tcW w:w="1513" w:type="dxa"/>
            <w:noWrap/>
            <w:hideMark/>
          </w:tcPr>
          <w:p w14:paraId="10E4445C" w14:textId="77777777" w:rsidR="00C856E8" w:rsidRPr="00E4768E" w:rsidRDefault="00C856E8" w:rsidP="00C856E8">
            <w:pPr>
              <w:rPr>
                <w:i/>
              </w:rPr>
            </w:pPr>
          </w:p>
        </w:tc>
      </w:tr>
      <w:tr w:rsidR="00C856E8" w:rsidRPr="00E4768E" w14:paraId="60D2EA6B" w14:textId="77777777" w:rsidTr="00C856E8">
        <w:trPr>
          <w:trHeight w:val="288"/>
        </w:trPr>
        <w:tc>
          <w:tcPr>
            <w:tcW w:w="4531" w:type="dxa"/>
            <w:noWrap/>
            <w:hideMark/>
          </w:tcPr>
          <w:p w14:paraId="68A94D75" w14:textId="77777777" w:rsidR="00C856E8" w:rsidRPr="00E4768E" w:rsidRDefault="00C856E8" w:rsidP="00C856E8">
            <w:pPr>
              <w:pStyle w:val="Tabletext"/>
            </w:pPr>
            <w:r w:rsidRPr="00E4768E">
              <w:t>Identical hospitalisations and reduce average costs for non-urological AEs to $500</w:t>
            </w:r>
          </w:p>
        </w:tc>
        <w:tc>
          <w:tcPr>
            <w:tcW w:w="1367" w:type="dxa"/>
            <w:noWrap/>
            <w:hideMark/>
          </w:tcPr>
          <w:p w14:paraId="420D6383" w14:textId="77777777" w:rsidR="00C856E8" w:rsidRPr="00E4768E" w:rsidRDefault="00C856E8" w:rsidP="00C856E8">
            <w:pPr>
              <w:pStyle w:val="Tabletext"/>
            </w:pPr>
            <w:r w:rsidRPr="00E4768E">
              <w:t>$4,588.94</w:t>
            </w:r>
          </w:p>
        </w:tc>
        <w:tc>
          <w:tcPr>
            <w:tcW w:w="1605" w:type="dxa"/>
            <w:noWrap/>
            <w:hideMark/>
          </w:tcPr>
          <w:p w14:paraId="16AF628C" w14:textId="77777777" w:rsidR="00C856E8" w:rsidRPr="00E4768E" w:rsidRDefault="00C856E8" w:rsidP="00C856E8">
            <w:pPr>
              <w:pStyle w:val="Tabletext"/>
            </w:pPr>
            <w:r w:rsidRPr="00E4768E">
              <w:t>$5,391.96</w:t>
            </w:r>
          </w:p>
        </w:tc>
        <w:tc>
          <w:tcPr>
            <w:tcW w:w="1513" w:type="dxa"/>
            <w:noWrap/>
            <w:hideMark/>
          </w:tcPr>
          <w:p w14:paraId="6164530C" w14:textId="77777777" w:rsidR="00C856E8" w:rsidRPr="00E4768E" w:rsidRDefault="00C856E8" w:rsidP="00C856E8">
            <w:pPr>
              <w:pStyle w:val="Tabletext"/>
            </w:pPr>
            <w:r w:rsidRPr="00E4768E">
              <w:t>-$803.02</w:t>
            </w:r>
          </w:p>
        </w:tc>
      </w:tr>
      <w:tr w:rsidR="00C856E8" w:rsidRPr="00E4768E" w14:paraId="06A94ECF" w14:textId="77777777" w:rsidTr="00C856E8">
        <w:trPr>
          <w:trHeight w:val="552"/>
        </w:trPr>
        <w:tc>
          <w:tcPr>
            <w:tcW w:w="4531" w:type="dxa"/>
            <w:hideMark/>
          </w:tcPr>
          <w:p w14:paraId="1677FCC4" w14:textId="77777777" w:rsidR="00C856E8" w:rsidRPr="00E4768E" w:rsidRDefault="00C856E8" w:rsidP="00C856E8">
            <w:pPr>
              <w:pStyle w:val="Tabletext"/>
            </w:pPr>
            <w:r w:rsidRPr="00E4768E">
              <w:t>Identical hospitalisations and reduce average costs for non-urological AEs to $500 plus identical renal insufficiency rates</w:t>
            </w:r>
          </w:p>
        </w:tc>
        <w:tc>
          <w:tcPr>
            <w:tcW w:w="1367" w:type="dxa"/>
            <w:noWrap/>
            <w:hideMark/>
          </w:tcPr>
          <w:p w14:paraId="1428A247" w14:textId="77777777" w:rsidR="00C856E8" w:rsidRPr="00E4768E" w:rsidRDefault="00C856E8" w:rsidP="00C856E8">
            <w:pPr>
              <w:pStyle w:val="Tabletext"/>
            </w:pPr>
            <w:r w:rsidRPr="00E4768E">
              <w:t>$4,588.94</w:t>
            </w:r>
          </w:p>
        </w:tc>
        <w:tc>
          <w:tcPr>
            <w:tcW w:w="1605" w:type="dxa"/>
            <w:noWrap/>
            <w:hideMark/>
          </w:tcPr>
          <w:p w14:paraId="75E644AC" w14:textId="77777777" w:rsidR="00C856E8" w:rsidRPr="00E4768E" w:rsidRDefault="00C856E8" w:rsidP="00C856E8">
            <w:pPr>
              <w:pStyle w:val="Tabletext"/>
            </w:pPr>
            <w:r w:rsidRPr="00E4768E">
              <w:t>$5,055.41</w:t>
            </w:r>
          </w:p>
        </w:tc>
        <w:tc>
          <w:tcPr>
            <w:tcW w:w="1513" w:type="dxa"/>
            <w:noWrap/>
            <w:hideMark/>
          </w:tcPr>
          <w:p w14:paraId="1DE5743F" w14:textId="77777777" w:rsidR="00C856E8" w:rsidRPr="00E4768E" w:rsidRDefault="00C856E8" w:rsidP="00C856E8">
            <w:pPr>
              <w:pStyle w:val="Tabletext"/>
            </w:pPr>
            <w:r w:rsidRPr="00E4768E">
              <w:t>-$466.47</w:t>
            </w:r>
          </w:p>
        </w:tc>
      </w:tr>
    </w:tbl>
    <w:p w14:paraId="28411E56" w14:textId="55D21A70" w:rsidR="00C856E8" w:rsidRPr="00DF51F4" w:rsidRDefault="00C856E8" w:rsidP="00C856E8">
      <w:pPr>
        <w:pStyle w:val="Tablenotes"/>
        <w:rPr>
          <w:i/>
        </w:rPr>
      </w:pPr>
      <w:r>
        <w:t xml:space="preserve">Source: </w:t>
      </w:r>
      <w:r w:rsidR="009842FE">
        <w:t>Commentary</w:t>
      </w:r>
      <w:r>
        <w:t xml:space="preserve"> respecified section D workbook</w:t>
      </w:r>
      <w:r w:rsidRPr="00E0750C">
        <w:rPr>
          <w:i/>
        </w:rPr>
        <w:t xml:space="preserve">. </w:t>
      </w:r>
      <w:r w:rsidRPr="00DF51F4">
        <w:rPr>
          <w:i/>
        </w:rPr>
        <w:t xml:space="preserve">Base case respecified to include updated MBS and PBS costs. </w:t>
      </w:r>
    </w:p>
    <w:p w14:paraId="6535997D" w14:textId="77777777" w:rsidR="00C856E8" w:rsidRDefault="00C856E8" w:rsidP="00C856E8">
      <w:pPr>
        <w:pStyle w:val="Tablenotes"/>
      </w:pPr>
      <w:r>
        <w:t>Abbreviations: AS/DT = active surveillance/delayed therapy, CA = cryoablation, CSS = cancer specific survival, DRG = diagnosis related group, AEs = adverse events, HR = hazard ratio, ICER = incremental cost effectiveness ratio, OS = overall survival</w:t>
      </w:r>
      <w:proofErr w:type="gramStart"/>
      <w:r>
        <w:t>,  QALY</w:t>
      </w:r>
      <w:proofErr w:type="gramEnd"/>
      <w:r>
        <w:t xml:space="preserve"> = quality adjusted life year</w:t>
      </w:r>
    </w:p>
    <w:p w14:paraId="58CE275B" w14:textId="77777777" w:rsidR="00C856E8" w:rsidRDefault="00C856E8" w:rsidP="00071451">
      <w:pPr>
        <w:spacing w:after="240"/>
      </w:pPr>
      <w:r>
        <w:t>Overall, t</w:t>
      </w:r>
      <w:r w:rsidRPr="00E4768E">
        <w:t xml:space="preserve">he main driver of the cost difference is higher hospitalisation costs associated with RN </w:t>
      </w:r>
      <w:r>
        <w:t>(</w:t>
      </w:r>
      <w:r>
        <w:fldChar w:fldCharType="begin"/>
      </w:r>
      <w:r>
        <w:instrText xml:space="preserve"> REF _Ref54336082 \h </w:instrText>
      </w:r>
      <w:r>
        <w:fldChar w:fldCharType="separate"/>
      </w:r>
      <w:r>
        <w:t xml:space="preserve">Table </w:t>
      </w:r>
      <w:r>
        <w:rPr>
          <w:noProof/>
        </w:rPr>
        <w:t>16</w:t>
      </w:r>
      <w:r>
        <w:fldChar w:fldCharType="end"/>
      </w:r>
      <w:r>
        <w:fldChar w:fldCharType="begin"/>
      </w:r>
      <w:r>
        <w:instrText xml:space="preserve"> REF _Ref46838779 \h </w:instrText>
      </w:r>
      <w:r>
        <w:fldChar w:fldCharType="end"/>
      </w:r>
      <w:r>
        <w:t>)</w:t>
      </w:r>
      <w:r w:rsidRPr="00A83F38">
        <w:t>.</w:t>
      </w:r>
    </w:p>
    <w:p w14:paraId="6A70369C" w14:textId="77777777" w:rsidR="00C856E8" w:rsidRPr="003A7EA2" w:rsidRDefault="00C856E8" w:rsidP="003A7EA2">
      <w:pPr>
        <w:rPr>
          <w:rFonts w:ascii="Arial Narrow" w:hAnsi="Arial Narrow"/>
          <w:b/>
          <w:sz w:val="20"/>
        </w:rPr>
      </w:pPr>
      <w:bookmarkStart w:id="41" w:name="_Ref54336082"/>
      <w:r w:rsidRPr="003A7EA2">
        <w:rPr>
          <w:rFonts w:ascii="Arial Narrow" w:hAnsi="Arial Narrow"/>
          <w:b/>
          <w:sz w:val="20"/>
        </w:rPr>
        <w:t xml:space="preserve">Table </w:t>
      </w:r>
      <w:r w:rsidR="00C736E0" w:rsidRPr="003A7EA2">
        <w:rPr>
          <w:rFonts w:ascii="Arial Narrow" w:hAnsi="Arial Narrow"/>
          <w:b/>
          <w:sz w:val="20"/>
        </w:rPr>
        <w:fldChar w:fldCharType="begin"/>
      </w:r>
      <w:r w:rsidR="00C736E0" w:rsidRPr="003A7EA2">
        <w:rPr>
          <w:rFonts w:ascii="Arial Narrow" w:hAnsi="Arial Narrow"/>
          <w:b/>
          <w:sz w:val="20"/>
        </w:rPr>
        <w:instrText xml:space="preserve"> SEQ Table \* ARABIC </w:instrText>
      </w:r>
      <w:r w:rsidR="00C736E0" w:rsidRPr="003A7EA2">
        <w:rPr>
          <w:rFonts w:ascii="Arial Narrow" w:hAnsi="Arial Narrow"/>
          <w:b/>
          <w:sz w:val="20"/>
        </w:rPr>
        <w:fldChar w:fldCharType="separate"/>
      </w:r>
      <w:r w:rsidRPr="003A7EA2">
        <w:rPr>
          <w:rFonts w:ascii="Arial Narrow" w:hAnsi="Arial Narrow"/>
          <w:b/>
          <w:sz w:val="20"/>
        </w:rPr>
        <w:t>16</w:t>
      </w:r>
      <w:r w:rsidR="00C736E0" w:rsidRPr="003A7EA2">
        <w:rPr>
          <w:rFonts w:ascii="Arial Narrow" w:hAnsi="Arial Narrow"/>
          <w:b/>
          <w:sz w:val="20"/>
        </w:rPr>
        <w:fldChar w:fldCharType="end"/>
      </w:r>
      <w:bookmarkEnd w:id="41"/>
      <w:r w:rsidRPr="003A7EA2">
        <w:rPr>
          <w:rFonts w:ascii="Arial Narrow" w:hAnsi="Arial Narrow"/>
          <w:b/>
          <w:sz w:val="20"/>
        </w:rPr>
        <w:tab/>
        <w:t xml:space="preserve">Key drivers of the economic model - </w:t>
      </w:r>
      <w:r w:rsidRPr="003A7EA2">
        <w:rPr>
          <w:rFonts w:ascii="Arial Narrow" w:hAnsi="Arial Narrow"/>
          <w:b/>
          <w:i/>
          <w:sz w:val="20"/>
        </w:rPr>
        <w:t>respecified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96 Key drivers of the economic model "/>
        <w:tblDescription w:val="This table describes what factors and assumptions in the economic model affect the cost analysis to the greatest extent."/>
      </w:tblPr>
      <w:tblGrid>
        <w:gridCol w:w="2123"/>
        <w:gridCol w:w="4109"/>
        <w:gridCol w:w="2784"/>
      </w:tblGrid>
      <w:tr w:rsidR="00C856E8" w:rsidRPr="00183E4D" w14:paraId="6611DC3A" w14:textId="77777777" w:rsidTr="00C856E8">
        <w:trPr>
          <w:tblHeader/>
        </w:trPr>
        <w:tc>
          <w:tcPr>
            <w:tcW w:w="1177" w:type="pct"/>
            <w:shd w:val="clear" w:color="auto" w:fill="auto"/>
            <w:vAlign w:val="center"/>
          </w:tcPr>
          <w:p w14:paraId="6DEBE77E" w14:textId="77777777" w:rsidR="00C856E8" w:rsidRPr="00183E4D" w:rsidRDefault="00C856E8" w:rsidP="00C856E8">
            <w:pPr>
              <w:pStyle w:val="TableHeading"/>
              <w:rPr>
                <w:snapToGrid w:val="0"/>
                <w:lang w:eastAsia="en-US"/>
              </w:rPr>
            </w:pPr>
            <w:r w:rsidRPr="00183E4D">
              <w:rPr>
                <w:snapToGrid w:val="0"/>
                <w:lang w:eastAsia="en-US"/>
              </w:rPr>
              <w:t>Description</w:t>
            </w:r>
          </w:p>
        </w:tc>
        <w:tc>
          <w:tcPr>
            <w:tcW w:w="2279" w:type="pct"/>
            <w:shd w:val="clear" w:color="auto" w:fill="auto"/>
            <w:vAlign w:val="center"/>
          </w:tcPr>
          <w:p w14:paraId="0E1CD166" w14:textId="77777777" w:rsidR="00C856E8" w:rsidRPr="00183E4D" w:rsidRDefault="00C856E8" w:rsidP="00C856E8">
            <w:pPr>
              <w:pStyle w:val="TableHeading"/>
              <w:rPr>
                <w:snapToGrid w:val="0"/>
                <w:lang w:eastAsia="en-US"/>
              </w:rPr>
            </w:pPr>
            <w:r w:rsidRPr="00183E4D">
              <w:rPr>
                <w:snapToGrid w:val="0"/>
                <w:lang w:eastAsia="en-US"/>
              </w:rPr>
              <w:t>Method/Value</w:t>
            </w:r>
          </w:p>
        </w:tc>
        <w:tc>
          <w:tcPr>
            <w:tcW w:w="1544" w:type="pct"/>
            <w:shd w:val="clear" w:color="auto" w:fill="auto"/>
            <w:vAlign w:val="center"/>
          </w:tcPr>
          <w:p w14:paraId="0299FD04" w14:textId="77777777" w:rsidR="00C856E8" w:rsidRDefault="00C856E8" w:rsidP="00C856E8">
            <w:pPr>
              <w:pStyle w:val="TableHeading"/>
              <w:rPr>
                <w:snapToGrid w:val="0"/>
                <w:lang w:eastAsia="en-US"/>
              </w:rPr>
            </w:pPr>
            <w:r w:rsidRPr="00183E4D">
              <w:rPr>
                <w:snapToGrid w:val="0"/>
                <w:lang w:eastAsia="en-US"/>
              </w:rPr>
              <w:t>Impact</w:t>
            </w:r>
          </w:p>
          <w:p w14:paraId="688C3674" w14:textId="77777777" w:rsidR="00C856E8" w:rsidRPr="00183E4D" w:rsidRDefault="00C856E8" w:rsidP="00C856E8">
            <w:pPr>
              <w:pStyle w:val="TableHeading"/>
              <w:rPr>
                <w:snapToGrid w:val="0"/>
                <w:lang w:eastAsia="en-US"/>
              </w:rPr>
            </w:pPr>
            <w:r>
              <w:rPr>
                <w:snapToGrid w:val="0"/>
                <w:lang w:eastAsia="en-US"/>
              </w:rPr>
              <w:t>Base case</w:t>
            </w:r>
            <w:r w:rsidRPr="00A51C49">
              <w:rPr>
                <w:snapToGrid w:val="0"/>
                <w:lang w:eastAsia="en-US"/>
              </w:rPr>
              <w:t xml:space="preserve">: </w:t>
            </w:r>
            <w:r w:rsidRPr="00A51C49">
              <w:rPr>
                <w:rFonts w:cs="Calibri"/>
                <w:bCs/>
                <w:color w:val="000000"/>
              </w:rPr>
              <w:t>-$6,65</w:t>
            </w:r>
            <w:r>
              <w:rPr>
                <w:rFonts w:cs="Calibri"/>
                <w:bCs/>
                <w:color w:val="000000"/>
              </w:rPr>
              <w:t>7</w:t>
            </w:r>
          </w:p>
        </w:tc>
      </w:tr>
      <w:tr w:rsidR="00C856E8" w:rsidRPr="00183E4D" w14:paraId="4A6F33DA" w14:textId="77777777" w:rsidTr="00C856E8">
        <w:tc>
          <w:tcPr>
            <w:tcW w:w="1177" w:type="pct"/>
            <w:vMerge w:val="restart"/>
            <w:shd w:val="clear" w:color="auto" w:fill="auto"/>
            <w:vAlign w:val="center"/>
          </w:tcPr>
          <w:p w14:paraId="563A96FA" w14:textId="77777777" w:rsidR="00C856E8" w:rsidRPr="00183E4D" w:rsidRDefault="00C856E8" w:rsidP="00C856E8">
            <w:pPr>
              <w:pStyle w:val="Tabletext"/>
              <w:rPr>
                <w:snapToGrid w:val="0"/>
              </w:rPr>
            </w:pPr>
            <w:r>
              <w:rPr>
                <w:snapToGrid w:val="0"/>
              </w:rPr>
              <w:t>Hospitalisation costs</w:t>
            </w:r>
          </w:p>
        </w:tc>
        <w:tc>
          <w:tcPr>
            <w:tcW w:w="2279" w:type="pct"/>
            <w:tcBorders>
              <w:top w:val="single" w:sz="4" w:space="0" w:color="auto"/>
              <w:left w:val="single" w:sz="4" w:space="0" w:color="auto"/>
              <w:bottom w:val="single" w:sz="4" w:space="0" w:color="auto"/>
              <w:right w:val="single" w:sz="4" w:space="0" w:color="auto"/>
            </w:tcBorders>
            <w:vAlign w:val="center"/>
          </w:tcPr>
          <w:p w14:paraId="20BEE2F8" w14:textId="77777777" w:rsidR="00C856E8" w:rsidRPr="00183E4D" w:rsidRDefault="00C856E8" w:rsidP="00C856E8">
            <w:pPr>
              <w:pStyle w:val="Tabletext"/>
              <w:rPr>
                <w:snapToGrid w:val="0"/>
              </w:rPr>
            </w:pPr>
            <w:r>
              <w:rPr>
                <w:snapToGrid w:val="0"/>
              </w:rPr>
              <w:t>Base case assumes different hospitalisation costs for CA and RN. Applying identical hospitalisation costs for CA and RN has a significant impact on the result</w:t>
            </w:r>
          </w:p>
        </w:tc>
        <w:tc>
          <w:tcPr>
            <w:tcW w:w="1544" w:type="pct"/>
            <w:tcBorders>
              <w:top w:val="single" w:sz="4" w:space="0" w:color="auto"/>
              <w:left w:val="single" w:sz="4" w:space="0" w:color="auto"/>
              <w:bottom w:val="single" w:sz="4" w:space="0" w:color="auto"/>
              <w:right w:val="single" w:sz="4" w:space="0" w:color="auto"/>
            </w:tcBorders>
            <w:vAlign w:val="center"/>
          </w:tcPr>
          <w:p w14:paraId="5615F805" w14:textId="77777777" w:rsidR="00C856E8" w:rsidRDefault="00C856E8" w:rsidP="00C856E8">
            <w:pPr>
              <w:pStyle w:val="Tabletext"/>
              <w:rPr>
                <w:snapToGrid w:val="0"/>
              </w:rPr>
            </w:pPr>
            <w:r>
              <w:rPr>
                <w:snapToGrid w:val="0"/>
              </w:rPr>
              <w:t>High, favours CA,</w:t>
            </w:r>
          </w:p>
          <w:p w14:paraId="23D8ACF0" w14:textId="77777777" w:rsidR="00C856E8" w:rsidRPr="00183E4D" w:rsidRDefault="00C856E8" w:rsidP="00C856E8">
            <w:pPr>
              <w:pStyle w:val="Tabletext"/>
              <w:rPr>
                <w:snapToGrid w:val="0"/>
              </w:rPr>
            </w:pPr>
            <w:r>
              <w:rPr>
                <w:snapToGrid w:val="0"/>
              </w:rPr>
              <w:t>Equal hospitalisation costs increase the cost to -$876</w:t>
            </w:r>
          </w:p>
        </w:tc>
      </w:tr>
      <w:tr w:rsidR="00C856E8" w:rsidRPr="00183E4D" w14:paraId="4675566E" w14:textId="77777777" w:rsidTr="00C856E8">
        <w:tc>
          <w:tcPr>
            <w:tcW w:w="1177" w:type="pct"/>
            <w:vMerge/>
            <w:shd w:val="clear" w:color="auto" w:fill="auto"/>
            <w:vAlign w:val="center"/>
          </w:tcPr>
          <w:p w14:paraId="272502AC" w14:textId="77777777" w:rsidR="00C856E8" w:rsidRDefault="00C856E8" w:rsidP="00C856E8">
            <w:pPr>
              <w:pStyle w:val="Tabletext"/>
              <w:rPr>
                <w:snapToGrid w:val="0"/>
              </w:rPr>
            </w:pPr>
          </w:p>
        </w:tc>
        <w:tc>
          <w:tcPr>
            <w:tcW w:w="2279" w:type="pct"/>
            <w:tcBorders>
              <w:top w:val="single" w:sz="4" w:space="0" w:color="auto"/>
              <w:left w:val="single" w:sz="4" w:space="0" w:color="auto"/>
              <w:bottom w:val="single" w:sz="4" w:space="0" w:color="auto"/>
              <w:right w:val="single" w:sz="4" w:space="0" w:color="auto"/>
            </w:tcBorders>
            <w:vAlign w:val="center"/>
          </w:tcPr>
          <w:p w14:paraId="51E4371B" w14:textId="77777777" w:rsidR="00C856E8" w:rsidRDefault="00C856E8" w:rsidP="00C856E8">
            <w:pPr>
              <w:pStyle w:val="Tabletext"/>
              <w:rPr>
                <w:snapToGrid w:val="0"/>
              </w:rPr>
            </w:pPr>
            <w:r>
              <w:rPr>
                <w:snapToGrid w:val="0"/>
              </w:rPr>
              <w:t xml:space="preserve">Hospitalisation costs </w:t>
            </w:r>
            <w:proofErr w:type="gramStart"/>
            <w:r>
              <w:rPr>
                <w:snapToGrid w:val="0"/>
              </w:rPr>
              <w:t>are based</w:t>
            </w:r>
            <w:proofErr w:type="gramEnd"/>
            <w:r>
              <w:rPr>
                <w:snapToGrid w:val="0"/>
              </w:rPr>
              <w:t xml:space="preserve"> on AR-DRGs L62C for CA, a weighted average of L62A and L62B for laparoscopic RN and L62A for open RN. </w:t>
            </w:r>
            <w:r>
              <w:rPr>
                <w:i/>
                <w:snapToGrid w:val="0"/>
              </w:rPr>
              <w:t>These are medical DRGs and should be substituted for surgical DRGs (e.g. L03C)</w:t>
            </w:r>
          </w:p>
        </w:tc>
        <w:tc>
          <w:tcPr>
            <w:tcW w:w="1544" w:type="pct"/>
            <w:tcBorders>
              <w:top w:val="single" w:sz="4" w:space="0" w:color="auto"/>
              <w:left w:val="single" w:sz="4" w:space="0" w:color="auto"/>
              <w:bottom w:val="single" w:sz="4" w:space="0" w:color="auto"/>
              <w:right w:val="single" w:sz="4" w:space="0" w:color="auto"/>
            </w:tcBorders>
            <w:vAlign w:val="center"/>
          </w:tcPr>
          <w:p w14:paraId="3B22F09C" w14:textId="77777777" w:rsidR="00C856E8" w:rsidRPr="002802B5" w:rsidRDefault="00C856E8" w:rsidP="00C856E8">
            <w:pPr>
              <w:pStyle w:val="Tabletext"/>
              <w:rPr>
                <w:i/>
                <w:snapToGrid w:val="0"/>
              </w:rPr>
            </w:pPr>
            <w:r>
              <w:rPr>
                <w:i/>
                <w:snapToGrid w:val="0"/>
              </w:rPr>
              <w:t>High, favours CA</w:t>
            </w:r>
            <w:r>
              <w:rPr>
                <w:i/>
                <w:snapToGrid w:val="0"/>
              </w:rPr>
              <w:br/>
              <w:t>Incorporating L03C for CA and laparoscopic RN and L03B for open RN increased the cost to -$352</w:t>
            </w:r>
          </w:p>
        </w:tc>
      </w:tr>
    </w:tbl>
    <w:p w14:paraId="1E8197EC" w14:textId="0BECDE24" w:rsidR="00C856E8" w:rsidRPr="00183E4D" w:rsidRDefault="00C856E8" w:rsidP="00C856E8">
      <w:pPr>
        <w:pStyle w:val="Tablenotes"/>
      </w:pPr>
      <w:r>
        <w:t>Source: Table 12, p25 of the ADAR</w:t>
      </w:r>
      <w:r w:rsidR="00DF51F4">
        <w:t xml:space="preserve">. </w:t>
      </w:r>
      <w:r w:rsidR="00DF51F4">
        <w:rPr>
          <w:i/>
        </w:rPr>
        <w:t>Commentary in italics</w:t>
      </w:r>
      <w:r>
        <w:br/>
        <w:t>Abbreviations: AR-DRG = Australian refined diagnostic related group, CA = cryoablation, RN = radical nephrectomy</w:t>
      </w:r>
    </w:p>
    <w:p w14:paraId="4DE67A8F" w14:textId="77777777" w:rsidR="00BC1364" w:rsidRPr="00F715D1" w:rsidRDefault="00BC1364" w:rsidP="00F715D1">
      <w:pPr>
        <w:pStyle w:val="Heading1"/>
      </w:pPr>
      <w:r w:rsidRPr="00F715D1">
        <w:t>Financial/budgetary impacts</w:t>
      </w:r>
    </w:p>
    <w:p w14:paraId="4339F311" w14:textId="77777777" w:rsidR="00071451" w:rsidRDefault="00071451" w:rsidP="004F4A0A">
      <w:pPr>
        <w:spacing w:after="240"/>
        <w:rPr>
          <w:iCs/>
          <w:lang w:eastAsia="en-US"/>
        </w:rPr>
      </w:pPr>
      <w:r w:rsidRPr="00545D24">
        <w:rPr>
          <w:rFonts w:eastAsia="SimSun"/>
          <w:lang w:eastAsia="zh-CN"/>
        </w:rPr>
        <w:t>T</w:t>
      </w:r>
      <w:r>
        <w:rPr>
          <w:rFonts w:eastAsia="SimSun"/>
          <w:lang w:eastAsia="zh-CN"/>
        </w:rPr>
        <w:t>he ADAR</w:t>
      </w:r>
      <w:r w:rsidRPr="00545D24">
        <w:rPr>
          <w:rFonts w:eastAsia="SimSun"/>
          <w:lang w:eastAsia="zh-CN"/>
        </w:rPr>
        <w:t xml:space="preserve"> employed an </w:t>
      </w:r>
      <w:r w:rsidRPr="00545D24">
        <w:t>epidemiological approach to estimate the impact of providing CA to Australians with confirmed T1a RCC by substituting CA for AS/DT, laparoscopic RN regimen and privately funded RFA/MWA. The financial implications to the MBS resulting from the proposed listing of CA are summarised in</w:t>
      </w:r>
      <w:r w:rsidRPr="00FE5D04">
        <w:rPr>
          <w:iCs/>
          <w:lang w:eastAsia="en-US"/>
        </w:rPr>
        <w:t xml:space="preserve"> </w:t>
      </w:r>
      <w:r w:rsidRPr="00FE5D04">
        <w:rPr>
          <w:iCs/>
          <w:lang w:eastAsia="en-US"/>
        </w:rPr>
        <w:fldChar w:fldCharType="begin"/>
      </w:r>
      <w:r w:rsidRPr="00FE5D04">
        <w:rPr>
          <w:iCs/>
          <w:lang w:eastAsia="en-US"/>
        </w:rPr>
        <w:instrText xml:space="preserve"> REF _Ref46925173 \h </w:instrText>
      </w:r>
      <w:r>
        <w:rPr>
          <w:iCs/>
          <w:lang w:eastAsia="en-US"/>
        </w:rPr>
        <w:instrText xml:space="preserve"> \* MERGEFORMAT </w:instrText>
      </w:r>
      <w:r w:rsidRPr="00FE5D04">
        <w:rPr>
          <w:iCs/>
          <w:lang w:eastAsia="en-US"/>
        </w:rPr>
      </w:r>
      <w:r w:rsidRPr="00FE5D04">
        <w:rPr>
          <w:iCs/>
          <w:lang w:eastAsia="en-US"/>
        </w:rPr>
        <w:fldChar w:fldCharType="separate"/>
      </w:r>
      <w:r w:rsidRPr="002E7E18">
        <w:rPr>
          <w:iCs/>
          <w:lang w:eastAsia="en-US"/>
        </w:rPr>
        <w:t>Table 17</w:t>
      </w:r>
      <w:r w:rsidRPr="00FE5D04">
        <w:rPr>
          <w:iCs/>
          <w:lang w:eastAsia="en-US"/>
        </w:rPr>
        <w:fldChar w:fldCharType="end"/>
      </w:r>
      <w:r w:rsidRPr="00FE5D04">
        <w:rPr>
          <w:iCs/>
          <w:lang w:eastAsia="en-US"/>
        </w:rPr>
        <w:t>.</w:t>
      </w:r>
      <w:r w:rsidRPr="00545D24">
        <w:t xml:space="preserve">  </w:t>
      </w:r>
      <w:r w:rsidRPr="00545D24">
        <w:rPr>
          <w:iCs/>
          <w:lang w:eastAsia="en-US"/>
        </w:rPr>
        <w:t xml:space="preserve">The </w:t>
      </w:r>
      <w:r>
        <w:rPr>
          <w:iCs/>
          <w:lang w:eastAsia="en-US"/>
        </w:rPr>
        <w:t xml:space="preserve">ADAR </w:t>
      </w:r>
      <w:r w:rsidRPr="00545D24">
        <w:rPr>
          <w:iCs/>
          <w:lang w:eastAsia="en-US"/>
        </w:rPr>
        <w:t xml:space="preserve">estimated CA listing would incur an MBS cost $106,803 in Year 1 and an overall cost over five years of $382,782. </w:t>
      </w:r>
    </w:p>
    <w:p w14:paraId="14D8D956" w14:textId="29D3501F" w:rsidR="00071451" w:rsidRPr="003463EC" w:rsidRDefault="00071451" w:rsidP="004F4A0A">
      <w:pPr>
        <w:spacing w:after="240"/>
      </w:pPr>
      <w:r w:rsidRPr="003463EC">
        <w:rPr>
          <w:lang w:eastAsia="en-US"/>
        </w:rPr>
        <w:t xml:space="preserve">The </w:t>
      </w:r>
      <w:r w:rsidR="009842FE">
        <w:rPr>
          <w:lang w:eastAsia="en-US"/>
        </w:rPr>
        <w:t>Commentary</w:t>
      </w:r>
      <w:r w:rsidRPr="003463EC">
        <w:rPr>
          <w:lang w:eastAsia="en-US"/>
        </w:rPr>
        <w:t xml:space="preserve"> noted that it was not clear how the applicant estimated MBS costs for CA and </w:t>
      </w:r>
      <w:r w:rsidRPr="003463EC">
        <w:t xml:space="preserve">laparoscopic RN, nor what proportion of patients would avail these services in inpatient and outpatient settings, or as private and public patients. Inpatient services </w:t>
      </w:r>
      <w:proofErr w:type="gramStart"/>
      <w:r w:rsidRPr="003463EC">
        <w:t>are assumed</w:t>
      </w:r>
      <w:proofErr w:type="gramEnd"/>
      <w:r w:rsidRPr="003463EC">
        <w:t xml:space="preserve"> to </w:t>
      </w:r>
      <w:r w:rsidRPr="005C0BE2">
        <w:t xml:space="preserve">attract a 75% MBS rebate and costs are updated in the </w:t>
      </w:r>
      <w:r w:rsidR="009842FE">
        <w:t>Commentary</w:t>
      </w:r>
      <w:r w:rsidRPr="005C0BE2">
        <w:t xml:space="preserve"> to rebate proportions (</w:t>
      </w:r>
      <w:r w:rsidRPr="005C0BE2">
        <w:fldChar w:fldCharType="begin"/>
      </w:r>
      <w:r w:rsidRPr="005C0BE2">
        <w:instrText xml:space="preserve"> REF _Ref46925173 \h </w:instrText>
      </w:r>
      <w:r>
        <w:instrText xml:space="preserve"> \* MERGEFORMAT </w:instrText>
      </w:r>
      <w:r w:rsidRPr="005C0BE2">
        <w:fldChar w:fldCharType="separate"/>
      </w:r>
      <w:r w:rsidRPr="002E7E18">
        <w:t>Table 17</w:t>
      </w:r>
      <w:r w:rsidRPr="005C0BE2">
        <w:fldChar w:fldCharType="end"/>
      </w:r>
      <w:r w:rsidRPr="005C0BE2">
        <w:t xml:space="preserve">). </w:t>
      </w:r>
      <w:r>
        <w:t xml:space="preserve">The respecified analysis estimated </w:t>
      </w:r>
      <w:r w:rsidRPr="003463EC">
        <w:t xml:space="preserve">$42,565 in MBS costs in Year 1, while a saving of -$28,032 is realised in Year 5.  The overall 5-year net MBS cost </w:t>
      </w:r>
      <w:r>
        <w:t xml:space="preserve">(respecified) </w:t>
      </w:r>
      <w:r w:rsidRPr="003463EC">
        <w:t>is estimated to be $78,553 under this scenario.</w:t>
      </w:r>
    </w:p>
    <w:p w14:paraId="20AA5B6D" w14:textId="77777777" w:rsidR="00071451" w:rsidRPr="003A7EA2" w:rsidRDefault="00071451" w:rsidP="003A7EA2">
      <w:pPr>
        <w:rPr>
          <w:rFonts w:ascii="Arial Narrow" w:hAnsi="Arial Narrow"/>
          <w:b/>
          <w:sz w:val="20"/>
        </w:rPr>
      </w:pPr>
      <w:bookmarkStart w:id="42" w:name="_Ref46925173"/>
      <w:r w:rsidRPr="003A7EA2">
        <w:rPr>
          <w:rFonts w:ascii="Arial Narrow" w:hAnsi="Arial Narrow"/>
          <w:b/>
          <w:sz w:val="20"/>
        </w:rPr>
        <w:t xml:space="preserve">Table </w:t>
      </w:r>
      <w:r w:rsidRPr="003A7EA2">
        <w:rPr>
          <w:rFonts w:ascii="Arial Narrow" w:hAnsi="Arial Narrow"/>
          <w:b/>
          <w:sz w:val="20"/>
        </w:rPr>
        <w:fldChar w:fldCharType="begin"/>
      </w:r>
      <w:r w:rsidRPr="003A7EA2">
        <w:rPr>
          <w:rFonts w:ascii="Arial Narrow" w:hAnsi="Arial Narrow"/>
          <w:b/>
          <w:sz w:val="20"/>
        </w:rPr>
        <w:instrText xml:space="preserve"> SEQ Table \* ARABIC </w:instrText>
      </w:r>
      <w:r w:rsidRPr="003A7EA2">
        <w:rPr>
          <w:rFonts w:ascii="Arial Narrow" w:hAnsi="Arial Narrow"/>
          <w:b/>
          <w:sz w:val="20"/>
        </w:rPr>
        <w:fldChar w:fldCharType="separate"/>
      </w:r>
      <w:r w:rsidRPr="003A7EA2">
        <w:rPr>
          <w:rFonts w:ascii="Arial Narrow" w:hAnsi="Arial Narrow"/>
          <w:b/>
          <w:sz w:val="20"/>
        </w:rPr>
        <w:t>17</w:t>
      </w:r>
      <w:r w:rsidRPr="003A7EA2">
        <w:rPr>
          <w:rFonts w:ascii="Arial Narrow" w:hAnsi="Arial Narrow"/>
          <w:b/>
          <w:sz w:val="20"/>
        </w:rPr>
        <w:fldChar w:fldCharType="end"/>
      </w:r>
      <w:bookmarkEnd w:id="42"/>
      <w:r w:rsidRPr="003A7EA2">
        <w:rPr>
          <w:rFonts w:ascii="Arial Narrow" w:hAnsi="Arial Narrow"/>
          <w:b/>
          <w:sz w:val="20"/>
        </w:rPr>
        <w:t xml:space="preserve"> </w:t>
      </w:r>
      <w:r w:rsidRPr="003A7EA2">
        <w:rPr>
          <w:rFonts w:ascii="Arial Narrow" w:hAnsi="Arial Narrow"/>
          <w:b/>
          <w:sz w:val="20"/>
        </w:rPr>
        <w:tab/>
        <w:t>Total costs to the MBS associated with listing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tal costs to the MBS with the proposed listing"/>
        <w:tblDescription w:val="This table provides the estimates of the cost of cryoablation to the MBS in the first five years of listing, as well as the net impact to the MBS."/>
      </w:tblPr>
      <w:tblGrid>
        <w:gridCol w:w="3397"/>
        <w:gridCol w:w="1134"/>
        <w:gridCol w:w="1134"/>
        <w:gridCol w:w="1134"/>
        <w:gridCol w:w="1134"/>
        <w:gridCol w:w="1083"/>
      </w:tblGrid>
      <w:tr w:rsidR="00071451" w:rsidRPr="004F4A0A" w14:paraId="407E0878" w14:textId="77777777" w:rsidTr="001E7C51">
        <w:trPr>
          <w:trHeight w:val="300"/>
          <w:tblHeader/>
        </w:trPr>
        <w:tc>
          <w:tcPr>
            <w:tcW w:w="3397" w:type="dxa"/>
            <w:shd w:val="clear" w:color="auto" w:fill="auto"/>
            <w:noWrap/>
            <w:vAlign w:val="bottom"/>
            <w:hideMark/>
          </w:tcPr>
          <w:p w14:paraId="42823273" w14:textId="77777777" w:rsidR="00071451" w:rsidRPr="004F4A0A" w:rsidRDefault="00071451" w:rsidP="001E7C51">
            <w:pPr>
              <w:spacing w:before="40" w:after="40"/>
              <w:ind w:left="6"/>
              <w:rPr>
                <w:rFonts w:ascii="Arial Narrow" w:hAnsi="Arial Narrow"/>
                <w:sz w:val="20"/>
              </w:rPr>
            </w:pPr>
          </w:p>
        </w:tc>
        <w:tc>
          <w:tcPr>
            <w:tcW w:w="1134" w:type="dxa"/>
            <w:shd w:val="clear" w:color="auto" w:fill="auto"/>
            <w:noWrap/>
            <w:vAlign w:val="bottom"/>
            <w:hideMark/>
          </w:tcPr>
          <w:p w14:paraId="17D6350E" w14:textId="77777777" w:rsidR="00071451" w:rsidRPr="004F4A0A" w:rsidRDefault="00071451" w:rsidP="001E7C51">
            <w:pPr>
              <w:spacing w:before="40" w:after="40"/>
              <w:ind w:left="6"/>
              <w:jc w:val="center"/>
              <w:rPr>
                <w:rFonts w:ascii="Arial Narrow" w:hAnsi="Arial Narrow" w:cs="Calibri"/>
                <w:b/>
                <w:bCs/>
                <w:color w:val="000000"/>
                <w:sz w:val="20"/>
              </w:rPr>
            </w:pPr>
            <w:r w:rsidRPr="004F4A0A">
              <w:rPr>
                <w:rFonts w:ascii="Arial Narrow" w:hAnsi="Arial Narrow" w:cs="Calibri"/>
                <w:b/>
                <w:bCs/>
                <w:color w:val="000000"/>
                <w:sz w:val="20"/>
              </w:rPr>
              <w:t>Year 1</w:t>
            </w:r>
          </w:p>
        </w:tc>
        <w:tc>
          <w:tcPr>
            <w:tcW w:w="1134" w:type="dxa"/>
            <w:shd w:val="clear" w:color="auto" w:fill="auto"/>
            <w:noWrap/>
            <w:vAlign w:val="bottom"/>
            <w:hideMark/>
          </w:tcPr>
          <w:p w14:paraId="0FBE144F" w14:textId="77777777" w:rsidR="00071451" w:rsidRPr="004F4A0A" w:rsidRDefault="00071451" w:rsidP="001E7C51">
            <w:pPr>
              <w:spacing w:before="40" w:after="40"/>
              <w:ind w:left="6"/>
              <w:jc w:val="center"/>
              <w:rPr>
                <w:rFonts w:ascii="Arial Narrow" w:hAnsi="Arial Narrow" w:cs="Calibri"/>
                <w:b/>
                <w:bCs/>
                <w:color w:val="000000"/>
                <w:sz w:val="20"/>
              </w:rPr>
            </w:pPr>
            <w:r w:rsidRPr="004F4A0A">
              <w:rPr>
                <w:rFonts w:ascii="Arial Narrow" w:hAnsi="Arial Narrow" w:cs="Calibri"/>
                <w:b/>
                <w:bCs/>
                <w:color w:val="000000"/>
                <w:sz w:val="20"/>
              </w:rPr>
              <w:t>Year 2</w:t>
            </w:r>
          </w:p>
        </w:tc>
        <w:tc>
          <w:tcPr>
            <w:tcW w:w="1134" w:type="dxa"/>
            <w:shd w:val="clear" w:color="auto" w:fill="auto"/>
            <w:noWrap/>
            <w:vAlign w:val="bottom"/>
            <w:hideMark/>
          </w:tcPr>
          <w:p w14:paraId="0A1DD359" w14:textId="77777777" w:rsidR="00071451" w:rsidRPr="004F4A0A" w:rsidRDefault="00071451" w:rsidP="001E7C51">
            <w:pPr>
              <w:spacing w:before="40" w:after="40"/>
              <w:ind w:left="6"/>
              <w:jc w:val="center"/>
              <w:rPr>
                <w:rFonts w:ascii="Arial Narrow" w:hAnsi="Arial Narrow" w:cs="Calibri"/>
                <w:b/>
                <w:bCs/>
                <w:color w:val="000000"/>
                <w:sz w:val="20"/>
              </w:rPr>
            </w:pPr>
            <w:r w:rsidRPr="004F4A0A">
              <w:rPr>
                <w:rFonts w:ascii="Arial Narrow" w:hAnsi="Arial Narrow" w:cs="Calibri"/>
                <w:b/>
                <w:bCs/>
                <w:color w:val="000000"/>
                <w:sz w:val="20"/>
              </w:rPr>
              <w:t>Year 3</w:t>
            </w:r>
          </w:p>
        </w:tc>
        <w:tc>
          <w:tcPr>
            <w:tcW w:w="1134" w:type="dxa"/>
            <w:shd w:val="clear" w:color="auto" w:fill="auto"/>
            <w:noWrap/>
            <w:vAlign w:val="bottom"/>
            <w:hideMark/>
          </w:tcPr>
          <w:p w14:paraId="3541BD19" w14:textId="77777777" w:rsidR="00071451" w:rsidRPr="004F4A0A" w:rsidRDefault="00071451" w:rsidP="001E7C51">
            <w:pPr>
              <w:spacing w:before="40" w:after="40"/>
              <w:ind w:left="6"/>
              <w:jc w:val="center"/>
              <w:rPr>
                <w:rFonts w:ascii="Arial Narrow" w:hAnsi="Arial Narrow" w:cs="Calibri"/>
                <w:b/>
                <w:bCs/>
                <w:color w:val="000000"/>
                <w:sz w:val="20"/>
              </w:rPr>
            </w:pPr>
            <w:r w:rsidRPr="004F4A0A">
              <w:rPr>
                <w:rFonts w:ascii="Arial Narrow" w:hAnsi="Arial Narrow" w:cs="Calibri"/>
                <w:b/>
                <w:bCs/>
                <w:color w:val="000000"/>
                <w:sz w:val="20"/>
              </w:rPr>
              <w:t>Year 4</w:t>
            </w:r>
          </w:p>
        </w:tc>
        <w:tc>
          <w:tcPr>
            <w:tcW w:w="1083" w:type="dxa"/>
            <w:shd w:val="clear" w:color="auto" w:fill="auto"/>
            <w:noWrap/>
            <w:vAlign w:val="bottom"/>
            <w:hideMark/>
          </w:tcPr>
          <w:p w14:paraId="360031AA" w14:textId="77777777" w:rsidR="00071451" w:rsidRPr="004F4A0A" w:rsidRDefault="00071451" w:rsidP="001E7C51">
            <w:pPr>
              <w:spacing w:before="40" w:after="40"/>
              <w:ind w:left="6"/>
              <w:jc w:val="center"/>
              <w:rPr>
                <w:rFonts w:ascii="Arial Narrow" w:hAnsi="Arial Narrow" w:cs="Calibri"/>
                <w:b/>
                <w:bCs/>
                <w:color w:val="000000"/>
                <w:sz w:val="20"/>
              </w:rPr>
            </w:pPr>
            <w:r w:rsidRPr="004F4A0A">
              <w:rPr>
                <w:rFonts w:ascii="Arial Narrow" w:hAnsi="Arial Narrow" w:cs="Calibri"/>
                <w:b/>
                <w:bCs/>
                <w:color w:val="000000"/>
                <w:sz w:val="20"/>
              </w:rPr>
              <w:t>Year 5</w:t>
            </w:r>
          </w:p>
        </w:tc>
      </w:tr>
      <w:tr w:rsidR="00071451" w:rsidRPr="004F4A0A" w14:paraId="74208FB7" w14:textId="77777777" w:rsidTr="001E7C51">
        <w:trPr>
          <w:trHeight w:val="300"/>
          <w:tblHeader/>
        </w:trPr>
        <w:tc>
          <w:tcPr>
            <w:tcW w:w="3397" w:type="dxa"/>
            <w:tcBorders>
              <w:bottom w:val="single" w:sz="4" w:space="0" w:color="auto"/>
            </w:tcBorders>
            <w:shd w:val="clear" w:color="auto" w:fill="auto"/>
            <w:noWrap/>
            <w:vAlign w:val="bottom"/>
            <w:hideMark/>
          </w:tcPr>
          <w:p w14:paraId="3E17C8E6" w14:textId="77777777" w:rsidR="00071451" w:rsidRPr="004F4A0A" w:rsidRDefault="00071451" w:rsidP="001E7C51">
            <w:pPr>
              <w:spacing w:before="40" w:after="40"/>
              <w:ind w:left="6"/>
              <w:rPr>
                <w:rFonts w:ascii="Arial Narrow" w:hAnsi="Arial Narrow" w:cs="Calibri"/>
                <w:b/>
                <w:bCs/>
                <w:color w:val="000000"/>
                <w:sz w:val="20"/>
              </w:rPr>
            </w:pPr>
            <w:r w:rsidRPr="004F4A0A">
              <w:rPr>
                <w:rFonts w:ascii="Arial Narrow" w:hAnsi="Arial Narrow" w:cs="Calibri"/>
                <w:b/>
                <w:bCs/>
                <w:color w:val="000000"/>
                <w:sz w:val="20"/>
              </w:rPr>
              <w:t>Description</w:t>
            </w:r>
          </w:p>
        </w:tc>
        <w:tc>
          <w:tcPr>
            <w:tcW w:w="1134" w:type="dxa"/>
            <w:tcBorders>
              <w:bottom w:val="single" w:sz="4" w:space="0" w:color="auto"/>
            </w:tcBorders>
            <w:shd w:val="clear" w:color="auto" w:fill="auto"/>
            <w:noWrap/>
            <w:vAlign w:val="bottom"/>
            <w:hideMark/>
          </w:tcPr>
          <w:p w14:paraId="3182E936" w14:textId="77777777" w:rsidR="00071451" w:rsidRPr="004F4A0A" w:rsidRDefault="00071451" w:rsidP="001E7C51">
            <w:pPr>
              <w:spacing w:before="40" w:after="40"/>
              <w:ind w:left="6"/>
              <w:jc w:val="center"/>
              <w:rPr>
                <w:rFonts w:ascii="Arial Narrow" w:hAnsi="Arial Narrow" w:cs="Calibri"/>
                <w:b/>
                <w:bCs/>
                <w:color w:val="000000"/>
                <w:sz w:val="20"/>
              </w:rPr>
            </w:pPr>
            <w:r w:rsidRPr="004F4A0A">
              <w:rPr>
                <w:rFonts w:ascii="Arial Narrow" w:hAnsi="Arial Narrow" w:cs="Calibri"/>
                <w:b/>
                <w:bCs/>
                <w:color w:val="000000"/>
                <w:sz w:val="20"/>
              </w:rPr>
              <w:t>2021</w:t>
            </w:r>
          </w:p>
        </w:tc>
        <w:tc>
          <w:tcPr>
            <w:tcW w:w="1134" w:type="dxa"/>
            <w:tcBorders>
              <w:bottom w:val="single" w:sz="4" w:space="0" w:color="auto"/>
            </w:tcBorders>
            <w:shd w:val="clear" w:color="auto" w:fill="auto"/>
            <w:noWrap/>
            <w:vAlign w:val="bottom"/>
            <w:hideMark/>
          </w:tcPr>
          <w:p w14:paraId="0639854D" w14:textId="77777777" w:rsidR="00071451" w:rsidRPr="004F4A0A" w:rsidRDefault="00071451" w:rsidP="001E7C51">
            <w:pPr>
              <w:spacing w:before="40" w:after="40"/>
              <w:ind w:left="6"/>
              <w:jc w:val="center"/>
              <w:rPr>
                <w:rFonts w:ascii="Arial Narrow" w:hAnsi="Arial Narrow" w:cs="Calibri"/>
                <w:b/>
                <w:bCs/>
                <w:color w:val="000000"/>
                <w:sz w:val="20"/>
              </w:rPr>
            </w:pPr>
            <w:r w:rsidRPr="004F4A0A">
              <w:rPr>
                <w:rFonts w:ascii="Arial Narrow" w:hAnsi="Arial Narrow" w:cs="Calibri"/>
                <w:b/>
                <w:bCs/>
                <w:color w:val="000000"/>
                <w:sz w:val="20"/>
              </w:rPr>
              <w:t>2022</w:t>
            </w:r>
          </w:p>
        </w:tc>
        <w:tc>
          <w:tcPr>
            <w:tcW w:w="1134" w:type="dxa"/>
            <w:tcBorders>
              <w:bottom w:val="single" w:sz="4" w:space="0" w:color="auto"/>
            </w:tcBorders>
            <w:shd w:val="clear" w:color="auto" w:fill="auto"/>
            <w:noWrap/>
            <w:vAlign w:val="bottom"/>
            <w:hideMark/>
          </w:tcPr>
          <w:p w14:paraId="67BB95CA" w14:textId="77777777" w:rsidR="00071451" w:rsidRPr="004F4A0A" w:rsidRDefault="00071451" w:rsidP="001E7C51">
            <w:pPr>
              <w:spacing w:before="40" w:after="40"/>
              <w:ind w:left="6"/>
              <w:jc w:val="center"/>
              <w:rPr>
                <w:rFonts w:ascii="Arial Narrow" w:hAnsi="Arial Narrow" w:cs="Calibri"/>
                <w:b/>
                <w:bCs/>
                <w:color w:val="000000"/>
                <w:sz w:val="20"/>
              </w:rPr>
            </w:pPr>
            <w:r w:rsidRPr="004F4A0A">
              <w:rPr>
                <w:rFonts w:ascii="Arial Narrow" w:hAnsi="Arial Narrow" w:cs="Calibri"/>
                <w:b/>
                <w:bCs/>
                <w:color w:val="000000"/>
                <w:sz w:val="20"/>
              </w:rPr>
              <w:t>2023</w:t>
            </w:r>
          </w:p>
        </w:tc>
        <w:tc>
          <w:tcPr>
            <w:tcW w:w="1134" w:type="dxa"/>
            <w:tcBorders>
              <w:bottom w:val="single" w:sz="4" w:space="0" w:color="auto"/>
            </w:tcBorders>
            <w:shd w:val="clear" w:color="auto" w:fill="auto"/>
            <w:noWrap/>
            <w:vAlign w:val="bottom"/>
            <w:hideMark/>
          </w:tcPr>
          <w:p w14:paraId="226E56C7" w14:textId="77777777" w:rsidR="00071451" w:rsidRPr="004F4A0A" w:rsidRDefault="00071451" w:rsidP="001E7C51">
            <w:pPr>
              <w:spacing w:before="40" w:after="40"/>
              <w:ind w:left="6"/>
              <w:jc w:val="center"/>
              <w:rPr>
                <w:rFonts w:ascii="Arial Narrow" w:hAnsi="Arial Narrow" w:cs="Calibri"/>
                <w:b/>
                <w:bCs/>
                <w:color w:val="000000"/>
                <w:sz w:val="20"/>
              </w:rPr>
            </w:pPr>
            <w:r w:rsidRPr="004F4A0A">
              <w:rPr>
                <w:rFonts w:ascii="Arial Narrow" w:hAnsi="Arial Narrow" w:cs="Calibri"/>
                <w:b/>
                <w:bCs/>
                <w:color w:val="000000"/>
                <w:sz w:val="20"/>
              </w:rPr>
              <w:t>2024</w:t>
            </w:r>
          </w:p>
        </w:tc>
        <w:tc>
          <w:tcPr>
            <w:tcW w:w="1083" w:type="dxa"/>
            <w:tcBorders>
              <w:bottom w:val="single" w:sz="4" w:space="0" w:color="auto"/>
            </w:tcBorders>
            <w:shd w:val="clear" w:color="auto" w:fill="auto"/>
            <w:noWrap/>
            <w:vAlign w:val="bottom"/>
            <w:hideMark/>
          </w:tcPr>
          <w:p w14:paraId="7E03D573" w14:textId="77777777" w:rsidR="00071451" w:rsidRPr="004F4A0A" w:rsidRDefault="00071451" w:rsidP="001E7C51">
            <w:pPr>
              <w:spacing w:before="40" w:after="40"/>
              <w:ind w:left="6"/>
              <w:jc w:val="center"/>
              <w:rPr>
                <w:rFonts w:ascii="Arial Narrow" w:hAnsi="Arial Narrow" w:cs="Calibri"/>
                <w:b/>
                <w:bCs/>
                <w:color w:val="000000"/>
                <w:sz w:val="20"/>
              </w:rPr>
            </w:pPr>
            <w:r w:rsidRPr="004F4A0A">
              <w:rPr>
                <w:rFonts w:ascii="Arial Narrow" w:hAnsi="Arial Narrow" w:cs="Calibri"/>
                <w:b/>
                <w:bCs/>
                <w:color w:val="000000"/>
                <w:sz w:val="20"/>
              </w:rPr>
              <w:t>2025</w:t>
            </w:r>
          </w:p>
        </w:tc>
      </w:tr>
      <w:tr w:rsidR="00071451" w:rsidRPr="004F4A0A" w14:paraId="7A47B6D2" w14:textId="77777777" w:rsidTr="001E7C51">
        <w:trPr>
          <w:trHeight w:val="300"/>
          <w:tblHeader/>
        </w:trPr>
        <w:tc>
          <w:tcPr>
            <w:tcW w:w="3397" w:type="dxa"/>
            <w:tcBorders>
              <w:top w:val="single" w:sz="4" w:space="0" w:color="auto"/>
              <w:left w:val="single" w:sz="4" w:space="0" w:color="auto"/>
              <w:bottom w:val="single" w:sz="4" w:space="0" w:color="auto"/>
              <w:right w:val="nil"/>
            </w:tcBorders>
            <w:shd w:val="clear" w:color="auto" w:fill="auto"/>
            <w:noWrap/>
            <w:vAlign w:val="bottom"/>
          </w:tcPr>
          <w:p w14:paraId="203651E6" w14:textId="77777777" w:rsidR="00071451" w:rsidRPr="004F4A0A" w:rsidRDefault="00071451" w:rsidP="001E7C51">
            <w:pPr>
              <w:spacing w:before="40" w:after="40"/>
              <w:ind w:left="6"/>
              <w:rPr>
                <w:rFonts w:ascii="Arial Narrow" w:hAnsi="Arial Narrow" w:cs="Calibri"/>
                <w:b/>
                <w:bCs/>
                <w:color w:val="000000"/>
                <w:sz w:val="20"/>
              </w:rPr>
            </w:pPr>
            <w:r w:rsidRPr="004F4A0A">
              <w:rPr>
                <w:rFonts w:ascii="Arial Narrow" w:hAnsi="Arial Narrow" w:cs="Calibri"/>
                <w:b/>
                <w:bCs/>
                <w:color w:val="000000"/>
                <w:sz w:val="20"/>
              </w:rPr>
              <w:t>Submission</w:t>
            </w:r>
          </w:p>
        </w:tc>
        <w:tc>
          <w:tcPr>
            <w:tcW w:w="1134" w:type="dxa"/>
            <w:tcBorders>
              <w:top w:val="single" w:sz="4" w:space="0" w:color="auto"/>
              <w:left w:val="nil"/>
              <w:bottom w:val="single" w:sz="4" w:space="0" w:color="auto"/>
              <w:right w:val="nil"/>
            </w:tcBorders>
            <w:shd w:val="clear" w:color="auto" w:fill="auto"/>
            <w:noWrap/>
            <w:vAlign w:val="bottom"/>
          </w:tcPr>
          <w:p w14:paraId="5EF0A61E" w14:textId="77777777" w:rsidR="00071451" w:rsidRPr="004F4A0A" w:rsidRDefault="00071451" w:rsidP="001E7C51">
            <w:pPr>
              <w:spacing w:before="40" w:after="40"/>
              <w:ind w:left="6"/>
              <w:jc w:val="center"/>
              <w:rPr>
                <w:rFonts w:ascii="Arial Narrow" w:hAnsi="Arial Narrow" w:cs="Calibri"/>
                <w:color w:val="000000"/>
                <w:sz w:val="20"/>
              </w:rPr>
            </w:pPr>
          </w:p>
        </w:tc>
        <w:tc>
          <w:tcPr>
            <w:tcW w:w="1134" w:type="dxa"/>
            <w:tcBorders>
              <w:top w:val="single" w:sz="4" w:space="0" w:color="auto"/>
              <w:left w:val="nil"/>
              <w:bottom w:val="single" w:sz="4" w:space="0" w:color="auto"/>
              <w:right w:val="nil"/>
            </w:tcBorders>
            <w:shd w:val="clear" w:color="auto" w:fill="auto"/>
            <w:noWrap/>
            <w:vAlign w:val="bottom"/>
          </w:tcPr>
          <w:p w14:paraId="5121A444" w14:textId="77777777" w:rsidR="00071451" w:rsidRPr="004F4A0A" w:rsidRDefault="00071451" w:rsidP="001E7C51">
            <w:pPr>
              <w:spacing w:before="40" w:after="40"/>
              <w:ind w:left="6"/>
              <w:jc w:val="center"/>
              <w:rPr>
                <w:rFonts w:ascii="Arial Narrow" w:hAnsi="Arial Narrow" w:cs="Calibri"/>
                <w:color w:val="000000"/>
                <w:sz w:val="20"/>
              </w:rPr>
            </w:pPr>
          </w:p>
        </w:tc>
        <w:tc>
          <w:tcPr>
            <w:tcW w:w="1134" w:type="dxa"/>
            <w:tcBorders>
              <w:top w:val="single" w:sz="4" w:space="0" w:color="auto"/>
              <w:left w:val="nil"/>
              <w:bottom w:val="single" w:sz="4" w:space="0" w:color="auto"/>
              <w:right w:val="nil"/>
            </w:tcBorders>
            <w:shd w:val="clear" w:color="auto" w:fill="auto"/>
            <w:noWrap/>
            <w:vAlign w:val="bottom"/>
          </w:tcPr>
          <w:p w14:paraId="12A7969A" w14:textId="77777777" w:rsidR="00071451" w:rsidRPr="004F4A0A" w:rsidRDefault="00071451" w:rsidP="001E7C51">
            <w:pPr>
              <w:spacing w:before="40" w:after="40"/>
              <w:ind w:left="6"/>
              <w:jc w:val="center"/>
              <w:rPr>
                <w:rFonts w:ascii="Arial Narrow" w:hAnsi="Arial Narrow" w:cs="Calibri"/>
                <w:color w:val="000000"/>
                <w:sz w:val="20"/>
              </w:rPr>
            </w:pPr>
          </w:p>
        </w:tc>
        <w:tc>
          <w:tcPr>
            <w:tcW w:w="1134" w:type="dxa"/>
            <w:tcBorders>
              <w:top w:val="single" w:sz="4" w:space="0" w:color="auto"/>
              <w:left w:val="nil"/>
              <w:bottom w:val="single" w:sz="4" w:space="0" w:color="auto"/>
              <w:right w:val="nil"/>
            </w:tcBorders>
            <w:shd w:val="clear" w:color="auto" w:fill="auto"/>
            <w:noWrap/>
            <w:vAlign w:val="bottom"/>
          </w:tcPr>
          <w:p w14:paraId="424959E0" w14:textId="77777777" w:rsidR="00071451" w:rsidRPr="004F4A0A" w:rsidRDefault="00071451" w:rsidP="001E7C51">
            <w:pPr>
              <w:spacing w:before="40" w:after="40"/>
              <w:ind w:left="6"/>
              <w:jc w:val="center"/>
              <w:rPr>
                <w:rFonts w:ascii="Arial Narrow" w:hAnsi="Arial Narrow" w:cs="Calibri"/>
                <w:color w:val="000000"/>
                <w:sz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309CE9A" w14:textId="77777777" w:rsidR="00071451" w:rsidRPr="004F4A0A" w:rsidRDefault="00071451" w:rsidP="001E7C51">
            <w:pPr>
              <w:spacing w:before="40" w:after="40"/>
              <w:ind w:left="6"/>
              <w:jc w:val="center"/>
              <w:rPr>
                <w:rFonts w:ascii="Arial Narrow" w:hAnsi="Arial Narrow" w:cs="Calibri"/>
                <w:color w:val="000000"/>
                <w:sz w:val="20"/>
              </w:rPr>
            </w:pPr>
          </w:p>
        </w:tc>
      </w:tr>
      <w:tr w:rsidR="00071451" w:rsidRPr="004F4A0A" w14:paraId="2B926AEC" w14:textId="77777777" w:rsidTr="001E7C51">
        <w:trPr>
          <w:trHeight w:val="300"/>
          <w:tblHead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D7E11" w14:textId="77777777" w:rsidR="00071451" w:rsidRPr="004F4A0A" w:rsidRDefault="00071451" w:rsidP="001E7C51">
            <w:pPr>
              <w:spacing w:before="40" w:after="40"/>
              <w:ind w:left="6"/>
              <w:rPr>
                <w:rFonts w:ascii="Arial Narrow" w:hAnsi="Arial Narrow" w:cs="Calibri"/>
                <w:color w:val="000000"/>
                <w:sz w:val="20"/>
              </w:rPr>
            </w:pPr>
            <w:r w:rsidRPr="004F4A0A">
              <w:rPr>
                <w:rFonts w:ascii="Arial Narrow" w:hAnsi="Arial Narrow" w:cs="Calibri"/>
                <w:color w:val="000000"/>
                <w:sz w:val="20"/>
              </w:rPr>
              <w:t>MBS costs of 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A1BAE" w14:textId="77777777" w:rsidR="00071451" w:rsidRPr="004F4A0A" w:rsidRDefault="00071451" w:rsidP="001E7C51">
            <w:pPr>
              <w:spacing w:before="40" w:after="40"/>
              <w:ind w:left="6"/>
              <w:jc w:val="right"/>
              <w:rPr>
                <w:rFonts w:ascii="Arial Narrow" w:hAnsi="Arial Narrow"/>
                <w:sz w:val="20"/>
              </w:rPr>
            </w:pPr>
            <w:r w:rsidRPr="004F4A0A">
              <w:rPr>
                <w:rFonts w:ascii="Arial Narrow" w:hAnsi="Arial Narrow" w:cs="Calibri"/>
                <w:color w:val="000000"/>
                <w:sz w:val="20"/>
              </w:rPr>
              <w:t>$287,795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4C351" w14:textId="77777777" w:rsidR="00071451" w:rsidRPr="004F4A0A" w:rsidRDefault="00071451" w:rsidP="001E7C51">
            <w:pPr>
              <w:spacing w:before="40" w:after="40"/>
              <w:ind w:left="6"/>
              <w:jc w:val="right"/>
              <w:rPr>
                <w:rFonts w:ascii="Arial Narrow" w:hAnsi="Arial Narrow"/>
                <w:sz w:val="20"/>
              </w:rPr>
            </w:pPr>
            <w:r w:rsidRPr="004F4A0A">
              <w:rPr>
                <w:rFonts w:ascii="Arial Narrow" w:hAnsi="Arial Narrow" w:cs="Calibri"/>
                <w:color w:val="000000"/>
                <w:sz w:val="20"/>
              </w:rPr>
              <w:t>$344,029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5E3D9" w14:textId="77777777" w:rsidR="00071451" w:rsidRPr="004F4A0A" w:rsidRDefault="00071451" w:rsidP="001E7C51">
            <w:pPr>
              <w:spacing w:before="40" w:after="40"/>
              <w:ind w:left="6"/>
              <w:jc w:val="right"/>
              <w:rPr>
                <w:rFonts w:ascii="Arial Narrow" w:hAnsi="Arial Narrow"/>
                <w:sz w:val="20"/>
              </w:rPr>
            </w:pPr>
            <w:r w:rsidRPr="004F4A0A">
              <w:rPr>
                <w:rFonts w:ascii="Arial Narrow" w:hAnsi="Arial Narrow" w:cs="Calibri"/>
                <w:color w:val="000000"/>
                <w:sz w:val="20"/>
              </w:rPr>
              <w:t>$399,072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2EB79" w14:textId="77777777" w:rsidR="00071451" w:rsidRPr="004F4A0A" w:rsidRDefault="00071451" w:rsidP="001E7C51">
            <w:pPr>
              <w:spacing w:before="40" w:after="40"/>
              <w:ind w:left="6"/>
              <w:jc w:val="right"/>
              <w:rPr>
                <w:rFonts w:ascii="Arial Narrow" w:hAnsi="Arial Narrow"/>
                <w:sz w:val="20"/>
              </w:rPr>
            </w:pPr>
            <w:r w:rsidRPr="004F4A0A">
              <w:rPr>
                <w:rFonts w:ascii="Arial Narrow" w:hAnsi="Arial Narrow" w:cs="Calibri"/>
                <w:color w:val="000000"/>
                <w:sz w:val="20"/>
              </w:rPr>
              <w:t>$453,054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073AD" w14:textId="77777777" w:rsidR="00071451" w:rsidRPr="004F4A0A" w:rsidRDefault="00071451" w:rsidP="001E7C51">
            <w:pPr>
              <w:spacing w:before="40" w:after="40"/>
              <w:ind w:left="6"/>
              <w:jc w:val="right"/>
              <w:rPr>
                <w:rFonts w:ascii="Arial Narrow" w:hAnsi="Arial Narrow"/>
                <w:sz w:val="20"/>
              </w:rPr>
            </w:pPr>
            <w:r w:rsidRPr="004F4A0A">
              <w:rPr>
                <w:rFonts w:ascii="Arial Narrow" w:hAnsi="Arial Narrow" w:cs="Calibri"/>
                <w:color w:val="000000"/>
                <w:sz w:val="20"/>
              </w:rPr>
              <w:t>$505,945</w:t>
            </w:r>
          </w:p>
        </w:tc>
      </w:tr>
      <w:tr w:rsidR="00071451" w:rsidRPr="004F4A0A" w14:paraId="2245B087" w14:textId="77777777" w:rsidTr="001E7C51">
        <w:trPr>
          <w:trHeight w:val="300"/>
          <w:tblHead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CA69E" w14:textId="77777777" w:rsidR="00071451" w:rsidRPr="004F4A0A" w:rsidRDefault="00071451" w:rsidP="001E7C51">
            <w:pPr>
              <w:spacing w:before="40" w:after="40"/>
              <w:ind w:left="6"/>
              <w:rPr>
                <w:rFonts w:ascii="Arial Narrow" w:hAnsi="Arial Narrow" w:cs="Calibri"/>
                <w:color w:val="000000"/>
                <w:sz w:val="20"/>
              </w:rPr>
            </w:pPr>
            <w:r w:rsidRPr="004F4A0A">
              <w:rPr>
                <w:rFonts w:ascii="Arial Narrow" w:hAnsi="Arial Narrow" w:cs="Calibri"/>
                <w:color w:val="000000"/>
                <w:sz w:val="20"/>
              </w:rPr>
              <w:t>Change in MBS Costs (AS/DT + RN)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0CECC" w14:textId="77777777" w:rsidR="00071451" w:rsidRPr="004F4A0A" w:rsidRDefault="00071451" w:rsidP="001E7C51">
            <w:pPr>
              <w:spacing w:before="40" w:after="40"/>
              <w:ind w:left="6"/>
              <w:jc w:val="right"/>
              <w:rPr>
                <w:rFonts w:ascii="Arial Narrow" w:hAnsi="Arial Narrow"/>
                <w:sz w:val="20"/>
              </w:rPr>
            </w:pPr>
            <w:r w:rsidRPr="004F4A0A">
              <w:rPr>
                <w:rFonts w:ascii="Arial Narrow" w:hAnsi="Arial Narrow" w:cs="Calibri"/>
                <w:color w:val="000000"/>
                <w:sz w:val="20"/>
              </w:rPr>
              <w:t>-$180,992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A21F4" w14:textId="77777777" w:rsidR="00071451" w:rsidRPr="004F4A0A" w:rsidRDefault="00071451" w:rsidP="001E7C51">
            <w:pPr>
              <w:spacing w:before="40" w:after="40"/>
              <w:ind w:left="6"/>
              <w:jc w:val="right"/>
              <w:rPr>
                <w:rFonts w:ascii="Arial Narrow" w:hAnsi="Arial Narrow"/>
                <w:sz w:val="20"/>
              </w:rPr>
            </w:pPr>
            <w:r w:rsidRPr="004F4A0A">
              <w:rPr>
                <w:rFonts w:ascii="Arial Narrow" w:hAnsi="Arial Narrow" w:cs="Calibri"/>
                <w:color w:val="000000"/>
                <w:sz w:val="20"/>
              </w:rPr>
              <w:t>-$227,188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5702C" w14:textId="77777777" w:rsidR="00071451" w:rsidRPr="004F4A0A" w:rsidRDefault="00071451" w:rsidP="001E7C51">
            <w:pPr>
              <w:spacing w:before="40" w:after="40"/>
              <w:ind w:left="6"/>
              <w:jc w:val="right"/>
              <w:rPr>
                <w:rFonts w:ascii="Arial Narrow" w:hAnsi="Arial Narrow"/>
                <w:sz w:val="20"/>
              </w:rPr>
            </w:pPr>
            <w:r w:rsidRPr="004F4A0A">
              <w:rPr>
                <w:rFonts w:ascii="Arial Narrow" w:hAnsi="Arial Narrow" w:cs="Calibri"/>
                <w:color w:val="000000"/>
                <w:sz w:val="20"/>
              </w:rPr>
              <w:t>-$272,372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D1C5B" w14:textId="77777777" w:rsidR="00071451" w:rsidRPr="004F4A0A" w:rsidRDefault="00071451" w:rsidP="001E7C51">
            <w:pPr>
              <w:spacing w:before="40" w:after="40"/>
              <w:ind w:left="6"/>
              <w:jc w:val="right"/>
              <w:rPr>
                <w:rFonts w:ascii="Arial Narrow" w:hAnsi="Arial Narrow"/>
                <w:sz w:val="20"/>
              </w:rPr>
            </w:pPr>
            <w:r w:rsidRPr="004F4A0A">
              <w:rPr>
                <w:rFonts w:ascii="Arial Narrow" w:hAnsi="Arial Narrow" w:cs="Calibri"/>
                <w:color w:val="000000"/>
                <w:sz w:val="20"/>
              </w:rPr>
              <w:t>-$453,612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596C4" w14:textId="77777777" w:rsidR="00071451" w:rsidRPr="004F4A0A" w:rsidRDefault="00071451" w:rsidP="001E7C51">
            <w:pPr>
              <w:spacing w:before="40" w:after="40"/>
              <w:ind w:left="6"/>
              <w:jc w:val="right"/>
              <w:rPr>
                <w:rFonts w:ascii="Arial Narrow" w:hAnsi="Arial Narrow"/>
                <w:sz w:val="20"/>
              </w:rPr>
            </w:pPr>
            <w:r w:rsidRPr="004F4A0A">
              <w:rPr>
                <w:rFonts w:ascii="Arial Narrow" w:hAnsi="Arial Narrow" w:cs="Calibri"/>
                <w:color w:val="000000"/>
                <w:sz w:val="20"/>
              </w:rPr>
              <w:t>-$472,950</w:t>
            </w:r>
          </w:p>
        </w:tc>
      </w:tr>
      <w:tr w:rsidR="00071451" w:rsidRPr="004F4A0A" w14:paraId="7350D1FF" w14:textId="77777777" w:rsidTr="001E7C51">
        <w:trPr>
          <w:trHeight w:val="300"/>
          <w:tblHead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1DDEB" w14:textId="77777777" w:rsidR="00071451" w:rsidRPr="004F4A0A" w:rsidRDefault="00071451" w:rsidP="001E7C51">
            <w:pPr>
              <w:spacing w:before="40" w:after="40"/>
              <w:ind w:left="6"/>
              <w:rPr>
                <w:rFonts w:ascii="Arial Narrow" w:hAnsi="Arial Narrow"/>
                <w:b/>
                <w:bCs/>
                <w:sz w:val="20"/>
              </w:rPr>
            </w:pPr>
            <w:r w:rsidRPr="004F4A0A">
              <w:rPr>
                <w:rFonts w:ascii="Arial Narrow" w:hAnsi="Arial Narrow"/>
                <w:b/>
                <w:bCs/>
                <w:sz w:val="20"/>
              </w:rPr>
              <w:t>Net Impact to MBS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B6707" w14:textId="77777777" w:rsidR="00071451" w:rsidRPr="004F4A0A" w:rsidRDefault="00071451" w:rsidP="001E7C51">
            <w:pPr>
              <w:spacing w:before="40" w:after="40"/>
              <w:ind w:left="6"/>
              <w:jc w:val="right"/>
              <w:rPr>
                <w:rFonts w:ascii="Arial Narrow" w:hAnsi="Arial Narrow"/>
                <w:b/>
                <w:bCs/>
                <w:sz w:val="20"/>
              </w:rPr>
            </w:pPr>
            <w:r w:rsidRPr="004F4A0A">
              <w:rPr>
                <w:rFonts w:ascii="Arial Narrow" w:hAnsi="Arial Narrow" w:cs="Calibri"/>
                <w:b/>
                <w:bCs/>
                <w:color w:val="000000"/>
                <w:sz w:val="20"/>
              </w:rPr>
              <w:t>$106,803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C252D" w14:textId="77777777" w:rsidR="00071451" w:rsidRPr="004F4A0A" w:rsidRDefault="00071451" w:rsidP="001E7C51">
            <w:pPr>
              <w:spacing w:before="40" w:after="40"/>
              <w:ind w:left="6"/>
              <w:jc w:val="right"/>
              <w:rPr>
                <w:rFonts w:ascii="Arial Narrow" w:hAnsi="Arial Narrow"/>
                <w:b/>
                <w:bCs/>
                <w:sz w:val="20"/>
              </w:rPr>
            </w:pPr>
            <w:r w:rsidRPr="004F4A0A">
              <w:rPr>
                <w:rFonts w:ascii="Arial Narrow" w:hAnsi="Arial Narrow" w:cs="Calibri"/>
                <w:b/>
                <w:bCs/>
                <w:color w:val="000000"/>
                <w:sz w:val="20"/>
              </w:rPr>
              <w:t>$116,841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AFA93" w14:textId="77777777" w:rsidR="00071451" w:rsidRPr="004F4A0A" w:rsidRDefault="00071451" w:rsidP="001E7C51">
            <w:pPr>
              <w:spacing w:before="40" w:after="40"/>
              <w:ind w:left="6"/>
              <w:jc w:val="right"/>
              <w:rPr>
                <w:rFonts w:ascii="Arial Narrow" w:hAnsi="Arial Narrow"/>
                <w:b/>
                <w:bCs/>
                <w:sz w:val="20"/>
              </w:rPr>
            </w:pPr>
            <w:r w:rsidRPr="004F4A0A">
              <w:rPr>
                <w:rFonts w:ascii="Arial Narrow" w:hAnsi="Arial Narrow" w:cs="Calibri"/>
                <w:b/>
                <w:bCs/>
                <w:color w:val="000000"/>
                <w:sz w:val="20"/>
              </w:rPr>
              <w:t>$126,700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BC153" w14:textId="77777777" w:rsidR="00071451" w:rsidRPr="004F4A0A" w:rsidRDefault="00071451" w:rsidP="001E7C51">
            <w:pPr>
              <w:spacing w:before="40" w:after="40"/>
              <w:ind w:left="6"/>
              <w:jc w:val="right"/>
              <w:rPr>
                <w:rFonts w:ascii="Arial Narrow" w:hAnsi="Arial Narrow"/>
                <w:b/>
                <w:bCs/>
                <w:sz w:val="20"/>
              </w:rPr>
            </w:pPr>
            <w:r w:rsidRPr="004F4A0A">
              <w:rPr>
                <w:rFonts w:ascii="Arial Narrow" w:hAnsi="Arial Narrow" w:cs="Calibri"/>
                <w:b/>
                <w:bCs/>
                <w:color w:val="000000"/>
                <w:sz w:val="20"/>
              </w:rPr>
              <w:t>-$558</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48AE2" w14:textId="77777777" w:rsidR="00071451" w:rsidRPr="004F4A0A" w:rsidRDefault="00071451" w:rsidP="001E7C51">
            <w:pPr>
              <w:spacing w:before="40" w:after="40"/>
              <w:ind w:left="6"/>
              <w:jc w:val="right"/>
              <w:rPr>
                <w:rFonts w:ascii="Arial Narrow" w:hAnsi="Arial Narrow"/>
                <w:b/>
                <w:bCs/>
                <w:sz w:val="20"/>
              </w:rPr>
            </w:pPr>
            <w:r w:rsidRPr="004F4A0A">
              <w:rPr>
                <w:rFonts w:ascii="Arial Narrow" w:hAnsi="Arial Narrow" w:cs="Calibri"/>
                <w:b/>
                <w:bCs/>
                <w:color w:val="000000"/>
                <w:sz w:val="20"/>
              </w:rPr>
              <w:t>$32,996</w:t>
            </w:r>
          </w:p>
        </w:tc>
      </w:tr>
      <w:tr w:rsidR="00071451" w:rsidRPr="004F4A0A" w14:paraId="4676AAB2" w14:textId="77777777" w:rsidTr="001E7C51">
        <w:trPr>
          <w:trHeight w:val="300"/>
          <w:tblHeader/>
        </w:trPr>
        <w:tc>
          <w:tcPr>
            <w:tcW w:w="3397" w:type="dxa"/>
            <w:tcBorders>
              <w:top w:val="single" w:sz="4" w:space="0" w:color="auto"/>
              <w:left w:val="single" w:sz="4" w:space="0" w:color="auto"/>
              <w:bottom w:val="single" w:sz="4" w:space="0" w:color="auto"/>
              <w:right w:val="nil"/>
            </w:tcBorders>
            <w:shd w:val="clear" w:color="auto" w:fill="auto"/>
            <w:noWrap/>
            <w:vAlign w:val="bottom"/>
          </w:tcPr>
          <w:p w14:paraId="7E9511ED" w14:textId="280D9FF9" w:rsidR="00071451" w:rsidRPr="004F4A0A" w:rsidRDefault="009842FE" w:rsidP="001E7C51">
            <w:pPr>
              <w:spacing w:before="40" w:after="40"/>
              <w:ind w:left="6"/>
              <w:rPr>
                <w:rFonts w:ascii="Arial Narrow" w:hAnsi="Arial Narrow"/>
                <w:b/>
                <w:bCs/>
                <w:i/>
                <w:iCs/>
                <w:sz w:val="20"/>
              </w:rPr>
            </w:pPr>
            <w:r>
              <w:rPr>
                <w:rFonts w:ascii="Arial Narrow" w:hAnsi="Arial Narrow"/>
                <w:b/>
                <w:bCs/>
                <w:i/>
                <w:iCs/>
                <w:sz w:val="20"/>
              </w:rPr>
              <w:t>Commentary</w:t>
            </w:r>
          </w:p>
        </w:tc>
        <w:tc>
          <w:tcPr>
            <w:tcW w:w="1134" w:type="dxa"/>
            <w:tcBorders>
              <w:top w:val="single" w:sz="4" w:space="0" w:color="auto"/>
              <w:left w:val="nil"/>
              <w:bottom w:val="single" w:sz="4" w:space="0" w:color="auto"/>
              <w:right w:val="nil"/>
            </w:tcBorders>
            <w:shd w:val="clear" w:color="auto" w:fill="auto"/>
            <w:noWrap/>
            <w:vAlign w:val="bottom"/>
          </w:tcPr>
          <w:p w14:paraId="37DDBFB0" w14:textId="77777777" w:rsidR="00071451" w:rsidRPr="004F4A0A" w:rsidRDefault="00071451" w:rsidP="001E7C51">
            <w:pPr>
              <w:spacing w:before="40" w:after="40"/>
              <w:ind w:left="6"/>
              <w:jc w:val="right"/>
              <w:rPr>
                <w:rFonts w:ascii="Arial Narrow" w:hAnsi="Arial Narrow" w:cs="Calibri"/>
                <w:b/>
                <w:bCs/>
                <w:i/>
                <w:iCs/>
                <w:color w:val="000000"/>
                <w:sz w:val="20"/>
              </w:rPr>
            </w:pPr>
          </w:p>
        </w:tc>
        <w:tc>
          <w:tcPr>
            <w:tcW w:w="1134" w:type="dxa"/>
            <w:tcBorders>
              <w:top w:val="single" w:sz="4" w:space="0" w:color="auto"/>
              <w:left w:val="nil"/>
              <w:bottom w:val="single" w:sz="4" w:space="0" w:color="auto"/>
              <w:right w:val="nil"/>
            </w:tcBorders>
            <w:shd w:val="clear" w:color="auto" w:fill="auto"/>
            <w:noWrap/>
            <w:vAlign w:val="bottom"/>
          </w:tcPr>
          <w:p w14:paraId="510F8FE3" w14:textId="77777777" w:rsidR="00071451" w:rsidRPr="004F4A0A" w:rsidRDefault="00071451" w:rsidP="001E7C51">
            <w:pPr>
              <w:spacing w:before="40" w:after="40"/>
              <w:ind w:left="6"/>
              <w:jc w:val="right"/>
              <w:rPr>
                <w:rFonts w:ascii="Arial Narrow" w:hAnsi="Arial Narrow" w:cs="Calibri"/>
                <w:b/>
                <w:bCs/>
                <w:i/>
                <w:iCs/>
                <w:color w:val="000000"/>
                <w:sz w:val="20"/>
              </w:rPr>
            </w:pPr>
          </w:p>
        </w:tc>
        <w:tc>
          <w:tcPr>
            <w:tcW w:w="1134" w:type="dxa"/>
            <w:tcBorders>
              <w:top w:val="single" w:sz="4" w:space="0" w:color="auto"/>
              <w:left w:val="nil"/>
              <w:bottom w:val="single" w:sz="4" w:space="0" w:color="auto"/>
              <w:right w:val="nil"/>
            </w:tcBorders>
            <w:shd w:val="clear" w:color="auto" w:fill="auto"/>
            <w:noWrap/>
            <w:vAlign w:val="bottom"/>
          </w:tcPr>
          <w:p w14:paraId="5D0FE635" w14:textId="77777777" w:rsidR="00071451" w:rsidRPr="004F4A0A" w:rsidRDefault="00071451" w:rsidP="001E7C51">
            <w:pPr>
              <w:spacing w:before="40" w:after="40"/>
              <w:ind w:left="6"/>
              <w:jc w:val="right"/>
              <w:rPr>
                <w:rFonts w:ascii="Arial Narrow" w:hAnsi="Arial Narrow" w:cs="Calibri"/>
                <w:b/>
                <w:bCs/>
                <w:i/>
                <w:iCs/>
                <w:color w:val="000000"/>
                <w:sz w:val="20"/>
              </w:rPr>
            </w:pPr>
          </w:p>
        </w:tc>
        <w:tc>
          <w:tcPr>
            <w:tcW w:w="1134" w:type="dxa"/>
            <w:tcBorders>
              <w:top w:val="single" w:sz="4" w:space="0" w:color="auto"/>
              <w:left w:val="nil"/>
              <w:bottom w:val="single" w:sz="4" w:space="0" w:color="auto"/>
              <w:right w:val="nil"/>
            </w:tcBorders>
            <w:shd w:val="clear" w:color="auto" w:fill="auto"/>
            <w:noWrap/>
            <w:vAlign w:val="bottom"/>
          </w:tcPr>
          <w:p w14:paraId="45FF6AED" w14:textId="77777777" w:rsidR="00071451" w:rsidRPr="004F4A0A" w:rsidRDefault="00071451" w:rsidP="001E7C51">
            <w:pPr>
              <w:spacing w:before="40" w:after="40"/>
              <w:ind w:left="6"/>
              <w:jc w:val="right"/>
              <w:rPr>
                <w:rFonts w:ascii="Arial Narrow" w:hAnsi="Arial Narrow" w:cs="Calibri"/>
                <w:b/>
                <w:bCs/>
                <w:i/>
                <w:iCs/>
                <w:color w:val="000000"/>
                <w:sz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2B5E09C" w14:textId="77777777" w:rsidR="00071451" w:rsidRPr="004F4A0A" w:rsidRDefault="00071451" w:rsidP="001E7C51">
            <w:pPr>
              <w:spacing w:before="40" w:after="40"/>
              <w:ind w:left="6"/>
              <w:jc w:val="right"/>
              <w:rPr>
                <w:rFonts w:ascii="Arial Narrow" w:hAnsi="Arial Narrow" w:cs="Calibri"/>
                <w:b/>
                <w:bCs/>
                <w:i/>
                <w:iCs/>
                <w:color w:val="000000"/>
                <w:sz w:val="20"/>
              </w:rPr>
            </w:pPr>
          </w:p>
        </w:tc>
      </w:tr>
      <w:tr w:rsidR="00071451" w:rsidRPr="004F4A0A" w14:paraId="4827EEB2" w14:textId="77777777" w:rsidTr="001E7C51">
        <w:trPr>
          <w:trHeight w:val="300"/>
          <w:tblHead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F4967" w14:textId="77777777" w:rsidR="00071451" w:rsidRPr="004F4A0A" w:rsidRDefault="00071451" w:rsidP="001E7C51">
            <w:pPr>
              <w:spacing w:before="40" w:after="40"/>
              <w:ind w:left="6"/>
              <w:rPr>
                <w:rFonts w:ascii="Arial Narrow" w:hAnsi="Arial Narrow"/>
                <w:b/>
                <w:bCs/>
                <w:i/>
                <w:iCs/>
                <w:sz w:val="20"/>
              </w:rPr>
            </w:pPr>
            <w:r w:rsidRPr="004F4A0A">
              <w:rPr>
                <w:rFonts w:ascii="Arial Narrow" w:hAnsi="Arial Narrow" w:cs="Calibri"/>
                <w:i/>
                <w:iCs/>
                <w:color w:val="000000"/>
                <w:sz w:val="20"/>
              </w:rPr>
              <w:t>MBS costs of 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FCCFC" w14:textId="77777777" w:rsidR="00071451" w:rsidRPr="004F4A0A" w:rsidRDefault="00071451" w:rsidP="001E7C51">
            <w:pPr>
              <w:spacing w:before="40" w:after="40"/>
              <w:ind w:left="6"/>
              <w:jc w:val="right"/>
              <w:rPr>
                <w:rFonts w:ascii="Arial Narrow" w:hAnsi="Arial Narrow" w:cs="Calibri"/>
                <w:b/>
                <w:bCs/>
                <w:i/>
                <w:iCs/>
                <w:color w:val="000000"/>
                <w:sz w:val="20"/>
              </w:rPr>
            </w:pPr>
            <w:r w:rsidRPr="004F4A0A">
              <w:rPr>
                <w:rFonts w:ascii="Arial Narrow" w:hAnsi="Arial Narrow" w:cs="Calibri"/>
                <w:i/>
                <w:iCs/>
                <w:color w:val="000000"/>
                <w:sz w:val="20"/>
              </w:rPr>
              <w:t>$174,462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7ADDA" w14:textId="77777777" w:rsidR="00071451" w:rsidRPr="004F4A0A" w:rsidRDefault="00071451" w:rsidP="001E7C51">
            <w:pPr>
              <w:spacing w:before="40" w:after="40"/>
              <w:ind w:left="6"/>
              <w:jc w:val="right"/>
              <w:rPr>
                <w:rFonts w:ascii="Arial Narrow" w:hAnsi="Arial Narrow" w:cs="Calibri"/>
                <w:b/>
                <w:bCs/>
                <w:i/>
                <w:iCs/>
                <w:color w:val="000000"/>
                <w:sz w:val="20"/>
              </w:rPr>
            </w:pPr>
            <w:r w:rsidRPr="004F4A0A">
              <w:rPr>
                <w:rFonts w:ascii="Arial Narrow" w:hAnsi="Arial Narrow" w:cs="Calibri"/>
                <w:i/>
                <w:iCs/>
                <w:color w:val="000000"/>
                <w:sz w:val="20"/>
              </w:rPr>
              <w:t>$208,782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5308D" w14:textId="77777777" w:rsidR="00071451" w:rsidRPr="004F4A0A" w:rsidRDefault="00071451" w:rsidP="001E7C51">
            <w:pPr>
              <w:spacing w:before="40" w:after="40"/>
              <w:ind w:left="6"/>
              <w:jc w:val="right"/>
              <w:rPr>
                <w:rFonts w:ascii="Arial Narrow" w:hAnsi="Arial Narrow" w:cs="Calibri"/>
                <w:b/>
                <w:bCs/>
                <w:i/>
                <w:iCs/>
                <w:color w:val="000000"/>
                <w:sz w:val="20"/>
              </w:rPr>
            </w:pPr>
            <w:r w:rsidRPr="004F4A0A">
              <w:rPr>
                <w:rFonts w:ascii="Arial Narrow" w:hAnsi="Arial Narrow" w:cs="Calibri"/>
                <w:i/>
                <w:iCs/>
                <w:color w:val="000000"/>
                <w:sz w:val="20"/>
              </w:rPr>
              <w:t>$242,374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47F72" w14:textId="77777777" w:rsidR="00071451" w:rsidRPr="004F4A0A" w:rsidRDefault="00071451" w:rsidP="001E7C51">
            <w:pPr>
              <w:spacing w:before="40" w:after="40"/>
              <w:ind w:left="6"/>
              <w:jc w:val="right"/>
              <w:rPr>
                <w:rFonts w:ascii="Arial Narrow" w:hAnsi="Arial Narrow" w:cs="Calibri"/>
                <w:b/>
                <w:bCs/>
                <w:i/>
                <w:iCs/>
                <w:color w:val="000000"/>
                <w:sz w:val="20"/>
              </w:rPr>
            </w:pPr>
            <w:r w:rsidRPr="004F4A0A">
              <w:rPr>
                <w:rFonts w:ascii="Arial Narrow" w:hAnsi="Arial Narrow" w:cs="Calibri"/>
                <w:i/>
                <w:iCs/>
                <w:color w:val="000000"/>
                <w:sz w:val="20"/>
              </w:rPr>
              <w:t>$275,317</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9F34F" w14:textId="77777777" w:rsidR="00071451" w:rsidRPr="004F4A0A" w:rsidRDefault="00071451" w:rsidP="001E7C51">
            <w:pPr>
              <w:spacing w:before="40" w:after="40"/>
              <w:ind w:left="6"/>
              <w:jc w:val="right"/>
              <w:rPr>
                <w:rFonts w:ascii="Arial Narrow" w:hAnsi="Arial Narrow" w:cs="Calibri"/>
                <w:b/>
                <w:bCs/>
                <w:i/>
                <w:iCs/>
                <w:color w:val="000000"/>
                <w:sz w:val="20"/>
              </w:rPr>
            </w:pPr>
            <w:r w:rsidRPr="004F4A0A">
              <w:rPr>
                <w:rFonts w:ascii="Arial Narrow" w:hAnsi="Arial Narrow" w:cs="Calibri"/>
                <w:i/>
                <w:iCs/>
                <w:color w:val="000000"/>
                <w:sz w:val="20"/>
              </w:rPr>
              <w:t>$307,595</w:t>
            </w:r>
          </w:p>
        </w:tc>
      </w:tr>
      <w:tr w:rsidR="00071451" w:rsidRPr="004F4A0A" w14:paraId="4EA7C6B1" w14:textId="77777777" w:rsidTr="001E7C51">
        <w:trPr>
          <w:trHeight w:val="300"/>
          <w:tblHead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D0A11" w14:textId="77777777" w:rsidR="00071451" w:rsidRPr="004F4A0A" w:rsidRDefault="00071451" w:rsidP="001E7C51">
            <w:pPr>
              <w:spacing w:before="40" w:after="40"/>
              <w:ind w:left="6"/>
              <w:rPr>
                <w:rFonts w:ascii="Arial Narrow" w:hAnsi="Arial Narrow"/>
                <w:b/>
                <w:bCs/>
                <w:i/>
                <w:iCs/>
                <w:sz w:val="20"/>
              </w:rPr>
            </w:pPr>
            <w:r w:rsidRPr="004F4A0A">
              <w:rPr>
                <w:rFonts w:ascii="Arial Narrow" w:hAnsi="Arial Narrow" w:cs="Calibri"/>
                <w:i/>
                <w:iCs/>
                <w:color w:val="000000"/>
                <w:sz w:val="20"/>
              </w:rPr>
              <w:t>Change in MBS Costs (AS/DT + RN)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7FB21" w14:textId="77777777" w:rsidR="00071451" w:rsidRPr="004F4A0A" w:rsidRDefault="00071451" w:rsidP="001E7C51">
            <w:pPr>
              <w:spacing w:before="40" w:after="40"/>
              <w:ind w:left="6"/>
              <w:jc w:val="right"/>
              <w:rPr>
                <w:rFonts w:ascii="Arial Narrow" w:hAnsi="Arial Narrow" w:cs="Calibri"/>
                <w:b/>
                <w:bCs/>
                <w:i/>
                <w:iCs/>
                <w:color w:val="000000"/>
                <w:sz w:val="20"/>
              </w:rPr>
            </w:pPr>
            <w:r w:rsidRPr="004F4A0A">
              <w:rPr>
                <w:rFonts w:ascii="Arial Narrow" w:hAnsi="Arial Narrow" w:cs="Calibri"/>
                <w:i/>
                <w:iCs/>
                <w:color w:val="000000"/>
                <w:sz w:val="20"/>
              </w:rPr>
              <w:t>-$131,897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9E95E" w14:textId="77777777" w:rsidR="00071451" w:rsidRPr="004F4A0A" w:rsidRDefault="00071451" w:rsidP="001E7C51">
            <w:pPr>
              <w:spacing w:before="40" w:after="40"/>
              <w:ind w:left="6"/>
              <w:jc w:val="right"/>
              <w:rPr>
                <w:rFonts w:ascii="Arial Narrow" w:hAnsi="Arial Narrow" w:cs="Calibri"/>
                <w:b/>
                <w:bCs/>
                <w:i/>
                <w:iCs/>
                <w:color w:val="000000"/>
                <w:sz w:val="20"/>
              </w:rPr>
            </w:pPr>
            <w:r w:rsidRPr="004F4A0A">
              <w:rPr>
                <w:rFonts w:ascii="Arial Narrow" w:hAnsi="Arial Narrow" w:cs="Calibri"/>
                <w:i/>
                <w:iCs/>
                <w:color w:val="000000"/>
                <w:sz w:val="20"/>
              </w:rPr>
              <w:t>-$160,949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AA6D2" w14:textId="77777777" w:rsidR="00071451" w:rsidRPr="004F4A0A" w:rsidRDefault="00071451" w:rsidP="001E7C51">
            <w:pPr>
              <w:spacing w:before="40" w:after="40"/>
              <w:ind w:left="6"/>
              <w:jc w:val="right"/>
              <w:rPr>
                <w:rFonts w:ascii="Arial Narrow" w:hAnsi="Arial Narrow" w:cs="Calibri"/>
                <w:b/>
                <w:bCs/>
                <w:i/>
                <w:iCs/>
                <w:color w:val="000000"/>
                <w:sz w:val="20"/>
              </w:rPr>
            </w:pPr>
            <w:r w:rsidRPr="004F4A0A">
              <w:rPr>
                <w:rFonts w:ascii="Arial Narrow" w:hAnsi="Arial Narrow" w:cs="Calibri"/>
                <w:i/>
                <w:iCs/>
                <w:color w:val="000000"/>
                <w:sz w:val="20"/>
              </w:rPr>
              <w:t>-$189,375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EA0E0" w14:textId="77777777" w:rsidR="00071451" w:rsidRPr="004F4A0A" w:rsidRDefault="00071451" w:rsidP="001E7C51">
            <w:pPr>
              <w:spacing w:before="40" w:after="40"/>
              <w:ind w:left="6"/>
              <w:jc w:val="right"/>
              <w:rPr>
                <w:rFonts w:ascii="Arial Narrow" w:hAnsi="Arial Narrow" w:cs="Calibri"/>
                <w:b/>
                <w:bCs/>
                <w:i/>
                <w:iCs/>
                <w:color w:val="000000"/>
                <w:sz w:val="20"/>
              </w:rPr>
            </w:pPr>
            <w:r w:rsidRPr="004F4A0A">
              <w:rPr>
                <w:rFonts w:ascii="Arial Narrow" w:hAnsi="Arial Narrow" w:cs="Calibri"/>
                <w:i/>
                <w:iCs/>
                <w:color w:val="000000"/>
                <w:sz w:val="20"/>
              </w:rPr>
              <w:t>-$312,129</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EA25F" w14:textId="77777777" w:rsidR="00071451" w:rsidRPr="004F4A0A" w:rsidRDefault="00071451" w:rsidP="001E7C51">
            <w:pPr>
              <w:spacing w:before="40" w:after="40"/>
              <w:ind w:left="6"/>
              <w:jc w:val="right"/>
              <w:rPr>
                <w:rFonts w:ascii="Arial Narrow" w:hAnsi="Arial Narrow" w:cs="Calibri"/>
                <w:b/>
                <w:bCs/>
                <w:i/>
                <w:iCs/>
                <w:color w:val="000000"/>
                <w:sz w:val="20"/>
              </w:rPr>
            </w:pPr>
            <w:r w:rsidRPr="004F4A0A">
              <w:rPr>
                <w:rFonts w:ascii="Arial Narrow" w:hAnsi="Arial Narrow" w:cs="Calibri"/>
                <w:i/>
                <w:iCs/>
                <w:color w:val="000000"/>
                <w:sz w:val="20"/>
              </w:rPr>
              <w:t>-$335,627</w:t>
            </w:r>
          </w:p>
        </w:tc>
      </w:tr>
      <w:tr w:rsidR="00071451" w:rsidRPr="004F4A0A" w14:paraId="31D7199F" w14:textId="77777777" w:rsidTr="001E7C51">
        <w:trPr>
          <w:trHeight w:val="300"/>
          <w:tblHead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E4646" w14:textId="77777777" w:rsidR="00071451" w:rsidRPr="004F4A0A" w:rsidRDefault="00071451" w:rsidP="001E7C51">
            <w:pPr>
              <w:spacing w:before="40" w:after="40"/>
              <w:ind w:left="6"/>
              <w:rPr>
                <w:rFonts w:ascii="Arial Narrow" w:hAnsi="Arial Narrow"/>
                <w:b/>
                <w:bCs/>
                <w:i/>
                <w:iCs/>
                <w:sz w:val="20"/>
              </w:rPr>
            </w:pPr>
            <w:r w:rsidRPr="004F4A0A">
              <w:rPr>
                <w:rFonts w:ascii="Arial Narrow" w:hAnsi="Arial Narrow"/>
                <w:b/>
                <w:bCs/>
                <w:i/>
                <w:iCs/>
                <w:sz w:val="20"/>
              </w:rPr>
              <w:t>Net Impact to MBS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ABA55" w14:textId="77777777" w:rsidR="00071451" w:rsidRPr="004F4A0A" w:rsidRDefault="00071451" w:rsidP="001E7C51">
            <w:pPr>
              <w:spacing w:before="40" w:after="40"/>
              <w:ind w:left="6"/>
              <w:jc w:val="right"/>
              <w:rPr>
                <w:rFonts w:ascii="Arial Narrow" w:hAnsi="Arial Narrow" w:cs="Calibri"/>
                <w:b/>
                <w:bCs/>
                <w:i/>
                <w:iCs/>
                <w:color w:val="000000"/>
                <w:sz w:val="20"/>
              </w:rPr>
            </w:pPr>
            <w:r w:rsidRPr="004F4A0A">
              <w:rPr>
                <w:rFonts w:ascii="Arial Narrow" w:hAnsi="Arial Narrow" w:cs="Calibri"/>
                <w:b/>
                <w:bCs/>
                <w:i/>
                <w:iCs/>
                <w:color w:val="000000"/>
                <w:sz w:val="20"/>
              </w:rPr>
              <w:t>$42,565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B0C9F" w14:textId="77777777" w:rsidR="00071451" w:rsidRPr="004F4A0A" w:rsidRDefault="00071451" w:rsidP="001E7C51">
            <w:pPr>
              <w:spacing w:before="40" w:after="40"/>
              <w:ind w:left="6"/>
              <w:jc w:val="right"/>
              <w:rPr>
                <w:rFonts w:ascii="Arial Narrow" w:hAnsi="Arial Narrow" w:cs="Calibri"/>
                <w:b/>
                <w:bCs/>
                <w:i/>
                <w:iCs/>
                <w:color w:val="000000"/>
                <w:sz w:val="20"/>
              </w:rPr>
            </w:pPr>
            <w:r w:rsidRPr="004F4A0A">
              <w:rPr>
                <w:rFonts w:ascii="Arial Narrow" w:hAnsi="Arial Narrow" w:cs="Calibri"/>
                <w:b/>
                <w:bCs/>
                <w:i/>
                <w:iCs/>
                <w:color w:val="000000"/>
                <w:sz w:val="20"/>
              </w:rPr>
              <w:t>$47,833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FFD04" w14:textId="77777777" w:rsidR="00071451" w:rsidRPr="004F4A0A" w:rsidRDefault="00071451" w:rsidP="001E7C51">
            <w:pPr>
              <w:spacing w:before="40" w:after="40"/>
              <w:ind w:left="6"/>
              <w:jc w:val="right"/>
              <w:rPr>
                <w:rFonts w:ascii="Arial Narrow" w:hAnsi="Arial Narrow" w:cs="Calibri"/>
                <w:b/>
                <w:bCs/>
                <w:i/>
                <w:iCs/>
                <w:color w:val="000000"/>
                <w:sz w:val="20"/>
              </w:rPr>
            </w:pPr>
            <w:r w:rsidRPr="004F4A0A">
              <w:rPr>
                <w:rFonts w:ascii="Arial Narrow" w:hAnsi="Arial Narrow" w:cs="Calibri"/>
                <w:b/>
                <w:bCs/>
                <w:i/>
                <w:iCs/>
                <w:color w:val="000000"/>
                <w:sz w:val="20"/>
              </w:rPr>
              <w:t>$52,999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A4057" w14:textId="77777777" w:rsidR="00071451" w:rsidRPr="004F4A0A" w:rsidRDefault="00071451" w:rsidP="001E7C51">
            <w:pPr>
              <w:spacing w:before="40" w:after="40"/>
              <w:ind w:left="6"/>
              <w:jc w:val="right"/>
              <w:rPr>
                <w:rFonts w:ascii="Arial Narrow" w:hAnsi="Arial Narrow" w:cs="Calibri"/>
                <w:b/>
                <w:bCs/>
                <w:i/>
                <w:iCs/>
                <w:color w:val="000000"/>
                <w:sz w:val="20"/>
              </w:rPr>
            </w:pPr>
            <w:r w:rsidRPr="004F4A0A">
              <w:rPr>
                <w:rFonts w:ascii="Arial Narrow" w:hAnsi="Arial Narrow" w:cs="Calibri"/>
                <w:b/>
                <w:bCs/>
                <w:i/>
                <w:iCs/>
                <w:color w:val="000000"/>
                <w:sz w:val="20"/>
              </w:rPr>
              <w:t>-$36,812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34B29" w14:textId="77777777" w:rsidR="00071451" w:rsidRPr="004F4A0A" w:rsidRDefault="00071451" w:rsidP="001E7C51">
            <w:pPr>
              <w:spacing w:before="40" w:after="40"/>
              <w:ind w:left="6"/>
              <w:jc w:val="right"/>
              <w:rPr>
                <w:rFonts w:ascii="Arial Narrow" w:hAnsi="Arial Narrow" w:cs="Calibri"/>
                <w:b/>
                <w:bCs/>
                <w:i/>
                <w:iCs/>
                <w:color w:val="000000"/>
                <w:sz w:val="20"/>
              </w:rPr>
            </w:pPr>
            <w:r w:rsidRPr="004F4A0A">
              <w:rPr>
                <w:rFonts w:ascii="Arial Narrow" w:hAnsi="Arial Narrow" w:cs="Calibri"/>
                <w:b/>
                <w:bCs/>
                <w:i/>
                <w:iCs/>
                <w:color w:val="000000"/>
                <w:sz w:val="20"/>
              </w:rPr>
              <w:t>-$28,032</w:t>
            </w:r>
          </w:p>
        </w:tc>
      </w:tr>
    </w:tbl>
    <w:p w14:paraId="23FEA54E" w14:textId="4C723E2D" w:rsidR="00071451" w:rsidRPr="00545D24" w:rsidRDefault="00071451" w:rsidP="00071451">
      <w:pPr>
        <w:pStyle w:val="Tablenotes"/>
        <w:rPr>
          <w:lang w:eastAsia="zh-CN"/>
        </w:rPr>
      </w:pPr>
      <w:r w:rsidRPr="00F04347">
        <w:rPr>
          <w:lang w:eastAsia="zh-CN"/>
        </w:rPr>
        <w:t>Source</w:t>
      </w:r>
      <w:r w:rsidRPr="00545D24">
        <w:rPr>
          <w:lang w:eastAsia="zh-CN"/>
        </w:rPr>
        <w:t xml:space="preserve">: </w:t>
      </w:r>
      <w:r>
        <w:t xml:space="preserve">Table 13, p26 of the </w:t>
      </w:r>
      <w:r w:rsidR="009842FE">
        <w:t>Commentary</w:t>
      </w:r>
      <w:r>
        <w:t xml:space="preserve">. </w:t>
      </w:r>
      <w:r w:rsidR="009842FE">
        <w:rPr>
          <w:i/>
        </w:rPr>
        <w:t>Commentary</w:t>
      </w:r>
      <w:r w:rsidRPr="00545D24">
        <w:rPr>
          <w:i/>
          <w:iCs/>
        </w:rPr>
        <w:t xml:space="preserve"> in italics</w:t>
      </w:r>
      <w:r w:rsidRPr="00545D24" w:rsidDel="0065796B">
        <w:t xml:space="preserve"> </w:t>
      </w:r>
    </w:p>
    <w:p w14:paraId="7B18722E" w14:textId="421FFB3B" w:rsidR="00071451" w:rsidRPr="00545D24" w:rsidRDefault="00DF51F4" w:rsidP="00071451">
      <w:pPr>
        <w:pStyle w:val="Tablenotes"/>
      </w:pPr>
      <w:r>
        <w:t>Abbreviations</w:t>
      </w:r>
      <w:r w:rsidR="00071451">
        <w:t xml:space="preserve">: </w:t>
      </w:r>
      <w:r w:rsidR="00071451" w:rsidRPr="00545D24">
        <w:t>AS/DT=active surveillance/</w:t>
      </w:r>
      <w:r w:rsidR="00071451">
        <w:t>delayed</w:t>
      </w:r>
      <w:r w:rsidR="00071451" w:rsidRPr="00545D24">
        <w:t xml:space="preserve"> therapy; CA=cryoablation; MBS=Medicare benefits Schedule; RN=radical nephrectomy</w:t>
      </w:r>
    </w:p>
    <w:p w14:paraId="7439F2F6" w14:textId="46465AF9" w:rsidR="00071451" w:rsidRDefault="00071451" w:rsidP="004F4A0A">
      <w:pPr>
        <w:spacing w:after="240"/>
        <w:rPr>
          <w:rStyle w:val="CommentChar"/>
        </w:rPr>
      </w:pPr>
      <w:r>
        <w:t>The ADAR included sensitivity analyses for uptake of CA (</w:t>
      </w:r>
      <w:r>
        <w:fldChar w:fldCharType="begin"/>
      </w:r>
      <w:r>
        <w:instrText xml:space="preserve"> REF _Ref51140227 \h </w:instrText>
      </w:r>
      <w:r>
        <w:fldChar w:fldCharType="separate"/>
      </w:r>
      <w:r>
        <w:t xml:space="preserve">Table </w:t>
      </w:r>
      <w:r>
        <w:rPr>
          <w:noProof/>
        </w:rPr>
        <w:t>18</w:t>
      </w:r>
      <w:r>
        <w:fldChar w:fldCharType="end"/>
      </w:r>
      <w:r>
        <w:t>). Increasing uptake to 100% from 50</w:t>
      </w:r>
      <w:proofErr w:type="gramStart"/>
      <w:r>
        <w:t>%,</w:t>
      </w:r>
      <w:proofErr w:type="gramEnd"/>
      <w:r>
        <w:t xml:space="preserve"> had the largest impact on costs. </w:t>
      </w:r>
      <w:r w:rsidRPr="003463EC">
        <w:t xml:space="preserve">Additional sensitivity analyses included in the </w:t>
      </w:r>
      <w:r w:rsidR="009842FE">
        <w:t>Commentary</w:t>
      </w:r>
      <w:r w:rsidRPr="003463EC">
        <w:t xml:space="preserve"> relating to proportion of kidney cancer cases &lt;=4cm and </w:t>
      </w:r>
      <w:proofErr w:type="gramStart"/>
      <w:r w:rsidRPr="003463EC">
        <w:t>%</w:t>
      </w:r>
      <w:proofErr w:type="gramEnd"/>
      <w:r w:rsidRPr="003463EC">
        <w:t xml:space="preserve"> malignant did not have a large impact on net MBS costs. The largest uncertainties are in the assumptions used in the </w:t>
      </w:r>
      <w:r>
        <w:t>ADAR to</w:t>
      </w:r>
      <w:r w:rsidRPr="003463EC">
        <w:t xml:space="preserve"> estimate MBS unit costs for CA and comparators (compared to the estimates presented in the </w:t>
      </w:r>
      <w:r w:rsidR="009842FE">
        <w:t>Commentary</w:t>
      </w:r>
      <w:r w:rsidRPr="003463EC">
        <w:t xml:space="preserve">) and proportion of AS </w:t>
      </w:r>
      <w:proofErr w:type="gramStart"/>
      <w:r w:rsidRPr="003463EC">
        <w:t>being treated</w:t>
      </w:r>
      <w:proofErr w:type="gramEnd"/>
      <w:r w:rsidRPr="003463EC">
        <w:t xml:space="preserve"> with RN.</w:t>
      </w:r>
      <w:r>
        <w:rPr>
          <w:rStyle w:val="CommentChar"/>
        </w:rPr>
        <w:t xml:space="preserve"> </w:t>
      </w:r>
    </w:p>
    <w:p w14:paraId="6E2AB8CE" w14:textId="77777777" w:rsidR="00071451" w:rsidRPr="003A7EA2" w:rsidRDefault="00071451" w:rsidP="003A7EA2">
      <w:pPr>
        <w:rPr>
          <w:rFonts w:ascii="Arial Narrow" w:hAnsi="Arial Narrow"/>
          <w:b/>
          <w:sz w:val="20"/>
        </w:rPr>
      </w:pPr>
      <w:bookmarkStart w:id="43" w:name="_Ref51140227"/>
      <w:bookmarkStart w:id="44" w:name="_Toc42590467"/>
      <w:r w:rsidRPr="003A7EA2">
        <w:rPr>
          <w:rFonts w:ascii="Arial Narrow" w:hAnsi="Arial Narrow"/>
          <w:b/>
          <w:sz w:val="20"/>
        </w:rPr>
        <w:t xml:space="preserve">Table </w:t>
      </w:r>
      <w:r w:rsidR="00C736E0" w:rsidRPr="003A7EA2">
        <w:rPr>
          <w:rFonts w:ascii="Arial Narrow" w:hAnsi="Arial Narrow"/>
          <w:b/>
          <w:sz w:val="20"/>
        </w:rPr>
        <w:fldChar w:fldCharType="begin"/>
      </w:r>
      <w:r w:rsidR="00C736E0" w:rsidRPr="003A7EA2">
        <w:rPr>
          <w:rFonts w:ascii="Arial Narrow" w:hAnsi="Arial Narrow"/>
          <w:b/>
          <w:sz w:val="20"/>
        </w:rPr>
        <w:instrText xml:space="preserve"> SEQ Table \* ARABIC </w:instrText>
      </w:r>
      <w:r w:rsidR="00C736E0" w:rsidRPr="003A7EA2">
        <w:rPr>
          <w:rFonts w:ascii="Arial Narrow" w:hAnsi="Arial Narrow"/>
          <w:b/>
          <w:sz w:val="20"/>
        </w:rPr>
        <w:fldChar w:fldCharType="separate"/>
      </w:r>
      <w:r w:rsidRPr="003A7EA2">
        <w:rPr>
          <w:rFonts w:ascii="Arial Narrow" w:hAnsi="Arial Narrow"/>
          <w:b/>
          <w:sz w:val="20"/>
        </w:rPr>
        <w:t>18</w:t>
      </w:r>
      <w:r w:rsidR="00C736E0" w:rsidRPr="003A7EA2">
        <w:rPr>
          <w:rFonts w:ascii="Arial Narrow" w:hAnsi="Arial Narrow"/>
          <w:b/>
          <w:sz w:val="20"/>
        </w:rPr>
        <w:fldChar w:fldCharType="end"/>
      </w:r>
      <w:bookmarkEnd w:id="43"/>
      <w:r w:rsidRPr="003A7EA2">
        <w:rPr>
          <w:rFonts w:ascii="Arial Narrow" w:hAnsi="Arial Narrow"/>
          <w:b/>
          <w:sz w:val="20"/>
        </w:rPr>
        <w:tab/>
        <w:t>MBS net impact sensitivity analysis</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ults of sensitivity analyses on the net impact to the MBS"/>
        <w:tblDescription w:val="This table provides the results of sensitivity analyses on net MBS impact in the ADAR and additional sensitivity analyses conducted during the evaluation."/>
      </w:tblPr>
      <w:tblGrid>
        <w:gridCol w:w="3398"/>
        <w:gridCol w:w="1134"/>
        <w:gridCol w:w="1134"/>
        <w:gridCol w:w="1134"/>
        <w:gridCol w:w="1132"/>
        <w:gridCol w:w="1084"/>
      </w:tblGrid>
      <w:tr w:rsidR="00071451" w:rsidRPr="001D1EBC" w14:paraId="4429231E" w14:textId="77777777" w:rsidTr="001E7C51">
        <w:trPr>
          <w:trHeight w:val="300"/>
          <w:tblHeader/>
        </w:trPr>
        <w:tc>
          <w:tcPr>
            <w:tcW w:w="1884" w:type="pct"/>
            <w:tcBorders>
              <w:top w:val="single" w:sz="4" w:space="0" w:color="auto"/>
              <w:left w:val="single" w:sz="4" w:space="0" w:color="auto"/>
              <w:bottom w:val="single" w:sz="4" w:space="0" w:color="auto"/>
              <w:right w:val="single" w:sz="4" w:space="0" w:color="auto"/>
            </w:tcBorders>
            <w:noWrap/>
            <w:vAlign w:val="bottom"/>
            <w:hideMark/>
          </w:tcPr>
          <w:p w14:paraId="7800B756" w14:textId="77777777" w:rsidR="00071451" w:rsidRPr="00527AA1" w:rsidRDefault="00071451" w:rsidP="001E7C51">
            <w:pPr>
              <w:spacing w:before="40" w:after="40"/>
              <w:rPr>
                <w:rFonts w:ascii="Arial Narrow" w:hAnsi="Arial Narrow" w:cs="Calibri"/>
                <w:b/>
                <w:bCs/>
                <w:color w:val="000000"/>
                <w:sz w:val="20"/>
              </w:rPr>
            </w:pPr>
            <w:r w:rsidRPr="00527AA1">
              <w:rPr>
                <w:rFonts w:ascii="Arial Narrow" w:hAnsi="Arial Narrow" w:cs="Calibri"/>
                <w:b/>
                <w:bCs/>
                <w:color w:val="000000"/>
                <w:sz w:val="20"/>
              </w:rPr>
              <w:t>Uncertainty analysis</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4E864BDD" w14:textId="77777777" w:rsidR="00071451" w:rsidRPr="00527AA1" w:rsidRDefault="00071451" w:rsidP="001E7C51">
            <w:pPr>
              <w:spacing w:before="40" w:after="40"/>
              <w:jc w:val="center"/>
              <w:rPr>
                <w:rFonts w:ascii="Arial Narrow" w:hAnsi="Arial Narrow" w:cs="Calibri"/>
                <w:b/>
                <w:bCs/>
                <w:color w:val="000000"/>
                <w:sz w:val="20"/>
              </w:rPr>
            </w:pPr>
            <w:r w:rsidRPr="00527AA1">
              <w:rPr>
                <w:rFonts w:ascii="Arial Narrow" w:hAnsi="Arial Narrow" w:cs="Calibri"/>
                <w:b/>
                <w:bCs/>
                <w:color w:val="000000"/>
                <w:sz w:val="20"/>
              </w:rPr>
              <w:t>Year 1</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11192D3D" w14:textId="77777777" w:rsidR="00071451" w:rsidRPr="00527AA1" w:rsidRDefault="00071451" w:rsidP="001E7C51">
            <w:pPr>
              <w:spacing w:before="40" w:after="40"/>
              <w:jc w:val="center"/>
              <w:rPr>
                <w:rFonts w:ascii="Arial Narrow" w:hAnsi="Arial Narrow" w:cs="Calibri"/>
                <w:b/>
                <w:bCs/>
                <w:color w:val="000000"/>
                <w:sz w:val="20"/>
              </w:rPr>
            </w:pPr>
            <w:r w:rsidRPr="00527AA1">
              <w:rPr>
                <w:rFonts w:ascii="Arial Narrow" w:hAnsi="Arial Narrow" w:cs="Calibri"/>
                <w:b/>
                <w:bCs/>
                <w:color w:val="000000"/>
                <w:sz w:val="20"/>
              </w:rPr>
              <w:t>Year 2</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0DE9295F" w14:textId="77777777" w:rsidR="00071451" w:rsidRPr="00527AA1" w:rsidRDefault="00071451" w:rsidP="001E7C51">
            <w:pPr>
              <w:spacing w:before="40" w:after="40"/>
              <w:jc w:val="center"/>
              <w:rPr>
                <w:rFonts w:ascii="Arial Narrow" w:hAnsi="Arial Narrow" w:cs="Calibri"/>
                <w:b/>
                <w:bCs/>
                <w:color w:val="000000"/>
                <w:sz w:val="20"/>
              </w:rPr>
            </w:pPr>
            <w:r w:rsidRPr="00527AA1">
              <w:rPr>
                <w:rFonts w:ascii="Arial Narrow" w:hAnsi="Arial Narrow" w:cs="Calibri"/>
                <w:b/>
                <w:bCs/>
                <w:color w:val="000000"/>
                <w:sz w:val="20"/>
              </w:rPr>
              <w:t>Year 3</w:t>
            </w:r>
          </w:p>
        </w:tc>
        <w:tc>
          <w:tcPr>
            <w:tcW w:w="628" w:type="pct"/>
            <w:tcBorders>
              <w:top w:val="single" w:sz="4" w:space="0" w:color="auto"/>
              <w:left w:val="single" w:sz="4" w:space="0" w:color="auto"/>
              <w:bottom w:val="single" w:sz="4" w:space="0" w:color="auto"/>
              <w:right w:val="single" w:sz="4" w:space="0" w:color="auto"/>
            </w:tcBorders>
            <w:noWrap/>
            <w:vAlign w:val="bottom"/>
            <w:hideMark/>
          </w:tcPr>
          <w:p w14:paraId="44E4DB6E" w14:textId="77777777" w:rsidR="00071451" w:rsidRPr="00527AA1" w:rsidRDefault="00071451" w:rsidP="001E7C51">
            <w:pPr>
              <w:spacing w:before="40" w:after="40"/>
              <w:jc w:val="center"/>
              <w:rPr>
                <w:rFonts w:ascii="Arial Narrow" w:hAnsi="Arial Narrow" w:cs="Calibri"/>
                <w:b/>
                <w:bCs/>
                <w:color w:val="000000"/>
                <w:sz w:val="20"/>
              </w:rPr>
            </w:pPr>
            <w:r w:rsidRPr="00527AA1">
              <w:rPr>
                <w:rFonts w:ascii="Arial Narrow" w:hAnsi="Arial Narrow" w:cs="Calibri"/>
                <w:b/>
                <w:bCs/>
                <w:color w:val="000000"/>
                <w:sz w:val="20"/>
              </w:rPr>
              <w:t>Year 4</w:t>
            </w:r>
          </w:p>
        </w:tc>
        <w:tc>
          <w:tcPr>
            <w:tcW w:w="601" w:type="pct"/>
            <w:tcBorders>
              <w:top w:val="single" w:sz="4" w:space="0" w:color="auto"/>
              <w:left w:val="single" w:sz="4" w:space="0" w:color="auto"/>
              <w:bottom w:val="single" w:sz="4" w:space="0" w:color="auto"/>
              <w:right w:val="single" w:sz="4" w:space="0" w:color="auto"/>
            </w:tcBorders>
            <w:noWrap/>
            <w:vAlign w:val="bottom"/>
            <w:hideMark/>
          </w:tcPr>
          <w:p w14:paraId="1AC2F476" w14:textId="77777777" w:rsidR="00071451" w:rsidRPr="00527AA1" w:rsidRDefault="00071451" w:rsidP="001E7C51">
            <w:pPr>
              <w:spacing w:before="40" w:after="40"/>
              <w:jc w:val="center"/>
              <w:rPr>
                <w:rFonts w:ascii="Arial Narrow" w:hAnsi="Arial Narrow" w:cs="Calibri"/>
                <w:b/>
                <w:bCs/>
                <w:color w:val="000000"/>
                <w:sz w:val="20"/>
              </w:rPr>
            </w:pPr>
            <w:r w:rsidRPr="00527AA1">
              <w:rPr>
                <w:rFonts w:ascii="Arial Narrow" w:hAnsi="Arial Narrow" w:cs="Calibri"/>
                <w:b/>
                <w:bCs/>
                <w:color w:val="000000"/>
                <w:sz w:val="20"/>
              </w:rPr>
              <w:t>Year 5</w:t>
            </w:r>
          </w:p>
        </w:tc>
      </w:tr>
      <w:tr w:rsidR="00071451" w:rsidRPr="001D1EBC" w14:paraId="14BEF1E6" w14:textId="77777777" w:rsidTr="001E7C51">
        <w:trPr>
          <w:trHeight w:val="300"/>
        </w:trPr>
        <w:tc>
          <w:tcPr>
            <w:tcW w:w="1884" w:type="pct"/>
            <w:tcBorders>
              <w:top w:val="single" w:sz="4" w:space="0" w:color="auto"/>
              <w:left w:val="single" w:sz="4" w:space="0" w:color="auto"/>
              <w:bottom w:val="single" w:sz="4" w:space="0" w:color="auto"/>
              <w:right w:val="single" w:sz="4" w:space="0" w:color="auto"/>
            </w:tcBorders>
            <w:noWrap/>
            <w:vAlign w:val="bottom"/>
            <w:hideMark/>
          </w:tcPr>
          <w:p w14:paraId="7934FDFA" w14:textId="77777777" w:rsidR="00071451" w:rsidRPr="00527AA1" w:rsidRDefault="00071451" w:rsidP="001E7C51">
            <w:pPr>
              <w:spacing w:before="40" w:after="40"/>
              <w:rPr>
                <w:rFonts w:ascii="Arial Narrow" w:hAnsi="Arial Narrow" w:cs="Calibri"/>
                <w:b/>
                <w:bCs/>
                <w:color w:val="000000"/>
                <w:sz w:val="20"/>
              </w:rPr>
            </w:pPr>
            <w:r w:rsidRPr="00527AA1">
              <w:rPr>
                <w:rFonts w:ascii="Arial Narrow" w:hAnsi="Arial Narrow" w:cs="Calibri"/>
                <w:b/>
                <w:bCs/>
                <w:color w:val="000000"/>
                <w:sz w:val="20"/>
              </w:rPr>
              <w:t>Net Impact to MBS</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010055FD" w14:textId="77777777" w:rsidR="00071451" w:rsidRPr="00527AA1" w:rsidRDefault="00071451" w:rsidP="001E7C51">
            <w:pPr>
              <w:spacing w:before="40" w:after="40"/>
              <w:jc w:val="center"/>
              <w:rPr>
                <w:rFonts w:ascii="Arial Narrow" w:hAnsi="Arial Narrow" w:cs="Calibri"/>
                <w:b/>
                <w:bCs/>
                <w:color w:val="000000"/>
                <w:sz w:val="20"/>
              </w:rPr>
            </w:pPr>
            <w:r w:rsidRPr="00527AA1">
              <w:rPr>
                <w:rFonts w:ascii="Arial Narrow" w:hAnsi="Arial Narrow" w:cs="Calibri"/>
                <w:b/>
                <w:bCs/>
                <w:color w:val="000000"/>
                <w:sz w:val="20"/>
              </w:rPr>
              <w:t>2021</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04EF6943" w14:textId="77777777" w:rsidR="00071451" w:rsidRPr="00527AA1" w:rsidRDefault="00071451" w:rsidP="001E7C51">
            <w:pPr>
              <w:spacing w:before="40" w:after="40"/>
              <w:jc w:val="center"/>
              <w:rPr>
                <w:rFonts w:ascii="Arial Narrow" w:hAnsi="Arial Narrow" w:cs="Calibri"/>
                <w:b/>
                <w:bCs/>
                <w:color w:val="000000"/>
                <w:sz w:val="20"/>
              </w:rPr>
            </w:pPr>
            <w:r w:rsidRPr="00527AA1">
              <w:rPr>
                <w:rFonts w:ascii="Arial Narrow" w:hAnsi="Arial Narrow" w:cs="Calibri"/>
                <w:b/>
                <w:bCs/>
                <w:color w:val="000000"/>
                <w:sz w:val="20"/>
              </w:rPr>
              <w:t>2022</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6FA5D21B" w14:textId="77777777" w:rsidR="00071451" w:rsidRPr="00527AA1" w:rsidRDefault="00071451" w:rsidP="001E7C51">
            <w:pPr>
              <w:spacing w:before="40" w:after="40"/>
              <w:jc w:val="center"/>
              <w:rPr>
                <w:rFonts w:ascii="Arial Narrow" w:hAnsi="Arial Narrow" w:cs="Calibri"/>
                <w:b/>
                <w:bCs/>
                <w:color w:val="000000"/>
                <w:sz w:val="20"/>
              </w:rPr>
            </w:pPr>
            <w:r w:rsidRPr="00527AA1">
              <w:rPr>
                <w:rFonts w:ascii="Arial Narrow" w:hAnsi="Arial Narrow" w:cs="Calibri"/>
                <w:b/>
                <w:bCs/>
                <w:color w:val="000000"/>
                <w:sz w:val="20"/>
              </w:rPr>
              <w:t>2023</w:t>
            </w:r>
          </w:p>
        </w:tc>
        <w:tc>
          <w:tcPr>
            <w:tcW w:w="628" w:type="pct"/>
            <w:tcBorders>
              <w:top w:val="single" w:sz="4" w:space="0" w:color="auto"/>
              <w:left w:val="single" w:sz="4" w:space="0" w:color="auto"/>
              <w:bottom w:val="single" w:sz="4" w:space="0" w:color="auto"/>
              <w:right w:val="single" w:sz="4" w:space="0" w:color="auto"/>
            </w:tcBorders>
            <w:noWrap/>
            <w:vAlign w:val="bottom"/>
            <w:hideMark/>
          </w:tcPr>
          <w:p w14:paraId="477A45EF" w14:textId="77777777" w:rsidR="00071451" w:rsidRPr="00527AA1" w:rsidRDefault="00071451" w:rsidP="001E7C51">
            <w:pPr>
              <w:spacing w:before="40" w:after="40"/>
              <w:jc w:val="center"/>
              <w:rPr>
                <w:rFonts w:ascii="Arial Narrow" w:hAnsi="Arial Narrow" w:cs="Calibri"/>
                <w:b/>
                <w:bCs/>
                <w:color w:val="000000"/>
                <w:sz w:val="20"/>
              </w:rPr>
            </w:pPr>
            <w:r w:rsidRPr="00527AA1">
              <w:rPr>
                <w:rFonts w:ascii="Arial Narrow" w:hAnsi="Arial Narrow" w:cs="Calibri"/>
                <w:b/>
                <w:bCs/>
                <w:color w:val="000000"/>
                <w:sz w:val="20"/>
              </w:rPr>
              <w:t>2024</w:t>
            </w:r>
          </w:p>
        </w:tc>
        <w:tc>
          <w:tcPr>
            <w:tcW w:w="601" w:type="pct"/>
            <w:tcBorders>
              <w:top w:val="single" w:sz="4" w:space="0" w:color="auto"/>
              <w:left w:val="single" w:sz="4" w:space="0" w:color="auto"/>
              <w:bottom w:val="single" w:sz="4" w:space="0" w:color="auto"/>
              <w:right w:val="single" w:sz="4" w:space="0" w:color="auto"/>
            </w:tcBorders>
            <w:noWrap/>
            <w:vAlign w:val="bottom"/>
            <w:hideMark/>
          </w:tcPr>
          <w:p w14:paraId="38D9C09C" w14:textId="77777777" w:rsidR="00071451" w:rsidRPr="00527AA1" w:rsidRDefault="00071451" w:rsidP="001E7C51">
            <w:pPr>
              <w:spacing w:before="40" w:after="40"/>
              <w:jc w:val="center"/>
              <w:rPr>
                <w:rFonts w:ascii="Arial Narrow" w:hAnsi="Arial Narrow" w:cs="Calibri"/>
                <w:b/>
                <w:bCs/>
                <w:color w:val="000000"/>
                <w:sz w:val="20"/>
              </w:rPr>
            </w:pPr>
            <w:r w:rsidRPr="00527AA1">
              <w:rPr>
                <w:rFonts w:ascii="Arial Narrow" w:hAnsi="Arial Narrow" w:cs="Calibri"/>
                <w:b/>
                <w:bCs/>
                <w:color w:val="000000"/>
                <w:sz w:val="20"/>
              </w:rPr>
              <w:t>2025</w:t>
            </w:r>
          </w:p>
        </w:tc>
      </w:tr>
      <w:tr w:rsidR="00071451" w:rsidRPr="001D1EBC" w14:paraId="0EA027BD" w14:textId="77777777" w:rsidTr="001E7C51">
        <w:trPr>
          <w:trHeight w:val="300"/>
        </w:trPr>
        <w:tc>
          <w:tcPr>
            <w:tcW w:w="1884" w:type="pct"/>
            <w:tcBorders>
              <w:top w:val="single" w:sz="4" w:space="0" w:color="auto"/>
              <w:left w:val="single" w:sz="4" w:space="0" w:color="auto"/>
              <w:bottom w:val="single" w:sz="4" w:space="0" w:color="auto"/>
              <w:right w:val="single" w:sz="4" w:space="0" w:color="auto"/>
            </w:tcBorders>
            <w:noWrap/>
            <w:vAlign w:val="bottom"/>
            <w:hideMark/>
          </w:tcPr>
          <w:p w14:paraId="7C52B421" w14:textId="77777777" w:rsidR="00071451" w:rsidRPr="00527AA1" w:rsidRDefault="00071451" w:rsidP="001E7C51">
            <w:pPr>
              <w:spacing w:before="40" w:after="40"/>
              <w:rPr>
                <w:rFonts w:ascii="Arial Narrow" w:hAnsi="Arial Narrow" w:cs="Calibri"/>
                <w:color w:val="000000"/>
                <w:sz w:val="20"/>
              </w:rPr>
            </w:pPr>
            <w:r w:rsidRPr="00527AA1">
              <w:rPr>
                <w:rFonts w:ascii="Arial Narrow" w:hAnsi="Arial Narrow" w:cs="Calibri"/>
                <w:color w:val="000000"/>
                <w:sz w:val="20"/>
              </w:rPr>
              <w:t>Base case</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0BD5634E" w14:textId="77777777" w:rsidR="00071451" w:rsidRPr="00527AA1" w:rsidRDefault="00071451" w:rsidP="001E7C51">
            <w:pPr>
              <w:spacing w:before="40" w:after="40"/>
              <w:jc w:val="right"/>
              <w:rPr>
                <w:rFonts w:ascii="Arial Narrow" w:hAnsi="Arial Narrow" w:cs="Calibri"/>
                <w:color w:val="000000"/>
                <w:sz w:val="20"/>
              </w:rPr>
            </w:pPr>
            <w:r w:rsidRPr="00527AA1">
              <w:rPr>
                <w:rFonts w:ascii="Arial Narrow" w:hAnsi="Arial Narrow" w:cs="Calibri"/>
                <w:color w:val="000000"/>
                <w:sz w:val="20"/>
              </w:rPr>
              <w:t>$106,803</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144F70FE" w14:textId="77777777" w:rsidR="00071451" w:rsidRPr="00527AA1" w:rsidRDefault="00071451" w:rsidP="001E7C51">
            <w:pPr>
              <w:spacing w:before="40" w:after="40"/>
              <w:jc w:val="right"/>
              <w:rPr>
                <w:rFonts w:ascii="Arial Narrow" w:hAnsi="Arial Narrow" w:cs="Calibri"/>
                <w:color w:val="000000"/>
                <w:sz w:val="20"/>
              </w:rPr>
            </w:pPr>
            <w:r w:rsidRPr="00527AA1">
              <w:rPr>
                <w:rFonts w:ascii="Arial Narrow" w:hAnsi="Arial Narrow" w:cs="Calibri"/>
                <w:color w:val="000000"/>
                <w:sz w:val="20"/>
              </w:rPr>
              <w:t>$116,841</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46AE88F4" w14:textId="77777777" w:rsidR="00071451" w:rsidRPr="00527AA1" w:rsidRDefault="00071451" w:rsidP="001E7C51">
            <w:pPr>
              <w:spacing w:before="40" w:after="40"/>
              <w:jc w:val="right"/>
              <w:rPr>
                <w:rFonts w:ascii="Arial Narrow" w:hAnsi="Arial Narrow" w:cs="Calibri"/>
                <w:color w:val="000000"/>
                <w:sz w:val="20"/>
              </w:rPr>
            </w:pPr>
            <w:r w:rsidRPr="00527AA1">
              <w:rPr>
                <w:rFonts w:ascii="Arial Narrow" w:hAnsi="Arial Narrow" w:cs="Calibri"/>
                <w:color w:val="000000"/>
                <w:sz w:val="20"/>
              </w:rPr>
              <w:t>$126,700</w:t>
            </w:r>
          </w:p>
        </w:tc>
        <w:tc>
          <w:tcPr>
            <w:tcW w:w="628" w:type="pct"/>
            <w:tcBorders>
              <w:top w:val="single" w:sz="4" w:space="0" w:color="auto"/>
              <w:left w:val="single" w:sz="4" w:space="0" w:color="auto"/>
              <w:bottom w:val="single" w:sz="4" w:space="0" w:color="auto"/>
              <w:right w:val="single" w:sz="4" w:space="0" w:color="auto"/>
            </w:tcBorders>
            <w:noWrap/>
            <w:vAlign w:val="bottom"/>
            <w:hideMark/>
          </w:tcPr>
          <w:p w14:paraId="30C8D9D3" w14:textId="77777777" w:rsidR="00071451" w:rsidRPr="00527AA1" w:rsidRDefault="00071451" w:rsidP="001E7C51">
            <w:pPr>
              <w:spacing w:before="40" w:after="40"/>
              <w:jc w:val="right"/>
              <w:rPr>
                <w:rFonts w:ascii="Arial Narrow" w:hAnsi="Arial Narrow" w:cs="Calibri"/>
                <w:color w:val="000000"/>
                <w:sz w:val="20"/>
              </w:rPr>
            </w:pPr>
            <w:r w:rsidRPr="00527AA1">
              <w:rPr>
                <w:rFonts w:ascii="Arial Narrow" w:hAnsi="Arial Narrow" w:cs="Calibri"/>
                <w:color w:val="000000"/>
                <w:sz w:val="20"/>
              </w:rPr>
              <w:t>-$558</w:t>
            </w:r>
          </w:p>
        </w:tc>
        <w:tc>
          <w:tcPr>
            <w:tcW w:w="601" w:type="pct"/>
            <w:tcBorders>
              <w:top w:val="single" w:sz="4" w:space="0" w:color="auto"/>
              <w:left w:val="single" w:sz="4" w:space="0" w:color="auto"/>
              <w:bottom w:val="single" w:sz="4" w:space="0" w:color="auto"/>
              <w:right w:val="single" w:sz="4" w:space="0" w:color="auto"/>
            </w:tcBorders>
            <w:noWrap/>
            <w:vAlign w:val="bottom"/>
            <w:hideMark/>
          </w:tcPr>
          <w:p w14:paraId="24593DAF" w14:textId="77777777" w:rsidR="00071451" w:rsidRPr="00527AA1" w:rsidRDefault="00071451" w:rsidP="001E7C51">
            <w:pPr>
              <w:spacing w:before="40" w:after="40"/>
              <w:jc w:val="right"/>
              <w:rPr>
                <w:rFonts w:ascii="Arial Narrow" w:hAnsi="Arial Narrow" w:cs="Calibri"/>
                <w:color w:val="000000"/>
                <w:sz w:val="20"/>
              </w:rPr>
            </w:pPr>
            <w:r w:rsidRPr="00527AA1">
              <w:rPr>
                <w:rFonts w:ascii="Arial Narrow" w:hAnsi="Arial Narrow" w:cs="Calibri"/>
                <w:color w:val="000000"/>
                <w:sz w:val="20"/>
              </w:rPr>
              <w:t>$32,996</w:t>
            </w:r>
          </w:p>
        </w:tc>
      </w:tr>
      <w:tr w:rsidR="00071451" w:rsidRPr="001D1EBC" w14:paraId="41D36966" w14:textId="77777777" w:rsidTr="001E7C51">
        <w:trPr>
          <w:trHeight w:val="300"/>
        </w:trPr>
        <w:tc>
          <w:tcPr>
            <w:tcW w:w="1884" w:type="pct"/>
            <w:tcBorders>
              <w:top w:val="single" w:sz="4" w:space="0" w:color="auto"/>
              <w:left w:val="single" w:sz="4" w:space="0" w:color="auto"/>
              <w:bottom w:val="single" w:sz="4" w:space="0" w:color="auto"/>
              <w:right w:val="nil"/>
            </w:tcBorders>
            <w:noWrap/>
            <w:vAlign w:val="bottom"/>
            <w:hideMark/>
          </w:tcPr>
          <w:p w14:paraId="312123E0" w14:textId="77777777" w:rsidR="00071451" w:rsidRPr="00527AA1" w:rsidRDefault="00071451" w:rsidP="001E7C51">
            <w:pPr>
              <w:spacing w:before="40" w:after="40"/>
              <w:rPr>
                <w:rFonts w:ascii="Arial Narrow" w:hAnsi="Arial Narrow" w:cs="Calibri"/>
                <w:b/>
                <w:bCs/>
                <w:color w:val="000000"/>
                <w:sz w:val="20"/>
              </w:rPr>
            </w:pPr>
            <w:r w:rsidRPr="00527AA1">
              <w:rPr>
                <w:rFonts w:ascii="Arial Narrow" w:hAnsi="Arial Narrow" w:cs="Calibri"/>
                <w:b/>
                <w:bCs/>
                <w:color w:val="000000"/>
                <w:sz w:val="20"/>
              </w:rPr>
              <w:t>Changed Uptake</w:t>
            </w:r>
          </w:p>
        </w:tc>
        <w:tc>
          <w:tcPr>
            <w:tcW w:w="629" w:type="pct"/>
            <w:tcBorders>
              <w:top w:val="single" w:sz="4" w:space="0" w:color="auto"/>
              <w:left w:val="nil"/>
              <w:bottom w:val="single" w:sz="4" w:space="0" w:color="auto"/>
              <w:right w:val="nil"/>
            </w:tcBorders>
            <w:noWrap/>
            <w:vAlign w:val="bottom"/>
            <w:hideMark/>
          </w:tcPr>
          <w:p w14:paraId="5F6A1447" w14:textId="77777777" w:rsidR="00071451" w:rsidRPr="00527AA1" w:rsidRDefault="00071451" w:rsidP="001E7C51">
            <w:pPr>
              <w:spacing w:before="40" w:after="40"/>
              <w:jc w:val="right"/>
              <w:rPr>
                <w:rFonts w:ascii="Arial Narrow" w:hAnsi="Arial Narrow" w:cs="Calibri"/>
                <w:b/>
                <w:bCs/>
                <w:color w:val="000000"/>
                <w:sz w:val="20"/>
              </w:rPr>
            </w:pPr>
          </w:p>
        </w:tc>
        <w:tc>
          <w:tcPr>
            <w:tcW w:w="629" w:type="pct"/>
            <w:tcBorders>
              <w:top w:val="single" w:sz="4" w:space="0" w:color="auto"/>
              <w:left w:val="nil"/>
              <w:bottom w:val="single" w:sz="4" w:space="0" w:color="auto"/>
              <w:right w:val="nil"/>
            </w:tcBorders>
            <w:noWrap/>
            <w:vAlign w:val="bottom"/>
            <w:hideMark/>
          </w:tcPr>
          <w:p w14:paraId="0398C1B6" w14:textId="77777777" w:rsidR="00071451" w:rsidRPr="00D36CF9" w:rsidRDefault="00071451" w:rsidP="001E7C51">
            <w:pPr>
              <w:spacing w:before="40" w:after="40"/>
              <w:jc w:val="right"/>
              <w:rPr>
                <w:sz w:val="20"/>
              </w:rPr>
            </w:pPr>
          </w:p>
        </w:tc>
        <w:tc>
          <w:tcPr>
            <w:tcW w:w="629" w:type="pct"/>
            <w:tcBorders>
              <w:top w:val="single" w:sz="4" w:space="0" w:color="auto"/>
              <w:left w:val="nil"/>
              <w:bottom w:val="single" w:sz="4" w:space="0" w:color="auto"/>
              <w:right w:val="nil"/>
            </w:tcBorders>
            <w:noWrap/>
            <w:vAlign w:val="bottom"/>
            <w:hideMark/>
          </w:tcPr>
          <w:p w14:paraId="164C1566" w14:textId="77777777" w:rsidR="00071451" w:rsidRPr="00D36CF9" w:rsidRDefault="00071451" w:rsidP="001E7C51">
            <w:pPr>
              <w:spacing w:before="40" w:after="40"/>
              <w:jc w:val="right"/>
              <w:rPr>
                <w:sz w:val="20"/>
              </w:rPr>
            </w:pPr>
          </w:p>
        </w:tc>
        <w:tc>
          <w:tcPr>
            <w:tcW w:w="628" w:type="pct"/>
            <w:tcBorders>
              <w:top w:val="single" w:sz="4" w:space="0" w:color="auto"/>
              <w:left w:val="nil"/>
              <w:bottom w:val="single" w:sz="4" w:space="0" w:color="auto"/>
              <w:right w:val="nil"/>
            </w:tcBorders>
            <w:noWrap/>
            <w:vAlign w:val="bottom"/>
            <w:hideMark/>
          </w:tcPr>
          <w:p w14:paraId="7FDD98F5" w14:textId="77777777" w:rsidR="00071451" w:rsidRPr="00D36CF9" w:rsidRDefault="00071451" w:rsidP="001E7C51">
            <w:pPr>
              <w:spacing w:before="40" w:after="40"/>
              <w:jc w:val="right"/>
              <w:rPr>
                <w:sz w:val="20"/>
              </w:rPr>
            </w:pPr>
          </w:p>
        </w:tc>
        <w:tc>
          <w:tcPr>
            <w:tcW w:w="601" w:type="pct"/>
            <w:tcBorders>
              <w:top w:val="single" w:sz="4" w:space="0" w:color="auto"/>
              <w:left w:val="nil"/>
              <w:bottom w:val="single" w:sz="4" w:space="0" w:color="auto"/>
              <w:right w:val="single" w:sz="4" w:space="0" w:color="auto"/>
            </w:tcBorders>
            <w:noWrap/>
            <w:vAlign w:val="bottom"/>
            <w:hideMark/>
          </w:tcPr>
          <w:p w14:paraId="7341E3F7" w14:textId="77777777" w:rsidR="00071451" w:rsidRPr="00DF4BEA" w:rsidRDefault="00071451" w:rsidP="001E7C51">
            <w:pPr>
              <w:spacing w:before="40" w:after="40"/>
              <w:jc w:val="right"/>
              <w:rPr>
                <w:sz w:val="20"/>
              </w:rPr>
            </w:pPr>
          </w:p>
        </w:tc>
      </w:tr>
      <w:tr w:rsidR="00071451" w:rsidRPr="001D1EBC" w14:paraId="2079B429" w14:textId="77777777" w:rsidTr="001E7C51">
        <w:trPr>
          <w:trHeight w:val="300"/>
        </w:trPr>
        <w:tc>
          <w:tcPr>
            <w:tcW w:w="1884" w:type="pct"/>
            <w:tcBorders>
              <w:top w:val="single" w:sz="4" w:space="0" w:color="auto"/>
              <w:left w:val="single" w:sz="4" w:space="0" w:color="auto"/>
              <w:bottom w:val="single" w:sz="4" w:space="0" w:color="auto"/>
              <w:right w:val="single" w:sz="4" w:space="0" w:color="auto"/>
            </w:tcBorders>
            <w:noWrap/>
            <w:vAlign w:val="bottom"/>
            <w:hideMark/>
          </w:tcPr>
          <w:p w14:paraId="667F52D5" w14:textId="77777777" w:rsidR="00071451" w:rsidRPr="00527AA1" w:rsidRDefault="00071451" w:rsidP="001E7C51">
            <w:pPr>
              <w:spacing w:before="40" w:after="40"/>
              <w:rPr>
                <w:rFonts w:ascii="Arial Narrow" w:hAnsi="Arial Narrow" w:cs="Calibri"/>
                <w:color w:val="000000"/>
                <w:sz w:val="20"/>
              </w:rPr>
            </w:pPr>
            <w:r w:rsidRPr="00527AA1">
              <w:rPr>
                <w:rFonts w:ascii="Arial Narrow" w:hAnsi="Arial Narrow" w:cs="Calibri"/>
                <w:color w:val="000000"/>
                <w:sz w:val="20"/>
              </w:rPr>
              <w:t>Reduce uptake to 25% from 50%</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3D999AFB" w14:textId="77777777" w:rsidR="00071451" w:rsidRPr="00527AA1" w:rsidRDefault="00071451" w:rsidP="001E7C51">
            <w:pPr>
              <w:spacing w:before="40" w:after="40"/>
              <w:jc w:val="right"/>
              <w:rPr>
                <w:rFonts w:ascii="Arial Narrow" w:hAnsi="Arial Narrow" w:cs="Calibri"/>
                <w:color w:val="000000"/>
                <w:sz w:val="20"/>
              </w:rPr>
            </w:pPr>
            <w:r w:rsidRPr="00527AA1">
              <w:rPr>
                <w:rFonts w:ascii="Arial Narrow" w:hAnsi="Arial Narrow" w:cs="Calibri"/>
                <w:color w:val="000000"/>
                <w:sz w:val="20"/>
              </w:rPr>
              <w:t>$53,401</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48DB74B6" w14:textId="77777777" w:rsidR="00071451" w:rsidRPr="00527AA1" w:rsidRDefault="00071451" w:rsidP="001E7C51">
            <w:pPr>
              <w:spacing w:before="40" w:after="40"/>
              <w:jc w:val="right"/>
              <w:rPr>
                <w:rFonts w:ascii="Arial Narrow" w:hAnsi="Arial Narrow" w:cs="Calibri"/>
                <w:color w:val="000000"/>
                <w:sz w:val="20"/>
              </w:rPr>
            </w:pPr>
            <w:r w:rsidRPr="00527AA1">
              <w:rPr>
                <w:rFonts w:ascii="Arial Narrow" w:hAnsi="Arial Narrow" w:cs="Calibri"/>
                <w:color w:val="000000"/>
                <w:sz w:val="20"/>
              </w:rPr>
              <w:t>$58,421</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261948AE" w14:textId="77777777" w:rsidR="00071451" w:rsidRPr="00527AA1" w:rsidRDefault="00071451" w:rsidP="001E7C51">
            <w:pPr>
              <w:spacing w:before="40" w:after="40"/>
              <w:jc w:val="right"/>
              <w:rPr>
                <w:rFonts w:ascii="Arial Narrow" w:hAnsi="Arial Narrow" w:cs="Calibri"/>
                <w:color w:val="000000"/>
                <w:sz w:val="20"/>
              </w:rPr>
            </w:pPr>
            <w:r w:rsidRPr="00527AA1">
              <w:rPr>
                <w:rFonts w:ascii="Arial Narrow" w:hAnsi="Arial Narrow" w:cs="Calibri"/>
                <w:color w:val="000000"/>
                <w:sz w:val="20"/>
              </w:rPr>
              <w:t>$63,350</w:t>
            </w:r>
          </w:p>
        </w:tc>
        <w:tc>
          <w:tcPr>
            <w:tcW w:w="628" w:type="pct"/>
            <w:tcBorders>
              <w:top w:val="single" w:sz="4" w:space="0" w:color="auto"/>
              <w:left w:val="single" w:sz="4" w:space="0" w:color="auto"/>
              <w:bottom w:val="single" w:sz="4" w:space="0" w:color="auto"/>
              <w:right w:val="single" w:sz="4" w:space="0" w:color="auto"/>
            </w:tcBorders>
            <w:noWrap/>
            <w:vAlign w:val="bottom"/>
            <w:hideMark/>
          </w:tcPr>
          <w:p w14:paraId="3305F788" w14:textId="77777777" w:rsidR="00071451" w:rsidRPr="00527AA1" w:rsidRDefault="00071451" w:rsidP="001E7C51">
            <w:pPr>
              <w:spacing w:before="40" w:after="40"/>
              <w:jc w:val="right"/>
              <w:rPr>
                <w:rFonts w:ascii="Arial Narrow" w:hAnsi="Arial Narrow" w:cs="Calibri"/>
                <w:color w:val="000000"/>
                <w:sz w:val="20"/>
              </w:rPr>
            </w:pPr>
            <w:r w:rsidRPr="00527AA1">
              <w:rPr>
                <w:rFonts w:ascii="Arial Narrow" w:hAnsi="Arial Narrow" w:cs="Calibri"/>
                <w:color w:val="000000"/>
                <w:sz w:val="20"/>
              </w:rPr>
              <w:t>-$279</w:t>
            </w:r>
          </w:p>
        </w:tc>
        <w:tc>
          <w:tcPr>
            <w:tcW w:w="601" w:type="pct"/>
            <w:tcBorders>
              <w:top w:val="single" w:sz="4" w:space="0" w:color="auto"/>
              <w:left w:val="single" w:sz="4" w:space="0" w:color="auto"/>
              <w:bottom w:val="single" w:sz="4" w:space="0" w:color="auto"/>
              <w:right w:val="single" w:sz="4" w:space="0" w:color="auto"/>
            </w:tcBorders>
            <w:noWrap/>
            <w:vAlign w:val="bottom"/>
            <w:hideMark/>
          </w:tcPr>
          <w:p w14:paraId="06F5D85A" w14:textId="77777777" w:rsidR="00071451" w:rsidRPr="00527AA1" w:rsidRDefault="00071451" w:rsidP="001E7C51">
            <w:pPr>
              <w:spacing w:before="40" w:after="40"/>
              <w:jc w:val="right"/>
              <w:rPr>
                <w:rFonts w:ascii="Arial Narrow" w:hAnsi="Arial Narrow" w:cs="Calibri"/>
                <w:color w:val="000000"/>
                <w:sz w:val="20"/>
              </w:rPr>
            </w:pPr>
            <w:r w:rsidRPr="00527AA1">
              <w:rPr>
                <w:rFonts w:ascii="Arial Narrow" w:hAnsi="Arial Narrow" w:cs="Calibri"/>
                <w:color w:val="000000"/>
                <w:sz w:val="20"/>
              </w:rPr>
              <w:t>$16,498</w:t>
            </w:r>
          </w:p>
        </w:tc>
      </w:tr>
      <w:tr w:rsidR="00071451" w:rsidRPr="001D1EBC" w14:paraId="21405807" w14:textId="77777777" w:rsidTr="001E7C51">
        <w:trPr>
          <w:trHeight w:val="300"/>
        </w:trPr>
        <w:tc>
          <w:tcPr>
            <w:tcW w:w="1884" w:type="pct"/>
            <w:tcBorders>
              <w:top w:val="single" w:sz="4" w:space="0" w:color="auto"/>
              <w:left w:val="single" w:sz="4" w:space="0" w:color="auto"/>
              <w:bottom w:val="single" w:sz="4" w:space="0" w:color="auto"/>
              <w:right w:val="single" w:sz="4" w:space="0" w:color="auto"/>
            </w:tcBorders>
            <w:noWrap/>
            <w:vAlign w:val="bottom"/>
            <w:hideMark/>
          </w:tcPr>
          <w:p w14:paraId="78015CF6" w14:textId="77777777" w:rsidR="00071451" w:rsidRPr="00527AA1" w:rsidRDefault="00071451" w:rsidP="001E7C51">
            <w:pPr>
              <w:spacing w:before="40" w:after="40"/>
              <w:rPr>
                <w:rFonts w:ascii="Arial Narrow" w:hAnsi="Arial Narrow" w:cs="Calibri"/>
                <w:color w:val="000000"/>
                <w:sz w:val="20"/>
              </w:rPr>
            </w:pPr>
            <w:r w:rsidRPr="00527AA1">
              <w:rPr>
                <w:rFonts w:ascii="Arial Narrow" w:hAnsi="Arial Narrow" w:cs="Calibri"/>
                <w:color w:val="000000"/>
                <w:sz w:val="20"/>
              </w:rPr>
              <w:t>Increase uptake to 75% from 50%</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675841ED" w14:textId="77777777" w:rsidR="00071451" w:rsidRPr="00527AA1" w:rsidRDefault="00071451" w:rsidP="001E7C51">
            <w:pPr>
              <w:spacing w:before="40" w:after="40"/>
              <w:jc w:val="right"/>
              <w:rPr>
                <w:rFonts w:ascii="Arial Narrow" w:hAnsi="Arial Narrow" w:cs="Calibri"/>
                <w:color w:val="000000"/>
                <w:sz w:val="20"/>
              </w:rPr>
            </w:pPr>
            <w:r w:rsidRPr="00527AA1">
              <w:rPr>
                <w:rFonts w:ascii="Arial Narrow" w:hAnsi="Arial Narrow" w:cs="Calibri"/>
                <w:color w:val="000000"/>
                <w:sz w:val="20"/>
              </w:rPr>
              <w:t>$160,204</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3FE604FA" w14:textId="77777777" w:rsidR="00071451" w:rsidRPr="00527AA1" w:rsidRDefault="00071451" w:rsidP="001E7C51">
            <w:pPr>
              <w:spacing w:before="40" w:after="40"/>
              <w:jc w:val="right"/>
              <w:rPr>
                <w:rFonts w:ascii="Arial Narrow" w:hAnsi="Arial Narrow" w:cs="Calibri"/>
                <w:color w:val="000000"/>
                <w:sz w:val="20"/>
              </w:rPr>
            </w:pPr>
            <w:r w:rsidRPr="00527AA1">
              <w:rPr>
                <w:rFonts w:ascii="Arial Narrow" w:hAnsi="Arial Narrow" w:cs="Calibri"/>
                <w:color w:val="000000"/>
                <w:sz w:val="20"/>
              </w:rPr>
              <w:t>$175,262</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7659C987" w14:textId="77777777" w:rsidR="00071451" w:rsidRPr="00527AA1" w:rsidRDefault="00071451" w:rsidP="001E7C51">
            <w:pPr>
              <w:spacing w:before="40" w:after="40"/>
              <w:jc w:val="right"/>
              <w:rPr>
                <w:rFonts w:ascii="Arial Narrow" w:hAnsi="Arial Narrow" w:cs="Calibri"/>
                <w:color w:val="000000"/>
                <w:sz w:val="20"/>
              </w:rPr>
            </w:pPr>
            <w:r w:rsidRPr="00527AA1">
              <w:rPr>
                <w:rFonts w:ascii="Arial Narrow" w:hAnsi="Arial Narrow" w:cs="Calibri"/>
                <w:color w:val="000000"/>
                <w:sz w:val="20"/>
              </w:rPr>
              <w:t>$190,050</w:t>
            </w:r>
          </w:p>
        </w:tc>
        <w:tc>
          <w:tcPr>
            <w:tcW w:w="628" w:type="pct"/>
            <w:tcBorders>
              <w:top w:val="single" w:sz="4" w:space="0" w:color="auto"/>
              <w:left w:val="single" w:sz="4" w:space="0" w:color="auto"/>
              <w:bottom w:val="single" w:sz="4" w:space="0" w:color="auto"/>
              <w:right w:val="single" w:sz="4" w:space="0" w:color="auto"/>
            </w:tcBorders>
            <w:noWrap/>
            <w:vAlign w:val="bottom"/>
            <w:hideMark/>
          </w:tcPr>
          <w:p w14:paraId="6D9530A8" w14:textId="77777777" w:rsidR="00071451" w:rsidRPr="00527AA1" w:rsidRDefault="00071451" w:rsidP="001E7C51">
            <w:pPr>
              <w:spacing w:before="40" w:after="40"/>
              <w:jc w:val="right"/>
              <w:rPr>
                <w:rFonts w:ascii="Arial Narrow" w:hAnsi="Arial Narrow" w:cs="Calibri"/>
                <w:color w:val="000000"/>
                <w:sz w:val="20"/>
              </w:rPr>
            </w:pPr>
            <w:r w:rsidRPr="00527AA1">
              <w:rPr>
                <w:rFonts w:ascii="Arial Narrow" w:hAnsi="Arial Narrow" w:cs="Calibri"/>
                <w:color w:val="000000"/>
                <w:sz w:val="20"/>
              </w:rPr>
              <w:t>-$838</w:t>
            </w:r>
          </w:p>
        </w:tc>
        <w:tc>
          <w:tcPr>
            <w:tcW w:w="601" w:type="pct"/>
            <w:tcBorders>
              <w:top w:val="single" w:sz="4" w:space="0" w:color="auto"/>
              <w:left w:val="single" w:sz="4" w:space="0" w:color="auto"/>
              <w:bottom w:val="single" w:sz="4" w:space="0" w:color="auto"/>
              <w:right w:val="single" w:sz="4" w:space="0" w:color="auto"/>
            </w:tcBorders>
            <w:noWrap/>
            <w:vAlign w:val="bottom"/>
            <w:hideMark/>
          </w:tcPr>
          <w:p w14:paraId="0F789D89" w14:textId="77777777" w:rsidR="00071451" w:rsidRPr="00527AA1" w:rsidRDefault="00071451" w:rsidP="001E7C51">
            <w:pPr>
              <w:spacing w:before="40" w:after="40"/>
              <w:jc w:val="right"/>
              <w:rPr>
                <w:rFonts w:ascii="Arial Narrow" w:hAnsi="Arial Narrow" w:cs="Calibri"/>
                <w:color w:val="000000"/>
                <w:sz w:val="20"/>
              </w:rPr>
            </w:pPr>
            <w:r w:rsidRPr="00527AA1">
              <w:rPr>
                <w:rFonts w:ascii="Arial Narrow" w:hAnsi="Arial Narrow" w:cs="Calibri"/>
                <w:color w:val="000000"/>
                <w:sz w:val="20"/>
              </w:rPr>
              <w:t>$49,494</w:t>
            </w:r>
          </w:p>
        </w:tc>
      </w:tr>
      <w:tr w:rsidR="00071451" w:rsidRPr="001D1EBC" w14:paraId="07EF8B47" w14:textId="77777777" w:rsidTr="001E7C51">
        <w:trPr>
          <w:trHeight w:val="300"/>
        </w:trPr>
        <w:tc>
          <w:tcPr>
            <w:tcW w:w="1884" w:type="pct"/>
            <w:tcBorders>
              <w:top w:val="single" w:sz="4" w:space="0" w:color="auto"/>
              <w:left w:val="single" w:sz="4" w:space="0" w:color="auto"/>
              <w:bottom w:val="single" w:sz="4" w:space="0" w:color="auto"/>
              <w:right w:val="single" w:sz="4" w:space="0" w:color="auto"/>
            </w:tcBorders>
            <w:noWrap/>
            <w:vAlign w:val="bottom"/>
            <w:hideMark/>
          </w:tcPr>
          <w:p w14:paraId="3C7DD46B" w14:textId="77777777" w:rsidR="00071451" w:rsidRPr="00527AA1" w:rsidRDefault="00071451" w:rsidP="001E7C51">
            <w:pPr>
              <w:spacing w:before="40" w:after="40"/>
              <w:rPr>
                <w:rFonts w:ascii="Arial Narrow" w:hAnsi="Arial Narrow" w:cs="Calibri"/>
                <w:color w:val="000000"/>
                <w:sz w:val="20"/>
              </w:rPr>
            </w:pPr>
            <w:r w:rsidRPr="00527AA1">
              <w:rPr>
                <w:rFonts w:ascii="Arial Narrow" w:hAnsi="Arial Narrow" w:cs="Calibri"/>
                <w:color w:val="000000"/>
                <w:sz w:val="20"/>
              </w:rPr>
              <w:t>Increase uptake to 100% from 50%</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424AD879" w14:textId="77777777" w:rsidR="00071451" w:rsidRPr="00527AA1" w:rsidRDefault="00071451" w:rsidP="001E7C51">
            <w:pPr>
              <w:spacing w:before="40" w:after="40"/>
              <w:jc w:val="right"/>
              <w:rPr>
                <w:rFonts w:ascii="Arial Narrow" w:hAnsi="Arial Narrow" w:cs="Calibri"/>
                <w:color w:val="000000"/>
                <w:sz w:val="20"/>
              </w:rPr>
            </w:pPr>
            <w:r w:rsidRPr="00527AA1">
              <w:rPr>
                <w:rFonts w:ascii="Arial Narrow" w:hAnsi="Arial Narrow" w:cs="Calibri"/>
                <w:color w:val="000000"/>
                <w:sz w:val="20"/>
              </w:rPr>
              <w:t>$213,606</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4C5F7E5C" w14:textId="77777777" w:rsidR="00071451" w:rsidRPr="00527AA1" w:rsidRDefault="00071451" w:rsidP="001E7C51">
            <w:pPr>
              <w:spacing w:before="40" w:after="40"/>
              <w:jc w:val="right"/>
              <w:rPr>
                <w:rFonts w:ascii="Arial Narrow" w:hAnsi="Arial Narrow" w:cs="Calibri"/>
                <w:color w:val="000000"/>
                <w:sz w:val="20"/>
              </w:rPr>
            </w:pPr>
            <w:r w:rsidRPr="00527AA1">
              <w:rPr>
                <w:rFonts w:ascii="Arial Narrow" w:hAnsi="Arial Narrow" w:cs="Calibri"/>
                <w:color w:val="000000"/>
                <w:sz w:val="20"/>
              </w:rPr>
              <w:t>$233,682</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067F788D" w14:textId="77777777" w:rsidR="00071451" w:rsidRPr="00527AA1" w:rsidRDefault="00071451" w:rsidP="001E7C51">
            <w:pPr>
              <w:spacing w:before="40" w:after="40"/>
              <w:jc w:val="right"/>
              <w:rPr>
                <w:rFonts w:ascii="Arial Narrow" w:hAnsi="Arial Narrow" w:cs="Calibri"/>
                <w:color w:val="000000"/>
                <w:sz w:val="20"/>
              </w:rPr>
            </w:pPr>
            <w:r w:rsidRPr="00527AA1">
              <w:rPr>
                <w:rFonts w:ascii="Arial Narrow" w:hAnsi="Arial Narrow" w:cs="Calibri"/>
                <w:color w:val="000000"/>
                <w:sz w:val="20"/>
              </w:rPr>
              <w:t>$253,401</w:t>
            </w:r>
          </w:p>
        </w:tc>
        <w:tc>
          <w:tcPr>
            <w:tcW w:w="628" w:type="pct"/>
            <w:tcBorders>
              <w:top w:val="single" w:sz="4" w:space="0" w:color="auto"/>
              <w:left w:val="single" w:sz="4" w:space="0" w:color="auto"/>
              <w:bottom w:val="single" w:sz="4" w:space="0" w:color="auto"/>
              <w:right w:val="single" w:sz="4" w:space="0" w:color="auto"/>
            </w:tcBorders>
            <w:noWrap/>
            <w:vAlign w:val="bottom"/>
            <w:hideMark/>
          </w:tcPr>
          <w:p w14:paraId="634066A1" w14:textId="77777777" w:rsidR="00071451" w:rsidRPr="00527AA1" w:rsidRDefault="00071451" w:rsidP="001E7C51">
            <w:pPr>
              <w:spacing w:before="40" w:after="40"/>
              <w:jc w:val="right"/>
              <w:rPr>
                <w:rFonts w:ascii="Arial Narrow" w:hAnsi="Arial Narrow" w:cs="Calibri"/>
                <w:color w:val="000000"/>
                <w:sz w:val="20"/>
              </w:rPr>
            </w:pPr>
            <w:r w:rsidRPr="00527AA1">
              <w:rPr>
                <w:rFonts w:ascii="Arial Narrow" w:hAnsi="Arial Narrow" w:cs="Calibri"/>
                <w:color w:val="000000"/>
                <w:sz w:val="20"/>
              </w:rPr>
              <w:t>-$1,117</w:t>
            </w:r>
          </w:p>
        </w:tc>
        <w:tc>
          <w:tcPr>
            <w:tcW w:w="601" w:type="pct"/>
            <w:tcBorders>
              <w:top w:val="single" w:sz="4" w:space="0" w:color="auto"/>
              <w:left w:val="single" w:sz="4" w:space="0" w:color="auto"/>
              <w:bottom w:val="single" w:sz="4" w:space="0" w:color="auto"/>
              <w:right w:val="single" w:sz="4" w:space="0" w:color="auto"/>
            </w:tcBorders>
            <w:noWrap/>
            <w:vAlign w:val="bottom"/>
            <w:hideMark/>
          </w:tcPr>
          <w:p w14:paraId="38AE0B2D" w14:textId="77777777" w:rsidR="00071451" w:rsidRPr="00527AA1" w:rsidRDefault="00071451" w:rsidP="001E7C51">
            <w:pPr>
              <w:spacing w:before="40" w:after="40"/>
              <w:jc w:val="right"/>
              <w:rPr>
                <w:rFonts w:ascii="Arial Narrow" w:hAnsi="Arial Narrow" w:cs="Calibri"/>
                <w:color w:val="000000"/>
                <w:sz w:val="20"/>
              </w:rPr>
            </w:pPr>
            <w:r w:rsidRPr="00527AA1">
              <w:rPr>
                <w:rFonts w:ascii="Arial Narrow" w:hAnsi="Arial Narrow" w:cs="Calibri"/>
                <w:color w:val="000000"/>
                <w:sz w:val="20"/>
              </w:rPr>
              <w:t>$65,991</w:t>
            </w:r>
          </w:p>
        </w:tc>
      </w:tr>
      <w:tr w:rsidR="00071451" w:rsidRPr="001D1EBC" w14:paraId="1982FD93" w14:textId="77777777" w:rsidTr="001E7C51">
        <w:trPr>
          <w:trHeight w:val="300"/>
        </w:trPr>
        <w:tc>
          <w:tcPr>
            <w:tcW w:w="1884" w:type="pct"/>
            <w:tcBorders>
              <w:top w:val="single" w:sz="4" w:space="0" w:color="auto"/>
              <w:left w:val="single" w:sz="4" w:space="0" w:color="auto"/>
              <w:bottom w:val="single" w:sz="4" w:space="0" w:color="auto"/>
              <w:right w:val="nil"/>
            </w:tcBorders>
            <w:noWrap/>
            <w:vAlign w:val="bottom"/>
            <w:hideMark/>
          </w:tcPr>
          <w:p w14:paraId="0BBED2AD" w14:textId="72012399" w:rsidR="00071451" w:rsidRPr="00527AA1" w:rsidRDefault="009842FE" w:rsidP="001E7C51">
            <w:pPr>
              <w:spacing w:before="40" w:after="40"/>
              <w:rPr>
                <w:rFonts w:ascii="Arial Narrow" w:hAnsi="Arial Narrow" w:cs="Calibri"/>
                <w:b/>
                <w:bCs/>
                <w:i/>
                <w:iCs/>
                <w:color w:val="000000"/>
                <w:sz w:val="20"/>
              </w:rPr>
            </w:pPr>
            <w:r>
              <w:rPr>
                <w:rFonts w:ascii="Arial Narrow" w:hAnsi="Arial Narrow" w:cs="Calibri"/>
                <w:b/>
                <w:bCs/>
                <w:i/>
                <w:iCs/>
                <w:color w:val="000000"/>
                <w:sz w:val="20"/>
              </w:rPr>
              <w:t>Commentary</w:t>
            </w:r>
          </w:p>
        </w:tc>
        <w:tc>
          <w:tcPr>
            <w:tcW w:w="629" w:type="pct"/>
            <w:tcBorders>
              <w:top w:val="single" w:sz="4" w:space="0" w:color="auto"/>
              <w:left w:val="nil"/>
              <w:bottom w:val="single" w:sz="4" w:space="0" w:color="auto"/>
              <w:right w:val="nil"/>
            </w:tcBorders>
            <w:noWrap/>
            <w:vAlign w:val="bottom"/>
            <w:hideMark/>
          </w:tcPr>
          <w:p w14:paraId="32A4ECF2" w14:textId="77777777" w:rsidR="00071451" w:rsidRPr="00527AA1" w:rsidRDefault="00071451" w:rsidP="001E7C51">
            <w:pPr>
              <w:spacing w:before="40" w:after="40"/>
              <w:jc w:val="right"/>
              <w:rPr>
                <w:rFonts w:ascii="Arial Narrow" w:hAnsi="Arial Narrow" w:cs="Calibri"/>
                <w:b/>
                <w:bCs/>
                <w:i/>
                <w:iCs/>
                <w:color w:val="000000"/>
                <w:sz w:val="20"/>
              </w:rPr>
            </w:pPr>
          </w:p>
        </w:tc>
        <w:tc>
          <w:tcPr>
            <w:tcW w:w="629" w:type="pct"/>
            <w:tcBorders>
              <w:top w:val="single" w:sz="4" w:space="0" w:color="auto"/>
              <w:left w:val="nil"/>
              <w:bottom w:val="single" w:sz="4" w:space="0" w:color="auto"/>
              <w:right w:val="nil"/>
            </w:tcBorders>
            <w:noWrap/>
            <w:vAlign w:val="bottom"/>
            <w:hideMark/>
          </w:tcPr>
          <w:p w14:paraId="7C22DF4B" w14:textId="77777777" w:rsidR="00071451" w:rsidRPr="00D36CF9" w:rsidRDefault="00071451" w:rsidP="001E7C51">
            <w:pPr>
              <w:spacing w:before="40" w:after="40"/>
              <w:jc w:val="right"/>
              <w:rPr>
                <w:sz w:val="20"/>
              </w:rPr>
            </w:pPr>
          </w:p>
        </w:tc>
        <w:tc>
          <w:tcPr>
            <w:tcW w:w="629" w:type="pct"/>
            <w:tcBorders>
              <w:top w:val="single" w:sz="4" w:space="0" w:color="auto"/>
              <w:left w:val="nil"/>
              <w:bottom w:val="single" w:sz="4" w:space="0" w:color="auto"/>
              <w:right w:val="nil"/>
            </w:tcBorders>
            <w:noWrap/>
            <w:vAlign w:val="bottom"/>
            <w:hideMark/>
          </w:tcPr>
          <w:p w14:paraId="60DD4937" w14:textId="77777777" w:rsidR="00071451" w:rsidRPr="00D36CF9" w:rsidRDefault="00071451" w:rsidP="001E7C51">
            <w:pPr>
              <w:spacing w:before="40" w:after="40"/>
              <w:jc w:val="right"/>
              <w:rPr>
                <w:sz w:val="20"/>
              </w:rPr>
            </w:pPr>
          </w:p>
        </w:tc>
        <w:tc>
          <w:tcPr>
            <w:tcW w:w="628" w:type="pct"/>
            <w:tcBorders>
              <w:top w:val="single" w:sz="4" w:space="0" w:color="auto"/>
              <w:left w:val="nil"/>
              <w:bottom w:val="single" w:sz="4" w:space="0" w:color="auto"/>
              <w:right w:val="nil"/>
            </w:tcBorders>
            <w:noWrap/>
            <w:vAlign w:val="bottom"/>
            <w:hideMark/>
          </w:tcPr>
          <w:p w14:paraId="244E9E52" w14:textId="77777777" w:rsidR="00071451" w:rsidRPr="00D36CF9" w:rsidRDefault="00071451" w:rsidP="001E7C51">
            <w:pPr>
              <w:spacing w:before="40" w:after="40"/>
              <w:jc w:val="right"/>
              <w:rPr>
                <w:sz w:val="20"/>
              </w:rPr>
            </w:pPr>
          </w:p>
        </w:tc>
        <w:tc>
          <w:tcPr>
            <w:tcW w:w="601" w:type="pct"/>
            <w:tcBorders>
              <w:top w:val="single" w:sz="4" w:space="0" w:color="auto"/>
              <w:left w:val="nil"/>
              <w:bottom w:val="single" w:sz="4" w:space="0" w:color="auto"/>
              <w:right w:val="single" w:sz="4" w:space="0" w:color="auto"/>
            </w:tcBorders>
            <w:noWrap/>
            <w:vAlign w:val="bottom"/>
            <w:hideMark/>
          </w:tcPr>
          <w:p w14:paraId="771C735F" w14:textId="77777777" w:rsidR="00071451" w:rsidRPr="00DF4BEA" w:rsidRDefault="00071451" w:rsidP="001E7C51">
            <w:pPr>
              <w:spacing w:before="40" w:after="40"/>
              <w:jc w:val="right"/>
              <w:rPr>
                <w:sz w:val="20"/>
              </w:rPr>
            </w:pPr>
          </w:p>
        </w:tc>
      </w:tr>
      <w:tr w:rsidR="00071451" w:rsidRPr="001D1EBC" w14:paraId="7A6450E0" w14:textId="77777777" w:rsidTr="001E7C51">
        <w:trPr>
          <w:trHeight w:val="300"/>
        </w:trPr>
        <w:tc>
          <w:tcPr>
            <w:tcW w:w="1884" w:type="pct"/>
            <w:tcBorders>
              <w:top w:val="single" w:sz="4" w:space="0" w:color="auto"/>
              <w:left w:val="single" w:sz="4" w:space="0" w:color="auto"/>
              <w:bottom w:val="single" w:sz="4" w:space="0" w:color="auto"/>
              <w:right w:val="single" w:sz="4" w:space="0" w:color="auto"/>
            </w:tcBorders>
            <w:noWrap/>
            <w:vAlign w:val="bottom"/>
            <w:hideMark/>
          </w:tcPr>
          <w:p w14:paraId="51469FD5" w14:textId="77777777" w:rsidR="00071451" w:rsidRPr="00527AA1" w:rsidRDefault="00071451" w:rsidP="001E7C51">
            <w:pPr>
              <w:spacing w:before="40" w:after="40"/>
              <w:rPr>
                <w:rFonts w:ascii="Arial Narrow" w:hAnsi="Arial Narrow" w:cs="Calibri"/>
                <w:i/>
                <w:iCs/>
                <w:color w:val="000000"/>
                <w:sz w:val="20"/>
              </w:rPr>
            </w:pPr>
            <w:r w:rsidRPr="00527AA1">
              <w:rPr>
                <w:rFonts w:ascii="Arial Narrow" w:hAnsi="Arial Narrow" w:cs="Calibri"/>
                <w:i/>
                <w:iCs/>
                <w:color w:val="000000"/>
                <w:sz w:val="20"/>
              </w:rPr>
              <w:t>Base case</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1D6E8765"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$42,565</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344CFF70"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$47,833</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08F04C0D"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$52,999</w:t>
            </w:r>
          </w:p>
        </w:tc>
        <w:tc>
          <w:tcPr>
            <w:tcW w:w="628" w:type="pct"/>
            <w:tcBorders>
              <w:top w:val="single" w:sz="4" w:space="0" w:color="auto"/>
              <w:left w:val="single" w:sz="4" w:space="0" w:color="auto"/>
              <w:bottom w:val="single" w:sz="4" w:space="0" w:color="auto"/>
              <w:right w:val="single" w:sz="4" w:space="0" w:color="auto"/>
            </w:tcBorders>
            <w:noWrap/>
            <w:vAlign w:val="bottom"/>
            <w:hideMark/>
          </w:tcPr>
          <w:p w14:paraId="05A23278"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-$36,812</w:t>
            </w:r>
          </w:p>
        </w:tc>
        <w:tc>
          <w:tcPr>
            <w:tcW w:w="601" w:type="pct"/>
            <w:tcBorders>
              <w:top w:val="single" w:sz="4" w:space="0" w:color="auto"/>
              <w:left w:val="single" w:sz="4" w:space="0" w:color="auto"/>
              <w:bottom w:val="single" w:sz="4" w:space="0" w:color="auto"/>
              <w:right w:val="single" w:sz="4" w:space="0" w:color="auto"/>
            </w:tcBorders>
            <w:noWrap/>
            <w:vAlign w:val="bottom"/>
            <w:hideMark/>
          </w:tcPr>
          <w:p w14:paraId="3A76CB5C"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-$28,032</w:t>
            </w:r>
          </w:p>
        </w:tc>
      </w:tr>
      <w:tr w:rsidR="00071451" w:rsidRPr="001D1EBC" w14:paraId="4C3A70CB" w14:textId="77777777" w:rsidTr="001E7C51">
        <w:trPr>
          <w:trHeight w:val="300"/>
        </w:trPr>
        <w:tc>
          <w:tcPr>
            <w:tcW w:w="1884" w:type="pct"/>
            <w:tcBorders>
              <w:top w:val="single" w:sz="4" w:space="0" w:color="auto"/>
              <w:left w:val="single" w:sz="4" w:space="0" w:color="auto"/>
              <w:bottom w:val="single" w:sz="4" w:space="0" w:color="auto"/>
              <w:right w:val="single" w:sz="4" w:space="0" w:color="auto"/>
            </w:tcBorders>
            <w:noWrap/>
            <w:hideMark/>
          </w:tcPr>
          <w:p w14:paraId="757F9403" w14:textId="77777777" w:rsidR="00071451" w:rsidRPr="00527AA1" w:rsidRDefault="00071451" w:rsidP="001E7C51">
            <w:pPr>
              <w:spacing w:before="40" w:after="40"/>
              <w:rPr>
                <w:rFonts w:ascii="Arial Narrow" w:hAnsi="Arial Narrow" w:cs="Calibri"/>
                <w:i/>
                <w:iCs/>
                <w:color w:val="000000"/>
                <w:sz w:val="20"/>
              </w:rPr>
            </w:pPr>
            <w:r w:rsidRPr="00527AA1">
              <w:rPr>
                <w:rFonts w:ascii="Arial Narrow" w:hAnsi="Arial Narrow"/>
                <w:i/>
                <w:iCs/>
                <w:sz w:val="20"/>
              </w:rPr>
              <w:t>Proportion of kidney cancer &lt;=4cm, 43%</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3A5E33FF"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$46,821</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4AFD8FAF"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$52,616</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7C7E0270"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$58,299</w:t>
            </w:r>
          </w:p>
        </w:tc>
        <w:tc>
          <w:tcPr>
            <w:tcW w:w="628" w:type="pct"/>
            <w:tcBorders>
              <w:top w:val="single" w:sz="4" w:space="0" w:color="auto"/>
              <w:left w:val="single" w:sz="4" w:space="0" w:color="auto"/>
              <w:bottom w:val="single" w:sz="4" w:space="0" w:color="auto"/>
              <w:right w:val="single" w:sz="4" w:space="0" w:color="auto"/>
            </w:tcBorders>
            <w:noWrap/>
            <w:vAlign w:val="bottom"/>
            <w:hideMark/>
          </w:tcPr>
          <w:p w14:paraId="0930890A"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-$40,493</w:t>
            </w:r>
          </w:p>
        </w:tc>
        <w:tc>
          <w:tcPr>
            <w:tcW w:w="601" w:type="pct"/>
            <w:tcBorders>
              <w:top w:val="single" w:sz="4" w:space="0" w:color="auto"/>
              <w:left w:val="single" w:sz="4" w:space="0" w:color="auto"/>
              <w:bottom w:val="single" w:sz="4" w:space="0" w:color="auto"/>
              <w:right w:val="single" w:sz="4" w:space="0" w:color="auto"/>
            </w:tcBorders>
            <w:noWrap/>
            <w:vAlign w:val="bottom"/>
            <w:hideMark/>
          </w:tcPr>
          <w:p w14:paraId="2605EBF9"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-$30,835</w:t>
            </w:r>
          </w:p>
        </w:tc>
      </w:tr>
      <w:tr w:rsidR="00071451" w:rsidRPr="001D1EBC" w14:paraId="2CA401CD" w14:textId="77777777" w:rsidTr="001E7C51">
        <w:trPr>
          <w:trHeight w:val="300"/>
        </w:trPr>
        <w:tc>
          <w:tcPr>
            <w:tcW w:w="1884" w:type="pct"/>
            <w:tcBorders>
              <w:top w:val="single" w:sz="4" w:space="0" w:color="auto"/>
              <w:left w:val="single" w:sz="4" w:space="0" w:color="auto"/>
              <w:bottom w:val="single" w:sz="4" w:space="0" w:color="auto"/>
              <w:right w:val="single" w:sz="4" w:space="0" w:color="auto"/>
            </w:tcBorders>
            <w:noWrap/>
            <w:hideMark/>
          </w:tcPr>
          <w:p w14:paraId="79060491" w14:textId="77777777" w:rsidR="00071451" w:rsidRPr="00527AA1" w:rsidRDefault="00071451" w:rsidP="001E7C51">
            <w:pPr>
              <w:spacing w:before="40" w:after="40"/>
              <w:rPr>
                <w:rFonts w:ascii="Arial Narrow" w:hAnsi="Arial Narrow"/>
                <w:i/>
                <w:iCs/>
                <w:sz w:val="20"/>
              </w:rPr>
            </w:pPr>
            <w:r w:rsidRPr="00527AA1">
              <w:rPr>
                <w:rFonts w:ascii="Arial Narrow" w:hAnsi="Arial Narrow"/>
                <w:i/>
                <w:iCs/>
                <w:sz w:val="20"/>
              </w:rPr>
              <w:t xml:space="preserve">Kidney cancer </w:t>
            </w:r>
            <w:r w:rsidRPr="00527AA1">
              <w:rPr>
                <w:rFonts w:ascii="Arial Narrow" w:hAnsi="Arial Narrow"/>
                <w:iCs/>
                <w:sz w:val="20"/>
              </w:rPr>
              <w:t>growth rate (5%)</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76EA334C"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$42,565</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11BED7EF"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$49,995</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616E9FE6"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$55,429</w:t>
            </w:r>
          </w:p>
        </w:tc>
        <w:tc>
          <w:tcPr>
            <w:tcW w:w="628" w:type="pct"/>
            <w:tcBorders>
              <w:top w:val="single" w:sz="4" w:space="0" w:color="auto"/>
              <w:left w:val="single" w:sz="4" w:space="0" w:color="auto"/>
              <w:bottom w:val="single" w:sz="4" w:space="0" w:color="auto"/>
              <w:right w:val="single" w:sz="4" w:space="0" w:color="auto"/>
            </w:tcBorders>
            <w:noWrap/>
            <w:vAlign w:val="bottom"/>
            <w:hideMark/>
          </w:tcPr>
          <w:p w14:paraId="6BF91D9C"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-$34,120</w:t>
            </w:r>
          </w:p>
        </w:tc>
        <w:tc>
          <w:tcPr>
            <w:tcW w:w="601" w:type="pct"/>
            <w:tcBorders>
              <w:top w:val="single" w:sz="4" w:space="0" w:color="auto"/>
              <w:left w:val="single" w:sz="4" w:space="0" w:color="auto"/>
              <w:bottom w:val="single" w:sz="4" w:space="0" w:color="auto"/>
              <w:right w:val="single" w:sz="4" w:space="0" w:color="auto"/>
            </w:tcBorders>
            <w:noWrap/>
            <w:vAlign w:val="bottom"/>
            <w:hideMark/>
          </w:tcPr>
          <w:p w14:paraId="4EF1C875"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-$25,082</w:t>
            </w:r>
          </w:p>
        </w:tc>
      </w:tr>
      <w:tr w:rsidR="00071451" w:rsidRPr="001D1EBC" w14:paraId="799B2D63" w14:textId="77777777" w:rsidTr="001E7C51">
        <w:trPr>
          <w:trHeight w:val="300"/>
        </w:trPr>
        <w:tc>
          <w:tcPr>
            <w:tcW w:w="1884" w:type="pct"/>
            <w:tcBorders>
              <w:top w:val="single" w:sz="4" w:space="0" w:color="auto"/>
              <w:left w:val="single" w:sz="4" w:space="0" w:color="auto"/>
              <w:bottom w:val="single" w:sz="4" w:space="0" w:color="auto"/>
              <w:right w:val="single" w:sz="4" w:space="0" w:color="auto"/>
            </w:tcBorders>
            <w:noWrap/>
            <w:hideMark/>
          </w:tcPr>
          <w:p w14:paraId="2AE5F263" w14:textId="77777777" w:rsidR="00071451" w:rsidRPr="00527AA1" w:rsidRDefault="00071451" w:rsidP="001E7C51">
            <w:pPr>
              <w:spacing w:before="40" w:after="40"/>
              <w:rPr>
                <w:rFonts w:ascii="Arial Narrow" w:hAnsi="Arial Narrow" w:cs="Calibri"/>
                <w:i/>
                <w:iCs/>
                <w:color w:val="000000"/>
                <w:sz w:val="20"/>
              </w:rPr>
            </w:pPr>
            <w:r w:rsidRPr="00527AA1">
              <w:rPr>
                <w:rFonts w:ascii="Arial Narrow" w:hAnsi="Arial Narrow"/>
                <w:i/>
                <w:iCs/>
                <w:sz w:val="20"/>
              </w:rPr>
              <w:t xml:space="preserve">67% malignant </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52907C6E"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$38,800</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0C027835"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$43,603</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55CA407A"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$48,312</w:t>
            </w:r>
          </w:p>
        </w:tc>
        <w:tc>
          <w:tcPr>
            <w:tcW w:w="628" w:type="pct"/>
            <w:tcBorders>
              <w:top w:val="single" w:sz="4" w:space="0" w:color="auto"/>
              <w:left w:val="single" w:sz="4" w:space="0" w:color="auto"/>
              <w:bottom w:val="single" w:sz="4" w:space="0" w:color="auto"/>
              <w:right w:val="single" w:sz="4" w:space="0" w:color="auto"/>
            </w:tcBorders>
            <w:noWrap/>
            <w:vAlign w:val="bottom"/>
            <w:hideMark/>
          </w:tcPr>
          <w:p w14:paraId="4B185D24"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-$33,556</w:t>
            </w:r>
          </w:p>
        </w:tc>
        <w:tc>
          <w:tcPr>
            <w:tcW w:w="601" w:type="pct"/>
            <w:tcBorders>
              <w:top w:val="single" w:sz="4" w:space="0" w:color="auto"/>
              <w:left w:val="single" w:sz="4" w:space="0" w:color="auto"/>
              <w:bottom w:val="single" w:sz="4" w:space="0" w:color="auto"/>
              <w:right w:val="single" w:sz="4" w:space="0" w:color="auto"/>
            </w:tcBorders>
            <w:noWrap/>
            <w:vAlign w:val="bottom"/>
            <w:hideMark/>
          </w:tcPr>
          <w:p w14:paraId="00B9F93C"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-$25,553</w:t>
            </w:r>
          </w:p>
        </w:tc>
      </w:tr>
      <w:tr w:rsidR="00071451" w:rsidRPr="001D1EBC" w14:paraId="2C7C033C" w14:textId="77777777" w:rsidTr="001E7C51">
        <w:trPr>
          <w:trHeight w:val="300"/>
        </w:trPr>
        <w:tc>
          <w:tcPr>
            <w:tcW w:w="1884" w:type="pct"/>
            <w:tcBorders>
              <w:top w:val="single" w:sz="4" w:space="0" w:color="auto"/>
              <w:left w:val="single" w:sz="4" w:space="0" w:color="auto"/>
              <w:bottom w:val="single" w:sz="4" w:space="0" w:color="auto"/>
              <w:right w:val="single" w:sz="4" w:space="0" w:color="auto"/>
            </w:tcBorders>
            <w:noWrap/>
            <w:hideMark/>
          </w:tcPr>
          <w:p w14:paraId="512930D1" w14:textId="77777777" w:rsidR="00071451" w:rsidRPr="00527AA1" w:rsidRDefault="00071451" w:rsidP="001E7C51">
            <w:pPr>
              <w:spacing w:before="40" w:after="40"/>
              <w:rPr>
                <w:rFonts w:ascii="Arial Narrow" w:hAnsi="Arial Narrow" w:cs="Calibri"/>
                <w:i/>
                <w:iCs/>
                <w:color w:val="000000"/>
                <w:sz w:val="20"/>
              </w:rPr>
            </w:pPr>
            <w:r w:rsidRPr="00527AA1">
              <w:rPr>
                <w:rFonts w:ascii="Arial Narrow" w:hAnsi="Arial Narrow"/>
                <w:i/>
                <w:iCs/>
                <w:sz w:val="20"/>
              </w:rPr>
              <w:t>80% malignant.</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34429F10"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$46,329</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7ADCFA2E"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$52,063</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0A76C0F5"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$57,686</w:t>
            </w:r>
          </w:p>
        </w:tc>
        <w:tc>
          <w:tcPr>
            <w:tcW w:w="628" w:type="pct"/>
            <w:tcBorders>
              <w:top w:val="single" w:sz="4" w:space="0" w:color="auto"/>
              <w:left w:val="single" w:sz="4" w:space="0" w:color="auto"/>
              <w:bottom w:val="single" w:sz="4" w:space="0" w:color="auto"/>
              <w:right w:val="single" w:sz="4" w:space="0" w:color="auto"/>
            </w:tcBorders>
            <w:noWrap/>
            <w:vAlign w:val="bottom"/>
            <w:hideMark/>
          </w:tcPr>
          <w:p w14:paraId="08D52F6E"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-$40,067</w:t>
            </w:r>
          </w:p>
        </w:tc>
        <w:tc>
          <w:tcPr>
            <w:tcW w:w="601" w:type="pct"/>
            <w:tcBorders>
              <w:top w:val="single" w:sz="4" w:space="0" w:color="auto"/>
              <w:left w:val="single" w:sz="4" w:space="0" w:color="auto"/>
              <w:bottom w:val="single" w:sz="4" w:space="0" w:color="auto"/>
              <w:right w:val="single" w:sz="4" w:space="0" w:color="auto"/>
            </w:tcBorders>
            <w:noWrap/>
            <w:vAlign w:val="bottom"/>
            <w:hideMark/>
          </w:tcPr>
          <w:p w14:paraId="758939D1"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-$30,511</w:t>
            </w:r>
          </w:p>
        </w:tc>
      </w:tr>
      <w:tr w:rsidR="00071451" w:rsidRPr="001D1EBC" w14:paraId="5BB59244" w14:textId="77777777" w:rsidTr="001E7C51">
        <w:trPr>
          <w:trHeight w:val="300"/>
        </w:trPr>
        <w:tc>
          <w:tcPr>
            <w:tcW w:w="1884" w:type="pct"/>
            <w:tcBorders>
              <w:top w:val="single" w:sz="4" w:space="0" w:color="auto"/>
              <w:left w:val="single" w:sz="4" w:space="0" w:color="auto"/>
              <w:bottom w:val="single" w:sz="4" w:space="0" w:color="auto"/>
              <w:right w:val="single" w:sz="4" w:space="0" w:color="auto"/>
            </w:tcBorders>
            <w:noWrap/>
            <w:hideMark/>
          </w:tcPr>
          <w:p w14:paraId="2C94D576" w14:textId="77777777" w:rsidR="00071451" w:rsidRPr="00527AA1" w:rsidRDefault="00071451" w:rsidP="001E7C51">
            <w:pPr>
              <w:spacing w:before="40" w:after="40"/>
              <w:rPr>
                <w:rFonts w:ascii="Arial Narrow" w:hAnsi="Arial Narrow"/>
                <w:i/>
                <w:iCs/>
                <w:sz w:val="20"/>
              </w:rPr>
            </w:pPr>
            <w:r w:rsidRPr="00527AA1">
              <w:rPr>
                <w:rFonts w:ascii="Arial Narrow" w:hAnsi="Arial Narrow"/>
                <w:i/>
                <w:iCs/>
                <w:sz w:val="20"/>
              </w:rPr>
              <w:t>50% AS treated with RN in Year 3</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64CDE057"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$42,565</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49244697"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$47,833</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0FB4F8A8"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$52,999</w:t>
            </w:r>
          </w:p>
        </w:tc>
        <w:tc>
          <w:tcPr>
            <w:tcW w:w="628" w:type="pct"/>
            <w:tcBorders>
              <w:top w:val="single" w:sz="4" w:space="0" w:color="auto"/>
              <w:left w:val="single" w:sz="4" w:space="0" w:color="auto"/>
              <w:bottom w:val="single" w:sz="4" w:space="0" w:color="auto"/>
              <w:right w:val="single" w:sz="4" w:space="0" w:color="auto"/>
            </w:tcBorders>
            <w:noWrap/>
            <w:vAlign w:val="bottom"/>
            <w:hideMark/>
          </w:tcPr>
          <w:p w14:paraId="2CB40ACA"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$1,596</w:t>
            </w:r>
          </w:p>
        </w:tc>
        <w:tc>
          <w:tcPr>
            <w:tcW w:w="601" w:type="pct"/>
            <w:tcBorders>
              <w:top w:val="single" w:sz="4" w:space="0" w:color="auto"/>
              <w:left w:val="single" w:sz="4" w:space="0" w:color="auto"/>
              <w:bottom w:val="single" w:sz="4" w:space="0" w:color="auto"/>
              <w:right w:val="single" w:sz="4" w:space="0" w:color="auto"/>
            </w:tcBorders>
            <w:noWrap/>
            <w:vAlign w:val="bottom"/>
            <w:hideMark/>
          </w:tcPr>
          <w:p w14:paraId="120EC559"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$8,840</w:t>
            </w:r>
          </w:p>
        </w:tc>
      </w:tr>
      <w:tr w:rsidR="00071451" w:rsidRPr="001D1EBC" w14:paraId="0C20C028" w14:textId="77777777" w:rsidTr="001E7C51">
        <w:trPr>
          <w:trHeight w:val="300"/>
        </w:trPr>
        <w:tc>
          <w:tcPr>
            <w:tcW w:w="1884" w:type="pct"/>
            <w:tcBorders>
              <w:top w:val="single" w:sz="4" w:space="0" w:color="auto"/>
              <w:left w:val="single" w:sz="4" w:space="0" w:color="auto"/>
              <w:bottom w:val="single" w:sz="4" w:space="0" w:color="auto"/>
              <w:right w:val="single" w:sz="4" w:space="0" w:color="auto"/>
            </w:tcBorders>
            <w:noWrap/>
            <w:hideMark/>
          </w:tcPr>
          <w:p w14:paraId="5FB9179D" w14:textId="77777777" w:rsidR="00071451" w:rsidRPr="00527AA1" w:rsidRDefault="00071451" w:rsidP="001E7C51">
            <w:pPr>
              <w:spacing w:before="40" w:after="40"/>
              <w:rPr>
                <w:rFonts w:ascii="Arial Narrow" w:hAnsi="Arial Narrow"/>
                <w:i/>
                <w:iCs/>
                <w:sz w:val="20"/>
              </w:rPr>
            </w:pPr>
            <w:r w:rsidRPr="00527AA1">
              <w:rPr>
                <w:rFonts w:ascii="Arial Narrow" w:hAnsi="Arial Narrow"/>
                <w:i/>
                <w:iCs/>
                <w:sz w:val="20"/>
              </w:rPr>
              <w:t>75% AS treated with RN in Year 3</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5ACBC4DD"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$42,565</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564C4287"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$47,833</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46A112A1"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$52,999</w:t>
            </w:r>
          </w:p>
        </w:tc>
        <w:tc>
          <w:tcPr>
            <w:tcW w:w="628" w:type="pct"/>
            <w:tcBorders>
              <w:top w:val="single" w:sz="4" w:space="0" w:color="auto"/>
              <w:left w:val="single" w:sz="4" w:space="0" w:color="auto"/>
              <w:bottom w:val="single" w:sz="4" w:space="0" w:color="auto"/>
              <w:right w:val="single" w:sz="4" w:space="0" w:color="auto"/>
            </w:tcBorders>
            <w:noWrap/>
            <w:vAlign w:val="bottom"/>
            <w:hideMark/>
          </w:tcPr>
          <w:p w14:paraId="2C547F4F"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-$26,645</w:t>
            </w:r>
          </w:p>
        </w:tc>
        <w:tc>
          <w:tcPr>
            <w:tcW w:w="601" w:type="pct"/>
            <w:tcBorders>
              <w:top w:val="single" w:sz="4" w:space="0" w:color="auto"/>
              <w:left w:val="single" w:sz="4" w:space="0" w:color="auto"/>
              <w:bottom w:val="single" w:sz="4" w:space="0" w:color="auto"/>
              <w:right w:val="single" w:sz="4" w:space="0" w:color="auto"/>
            </w:tcBorders>
            <w:noWrap/>
            <w:vAlign w:val="bottom"/>
            <w:hideMark/>
          </w:tcPr>
          <w:p w14:paraId="40A4C4DA"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-$18,272</w:t>
            </w:r>
          </w:p>
        </w:tc>
      </w:tr>
      <w:tr w:rsidR="00071451" w:rsidRPr="001D1EBC" w14:paraId="420A4DD7" w14:textId="77777777" w:rsidTr="001E7C51">
        <w:trPr>
          <w:trHeight w:val="300"/>
        </w:trPr>
        <w:tc>
          <w:tcPr>
            <w:tcW w:w="1884" w:type="pct"/>
            <w:tcBorders>
              <w:top w:val="single" w:sz="4" w:space="0" w:color="auto"/>
              <w:left w:val="single" w:sz="4" w:space="0" w:color="auto"/>
              <w:bottom w:val="single" w:sz="4" w:space="0" w:color="auto"/>
              <w:right w:val="single" w:sz="4" w:space="0" w:color="auto"/>
            </w:tcBorders>
            <w:noWrap/>
            <w:hideMark/>
          </w:tcPr>
          <w:p w14:paraId="5F7873A7" w14:textId="77777777" w:rsidR="00071451" w:rsidRPr="00527AA1" w:rsidRDefault="00071451" w:rsidP="001E7C51">
            <w:pPr>
              <w:spacing w:before="40" w:after="40"/>
              <w:rPr>
                <w:rFonts w:ascii="Arial Narrow" w:hAnsi="Arial Narrow"/>
                <w:i/>
                <w:iCs/>
                <w:sz w:val="20"/>
              </w:rPr>
            </w:pPr>
            <w:r w:rsidRPr="00527AA1">
              <w:rPr>
                <w:rFonts w:ascii="Arial Narrow" w:hAnsi="Arial Narrow"/>
                <w:i/>
                <w:iCs/>
                <w:sz w:val="20"/>
              </w:rPr>
              <w:t>100% AS treated with RN in Year 3</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2AF9C58E"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$42,565</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4B1CA40A"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$47,833</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24CDEA1A"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$52,999</w:t>
            </w:r>
          </w:p>
        </w:tc>
        <w:tc>
          <w:tcPr>
            <w:tcW w:w="628" w:type="pct"/>
            <w:tcBorders>
              <w:top w:val="single" w:sz="4" w:space="0" w:color="auto"/>
              <w:left w:val="single" w:sz="4" w:space="0" w:color="auto"/>
              <w:bottom w:val="single" w:sz="4" w:space="0" w:color="auto"/>
              <w:right w:val="single" w:sz="4" w:space="0" w:color="auto"/>
            </w:tcBorders>
            <w:noWrap/>
            <w:vAlign w:val="bottom"/>
            <w:hideMark/>
          </w:tcPr>
          <w:p w14:paraId="0A9AB274"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-$54,886</w:t>
            </w:r>
          </w:p>
        </w:tc>
        <w:tc>
          <w:tcPr>
            <w:tcW w:w="601" w:type="pct"/>
            <w:tcBorders>
              <w:top w:val="single" w:sz="4" w:space="0" w:color="auto"/>
              <w:left w:val="single" w:sz="4" w:space="0" w:color="auto"/>
              <w:bottom w:val="single" w:sz="4" w:space="0" w:color="auto"/>
              <w:right w:val="single" w:sz="4" w:space="0" w:color="auto"/>
            </w:tcBorders>
            <w:noWrap/>
            <w:vAlign w:val="bottom"/>
            <w:hideMark/>
          </w:tcPr>
          <w:p w14:paraId="6BBCB8CC" w14:textId="77777777" w:rsidR="00071451" w:rsidRPr="00527AA1" w:rsidRDefault="00071451" w:rsidP="001E7C51">
            <w:pPr>
              <w:spacing w:before="40" w:after="40"/>
              <w:jc w:val="right"/>
              <w:rPr>
                <w:rFonts w:ascii="Arial Narrow" w:hAnsi="Arial Narrow" w:cs="Calibri"/>
                <w:i/>
                <w:iCs/>
                <w:color w:val="000000"/>
                <w:sz w:val="20"/>
              </w:rPr>
            </w:pPr>
            <w:r w:rsidRPr="00D36CF9">
              <w:rPr>
                <w:rFonts w:ascii="Arial Narrow" w:hAnsi="Arial Narrow" w:cs="Calibri"/>
                <w:i/>
                <w:iCs/>
                <w:color w:val="000000"/>
                <w:sz w:val="20"/>
              </w:rPr>
              <w:t>-$45,383</w:t>
            </w:r>
          </w:p>
        </w:tc>
      </w:tr>
    </w:tbl>
    <w:p w14:paraId="205901F5" w14:textId="19ED422A" w:rsidR="00071451" w:rsidRDefault="00071451" w:rsidP="00071451">
      <w:pPr>
        <w:pStyle w:val="Tablenotes"/>
        <w:spacing w:after="0"/>
        <w:rPr>
          <w:rStyle w:val="TablenotesChar"/>
          <w:lang w:eastAsia="zh-CN"/>
        </w:rPr>
      </w:pPr>
      <w:r w:rsidRPr="00F04347">
        <w:rPr>
          <w:rStyle w:val="TablenotesChar"/>
          <w:lang w:eastAsia="zh-CN"/>
        </w:rPr>
        <w:t>Source</w:t>
      </w:r>
      <w:r w:rsidRPr="0012371B">
        <w:rPr>
          <w:rStyle w:val="TablenotesChar"/>
          <w:lang w:eastAsia="zh-CN"/>
        </w:rPr>
        <w:t>:</w:t>
      </w:r>
      <w:r>
        <w:rPr>
          <w:rStyle w:val="TablenotesChar"/>
          <w:lang w:eastAsia="zh-CN"/>
        </w:rPr>
        <w:t xml:space="preserve"> </w:t>
      </w:r>
      <w:r>
        <w:t xml:space="preserve">Table 108, p195 of the </w:t>
      </w:r>
      <w:r w:rsidR="009842FE">
        <w:t>Commentary</w:t>
      </w:r>
      <w:r>
        <w:t xml:space="preserve">. </w:t>
      </w:r>
      <w:r w:rsidR="009842FE">
        <w:rPr>
          <w:i/>
          <w:iCs/>
        </w:rPr>
        <w:t>Commentary</w:t>
      </w:r>
      <w:r>
        <w:rPr>
          <w:i/>
          <w:iCs/>
        </w:rPr>
        <w:t xml:space="preserve"> in italics </w:t>
      </w:r>
    </w:p>
    <w:p w14:paraId="11ACC71C" w14:textId="77777777" w:rsidR="00071451" w:rsidRDefault="00071451" w:rsidP="00071451">
      <w:pPr>
        <w:pStyle w:val="Tablenotes"/>
      </w:pPr>
      <w:r>
        <w:t>Abbreviations: MBS=Medicare benefits Scheme; RN=radical nephrectomy</w:t>
      </w:r>
    </w:p>
    <w:p w14:paraId="4848A7FD" w14:textId="401579BA" w:rsidR="00071451" w:rsidRDefault="00071451" w:rsidP="004F4A0A">
      <w:pPr>
        <w:spacing w:after="240"/>
        <w:rPr>
          <w:i/>
          <w:iCs/>
        </w:rPr>
      </w:pPr>
      <w:r>
        <w:t xml:space="preserve">The total government impact (MBS, PBS, and State Hospital) of CA listing is presented in </w:t>
      </w:r>
      <w:r w:rsidRPr="005C0BE2">
        <w:fldChar w:fldCharType="begin"/>
      </w:r>
      <w:r w:rsidRPr="005C0BE2">
        <w:instrText xml:space="preserve"> REF _Ref42269028 \h  \* MERGEFORMAT </w:instrText>
      </w:r>
      <w:r w:rsidRPr="005C0BE2">
        <w:fldChar w:fldCharType="separate"/>
      </w:r>
      <w:r>
        <w:t xml:space="preserve">Table </w:t>
      </w:r>
      <w:r>
        <w:rPr>
          <w:noProof/>
        </w:rPr>
        <w:t>19</w:t>
      </w:r>
      <w:r w:rsidRPr="005C0BE2">
        <w:fldChar w:fldCharType="end"/>
      </w:r>
      <w:r>
        <w:t>,</w:t>
      </w:r>
      <w:r w:rsidRPr="005C0BE2">
        <w:t xml:space="preserve"> which the ADAR estimated to generate savings of -$228,516 over 5-years However, when the a</w:t>
      </w:r>
      <w:r w:rsidRPr="005C0BE2">
        <w:rPr>
          <w:iCs/>
        </w:rPr>
        <w:t xml:space="preserve">mended MBS rebate and DRG costs are included and budget impact recalculated, an overall government saving of -$697,000 over 5-years is estimated. The </w:t>
      </w:r>
      <w:r w:rsidR="009842FE">
        <w:rPr>
          <w:iCs/>
        </w:rPr>
        <w:t>Commentary</w:t>
      </w:r>
      <w:r w:rsidRPr="005C0BE2">
        <w:rPr>
          <w:iCs/>
        </w:rPr>
        <w:t xml:space="preserve"> cautioned that these results are uncertain as it is unclear who would bear hospital costs, and there are differences in CA and comparator MBS unit costs.</w:t>
      </w:r>
    </w:p>
    <w:p w14:paraId="26617246" w14:textId="77777777" w:rsidR="00071451" w:rsidRPr="003A7EA2" w:rsidRDefault="00071451" w:rsidP="003A7EA2">
      <w:pPr>
        <w:rPr>
          <w:rFonts w:ascii="Arial Narrow" w:hAnsi="Arial Narrow"/>
          <w:b/>
          <w:sz w:val="20"/>
        </w:rPr>
      </w:pPr>
      <w:bookmarkStart w:id="45" w:name="_Ref42269028"/>
      <w:bookmarkStart w:id="46" w:name="_Toc42590466"/>
      <w:r w:rsidRPr="003A7EA2">
        <w:rPr>
          <w:rFonts w:ascii="Arial Narrow" w:hAnsi="Arial Narrow"/>
          <w:b/>
          <w:sz w:val="20"/>
        </w:rPr>
        <w:t xml:space="preserve">Table </w:t>
      </w:r>
      <w:r w:rsidR="00C736E0" w:rsidRPr="003A7EA2">
        <w:rPr>
          <w:rFonts w:ascii="Arial Narrow" w:hAnsi="Arial Narrow"/>
          <w:b/>
          <w:sz w:val="20"/>
        </w:rPr>
        <w:fldChar w:fldCharType="begin"/>
      </w:r>
      <w:r w:rsidR="00C736E0" w:rsidRPr="003A7EA2">
        <w:rPr>
          <w:rFonts w:ascii="Arial Narrow" w:hAnsi="Arial Narrow"/>
          <w:b/>
          <w:sz w:val="20"/>
        </w:rPr>
        <w:instrText xml:space="preserve"> SEQ Table \* ARABIC </w:instrText>
      </w:r>
      <w:r w:rsidR="00C736E0" w:rsidRPr="003A7EA2">
        <w:rPr>
          <w:rFonts w:ascii="Arial Narrow" w:hAnsi="Arial Narrow"/>
          <w:b/>
          <w:sz w:val="20"/>
        </w:rPr>
        <w:fldChar w:fldCharType="separate"/>
      </w:r>
      <w:r w:rsidRPr="003A7EA2">
        <w:rPr>
          <w:rFonts w:ascii="Arial Narrow" w:hAnsi="Arial Narrow"/>
          <w:b/>
          <w:sz w:val="20"/>
        </w:rPr>
        <w:t>19</w:t>
      </w:r>
      <w:r w:rsidR="00C736E0" w:rsidRPr="003A7EA2">
        <w:rPr>
          <w:rFonts w:ascii="Arial Narrow" w:hAnsi="Arial Narrow"/>
          <w:b/>
          <w:sz w:val="20"/>
        </w:rPr>
        <w:fldChar w:fldCharType="end"/>
      </w:r>
      <w:bookmarkEnd w:id="45"/>
      <w:r w:rsidRPr="003A7EA2">
        <w:rPr>
          <w:rFonts w:ascii="Arial Narrow" w:hAnsi="Arial Narrow"/>
          <w:b/>
          <w:sz w:val="20"/>
        </w:rPr>
        <w:tab/>
        <w:t>Total impact to Government health budgets</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stimated net impact on the Government health budgets"/>
        <w:tblDescription w:val="This table provides the estimated net impact on the Government health budgets in the first five years of listing, after taking into account change in costs to the MBS, PBS and the state hospital budgets."/>
      </w:tblPr>
      <w:tblGrid>
        <w:gridCol w:w="2123"/>
        <w:gridCol w:w="1134"/>
        <w:gridCol w:w="1134"/>
        <w:gridCol w:w="1134"/>
        <w:gridCol w:w="1134"/>
        <w:gridCol w:w="1095"/>
        <w:gridCol w:w="1262"/>
      </w:tblGrid>
      <w:tr w:rsidR="00071451" w:rsidRPr="004F4A0A" w14:paraId="00919BAD" w14:textId="77777777" w:rsidTr="001E7C51">
        <w:trPr>
          <w:trHeight w:val="300"/>
          <w:tblHeader/>
        </w:trPr>
        <w:tc>
          <w:tcPr>
            <w:tcW w:w="1177" w:type="pct"/>
            <w:tcBorders>
              <w:top w:val="single" w:sz="4" w:space="0" w:color="auto"/>
              <w:left w:val="single" w:sz="4" w:space="0" w:color="auto"/>
              <w:bottom w:val="single" w:sz="4" w:space="0" w:color="auto"/>
              <w:right w:val="single" w:sz="4" w:space="0" w:color="auto"/>
            </w:tcBorders>
            <w:noWrap/>
            <w:vAlign w:val="center"/>
            <w:hideMark/>
          </w:tcPr>
          <w:p w14:paraId="0369A759" w14:textId="77777777" w:rsidR="00071451" w:rsidRPr="004F4A0A" w:rsidRDefault="00071451" w:rsidP="001E7C51">
            <w:pPr>
              <w:spacing w:before="40" w:after="40"/>
              <w:rPr>
                <w:sz w:val="20"/>
              </w:rPr>
            </w:pP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0745B27D" w14:textId="77777777" w:rsidR="00071451" w:rsidRPr="004F4A0A" w:rsidRDefault="00071451" w:rsidP="001E7C51">
            <w:pPr>
              <w:pStyle w:val="Tabletext"/>
              <w:jc w:val="center"/>
              <w:rPr>
                <w:rFonts w:cs="Calibri"/>
                <w:b/>
                <w:bCs/>
                <w:color w:val="000000"/>
                <w:szCs w:val="20"/>
              </w:rPr>
            </w:pPr>
            <w:r w:rsidRPr="004F4A0A">
              <w:rPr>
                <w:rFonts w:cs="Calibri"/>
                <w:b/>
                <w:bCs/>
                <w:color w:val="000000"/>
                <w:szCs w:val="20"/>
              </w:rPr>
              <w:t>Year 1</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17DD1EE2" w14:textId="77777777" w:rsidR="00071451" w:rsidRPr="004F4A0A" w:rsidRDefault="00071451" w:rsidP="001E7C51">
            <w:pPr>
              <w:pStyle w:val="Tabletext"/>
              <w:jc w:val="center"/>
              <w:rPr>
                <w:rFonts w:cs="Calibri"/>
                <w:b/>
                <w:bCs/>
                <w:color w:val="000000"/>
                <w:szCs w:val="20"/>
              </w:rPr>
            </w:pPr>
            <w:r w:rsidRPr="004F4A0A">
              <w:rPr>
                <w:rFonts w:cs="Calibri"/>
                <w:b/>
                <w:bCs/>
                <w:color w:val="000000"/>
                <w:szCs w:val="20"/>
              </w:rPr>
              <w:t>Year 2</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18F683CB" w14:textId="77777777" w:rsidR="00071451" w:rsidRPr="004F4A0A" w:rsidRDefault="00071451" w:rsidP="001E7C51">
            <w:pPr>
              <w:pStyle w:val="Tabletext"/>
              <w:jc w:val="center"/>
              <w:rPr>
                <w:rFonts w:cs="Calibri"/>
                <w:b/>
                <w:bCs/>
                <w:color w:val="000000"/>
                <w:szCs w:val="20"/>
              </w:rPr>
            </w:pPr>
            <w:r w:rsidRPr="004F4A0A">
              <w:rPr>
                <w:rFonts w:cs="Calibri"/>
                <w:b/>
                <w:bCs/>
                <w:color w:val="000000"/>
                <w:szCs w:val="20"/>
              </w:rPr>
              <w:t>Year 3</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442AC55B" w14:textId="77777777" w:rsidR="00071451" w:rsidRPr="004F4A0A" w:rsidRDefault="00071451" w:rsidP="001E7C51">
            <w:pPr>
              <w:pStyle w:val="Tabletext"/>
              <w:jc w:val="center"/>
              <w:rPr>
                <w:rFonts w:cs="Calibri"/>
                <w:b/>
                <w:bCs/>
                <w:color w:val="000000"/>
                <w:szCs w:val="20"/>
              </w:rPr>
            </w:pPr>
            <w:r w:rsidRPr="004F4A0A">
              <w:rPr>
                <w:rFonts w:cs="Calibri"/>
                <w:b/>
                <w:bCs/>
                <w:color w:val="000000"/>
                <w:szCs w:val="20"/>
              </w:rPr>
              <w:t>Year 4</w:t>
            </w:r>
          </w:p>
        </w:tc>
        <w:tc>
          <w:tcPr>
            <w:tcW w:w="607" w:type="pct"/>
            <w:tcBorders>
              <w:top w:val="single" w:sz="4" w:space="0" w:color="auto"/>
              <w:left w:val="single" w:sz="4" w:space="0" w:color="auto"/>
              <w:bottom w:val="single" w:sz="4" w:space="0" w:color="auto"/>
              <w:right w:val="single" w:sz="4" w:space="0" w:color="auto"/>
            </w:tcBorders>
            <w:noWrap/>
            <w:vAlign w:val="center"/>
            <w:hideMark/>
          </w:tcPr>
          <w:p w14:paraId="37E22042" w14:textId="77777777" w:rsidR="00071451" w:rsidRPr="004F4A0A" w:rsidRDefault="00071451" w:rsidP="001E7C51">
            <w:pPr>
              <w:pStyle w:val="Tabletext"/>
              <w:jc w:val="center"/>
              <w:rPr>
                <w:rFonts w:cs="Calibri"/>
                <w:b/>
                <w:bCs/>
                <w:color w:val="000000"/>
                <w:szCs w:val="20"/>
              </w:rPr>
            </w:pPr>
            <w:r w:rsidRPr="004F4A0A">
              <w:rPr>
                <w:rFonts w:cs="Calibri"/>
                <w:b/>
                <w:bCs/>
                <w:color w:val="000000"/>
                <w:szCs w:val="20"/>
              </w:rPr>
              <w:t>Year 5</w:t>
            </w:r>
          </w:p>
        </w:tc>
        <w:tc>
          <w:tcPr>
            <w:tcW w:w="700" w:type="pct"/>
            <w:tcBorders>
              <w:top w:val="single" w:sz="4" w:space="0" w:color="auto"/>
              <w:left w:val="single" w:sz="4" w:space="0" w:color="auto"/>
              <w:bottom w:val="single" w:sz="4" w:space="0" w:color="auto"/>
              <w:right w:val="single" w:sz="4" w:space="0" w:color="auto"/>
            </w:tcBorders>
            <w:vAlign w:val="center"/>
            <w:hideMark/>
          </w:tcPr>
          <w:p w14:paraId="78FC428A" w14:textId="77777777" w:rsidR="00071451" w:rsidRPr="004F4A0A" w:rsidRDefault="00071451" w:rsidP="001E7C51">
            <w:pPr>
              <w:pStyle w:val="Tabletext"/>
              <w:jc w:val="center"/>
              <w:rPr>
                <w:rFonts w:cs="Calibri"/>
                <w:b/>
                <w:bCs/>
                <w:color w:val="000000"/>
                <w:szCs w:val="20"/>
              </w:rPr>
            </w:pPr>
            <w:r w:rsidRPr="004F4A0A">
              <w:rPr>
                <w:rFonts w:cs="Calibri"/>
                <w:b/>
                <w:bCs/>
                <w:color w:val="000000"/>
                <w:szCs w:val="20"/>
              </w:rPr>
              <w:t>5-year impact</w:t>
            </w:r>
          </w:p>
        </w:tc>
      </w:tr>
      <w:tr w:rsidR="00071451" w:rsidRPr="004F4A0A" w14:paraId="2DE4181E" w14:textId="77777777" w:rsidTr="001E7C51">
        <w:trPr>
          <w:trHeight w:val="300"/>
          <w:tblHeader/>
        </w:trPr>
        <w:tc>
          <w:tcPr>
            <w:tcW w:w="1177" w:type="pct"/>
            <w:tcBorders>
              <w:top w:val="single" w:sz="4" w:space="0" w:color="auto"/>
              <w:left w:val="single" w:sz="4" w:space="0" w:color="auto"/>
              <w:bottom w:val="single" w:sz="4" w:space="0" w:color="auto"/>
              <w:right w:val="single" w:sz="4" w:space="0" w:color="auto"/>
            </w:tcBorders>
            <w:noWrap/>
            <w:vAlign w:val="center"/>
            <w:hideMark/>
          </w:tcPr>
          <w:p w14:paraId="6D0DF2EB" w14:textId="77777777" w:rsidR="00071451" w:rsidRPr="004F4A0A" w:rsidRDefault="00071451" w:rsidP="001E7C51">
            <w:pPr>
              <w:pStyle w:val="Tabletext"/>
              <w:rPr>
                <w:rFonts w:cs="Calibri"/>
                <w:b/>
                <w:bCs/>
                <w:color w:val="000000"/>
                <w:szCs w:val="20"/>
              </w:rPr>
            </w:pPr>
            <w:r w:rsidRPr="004F4A0A">
              <w:rPr>
                <w:rFonts w:cs="Calibri"/>
                <w:b/>
                <w:bCs/>
                <w:color w:val="000000"/>
                <w:szCs w:val="20"/>
              </w:rPr>
              <w:t>Description</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4B2D0E9E" w14:textId="77777777" w:rsidR="00071451" w:rsidRPr="004F4A0A" w:rsidRDefault="00071451" w:rsidP="001E7C51">
            <w:pPr>
              <w:pStyle w:val="Tabletext"/>
              <w:jc w:val="center"/>
              <w:rPr>
                <w:rFonts w:cs="Calibri"/>
                <w:b/>
                <w:bCs/>
                <w:color w:val="000000"/>
                <w:szCs w:val="20"/>
              </w:rPr>
            </w:pPr>
            <w:r w:rsidRPr="004F4A0A">
              <w:rPr>
                <w:rFonts w:cs="Calibri"/>
                <w:b/>
                <w:bCs/>
                <w:color w:val="000000"/>
                <w:szCs w:val="20"/>
              </w:rPr>
              <w:t>2021</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1A96A256" w14:textId="77777777" w:rsidR="00071451" w:rsidRPr="004F4A0A" w:rsidRDefault="00071451" w:rsidP="001E7C51">
            <w:pPr>
              <w:pStyle w:val="Tabletext"/>
              <w:jc w:val="center"/>
              <w:rPr>
                <w:rFonts w:cs="Calibri"/>
                <w:b/>
                <w:bCs/>
                <w:color w:val="000000"/>
                <w:szCs w:val="20"/>
              </w:rPr>
            </w:pPr>
            <w:r w:rsidRPr="004F4A0A">
              <w:rPr>
                <w:rFonts w:cs="Calibri"/>
                <w:b/>
                <w:bCs/>
                <w:color w:val="000000"/>
                <w:szCs w:val="20"/>
              </w:rPr>
              <w:t>2022</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1FDE760A" w14:textId="77777777" w:rsidR="00071451" w:rsidRPr="004F4A0A" w:rsidRDefault="00071451" w:rsidP="001E7C51">
            <w:pPr>
              <w:pStyle w:val="Tabletext"/>
              <w:jc w:val="center"/>
              <w:rPr>
                <w:rFonts w:cs="Calibri"/>
                <w:b/>
                <w:bCs/>
                <w:color w:val="000000"/>
                <w:szCs w:val="20"/>
              </w:rPr>
            </w:pPr>
            <w:r w:rsidRPr="004F4A0A">
              <w:rPr>
                <w:rFonts w:cs="Calibri"/>
                <w:b/>
                <w:bCs/>
                <w:color w:val="000000"/>
                <w:szCs w:val="20"/>
              </w:rPr>
              <w:t>2023</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34632B56" w14:textId="77777777" w:rsidR="00071451" w:rsidRPr="004F4A0A" w:rsidRDefault="00071451" w:rsidP="001E7C51">
            <w:pPr>
              <w:pStyle w:val="Tabletext"/>
              <w:jc w:val="center"/>
              <w:rPr>
                <w:rFonts w:cs="Calibri"/>
                <w:b/>
                <w:bCs/>
                <w:color w:val="000000"/>
                <w:szCs w:val="20"/>
              </w:rPr>
            </w:pPr>
            <w:r w:rsidRPr="004F4A0A">
              <w:rPr>
                <w:rFonts w:cs="Calibri"/>
                <w:b/>
                <w:bCs/>
                <w:color w:val="000000"/>
                <w:szCs w:val="20"/>
              </w:rPr>
              <w:t>2024</w:t>
            </w:r>
          </w:p>
        </w:tc>
        <w:tc>
          <w:tcPr>
            <w:tcW w:w="607" w:type="pct"/>
            <w:tcBorders>
              <w:top w:val="single" w:sz="4" w:space="0" w:color="auto"/>
              <w:left w:val="single" w:sz="4" w:space="0" w:color="auto"/>
              <w:bottom w:val="single" w:sz="4" w:space="0" w:color="auto"/>
              <w:right w:val="single" w:sz="4" w:space="0" w:color="auto"/>
            </w:tcBorders>
            <w:noWrap/>
            <w:vAlign w:val="center"/>
            <w:hideMark/>
          </w:tcPr>
          <w:p w14:paraId="5B824394" w14:textId="77777777" w:rsidR="00071451" w:rsidRPr="004F4A0A" w:rsidRDefault="00071451" w:rsidP="001E7C51">
            <w:pPr>
              <w:pStyle w:val="Tabletext"/>
              <w:jc w:val="center"/>
              <w:rPr>
                <w:rFonts w:cs="Calibri"/>
                <w:b/>
                <w:bCs/>
                <w:color w:val="000000"/>
                <w:szCs w:val="20"/>
              </w:rPr>
            </w:pPr>
            <w:r w:rsidRPr="004F4A0A">
              <w:rPr>
                <w:rFonts w:cs="Calibri"/>
                <w:b/>
                <w:bCs/>
                <w:color w:val="000000"/>
                <w:szCs w:val="20"/>
              </w:rPr>
              <w:t>2025</w:t>
            </w:r>
          </w:p>
        </w:tc>
        <w:tc>
          <w:tcPr>
            <w:tcW w:w="700" w:type="pct"/>
            <w:tcBorders>
              <w:top w:val="single" w:sz="4" w:space="0" w:color="auto"/>
              <w:left w:val="single" w:sz="4" w:space="0" w:color="auto"/>
              <w:bottom w:val="single" w:sz="4" w:space="0" w:color="auto"/>
              <w:right w:val="single" w:sz="4" w:space="0" w:color="auto"/>
            </w:tcBorders>
            <w:vAlign w:val="center"/>
          </w:tcPr>
          <w:p w14:paraId="2F676D97" w14:textId="77777777" w:rsidR="00071451" w:rsidRPr="004F4A0A" w:rsidRDefault="00071451" w:rsidP="001E7C51">
            <w:pPr>
              <w:pStyle w:val="Tabletext"/>
              <w:jc w:val="center"/>
              <w:rPr>
                <w:rFonts w:cs="Calibri"/>
                <w:b/>
                <w:bCs/>
                <w:color w:val="000000"/>
                <w:szCs w:val="20"/>
              </w:rPr>
            </w:pPr>
          </w:p>
        </w:tc>
      </w:tr>
      <w:tr w:rsidR="00071451" w:rsidRPr="004F4A0A" w14:paraId="3F644D71" w14:textId="77777777" w:rsidTr="001E7C51">
        <w:trPr>
          <w:trHeight w:val="300"/>
          <w:tblHeader/>
        </w:trPr>
        <w:tc>
          <w:tcPr>
            <w:tcW w:w="1177" w:type="pct"/>
            <w:tcBorders>
              <w:top w:val="single" w:sz="4" w:space="0" w:color="auto"/>
              <w:left w:val="single" w:sz="4" w:space="0" w:color="auto"/>
              <w:bottom w:val="single" w:sz="4" w:space="0" w:color="auto"/>
              <w:right w:val="nil"/>
            </w:tcBorders>
            <w:noWrap/>
            <w:vAlign w:val="center"/>
            <w:hideMark/>
          </w:tcPr>
          <w:p w14:paraId="227DFDB5" w14:textId="77777777" w:rsidR="00071451" w:rsidRPr="004F4A0A" w:rsidRDefault="00071451" w:rsidP="001E7C51">
            <w:pPr>
              <w:pStyle w:val="Tabletext"/>
              <w:rPr>
                <w:rFonts w:cs="Calibri"/>
                <w:b/>
                <w:bCs/>
                <w:color w:val="000000"/>
                <w:szCs w:val="20"/>
              </w:rPr>
            </w:pPr>
            <w:r w:rsidRPr="004F4A0A">
              <w:rPr>
                <w:rFonts w:cs="Calibri"/>
                <w:b/>
                <w:bCs/>
                <w:color w:val="000000"/>
                <w:szCs w:val="20"/>
              </w:rPr>
              <w:t>Submission</w:t>
            </w:r>
          </w:p>
        </w:tc>
        <w:tc>
          <w:tcPr>
            <w:tcW w:w="629" w:type="pct"/>
            <w:tcBorders>
              <w:top w:val="single" w:sz="4" w:space="0" w:color="auto"/>
              <w:left w:val="nil"/>
              <w:bottom w:val="single" w:sz="4" w:space="0" w:color="auto"/>
              <w:right w:val="nil"/>
            </w:tcBorders>
            <w:noWrap/>
            <w:vAlign w:val="center"/>
            <w:hideMark/>
          </w:tcPr>
          <w:p w14:paraId="567AD52E" w14:textId="77777777" w:rsidR="00071451" w:rsidRPr="004F4A0A" w:rsidRDefault="00071451" w:rsidP="001E7C51">
            <w:pPr>
              <w:spacing w:before="40" w:after="40"/>
              <w:rPr>
                <w:rFonts w:cs="Calibri"/>
                <w:b/>
                <w:bCs/>
                <w:color w:val="000000"/>
                <w:sz w:val="20"/>
              </w:rPr>
            </w:pPr>
          </w:p>
        </w:tc>
        <w:tc>
          <w:tcPr>
            <w:tcW w:w="629" w:type="pct"/>
            <w:tcBorders>
              <w:top w:val="single" w:sz="4" w:space="0" w:color="auto"/>
              <w:left w:val="nil"/>
              <w:bottom w:val="single" w:sz="4" w:space="0" w:color="auto"/>
              <w:right w:val="nil"/>
            </w:tcBorders>
            <w:noWrap/>
            <w:vAlign w:val="center"/>
            <w:hideMark/>
          </w:tcPr>
          <w:p w14:paraId="41512A0A" w14:textId="77777777" w:rsidR="00071451" w:rsidRPr="004F4A0A" w:rsidRDefault="00071451" w:rsidP="001E7C51">
            <w:pPr>
              <w:spacing w:before="40" w:after="40"/>
              <w:rPr>
                <w:sz w:val="20"/>
              </w:rPr>
            </w:pPr>
          </w:p>
        </w:tc>
        <w:tc>
          <w:tcPr>
            <w:tcW w:w="629" w:type="pct"/>
            <w:tcBorders>
              <w:top w:val="single" w:sz="4" w:space="0" w:color="auto"/>
              <w:left w:val="nil"/>
              <w:bottom w:val="single" w:sz="4" w:space="0" w:color="auto"/>
              <w:right w:val="nil"/>
            </w:tcBorders>
            <w:noWrap/>
            <w:vAlign w:val="center"/>
            <w:hideMark/>
          </w:tcPr>
          <w:p w14:paraId="61C6A3CA" w14:textId="77777777" w:rsidR="00071451" w:rsidRPr="004F4A0A" w:rsidRDefault="00071451" w:rsidP="001E7C51">
            <w:pPr>
              <w:spacing w:before="40" w:after="40"/>
              <w:rPr>
                <w:sz w:val="20"/>
              </w:rPr>
            </w:pPr>
          </w:p>
        </w:tc>
        <w:tc>
          <w:tcPr>
            <w:tcW w:w="629" w:type="pct"/>
            <w:tcBorders>
              <w:top w:val="single" w:sz="4" w:space="0" w:color="auto"/>
              <w:left w:val="nil"/>
              <w:bottom w:val="single" w:sz="4" w:space="0" w:color="auto"/>
              <w:right w:val="nil"/>
            </w:tcBorders>
            <w:noWrap/>
            <w:vAlign w:val="center"/>
            <w:hideMark/>
          </w:tcPr>
          <w:p w14:paraId="1C865447" w14:textId="77777777" w:rsidR="00071451" w:rsidRPr="004F4A0A" w:rsidRDefault="00071451" w:rsidP="001E7C51">
            <w:pPr>
              <w:spacing w:before="40" w:after="40"/>
              <w:rPr>
                <w:sz w:val="20"/>
              </w:rPr>
            </w:pPr>
          </w:p>
        </w:tc>
        <w:tc>
          <w:tcPr>
            <w:tcW w:w="607" w:type="pct"/>
            <w:tcBorders>
              <w:top w:val="single" w:sz="4" w:space="0" w:color="auto"/>
              <w:left w:val="nil"/>
              <w:bottom w:val="single" w:sz="4" w:space="0" w:color="auto"/>
              <w:right w:val="nil"/>
            </w:tcBorders>
            <w:noWrap/>
            <w:vAlign w:val="center"/>
            <w:hideMark/>
          </w:tcPr>
          <w:p w14:paraId="685BDDBD" w14:textId="77777777" w:rsidR="00071451" w:rsidRPr="004F4A0A" w:rsidRDefault="00071451" w:rsidP="001E7C51">
            <w:pPr>
              <w:spacing w:before="40" w:after="40"/>
              <w:rPr>
                <w:sz w:val="20"/>
              </w:rPr>
            </w:pPr>
          </w:p>
        </w:tc>
        <w:tc>
          <w:tcPr>
            <w:tcW w:w="700" w:type="pct"/>
            <w:tcBorders>
              <w:top w:val="single" w:sz="4" w:space="0" w:color="auto"/>
              <w:left w:val="nil"/>
              <w:bottom w:val="single" w:sz="4" w:space="0" w:color="auto"/>
              <w:right w:val="single" w:sz="4" w:space="0" w:color="auto"/>
            </w:tcBorders>
            <w:vAlign w:val="center"/>
          </w:tcPr>
          <w:p w14:paraId="27569379" w14:textId="77777777" w:rsidR="00071451" w:rsidRPr="004F4A0A" w:rsidRDefault="00071451" w:rsidP="001E7C51">
            <w:pPr>
              <w:pStyle w:val="Tabletext"/>
              <w:rPr>
                <w:rFonts w:cs="Calibri"/>
                <w:b/>
                <w:bCs/>
                <w:color w:val="000000"/>
                <w:szCs w:val="20"/>
              </w:rPr>
            </w:pPr>
          </w:p>
        </w:tc>
      </w:tr>
      <w:tr w:rsidR="00071451" w:rsidRPr="004F4A0A" w14:paraId="6D093256" w14:textId="77777777" w:rsidTr="001E7C51">
        <w:trPr>
          <w:trHeight w:val="300"/>
          <w:tblHeader/>
        </w:trPr>
        <w:tc>
          <w:tcPr>
            <w:tcW w:w="1177" w:type="pct"/>
            <w:tcBorders>
              <w:top w:val="single" w:sz="4" w:space="0" w:color="auto"/>
              <w:left w:val="single" w:sz="4" w:space="0" w:color="auto"/>
              <w:bottom w:val="single" w:sz="4" w:space="0" w:color="auto"/>
              <w:right w:val="single" w:sz="4" w:space="0" w:color="auto"/>
            </w:tcBorders>
            <w:noWrap/>
            <w:vAlign w:val="center"/>
            <w:hideMark/>
          </w:tcPr>
          <w:p w14:paraId="05FBC2A5" w14:textId="77777777" w:rsidR="00071451" w:rsidRPr="004F4A0A" w:rsidRDefault="00071451" w:rsidP="001E7C51">
            <w:pPr>
              <w:pStyle w:val="Tabletext"/>
              <w:rPr>
                <w:rFonts w:cs="Calibri"/>
                <w:color w:val="000000"/>
                <w:szCs w:val="20"/>
              </w:rPr>
            </w:pPr>
            <w:r w:rsidRPr="004F4A0A">
              <w:rPr>
                <w:rFonts w:cs="Calibri"/>
                <w:color w:val="000000"/>
                <w:szCs w:val="20"/>
              </w:rPr>
              <w:t>MBS</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2666D835" w14:textId="77777777" w:rsidR="00071451" w:rsidRPr="004F4A0A" w:rsidRDefault="00071451" w:rsidP="001E7C51">
            <w:pPr>
              <w:pStyle w:val="Tabletext"/>
              <w:jc w:val="right"/>
              <w:rPr>
                <w:rFonts w:cs="Calibri"/>
                <w:color w:val="000000"/>
                <w:szCs w:val="20"/>
              </w:rPr>
            </w:pPr>
            <w:r w:rsidRPr="004F4A0A">
              <w:rPr>
                <w:rFonts w:cs="Calibri"/>
                <w:color w:val="000000"/>
                <w:szCs w:val="20"/>
              </w:rPr>
              <w:t>$106,803</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52813FCC" w14:textId="77777777" w:rsidR="00071451" w:rsidRPr="004F4A0A" w:rsidRDefault="00071451" w:rsidP="001E7C51">
            <w:pPr>
              <w:pStyle w:val="Tabletext"/>
              <w:jc w:val="right"/>
              <w:rPr>
                <w:rFonts w:cs="Calibri"/>
                <w:color w:val="000000"/>
                <w:szCs w:val="20"/>
              </w:rPr>
            </w:pPr>
            <w:r w:rsidRPr="004F4A0A">
              <w:rPr>
                <w:rFonts w:cs="Calibri"/>
                <w:color w:val="000000"/>
                <w:szCs w:val="20"/>
              </w:rPr>
              <w:t>$116,841</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43794715" w14:textId="77777777" w:rsidR="00071451" w:rsidRPr="004F4A0A" w:rsidRDefault="00071451" w:rsidP="001E7C51">
            <w:pPr>
              <w:pStyle w:val="Tabletext"/>
              <w:jc w:val="right"/>
              <w:rPr>
                <w:rFonts w:cs="Calibri"/>
                <w:color w:val="000000"/>
                <w:szCs w:val="20"/>
              </w:rPr>
            </w:pPr>
            <w:r w:rsidRPr="004F4A0A">
              <w:rPr>
                <w:rFonts w:cs="Calibri"/>
                <w:color w:val="000000"/>
                <w:szCs w:val="20"/>
              </w:rPr>
              <w:t>$126,700</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1EA8BF88" w14:textId="77777777" w:rsidR="00071451" w:rsidRPr="004F4A0A" w:rsidRDefault="00071451" w:rsidP="001E7C51">
            <w:pPr>
              <w:pStyle w:val="Tabletext"/>
              <w:jc w:val="right"/>
              <w:rPr>
                <w:rFonts w:cs="Calibri"/>
                <w:color w:val="000000"/>
                <w:szCs w:val="20"/>
              </w:rPr>
            </w:pPr>
            <w:r w:rsidRPr="004F4A0A">
              <w:rPr>
                <w:rFonts w:cs="Calibri"/>
                <w:color w:val="000000"/>
                <w:szCs w:val="20"/>
              </w:rPr>
              <w:t>-$558</w:t>
            </w:r>
          </w:p>
        </w:tc>
        <w:tc>
          <w:tcPr>
            <w:tcW w:w="607" w:type="pct"/>
            <w:tcBorders>
              <w:top w:val="single" w:sz="4" w:space="0" w:color="auto"/>
              <w:left w:val="single" w:sz="4" w:space="0" w:color="auto"/>
              <w:bottom w:val="single" w:sz="4" w:space="0" w:color="auto"/>
              <w:right w:val="single" w:sz="4" w:space="0" w:color="auto"/>
            </w:tcBorders>
            <w:noWrap/>
            <w:vAlign w:val="center"/>
            <w:hideMark/>
          </w:tcPr>
          <w:p w14:paraId="4AC88226" w14:textId="77777777" w:rsidR="00071451" w:rsidRPr="004F4A0A" w:rsidRDefault="00071451" w:rsidP="001E7C51">
            <w:pPr>
              <w:pStyle w:val="Tabletext"/>
              <w:jc w:val="right"/>
              <w:rPr>
                <w:rFonts w:cs="Calibri"/>
                <w:color w:val="000000"/>
                <w:szCs w:val="20"/>
              </w:rPr>
            </w:pPr>
            <w:r w:rsidRPr="004F4A0A">
              <w:rPr>
                <w:rFonts w:cs="Calibri"/>
                <w:color w:val="000000"/>
                <w:szCs w:val="20"/>
              </w:rPr>
              <w:t>$32,996</w:t>
            </w:r>
          </w:p>
        </w:tc>
        <w:tc>
          <w:tcPr>
            <w:tcW w:w="700" w:type="pct"/>
            <w:tcBorders>
              <w:top w:val="single" w:sz="4" w:space="0" w:color="auto"/>
              <w:left w:val="single" w:sz="4" w:space="0" w:color="auto"/>
              <w:bottom w:val="single" w:sz="4" w:space="0" w:color="auto"/>
              <w:right w:val="single" w:sz="4" w:space="0" w:color="auto"/>
            </w:tcBorders>
            <w:vAlign w:val="center"/>
            <w:hideMark/>
          </w:tcPr>
          <w:p w14:paraId="0935B90F" w14:textId="77777777" w:rsidR="00071451" w:rsidRPr="004F4A0A" w:rsidRDefault="00071451" w:rsidP="001E7C51">
            <w:pPr>
              <w:pStyle w:val="Tabletext"/>
              <w:jc w:val="right"/>
              <w:rPr>
                <w:rFonts w:cs="Calibri"/>
                <w:color w:val="000000"/>
                <w:szCs w:val="20"/>
              </w:rPr>
            </w:pPr>
            <w:r w:rsidRPr="004F4A0A">
              <w:rPr>
                <w:rFonts w:cs="Calibri"/>
                <w:color w:val="000000"/>
                <w:szCs w:val="20"/>
              </w:rPr>
              <w:t>$382,782</w:t>
            </w:r>
          </w:p>
        </w:tc>
      </w:tr>
      <w:tr w:rsidR="00071451" w:rsidRPr="004F4A0A" w14:paraId="07B3AEBC" w14:textId="77777777" w:rsidTr="001E7C51">
        <w:trPr>
          <w:trHeight w:val="300"/>
          <w:tblHeader/>
        </w:trPr>
        <w:tc>
          <w:tcPr>
            <w:tcW w:w="1177" w:type="pct"/>
            <w:tcBorders>
              <w:top w:val="single" w:sz="4" w:space="0" w:color="auto"/>
              <w:left w:val="single" w:sz="4" w:space="0" w:color="auto"/>
              <w:bottom w:val="single" w:sz="4" w:space="0" w:color="auto"/>
              <w:right w:val="single" w:sz="4" w:space="0" w:color="auto"/>
            </w:tcBorders>
            <w:noWrap/>
            <w:vAlign w:val="center"/>
            <w:hideMark/>
          </w:tcPr>
          <w:p w14:paraId="14DD0ECC" w14:textId="77777777" w:rsidR="00071451" w:rsidRPr="004F4A0A" w:rsidRDefault="00071451" w:rsidP="001E7C51">
            <w:pPr>
              <w:pStyle w:val="Tabletext"/>
              <w:rPr>
                <w:rFonts w:cs="Calibri"/>
                <w:color w:val="000000"/>
                <w:szCs w:val="20"/>
              </w:rPr>
            </w:pPr>
            <w:r w:rsidRPr="004F4A0A">
              <w:rPr>
                <w:rFonts w:cs="Calibri"/>
                <w:color w:val="000000"/>
                <w:szCs w:val="20"/>
              </w:rPr>
              <w:t>PBS</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7F8D5DD4" w14:textId="77777777" w:rsidR="00071451" w:rsidRPr="004F4A0A" w:rsidRDefault="00071451" w:rsidP="001E7C51">
            <w:pPr>
              <w:pStyle w:val="Tabletext"/>
              <w:jc w:val="right"/>
              <w:rPr>
                <w:rFonts w:cs="Calibri"/>
                <w:color w:val="000000"/>
                <w:szCs w:val="20"/>
              </w:rPr>
            </w:pPr>
            <w:r w:rsidRPr="004F4A0A">
              <w:rPr>
                <w:rFonts w:cs="Calibri"/>
                <w:color w:val="000000"/>
                <w:szCs w:val="20"/>
              </w:rPr>
              <w:t>$8,266</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6D559748" w14:textId="77777777" w:rsidR="00071451" w:rsidRPr="004F4A0A" w:rsidRDefault="00071451" w:rsidP="001E7C51">
            <w:pPr>
              <w:pStyle w:val="Tabletext"/>
              <w:jc w:val="right"/>
              <w:rPr>
                <w:rFonts w:cs="Calibri"/>
                <w:color w:val="000000"/>
                <w:szCs w:val="20"/>
              </w:rPr>
            </w:pPr>
            <w:r w:rsidRPr="004F4A0A">
              <w:rPr>
                <w:rFonts w:cs="Calibri"/>
                <w:color w:val="000000"/>
                <w:szCs w:val="20"/>
              </w:rPr>
              <w:t>$8,379</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07999C5F" w14:textId="77777777" w:rsidR="00071451" w:rsidRPr="004F4A0A" w:rsidRDefault="00071451" w:rsidP="001E7C51">
            <w:pPr>
              <w:pStyle w:val="Tabletext"/>
              <w:jc w:val="right"/>
              <w:rPr>
                <w:rFonts w:cs="Calibri"/>
                <w:color w:val="000000"/>
                <w:szCs w:val="20"/>
              </w:rPr>
            </w:pPr>
            <w:r w:rsidRPr="004F4A0A">
              <w:rPr>
                <w:rFonts w:cs="Calibri"/>
                <w:color w:val="000000"/>
                <w:szCs w:val="20"/>
              </w:rPr>
              <w:t>$8,494</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2B109BB0" w14:textId="77777777" w:rsidR="00071451" w:rsidRPr="004F4A0A" w:rsidRDefault="00071451" w:rsidP="001E7C51">
            <w:pPr>
              <w:pStyle w:val="Tabletext"/>
              <w:jc w:val="right"/>
              <w:rPr>
                <w:rFonts w:cs="Calibri"/>
                <w:color w:val="000000"/>
                <w:szCs w:val="20"/>
              </w:rPr>
            </w:pPr>
            <w:r w:rsidRPr="004F4A0A">
              <w:rPr>
                <w:rFonts w:cs="Calibri"/>
                <w:color w:val="000000"/>
                <w:szCs w:val="20"/>
              </w:rPr>
              <w:t>$3,558</w:t>
            </w:r>
          </w:p>
        </w:tc>
        <w:tc>
          <w:tcPr>
            <w:tcW w:w="607" w:type="pct"/>
            <w:tcBorders>
              <w:top w:val="single" w:sz="4" w:space="0" w:color="auto"/>
              <w:left w:val="single" w:sz="4" w:space="0" w:color="auto"/>
              <w:bottom w:val="single" w:sz="4" w:space="0" w:color="auto"/>
              <w:right w:val="single" w:sz="4" w:space="0" w:color="auto"/>
            </w:tcBorders>
            <w:noWrap/>
            <w:vAlign w:val="center"/>
            <w:hideMark/>
          </w:tcPr>
          <w:p w14:paraId="37318B1A" w14:textId="77777777" w:rsidR="00071451" w:rsidRPr="004F4A0A" w:rsidRDefault="00071451" w:rsidP="001E7C51">
            <w:pPr>
              <w:pStyle w:val="Tabletext"/>
              <w:jc w:val="right"/>
              <w:rPr>
                <w:rFonts w:cs="Calibri"/>
                <w:color w:val="000000"/>
                <w:szCs w:val="20"/>
              </w:rPr>
            </w:pPr>
            <w:r w:rsidRPr="004F4A0A">
              <w:rPr>
                <w:rFonts w:cs="Calibri"/>
                <w:color w:val="000000"/>
                <w:szCs w:val="20"/>
              </w:rPr>
              <w:t>$3,881</w:t>
            </w:r>
          </w:p>
        </w:tc>
        <w:tc>
          <w:tcPr>
            <w:tcW w:w="700" w:type="pct"/>
            <w:tcBorders>
              <w:top w:val="single" w:sz="4" w:space="0" w:color="auto"/>
              <w:left w:val="single" w:sz="4" w:space="0" w:color="auto"/>
              <w:bottom w:val="single" w:sz="4" w:space="0" w:color="auto"/>
              <w:right w:val="single" w:sz="4" w:space="0" w:color="auto"/>
            </w:tcBorders>
            <w:vAlign w:val="center"/>
            <w:hideMark/>
          </w:tcPr>
          <w:p w14:paraId="02B227F6" w14:textId="77777777" w:rsidR="00071451" w:rsidRPr="004F4A0A" w:rsidRDefault="00071451" w:rsidP="001E7C51">
            <w:pPr>
              <w:pStyle w:val="Tabletext"/>
              <w:jc w:val="right"/>
              <w:rPr>
                <w:rFonts w:cs="Calibri"/>
                <w:color w:val="000000"/>
                <w:szCs w:val="20"/>
              </w:rPr>
            </w:pPr>
            <w:r w:rsidRPr="004F4A0A">
              <w:rPr>
                <w:rFonts w:cs="Calibri"/>
                <w:color w:val="000000"/>
                <w:szCs w:val="20"/>
              </w:rPr>
              <w:t>$32,578</w:t>
            </w:r>
          </w:p>
        </w:tc>
      </w:tr>
      <w:tr w:rsidR="00071451" w:rsidRPr="004F4A0A" w14:paraId="2EB4407A" w14:textId="77777777" w:rsidTr="001E7C51">
        <w:trPr>
          <w:trHeight w:val="300"/>
          <w:tblHeader/>
        </w:trPr>
        <w:tc>
          <w:tcPr>
            <w:tcW w:w="1177" w:type="pct"/>
            <w:tcBorders>
              <w:top w:val="single" w:sz="4" w:space="0" w:color="auto"/>
              <w:left w:val="single" w:sz="4" w:space="0" w:color="auto"/>
              <w:bottom w:val="single" w:sz="4" w:space="0" w:color="auto"/>
              <w:right w:val="single" w:sz="4" w:space="0" w:color="auto"/>
            </w:tcBorders>
            <w:noWrap/>
            <w:vAlign w:val="center"/>
            <w:hideMark/>
          </w:tcPr>
          <w:p w14:paraId="134315C7" w14:textId="77777777" w:rsidR="00071451" w:rsidRPr="004F4A0A" w:rsidRDefault="00071451" w:rsidP="001E7C51">
            <w:pPr>
              <w:pStyle w:val="Tabletext"/>
              <w:rPr>
                <w:rFonts w:cs="Calibri"/>
                <w:color w:val="000000"/>
                <w:szCs w:val="20"/>
              </w:rPr>
            </w:pPr>
            <w:r w:rsidRPr="004F4A0A">
              <w:rPr>
                <w:rFonts w:cs="Calibri"/>
                <w:color w:val="000000"/>
                <w:szCs w:val="20"/>
              </w:rPr>
              <w:t>State Hospital</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0FA73599" w14:textId="77777777" w:rsidR="00071451" w:rsidRPr="004F4A0A" w:rsidRDefault="00071451" w:rsidP="001E7C51">
            <w:pPr>
              <w:pStyle w:val="Tabletext"/>
              <w:jc w:val="right"/>
              <w:rPr>
                <w:rFonts w:cs="Calibri"/>
                <w:color w:val="000000"/>
                <w:szCs w:val="20"/>
              </w:rPr>
            </w:pPr>
            <w:r w:rsidRPr="004F4A0A">
              <w:rPr>
                <w:rFonts w:cs="Calibri"/>
                <w:color w:val="000000"/>
                <w:szCs w:val="20"/>
              </w:rPr>
              <w:t>$134,588</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1CBFEFA9" w14:textId="77777777" w:rsidR="00071451" w:rsidRPr="004F4A0A" w:rsidRDefault="00071451" w:rsidP="001E7C51">
            <w:pPr>
              <w:pStyle w:val="Tabletext"/>
              <w:jc w:val="right"/>
              <w:rPr>
                <w:rFonts w:cs="Calibri"/>
                <w:color w:val="000000"/>
                <w:szCs w:val="20"/>
              </w:rPr>
            </w:pPr>
            <w:r w:rsidRPr="004F4A0A">
              <w:rPr>
                <w:rFonts w:cs="Calibri"/>
                <w:color w:val="000000"/>
                <w:szCs w:val="20"/>
              </w:rPr>
              <w:t>$134,400</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0A59E3A7" w14:textId="77777777" w:rsidR="00071451" w:rsidRPr="004F4A0A" w:rsidRDefault="00071451" w:rsidP="001E7C51">
            <w:pPr>
              <w:pStyle w:val="Tabletext"/>
              <w:jc w:val="right"/>
              <w:rPr>
                <w:rFonts w:cs="Calibri"/>
                <w:color w:val="000000"/>
                <w:szCs w:val="20"/>
              </w:rPr>
            </w:pPr>
            <w:r w:rsidRPr="004F4A0A">
              <w:rPr>
                <w:rFonts w:cs="Calibri"/>
                <w:color w:val="000000"/>
                <w:szCs w:val="20"/>
              </w:rPr>
              <w:t>$134,297</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357F30CF" w14:textId="77777777" w:rsidR="00071451" w:rsidRPr="004F4A0A" w:rsidRDefault="00071451" w:rsidP="001E7C51">
            <w:pPr>
              <w:pStyle w:val="Tabletext"/>
              <w:jc w:val="right"/>
              <w:rPr>
                <w:rFonts w:cs="Calibri"/>
                <w:color w:val="000000"/>
                <w:szCs w:val="20"/>
              </w:rPr>
            </w:pPr>
            <w:r w:rsidRPr="004F4A0A">
              <w:rPr>
                <w:rFonts w:cs="Calibri"/>
                <w:color w:val="000000"/>
                <w:szCs w:val="20"/>
              </w:rPr>
              <w:t>-$537,046</w:t>
            </w:r>
          </w:p>
        </w:tc>
        <w:tc>
          <w:tcPr>
            <w:tcW w:w="607" w:type="pct"/>
            <w:tcBorders>
              <w:top w:val="single" w:sz="4" w:space="0" w:color="auto"/>
              <w:left w:val="single" w:sz="4" w:space="0" w:color="auto"/>
              <w:bottom w:val="single" w:sz="4" w:space="0" w:color="auto"/>
              <w:right w:val="single" w:sz="4" w:space="0" w:color="auto"/>
            </w:tcBorders>
            <w:noWrap/>
            <w:vAlign w:val="center"/>
            <w:hideMark/>
          </w:tcPr>
          <w:p w14:paraId="6B803AB1" w14:textId="77777777" w:rsidR="00071451" w:rsidRPr="004F4A0A" w:rsidRDefault="00071451" w:rsidP="001E7C51">
            <w:pPr>
              <w:pStyle w:val="Tabletext"/>
              <w:jc w:val="right"/>
              <w:rPr>
                <w:rFonts w:cs="Calibri"/>
                <w:color w:val="000000"/>
                <w:szCs w:val="20"/>
              </w:rPr>
            </w:pPr>
            <w:r w:rsidRPr="004F4A0A">
              <w:rPr>
                <w:rFonts w:cs="Calibri"/>
                <w:color w:val="000000"/>
                <w:szCs w:val="20"/>
              </w:rPr>
              <w:t>-$510,115</w:t>
            </w:r>
          </w:p>
        </w:tc>
        <w:tc>
          <w:tcPr>
            <w:tcW w:w="700" w:type="pct"/>
            <w:tcBorders>
              <w:top w:val="single" w:sz="4" w:space="0" w:color="auto"/>
              <w:left w:val="single" w:sz="4" w:space="0" w:color="auto"/>
              <w:bottom w:val="single" w:sz="4" w:space="0" w:color="auto"/>
              <w:right w:val="single" w:sz="4" w:space="0" w:color="auto"/>
            </w:tcBorders>
            <w:vAlign w:val="center"/>
            <w:hideMark/>
          </w:tcPr>
          <w:p w14:paraId="31589761" w14:textId="77777777" w:rsidR="00071451" w:rsidRPr="004F4A0A" w:rsidRDefault="00071451" w:rsidP="001E7C51">
            <w:pPr>
              <w:pStyle w:val="Tabletext"/>
              <w:jc w:val="right"/>
              <w:rPr>
                <w:rFonts w:cs="Calibri"/>
                <w:color w:val="000000"/>
                <w:szCs w:val="20"/>
              </w:rPr>
            </w:pPr>
            <w:r w:rsidRPr="004F4A0A">
              <w:rPr>
                <w:rFonts w:cs="Calibri"/>
                <w:color w:val="000000"/>
                <w:szCs w:val="20"/>
              </w:rPr>
              <w:t>-$643,876</w:t>
            </w:r>
          </w:p>
        </w:tc>
      </w:tr>
      <w:tr w:rsidR="00071451" w:rsidRPr="004F4A0A" w14:paraId="6E576888" w14:textId="77777777" w:rsidTr="001E7C51">
        <w:trPr>
          <w:trHeight w:val="300"/>
          <w:tblHeader/>
        </w:trPr>
        <w:tc>
          <w:tcPr>
            <w:tcW w:w="1177" w:type="pct"/>
            <w:tcBorders>
              <w:top w:val="single" w:sz="4" w:space="0" w:color="auto"/>
              <w:left w:val="single" w:sz="4" w:space="0" w:color="auto"/>
              <w:bottom w:val="single" w:sz="4" w:space="0" w:color="auto"/>
              <w:right w:val="single" w:sz="4" w:space="0" w:color="auto"/>
            </w:tcBorders>
            <w:noWrap/>
            <w:vAlign w:val="center"/>
            <w:hideMark/>
          </w:tcPr>
          <w:p w14:paraId="541A52CC" w14:textId="77777777" w:rsidR="00071451" w:rsidRPr="004F4A0A" w:rsidRDefault="00071451" w:rsidP="001E7C51">
            <w:pPr>
              <w:pStyle w:val="Tabletext"/>
              <w:rPr>
                <w:rFonts w:cs="Calibri"/>
                <w:b/>
                <w:bCs/>
                <w:color w:val="000000"/>
                <w:szCs w:val="20"/>
              </w:rPr>
            </w:pPr>
            <w:r w:rsidRPr="004F4A0A">
              <w:rPr>
                <w:rFonts w:cs="Calibri"/>
                <w:b/>
                <w:bCs/>
                <w:color w:val="000000"/>
                <w:szCs w:val="20"/>
              </w:rPr>
              <w:t>Net Impact</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10E74B15" w14:textId="77777777" w:rsidR="00071451" w:rsidRPr="004F4A0A" w:rsidRDefault="00071451" w:rsidP="001E7C51">
            <w:pPr>
              <w:pStyle w:val="Tabletext"/>
              <w:jc w:val="right"/>
              <w:rPr>
                <w:rFonts w:cs="Calibri"/>
                <w:color w:val="000000"/>
                <w:szCs w:val="20"/>
              </w:rPr>
            </w:pPr>
            <w:r w:rsidRPr="004F4A0A">
              <w:rPr>
                <w:rFonts w:cs="Calibri"/>
                <w:b/>
                <w:bCs/>
                <w:color w:val="000000"/>
                <w:szCs w:val="20"/>
              </w:rPr>
              <w:t>$249,657</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1438187B" w14:textId="77777777" w:rsidR="00071451" w:rsidRPr="004F4A0A" w:rsidRDefault="00071451" w:rsidP="001E7C51">
            <w:pPr>
              <w:pStyle w:val="Tabletext"/>
              <w:jc w:val="right"/>
              <w:rPr>
                <w:rFonts w:cs="Calibri"/>
                <w:color w:val="000000"/>
                <w:szCs w:val="20"/>
              </w:rPr>
            </w:pPr>
            <w:r w:rsidRPr="004F4A0A">
              <w:rPr>
                <w:rFonts w:cs="Calibri"/>
                <w:b/>
                <w:bCs/>
                <w:color w:val="000000"/>
                <w:szCs w:val="20"/>
              </w:rPr>
              <w:t>$259,620</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470FF4D5" w14:textId="77777777" w:rsidR="00071451" w:rsidRPr="004F4A0A" w:rsidRDefault="00071451" w:rsidP="001E7C51">
            <w:pPr>
              <w:pStyle w:val="Tabletext"/>
              <w:jc w:val="right"/>
              <w:rPr>
                <w:rFonts w:cs="Calibri"/>
                <w:color w:val="000000"/>
                <w:szCs w:val="20"/>
              </w:rPr>
            </w:pPr>
            <w:r w:rsidRPr="004F4A0A">
              <w:rPr>
                <w:rFonts w:cs="Calibri"/>
                <w:b/>
                <w:bCs/>
                <w:color w:val="000000"/>
                <w:szCs w:val="20"/>
              </w:rPr>
              <w:t>$269,491</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4A307A87" w14:textId="77777777" w:rsidR="00071451" w:rsidRPr="004F4A0A" w:rsidRDefault="00071451" w:rsidP="001E7C51">
            <w:pPr>
              <w:pStyle w:val="Tabletext"/>
              <w:jc w:val="right"/>
              <w:rPr>
                <w:rFonts w:cs="Calibri"/>
                <w:color w:val="000000"/>
                <w:szCs w:val="20"/>
              </w:rPr>
            </w:pPr>
            <w:r w:rsidRPr="004F4A0A">
              <w:rPr>
                <w:rFonts w:cs="Calibri"/>
                <w:b/>
                <w:bCs/>
                <w:color w:val="000000"/>
                <w:szCs w:val="20"/>
              </w:rPr>
              <w:t>-$534,046</w:t>
            </w:r>
          </w:p>
        </w:tc>
        <w:tc>
          <w:tcPr>
            <w:tcW w:w="607" w:type="pct"/>
            <w:tcBorders>
              <w:top w:val="single" w:sz="4" w:space="0" w:color="auto"/>
              <w:left w:val="single" w:sz="4" w:space="0" w:color="auto"/>
              <w:bottom w:val="single" w:sz="4" w:space="0" w:color="auto"/>
              <w:right w:val="single" w:sz="4" w:space="0" w:color="auto"/>
            </w:tcBorders>
            <w:noWrap/>
            <w:vAlign w:val="center"/>
            <w:hideMark/>
          </w:tcPr>
          <w:p w14:paraId="40D95D24" w14:textId="77777777" w:rsidR="00071451" w:rsidRPr="004F4A0A" w:rsidRDefault="00071451" w:rsidP="001E7C51">
            <w:pPr>
              <w:pStyle w:val="Tabletext"/>
              <w:jc w:val="right"/>
              <w:rPr>
                <w:rFonts w:cs="Calibri"/>
                <w:color w:val="000000"/>
                <w:szCs w:val="20"/>
              </w:rPr>
            </w:pPr>
            <w:r w:rsidRPr="004F4A0A">
              <w:rPr>
                <w:rFonts w:cs="Calibri"/>
                <w:b/>
                <w:bCs/>
                <w:color w:val="000000"/>
                <w:szCs w:val="20"/>
              </w:rPr>
              <w:t>-$473,238</w:t>
            </w:r>
          </w:p>
        </w:tc>
        <w:tc>
          <w:tcPr>
            <w:tcW w:w="700" w:type="pct"/>
            <w:tcBorders>
              <w:top w:val="single" w:sz="4" w:space="0" w:color="auto"/>
              <w:left w:val="single" w:sz="4" w:space="0" w:color="auto"/>
              <w:bottom w:val="single" w:sz="4" w:space="0" w:color="auto"/>
              <w:right w:val="single" w:sz="4" w:space="0" w:color="auto"/>
            </w:tcBorders>
            <w:vAlign w:val="center"/>
            <w:hideMark/>
          </w:tcPr>
          <w:p w14:paraId="6DD70E95" w14:textId="77777777" w:rsidR="00071451" w:rsidRPr="004F4A0A" w:rsidRDefault="00071451" w:rsidP="001E7C51">
            <w:pPr>
              <w:pStyle w:val="Tabletext"/>
              <w:jc w:val="right"/>
              <w:rPr>
                <w:rFonts w:cs="Calibri"/>
                <w:color w:val="000000"/>
                <w:szCs w:val="20"/>
              </w:rPr>
            </w:pPr>
            <w:r w:rsidRPr="004F4A0A">
              <w:rPr>
                <w:rFonts w:cs="Calibri"/>
                <w:b/>
                <w:bCs/>
                <w:color w:val="000000"/>
                <w:szCs w:val="20"/>
              </w:rPr>
              <w:t>-$228,516</w:t>
            </w:r>
          </w:p>
        </w:tc>
      </w:tr>
      <w:tr w:rsidR="00071451" w:rsidRPr="004F4A0A" w14:paraId="54B83DCF" w14:textId="77777777" w:rsidTr="001E7C51">
        <w:trPr>
          <w:trHeight w:val="300"/>
          <w:tblHeader/>
        </w:trPr>
        <w:tc>
          <w:tcPr>
            <w:tcW w:w="1177" w:type="pct"/>
            <w:tcBorders>
              <w:top w:val="single" w:sz="4" w:space="0" w:color="auto"/>
              <w:left w:val="single" w:sz="4" w:space="0" w:color="auto"/>
              <w:bottom w:val="single" w:sz="4" w:space="0" w:color="auto"/>
              <w:right w:val="nil"/>
            </w:tcBorders>
            <w:noWrap/>
            <w:vAlign w:val="center"/>
            <w:hideMark/>
          </w:tcPr>
          <w:p w14:paraId="2A5213BB" w14:textId="0A902FEA" w:rsidR="00071451" w:rsidRPr="004F4A0A" w:rsidRDefault="009842FE" w:rsidP="001E7C51">
            <w:pPr>
              <w:pStyle w:val="Tabletext"/>
              <w:rPr>
                <w:rFonts w:cs="Calibri"/>
                <w:b/>
                <w:bCs/>
                <w:i/>
                <w:iCs/>
                <w:color w:val="000000"/>
                <w:szCs w:val="20"/>
              </w:rPr>
            </w:pPr>
            <w:r>
              <w:rPr>
                <w:rFonts w:cs="Calibri"/>
                <w:b/>
                <w:bCs/>
                <w:i/>
                <w:iCs/>
                <w:color w:val="000000"/>
                <w:szCs w:val="20"/>
              </w:rPr>
              <w:t>Commentary</w:t>
            </w:r>
          </w:p>
        </w:tc>
        <w:tc>
          <w:tcPr>
            <w:tcW w:w="629" w:type="pct"/>
            <w:tcBorders>
              <w:top w:val="single" w:sz="4" w:space="0" w:color="auto"/>
              <w:left w:val="nil"/>
              <w:bottom w:val="single" w:sz="4" w:space="0" w:color="auto"/>
              <w:right w:val="nil"/>
            </w:tcBorders>
            <w:noWrap/>
            <w:vAlign w:val="center"/>
          </w:tcPr>
          <w:p w14:paraId="29CBBD2F" w14:textId="77777777" w:rsidR="00071451" w:rsidRPr="004F4A0A" w:rsidRDefault="00071451" w:rsidP="001E7C51">
            <w:pPr>
              <w:pStyle w:val="Tabletext"/>
              <w:jc w:val="center"/>
              <w:rPr>
                <w:rFonts w:cs="Calibri"/>
                <w:b/>
                <w:bCs/>
                <w:i/>
                <w:iCs/>
                <w:color w:val="000000"/>
                <w:szCs w:val="20"/>
              </w:rPr>
            </w:pPr>
          </w:p>
        </w:tc>
        <w:tc>
          <w:tcPr>
            <w:tcW w:w="629" w:type="pct"/>
            <w:tcBorders>
              <w:top w:val="single" w:sz="4" w:space="0" w:color="auto"/>
              <w:left w:val="nil"/>
              <w:bottom w:val="single" w:sz="4" w:space="0" w:color="auto"/>
              <w:right w:val="nil"/>
            </w:tcBorders>
            <w:noWrap/>
            <w:vAlign w:val="center"/>
          </w:tcPr>
          <w:p w14:paraId="08257C29" w14:textId="77777777" w:rsidR="00071451" w:rsidRPr="004F4A0A" w:rsidRDefault="00071451" w:rsidP="001E7C51">
            <w:pPr>
              <w:pStyle w:val="Tabletext"/>
              <w:jc w:val="center"/>
              <w:rPr>
                <w:rFonts w:cs="Calibri"/>
                <w:b/>
                <w:bCs/>
                <w:i/>
                <w:iCs/>
                <w:color w:val="000000"/>
                <w:szCs w:val="20"/>
              </w:rPr>
            </w:pPr>
          </w:p>
        </w:tc>
        <w:tc>
          <w:tcPr>
            <w:tcW w:w="629" w:type="pct"/>
            <w:tcBorders>
              <w:top w:val="single" w:sz="4" w:space="0" w:color="auto"/>
              <w:left w:val="nil"/>
              <w:bottom w:val="single" w:sz="4" w:space="0" w:color="auto"/>
              <w:right w:val="nil"/>
            </w:tcBorders>
            <w:noWrap/>
            <w:vAlign w:val="center"/>
          </w:tcPr>
          <w:p w14:paraId="2118DA55" w14:textId="77777777" w:rsidR="00071451" w:rsidRPr="004F4A0A" w:rsidRDefault="00071451" w:rsidP="001E7C51">
            <w:pPr>
              <w:pStyle w:val="Tabletext"/>
              <w:jc w:val="center"/>
              <w:rPr>
                <w:rFonts w:cs="Calibri"/>
                <w:b/>
                <w:bCs/>
                <w:i/>
                <w:iCs/>
                <w:color w:val="000000"/>
                <w:szCs w:val="20"/>
              </w:rPr>
            </w:pPr>
          </w:p>
        </w:tc>
        <w:tc>
          <w:tcPr>
            <w:tcW w:w="629" w:type="pct"/>
            <w:tcBorders>
              <w:top w:val="single" w:sz="4" w:space="0" w:color="auto"/>
              <w:left w:val="nil"/>
              <w:bottom w:val="single" w:sz="4" w:space="0" w:color="auto"/>
              <w:right w:val="nil"/>
            </w:tcBorders>
            <w:noWrap/>
            <w:vAlign w:val="center"/>
          </w:tcPr>
          <w:p w14:paraId="517CB383" w14:textId="77777777" w:rsidR="00071451" w:rsidRPr="004F4A0A" w:rsidRDefault="00071451" w:rsidP="001E7C51">
            <w:pPr>
              <w:pStyle w:val="Tabletext"/>
              <w:jc w:val="center"/>
              <w:rPr>
                <w:rFonts w:cs="Calibri"/>
                <w:b/>
                <w:bCs/>
                <w:i/>
                <w:iCs/>
                <w:color w:val="000000"/>
                <w:szCs w:val="20"/>
              </w:rPr>
            </w:pPr>
          </w:p>
        </w:tc>
        <w:tc>
          <w:tcPr>
            <w:tcW w:w="607" w:type="pct"/>
            <w:tcBorders>
              <w:top w:val="single" w:sz="4" w:space="0" w:color="auto"/>
              <w:left w:val="nil"/>
              <w:bottom w:val="single" w:sz="4" w:space="0" w:color="auto"/>
              <w:right w:val="nil"/>
            </w:tcBorders>
            <w:noWrap/>
            <w:vAlign w:val="center"/>
          </w:tcPr>
          <w:p w14:paraId="37FF911E" w14:textId="77777777" w:rsidR="00071451" w:rsidRPr="004F4A0A" w:rsidRDefault="00071451" w:rsidP="001E7C51">
            <w:pPr>
              <w:pStyle w:val="Tabletext"/>
              <w:jc w:val="center"/>
              <w:rPr>
                <w:rFonts w:cs="Calibri"/>
                <w:b/>
                <w:bCs/>
                <w:i/>
                <w:iCs/>
                <w:color w:val="000000"/>
                <w:szCs w:val="20"/>
              </w:rPr>
            </w:pPr>
          </w:p>
        </w:tc>
        <w:tc>
          <w:tcPr>
            <w:tcW w:w="700" w:type="pct"/>
            <w:tcBorders>
              <w:top w:val="single" w:sz="4" w:space="0" w:color="auto"/>
              <w:left w:val="nil"/>
              <w:bottom w:val="single" w:sz="4" w:space="0" w:color="auto"/>
              <w:right w:val="single" w:sz="4" w:space="0" w:color="auto"/>
            </w:tcBorders>
            <w:vAlign w:val="center"/>
          </w:tcPr>
          <w:p w14:paraId="626EEE48" w14:textId="77777777" w:rsidR="00071451" w:rsidRPr="004F4A0A" w:rsidRDefault="00071451" w:rsidP="001E7C51">
            <w:pPr>
              <w:pStyle w:val="Tabletext"/>
              <w:jc w:val="center"/>
              <w:rPr>
                <w:rFonts w:cs="Calibri"/>
                <w:b/>
                <w:bCs/>
                <w:i/>
                <w:iCs/>
                <w:color w:val="000000"/>
                <w:szCs w:val="20"/>
              </w:rPr>
            </w:pPr>
          </w:p>
        </w:tc>
      </w:tr>
      <w:tr w:rsidR="00071451" w:rsidRPr="004F4A0A" w14:paraId="73DE5928" w14:textId="77777777" w:rsidTr="001E7C51">
        <w:trPr>
          <w:trHeight w:val="300"/>
          <w:tblHeader/>
        </w:trPr>
        <w:tc>
          <w:tcPr>
            <w:tcW w:w="1177" w:type="pct"/>
            <w:tcBorders>
              <w:top w:val="single" w:sz="4" w:space="0" w:color="auto"/>
              <w:left w:val="single" w:sz="4" w:space="0" w:color="auto"/>
              <w:bottom w:val="single" w:sz="4" w:space="0" w:color="auto"/>
              <w:right w:val="single" w:sz="4" w:space="0" w:color="auto"/>
            </w:tcBorders>
            <w:noWrap/>
            <w:vAlign w:val="center"/>
            <w:hideMark/>
          </w:tcPr>
          <w:p w14:paraId="3B281F7E" w14:textId="77777777" w:rsidR="00071451" w:rsidRPr="004F4A0A" w:rsidRDefault="00071451" w:rsidP="001E7C51">
            <w:pPr>
              <w:pStyle w:val="Tabletext"/>
              <w:rPr>
                <w:rFonts w:cs="Calibri"/>
                <w:b/>
                <w:bCs/>
                <w:i/>
                <w:iCs/>
                <w:color w:val="000000"/>
                <w:szCs w:val="20"/>
              </w:rPr>
            </w:pPr>
            <w:r w:rsidRPr="004F4A0A">
              <w:rPr>
                <w:rFonts w:cs="Calibri"/>
                <w:i/>
                <w:iCs/>
                <w:color w:val="000000"/>
                <w:szCs w:val="20"/>
              </w:rPr>
              <w:t>MBS</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0D4CF0D4" w14:textId="77777777" w:rsidR="00071451" w:rsidRPr="004F4A0A" w:rsidRDefault="00071451" w:rsidP="001E7C51">
            <w:pPr>
              <w:pStyle w:val="Tabletext"/>
              <w:jc w:val="right"/>
              <w:rPr>
                <w:rFonts w:cs="Calibri"/>
                <w:b/>
                <w:bCs/>
                <w:i/>
                <w:iCs/>
                <w:color w:val="000000"/>
                <w:szCs w:val="20"/>
                <w:highlight w:val="yellow"/>
              </w:rPr>
            </w:pPr>
            <w:r w:rsidRPr="004F4A0A">
              <w:rPr>
                <w:rFonts w:cs="Calibri"/>
                <w:i/>
                <w:iCs/>
                <w:color w:val="000000"/>
                <w:szCs w:val="20"/>
              </w:rPr>
              <w:t>$42,565</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5BBFB680" w14:textId="77777777" w:rsidR="00071451" w:rsidRPr="004F4A0A" w:rsidRDefault="00071451" w:rsidP="001E7C51">
            <w:pPr>
              <w:pStyle w:val="Tabletext"/>
              <w:jc w:val="right"/>
              <w:rPr>
                <w:rFonts w:cs="Calibri"/>
                <w:b/>
                <w:bCs/>
                <w:i/>
                <w:iCs/>
                <w:color w:val="000000"/>
                <w:szCs w:val="20"/>
                <w:highlight w:val="yellow"/>
              </w:rPr>
            </w:pPr>
            <w:r w:rsidRPr="004F4A0A">
              <w:rPr>
                <w:rFonts w:cs="Calibri"/>
                <w:i/>
                <w:iCs/>
                <w:color w:val="000000"/>
                <w:szCs w:val="20"/>
              </w:rPr>
              <w:t>$47,833</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64C94342" w14:textId="77777777" w:rsidR="00071451" w:rsidRPr="004F4A0A" w:rsidRDefault="00071451" w:rsidP="001E7C51">
            <w:pPr>
              <w:pStyle w:val="Tabletext"/>
              <w:jc w:val="right"/>
              <w:rPr>
                <w:rFonts w:cs="Calibri"/>
                <w:b/>
                <w:bCs/>
                <w:i/>
                <w:iCs/>
                <w:color w:val="000000"/>
                <w:szCs w:val="20"/>
                <w:highlight w:val="yellow"/>
              </w:rPr>
            </w:pPr>
            <w:r w:rsidRPr="004F4A0A">
              <w:rPr>
                <w:rFonts w:cs="Calibri"/>
                <w:i/>
                <w:iCs/>
                <w:color w:val="000000"/>
                <w:szCs w:val="20"/>
              </w:rPr>
              <w:t>$52,999</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1826375C" w14:textId="77777777" w:rsidR="00071451" w:rsidRPr="004F4A0A" w:rsidRDefault="00071451" w:rsidP="001E7C51">
            <w:pPr>
              <w:pStyle w:val="Tabletext"/>
              <w:jc w:val="right"/>
              <w:rPr>
                <w:rFonts w:cs="Calibri"/>
                <w:b/>
                <w:bCs/>
                <w:i/>
                <w:iCs/>
                <w:color w:val="000000"/>
                <w:szCs w:val="20"/>
                <w:highlight w:val="yellow"/>
              </w:rPr>
            </w:pPr>
            <w:r w:rsidRPr="004F4A0A">
              <w:rPr>
                <w:rFonts w:cs="Calibri"/>
                <w:i/>
                <w:iCs/>
                <w:color w:val="000000"/>
                <w:szCs w:val="20"/>
              </w:rPr>
              <w:t>-$36,812</w:t>
            </w:r>
          </w:p>
        </w:tc>
        <w:tc>
          <w:tcPr>
            <w:tcW w:w="607" w:type="pct"/>
            <w:tcBorders>
              <w:top w:val="single" w:sz="4" w:space="0" w:color="auto"/>
              <w:left w:val="single" w:sz="4" w:space="0" w:color="auto"/>
              <w:bottom w:val="single" w:sz="4" w:space="0" w:color="auto"/>
              <w:right w:val="single" w:sz="4" w:space="0" w:color="auto"/>
            </w:tcBorders>
            <w:noWrap/>
            <w:vAlign w:val="bottom"/>
            <w:hideMark/>
          </w:tcPr>
          <w:p w14:paraId="0D268BFB" w14:textId="77777777" w:rsidR="00071451" w:rsidRPr="004F4A0A" w:rsidRDefault="00071451" w:rsidP="001E7C51">
            <w:pPr>
              <w:pStyle w:val="Tabletext"/>
              <w:jc w:val="right"/>
              <w:rPr>
                <w:rFonts w:cs="Calibri"/>
                <w:b/>
                <w:bCs/>
                <w:i/>
                <w:iCs/>
                <w:color w:val="000000"/>
                <w:szCs w:val="20"/>
                <w:highlight w:val="yellow"/>
              </w:rPr>
            </w:pPr>
            <w:r w:rsidRPr="004F4A0A">
              <w:rPr>
                <w:rFonts w:cs="Calibri"/>
                <w:i/>
                <w:iCs/>
                <w:color w:val="000000"/>
                <w:szCs w:val="20"/>
              </w:rPr>
              <w:t>-$28,032</w:t>
            </w:r>
          </w:p>
        </w:tc>
        <w:tc>
          <w:tcPr>
            <w:tcW w:w="700" w:type="pct"/>
            <w:tcBorders>
              <w:top w:val="single" w:sz="4" w:space="0" w:color="auto"/>
              <w:left w:val="single" w:sz="4" w:space="0" w:color="auto"/>
              <w:bottom w:val="single" w:sz="4" w:space="0" w:color="auto"/>
              <w:right w:val="single" w:sz="4" w:space="0" w:color="auto"/>
            </w:tcBorders>
            <w:vAlign w:val="bottom"/>
            <w:hideMark/>
          </w:tcPr>
          <w:p w14:paraId="1AD4E192" w14:textId="77777777" w:rsidR="00071451" w:rsidRPr="004F4A0A" w:rsidRDefault="00071451" w:rsidP="001E7C51">
            <w:pPr>
              <w:pStyle w:val="Tabletext"/>
              <w:jc w:val="right"/>
              <w:rPr>
                <w:rFonts w:cs="Calibri"/>
                <w:b/>
                <w:bCs/>
                <w:i/>
                <w:iCs/>
                <w:color w:val="000000"/>
                <w:szCs w:val="20"/>
                <w:highlight w:val="yellow"/>
              </w:rPr>
            </w:pPr>
            <w:r w:rsidRPr="004F4A0A">
              <w:rPr>
                <w:rFonts w:cs="Calibri"/>
                <w:i/>
                <w:iCs/>
                <w:color w:val="000000"/>
                <w:szCs w:val="20"/>
              </w:rPr>
              <w:t>$78,553</w:t>
            </w:r>
          </w:p>
        </w:tc>
      </w:tr>
      <w:tr w:rsidR="00071451" w:rsidRPr="004F4A0A" w14:paraId="6CD74805" w14:textId="77777777" w:rsidTr="001E7C51">
        <w:trPr>
          <w:trHeight w:val="300"/>
          <w:tblHeader/>
        </w:trPr>
        <w:tc>
          <w:tcPr>
            <w:tcW w:w="1177" w:type="pct"/>
            <w:tcBorders>
              <w:top w:val="single" w:sz="4" w:space="0" w:color="auto"/>
              <w:left w:val="single" w:sz="4" w:space="0" w:color="auto"/>
              <w:bottom w:val="single" w:sz="4" w:space="0" w:color="auto"/>
              <w:right w:val="single" w:sz="4" w:space="0" w:color="auto"/>
            </w:tcBorders>
            <w:noWrap/>
            <w:vAlign w:val="center"/>
            <w:hideMark/>
          </w:tcPr>
          <w:p w14:paraId="340F396F" w14:textId="77777777" w:rsidR="00071451" w:rsidRPr="004F4A0A" w:rsidRDefault="00071451" w:rsidP="001E7C51">
            <w:pPr>
              <w:pStyle w:val="Tabletext"/>
              <w:rPr>
                <w:rFonts w:cs="Calibri"/>
                <w:b/>
                <w:bCs/>
                <w:i/>
                <w:iCs/>
                <w:color w:val="000000"/>
                <w:szCs w:val="20"/>
              </w:rPr>
            </w:pPr>
            <w:r w:rsidRPr="004F4A0A">
              <w:rPr>
                <w:rFonts w:cs="Calibri"/>
                <w:i/>
                <w:iCs/>
                <w:color w:val="000000"/>
                <w:szCs w:val="20"/>
              </w:rPr>
              <w:t>PBS</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471B325D" w14:textId="77777777" w:rsidR="00071451" w:rsidRPr="004F4A0A" w:rsidRDefault="00071451" w:rsidP="001E7C51">
            <w:pPr>
              <w:pStyle w:val="Tabletext"/>
              <w:jc w:val="right"/>
              <w:rPr>
                <w:rFonts w:cs="Calibri"/>
                <w:b/>
                <w:bCs/>
                <w:i/>
                <w:iCs/>
                <w:color w:val="000000"/>
                <w:szCs w:val="20"/>
              </w:rPr>
            </w:pPr>
            <w:r w:rsidRPr="004F4A0A">
              <w:rPr>
                <w:rFonts w:cs="Calibri"/>
                <w:i/>
                <w:iCs/>
                <w:color w:val="000000"/>
                <w:szCs w:val="20"/>
              </w:rPr>
              <w:t>$10,740</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7967E7DB" w14:textId="77777777" w:rsidR="00071451" w:rsidRPr="004F4A0A" w:rsidRDefault="00071451" w:rsidP="001E7C51">
            <w:pPr>
              <w:pStyle w:val="Tabletext"/>
              <w:jc w:val="right"/>
              <w:rPr>
                <w:rFonts w:cs="Calibri"/>
                <w:b/>
                <w:bCs/>
                <w:i/>
                <w:iCs/>
                <w:color w:val="000000"/>
                <w:szCs w:val="20"/>
              </w:rPr>
            </w:pPr>
            <w:r w:rsidRPr="004F4A0A">
              <w:rPr>
                <w:rFonts w:cs="Calibri"/>
                <w:i/>
                <w:iCs/>
                <w:color w:val="000000"/>
                <w:szCs w:val="20"/>
              </w:rPr>
              <w:t>$10,857</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2236C71A" w14:textId="77777777" w:rsidR="00071451" w:rsidRPr="004F4A0A" w:rsidRDefault="00071451" w:rsidP="001E7C51">
            <w:pPr>
              <w:pStyle w:val="Tabletext"/>
              <w:jc w:val="right"/>
              <w:rPr>
                <w:rFonts w:cs="Calibri"/>
                <w:b/>
                <w:bCs/>
                <w:i/>
                <w:iCs/>
                <w:color w:val="000000"/>
                <w:szCs w:val="20"/>
              </w:rPr>
            </w:pPr>
            <w:r w:rsidRPr="004F4A0A">
              <w:rPr>
                <w:rFonts w:cs="Calibri"/>
                <w:i/>
                <w:iCs/>
                <w:color w:val="000000"/>
                <w:szCs w:val="20"/>
              </w:rPr>
              <w:t>$10,977</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2A8104BE" w14:textId="77777777" w:rsidR="00071451" w:rsidRPr="004F4A0A" w:rsidRDefault="00071451" w:rsidP="001E7C51">
            <w:pPr>
              <w:pStyle w:val="Tabletext"/>
              <w:jc w:val="right"/>
              <w:rPr>
                <w:rFonts w:cs="Calibri"/>
                <w:b/>
                <w:bCs/>
                <w:i/>
                <w:iCs/>
                <w:color w:val="000000"/>
                <w:szCs w:val="20"/>
              </w:rPr>
            </w:pPr>
            <w:r w:rsidRPr="004F4A0A">
              <w:rPr>
                <w:rFonts w:cs="Calibri"/>
                <w:i/>
                <w:iCs/>
                <w:color w:val="000000"/>
                <w:szCs w:val="20"/>
              </w:rPr>
              <w:t>$4,219</w:t>
            </w:r>
          </w:p>
        </w:tc>
        <w:tc>
          <w:tcPr>
            <w:tcW w:w="607" w:type="pct"/>
            <w:tcBorders>
              <w:top w:val="single" w:sz="4" w:space="0" w:color="auto"/>
              <w:left w:val="single" w:sz="4" w:space="0" w:color="auto"/>
              <w:bottom w:val="single" w:sz="4" w:space="0" w:color="auto"/>
              <w:right w:val="single" w:sz="4" w:space="0" w:color="auto"/>
            </w:tcBorders>
            <w:noWrap/>
            <w:vAlign w:val="bottom"/>
            <w:hideMark/>
          </w:tcPr>
          <w:p w14:paraId="329FADC3" w14:textId="77777777" w:rsidR="00071451" w:rsidRPr="004F4A0A" w:rsidRDefault="00071451" w:rsidP="001E7C51">
            <w:pPr>
              <w:pStyle w:val="Tabletext"/>
              <w:jc w:val="right"/>
              <w:rPr>
                <w:rFonts w:cs="Calibri"/>
                <w:b/>
                <w:bCs/>
                <w:i/>
                <w:iCs/>
                <w:color w:val="000000"/>
                <w:szCs w:val="20"/>
              </w:rPr>
            </w:pPr>
            <w:r w:rsidRPr="004F4A0A">
              <w:rPr>
                <w:rFonts w:cs="Calibri"/>
                <w:i/>
                <w:iCs/>
                <w:color w:val="000000"/>
                <w:szCs w:val="20"/>
              </w:rPr>
              <w:t>$4,623</w:t>
            </w:r>
          </w:p>
        </w:tc>
        <w:tc>
          <w:tcPr>
            <w:tcW w:w="700" w:type="pct"/>
            <w:tcBorders>
              <w:top w:val="single" w:sz="4" w:space="0" w:color="auto"/>
              <w:left w:val="single" w:sz="4" w:space="0" w:color="auto"/>
              <w:bottom w:val="single" w:sz="4" w:space="0" w:color="auto"/>
              <w:right w:val="single" w:sz="4" w:space="0" w:color="auto"/>
            </w:tcBorders>
            <w:vAlign w:val="bottom"/>
            <w:hideMark/>
          </w:tcPr>
          <w:p w14:paraId="32D9E948" w14:textId="77777777" w:rsidR="00071451" w:rsidRPr="004F4A0A" w:rsidRDefault="00071451" w:rsidP="001E7C51">
            <w:pPr>
              <w:pStyle w:val="Tabletext"/>
              <w:jc w:val="right"/>
              <w:rPr>
                <w:rFonts w:cs="Calibri"/>
                <w:b/>
                <w:bCs/>
                <w:i/>
                <w:iCs/>
                <w:color w:val="000000"/>
                <w:szCs w:val="20"/>
              </w:rPr>
            </w:pPr>
            <w:r w:rsidRPr="004F4A0A">
              <w:rPr>
                <w:rFonts w:cs="Calibri"/>
                <w:i/>
                <w:iCs/>
                <w:color w:val="000000"/>
                <w:szCs w:val="20"/>
              </w:rPr>
              <w:t>$41,416</w:t>
            </w:r>
          </w:p>
        </w:tc>
      </w:tr>
      <w:tr w:rsidR="00071451" w:rsidRPr="004F4A0A" w14:paraId="070DC974" w14:textId="77777777" w:rsidTr="001E7C51">
        <w:trPr>
          <w:trHeight w:val="300"/>
          <w:tblHeader/>
        </w:trPr>
        <w:tc>
          <w:tcPr>
            <w:tcW w:w="1177" w:type="pct"/>
            <w:tcBorders>
              <w:top w:val="single" w:sz="4" w:space="0" w:color="auto"/>
              <w:left w:val="single" w:sz="4" w:space="0" w:color="auto"/>
              <w:bottom w:val="single" w:sz="4" w:space="0" w:color="auto"/>
              <w:right w:val="single" w:sz="4" w:space="0" w:color="auto"/>
            </w:tcBorders>
            <w:noWrap/>
            <w:vAlign w:val="center"/>
            <w:hideMark/>
          </w:tcPr>
          <w:p w14:paraId="19F2D1FE" w14:textId="77777777" w:rsidR="00071451" w:rsidRPr="004F4A0A" w:rsidRDefault="00071451" w:rsidP="001E7C51">
            <w:pPr>
              <w:pStyle w:val="Tabletext"/>
              <w:rPr>
                <w:rFonts w:cs="Calibri"/>
                <w:b/>
                <w:bCs/>
                <w:i/>
                <w:iCs/>
                <w:color w:val="000000"/>
                <w:szCs w:val="20"/>
              </w:rPr>
            </w:pPr>
            <w:r w:rsidRPr="004F4A0A">
              <w:rPr>
                <w:rFonts w:cs="Calibri"/>
                <w:i/>
                <w:iCs/>
                <w:color w:val="000000"/>
                <w:szCs w:val="20"/>
              </w:rPr>
              <w:t>State Hospital</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136EBF97" w14:textId="77777777" w:rsidR="00071451" w:rsidRPr="004F4A0A" w:rsidRDefault="00071451" w:rsidP="001E7C51">
            <w:pPr>
              <w:pStyle w:val="Tabletext"/>
              <w:jc w:val="right"/>
              <w:rPr>
                <w:rFonts w:cs="Calibri"/>
                <w:b/>
                <w:bCs/>
                <w:i/>
                <w:iCs/>
                <w:color w:val="000000"/>
                <w:szCs w:val="20"/>
              </w:rPr>
            </w:pPr>
            <w:r w:rsidRPr="004F4A0A">
              <w:rPr>
                <w:rFonts w:cs="Calibri"/>
                <w:i/>
                <w:iCs/>
                <w:color w:val="000000"/>
                <w:szCs w:val="20"/>
              </w:rPr>
              <w:t>$77,897</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1AB8ADD1" w14:textId="77777777" w:rsidR="00071451" w:rsidRPr="004F4A0A" w:rsidRDefault="00071451" w:rsidP="001E7C51">
            <w:pPr>
              <w:pStyle w:val="Tabletext"/>
              <w:jc w:val="right"/>
              <w:rPr>
                <w:rFonts w:cs="Calibri"/>
                <w:b/>
                <w:bCs/>
                <w:i/>
                <w:iCs/>
                <w:color w:val="000000"/>
                <w:szCs w:val="20"/>
              </w:rPr>
            </w:pPr>
            <w:r w:rsidRPr="004F4A0A">
              <w:rPr>
                <w:rFonts w:cs="Calibri"/>
                <w:i/>
                <w:iCs/>
                <w:color w:val="000000"/>
                <w:szCs w:val="20"/>
              </w:rPr>
              <w:t>$74,579</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39F0F9FA" w14:textId="77777777" w:rsidR="00071451" w:rsidRPr="004F4A0A" w:rsidRDefault="00071451" w:rsidP="001E7C51">
            <w:pPr>
              <w:pStyle w:val="Tabletext"/>
              <w:jc w:val="right"/>
              <w:rPr>
                <w:rFonts w:cs="Calibri"/>
                <w:b/>
                <w:bCs/>
                <w:i/>
                <w:iCs/>
                <w:color w:val="000000"/>
                <w:szCs w:val="20"/>
              </w:rPr>
            </w:pPr>
            <w:r w:rsidRPr="004F4A0A">
              <w:rPr>
                <w:rFonts w:cs="Calibri"/>
                <w:i/>
                <w:iCs/>
                <w:color w:val="000000"/>
                <w:szCs w:val="20"/>
              </w:rPr>
              <w:t>$71,387</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6CB2B77F" w14:textId="77777777" w:rsidR="00071451" w:rsidRPr="004F4A0A" w:rsidRDefault="00071451" w:rsidP="001E7C51">
            <w:pPr>
              <w:pStyle w:val="Tabletext"/>
              <w:jc w:val="right"/>
              <w:rPr>
                <w:rFonts w:cs="Calibri"/>
                <w:b/>
                <w:bCs/>
                <w:i/>
                <w:iCs/>
                <w:color w:val="000000"/>
                <w:szCs w:val="20"/>
              </w:rPr>
            </w:pPr>
            <w:r w:rsidRPr="004F4A0A">
              <w:rPr>
                <w:rFonts w:cs="Calibri"/>
                <w:i/>
                <w:iCs/>
                <w:color w:val="000000"/>
                <w:szCs w:val="20"/>
              </w:rPr>
              <w:t>-$530,784</w:t>
            </w:r>
          </w:p>
        </w:tc>
        <w:tc>
          <w:tcPr>
            <w:tcW w:w="607" w:type="pct"/>
            <w:tcBorders>
              <w:top w:val="single" w:sz="4" w:space="0" w:color="auto"/>
              <w:left w:val="single" w:sz="4" w:space="0" w:color="auto"/>
              <w:bottom w:val="single" w:sz="4" w:space="0" w:color="auto"/>
              <w:right w:val="single" w:sz="4" w:space="0" w:color="auto"/>
            </w:tcBorders>
            <w:noWrap/>
            <w:vAlign w:val="bottom"/>
            <w:hideMark/>
          </w:tcPr>
          <w:p w14:paraId="1F366E83" w14:textId="77777777" w:rsidR="00071451" w:rsidRPr="004F4A0A" w:rsidRDefault="00071451" w:rsidP="001E7C51">
            <w:pPr>
              <w:pStyle w:val="Tabletext"/>
              <w:jc w:val="right"/>
              <w:rPr>
                <w:rFonts w:cs="Calibri"/>
                <w:b/>
                <w:bCs/>
                <w:i/>
                <w:iCs/>
                <w:color w:val="000000"/>
                <w:szCs w:val="20"/>
              </w:rPr>
            </w:pPr>
            <w:r w:rsidRPr="004F4A0A">
              <w:rPr>
                <w:rFonts w:cs="Calibri"/>
                <w:i/>
                <w:iCs/>
                <w:color w:val="000000"/>
                <w:szCs w:val="20"/>
              </w:rPr>
              <w:t>-$509,763</w:t>
            </w:r>
          </w:p>
        </w:tc>
        <w:tc>
          <w:tcPr>
            <w:tcW w:w="700" w:type="pct"/>
            <w:tcBorders>
              <w:top w:val="single" w:sz="4" w:space="0" w:color="auto"/>
              <w:left w:val="single" w:sz="4" w:space="0" w:color="auto"/>
              <w:bottom w:val="single" w:sz="4" w:space="0" w:color="auto"/>
              <w:right w:val="single" w:sz="4" w:space="0" w:color="auto"/>
            </w:tcBorders>
            <w:vAlign w:val="bottom"/>
            <w:hideMark/>
          </w:tcPr>
          <w:p w14:paraId="063A564F" w14:textId="77777777" w:rsidR="00071451" w:rsidRPr="004F4A0A" w:rsidRDefault="00071451" w:rsidP="001E7C51">
            <w:pPr>
              <w:pStyle w:val="Tabletext"/>
              <w:jc w:val="right"/>
              <w:rPr>
                <w:rFonts w:cs="Calibri"/>
                <w:b/>
                <w:bCs/>
                <w:i/>
                <w:iCs/>
                <w:color w:val="000000"/>
                <w:szCs w:val="20"/>
              </w:rPr>
            </w:pPr>
            <w:r w:rsidRPr="004F4A0A">
              <w:rPr>
                <w:rFonts w:cs="Calibri"/>
                <w:i/>
                <w:iCs/>
                <w:color w:val="000000"/>
                <w:szCs w:val="20"/>
              </w:rPr>
              <w:t>-$816,684</w:t>
            </w:r>
          </w:p>
        </w:tc>
      </w:tr>
      <w:tr w:rsidR="00071451" w:rsidRPr="004F4A0A" w14:paraId="276BE34A" w14:textId="77777777" w:rsidTr="001E7C51">
        <w:trPr>
          <w:trHeight w:val="300"/>
          <w:tblHeader/>
        </w:trPr>
        <w:tc>
          <w:tcPr>
            <w:tcW w:w="1177" w:type="pct"/>
            <w:tcBorders>
              <w:top w:val="single" w:sz="4" w:space="0" w:color="auto"/>
              <w:left w:val="single" w:sz="4" w:space="0" w:color="auto"/>
              <w:bottom w:val="single" w:sz="4" w:space="0" w:color="auto"/>
              <w:right w:val="single" w:sz="4" w:space="0" w:color="auto"/>
            </w:tcBorders>
            <w:noWrap/>
            <w:vAlign w:val="center"/>
            <w:hideMark/>
          </w:tcPr>
          <w:p w14:paraId="36F615D2" w14:textId="77777777" w:rsidR="00071451" w:rsidRPr="004F4A0A" w:rsidRDefault="00071451" w:rsidP="001E7C51">
            <w:pPr>
              <w:pStyle w:val="Tabletext"/>
              <w:rPr>
                <w:rFonts w:cs="Calibri"/>
                <w:b/>
                <w:bCs/>
                <w:i/>
                <w:iCs/>
                <w:color w:val="000000"/>
                <w:szCs w:val="20"/>
              </w:rPr>
            </w:pPr>
            <w:r w:rsidRPr="004F4A0A">
              <w:rPr>
                <w:rFonts w:cs="Calibri"/>
                <w:b/>
                <w:bCs/>
                <w:i/>
                <w:iCs/>
                <w:color w:val="000000"/>
                <w:szCs w:val="20"/>
              </w:rPr>
              <w:t>Net Impact</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19AFF95A" w14:textId="77777777" w:rsidR="00071451" w:rsidRPr="004F4A0A" w:rsidRDefault="00071451" w:rsidP="001E7C51">
            <w:pPr>
              <w:pStyle w:val="Tabletext"/>
              <w:jc w:val="right"/>
              <w:rPr>
                <w:rFonts w:cs="Calibri"/>
                <w:b/>
                <w:bCs/>
                <w:i/>
                <w:iCs/>
                <w:color w:val="000000"/>
                <w:szCs w:val="20"/>
              </w:rPr>
            </w:pPr>
            <w:r w:rsidRPr="004F4A0A">
              <w:rPr>
                <w:rFonts w:cs="Calibri"/>
                <w:b/>
                <w:bCs/>
                <w:i/>
                <w:iCs/>
                <w:color w:val="000000"/>
                <w:szCs w:val="20"/>
              </w:rPr>
              <w:t>$131,202</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0EFD9FEE" w14:textId="77777777" w:rsidR="00071451" w:rsidRPr="004F4A0A" w:rsidRDefault="00071451" w:rsidP="001E7C51">
            <w:pPr>
              <w:pStyle w:val="Tabletext"/>
              <w:jc w:val="right"/>
              <w:rPr>
                <w:rFonts w:cs="Calibri"/>
                <w:b/>
                <w:bCs/>
                <w:i/>
                <w:iCs/>
                <w:color w:val="000000"/>
                <w:szCs w:val="20"/>
              </w:rPr>
            </w:pPr>
            <w:r w:rsidRPr="004F4A0A">
              <w:rPr>
                <w:rFonts w:cs="Calibri"/>
                <w:b/>
                <w:bCs/>
                <w:i/>
                <w:iCs/>
                <w:color w:val="000000"/>
                <w:szCs w:val="20"/>
              </w:rPr>
              <w:t>$133,268</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32ED23B6" w14:textId="77777777" w:rsidR="00071451" w:rsidRPr="004F4A0A" w:rsidRDefault="00071451" w:rsidP="001E7C51">
            <w:pPr>
              <w:pStyle w:val="Tabletext"/>
              <w:jc w:val="right"/>
              <w:rPr>
                <w:rFonts w:cs="Calibri"/>
                <w:b/>
                <w:bCs/>
                <w:i/>
                <w:iCs/>
                <w:color w:val="000000"/>
                <w:szCs w:val="20"/>
              </w:rPr>
            </w:pPr>
            <w:r w:rsidRPr="004F4A0A">
              <w:rPr>
                <w:rFonts w:cs="Calibri"/>
                <w:b/>
                <w:bCs/>
                <w:i/>
                <w:iCs/>
                <w:color w:val="000000"/>
                <w:szCs w:val="20"/>
              </w:rPr>
              <w:t>$135,363</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4E7FC413" w14:textId="77777777" w:rsidR="00071451" w:rsidRPr="004F4A0A" w:rsidRDefault="00071451" w:rsidP="001E7C51">
            <w:pPr>
              <w:pStyle w:val="Tabletext"/>
              <w:jc w:val="right"/>
              <w:rPr>
                <w:rFonts w:cs="Calibri"/>
                <w:b/>
                <w:bCs/>
                <w:i/>
                <w:iCs/>
                <w:color w:val="000000"/>
                <w:szCs w:val="20"/>
              </w:rPr>
            </w:pPr>
            <w:r w:rsidRPr="004F4A0A">
              <w:rPr>
                <w:rFonts w:cs="Calibri"/>
                <w:b/>
                <w:bCs/>
                <w:i/>
                <w:iCs/>
                <w:color w:val="000000"/>
                <w:szCs w:val="20"/>
              </w:rPr>
              <w:t>-$563,377</w:t>
            </w:r>
          </w:p>
        </w:tc>
        <w:tc>
          <w:tcPr>
            <w:tcW w:w="607" w:type="pct"/>
            <w:tcBorders>
              <w:top w:val="single" w:sz="4" w:space="0" w:color="auto"/>
              <w:left w:val="single" w:sz="4" w:space="0" w:color="auto"/>
              <w:bottom w:val="single" w:sz="4" w:space="0" w:color="auto"/>
              <w:right w:val="single" w:sz="4" w:space="0" w:color="auto"/>
            </w:tcBorders>
            <w:noWrap/>
            <w:vAlign w:val="bottom"/>
            <w:hideMark/>
          </w:tcPr>
          <w:p w14:paraId="1691E745" w14:textId="77777777" w:rsidR="00071451" w:rsidRPr="004F4A0A" w:rsidRDefault="00071451" w:rsidP="001E7C51">
            <w:pPr>
              <w:pStyle w:val="Tabletext"/>
              <w:jc w:val="right"/>
              <w:rPr>
                <w:rFonts w:cs="Calibri"/>
                <w:b/>
                <w:bCs/>
                <w:i/>
                <w:iCs/>
                <w:color w:val="000000"/>
                <w:szCs w:val="20"/>
              </w:rPr>
            </w:pPr>
            <w:r w:rsidRPr="004F4A0A">
              <w:rPr>
                <w:rFonts w:cs="Calibri"/>
                <w:b/>
                <w:bCs/>
                <w:i/>
                <w:iCs/>
                <w:color w:val="000000"/>
                <w:szCs w:val="20"/>
              </w:rPr>
              <w:t>-$533,172</w:t>
            </w:r>
          </w:p>
        </w:tc>
        <w:tc>
          <w:tcPr>
            <w:tcW w:w="700" w:type="pct"/>
            <w:tcBorders>
              <w:top w:val="single" w:sz="4" w:space="0" w:color="auto"/>
              <w:left w:val="single" w:sz="4" w:space="0" w:color="auto"/>
              <w:bottom w:val="single" w:sz="4" w:space="0" w:color="auto"/>
              <w:right w:val="single" w:sz="4" w:space="0" w:color="auto"/>
            </w:tcBorders>
            <w:vAlign w:val="center"/>
            <w:hideMark/>
          </w:tcPr>
          <w:p w14:paraId="7661F7C9" w14:textId="77777777" w:rsidR="00071451" w:rsidRPr="004F4A0A" w:rsidRDefault="00071451" w:rsidP="001E7C51">
            <w:pPr>
              <w:spacing w:before="40" w:after="40"/>
              <w:jc w:val="right"/>
              <w:rPr>
                <w:rFonts w:cs="Calibri"/>
                <w:b/>
                <w:bCs/>
                <w:i/>
                <w:iCs/>
                <w:color w:val="000000"/>
                <w:sz w:val="20"/>
              </w:rPr>
            </w:pPr>
            <w:r w:rsidRPr="004F4A0A">
              <w:rPr>
                <w:rFonts w:ascii="Arial Narrow" w:hAnsi="Arial Narrow" w:cs="Calibri"/>
                <w:b/>
                <w:bCs/>
                <w:i/>
                <w:iCs/>
                <w:color w:val="000000"/>
                <w:sz w:val="20"/>
              </w:rPr>
              <w:t>-$696,715</w:t>
            </w:r>
          </w:p>
        </w:tc>
      </w:tr>
    </w:tbl>
    <w:p w14:paraId="70FB5EBA" w14:textId="7E4A6B3E" w:rsidR="00071451" w:rsidRDefault="00071451" w:rsidP="00071451">
      <w:pPr>
        <w:pStyle w:val="Tablenotes"/>
        <w:spacing w:after="0"/>
        <w:rPr>
          <w:rStyle w:val="TablenotesChar"/>
          <w:lang w:eastAsia="zh-CN"/>
        </w:rPr>
      </w:pPr>
      <w:r w:rsidRPr="00F04347">
        <w:rPr>
          <w:rStyle w:val="TablenotesChar"/>
          <w:lang w:eastAsia="zh-CN"/>
        </w:rPr>
        <w:t>Source</w:t>
      </w:r>
      <w:r w:rsidRPr="0012371B">
        <w:rPr>
          <w:rStyle w:val="TablenotesChar"/>
          <w:lang w:eastAsia="zh-CN"/>
        </w:rPr>
        <w:t>:</w:t>
      </w:r>
      <w:r>
        <w:rPr>
          <w:rStyle w:val="TablenotesChar"/>
          <w:lang w:eastAsia="zh-CN"/>
        </w:rPr>
        <w:t xml:space="preserve"> </w:t>
      </w:r>
      <w:r>
        <w:t xml:space="preserve">Table 107, p of the </w:t>
      </w:r>
      <w:r w:rsidR="009842FE">
        <w:t>Commentary</w:t>
      </w:r>
      <w:r>
        <w:t xml:space="preserve">. </w:t>
      </w:r>
      <w:r w:rsidR="009842FE">
        <w:rPr>
          <w:i/>
        </w:rPr>
        <w:t>Commentary</w:t>
      </w:r>
      <w:r>
        <w:rPr>
          <w:i/>
          <w:iCs/>
        </w:rPr>
        <w:t xml:space="preserve"> in italics</w:t>
      </w:r>
    </w:p>
    <w:p w14:paraId="766E0565" w14:textId="77777777" w:rsidR="00071451" w:rsidRDefault="00071451" w:rsidP="00071451">
      <w:pPr>
        <w:pStyle w:val="Tablenotes"/>
      </w:pPr>
      <w:r>
        <w:t>Abbreviations: MBS=Medicare Benefits Schedule; PBS=Pharmaceutical Benefits Schedule</w:t>
      </w:r>
    </w:p>
    <w:p w14:paraId="3BDFCA5C" w14:textId="77777777" w:rsidR="006A0D97" w:rsidRPr="00F715D1" w:rsidRDefault="006A0D97" w:rsidP="00F715D1">
      <w:pPr>
        <w:pStyle w:val="Heading1"/>
      </w:pPr>
      <w:r w:rsidRPr="00F715D1">
        <w:t>Key issues from ESC for MSAC</w:t>
      </w:r>
    </w:p>
    <w:tbl>
      <w:tblPr>
        <w:tblStyle w:val="TableGrid"/>
        <w:tblW w:w="0" w:type="auto"/>
        <w:tblLook w:val="04A0" w:firstRow="1" w:lastRow="0" w:firstColumn="1" w:lastColumn="0" w:noHBand="0" w:noVBand="1"/>
        <w:tblCaption w:val="Key issues from ESC for MSAC"/>
      </w:tblPr>
      <w:tblGrid>
        <w:gridCol w:w="1838"/>
        <w:gridCol w:w="7178"/>
      </w:tblGrid>
      <w:tr w:rsidR="004F4A0A" w:rsidRPr="00BE21FF" w14:paraId="49A335CE" w14:textId="77777777" w:rsidTr="00C736E0">
        <w:trPr>
          <w:cantSplit/>
          <w:tblHeader/>
        </w:trPr>
        <w:tc>
          <w:tcPr>
            <w:tcW w:w="1838" w:type="dxa"/>
          </w:tcPr>
          <w:p w14:paraId="14F8E954" w14:textId="77777777" w:rsidR="004F4A0A" w:rsidRPr="00BE21FF" w:rsidRDefault="004F4A0A" w:rsidP="001E7C51">
            <w:pPr>
              <w:pStyle w:val="TableHeading"/>
              <w:keepNext w:val="0"/>
              <w:rPr>
                <w:rFonts w:ascii="Times New Roman" w:hAnsi="Times New Roman" w:cs="Times New Roman"/>
                <w:sz w:val="22"/>
                <w:szCs w:val="22"/>
              </w:rPr>
            </w:pPr>
            <w:r w:rsidRPr="00BE21FF">
              <w:rPr>
                <w:rFonts w:ascii="Times New Roman" w:hAnsi="Times New Roman" w:cs="Times New Roman"/>
                <w:sz w:val="22"/>
                <w:szCs w:val="22"/>
              </w:rPr>
              <w:t>ESC key issue</w:t>
            </w:r>
          </w:p>
        </w:tc>
        <w:tc>
          <w:tcPr>
            <w:tcW w:w="7178" w:type="dxa"/>
          </w:tcPr>
          <w:p w14:paraId="2C1C02C6" w14:textId="77777777" w:rsidR="004F4A0A" w:rsidRPr="00BE21FF" w:rsidRDefault="004F4A0A" w:rsidP="001E7C51">
            <w:pPr>
              <w:pStyle w:val="TableHeading"/>
              <w:keepNext w:val="0"/>
              <w:rPr>
                <w:rFonts w:ascii="Times New Roman" w:hAnsi="Times New Roman" w:cs="Times New Roman"/>
                <w:sz w:val="22"/>
                <w:szCs w:val="22"/>
              </w:rPr>
            </w:pPr>
            <w:r w:rsidRPr="00BE21FF">
              <w:rPr>
                <w:rFonts w:ascii="Times New Roman" w:hAnsi="Times New Roman" w:cs="Times New Roman"/>
                <w:sz w:val="22"/>
                <w:szCs w:val="22"/>
              </w:rPr>
              <w:t>ESC advice to MSAC</w:t>
            </w:r>
          </w:p>
        </w:tc>
      </w:tr>
      <w:tr w:rsidR="004F4A0A" w:rsidRPr="00BE21FF" w14:paraId="4ED3BD74" w14:textId="77777777" w:rsidTr="00E72A12">
        <w:trPr>
          <w:cantSplit/>
        </w:trPr>
        <w:tc>
          <w:tcPr>
            <w:tcW w:w="1838" w:type="dxa"/>
          </w:tcPr>
          <w:p w14:paraId="1553EB71" w14:textId="6C8FDE1E" w:rsidR="004F4A0A" w:rsidRPr="007426E1" w:rsidRDefault="004F4A0A" w:rsidP="001E7C51">
            <w:pPr>
              <w:pStyle w:val="TableText1"/>
              <w:keepNext w:val="0"/>
              <w:rPr>
                <w:sz w:val="22"/>
                <w:szCs w:val="22"/>
              </w:rPr>
            </w:pPr>
            <w:r w:rsidRPr="007426E1">
              <w:rPr>
                <w:sz w:val="22"/>
                <w:szCs w:val="22"/>
              </w:rPr>
              <w:t>Evidence – other TA as proxy for CA</w:t>
            </w:r>
          </w:p>
          <w:p w14:paraId="4F7C0C17" w14:textId="77777777" w:rsidR="004F4A0A" w:rsidRPr="0072335E" w:rsidRDefault="004F4A0A" w:rsidP="001E7C51">
            <w:pPr>
              <w:pStyle w:val="TableText1"/>
              <w:keepNext w:val="0"/>
              <w:rPr>
                <w:sz w:val="22"/>
                <w:szCs w:val="22"/>
              </w:rPr>
            </w:pPr>
          </w:p>
        </w:tc>
        <w:tc>
          <w:tcPr>
            <w:tcW w:w="7178" w:type="dxa"/>
          </w:tcPr>
          <w:p w14:paraId="64E8B77A" w14:textId="608D7245" w:rsidR="004F4A0A" w:rsidRPr="00DD7740" w:rsidRDefault="004F4A0A" w:rsidP="00683E86">
            <w:pPr>
              <w:pStyle w:val="TableText1"/>
              <w:keepNext w:val="0"/>
              <w:rPr>
                <w:sz w:val="22"/>
                <w:szCs w:val="22"/>
              </w:rPr>
            </w:pPr>
            <w:r w:rsidRPr="007426E1">
              <w:rPr>
                <w:sz w:val="22"/>
                <w:szCs w:val="22"/>
              </w:rPr>
              <w:t xml:space="preserve">Due to the paucity of comparative studies of CA vs the main comparators (AS/DT or </w:t>
            </w:r>
            <w:r w:rsidR="00683E86">
              <w:rPr>
                <w:sz w:val="22"/>
                <w:szCs w:val="22"/>
              </w:rPr>
              <w:t>R</w:t>
            </w:r>
            <w:r w:rsidRPr="007426E1">
              <w:rPr>
                <w:sz w:val="22"/>
                <w:szCs w:val="22"/>
              </w:rPr>
              <w:t>N), s</w:t>
            </w:r>
            <w:r w:rsidRPr="00AA2883">
              <w:rPr>
                <w:sz w:val="22"/>
                <w:szCs w:val="22"/>
              </w:rPr>
              <w:t xml:space="preserve">tudies that reported the use of other TA (i.e. </w:t>
            </w:r>
            <w:r w:rsidRPr="007426E1">
              <w:rPr>
                <w:sz w:val="22"/>
                <w:szCs w:val="22"/>
              </w:rPr>
              <w:t xml:space="preserve">RFA or </w:t>
            </w:r>
            <w:r w:rsidRPr="00AA2883">
              <w:rPr>
                <w:sz w:val="22"/>
                <w:szCs w:val="22"/>
              </w:rPr>
              <w:t>MWA) were used as a proxy for CA [</w:t>
            </w:r>
            <w:proofErr w:type="gramStart"/>
            <w:r w:rsidRPr="00AA2883">
              <w:rPr>
                <w:sz w:val="22"/>
                <w:szCs w:val="22"/>
              </w:rPr>
              <w:t>CA(</w:t>
            </w:r>
            <w:proofErr w:type="gramEnd"/>
            <w:r w:rsidRPr="00AA2883">
              <w:rPr>
                <w:sz w:val="22"/>
                <w:szCs w:val="22"/>
              </w:rPr>
              <w:t xml:space="preserve">TA)]. This approach </w:t>
            </w:r>
            <w:proofErr w:type="gramStart"/>
            <w:r w:rsidRPr="00AA2883">
              <w:rPr>
                <w:sz w:val="22"/>
                <w:szCs w:val="22"/>
              </w:rPr>
              <w:t>was</w:t>
            </w:r>
            <w:r w:rsidRPr="00D5667D">
              <w:rPr>
                <w:sz w:val="22"/>
                <w:szCs w:val="22"/>
              </w:rPr>
              <w:t xml:space="preserve"> supported</w:t>
            </w:r>
            <w:proofErr w:type="gramEnd"/>
            <w:r w:rsidRPr="00D5667D">
              <w:rPr>
                <w:sz w:val="22"/>
                <w:szCs w:val="22"/>
              </w:rPr>
              <w:t xml:space="preserve"> by results of the supplementary comparison between CA and other TA</w:t>
            </w:r>
            <w:r>
              <w:rPr>
                <w:sz w:val="22"/>
                <w:szCs w:val="22"/>
              </w:rPr>
              <w:t xml:space="preserve"> modalities</w:t>
            </w:r>
            <w:r w:rsidRPr="00D5667D">
              <w:rPr>
                <w:sz w:val="22"/>
                <w:szCs w:val="22"/>
              </w:rPr>
              <w:t>, which suggests there are no differences in safety or effectiveness between the different modalities.</w:t>
            </w:r>
          </w:p>
        </w:tc>
      </w:tr>
      <w:tr w:rsidR="004F4A0A" w:rsidRPr="00BE21FF" w14:paraId="355D5CCB" w14:textId="77777777" w:rsidTr="00E72A12">
        <w:trPr>
          <w:cantSplit/>
        </w:trPr>
        <w:tc>
          <w:tcPr>
            <w:tcW w:w="1838" w:type="dxa"/>
          </w:tcPr>
          <w:p w14:paraId="2C17E7D4" w14:textId="77777777" w:rsidR="004F4A0A" w:rsidRPr="00BE21FF" w:rsidRDefault="004F4A0A" w:rsidP="001E7C51">
            <w:pPr>
              <w:pStyle w:val="TableText1"/>
              <w:keepNext w:val="0"/>
              <w:rPr>
                <w:sz w:val="22"/>
                <w:szCs w:val="22"/>
              </w:rPr>
            </w:pPr>
            <w:r w:rsidRPr="00BE21FF">
              <w:rPr>
                <w:sz w:val="22"/>
                <w:szCs w:val="22"/>
              </w:rPr>
              <w:t>Applicability of study populations to the Australian population</w:t>
            </w:r>
          </w:p>
        </w:tc>
        <w:tc>
          <w:tcPr>
            <w:tcW w:w="7178" w:type="dxa"/>
          </w:tcPr>
          <w:p w14:paraId="2C257DF1" w14:textId="77777777" w:rsidR="004F4A0A" w:rsidRPr="00BE21FF" w:rsidRDefault="004F4A0A" w:rsidP="001E7C51">
            <w:pPr>
              <w:pStyle w:val="TableText1"/>
              <w:keepNext w:val="0"/>
              <w:rPr>
                <w:sz w:val="22"/>
                <w:szCs w:val="22"/>
              </w:rPr>
            </w:pPr>
            <w:r w:rsidRPr="00BE21FF">
              <w:rPr>
                <w:sz w:val="22"/>
                <w:szCs w:val="22"/>
              </w:rPr>
              <w:t xml:space="preserve">ESC considered that the population in </w:t>
            </w:r>
            <w:proofErr w:type="spellStart"/>
            <w:r w:rsidRPr="00BE21FF">
              <w:rPr>
                <w:sz w:val="22"/>
                <w:szCs w:val="22"/>
              </w:rPr>
              <w:t>Uhlig</w:t>
            </w:r>
            <w:proofErr w:type="spellEnd"/>
            <w:r w:rsidRPr="00BE21FF">
              <w:rPr>
                <w:sz w:val="22"/>
                <w:szCs w:val="22"/>
              </w:rPr>
              <w:t xml:space="preserve"> 2018 was more applicable to the Australian MBS population than Xing </w:t>
            </w:r>
            <w:proofErr w:type="gramStart"/>
            <w:r w:rsidRPr="00BE21FF">
              <w:rPr>
                <w:sz w:val="22"/>
                <w:szCs w:val="22"/>
              </w:rPr>
              <w:t>2018</w:t>
            </w:r>
            <w:r>
              <w:rPr>
                <w:sz w:val="22"/>
                <w:szCs w:val="22"/>
              </w:rPr>
              <w:t xml:space="preserve"> which was applied</w:t>
            </w:r>
            <w:proofErr w:type="gramEnd"/>
            <w:r>
              <w:rPr>
                <w:sz w:val="22"/>
                <w:szCs w:val="22"/>
              </w:rPr>
              <w:t xml:space="preserve"> in the ADAR economic analysis</w:t>
            </w:r>
            <w:r w:rsidRPr="00BE21FF">
              <w:rPr>
                <w:sz w:val="22"/>
                <w:szCs w:val="22"/>
              </w:rPr>
              <w:t>. ESC noted that</w:t>
            </w:r>
            <w:r>
              <w:rPr>
                <w:sz w:val="22"/>
                <w:szCs w:val="22"/>
              </w:rPr>
              <w:t xml:space="preserve"> the pre-ESC response had addressed this by applying the </w:t>
            </w:r>
            <w:r w:rsidRPr="00BE21FF">
              <w:rPr>
                <w:sz w:val="22"/>
                <w:szCs w:val="22"/>
              </w:rPr>
              <w:t xml:space="preserve">data from </w:t>
            </w:r>
            <w:proofErr w:type="spellStart"/>
            <w:r w:rsidRPr="00BE21FF">
              <w:rPr>
                <w:sz w:val="22"/>
                <w:szCs w:val="22"/>
              </w:rPr>
              <w:t>Uhlig</w:t>
            </w:r>
            <w:proofErr w:type="spellEnd"/>
            <w:r w:rsidRPr="00BE21FF">
              <w:rPr>
                <w:sz w:val="22"/>
                <w:szCs w:val="22"/>
              </w:rPr>
              <w:t xml:space="preserve"> 2018 </w:t>
            </w:r>
            <w:r>
              <w:rPr>
                <w:sz w:val="22"/>
                <w:szCs w:val="22"/>
              </w:rPr>
              <w:t>but without re-specifying</w:t>
            </w:r>
            <w:r w:rsidRPr="00BE21FF">
              <w:rPr>
                <w:sz w:val="22"/>
                <w:szCs w:val="22"/>
              </w:rPr>
              <w:t xml:space="preserve"> the baseline population in economic model.</w:t>
            </w:r>
          </w:p>
        </w:tc>
      </w:tr>
      <w:tr w:rsidR="004F4A0A" w:rsidRPr="00BE21FF" w14:paraId="586B33D2" w14:textId="77777777" w:rsidTr="00E72A12">
        <w:trPr>
          <w:cantSplit/>
        </w:trPr>
        <w:tc>
          <w:tcPr>
            <w:tcW w:w="1838" w:type="dxa"/>
          </w:tcPr>
          <w:p w14:paraId="59BDB435" w14:textId="77777777" w:rsidR="004F4A0A" w:rsidRPr="00BE21FF" w:rsidRDefault="004F4A0A" w:rsidP="001E7C51">
            <w:pPr>
              <w:pStyle w:val="TableText1"/>
              <w:keepNext w:val="0"/>
              <w:rPr>
                <w:sz w:val="22"/>
                <w:szCs w:val="22"/>
              </w:rPr>
            </w:pPr>
            <w:r w:rsidRPr="00BE21FF">
              <w:rPr>
                <w:sz w:val="22"/>
                <w:szCs w:val="22"/>
              </w:rPr>
              <w:t>Costs of equipment and consumables</w:t>
            </w:r>
          </w:p>
        </w:tc>
        <w:tc>
          <w:tcPr>
            <w:tcW w:w="7178" w:type="dxa"/>
          </w:tcPr>
          <w:p w14:paraId="5DB734A3" w14:textId="0C28E378" w:rsidR="004F4A0A" w:rsidRPr="00BE21FF" w:rsidRDefault="004F4A0A" w:rsidP="00D64CA2">
            <w:pPr>
              <w:pStyle w:val="TableText1"/>
              <w:keepNext w:val="0"/>
              <w:rPr>
                <w:sz w:val="22"/>
                <w:szCs w:val="22"/>
              </w:rPr>
            </w:pPr>
            <w:r w:rsidRPr="00BE21FF">
              <w:rPr>
                <w:sz w:val="22"/>
                <w:szCs w:val="22"/>
              </w:rPr>
              <w:t>The ADAR did not include the capital cost of the equipment or the cost of CA needles, but that these were included in the pre-ESC response. However, ESC considered that it remained unclear who would bear the cost of the CA needles ($</w:t>
            </w:r>
            <w:r w:rsidR="00D64CA2" w:rsidRPr="00D64CA2">
              <w:rPr>
                <w:b/>
                <w:color w:val="auto"/>
                <w:sz w:val="22"/>
                <w:szCs w:val="22"/>
              </w:rPr>
              <w:t>redacted</w:t>
            </w:r>
            <w:r w:rsidRPr="00DF51F4">
              <w:rPr>
                <w:color w:val="FF0000"/>
                <w:sz w:val="22"/>
                <w:szCs w:val="22"/>
              </w:rPr>
              <w:t xml:space="preserve"> </w:t>
            </w:r>
            <w:r w:rsidRPr="00BE21FF">
              <w:rPr>
                <w:sz w:val="22"/>
                <w:szCs w:val="22"/>
              </w:rPr>
              <w:t>per procedure), and</w:t>
            </w:r>
            <w:r>
              <w:rPr>
                <w:sz w:val="22"/>
                <w:szCs w:val="22"/>
              </w:rPr>
              <w:t xml:space="preserve"> whether</w:t>
            </w:r>
            <w:r w:rsidRPr="00BE21FF">
              <w:rPr>
                <w:sz w:val="22"/>
                <w:szCs w:val="22"/>
              </w:rPr>
              <w:t xml:space="preserve"> there was potential for significant </w:t>
            </w:r>
            <w:proofErr w:type="spellStart"/>
            <w:r>
              <w:rPr>
                <w:sz w:val="22"/>
                <w:szCs w:val="22"/>
              </w:rPr>
              <w:t>out-of</w:t>
            </w:r>
            <w:proofErr w:type="spellEnd"/>
            <w:r>
              <w:rPr>
                <w:sz w:val="22"/>
                <w:szCs w:val="22"/>
              </w:rPr>
              <w:t xml:space="preserve"> pocket costs for</w:t>
            </w:r>
            <w:r w:rsidRPr="00BE21FF">
              <w:rPr>
                <w:sz w:val="22"/>
                <w:szCs w:val="22"/>
              </w:rPr>
              <w:t xml:space="preserve"> patients. </w:t>
            </w:r>
          </w:p>
        </w:tc>
      </w:tr>
      <w:tr w:rsidR="004F4A0A" w:rsidRPr="00BE21FF" w14:paraId="7052AA98" w14:textId="77777777" w:rsidTr="00E72A12">
        <w:trPr>
          <w:cantSplit/>
        </w:trPr>
        <w:tc>
          <w:tcPr>
            <w:tcW w:w="1838" w:type="dxa"/>
          </w:tcPr>
          <w:p w14:paraId="23AFDAA1" w14:textId="77777777" w:rsidR="004F4A0A" w:rsidRDefault="004F4A0A" w:rsidP="001E7C51">
            <w:pPr>
              <w:pStyle w:val="TableText1"/>
              <w:keepNext w:val="0"/>
              <w:rPr>
                <w:sz w:val="22"/>
                <w:szCs w:val="22"/>
              </w:rPr>
            </w:pPr>
            <w:r>
              <w:rPr>
                <w:sz w:val="22"/>
                <w:szCs w:val="22"/>
              </w:rPr>
              <w:t>I</w:t>
            </w:r>
            <w:r w:rsidRPr="00BE21FF">
              <w:rPr>
                <w:sz w:val="22"/>
                <w:szCs w:val="22"/>
              </w:rPr>
              <w:t>tem descriptor</w:t>
            </w:r>
            <w:r>
              <w:rPr>
                <w:sz w:val="22"/>
                <w:szCs w:val="22"/>
              </w:rPr>
              <w:t xml:space="preserve"> – eligibility </w:t>
            </w:r>
          </w:p>
        </w:tc>
        <w:tc>
          <w:tcPr>
            <w:tcW w:w="7178" w:type="dxa"/>
          </w:tcPr>
          <w:p w14:paraId="2C631613" w14:textId="77777777" w:rsidR="004F4A0A" w:rsidRPr="00BE21FF" w:rsidRDefault="004F4A0A" w:rsidP="001E7C51">
            <w:pPr>
              <w:pStyle w:val="TableText1"/>
              <w:keepNext w:val="0"/>
              <w:rPr>
                <w:sz w:val="22"/>
                <w:szCs w:val="22"/>
              </w:rPr>
            </w:pPr>
            <w:r>
              <w:rPr>
                <w:sz w:val="22"/>
                <w:szCs w:val="22"/>
              </w:rPr>
              <w:t xml:space="preserve">The proposed item descriptor does not explicitly require a patient to have a confirmed renal malignancy prior to ablation. </w:t>
            </w:r>
            <w:r w:rsidRPr="00BE21FF">
              <w:rPr>
                <w:sz w:val="22"/>
                <w:szCs w:val="22"/>
              </w:rPr>
              <w:t xml:space="preserve">ESC considered that the item descriptor </w:t>
            </w:r>
            <w:proofErr w:type="gramStart"/>
            <w:r w:rsidRPr="00BE21FF">
              <w:rPr>
                <w:sz w:val="22"/>
                <w:szCs w:val="22"/>
              </w:rPr>
              <w:t xml:space="preserve">should </w:t>
            </w:r>
            <w:r>
              <w:rPr>
                <w:sz w:val="22"/>
                <w:szCs w:val="22"/>
              </w:rPr>
              <w:t>be amended</w:t>
            </w:r>
            <w:proofErr w:type="gramEnd"/>
            <w:r>
              <w:rPr>
                <w:sz w:val="22"/>
                <w:szCs w:val="22"/>
              </w:rPr>
              <w:t xml:space="preserve"> to</w:t>
            </w:r>
            <w:r w:rsidRPr="00BE21FF">
              <w:rPr>
                <w:sz w:val="22"/>
                <w:szCs w:val="22"/>
              </w:rPr>
              <w:t xml:space="preserve"> “where malignancy </w:t>
            </w:r>
            <w:r w:rsidRPr="00BE21FF">
              <w:rPr>
                <w:sz w:val="22"/>
                <w:szCs w:val="22"/>
                <w:u w:val="single"/>
              </w:rPr>
              <w:t>has been previously confirmed</w:t>
            </w:r>
            <w:r w:rsidRPr="00BE21FF">
              <w:rPr>
                <w:sz w:val="22"/>
                <w:szCs w:val="22"/>
              </w:rPr>
              <w:t xml:space="preserve"> by histopathological examination”. </w:t>
            </w:r>
          </w:p>
        </w:tc>
      </w:tr>
      <w:tr w:rsidR="004F4A0A" w:rsidRPr="00BE21FF" w14:paraId="28076EB0" w14:textId="77777777" w:rsidTr="00E72A12">
        <w:trPr>
          <w:cantSplit/>
        </w:trPr>
        <w:tc>
          <w:tcPr>
            <w:tcW w:w="1838" w:type="dxa"/>
          </w:tcPr>
          <w:p w14:paraId="2E67854D" w14:textId="77777777" w:rsidR="004F4A0A" w:rsidRDefault="004F4A0A" w:rsidP="001E7C51">
            <w:pPr>
              <w:pStyle w:val="TableText1"/>
              <w:keepNext w:val="0"/>
              <w:rPr>
                <w:sz w:val="22"/>
                <w:szCs w:val="22"/>
              </w:rPr>
            </w:pPr>
            <w:r>
              <w:rPr>
                <w:sz w:val="22"/>
                <w:szCs w:val="22"/>
              </w:rPr>
              <w:t>Item descriptor – CA only or general item for CA, RFA and MWA</w:t>
            </w:r>
          </w:p>
        </w:tc>
        <w:tc>
          <w:tcPr>
            <w:tcW w:w="7178" w:type="dxa"/>
          </w:tcPr>
          <w:p w14:paraId="5471AD05" w14:textId="77777777" w:rsidR="004F4A0A" w:rsidRPr="00BE21FF" w:rsidRDefault="004F4A0A" w:rsidP="001E7C51">
            <w:pPr>
              <w:pStyle w:val="TableText1"/>
              <w:keepNext w:val="0"/>
              <w:rPr>
                <w:sz w:val="22"/>
                <w:szCs w:val="22"/>
              </w:rPr>
            </w:pPr>
            <w:r>
              <w:rPr>
                <w:sz w:val="22"/>
                <w:szCs w:val="22"/>
              </w:rPr>
              <w:t>MSAC may wish</w:t>
            </w:r>
            <w:r w:rsidRPr="00BE21FF">
              <w:rPr>
                <w:sz w:val="22"/>
                <w:szCs w:val="22"/>
              </w:rPr>
              <w:t xml:space="preserve"> to consider whether MBS listing for CA </w:t>
            </w:r>
            <w:proofErr w:type="gramStart"/>
            <w:r w:rsidRPr="00BE21FF">
              <w:rPr>
                <w:sz w:val="22"/>
                <w:szCs w:val="22"/>
              </w:rPr>
              <w:t>should be broadened</w:t>
            </w:r>
            <w:proofErr w:type="gramEnd"/>
            <w:r w:rsidRPr="00BE21FF">
              <w:rPr>
                <w:sz w:val="22"/>
                <w:szCs w:val="22"/>
              </w:rPr>
              <w:t xml:space="preserve"> to also include RFA and MWA, as a general item for ablative procedures of the kidney. </w:t>
            </w:r>
          </w:p>
        </w:tc>
      </w:tr>
      <w:tr w:rsidR="004F4A0A" w:rsidRPr="00BE21FF" w14:paraId="573DEB4C" w14:textId="77777777" w:rsidTr="00E72A12">
        <w:trPr>
          <w:cantSplit/>
        </w:trPr>
        <w:tc>
          <w:tcPr>
            <w:tcW w:w="1838" w:type="dxa"/>
          </w:tcPr>
          <w:p w14:paraId="402E0F8F" w14:textId="77777777" w:rsidR="004F4A0A" w:rsidRDefault="004F4A0A" w:rsidP="001E7C51">
            <w:pPr>
              <w:pStyle w:val="TableText1"/>
              <w:keepNext w:val="0"/>
              <w:rPr>
                <w:sz w:val="22"/>
                <w:szCs w:val="22"/>
              </w:rPr>
            </w:pPr>
            <w:r>
              <w:rPr>
                <w:sz w:val="22"/>
                <w:szCs w:val="22"/>
              </w:rPr>
              <w:t>Item descriptor  - technical note</w:t>
            </w:r>
          </w:p>
        </w:tc>
        <w:tc>
          <w:tcPr>
            <w:tcW w:w="7178" w:type="dxa"/>
          </w:tcPr>
          <w:p w14:paraId="4217AE93" w14:textId="77777777" w:rsidR="004F4A0A" w:rsidRDefault="004F4A0A" w:rsidP="001E7C51">
            <w:pPr>
              <w:pStyle w:val="TableText1"/>
              <w:keepNext w:val="0"/>
              <w:rPr>
                <w:sz w:val="22"/>
                <w:szCs w:val="22"/>
              </w:rPr>
            </w:pPr>
            <w:r w:rsidRPr="00BE21FF">
              <w:rPr>
                <w:sz w:val="22"/>
                <w:szCs w:val="22"/>
              </w:rPr>
              <w:t xml:space="preserve">ESC considered that </w:t>
            </w:r>
            <w:r>
              <w:rPr>
                <w:sz w:val="22"/>
                <w:szCs w:val="22"/>
              </w:rPr>
              <w:t>‘</w:t>
            </w:r>
            <w:r w:rsidRPr="00BE21FF">
              <w:rPr>
                <w:sz w:val="22"/>
                <w:szCs w:val="22"/>
              </w:rPr>
              <w:t>hereditary</w:t>
            </w:r>
            <w:r>
              <w:rPr>
                <w:sz w:val="22"/>
                <w:szCs w:val="22"/>
              </w:rPr>
              <w:t>/</w:t>
            </w:r>
            <w:r w:rsidRPr="00BE21FF">
              <w:rPr>
                <w:sz w:val="22"/>
                <w:szCs w:val="22"/>
              </w:rPr>
              <w:t>multiple RCC</w:t>
            </w:r>
            <w:r>
              <w:rPr>
                <w:sz w:val="22"/>
                <w:szCs w:val="22"/>
              </w:rPr>
              <w:t xml:space="preserve">’ should be removed from the technical note as this is inconsistent with the item descriptor for </w:t>
            </w:r>
            <w:r w:rsidRPr="00BE21FF">
              <w:rPr>
                <w:sz w:val="22"/>
                <w:szCs w:val="22"/>
              </w:rPr>
              <w:t>CA</w:t>
            </w:r>
            <w:r>
              <w:rPr>
                <w:sz w:val="22"/>
                <w:szCs w:val="22"/>
              </w:rPr>
              <w:t xml:space="preserve"> for ‘localised primary malignant tumour’</w:t>
            </w:r>
            <w:r w:rsidRPr="00BE21FF">
              <w:rPr>
                <w:sz w:val="22"/>
                <w:szCs w:val="22"/>
              </w:rPr>
              <w:t xml:space="preserve">. </w:t>
            </w:r>
          </w:p>
          <w:p w14:paraId="21911E23" w14:textId="77777777" w:rsidR="004F4A0A" w:rsidRPr="00BE21FF" w:rsidRDefault="004F4A0A" w:rsidP="001E7C51">
            <w:pPr>
              <w:pStyle w:val="TableText1"/>
              <w:keepNext w:val="0"/>
              <w:rPr>
                <w:sz w:val="22"/>
                <w:szCs w:val="22"/>
              </w:rPr>
            </w:pPr>
            <w:r>
              <w:rPr>
                <w:sz w:val="22"/>
                <w:szCs w:val="22"/>
              </w:rPr>
              <w:t xml:space="preserve">ESC considered that the </w:t>
            </w:r>
            <w:r w:rsidRPr="00A37272">
              <w:rPr>
                <w:sz w:val="22"/>
                <w:szCs w:val="22"/>
              </w:rPr>
              <w:t xml:space="preserve">applicant </w:t>
            </w:r>
            <w:r>
              <w:rPr>
                <w:sz w:val="22"/>
                <w:szCs w:val="22"/>
              </w:rPr>
              <w:t>proposal to</w:t>
            </w:r>
            <w:r w:rsidRPr="00A37272">
              <w:rPr>
                <w:sz w:val="22"/>
                <w:szCs w:val="22"/>
              </w:rPr>
              <w:t xml:space="preserve"> include “tumour of significant complexity not amendable to PN” in the technical </w:t>
            </w:r>
            <w:r>
              <w:rPr>
                <w:sz w:val="22"/>
                <w:szCs w:val="22"/>
              </w:rPr>
              <w:t xml:space="preserve">note </w:t>
            </w:r>
            <w:proofErr w:type="gramStart"/>
            <w:r>
              <w:rPr>
                <w:sz w:val="22"/>
                <w:szCs w:val="22"/>
              </w:rPr>
              <w:t>was not supported</w:t>
            </w:r>
            <w:proofErr w:type="gramEnd"/>
            <w:r>
              <w:rPr>
                <w:sz w:val="22"/>
                <w:szCs w:val="22"/>
              </w:rPr>
              <w:t xml:space="preserve"> by any evidence.</w:t>
            </w:r>
          </w:p>
        </w:tc>
      </w:tr>
      <w:tr w:rsidR="004F4A0A" w:rsidRPr="00BE21FF" w14:paraId="20AFA044" w14:textId="77777777" w:rsidTr="00E72A12">
        <w:trPr>
          <w:cantSplit/>
        </w:trPr>
        <w:tc>
          <w:tcPr>
            <w:tcW w:w="1838" w:type="dxa"/>
          </w:tcPr>
          <w:p w14:paraId="7D78A07E" w14:textId="77777777" w:rsidR="004F4A0A" w:rsidRDefault="004F4A0A" w:rsidP="001E7C51">
            <w:pPr>
              <w:pStyle w:val="TableText1"/>
              <w:keepNext w:val="0"/>
              <w:rPr>
                <w:sz w:val="22"/>
                <w:szCs w:val="22"/>
              </w:rPr>
            </w:pPr>
            <w:r>
              <w:rPr>
                <w:sz w:val="22"/>
                <w:szCs w:val="22"/>
              </w:rPr>
              <w:t>Item descriptor - m</w:t>
            </w:r>
            <w:r w:rsidRPr="00BE21FF">
              <w:rPr>
                <w:sz w:val="22"/>
                <w:szCs w:val="22"/>
              </w:rPr>
              <w:t>ode of delivery of treatment</w:t>
            </w:r>
          </w:p>
        </w:tc>
        <w:tc>
          <w:tcPr>
            <w:tcW w:w="7178" w:type="dxa"/>
          </w:tcPr>
          <w:p w14:paraId="17B1F278" w14:textId="77777777" w:rsidR="004F4A0A" w:rsidRPr="00BE21FF" w:rsidRDefault="004F4A0A" w:rsidP="001E7C51">
            <w:pPr>
              <w:pStyle w:val="TableText1"/>
              <w:keepNext w:val="0"/>
              <w:rPr>
                <w:sz w:val="22"/>
                <w:szCs w:val="22"/>
              </w:rPr>
            </w:pPr>
            <w:r w:rsidRPr="002860B5">
              <w:rPr>
                <w:sz w:val="22"/>
                <w:szCs w:val="22"/>
              </w:rPr>
              <w:t xml:space="preserve">ESC noted the item descriptor and clinical evidence base included CA of any delivery mode (i.e. percutaneous, laparoscopic or open). </w:t>
            </w:r>
            <w:r w:rsidRPr="00BE21FF">
              <w:rPr>
                <w:sz w:val="22"/>
                <w:szCs w:val="22"/>
              </w:rPr>
              <w:t xml:space="preserve">ESC considered it was </w:t>
            </w:r>
            <w:r>
              <w:rPr>
                <w:sz w:val="22"/>
                <w:szCs w:val="22"/>
              </w:rPr>
              <w:t>reasonable</w:t>
            </w:r>
            <w:r w:rsidRPr="00BE21FF">
              <w:rPr>
                <w:sz w:val="22"/>
                <w:szCs w:val="22"/>
              </w:rPr>
              <w:t xml:space="preserve"> to use data based on a mix of percutaneous and laparoscopic CA procedures to estimate the comparative effectiveness and safety of percutaneous CA, but noted that the evidence presented for the T1a RCC population was very limited. MSAC may wish to consider whether more data </w:t>
            </w:r>
            <w:proofErr w:type="gramStart"/>
            <w:r w:rsidRPr="00BE21FF">
              <w:rPr>
                <w:sz w:val="22"/>
                <w:szCs w:val="22"/>
              </w:rPr>
              <w:t>are needed</w:t>
            </w:r>
            <w:proofErr w:type="gramEnd"/>
            <w:r w:rsidRPr="00BE21FF">
              <w:rPr>
                <w:sz w:val="22"/>
                <w:szCs w:val="22"/>
              </w:rPr>
              <w:t xml:space="preserve"> to clarify whether these outcomes are similar.</w:t>
            </w:r>
          </w:p>
        </w:tc>
      </w:tr>
      <w:tr w:rsidR="004F4A0A" w:rsidRPr="00BE21FF" w14:paraId="4DD747D1" w14:textId="77777777" w:rsidTr="00E72A12">
        <w:trPr>
          <w:cantSplit/>
        </w:trPr>
        <w:tc>
          <w:tcPr>
            <w:tcW w:w="1838" w:type="dxa"/>
          </w:tcPr>
          <w:p w14:paraId="0CA40CCD" w14:textId="77777777" w:rsidR="004F4A0A" w:rsidRPr="00BE21FF" w:rsidRDefault="004F4A0A" w:rsidP="001E7C51">
            <w:pPr>
              <w:pStyle w:val="TableText1"/>
              <w:keepNext w:val="0"/>
              <w:rPr>
                <w:sz w:val="22"/>
                <w:szCs w:val="22"/>
              </w:rPr>
            </w:pPr>
            <w:r>
              <w:rPr>
                <w:sz w:val="22"/>
                <w:szCs w:val="22"/>
              </w:rPr>
              <w:t xml:space="preserve">Item descriptor - </w:t>
            </w:r>
            <w:r w:rsidRPr="00BE21FF">
              <w:rPr>
                <w:sz w:val="22"/>
                <w:szCs w:val="22"/>
              </w:rPr>
              <w:t>Inadequate justification of the proposed MBS fee</w:t>
            </w:r>
          </w:p>
          <w:p w14:paraId="0C8BBB84" w14:textId="77777777" w:rsidR="004F4A0A" w:rsidRPr="00BE21FF" w:rsidRDefault="004F4A0A" w:rsidP="001E7C51">
            <w:pPr>
              <w:pStyle w:val="TableText1"/>
              <w:keepNext w:val="0"/>
              <w:rPr>
                <w:sz w:val="22"/>
                <w:szCs w:val="22"/>
              </w:rPr>
            </w:pPr>
          </w:p>
        </w:tc>
        <w:tc>
          <w:tcPr>
            <w:tcW w:w="7178" w:type="dxa"/>
          </w:tcPr>
          <w:p w14:paraId="67A55C6A" w14:textId="77777777" w:rsidR="004F4A0A" w:rsidRPr="00BE21FF" w:rsidRDefault="004F4A0A" w:rsidP="001E7C51">
            <w:pPr>
              <w:pStyle w:val="TableText1"/>
              <w:keepNext w:val="0"/>
              <w:rPr>
                <w:sz w:val="22"/>
                <w:szCs w:val="22"/>
              </w:rPr>
            </w:pPr>
            <w:r w:rsidRPr="00BE21FF">
              <w:rPr>
                <w:sz w:val="22"/>
                <w:szCs w:val="22"/>
              </w:rPr>
              <w:t xml:space="preserve">The proposed fee ($842.60) </w:t>
            </w:r>
            <w:proofErr w:type="gramStart"/>
            <w:r w:rsidRPr="00BE21FF">
              <w:rPr>
                <w:sz w:val="22"/>
                <w:szCs w:val="22"/>
              </w:rPr>
              <w:t>is benchmarked</w:t>
            </w:r>
            <w:proofErr w:type="gramEnd"/>
            <w:r w:rsidRPr="00BE21FF">
              <w:rPr>
                <w:sz w:val="22"/>
                <w:szCs w:val="22"/>
              </w:rPr>
              <w:t xml:space="preserve"> to the MBS fees for CA, RFA and MWA of the liver. ESC considered that surgical advice </w:t>
            </w:r>
            <w:proofErr w:type="gramStart"/>
            <w:r w:rsidRPr="00BE21FF">
              <w:rPr>
                <w:sz w:val="22"/>
                <w:szCs w:val="22"/>
              </w:rPr>
              <w:t>should be sought</w:t>
            </w:r>
            <w:proofErr w:type="gramEnd"/>
            <w:r w:rsidRPr="00BE21FF">
              <w:rPr>
                <w:sz w:val="22"/>
                <w:szCs w:val="22"/>
              </w:rPr>
              <w:t xml:space="preserve"> to assess the validity of this comparison in terms of relative complexity of procedures. </w:t>
            </w:r>
          </w:p>
        </w:tc>
      </w:tr>
    </w:tbl>
    <w:p w14:paraId="57AB5A13" w14:textId="21DCBC06" w:rsidR="006A0D97" w:rsidRDefault="00F56D7F" w:rsidP="004F4A0A">
      <w:pPr>
        <w:spacing w:before="240" w:after="240"/>
        <w:rPr>
          <w:b/>
        </w:rPr>
      </w:pPr>
      <w:r w:rsidRPr="00F56D7F">
        <w:rPr>
          <w:b/>
        </w:rPr>
        <w:t>ESC discussion</w:t>
      </w:r>
    </w:p>
    <w:p w14:paraId="5C34C4D3" w14:textId="2CFF6AE4" w:rsidR="004F4A0A" w:rsidRDefault="004F4A0A" w:rsidP="004F4A0A">
      <w:r>
        <w:t xml:space="preserve">ESC noted the purpose of the application was to request </w:t>
      </w:r>
      <w:r w:rsidR="00683E86">
        <w:t>MBS listing for</w:t>
      </w:r>
      <w:r>
        <w:t xml:space="preserve"> CA for the treat</w:t>
      </w:r>
      <w:r w:rsidR="00683E86">
        <w:t xml:space="preserve">ment of biopsy-confirmed </w:t>
      </w:r>
      <w:r>
        <w:t xml:space="preserve">RCC </w:t>
      </w:r>
      <w:r>
        <w:sym w:font="Symbol" w:char="F0A3"/>
      </w:r>
      <w:r>
        <w:t>4 cm in patients not su</w:t>
      </w:r>
      <w:r w:rsidR="00683E86">
        <w:t xml:space="preserve">itable for </w:t>
      </w:r>
      <w:r>
        <w:t xml:space="preserve">PN. </w:t>
      </w:r>
    </w:p>
    <w:p w14:paraId="6F6FBC13" w14:textId="77777777" w:rsidR="004F4A0A" w:rsidRDefault="004F4A0A" w:rsidP="004F4A0A">
      <w:pPr>
        <w:spacing w:before="240" w:after="240"/>
      </w:pPr>
      <w:r>
        <w:t>ESC noted consultation feedback supported MBS listing of CA in the proposed population and claimed potential advantages of CA to consumers.</w:t>
      </w:r>
    </w:p>
    <w:p w14:paraId="2C8F148C" w14:textId="4EC898F3" w:rsidR="004F4A0A" w:rsidRDefault="004F4A0A" w:rsidP="004F4A0A">
      <w:pPr>
        <w:spacing w:before="240"/>
      </w:pPr>
      <w:r>
        <w:t>The two main comparators presented in the application were AS/DT and la</w:t>
      </w:r>
      <w:r w:rsidR="00683E86">
        <w:t xml:space="preserve">paroscopic </w:t>
      </w:r>
      <w:r>
        <w:t>RN. ESC noted that OTA and PN were included as supplementary comparators in the ADAR for clinical comparison only. ESC noted the proposed clinical management algorithms, and considered that some patients who are suitable for PN or AS/DT may prefer a non-surgical intervention such as CA, which may result in use outside the MBS item descriptor</w:t>
      </w:r>
    </w:p>
    <w:p w14:paraId="08140B37" w14:textId="237798F0" w:rsidR="004F4A0A" w:rsidRDefault="004F4A0A" w:rsidP="004F4A0A">
      <w:pPr>
        <w:spacing w:before="240"/>
      </w:pPr>
      <w:r>
        <w:t xml:space="preserve">ESC noted that the clinical evidence base consisted of 39 cohort studies, but that there were no direct comparative studies to inform the comparison of CA with the main comparators (AS/DT and laparoscopic RN). ESC noted that, due to the paucity of comparative studies of CA vs AS/DT or RN, the intervention in the application </w:t>
      </w:r>
      <w:proofErr w:type="gramStart"/>
      <w:r>
        <w:t>was expanded</w:t>
      </w:r>
      <w:proofErr w:type="gramEnd"/>
      <w:r>
        <w:t xml:space="preserve"> to include thermal ablation (TA – that is RFA or </w:t>
      </w:r>
      <w:r w:rsidR="00683E86">
        <w:t>MWA</w:t>
      </w:r>
      <w:r>
        <w:t xml:space="preserve"> as a proxy for CA). The appropriateness of this </w:t>
      </w:r>
      <w:proofErr w:type="gramStart"/>
      <w:r>
        <w:t>was explored</w:t>
      </w:r>
      <w:proofErr w:type="gramEnd"/>
      <w:r>
        <w:t xml:space="preserve"> through the comparison of CA </w:t>
      </w:r>
      <w:r>
        <w:rPr>
          <w:i/>
        </w:rPr>
        <w:t>vs.</w:t>
      </w:r>
      <w:r>
        <w:t xml:space="preserve"> OTA (supplementary comparator 1).</w:t>
      </w:r>
    </w:p>
    <w:p w14:paraId="03FEF3FB" w14:textId="77777777" w:rsidR="004F4A0A" w:rsidRDefault="004F4A0A" w:rsidP="004F4A0A">
      <w:pPr>
        <w:spacing w:before="240"/>
      </w:pPr>
      <w:r>
        <w:t>Six cohort studies (CA k=</w:t>
      </w:r>
      <w:proofErr w:type="gramStart"/>
      <w:r>
        <w:t>2</w:t>
      </w:r>
      <w:proofErr w:type="gramEnd"/>
      <w:r>
        <w:t xml:space="preserve">; CA+TA k=1; TA k=3) informed the comparison of CA </w:t>
      </w:r>
      <w:r>
        <w:rPr>
          <w:i/>
        </w:rPr>
        <w:t>vs.</w:t>
      </w:r>
      <w:r>
        <w:t xml:space="preserve"> AS/DT (main comparator 1). ESC noted the claim that CA had</w:t>
      </w:r>
      <w:r w:rsidRPr="00385DC5">
        <w:t xml:space="preserve"> inferior safety </w:t>
      </w:r>
      <w:r>
        <w:t xml:space="preserve">compared to AS/DT </w:t>
      </w:r>
      <w:proofErr w:type="gramStart"/>
      <w:r>
        <w:t>was based</w:t>
      </w:r>
      <w:proofErr w:type="gramEnd"/>
      <w:r>
        <w:t xml:space="preserve"> on the argument that all patients treated with CA are at risk of intervention-related AE, whereas not all patients on AS/DT are at risk of intervention-related AE (following DT) as a proportion of patients on AS would never receive DT. The claim that CA had </w:t>
      </w:r>
      <w:r w:rsidRPr="00385DC5">
        <w:t>superior clinical effectiveness</w:t>
      </w:r>
      <w:r>
        <w:t xml:space="preserve"> over AS/DT was based on evidence suggesting that CA(TA) had significantly lower all-cause and cancer-specific mortality, no impact on renal function and no significant difference in quality of life. </w:t>
      </w:r>
    </w:p>
    <w:p w14:paraId="66E2A418" w14:textId="77777777" w:rsidR="004F4A0A" w:rsidRPr="00385DC5" w:rsidRDefault="004F4A0A" w:rsidP="004F4A0A">
      <w:pPr>
        <w:spacing w:before="240"/>
      </w:pPr>
      <w:r>
        <w:t>ESC noted seven cohort studies (CA k=</w:t>
      </w:r>
      <w:proofErr w:type="gramStart"/>
      <w:r>
        <w:t>1</w:t>
      </w:r>
      <w:proofErr w:type="gramEnd"/>
      <w:r>
        <w:t xml:space="preserve">; TA k=6) informed the comparison of CA </w:t>
      </w:r>
      <w:proofErr w:type="spellStart"/>
      <w:r>
        <w:rPr>
          <w:i/>
        </w:rPr>
        <w:t>vs.</w:t>
      </w:r>
      <w:r>
        <w:t>laparoscopic</w:t>
      </w:r>
      <w:proofErr w:type="spellEnd"/>
      <w:r>
        <w:t xml:space="preserve"> RN (main comparator 2). ESC noted the claim that </w:t>
      </w:r>
      <w:r w:rsidRPr="00385DC5">
        <w:t>CA ha</w:t>
      </w:r>
      <w:r>
        <w:t>s</w:t>
      </w:r>
      <w:r w:rsidRPr="00385DC5">
        <w:t xml:space="preserve"> superior safety</w:t>
      </w:r>
      <w:r>
        <w:t xml:space="preserve"> compared to laparoscopic RN was based on observations that acute renal failure and non-urological complication rates were lower for </w:t>
      </w:r>
      <w:proofErr w:type="gramStart"/>
      <w:r>
        <w:t>CA(</w:t>
      </w:r>
      <w:proofErr w:type="gramEnd"/>
      <w:r>
        <w:t>TA) than for RN. The claim CA had non-inferior clinical effectiveness compared to laparoscopic RN was based on evidence that CA(TA) was similar to RN in oncological outcomes, all-cause and cancer-specific mortality, and quality of life.</w:t>
      </w:r>
    </w:p>
    <w:p w14:paraId="1FBE2A9A" w14:textId="77777777" w:rsidR="004F4A0A" w:rsidRDefault="004F4A0A" w:rsidP="004F4A0A">
      <w:pPr>
        <w:spacing w:before="240"/>
      </w:pPr>
      <w:r>
        <w:t xml:space="preserve">ESC noted 21 cohort studies informed the comparison of CA </w:t>
      </w:r>
      <w:r>
        <w:rPr>
          <w:i/>
        </w:rPr>
        <w:t>vs.</w:t>
      </w:r>
      <w:r>
        <w:t xml:space="preserve"> OTA (RFA and/or MWA; supplementary comparator 1). ESC noted the difficulty in comparing the safety of CA </w:t>
      </w:r>
      <w:r>
        <w:rPr>
          <w:i/>
        </w:rPr>
        <w:t xml:space="preserve">vs. </w:t>
      </w:r>
      <w:r>
        <w:t xml:space="preserve">OTA due to differences in patient and disease characteristics between studies. However, the evidence suggested there was little difference in the complication rates between percutaneous CA and percutaneous RFA/MWA and therefore claimed to have similar safety. CA </w:t>
      </w:r>
      <w:proofErr w:type="gramStart"/>
      <w:r>
        <w:t>was claimed</w:t>
      </w:r>
      <w:proofErr w:type="gramEnd"/>
      <w:r>
        <w:t xml:space="preserve"> to have</w:t>
      </w:r>
      <w:r w:rsidRPr="00385DC5">
        <w:t xml:space="preserve"> non-inferior clinical effectiveness</w:t>
      </w:r>
      <w:r>
        <w:t xml:space="preserve"> compare to OTA, based on evidence that there was no significant difference in cancer-specific or overall mortality and no significant difference in local recurrence-free survival. ESC noted that the results of the supplementary comparison between CA and OTA, which suggests no differences in safety or effectiveness between the different modalities, supported the use of TA as a proxy for CA. </w:t>
      </w:r>
    </w:p>
    <w:p w14:paraId="5D750F6A" w14:textId="77777777" w:rsidR="004F4A0A" w:rsidRDefault="004F4A0A" w:rsidP="004F4A0A">
      <w:pPr>
        <w:spacing w:before="240"/>
      </w:pPr>
      <w:r>
        <w:t xml:space="preserve">ESC noted 12 cohort studies informed the comparison of CA </w:t>
      </w:r>
      <w:r>
        <w:rPr>
          <w:i/>
        </w:rPr>
        <w:t>vs.</w:t>
      </w:r>
      <w:r>
        <w:t xml:space="preserve"> PN (supplementary comparator 2). ESC noted the evidence on comparative safety was of low quality but that CA </w:t>
      </w:r>
      <w:proofErr w:type="gramStart"/>
      <w:r>
        <w:t>was claimed</w:t>
      </w:r>
      <w:proofErr w:type="gramEnd"/>
      <w:r>
        <w:t xml:space="preserve"> to have superior safety compared to PN based on findings that minor post-operative complications occurred more frequently following PN than CA and that there was no significant difference in major complications. </w:t>
      </w:r>
      <w:r w:rsidRPr="00385DC5">
        <w:t xml:space="preserve">CA </w:t>
      </w:r>
      <w:proofErr w:type="gramStart"/>
      <w:r>
        <w:t>was claimed</w:t>
      </w:r>
      <w:proofErr w:type="gramEnd"/>
      <w:r>
        <w:t xml:space="preserve"> to have</w:t>
      </w:r>
      <w:r w:rsidRPr="00385DC5">
        <w:t xml:space="preserve"> inferior clinical effectiveness </w:t>
      </w:r>
      <w:r>
        <w:t>compared to PN based on significantly higher overall mortality and cancer-specific mortality rates in CA patients. ESC noted this comparison supports the clinical positioning of CA as a treatment option only for patients who are not suitable for PN.</w:t>
      </w:r>
    </w:p>
    <w:p w14:paraId="6EDD3B8F" w14:textId="52C09A74" w:rsidR="004F4A0A" w:rsidRDefault="004F4A0A" w:rsidP="004F4A0A">
      <w:pPr>
        <w:spacing w:before="240"/>
      </w:pPr>
      <w:r>
        <w:t xml:space="preserve">ESC noted the applicant proposed MBS item descriptor and agreed with the </w:t>
      </w:r>
      <w:r w:rsidR="009842FE">
        <w:t>Commentary</w:t>
      </w:r>
      <w:r>
        <w:t>’s proposal that “</w:t>
      </w:r>
      <w:r w:rsidRPr="00C71794">
        <w:t>where malignancy is confirmed by histopathological examination</w:t>
      </w:r>
      <w:r>
        <w:t xml:space="preserve">” </w:t>
      </w:r>
      <w:proofErr w:type="gramStart"/>
      <w:r>
        <w:t>be changed</w:t>
      </w:r>
      <w:proofErr w:type="gramEnd"/>
      <w:r>
        <w:t xml:space="preserve"> to “</w:t>
      </w:r>
      <w:r w:rsidRPr="00C71794">
        <w:t xml:space="preserve">where malignancy </w:t>
      </w:r>
      <w:r>
        <w:t>has previously been</w:t>
      </w:r>
      <w:r w:rsidRPr="00C71794">
        <w:t xml:space="preserve"> confirmed by histopathological examination</w:t>
      </w:r>
      <w:r>
        <w:t xml:space="preserve">”. ESC noted that the proposed fee </w:t>
      </w:r>
      <w:proofErr w:type="gramStart"/>
      <w:r>
        <w:t>was based</w:t>
      </w:r>
      <w:proofErr w:type="gramEnd"/>
      <w:r>
        <w:t xml:space="preserve"> on similar MBS items for ablative techniques of the liver; however, ESC considered that surgical advice should be sought to assess the validity of this comparison. </w:t>
      </w:r>
    </w:p>
    <w:p w14:paraId="3842C5ED" w14:textId="77777777" w:rsidR="004F4A0A" w:rsidRDefault="004F4A0A" w:rsidP="004F4A0A">
      <w:pPr>
        <w:spacing w:before="240"/>
      </w:pPr>
      <w:r>
        <w:t xml:space="preserve">ESC noted conflicting terminology between the item descriptor for ‘localised primary malignant tumour’ and the accompanying technical note that suggests “patients who are not suitable for PN” includes people with hereditary/ multiple RCC. As such, ESC proposed that hereditary/ multiple RCC be removed from the technical note. ESC also noted that the applicant sought to include “tumour of significant complexity not amendable to PN” in the technical note. ESC considered that patients with multiple or complex lesions </w:t>
      </w:r>
      <w:proofErr w:type="gramStart"/>
      <w:r>
        <w:t>may be more appropriately treated</w:t>
      </w:r>
      <w:proofErr w:type="gramEnd"/>
      <w:r>
        <w:t xml:space="preserve"> with RN than PN as noted in international clinical guidelines</w:t>
      </w:r>
      <w:r>
        <w:rPr>
          <w:rStyle w:val="FootnoteReference"/>
        </w:rPr>
        <w:footnoteReference w:id="25"/>
      </w:r>
      <w:r>
        <w:t>; however, evidence to support the use of CA in tumours of significant complexity not amenable to PN was not presented in the ADAR.</w:t>
      </w:r>
    </w:p>
    <w:p w14:paraId="74AFDB01" w14:textId="77777777" w:rsidR="004F4A0A" w:rsidRDefault="004F4A0A" w:rsidP="004F4A0A">
      <w:pPr>
        <w:spacing w:before="240"/>
      </w:pPr>
      <w:r>
        <w:t xml:space="preserve">ESC noted that CA </w:t>
      </w:r>
      <w:proofErr w:type="gramStart"/>
      <w:r>
        <w:t>is recommended</w:t>
      </w:r>
      <w:proofErr w:type="gramEnd"/>
      <w:r>
        <w:t xml:space="preserve"> alongside RFA or MWA in international clinical practice guidelines, but RFA and MWA are not currently MBS listed. Given the evidence suggests there is no difference in safety and effectiveness between the different TA modalities, ESC agreed with the applicant’s proposal that MSAC may wish to consider whether for the proposed MBS item for CA </w:t>
      </w:r>
      <w:proofErr w:type="gramStart"/>
      <w:r>
        <w:t>should be broadened</w:t>
      </w:r>
      <w:proofErr w:type="gramEnd"/>
      <w:r>
        <w:t xml:space="preserve"> to also include TA, as a general item for ablative procedures of the kidney. </w:t>
      </w:r>
    </w:p>
    <w:p w14:paraId="1971A143" w14:textId="77777777" w:rsidR="004F4A0A" w:rsidRDefault="004F4A0A" w:rsidP="004F4A0A">
      <w:pPr>
        <w:spacing w:before="240"/>
      </w:pPr>
      <w:r>
        <w:t xml:space="preserve">ESC noted the item descriptor and clinical evidence base included CA of any delivery mode (i.e. percutaneous, laparoscopic or open). This was based on the applicants claim that the evidence suggested there was </w:t>
      </w:r>
      <w:r w:rsidRPr="000146B1">
        <w:t>no difference in outcomes for patients receiving percutaneous versus laparoscopic CA</w:t>
      </w:r>
      <w:r>
        <w:t>,</w:t>
      </w:r>
      <w:r w:rsidRPr="000146B1">
        <w:t xml:space="preserve"> other than operative outcomes such as length of stay (shorter for percutaneous) and incomplete ablation (higher for percutaneous). </w:t>
      </w:r>
      <w:r>
        <w:t>ESC considered it was</w:t>
      </w:r>
      <w:r w:rsidRPr="000146B1">
        <w:t xml:space="preserve"> </w:t>
      </w:r>
      <w:r>
        <w:t xml:space="preserve">reasonable </w:t>
      </w:r>
      <w:r w:rsidRPr="000146B1">
        <w:t>to use data based on a mix of percutaneous and laparoscopic CA procedures to estimate the comparative effectiveness and safety of percutaneous CA</w:t>
      </w:r>
      <w:r>
        <w:t xml:space="preserve">, </w:t>
      </w:r>
      <w:r w:rsidRPr="000146B1">
        <w:t xml:space="preserve">but noted that the evidence presented for </w:t>
      </w:r>
      <w:r>
        <w:t xml:space="preserve">the </w:t>
      </w:r>
      <w:r w:rsidRPr="000146B1">
        <w:t xml:space="preserve">T1a RCC population was very limited. </w:t>
      </w:r>
      <w:r>
        <w:t xml:space="preserve">ESC advised MSAC that it </w:t>
      </w:r>
      <w:proofErr w:type="gramStart"/>
      <w:r>
        <w:t>may</w:t>
      </w:r>
      <w:proofErr w:type="gramEnd"/>
      <w:r>
        <w:t xml:space="preserve"> wish to consider whether more data are needed to clarify these outcomes.</w:t>
      </w:r>
    </w:p>
    <w:p w14:paraId="37445065" w14:textId="1C432666" w:rsidR="004F4A0A" w:rsidRDefault="004F4A0A" w:rsidP="004F4A0A">
      <w:pPr>
        <w:spacing w:before="240"/>
      </w:pPr>
      <w:r>
        <w:t xml:space="preserve">ESC reviewed the economic evaluation, comprising a cost-utility analysis comparing CA </w:t>
      </w:r>
      <w:r>
        <w:rPr>
          <w:i/>
        </w:rPr>
        <w:t xml:space="preserve">vs. </w:t>
      </w:r>
      <w:r>
        <w:t xml:space="preserve">AS/DT (main comparator 1) and a cost analysis comparing CA </w:t>
      </w:r>
      <w:r>
        <w:rPr>
          <w:i/>
        </w:rPr>
        <w:t>vs.</w:t>
      </w:r>
      <w:r>
        <w:t xml:space="preserve"> laparoscopic RN (main comparator 2).  Regarding the cost-utility analysis for CA </w:t>
      </w:r>
      <w:r>
        <w:rPr>
          <w:i/>
        </w:rPr>
        <w:t xml:space="preserve">vs. </w:t>
      </w:r>
      <w:r>
        <w:t xml:space="preserve">AS/DT, ESC noted CA was dominant to AS/DT even when the base cases was respecified to correctly include RN as the DT (and updated MBS/PBS fees). ESC noted that the drivers of the model were hospital costs and the proportion patients who received DT. ESC agreed with the </w:t>
      </w:r>
      <w:r w:rsidR="009842FE">
        <w:t>Commentary</w:t>
      </w:r>
      <w:r>
        <w:t xml:space="preserve"> </w:t>
      </w:r>
      <w:r w:rsidRPr="006730B1">
        <w:t>that the applicability of results from Xing 2018</w:t>
      </w:r>
      <w:r>
        <w:t xml:space="preserve"> (primary source for model)</w:t>
      </w:r>
      <w:r w:rsidRPr="006730B1">
        <w:t xml:space="preserve"> to the proposed MBS populat</w:t>
      </w:r>
      <w:r>
        <w:t>ion was uncertain, given the Xing 2018</w:t>
      </w:r>
      <w:r w:rsidRPr="006730B1">
        <w:t xml:space="preserve"> assessed TA, rather than CA alone, and only in patients aged </w:t>
      </w:r>
      <w:r w:rsidRPr="006730B1">
        <w:rPr>
          <w:rFonts w:cs="Calibri"/>
        </w:rPr>
        <w:t>≥</w:t>
      </w:r>
      <w:r w:rsidRPr="006730B1">
        <w:t>66 years.</w:t>
      </w:r>
      <w:r>
        <w:t xml:space="preserve"> ESC noted the </w:t>
      </w:r>
      <w:r w:rsidR="009842FE">
        <w:t>Commentary</w:t>
      </w:r>
      <w:r>
        <w:t xml:space="preserve"> considered that </w:t>
      </w:r>
      <w:proofErr w:type="spellStart"/>
      <w:r>
        <w:t>Uhlig</w:t>
      </w:r>
      <w:proofErr w:type="spellEnd"/>
      <w:r>
        <w:t xml:space="preserve"> 2018 (</w:t>
      </w:r>
      <w:r w:rsidRPr="006730B1">
        <w:t xml:space="preserve">a study that assessed cryosurgery in patients with histologically confirmed T1a RCC and aged </w:t>
      </w:r>
      <w:r w:rsidRPr="006730B1">
        <w:rPr>
          <w:rFonts w:cs="Calibri"/>
        </w:rPr>
        <w:t>≥</w:t>
      </w:r>
      <w:r w:rsidRPr="006730B1">
        <w:t>18 years</w:t>
      </w:r>
      <w:r>
        <w:t>) was a more appropriate study.</w:t>
      </w:r>
      <w:r w:rsidRPr="001628B6">
        <w:t xml:space="preserve"> </w:t>
      </w:r>
      <w:r>
        <w:t xml:space="preserve">ESC noted that the applicant attempted to address the applicability issues through the pre-ESC response, which provided justification for using Xing 2018 but also provided revised ICERs using hazard ratios from </w:t>
      </w:r>
      <w:proofErr w:type="spellStart"/>
      <w:r>
        <w:t>Uhlig</w:t>
      </w:r>
      <w:proofErr w:type="spellEnd"/>
      <w:r>
        <w:t xml:space="preserve"> 2018. ESC noted that the revised ICERs using </w:t>
      </w:r>
      <w:proofErr w:type="spellStart"/>
      <w:r>
        <w:t>Uhlig</w:t>
      </w:r>
      <w:proofErr w:type="spellEnd"/>
      <w:r>
        <w:t xml:space="preserve"> 2018 indicated CA remains dominant but that this only partially resolved issues with the </w:t>
      </w:r>
      <w:proofErr w:type="gramStart"/>
      <w:r>
        <w:t>model</w:t>
      </w:r>
      <w:proofErr w:type="gramEnd"/>
      <w:r>
        <w:t xml:space="preserve"> as the baseline population in the model was not respecified to better reflect the proposed MBS population.</w:t>
      </w:r>
    </w:p>
    <w:p w14:paraId="52CD105A" w14:textId="624C4FD4" w:rsidR="004F4A0A" w:rsidRDefault="004F4A0A" w:rsidP="004F4A0A">
      <w:pPr>
        <w:spacing w:before="240"/>
      </w:pPr>
      <w:r>
        <w:t xml:space="preserve">ESC discussed model issues including hospital costs, the exclusion of capital costs of the CA machine, and the claim that the costs of consumables (i.e. CA needles) would be covered under the hospital costs. ESC noted the </w:t>
      </w:r>
      <w:r w:rsidR="009842FE">
        <w:t>Commentary</w:t>
      </w:r>
      <w:r>
        <w:t>’s assertion that the ADAR had incorrectly applied a medical AR-DRG</w:t>
      </w:r>
      <w:r>
        <w:rPr>
          <w:rStyle w:val="FootnoteReference"/>
        </w:rPr>
        <w:footnoteReference w:id="26"/>
      </w:r>
      <w:r>
        <w:t xml:space="preserve"> instead of a surgical AR-DRG, and noted that the medical AR-DRG applied would not cover the costs of consumables. ESC noted that the pre-ESC response confirmed the capital equipment and consumables costs, and provided revised ICERs using updated hospital costs. However, ESC noted that the consumable costs would make up a significant proportion of the hospital costs and considered that it remained unclear who would bear the cost of the CA needles. ESC considered there was potential for cost-shifting resulting in significant out-of-pockets costs for patients, particularly if performed on outpatient basis. </w:t>
      </w:r>
    </w:p>
    <w:p w14:paraId="1FF9287C" w14:textId="22BEB792" w:rsidR="004F4A0A" w:rsidRDefault="004F4A0A" w:rsidP="004F4A0A">
      <w:pPr>
        <w:spacing w:before="240"/>
      </w:pPr>
      <w:r>
        <w:t xml:space="preserve">Regarding the cost analysis for CA </w:t>
      </w:r>
      <w:r>
        <w:rPr>
          <w:i/>
        </w:rPr>
        <w:t xml:space="preserve">vs. </w:t>
      </w:r>
      <w:r>
        <w:t xml:space="preserve">laparoscopic RN, ESC considered that the economic evaluation used simplistic modelling that did not fully account for the negative health impacts of RN. ESC noted that CA appeared cost saving over one year but as with the CUA for CA </w:t>
      </w:r>
      <w:r>
        <w:rPr>
          <w:i/>
        </w:rPr>
        <w:t xml:space="preserve">vs. </w:t>
      </w:r>
      <w:r>
        <w:t xml:space="preserve">AS/DC. ESC noted that the cost analysis of CA </w:t>
      </w:r>
      <w:r>
        <w:rPr>
          <w:i/>
        </w:rPr>
        <w:t xml:space="preserve">vs. </w:t>
      </w:r>
      <w:r>
        <w:t xml:space="preserve">laparoscopic RN has the same issues with hospital and consumable costs as the CUA of CA </w:t>
      </w:r>
      <w:r>
        <w:rPr>
          <w:i/>
        </w:rPr>
        <w:t xml:space="preserve">vs. </w:t>
      </w:r>
      <w:r>
        <w:t xml:space="preserve">AS/DT. ESC noted that when the cost analysis was respecified (in the </w:t>
      </w:r>
      <w:r w:rsidR="009842FE">
        <w:t>Commentary</w:t>
      </w:r>
      <w:r>
        <w:t xml:space="preserve"> and pre-ESC response) to apply a more appropriate hospital cost, the </w:t>
      </w:r>
      <w:proofErr w:type="gramStart"/>
      <w:r>
        <w:t>cost-saving</w:t>
      </w:r>
      <w:proofErr w:type="gramEnd"/>
      <w:r>
        <w:t xml:space="preserve"> with CA is reduced but still less expensive than laparoscopic RN. However, the potential for significant out-of-pockets costs for patients remained.</w:t>
      </w:r>
    </w:p>
    <w:p w14:paraId="3492E414" w14:textId="18C93673" w:rsidR="004F4A0A" w:rsidRPr="00686277" w:rsidRDefault="004F4A0A" w:rsidP="004F4A0A">
      <w:pPr>
        <w:spacing w:before="240"/>
      </w:pPr>
      <w:r>
        <w:t>ESC noted that the budget projections in the ADAR did not account for the fact that many small renal masses are “</w:t>
      </w:r>
      <w:proofErr w:type="spellStart"/>
      <w:r>
        <w:t>incidentalomas</w:t>
      </w:r>
      <w:proofErr w:type="spellEnd"/>
      <w:r>
        <w:t xml:space="preserve">” (asymptomatic lesions detected when individuals undergo imaging for other reasons); however, the requirement for histological confirmation of RCC would mean that this would not lead to </w:t>
      </w:r>
      <w:r w:rsidR="002451C2">
        <w:t xml:space="preserve">inappropriate </w:t>
      </w:r>
      <w:r>
        <w:t xml:space="preserve">treatment. ESC noted that the financial estimates </w:t>
      </w:r>
      <w:proofErr w:type="gramStart"/>
      <w:r>
        <w:t>were based</w:t>
      </w:r>
      <w:proofErr w:type="gramEnd"/>
      <w:r>
        <w:t xml:space="preserve"> solely on the use of CA and that if the MBS item descriptor was broadened to include all ablative techniques, the financial analysis may need to be revised. </w:t>
      </w:r>
    </w:p>
    <w:p w14:paraId="63AB5E85" w14:textId="77777777" w:rsidR="00D90A38" w:rsidRPr="00F715D1" w:rsidRDefault="00BC1364" w:rsidP="00F715D1">
      <w:pPr>
        <w:pStyle w:val="Heading1"/>
      </w:pPr>
      <w:r w:rsidRPr="00F715D1">
        <w:t>Other significant factors</w:t>
      </w:r>
    </w:p>
    <w:p w14:paraId="4056096E" w14:textId="39343CE2" w:rsidR="00BC1364" w:rsidRPr="00683E86" w:rsidRDefault="00BC1364" w:rsidP="00F715D1">
      <w:pPr>
        <w:spacing w:after="240"/>
        <w:rPr>
          <w:szCs w:val="24"/>
        </w:rPr>
      </w:pPr>
      <w:r w:rsidRPr="00683E86">
        <w:rPr>
          <w:szCs w:val="24"/>
        </w:rPr>
        <w:t>Nil</w:t>
      </w:r>
    </w:p>
    <w:p w14:paraId="3FB49721"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0E16A27C" w14:textId="68579121" w:rsidR="00BC1364" w:rsidRPr="005A4362" w:rsidRDefault="00D64CA2" w:rsidP="00F715D1">
      <w:pPr>
        <w:spacing w:after="240"/>
        <w:rPr>
          <w:color w:val="00B0F0"/>
          <w:szCs w:val="24"/>
        </w:rPr>
      </w:pPr>
      <w:r w:rsidRPr="00D64CA2">
        <w:rPr>
          <w:szCs w:val="24"/>
        </w:rPr>
        <w:t>The applicant had no comment.</w:t>
      </w:r>
    </w:p>
    <w:p w14:paraId="15642C31" w14:textId="77777777" w:rsidR="00BC1364" w:rsidRPr="00F715D1" w:rsidRDefault="00271F18" w:rsidP="00F715D1">
      <w:pPr>
        <w:pStyle w:val="Heading1"/>
      </w:pPr>
      <w:r w:rsidRPr="00F715D1">
        <w:t>Further information on MSAC</w:t>
      </w:r>
    </w:p>
    <w:p w14:paraId="3F000FAB"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4" w:tooltip="Link to Medical Services Advisory Committee website" w:history="1">
        <w:r w:rsidR="00BC2667" w:rsidRPr="00F715D1">
          <w:rPr>
            <w:rStyle w:val="Hyperlink"/>
            <w:szCs w:val="24"/>
          </w:rPr>
          <w:t>visit the MSAC website</w:t>
        </w:r>
      </w:hyperlink>
    </w:p>
    <w:sectPr w:rsidR="00BC1364" w:rsidRPr="00F715D1" w:rsidSect="009842FE">
      <w:headerReference w:type="even" r:id="rId15"/>
      <w:headerReference w:type="default" r:id="rId16"/>
      <w:footerReference w:type="even" r:id="rId17"/>
      <w:footerReference w:type="default" r:id="rId18"/>
      <w:headerReference w:type="first" r:id="rId19"/>
      <w:footerReference w:type="first" r:id="rId20"/>
      <w:pgSz w:w="11906" w:h="16838"/>
      <w:pgMar w:top="993"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EC8B90" w16cid:durableId="23C3D568"/>
  <w16cid:commentId w16cid:paraId="6DBC2F57" w16cid:durableId="23C3C867"/>
  <w16cid:commentId w16cid:paraId="3E302AC6" w16cid:durableId="23C3C843"/>
  <w16cid:commentId w16cid:paraId="3B13C3B2" w16cid:durableId="23C3C830"/>
  <w16cid:commentId w16cid:paraId="73872FD1" w16cid:durableId="23C3D5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A9BAB" w14:textId="77777777" w:rsidR="00C736E0" w:rsidRDefault="00C736E0" w:rsidP="00065623">
      <w:r>
        <w:separator/>
      </w:r>
    </w:p>
  </w:endnote>
  <w:endnote w:type="continuationSeparator" w:id="0">
    <w:p w14:paraId="64AC953A" w14:textId="77777777" w:rsidR="00C736E0" w:rsidRDefault="00C736E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UI Semibold">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rdia New">
    <w:altName w:val="Arial Unicode MS"/>
    <w:panose1 w:val="020B0304020202020204"/>
    <w:charset w:val="DE"/>
    <w:family w:val="swiss"/>
    <w:pitch w:val="variable"/>
    <w:sig w:usb0="00000000" w:usb1="00000000" w:usb2="00000000" w:usb3="00000000" w:csb0="00010001"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8CC" w14:textId="77777777" w:rsidR="00C736E0" w:rsidRDefault="00C73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3580DA94" w14:textId="714090C4" w:rsidR="00C736E0" w:rsidRDefault="00C736E0">
        <w:pPr>
          <w:pStyle w:val="Footer"/>
          <w:jc w:val="right"/>
        </w:pPr>
        <w:r>
          <w:fldChar w:fldCharType="begin"/>
        </w:r>
        <w:r>
          <w:instrText xml:space="preserve"> PAGE   \* MERGEFORMAT </w:instrText>
        </w:r>
        <w:r>
          <w:fldChar w:fldCharType="separate"/>
        </w:r>
        <w:r w:rsidR="006728D4">
          <w:rPr>
            <w:noProof/>
          </w:rPr>
          <w:t>2</w:t>
        </w:r>
        <w:r>
          <w:rPr>
            <w:noProof/>
          </w:rPr>
          <w:fldChar w:fldCharType="end"/>
        </w:r>
      </w:p>
    </w:sdtContent>
  </w:sdt>
  <w:p w14:paraId="2B4E2EE4" w14:textId="77777777" w:rsidR="00C736E0" w:rsidRDefault="00C736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6BBAA" w14:textId="77777777" w:rsidR="00C736E0" w:rsidRDefault="00C73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BFD87" w14:textId="77777777" w:rsidR="00C736E0" w:rsidRDefault="00C736E0" w:rsidP="00065623">
      <w:r>
        <w:separator/>
      </w:r>
    </w:p>
  </w:footnote>
  <w:footnote w:type="continuationSeparator" w:id="0">
    <w:p w14:paraId="63268500" w14:textId="77777777" w:rsidR="00C736E0" w:rsidRDefault="00C736E0" w:rsidP="00065623">
      <w:r>
        <w:continuationSeparator/>
      </w:r>
    </w:p>
  </w:footnote>
  <w:footnote w:id="1">
    <w:p w14:paraId="32D5A6C8" w14:textId="77777777" w:rsidR="00C736E0" w:rsidRDefault="00C736E0" w:rsidP="00054585">
      <w:pPr>
        <w:pStyle w:val="FootnoteText"/>
      </w:pPr>
      <w:r>
        <w:rPr>
          <w:rStyle w:val="FootnoteReference"/>
        </w:rPr>
        <w:footnoteRef/>
      </w:r>
      <w:r>
        <w:t xml:space="preserve"> Population, Intervention, Comparator, Outcomes</w:t>
      </w:r>
    </w:p>
  </w:footnote>
  <w:footnote w:id="2">
    <w:p w14:paraId="4E6E230F" w14:textId="28250334" w:rsidR="00C736E0" w:rsidRPr="007A0BEF" w:rsidRDefault="00C736E0" w:rsidP="006D547D">
      <w:pPr>
        <w:pStyle w:val="Tablenotes"/>
        <w:rPr>
          <w:rFonts w:ascii="Times New Roman" w:hAnsi="Times New Roman" w:cs="Times New Roman"/>
          <w:sz w:val="20"/>
        </w:rPr>
      </w:pPr>
      <w:r w:rsidRPr="007A0BEF">
        <w:rPr>
          <w:rStyle w:val="FootnoteReference"/>
          <w:rFonts w:ascii="Times New Roman" w:hAnsi="Times New Roman"/>
          <w:sz w:val="20"/>
        </w:rPr>
        <w:footnoteRef/>
      </w:r>
      <w:r w:rsidRPr="007A0BEF">
        <w:rPr>
          <w:rFonts w:ascii="Times New Roman" w:hAnsi="Times New Roman" w:cs="Times New Roman"/>
          <w:sz w:val="20"/>
        </w:rPr>
        <w:t xml:space="preserve"> Kidney cancer in Australia statistics, Cancer Australia, Australian Government, page updated: 7 July 2020 [available: </w:t>
      </w:r>
      <w:hyperlink r:id="rId1" w:tooltip="Cancer Australia web page for Kidney cancer in Australia statistics" w:history="1">
        <w:r w:rsidRPr="007A0BEF">
          <w:rPr>
            <w:rStyle w:val="Hyperlink"/>
            <w:rFonts w:ascii="Times New Roman" w:hAnsi="Times New Roman"/>
            <w:sz w:val="20"/>
          </w:rPr>
          <w:t>https://kidney-cancer.canceraustralia.gov.au/statistics</w:t>
        </w:r>
      </w:hyperlink>
      <w:proofErr w:type="gramStart"/>
      <w:r w:rsidRPr="007A0BEF">
        <w:rPr>
          <w:rFonts w:ascii="Times New Roman" w:hAnsi="Times New Roman" w:cs="Times New Roman"/>
          <w:sz w:val="20"/>
        </w:rPr>
        <w:t>;</w:t>
      </w:r>
      <w:proofErr w:type="gramEnd"/>
      <w:r w:rsidRPr="007A0BEF">
        <w:rPr>
          <w:rFonts w:ascii="Times New Roman" w:hAnsi="Times New Roman" w:cs="Times New Roman"/>
          <w:sz w:val="20"/>
        </w:rPr>
        <w:t xml:space="preserve"> accessed 17 July 2020].</w:t>
      </w:r>
    </w:p>
  </w:footnote>
  <w:footnote w:id="3">
    <w:p w14:paraId="7243C6FF" w14:textId="5B885CE4" w:rsidR="00C736E0" w:rsidRPr="007A0BEF" w:rsidRDefault="00C736E0" w:rsidP="006D547D">
      <w:pPr>
        <w:pStyle w:val="Tablenotes"/>
        <w:rPr>
          <w:rFonts w:ascii="Times New Roman" w:hAnsi="Times New Roman" w:cs="Times New Roman"/>
          <w:sz w:val="20"/>
        </w:rPr>
      </w:pPr>
      <w:r w:rsidRPr="007A0BEF">
        <w:rPr>
          <w:rStyle w:val="FootnoteReference"/>
          <w:rFonts w:ascii="Times New Roman" w:hAnsi="Times New Roman"/>
          <w:sz w:val="20"/>
        </w:rPr>
        <w:footnoteRef/>
      </w:r>
      <w:r w:rsidRPr="007A0BEF">
        <w:rPr>
          <w:rFonts w:ascii="Times New Roman" w:hAnsi="Times New Roman" w:cs="Times New Roman"/>
          <w:sz w:val="20"/>
        </w:rPr>
        <w:t xml:space="preserve"> Data tables: Cancer data in Australia – Book </w:t>
      </w:r>
      <w:proofErr w:type="gramStart"/>
      <w:r w:rsidRPr="007A0BEF">
        <w:rPr>
          <w:rFonts w:ascii="Times New Roman" w:hAnsi="Times New Roman" w:cs="Times New Roman"/>
          <w:sz w:val="20"/>
        </w:rPr>
        <w:t>2</w:t>
      </w:r>
      <w:proofErr w:type="gramEnd"/>
      <w:r w:rsidRPr="007A0BEF">
        <w:rPr>
          <w:rFonts w:ascii="Times New Roman" w:hAnsi="Times New Roman" w:cs="Times New Roman"/>
          <w:sz w:val="20"/>
        </w:rPr>
        <w:t xml:space="preserve"> Mortality supplementary tables, AIHW, June 2020 [available: </w:t>
      </w:r>
      <w:hyperlink r:id="rId2" w:tooltip="AIHW webpage for cancer data in Australia" w:history="1">
        <w:r w:rsidRPr="007A0BEF">
          <w:rPr>
            <w:rStyle w:val="Hyperlink"/>
            <w:rFonts w:ascii="Times New Roman" w:hAnsi="Times New Roman"/>
            <w:sz w:val="20"/>
          </w:rPr>
          <w:t>https://www.aihw.gov.au/reports/cancer/cancer-data-in-australia/data</w:t>
        </w:r>
      </w:hyperlink>
      <w:r w:rsidRPr="007A0BEF">
        <w:rPr>
          <w:rFonts w:ascii="Times New Roman" w:hAnsi="Times New Roman" w:cs="Times New Roman"/>
          <w:sz w:val="20"/>
        </w:rPr>
        <w:t xml:space="preserve">; accessed 17 July 2020]. </w:t>
      </w:r>
    </w:p>
  </w:footnote>
  <w:footnote w:id="4">
    <w:p w14:paraId="2D360898" w14:textId="483758C9" w:rsidR="00C736E0" w:rsidRPr="007A0BEF" w:rsidRDefault="00C736E0" w:rsidP="006D547D">
      <w:pPr>
        <w:pStyle w:val="Tablenotes"/>
        <w:rPr>
          <w:rFonts w:ascii="Times New Roman" w:hAnsi="Times New Roman" w:cs="Times New Roman"/>
          <w:sz w:val="20"/>
        </w:rPr>
      </w:pPr>
      <w:r w:rsidRPr="007A0BEF">
        <w:rPr>
          <w:rStyle w:val="FootnoteReference"/>
          <w:rFonts w:ascii="Times New Roman" w:hAnsi="Times New Roman"/>
          <w:sz w:val="20"/>
        </w:rPr>
        <w:footnoteRef/>
      </w:r>
      <w:r w:rsidRPr="007A0BEF">
        <w:rPr>
          <w:rFonts w:ascii="Times New Roman" w:hAnsi="Times New Roman" w:cs="Times New Roman"/>
          <w:sz w:val="20"/>
        </w:rPr>
        <w:t xml:space="preserve"> Data tables: Cancer data in Australia – Book 1: Incidence supplementary tables, AIHW, June 2020 [available: </w:t>
      </w:r>
      <w:hyperlink r:id="rId3" w:tooltip="AIHW webpage for cancer data in Australia" w:history="1">
        <w:r w:rsidRPr="007A0BEF">
          <w:rPr>
            <w:rStyle w:val="Hyperlink"/>
            <w:rFonts w:ascii="Times New Roman" w:hAnsi="Times New Roman"/>
            <w:sz w:val="20"/>
          </w:rPr>
          <w:t>https://www.aihw.gov.au/reports/cancer/cancer-data-in-australia/data</w:t>
        </w:r>
      </w:hyperlink>
      <w:proofErr w:type="gramStart"/>
      <w:r w:rsidRPr="007A0BEF">
        <w:rPr>
          <w:rFonts w:ascii="Times New Roman" w:hAnsi="Times New Roman" w:cs="Times New Roman"/>
          <w:sz w:val="20"/>
        </w:rPr>
        <w:t>;</w:t>
      </w:r>
      <w:proofErr w:type="gramEnd"/>
      <w:r w:rsidRPr="007A0BEF">
        <w:rPr>
          <w:rFonts w:ascii="Times New Roman" w:hAnsi="Times New Roman" w:cs="Times New Roman"/>
          <w:sz w:val="20"/>
        </w:rPr>
        <w:t xml:space="preserve"> accessed 17 July 2020].</w:t>
      </w:r>
    </w:p>
  </w:footnote>
  <w:footnote w:id="5">
    <w:p w14:paraId="0CF46EB0" w14:textId="45A62378" w:rsidR="00C736E0" w:rsidRPr="007A0BEF" w:rsidRDefault="00C736E0" w:rsidP="006D547D">
      <w:pPr>
        <w:pStyle w:val="Tablenotes"/>
        <w:rPr>
          <w:rFonts w:ascii="Times New Roman" w:hAnsi="Times New Roman" w:cs="Times New Roman"/>
          <w:sz w:val="20"/>
        </w:rPr>
      </w:pPr>
      <w:r w:rsidRPr="007A0BEF">
        <w:rPr>
          <w:rStyle w:val="FootnoteReference"/>
          <w:rFonts w:ascii="Times New Roman" w:hAnsi="Times New Roman"/>
          <w:sz w:val="20"/>
        </w:rPr>
        <w:footnoteRef/>
      </w:r>
      <w:r w:rsidRPr="007A0BEF">
        <w:rPr>
          <w:rFonts w:ascii="Times New Roman" w:hAnsi="Times New Roman" w:cs="Times New Roman"/>
          <w:sz w:val="20"/>
        </w:rPr>
        <w:t xml:space="preserve"> Data tables: Cancer data in Australia – Book </w:t>
      </w:r>
      <w:proofErr w:type="gramStart"/>
      <w:r w:rsidRPr="007A0BEF">
        <w:rPr>
          <w:rFonts w:ascii="Times New Roman" w:hAnsi="Times New Roman" w:cs="Times New Roman"/>
          <w:sz w:val="20"/>
        </w:rPr>
        <w:t>2</w:t>
      </w:r>
      <w:proofErr w:type="gramEnd"/>
      <w:r w:rsidRPr="007A0BEF">
        <w:rPr>
          <w:rFonts w:ascii="Times New Roman" w:hAnsi="Times New Roman" w:cs="Times New Roman"/>
          <w:sz w:val="20"/>
        </w:rPr>
        <w:t xml:space="preserve"> Mortality supplementary tables, AIHW, June 2020 [available: </w:t>
      </w:r>
      <w:hyperlink r:id="rId4" w:tooltip="AIHW webpage for cancer data in Australia" w:history="1">
        <w:r w:rsidRPr="007A0BEF">
          <w:rPr>
            <w:rStyle w:val="Hyperlink"/>
            <w:rFonts w:ascii="Times New Roman" w:hAnsi="Times New Roman"/>
            <w:sz w:val="20"/>
          </w:rPr>
          <w:t>https://www.aihw.gov.au/reports/cancer/cancer-data-in-australia/data</w:t>
        </w:r>
      </w:hyperlink>
      <w:r w:rsidRPr="007A0BEF">
        <w:rPr>
          <w:rFonts w:ascii="Times New Roman" w:hAnsi="Times New Roman" w:cs="Times New Roman"/>
          <w:sz w:val="20"/>
        </w:rPr>
        <w:t>; accessed 17 July 2020].</w:t>
      </w:r>
    </w:p>
  </w:footnote>
  <w:footnote w:id="6">
    <w:p w14:paraId="184703A6" w14:textId="58692661" w:rsidR="00C736E0" w:rsidRPr="007A0BEF" w:rsidRDefault="00C736E0" w:rsidP="007A0BEF">
      <w:pPr>
        <w:pStyle w:val="Tablenotes"/>
        <w:spacing w:after="0"/>
        <w:rPr>
          <w:rFonts w:ascii="Times New Roman" w:hAnsi="Times New Roman" w:cs="Times New Roman"/>
          <w:sz w:val="20"/>
        </w:rPr>
      </w:pPr>
      <w:r w:rsidRPr="007A0BEF">
        <w:rPr>
          <w:rStyle w:val="FootnoteReference"/>
          <w:rFonts w:ascii="Times New Roman" w:hAnsi="Times New Roman"/>
          <w:sz w:val="20"/>
        </w:rPr>
        <w:footnoteRef/>
      </w:r>
      <w:r w:rsidRPr="007A0BEF">
        <w:rPr>
          <w:rFonts w:ascii="Times New Roman" w:hAnsi="Times New Roman" w:cs="Times New Roman"/>
          <w:sz w:val="20"/>
        </w:rPr>
        <w:t xml:space="preserve"> Kidney cancer, Cancer Council Victoria [available: </w:t>
      </w:r>
      <w:hyperlink r:id="rId5" w:tooltip="Cancer council webpage for kidney cancer" w:history="1">
        <w:r w:rsidRPr="007A0BEF">
          <w:rPr>
            <w:rStyle w:val="Hyperlink"/>
            <w:rFonts w:ascii="Times New Roman" w:hAnsi="Times New Roman"/>
            <w:sz w:val="20"/>
          </w:rPr>
          <w:t>https://www.cancervic.org.au/cancer-information/types-of-cancer/kidney_cancer/kidney-cancer-overview.html</w:t>
        </w:r>
      </w:hyperlink>
      <w:proofErr w:type="gramStart"/>
      <w:r w:rsidRPr="007A0BEF">
        <w:rPr>
          <w:rFonts w:ascii="Times New Roman" w:hAnsi="Times New Roman" w:cs="Times New Roman"/>
          <w:sz w:val="20"/>
        </w:rPr>
        <w:t>;</w:t>
      </w:r>
      <w:proofErr w:type="gramEnd"/>
      <w:r w:rsidRPr="007A0BEF">
        <w:rPr>
          <w:rFonts w:ascii="Times New Roman" w:hAnsi="Times New Roman" w:cs="Times New Roman"/>
          <w:sz w:val="20"/>
        </w:rPr>
        <w:t xml:space="preserve"> accessed 17 July 2020]. </w:t>
      </w:r>
    </w:p>
  </w:footnote>
  <w:footnote w:id="7">
    <w:p w14:paraId="7763A322" w14:textId="77777777" w:rsidR="00C736E0" w:rsidRPr="002C6E55" w:rsidRDefault="00C736E0" w:rsidP="002C6E55">
      <w:pPr>
        <w:pStyle w:val="FootnoteText"/>
        <w:contextualSpacing/>
      </w:pPr>
      <w:r w:rsidRPr="007A0BEF">
        <w:rPr>
          <w:rStyle w:val="FootnoteReference"/>
        </w:rPr>
        <w:footnoteRef/>
      </w:r>
      <w:r w:rsidRPr="007A0BEF">
        <w:t xml:space="preserve"> </w:t>
      </w:r>
      <w:proofErr w:type="gramStart"/>
      <w:r w:rsidRPr="007A0BEF">
        <w:t xml:space="preserve">Summarised in Appendix 2 of </w:t>
      </w:r>
      <w:hyperlink r:id="rId6" w:history="1">
        <w:r w:rsidRPr="007A0BEF">
          <w:rPr>
            <w:rStyle w:val="Hyperlink"/>
          </w:rPr>
          <w:t>MSAC 1597 ratified PICO confirmation</w:t>
        </w:r>
      </w:hyperlink>
      <w:r w:rsidRPr="002C6E55">
        <w:t>; American Society of Clinical Oncology (ASCO) Clinical Practice Guideline for SRMs (</w:t>
      </w:r>
      <w:proofErr w:type="spellStart"/>
      <w:r w:rsidRPr="002C6E55">
        <w:t>Finelli</w:t>
      </w:r>
      <w:proofErr w:type="spellEnd"/>
      <w:r w:rsidRPr="002C6E55">
        <w:t xml:space="preserve"> 2017),  American Urological Association (AUA) Guideline for renal mass and localized renal cancer (Campbell 2017), Canadian Urological Association (CUA) Guideline for SRM (Jewett 2015), Europe Association of Urology (EAU) Guidelines on RCC 2019 update (</w:t>
      </w:r>
      <w:proofErr w:type="spellStart"/>
      <w:r w:rsidRPr="002C6E55">
        <w:t>Ljungberg</w:t>
      </w:r>
      <w:proofErr w:type="spellEnd"/>
      <w:r w:rsidRPr="002C6E55">
        <w:t xml:space="preserve"> 2019), European Society for Medical Oncology (ESMO) Clinical Practice Guidelines for RCC (</w:t>
      </w:r>
      <w:proofErr w:type="spellStart"/>
      <w:r w:rsidRPr="002C6E55">
        <w:t>Escudier</w:t>
      </w:r>
      <w:proofErr w:type="spellEnd"/>
      <w:r w:rsidRPr="002C6E55">
        <w:t xml:space="preserve"> 2019), NCCN Clinical Practice Guidelines in Oncology for Kidney Cancer (</w:t>
      </w:r>
      <w:proofErr w:type="spellStart"/>
      <w:r w:rsidRPr="002C6E55">
        <w:t>Jonasch</w:t>
      </w:r>
      <w:proofErr w:type="spellEnd"/>
      <w:r w:rsidRPr="002C6E55">
        <w:t xml:space="preserve"> 2019).</w:t>
      </w:r>
      <w:proofErr w:type="gramEnd"/>
    </w:p>
  </w:footnote>
  <w:footnote w:id="8">
    <w:p w14:paraId="44765985" w14:textId="77777777" w:rsidR="00C736E0" w:rsidRPr="00E94C40" w:rsidRDefault="00C736E0" w:rsidP="002C6E55">
      <w:pPr>
        <w:pStyle w:val="FootnoteText"/>
      </w:pPr>
      <w:r w:rsidRPr="00E94C40">
        <w:rPr>
          <w:rStyle w:val="FootnoteReference"/>
        </w:rPr>
        <w:footnoteRef/>
      </w:r>
      <w:r w:rsidRPr="00E94C40">
        <w:t xml:space="preserve"> Delayed Intervention and Surveillance for Small Renal Masses</w:t>
      </w:r>
      <w:r>
        <w:t xml:space="preserve"> (DISSRM)</w:t>
      </w:r>
    </w:p>
  </w:footnote>
  <w:footnote w:id="9">
    <w:p w14:paraId="0B551B10" w14:textId="77777777" w:rsidR="00C736E0" w:rsidRPr="00E94C40" w:rsidRDefault="00C736E0" w:rsidP="002C6E55">
      <w:pPr>
        <w:pStyle w:val="FootnoteText"/>
      </w:pPr>
      <w:r w:rsidRPr="00E94C40">
        <w:rPr>
          <w:rStyle w:val="FootnoteReference"/>
        </w:rPr>
        <w:footnoteRef/>
      </w:r>
      <w:r w:rsidRPr="00E94C40">
        <w:t xml:space="preserve"> </w:t>
      </w:r>
      <w:proofErr w:type="spellStart"/>
      <w:r w:rsidRPr="00E94C40">
        <w:t>Alam</w:t>
      </w:r>
      <w:proofErr w:type="spellEnd"/>
      <w:r w:rsidRPr="00E94C40">
        <w:t>, R. et al. (2019). BJU International 123(1): 42-50.</w:t>
      </w:r>
    </w:p>
  </w:footnote>
  <w:footnote w:id="10">
    <w:p w14:paraId="5AFBDCD3" w14:textId="77777777" w:rsidR="00C736E0" w:rsidRPr="00E94C40" w:rsidRDefault="00C736E0" w:rsidP="002C6E55">
      <w:pPr>
        <w:pStyle w:val="FootnoteText"/>
      </w:pPr>
      <w:r w:rsidRPr="00E94C40">
        <w:rPr>
          <w:rStyle w:val="FootnoteReference"/>
        </w:rPr>
        <w:footnoteRef/>
      </w:r>
      <w:r w:rsidRPr="00E94C40">
        <w:t xml:space="preserve"> Danzig, M. R. et al. (2015). Journal of Urology 194(4): 903-909.</w:t>
      </w:r>
    </w:p>
  </w:footnote>
  <w:footnote w:id="11">
    <w:p w14:paraId="0B536458" w14:textId="77777777" w:rsidR="00C736E0" w:rsidRPr="00E94C40" w:rsidRDefault="00C736E0" w:rsidP="002C6E55">
      <w:pPr>
        <w:pStyle w:val="FootnoteText"/>
      </w:pPr>
      <w:r w:rsidRPr="00E94C40">
        <w:rPr>
          <w:rStyle w:val="FootnoteReference"/>
        </w:rPr>
        <w:footnoteRef/>
      </w:r>
      <w:r w:rsidRPr="00E94C40">
        <w:t xml:space="preserve"> Surv</w:t>
      </w:r>
      <w:r>
        <w:t>eillance, Epidemiology and End R</w:t>
      </w:r>
      <w:r w:rsidRPr="00E94C40">
        <w:t>esults</w:t>
      </w:r>
      <w:r>
        <w:t xml:space="preserve"> (SEER)</w:t>
      </w:r>
    </w:p>
  </w:footnote>
  <w:footnote w:id="12">
    <w:p w14:paraId="193D47B5" w14:textId="77777777" w:rsidR="00C736E0" w:rsidRPr="00E94C40" w:rsidRDefault="00C736E0" w:rsidP="002C6E55">
      <w:pPr>
        <w:pStyle w:val="FootnoteText"/>
      </w:pPr>
      <w:r w:rsidRPr="00E94C40">
        <w:rPr>
          <w:rStyle w:val="FootnoteReference"/>
        </w:rPr>
        <w:footnoteRef/>
      </w:r>
      <w:r w:rsidRPr="00E94C40">
        <w:t xml:space="preserve"> </w:t>
      </w:r>
      <w:proofErr w:type="spellStart"/>
      <w:r w:rsidRPr="00E94C40">
        <w:t>Uhlig</w:t>
      </w:r>
      <w:proofErr w:type="spellEnd"/>
      <w:r w:rsidRPr="00E94C40">
        <w:t xml:space="preserve">, A. et al. (2018). </w:t>
      </w:r>
      <w:proofErr w:type="spellStart"/>
      <w:r w:rsidRPr="00E94C40">
        <w:t>CardioVascular</w:t>
      </w:r>
      <w:proofErr w:type="spellEnd"/>
      <w:r w:rsidRPr="00E94C40">
        <w:t xml:space="preserve"> and Interventional Radiology 41(2): 277-283.</w:t>
      </w:r>
    </w:p>
  </w:footnote>
  <w:footnote w:id="13">
    <w:p w14:paraId="5EF4A605" w14:textId="77777777" w:rsidR="00C736E0" w:rsidRPr="00E94C40" w:rsidRDefault="00C736E0" w:rsidP="002C6E55">
      <w:pPr>
        <w:pStyle w:val="FootnoteText"/>
      </w:pPr>
      <w:r w:rsidRPr="00E94C40">
        <w:rPr>
          <w:rStyle w:val="FootnoteReference"/>
        </w:rPr>
        <w:footnoteRef/>
      </w:r>
      <w:r w:rsidRPr="00E94C40">
        <w:t xml:space="preserve"> Abdel-Rahman, O. (2017). Expert Review of Anticancer Therapy 17(8): 769-773.</w:t>
      </w:r>
    </w:p>
  </w:footnote>
  <w:footnote w:id="14">
    <w:p w14:paraId="6A9201A7" w14:textId="77777777" w:rsidR="00C736E0" w:rsidRPr="00E94C40" w:rsidRDefault="00C736E0" w:rsidP="002C6E55">
      <w:pPr>
        <w:pStyle w:val="FootnoteText"/>
      </w:pPr>
      <w:r w:rsidRPr="00E94C40">
        <w:rPr>
          <w:rStyle w:val="FootnoteReference"/>
        </w:rPr>
        <w:footnoteRef/>
      </w:r>
      <w:r w:rsidRPr="00E94C40">
        <w:t xml:space="preserve"> Xing, M. et al. (2018). Radiology 288(1): 81-90.</w:t>
      </w:r>
    </w:p>
  </w:footnote>
  <w:footnote w:id="15">
    <w:p w14:paraId="7E565CD3" w14:textId="77777777" w:rsidR="00C736E0" w:rsidRDefault="00C736E0" w:rsidP="002C6E55">
      <w:pPr>
        <w:pStyle w:val="FootnoteText"/>
      </w:pPr>
      <w:r w:rsidRPr="00E94C40">
        <w:rPr>
          <w:rStyle w:val="FootnoteReference"/>
        </w:rPr>
        <w:footnoteRef/>
      </w:r>
      <w:r w:rsidRPr="00E94C40">
        <w:t xml:space="preserve"> </w:t>
      </w:r>
      <w:proofErr w:type="spellStart"/>
      <w:r w:rsidRPr="00E94C40">
        <w:t>Larcher</w:t>
      </w:r>
      <w:proofErr w:type="spellEnd"/>
      <w:r w:rsidRPr="00E94C40">
        <w:t xml:space="preserve">, A. et al. (2016). BJU </w:t>
      </w:r>
      <w:proofErr w:type="spellStart"/>
      <w:r w:rsidRPr="00E94C40">
        <w:t>Int</w:t>
      </w:r>
      <w:proofErr w:type="spellEnd"/>
      <w:r w:rsidRPr="00E94C40">
        <w:t xml:space="preserve"> 118(4): 541-546.</w:t>
      </w:r>
    </w:p>
  </w:footnote>
  <w:footnote w:id="16">
    <w:p w14:paraId="5233FFD7" w14:textId="77777777" w:rsidR="00C736E0" w:rsidRDefault="00C736E0" w:rsidP="002C6E55">
      <w:pPr>
        <w:pStyle w:val="FootnoteText"/>
      </w:pPr>
      <w:r>
        <w:rPr>
          <w:rStyle w:val="FootnoteReference"/>
        </w:rPr>
        <w:footnoteRef/>
      </w:r>
      <w:r>
        <w:t xml:space="preserve"> </w:t>
      </w:r>
      <w:proofErr w:type="spellStart"/>
      <w:r w:rsidRPr="00137393">
        <w:t>Talenfeld</w:t>
      </w:r>
      <w:proofErr w:type="spellEnd"/>
      <w:r w:rsidRPr="00137393">
        <w:t>, A. D</w:t>
      </w:r>
      <w:r>
        <w:t xml:space="preserve">. et </w:t>
      </w:r>
      <w:proofErr w:type="gramStart"/>
      <w:r>
        <w:t>al .</w:t>
      </w:r>
      <w:proofErr w:type="gramEnd"/>
      <w:r>
        <w:t xml:space="preserve"> (</w:t>
      </w:r>
      <w:r w:rsidRPr="00137393">
        <w:t>2018). Annals of Internal Medicine 169(2): 69-78.</w:t>
      </w:r>
    </w:p>
  </w:footnote>
  <w:footnote w:id="17">
    <w:p w14:paraId="2FEAB83E" w14:textId="77777777" w:rsidR="00C736E0" w:rsidRDefault="00C736E0" w:rsidP="002C6E55">
      <w:pPr>
        <w:pStyle w:val="FootnoteText"/>
      </w:pPr>
      <w:r>
        <w:rPr>
          <w:rStyle w:val="FootnoteReference"/>
        </w:rPr>
        <w:footnoteRef/>
      </w:r>
      <w:r>
        <w:t xml:space="preserve"> </w:t>
      </w:r>
      <w:proofErr w:type="spellStart"/>
      <w:r>
        <w:t>Kowalczyk</w:t>
      </w:r>
      <w:proofErr w:type="spellEnd"/>
      <w:r>
        <w:t xml:space="preserve">, K. J. et al. </w:t>
      </w:r>
      <w:r w:rsidRPr="00137393">
        <w:t>(2013). BJU International 112(4): E273-E280.</w:t>
      </w:r>
    </w:p>
  </w:footnote>
  <w:footnote w:id="18">
    <w:p w14:paraId="5AAAF3E5" w14:textId="77777777" w:rsidR="00C736E0" w:rsidRDefault="00C736E0" w:rsidP="002C6E55">
      <w:pPr>
        <w:pStyle w:val="FootnoteText"/>
      </w:pPr>
      <w:r>
        <w:rPr>
          <w:rStyle w:val="FootnoteReference"/>
        </w:rPr>
        <w:footnoteRef/>
      </w:r>
      <w:r>
        <w:t xml:space="preserve"> Moskowitz, D. et al.</w:t>
      </w:r>
      <w:r w:rsidRPr="00137393">
        <w:t xml:space="preserve"> (2016). Journal of Urology 196(4): 1000-1007.</w:t>
      </w:r>
    </w:p>
  </w:footnote>
  <w:footnote w:id="19">
    <w:p w14:paraId="6B5B7C12" w14:textId="77777777" w:rsidR="00C736E0" w:rsidRDefault="00C736E0" w:rsidP="002C6E55">
      <w:pPr>
        <w:pStyle w:val="FootnoteText"/>
      </w:pPr>
      <w:r>
        <w:rPr>
          <w:rStyle w:val="FootnoteReference"/>
        </w:rPr>
        <w:footnoteRef/>
      </w:r>
      <w:r>
        <w:t xml:space="preserve"> </w:t>
      </w:r>
      <w:proofErr w:type="spellStart"/>
      <w:r>
        <w:t>Choueiri</w:t>
      </w:r>
      <w:proofErr w:type="spellEnd"/>
      <w:r>
        <w:t>, T. K. et al.</w:t>
      </w:r>
      <w:r w:rsidRPr="00137393">
        <w:t xml:space="preserve"> (2011). Urology 78(1): 93-98.</w:t>
      </w:r>
    </w:p>
  </w:footnote>
  <w:footnote w:id="20">
    <w:p w14:paraId="2FB39D40" w14:textId="77777777" w:rsidR="00C736E0" w:rsidRPr="00D37B74" w:rsidRDefault="00C736E0" w:rsidP="002C6E55">
      <w:pPr>
        <w:pStyle w:val="FootnoteText"/>
        <w:rPr>
          <w:sz w:val="18"/>
          <w:szCs w:val="18"/>
        </w:rPr>
      </w:pPr>
      <w:r w:rsidRPr="00D37B74">
        <w:rPr>
          <w:rStyle w:val="FootnoteReference"/>
          <w:sz w:val="18"/>
          <w:szCs w:val="18"/>
        </w:rPr>
        <w:footnoteRef/>
      </w:r>
      <w:r w:rsidRPr="00D37B74">
        <w:rPr>
          <w:sz w:val="18"/>
          <w:szCs w:val="18"/>
        </w:rPr>
        <w:t xml:space="preserve"> National Cancer Database (NCDB)</w:t>
      </w:r>
    </w:p>
  </w:footnote>
  <w:footnote w:id="21">
    <w:p w14:paraId="18A46A82" w14:textId="77777777" w:rsidR="00C736E0" w:rsidRDefault="00C736E0" w:rsidP="002C6E55">
      <w:pPr>
        <w:pStyle w:val="FootnoteText"/>
      </w:pPr>
      <w:r w:rsidRPr="00D37B74">
        <w:rPr>
          <w:rStyle w:val="FootnoteReference"/>
          <w:sz w:val="18"/>
          <w:szCs w:val="18"/>
        </w:rPr>
        <w:footnoteRef/>
      </w:r>
      <w:r w:rsidRPr="00D37B74">
        <w:rPr>
          <w:sz w:val="18"/>
          <w:szCs w:val="18"/>
        </w:rPr>
        <w:t xml:space="preserve"> De </w:t>
      </w:r>
      <w:proofErr w:type="spellStart"/>
      <w:r w:rsidRPr="00D37B74">
        <w:rPr>
          <w:sz w:val="18"/>
          <w:szCs w:val="18"/>
        </w:rPr>
        <w:t>Cobelli</w:t>
      </w:r>
      <w:proofErr w:type="spellEnd"/>
      <w:r w:rsidRPr="00D37B74">
        <w:rPr>
          <w:sz w:val="18"/>
          <w:szCs w:val="18"/>
        </w:rPr>
        <w:t xml:space="preserve">, F. et al. (2020). </w:t>
      </w:r>
      <w:proofErr w:type="spellStart"/>
      <w:r w:rsidRPr="00D37B74">
        <w:rPr>
          <w:sz w:val="18"/>
          <w:szCs w:val="18"/>
        </w:rPr>
        <w:t>CardioVascular</w:t>
      </w:r>
      <w:proofErr w:type="spellEnd"/>
      <w:r w:rsidRPr="00E55392">
        <w:t xml:space="preserve"> and Interventional Radiology 43(1): 76-83.</w:t>
      </w:r>
    </w:p>
  </w:footnote>
  <w:footnote w:id="22">
    <w:p w14:paraId="7696B0ED" w14:textId="77777777" w:rsidR="00C736E0" w:rsidRDefault="00C736E0" w:rsidP="002C6E55">
      <w:pPr>
        <w:pStyle w:val="FootnoteText"/>
      </w:pPr>
      <w:r>
        <w:rPr>
          <w:rStyle w:val="FootnoteReference"/>
        </w:rPr>
        <w:footnoteRef/>
      </w:r>
      <w:r>
        <w:t xml:space="preserve"> </w:t>
      </w:r>
      <w:r w:rsidRPr="00E55392">
        <w:t>Zhou,</w:t>
      </w:r>
      <w:r>
        <w:t xml:space="preserve"> W. and R. S. Arellano (2018).</w:t>
      </w:r>
      <w:r w:rsidRPr="00E55392">
        <w:t xml:space="preserve"> Journal of Vascular and Interventional Radiology 29(7): 943-951.</w:t>
      </w:r>
    </w:p>
  </w:footnote>
  <w:footnote w:id="23">
    <w:p w14:paraId="0E0E5AAE" w14:textId="77777777" w:rsidR="00C736E0" w:rsidRDefault="00C736E0" w:rsidP="002C6E55">
      <w:pPr>
        <w:pStyle w:val="FootnoteText"/>
      </w:pPr>
      <w:r>
        <w:rPr>
          <w:rStyle w:val="FootnoteReference"/>
        </w:rPr>
        <w:footnoteRef/>
      </w:r>
      <w:r>
        <w:t xml:space="preserve"> </w:t>
      </w:r>
      <w:r w:rsidRPr="00E55392">
        <w:t>Camacho, J. C</w:t>
      </w:r>
      <w:r>
        <w:t>. et al. (2015).</w:t>
      </w:r>
      <w:r w:rsidRPr="00E55392">
        <w:t xml:space="preserve"> Journal of Vascular and Interventional Radiology 26(5): 686-693.</w:t>
      </w:r>
    </w:p>
  </w:footnote>
  <w:footnote w:id="24">
    <w:p w14:paraId="6CAE0A07" w14:textId="57FD090F" w:rsidR="00C736E0" w:rsidRPr="00C856E8" w:rsidRDefault="00C736E0" w:rsidP="00C856E8">
      <w:pPr>
        <w:pStyle w:val="TFAbbrevs18"/>
        <w:rPr>
          <w:rFonts w:ascii="Times New Roman" w:hAnsi="Times New Roman"/>
          <w:color w:val="0000FF"/>
          <w:sz w:val="20"/>
          <w:szCs w:val="20"/>
          <w:u w:val="single"/>
        </w:rPr>
      </w:pPr>
      <w:r w:rsidRPr="00C856E8">
        <w:rPr>
          <w:rStyle w:val="FootnoteReference"/>
          <w:rFonts w:ascii="Times New Roman" w:hAnsi="Times New Roman"/>
          <w:sz w:val="20"/>
          <w:szCs w:val="20"/>
        </w:rPr>
        <w:footnoteRef/>
      </w:r>
      <w:r w:rsidRPr="00C856E8">
        <w:rPr>
          <w:rFonts w:ascii="Times New Roman" w:hAnsi="Times New Roman"/>
          <w:sz w:val="20"/>
          <w:szCs w:val="20"/>
        </w:rPr>
        <w:t xml:space="preserve"> </w:t>
      </w:r>
      <w:r w:rsidRPr="00C856E8">
        <w:rPr>
          <w:rFonts w:ascii="Times New Roman" w:hAnsi="Times New Roman"/>
          <w:sz w:val="20"/>
          <w:szCs w:val="20"/>
          <w:lang w:val="en-US"/>
        </w:rPr>
        <w:t xml:space="preserve">AIHW, Australian refined diagnosis-related groups (AR-DRG) data cubes user guide, </w:t>
      </w:r>
      <w:hyperlink r:id="rId7" w:tooltip="AIHW webpage for AR-DRG data cubes" w:history="1">
        <w:r w:rsidRPr="00C856E8">
          <w:rPr>
            <w:rStyle w:val="Hyperlink"/>
            <w:rFonts w:ascii="Times New Roman" w:hAnsi="Times New Roman"/>
            <w:sz w:val="20"/>
            <w:szCs w:val="20"/>
          </w:rPr>
          <w:t>https://www.aihw.gov.au/reports/hospitals/ar-drg-data-cubes/contents/user-guide</w:t>
        </w:r>
      </w:hyperlink>
      <w:r w:rsidRPr="00C856E8">
        <w:rPr>
          <w:rFonts w:ascii="Times New Roman" w:hAnsi="Times New Roman"/>
          <w:sz w:val="20"/>
          <w:szCs w:val="20"/>
        </w:rPr>
        <w:t xml:space="preserve"> 23-May-2019, accessed 23-Jul-2020</w:t>
      </w:r>
    </w:p>
  </w:footnote>
  <w:footnote w:id="25">
    <w:p w14:paraId="0244B49A" w14:textId="77777777" w:rsidR="00C736E0" w:rsidRPr="005B69E1" w:rsidRDefault="00C736E0" w:rsidP="004F4A0A">
      <w:pPr>
        <w:pStyle w:val="FootnoteText"/>
        <w:rPr>
          <w:lang w:val="en-US"/>
        </w:rPr>
      </w:pPr>
      <w:r>
        <w:rPr>
          <w:rStyle w:val="FootnoteReference"/>
        </w:rPr>
        <w:footnoteRef/>
      </w:r>
      <w:r>
        <w:t xml:space="preserve"> </w:t>
      </w:r>
      <w:hyperlink r:id="rId8" w:anchor="site" w:history="1">
        <w:r w:rsidRPr="002860B5">
          <w:rPr>
            <w:rStyle w:val="Hyperlink"/>
          </w:rPr>
          <w:t>National Comprehensive Cancer Network (NCCN) 2019 Clinical Practice Guidelines in Oncology</w:t>
        </w:r>
      </w:hyperlink>
      <w:r>
        <w:t xml:space="preserve"> </w:t>
      </w:r>
      <w:r w:rsidRPr="00545D24">
        <w:t xml:space="preserve">and </w:t>
      </w:r>
      <w:r w:rsidRPr="002860B5">
        <w:t xml:space="preserve">American Society of Clinical Oncology </w:t>
      </w:r>
      <w:r>
        <w:t xml:space="preserve">(ASCO) </w:t>
      </w:r>
      <w:r w:rsidRPr="002860B5">
        <w:t>Clinical Practice Guideline</w:t>
      </w:r>
      <w:r>
        <w:t xml:space="preserve"> </w:t>
      </w:r>
      <w:r w:rsidRPr="00545D24">
        <w:t>2017</w:t>
      </w:r>
      <w:r>
        <w:t xml:space="preserve"> [</w:t>
      </w:r>
      <w:proofErr w:type="spellStart"/>
      <w:r>
        <w:t>Finelli</w:t>
      </w:r>
      <w:proofErr w:type="spellEnd"/>
      <w:r>
        <w:t xml:space="preserve">, A. et al. (2017) Journal of Clinical Oncology. </w:t>
      </w:r>
      <w:r w:rsidRPr="004174E8">
        <w:t>35</w:t>
      </w:r>
      <w:r>
        <w:t>(</w:t>
      </w:r>
      <w:r w:rsidRPr="004174E8">
        <w:t>6</w:t>
      </w:r>
      <w:r>
        <w:t>):</w:t>
      </w:r>
      <w:r w:rsidRPr="004174E8">
        <w:t xml:space="preserve"> 668-680</w:t>
      </w:r>
      <w:r>
        <w:t>]</w:t>
      </w:r>
      <w:r w:rsidRPr="004174E8">
        <w:t>.</w:t>
      </w:r>
    </w:p>
  </w:footnote>
  <w:footnote w:id="26">
    <w:p w14:paraId="20D1298D" w14:textId="77777777" w:rsidR="00C736E0" w:rsidRPr="002860B5" w:rsidRDefault="00C736E0" w:rsidP="004F4A0A">
      <w:pPr>
        <w:pStyle w:val="FootnoteText"/>
      </w:pPr>
      <w:r>
        <w:rPr>
          <w:rStyle w:val="FootnoteReference"/>
        </w:rPr>
        <w:footnoteRef/>
      </w:r>
      <w:r>
        <w:t xml:space="preserve"> Australian refined diagnosis-related groups (AR-DRG)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CD2E0" w14:textId="77777777" w:rsidR="00C736E0" w:rsidRDefault="00C73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8BE38" w14:textId="77777777" w:rsidR="00C736E0" w:rsidRDefault="00C736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02CF" w14:textId="77777777" w:rsidR="00C736E0" w:rsidRDefault="00C73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7C7"/>
    <w:multiLevelType w:val="hybridMultilevel"/>
    <w:tmpl w:val="D23E5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0D70C5"/>
    <w:multiLevelType w:val="hybridMultilevel"/>
    <w:tmpl w:val="415CC414"/>
    <w:lvl w:ilvl="0" w:tplc="FBCE9E52">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207C8"/>
    <w:multiLevelType w:val="hybridMultilevel"/>
    <w:tmpl w:val="56546DEC"/>
    <w:lvl w:ilvl="0" w:tplc="0C090001">
      <w:start w:val="1"/>
      <w:numFmt w:val="bullet"/>
      <w:lvlText w:val=""/>
      <w:lvlJc w:val="left"/>
      <w:pPr>
        <w:ind w:left="720" w:hanging="360"/>
      </w:pPr>
      <w:rPr>
        <w:rFonts w:ascii="Symbol" w:hAnsi="Symbol" w:hint="default"/>
      </w:rPr>
    </w:lvl>
    <w:lvl w:ilvl="1" w:tplc="90F0D13E">
      <w:start w:val="1"/>
      <w:numFmt w:val="bullet"/>
      <w:lvlText w:val=""/>
      <w:lvlJc w:val="left"/>
      <w:pPr>
        <w:ind w:left="1650" w:hanging="57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F5A12"/>
    <w:multiLevelType w:val="hybridMultilevel"/>
    <w:tmpl w:val="66D20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7136AAE"/>
    <w:multiLevelType w:val="hybridMultilevel"/>
    <w:tmpl w:val="A7B43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D84F7F"/>
    <w:multiLevelType w:val="hybridMultilevel"/>
    <w:tmpl w:val="EB2A6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152916"/>
    <w:multiLevelType w:val="hybridMultilevel"/>
    <w:tmpl w:val="DA487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27DE0"/>
    <w:multiLevelType w:val="hybridMultilevel"/>
    <w:tmpl w:val="F946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CCF43D2"/>
    <w:multiLevelType w:val="hybridMultilevel"/>
    <w:tmpl w:val="FFD64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3D24C8"/>
    <w:multiLevelType w:val="hybridMultilevel"/>
    <w:tmpl w:val="B4885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2A17AF"/>
    <w:multiLevelType w:val="hybridMultilevel"/>
    <w:tmpl w:val="CBE0DD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3933D7E"/>
    <w:multiLevelType w:val="hybridMultilevel"/>
    <w:tmpl w:val="1E52A7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8B3219"/>
    <w:multiLevelType w:val="hybridMultilevel"/>
    <w:tmpl w:val="5A12C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7A78FF"/>
    <w:multiLevelType w:val="hybridMultilevel"/>
    <w:tmpl w:val="616007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871D1D"/>
    <w:multiLevelType w:val="hybridMultilevel"/>
    <w:tmpl w:val="2A741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28" w15:restartNumberingAfterBreak="0">
    <w:nsid w:val="45173C3D"/>
    <w:multiLevelType w:val="hybridMultilevel"/>
    <w:tmpl w:val="6C20A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F473A9"/>
    <w:multiLevelType w:val="hybridMultilevel"/>
    <w:tmpl w:val="C8FE2AF8"/>
    <w:lvl w:ilvl="0" w:tplc="57F61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7B1822"/>
    <w:multiLevelType w:val="hybridMultilevel"/>
    <w:tmpl w:val="F4748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7427520"/>
    <w:multiLevelType w:val="hybridMultilevel"/>
    <w:tmpl w:val="64769A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5E4FD5"/>
    <w:multiLevelType w:val="hybridMultilevel"/>
    <w:tmpl w:val="6D6AE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AEE4290"/>
    <w:multiLevelType w:val="hybridMultilevel"/>
    <w:tmpl w:val="C03404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4BCA3E85"/>
    <w:multiLevelType w:val="multilevel"/>
    <w:tmpl w:val="45D446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BDA40D4"/>
    <w:multiLevelType w:val="hybridMultilevel"/>
    <w:tmpl w:val="693C86B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4C330767"/>
    <w:multiLevelType w:val="hybridMultilevel"/>
    <w:tmpl w:val="42121E2C"/>
    <w:lvl w:ilvl="0" w:tplc="4036E91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4F9373D6"/>
    <w:multiLevelType w:val="hybridMultilevel"/>
    <w:tmpl w:val="E96A079A"/>
    <w:lvl w:ilvl="0" w:tplc="58CAC8F4">
      <w:start w:val="2"/>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40"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AC03D57"/>
    <w:multiLevelType w:val="hybridMultilevel"/>
    <w:tmpl w:val="FB1627E2"/>
    <w:lvl w:ilvl="0" w:tplc="5D641C0E">
      <w:start w:val="1"/>
      <w:numFmt w:val="lowerLetter"/>
      <w:lvlText w:val="(%1)"/>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CD52512"/>
    <w:multiLevelType w:val="hybridMultilevel"/>
    <w:tmpl w:val="D91A6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D387448"/>
    <w:multiLevelType w:val="multilevel"/>
    <w:tmpl w:val="B22A93B6"/>
    <w:numStyleLink w:val="Heading1a"/>
  </w:abstractNum>
  <w:abstractNum w:abstractNumId="47"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61A540FE"/>
    <w:multiLevelType w:val="hybridMultilevel"/>
    <w:tmpl w:val="06CC2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4"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6FBA0B51"/>
    <w:multiLevelType w:val="hybridMultilevel"/>
    <w:tmpl w:val="AE58EF74"/>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6E75F22"/>
    <w:multiLevelType w:val="hybridMultilevel"/>
    <w:tmpl w:val="ED1CEF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88302C2"/>
    <w:multiLevelType w:val="hybridMultilevel"/>
    <w:tmpl w:val="1C0EA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78AF25D9"/>
    <w:multiLevelType w:val="hybridMultilevel"/>
    <w:tmpl w:val="41D61CEA"/>
    <w:lvl w:ilvl="0" w:tplc="0C090001">
      <w:start w:val="1"/>
      <w:numFmt w:val="bullet"/>
      <w:lvlText w:val=""/>
      <w:lvlJc w:val="left"/>
      <w:pPr>
        <w:ind w:left="720" w:hanging="360"/>
      </w:pPr>
      <w:rPr>
        <w:rFonts w:ascii="Symbol" w:hAnsi="Symbol" w:hint="default"/>
      </w:rPr>
    </w:lvl>
    <w:lvl w:ilvl="1" w:tplc="B86EF8BA">
      <w:numFmt w:val="bullet"/>
      <w:lvlText w:val="•"/>
      <w:lvlJc w:val="left"/>
      <w:pPr>
        <w:ind w:left="1650" w:hanging="570"/>
      </w:pPr>
      <w:rPr>
        <w:rFonts w:ascii="Calibri" w:eastAsia="Times New Roman" w:hAnsi="Calibri"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D962F94"/>
    <w:multiLevelType w:val="hybridMultilevel"/>
    <w:tmpl w:val="74903CEE"/>
    <w:lvl w:ilvl="0" w:tplc="16D68352">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2" w15:restartNumberingAfterBreak="0">
    <w:nsid w:val="7DB01BAB"/>
    <w:multiLevelType w:val="hybridMultilevel"/>
    <w:tmpl w:val="4D529E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E136B49"/>
    <w:multiLevelType w:val="hybridMultilevel"/>
    <w:tmpl w:val="30826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FD02776"/>
    <w:multiLevelType w:val="hybridMultilevel"/>
    <w:tmpl w:val="4B8A3A36"/>
    <w:lvl w:ilvl="0" w:tplc="DBFA83DC">
      <w:start w:val="1"/>
      <w:numFmt w:val="bullet"/>
      <w:lvlText w:val=""/>
      <w:lvlJc w:val="left"/>
      <w:pPr>
        <w:tabs>
          <w:tab w:val="num" w:pos="360"/>
        </w:tabs>
        <w:ind w:left="360" w:hanging="360"/>
      </w:pPr>
      <w:rPr>
        <w:rFonts w:ascii="Symbol" w:hAnsi="Symbol" w:hint="default"/>
        <w:color w:val="auto"/>
        <w:sz w:val="22"/>
        <w:szCs w:val="22"/>
      </w:rPr>
    </w:lvl>
    <w:lvl w:ilvl="1" w:tplc="32EAB9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1"/>
  </w:num>
  <w:num w:numId="3">
    <w:abstractNumId w:val="5"/>
  </w:num>
  <w:num w:numId="4">
    <w:abstractNumId w:val="43"/>
  </w:num>
  <w:num w:numId="5">
    <w:abstractNumId w:val="25"/>
  </w:num>
  <w:num w:numId="6">
    <w:abstractNumId w:val="42"/>
  </w:num>
  <w:num w:numId="7">
    <w:abstractNumId w:val="50"/>
  </w:num>
  <w:num w:numId="8">
    <w:abstractNumId w:val="31"/>
  </w:num>
  <w:num w:numId="9">
    <w:abstractNumId w:val="64"/>
  </w:num>
  <w:num w:numId="10">
    <w:abstractNumId w:val="3"/>
  </w:num>
  <w:num w:numId="11">
    <w:abstractNumId w:val="48"/>
  </w:num>
  <w:num w:numId="12">
    <w:abstractNumId w:val="51"/>
  </w:num>
  <w:num w:numId="13">
    <w:abstractNumId w:val="10"/>
  </w:num>
  <w:num w:numId="14">
    <w:abstractNumId w:val="55"/>
  </w:num>
  <w:num w:numId="15">
    <w:abstractNumId w:val="47"/>
  </w:num>
  <w:num w:numId="16">
    <w:abstractNumId w:val="52"/>
  </w:num>
  <w:num w:numId="17">
    <w:abstractNumId w:val="33"/>
  </w:num>
  <w:num w:numId="18">
    <w:abstractNumId w:val="40"/>
  </w:num>
  <w:num w:numId="19">
    <w:abstractNumId w:val="54"/>
  </w:num>
  <w:num w:numId="20">
    <w:abstractNumId w:val="53"/>
  </w:num>
  <w:num w:numId="21">
    <w:abstractNumId w:val="7"/>
  </w:num>
  <w:num w:numId="22">
    <w:abstractNumId w:val="22"/>
  </w:num>
  <w:num w:numId="23">
    <w:abstractNumId w:val="6"/>
  </w:num>
  <w:num w:numId="24">
    <w:abstractNumId w:val="20"/>
  </w:num>
  <w:num w:numId="25">
    <w:abstractNumId w:val="12"/>
  </w:num>
  <w:num w:numId="26">
    <w:abstractNumId w:val="44"/>
  </w:num>
  <w:num w:numId="27">
    <w:abstractNumId w:val="63"/>
  </w:num>
  <w:num w:numId="28">
    <w:abstractNumId w:val="9"/>
  </w:num>
  <w:num w:numId="29">
    <w:abstractNumId w:val="24"/>
  </w:num>
  <w:num w:numId="30">
    <w:abstractNumId w:val="14"/>
  </w:num>
  <w:num w:numId="31">
    <w:abstractNumId w:val="18"/>
  </w:num>
  <w:num w:numId="32">
    <w:abstractNumId w:val="23"/>
  </w:num>
  <w:num w:numId="33">
    <w:abstractNumId w:val="17"/>
  </w:num>
  <w:num w:numId="34">
    <w:abstractNumId w:val="2"/>
  </w:num>
  <w:num w:numId="35">
    <w:abstractNumId w:val="30"/>
  </w:num>
  <w:num w:numId="36">
    <w:abstractNumId w:val="32"/>
  </w:num>
  <w:num w:numId="37">
    <w:abstractNumId w:val="28"/>
  </w:num>
  <w:num w:numId="38">
    <w:abstractNumId w:val="27"/>
  </w:num>
  <w:num w:numId="39">
    <w:abstractNumId w:val="19"/>
  </w:num>
  <w:num w:numId="40">
    <w:abstractNumId w:val="56"/>
  </w:num>
  <w:num w:numId="41">
    <w:abstractNumId w:val="61"/>
  </w:num>
  <w:num w:numId="42">
    <w:abstractNumId w:val="15"/>
  </w:num>
  <w:num w:numId="43">
    <w:abstractNumId w:val="46"/>
  </w:num>
  <w:num w:numId="44">
    <w:abstractNumId w:val="29"/>
  </w:num>
  <w:num w:numId="45">
    <w:abstractNumId w:val="65"/>
  </w:num>
  <w:num w:numId="46">
    <w:abstractNumId w:val="4"/>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59"/>
  </w:num>
  <w:num w:numId="50">
    <w:abstractNumId w:val="34"/>
  </w:num>
  <w:num w:numId="51">
    <w:abstractNumId w:val="21"/>
  </w:num>
  <w:num w:numId="52">
    <w:abstractNumId w:val="57"/>
  </w:num>
  <w:num w:numId="53">
    <w:abstractNumId w:val="0"/>
  </w:num>
  <w:num w:numId="54">
    <w:abstractNumId w:val="58"/>
  </w:num>
  <w:num w:numId="55">
    <w:abstractNumId w:val="37"/>
  </w:num>
  <w:num w:numId="56">
    <w:abstractNumId w:val="62"/>
  </w:num>
  <w:num w:numId="57">
    <w:abstractNumId w:val="16"/>
  </w:num>
  <w:num w:numId="58">
    <w:abstractNumId w:val="36"/>
  </w:num>
  <w:num w:numId="59">
    <w:abstractNumId w:val="8"/>
  </w:num>
  <w:num w:numId="60">
    <w:abstractNumId w:val="26"/>
  </w:num>
  <w:num w:numId="61">
    <w:abstractNumId w:val="49"/>
  </w:num>
  <w:num w:numId="62">
    <w:abstractNumId w:val="45"/>
  </w:num>
  <w:num w:numId="63">
    <w:abstractNumId w:val="60"/>
  </w:num>
  <w:num w:numId="64">
    <w:abstractNumId w:val="1"/>
  </w:num>
  <w:num w:numId="65">
    <w:abstractNumId w:val="39"/>
  </w:num>
  <w:num w:numId="66">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210B"/>
    <w:rsid w:val="00007312"/>
    <w:rsid w:val="00011A36"/>
    <w:rsid w:val="0001311B"/>
    <w:rsid w:val="0003154A"/>
    <w:rsid w:val="000317F2"/>
    <w:rsid w:val="00033118"/>
    <w:rsid w:val="00047606"/>
    <w:rsid w:val="00054585"/>
    <w:rsid w:val="00065623"/>
    <w:rsid w:val="00071451"/>
    <w:rsid w:val="000756B9"/>
    <w:rsid w:val="00091BA2"/>
    <w:rsid w:val="00092677"/>
    <w:rsid w:val="00096B67"/>
    <w:rsid w:val="00096D7F"/>
    <w:rsid w:val="00096DAF"/>
    <w:rsid w:val="000C2F47"/>
    <w:rsid w:val="000D2B9A"/>
    <w:rsid w:val="000D6C00"/>
    <w:rsid w:val="000E4E04"/>
    <w:rsid w:val="000F14B4"/>
    <w:rsid w:val="000F75DF"/>
    <w:rsid w:val="001023DC"/>
    <w:rsid w:val="001328FA"/>
    <w:rsid w:val="00147AAF"/>
    <w:rsid w:val="001552C0"/>
    <w:rsid w:val="00155300"/>
    <w:rsid w:val="00160857"/>
    <w:rsid w:val="001640B1"/>
    <w:rsid w:val="00167586"/>
    <w:rsid w:val="00173BFB"/>
    <w:rsid w:val="001842B7"/>
    <w:rsid w:val="0018435E"/>
    <w:rsid w:val="00194A71"/>
    <w:rsid w:val="00195345"/>
    <w:rsid w:val="001E3F42"/>
    <w:rsid w:val="001E7C51"/>
    <w:rsid w:val="002041A1"/>
    <w:rsid w:val="002054F0"/>
    <w:rsid w:val="002064D7"/>
    <w:rsid w:val="0022169D"/>
    <w:rsid w:val="00222DAE"/>
    <w:rsid w:val="00230D6B"/>
    <w:rsid w:val="00232068"/>
    <w:rsid w:val="002330F2"/>
    <w:rsid w:val="00243D9E"/>
    <w:rsid w:val="002451C2"/>
    <w:rsid w:val="00250C17"/>
    <w:rsid w:val="00253B66"/>
    <w:rsid w:val="00255E54"/>
    <w:rsid w:val="00261235"/>
    <w:rsid w:val="00261DF1"/>
    <w:rsid w:val="00271F18"/>
    <w:rsid w:val="0028237B"/>
    <w:rsid w:val="00282779"/>
    <w:rsid w:val="0028334D"/>
    <w:rsid w:val="00287855"/>
    <w:rsid w:val="00291D13"/>
    <w:rsid w:val="002A2AD7"/>
    <w:rsid w:val="002B7FFA"/>
    <w:rsid w:val="002C109E"/>
    <w:rsid w:val="002C2BCF"/>
    <w:rsid w:val="002C6E55"/>
    <w:rsid w:val="002E6643"/>
    <w:rsid w:val="002F279D"/>
    <w:rsid w:val="002F3DCC"/>
    <w:rsid w:val="002F43B8"/>
    <w:rsid w:val="00336856"/>
    <w:rsid w:val="0034512E"/>
    <w:rsid w:val="0034554D"/>
    <w:rsid w:val="00347221"/>
    <w:rsid w:val="00352224"/>
    <w:rsid w:val="00365BD1"/>
    <w:rsid w:val="003671E6"/>
    <w:rsid w:val="003724D2"/>
    <w:rsid w:val="00384272"/>
    <w:rsid w:val="00386D67"/>
    <w:rsid w:val="003945B8"/>
    <w:rsid w:val="003A7EA2"/>
    <w:rsid w:val="003B42C4"/>
    <w:rsid w:val="003D7F29"/>
    <w:rsid w:val="003E70F4"/>
    <w:rsid w:val="00405A6B"/>
    <w:rsid w:val="00407B1F"/>
    <w:rsid w:val="0041184F"/>
    <w:rsid w:val="00414C57"/>
    <w:rsid w:val="0041758C"/>
    <w:rsid w:val="00424791"/>
    <w:rsid w:val="004447CF"/>
    <w:rsid w:val="004539DE"/>
    <w:rsid w:val="00486A70"/>
    <w:rsid w:val="004A2CF1"/>
    <w:rsid w:val="004A3BEA"/>
    <w:rsid w:val="004A7E0B"/>
    <w:rsid w:val="004B4D0B"/>
    <w:rsid w:val="004C3035"/>
    <w:rsid w:val="004C307F"/>
    <w:rsid w:val="004C32F3"/>
    <w:rsid w:val="004D77DB"/>
    <w:rsid w:val="004E4BA8"/>
    <w:rsid w:val="004F340F"/>
    <w:rsid w:val="004F4A0A"/>
    <w:rsid w:val="004F7B7C"/>
    <w:rsid w:val="0052243D"/>
    <w:rsid w:val="00532435"/>
    <w:rsid w:val="00550354"/>
    <w:rsid w:val="00557AD1"/>
    <w:rsid w:val="00571236"/>
    <w:rsid w:val="00572859"/>
    <w:rsid w:val="00580514"/>
    <w:rsid w:val="005953A1"/>
    <w:rsid w:val="005A2D17"/>
    <w:rsid w:val="005A4362"/>
    <w:rsid w:val="005A6CCF"/>
    <w:rsid w:val="005B5434"/>
    <w:rsid w:val="005C12C0"/>
    <w:rsid w:val="005C7E80"/>
    <w:rsid w:val="005D0332"/>
    <w:rsid w:val="005D0D8C"/>
    <w:rsid w:val="00614FED"/>
    <w:rsid w:val="00620182"/>
    <w:rsid w:val="00640A46"/>
    <w:rsid w:val="006728D4"/>
    <w:rsid w:val="006776AE"/>
    <w:rsid w:val="00683E86"/>
    <w:rsid w:val="006A0D97"/>
    <w:rsid w:val="006B1F86"/>
    <w:rsid w:val="006C0A91"/>
    <w:rsid w:val="006D547D"/>
    <w:rsid w:val="006E6E2C"/>
    <w:rsid w:val="007054BB"/>
    <w:rsid w:val="00707064"/>
    <w:rsid w:val="00712B1D"/>
    <w:rsid w:val="00724C12"/>
    <w:rsid w:val="00730683"/>
    <w:rsid w:val="00734456"/>
    <w:rsid w:val="00747FFA"/>
    <w:rsid w:val="0075261F"/>
    <w:rsid w:val="00753A96"/>
    <w:rsid w:val="0075468E"/>
    <w:rsid w:val="00757328"/>
    <w:rsid w:val="007665D8"/>
    <w:rsid w:val="007668BB"/>
    <w:rsid w:val="00766E36"/>
    <w:rsid w:val="007704A9"/>
    <w:rsid w:val="007765F4"/>
    <w:rsid w:val="00776633"/>
    <w:rsid w:val="00784D53"/>
    <w:rsid w:val="00797797"/>
    <w:rsid w:val="007A0BEF"/>
    <w:rsid w:val="007A2E52"/>
    <w:rsid w:val="007A43C1"/>
    <w:rsid w:val="007A63C9"/>
    <w:rsid w:val="007B32D1"/>
    <w:rsid w:val="007B7095"/>
    <w:rsid w:val="007C76A8"/>
    <w:rsid w:val="007D24E1"/>
    <w:rsid w:val="007D374E"/>
    <w:rsid w:val="007D6288"/>
    <w:rsid w:val="007D63F2"/>
    <w:rsid w:val="007F4CE9"/>
    <w:rsid w:val="007F4E20"/>
    <w:rsid w:val="00800956"/>
    <w:rsid w:val="00822C7E"/>
    <w:rsid w:val="00847060"/>
    <w:rsid w:val="00847A36"/>
    <w:rsid w:val="00856A33"/>
    <w:rsid w:val="0087527B"/>
    <w:rsid w:val="00892620"/>
    <w:rsid w:val="008C778E"/>
    <w:rsid w:val="008C7D37"/>
    <w:rsid w:val="008D5885"/>
    <w:rsid w:val="0091673B"/>
    <w:rsid w:val="00917A4A"/>
    <w:rsid w:val="00923FA2"/>
    <w:rsid w:val="00931D30"/>
    <w:rsid w:val="0096060D"/>
    <w:rsid w:val="00974A50"/>
    <w:rsid w:val="0097585A"/>
    <w:rsid w:val="009842FE"/>
    <w:rsid w:val="0098715D"/>
    <w:rsid w:val="009924B0"/>
    <w:rsid w:val="009942C9"/>
    <w:rsid w:val="009A5E35"/>
    <w:rsid w:val="009B169C"/>
    <w:rsid w:val="009B35C4"/>
    <w:rsid w:val="009C596F"/>
    <w:rsid w:val="009C630A"/>
    <w:rsid w:val="009C632D"/>
    <w:rsid w:val="009D3A03"/>
    <w:rsid w:val="009E0D98"/>
    <w:rsid w:val="00A068A1"/>
    <w:rsid w:val="00A1207D"/>
    <w:rsid w:val="00A12FD8"/>
    <w:rsid w:val="00A346FC"/>
    <w:rsid w:val="00A46D77"/>
    <w:rsid w:val="00A61BD7"/>
    <w:rsid w:val="00A6376C"/>
    <w:rsid w:val="00A72811"/>
    <w:rsid w:val="00A73BFB"/>
    <w:rsid w:val="00A846F2"/>
    <w:rsid w:val="00A84F93"/>
    <w:rsid w:val="00AB1AC5"/>
    <w:rsid w:val="00AB3BFC"/>
    <w:rsid w:val="00AB46BA"/>
    <w:rsid w:val="00AC4F2E"/>
    <w:rsid w:val="00AD0C37"/>
    <w:rsid w:val="00AD385F"/>
    <w:rsid w:val="00AE6E2A"/>
    <w:rsid w:val="00AF4529"/>
    <w:rsid w:val="00B03EAB"/>
    <w:rsid w:val="00B07B1B"/>
    <w:rsid w:val="00B27A76"/>
    <w:rsid w:val="00B31E9C"/>
    <w:rsid w:val="00B35595"/>
    <w:rsid w:val="00B51C6D"/>
    <w:rsid w:val="00B83DD2"/>
    <w:rsid w:val="00B86D64"/>
    <w:rsid w:val="00BA4AC5"/>
    <w:rsid w:val="00BC1364"/>
    <w:rsid w:val="00BC1B56"/>
    <w:rsid w:val="00BC2667"/>
    <w:rsid w:val="00BC40D3"/>
    <w:rsid w:val="00BC7DE9"/>
    <w:rsid w:val="00BF479B"/>
    <w:rsid w:val="00BF56EF"/>
    <w:rsid w:val="00C02577"/>
    <w:rsid w:val="00C06B0B"/>
    <w:rsid w:val="00C204FB"/>
    <w:rsid w:val="00C20BEE"/>
    <w:rsid w:val="00C2158D"/>
    <w:rsid w:val="00C50D73"/>
    <w:rsid w:val="00C67DD2"/>
    <w:rsid w:val="00C725CB"/>
    <w:rsid w:val="00C736E0"/>
    <w:rsid w:val="00C76F5C"/>
    <w:rsid w:val="00C856E8"/>
    <w:rsid w:val="00C94428"/>
    <w:rsid w:val="00C96BAD"/>
    <w:rsid w:val="00CA6944"/>
    <w:rsid w:val="00CB0F8E"/>
    <w:rsid w:val="00CB3077"/>
    <w:rsid w:val="00CB7E7D"/>
    <w:rsid w:val="00CC2911"/>
    <w:rsid w:val="00CD7D2D"/>
    <w:rsid w:val="00CF0C6D"/>
    <w:rsid w:val="00CF4E81"/>
    <w:rsid w:val="00CF7307"/>
    <w:rsid w:val="00CF7C68"/>
    <w:rsid w:val="00D124FA"/>
    <w:rsid w:val="00D26E4B"/>
    <w:rsid w:val="00D340DE"/>
    <w:rsid w:val="00D409C0"/>
    <w:rsid w:val="00D55723"/>
    <w:rsid w:val="00D558DD"/>
    <w:rsid w:val="00D62FAD"/>
    <w:rsid w:val="00D64355"/>
    <w:rsid w:val="00D64CA2"/>
    <w:rsid w:val="00D70450"/>
    <w:rsid w:val="00D71AD4"/>
    <w:rsid w:val="00D75C5F"/>
    <w:rsid w:val="00D76948"/>
    <w:rsid w:val="00D83BFD"/>
    <w:rsid w:val="00D90A38"/>
    <w:rsid w:val="00D95739"/>
    <w:rsid w:val="00DA0515"/>
    <w:rsid w:val="00DA171E"/>
    <w:rsid w:val="00DA56AA"/>
    <w:rsid w:val="00DB2A0F"/>
    <w:rsid w:val="00DB5833"/>
    <w:rsid w:val="00DC22CC"/>
    <w:rsid w:val="00DD2858"/>
    <w:rsid w:val="00DF489D"/>
    <w:rsid w:val="00DF51F4"/>
    <w:rsid w:val="00E03E33"/>
    <w:rsid w:val="00E059E0"/>
    <w:rsid w:val="00E138E6"/>
    <w:rsid w:val="00E33DDB"/>
    <w:rsid w:val="00E34C1B"/>
    <w:rsid w:val="00E3642A"/>
    <w:rsid w:val="00E415C4"/>
    <w:rsid w:val="00E45FD3"/>
    <w:rsid w:val="00E50016"/>
    <w:rsid w:val="00E50EAA"/>
    <w:rsid w:val="00E555DA"/>
    <w:rsid w:val="00E60F1E"/>
    <w:rsid w:val="00E619BB"/>
    <w:rsid w:val="00E656D6"/>
    <w:rsid w:val="00E72A12"/>
    <w:rsid w:val="00E86470"/>
    <w:rsid w:val="00E977EE"/>
    <w:rsid w:val="00EA2F24"/>
    <w:rsid w:val="00EA5C0E"/>
    <w:rsid w:val="00EA67A2"/>
    <w:rsid w:val="00EA6BF0"/>
    <w:rsid w:val="00EA772A"/>
    <w:rsid w:val="00EB039F"/>
    <w:rsid w:val="00EB630F"/>
    <w:rsid w:val="00EB6B6F"/>
    <w:rsid w:val="00EC4F98"/>
    <w:rsid w:val="00EC66B9"/>
    <w:rsid w:val="00F12F02"/>
    <w:rsid w:val="00F32E0D"/>
    <w:rsid w:val="00F35134"/>
    <w:rsid w:val="00F37B9C"/>
    <w:rsid w:val="00F41812"/>
    <w:rsid w:val="00F53620"/>
    <w:rsid w:val="00F56D7F"/>
    <w:rsid w:val="00F65FC1"/>
    <w:rsid w:val="00F715D1"/>
    <w:rsid w:val="00F72715"/>
    <w:rsid w:val="00F73333"/>
    <w:rsid w:val="00F878CB"/>
    <w:rsid w:val="00F922EB"/>
    <w:rsid w:val="00F95D8F"/>
    <w:rsid w:val="00FA0BD3"/>
    <w:rsid w:val="00FA749B"/>
    <w:rsid w:val="00FB254A"/>
    <w:rsid w:val="00FB350A"/>
    <w:rsid w:val="00FB4C5D"/>
    <w:rsid w:val="00FD0063"/>
    <w:rsid w:val="00FD4A47"/>
    <w:rsid w:val="00FD6C83"/>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61E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locked/>
    <w:rsid w:val="006D547D"/>
    <w:pPr>
      <w:spacing w:after="240"/>
      <w:outlineLvl w:val="1"/>
    </w:pPr>
    <w:rPr>
      <w:b/>
      <w:szCs w:val="24"/>
    </w:rPr>
  </w:style>
  <w:style w:type="paragraph" w:styleId="Heading3">
    <w:name w:val="heading 3"/>
    <w:basedOn w:val="Normal"/>
    <w:next w:val="Normal"/>
    <w:link w:val="Heading3Char"/>
    <w:uiPriority w:val="9"/>
    <w:unhideWhenUsed/>
    <w:qFormat/>
    <w:locked/>
    <w:rsid w:val="002C6E55"/>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semiHidden/>
    <w:unhideWhenUsed/>
    <w:qFormat/>
    <w:locked/>
    <w:rsid w:val="00C856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rsid w:val="00974A50"/>
    <w:rPr>
      <w:sz w:val="20"/>
    </w:rPr>
  </w:style>
  <w:style w:type="character" w:customStyle="1" w:styleId="CommentTextChar">
    <w:name w:val="Comment Text Char"/>
    <w:basedOn w:val="DefaultParagraphFont"/>
    <w:link w:val="CommentText"/>
    <w:uiPriority w:val="99"/>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uiPriority w:val="9"/>
    <w:rsid w:val="006D547D"/>
    <w:rPr>
      <w:rFonts w:eastAsia="Times New Roman"/>
      <w:b/>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Centered text,Summary box,Table Gridbeth"/>
    <w:basedOn w:val="TableNormal"/>
    <w:uiPriority w:val="5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
    <w:link w:val="ListParagraph"/>
    <w:uiPriority w:val="34"/>
    <w:rsid w:val="00F922EB"/>
    <w:rPr>
      <w:rFonts w:eastAsia="Times New Roman"/>
      <w:sz w:val="24"/>
      <w:szCs w:val="20"/>
    </w:rPr>
  </w:style>
  <w:style w:type="paragraph" w:customStyle="1" w:styleId="Tabletext">
    <w:name w:val="Table text"/>
    <w:basedOn w:val="Normal"/>
    <w:link w:val="TabletextChar"/>
    <w:qFormat/>
    <w:rsid w:val="00054585"/>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054585"/>
    <w:rPr>
      <w:rFonts w:ascii="Arial Narrow" w:eastAsia="Times New Roman" w:hAnsi="Arial Narrow"/>
      <w:sz w:val="20"/>
      <w:szCs w:val="24"/>
      <w:lang w:eastAsia="en-US"/>
    </w:rPr>
  </w:style>
  <w:style w:type="paragraph" w:customStyle="1" w:styleId="TableHeading">
    <w:name w:val="TableHeading"/>
    <w:basedOn w:val="Normal"/>
    <w:link w:val="TableHeadingChar"/>
    <w:qFormat/>
    <w:rsid w:val="00054585"/>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054585"/>
    <w:rPr>
      <w:rFonts w:ascii="Arial Narrow" w:eastAsia="Times New Roman" w:hAnsi="Arial Narrow" w:cs="Tahoma"/>
      <w:b/>
      <w:noProof/>
      <w:sz w:val="20"/>
      <w:szCs w:val="20"/>
    </w:rPr>
  </w:style>
  <w:style w:type="paragraph" w:customStyle="1" w:styleId="Tablenotes">
    <w:name w:val="Tablenotes"/>
    <w:basedOn w:val="Normal"/>
    <w:link w:val="TablenotesChar"/>
    <w:autoRedefine/>
    <w:qFormat/>
    <w:rsid w:val="006D547D"/>
    <w:pPr>
      <w:widowControl w:val="0"/>
      <w:spacing w:before="60" w:after="240"/>
      <w:contextualSpacing/>
    </w:pPr>
    <w:rPr>
      <w:rFonts w:ascii="Arial Narrow" w:eastAsiaTheme="minorHAnsi" w:hAnsi="Arial Narrow" w:cs="Arial"/>
      <w:snapToGrid w:val="0"/>
      <w:sz w:val="18"/>
      <w:lang w:eastAsia="en-US"/>
    </w:rPr>
  </w:style>
  <w:style w:type="character" w:customStyle="1" w:styleId="TablenotesChar">
    <w:name w:val="Tablenotes Char"/>
    <w:basedOn w:val="DefaultParagraphFont"/>
    <w:link w:val="Tablenotes"/>
    <w:rsid w:val="006D547D"/>
    <w:rPr>
      <w:rFonts w:ascii="Arial Narrow" w:eastAsiaTheme="minorHAnsi" w:hAnsi="Arial Narrow" w:cs="Arial"/>
      <w:snapToGrid w:val="0"/>
      <w:sz w:val="18"/>
      <w:szCs w:val="20"/>
      <w:lang w:eastAsia="en-US"/>
    </w:rPr>
  </w:style>
  <w:style w:type="table" w:customStyle="1" w:styleId="TableGrid1">
    <w:name w:val="Table Grid1"/>
    <w:basedOn w:val="TableNormal"/>
    <w:next w:val="TableGrid"/>
    <w:rsid w:val="00054585"/>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Yu Gothic UI Semibold" w:hAnsi="@Yu Gothic UI Semibold"/>
        <w:b w:val="0"/>
        <w:sz w:val="20"/>
      </w:rPr>
    </w:tblStyle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054585"/>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054585"/>
    <w:rPr>
      <w:rFonts w:ascii="Arial Narrow" w:eastAsia="Times New Roman" w:hAnsi="Arial Narrow" w:cs="Arial"/>
      <w:b/>
      <w:bCs/>
      <w:iCs/>
      <w:sz w:val="20"/>
      <w:szCs w:val="20"/>
      <w:lang w:eastAsia="en-US"/>
    </w:rPr>
  </w:style>
  <w:style w:type="character" w:styleId="Emphasis">
    <w:name w:val="Emphasis"/>
    <w:basedOn w:val="DefaultParagraphFont"/>
    <w:uiPriority w:val="20"/>
    <w:qFormat/>
    <w:locked/>
    <w:rsid w:val="002C6E55"/>
    <w:rPr>
      <w:i/>
      <w:iCs/>
    </w:rPr>
  </w:style>
  <w:style w:type="character" w:customStyle="1" w:styleId="Heading3Char">
    <w:name w:val="Heading 3 Char"/>
    <w:basedOn w:val="DefaultParagraphFont"/>
    <w:link w:val="Heading3"/>
    <w:uiPriority w:val="9"/>
    <w:rsid w:val="002C6E55"/>
    <w:rPr>
      <w:rFonts w:eastAsiaTheme="majorEastAsia" w:cstheme="majorBidi"/>
      <w:sz w:val="24"/>
      <w:szCs w:val="24"/>
      <w:u w:val="single"/>
    </w:rPr>
  </w:style>
  <w:style w:type="character" w:customStyle="1" w:styleId="Heading4Char">
    <w:name w:val="Heading 4 Char"/>
    <w:basedOn w:val="DefaultParagraphFont"/>
    <w:link w:val="Heading4"/>
    <w:uiPriority w:val="9"/>
    <w:semiHidden/>
    <w:rsid w:val="00C856E8"/>
    <w:rPr>
      <w:rFonts w:asciiTheme="majorHAnsi" w:eastAsiaTheme="majorEastAsia" w:hAnsiTheme="majorHAnsi" w:cstheme="majorBidi"/>
      <w:b/>
      <w:bCs/>
      <w:i/>
      <w:iCs/>
      <w:color w:val="4F81BD" w:themeColor="accent1"/>
      <w:sz w:val="24"/>
      <w:szCs w:val="20"/>
    </w:rPr>
  </w:style>
  <w:style w:type="paragraph" w:customStyle="1" w:styleId="Table">
    <w:name w:val="Table"/>
    <w:basedOn w:val="Normal"/>
    <w:link w:val="TableChar"/>
    <w:qFormat/>
    <w:rsid w:val="00C856E8"/>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C856E8"/>
    <w:rPr>
      <w:rFonts w:ascii="Candara" w:eastAsiaTheme="majorEastAsia" w:hAnsi="Candara" w:cstheme="majorBidi"/>
      <w:sz w:val="20"/>
      <w:lang w:eastAsia="en-US" w:bidi="en-US"/>
    </w:rPr>
  </w:style>
  <w:style w:type="paragraph" w:customStyle="1" w:styleId="TableCentre">
    <w:name w:val="Table Centre"/>
    <w:basedOn w:val="Table"/>
    <w:uiPriority w:val="99"/>
    <w:qFormat/>
    <w:rsid w:val="00C856E8"/>
    <w:pPr>
      <w:jc w:val="center"/>
    </w:pPr>
  </w:style>
  <w:style w:type="paragraph" w:customStyle="1" w:styleId="Tabletextbold">
    <w:name w:val="Table text bold"/>
    <w:basedOn w:val="Normal"/>
    <w:link w:val="TabletextboldChar"/>
    <w:qFormat/>
    <w:rsid w:val="00C856E8"/>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C856E8"/>
    <w:rPr>
      <w:rFonts w:ascii="Arial Narrow" w:eastAsia="Times New Roman" w:hAnsi="Arial Narrow" w:cs="Arial"/>
      <w:b/>
      <w:sz w:val="20"/>
      <w:szCs w:val="20"/>
      <w:lang w:eastAsia="en-US"/>
    </w:rPr>
  </w:style>
  <w:style w:type="paragraph" w:customStyle="1" w:styleId="ESHeading2">
    <w:name w:val="ES Heading 2"/>
    <w:basedOn w:val="Heading2"/>
    <w:link w:val="ESHeading2Char"/>
    <w:rsid w:val="00C856E8"/>
    <w:pPr>
      <w:keepNext/>
      <w:spacing w:after="0"/>
      <w:ind w:left="576" w:hanging="576"/>
      <w:jc w:val="both"/>
    </w:pPr>
    <w:rPr>
      <w:rFonts w:ascii="Garamond" w:hAnsi="Garamond"/>
      <w:b w:val="0"/>
      <w:bCs/>
      <w:i/>
      <w:iCs/>
      <w:szCs w:val="28"/>
    </w:rPr>
  </w:style>
  <w:style w:type="character" w:customStyle="1" w:styleId="ESHeading2Char">
    <w:name w:val="ES Heading 2 Char"/>
    <w:basedOn w:val="Heading2Char"/>
    <w:link w:val="ESHeading2"/>
    <w:rsid w:val="00C856E8"/>
    <w:rPr>
      <w:rFonts w:ascii="Garamond" w:eastAsia="Times New Roman" w:hAnsi="Garamond"/>
      <w:b w:val="0"/>
      <w:bCs/>
      <w:i/>
      <w:iCs/>
      <w:sz w:val="24"/>
      <w:szCs w:val="28"/>
    </w:rPr>
  </w:style>
  <w:style w:type="table" w:customStyle="1" w:styleId="Submissiontemplate2">
    <w:name w:val="Submission template2"/>
    <w:basedOn w:val="TableNormal"/>
    <w:uiPriority w:val="99"/>
    <w:rsid w:val="00C856E8"/>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textboldleft">
    <w:name w:val="Table text bold left"/>
    <w:basedOn w:val="Tabletextbold"/>
    <w:link w:val="TabletextboldleftChar"/>
    <w:qFormat/>
    <w:rsid w:val="00C856E8"/>
    <w:pPr>
      <w:jc w:val="left"/>
    </w:pPr>
  </w:style>
  <w:style w:type="character" w:customStyle="1" w:styleId="TabletextboldleftChar">
    <w:name w:val="Table text bold left Char"/>
    <w:basedOn w:val="TabletextboldChar"/>
    <w:link w:val="Tabletextboldleft"/>
    <w:rsid w:val="00C856E8"/>
    <w:rPr>
      <w:rFonts w:ascii="Arial Narrow" w:eastAsia="Times New Roman" w:hAnsi="Arial Narrow" w:cs="Arial"/>
      <w:b/>
      <w:sz w:val="20"/>
      <w:szCs w:val="20"/>
      <w:lang w:eastAsia="en-US"/>
    </w:rPr>
  </w:style>
  <w:style w:type="table" w:customStyle="1" w:styleId="Submissiontemplate7">
    <w:name w:val="Submission template7"/>
    <w:basedOn w:val="TableNormal"/>
    <w:uiPriority w:val="99"/>
    <w:rsid w:val="00C856E8"/>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caption">
    <w:name w:val="Table caption"/>
    <w:basedOn w:val="Normal"/>
    <w:link w:val="TablecaptionChar"/>
    <w:qFormat/>
    <w:rsid w:val="00C856E8"/>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C856E8"/>
    <w:rPr>
      <w:rFonts w:ascii="Arial Narrow" w:eastAsia="Times New Roman" w:hAnsi="Arial Narrow" w:cs="Arial"/>
      <w:sz w:val="20"/>
      <w:szCs w:val="20"/>
      <w:lang w:eastAsia="en-US"/>
    </w:rPr>
  </w:style>
  <w:style w:type="paragraph" w:customStyle="1" w:styleId="Tabletextcentred">
    <w:name w:val="Table text centred"/>
    <w:basedOn w:val="Tabletext"/>
    <w:link w:val="TabletextcentredChar"/>
    <w:qFormat/>
    <w:rsid w:val="00C856E8"/>
    <w:pPr>
      <w:jc w:val="center"/>
    </w:pPr>
  </w:style>
  <w:style w:type="character" w:customStyle="1" w:styleId="TabletextcentredChar">
    <w:name w:val="Table text centred Char"/>
    <w:basedOn w:val="TabletextChar"/>
    <w:link w:val="Tabletextcentred"/>
    <w:rsid w:val="00C856E8"/>
    <w:rPr>
      <w:rFonts w:ascii="Arial Narrow" w:eastAsia="Times New Roman" w:hAnsi="Arial Narrow"/>
      <w:sz w:val="20"/>
      <w:szCs w:val="24"/>
      <w:lang w:eastAsia="en-US"/>
    </w:rPr>
  </w:style>
  <w:style w:type="character" w:customStyle="1" w:styleId="TableBold">
    <w:name w:val="Table Bold"/>
    <w:uiPriority w:val="4"/>
    <w:qFormat/>
    <w:rsid w:val="00C856E8"/>
    <w:rPr>
      <w:rFonts w:ascii="Calibri" w:hAnsi="Calibri" w:hint="default"/>
      <w:b/>
      <w:bCs w:val="0"/>
      <w:sz w:val="20"/>
      <w:lang w:val="en-AU"/>
    </w:rPr>
  </w:style>
  <w:style w:type="table" w:customStyle="1" w:styleId="TableGrid12">
    <w:name w:val="Table Grid12"/>
    <w:basedOn w:val="TableNormal"/>
    <w:next w:val="TableGrid"/>
    <w:uiPriority w:val="59"/>
    <w:rsid w:val="00C856E8"/>
    <w:rPr>
      <w:rFonts w:ascii="Candara" w:eastAsia="Times New Roman" w:hAnsi="Candara" w:cstheme="majorBidi"/>
      <w:sz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Style2">
    <w:name w:val="Style2"/>
    <w:basedOn w:val="Normal"/>
    <w:link w:val="Style2Char"/>
    <w:qFormat/>
    <w:rsid w:val="00C856E8"/>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C856E8"/>
    <w:rPr>
      <w:rFonts w:ascii="Arial" w:eastAsia="Times New Roman" w:hAnsi="Arial" w:cs="Arial"/>
      <w:color w:val="3366FF"/>
      <w:sz w:val="24"/>
      <w:szCs w:val="24"/>
    </w:rPr>
  </w:style>
  <w:style w:type="paragraph" w:styleId="NoSpacing">
    <w:name w:val="No Spacing"/>
    <w:uiPriority w:val="1"/>
    <w:qFormat/>
    <w:rsid w:val="00C856E8"/>
    <w:rPr>
      <w:rFonts w:asciiTheme="minorHAnsi" w:eastAsiaTheme="minorHAnsi" w:hAnsiTheme="minorHAnsi" w:cstheme="minorBidi"/>
      <w:lang w:eastAsia="en-US"/>
    </w:rPr>
  </w:style>
  <w:style w:type="paragraph" w:customStyle="1" w:styleId="NormalBulletList">
    <w:name w:val="Normal Bullet List"/>
    <w:basedOn w:val="Normal"/>
    <w:uiPriority w:val="3"/>
    <w:qFormat/>
    <w:rsid w:val="00C856E8"/>
    <w:pPr>
      <w:numPr>
        <w:numId w:val="38"/>
      </w:numPr>
      <w:spacing w:after="240" w:line="276" w:lineRule="auto"/>
      <w:contextualSpacing/>
      <w:jc w:val="both"/>
    </w:pPr>
    <w:rPr>
      <w:rFonts w:ascii="Candara" w:eastAsiaTheme="majorEastAsia" w:hAnsi="Candara" w:cstheme="majorBidi"/>
      <w:szCs w:val="22"/>
      <w:lang w:eastAsia="en-US" w:bidi="en-US"/>
    </w:rPr>
  </w:style>
  <w:style w:type="paragraph" w:styleId="EndnoteText">
    <w:name w:val="endnote text"/>
    <w:basedOn w:val="Normal"/>
    <w:link w:val="EndnoteTextChar"/>
    <w:rsid w:val="00C856E8"/>
    <w:pPr>
      <w:widowControl w:val="0"/>
    </w:pPr>
    <w:rPr>
      <w:snapToGrid w:val="0"/>
      <w:sz w:val="20"/>
      <w:lang w:val="en-US" w:eastAsia="en-US"/>
    </w:rPr>
  </w:style>
  <w:style w:type="character" w:customStyle="1" w:styleId="EndnoteTextChar">
    <w:name w:val="Endnote Text Char"/>
    <w:basedOn w:val="DefaultParagraphFont"/>
    <w:link w:val="EndnoteText"/>
    <w:rsid w:val="00C856E8"/>
    <w:rPr>
      <w:rFonts w:eastAsia="Times New Roman"/>
      <w:snapToGrid w:val="0"/>
      <w:sz w:val="20"/>
      <w:szCs w:val="20"/>
      <w:lang w:val="en-US" w:eastAsia="en-US"/>
    </w:rPr>
  </w:style>
  <w:style w:type="character" w:styleId="EndnoteReference">
    <w:name w:val="endnote reference"/>
    <w:basedOn w:val="DefaultParagraphFont"/>
    <w:rsid w:val="00C856E8"/>
    <w:rPr>
      <w:vertAlign w:val="superscript"/>
    </w:rPr>
  </w:style>
  <w:style w:type="character" w:customStyle="1" w:styleId="SmallBold">
    <w:name w:val="Small Bold"/>
    <w:basedOn w:val="DefaultParagraphFont"/>
    <w:uiPriority w:val="4"/>
    <w:qFormat/>
    <w:rsid w:val="00C856E8"/>
    <w:rPr>
      <w:rFonts w:ascii="Candara" w:hAnsi="Candara"/>
      <w:b/>
      <w:sz w:val="20"/>
      <w:lang w:val="en-AU"/>
    </w:rPr>
  </w:style>
  <w:style w:type="table" w:customStyle="1" w:styleId="Submissiontemplate">
    <w:name w:val="Submission template"/>
    <w:basedOn w:val="TableNormal"/>
    <w:uiPriority w:val="99"/>
    <w:rsid w:val="00C856E8"/>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table" w:customStyle="1" w:styleId="TableGrid2">
    <w:name w:val="Table Grid2"/>
    <w:basedOn w:val="TableNormal"/>
    <w:next w:val="TableGrid"/>
    <w:rsid w:val="00C856E8"/>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paragraph" w:customStyle="1" w:styleId="Tablenotes1">
    <w:name w:val="Tablenotes 1"/>
    <w:basedOn w:val="Normal"/>
    <w:link w:val="Tablenotes1Char"/>
    <w:qFormat/>
    <w:rsid w:val="00C856E8"/>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C856E8"/>
    <w:rPr>
      <w:rFonts w:ascii="Arial Narrow" w:eastAsia="Times New Roman" w:hAnsi="Arial Narrow" w:cs="Arial"/>
      <w:snapToGrid w:val="0"/>
      <w:sz w:val="18"/>
      <w:szCs w:val="20"/>
      <w:lang w:eastAsia="en-US"/>
    </w:rPr>
  </w:style>
  <w:style w:type="numbering" w:customStyle="1" w:styleId="Heading1a">
    <w:name w:val="Heading 1a"/>
    <w:basedOn w:val="NoList"/>
    <w:uiPriority w:val="99"/>
    <w:rsid w:val="00C856E8"/>
    <w:pPr>
      <w:numPr>
        <w:numId w:val="42"/>
      </w:numPr>
    </w:pPr>
  </w:style>
  <w:style w:type="paragraph" w:customStyle="1" w:styleId="Tabletext-left">
    <w:name w:val="Table text - left"/>
    <w:basedOn w:val="Normal"/>
    <w:link w:val="Tabletext-leftChar"/>
    <w:rsid w:val="00C856E8"/>
    <w:pPr>
      <w:keepNext/>
      <w:tabs>
        <w:tab w:val="left" w:pos="2835"/>
      </w:tabs>
      <w:spacing w:before="120" w:after="120" w:line="312" w:lineRule="auto"/>
      <w:jc w:val="both"/>
    </w:pPr>
    <w:rPr>
      <w:rFonts w:asciiTheme="minorHAnsi" w:hAnsiTheme="minorHAnsi" w:cs="Arial"/>
      <w:sz w:val="20"/>
      <w:lang w:eastAsia="en-US"/>
    </w:rPr>
  </w:style>
  <w:style w:type="character" w:customStyle="1" w:styleId="Tabletext-leftChar">
    <w:name w:val="Table text - left Char"/>
    <w:basedOn w:val="DefaultParagraphFont"/>
    <w:link w:val="Tabletext-left"/>
    <w:rsid w:val="00C856E8"/>
    <w:rPr>
      <w:rFonts w:asciiTheme="minorHAnsi" w:eastAsia="Times New Roman" w:hAnsiTheme="minorHAnsi" w:cs="Arial"/>
      <w:sz w:val="20"/>
      <w:szCs w:val="20"/>
      <w:lang w:eastAsia="en-US"/>
    </w:rPr>
  </w:style>
  <w:style w:type="table" w:customStyle="1" w:styleId="TableGrid9">
    <w:name w:val="Table Grid9"/>
    <w:basedOn w:val="TableNormal"/>
    <w:next w:val="TableGrid"/>
    <w:uiPriority w:val="39"/>
    <w:rsid w:val="00C856E8"/>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C856E8"/>
    <w:pPr>
      <w:spacing w:before="120" w:after="100" w:afterAutospacing="1" w:line="276" w:lineRule="auto"/>
    </w:pPr>
    <w:rPr>
      <w:rFonts w:ascii="Arial Narrow" w:hAnsi="Arial Narrow" w:cs="Tahoma"/>
      <w:b/>
      <w:sz w:val="22"/>
      <w:szCs w:val="22"/>
    </w:rPr>
  </w:style>
  <w:style w:type="paragraph" w:customStyle="1" w:styleId="TableText0">
    <w:name w:val="Table Text"/>
    <w:basedOn w:val="Normal"/>
    <w:link w:val="TableTextChar0"/>
    <w:rsid w:val="00C856E8"/>
    <w:pPr>
      <w:keepNext/>
      <w:spacing w:before="40" w:after="40"/>
      <w:ind w:left="111" w:right="117"/>
      <w:jc w:val="center"/>
    </w:pPr>
    <w:rPr>
      <w:rFonts w:ascii="Arial Narrow" w:hAnsi="Arial Narrow" w:cs="Tahoma"/>
      <w:b/>
      <w:snapToGrid w:val="0"/>
      <w:sz w:val="18"/>
      <w:szCs w:val="22"/>
      <w:lang w:eastAsia="en-US"/>
    </w:rPr>
  </w:style>
  <w:style w:type="character" w:customStyle="1" w:styleId="TableTextChar0">
    <w:name w:val="Table Text Char"/>
    <w:link w:val="TableText0"/>
    <w:rsid w:val="00C856E8"/>
    <w:rPr>
      <w:rFonts w:ascii="Arial Narrow" w:eastAsia="Times New Roman" w:hAnsi="Arial Narrow" w:cs="Tahoma"/>
      <w:b/>
      <w:snapToGrid w:val="0"/>
      <w:sz w:val="18"/>
      <w:lang w:eastAsia="en-US"/>
    </w:rPr>
  </w:style>
  <w:style w:type="paragraph" w:customStyle="1" w:styleId="TFAbbrevs18">
    <w:name w:val="TFAbbrevs+18"/>
    <w:basedOn w:val="Normal"/>
    <w:next w:val="Normal"/>
    <w:qFormat/>
    <w:rsid w:val="00C856E8"/>
    <w:pPr>
      <w:keepNext/>
      <w:keepLines/>
      <w:spacing w:after="360"/>
      <w:jc w:val="both"/>
    </w:pPr>
    <w:rPr>
      <w:rFonts w:ascii="Arial Narrow" w:hAnsi="Arial Narrow"/>
      <w:color w:val="000000"/>
      <w:sz w:val="18"/>
      <w:szCs w:val="18"/>
    </w:rPr>
  </w:style>
  <w:style w:type="paragraph" w:customStyle="1" w:styleId="Comment">
    <w:name w:val="Comment"/>
    <w:basedOn w:val="Normal"/>
    <w:link w:val="CommentChar"/>
    <w:qFormat/>
    <w:rsid w:val="00C856E8"/>
    <w:pPr>
      <w:tabs>
        <w:tab w:val="num" w:pos="720"/>
      </w:tabs>
      <w:spacing w:after="240" w:line="312" w:lineRule="auto"/>
      <w:jc w:val="both"/>
    </w:pPr>
    <w:rPr>
      <w:rFonts w:ascii="Calibri" w:hAnsi="Calibri" w:cs="Tahoma"/>
      <w:i/>
      <w:sz w:val="22"/>
      <w:szCs w:val="22"/>
    </w:rPr>
  </w:style>
  <w:style w:type="character" w:customStyle="1" w:styleId="CommentChar">
    <w:name w:val="Comment Char"/>
    <w:basedOn w:val="DefaultParagraphFont"/>
    <w:link w:val="Comment"/>
    <w:rsid w:val="00C856E8"/>
    <w:rPr>
      <w:rFonts w:ascii="Calibri" w:eastAsia="Times New Roman" w:hAnsi="Calibri" w:cs="Tahoma"/>
      <w:i/>
    </w:rPr>
  </w:style>
  <w:style w:type="paragraph" w:customStyle="1" w:styleId="TableText1">
    <w:name w:val="TableText"/>
    <w:basedOn w:val="Normal"/>
    <w:rsid w:val="00C856E8"/>
    <w:pPr>
      <w:keepNext/>
      <w:spacing w:before="60" w:after="60"/>
    </w:pPr>
    <w:rPr>
      <w:color w:val="000000"/>
      <w:sz w:val="21"/>
      <w:szCs w:val="21"/>
    </w:rPr>
  </w:style>
  <w:style w:type="paragraph" w:customStyle="1" w:styleId="BulletBeforeDash">
    <w:name w:val="BulletBeforeDash"/>
    <w:basedOn w:val="Normal"/>
    <w:rsid w:val="00C856E8"/>
    <w:pPr>
      <w:numPr>
        <w:numId w:val="63"/>
      </w:numPr>
      <w:ind w:left="720"/>
    </w:pPr>
    <w:rPr>
      <w:color w:val="000000"/>
    </w:rPr>
  </w:style>
  <w:style w:type="paragraph" w:customStyle="1" w:styleId="Bullet">
    <w:name w:val="Bullet"/>
    <w:basedOn w:val="BulletBeforeDash"/>
    <w:qFormat/>
    <w:rsid w:val="00C856E8"/>
    <w:pPr>
      <w:spacing w:after="120"/>
    </w:pPr>
  </w:style>
  <w:style w:type="paragraph" w:customStyle="1" w:styleId="BulletLast">
    <w:name w:val="BulletLast"/>
    <w:basedOn w:val="Bullet"/>
    <w:qFormat/>
    <w:rsid w:val="00C856E8"/>
    <w:pPr>
      <w:spacing w:after="240"/>
    </w:pPr>
  </w:style>
  <w:style w:type="paragraph" w:customStyle="1" w:styleId="NormalBeforeBullet">
    <w:name w:val="NormalBeforeBullet"/>
    <w:basedOn w:val="Normal"/>
    <w:qFormat/>
    <w:rsid w:val="00C856E8"/>
    <w:pPr>
      <w:keepNext/>
      <w:spacing w:after="120"/>
    </w:pPr>
    <w:rPr>
      <w:color w:val="000000"/>
    </w:rPr>
  </w:style>
  <w:style w:type="paragraph" w:styleId="Revision">
    <w:name w:val="Revision"/>
    <w:hidden/>
    <w:uiPriority w:val="99"/>
    <w:semiHidden/>
    <w:rsid w:val="00C856E8"/>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03061">
      <w:bodyDiv w:val="1"/>
      <w:marLeft w:val="0"/>
      <w:marRight w:val="0"/>
      <w:marTop w:val="0"/>
      <w:marBottom w:val="0"/>
      <w:divBdr>
        <w:top w:val="none" w:sz="0" w:space="0" w:color="auto"/>
        <w:left w:val="none" w:sz="0" w:space="0" w:color="auto"/>
        <w:bottom w:val="none" w:sz="0" w:space="0" w:color="auto"/>
        <w:right w:val="none" w:sz="0" w:space="0" w:color="auto"/>
      </w:divBdr>
    </w:div>
    <w:div w:id="1222133367">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417089044">
      <w:bodyDiv w:val="1"/>
      <w:marLeft w:val="0"/>
      <w:marRight w:val="0"/>
      <w:marTop w:val="0"/>
      <w:marBottom w:val="0"/>
      <w:divBdr>
        <w:top w:val="none" w:sz="0" w:space="0" w:color="auto"/>
        <w:left w:val="none" w:sz="0" w:space="0" w:color="auto"/>
        <w:bottom w:val="none" w:sz="0" w:space="0" w:color="auto"/>
        <w:right w:val="none" w:sz="0" w:space="0" w:color="auto"/>
      </w:divBdr>
    </w:div>
    <w:div w:id="146920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9.health.gov.au/mbs/fullDisplay.cfm?type=note&amp;q=TN.8.2&amp;qt=noteID&amp;criteria=TN%2E8%2E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9.health.gov.au/mbs/fullDisplay.cfm?type=note&amp;q=TN.8.2&amp;qt=noteID&amp;criteria=TN%2E8%2E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ccn.org/professionals/physician_gls/default.aspx" TargetMode="External"/><Relationship Id="rId3" Type="http://schemas.openxmlformats.org/officeDocument/2006/relationships/hyperlink" Target="https://www.aihw.gov.au/reports/cancer/cancer-data-in-australia/data" TargetMode="External"/><Relationship Id="rId7" Type="http://schemas.openxmlformats.org/officeDocument/2006/relationships/hyperlink" Target="https://www.aihw.gov.au/reports/hospitals/ar-drg-data-cubes/contents/user-guide" TargetMode="External"/><Relationship Id="rId2" Type="http://schemas.openxmlformats.org/officeDocument/2006/relationships/hyperlink" Target="https://www.aihw.gov.au/reports/cancer/cancer-data-in-australia/data" TargetMode="External"/><Relationship Id="rId1" Type="http://schemas.openxmlformats.org/officeDocument/2006/relationships/hyperlink" Target="https://kidney-cancer.canceraustralia.gov.au/statistics" TargetMode="External"/><Relationship Id="rId6" Type="http://schemas.openxmlformats.org/officeDocument/2006/relationships/hyperlink" Target="http://www.msac.gov.au/internet/msac/publishing.nsf/Content/1597-public" TargetMode="External"/><Relationship Id="rId5" Type="http://schemas.openxmlformats.org/officeDocument/2006/relationships/hyperlink" Target="https://www.cancervic.org.au/cancer-information/types-of-cancer/kidney_cancer/kidney-cancer-overview.html" TargetMode="External"/><Relationship Id="rId4" Type="http://schemas.openxmlformats.org/officeDocument/2006/relationships/hyperlink" Target="https://www.aihw.gov.au/reports/cancer/cancer-data-in-australia/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EB5AE-669A-430C-A699-21DB7C44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14213</Words>
  <Characters>80401</Characters>
  <Application>Microsoft Office Word</Application>
  <DocSecurity>0</DocSecurity>
  <Lines>2680</Lines>
  <Paragraphs>1720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2021-02-02T01:46:00Z</dcterms:created>
  <dcterms:modified xsi:type="dcterms:W3CDTF">2021-02-08T23:30:00Z</dcterms:modified>
</cp:coreProperties>
</file>