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1A4F" w14:textId="77777777" w:rsidR="007D2A04" w:rsidRPr="00F516FD" w:rsidRDefault="007D2A04" w:rsidP="007D2A04">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sidRPr="00F516FD">
        <w:rPr>
          <w:rFonts w:ascii="Arial" w:hAnsi="Arial" w:cs="Arial"/>
          <w:b/>
          <w:bCs/>
          <w:color w:val="000080"/>
          <w:sz w:val="36"/>
          <w:szCs w:val="36"/>
        </w:rPr>
        <w:t>Medical Services Advisory Committee (MSAC)</w:t>
      </w:r>
      <w:r w:rsidRPr="00F516FD">
        <w:rPr>
          <w:rFonts w:ascii="Arial" w:hAnsi="Arial" w:cs="Arial"/>
          <w:b/>
          <w:bCs/>
          <w:color w:val="000080"/>
          <w:sz w:val="36"/>
          <w:szCs w:val="36"/>
        </w:rPr>
        <w:br/>
        <w:t>Public Summary Document</w:t>
      </w:r>
    </w:p>
    <w:p w14:paraId="47D76EDB" w14:textId="689E869E" w:rsidR="000C13F4" w:rsidRPr="00F516FD" w:rsidRDefault="000C13F4" w:rsidP="000C13F4">
      <w:pPr>
        <w:pStyle w:val="Subtitle"/>
      </w:pPr>
      <w:r w:rsidRPr="00F516FD">
        <w:t xml:space="preserve">Application No. </w:t>
      </w:r>
      <w:r w:rsidR="00F65EC6" w:rsidRPr="00F516FD">
        <w:t>1777</w:t>
      </w:r>
      <w:r w:rsidRPr="00F516FD">
        <w:t xml:space="preserve"> – </w:t>
      </w:r>
      <w:r w:rsidR="002B4310" w:rsidRPr="00F516FD">
        <w:t xml:space="preserve">Review of MBS items for clinically indicated gross and histologic examination of placentas in perinatal </w:t>
      </w:r>
      <w:proofErr w:type="gramStart"/>
      <w:r w:rsidR="002B4310" w:rsidRPr="00F516FD">
        <w:t>deaths</w:t>
      </w:r>
      <w:proofErr w:type="gramEnd"/>
    </w:p>
    <w:p w14:paraId="2EC4945D" w14:textId="5A301B58" w:rsidR="000C13F4" w:rsidRPr="00F516FD" w:rsidRDefault="000C13F4" w:rsidP="007D2A04">
      <w:pPr>
        <w:tabs>
          <w:tab w:val="left" w:pos="3544"/>
        </w:tabs>
        <w:spacing w:after="240"/>
        <w:rPr>
          <w:rFonts w:ascii="Arial" w:hAnsi="Arial" w:cs="Arial"/>
          <w:b/>
        </w:rPr>
      </w:pPr>
      <w:r w:rsidRPr="00F516FD">
        <w:rPr>
          <w:rFonts w:ascii="Arial" w:hAnsi="Arial" w:cs="Arial"/>
          <w:b/>
        </w:rPr>
        <w:t>Applicant:</w:t>
      </w:r>
      <w:r w:rsidR="00FA5DCA" w:rsidRPr="00F516FD">
        <w:tab/>
      </w:r>
      <w:r w:rsidRPr="00F516FD">
        <w:tab/>
      </w:r>
      <w:r w:rsidR="00B84DAC" w:rsidRPr="00F516FD">
        <w:rPr>
          <w:rFonts w:ascii="Arial" w:hAnsi="Arial" w:cs="Arial"/>
          <w:b/>
        </w:rPr>
        <w:t>The Royal College of Pathologists of Australasia</w:t>
      </w:r>
    </w:p>
    <w:p w14:paraId="0189F339" w14:textId="5DE536D4" w:rsidR="006E66C3" w:rsidRPr="00F516FD" w:rsidRDefault="000C13F4" w:rsidP="00C1497D">
      <w:pPr>
        <w:rPr>
          <w:rFonts w:ascii="Arial" w:hAnsi="Arial" w:cs="Arial"/>
          <w:b/>
        </w:rPr>
      </w:pPr>
      <w:r w:rsidRPr="00F516FD">
        <w:rPr>
          <w:rFonts w:ascii="Arial" w:hAnsi="Arial" w:cs="Arial"/>
          <w:b/>
        </w:rPr>
        <w:t>Date of MSAC consideration:</w:t>
      </w:r>
      <w:r w:rsidRPr="00F516FD">
        <w:tab/>
      </w:r>
      <w:r w:rsidR="0014435B" w:rsidRPr="00F516FD">
        <w:rPr>
          <w:rFonts w:ascii="Arial" w:hAnsi="Arial" w:cs="Arial"/>
          <w:b/>
        </w:rPr>
        <w:t>1</w:t>
      </w:r>
      <w:r w:rsidR="007D2A04" w:rsidRPr="00F516FD">
        <w:rPr>
          <w:rFonts w:ascii="Arial" w:hAnsi="Arial" w:cs="Arial"/>
          <w:b/>
        </w:rPr>
        <w:t>-</w:t>
      </w:r>
      <w:r w:rsidR="0014435B" w:rsidRPr="00F516FD">
        <w:rPr>
          <w:rFonts w:ascii="Arial" w:hAnsi="Arial" w:cs="Arial"/>
          <w:b/>
        </w:rPr>
        <w:t>2</w:t>
      </w:r>
      <w:r w:rsidR="006E66C3" w:rsidRPr="00F516FD">
        <w:rPr>
          <w:rFonts w:ascii="Arial" w:hAnsi="Arial" w:cs="Arial"/>
          <w:b/>
        </w:rPr>
        <w:t xml:space="preserve"> </w:t>
      </w:r>
      <w:r w:rsidR="0014435B" w:rsidRPr="00F516FD">
        <w:rPr>
          <w:rFonts w:ascii="Arial" w:hAnsi="Arial" w:cs="Arial"/>
          <w:b/>
        </w:rPr>
        <w:t>August 2024</w:t>
      </w:r>
    </w:p>
    <w:p w14:paraId="151DDBF0" w14:textId="25D84401" w:rsidR="007D2A04" w:rsidRPr="00F516FD" w:rsidRDefault="007D2A04" w:rsidP="00C1497D">
      <w:pPr>
        <w:rPr>
          <w:color w:val="0000FF"/>
          <w:szCs w:val="24"/>
          <w:u w:val="single"/>
        </w:rPr>
      </w:pPr>
      <w:r w:rsidRPr="00F516FD">
        <w:rPr>
          <w:szCs w:val="24"/>
        </w:rPr>
        <w:t xml:space="preserve">Context for decision: MSAC makes its advice in accordance with its Terms of Reference, </w:t>
      </w:r>
      <w:hyperlink r:id="rId8" w:tooltip="Link to Medical Services Advisory Committee website" w:history="1">
        <w:r w:rsidRPr="00F516FD">
          <w:rPr>
            <w:rStyle w:val="Hyperlink"/>
            <w:szCs w:val="24"/>
          </w:rPr>
          <w:t>visit the MSAC website</w:t>
        </w:r>
      </w:hyperlink>
    </w:p>
    <w:p w14:paraId="7EAA7262" w14:textId="77335A16" w:rsidR="00772829" w:rsidRPr="00F516FD" w:rsidRDefault="00C36633" w:rsidP="00C36633">
      <w:pPr>
        <w:pStyle w:val="Heading2"/>
        <w:numPr>
          <w:ilvl w:val="0"/>
          <w:numId w:val="0"/>
        </w:numPr>
      </w:pPr>
      <w:bookmarkStart w:id="0" w:name="_Toc164685253"/>
      <w:bookmarkStart w:id="1" w:name="_Toc171508488"/>
      <w:r w:rsidRPr="00F516FD">
        <w:t>1.</w:t>
      </w:r>
      <w:r w:rsidRPr="00F516FD">
        <w:tab/>
      </w:r>
      <w:r w:rsidR="00772829" w:rsidRPr="00F516FD">
        <w:t xml:space="preserve">Purpose </w:t>
      </w:r>
      <w:r w:rsidR="00772829" w:rsidRPr="00F516FD">
        <w:rPr>
          <w:szCs w:val="32"/>
        </w:rPr>
        <w:t>of</w:t>
      </w:r>
      <w:r w:rsidR="00772829" w:rsidRPr="00F516FD">
        <w:t xml:space="preserve"> application</w:t>
      </w:r>
      <w:bookmarkEnd w:id="0"/>
      <w:bookmarkEnd w:id="1"/>
    </w:p>
    <w:p w14:paraId="45E64102" w14:textId="16DB5D48" w:rsidR="00320CEE" w:rsidRPr="00F516FD" w:rsidRDefault="00772829" w:rsidP="00772829">
      <w:pPr>
        <w:spacing w:after="240"/>
        <w:rPr>
          <w:iCs/>
        </w:rPr>
      </w:pPr>
      <w:bookmarkStart w:id="2" w:name="_Hlk69734469"/>
      <w:r w:rsidRPr="00F516FD">
        <w:rPr>
          <w:iCs/>
        </w:rPr>
        <w:t>An application requesting</w:t>
      </w:r>
      <w:r w:rsidR="006A2F5F" w:rsidRPr="00F516FD">
        <w:rPr>
          <w:iCs/>
        </w:rPr>
        <w:t xml:space="preserve"> </w:t>
      </w:r>
      <w:r w:rsidR="00DF66AD" w:rsidRPr="00F516FD">
        <w:rPr>
          <w:iCs/>
        </w:rPr>
        <w:t xml:space="preserve">an </w:t>
      </w:r>
      <w:r w:rsidR="00306FB9" w:rsidRPr="00F516FD">
        <w:rPr>
          <w:iCs/>
        </w:rPr>
        <w:t xml:space="preserve">increase </w:t>
      </w:r>
      <w:r w:rsidR="00DF66AD" w:rsidRPr="00F516FD">
        <w:rPr>
          <w:iCs/>
        </w:rPr>
        <w:t xml:space="preserve">to </w:t>
      </w:r>
      <w:r w:rsidR="00306FB9" w:rsidRPr="00F516FD">
        <w:rPr>
          <w:iCs/>
        </w:rPr>
        <w:t xml:space="preserve">the </w:t>
      </w:r>
      <w:r w:rsidR="00E509A9" w:rsidRPr="00F516FD">
        <w:rPr>
          <w:iCs/>
        </w:rPr>
        <w:t>Medicare Benefits Schedule (MBS)</w:t>
      </w:r>
      <w:r w:rsidR="00306FB9" w:rsidRPr="00F516FD">
        <w:rPr>
          <w:iCs/>
        </w:rPr>
        <w:t xml:space="preserve"> complexity level (and fee) of placental tissue examinations</w:t>
      </w:r>
      <w:r w:rsidR="00306FB9" w:rsidRPr="00F516FD" w:rsidDel="00306FB9">
        <w:rPr>
          <w:iCs/>
        </w:rPr>
        <w:t xml:space="preserve"> </w:t>
      </w:r>
      <w:r w:rsidR="00E13A57" w:rsidRPr="00F516FD">
        <w:rPr>
          <w:iCs/>
        </w:rPr>
        <w:t xml:space="preserve">was </w:t>
      </w:r>
      <w:r w:rsidRPr="00F516FD">
        <w:rPr>
          <w:iCs/>
        </w:rPr>
        <w:t xml:space="preserve">received from </w:t>
      </w:r>
      <w:bookmarkStart w:id="3" w:name="_Hlk164685629"/>
      <w:r w:rsidRPr="00F516FD">
        <w:rPr>
          <w:iCs/>
        </w:rPr>
        <w:t xml:space="preserve">the </w:t>
      </w:r>
      <w:r w:rsidR="006A2F5F" w:rsidRPr="00F516FD">
        <w:rPr>
          <w:iCs/>
        </w:rPr>
        <w:t>Royal College of Pathologists of Australasia (RCPA)</w:t>
      </w:r>
      <w:bookmarkEnd w:id="3"/>
      <w:r w:rsidRPr="00F516FD">
        <w:rPr>
          <w:iCs/>
        </w:rPr>
        <w:t xml:space="preserve"> by the Department of Health</w:t>
      </w:r>
      <w:r w:rsidR="00992089" w:rsidRPr="00F516FD">
        <w:rPr>
          <w:iCs/>
        </w:rPr>
        <w:t xml:space="preserve"> and Aged Care</w:t>
      </w:r>
      <w:r w:rsidRPr="00F516FD">
        <w:rPr>
          <w:iCs/>
        </w:rPr>
        <w:t>.</w:t>
      </w:r>
    </w:p>
    <w:p w14:paraId="76A8EC88" w14:textId="70981E9D" w:rsidR="00320CEE" w:rsidRPr="00F516FD" w:rsidRDefault="00105425" w:rsidP="00772829">
      <w:pPr>
        <w:spacing w:after="240"/>
        <w:rPr>
          <w:iCs/>
        </w:rPr>
      </w:pPr>
      <w:r w:rsidRPr="00F516FD">
        <w:rPr>
          <w:iCs/>
        </w:rPr>
        <w:t xml:space="preserve">Part 3 of the </w:t>
      </w:r>
      <w:r w:rsidRPr="00F516FD">
        <w:rPr>
          <w:i/>
        </w:rPr>
        <w:t>Health Insurance (Pathology Services Table) Regulations 2020</w:t>
      </w:r>
      <w:r w:rsidRPr="00F516FD">
        <w:rPr>
          <w:iCs/>
        </w:rPr>
        <w:t xml:space="preserve"> (PST) specifies complexity levels for </w:t>
      </w:r>
      <w:r w:rsidR="4AF688B5" w:rsidRPr="00F516FD">
        <w:t xml:space="preserve">the examination of </w:t>
      </w:r>
      <w:r w:rsidRPr="00F516FD">
        <w:rPr>
          <w:iCs/>
        </w:rPr>
        <w:t xml:space="preserve">different tissue specimen types. </w:t>
      </w:r>
      <w:r w:rsidR="00330ED5" w:rsidRPr="00F516FD">
        <w:rPr>
          <w:iCs/>
        </w:rPr>
        <w:t xml:space="preserve">Placental tissue examinations are claimed under MBS item </w:t>
      </w:r>
      <w:r w:rsidR="001E6202" w:rsidRPr="00F516FD">
        <w:rPr>
          <w:iCs/>
        </w:rPr>
        <w:t xml:space="preserve">72823. This </w:t>
      </w:r>
      <w:r w:rsidR="003D3A37" w:rsidRPr="00F516FD">
        <w:rPr>
          <w:iCs/>
        </w:rPr>
        <w:t xml:space="preserve">MBS </w:t>
      </w:r>
      <w:r w:rsidR="001E6202" w:rsidRPr="00F516FD">
        <w:rPr>
          <w:iCs/>
        </w:rPr>
        <w:t>item is used for all tissue examinations</w:t>
      </w:r>
      <w:r w:rsidR="00BC0086" w:rsidRPr="00F516FD">
        <w:rPr>
          <w:iCs/>
        </w:rPr>
        <w:t xml:space="preserve"> listed as </w:t>
      </w:r>
      <w:r w:rsidR="00CC452E" w:rsidRPr="00F516FD">
        <w:rPr>
          <w:iCs/>
        </w:rPr>
        <w:t>l</w:t>
      </w:r>
      <w:r w:rsidR="00BC0086" w:rsidRPr="00F516FD">
        <w:rPr>
          <w:iCs/>
        </w:rPr>
        <w:t xml:space="preserve">evel 4 complexity. </w:t>
      </w:r>
      <w:r w:rsidR="00247B6A" w:rsidRPr="00F516FD">
        <w:rPr>
          <w:iCs/>
        </w:rPr>
        <w:t xml:space="preserve">The RCPA proposed </w:t>
      </w:r>
      <w:r w:rsidR="002F31C0" w:rsidRPr="00F516FD">
        <w:rPr>
          <w:iCs/>
        </w:rPr>
        <w:t xml:space="preserve">that </w:t>
      </w:r>
      <w:r w:rsidR="00126C59" w:rsidRPr="00F516FD">
        <w:rPr>
          <w:iCs/>
        </w:rPr>
        <w:t xml:space="preserve">all placental tissue examinations be </w:t>
      </w:r>
      <w:r w:rsidR="003D3A37" w:rsidRPr="00F516FD">
        <w:rPr>
          <w:iCs/>
        </w:rPr>
        <w:t xml:space="preserve">increased </w:t>
      </w:r>
      <w:r w:rsidR="002F31C0" w:rsidRPr="00F516FD">
        <w:rPr>
          <w:iCs/>
        </w:rPr>
        <w:t xml:space="preserve">from level 4 complexity </w:t>
      </w:r>
      <w:r w:rsidR="00126C59" w:rsidRPr="00F516FD">
        <w:rPr>
          <w:iCs/>
        </w:rPr>
        <w:t>to level</w:t>
      </w:r>
      <w:r w:rsidR="006D5C44" w:rsidRPr="00F516FD">
        <w:rPr>
          <w:iCs/>
        </w:rPr>
        <w:t>s</w:t>
      </w:r>
      <w:r w:rsidR="00126C59" w:rsidRPr="00F516FD">
        <w:rPr>
          <w:iCs/>
        </w:rPr>
        <w:t xml:space="preserve"> 5 or 6.</w:t>
      </w:r>
    </w:p>
    <w:p w14:paraId="66308EB4" w14:textId="77777777" w:rsidR="007D2A04" w:rsidRPr="00F516FD" w:rsidRDefault="007D2A04" w:rsidP="007D2A04">
      <w:pPr>
        <w:pStyle w:val="Heading2"/>
        <w:numPr>
          <w:ilvl w:val="0"/>
          <w:numId w:val="0"/>
        </w:numPr>
      </w:pPr>
      <w:r w:rsidRPr="00F516FD">
        <w:t>2.</w:t>
      </w:r>
      <w:r w:rsidRPr="00F516FD">
        <w:tab/>
        <w:t>MSAC’s advice to the Minister</w:t>
      </w:r>
    </w:p>
    <w:p w14:paraId="7B9DF875" w14:textId="67A9343A" w:rsidR="006D42FD" w:rsidRPr="00F516FD" w:rsidRDefault="001610EE" w:rsidP="006D42FD">
      <w:pPr>
        <w:rPr>
          <w:rFonts w:eastAsia="Franklin Gothic Book" w:cs="Franklin Gothic Book"/>
        </w:rPr>
      </w:pPr>
      <w:r w:rsidRPr="00F516FD">
        <w:t xml:space="preserve">After considering the strength of the available evidence in relation to comparative safety, clinical effectiveness, </w:t>
      </w:r>
      <w:proofErr w:type="gramStart"/>
      <w:r w:rsidRPr="00F516FD">
        <w:t>cost-effectiveness</w:t>
      </w:r>
      <w:proofErr w:type="gramEnd"/>
      <w:r w:rsidRPr="00F516FD">
        <w:t xml:space="preserve"> and total cost, </w:t>
      </w:r>
      <w:r w:rsidR="00E4141C" w:rsidRPr="00F516FD">
        <w:rPr>
          <w:rFonts w:eastAsia="Franklin Gothic Book" w:cs="Franklin Gothic Book"/>
        </w:rPr>
        <w:t>MSAC supported increasing the complexity levels of the Pathology Services Table (PST) items for clinically indicated gross and histologic placental examination. MSAC considered there remained a strong clinical need for placental examination, as it provides important causal and prognostic information when clinically indicated.</w:t>
      </w:r>
      <w:r w:rsidR="00E4141C" w:rsidRPr="00F516FD" w:rsidDel="00E14B49">
        <w:rPr>
          <w:rFonts w:eastAsia="Franklin Gothic Book" w:cs="Franklin Gothic Book"/>
        </w:rPr>
        <w:t xml:space="preserve"> </w:t>
      </w:r>
      <w:r w:rsidR="00E4141C" w:rsidRPr="00F516FD">
        <w:rPr>
          <w:rFonts w:eastAsia="Franklin Gothic Book" w:cs="Franklin Gothic Book"/>
        </w:rPr>
        <w:t xml:space="preserve">MSAC considered there was an unmet need for appropriately resourced placental examination given Australia’s stillbirth rate is substantially higher than comparable countries, and the current complexity level does not reflect the time and resources required. </w:t>
      </w:r>
      <w:r w:rsidR="00E4141C" w:rsidRPr="00F516FD">
        <w:rPr>
          <w:rFonts w:eastAsia="Franklin Gothic Book" w:cs="Franklin Gothic Book"/>
          <w:color w:val="333333"/>
        </w:rPr>
        <w:t>MSAC acknowledged that perinatal death includes stillbirths through to post-natal deaths, and hence considered that the complexity level of placental examination for stillbirths should also apply to neonatal deaths that occur</w:t>
      </w:r>
      <w:r w:rsidR="00E4141C" w:rsidRPr="00F516FD" w:rsidDel="00D8677F">
        <w:rPr>
          <w:rFonts w:eastAsia="Franklin Gothic Book" w:cs="Franklin Gothic Book"/>
          <w:color w:val="333333"/>
        </w:rPr>
        <w:t xml:space="preserve"> </w:t>
      </w:r>
      <w:r w:rsidR="00E4141C" w:rsidRPr="00F516FD">
        <w:rPr>
          <w:rFonts w:eastAsia="Franklin Gothic Book" w:cs="Franklin Gothic Book"/>
          <w:color w:val="333333"/>
        </w:rPr>
        <w:t>several days after birth</w:t>
      </w:r>
      <w:r w:rsidR="00E4141C" w:rsidRPr="00F516FD">
        <w:rPr>
          <w:rFonts w:eastAsia="Franklin Gothic Book" w:cs="Franklin Gothic Book"/>
        </w:rPr>
        <w:t xml:space="preserve"> to allow time for appropriate clinical management. MSAC advised that placental examination following stillbirth or early neonatal death (up to 7 days after birth) should be increased from level 4 to level 6 complexity, while placental examination following all other live births for which placental examination is clinically indicated or from 12 to 20 </w:t>
      </w:r>
      <w:bookmarkStart w:id="4" w:name="_Int_hwOgbkIV"/>
      <w:r w:rsidR="00E4141C" w:rsidRPr="00F516FD">
        <w:rPr>
          <w:rFonts w:eastAsia="Franklin Gothic Book" w:cs="Franklin Gothic Book"/>
        </w:rPr>
        <w:t>weeks</w:t>
      </w:r>
      <w:bookmarkEnd w:id="4"/>
      <w:r w:rsidR="00E4141C" w:rsidRPr="00F516FD">
        <w:rPr>
          <w:rFonts w:eastAsia="Franklin Gothic Book" w:cs="Franklin Gothic Book"/>
        </w:rPr>
        <w:t xml:space="preserve"> gestation (excluding dilatation and curettage samples) should be increased from level 4 to level 5 complexity. MSAC advised the financial cost to the MBS of increasing the complexity level of placental examination was acceptable.</w:t>
      </w:r>
      <w:r w:rsidR="006D42FD" w:rsidRPr="00F516FD">
        <w:rPr>
          <w:rFonts w:eastAsia="Franklin Gothic Book" w:cs="Franklin Gothic Book"/>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7D2A04" w:rsidRPr="00F516FD" w14:paraId="428A619C" w14:textId="77777777" w:rsidTr="001F546C">
        <w:trPr>
          <w:tblHeader/>
        </w:trPr>
        <w:tc>
          <w:tcPr>
            <w:tcW w:w="9016" w:type="dxa"/>
          </w:tcPr>
          <w:p w14:paraId="6BAC0D62" w14:textId="77777777" w:rsidR="007D2A04" w:rsidRPr="00F516FD" w:rsidRDefault="007D2A04" w:rsidP="001F546C">
            <w:pPr>
              <w:keepNext/>
              <w:keepLines/>
              <w:spacing w:after="200"/>
              <w:outlineLvl w:val="2"/>
              <w:rPr>
                <w:rFonts w:ascii="Franklin Gothic Medium" w:eastAsia="Calibri" w:hAnsi="Franklin Gothic Medium" w:cs="Times New Roman"/>
                <w:iCs/>
                <w:color w:val="1F3763"/>
                <w:sz w:val="24"/>
                <w:szCs w:val="24"/>
              </w:rPr>
            </w:pPr>
            <w:r w:rsidRPr="00F516FD">
              <w:rPr>
                <w:rFonts w:ascii="Franklin Gothic Medium" w:eastAsia="Times New Roman" w:hAnsi="Franklin Gothic Medium" w:cs="Times New Roman"/>
                <w:sz w:val="24"/>
                <w:szCs w:val="24"/>
              </w:rPr>
              <w:lastRenderedPageBreak/>
              <w:t>Consumer summary</w:t>
            </w:r>
          </w:p>
        </w:tc>
      </w:tr>
      <w:tr w:rsidR="007D2A04" w:rsidRPr="00F516FD" w14:paraId="7B3A4DA7" w14:textId="77777777" w:rsidTr="001F546C">
        <w:tc>
          <w:tcPr>
            <w:tcW w:w="9016" w:type="dxa"/>
          </w:tcPr>
          <w:p w14:paraId="2E29EA3A" w14:textId="0F48F1B8" w:rsidR="00FF27B2" w:rsidRPr="00F516FD" w:rsidRDefault="00FF27B2" w:rsidP="00FF27B2">
            <w:r w:rsidRPr="00F516FD">
              <w:t>This is an application from the Royal College of Pathologists of Australasia</w:t>
            </w:r>
            <w:r w:rsidR="00E4141C" w:rsidRPr="00F516FD">
              <w:t xml:space="preserve"> </w:t>
            </w:r>
            <w:r w:rsidRPr="00F516FD">
              <w:t xml:space="preserve">requesting </w:t>
            </w:r>
            <w:r w:rsidR="00371032" w:rsidRPr="00F516FD">
              <w:t>an</w:t>
            </w:r>
            <w:r w:rsidRPr="00F516FD">
              <w:t xml:space="preserve"> increase</w:t>
            </w:r>
            <w:r w:rsidR="00371032" w:rsidRPr="00F516FD">
              <w:t xml:space="preserve"> to</w:t>
            </w:r>
            <w:r w:rsidRPr="00F516FD">
              <w:t xml:space="preserve"> the complexity of placental examinations from complexity level 4 to complexity level 5 or 6 on the Pathology Services Table</w:t>
            </w:r>
            <w:r w:rsidR="008A1087" w:rsidRPr="00F516FD">
              <w:t xml:space="preserve"> (PST)</w:t>
            </w:r>
            <w:r w:rsidRPr="00F516FD">
              <w:t xml:space="preserve">. The </w:t>
            </w:r>
            <w:r w:rsidR="002D79EC" w:rsidRPr="00F516FD">
              <w:t>PST</w:t>
            </w:r>
            <w:r w:rsidRPr="00F516FD">
              <w:t xml:space="preserve"> lists pathology services that are eligible for Medicare Benefits Schedule (MBS) rebate. Increasing the complexity level would also</w:t>
            </w:r>
            <w:r w:rsidR="00371032" w:rsidRPr="00F516FD">
              <w:t xml:space="preserve"> mean an</w:t>
            </w:r>
            <w:r w:rsidRPr="00F516FD">
              <w:t xml:space="preserve"> increase </w:t>
            </w:r>
            <w:r w:rsidR="00371032" w:rsidRPr="00F516FD">
              <w:t xml:space="preserve">to </w:t>
            </w:r>
            <w:r w:rsidRPr="00F516FD">
              <w:t xml:space="preserve">the </w:t>
            </w:r>
            <w:r w:rsidR="00DE7ACA" w:rsidRPr="00F516FD">
              <w:t xml:space="preserve">MBS </w:t>
            </w:r>
            <w:r w:rsidR="00CC0881" w:rsidRPr="00F516FD">
              <w:t>rebate</w:t>
            </w:r>
            <w:r w:rsidRPr="00F516FD">
              <w:t xml:space="preserve"> for the services.</w:t>
            </w:r>
          </w:p>
          <w:p w14:paraId="4B1EC4F0" w14:textId="2A15541F" w:rsidR="00302AA6" w:rsidRPr="00F516FD" w:rsidRDefault="00CC5DA8" w:rsidP="00FF27B2">
            <w:r w:rsidRPr="00F516FD">
              <w:t>A placental examination is where a</w:t>
            </w:r>
            <w:r w:rsidR="00B9080F" w:rsidRPr="00F516FD">
              <w:t xml:space="preserve"> doctor specifically trained in pathology </w:t>
            </w:r>
            <w:r w:rsidR="000B7447" w:rsidRPr="00F516FD">
              <w:t>(pathologist)</w:t>
            </w:r>
            <w:r w:rsidR="00CF0F90" w:rsidRPr="00F516FD">
              <w:t>,</w:t>
            </w:r>
            <w:r w:rsidR="000B7447" w:rsidRPr="00F516FD">
              <w:t xml:space="preserve"> </w:t>
            </w:r>
            <w:r w:rsidR="00B9080F" w:rsidRPr="00F516FD">
              <w:t>per</w:t>
            </w:r>
            <w:r w:rsidR="004A509D" w:rsidRPr="00F516FD">
              <w:t xml:space="preserve">forms a detailed look at the placenta following birth of a baby. The </w:t>
            </w:r>
            <w:r w:rsidR="00DC319A" w:rsidRPr="00F516FD">
              <w:t>p</w:t>
            </w:r>
            <w:r w:rsidR="004A509D" w:rsidRPr="00F516FD">
              <w:t xml:space="preserve">lacenta is an organ that develops throughout pregnancy, connecting the baby to the mother. It provides the baby with oxygen and nutrients, while also removing waste products. </w:t>
            </w:r>
            <w:r w:rsidR="00166189" w:rsidRPr="00F516FD">
              <w:t xml:space="preserve">The </w:t>
            </w:r>
            <w:r w:rsidR="008A76D1" w:rsidRPr="00F516FD">
              <w:t>pathologist</w:t>
            </w:r>
            <w:r w:rsidR="00166189" w:rsidRPr="00F516FD">
              <w:t xml:space="preserve"> performing the placental examination will check its size, </w:t>
            </w:r>
            <w:proofErr w:type="gramStart"/>
            <w:r w:rsidR="00166189" w:rsidRPr="00F516FD">
              <w:t>shape</w:t>
            </w:r>
            <w:proofErr w:type="gramEnd"/>
            <w:r w:rsidR="00166189" w:rsidRPr="00F516FD">
              <w:t xml:space="preserve"> and weight</w:t>
            </w:r>
            <w:r w:rsidR="00B13008" w:rsidRPr="00F516FD">
              <w:t>, along with the condition of the placental tissue and umbilical cord</w:t>
            </w:r>
            <w:r w:rsidR="000325CC" w:rsidRPr="00F516FD">
              <w:t>. Additionally,</w:t>
            </w:r>
            <w:r w:rsidR="00983F96" w:rsidRPr="00F516FD">
              <w:t xml:space="preserve"> </w:t>
            </w:r>
            <w:proofErr w:type="gramStart"/>
            <w:r w:rsidR="00983F96" w:rsidRPr="00F516FD">
              <w:t>a number of</w:t>
            </w:r>
            <w:proofErr w:type="gramEnd"/>
            <w:r w:rsidR="00983F96" w:rsidRPr="00F516FD">
              <w:t xml:space="preserve"> </w:t>
            </w:r>
            <w:r w:rsidR="00CB1CE5" w:rsidRPr="00F516FD">
              <w:t xml:space="preserve">other </w:t>
            </w:r>
            <w:r w:rsidR="00983F96" w:rsidRPr="00F516FD">
              <w:t>tests and microscopic evaluation</w:t>
            </w:r>
            <w:r w:rsidR="000325CC" w:rsidRPr="00F516FD">
              <w:t>(s) will be used</w:t>
            </w:r>
            <w:r w:rsidR="00983F96" w:rsidRPr="00F516FD">
              <w:t xml:space="preserve"> to </w:t>
            </w:r>
            <w:r w:rsidR="000076B5" w:rsidRPr="00F516FD">
              <w:t>create a detailed report</w:t>
            </w:r>
            <w:r w:rsidR="00B13008" w:rsidRPr="00F516FD">
              <w:t xml:space="preserve">. </w:t>
            </w:r>
            <w:r w:rsidR="008A76D1" w:rsidRPr="00F516FD">
              <w:t>The</w:t>
            </w:r>
            <w:r w:rsidR="00B13008" w:rsidRPr="00F516FD">
              <w:t xml:space="preserve"> placental examination can inform doctors about signs of infection, abnormal</w:t>
            </w:r>
            <w:r w:rsidR="004D3440" w:rsidRPr="00F516FD">
              <w:t>ities</w:t>
            </w:r>
            <w:r w:rsidR="00C55A41" w:rsidRPr="00F516FD">
              <w:t xml:space="preserve"> and/or missing pieces that may provide information about potential health issues for both the </w:t>
            </w:r>
            <w:r w:rsidR="001D7FEF" w:rsidRPr="00F516FD">
              <w:t>parent</w:t>
            </w:r>
            <w:r w:rsidR="00C55A41" w:rsidRPr="00F516FD">
              <w:t xml:space="preserve"> and/or baby.</w:t>
            </w:r>
          </w:p>
          <w:p w14:paraId="6B23D893" w14:textId="113DCB6A" w:rsidR="00FF27B2" w:rsidRPr="00F516FD" w:rsidRDefault="008555EF" w:rsidP="00FF27B2">
            <w:r w:rsidRPr="00F516FD">
              <w:t xml:space="preserve">Placental examinations are important in identifying underlying issues </w:t>
            </w:r>
            <w:r w:rsidR="00BC4380" w:rsidRPr="00F516FD">
              <w:t xml:space="preserve">associated with </w:t>
            </w:r>
            <w:r w:rsidR="004459FB" w:rsidRPr="00F516FD">
              <w:t>live births,</w:t>
            </w:r>
            <w:r w:rsidRPr="00F516FD">
              <w:t xml:space="preserve"> stillbirth</w:t>
            </w:r>
            <w:r w:rsidR="00F76F16" w:rsidRPr="00F516FD">
              <w:t>s</w:t>
            </w:r>
            <w:r w:rsidR="00304849" w:rsidRPr="00F516FD">
              <w:t xml:space="preserve"> and where the death of a baby occurs within a relatively short period</w:t>
            </w:r>
            <w:r w:rsidR="00F76F16" w:rsidRPr="00F516FD">
              <w:t xml:space="preserve"> of time</w:t>
            </w:r>
            <w:r w:rsidR="00304849" w:rsidRPr="00F516FD">
              <w:t xml:space="preserve"> after birth</w:t>
            </w:r>
            <w:r w:rsidRPr="00F516FD">
              <w:t>.</w:t>
            </w:r>
            <w:r w:rsidR="00D21C1C" w:rsidRPr="00F516FD">
              <w:t xml:space="preserve"> </w:t>
            </w:r>
            <w:r w:rsidR="00FF27B2" w:rsidRPr="00F516FD">
              <w:t xml:space="preserve">The </w:t>
            </w:r>
            <w:r w:rsidR="001D7FEF" w:rsidRPr="00F516FD">
              <w:t xml:space="preserve">results of a placental examination </w:t>
            </w:r>
            <w:r w:rsidR="00FF27B2" w:rsidRPr="00F516FD">
              <w:t>help guide clinical management and improve outcomes for both the parent and baby</w:t>
            </w:r>
            <w:r w:rsidR="000247E0" w:rsidRPr="00F516FD">
              <w:t xml:space="preserve">, </w:t>
            </w:r>
            <w:r w:rsidR="000247E0" w:rsidRPr="00F516FD">
              <w:rPr>
                <w:iCs/>
              </w:rPr>
              <w:t>as well as provide information for management of subsequent pregnancies.</w:t>
            </w:r>
          </w:p>
          <w:p w14:paraId="59386108" w14:textId="2C0A2DFD" w:rsidR="00FF27B2" w:rsidRPr="00F516FD" w:rsidRDefault="00FF27B2" w:rsidP="00FF27B2">
            <w:r w:rsidRPr="00F516FD">
              <w:t xml:space="preserve">Most placental examinations </w:t>
            </w:r>
            <w:r w:rsidR="00253C76" w:rsidRPr="00F516FD">
              <w:t xml:space="preserve">are </w:t>
            </w:r>
            <w:r w:rsidRPr="00F516FD">
              <w:t>claimed under MBS item 72823 at complexity level 4</w:t>
            </w:r>
            <w:r w:rsidR="00253C76" w:rsidRPr="00F516FD">
              <w:t xml:space="preserve"> as per the PST</w:t>
            </w:r>
            <w:r w:rsidRPr="00F516FD">
              <w:t xml:space="preserve">. However, </w:t>
            </w:r>
            <w:r w:rsidR="00D128CF" w:rsidRPr="00F516FD">
              <w:t xml:space="preserve">the applicant has claimed </w:t>
            </w:r>
            <w:r w:rsidRPr="00F516FD">
              <w:t xml:space="preserve">this complexity level </w:t>
            </w:r>
            <w:r w:rsidR="00302AA6" w:rsidRPr="00F516FD">
              <w:t>(</w:t>
            </w:r>
            <w:r w:rsidR="00D128CF" w:rsidRPr="00F516FD">
              <w:t>and fee) does</w:t>
            </w:r>
            <w:r w:rsidR="000D1356" w:rsidRPr="00F516FD">
              <w:t xml:space="preserve"> n</w:t>
            </w:r>
            <w:r w:rsidRPr="00F516FD">
              <w:t xml:space="preserve">ot adequately compensate for the time and expertise </w:t>
            </w:r>
            <w:r w:rsidR="00D128CF" w:rsidRPr="00F516FD">
              <w:t xml:space="preserve">required </w:t>
            </w:r>
            <w:r w:rsidRPr="00F516FD">
              <w:t xml:space="preserve">to perform a detailed placental examination. </w:t>
            </w:r>
            <w:r w:rsidR="00D128CF" w:rsidRPr="00F516FD">
              <w:t>Due to</w:t>
            </w:r>
            <w:r w:rsidRPr="00F516FD">
              <w:t xml:space="preserve"> the current complexity level</w:t>
            </w:r>
            <w:r w:rsidR="00D128CF" w:rsidRPr="00F516FD">
              <w:t xml:space="preserve"> (and fee)</w:t>
            </w:r>
            <w:r w:rsidRPr="00F516FD">
              <w:t xml:space="preserve">, </w:t>
            </w:r>
            <w:r w:rsidR="000D1356" w:rsidRPr="00F516FD">
              <w:t xml:space="preserve">the applicant has proposed that </w:t>
            </w:r>
            <w:r w:rsidRPr="00F516FD">
              <w:t>many placental examinations are being delayed and/or not performed by pathologists with appropriate expertise.</w:t>
            </w:r>
          </w:p>
          <w:p w14:paraId="71FD0AFC" w14:textId="403B7301" w:rsidR="000D1356" w:rsidRPr="00F516FD" w:rsidRDefault="00FF27B2" w:rsidP="00FF27B2">
            <w:r w:rsidRPr="00F516FD">
              <w:t>MSAC acknowledged that there is a clinical and unmet need for appropriately funded placental examinations</w:t>
            </w:r>
            <w:r w:rsidR="007F15E3" w:rsidRPr="00F516FD">
              <w:t>.</w:t>
            </w:r>
            <w:r w:rsidRPr="00F516FD">
              <w:t xml:space="preserve"> </w:t>
            </w:r>
          </w:p>
          <w:p w14:paraId="62EF63D2" w14:textId="591A6463" w:rsidR="00FF27B2" w:rsidRPr="00F516FD" w:rsidRDefault="00FF27B2" w:rsidP="00FF27B2">
            <w:r w:rsidRPr="00F516FD">
              <w:t xml:space="preserve">MSAC </w:t>
            </w:r>
            <w:r w:rsidR="00704729" w:rsidRPr="00F516FD">
              <w:t>supported</w:t>
            </w:r>
            <w:r w:rsidRPr="00F516FD">
              <w:t xml:space="preserve"> </w:t>
            </w:r>
            <w:r w:rsidR="00704729" w:rsidRPr="00F516FD">
              <w:t>increasing</w:t>
            </w:r>
            <w:r w:rsidRPr="00F516FD">
              <w:t xml:space="preserve"> the</w:t>
            </w:r>
            <w:r w:rsidR="00704729" w:rsidRPr="00F516FD">
              <w:t xml:space="preserve"> placental examination</w:t>
            </w:r>
            <w:r w:rsidRPr="00F516FD">
              <w:t xml:space="preserve"> complexity from level 4 to level 5 (</w:t>
            </w:r>
            <w:r w:rsidR="008A1087" w:rsidRPr="00F516FD">
              <w:t xml:space="preserve">for </w:t>
            </w:r>
            <w:r w:rsidRPr="00F516FD">
              <w:t xml:space="preserve">second trimester </w:t>
            </w:r>
            <w:r w:rsidR="001005E2" w:rsidRPr="00F516FD">
              <w:t xml:space="preserve">[12 </w:t>
            </w:r>
            <w:r w:rsidR="00EE0EC3" w:rsidRPr="00F516FD">
              <w:t xml:space="preserve">to </w:t>
            </w:r>
            <w:r w:rsidR="00F76F16" w:rsidRPr="00F516FD">
              <w:t xml:space="preserve">20 </w:t>
            </w:r>
            <w:r w:rsidR="001005E2" w:rsidRPr="00F516FD">
              <w:t xml:space="preserve">weeks gestation] </w:t>
            </w:r>
            <w:r w:rsidRPr="00F516FD">
              <w:t>losses and all live births) or level 6 (</w:t>
            </w:r>
            <w:r w:rsidR="008A1087" w:rsidRPr="00F516FD">
              <w:t xml:space="preserve">for </w:t>
            </w:r>
            <w:r w:rsidRPr="00F516FD">
              <w:t>stillbirths and death</w:t>
            </w:r>
            <w:r w:rsidR="001005E2" w:rsidRPr="00F516FD">
              <w:t xml:space="preserve"> </w:t>
            </w:r>
            <w:r w:rsidR="00304849" w:rsidRPr="00F516FD">
              <w:t xml:space="preserve">of a baby </w:t>
            </w:r>
            <w:r w:rsidR="001005E2" w:rsidRPr="00F516FD">
              <w:t xml:space="preserve">occurring within </w:t>
            </w:r>
            <w:r w:rsidR="00704729" w:rsidRPr="00F516FD">
              <w:t>24 hours</w:t>
            </w:r>
            <w:r w:rsidR="00304849" w:rsidRPr="00F516FD">
              <w:t xml:space="preserve"> after birth</w:t>
            </w:r>
            <w:r w:rsidR="002E73AF" w:rsidRPr="00F516FD">
              <w:t xml:space="preserve"> [very early neonatal death]</w:t>
            </w:r>
            <w:r w:rsidRPr="00F516FD">
              <w:t>)</w:t>
            </w:r>
            <w:r w:rsidR="00704729" w:rsidRPr="00F516FD">
              <w:t>.</w:t>
            </w:r>
            <w:r w:rsidR="001005E2" w:rsidRPr="00F516FD">
              <w:t xml:space="preserve"> MSAC considered this</w:t>
            </w:r>
            <w:r w:rsidRPr="00F516FD">
              <w:t xml:space="preserve"> would better reflect the time and expertise needed to perform placental examinations. </w:t>
            </w:r>
            <w:r w:rsidR="00704729" w:rsidRPr="00F516FD">
              <w:t>Additionally</w:t>
            </w:r>
            <w:r w:rsidR="005A306A" w:rsidRPr="00F516FD">
              <w:t>,</w:t>
            </w:r>
            <w:r w:rsidRPr="00F516FD">
              <w:t xml:space="preserve"> MSAC</w:t>
            </w:r>
            <w:r w:rsidR="004E58B4" w:rsidRPr="00F516FD">
              <w:t xml:space="preserve"> recommended </w:t>
            </w:r>
            <w:r w:rsidRPr="00F516FD">
              <w:t xml:space="preserve">the proposed wording for placental tissue examination of very early neonatal deaths </w:t>
            </w:r>
            <w:r w:rsidR="0029269A" w:rsidRPr="00F516FD">
              <w:t>should be expanded to</w:t>
            </w:r>
            <w:r w:rsidR="002740FA" w:rsidRPr="00F516FD">
              <w:t xml:space="preserve"> include early</w:t>
            </w:r>
            <w:r w:rsidRPr="00F516FD">
              <w:t xml:space="preserve"> neonatal deaths up </w:t>
            </w:r>
            <w:r w:rsidR="0029269A" w:rsidRPr="00F516FD">
              <w:t>until</w:t>
            </w:r>
            <w:r w:rsidRPr="00F516FD">
              <w:t xml:space="preserve"> 7 days (rather than 24 hours) after birth. </w:t>
            </w:r>
          </w:p>
          <w:p w14:paraId="51CF84FF" w14:textId="648A0C58" w:rsidR="007D2A04" w:rsidRPr="00F516FD" w:rsidRDefault="00FF27B2" w:rsidP="00FF27B2">
            <w:r w:rsidRPr="00F516FD">
              <w:t xml:space="preserve">There was some uncertainty about estimated utilisation and uptake, but MSAC considered there was a low level of uncertainty overall as two different approaches to the financials </w:t>
            </w:r>
            <w:r w:rsidR="00415FBD" w:rsidRPr="00F516FD">
              <w:t xml:space="preserve">produced </w:t>
            </w:r>
            <w:r w:rsidRPr="00F516FD">
              <w:t>similar results</w:t>
            </w:r>
            <w:r w:rsidR="00415FBD" w:rsidRPr="00F516FD">
              <w:t xml:space="preserve"> in terms of net financial impact</w:t>
            </w:r>
            <w:r w:rsidRPr="00F516FD">
              <w:t>.</w:t>
            </w:r>
          </w:p>
          <w:p w14:paraId="212E16FC" w14:textId="77777777" w:rsidR="007D2A04" w:rsidRPr="00F516FD" w:rsidRDefault="007D2A04" w:rsidP="001F546C">
            <w:pPr>
              <w:keepNext/>
              <w:keepLines/>
              <w:outlineLvl w:val="2"/>
              <w:rPr>
                <w:rFonts w:ascii="Franklin Gothic Medium" w:eastAsia="Times New Roman" w:hAnsi="Franklin Gothic Medium" w:cs="Times New Roman"/>
                <w:sz w:val="24"/>
                <w:szCs w:val="24"/>
              </w:rPr>
            </w:pPr>
            <w:r w:rsidRPr="00F516FD">
              <w:rPr>
                <w:rFonts w:ascii="Franklin Gothic Medium" w:eastAsia="Times New Roman" w:hAnsi="Franklin Gothic Medium" w:cs="Times New Roman"/>
                <w:sz w:val="24"/>
                <w:szCs w:val="24"/>
              </w:rPr>
              <w:t xml:space="preserve">MSAC’s advice to the </w:t>
            </w:r>
            <w:proofErr w:type="gramStart"/>
            <w:r w:rsidRPr="00F516FD">
              <w:rPr>
                <w:rFonts w:ascii="Franklin Gothic Medium" w:eastAsia="Times New Roman" w:hAnsi="Franklin Gothic Medium" w:cs="Times New Roman"/>
                <w:sz w:val="24"/>
                <w:szCs w:val="24"/>
              </w:rPr>
              <w:t>Commonwealth Minister</w:t>
            </w:r>
            <w:proofErr w:type="gramEnd"/>
            <w:r w:rsidRPr="00F516FD">
              <w:rPr>
                <w:rFonts w:ascii="Franklin Gothic Medium" w:eastAsia="Times New Roman" w:hAnsi="Franklin Gothic Medium" w:cs="Times New Roman"/>
                <w:sz w:val="24"/>
                <w:szCs w:val="24"/>
              </w:rPr>
              <w:t xml:space="preserve"> for Health and Aged Care</w:t>
            </w:r>
          </w:p>
          <w:p w14:paraId="00348E0E" w14:textId="49696D8C" w:rsidR="007D2A04" w:rsidRPr="00F516FD" w:rsidRDefault="00525487" w:rsidP="006D42FD">
            <w:pPr>
              <w:spacing w:after="120"/>
              <w:rPr>
                <w:rFonts w:eastAsia="Calibri" w:cs="Times New Roman"/>
              </w:rPr>
            </w:pPr>
            <w:r w:rsidRPr="00F516FD">
              <w:t xml:space="preserve">MSAC supported increasing the complexity level and fee of placental tissue examinations. </w:t>
            </w:r>
            <w:r w:rsidR="00415FBD" w:rsidRPr="00F516FD">
              <w:t xml:space="preserve">Additionally, </w:t>
            </w:r>
            <w:r w:rsidRPr="00F516FD">
              <w:t xml:space="preserve">MSAC </w:t>
            </w:r>
            <w:r w:rsidR="00F8577D" w:rsidRPr="00F516FD">
              <w:t xml:space="preserve">recommended that </w:t>
            </w:r>
            <w:r w:rsidR="00C0440D" w:rsidRPr="00F516FD">
              <w:t>placental tissue examinations for very early neonatal deaths should be expanded to include early neonatal deaths up until 7 days at complexity level 6 on the PST</w:t>
            </w:r>
            <w:r w:rsidR="0064066C" w:rsidRPr="00F516FD">
              <w:t>.</w:t>
            </w:r>
            <w:r w:rsidR="00E92A76" w:rsidRPr="00F516FD">
              <w:t xml:space="preserve"> MSAC acknowledged there was a clinical and unmet need, and that the proposed amended complexity levels are appropriate and reflective of the time and complexity of the placental examinations.</w:t>
            </w:r>
          </w:p>
        </w:tc>
      </w:tr>
    </w:tbl>
    <w:p w14:paraId="06C20412" w14:textId="77777777" w:rsidR="007D2A04" w:rsidRPr="00F516FD" w:rsidRDefault="007D2A04" w:rsidP="007D2A04">
      <w:pPr>
        <w:pStyle w:val="Heading2"/>
        <w:numPr>
          <w:ilvl w:val="1"/>
          <w:numId w:val="0"/>
        </w:numPr>
      </w:pPr>
      <w:r w:rsidRPr="00F516FD">
        <w:lastRenderedPageBreak/>
        <w:t>3.</w:t>
      </w:r>
      <w:r w:rsidRPr="00F516FD">
        <w:tab/>
        <w:t>Summary of consideration and rationale for MSAC’s advice</w:t>
      </w:r>
    </w:p>
    <w:p w14:paraId="78A89CB9" w14:textId="0449D33E" w:rsidR="0043313B" w:rsidRPr="00F516FD" w:rsidRDefault="00A94411" w:rsidP="00B3418A">
      <w:r w:rsidRPr="00F516FD">
        <w:t>MSAC noted that this application by the Royal College of Pathologists of Australasia (RCPA) request</w:t>
      </w:r>
      <w:r w:rsidR="00BA7968" w:rsidRPr="00F516FD">
        <w:t>ed</w:t>
      </w:r>
      <w:r w:rsidRPr="00F516FD">
        <w:t xml:space="preserve"> to </w:t>
      </w:r>
      <w:r w:rsidR="00CF6564" w:rsidRPr="00F516FD">
        <w:t xml:space="preserve">amend </w:t>
      </w:r>
      <w:r w:rsidR="00BA7968" w:rsidRPr="00F516FD">
        <w:t xml:space="preserve">the </w:t>
      </w:r>
      <w:r w:rsidR="000465D1" w:rsidRPr="00F516FD">
        <w:t xml:space="preserve">complexity level (and </w:t>
      </w:r>
      <w:r w:rsidR="1799D635" w:rsidRPr="00F516FD">
        <w:t>as a result, the</w:t>
      </w:r>
      <w:r w:rsidR="000465D1" w:rsidRPr="00F516FD">
        <w:t xml:space="preserve"> fee) of the placental tissue examinations listed in </w:t>
      </w:r>
      <w:hyperlink r:id="rId9">
        <w:r w:rsidR="000465D1" w:rsidRPr="00F516FD">
          <w:rPr>
            <w:rStyle w:val="Hyperlink"/>
          </w:rPr>
          <w:t xml:space="preserve">Part 3 of the </w:t>
        </w:r>
        <w:r w:rsidR="000465D1" w:rsidRPr="00F516FD">
          <w:rPr>
            <w:rStyle w:val="Hyperlink"/>
            <w:i/>
            <w:iCs/>
          </w:rPr>
          <w:t>Health Insurance (Pathology Services Table) Regulations 2020</w:t>
        </w:r>
      </w:hyperlink>
      <w:r w:rsidR="000465D1" w:rsidRPr="00F516FD">
        <w:rPr>
          <w:i/>
          <w:iCs/>
        </w:rPr>
        <w:t xml:space="preserve">, made under the Health Insurance Act 1973 </w:t>
      </w:r>
      <w:r w:rsidR="000465D1" w:rsidRPr="00F516FD">
        <w:t xml:space="preserve">(hereafter referred to as the PST). </w:t>
      </w:r>
      <w:r w:rsidR="00994894" w:rsidRPr="00F516FD">
        <w:t xml:space="preserve"> </w:t>
      </w:r>
      <w:r w:rsidR="58BAE635" w:rsidRPr="00F516FD">
        <w:rPr>
          <w:rFonts w:eastAsia="Franklin Gothic Book" w:cs="Franklin Gothic Book"/>
        </w:rPr>
        <w:t>Placental tissue examinations are currently claimed under MBS item 72823, as are all tissue examinations listed as level 4 complexity</w:t>
      </w:r>
      <w:r w:rsidR="0F760DA8" w:rsidRPr="00F516FD">
        <w:rPr>
          <w:rFonts w:eastAsia="Franklin Gothic Book" w:cs="Franklin Gothic Book"/>
        </w:rPr>
        <w:t xml:space="preserve"> (if one, separately identified specimen is involved)</w:t>
      </w:r>
      <w:r w:rsidR="58BAE635" w:rsidRPr="00F516FD">
        <w:rPr>
          <w:rFonts w:eastAsia="Franklin Gothic Book" w:cs="Franklin Gothic Book"/>
        </w:rPr>
        <w:t>. The RCPA proposed that all placental tissue examinations be increased from level 4 complexity to levels 5 or 6, to allow them to be claimed under MBS items 72830 and 72836).</w:t>
      </w:r>
      <w:r w:rsidR="00994894" w:rsidRPr="00F516FD" w:rsidDel="00994894">
        <w:rPr>
          <w:rFonts w:eastAsia="Franklin Gothic Book" w:cs="Franklin Gothic Book"/>
        </w:rPr>
        <w:t xml:space="preserve"> </w:t>
      </w:r>
      <w:r w:rsidR="00994894" w:rsidRPr="00F516FD">
        <w:t>M</w:t>
      </w:r>
      <w:r w:rsidR="00D30026" w:rsidRPr="00F516FD">
        <w:t>SAC noted th</w:t>
      </w:r>
      <w:r w:rsidR="009F6011" w:rsidRPr="00F516FD">
        <w:t xml:space="preserve">is application contained no proposed changes to </w:t>
      </w:r>
      <w:r w:rsidR="001E2DA5" w:rsidRPr="00F516FD">
        <w:t xml:space="preserve">any </w:t>
      </w:r>
      <w:r w:rsidR="009F6011" w:rsidRPr="00F516FD">
        <w:t>MBS items</w:t>
      </w:r>
      <w:r w:rsidR="00913031" w:rsidRPr="00F516FD">
        <w:t xml:space="preserve">. Additionally, MSAC noted </w:t>
      </w:r>
      <w:r w:rsidR="00862310" w:rsidRPr="00F516FD">
        <w:t>it has not previously considered the complexity level and fee of placental tissue examination.</w:t>
      </w:r>
    </w:p>
    <w:p w14:paraId="75607C9B" w14:textId="515D26C0" w:rsidR="00A94411" w:rsidRPr="00F516FD" w:rsidRDefault="00A94411" w:rsidP="00A94411">
      <w:r w:rsidRPr="00F516FD">
        <w:t>MSAC noted that a recommendation to increase the complexity of placental tissue examinations was made by the Pathology Clinical Committee</w:t>
      </w:r>
      <w:r w:rsidR="00862310" w:rsidRPr="00F516FD">
        <w:t xml:space="preserve"> </w:t>
      </w:r>
      <w:r w:rsidRPr="00F516FD">
        <w:t xml:space="preserve">to the MBS Review Taskforce in 2017. The RCPA </w:t>
      </w:r>
      <w:r w:rsidR="00862310" w:rsidRPr="00F516FD">
        <w:t xml:space="preserve">then </w:t>
      </w:r>
      <w:r w:rsidRPr="00F516FD">
        <w:t xml:space="preserve">submitted a </w:t>
      </w:r>
      <w:r w:rsidR="00862310" w:rsidRPr="00F516FD">
        <w:t xml:space="preserve">further </w:t>
      </w:r>
      <w:r w:rsidRPr="00F516FD">
        <w:t>request to the Department in February 2023</w:t>
      </w:r>
      <w:r w:rsidR="00862310" w:rsidRPr="00F516FD">
        <w:t xml:space="preserve"> to review the complexity level(s) for items relevant to placental tissue examinations on the PST</w:t>
      </w:r>
      <w:r w:rsidRPr="00F516FD">
        <w:t xml:space="preserve">. </w:t>
      </w:r>
      <w:r w:rsidR="00862310" w:rsidRPr="00F516FD">
        <w:t xml:space="preserve">MSAC </w:t>
      </w:r>
      <w:r w:rsidR="00B3052C" w:rsidRPr="00F516FD">
        <w:t>noted that t</w:t>
      </w:r>
      <w:r w:rsidRPr="00F516FD">
        <w:t xml:space="preserve">he MSAC Executive </w:t>
      </w:r>
      <w:r w:rsidR="003E26FB" w:rsidRPr="00F516FD">
        <w:t xml:space="preserve">considered the proposal in May 2023 and </w:t>
      </w:r>
      <w:r w:rsidRPr="00F516FD">
        <w:t>recommended that the</w:t>
      </w:r>
      <w:r w:rsidR="00B3052C" w:rsidRPr="00F516FD">
        <w:t xml:space="preserve"> </w:t>
      </w:r>
      <w:r w:rsidR="003E26FB" w:rsidRPr="00F516FD">
        <w:t>r</w:t>
      </w:r>
      <w:r w:rsidRPr="00F516FD">
        <w:t xml:space="preserve">equest </w:t>
      </w:r>
      <w:r w:rsidR="00E61554" w:rsidRPr="00F516FD">
        <w:t xml:space="preserve">bypass both PASC/ESC and </w:t>
      </w:r>
      <w:r w:rsidRPr="00F516FD">
        <w:t>progress directly to MSAC</w:t>
      </w:r>
      <w:r w:rsidR="00D07F98" w:rsidRPr="00F516FD">
        <w:t>. MSAC noted the MSAC Executive requested the application</w:t>
      </w:r>
      <w:r w:rsidR="00B52CB9" w:rsidRPr="00F516FD">
        <w:t xml:space="preserve"> specifically</w:t>
      </w:r>
      <w:r w:rsidRPr="00F516FD">
        <w:t xml:space="preserve"> </w:t>
      </w:r>
      <w:r w:rsidR="009B4F17" w:rsidRPr="00F516FD">
        <w:t>quantify</w:t>
      </w:r>
      <w:r w:rsidRPr="00F516FD">
        <w:t xml:space="preserve"> the financial impact on the MBS based on real-world estimates.</w:t>
      </w:r>
    </w:p>
    <w:p w14:paraId="5627F610" w14:textId="468AAEB5" w:rsidR="00B52CB9" w:rsidRPr="00F516FD" w:rsidRDefault="00A94411" w:rsidP="00A94411">
      <w:r w:rsidRPr="00F516FD">
        <w:t>MSAC acknowledged that there is a</w:t>
      </w:r>
      <w:r w:rsidR="00B52CB9" w:rsidRPr="00F516FD">
        <w:t xml:space="preserve"> </w:t>
      </w:r>
      <w:r w:rsidR="00DA4784" w:rsidRPr="00F516FD">
        <w:t>high</w:t>
      </w:r>
      <w:r w:rsidRPr="00F516FD">
        <w:t xml:space="preserve"> clinical need for this service, as histopathological examination of the placenta following a pregnancy affected by medical complications, pregnancy loss or neonatal death may provide insight into causation</w:t>
      </w:r>
      <w:r w:rsidR="0094557E" w:rsidRPr="00F516FD">
        <w:t xml:space="preserve">. Additionally, MSAC considered </w:t>
      </w:r>
      <w:r w:rsidR="000A35AE" w:rsidRPr="00F516FD">
        <w:t>placental examinations</w:t>
      </w:r>
      <w:r w:rsidRPr="00F516FD">
        <w:t xml:space="preserve"> may also provide information relevant to the management of the current infant and/or subsequent pregnancies.</w:t>
      </w:r>
    </w:p>
    <w:p w14:paraId="1199482A" w14:textId="71AAF520" w:rsidR="00A94411" w:rsidRPr="00F516FD" w:rsidRDefault="00A94411" w:rsidP="00A94411">
      <w:r w:rsidRPr="00F516FD">
        <w:t xml:space="preserve">MSAC noted there is an unmet need, as stillbirths have been identified as an unaddressed global public health problem. The 2020 </w:t>
      </w:r>
      <w:hyperlink r:id="rId10" w:history="1">
        <w:r w:rsidRPr="00F516FD">
          <w:rPr>
            <w:rStyle w:val="Hyperlink"/>
          </w:rPr>
          <w:t>National Stillbirth Action and Implementation Plan</w:t>
        </w:r>
      </w:hyperlink>
      <w:r w:rsidRPr="00F516FD">
        <w:t xml:space="preserve"> notes that, in 2016, Australia’s late gestation (28 weeks or more) stillbirth rate was estimated to be 35% higher than countries with the lowest rates</w:t>
      </w:r>
      <w:r w:rsidR="00987255" w:rsidRPr="00F516FD">
        <w:t xml:space="preserve">. MSAC noted that the rates of stillbirth in Australia </w:t>
      </w:r>
      <w:r w:rsidR="0088657F" w:rsidRPr="00F516FD">
        <w:t>are</w:t>
      </w:r>
      <w:r w:rsidR="00987255" w:rsidRPr="00F516FD">
        <w:t xml:space="preserve"> higher for certain groups including First Nations individuals, some migrant and refugee groups and individuals living in rural and remote areas. MSAC further noted that people who experience one stillbirth have a</w:t>
      </w:r>
      <w:r w:rsidR="00FE6E6F" w:rsidRPr="00F516FD">
        <w:t>n</w:t>
      </w:r>
      <w:r w:rsidR="00987255" w:rsidRPr="00F516FD">
        <w:t xml:space="preserve"> increased risk of stillbirth in subsequent pregnancies. </w:t>
      </w:r>
      <w:r w:rsidR="00FE6E6F" w:rsidRPr="00F516FD">
        <w:t xml:space="preserve">MSAC </w:t>
      </w:r>
      <w:r w:rsidR="00D343F5" w:rsidRPr="00F516FD">
        <w:t xml:space="preserve">therefore </w:t>
      </w:r>
      <w:r w:rsidR="00FE6E6F" w:rsidRPr="00F516FD">
        <w:t xml:space="preserve">considered </w:t>
      </w:r>
      <w:r w:rsidR="0088657F" w:rsidRPr="00F516FD">
        <w:t>that</w:t>
      </w:r>
      <w:r w:rsidRPr="00F516FD">
        <w:t xml:space="preserve"> high-quality and specialised placental examinations</w:t>
      </w:r>
      <w:r w:rsidR="0088657F" w:rsidRPr="00F516FD">
        <w:t xml:space="preserve"> are vital to address this unmet clinical need</w:t>
      </w:r>
      <w:r w:rsidR="00D343F5" w:rsidRPr="00F516FD">
        <w:t>, which is in alignment with the strategy of the National Stillbirth Action and Implementation Plan</w:t>
      </w:r>
      <w:r w:rsidRPr="00F516FD">
        <w:t xml:space="preserve"> to reduce the stillbirth rate.</w:t>
      </w:r>
    </w:p>
    <w:p w14:paraId="67CCE4E3" w14:textId="43B7C87A" w:rsidR="00B11F7D" w:rsidRPr="00F516FD" w:rsidRDefault="00A94411" w:rsidP="00A94411">
      <w:r w:rsidRPr="00F516FD">
        <w:t>MSAC</w:t>
      </w:r>
      <w:r w:rsidR="007F6E0D" w:rsidRPr="00F516FD">
        <w:t xml:space="preserve"> considered that the current funding is no </w:t>
      </w:r>
      <w:r w:rsidR="00B3049C" w:rsidRPr="00F516FD">
        <w:t xml:space="preserve">longer </w:t>
      </w:r>
      <w:r w:rsidR="007F6E0D" w:rsidRPr="00F516FD">
        <w:t xml:space="preserve">commensurate with </w:t>
      </w:r>
      <w:r w:rsidR="00A92CAB" w:rsidRPr="00F516FD">
        <w:t xml:space="preserve">the duration </w:t>
      </w:r>
      <w:r w:rsidR="007F6E0D" w:rsidRPr="00F516FD">
        <w:t xml:space="preserve">and </w:t>
      </w:r>
      <w:r w:rsidR="00D626D0" w:rsidRPr="00F516FD">
        <w:t xml:space="preserve">increased </w:t>
      </w:r>
      <w:r w:rsidR="007F6E0D" w:rsidRPr="00F516FD">
        <w:t xml:space="preserve">complexity of placental examinations </w:t>
      </w:r>
      <w:r w:rsidR="00A77F00" w:rsidRPr="00F516FD">
        <w:t>which has evolved over time,</w:t>
      </w:r>
      <w:r w:rsidR="007F6E0D" w:rsidRPr="00F516FD">
        <w:t xml:space="preserve"> that are performed by highly trained pathologists.</w:t>
      </w:r>
    </w:p>
    <w:p w14:paraId="6592B6C4" w14:textId="08C3266D" w:rsidR="005075D3" w:rsidRPr="00F516FD" w:rsidDel="00ED7E7C" w:rsidRDefault="005075D3" w:rsidP="005075D3">
      <w:r w:rsidRPr="00F516FD" w:rsidDel="00ED7E7C">
        <w:t>MSAC noted that</w:t>
      </w:r>
      <w:r w:rsidRPr="00F516FD">
        <w:t xml:space="preserve"> this application bypassed PASC</w:t>
      </w:r>
      <w:r w:rsidR="00844C8C" w:rsidRPr="00F516FD">
        <w:t>/ESC</w:t>
      </w:r>
      <w:r w:rsidRPr="00F516FD">
        <w:t xml:space="preserve"> and</w:t>
      </w:r>
      <w:r w:rsidRPr="00F516FD" w:rsidDel="00ED7E7C">
        <w:t xml:space="preserve"> </w:t>
      </w:r>
      <w:r w:rsidR="00844C8C" w:rsidRPr="00F516FD">
        <w:t>as a result,</w:t>
      </w:r>
      <w:r w:rsidRPr="00F516FD" w:rsidDel="00ED7E7C">
        <w:t xml:space="preserve"> a formal PICO was not defined for this assessment. </w:t>
      </w:r>
      <w:r w:rsidRPr="00F516FD">
        <w:t xml:space="preserve">MSAC noted </w:t>
      </w:r>
      <w:r w:rsidR="00E86A23" w:rsidRPr="00F516FD">
        <w:t>the</w:t>
      </w:r>
      <w:r w:rsidRPr="00F516FD">
        <w:t xml:space="preserve"> t</w:t>
      </w:r>
      <w:r w:rsidRPr="00F516FD" w:rsidDel="00ED7E7C">
        <w:t xml:space="preserve">hree populations proposed </w:t>
      </w:r>
      <w:r w:rsidR="00E86A23" w:rsidRPr="00F516FD">
        <w:t>in the assessment report</w:t>
      </w:r>
      <w:r w:rsidRPr="00F516FD" w:rsidDel="00ED7E7C">
        <w:t>:</w:t>
      </w:r>
    </w:p>
    <w:p w14:paraId="487A656E" w14:textId="41A5D068" w:rsidR="005075D3" w:rsidRPr="00F516FD" w:rsidDel="00ED7E7C" w:rsidRDefault="005075D3" w:rsidP="005075D3">
      <w:pPr>
        <w:pStyle w:val="ListParagraph"/>
        <w:numPr>
          <w:ilvl w:val="0"/>
          <w:numId w:val="24"/>
        </w:numPr>
        <w:spacing w:before="0" w:after="0" w:line="240" w:lineRule="auto"/>
      </w:pPr>
      <w:r w:rsidRPr="00F516FD" w:rsidDel="00ED7E7C">
        <w:t xml:space="preserve">Population 1: stillbirth of a baby delivered at or after 20 weeks’ gestation or a very early neonatal death occurring within </w:t>
      </w:r>
      <w:r w:rsidRPr="00F516FD">
        <w:t>24</w:t>
      </w:r>
      <w:r w:rsidR="00BC4380" w:rsidRPr="00F516FD">
        <w:t xml:space="preserve"> </w:t>
      </w:r>
      <w:proofErr w:type="gramStart"/>
      <w:r w:rsidRPr="00F516FD">
        <w:t>hours</w:t>
      </w:r>
      <w:proofErr w:type="gramEnd"/>
    </w:p>
    <w:p w14:paraId="1A91F9D7" w14:textId="77777777" w:rsidR="005075D3" w:rsidRPr="00F516FD" w:rsidDel="00ED7E7C" w:rsidRDefault="005075D3" w:rsidP="005075D3">
      <w:pPr>
        <w:pStyle w:val="ListParagraph"/>
        <w:numPr>
          <w:ilvl w:val="0"/>
          <w:numId w:val="24"/>
        </w:numPr>
        <w:spacing w:before="0" w:after="0" w:line="240" w:lineRule="auto"/>
      </w:pPr>
      <w:r w:rsidRPr="00F516FD" w:rsidDel="00ED7E7C">
        <w:t>Population 2: second trimester pregnancy occurring at greater than 12 weeks and delivered before 20 weeks’ gestation (excluding dilatation and curettage samples)</w:t>
      </w:r>
    </w:p>
    <w:p w14:paraId="6D2A6E84" w14:textId="77777777" w:rsidR="005075D3" w:rsidRPr="00F516FD" w:rsidDel="00ED7E7C" w:rsidRDefault="005075D3" w:rsidP="005075D3">
      <w:pPr>
        <w:pStyle w:val="ListParagraph"/>
        <w:numPr>
          <w:ilvl w:val="0"/>
          <w:numId w:val="24"/>
        </w:numPr>
        <w:spacing w:before="0" w:after="0" w:line="240" w:lineRule="auto"/>
      </w:pPr>
      <w:r w:rsidRPr="00F516FD" w:rsidDel="00ED7E7C">
        <w:t>Population 3: live birth at any gestation (note: this excludes very early neonatal death as captured in Population 1).</w:t>
      </w:r>
    </w:p>
    <w:p w14:paraId="0FDEADC0" w14:textId="79C70AB5" w:rsidR="005075D3" w:rsidRPr="00F516FD" w:rsidDel="00ED7E7C" w:rsidRDefault="00927331" w:rsidP="005075D3">
      <w:r w:rsidRPr="00F516FD">
        <w:lastRenderedPageBreak/>
        <w:t xml:space="preserve">MSAC considered the comparator to be the existing, unchanged complexity levels for placental examination. </w:t>
      </w:r>
      <w:r w:rsidR="005075D3" w:rsidRPr="00F516FD" w:rsidDel="00ED7E7C">
        <w:t>MSAC noted that the proposed change to the complexity level and fee of placental histopathology is not expected to impact the clinical pathway. The clinical indications for the service remain the same and no downstream impacts are anticipated. The criteria for placental examination are documented in Australian clinical practice guidelines. MSAC noted that there is some inconsistency between guidelines</w:t>
      </w:r>
      <w:r w:rsidR="005E4129" w:rsidRPr="00F516FD">
        <w:t xml:space="preserve"> with regards to the indications for placental examination and</w:t>
      </w:r>
      <w:r w:rsidR="005075D3" w:rsidRPr="00F516FD" w:rsidDel="00ED7E7C">
        <w:t xml:space="preserve"> considered that this may lead to inconsistent rates of referral to pathology between settings or jurisdictions.</w:t>
      </w:r>
    </w:p>
    <w:p w14:paraId="50ED1875" w14:textId="21568FE5" w:rsidR="00ED7E7C" w:rsidRPr="00F516FD" w:rsidRDefault="00A94411" w:rsidP="00A94411">
      <w:r w:rsidRPr="00F516FD">
        <w:t>MSAC noted th</w:t>
      </w:r>
      <w:r w:rsidR="00C13ADB" w:rsidRPr="00F516FD">
        <w:t>e public</w:t>
      </w:r>
      <w:r w:rsidRPr="00F516FD">
        <w:t xml:space="preserve"> consultation feedback was </w:t>
      </w:r>
      <w:r w:rsidR="00C13ADB" w:rsidRPr="00F516FD">
        <w:t xml:space="preserve">broadly </w:t>
      </w:r>
      <w:r w:rsidRPr="00F516FD">
        <w:t xml:space="preserve">supportive of </w:t>
      </w:r>
      <w:r w:rsidR="00E22749" w:rsidRPr="00F516FD">
        <w:t>the application for increasing the complexity level for items relevant to placental tissue examinations on the PST</w:t>
      </w:r>
      <w:r w:rsidRPr="00F516FD">
        <w:t xml:space="preserve">. Australian Pathology strongly supported better alignment between rebates and labour costs involved in conducting examinations. </w:t>
      </w:r>
      <w:r w:rsidR="008D37EE" w:rsidRPr="00F516FD">
        <w:t xml:space="preserve">Additionally, Australian Pathology </w:t>
      </w:r>
      <w:r w:rsidR="00B03411" w:rsidRPr="00F516FD">
        <w:t>emphasised the need for the re-establishment of</w:t>
      </w:r>
      <w:r w:rsidRPr="00F516FD">
        <w:t xml:space="preserve"> </w:t>
      </w:r>
      <w:r w:rsidR="00B03411" w:rsidRPr="00F516FD">
        <w:t xml:space="preserve">a </w:t>
      </w:r>
      <w:r w:rsidRPr="00F516FD">
        <w:t xml:space="preserve">clinical committee that reviewed histological examination complexity levels to ensure they remained aligned with contemporary pathology practice. </w:t>
      </w:r>
      <w:r w:rsidR="00314FCF" w:rsidRPr="00F516FD">
        <w:t>The Royal Australian and New Zealand College of Obstetricians and Gynaecologists (RANZCOG) also strongly agreed with the proposed complexity and fees</w:t>
      </w:r>
      <w:r w:rsidR="009A52DF" w:rsidRPr="00F516FD">
        <w:t>.</w:t>
      </w:r>
      <w:r w:rsidR="00314FCF" w:rsidRPr="00F516FD">
        <w:t xml:space="preserve"> </w:t>
      </w:r>
      <w:r w:rsidRPr="00F516FD">
        <w:t>Public Pathology Australia also strongly agreed with the need to increase the complexity level. However, it suggested that complexity levels</w:t>
      </w:r>
      <w:r w:rsidR="00185CEE" w:rsidRPr="00F516FD">
        <w:t xml:space="preserve"> for</w:t>
      </w:r>
      <w:r w:rsidRPr="00F516FD">
        <w:t xml:space="preserve"> twin and triplet placentas should be assigned complexity level 6 (given the work involved and length of the report)</w:t>
      </w:r>
      <w:r w:rsidR="00185CEE" w:rsidRPr="00F516FD">
        <w:t>;</w:t>
      </w:r>
      <w:r w:rsidRPr="00F516FD">
        <w:t xml:space="preserve"> second trimester pregnancy loss placentas should come under complexity level 6 (rather than the proposed level 5)</w:t>
      </w:r>
      <w:r w:rsidR="00185CEE" w:rsidRPr="00F516FD">
        <w:t>;</w:t>
      </w:r>
      <w:r w:rsidRPr="00F516FD">
        <w:t xml:space="preserve"> and stillbirth placentas should come under complexity level 7 (rather than the proposed level 6</w:t>
      </w:r>
      <w:r w:rsidR="00083ABB" w:rsidRPr="00F516FD">
        <w:t>).</w:t>
      </w:r>
    </w:p>
    <w:p w14:paraId="53317B44" w14:textId="10DB0109" w:rsidR="00F957B5" w:rsidRPr="00F516FD" w:rsidRDefault="004D56BE" w:rsidP="00A94411">
      <w:r w:rsidRPr="00F516FD">
        <w:t xml:space="preserve">MSAC noted that the application proposed an increase to the complexity levels (and associated fees) of the placental tissue examinations listed in the PST from complexity level 4 to level 5 or 6. </w:t>
      </w:r>
      <w:r w:rsidR="00A94411" w:rsidRPr="00F516FD">
        <w:t xml:space="preserve">MSAC noted that MBS General Note 10.26 states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 </w:t>
      </w:r>
      <w:r w:rsidR="00B430D6" w:rsidRPr="00F516FD">
        <w:t>MSAC noted the proposed</w:t>
      </w:r>
      <w:r w:rsidR="00A94411" w:rsidRPr="00F516FD">
        <w:t xml:space="preserve"> changes</w:t>
      </w:r>
      <w:r w:rsidR="003A4EC7" w:rsidRPr="00F516FD">
        <w:t xml:space="preserve"> to placental tissue examinations from complexity level 4 to level 5 or 6</w:t>
      </w:r>
      <w:r w:rsidR="00A94411" w:rsidRPr="00F516FD">
        <w:t xml:space="preserve"> would increase the fee from $97.15 (</w:t>
      </w:r>
      <w:r w:rsidR="00B430D6" w:rsidRPr="00F516FD">
        <w:t xml:space="preserve">for </w:t>
      </w:r>
      <w:r w:rsidR="00A94411" w:rsidRPr="00F516FD">
        <w:t>level 4) to $274.15 (level 5) or $417.20 (level 6)</w:t>
      </w:r>
      <w:r w:rsidR="00A33056" w:rsidRPr="00F516FD">
        <w:t>,</w:t>
      </w:r>
      <w:r w:rsidR="00832186" w:rsidRPr="00F516FD">
        <w:t xml:space="preserve"> respectively</w:t>
      </w:r>
      <w:r w:rsidR="00A94411" w:rsidRPr="00F516FD">
        <w:t xml:space="preserve">. </w:t>
      </w:r>
      <w:r w:rsidR="00034038" w:rsidRPr="00F516FD">
        <w:t xml:space="preserve">MSAC noted that the proposed complexity level increase is based on the time taken to complete a placental examination. MSAC noted that </w:t>
      </w:r>
      <w:proofErr w:type="gramStart"/>
      <w:r w:rsidR="00034038" w:rsidRPr="00F516FD">
        <w:t>the majority of</w:t>
      </w:r>
      <w:proofErr w:type="gramEnd"/>
      <w:r w:rsidR="00034038" w:rsidRPr="00F516FD">
        <w:t xml:space="preserve"> placental tissue examinations are currently claimed under MBS item 72823 (complexity level 4), which was based on a single gastrointestinal biopsy specimen with a corresponding time value of 5 minutes (one block of labour). </w:t>
      </w:r>
      <w:r w:rsidR="00617359" w:rsidRPr="00F516FD">
        <w:t xml:space="preserve">MSAC noted the </w:t>
      </w:r>
      <w:r w:rsidR="00034038" w:rsidRPr="00F516FD">
        <w:t xml:space="preserve">applicant’s statement that the average examination time for one placenta, including gross examination and measurements, sampling for ancillary studies, dissection, tissue processing, staining, </w:t>
      </w:r>
      <w:proofErr w:type="gramStart"/>
      <w:r w:rsidR="00034038" w:rsidRPr="00F516FD">
        <w:t>microscopy</w:t>
      </w:r>
      <w:proofErr w:type="gramEnd"/>
      <w:r w:rsidR="00034038" w:rsidRPr="00F516FD">
        <w:t xml:space="preserve"> and reporting, </w:t>
      </w:r>
      <w:r w:rsidR="006C36C0" w:rsidRPr="00F516FD">
        <w:t>would require</w:t>
      </w:r>
      <w:r w:rsidR="00034038" w:rsidRPr="00F516FD">
        <w:t xml:space="preserve"> a minimum of 30 minutes</w:t>
      </w:r>
      <w:r w:rsidR="00617359" w:rsidRPr="00F516FD">
        <w:t>, with this increasing to 45-60 minutes i</w:t>
      </w:r>
      <w:r w:rsidR="00034038" w:rsidRPr="00F516FD">
        <w:t xml:space="preserve">n complex cases associated with a neonatal death or stillbirth. For each placenta, this equates to at least 5–6 blocks of </w:t>
      </w:r>
      <w:r w:rsidR="006235B8" w:rsidRPr="00F516FD">
        <w:t>tissue</w:t>
      </w:r>
      <w:r w:rsidR="00034038" w:rsidRPr="00F516FD">
        <w:t xml:space="preserve"> or more</w:t>
      </w:r>
      <w:r w:rsidR="00617359" w:rsidRPr="00F516FD">
        <w:t xml:space="preserve"> in the </w:t>
      </w:r>
      <w:r w:rsidR="005974B4" w:rsidRPr="00F516FD">
        <w:t>case of complex cases.</w:t>
      </w:r>
      <w:r w:rsidR="00034038" w:rsidRPr="00F516FD">
        <w:t xml:space="preserve"> </w:t>
      </w:r>
      <w:r w:rsidR="005974B4" w:rsidRPr="00F516FD">
        <w:t>MSAC considered this time requirement to be in alignment with expert clinical advice obtained during assessment of the current application</w:t>
      </w:r>
      <w:r w:rsidR="008110C4" w:rsidRPr="00F516FD">
        <w:t>. Additionally, MSAC considered that the time requirements also aligned with the macroscopic and microscopy examinations of the placenta outlined in the</w:t>
      </w:r>
      <w:r w:rsidR="00EB5258" w:rsidRPr="00F516FD">
        <w:t xml:space="preserve"> </w:t>
      </w:r>
      <w:hyperlink r:id="rId11" w:history="1">
        <w:r w:rsidR="000B203D" w:rsidRPr="00F516FD">
          <w:rPr>
            <w:rStyle w:val="Hyperlink"/>
          </w:rPr>
          <w:t>RCPA standard protocol</w:t>
        </w:r>
      </w:hyperlink>
      <w:r w:rsidR="000B203D" w:rsidRPr="00F516FD">
        <w:t xml:space="preserve"> </w:t>
      </w:r>
      <w:r w:rsidR="008110C4" w:rsidRPr="00F516FD">
        <w:t xml:space="preserve">and </w:t>
      </w:r>
      <w:r w:rsidR="000B203D" w:rsidRPr="00F516FD">
        <w:t xml:space="preserve">the exemplar placental histopathology </w:t>
      </w:r>
      <w:hyperlink r:id="rId12" w:history="1">
        <w:r w:rsidR="000B203D" w:rsidRPr="00F516FD">
          <w:rPr>
            <w:rStyle w:val="Hyperlink"/>
          </w:rPr>
          <w:t>request form</w:t>
        </w:r>
      </w:hyperlink>
      <w:r w:rsidR="000B203D" w:rsidRPr="00F516FD">
        <w:t xml:space="preserve"> provided in the clinical guidelines developed by the Centre of Research Excellence in Stillbirth</w:t>
      </w:r>
      <w:r w:rsidR="003A39C9" w:rsidRPr="00F516FD">
        <w:t xml:space="preserve"> (Stillbirth CRE)</w:t>
      </w:r>
      <w:r w:rsidR="000B203D" w:rsidRPr="00F516FD">
        <w:t xml:space="preserve"> and Perinatal Society of Australia and New Zealand</w:t>
      </w:r>
      <w:r w:rsidR="00520F0C" w:rsidRPr="00F516FD">
        <w:t xml:space="preserve"> (PSANZ)</w:t>
      </w:r>
      <w:r w:rsidR="00DC2CEC" w:rsidRPr="00F516FD">
        <w:t>, respectively</w:t>
      </w:r>
      <w:r w:rsidR="000B203D" w:rsidRPr="00F516FD">
        <w:t>.</w:t>
      </w:r>
      <w:r w:rsidR="005974B4" w:rsidRPr="00F516FD">
        <w:t xml:space="preserve"> </w:t>
      </w:r>
      <w:r w:rsidR="00A33056" w:rsidRPr="00F516FD">
        <w:t>MSAC considered the increased times for placental tissue examinations justified the need for increase</w:t>
      </w:r>
      <w:r w:rsidR="00832309" w:rsidRPr="00F516FD">
        <w:t xml:space="preserve"> in complexity level and</w:t>
      </w:r>
      <w:r w:rsidR="00A33056" w:rsidRPr="00F516FD">
        <w:t xml:space="preserve"> fee – commensurate of the time and expert training required to perform these examinations</w:t>
      </w:r>
      <w:r w:rsidR="000B203D" w:rsidRPr="00F516FD">
        <w:t>.</w:t>
      </w:r>
    </w:p>
    <w:p w14:paraId="293DEE08" w14:textId="1422EF8C" w:rsidR="00DC5C9A" w:rsidRPr="00F516FD" w:rsidRDefault="006465B5" w:rsidP="00252567">
      <w:r w:rsidRPr="00F516FD">
        <w:t>MSAC noted th</w:t>
      </w:r>
      <w:r w:rsidR="00A84973" w:rsidRPr="00F516FD">
        <w:t xml:space="preserve">at the assessment report </w:t>
      </w:r>
      <w:r w:rsidR="000A7B73" w:rsidRPr="00F516FD">
        <w:t xml:space="preserve">proposed </w:t>
      </w:r>
      <w:r w:rsidR="00A84973" w:rsidRPr="00F516FD">
        <w:t xml:space="preserve">new items and </w:t>
      </w:r>
      <w:r w:rsidRPr="00F516FD">
        <w:t xml:space="preserve">revised wording to the </w:t>
      </w:r>
      <w:r w:rsidR="000A7B73" w:rsidRPr="00F516FD">
        <w:t xml:space="preserve">placental histopathology and related examinations </w:t>
      </w:r>
      <w:r w:rsidR="00163D21" w:rsidRPr="00F516FD">
        <w:t xml:space="preserve">currently </w:t>
      </w:r>
      <w:r w:rsidR="000A7B73" w:rsidRPr="00F516FD">
        <w:t xml:space="preserve">on the </w:t>
      </w:r>
      <w:r w:rsidRPr="00F516FD">
        <w:t>PST</w:t>
      </w:r>
      <w:r w:rsidR="00A9558F" w:rsidRPr="00F516FD">
        <w:t xml:space="preserve"> (</w:t>
      </w:r>
      <w:r w:rsidR="00A9558F" w:rsidRPr="00F516FD">
        <w:fldChar w:fldCharType="begin"/>
      </w:r>
      <w:r w:rsidR="00A9558F" w:rsidRPr="00F516FD">
        <w:instrText xml:space="preserve"> REF _Ref167446535 \h </w:instrText>
      </w:r>
      <w:r w:rsidR="00F516FD">
        <w:instrText xml:space="preserve"> \* MERGEFORMAT </w:instrText>
      </w:r>
      <w:r w:rsidR="00A9558F" w:rsidRPr="00F516FD">
        <w:fldChar w:fldCharType="separate"/>
      </w:r>
      <w:r w:rsidR="002A4535" w:rsidRPr="00F516FD">
        <w:t xml:space="preserve">Table </w:t>
      </w:r>
      <w:r w:rsidR="002A4535" w:rsidRPr="00F516FD">
        <w:rPr>
          <w:noProof/>
        </w:rPr>
        <w:t>4</w:t>
      </w:r>
      <w:r w:rsidR="00A9558F" w:rsidRPr="00F516FD">
        <w:fldChar w:fldCharType="end"/>
      </w:r>
      <w:r w:rsidR="00A9558F" w:rsidRPr="00F516FD">
        <w:t>)</w:t>
      </w:r>
      <w:r w:rsidR="00A84973" w:rsidRPr="00F516FD">
        <w:t>.</w:t>
      </w:r>
      <w:r w:rsidR="00163D21" w:rsidRPr="00F516FD">
        <w:t xml:space="preserve"> </w:t>
      </w:r>
      <w:r w:rsidR="00252567" w:rsidRPr="00F516FD">
        <w:t xml:space="preserve">MSAC noted that the ‘products of conception’ specimen types had been further defined following input from </w:t>
      </w:r>
      <w:r w:rsidR="00252567" w:rsidRPr="00F516FD">
        <w:lastRenderedPageBreak/>
        <w:t>RCPA and included revised wording by the Department</w:t>
      </w:r>
      <w:r w:rsidR="007A11B6" w:rsidRPr="00F516FD">
        <w:t xml:space="preserve"> to ‘Products of conception, termination of pregnancy less than 12 weeks’; and ‘Products of conception first trimester (&lt;12 weeks) pregnancy, or second trimester (&lt;20weeks) with D&amp;C tissue only’. </w:t>
      </w:r>
      <w:r w:rsidR="00252567" w:rsidRPr="00F516FD">
        <w:t>MSAC noted that these specimen types were not proposed to change in complexity level</w:t>
      </w:r>
      <w:r w:rsidR="00980420" w:rsidRPr="00F516FD">
        <w:t>, remaining at complexity level 3 and 4 respectively</w:t>
      </w:r>
      <w:r w:rsidR="00252567" w:rsidRPr="00F516FD">
        <w:t xml:space="preserve">. </w:t>
      </w:r>
      <w:r w:rsidR="00582A15" w:rsidRPr="00F516FD">
        <w:t>MSAC considered that the terminology ‘products of conception’ is a clinical</w:t>
      </w:r>
      <w:r w:rsidR="0D71F0ED" w:rsidRPr="00F516FD">
        <w:t>ly</w:t>
      </w:r>
      <w:r w:rsidR="00582A15" w:rsidRPr="00F516FD">
        <w:t xml:space="preserve"> </w:t>
      </w:r>
      <w:r w:rsidR="5B48572A" w:rsidRPr="00F516FD">
        <w:rPr>
          <w:rFonts w:eastAsia="Franklin Gothic Book" w:cs="Franklin Gothic Book"/>
        </w:rPr>
        <w:t>factual term and is not a new concept that has been introduced as part of the change</w:t>
      </w:r>
      <w:r w:rsidR="5FFB8276" w:rsidRPr="00F516FD">
        <w:rPr>
          <w:rFonts w:eastAsia="Franklin Gothic Book" w:cs="Franklin Gothic Book"/>
        </w:rPr>
        <w:t>.</w:t>
      </w:r>
      <w:r w:rsidR="00582A15" w:rsidRPr="00F516FD">
        <w:t xml:space="preserve"> </w:t>
      </w:r>
      <w:r w:rsidR="00DC5C9A" w:rsidRPr="00F516FD">
        <w:t>MSAC recommended that consult</w:t>
      </w:r>
      <w:r w:rsidR="47EE64C9" w:rsidRPr="00F516FD">
        <w:t xml:space="preserve">ation occur </w:t>
      </w:r>
      <w:r w:rsidR="00DC5C9A" w:rsidRPr="00F516FD">
        <w:t>to advise if th</w:t>
      </w:r>
      <w:r w:rsidR="000030ED" w:rsidRPr="00F516FD">
        <w:t>is</w:t>
      </w:r>
      <w:r w:rsidR="00DC5C9A" w:rsidRPr="00F516FD">
        <w:t xml:space="preserve"> term</w:t>
      </w:r>
      <w:r w:rsidR="000030ED" w:rsidRPr="00F516FD">
        <w:t>inology</w:t>
      </w:r>
      <w:r w:rsidR="00DC5C9A" w:rsidRPr="00F516FD">
        <w:t xml:space="preserve"> </w:t>
      </w:r>
      <w:r w:rsidR="00495855" w:rsidRPr="00F516FD">
        <w:t>remains</w:t>
      </w:r>
      <w:r w:rsidR="00DC5C9A" w:rsidRPr="00F516FD">
        <w:t xml:space="preserve"> </w:t>
      </w:r>
      <w:proofErr w:type="gramStart"/>
      <w:r w:rsidR="003C16FE" w:rsidRPr="00F516FD">
        <w:t>appropriate</w:t>
      </w:r>
      <w:r w:rsidR="00495855" w:rsidRPr="00F516FD">
        <w:t>,</w:t>
      </w:r>
      <w:r w:rsidR="003C16FE" w:rsidRPr="00F516FD">
        <w:t xml:space="preserve"> or</w:t>
      </w:r>
      <w:proofErr w:type="gramEnd"/>
      <w:r w:rsidR="00DC5C9A" w:rsidRPr="00F516FD">
        <w:t xml:space="preserve"> </w:t>
      </w:r>
      <w:r w:rsidR="00DA1A26" w:rsidRPr="00F516FD">
        <w:t>is outdated and require</w:t>
      </w:r>
      <w:r w:rsidR="001464F0" w:rsidRPr="00F516FD">
        <w:t>s</w:t>
      </w:r>
      <w:r w:rsidR="00DA1A26" w:rsidRPr="00F516FD">
        <w:t xml:space="preserve"> revision.</w:t>
      </w:r>
    </w:p>
    <w:p w14:paraId="71ECEDA4" w14:textId="7CC67EE9" w:rsidR="00F25F3A" w:rsidRPr="00F516FD" w:rsidRDefault="00252567" w:rsidP="00F25F3A">
      <w:r w:rsidRPr="00F516FD">
        <w:t>Additionally, MSAC noted that although ‘</w:t>
      </w:r>
      <w:proofErr w:type="spellStart"/>
      <w:r w:rsidRPr="00F516FD">
        <w:t>Fetus</w:t>
      </w:r>
      <w:proofErr w:type="spellEnd"/>
      <w:r w:rsidRPr="00F516FD">
        <w:t xml:space="preserve"> with dissection’ was rel</w:t>
      </w:r>
      <w:r w:rsidR="00E86A23" w:rsidRPr="00F516FD">
        <w:t>ated</w:t>
      </w:r>
      <w:r w:rsidRPr="00F516FD">
        <w:t xml:space="preserve"> to placental tissue examinations in the PST, this specimen type was not proposed to change in complexity level – nor require</w:t>
      </w:r>
      <w:r w:rsidR="003C331C" w:rsidRPr="00F516FD">
        <w:t>d</w:t>
      </w:r>
      <w:r w:rsidRPr="00F516FD">
        <w:t xml:space="preserve"> any wording updates to the descriptor.</w:t>
      </w:r>
    </w:p>
    <w:p w14:paraId="18F7CC33" w14:textId="4C3733AE" w:rsidR="00464CFC" w:rsidRPr="00F516FD" w:rsidRDefault="00A94411" w:rsidP="00A94411">
      <w:r w:rsidRPr="00F516FD">
        <w:t>MSAC noted that the reference to “registered” or “non-registered” baby was removed to avoid causing offence</w:t>
      </w:r>
      <w:r w:rsidR="00A31059" w:rsidRPr="00F516FD">
        <w:t>. MSAC considered that</w:t>
      </w:r>
      <w:r w:rsidRPr="00F516FD">
        <w:t xml:space="preserve"> all deliveries at or after 20 weeks’ gestation</w:t>
      </w:r>
      <w:r w:rsidR="00A31059" w:rsidRPr="00F516FD">
        <w:t xml:space="preserve"> –</w:t>
      </w:r>
      <w:r w:rsidRPr="00F516FD">
        <w:t xml:space="preserve"> including stillborn babies</w:t>
      </w:r>
      <w:r w:rsidR="00A31059" w:rsidRPr="00F516FD">
        <w:t xml:space="preserve"> –</w:t>
      </w:r>
      <w:r w:rsidRPr="00F516FD">
        <w:t xml:space="preserve"> are registered as births in Australia. </w:t>
      </w:r>
      <w:r w:rsidR="00531C26" w:rsidRPr="00F516FD">
        <w:t>MSAC noted that t</w:t>
      </w:r>
      <w:r w:rsidRPr="00F516FD">
        <w:t xml:space="preserve">he proposed complexity level descriptors for placental histopathology </w:t>
      </w:r>
      <w:r w:rsidR="00E86A23" w:rsidRPr="00F516FD">
        <w:t>include</w:t>
      </w:r>
      <w:r w:rsidR="00980420" w:rsidRPr="00F516FD">
        <w:t>d</w:t>
      </w:r>
      <w:r w:rsidR="00E86A23" w:rsidRPr="00F516FD">
        <w:t xml:space="preserve"> </w:t>
      </w:r>
      <w:r w:rsidRPr="00F516FD">
        <w:t>refer</w:t>
      </w:r>
      <w:r w:rsidR="00E86A23" w:rsidRPr="00F516FD">
        <w:t>ence</w:t>
      </w:r>
      <w:r w:rsidRPr="00F516FD">
        <w:t xml:space="preserve"> to gestational age,</w:t>
      </w:r>
      <w:r w:rsidR="00C24242" w:rsidRPr="00F516FD">
        <w:t xml:space="preserve"> </w:t>
      </w:r>
      <w:r w:rsidRPr="00F516FD">
        <w:t xml:space="preserve">based </w:t>
      </w:r>
      <w:r w:rsidR="00C24242" w:rsidRPr="00F516FD">
        <w:t>upon advice from the</w:t>
      </w:r>
      <w:r w:rsidRPr="00F516FD">
        <w:t xml:space="preserve"> MSAC Executive</w:t>
      </w:r>
      <w:r w:rsidR="007D330B" w:rsidRPr="00F516FD">
        <w:t xml:space="preserve"> in May 2023</w:t>
      </w:r>
      <w:r w:rsidR="00C24242" w:rsidRPr="00F516FD">
        <w:t xml:space="preserve">. This advice was predicated on the </w:t>
      </w:r>
      <w:r w:rsidRPr="00F516FD">
        <w:t xml:space="preserve">concern that </w:t>
      </w:r>
      <w:r w:rsidR="00E86A23" w:rsidRPr="00F516FD">
        <w:t>absence of gestational age</w:t>
      </w:r>
      <w:r w:rsidR="007D330B" w:rsidRPr="00F516FD">
        <w:t xml:space="preserve"> in the descriptors may result in </w:t>
      </w:r>
      <w:r w:rsidRPr="00F516FD">
        <w:t>use beyond their indication to examine tissue from early pregnancy loss</w:t>
      </w:r>
      <w:r w:rsidR="005D01FE" w:rsidRPr="00F516FD">
        <w:t xml:space="preserve"> and result in leakage. MSAC considered the concerns raised by the MSAC Executive and agreed that the proposed complexity level descriptors should refer to gestational age. </w:t>
      </w:r>
      <w:r w:rsidR="00566DD5" w:rsidRPr="00F516FD">
        <w:t xml:space="preserve">Additionally, </w:t>
      </w:r>
      <w:r w:rsidRPr="00F516FD">
        <w:t>MSAC noted that the proposed wording “loss” was removed as some clinicians may not consider terminations to be “pregnancy loss”.</w:t>
      </w:r>
    </w:p>
    <w:p w14:paraId="3D998B3C" w14:textId="24A1403C" w:rsidR="00A94411" w:rsidRPr="00F516FD" w:rsidRDefault="007C1DE0" w:rsidP="00A94411">
      <w:r w:rsidRPr="00F516FD">
        <w:t>MSAC noted that t</w:t>
      </w:r>
      <w:r w:rsidR="00A94411" w:rsidRPr="00F516FD">
        <w:t xml:space="preserve">he </w:t>
      </w:r>
      <w:r w:rsidR="00C31C44" w:rsidRPr="00F516FD">
        <w:t>assessment report</w:t>
      </w:r>
      <w:r w:rsidR="00A94411" w:rsidRPr="00F516FD">
        <w:t xml:space="preserve"> </w:t>
      </w:r>
      <w:r w:rsidRPr="00F516FD">
        <w:t xml:space="preserve">recommended that </w:t>
      </w:r>
      <w:r w:rsidR="00A94411" w:rsidRPr="00F516FD">
        <w:t>very early neonatal death (</w:t>
      </w:r>
      <w:r w:rsidRPr="00F516FD">
        <w:t xml:space="preserve">occurring </w:t>
      </w:r>
      <w:r w:rsidR="00A94411" w:rsidRPr="00F516FD">
        <w:t xml:space="preserve">within 24 hours of birth) may require complexity level 6 </w:t>
      </w:r>
      <w:r w:rsidRPr="00F516FD">
        <w:t xml:space="preserve">placental tissue examinations. </w:t>
      </w:r>
      <w:r w:rsidR="001A5007" w:rsidRPr="00F516FD">
        <w:t xml:space="preserve">This resulted in </w:t>
      </w:r>
      <w:r w:rsidR="00AF3AE8" w:rsidRPr="00F516FD">
        <w:t>the proposed specimen type descriptor</w:t>
      </w:r>
      <w:r w:rsidR="00A94411" w:rsidRPr="00F516FD">
        <w:t xml:space="preserve">: “Placenta – live birth at any gestation associated with very early neonatal death within 24 hours of birth”. </w:t>
      </w:r>
      <w:r w:rsidR="001A5007" w:rsidRPr="00F516FD">
        <w:t xml:space="preserve">MSAC </w:t>
      </w:r>
      <w:r w:rsidR="00AF3AE8" w:rsidRPr="00F516FD">
        <w:t xml:space="preserve">acknowledged the importance of </w:t>
      </w:r>
      <w:r w:rsidR="003615E6" w:rsidRPr="00F516FD">
        <w:t>placental examinations in very early neonatal death occurring within 24 hours of birth</w:t>
      </w:r>
      <w:r w:rsidR="00806301" w:rsidRPr="00F516FD">
        <w:t xml:space="preserve">. </w:t>
      </w:r>
      <w:r w:rsidR="00904CF6" w:rsidRPr="00F516FD">
        <w:t xml:space="preserve">However, MSAC </w:t>
      </w:r>
      <w:r w:rsidR="003069E4" w:rsidRPr="00F516FD">
        <w:t>recommended</w:t>
      </w:r>
      <w:r w:rsidR="00904CF6" w:rsidRPr="00F516FD">
        <w:t xml:space="preserve"> that </w:t>
      </w:r>
      <w:r w:rsidR="00046123" w:rsidRPr="00F516FD">
        <w:t xml:space="preserve">this </w:t>
      </w:r>
      <w:r w:rsidR="007E6A19" w:rsidRPr="00F516FD">
        <w:t>descriptor</w:t>
      </w:r>
      <w:r w:rsidR="00904CF6" w:rsidRPr="00F516FD">
        <w:t xml:space="preserve"> should be expanded </w:t>
      </w:r>
      <w:r w:rsidR="000D2D46" w:rsidRPr="00F516FD">
        <w:t xml:space="preserve">from very early neonatal death (occurring within 24 hours of birth) </w:t>
      </w:r>
      <w:r w:rsidR="00904CF6" w:rsidRPr="00F516FD">
        <w:t>to early neonatal death</w:t>
      </w:r>
      <w:r w:rsidR="00046123" w:rsidRPr="00F516FD">
        <w:t>s</w:t>
      </w:r>
      <w:r w:rsidR="00904CF6" w:rsidRPr="00F516FD">
        <w:t xml:space="preserve"> </w:t>
      </w:r>
      <w:r w:rsidR="00046123" w:rsidRPr="00F516FD">
        <w:t>(</w:t>
      </w:r>
      <w:r w:rsidR="00904CF6" w:rsidRPr="00F516FD">
        <w:t>occurring within 7 days</w:t>
      </w:r>
      <w:r w:rsidR="000D2D46" w:rsidRPr="00F516FD">
        <w:t xml:space="preserve"> of birth</w:t>
      </w:r>
      <w:r w:rsidR="00046123" w:rsidRPr="00F516FD">
        <w:t>)</w:t>
      </w:r>
      <w:r w:rsidR="00904CF6" w:rsidRPr="00F516FD">
        <w:t xml:space="preserve"> at the higher complexity level 6 fee. </w:t>
      </w:r>
      <w:r w:rsidR="00046123" w:rsidRPr="00F516FD">
        <w:t xml:space="preserve">MSAC </w:t>
      </w:r>
      <w:r w:rsidR="00220DBD" w:rsidRPr="00F516FD">
        <w:t>noted</w:t>
      </w:r>
      <w:r w:rsidR="00046123" w:rsidRPr="00F516FD">
        <w:t xml:space="preserve"> that this aligned with </w:t>
      </w:r>
      <w:r w:rsidR="00A94411" w:rsidRPr="00F516FD">
        <w:t xml:space="preserve">the </w:t>
      </w:r>
      <w:hyperlink r:id="rId13" w:history="1">
        <w:r w:rsidR="00816817" w:rsidRPr="00F516FD">
          <w:rPr>
            <w:rStyle w:val="Hyperlink"/>
          </w:rPr>
          <w:t>PSANZ guideline</w:t>
        </w:r>
      </w:hyperlink>
      <w:r w:rsidR="00046123" w:rsidRPr="00F516FD">
        <w:t xml:space="preserve"> that</w:t>
      </w:r>
      <w:r w:rsidR="00A94411" w:rsidRPr="00F516FD">
        <w:t xml:space="preserve"> state “…ideally all placentas should be retained for a few days after birth to allow for subsequent retrieval should an infant deteriorate”.</w:t>
      </w:r>
    </w:p>
    <w:p w14:paraId="5A0A563C" w14:textId="1B4C9B30" w:rsidR="00BF578C" w:rsidRDefault="008632E3" w:rsidP="00A94411">
      <w:r w:rsidRPr="00F516FD">
        <w:t xml:space="preserve">The proposed amendments to the complexity levels for placental histopathology and related examinations on the PST </w:t>
      </w:r>
      <w:r w:rsidR="004A4770" w:rsidRPr="00F516FD">
        <w:t>based on MSAC advice is presented in</w:t>
      </w:r>
      <w:r w:rsidR="00BF578C" w:rsidRPr="00F516FD">
        <w:t xml:space="preserve"> </w:t>
      </w:r>
      <w:r w:rsidR="00523C1E" w:rsidRPr="00F516FD">
        <w:fldChar w:fldCharType="begin"/>
      </w:r>
      <w:r w:rsidR="00523C1E" w:rsidRPr="00F516FD">
        <w:instrText xml:space="preserve"> REF _Ref174553582 \h </w:instrText>
      </w:r>
      <w:r w:rsidR="00F516FD">
        <w:instrText xml:space="preserve"> \* MERGEFORMAT </w:instrText>
      </w:r>
      <w:r w:rsidR="00523C1E" w:rsidRPr="00F516FD">
        <w:fldChar w:fldCharType="separate"/>
      </w:r>
      <w:r w:rsidR="002A4535" w:rsidRPr="00F516FD">
        <w:t xml:space="preserve">Table </w:t>
      </w:r>
      <w:r w:rsidR="002A4535" w:rsidRPr="00F516FD">
        <w:rPr>
          <w:noProof/>
        </w:rPr>
        <w:t>1</w:t>
      </w:r>
      <w:r w:rsidR="00523C1E" w:rsidRPr="00F516FD">
        <w:fldChar w:fldCharType="end"/>
      </w:r>
      <w:r w:rsidR="00523C1E" w:rsidRPr="00F516FD">
        <w:t>.</w:t>
      </w:r>
      <w:r w:rsidR="004A4770" w:rsidRPr="00F516FD">
        <w:t xml:space="preserve"> </w:t>
      </w:r>
      <w:r w:rsidR="00D94311" w:rsidRPr="00F516FD">
        <w:t xml:space="preserve">MSAC noted that the proposed complexity descriptors contain more detail </w:t>
      </w:r>
      <w:r w:rsidR="00A43673" w:rsidRPr="00F516FD">
        <w:t>compared to those currently included within</w:t>
      </w:r>
      <w:r w:rsidR="00D94311" w:rsidRPr="00F516FD">
        <w:t xml:space="preserve"> the PST</w:t>
      </w:r>
      <w:r w:rsidR="00BE7CB8" w:rsidRPr="00F516FD">
        <w:t>.</w:t>
      </w:r>
      <w:r w:rsidR="00D94311" w:rsidRPr="00F516FD">
        <w:t xml:space="preserve"> </w:t>
      </w:r>
      <w:r w:rsidR="00BE7CB8" w:rsidRPr="00F516FD">
        <w:t>H</w:t>
      </w:r>
      <w:r w:rsidR="00D94311" w:rsidRPr="00F516FD">
        <w:t>owever</w:t>
      </w:r>
      <w:r w:rsidR="00BE7CB8" w:rsidRPr="00F516FD">
        <w:t>,</w:t>
      </w:r>
      <w:r w:rsidR="00D94311" w:rsidRPr="00F516FD">
        <w:t xml:space="preserve"> </w:t>
      </w:r>
      <w:r w:rsidR="00A94411" w:rsidRPr="00F516FD">
        <w:t xml:space="preserve">MSAC considered that </w:t>
      </w:r>
      <w:r w:rsidR="005F3BDE" w:rsidRPr="00F516FD">
        <w:t>these more detailed descriptors provide greater clarity around the correct use</w:t>
      </w:r>
      <w:r w:rsidR="00982E8E" w:rsidRPr="00F516FD">
        <w:t xml:space="preserve"> and would assist in preventing leakage due to more stringent descriptors.</w:t>
      </w:r>
    </w:p>
    <w:p w14:paraId="093A2EEA" w14:textId="7C11FC83" w:rsidR="00BF578C" w:rsidRPr="00F516FD" w:rsidRDefault="00315FBE" w:rsidP="00B61D92">
      <w:pPr>
        <w:pStyle w:val="Caption"/>
        <w:keepLines/>
        <w:ind w:left="0" w:firstLine="0"/>
      </w:pPr>
      <w:bookmarkStart w:id="5" w:name="_Ref174553582"/>
      <w:r>
        <w:lastRenderedPageBreak/>
        <w:t>T</w:t>
      </w:r>
      <w:r w:rsidR="00BF578C" w:rsidRPr="00F516FD">
        <w:t xml:space="preserve">able </w:t>
      </w:r>
      <w:r w:rsidR="00075E84" w:rsidRPr="00F516FD">
        <w:fldChar w:fldCharType="begin"/>
      </w:r>
      <w:r w:rsidR="00075E84" w:rsidRPr="00F516FD">
        <w:instrText xml:space="preserve"> SEQ Table \* ARABIC </w:instrText>
      </w:r>
      <w:r w:rsidR="00075E84" w:rsidRPr="00F516FD">
        <w:fldChar w:fldCharType="separate"/>
      </w:r>
      <w:r w:rsidR="002A4535" w:rsidRPr="00F516FD">
        <w:rPr>
          <w:noProof/>
        </w:rPr>
        <w:t>1</w:t>
      </w:r>
      <w:r w:rsidR="00075E84" w:rsidRPr="00F516FD">
        <w:rPr>
          <w:noProof/>
        </w:rPr>
        <w:fldChar w:fldCharType="end"/>
      </w:r>
      <w:bookmarkEnd w:id="5"/>
      <w:r w:rsidR="00BF578C" w:rsidRPr="00F516FD">
        <w:t xml:space="preserve">: </w:t>
      </w:r>
      <w:r w:rsidR="00BF578C" w:rsidRPr="00F516FD">
        <w:tab/>
        <w:t xml:space="preserve">Proposed </w:t>
      </w:r>
      <w:r w:rsidR="005E35BB" w:rsidRPr="00F516FD">
        <w:t xml:space="preserve">amendments to the current </w:t>
      </w:r>
      <w:r w:rsidR="00BF578C" w:rsidRPr="00F516FD">
        <w:t xml:space="preserve">complexity levels </w:t>
      </w:r>
      <w:r w:rsidR="005E35BB" w:rsidRPr="00F516FD">
        <w:t>and specimen type descriptors</w:t>
      </w:r>
      <w:r w:rsidR="00BF578C" w:rsidRPr="00F516FD">
        <w:t xml:space="preserve"> for placental histopathology and related examinations on the PST based on MSAC </w:t>
      </w:r>
      <w:proofErr w:type="gramStart"/>
      <w:r w:rsidR="00BF578C" w:rsidRPr="00F516FD">
        <w:t>advice</w:t>
      </w:r>
      <w:proofErr w:type="gramEnd"/>
    </w:p>
    <w:tbl>
      <w:tblPr>
        <w:tblStyle w:val="TableGrid"/>
        <w:tblW w:w="9010" w:type="dxa"/>
        <w:tblLook w:val="04A0" w:firstRow="1" w:lastRow="0" w:firstColumn="1" w:lastColumn="0" w:noHBand="0" w:noVBand="1"/>
        <w:tblCaption w:val="Table 3. Proposed complexity levels for placental histopathology on the MBS Pathology Services Table"/>
        <w:tblDescription w:val="Proposed complexity levels for placental histopathology on the MBS Pathology Services Table.&#10;&#10;Three different types of placental histology specimens are described; arising from live births; second trimester pregnancy losses and stillbirth after 20 weeks gestation."/>
      </w:tblPr>
      <w:tblGrid>
        <w:gridCol w:w="7225"/>
        <w:gridCol w:w="1785"/>
      </w:tblGrid>
      <w:tr w:rsidR="00BF578C" w:rsidRPr="00F516FD" w14:paraId="7B2279C3" w14:textId="77777777" w:rsidTr="001A7A11">
        <w:trPr>
          <w:trHeight w:val="359"/>
          <w:tblHeader/>
        </w:trPr>
        <w:tc>
          <w:tcPr>
            <w:tcW w:w="7225" w:type="dxa"/>
          </w:tcPr>
          <w:p w14:paraId="18267970" w14:textId="77777777" w:rsidR="00BF578C" w:rsidRPr="00F516FD" w:rsidRDefault="00BF578C" w:rsidP="00E43BC6">
            <w:pPr>
              <w:pStyle w:val="TableHeading0"/>
              <w:keepNext/>
              <w:keepLines/>
            </w:pPr>
            <w:r w:rsidRPr="00F516FD">
              <w:t>Specimen Type</w:t>
            </w:r>
          </w:p>
        </w:tc>
        <w:tc>
          <w:tcPr>
            <w:tcW w:w="1785" w:type="dxa"/>
          </w:tcPr>
          <w:p w14:paraId="170D7A88" w14:textId="77777777" w:rsidR="00BF578C" w:rsidRPr="00F516FD" w:rsidRDefault="00BF578C" w:rsidP="00E43BC6">
            <w:pPr>
              <w:pStyle w:val="TableHeading0"/>
              <w:keepNext/>
              <w:keepLines/>
            </w:pPr>
            <w:r w:rsidRPr="00F516FD">
              <w:t>Complexity Level</w:t>
            </w:r>
          </w:p>
        </w:tc>
      </w:tr>
      <w:tr w:rsidR="00BF578C" w:rsidRPr="00F516FD" w14:paraId="41A480EE" w14:textId="77777777" w:rsidTr="001A7A11">
        <w:trPr>
          <w:trHeight w:val="70"/>
        </w:trPr>
        <w:tc>
          <w:tcPr>
            <w:tcW w:w="7225" w:type="dxa"/>
            <w:shd w:val="clear" w:color="auto" w:fill="auto"/>
          </w:tcPr>
          <w:p w14:paraId="74A61D2E" w14:textId="77777777" w:rsidR="00BF578C" w:rsidRPr="00F516FD" w:rsidRDefault="00BF578C" w:rsidP="00E43BC6">
            <w:pPr>
              <w:pStyle w:val="TableText"/>
              <w:keepNext/>
              <w:keepLines/>
            </w:pPr>
            <w:proofErr w:type="spellStart"/>
            <w:r w:rsidRPr="00F516FD">
              <w:t>Fetus</w:t>
            </w:r>
            <w:proofErr w:type="spellEnd"/>
            <w:r w:rsidRPr="00F516FD">
              <w:t xml:space="preserve"> with dissection</w:t>
            </w:r>
          </w:p>
        </w:tc>
        <w:tc>
          <w:tcPr>
            <w:tcW w:w="1785" w:type="dxa"/>
            <w:shd w:val="clear" w:color="auto" w:fill="auto"/>
          </w:tcPr>
          <w:p w14:paraId="23BA6AEB" w14:textId="3633501A" w:rsidR="00BF578C" w:rsidRPr="00F516FD" w:rsidRDefault="00BF578C" w:rsidP="00E43BC6">
            <w:pPr>
              <w:pStyle w:val="TableText"/>
              <w:keepNext/>
              <w:keepLines/>
            </w:pPr>
            <w:r w:rsidRPr="00F516FD">
              <w:t>6</w:t>
            </w:r>
            <w:r w:rsidR="00676376" w:rsidRPr="00F516FD">
              <w:t>*</w:t>
            </w:r>
          </w:p>
        </w:tc>
      </w:tr>
      <w:tr w:rsidR="00816817" w:rsidRPr="00F516FD" w14:paraId="297FF58B" w14:textId="77777777" w:rsidTr="003F7C6D">
        <w:trPr>
          <w:trHeight w:val="70"/>
        </w:trPr>
        <w:tc>
          <w:tcPr>
            <w:tcW w:w="7225" w:type="dxa"/>
          </w:tcPr>
          <w:p w14:paraId="0D8A6C40" w14:textId="3CD922EA" w:rsidR="00816817" w:rsidRPr="00F516FD" w:rsidRDefault="00816817" w:rsidP="00E43BC6">
            <w:pPr>
              <w:pStyle w:val="TableText"/>
              <w:keepNext/>
              <w:keepLines/>
              <w:rPr>
                <w:dstrike/>
                <w:szCs w:val="20"/>
              </w:rPr>
            </w:pPr>
            <w:r w:rsidRPr="00F516FD">
              <w:rPr>
                <w:dstrike/>
                <w:szCs w:val="20"/>
              </w:rPr>
              <w:t>Placenta – not third trimester</w:t>
            </w:r>
          </w:p>
        </w:tc>
        <w:tc>
          <w:tcPr>
            <w:tcW w:w="1785" w:type="dxa"/>
          </w:tcPr>
          <w:p w14:paraId="12678C59" w14:textId="6CB1B47C" w:rsidR="00816817" w:rsidRPr="00F516FD" w:rsidRDefault="00816817" w:rsidP="00E43BC6">
            <w:pPr>
              <w:pStyle w:val="TableText"/>
              <w:keepNext/>
              <w:keepLines/>
              <w:rPr>
                <w:dstrike/>
                <w:szCs w:val="20"/>
              </w:rPr>
            </w:pPr>
            <w:r w:rsidRPr="00F516FD">
              <w:rPr>
                <w:dstrike/>
                <w:szCs w:val="20"/>
              </w:rPr>
              <w:t>4</w:t>
            </w:r>
          </w:p>
        </w:tc>
      </w:tr>
      <w:tr w:rsidR="00816817" w:rsidRPr="00F516FD" w14:paraId="306DD888" w14:textId="77777777" w:rsidTr="003F7C6D">
        <w:trPr>
          <w:trHeight w:val="70"/>
        </w:trPr>
        <w:tc>
          <w:tcPr>
            <w:tcW w:w="7225" w:type="dxa"/>
          </w:tcPr>
          <w:p w14:paraId="02525A47" w14:textId="6D713CC6" w:rsidR="00816817" w:rsidRPr="00F516FD" w:rsidRDefault="00816817" w:rsidP="00E43BC6">
            <w:pPr>
              <w:pStyle w:val="TableText"/>
              <w:keepNext/>
              <w:keepLines/>
              <w:rPr>
                <w:dstrike/>
                <w:szCs w:val="20"/>
              </w:rPr>
            </w:pPr>
            <w:r w:rsidRPr="00F516FD">
              <w:rPr>
                <w:dstrike/>
                <w:szCs w:val="20"/>
              </w:rPr>
              <w:t xml:space="preserve">Placenta – third trimester, abnormal </w:t>
            </w:r>
            <w:proofErr w:type="gramStart"/>
            <w:r w:rsidRPr="00F516FD">
              <w:rPr>
                <w:dstrike/>
                <w:szCs w:val="20"/>
              </w:rPr>
              <w:t>pregnancy</w:t>
            </w:r>
            <w:proofErr w:type="gramEnd"/>
            <w:r w:rsidRPr="00F516FD">
              <w:rPr>
                <w:dstrike/>
                <w:szCs w:val="20"/>
              </w:rPr>
              <w:t xml:space="preserve"> or delivery</w:t>
            </w:r>
          </w:p>
        </w:tc>
        <w:tc>
          <w:tcPr>
            <w:tcW w:w="1785" w:type="dxa"/>
          </w:tcPr>
          <w:p w14:paraId="2C5E158F" w14:textId="0FE56503" w:rsidR="00816817" w:rsidRPr="00F516FD" w:rsidRDefault="00816817" w:rsidP="00E43BC6">
            <w:pPr>
              <w:pStyle w:val="TableText"/>
              <w:keepNext/>
              <w:keepLines/>
              <w:rPr>
                <w:dstrike/>
                <w:szCs w:val="20"/>
              </w:rPr>
            </w:pPr>
            <w:r w:rsidRPr="00F516FD">
              <w:rPr>
                <w:dstrike/>
                <w:szCs w:val="20"/>
              </w:rPr>
              <w:t>4</w:t>
            </w:r>
          </w:p>
        </w:tc>
      </w:tr>
      <w:tr w:rsidR="00BF578C" w:rsidRPr="00F516FD" w14:paraId="6A2BDA2D" w14:textId="77777777" w:rsidTr="001A7A11">
        <w:trPr>
          <w:trHeight w:val="70"/>
        </w:trPr>
        <w:tc>
          <w:tcPr>
            <w:tcW w:w="7225" w:type="dxa"/>
          </w:tcPr>
          <w:p w14:paraId="5EF2EFD8" w14:textId="77777777" w:rsidR="00BF578C" w:rsidRPr="00F516FD" w:rsidRDefault="00BF578C" w:rsidP="00E43BC6">
            <w:pPr>
              <w:pStyle w:val="TableText"/>
              <w:keepNext/>
              <w:keepLines/>
              <w:rPr>
                <w:color w:val="FF0000"/>
              </w:rPr>
            </w:pPr>
            <w:r w:rsidRPr="00F516FD">
              <w:rPr>
                <w:color w:val="FF0000"/>
              </w:rPr>
              <w:t>Placenta – stillbirth of a baby delivered at or after 20 weeks gestation</w:t>
            </w:r>
          </w:p>
        </w:tc>
        <w:tc>
          <w:tcPr>
            <w:tcW w:w="1785" w:type="dxa"/>
          </w:tcPr>
          <w:p w14:paraId="28E812F4" w14:textId="77777777" w:rsidR="00BF578C" w:rsidRPr="00F516FD" w:rsidRDefault="00BF578C" w:rsidP="00E43BC6">
            <w:pPr>
              <w:pStyle w:val="TableText"/>
              <w:keepNext/>
              <w:keepLines/>
              <w:rPr>
                <w:color w:val="FF0000"/>
              </w:rPr>
            </w:pPr>
            <w:r w:rsidRPr="00F516FD">
              <w:rPr>
                <w:color w:val="FF0000"/>
              </w:rPr>
              <w:t>6</w:t>
            </w:r>
          </w:p>
        </w:tc>
      </w:tr>
      <w:tr w:rsidR="00BF578C" w:rsidRPr="00F516FD" w14:paraId="7FC822D4" w14:textId="77777777" w:rsidTr="001A7A11">
        <w:trPr>
          <w:trHeight w:val="231"/>
        </w:trPr>
        <w:tc>
          <w:tcPr>
            <w:tcW w:w="7225" w:type="dxa"/>
          </w:tcPr>
          <w:p w14:paraId="2F5DF1C0" w14:textId="77777777" w:rsidR="00BF578C" w:rsidRPr="00F516FD" w:rsidRDefault="00BF578C" w:rsidP="00E43BC6">
            <w:pPr>
              <w:pStyle w:val="TableText"/>
              <w:keepNext/>
              <w:keepLines/>
              <w:rPr>
                <w:rStyle w:val="cf01"/>
                <w:rFonts w:ascii="Arial Narrow" w:hAnsi="Arial Narrow"/>
                <w:color w:val="FF0000"/>
                <w:sz w:val="20"/>
                <w:szCs w:val="20"/>
              </w:rPr>
            </w:pPr>
            <w:r w:rsidRPr="00F516FD">
              <w:rPr>
                <w:color w:val="FF0000"/>
              </w:rPr>
              <w:t xml:space="preserve">Placenta – </w:t>
            </w:r>
            <w:r w:rsidRPr="00F516FD">
              <w:rPr>
                <w:rStyle w:val="cf01"/>
                <w:rFonts w:ascii="Arial Narrow" w:hAnsi="Arial Narrow"/>
                <w:color w:val="FF0000"/>
                <w:sz w:val="20"/>
                <w:szCs w:val="20"/>
              </w:rPr>
              <w:t>second trimester pregnancy at 12 weeks gestation and delivered before 20 weeks’ gestation (excluding D&amp;C samples)</w:t>
            </w:r>
          </w:p>
        </w:tc>
        <w:tc>
          <w:tcPr>
            <w:tcW w:w="1785" w:type="dxa"/>
          </w:tcPr>
          <w:p w14:paraId="421020D3" w14:textId="77777777" w:rsidR="00BF578C" w:rsidRPr="00F516FD" w:rsidRDefault="00BF578C" w:rsidP="00E43BC6">
            <w:pPr>
              <w:pStyle w:val="TableText"/>
              <w:keepNext/>
              <w:keepLines/>
              <w:rPr>
                <w:color w:val="FF0000"/>
              </w:rPr>
            </w:pPr>
            <w:r w:rsidRPr="00F516FD">
              <w:rPr>
                <w:color w:val="FF0000"/>
              </w:rPr>
              <w:t>5</w:t>
            </w:r>
          </w:p>
        </w:tc>
      </w:tr>
      <w:tr w:rsidR="00BF578C" w:rsidRPr="00F516FD" w14:paraId="0735620C" w14:textId="77777777" w:rsidTr="001A7A11">
        <w:trPr>
          <w:trHeight w:val="70"/>
        </w:trPr>
        <w:tc>
          <w:tcPr>
            <w:tcW w:w="7225" w:type="dxa"/>
          </w:tcPr>
          <w:p w14:paraId="3BED1999" w14:textId="77777777" w:rsidR="00BF578C" w:rsidRPr="00F516FD" w:rsidRDefault="00BF578C" w:rsidP="00E43BC6">
            <w:pPr>
              <w:pStyle w:val="TableText"/>
              <w:keepNext/>
              <w:keepLines/>
              <w:rPr>
                <w:rStyle w:val="cf01"/>
                <w:rFonts w:ascii="Arial Narrow" w:hAnsi="Arial Narrow"/>
                <w:color w:val="FF0000"/>
                <w:sz w:val="20"/>
                <w:szCs w:val="20"/>
              </w:rPr>
            </w:pPr>
            <w:r w:rsidRPr="00F516FD">
              <w:rPr>
                <w:color w:val="FF0000"/>
              </w:rPr>
              <w:t xml:space="preserve">Placenta – live birth </w:t>
            </w:r>
            <w:r w:rsidRPr="00F516FD">
              <w:rPr>
                <w:rStyle w:val="cf01"/>
                <w:rFonts w:ascii="Arial Narrow" w:hAnsi="Arial Narrow"/>
                <w:color w:val="FF0000"/>
                <w:sz w:val="20"/>
                <w:szCs w:val="20"/>
              </w:rPr>
              <w:t xml:space="preserve">at any gestation </w:t>
            </w:r>
          </w:p>
        </w:tc>
        <w:tc>
          <w:tcPr>
            <w:tcW w:w="1785" w:type="dxa"/>
          </w:tcPr>
          <w:p w14:paraId="11FBE2B8" w14:textId="77777777" w:rsidR="00BF578C" w:rsidRPr="00F516FD" w:rsidRDefault="00BF578C" w:rsidP="00E43BC6">
            <w:pPr>
              <w:pStyle w:val="TableText"/>
              <w:keepNext/>
              <w:keepLines/>
              <w:rPr>
                <w:color w:val="FF0000"/>
              </w:rPr>
            </w:pPr>
            <w:r w:rsidRPr="00F516FD">
              <w:rPr>
                <w:color w:val="FF0000"/>
              </w:rPr>
              <w:t>5</w:t>
            </w:r>
          </w:p>
        </w:tc>
      </w:tr>
      <w:tr w:rsidR="00BF578C" w:rsidRPr="00F516FD" w14:paraId="34E961DE" w14:textId="77777777" w:rsidTr="001A7A11">
        <w:trPr>
          <w:trHeight w:val="70"/>
        </w:trPr>
        <w:tc>
          <w:tcPr>
            <w:tcW w:w="7225" w:type="dxa"/>
          </w:tcPr>
          <w:p w14:paraId="25FF187D" w14:textId="77777777" w:rsidR="00BF578C" w:rsidRPr="00F516FD" w:rsidRDefault="00BF578C" w:rsidP="00E43BC6">
            <w:pPr>
              <w:pStyle w:val="TableText"/>
              <w:keepNext/>
              <w:keepLines/>
              <w:rPr>
                <w:color w:val="FF0000"/>
              </w:rPr>
            </w:pPr>
            <w:r w:rsidRPr="00F516FD">
              <w:rPr>
                <w:color w:val="FF0000"/>
              </w:rPr>
              <w:t xml:space="preserve">Placenta – live birth at any gestation associated with </w:t>
            </w:r>
            <w:r w:rsidRPr="00F516FD">
              <w:rPr>
                <w:dstrike/>
                <w:color w:val="0070C0"/>
                <w:szCs w:val="20"/>
              </w:rPr>
              <w:t>very</w:t>
            </w:r>
            <w:r w:rsidRPr="00F516FD">
              <w:rPr>
                <w:color w:val="FF0000"/>
              </w:rPr>
              <w:t xml:space="preserve"> early neonatal death within </w:t>
            </w:r>
            <w:r w:rsidRPr="00F516FD">
              <w:rPr>
                <w:dstrike/>
                <w:color w:val="4472C4" w:themeColor="accent5"/>
                <w:szCs w:val="20"/>
              </w:rPr>
              <w:t>24 hours</w:t>
            </w:r>
            <w:r w:rsidRPr="00F516FD">
              <w:rPr>
                <w:color w:val="4472C4" w:themeColor="accent5"/>
                <w:szCs w:val="20"/>
              </w:rPr>
              <w:t xml:space="preserve"> 7 days</w:t>
            </w:r>
            <w:r w:rsidRPr="00F516FD">
              <w:rPr>
                <w:color w:val="FF0000"/>
              </w:rPr>
              <w:t xml:space="preserve"> of birth</w:t>
            </w:r>
          </w:p>
        </w:tc>
        <w:tc>
          <w:tcPr>
            <w:tcW w:w="1785" w:type="dxa"/>
          </w:tcPr>
          <w:p w14:paraId="465B3ABE" w14:textId="77777777" w:rsidR="00BF578C" w:rsidRPr="00F516FD" w:rsidRDefault="00BF578C" w:rsidP="00E43BC6">
            <w:pPr>
              <w:pStyle w:val="TableText"/>
              <w:keepNext/>
              <w:keepLines/>
              <w:rPr>
                <w:color w:val="FF0000"/>
              </w:rPr>
            </w:pPr>
            <w:r w:rsidRPr="00F516FD">
              <w:rPr>
                <w:color w:val="FF0000"/>
              </w:rPr>
              <w:t>6</w:t>
            </w:r>
          </w:p>
        </w:tc>
      </w:tr>
      <w:tr w:rsidR="00BF578C" w:rsidRPr="00F516FD" w14:paraId="2FC353E2" w14:textId="77777777" w:rsidTr="001A7A11">
        <w:trPr>
          <w:trHeight w:val="335"/>
        </w:trPr>
        <w:tc>
          <w:tcPr>
            <w:tcW w:w="7225" w:type="dxa"/>
            <w:shd w:val="clear" w:color="auto" w:fill="auto"/>
          </w:tcPr>
          <w:p w14:paraId="785C4920" w14:textId="5164D640" w:rsidR="00BF578C" w:rsidRPr="00F516FD" w:rsidRDefault="00BF578C" w:rsidP="00E43BC6">
            <w:pPr>
              <w:pStyle w:val="TableText"/>
              <w:keepNext/>
              <w:keepLines/>
            </w:pPr>
            <w:r w:rsidRPr="00F516FD">
              <w:t>Products of conception</w:t>
            </w:r>
            <w:r w:rsidR="00523C1E" w:rsidRPr="00F516FD">
              <w:t xml:space="preserve">, </w:t>
            </w:r>
            <w:r w:rsidR="00523C1E" w:rsidRPr="00F516FD">
              <w:rPr>
                <w:dstrike/>
                <w:szCs w:val="20"/>
              </w:rPr>
              <w:t>spontaneous or missed abortion</w:t>
            </w:r>
            <w:r w:rsidRPr="00F516FD">
              <w:t xml:space="preserve"> </w:t>
            </w:r>
            <w:r w:rsidRPr="00F516FD">
              <w:rPr>
                <w:color w:val="FF0000"/>
              </w:rPr>
              <w:t>first trimester (&lt;12 weeks) pregnancy, or second trimester (&lt;20 weeks) with D&amp;C tissue only</w:t>
            </w:r>
          </w:p>
        </w:tc>
        <w:tc>
          <w:tcPr>
            <w:tcW w:w="1785" w:type="dxa"/>
            <w:shd w:val="clear" w:color="auto" w:fill="auto"/>
          </w:tcPr>
          <w:p w14:paraId="076E5BC5" w14:textId="064E952A" w:rsidR="00BF578C" w:rsidRPr="00F516FD" w:rsidRDefault="00BF578C" w:rsidP="00E43BC6">
            <w:pPr>
              <w:pStyle w:val="TableText"/>
              <w:keepNext/>
              <w:keepLines/>
            </w:pPr>
            <w:r w:rsidRPr="00F516FD">
              <w:t>4</w:t>
            </w:r>
            <w:r w:rsidR="00676376" w:rsidRPr="00F516FD">
              <w:t>*</w:t>
            </w:r>
          </w:p>
        </w:tc>
      </w:tr>
      <w:tr w:rsidR="00BF578C" w:rsidRPr="00F516FD" w14:paraId="4370BBED" w14:textId="77777777" w:rsidTr="001A7A11">
        <w:trPr>
          <w:trHeight w:val="375"/>
        </w:trPr>
        <w:tc>
          <w:tcPr>
            <w:tcW w:w="7225" w:type="dxa"/>
            <w:shd w:val="clear" w:color="auto" w:fill="auto"/>
          </w:tcPr>
          <w:p w14:paraId="7375CB3B" w14:textId="0A036875" w:rsidR="00BF578C" w:rsidRPr="00F516FD" w:rsidRDefault="00BF578C" w:rsidP="00E43BC6">
            <w:pPr>
              <w:pStyle w:val="TableText"/>
              <w:keepNext/>
              <w:keepLines/>
            </w:pPr>
            <w:r w:rsidRPr="00F516FD">
              <w:t xml:space="preserve">Products of conception, termination of pregnancy </w:t>
            </w:r>
            <w:r w:rsidRPr="00F516FD">
              <w:rPr>
                <w:color w:val="FF0000"/>
              </w:rPr>
              <w:t>less than 12 weeks</w:t>
            </w:r>
          </w:p>
        </w:tc>
        <w:tc>
          <w:tcPr>
            <w:tcW w:w="1785" w:type="dxa"/>
            <w:shd w:val="clear" w:color="auto" w:fill="auto"/>
          </w:tcPr>
          <w:p w14:paraId="0902973D" w14:textId="5CB587C3" w:rsidR="00BF578C" w:rsidRPr="00F516FD" w:rsidRDefault="00BF578C" w:rsidP="00E43BC6">
            <w:pPr>
              <w:pStyle w:val="TableText"/>
              <w:keepNext/>
              <w:keepLines/>
            </w:pPr>
            <w:r w:rsidRPr="00F516FD">
              <w:t>3</w:t>
            </w:r>
            <w:r w:rsidR="00676376" w:rsidRPr="00F516FD">
              <w:t>*</w:t>
            </w:r>
          </w:p>
        </w:tc>
      </w:tr>
    </w:tbl>
    <w:p w14:paraId="757E14D9" w14:textId="77777777" w:rsidR="00BF578C" w:rsidRPr="00F516FD" w:rsidRDefault="00BF578C" w:rsidP="00E43BC6">
      <w:pPr>
        <w:pStyle w:val="Tablenotes0"/>
        <w:keepNext/>
        <w:keepLines/>
      </w:pPr>
      <w:r w:rsidRPr="00F516FD">
        <w:t xml:space="preserve">D&amp;C = dilatation and curettage; MBS = Medicare Benefits Schedule. </w:t>
      </w:r>
    </w:p>
    <w:p w14:paraId="4E967906" w14:textId="508DD6A3" w:rsidR="00822E83" w:rsidRPr="00F516FD" w:rsidRDefault="00BF578C" w:rsidP="00E43BC6">
      <w:pPr>
        <w:pStyle w:val="Tablenotes0"/>
        <w:keepNext/>
        <w:keepLines/>
      </w:pPr>
      <w:r w:rsidRPr="00F516FD">
        <w:rPr>
          <w:szCs w:val="18"/>
        </w:rPr>
        <w:t xml:space="preserve">Note: Red text </w:t>
      </w:r>
      <w:r w:rsidR="007F1756" w:rsidRPr="00F516FD">
        <w:rPr>
          <w:szCs w:val="18"/>
        </w:rPr>
        <w:t>(additions)</w:t>
      </w:r>
      <w:r w:rsidRPr="00F516FD">
        <w:rPr>
          <w:szCs w:val="18"/>
        </w:rPr>
        <w:t xml:space="preserve"> and </w:t>
      </w:r>
      <w:r w:rsidR="0033254F" w:rsidRPr="00F516FD">
        <w:rPr>
          <w:szCs w:val="18"/>
        </w:rPr>
        <w:t>black</w:t>
      </w:r>
      <w:r w:rsidR="007F1756" w:rsidRPr="00F516FD">
        <w:rPr>
          <w:szCs w:val="18"/>
        </w:rPr>
        <w:t xml:space="preserve"> strikethrough (deletions)</w:t>
      </w:r>
      <w:r w:rsidRPr="00F516FD">
        <w:rPr>
          <w:szCs w:val="18"/>
        </w:rPr>
        <w:t xml:space="preserve"> indicate amendments to the current PST proposed by the assessment report agreed by MSAC.</w:t>
      </w:r>
      <w:r w:rsidR="007358DE" w:rsidRPr="00F516FD">
        <w:rPr>
          <w:szCs w:val="18"/>
        </w:rPr>
        <w:t xml:space="preserve"> </w:t>
      </w:r>
      <w:r w:rsidRPr="00F516FD">
        <w:rPr>
          <w:szCs w:val="18"/>
        </w:rPr>
        <w:t xml:space="preserve">Blue text </w:t>
      </w:r>
      <w:r w:rsidR="008C299C" w:rsidRPr="00F516FD">
        <w:rPr>
          <w:szCs w:val="18"/>
        </w:rPr>
        <w:t>(additions)</w:t>
      </w:r>
      <w:r w:rsidRPr="00F516FD">
        <w:rPr>
          <w:szCs w:val="18"/>
        </w:rPr>
        <w:t xml:space="preserve"> and blue strikethrough </w:t>
      </w:r>
      <w:r w:rsidR="008C299C" w:rsidRPr="00F516FD">
        <w:rPr>
          <w:szCs w:val="18"/>
        </w:rPr>
        <w:t>(deletions)</w:t>
      </w:r>
      <w:r w:rsidRPr="00F516FD">
        <w:rPr>
          <w:szCs w:val="18"/>
        </w:rPr>
        <w:t xml:space="preserve"> indicate</w:t>
      </w:r>
      <w:r w:rsidR="006C7243" w:rsidRPr="00F516FD">
        <w:rPr>
          <w:szCs w:val="18"/>
        </w:rPr>
        <w:t>s</w:t>
      </w:r>
      <w:r w:rsidRPr="00F516FD">
        <w:rPr>
          <w:szCs w:val="18"/>
        </w:rPr>
        <w:t xml:space="preserve"> MSAC </w:t>
      </w:r>
      <w:r w:rsidR="008D0089" w:rsidRPr="00F516FD">
        <w:rPr>
          <w:szCs w:val="18"/>
        </w:rPr>
        <w:t>recommendations</w:t>
      </w:r>
      <w:r w:rsidRPr="00F516FD">
        <w:rPr>
          <w:szCs w:val="18"/>
        </w:rPr>
        <w:t xml:space="preserve"> to that proposed in the assessment report.</w:t>
      </w:r>
      <w:r w:rsidR="00212A4A" w:rsidRPr="00F516FD">
        <w:rPr>
          <w:szCs w:val="18"/>
        </w:rPr>
        <w:t xml:space="preserve"> </w:t>
      </w:r>
      <w:r w:rsidR="0064066C" w:rsidRPr="00F516FD">
        <w:rPr>
          <w:szCs w:val="18"/>
        </w:rPr>
        <w:t xml:space="preserve">* </w:t>
      </w:r>
      <w:proofErr w:type="gramStart"/>
      <w:r w:rsidR="0064066C" w:rsidRPr="00F516FD">
        <w:rPr>
          <w:szCs w:val="18"/>
        </w:rPr>
        <w:t>indicates</w:t>
      </w:r>
      <w:proofErr w:type="gramEnd"/>
      <w:r w:rsidR="00676376" w:rsidRPr="00F516FD">
        <w:rPr>
          <w:szCs w:val="18"/>
        </w:rPr>
        <w:t xml:space="preserve"> items that have not been proposed to change in complexity.</w:t>
      </w:r>
    </w:p>
    <w:p w14:paraId="7E443E01" w14:textId="4D79B0CC" w:rsidR="00A94411" w:rsidRPr="00F516FD" w:rsidDel="00ED7E7C" w:rsidRDefault="00A94411">
      <w:r w:rsidRPr="00F516FD" w:rsidDel="00ED7E7C">
        <w:t>MSAC noted that a systematic evaluation of the evidence base</w:t>
      </w:r>
      <w:r w:rsidRPr="00F516FD">
        <w:t xml:space="preserve"> for</w:t>
      </w:r>
      <w:r w:rsidRPr="00F516FD" w:rsidDel="00ED7E7C">
        <w:t xml:space="preserve"> placental histopathology</w:t>
      </w:r>
      <w:r w:rsidR="00B6551A" w:rsidRPr="00F516FD">
        <w:t xml:space="preserve"> and an evaluation of the comparative safety and effectiveness</w:t>
      </w:r>
      <w:r w:rsidRPr="00F516FD" w:rsidDel="00ED7E7C">
        <w:t xml:space="preserve"> was not in scope</w:t>
      </w:r>
      <w:r w:rsidR="00425216" w:rsidRPr="00F516FD">
        <w:t xml:space="preserve"> for this </w:t>
      </w:r>
      <w:r w:rsidR="00B6551A" w:rsidRPr="00F516FD">
        <w:t>assessment</w:t>
      </w:r>
      <w:r w:rsidRPr="00F516FD" w:rsidDel="00ED7E7C">
        <w:t xml:space="preserve">. MSAC </w:t>
      </w:r>
      <w:r w:rsidR="00232F2D" w:rsidRPr="00F516FD">
        <w:t>considered</w:t>
      </w:r>
      <w:r w:rsidRPr="00F516FD" w:rsidDel="00ED7E7C">
        <w:t xml:space="preserve"> that a change in the designated complexity level (and fee) associated with the service is not expected to impact on safety or effectiveness, unless the current reimbursement (which may be considered inadequate for the time and effort involved) for the service lowers the quantity or quality of the placental examinations taking place. MSAC noted from expert feedback that some specialised pathology laboratories do not perform placental histology because the complexity level (and fee) is considered inadequate for the time and effort involved.</w:t>
      </w:r>
    </w:p>
    <w:p w14:paraId="1B0B9544" w14:textId="3A8B417D" w:rsidR="00A94411" w:rsidRPr="00F516FD" w:rsidRDefault="00A94411" w:rsidP="00822E83">
      <w:r w:rsidRPr="00F516FD">
        <w:t xml:space="preserve">MSAC noted that an economic evaluation was not </w:t>
      </w:r>
      <w:r w:rsidR="00FD5B23" w:rsidRPr="00F516FD">
        <w:t xml:space="preserve">in scope for this application as per advice from the MSAC Executive in </w:t>
      </w:r>
      <w:r w:rsidR="004F76BA" w:rsidRPr="00F516FD">
        <w:t>May 2023</w:t>
      </w:r>
      <w:r w:rsidRPr="00F516FD">
        <w:t xml:space="preserve">. MSAC noted that the </w:t>
      </w:r>
      <w:hyperlink r:id="rId14" w:history="1">
        <w:r w:rsidRPr="00F516FD">
          <w:rPr>
            <w:rStyle w:val="Hyperlink"/>
          </w:rPr>
          <w:t xml:space="preserve">2024 </w:t>
        </w:r>
        <w:r w:rsidR="00B6551A" w:rsidRPr="00F516FD">
          <w:rPr>
            <w:rStyle w:val="Hyperlink"/>
          </w:rPr>
          <w:t xml:space="preserve">Stillbirth CRE and </w:t>
        </w:r>
        <w:r w:rsidRPr="00F516FD">
          <w:rPr>
            <w:rStyle w:val="Hyperlink"/>
          </w:rPr>
          <w:t>PSANZ guideline</w:t>
        </w:r>
      </w:hyperlink>
      <w:r w:rsidRPr="00F516FD">
        <w:t xml:space="preserve"> states that placental examination by a perinatal pathologist is one of the most cost-effective tests for stillbirth investigation that can provide causal and prognostic information. The guideline states that pathological placental changes have been reported in 23–96% of stillbirths</w:t>
      </w:r>
      <w:r w:rsidR="00AF385F" w:rsidRPr="00F516FD">
        <w:t xml:space="preserve"> </w:t>
      </w:r>
      <w:r w:rsidR="00A80C10" w:rsidRPr="00F516FD">
        <w:t>and</w:t>
      </w:r>
      <w:r w:rsidR="003A39C9" w:rsidRPr="00F516FD">
        <w:t xml:space="preserve"> recommended that </w:t>
      </w:r>
      <w:r w:rsidRPr="00F516FD">
        <w:t xml:space="preserve">histopathology of the placenta and umbilical cord </w:t>
      </w:r>
      <w:r w:rsidR="003A39C9" w:rsidRPr="00F516FD">
        <w:t>should be undertaken</w:t>
      </w:r>
      <w:r w:rsidRPr="00F516FD">
        <w:t xml:space="preserve"> for all perinatal deaths.</w:t>
      </w:r>
      <w:r w:rsidR="00CD5A55" w:rsidRPr="00F516FD">
        <w:t xml:space="preserve"> MSAC considered the </w:t>
      </w:r>
      <w:r w:rsidR="00AF385F" w:rsidRPr="00F516FD">
        <w:t xml:space="preserve">Stillbirth CRE and </w:t>
      </w:r>
      <w:r w:rsidR="00CD5A55" w:rsidRPr="00F516FD">
        <w:t>PSANZ guideline reaffirms the clinical need for placental tissue examinations</w:t>
      </w:r>
      <w:r w:rsidR="00AF385F" w:rsidRPr="00F516FD">
        <w:t>.</w:t>
      </w:r>
    </w:p>
    <w:p w14:paraId="266A1C1C" w14:textId="4C43456E" w:rsidR="00A94411" w:rsidRPr="00F516FD" w:rsidRDefault="00A94411" w:rsidP="00A94411">
      <w:r w:rsidRPr="00F516FD">
        <w:t>MSAC noted that the estimated financial cost to the MBS was based on available epidemiological data and evidence based on real-world estimates. The epidemiological approach used data from the National Perinatal Mortality Data Collection (NPMDC)</w:t>
      </w:r>
      <w:r w:rsidR="00810F81" w:rsidRPr="00F516FD">
        <w:t>,</w:t>
      </w:r>
      <w:r w:rsidRPr="00F516FD">
        <w:t xml:space="preserve"> National Perinatal Data Collection (NPDC) from </w:t>
      </w:r>
      <w:r w:rsidR="00227AF7" w:rsidRPr="00F516FD">
        <w:t>the Australian Institute of Health and Welfare (</w:t>
      </w:r>
      <w:r w:rsidRPr="00F516FD">
        <w:t>AIHW</w:t>
      </w:r>
      <w:r w:rsidR="00227AF7" w:rsidRPr="00F516FD">
        <w:t>)</w:t>
      </w:r>
      <w:r w:rsidRPr="00F516FD">
        <w:t>, Australian Bureau of Statistics</w:t>
      </w:r>
      <w:r w:rsidR="00227AF7" w:rsidRPr="00F516FD">
        <w:t xml:space="preserve"> (ABS)</w:t>
      </w:r>
      <w:r w:rsidRPr="00F516FD">
        <w:t xml:space="preserve">, and published studies identified in a targeted literature search. </w:t>
      </w:r>
      <w:r w:rsidR="00332646" w:rsidRPr="00F516FD">
        <w:t>MSAC noted t</w:t>
      </w:r>
      <w:r w:rsidRPr="00F516FD">
        <w:t>he real-world data, provided by the applicant, comprised</w:t>
      </w:r>
      <w:r w:rsidR="00810F81" w:rsidRPr="00F516FD">
        <w:t xml:space="preserve"> of</w:t>
      </w:r>
      <w:r w:rsidRPr="00F516FD">
        <w:t xml:space="preserve"> placental pathology service utilisation data </w:t>
      </w:r>
      <w:r w:rsidRPr="00785A5D">
        <w:t xml:space="preserve">from </w:t>
      </w:r>
      <w:r w:rsidR="00D64541">
        <w:rPr>
          <w:b/>
          <w:bCs/>
        </w:rPr>
        <w:t>r</w:t>
      </w:r>
      <w:r w:rsidR="002A045C" w:rsidRPr="00F516FD">
        <w:rPr>
          <w:b/>
          <w:bCs/>
        </w:rPr>
        <w:t>edacted</w:t>
      </w:r>
      <w:r w:rsidRPr="00F516FD">
        <w:t xml:space="preserve"> from July 2018 to March 2024, including whether the examination was funded publicly or privately. </w:t>
      </w:r>
      <w:r w:rsidR="000665B5" w:rsidRPr="00F516FD">
        <w:t>MSAC noted t</w:t>
      </w:r>
      <w:r w:rsidRPr="00F516FD">
        <w:t xml:space="preserve">he </w:t>
      </w:r>
      <w:r w:rsidR="00810F81" w:rsidRPr="00F516FD">
        <w:t>real-world</w:t>
      </w:r>
      <w:r w:rsidRPr="00F516FD">
        <w:t xml:space="preserve"> data did not include details of the birth (for example, live birth, stillbirth, week of gestation, indication/reason for referral). MSAC noted that almost all placental examinations </w:t>
      </w:r>
      <w:r w:rsidR="005D0B69" w:rsidRPr="00F516FD">
        <w:t>of the available real-world data</w:t>
      </w:r>
      <w:r w:rsidRPr="00F516FD">
        <w:t xml:space="preserve"> </w:t>
      </w:r>
      <w:r w:rsidR="005D0B69" w:rsidRPr="00F516FD">
        <w:t xml:space="preserve">were </w:t>
      </w:r>
      <w:r w:rsidRPr="00F516FD">
        <w:t xml:space="preserve">undertaken at a single laboratory. MSAC noted that both the epidemiological and real-world data yielded similar estimates, with a lower overall financial impact (by </w:t>
      </w:r>
      <w:r w:rsidR="009E0199" w:rsidRPr="00F516FD">
        <w:t xml:space="preserve">approximately </w:t>
      </w:r>
      <w:r w:rsidRPr="00F516FD">
        <w:t xml:space="preserve">14%) estimated using the real-world data. </w:t>
      </w:r>
      <w:r w:rsidR="000665B5" w:rsidRPr="00F516FD">
        <w:t xml:space="preserve">MSAC </w:t>
      </w:r>
      <w:r w:rsidR="000665B5" w:rsidRPr="00F516FD">
        <w:lastRenderedPageBreak/>
        <w:t xml:space="preserve">considered the </w:t>
      </w:r>
      <w:r w:rsidR="00F31237" w:rsidRPr="00F516FD">
        <w:t xml:space="preserve">financial impact calculated by the </w:t>
      </w:r>
      <w:r w:rsidR="00505808" w:rsidRPr="00F516FD">
        <w:t xml:space="preserve">epidemiological data </w:t>
      </w:r>
      <w:r w:rsidR="00706DAA" w:rsidRPr="00F516FD">
        <w:t>was</w:t>
      </w:r>
      <w:r w:rsidR="00505808" w:rsidRPr="00F516FD">
        <w:t xml:space="preserve"> more accurate than </w:t>
      </w:r>
      <w:r w:rsidR="00706DAA" w:rsidRPr="00F516FD">
        <w:t>the</w:t>
      </w:r>
      <w:r w:rsidR="00505808" w:rsidRPr="00F516FD">
        <w:t xml:space="preserve"> real-world data, </w:t>
      </w:r>
      <w:r w:rsidR="009E0199" w:rsidRPr="00F516FD">
        <w:t xml:space="preserve">given the </w:t>
      </w:r>
      <w:r w:rsidR="00304169" w:rsidRPr="00F516FD">
        <w:t>real</w:t>
      </w:r>
      <w:r w:rsidR="00232F2D" w:rsidRPr="00F516FD">
        <w:t>-</w:t>
      </w:r>
      <w:r w:rsidR="00304169" w:rsidRPr="00F516FD">
        <w:t xml:space="preserve">world data for the </w:t>
      </w:r>
      <w:r w:rsidR="009E0199" w:rsidRPr="00F516FD">
        <w:t>least uncertain population data set (population 1 perinatal deaths)</w:t>
      </w:r>
      <w:r w:rsidR="00304169" w:rsidRPr="00F516FD">
        <w:t xml:space="preserve"> was lower</w:t>
      </w:r>
      <w:r w:rsidR="00F31237" w:rsidRPr="00F516FD">
        <w:t>.</w:t>
      </w:r>
      <w:r w:rsidR="00A560A4" w:rsidRPr="00F516FD">
        <w:t xml:space="preserve"> </w:t>
      </w:r>
      <w:r w:rsidR="00304169" w:rsidRPr="00F516FD">
        <w:t>compared to epidemiological data.</w:t>
      </w:r>
    </w:p>
    <w:p w14:paraId="4FC51FCF" w14:textId="2BB7E92B" w:rsidR="00A94411" w:rsidRPr="00F516FD" w:rsidRDefault="00A94411" w:rsidP="00A94411">
      <w:r w:rsidRPr="00F516FD">
        <w:t>MSAC noted the estimated utilisation for each population</w:t>
      </w:r>
      <w:r w:rsidR="00EA17EB" w:rsidRPr="00F516FD">
        <w:t xml:space="preserve"> as obtained from </w:t>
      </w:r>
      <w:r w:rsidR="0014285D" w:rsidRPr="00F516FD">
        <w:t>epidemiological data</w:t>
      </w:r>
      <w:r w:rsidRPr="00F516FD">
        <w:t>. Estimated utilisation for population 1 (stillbirths and very early neonatal death</w:t>
      </w:r>
      <w:r w:rsidR="0014285D" w:rsidRPr="00F516FD">
        <w:t>s</w:t>
      </w:r>
      <w:r w:rsidR="006417B2" w:rsidRPr="00F516FD">
        <w:t xml:space="preserve"> occurring within 24 hours of birth</w:t>
      </w:r>
      <w:r w:rsidRPr="00F516FD">
        <w:t>) was captured as part of registration of births and deaths</w:t>
      </w:r>
      <w:r w:rsidR="00774033" w:rsidRPr="00F516FD">
        <w:t xml:space="preserve"> from the </w:t>
      </w:r>
      <w:r w:rsidR="00505808" w:rsidRPr="00F516FD">
        <w:t xml:space="preserve">NPMDC, </w:t>
      </w:r>
      <w:r w:rsidR="00774033" w:rsidRPr="00F516FD">
        <w:t>AIHW</w:t>
      </w:r>
      <w:r w:rsidR="005B3DB0" w:rsidRPr="00F516FD">
        <w:t xml:space="preserve"> and</w:t>
      </w:r>
      <w:r w:rsidR="00BF1D37" w:rsidRPr="00F516FD">
        <w:t xml:space="preserve"> NPDC</w:t>
      </w:r>
      <w:r w:rsidRPr="00F516FD">
        <w:t>.</w:t>
      </w:r>
      <w:r w:rsidR="00D818CC" w:rsidRPr="00F516FD">
        <w:t xml:space="preserve"> MSAC noted</w:t>
      </w:r>
      <w:r w:rsidRPr="00F516FD">
        <w:t xml:space="preserve"> </w:t>
      </w:r>
      <w:r w:rsidR="00D818CC" w:rsidRPr="00F516FD">
        <w:t>t</w:t>
      </w:r>
      <w:r w:rsidRPr="00F516FD">
        <w:t>he number of perinatal deaths remained stable (</w:t>
      </w:r>
      <w:r w:rsidR="002E39FE" w:rsidRPr="00F516FD">
        <w:t>approximately</w:t>
      </w:r>
      <w:r w:rsidRPr="00F516FD">
        <w:t xml:space="preserve"> 3,000 per year) between 2014 and 2021. </w:t>
      </w:r>
      <w:r w:rsidR="00B8636E" w:rsidRPr="00F516FD">
        <w:t xml:space="preserve">MSAC noted the </w:t>
      </w:r>
      <w:r w:rsidR="00130876" w:rsidRPr="00F516FD">
        <w:t xml:space="preserve">projected </w:t>
      </w:r>
      <w:r w:rsidRPr="00F516FD">
        <w:t xml:space="preserve">data </w:t>
      </w:r>
      <w:r w:rsidR="00130876" w:rsidRPr="00F516FD">
        <w:t>to 2024 and</w:t>
      </w:r>
      <w:r w:rsidRPr="00F516FD">
        <w:t xml:space="preserve"> not</w:t>
      </w:r>
      <w:r w:rsidR="00130876" w:rsidRPr="00F516FD">
        <w:t>ed</w:t>
      </w:r>
      <w:r w:rsidRPr="00F516FD">
        <w:t xml:space="preserve"> that the trend is flat with minimal change in annual numbers. </w:t>
      </w:r>
      <w:r w:rsidR="00121885" w:rsidRPr="00F516FD">
        <w:t>MSAC noted that t</w:t>
      </w:r>
      <w:r w:rsidRPr="00F516FD">
        <w:t xml:space="preserve">he total number of stillbirths related to private patients, and therefore eligible for MBS funding, was calculated based on the total proportion of births that occur in a private hospital. Based on these data, the estimated financial cost to the MBS of </w:t>
      </w:r>
      <w:r w:rsidR="005433B8" w:rsidRPr="00F516FD">
        <w:t xml:space="preserve">the proposed complexity </w:t>
      </w:r>
      <w:r w:rsidRPr="00F516FD">
        <w:t>level 6 placental examinations, using the 75% benefit for MBS item 72836 (</w:t>
      </w:r>
      <w:r w:rsidR="002E39FE" w:rsidRPr="00F516FD">
        <w:t xml:space="preserve">Examination of complexity level 6 biopsy material; </w:t>
      </w:r>
      <w:r w:rsidRPr="00F516FD">
        <w:t xml:space="preserve">$312.90), is $189,225 in </w:t>
      </w:r>
      <w:r w:rsidR="00555255" w:rsidRPr="00F516FD">
        <w:t>Y</w:t>
      </w:r>
      <w:r w:rsidRPr="00F516FD">
        <w:t xml:space="preserve">ear 1 to $193,352 in </w:t>
      </w:r>
      <w:r w:rsidR="00555255" w:rsidRPr="00F516FD">
        <w:t>Y</w:t>
      </w:r>
      <w:r w:rsidRPr="00F516FD">
        <w:t xml:space="preserve">ear 6. </w:t>
      </w:r>
      <w:r w:rsidR="005433B8" w:rsidRPr="00F516FD">
        <w:t>MSAC noted that t</w:t>
      </w:r>
      <w:r w:rsidRPr="00F516FD">
        <w:t>his was estimated at less than 5% of the total cost to the MBS</w:t>
      </w:r>
      <w:r w:rsidR="002E39FE" w:rsidRPr="00F516FD">
        <w:t xml:space="preserve"> from all three populations</w:t>
      </w:r>
      <w:r w:rsidRPr="00F516FD">
        <w:t>.</w:t>
      </w:r>
      <w:r w:rsidR="009D53A5" w:rsidRPr="00F516FD">
        <w:t xml:space="preserve"> However, MSAC noted that the financial estimates for this population did not include very early neonatal deaths occurring within 24 hours of birth being expanded to early neonatal deaths occurring up to 7 days as per </w:t>
      </w:r>
      <w:r w:rsidR="00E70C0D" w:rsidRPr="00F516FD">
        <w:t>MSAC’s recommendation. MSAC considered that although th</w:t>
      </w:r>
      <w:r w:rsidR="00B43F52" w:rsidRPr="00F516FD">
        <w:t xml:space="preserve">e actual cost due to this recommendation was uncertain, it was likely to be </w:t>
      </w:r>
      <w:r w:rsidR="001B7DE1" w:rsidRPr="00F516FD">
        <w:t xml:space="preserve">of </w:t>
      </w:r>
      <w:r w:rsidR="00596571" w:rsidRPr="00F516FD">
        <w:t>minimal</w:t>
      </w:r>
      <w:r w:rsidR="001B7DE1" w:rsidRPr="00F516FD">
        <w:t xml:space="preserve"> impact</w:t>
      </w:r>
      <w:r w:rsidR="00596571" w:rsidRPr="00F516FD">
        <w:t>.</w:t>
      </w:r>
    </w:p>
    <w:p w14:paraId="58622688" w14:textId="175EFD61" w:rsidR="00A94411" w:rsidRPr="00F516FD" w:rsidRDefault="00A94411" w:rsidP="00A94411">
      <w:r w:rsidRPr="00F516FD">
        <w:t>MSAC noted that the number of eligible services for second trimester pregnancy loss (population 2) was estimated using hospital separations with a primary diagnosis of spontaneous abortion</w:t>
      </w:r>
      <w:r w:rsidR="00180481" w:rsidRPr="00F516FD">
        <w:t xml:space="preserve"> </w:t>
      </w:r>
      <w:r w:rsidR="005B019D" w:rsidRPr="00F516FD">
        <w:t>from</w:t>
      </w:r>
      <w:r w:rsidR="00331EC8" w:rsidRPr="00F516FD">
        <w:t xml:space="preserve"> epidemiological data</w:t>
      </w:r>
      <w:r w:rsidRPr="00F516FD">
        <w:t xml:space="preserve">. </w:t>
      </w:r>
      <w:r w:rsidR="00331EC8" w:rsidRPr="00F516FD">
        <w:t>MSAC noted that i</w:t>
      </w:r>
      <w:r w:rsidRPr="00F516FD">
        <w:t xml:space="preserve">n 2021, there were 10,722 hospitalisations due to spontaneous abortion. </w:t>
      </w:r>
      <w:r w:rsidR="00543425" w:rsidRPr="00F516FD">
        <w:t>MSAC noted t</w:t>
      </w:r>
      <w:r w:rsidRPr="00F516FD">
        <w:t xml:space="preserve">he number of eligible services following a live birth (population 3) was estimated using the proxy of admission to a special care nursery (SCN) or neonatal </w:t>
      </w:r>
      <w:r w:rsidR="00232F2D" w:rsidRPr="00F516FD">
        <w:t xml:space="preserve">intensive care unit </w:t>
      </w:r>
      <w:r w:rsidRPr="00F516FD">
        <w:t xml:space="preserve">(NICU). These admissions cover premature births and births complicated by abnormal gestation or </w:t>
      </w:r>
      <w:proofErr w:type="spellStart"/>
      <w:r w:rsidRPr="00F516FD">
        <w:t>fetal</w:t>
      </w:r>
      <w:proofErr w:type="spellEnd"/>
      <w:r w:rsidRPr="00F516FD">
        <w:t xml:space="preserve"> development.</w:t>
      </w:r>
      <w:r w:rsidR="00543425" w:rsidRPr="00F516FD">
        <w:t xml:space="preserve"> MSAC noted</w:t>
      </w:r>
      <w:r w:rsidRPr="00F516FD">
        <w:t xml:space="preserve"> </w:t>
      </w:r>
      <w:r w:rsidR="00543425" w:rsidRPr="00F516FD">
        <w:t>t</w:t>
      </w:r>
      <w:r w:rsidRPr="00F516FD">
        <w:t xml:space="preserve">he AIHW reports that, in 2021, 17% of live births were admitted to SCN or NICU, </w:t>
      </w:r>
      <w:r w:rsidR="00543425" w:rsidRPr="00F516FD">
        <w:t>resulting in</w:t>
      </w:r>
      <w:r w:rsidRPr="00F516FD">
        <w:t xml:space="preserve"> 53,670 babies. </w:t>
      </w:r>
      <w:r w:rsidR="009D53A5" w:rsidRPr="00F516FD">
        <w:t>MSAC noted t</w:t>
      </w:r>
      <w:r w:rsidRPr="00F516FD">
        <w:t xml:space="preserve">he number of people who give birth and the number of babies born between 2011 and 2021 have both remained steady. Therefore, </w:t>
      </w:r>
      <w:r w:rsidR="009D53A5" w:rsidRPr="00F516FD">
        <w:t>MSAC noted that for</w:t>
      </w:r>
      <w:r w:rsidRPr="00F516FD">
        <w:t xml:space="preserve"> the financial analysis for populations 2 and 3, the number of eligible services per year is assumed to remain stable over the 6-year period. Based on this, </w:t>
      </w:r>
      <w:r w:rsidR="009D53A5" w:rsidRPr="00F516FD">
        <w:t xml:space="preserve">MSAC noted </w:t>
      </w:r>
      <w:r w:rsidRPr="00F516FD">
        <w:t xml:space="preserve">the estimated financial cost to the MBS </w:t>
      </w:r>
      <w:r w:rsidR="009D53A5" w:rsidRPr="00F516FD">
        <w:t>for the proposed complexity</w:t>
      </w:r>
      <w:r w:rsidRPr="00F516FD">
        <w:t xml:space="preserve"> level 5 placental examinations</w:t>
      </w:r>
      <w:r w:rsidR="009D53A5" w:rsidRPr="00F516FD">
        <w:t xml:space="preserve"> (populations 2 and 3)</w:t>
      </w:r>
      <w:r w:rsidRPr="00F516FD">
        <w:t>, using the 75% benefit for MBS item 72830 (</w:t>
      </w:r>
      <w:r w:rsidR="009B53B1" w:rsidRPr="00F516FD">
        <w:t xml:space="preserve">Examination of complexity level 5 biopsy material; </w:t>
      </w:r>
      <w:r w:rsidRPr="00F516FD">
        <w:t xml:space="preserve">$205.65), is </w:t>
      </w:r>
      <w:r w:rsidR="009B53B1" w:rsidRPr="00F516FD">
        <w:t>approximately</w:t>
      </w:r>
      <w:r w:rsidRPr="00F516FD">
        <w:t xml:space="preserve"> $3.4 million</w:t>
      </w:r>
      <w:r w:rsidR="009B53B1" w:rsidRPr="00F516FD">
        <w:t xml:space="preserve"> per year</w:t>
      </w:r>
      <w:r w:rsidRPr="00F516FD">
        <w:t>.</w:t>
      </w:r>
      <w:r w:rsidR="009D53A5" w:rsidRPr="00F516FD">
        <w:t xml:space="preserve"> MSAC considered the financial estimates for these populations were appropriate.</w:t>
      </w:r>
    </w:p>
    <w:p w14:paraId="486D238B" w14:textId="23E6B6F4" w:rsidR="00A94411" w:rsidRPr="00F516FD" w:rsidRDefault="00A94411" w:rsidP="00A94411">
      <w:r w:rsidRPr="00F516FD">
        <w:t>MSAC noted that</w:t>
      </w:r>
      <w:r w:rsidR="00596571" w:rsidRPr="00F516FD">
        <w:t xml:space="preserve"> </w:t>
      </w:r>
      <w:r w:rsidRPr="00F516FD">
        <w:t xml:space="preserve">population 3 was estimated to comprise more than 80% of the </w:t>
      </w:r>
      <w:r w:rsidR="00B01082" w:rsidRPr="00F516FD">
        <w:t xml:space="preserve">estimated total financial </w:t>
      </w:r>
      <w:r w:rsidRPr="00F516FD">
        <w:t>cost to the MBS</w:t>
      </w:r>
      <w:r w:rsidR="00E55B4C" w:rsidRPr="00F516FD">
        <w:t xml:space="preserve"> </w:t>
      </w:r>
      <w:r w:rsidR="009B53B1" w:rsidRPr="00F516FD">
        <w:t xml:space="preserve">for the combined three populations </w:t>
      </w:r>
      <w:r w:rsidR="00E55B4C" w:rsidRPr="00F516FD">
        <w:t>and was viewed as</w:t>
      </w:r>
      <w:r w:rsidRPr="00F516FD">
        <w:t xml:space="preserve"> the main source of uncertainty. </w:t>
      </w:r>
      <w:r w:rsidR="00301633" w:rsidRPr="00F516FD">
        <w:t>MSAC considered that t</w:t>
      </w:r>
      <w:r w:rsidRPr="00F516FD">
        <w:t>his uncertainty was somewhat reduced given similar service volume estimates were obtained from both an epidemiological approach and via extrapolation from real-world data.</w:t>
      </w:r>
    </w:p>
    <w:p w14:paraId="1DF97A2B" w14:textId="05F8ABDC" w:rsidR="00A94411" w:rsidRPr="00F516FD" w:rsidRDefault="009B53B1" w:rsidP="00A94411">
      <w:r w:rsidRPr="00F516FD">
        <w:t xml:space="preserve">MSAC noted that </w:t>
      </w:r>
      <w:r w:rsidR="003315BE" w:rsidRPr="00F516FD">
        <w:t xml:space="preserve">the combined financial impact to the MBS of the proposed change in complexity level from 4 to level 6 (population 1) and level 5 (populations 2 and 3), taking into consideration the cost offset of reduced level 4 claims, was approximately $2.3 million in </w:t>
      </w:r>
      <w:r w:rsidR="00AE6C2D" w:rsidRPr="00F516FD">
        <w:t>Year 6</w:t>
      </w:r>
      <w:r w:rsidR="003315BE" w:rsidRPr="00F516FD">
        <w:t xml:space="preserve">. </w:t>
      </w:r>
      <w:r w:rsidR="00A94411" w:rsidRPr="00F516FD">
        <w:t xml:space="preserve">MSAC noted that the proposed complexity change would increase the financial viability of placental histopathology and could increase the number of services and service providers. </w:t>
      </w:r>
      <w:r w:rsidR="00D40D53" w:rsidRPr="00F516FD">
        <w:t>MSAC noted the</w:t>
      </w:r>
      <w:r w:rsidR="00A94411" w:rsidRPr="00F516FD">
        <w:t xml:space="preserve"> sensitivity analysis in the </w:t>
      </w:r>
      <w:r w:rsidRPr="00F516FD">
        <w:t xml:space="preserve">assessment report </w:t>
      </w:r>
      <w:r w:rsidR="00A94411" w:rsidRPr="00F516FD">
        <w:t xml:space="preserve">indicated that if this led to an increased uptake of 10% per year over the 6-year analysis, then the estimated </w:t>
      </w:r>
      <w:r w:rsidR="00D40D53" w:rsidRPr="00F516FD">
        <w:t xml:space="preserve">total </w:t>
      </w:r>
      <w:r w:rsidR="00A94411" w:rsidRPr="00F516FD">
        <w:t xml:space="preserve">cost to the MBS would increase from </w:t>
      </w:r>
      <w:r w:rsidR="003315BE" w:rsidRPr="00F516FD">
        <w:t xml:space="preserve">approximately </w:t>
      </w:r>
      <w:r w:rsidR="00A94411" w:rsidRPr="00F516FD">
        <w:t>$2</w:t>
      </w:r>
      <w:r w:rsidR="003315BE" w:rsidRPr="00F516FD">
        <w:t>.3 million</w:t>
      </w:r>
      <w:r w:rsidR="00A94411" w:rsidRPr="00F516FD">
        <w:t xml:space="preserve"> to $4</w:t>
      </w:r>
      <w:r w:rsidR="003315BE" w:rsidRPr="00F516FD">
        <w:t>.1 million</w:t>
      </w:r>
      <w:r w:rsidR="00CC632F" w:rsidRPr="00F516FD">
        <w:t xml:space="preserve"> in Year 6</w:t>
      </w:r>
      <w:r w:rsidR="00A94411" w:rsidRPr="00F516FD">
        <w:t xml:space="preserve">. MSAC </w:t>
      </w:r>
      <w:r w:rsidR="00D40D53" w:rsidRPr="00F516FD">
        <w:t xml:space="preserve">considered </w:t>
      </w:r>
      <w:r w:rsidR="00A94411" w:rsidRPr="00F516FD">
        <w:t xml:space="preserve">that growth in services for populations 1 and 2 would be limited, and population 3 was considered the most </w:t>
      </w:r>
      <w:r w:rsidR="00A94411" w:rsidRPr="00F516FD">
        <w:lastRenderedPageBreak/>
        <w:t>likely source of any growth in services as the indications are broader and the volume is higher and could be influenced by factors such as increased capacity and awareness.</w:t>
      </w:r>
    </w:p>
    <w:p w14:paraId="0666F161" w14:textId="2C328C4F" w:rsidR="00D40D53" w:rsidRPr="00F516FD" w:rsidRDefault="00ED7E7C" w:rsidP="00A94411">
      <w:r w:rsidRPr="00F516FD">
        <w:t xml:space="preserve">MSAC noted that in the case of a multiple birth where individual placentas would be recognised as “separately identified” specimens, a single item can be billed under the higher fee MBS item 72824 for “…examination of 2–4 separately identified specimens”. However, MSAC </w:t>
      </w:r>
      <w:r w:rsidR="008708A4" w:rsidRPr="00F516FD">
        <w:t>noted</w:t>
      </w:r>
      <w:r w:rsidRPr="00F516FD">
        <w:t xml:space="preserve"> that, in its pre-MSAC response, the </w:t>
      </w:r>
      <w:r w:rsidR="00733033" w:rsidRPr="00F516FD">
        <w:t>applicant</w:t>
      </w:r>
      <w:r w:rsidRPr="00F516FD">
        <w:t xml:space="preserve"> stated that this may be a non-issue once at level 5 or 6, as both would be considered 1+ samples (with no option for 2 or more). </w:t>
      </w:r>
      <w:r w:rsidR="00D40D53" w:rsidRPr="00F516FD">
        <w:t xml:space="preserve">MSAC </w:t>
      </w:r>
      <w:r w:rsidR="008708A4" w:rsidRPr="00F516FD">
        <w:t xml:space="preserve">agreed with the </w:t>
      </w:r>
      <w:r w:rsidR="00733033" w:rsidRPr="00F516FD">
        <w:t>applicant</w:t>
      </w:r>
      <w:r w:rsidR="008708A4" w:rsidRPr="00F516FD">
        <w:t xml:space="preserve">’s interpretation and </w:t>
      </w:r>
      <w:r w:rsidR="00D40D53" w:rsidRPr="00F516FD">
        <w:t xml:space="preserve">considered that this </w:t>
      </w:r>
      <w:r w:rsidR="008708A4" w:rsidRPr="00F516FD">
        <w:t>would not be an issue</w:t>
      </w:r>
      <w:r w:rsidR="0054039D" w:rsidRPr="00F516FD">
        <w:t xml:space="preserve"> if the proposed changes to the complexity level were implemented.</w:t>
      </w:r>
    </w:p>
    <w:p w14:paraId="30B30A88" w14:textId="5E18A094" w:rsidR="00ED7E7C" w:rsidRPr="00F516FD" w:rsidRDefault="00ED7E7C" w:rsidP="00A94411">
      <w:r w:rsidRPr="00F516FD">
        <w:t xml:space="preserve">MSAC noted that multiple births had not been factored in the financial analysis and would slightly decrease the net financial impact to the MBS, as the slightly higher fee for </w:t>
      </w:r>
      <w:r w:rsidR="00733033" w:rsidRPr="00F516FD">
        <w:t xml:space="preserve">complexity level 4 </w:t>
      </w:r>
      <w:r w:rsidRPr="00F516FD">
        <w:t>multiple births</w:t>
      </w:r>
      <w:r w:rsidR="00733033" w:rsidRPr="00F516FD">
        <w:t xml:space="preserve"> items</w:t>
      </w:r>
      <w:r w:rsidRPr="00F516FD">
        <w:t xml:space="preserve"> would further offset the costs. MSAC considered that the impact would not be overly significant given that, according to the AIHW, the number of multiple births in Australia each year is small and has remained relatively stable at around 2–3% of all births.</w:t>
      </w:r>
    </w:p>
    <w:p w14:paraId="43C8D46D" w14:textId="2FE5CAEC" w:rsidR="00186B1E" w:rsidRPr="00F516FD" w:rsidRDefault="00A94411" w:rsidP="00A94411">
      <w:r w:rsidRPr="00F516FD">
        <w:t xml:space="preserve">Overall, </w:t>
      </w:r>
      <w:r w:rsidR="0042273F" w:rsidRPr="00F516FD">
        <w:t xml:space="preserve">MSAC supported the proposed complexity level increase to the relevant specimen types on the PST. </w:t>
      </w:r>
      <w:r w:rsidRPr="00F516FD">
        <w:t>MSAC acknowledged the</w:t>
      </w:r>
      <w:r w:rsidR="0042273F" w:rsidRPr="00F516FD">
        <w:t xml:space="preserve"> high</w:t>
      </w:r>
      <w:r w:rsidRPr="00F516FD">
        <w:t xml:space="preserve"> clinical and unmet need, and </w:t>
      </w:r>
      <w:r w:rsidR="00614C4F" w:rsidRPr="00F516FD">
        <w:t>noted</w:t>
      </w:r>
      <w:r w:rsidRPr="00F516FD">
        <w:t xml:space="preserve"> the increased time and expertise required to perform placental examinations.</w:t>
      </w:r>
      <w:r w:rsidR="0042273F" w:rsidRPr="00F516FD">
        <w:t xml:space="preserve"> MSAC agreed that the current fee structure is not commensurate with the time and complexity to perform placental tissue examinations</w:t>
      </w:r>
      <w:r w:rsidR="00FF50EF" w:rsidRPr="00F516FD">
        <w:t xml:space="preserve"> by </w:t>
      </w:r>
      <w:r w:rsidR="00D52179" w:rsidRPr="00F516FD">
        <w:t>specialist</w:t>
      </w:r>
      <w:r w:rsidR="00FF50EF" w:rsidRPr="00F516FD">
        <w:t xml:space="preserve"> pathologists</w:t>
      </w:r>
      <w:r w:rsidR="0042273F" w:rsidRPr="00F516FD">
        <w:t>.</w:t>
      </w:r>
      <w:r w:rsidRPr="00F516FD">
        <w:t xml:space="preserve"> </w:t>
      </w:r>
      <w:r w:rsidR="00FF50EF" w:rsidRPr="00F516FD">
        <w:t xml:space="preserve">MSAC supported the proposed wording updates to the </w:t>
      </w:r>
      <w:r w:rsidR="008B18C5" w:rsidRPr="00F516FD">
        <w:t xml:space="preserve">‘Products of Conception’ specimen types on the PST as recommended by both the applicant and Department. </w:t>
      </w:r>
      <w:r w:rsidR="00B84159" w:rsidRPr="00F516FD">
        <w:t>Additionally, MSAC supported that complexity level 6 placental tissue examinations be expanded to include early neonatal deaths occurring within 7 days, as opposed to limit</w:t>
      </w:r>
      <w:r w:rsidR="00EC1593" w:rsidRPr="00F516FD">
        <w:t>ing</w:t>
      </w:r>
      <w:r w:rsidR="00B84159" w:rsidRPr="00F516FD">
        <w:t xml:space="preserve"> to very early neonatal deaths occurring within 24 hours.</w:t>
      </w:r>
    </w:p>
    <w:p w14:paraId="6710B69D" w14:textId="22D355B6" w:rsidR="00772829" w:rsidRPr="00F516FD" w:rsidRDefault="007D2A04" w:rsidP="002A18BE">
      <w:pPr>
        <w:pStyle w:val="Heading2"/>
        <w:numPr>
          <w:ilvl w:val="0"/>
          <w:numId w:val="0"/>
        </w:numPr>
      </w:pPr>
      <w:bookmarkStart w:id="6" w:name="_Toc164685254"/>
      <w:bookmarkStart w:id="7" w:name="_Toc171508489"/>
      <w:bookmarkEnd w:id="2"/>
      <w:r w:rsidRPr="00F516FD">
        <w:t>4</w:t>
      </w:r>
      <w:r w:rsidR="00C36633" w:rsidRPr="00F516FD">
        <w:t>.</w:t>
      </w:r>
      <w:r w:rsidR="00C36633" w:rsidRPr="00F516FD">
        <w:tab/>
      </w:r>
      <w:r w:rsidR="00772829" w:rsidRPr="00F516FD">
        <w:t>Background</w:t>
      </w:r>
      <w:bookmarkEnd w:id="6"/>
      <w:bookmarkEnd w:id="7"/>
    </w:p>
    <w:p w14:paraId="6F43037D" w14:textId="214E0AC8" w:rsidR="00D92A1B" w:rsidRPr="00F516FD" w:rsidRDefault="00D92A1B" w:rsidP="009014DB">
      <w:r w:rsidRPr="00F516FD">
        <w:t xml:space="preserve">MSAC has not previously considered </w:t>
      </w:r>
      <w:r w:rsidR="00951582" w:rsidRPr="00F516FD">
        <w:t>the complexity level (and fee) of placental tissue examination.</w:t>
      </w:r>
    </w:p>
    <w:p w14:paraId="213A1308" w14:textId="3D2651DF" w:rsidR="009B5B35" w:rsidRPr="00F516FD" w:rsidRDefault="009C4194" w:rsidP="009014DB">
      <w:r w:rsidRPr="00F516FD">
        <w:t>The Pathology Clinical Committee (PCC)</w:t>
      </w:r>
      <w:r w:rsidR="00FD1700" w:rsidRPr="00F516FD">
        <w:t xml:space="preserve"> (Tissue (Anatomical) Pathology/Cytology)</w:t>
      </w:r>
      <w:r w:rsidRPr="00F516FD">
        <w:t xml:space="preserve"> </w:t>
      </w:r>
      <w:hyperlink r:id="rId15" w:tooltip="link to Report from the Pathology Clinical Committee (Tissue (Anatomical) Pathology/Cytology)" w:history="1">
        <w:r w:rsidR="00ED72B0" w:rsidRPr="00F516FD">
          <w:rPr>
            <w:rStyle w:val="Hyperlink"/>
          </w:rPr>
          <w:t>report</w:t>
        </w:r>
      </w:hyperlink>
      <w:r w:rsidR="00ED72B0" w:rsidRPr="00F516FD">
        <w:t xml:space="preserve"> to the Medicare Benefits Schedule Review Taskforce, </w:t>
      </w:r>
      <w:r w:rsidRPr="00F516FD">
        <w:t>recommended in May 2017, that</w:t>
      </w:r>
      <w:r w:rsidR="009B5B35" w:rsidRPr="00F516FD">
        <w:t>:</w:t>
      </w:r>
    </w:p>
    <w:p w14:paraId="28AA1E20" w14:textId="0EE36883" w:rsidR="009B5B35" w:rsidRPr="00F516FD" w:rsidRDefault="50B493B8" w:rsidP="008426CE">
      <w:pPr>
        <w:pStyle w:val="ListParagraph"/>
        <w:numPr>
          <w:ilvl w:val="0"/>
          <w:numId w:val="10"/>
        </w:numPr>
      </w:pPr>
      <w:r w:rsidRPr="00F516FD">
        <w:t>the examination of the placenta when clinically necessary (</w:t>
      </w:r>
      <w:r w:rsidR="009C4194" w:rsidRPr="00F516FD" w:rsidDel="50B493B8">
        <w:t>i.e. in an abnormal gestation</w:t>
      </w:r>
      <w:r w:rsidRPr="00F516FD">
        <w:t xml:space="preserve">), in the absence of </w:t>
      </w:r>
      <w:proofErr w:type="spellStart"/>
      <w:r w:rsidRPr="00F516FD">
        <w:t>fetal</w:t>
      </w:r>
      <w:proofErr w:type="spellEnd"/>
      <w:r w:rsidRPr="00F516FD">
        <w:t xml:space="preserve"> demise, should be increased from level 4 to level 5 complexity</w:t>
      </w:r>
      <w:r w:rsidR="13561A9D" w:rsidRPr="00F516FD">
        <w:t xml:space="preserve">, and </w:t>
      </w:r>
    </w:p>
    <w:p w14:paraId="6067DCE7" w14:textId="4E5B2E0E" w:rsidR="00951582" w:rsidRPr="00F516FD" w:rsidRDefault="009C4194" w:rsidP="008426CE">
      <w:pPr>
        <w:pStyle w:val="ListParagraph"/>
        <w:numPr>
          <w:ilvl w:val="0"/>
          <w:numId w:val="10"/>
        </w:numPr>
      </w:pPr>
      <w:r w:rsidRPr="00F516FD">
        <w:t xml:space="preserve">that examination of the placenta of a stillborn baby (when no examination of the </w:t>
      </w:r>
      <w:proofErr w:type="spellStart"/>
      <w:r w:rsidRPr="00F516FD">
        <w:t>fetus</w:t>
      </w:r>
      <w:proofErr w:type="spellEnd"/>
      <w:r w:rsidRPr="00F516FD">
        <w:t>/baby is conducted) be increased to level 6.</w:t>
      </w:r>
    </w:p>
    <w:p w14:paraId="30E75D1C" w14:textId="31AA9185" w:rsidR="00E74FDD" w:rsidRPr="00F516FD" w:rsidRDefault="00416C8B" w:rsidP="00E74FDD">
      <w:r w:rsidRPr="00F516FD">
        <w:t>The recommendations were made on the basis that t</w:t>
      </w:r>
      <w:r w:rsidR="00462763" w:rsidRPr="00F516FD">
        <w:t xml:space="preserve">he fee for level 4 complexity was not commensurate with the time </w:t>
      </w:r>
      <w:r w:rsidR="046F7E6D" w:rsidRPr="00F516FD">
        <w:t>required for and complexity</w:t>
      </w:r>
      <w:r w:rsidR="00462763" w:rsidRPr="00F516FD">
        <w:t xml:space="preserve"> involved in these examinations.</w:t>
      </w:r>
    </w:p>
    <w:p w14:paraId="141ACC46" w14:textId="727BD0F7" w:rsidR="00BF4B10" w:rsidRPr="00F516FD" w:rsidRDefault="00C82F1F" w:rsidP="00E74FDD">
      <w:r w:rsidRPr="00F516FD">
        <w:t>In February 2023, t</w:t>
      </w:r>
      <w:r w:rsidR="00B66E68" w:rsidRPr="00F516FD">
        <w:t xml:space="preserve">he RCPA </w:t>
      </w:r>
      <w:r w:rsidR="00F72C64" w:rsidRPr="00F516FD">
        <w:t>wrote to</w:t>
      </w:r>
      <w:r w:rsidR="003F04A6" w:rsidRPr="00F516FD">
        <w:t xml:space="preserve"> </w:t>
      </w:r>
      <w:r w:rsidR="006D5C09" w:rsidRPr="00F516FD">
        <w:t xml:space="preserve">the department </w:t>
      </w:r>
      <w:r w:rsidR="00375947" w:rsidRPr="00F516FD">
        <w:t xml:space="preserve">requesting </w:t>
      </w:r>
      <w:r w:rsidR="00C07F49" w:rsidRPr="00F516FD">
        <w:t xml:space="preserve">an increase to the complexity level of placental </w:t>
      </w:r>
      <w:r w:rsidR="006E3953" w:rsidRPr="00F516FD">
        <w:t xml:space="preserve">examination. </w:t>
      </w:r>
      <w:r w:rsidR="004003D0" w:rsidRPr="00F516FD">
        <w:t>I</w:t>
      </w:r>
      <w:r w:rsidR="00BB5466" w:rsidRPr="00F516FD">
        <w:t>n May 2023</w:t>
      </w:r>
      <w:r w:rsidR="000F76BF" w:rsidRPr="00F516FD">
        <w:t>,</w:t>
      </w:r>
      <w:r w:rsidR="005C2EEC" w:rsidRPr="00F516FD">
        <w:t xml:space="preserve"> </w:t>
      </w:r>
      <w:r w:rsidR="004003D0" w:rsidRPr="00F516FD">
        <w:t xml:space="preserve">the </w:t>
      </w:r>
      <w:r w:rsidR="00C2064E" w:rsidRPr="00F516FD">
        <w:t>Medical Services Advisory Committee (</w:t>
      </w:r>
      <w:r w:rsidR="004003D0" w:rsidRPr="00F516FD">
        <w:t>MSAC</w:t>
      </w:r>
      <w:r w:rsidR="00C2064E" w:rsidRPr="00F516FD">
        <w:t>)</w:t>
      </w:r>
      <w:r w:rsidR="004003D0" w:rsidRPr="00F516FD">
        <w:t xml:space="preserve"> Executive advised that </w:t>
      </w:r>
      <w:r w:rsidR="00626849" w:rsidRPr="00F516FD">
        <w:t xml:space="preserve">the request should progress </w:t>
      </w:r>
      <w:r w:rsidR="00205BDF" w:rsidRPr="00F516FD">
        <w:t>directly</w:t>
      </w:r>
      <w:r w:rsidR="00626849" w:rsidRPr="00F516FD">
        <w:t xml:space="preserve"> to MSAC </w:t>
      </w:r>
      <w:r w:rsidR="00D328F8" w:rsidRPr="00F516FD">
        <w:t>with the RCPA as the applicant, highlighting the financial impact to the MBS based on real</w:t>
      </w:r>
      <w:r w:rsidR="00BF2D39" w:rsidRPr="00F516FD">
        <w:t>-</w:t>
      </w:r>
      <w:r w:rsidR="00D328F8" w:rsidRPr="00F516FD">
        <w:t>world estimates</w:t>
      </w:r>
      <w:r w:rsidR="00657A9A" w:rsidRPr="00F516FD">
        <w:t xml:space="preserve">. </w:t>
      </w:r>
      <w:r w:rsidR="00FC2D2C" w:rsidRPr="00F516FD">
        <w:t>T</w:t>
      </w:r>
      <w:r w:rsidR="00657A9A" w:rsidRPr="00F516FD">
        <w:t>he application</w:t>
      </w:r>
      <w:r w:rsidR="007231C4" w:rsidRPr="00F516FD">
        <w:t xml:space="preserve"> </w:t>
      </w:r>
      <w:r w:rsidR="00205BDF" w:rsidRPr="00F516FD">
        <w:t>therefore</w:t>
      </w:r>
      <w:r w:rsidR="007231C4" w:rsidRPr="00F516FD">
        <w:t xml:space="preserve"> </w:t>
      </w:r>
      <w:r w:rsidR="00FC2D2C" w:rsidRPr="00F516FD">
        <w:t xml:space="preserve">bypassed </w:t>
      </w:r>
      <w:r w:rsidR="001E3D91" w:rsidRPr="00F516FD">
        <w:t>consider</w:t>
      </w:r>
      <w:r w:rsidR="00FC2D2C" w:rsidRPr="00F516FD">
        <w:t>ation</w:t>
      </w:r>
      <w:r w:rsidR="001E3D91" w:rsidRPr="00F516FD">
        <w:t xml:space="preserve"> by </w:t>
      </w:r>
      <w:r w:rsidR="007231C4" w:rsidRPr="00F516FD">
        <w:t xml:space="preserve">the PICO Advisory Sub-committee </w:t>
      </w:r>
      <w:r w:rsidR="009A0AC1" w:rsidRPr="00F516FD">
        <w:t xml:space="preserve">and </w:t>
      </w:r>
      <w:r w:rsidR="0097742A" w:rsidRPr="00F516FD">
        <w:t>the Evaluation Sub-committee.</w:t>
      </w:r>
      <w:r w:rsidR="00AB2258" w:rsidRPr="00F516FD">
        <w:t xml:space="preserve"> </w:t>
      </w:r>
    </w:p>
    <w:p w14:paraId="19B98D0D" w14:textId="22E9CD56" w:rsidR="00B66E68" w:rsidRPr="00F516FD" w:rsidRDefault="006D5C09" w:rsidP="00E74FDD">
      <w:r w:rsidRPr="00F516FD">
        <w:t xml:space="preserve">The department </w:t>
      </w:r>
      <w:r w:rsidR="00AB2258" w:rsidRPr="00F516FD">
        <w:t xml:space="preserve">undertook </w:t>
      </w:r>
      <w:r w:rsidR="00C77CEB" w:rsidRPr="00F516FD">
        <w:t>targeted consultation</w:t>
      </w:r>
      <w:r w:rsidR="006A2177" w:rsidRPr="00F516FD">
        <w:t xml:space="preserve"> and responses are he</w:t>
      </w:r>
      <w:r w:rsidR="00EA6826" w:rsidRPr="00F516FD">
        <w:t>rein referred to as ‘</w:t>
      </w:r>
      <w:r w:rsidR="004A44E5" w:rsidRPr="00F516FD">
        <w:t>E</w:t>
      </w:r>
      <w:r w:rsidR="00EA6826" w:rsidRPr="00F516FD">
        <w:t>xpert</w:t>
      </w:r>
      <w:r w:rsidR="00667958">
        <w:t> </w:t>
      </w:r>
      <w:r w:rsidR="00EA6826" w:rsidRPr="00F516FD">
        <w:t>1</w:t>
      </w:r>
      <w:r w:rsidR="001C738C" w:rsidRPr="00F516FD">
        <w:t>,</w:t>
      </w:r>
      <w:r w:rsidR="007C47D9" w:rsidRPr="00F516FD">
        <w:t>’</w:t>
      </w:r>
      <w:r w:rsidR="001C738C" w:rsidRPr="00F516FD">
        <w:t xml:space="preserve"> ‘</w:t>
      </w:r>
      <w:r w:rsidR="004A44E5" w:rsidRPr="00F516FD">
        <w:t>E</w:t>
      </w:r>
      <w:r w:rsidR="001C738C" w:rsidRPr="00F516FD">
        <w:t>xpert 2</w:t>
      </w:r>
      <w:r w:rsidR="00D55C07" w:rsidRPr="00F516FD">
        <w:t xml:space="preserve">’ and </w:t>
      </w:r>
      <w:r w:rsidR="004A44E5" w:rsidRPr="00F516FD">
        <w:t>E</w:t>
      </w:r>
      <w:r w:rsidR="00D55C07" w:rsidRPr="00F516FD">
        <w:t>xpert 3.’</w:t>
      </w:r>
    </w:p>
    <w:p w14:paraId="6F52500A" w14:textId="074036BF" w:rsidR="00772829" w:rsidRPr="00F516FD" w:rsidRDefault="007D2A04" w:rsidP="002A18BE">
      <w:pPr>
        <w:pStyle w:val="Heading2"/>
        <w:numPr>
          <w:ilvl w:val="0"/>
          <w:numId w:val="0"/>
        </w:numPr>
      </w:pPr>
      <w:bookmarkStart w:id="8" w:name="_Toc164685255"/>
      <w:bookmarkStart w:id="9" w:name="_Toc171508490"/>
      <w:r w:rsidRPr="00F516FD">
        <w:lastRenderedPageBreak/>
        <w:t>5</w:t>
      </w:r>
      <w:r w:rsidR="00C36633" w:rsidRPr="00F516FD">
        <w:t>.</w:t>
      </w:r>
      <w:r w:rsidR="00C36633" w:rsidRPr="00F516FD">
        <w:tab/>
      </w:r>
      <w:r w:rsidR="00772829" w:rsidRPr="00F516FD">
        <w:t>Prerequisites to implementation of any funding advice</w:t>
      </w:r>
      <w:bookmarkEnd w:id="8"/>
      <w:bookmarkEnd w:id="9"/>
    </w:p>
    <w:p w14:paraId="76CE7CB0" w14:textId="2ECA703F" w:rsidR="009014DB" w:rsidRPr="00F516FD" w:rsidRDefault="009014DB" w:rsidP="009014DB">
      <w:r w:rsidRPr="00F516FD">
        <w:t xml:space="preserve">The requested </w:t>
      </w:r>
      <w:r w:rsidR="00916005" w:rsidRPr="00F516FD">
        <w:t>complexity level</w:t>
      </w:r>
      <w:r w:rsidRPr="00F516FD">
        <w:t xml:space="preserve"> change </w:t>
      </w:r>
      <w:r w:rsidR="006D7754" w:rsidRPr="00F516FD">
        <w:t xml:space="preserve">is for </w:t>
      </w:r>
      <w:r w:rsidRPr="00F516FD">
        <w:t xml:space="preserve">a medical service already delivered by pathologists. There would be no change to medical practice or associated quality assurance requirements. </w:t>
      </w:r>
    </w:p>
    <w:p w14:paraId="53FD0B4E" w14:textId="00402D78" w:rsidR="00DB6137" w:rsidRPr="00F516FD" w:rsidRDefault="007D2A04" w:rsidP="00DB6137">
      <w:pPr>
        <w:pStyle w:val="Heading2"/>
        <w:numPr>
          <w:ilvl w:val="0"/>
          <w:numId w:val="0"/>
        </w:numPr>
      </w:pPr>
      <w:bookmarkStart w:id="10" w:name="_Toc164685256"/>
      <w:bookmarkStart w:id="11" w:name="_Toc171508491"/>
      <w:r w:rsidRPr="00F516FD">
        <w:t>6</w:t>
      </w:r>
      <w:r w:rsidR="00DB6137" w:rsidRPr="00F516FD">
        <w:t>.</w:t>
      </w:r>
      <w:r w:rsidR="00DB6137" w:rsidRPr="00F516FD">
        <w:tab/>
        <w:t>Proposal for public funding</w:t>
      </w:r>
      <w:bookmarkEnd w:id="10"/>
      <w:bookmarkEnd w:id="11"/>
    </w:p>
    <w:p w14:paraId="78E9ED82" w14:textId="4DB430A8" w:rsidR="00F12E3D" w:rsidRPr="00F516FD" w:rsidRDefault="00127CA0" w:rsidP="00F12E3D">
      <w:r w:rsidRPr="00F516FD">
        <w:t>P</w:t>
      </w:r>
      <w:r w:rsidR="00126145" w:rsidRPr="00F516FD">
        <w:t xml:space="preserve">lacental tissue examinations are currently claimed under MBS </w:t>
      </w:r>
      <w:r w:rsidR="00E81CD6" w:rsidRPr="00F516FD">
        <w:t>i</w:t>
      </w:r>
      <w:r w:rsidR="00126145" w:rsidRPr="00F516FD">
        <w:t>tem 72823</w:t>
      </w:r>
      <w:r w:rsidR="002B1515" w:rsidRPr="00F516FD">
        <w:t xml:space="preserve"> (complexity level 4)</w:t>
      </w:r>
      <w:r w:rsidR="00140AA8" w:rsidRPr="00F516FD">
        <w:t>. Th</w:t>
      </w:r>
      <w:r w:rsidR="00F76CA6" w:rsidRPr="00F516FD">
        <w:t>is</w:t>
      </w:r>
      <w:r w:rsidR="00140AA8" w:rsidRPr="00F516FD">
        <w:t xml:space="preserve"> MBS item is</w:t>
      </w:r>
      <w:r w:rsidR="005066D3" w:rsidRPr="00F516FD">
        <w:t xml:space="preserve"> one of </w:t>
      </w:r>
      <w:r w:rsidR="00666861" w:rsidRPr="00F516FD">
        <w:t>12</w:t>
      </w:r>
      <w:r w:rsidR="005066D3" w:rsidRPr="00F516FD">
        <w:t xml:space="preserve"> </w:t>
      </w:r>
      <w:r w:rsidR="001C77CC" w:rsidRPr="00F516FD">
        <w:t xml:space="preserve">tissue </w:t>
      </w:r>
      <w:r w:rsidR="00DB667B" w:rsidRPr="00F516FD">
        <w:t>histo</w:t>
      </w:r>
      <w:r w:rsidR="001C77CC" w:rsidRPr="00F516FD">
        <w:t xml:space="preserve">pathology items </w:t>
      </w:r>
      <w:r w:rsidR="002805C1" w:rsidRPr="00F516FD">
        <w:t xml:space="preserve">for </w:t>
      </w:r>
      <w:r w:rsidR="005A010A" w:rsidRPr="00F516FD">
        <w:t>examination of</w:t>
      </w:r>
      <w:r w:rsidR="00FF33B7" w:rsidRPr="00F516FD">
        <w:t xml:space="preserve"> </w:t>
      </w:r>
      <w:r w:rsidR="005A010A" w:rsidRPr="00F516FD">
        <w:t xml:space="preserve">biopsy materials of </w:t>
      </w:r>
      <w:r w:rsidR="00FF33B7" w:rsidRPr="00F516FD">
        <w:t>different complexity level</w:t>
      </w:r>
      <w:r w:rsidR="006811E7" w:rsidRPr="00F516FD">
        <w:t>s</w:t>
      </w:r>
      <w:r w:rsidR="00126145" w:rsidRPr="00F516FD">
        <w:t xml:space="preserve"> (</w:t>
      </w:r>
      <w:r w:rsidR="006811E7" w:rsidRPr="00F516FD">
        <w:t xml:space="preserve">see </w:t>
      </w:r>
      <w:r w:rsidR="00D53BE2" w:rsidRPr="00F516FD">
        <w:fldChar w:fldCharType="begin"/>
      </w:r>
      <w:r w:rsidR="00D53BE2" w:rsidRPr="00F516FD">
        <w:instrText xml:space="preserve"> REF _Ref166748855 \h </w:instrText>
      </w:r>
      <w:r w:rsidR="00F516FD">
        <w:instrText xml:space="preserve"> \* MERGEFORMAT </w:instrText>
      </w:r>
      <w:r w:rsidR="00D53BE2" w:rsidRPr="00F516FD">
        <w:fldChar w:fldCharType="separate"/>
      </w:r>
      <w:r w:rsidR="002A4535" w:rsidRPr="00F516FD">
        <w:t>Table </w:t>
      </w:r>
      <w:r w:rsidR="002A4535" w:rsidRPr="00F516FD">
        <w:rPr>
          <w:noProof/>
        </w:rPr>
        <w:t>2</w:t>
      </w:r>
      <w:r w:rsidR="00D53BE2" w:rsidRPr="00F516FD">
        <w:fldChar w:fldCharType="end"/>
      </w:r>
      <w:r w:rsidR="006811E7" w:rsidRPr="00F516FD">
        <w:t xml:space="preserve"> for </w:t>
      </w:r>
      <w:r w:rsidR="00FC5BDF" w:rsidRPr="00F516FD">
        <w:t xml:space="preserve">MBS items relating to </w:t>
      </w:r>
      <w:r w:rsidR="00E51E5E" w:rsidRPr="00F516FD">
        <w:t>complexity levels 3 to 6</w:t>
      </w:r>
      <w:r w:rsidR="00126145" w:rsidRPr="00F516FD">
        <w:t xml:space="preserve">). </w:t>
      </w:r>
      <w:r w:rsidR="00F12E3D" w:rsidRPr="00F516FD">
        <w:t>Complexity levels for specimen types are not prescribed by the MBS item</w:t>
      </w:r>
      <w:r w:rsidR="00140AA8" w:rsidRPr="00F516FD">
        <w:t>s</w:t>
      </w:r>
      <w:r w:rsidR="00F12E3D" w:rsidRPr="00F516FD">
        <w:t xml:space="preserve"> but are </w:t>
      </w:r>
      <w:r w:rsidR="00A34123" w:rsidRPr="00F516FD">
        <w:t>specified in the PST</w:t>
      </w:r>
      <w:r w:rsidR="00815576" w:rsidRPr="00F516FD">
        <w:t xml:space="preserve"> </w:t>
      </w:r>
      <w:r w:rsidR="001E7938" w:rsidRPr="00F516FD">
        <w:t>‘</w:t>
      </w:r>
      <w:r w:rsidR="00A41C6B" w:rsidRPr="00F516FD">
        <w:t xml:space="preserve">Complexity </w:t>
      </w:r>
      <w:r w:rsidR="00914EF3" w:rsidRPr="00F516FD">
        <w:t>l</w:t>
      </w:r>
      <w:r w:rsidR="00A41C6B" w:rsidRPr="00F516FD">
        <w:t xml:space="preserve">evels </w:t>
      </w:r>
      <w:r w:rsidR="00DC7DE2" w:rsidRPr="00F516FD">
        <w:t>f</w:t>
      </w:r>
      <w:r w:rsidR="00A41C6B" w:rsidRPr="00F516FD">
        <w:t xml:space="preserve">or </w:t>
      </w:r>
      <w:r w:rsidR="00914EF3" w:rsidRPr="00F516FD">
        <w:t xml:space="preserve">tissue pathology </w:t>
      </w:r>
      <w:proofErr w:type="gramStart"/>
      <w:r w:rsidR="00914EF3" w:rsidRPr="00F516FD">
        <w:t>i</w:t>
      </w:r>
      <w:r w:rsidR="00A41C6B" w:rsidRPr="00F516FD">
        <w:t>tems</w:t>
      </w:r>
      <w:r w:rsidR="001E7938" w:rsidRPr="00F516FD">
        <w:t>’</w:t>
      </w:r>
      <w:proofErr w:type="gramEnd"/>
      <w:r w:rsidR="00F12E3D" w:rsidRPr="00F516FD">
        <w:t xml:space="preserve">. </w:t>
      </w:r>
      <w:r w:rsidR="00140AA8" w:rsidRPr="00F516FD">
        <w:t>P</w:t>
      </w:r>
      <w:r w:rsidR="00F12E3D" w:rsidRPr="00F516FD">
        <w:t>lacental histo</w:t>
      </w:r>
      <w:r w:rsidR="00A102FA" w:rsidRPr="00F516FD">
        <w:t>patho</w:t>
      </w:r>
      <w:r w:rsidR="00F12E3D" w:rsidRPr="00F516FD">
        <w:t>logy</w:t>
      </w:r>
      <w:r w:rsidR="00140AA8" w:rsidRPr="00F516FD">
        <w:t xml:space="preserve"> is specified as level 4 complexity in this </w:t>
      </w:r>
      <w:r w:rsidR="001D6A12" w:rsidRPr="00F516FD">
        <w:t>table and</w:t>
      </w:r>
      <w:r w:rsidR="005566F0" w:rsidRPr="00F516FD">
        <w:t xml:space="preserve"> is distinguished from products of conception and </w:t>
      </w:r>
      <w:r w:rsidR="004205B4" w:rsidRPr="00F516FD">
        <w:t xml:space="preserve">examination of a </w:t>
      </w:r>
      <w:proofErr w:type="spellStart"/>
      <w:r w:rsidR="004205B4" w:rsidRPr="00F516FD">
        <w:t>fetus</w:t>
      </w:r>
      <w:proofErr w:type="spellEnd"/>
      <w:r w:rsidR="00F12E3D" w:rsidRPr="00F516FD">
        <w:t xml:space="preserve"> </w:t>
      </w:r>
      <w:r w:rsidR="005566F0" w:rsidRPr="00F516FD">
        <w:t>(</w:t>
      </w:r>
      <w:r w:rsidR="00FC5BDF" w:rsidRPr="00F516FD">
        <w:t xml:space="preserve">see </w:t>
      </w:r>
      <w:r w:rsidR="001B288A" w:rsidRPr="00F516FD">
        <w:rPr>
          <w:b/>
          <w:bCs/>
          <w:lang w:val="en-US"/>
        </w:rPr>
        <w:fldChar w:fldCharType="begin"/>
      </w:r>
      <w:r w:rsidR="001B288A" w:rsidRPr="00F516FD">
        <w:rPr>
          <w:b/>
          <w:bCs/>
          <w:lang w:val="en-US"/>
        </w:rPr>
        <w:instrText xml:space="preserve"> REF _Ref167972595 \h </w:instrText>
      </w:r>
      <w:r w:rsidR="00F516FD">
        <w:rPr>
          <w:b/>
          <w:bCs/>
          <w:lang w:val="en-US"/>
        </w:rPr>
        <w:instrText xml:space="preserve"> \* MERGEFORMAT </w:instrText>
      </w:r>
      <w:r w:rsidR="001B288A" w:rsidRPr="00F516FD">
        <w:rPr>
          <w:b/>
          <w:bCs/>
          <w:lang w:val="en-US"/>
        </w:rPr>
      </w:r>
      <w:r w:rsidR="001B288A" w:rsidRPr="00F516FD">
        <w:rPr>
          <w:b/>
          <w:bCs/>
          <w:lang w:val="en-US"/>
        </w:rPr>
        <w:fldChar w:fldCharType="separate"/>
      </w:r>
      <w:r w:rsidR="002A4535" w:rsidRPr="00F516FD">
        <w:t xml:space="preserve">Table </w:t>
      </w:r>
      <w:r w:rsidR="002A4535" w:rsidRPr="00F516FD">
        <w:rPr>
          <w:noProof/>
        </w:rPr>
        <w:t>3</w:t>
      </w:r>
      <w:r w:rsidR="001B288A" w:rsidRPr="00F516FD">
        <w:rPr>
          <w:b/>
          <w:bCs/>
          <w:lang w:val="en-US"/>
        </w:rPr>
        <w:fldChar w:fldCharType="end"/>
      </w:r>
      <w:r w:rsidR="005566F0" w:rsidRPr="00F516FD">
        <w:t>)</w:t>
      </w:r>
      <w:r w:rsidR="00F12E3D" w:rsidRPr="00F516FD">
        <w:t>.</w:t>
      </w:r>
    </w:p>
    <w:p w14:paraId="58FF59DD" w14:textId="39F5CCC3" w:rsidR="007A3905" w:rsidRPr="00F516FD" w:rsidRDefault="007A3905" w:rsidP="007A3905">
      <w:pPr>
        <w:pStyle w:val="Caption"/>
        <w:rPr>
          <w:rFonts w:cs="Arial"/>
        </w:rPr>
      </w:pPr>
      <w:bookmarkStart w:id="12" w:name="_Ref166748855"/>
      <w:r w:rsidRPr="00F516FD">
        <w:t>Table </w:t>
      </w:r>
      <w:r w:rsidRPr="00F516FD">
        <w:fldChar w:fldCharType="begin"/>
      </w:r>
      <w:r w:rsidRPr="00F516FD">
        <w:instrText>SEQ Table \* ARABIC</w:instrText>
      </w:r>
      <w:r w:rsidRPr="00F516FD">
        <w:fldChar w:fldCharType="separate"/>
      </w:r>
      <w:r w:rsidR="002A4535" w:rsidRPr="00F516FD">
        <w:rPr>
          <w:noProof/>
        </w:rPr>
        <w:t>2</w:t>
      </w:r>
      <w:r w:rsidRPr="00F516FD">
        <w:fldChar w:fldCharType="end"/>
      </w:r>
      <w:bookmarkEnd w:id="12"/>
      <w:r w:rsidRPr="00F516FD">
        <w:rPr>
          <w:rFonts w:cs="Arial"/>
        </w:rPr>
        <w:tab/>
        <w:t>E</w:t>
      </w:r>
      <w:r w:rsidR="00A72AFF" w:rsidRPr="00F516FD">
        <w:rPr>
          <w:rFonts w:cs="Arial"/>
        </w:rPr>
        <w:t>xcerpt of e</w:t>
      </w:r>
      <w:r w:rsidRPr="00F516FD">
        <w:rPr>
          <w:rFonts w:cs="Arial"/>
        </w:rPr>
        <w:t>xisting MBS item</w:t>
      </w:r>
      <w:r w:rsidR="00A80D74" w:rsidRPr="00F516FD">
        <w:rPr>
          <w:rFonts w:cs="Arial"/>
        </w:rPr>
        <w:t>s</w:t>
      </w:r>
      <w:r w:rsidRPr="00F516FD">
        <w:rPr>
          <w:rFonts w:cs="Arial"/>
        </w:rPr>
        <w:t xml:space="preserve"> for </w:t>
      </w:r>
      <w:r w:rsidR="006C117A" w:rsidRPr="00F516FD">
        <w:rPr>
          <w:rFonts w:cs="Arial"/>
        </w:rPr>
        <w:t xml:space="preserve">tissue histopathology </w:t>
      </w:r>
      <w:r w:rsidRPr="00F516FD">
        <w:rPr>
          <w:rFonts w:cs="Arial"/>
        </w:rPr>
        <w:t>complexity level</w:t>
      </w:r>
      <w:r w:rsidR="00CB50C9" w:rsidRPr="00F516FD">
        <w:rPr>
          <w:rFonts w:cs="Arial"/>
        </w:rPr>
        <w:t>s</w:t>
      </w:r>
      <w:r w:rsidRPr="00F516FD">
        <w:rPr>
          <w:rFonts w:cs="Arial"/>
        </w:rPr>
        <w:t xml:space="preserve"> 3 to 6</w:t>
      </w:r>
      <w:r w:rsidR="00A72AFF" w:rsidRPr="00F516FD">
        <w:rPr>
          <w:rFonts w:cs="Arial"/>
        </w:rPr>
        <w:t xml:space="preserve"> relevant to this application</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1. Existing MBS items for tissue histopathology complexity levels 3 to 6"/>
        <w:tblDescription w:val="Existing MBS items for tissue histopathology complexity levels 3 to 6. Showing desciptors for MBS items 72816, 72823, 72830, 772836."/>
      </w:tblPr>
      <w:tblGrid>
        <w:gridCol w:w="9016"/>
      </w:tblGrid>
      <w:tr w:rsidR="007A3905" w:rsidRPr="00F516FD" w14:paraId="1E5B6189" w14:textId="77777777" w:rsidTr="5DCF9E46">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76BB2" w14:textId="77777777" w:rsidR="007A3905" w:rsidRPr="00F516FD" w:rsidRDefault="007A3905">
            <w:pPr>
              <w:pStyle w:val="TableText"/>
            </w:pPr>
            <w:r w:rsidRPr="00F516FD">
              <w:t>Category 6 – PATHOLOGY SERVICES</w:t>
            </w:r>
          </w:p>
        </w:tc>
      </w:tr>
      <w:tr w:rsidR="007A3905" w:rsidRPr="00F516FD" w14:paraId="5805CF63" w14:textId="77777777" w:rsidTr="5DCF9E46">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97E64" w14:textId="77777777" w:rsidR="007A3905" w:rsidRPr="00F516FD" w:rsidRDefault="007A3905">
            <w:pPr>
              <w:pStyle w:val="TableText"/>
            </w:pPr>
            <w:r w:rsidRPr="00F516FD">
              <w:t>MBS item 72816</w:t>
            </w:r>
          </w:p>
          <w:p w14:paraId="11328FF5" w14:textId="77777777" w:rsidR="007A3905" w:rsidRPr="00F516FD" w:rsidRDefault="007A3905">
            <w:pPr>
              <w:pStyle w:val="TableText"/>
            </w:pPr>
            <w:r w:rsidRPr="00F516FD">
              <w:t>Examination of complexity level 3 biopsy material with 1 or more tissue blocks, including specimen dissection, all tissue processing, staining, light microscopy and professional opinion or opinions – 1 separately identified specimen</w:t>
            </w:r>
          </w:p>
          <w:p w14:paraId="5BC9645F" w14:textId="77777777" w:rsidR="007A3905" w:rsidRPr="00F516FD" w:rsidRDefault="007A3905">
            <w:pPr>
              <w:pStyle w:val="TableText"/>
            </w:pPr>
            <w:r w:rsidRPr="00F516FD">
              <w:t>(Item is subject to rule 13)</w:t>
            </w:r>
          </w:p>
          <w:p w14:paraId="581C7D75" w14:textId="77777777" w:rsidR="007A3905" w:rsidRPr="00F516FD" w:rsidRDefault="007A3905">
            <w:pPr>
              <w:pStyle w:val="TableText"/>
            </w:pPr>
            <w:r w:rsidRPr="00F516FD">
              <w:rPr>
                <w:b/>
              </w:rPr>
              <w:t>Fee:</w:t>
            </w:r>
            <w:r w:rsidRPr="00F516FD">
              <w:t xml:space="preserve"> $86.35 </w:t>
            </w:r>
            <w:r w:rsidRPr="00F516FD">
              <w:rPr>
                <w:b/>
              </w:rPr>
              <w:t>Benefit:</w:t>
            </w:r>
            <w:r w:rsidRPr="00F516FD">
              <w:t xml:space="preserve"> 75% = $64.80 85% = $73.40</w:t>
            </w:r>
          </w:p>
        </w:tc>
      </w:tr>
      <w:tr w:rsidR="007A3905" w:rsidRPr="00F516FD" w14:paraId="5DB93C2F" w14:textId="77777777" w:rsidTr="5DCF9E4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1F9A7" w14:textId="77777777" w:rsidR="007A3905" w:rsidRPr="00F516FD" w:rsidRDefault="007A3905">
            <w:pPr>
              <w:pStyle w:val="TableText"/>
            </w:pPr>
            <w:r w:rsidRPr="00F516FD">
              <w:t>MBS item 72823</w:t>
            </w:r>
          </w:p>
          <w:p w14:paraId="6B038310" w14:textId="77777777" w:rsidR="007A3905" w:rsidRPr="00F516FD" w:rsidRDefault="007A3905">
            <w:pPr>
              <w:pStyle w:val="TableText"/>
            </w:pPr>
            <w:r w:rsidRPr="00F516FD">
              <w:t xml:space="preserve">Examination of complexity level 4 biopsy material with 1 or more tissue blocks, including specimen dissection, all tissue processing, staining, light microscopy and professional opinion or opinions - 1 separately identified specimen </w:t>
            </w:r>
          </w:p>
          <w:p w14:paraId="00C7DF59" w14:textId="77777777" w:rsidR="007A3905" w:rsidRPr="00F516FD" w:rsidRDefault="007A3905">
            <w:pPr>
              <w:pStyle w:val="TableText"/>
            </w:pPr>
            <w:r w:rsidRPr="00F516FD">
              <w:t>(Item is subject to rule 13)</w:t>
            </w:r>
          </w:p>
          <w:p w14:paraId="0ED0076B" w14:textId="77777777" w:rsidR="007A3905" w:rsidRPr="00F516FD" w:rsidRDefault="007A3905">
            <w:pPr>
              <w:pStyle w:val="TableText"/>
            </w:pPr>
            <w:r w:rsidRPr="00F516FD">
              <w:rPr>
                <w:b/>
                <w:bCs/>
              </w:rPr>
              <w:t>Fee</w:t>
            </w:r>
            <w:r w:rsidRPr="00F516FD">
              <w:t xml:space="preserve">: $97.15 </w:t>
            </w:r>
            <w:r w:rsidRPr="00F516FD">
              <w:rPr>
                <w:b/>
                <w:bCs/>
              </w:rPr>
              <w:t>Benefit:</w:t>
            </w:r>
            <w:r w:rsidRPr="00F516FD">
              <w:t xml:space="preserve"> 75% = $72.90 85% = $82.60</w:t>
            </w:r>
          </w:p>
        </w:tc>
      </w:tr>
      <w:tr w:rsidR="5DCF9E46" w:rsidRPr="00F516FD" w14:paraId="5EF6E482" w14:textId="77777777" w:rsidTr="00FA5DCA">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CF6DF95" w14:textId="72F7199D" w:rsidR="5DCF9E46" w:rsidRPr="00F516FD" w:rsidRDefault="5D026782" w:rsidP="0E3678F7">
            <w:pPr>
              <w:pStyle w:val="TableText"/>
            </w:pPr>
            <w:r w:rsidRPr="00F516FD">
              <w:t>MBS item 72824</w:t>
            </w:r>
          </w:p>
          <w:p w14:paraId="67D99E34" w14:textId="64ED7849" w:rsidR="5DCF9E46" w:rsidRPr="00F516FD" w:rsidRDefault="5D026782" w:rsidP="0E3678F7">
            <w:pPr>
              <w:pStyle w:val="TableText"/>
            </w:pPr>
            <w:r w:rsidRPr="00F516FD">
              <w:t>Examination of complexity level 4 biopsy material with 1 or more tissue blocks, including specimen dissection, all tissue processing, staining, light microscopy and professional opinion or opinions – 2-4 separately identified specimen</w:t>
            </w:r>
            <w:r w:rsidR="5AEC2CCD" w:rsidRPr="00F516FD">
              <w:t>s</w:t>
            </w:r>
            <w:r w:rsidRPr="00F516FD">
              <w:t xml:space="preserve"> </w:t>
            </w:r>
          </w:p>
          <w:p w14:paraId="0A58761F" w14:textId="77777777" w:rsidR="5DCF9E46" w:rsidRPr="00F516FD" w:rsidRDefault="5D026782" w:rsidP="0E3678F7">
            <w:pPr>
              <w:pStyle w:val="TableText"/>
            </w:pPr>
            <w:r w:rsidRPr="00F516FD">
              <w:t>(Item is subject to rule 13)</w:t>
            </w:r>
          </w:p>
          <w:p w14:paraId="2752CC3E" w14:textId="0EE7991B" w:rsidR="5DCF9E46" w:rsidRPr="00F516FD" w:rsidRDefault="5D026782" w:rsidP="0E3678F7">
            <w:pPr>
              <w:pStyle w:val="TableText"/>
            </w:pPr>
            <w:r w:rsidRPr="00F516FD">
              <w:rPr>
                <w:b/>
                <w:bCs/>
              </w:rPr>
              <w:t>Fee</w:t>
            </w:r>
            <w:r w:rsidRPr="00F516FD">
              <w:t xml:space="preserve">: $141.35 </w:t>
            </w:r>
            <w:r w:rsidRPr="00F516FD">
              <w:rPr>
                <w:b/>
                <w:bCs/>
              </w:rPr>
              <w:t>Benefit:</w:t>
            </w:r>
            <w:r w:rsidRPr="00F516FD">
              <w:t xml:space="preserve"> 75% = $</w:t>
            </w:r>
            <w:r w:rsidR="59529060" w:rsidRPr="00F516FD">
              <w:t>106.05</w:t>
            </w:r>
            <w:r w:rsidRPr="00F516FD">
              <w:t xml:space="preserve"> 85% = $</w:t>
            </w:r>
            <w:r w:rsidR="1A9EB41F" w:rsidRPr="00F516FD">
              <w:t>120.15</w:t>
            </w:r>
          </w:p>
        </w:tc>
      </w:tr>
      <w:tr w:rsidR="2F1D2AE7" w:rsidRPr="00F516FD" w14:paraId="48BFECBC" w14:textId="77777777" w:rsidTr="00FA5DCA">
        <w:trPr>
          <w:trHeight w:val="300"/>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F85279" w14:textId="1A51E49D" w:rsidR="5D026782" w:rsidRPr="00F516FD" w:rsidRDefault="5D026782" w:rsidP="3F14685C">
            <w:pPr>
              <w:pStyle w:val="TableText"/>
            </w:pPr>
            <w:r w:rsidRPr="00F516FD">
              <w:t>MBS item 72825</w:t>
            </w:r>
          </w:p>
          <w:p w14:paraId="5BEBC71B" w14:textId="4F5FBBB5" w:rsidR="5D026782" w:rsidRPr="00F516FD" w:rsidRDefault="5D026782" w:rsidP="3F14685C">
            <w:pPr>
              <w:pStyle w:val="TableText"/>
            </w:pPr>
            <w:r w:rsidRPr="00F516FD">
              <w:t xml:space="preserve">Examination of complexity level 4 biopsy material with 1 or more tissue blocks, including specimen dissection, all tissue processing, staining, light microscopy and professional opinion or opinions </w:t>
            </w:r>
            <w:r w:rsidR="1FFE5697" w:rsidRPr="00F516FD">
              <w:t>– 5-7</w:t>
            </w:r>
            <w:r w:rsidRPr="00F516FD">
              <w:t xml:space="preserve"> separately identified specimen</w:t>
            </w:r>
            <w:r w:rsidR="73EC1645" w:rsidRPr="00F516FD">
              <w:t>s</w:t>
            </w:r>
            <w:r w:rsidRPr="00F516FD">
              <w:t xml:space="preserve"> </w:t>
            </w:r>
          </w:p>
          <w:p w14:paraId="175D90D8" w14:textId="77777777" w:rsidR="5D026782" w:rsidRPr="00F516FD" w:rsidRDefault="5D026782" w:rsidP="3F14685C">
            <w:pPr>
              <w:pStyle w:val="TableText"/>
            </w:pPr>
            <w:r w:rsidRPr="00F516FD">
              <w:t>(Item is subject to rule 13)</w:t>
            </w:r>
          </w:p>
          <w:p w14:paraId="6281DF1B" w14:textId="7C6338E0" w:rsidR="2F1D2AE7" w:rsidRPr="00F516FD" w:rsidRDefault="5D026782" w:rsidP="3F14685C">
            <w:pPr>
              <w:pStyle w:val="TableText"/>
            </w:pPr>
            <w:r w:rsidRPr="00F516FD">
              <w:rPr>
                <w:b/>
                <w:bCs/>
              </w:rPr>
              <w:t>Fee</w:t>
            </w:r>
            <w:r w:rsidRPr="00F516FD">
              <w:t>: $</w:t>
            </w:r>
            <w:r w:rsidR="2DEC0082" w:rsidRPr="00F516FD">
              <w:t>180.25</w:t>
            </w:r>
            <w:r w:rsidRPr="00F516FD">
              <w:t xml:space="preserve"> </w:t>
            </w:r>
            <w:r w:rsidRPr="00F516FD">
              <w:rPr>
                <w:b/>
                <w:bCs/>
              </w:rPr>
              <w:t>Benefit:</w:t>
            </w:r>
            <w:r w:rsidRPr="00F516FD">
              <w:t xml:space="preserve"> 75% = $</w:t>
            </w:r>
            <w:r w:rsidR="6184B393" w:rsidRPr="00F516FD">
              <w:t>135.20</w:t>
            </w:r>
            <w:r w:rsidRPr="00F516FD">
              <w:t xml:space="preserve"> 85% = $</w:t>
            </w:r>
            <w:r w:rsidR="7CDDEC3E" w:rsidRPr="00F516FD">
              <w:t>153.25</w:t>
            </w:r>
          </w:p>
        </w:tc>
      </w:tr>
      <w:tr w:rsidR="007A3905" w:rsidRPr="00F516FD" w14:paraId="6158C415" w14:textId="77777777" w:rsidTr="5DCF9E4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6B1C7" w14:textId="77777777" w:rsidR="007A3905" w:rsidRPr="00F516FD" w:rsidRDefault="007A3905">
            <w:pPr>
              <w:pStyle w:val="TableText"/>
            </w:pPr>
            <w:r w:rsidRPr="00F516FD">
              <w:t>MBS item 72830</w:t>
            </w:r>
          </w:p>
          <w:p w14:paraId="011EE13C" w14:textId="77777777" w:rsidR="007A3905" w:rsidRPr="00F516FD" w:rsidRDefault="007A3905">
            <w:pPr>
              <w:pStyle w:val="TableText"/>
            </w:pPr>
            <w:r w:rsidRPr="00F516FD">
              <w:t>Examination of complexity level 5 biopsy material with 1 or more tissue blocks, including specimen dissection, all tissue processing, staining, light microscopy and professional opinion or opinions - 1 or more separately identified specimens</w:t>
            </w:r>
          </w:p>
          <w:p w14:paraId="18B36848" w14:textId="77777777" w:rsidR="007A3905" w:rsidRPr="00F516FD" w:rsidRDefault="007A3905">
            <w:pPr>
              <w:pStyle w:val="TableText"/>
            </w:pPr>
            <w:r w:rsidRPr="00F516FD">
              <w:t>(Item is subject to rule 13)</w:t>
            </w:r>
          </w:p>
          <w:p w14:paraId="35B44F73" w14:textId="77777777" w:rsidR="007A3905" w:rsidRPr="00F516FD" w:rsidRDefault="007A3905">
            <w:pPr>
              <w:pStyle w:val="TableText"/>
            </w:pPr>
            <w:r w:rsidRPr="00F516FD">
              <w:rPr>
                <w:b/>
              </w:rPr>
              <w:t>Fee:</w:t>
            </w:r>
            <w:r w:rsidRPr="00F516FD">
              <w:t xml:space="preserve"> $274.15 </w:t>
            </w:r>
            <w:r w:rsidRPr="00F516FD">
              <w:rPr>
                <w:b/>
              </w:rPr>
              <w:t>Benefit:</w:t>
            </w:r>
            <w:r w:rsidRPr="00F516FD">
              <w:t xml:space="preserve"> 75% = $205.65 85% = $233.05</w:t>
            </w:r>
          </w:p>
        </w:tc>
      </w:tr>
      <w:tr w:rsidR="007A3905" w:rsidRPr="00F516FD" w14:paraId="106B5320" w14:textId="77777777" w:rsidTr="5DCF9E4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73EEF" w14:textId="77777777" w:rsidR="007A3905" w:rsidRPr="00F516FD" w:rsidRDefault="007A3905">
            <w:pPr>
              <w:pStyle w:val="TableText"/>
            </w:pPr>
            <w:r w:rsidRPr="00F516FD">
              <w:t>MBS item 72836</w:t>
            </w:r>
          </w:p>
          <w:p w14:paraId="04E6207C" w14:textId="77777777" w:rsidR="007A3905" w:rsidRPr="00F516FD" w:rsidRDefault="007A3905">
            <w:pPr>
              <w:pStyle w:val="TableText"/>
            </w:pPr>
            <w:r w:rsidRPr="00F516FD">
              <w:t>Examination of complexity level 6 biopsy material with 1 or more tissue blocks, including specimen dissection, all tissue processing, staining, light microscopy and professional opinion or opinions - 1 or more separately identified specimens</w:t>
            </w:r>
          </w:p>
          <w:p w14:paraId="0B78D75E" w14:textId="77777777" w:rsidR="007A3905" w:rsidRPr="00F516FD" w:rsidRDefault="007A3905">
            <w:pPr>
              <w:pStyle w:val="TableText"/>
            </w:pPr>
            <w:r w:rsidRPr="00F516FD">
              <w:t>(Item is subject to rule 13)</w:t>
            </w:r>
          </w:p>
          <w:p w14:paraId="35EAEBF8" w14:textId="77777777" w:rsidR="007A3905" w:rsidRPr="00F516FD" w:rsidRDefault="007A3905">
            <w:pPr>
              <w:pStyle w:val="TableText"/>
            </w:pPr>
            <w:r w:rsidRPr="00F516FD">
              <w:rPr>
                <w:b/>
                <w:bCs/>
              </w:rPr>
              <w:t>Fee</w:t>
            </w:r>
            <w:r w:rsidRPr="00F516FD">
              <w:t xml:space="preserve">: $417.20 </w:t>
            </w:r>
            <w:r w:rsidRPr="00F516FD">
              <w:rPr>
                <w:b/>
                <w:bCs/>
              </w:rPr>
              <w:t>Benefit</w:t>
            </w:r>
            <w:r w:rsidRPr="00F516FD">
              <w:t>: 75% = $312.90 85% = $354.65</w:t>
            </w:r>
          </w:p>
        </w:tc>
      </w:tr>
    </w:tbl>
    <w:p w14:paraId="2FF5F95D" w14:textId="0D930A0A" w:rsidR="000927C9" w:rsidRPr="00F516FD" w:rsidRDefault="007A3905" w:rsidP="00C25F1B">
      <w:pPr>
        <w:pStyle w:val="Tablenotes0"/>
      </w:pPr>
      <w:r w:rsidRPr="00F516FD">
        <w:t xml:space="preserve">Source: </w:t>
      </w:r>
      <w:hyperlink r:id="rId16" w:tooltip="This link goes to the MBS online website" w:history="1">
        <w:r w:rsidRPr="00F516FD">
          <w:rPr>
            <w:rStyle w:val="Hyperlink"/>
          </w:rPr>
          <w:t>MBS online website</w:t>
        </w:r>
      </w:hyperlink>
      <w:r w:rsidRPr="00F516FD">
        <w:t xml:space="preserve"> (accessed 16 </w:t>
      </w:r>
      <w:r w:rsidR="00973192" w:rsidRPr="00F516FD">
        <w:t>May</w:t>
      </w:r>
      <w:r w:rsidRPr="00F516FD">
        <w:t xml:space="preserve"> 2024)</w:t>
      </w:r>
      <w:r w:rsidR="003926F4" w:rsidRPr="00F516FD">
        <w:t xml:space="preserve">. Grey shading indicates MBS item(s) that were not </w:t>
      </w:r>
      <w:r w:rsidR="00B25F18" w:rsidRPr="00F516FD">
        <w:t>in scope for assessment</w:t>
      </w:r>
      <w:r w:rsidR="00816FBE" w:rsidRPr="00F516FD">
        <w:t xml:space="preserve">. </w:t>
      </w:r>
    </w:p>
    <w:p w14:paraId="26A07B48" w14:textId="102D93E0" w:rsidR="00D32FE8" w:rsidRPr="00F516FD" w:rsidRDefault="00D727FD" w:rsidP="00126145">
      <w:pPr>
        <w:rPr>
          <w:rFonts w:eastAsia="Franklin Gothic Book" w:cs="Franklin Gothic Book"/>
        </w:rPr>
      </w:pPr>
      <w:r w:rsidRPr="00F516FD">
        <w:lastRenderedPageBreak/>
        <w:t xml:space="preserve">The MBS item </w:t>
      </w:r>
      <w:r w:rsidR="001D1207" w:rsidRPr="00F516FD">
        <w:t xml:space="preserve">currently </w:t>
      </w:r>
      <w:r w:rsidRPr="00F516FD">
        <w:t>claim</w:t>
      </w:r>
      <w:r w:rsidR="00611E87" w:rsidRPr="00F516FD">
        <w:t>able</w:t>
      </w:r>
      <w:r w:rsidRPr="00F516FD">
        <w:t xml:space="preserve"> for </w:t>
      </w:r>
      <w:r w:rsidR="00DE7756" w:rsidRPr="00F516FD">
        <w:t xml:space="preserve">placental histopathology (MBS item </w:t>
      </w:r>
      <w:r w:rsidR="006108D3" w:rsidRPr="00F516FD">
        <w:t>72823)</w:t>
      </w:r>
      <w:r w:rsidR="00DE7756" w:rsidRPr="00F516FD">
        <w:t xml:space="preserve"> </w:t>
      </w:r>
      <w:r w:rsidRPr="00F516FD">
        <w:t>specif</w:t>
      </w:r>
      <w:r w:rsidR="009F3441" w:rsidRPr="00F516FD">
        <w:t>i</w:t>
      </w:r>
      <w:r w:rsidR="00DE7756" w:rsidRPr="00F516FD">
        <w:t>es</w:t>
      </w:r>
      <w:r w:rsidRPr="00F516FD">
        <w:t xml:space="preserve"> that the service </w:t>
      </w:r>
      <w:r w:rsidR="00DA5064" w:rsidRPr="00F516FD">
        <w:t>must be</w:t>
      </w:r>
      <w:r w:rsidRPr="00F516FD">
        <w:t xml:space="preserve"> rendered for one separately identified specimen. </w:t>
      </w:r>
      <w:r w:rsidR="00154B1F" w:rsidRPr="00F516FD">
        <w:t>F</w:t>
      </w:r>
      <w:r w:rsidR="00C62B09" w:rsidRPr="00F516FD">
        <w:t>or</w:t>
      </w:r>
      <w:r w:rsidR="00366CF2" w:rsidRPr="00F516FD">
        <w:t xml:space="preserve"> a</w:t>
      </w:r>
      <w:r w:rsidRPr="00F516FD">
        <w:t xml:space="preserve"> multiple birth result</w:t>
      </w:r>
      <w:r w:rsidR="007E157C" w:rsidRPr="00F516FD">
        <w:t>ing</w:t>
      </w:r>
      <w:r w:rsidRPr="00F516FD">
        <w:t xml:space="preserve"> in multiple placentas, </w:t>
      </w:r>
      <w:r w:rsidR="008A03BB" w:rsidRPr="00F516FD">
        <w:t xml:space="preserve">the </w:t>
      </w:r>
      <w:r w:rsidR="00846889" w:rsidRPr="00F516FD">
        <w:t>assessment</w:t>
      </w:r>
      <w:r w:rsidR="008A03BB" w:rsidRPr="00F516FD">
        <w:t xml:space="preserve"> </w:t>
      </w:r>
      <w:r w:rsidR="00385D29" w:rsidRPr="00F516FD">
        <w:t>evaluated</w:t>
      </w:r>
      <w:r w:rsidR="00D04455" w:rsidRPr="00F516FD">
        <w:t xml:space="preserve"> </w:t>
      </w:r>
      <w:r w:rsidR="00D70E56" w:rsidRPr="00F516FD">
        <w:t xml:space="preserve">all level 4 </w:t>
      </w:r>
      <w:r w:rsidR="00D04455" w:rsidRPr="00F516FD">
        <w:t>examinations</w:t>
      </w:r>
      <w:r w:rsidR="00F97F79" w:rsidRPr="00F516FD">
        <w:t xml:space="preserve"> </w:t>
      </w:r>
      <w:r w:rsidR="00385D29" w:rsidRPr="00F516FD">
        <w:t>a</w:t>
      </w:r>
      <w:r w:rsidR="00B912D7" w:rsidRPr="00F516FD">
        <w:t>s using</w:t>
      </w:r>
      <w:r w:rsidR="00D04455" w:rsidRPr="00F516FD">
        <w:t xml:space="preserve"> the single sample item</w:t>
      </w:r>
      <w:r w:rsidR="00BE5103" w:rsidRPr="00F516FD">
        <w:t xml:space="preserve"> 72823</w:t>
      </w:r>
      <w:r w:rsidR="001071F1" w:rsidRPr="00F516FD">
        <w:t xml:space="preserve"> (separate service required for each placenta)</w:t>
      </w:r>
      <w:r w:rsidR="00D04455" w:rsidRPr="00F516FD">
        <w:t xml:space="preserve">, </w:t>
      </w:r>
      <w:r w:rsidR="003D5FEB" w:rsidRPr="00F516FD">
        <w:t xml:space="preserve">and multiple </w:t>
      </w:r>
      <w:r w:rsidR="00097AA3" w:rsidRPr="00F516FD">
        <w:t xml:space="preserve">sample </w:t>
      </w:r>
      <w:r w:rsidR="0070181A" w:rsidRPr="00F516FD">
        <w:t>items were not in scope</w:t>
      </w:r>
      <w:r w:rsidR="00097AA3" w:rsidRPr="00F516FD">
        <w:t xml:space="preserve"> for the assessment</w:t>
      </w:r>
      <w:r w:rsidR="0070181A" w:rsidRPr="00F516FD">
        <w:t>. H</w:t>
      </w:r>
      <w:r w:rsidR="00D04455" w:rsidRPr="00F516FD">
        <w:t>owever</w:t>
      </w:r>
      <w:r w:rsidR="0070181A" w:rsidRPr="00F516FD">
        <w:t>,</w:t>
      </w:r>
      <w:r w:rsidR="00D04455" w:rsidRPr="00F516FD">
        <w:t xml:space="preserve"> </w:t>
      </w:r>
      <w:r w:rsidR="0070181A" w:rsidRPr="00F516FD">
        <w:t>for multiple placenta births,</w:t>
      </w:r>
      <w:r w:rsidR="00F97F79" w:rsidRPr="00F516FD">
        <w:t xml:space="preserve"> </w:t>
      </w:r>
      <w:r w:rsidR="06FAF3E0" w:rsidRPr="00F516FD">
        <w:t>i</w:t>
      </w:r>
      <w:r w:rsidR="06FAF3E0" w:rsidRPr="00F516FD">
        <w:rPr>
          <w:rFonts w:eastAsia="Franklin Gothic Book" w:cs="Franklin Gothic Book"/>
        </w:rPr>
        <w:t xml:space="preserve">tem 72824 provides higher funding than 72823 for the examination of 2 - 4 separately identified specimens, at a fee of $141.35 (item 72825 allows for 5 – 7 specimens at a fee of $180.25). </w:t>
      </w:r>
      <w:r w:rsidR="006536B2" w:rsidRPr="00F516FD">
        <w:t xml:space="preserve">MBS </w:t>
      </w:r>
      <w:r w:rsidR="00A843EC" w:rsidRPr="00F516FD">
        <w:t>Note PN.0.33 (</w:t>
      </w:r>
      <w:r w:rsidR="008E531E" w:rsidRPr="00F516FD">
        <w:t>R</w:t>
      </w:r>
      <w:r w:rsidR="00A843EC" w:rsidRPr="00F516FD">
        <w:t>ules for</w:t>
      </w:r>
      <w:r w:rsidR="00FB50AC" w:rsidRPr="00F516FD">
        <w:t xml:space="preserve"> the</w:t>
      </w:r>
      <w:r w:rsidR="00A843EC" w:rsidRPr="00F516FD">
        <w:t xml:space="preserve"> </w:t>
      </w:r>
      <w:r w:rsidR="00FB50AC" w:rsidRPr="00F516FD">
        <w:t>I</w:t>
      </w:r>
      <w:r w:rsidR="00A843EC" w:rsidRPr="00F516FD">
        <w:t>nterpretation of the PST)</w:t>
      </w:r>
      <w:r w:rsidR="008118B9" w:rsidRPr="00F516FD">
        <w:t xml:space="preserve">, </w:t>
      </w:r>
      <w:r w:rsidR="00FB50AC" w:rsidRPr="00F516FD">
        <w:t>specifically</w:t>
      </w:r>
      <w:r w:rsidR="007921A0" w:rsidRPr="00F516FD">
        <w:t xml:space="preserve"> </w:t>
      </w:r>
      <w:r w:rsidR="006536B2" w:rsidRPr="00F516FD">
        <w:t>rule 1</w:t>
      </w:r>
      <w:r w:rsidR="00223902" w:rsidRPr="00F516FD">
        <w:t>3.</w:t>
      </w:r>
      <w:r w:rsidR="00976427" w:rsidRPr="00F516FD">
        <w:t xml:space="preserve"> </w:t>
      </w:r>
      <w:r w:rsidR="00E0394B" w:rsidRPr="00F516FD">
        <w:t>(</w:t>
      </w:r>
      <w:r w:rsidR="000911D2" w:rsidRPr="00F516FD">
        <w:t xml:space="preserve">4) and </w:t>
      </w:r>
      <w:r w:rsidR="006536B2" w:rsidRPr="00F516FD">
        <w:t>1</w:t>
      </w:r>
      <w:r w:rsidR="00223902" w:rsidRPr="00F516FD">
        <w:t>3.</w:t>
      </w:r>
      <w:r w:rsidR="00976427" w:rsidRPr="00F516FD">
        <w:t xml:space="preserve"> </w:t>
      </w:r>
      <w:r w:rsidR="00E0394B" w:rsidRPr="00F516FD">
        <w:t>(5)</w:t>
      </w:r>
      <w:r w:rsidR="009C03D7" w:rsidRPr="00F516FD">
        <w:t>,</w:t>
      </w:r>
      <w:r w:rsidR="00976427" w:rsidRPr="00F516FD">
        <w:rPr>
          <w:rStyle w:val="FootnoteReference"/>
        </w:rPr>
        <w:footnoteReference w:id="2"/>
      </w:r>
      <w:r w:rsidR="00E0394B" w:rsidRPr="00F516FD">
        <w:t xml:space="preserve"> </w:t>
      </w:r>
      <w:r w:rsidR="0098540C" w:rsidRPr="00F516FD">
        <w:t xml:space="preserve">would </w:t>
      </w:r>
      <w:r w:rsidR="371BB06E" w:rsidRPr="00F516FD">
        <w:t xml:space="preserve">also </w:t>
      </w:r>
      <w:r w:rsidR="0098540C" w:rsidRPr="00F516FD">
        <w:t>be</w:t>
      </w:r>
      <w:r w:rsidR="006E5387" w:rsidRPr="00F516FD">
        <w:t xml:space="preserve"> relevant</w:t>
      </w:r>
      <w:r w:rsidR="00E0394B" w:rsidRPr="00F516FD">
        <w:t xml:space="preserve"> </w:t>
      </w:r>
      <w:r w:rsidR="006E5387" w:rsidRPr="00F516FD">
        <w:t>in the case of</w:t>
      </w:r>
      <w:r w:rsidR="0071513A" w:rsidRPr="00F516FD">
        <w:t xml:space="preserve"> a multiple birth</w:t>
      </w:r>
      <w:r w:rsidR="00D437BC" w:rsidRPr="00F516FD">
        <w:t xml:space="preserve"> where i</w:t>
      </w:r>
      <w:r w:rsidR="003C5C4C" w:rsidRPr="00F516FD">
        <w:t>ndividual placentas</w:t>
      </w:r>
      <w:r w:rsidR="001223DC" w:rsidRPr="00F516FD">
        <w:t xml:space="preserve"> </w:t>
      </w:r>
      <w:r w:rsidR="00F74B85" w:rsidRPr="00F516FD">
        <w:t xml:space="preserve">would be recognised as </w:t>
      </w:r>
      <w:r w:rsidR="00EC61AD" w:rsidRPr="00F516FD">
        <w:t>‘</w:t>
      </w:r>
      <w:r w:rsidR="00F74B85" w:rsidRPr="00F516FD">
        <w:t>separately identified</w:t>
      </w:r>
      <w:r w:rsidR="219F399D" w:rsidRPr="00F516FD">
        <w:t>’</w:t>
      </w:r>
      <w:r w:rsidR="00F74B85" w:rsidRPr="00F516FD">
        <w:t xml:space="preserve"> </w:t>
      </w:r>
      <w:r w:rsidR="00F85E31" w:rsidRPr="00F516FD">
        <w:t>specimens</w:t>
      </w:r>
      <w:r w:rsidR="00D000CC" w:rsidRPr="00F516FD">
        <w:t>.</w:t>
      </w:r>
      <w:r w:rsidR="00F74B85" w:rsidRPr="00F516FD">
        <w:t xml:space="preserve"> </w:t>
      </w:r>
      <w:r w:rsidR="00B313F2" w:rsidRPr="00F516FD">
        <w:t>In the event</w:t>
      </w:r>
      <w:r w:rsidR="00FC469D" w:rsidRPr="00F516FD">
        <w:t xml:space="preserve"> more than one</w:t>
      </w:r>
      <w:r w:rsidR="009C0586" w:rsidRPr="00F516FD">
        <w:t xml:space="preserve"> </w:t>
      </w:r>
      <w:r w:rsidR="0029154B" w:rsidRPr="00F516FD">
        <w:t xml:space="preserve">histopathology </w:t>
      </w:r>
      <w:r w:rsidR="009C0586" w:rsidRPr="00F516FD">
        <w:t xml:space="preserve">examination </w:t>
      </w:r>
      <w:r w:rsidR="00FC469D" w:rsidRPr="00F516FD">
        <w:t>is</w:t>
      </w:r>
      <w:r w:rsidR="009C0586" w:rsidRPr="00F516FD">
        <w:t xml:space="preserve"> rendered </w:t>
      </w:r>
      <w:r w:rsidR="00FB3A71" w:rsidRPr="00F516FD">
        <w:t xml:space="preserve">on these specimens </w:t>
      </w:r>
      <w:r w:rsidR="009C0586" w:rsidRPr="00F516FD">
        <w:t xml:space="preserve">for a single patient episode, only </w:t>
      </w:r>
      <w:r w:rsidR="00647322" w:rsidRPr="00F516FD">
        <w:t>on</w:t>
      </w:r>
      <w:r w:rsidR="00A53B86" w:rsidRPr="00F516FD">
        <w:t>e</w:t>
      </w:r>
      <w:r w:rsidR="00072104" w:rsidRPr="00F516FD">
        <w:t xml:space="preserve"> item</w:t>
      </w:r>
      <w:r w:rsidR="00526AD6" w:rsidRPr="00F516FD">
        <w:t>,</w:t>
      </w:r>
      <w:r w:rsidR="00647322" w:rsidRPr="00F516FD">
        <w:t xml:space="preserve"> that with </w:t>
      </w:r>
      <w:r w:rsidR="009C0586" w:rsidRPr="00F516FD">
        <w:t xml:space="preserve">the highest </w:t>
      </w:r>
      <w:r w:rsidR="007E444C" w:rsidRPr="00F516FD">
        <w:t>fee</w:t>
      </w:r>
      <w:r w:rsidR="00526AD6" w:rsidRPr="00F516FD">
        <w:t>,</w:t>
      </w:r>
      <w:r w:rsidR="00FB3A71" w:rsidRPr="00F516FD">
        <w:t xml:space="preserve"> </w:t>
      </w:r>
      <w:r w:rsidR="007E444C" w:rsidRPr="00F516FD">
        <w:t xml:space="preserve">can be billed. </w:t>
      </w:r>
      <w:r w:rsidR="125C7F1D" w:rsidRPr="00F516FD">
        <w:rPr>
          <w:rFonts w:eastAsia="Franklin Gothic Book" w:cs="Franklin Gothic Book"/>
        </w:rPr>
        <w:t>This prevents 72823 being billed multiple times in the case of a multiple birth, when item 72824 might be more appropriate.</w:t>
      </w:r>
    </w:p>
    <w:p w14:paraId="49BD07CA" w14:textId="291C06D7" w:rsidR="00126145" w:rsidRPr="00F516FD" w:rsidRDefault="00126145" w:rsidP="006602D8">
      <w:pPr>
        <w:pStyle w:val="Caption"/>
      </w:pPr>
      <w:bookmarkStart w:id="13" w:name="_Ref167972595"/>
      <w:r w:rsidRPr="00F516FD">
        <w:t xml:space="preserve">Table </w:t>
      </w:r>
      <w:r w:rsidRPr="00F516FD">
        <w:fldChar w:fldCharType="begin"/>
      </w:r>
      <w:r w:rsidRPr="00F516FD">
        <w:instrText>SEQ Table \* ARABIC</w:instrText>
      </w:r>
      <w:r w:rsidRPr="00F516FD">
        <w:fldChar w:fldCharType="separate"/>
      </w:r>
      <w:r w:rsidR="002A4535" w:rsidRPr="00F516FD">
        <w:rPr>
          <w:noProof/>
        </w:rPr>
        <w:t>3</w:t>
      </w:r>
      <w:r w:rsidRPr="00F516FD">
        <w:fldChar w:fldCharType="end"/>
      </w:r>
      <w:bookmarkEnd w:id="13"/>
      <w:r w:rsidR="00DB353B" w:rsidRPr="00F516FD">
        <w:tab/>
      </w:r>
      <w:r w:rsidR="00877411" w:rsidRPr="00F516FD" w:rsidDel="00F12E3D">
        <w:t>C</w:t>
      </w:r>
      <w:r w:rsidR="000B3578" w:rsidRPr="00F516FD">
        <w:t>urrent c</w:t>
      </w:r>
      <w:r w:rsidR="00877411" w:rsidRPr="00F516FD" w:rsidDel="00F12E3D">
        <w:t xml:space="preserve">omplexity levels for </w:t>
      </w:r>
      <w:r w:rsidR="00DE20E8" w:rsidRPr="00F516FD">
        <w:t>placental h</w:t>
      </w:r>
      <w:r w:rsidRPr="00F516FD">
        <w:t xml:space="preserve">istopathology </w:t>
      </w:r>
      <w:r w:rsidR="00DE20E8" w:rsidRPr="00F516FD">
        <w:t>and related examinations</w:t>
      </w:r>
      <w:r w:rsidR="002C03C9" w:rsidRPr="00F516FD">
        <w:t xml:space="preserve"> </w:t>
      </w:r>
      <w:r w:rsidRPr="00F516FD" w:rsidDel="00DE20E8">
        <w:t>on</w:t>
      </w:r>
      <w:r w:rsidRPr="00F516FD">
        <w:t xml:space="preserve"> the MBS Pathology Services Table</w:t>
      </w:r>
    </w:p>
    <w:tbl>
      <w:tblPr>
        <w:tblStyle w:val="TableGrid"/>
        <w:tblW w:w="5000" w:type="pct"/>
        <w:tblLook w:val="04A0" w:firstRow="1" w:lastRow="0" w:firstColumn="1" w:lastColumn="0" w:noHBand="0" w:noVBand="1"/>
        <w:tblCaption w:val="Table 2. Complexity levels for placental histopathology and related examinations on the MBS Pathology Services Table"/>
        <w:tblDescription w:val="Complexity levels for placental histopathology and related examinations on the MBS Pathology Services Table&#10;Specimen Types shown: Fetus with dissection; Placenta – not third trimester;  Placenta – third trimester, abnormal pregnancy or delivery; Products of conception, spontaneous or missed abortion; Products of conception, termination of pregnancy."/>
      </w:tblPr>
      <w:tblGrid>
        <w:gridCol w:w="5805"/>
        <w:gridCol w:w="3211"/>
      </w:tblGrid>
      <w:tr w:rsidR="00126145" w:rsidRPr="00F516FD" w14:paraId="4E350FA9" w14:textId="77777777" w:rsidTr="00EA697A">
        <w:trPr>
          <w:trHeight w:val="359"/>
          <w:tblHeader/>
        </w:trPr>
        <w:tc>
          <w:tcPr>
            <w:tcW w:w="3219" w:type="pct"/>
          </w:tcPr>
          <w:p w14:paraId="73E0B1C9" w14:textId="77777777" w:rsidR="00126145" w:rsidRPr="00F516FD" w:rsidRDefault="00126145" w:rsidP="00764AED">
            <w:pPr>
              <w:pStyle w:val="TableHeading0"/>
            </w:pPr>
            <w:r w:rsidRPr="00F516FD">
              <w:t>Specimen Type</w:t>
            </w:r>
          </w:p>
        </w:tc>
        <w:tc>
          <w:tcPr>
            <w:tcW w:w="1781" w:type="pct"/>
          </w:tcPr>
          <w:p w14:paraId="0E117152" w14:textId="77777777" w:rsidR="00126145" w:rsidRPr="00F516FD" w:rsidRDefault="00126145" w:rsidP="00764AED">
            <w:pPr>
              <w:pStyle w:val="TableHeading0"/>
            </w:pPr>
            <w:r w:rsidRPr="00F516FD">
              <w:t>Complexity Level</w:t>
            </w:r>
          </w:p>
        </w:tc>
      </w:tr>
      <w:tr w:rsidR="00173EF3" w:rsidRPr="00F516FD" w14:paraId="286126D4" w14:textId="77777777" w:rsidTr="003952C7">
        <w:trPr>
          <w:trHeight w:val="70"/>
        </w:trPr>
        <w:tc>
          <w:tcPr>
            <w:tcW w:w="3219" w:type="pct"/>
            <w:shd w:val="clear" w:color="auto" w:fill="D9D9D9" w:themeFill="background1" w:themeFillShade="D9"/>
          </w:tcPr>
          <w:p w14:paraId="3B296235" w14:textId="6A370356" w:rsidR="00173EF3" w:rsidRPr="00F516FD" w:rsidRDefault="00173EF3" w:rsidP="0008120B">
            <w:pPr>
              <w:pStyle w:val="TableText"/>
              <w:rPr>
                <w:szCs w:val="16"/>
              </w:rPr>
            </w:pPr>
            <w:proofErr w:type="spellStart"/>
            <w:r w:rsidRPr="00F516FD">
              <w:rPr>
                <w:szCs w:val="16"/>
              </w:rPr>
              <w:t>Fetus</w:t>
            </w:r>
            <w:proofErr w:type="spellEnd"/>
            <w:r w:rsidRPr="00F516FD">
              <w:rPr>
                <w:szCs w:val="16"/>
              </w:rPr>
              <w:t xml:space="preserve"> with dissection</w:t>
            </w:r>
          </w:p>
        </w:tc>
        <w:tc>
          <w:tcPr>
            <w:tcW w:w="1781" w:type="pct"/>
            <w:shd w:val="clear" w:color="auto" w:fill="D9D9D9" w:themeFill="background1" w:themeFillShade="D9"/>
          </w:tcPr>
          <w:p w14:paraId="3DA97102" w14:textId="77777777" w:rsidR="00173EF3" w:rsidRPr="00F516FD" w:rsidRDefault="00173EF3" w:rsidP="0008120B">
            <w:pPr>
              <w:pStyle w:val="TableText"/>
              <w:rPr>
                <w:szCs w:val="16"/>
              </w:rPr>
            </w:pPr>
            <w:r w:rsidRPr="00F516FD">
              <w:rPr>
                <w:szCs w:val="16"/>
              </w:rPr>
              <w:t>6</w:t>
            </w:r>
          </w:p>
        </w:tc>
      </w:tr>
      <w:tr w:rsidR="00126145" w:rsidRPr="00F516FD" w14:paraId="60BE1D87" w14:textId="77777777" w:rsidTr="0008120B">
        <w:trPr>
          <w:trHeight w:val="70"/>
        </w:trPr>
        <w:tc>
          <w:tcPr>
            <w:tcW w:w="3219" w:type="pct"/>
          </w:tcPr>
          <w:p w14:paraId="64A69B10" w14:textId="0D624BDF" w:rsidR="00126145" w:rsidRPr="00F516FD" w:rsidRDefault="00126145" w:rsidP="0008120B">
            <w:pPr>
              <w:pStyle w:val="TableText"/>
              <w:rPr>
                <w:szCs w:val="16"/>
              </w:rPr>
            </w:pPr>
            <w:r w:rsidRPr="00F516FD">
              <w:rPr>
                <w:szCs w:val="16"/>
              </w:rPr>
              <w:t xml:space="preserve">Placenta </w:t>
            </w:r>
            <w:r w:rsidR="008B112E" w:rsidRPr="00F516FD">
              <w:rPr>
                <w:szCs w:val="16"/>
              </w:rPr>
              <w:t>–</w:t>
            </w:r>
            <w:r w:rsidRPr="00F516FD">
              <w:rPr>
                <w:szCs w:val="16"/>
              </w:rPr>
              <w:t xml:space="preserve"> not third trimester</w:t>
            </w:r>
          </w:p>
        </w:tc>
        <w:tc>
          <w:tcPr>
            <w:tcW w:w="1781" w:type="pct"/>
          </w:tcPr>
          <w:p w14:paraId="66979864" w14:textId="77777777" w:rsidR="00126145" w:rsidRPr="00F516FD" w:rsidRDefault="00126145" w:rsidP="0008120B">
            <w:pPr>
              <w:pStyle w:val="TableText"/>
              <w:rPr>
                <w:szCs w:val="16"/>
              </w:rPr>
            </w:pPr>
            <w:r w:rsidRPr="00F516FD">
              <w:rPr>
                <w:szCs w:val="16"/>
              </w:rPr>
              <w:t>4</w:t>
            </w:r>
          </w:p>
        </w:tc>
      </w:tr>
      <w:tr w:rsidR="00126145" w:rsidRPr="00F516FD" w14:paraId="0A825429" w14:textId="77777777" w:rsidTr="0008120B">
        <w:trPr>
          <w:trHeight w:val="70"/>
        </w:trPr>
        <w:tc>
          <w:tcPr>
            <w:tcW w:w="3219" w:type="pct"/>
          </w:tcPr>
          <w:p w14:paraId="787F9EC7" w14:textId="0877A018" w:rsidR="00126145" w:rsidRPr="00F516FD" w:rsidRDefault="00126145" w:rsidP="0008120B">
            <w:pPr>
              <w:pStyle w:val="TableText"/>
              <w:rPr>
                <w:szCs w:val="16"/>
              </w:rPr>
            </w:pPr>
            <w:r w:rsidRPr="00F516FD">
              <w:rPr>
                <w:szCs w:val="16"/>
              </w:rPr>
              <w:t xml:space="preserve">Placenta </w:t>
            </w:r>
            <w:r w:rsidR="008B112E" w:rsidRPr="00F516FD">
              <w:rPr>
                <w:szCs w:val="16"/>
              </w:rPr>
              <w:t>–</w:t>
            </w:r>
            <w:r w:rsidRPr="00F516FD">
              <w:rPr>
                <w:szCs w:val="16"/>
              </w:rPr>
              <w:t xml:space="preserve"> third trimester, abnormal </w:t>
            </w:r>
            <w:proofErr w:type="gramStart"/>
            <w:r w:rsidRPr="00F516FD">
              <w:rPr>
                <w:szCs w:val="16"/>
              </w:rPr>
              <w:t>pregnancy</w:t>
            </w:r>
            <w:proofErr w:type="gramEnd"/>
            <w:r w:rsidRPr="00F516FD">
              <w:rPr>
                <w:szCs w:val="16"/>
              </w:rPr>
              <w:t xml:space="preserve"> or delivery</w:t>
            </w:r>
          </w:p>
        </w:tc>
        <w:tc>
          <w:tcPr>
            <w:tcW w:w="1781" w:type="pct"/>
          </w:tcPr>
          <w:p w14:paraId="52FB3738" w14:textId="77777777" w:rsidR="00126145" w:rsidRPr="00F516FD" w:rsidRDefault="00126145" w:rsidP="0008120B">
            <w:pPr>
              <w:pStyle w:val="TableText"/>
              <w:rPr>
                <w:szCs w:val="16"/>
              </w:rPr>
            </w:pPr>
            <w:r w:rsidRPr="00F516FD">
              <w:rPr>
                <w:szCs w:val="16"/>
              </w:rPr>
              <w:t>4</w:t>
            </w:r>
          </w:p>
        </w:tc>
      </w:tr>
      <w:tr w:rsidR="00FD11A3" w:rsidRPr="00F516FD" w14:paraId="057B6A40" w14:textId="77777777" w:rsidTr="003952C7">
        <w:trPr>
          <w:trHeight w:val="70"/>
        </w:trPr>
        <w:tc>
          <w:tcPr>
            <w:tcW w:w="3219" w:type="pct"/>
            <w:shd w:val="clear" w:color="auto" w:fill="D9D9D9" w:themeFill="background1" w:themeFillShade="D9"/>
          </w:tcPr>
          <w:p w14:paraId="3426A27F" w14:textId="3E298A24" w:rsidR="00FD11A3" w:rsidRPr="00F516FD" w:rsidRDefault="00FD11A3" w:rsidP="0008120B">
            <w:pPr>
              <w:pStyle w:val="TableText"/>
              <w:rPr>
                <w:szCs w:val="16"/>
              </w:rPr>
            </w:pPr>
            <w:r w:rsidRPr="00F516FD">
              <w:rPr>
                <w:szCs w:val="16"/>
              </w:rPr>
              <w:t>Products of conception, spontaneous or missed abortion</w:t>
            </w:r>
          </w:p>
        </w:tc>
        <w:tc>
          <w:tcPr>
            <w:tcW w:w="1781" w:type="pct"/>
            <w:shd w:val="clear" w:color="auto" w:fill="D9D9D9" w:themeFill="background1" w:themeFillShade="D9"/>
          </w:tcPr>
          <w:p w14:paraId="4934B11C" w14:textId="34B14327" w:rsidR="00FD11A3" w:rsidRPr="00F516FD" w:rsidRDefault="00102B1A" w:rsidP="0008120B">
            <w:pPr>
              <w:pStyle w:val="TableText"/>
              <w:rPr>
                <w:szCs w:val="16"/>
              </w:rPr>
            </w:pPr>
            <w:r w:rsidRPr="00F516FD">
              <w:rPr>
                <w:szCs w:val="16"/>
              </w:rPr>
              <w:t>4</w:t>
            </w:r>
          </w:p>
        </w:tc>
      </w:tr>
      <w:tr w:rsidR="00BA59C7" w:rsidRPr="00F516FD" w14:paraId="4D248A86" w14:textId="77777777" w:rsidTr="003952C7">
        <w:trPr>
          <w:trHeight w:val="70"/>
        </w:trPr>
        <w:tc>
          <w:tcPr>
            <w:tcW w:w="3219" w:type="pct"/>
            <w:shd w:val="clear" w:color="auto" w:fill="D9D9D9" w:themeFill="background1" w:themeFillShade="D9"/>
          </w:tcPr>
          <w:p w14:paraId="2EE29041" w14:textId="078CF714" w:rsidR="00BA59C7" w:rsidRPr="00F516FD" w:rsidRDefault="00BA59C7" w:rsidP="0008120B">
            <w:pPr>
              <w:pStyle w:val="TableText"/>
              <w:rPr>
                <w:szCs w:val="16"/>
              </w:rPr>
            </w:pPr>
            <w:r w:rsidRPr="00F516FD">
              <w:rPr>
                <w:szCs w:val="16"/>
              </w:rPr>
              <w:t>Products of conception, termination of pregnancy</w:t>
            </w:r>
          </w:p>
        </w:tc>
        <w:tc>
          <w:tcPr>
            <w:tcW w:w="1781" w:type="pct"/>
            <w:shd w:val="clear" w:color="auto" w:fill="D9D9D9" w:themeFill="background1" w:themeFillShade="D9"/>
          </w:tcPr>
          <w:p w14:paraId="44C4CE20" w14:textId="4F5BCD74" w:rsidR="00BA59C7" w:rsidRPr="00F516FD" w:rsidRDefault="00FD11A3" w:rsidP="0008120B">
            <w:pPr>
              <w:pStyle w:val="TableText"/>
              <w:rPr>
                <w:szCs w:val="16"/>
              </w:rPr>
            </w:pPr>
            <w:r w:rsidRPr="00F516FD">
              <w:rPr>
                <w:szCs w:val="16"/>
              </w:rPr>
              <w:t>3</w:t>
            </w:r>
          </w:p>
        </w:tc>
      </w:tr>
    </w:tbl>
    <w:p w14:paraId="15616BEF" w14:textId="4E943B8C" w:rsidR="00B31B04" w:rsidRPr="00F516FD" w:rsidRDefault="00A34123" w:rsidP="00764AED">
      <w:pPr>
        <w:pStyle w:val="Tablenotes0"/>
      </w:pPr>
      <w:r w:rsidRPr="00F516FD">
        <w:t>Source</w:t>
      </w:r>
      <w:r w:rsidR="00126145" w:rsidRPr="00F516FD">
        <w:t xml:space="preserve">: </w:t>
      </w:r>
      <w:r w:rsidRPr="00F516FD">
        <w:rPr>
          <w:i/>
        </w:rPr>
        <w:t>Health Insurance (Pathology Services Table) Regulations 2020</w:t>
      </w:r>
      <w:r w:rsidR="001979B7" w:rsidRPr="00F516FD">
        <w:rPr>
          <w:i/>
        </w:rPr>
        <w:t>,</w:t>
      </w:r>
      <w:r w:rsidRPr="00F516FD">
        <w:t xml:space="preserve"> available at</w:t>
      </w:r>
      <w:r w:rsidR="009F4890" w:rsidRPr="00F516FD">
        <w:t>:</w:t>
      </w:r>
      <w:r w:rsidRPr="00F516FD">
        <w:t xml:space="preserve"> </w:t>
      </w:r>
      <w:hyperlink r:id="rId17" w:tooltip="Weblink the the Health Insurance (Pathology Services Table) Regulations 2020 at the Federal Register of Leglislation" w:history="1">
        <w:r w:rsidR="009F4890" w:rsidRPr="00F516FD">
          <w:rPr>
            <w:rStyle w:val="Hyperlink"/>
            <w:iCs/>
          </w:rPr>
          <w:t>Federal Register of Legislation</w:t>
        </w:r>
      </w:hyperlink>
      <w:r w:rsidR="00224F46" w:rsidRPr="00F516FD">
        <w:rPr>
          <w:rStyle w:val="Hyperlink"/>
          <w:iCs/>
        </w:rPr>
        <w:t xml:space="preserve">. </w:t>
      </w:r>
      <w:r w:rsidR="00BA2E9D" w:rsidRPr="00F516FD">
        <w:t>Grey shading indicates specimen types not proposed to change complexity level.</w:t>
      </w:r>
    </w:p>
    <w:p w14:paraId="4C20D71D" w14:textId="3771083C" w:rsidR="00262CCC" w:rsidRPr="00F516FD" w:rsidRDefault="00795AF2" w:rsidP="00F63038">
      <w:r w:rsidRPr="00F516FD">
        <w:t>No change</w:t>
      </w:r>
      <w:r w:rsidR="0053135E" w:rsidRPr="00F516FD">
        <w:t>s</w:t>
      </w:r>
      <w:r w:rsidRPr="00F516FD">
        <w:t xml:space="preserve"> to the</w:t>
      </w:r>
      <w:r w:rsidR="00F60946" w:rsidRPr="00F516FD">
        <w:t xml:space="preserve"> MBS items </w:t>
      </w:r>
      <w:r w:rsidR="0026471B" w:rsidRPr="00F516FD">
        <w:t xml:space="preserve">for tissue histopathology </w:t>
      </w:r>
      <w:r w:rsidRPr="00F516FD">
        <w:t>w</w:t>
      </w:r>
      <w:r w:rsidR="0053135E" w:rsidRPr="00F516FD">
        <w:t>ere</w:t>
      </w:r>
      <w:r w:rsidRPr="00F516FD">
        <w:t xml:space="preserve"> proposed</w:t>
      </w:r>
      <w:r w:rsidR="00D922D5" w:rsidRPr="00F516FD">
        <w:t xml:space="preserve"> by the applicant</w:t>
      </w:r>
      <w:r w:rsidR="00A2699E" w:rsidRPr="00F516FD">
        <w:t xml:space="preserve">. The proposal </w:t>
      </w:r>
      <w:r w:rsidR="005560C9" w:rsidRPr="00F516FD">
        <w:t>wa</w:t>
      </w:r>
      <w:r w:rsidR="00A2699E" w:rsidRPr="00F516FD">
        <w:t xml:space="preserve">s to </w:t>
      </w:r>
      <w:r w:rsidR="00E96086" w:rsidRPr="00F516FD">
        <w:t xml:space="preserve">increase </w:t>
      </w:r>
      <w:r w:rsidR="00A2699E" w:rsidRPr="00F516FD">
        <w:t xml:space="preserve">the </w:t>
      </w:r>
      <w:r w:rsidR="000738C2" w:rsidRPr="00F516FD">
        <w:t xml:space="preserve">complexity levels specified in the </w:t>
      </w:r>
      <w:r w:rsidR="0097382E" w:rsidRPr="00F516FD">
        <w:t>PST</w:t>
      </w:r>
      <w:r w:rsidR="00E96086" w:rsidRPr="00F516FD">
        <w:t xml:space="preserve"> for placental histopathology</w:t>
      </w:r>
      <w:r w:rsidR="00EE0495" w:rsidRPr="00F516FD">
        <w:t xml:space="preserve"> to level</w:t>
      </w:r>
      <w:r w:rsidR="00D55611" w:rsidRPr="00F516FD">
        <w:t>s</w:t>
      </w:r>
      <w:r w:rsidR="00EE0495" w:rsidRPr="00F516FD">
        <w:t xml:space="preserve"> 5 or 6</w:t>
      </w:r>
      <w:r w:rsidR="00BC564F" w:rsidRPr="00F516FD">
        <w:t xml:space="preserve">. </w:t>
      </w:r>
      <w:r w:rsidR="00C84AF8" w:rsidRPr="00F516FD">
        <w:t xml:space="preserve">The </w:t>
      </w:r>
      <w:r w:rsidR="00D0130C" w:rsidRPr="00F516FD">
        <w:t xml:space="preserve">changes proposed in the application are presented in </w:t>
      </w:r>
      <w:r w:rsidR="00D0130C" w:rsidRPr="00F516FD">
        <w:fldChar w:fldCharType="begin"/>
      </w:r>
      <w:r w:rsidR="00D0130C" w:rsidRPr="00F516FD">
        <w:instrText xml:space="preserve"> REF _Ref167446535 \h </w:instrText>
      </w:r>
      <w:r w:rsidR="00F516FD">
        <w:instrText xml:space="preserve"> \* MERGEFORMAT </w:instrText>
      </w:r>
      <w:r w:rsidR="00D0130C" w:rsidRPr="00F516FD">
        <w:fldChar w:fldCharType="separate"/>
      </w:r>
      <w:r w:rsidR="002A4535" w:rsidRPr="00F516FD">
        <w:t xml:space="preserve">Table </w:t>
      </w:r>
      <w:r w:rsidR="002A4535" w:rsidRPr="00F516FD">
        <w:rPr>
          <w:noProof/>
        </w:rPr>
        <w:t>4</w:t>
      </w:r>
      <w:r w:rsidR="00D0130C" w:rsidRPr="00F516FD">
        <w:fldChar w:fldCharType="end"/>
      </w:r>
      <w:r w:rsidR="00401DA8" w:rsidRPr="00F516FD">
        <w:t xml:space="preserve">, including </w:t>
      </w:r>
      <w:r w:rsidR="008D31FA" w:rsidRPr="00F516FD">
        <w:t xml:space="preserve">revised </w:t>
      </w:r>
      <w:r w:rsidR="00401DA8" w:rsidRPr="00F516FD">
        <w:t>wording as described below</w:t>
      </w:r>
      <w:r w:rsidR="00D0130C" w:rsidRPr="00F516FD">
        <w:t>.</w:t>
      </w:r>
      <w:r w:rsidR="0085534C" w:rsidRPr="00F516FD">
        <w:t xml:space="preserve"> </w:t>
      </w:r>
      <w:r w:rsidR="002A4122" w:rsidRPr="00F516FD">
        <w:t xml:space="preserve">These changes </w:t>
      </w:r>
      <w:r w:rsidR="008A624D" w:rsidRPr="00F516FD">
        <w:t xml:space="preserve">would increase </w:t>
      </w:r>
      <w:r w:rsidR="002A4122" w:rsidRPr="00F516FD">
        <w:t xml:space="preserve">the fee </w:t>
      </w:r>
      <w:r w:rsidR="008A624D" w:rsidRPr="00F516FD">
        <w:t>for placental examinations from $97.15 (level 4) to $274.15 (level 5) or $417.20 (level 6) for applicable services</w:t>
      </w:r>
      <w:r w:rsidR="00FC19F1" w:rsidRPr="00F516FD">
        <w:t>.</w:t>
      </w:r>
    </w:p>
    <w:p w14:paraId="05091D70" w14:textId="16CFCE75" w:rsidR="00BB4FAD" w:rsidRPr="00F516FD" w:rsidRDefault="00094647" w:rsidP="00F63038">
      <w:r w:rsidRPr="00F516FD">
        <w:t xml:space="preserve">The MSAC Executive expressed concern over the potential </w:t>
      </w:r>
      <w:r w:rsidR="001D3B0D" w:rsidRPr="00F516FD">
        <w:t>over</w:t>
      </w:r>
      <w:r w:rsidRPr="00F516FD">
        <w:t>use of placental tissue items to exam</w:t>
      </w:r>
      <w:r w:rsidR="00033075" w:rsidRPr="00F516FD">
        <w:t>ine</w:t>
      </w:r>
      <w:r w:rsidRPr="00F516FD">
        <w:t xml:space="preserve"> </w:t>
      </w:r>
      <w:proofErr w:type="spellStart"/>
      <w:proofErr w:type="gramStart"/>
      <w:r w:rsidR="009E1BD1" w:rsidRPr="00F516FD">
        <w:t>non specific</w:t>
      </w:r>
      <w:proofErr w:type="spellEnd"/>
      <w:proofErr w:type="gramEnd"/>
      <w:r w:rsidR="009E1BD1" w:rsidRPr="00F516FD">
        <w:t xml:space="preserve"> </w:t>
      </w:r>
      <w:r w:rsidRPr="00F516FD">
        <w:t xml:space="preserve">products of conception. </w:t>
      </w:r>
      <w:r w:rsidR="000A2338" w:rsidRPr="00F516FD">
        <w:t>T</w:t>
      </w:r>
      <w:r w:rsidR="003E587C" w:rsidRPr="00F516FD">
        <w:t xml:space="preserve">he applicant proposed </w:t>
      </w:r>
      <w:r w:rsidR="00D05E9B" w:rsidRPr="00F516FD">
        <w:t>re</w:t>
      </w:r>
      <w:r w:rsidR="00E50A96" w:rsidRPr="00F516FD">
        <w:t xml:space="preserve">vised </w:t>
      </w:r>
      <w:r w:rsidR="003E587C" w:rsidRPr="00F516FD">
        <w:t>wording</w:t>
      </w:r>
      <w:r w:rsidR="009125E3" w:rsidRPr="00F516FD">
        <w:t xml:space="preserve"> </w:t>
      </w:r>
      <w:r w:rsidR="005477BB" w:rsidRPr="00F516FD">
        <w:t xml:space="preserve">(with proposed amendments by the department) </w:t>
      </w:r>
      <w:r w:rsidR="003E587C" w:rsidRPr="00F516FD">
        <w:t xml:space="preserve">that could be appropriate to manage the boundary between examination of a placenta </w:t>
      </w:r>
      <w:r w:rsidR="001A3950" w:rsidRPr="00F516FD">
        <w:t xml:space="preserve">(complexity level 5 or 6) </w:t>
      </w:r>
      <w:r w:rsidR="003E587C" w:rsidRPr="00F516FD">
        <w:t>versus products of conception</w:t>
      </w:r>
      <w:r w:rsidR="00DB3EDB" w:rsidRPr="00F516FD">
        <w:t>.</w:t>
      </w:r>
      <w:r w:rsidR="00BB4FAD" w:rsidRPr="00F516FD">
        <w:t xml:space="preserve"> </w:t>
      </w:r>
    </w:p>
    <w:p w14:paraId="69FF411F" w14:textId="6AA9DB9E" w:rsidR="00EA0AF2" w:rsidRPr="00F516FD" w:rsidRDefault="00EA0AF2" w:rsidP="00F63038">
      <w:r w:rsidRPr="00F516FD">
        <w:t xml:space="preserve">There are </w:t>
      </w:r>
      <w:r w:rsidR="00CA6C70" w:rsidRPr="00F516FD">
        <w:t xml:space="preserve">some pregnancy terminations that occur after 12 weeks, </w:t>
      </w:r>
      <w:r w:rsidR="33E6E66E" w:rsidRPr="00F516FD">
        <w:t xml:space="preserve">including when there </w:t>
      </w:r>
      <w:r w:rsidR="003671B5" w:rsidRPr="00F516FD">
        <w:t>are</w:t>
      </w:r>
      <w:r w:rsidR="33E6E66E" w:rsidRPr="00F516FD">
        <w:t xml:space="preserve"> suspected genetic or developmental issues with the </w:t>
      </w:r>
      <w:proofErr w:type="spellStart"/>
      <w:r w:rsidR="33E6E66E" w:rsidRPr="00F516FD">
        <w:t>fetus</w:t>
      </w:r>
      <w:proofErr w:type="spellEnd"/>
      <w:r w:rsidR="33E6E66E" w:rsidRPr="00F516FD">
        <w:t xml:space="preserve"> </w:t>
      </w:r>
      <w:r w:rsidR="00A42F0E" w:rsidRPr="00F516FD">
        <w:t>where a placental examination may be relevant</w:t>
      </w:r>
      <w:r w:rsidR="00CA6C70" w:rsidRPr="00F516FD">
        <w:t xml:space="preserve">. The proposed wording </w:t>
      </w:r>
      <w:r w:rsidR="00021C44" w:rsidRPr="00F516FD">
        <w:t xml:space="preserve">“pregnancy loss” </w:t>
      </w:r>
      <w:r w:rsidR="00CA6C70" w:rsidRPr="00F516FD">
        <w:t>may be p</w:t>
      </w:r>
      <w:r w:rsidR="003D45EC" w:rsidRPr="00F516FD">
        <w:t>otentially problematic</w:t>
      </w:r>
      <w:r w:rsidR="00021C44" w:rsidRPr="00F516FD">
        <w:t xml:space="preserve">, as some clinicians may not consider termination of pregnancy to be </w:t>
      </w:r>
      <w:r w:rsidR="0019741A" w:rsidRPr="00F516FD">
        <w:t xml:space="preserve">“pregnancy loss”. </w:t>
      </w:r>
      <w:r w:rsidR="00B42615" w:rsidRPr="00F516FD">
        <w:t xml:space="preserve">To address this, </w:t>
      </w:r>
      <w:r w:rsidR="006D58BC" w:rsidRPr="00F516FD">
        <w:t xml:space="preserve">the department proposed that </w:t>
      </w:r>
      <w:r w:rsidR="00B42615" w:rsidRPr="00F516FD">
        <w:t>“loss” could be removed</w:t>
      </w:r>
      <w:r w:rsidR="002759CF" w:rsidRPr="00F516FD">
        <w:t>.</w:t>
      </w:r>
    </w:p>
    <w:p w14:paraId="66601448" w14:textId="77777777" w:rsidR="003B27D8" w:rsidRPr="00F516FD" w:rsidRDefault="003B27D8" w:rsidP="003B27D8">
      <w:r w:rsidRPr="00F516FD">
        <w:t xml:space="preserve">The intention is that products of conception from terminations less than 12 weeks would remain eligible under the lower complexity item (level 3), whereas placental examination following second trimester terminations – especially performed for underlying clinical reasons at greater than 12 weeks, would be eligible under the higher complexity item (level 4). </w:t>
      </w:r>
    </w:p>
    <w:p w14:paraId="58319C68" w14:textId="52012C39" w:rsidR="00451F63" w:rsidRPr="00F516FD" w:rsidRDefault="003574AC" w:rsidP="00F63038">
      <w:r w:rsidRPr="00F516FD">
        <w:lastRenderedPageBreak/>
        <w:t>R</w:t>
      </w:r>
      <w:r w:rsidR="00CC4E6A" w:rsidRPr="00F516FD">
        <w:t xml:space="preserve">eference to the term “registered baby” </w:t>
      </w:r>
      <w:r w:rsidR="004B4C53" w:rsidRPr="00F516FD">
        <w:t xml:space="preserve">or “non-registered baby” may </w:t>
      </w:r>
      <w:r w:rsidR="0093765A" w:rsidRPr="00F516FD">
        <w:t xml:space="preserve">also </w:t>
      </w:r>
      <w:r w:rsidR="004B4C53" w:rsidRPr="00F516FD">
        <w:t>cause offence</w:t>
      </w:r>
      <w:r w:rsidR="00ED13D2" w:rsidRPr="00F516FD">
        <w:t xml:space="preserve">, </w:t>
      </w:r>
      <w:r w:rsidR="00521E8C" w:rsidRPr="00F516FD">
        <w:t xml:space="preserve">therefore </w:t>
      </w:r>
      <w:r w:rsidR="004B4C53" w:rsidRPr="00F516FD">
        <w:t xml:space="preserve">the department has suggested removing the term from </w:t>
      </w:r>
      <w:r w:rsidR="004053E0" w:rsidRPr="00F516FD">
        <w:t xml:space="preserve">the </w:t>
      </w:r>
      <w:r w:rsidR="0062685F" w:rsidRPr="00F516FD">
        <w:t>updated item descriptors proposed by</w:t>
      </w:r>
      <w:r w:rsidR="004053E0" w:rsidRPr="00F516FD">
        <w:t xml:space="preserve"> the </w:t>
      </w:r>
      <w:r w:rsidR="0062685F" w:rsidRPr="00F516FD">
        <w:t>RCPA</w:t>
      </w:r>
      <w:r w:rsidR="004053E0" w:rsidRPr="00F516FD">
        <w:t xml:space="preserve">. </w:t>
      </w:r>
    </w:p>
    <w:p w14:paraId="153E1A17" w14:textId="3879545C" w:rsidR="0015751A" w:rsidRPr="00F516FD" w:rsidRDefault="00753BEA" w:rsidP="00F63038">
      <w:r w:rsidRPr="00F516FD">
        <w:t>‘</w:t>
      </w:r>
      <w:proofErr w:type="spellStart"/>
      <w:r w:rsidRPr="00F516FD">
        <w:t>Fetus</w:t>
      </w:r>
      <w:proofErr w:type="spellEnd"/>
      <w:r w:rsidRPr="00F516FD">
        <w:t xml:space="preserve"> with dissection’</w:t>
      </w:r>
      <w:r w:rsidR="00555163" w:rsidRPr="00F516FD">
        <w:t xml:space="preserve"> </w:t>
      </w:r>
      <w:r w:rsidR="002F6AA8" w:rsidRPr="00F516FD">
        <w:t>was</w:t>
      </w:r>
      <w:r w:rsidR="00555163" w:rsidRPr="00F516FD">
        <w:t xml:space="preserve"> not proposed to change</w:t>
      </w:r>
      <w:r w:rsidR="0015751A" w:rsidRPr="00F516FD">
        <w:t xml:space="preserve"> </w:t>
      </w:r>
      <w:r w:rsidR="00CF4319" w:rsidRPr="00F516FD">
        <w:t xml:space="preserve">wording or </w:t>
      </w:r>
      <w:r w:rsidR="006D5B48" w:rsidRPr="00F516FD">
        <w:t>complexity level</w:t>
      </w:r>
      <w:r w:rsidR="0015751A" w:rsidRPr="00F516FD">
        <w:t>.</w:t>
      </w:r>
    </w:p>
    <w:p w14:paraId="4478FA2A" w14:textId="357A3A47" w:rsidR="00AE3B48" w:rsidRPr="00F516FD" w:rsidRDefault="004B23AF" w:rsidP="00F63038">
      <w:r w:rsidRPr="00F516FD">
        <w:t>The application form proposed level 6 complexity only for stillbirths</w:t>
      </w:r>
      <w:r w:rsidR="009A57EB" w:rsidRPr="00F516FD">
        <w:t xml:space="preserve"> (and level 5 complexity for all live births)</w:t>
      </w:r>
      <w:r w:rsidR="006C01AB" w:rsidRPr="00F516FD">
        <w:t>.</w:t>
      </w:r>
      <w:r w:rsidRPr="00F516FD">
        <w:t xml:space="preserve"> </w:t>
      </w:r>
      <w:r w:rsidR="006C01AB" w:rsidRPr="00F516FD">
        <w:t>H</w:t>
      </w:r>
      <w:r w:rsidRPr="00F516FD">
        <w:t>owever</w:t>
      </w:r>
      <w:r w:rsidR="006C01AB" w:rsidRPr="00F516FD">
        <w:t>,</w:t>
      </w:r>
      <w:r w:rsidRPr="00F516FD">
        <w:t xml:space="preserve"> i</w:t>
      </w:r>
      <w:r w:rsidR="00AE3B48" w:rsidRPr="00F516FD">
        <w:t xml:space="preserve">nput from the applicant during the assessment </w:t>
      </w:r>
      <w:r w:rsidR="00C746E4" w:rsidRPr="00F516FD">
        <w:t>included</w:t>
      </w:r>
      <w:r w:rsidR="00AE3B48" w:rsidRPr="00F516FD">
        <w:t xml:space="preserve"> that there is a continuum from intrauterine death or intrapartum death leading to a stillbirth (with or without attempted resuscitation) and very early neonatal death of a liveborn infant, and that placental examination is equally important for all. Additional information provided by the applicant during the assessment asserted that level 6 complexity should apply also to placentas where there is a neonatal death. </w:t>
      </w:r>
      <w:r w:rsidR="00D566F5" w:rsidRPr="00F516FD">
        <w:t>Very early neonatal death</w:t>
      </w:r>
      <w:r w:rsidR="00DF0219" w:rsidRPr="00F516FD">
        <w:t xml:space="preserve"> (within 24 hours</w:t>
      </w:r>
      <w:r w:rsidR="0042399C" w:rsidRPr="00F516FD">
        <w:t xml:space="preserve"> of birth</w:t>
      </w:r>
      <w:r w:rsidR="00DF0219" w:rsidRPr="00F516FD">
        <w:t>)</w:t>
      </w:r>
      <w:r w:rsidR="00D566F5" w:rsidRPr="00F516FD">
        <w:t xml:space="preserve"> </w:t>
      </w:r>
      <w:r w:rsidR="00A13E52" w:rsidRPr="00F516FD">
        <w:t xml:space="preserve">may </w:t>
      </w:r>
      <w:r w:rsidR="0039166C" w:rsidRPr="00F516FD">
        <w:t>indicate</w:t>
      </w:r>
      <w:r w:rsidR="00B85953" w:rsidRPr="00F516FD">
        <w:t xml:space="preserve"> the requirement for a</w:t>
      </w:r>
      <w:r w:rsidR="00D566F5" w:rsidRPr="00F516FD">
        <w:t xml:space="preserve"> complexity level 6 placenta examination</w:t>
      </w:r>
      <w:r w:rsidR="00B85953" w:rsidRPr="00F516FD">
        <w:t xml:space="preserve">, </w:t>
      </w:r>
      <w:r w:rsidR="00D566F5" w:rsidRPr="00F516FD">
        <w:t>as opposed to level 5 for all other live birth</w:t>
      </w:r>
      <w:r w:rsidR="00496B95" w:rsidRPr="00F516FD">
        <w:t>s</w:t>
      </w:r>
      <w:r w:rsidR="00B85953" w:rsidRPr="00F516FD">
        <w:t>.</w:t>
      </w:r>
      <w:r w:rsidR="00D566F5" w:rsidRPr="00F516FD">
        <w:t xml:space="preserve"> </w:t>
      </w:r>
      <w:r w:rsidR="00B85953" w:rsidRPr="00F516FD">
        <w:t>F</w:t>
      </w:r>
      <w:r w:rsidR="00D566F5" w:rsidRPr="00F516FD">
        <w:t>or example</w:t>
      </w:r>
      <w:r w:rsidR="00B85953" w:rsidRPr="00F516FD">
        <w:t>,</w:t>
      </w:r>
      <w:r w:rsidR="00D566F5" w:rsidRPr="00F516FD">
        <w:t xml:space="preserve"> </w:t>
      </w:r>
      <w:r w:rsidR="00B85953" w:rsidRPr="00F516FD">
        <w:t xml:space="preserve">this may be the case </w:t>
      </w:r>
      <w:r w:rsidR="00D566F5" w:rsidRPr="00F516FD">
        <w:t xml:space="preserve">when a neonate was not </w:t>
      </w:r>
      <w:r w:rsidR="00B85953" w:rsidRPr="00F516FD">
        <w:t>stillborn but</w:t>
      </w:r>
      <w:r w:rsidR="00D566F5" w:rsidRPr="00F516FD">
        <w:t xml:space="preserve"> was kept alive in the Neonatal Intensive Care Unit (NICU) following birth to enable appropriate management and counselling to occur. </w:t>
      </w:r>
      <w:r w:rsidR="00AE3B48" w:rsidRPr="00F516FD">
        <w:t xml:space="preserve">To accommodate this advice from the applicant, the intervention </w:t>
      </w:r>
      <w:r w:rsidRPr="00F516FD">
        <w:t xml:space="preserve">was revised to </w:t>
      </w:r>
      <w:r w:rsidR="00AE3B48" w:rsidRPr="00F516FD">
        <w:t xml:space="preserve">include a proportion of live births (those associated with </w:t>
      </w:r>
      <w:r w:rsidR="00A72AFF" w:rsidRPr="00F516FD">
        <w:t>very early neonatal death within 24 hours of birth</w:t>
      </w:r>
      <w:r w:rsidR="00AE3B48" w:rsidRPr="00F516FD">
        <w:t>) at complexity level 6.</w:t>
      </w:r>
      <w:r w:rsidR="007C3027" w:rsidRPr="00F516FD">
        <w:t xml:space="preserve"> </w:t>
      </w:r>
      <w:r w:rsidR="00AE3B48" w:rsidRPr="00F516FD">
        <w:t xml:space="preserve">This resulted in </w:t>
      </w:r>
      <w:r w:rsidR="002947B2" w:rsidRPr="00F516FD">
        <w:t>proposing to add</w:t>
      </w:r>
      <w:r w:rsidR="00AE3B48" w:rsidRPr="00F516FD">
        <w:t xml:space="preserve"> a specimen type </w:t>
      </w:r>
      <w:r w:rsidR="002947B2" w:rsidRPr="00F516FD">
        <w:t>to</w:t>
      </w:r>
      <w:r w:rsidR="00AE3B48" w:rsidRPr="00F516FD">
        <w:t xml:space="preserve"> the PST: “</w:t>
      </w:r>
      <w:r w:rsidR="007B4886" w:rsidRPr="00F516FD">
        <w:t>Placenta – live birth at any gestation associated with very early neonatal death within 24 hours of birth</w:t>
      </w:r>
      <w:r w:rsidR="00D36E07" w:rsidRPr="00F516FD">
        <w:t>”</w:t>
      </w:r>
      <w:r w:rsidR="00AE3B48" w:rsidRPr="00F516FD">
        <w:t>.</w:t>
      </w:r>
    </w:p>
    <w:p w14:paraId="535CF6C2" w14:textId="5B0A87F7" w:rsidR="005F5064" w:rsidRPr="00F516FD" w:rsidRDefault="005F5064" w:rsidP="00B91645">
      <w:pPr>
        <w:pStyle w:val="Caption"/>
      </w:pPr>
      <w:bookmarkStart w:id="14" w:name="_Ref167446535"/>
      <w:r w:rsidRPr="00F516FD">
        <w:t xml:space="preserve">Table </w:t>
      </w:r>
      <w:r>
        <w:fldChar w:fldCharType="begin"/>
      </w:r>
      <w:r>
        <w:instrText xml:space="preserve"> SEQ Table \* ARABIC </w:instrText>
      </w:r>
      <w:r>
        <w:fldChar w:fldCharType="separate"/>
      </w:r>
      <w:r w:rsidR="002A4535" w:rsidRPr="00F516FD">
        <w:rPr>
          <w:noProof/>
        </w:rPr>
        <w:t>4</w:t>
      </w:r>
      <w:r>
        <w:rPr>
          <w:noProof/>
        </w:rPr>
        <w:fldChar w:fldCharType="end"/>
      </w:r>
      <w:bookmarkEnd w:id="14"/>
      <w:r w:rsidRPr="00F516FD">
        <w:tab/>
        <w:t xml:space="preserve">Proposed </w:t>
      </w:r>
      <w:r w:rsidR="002020EC" w:rsidRPr="00F516FD">
        <w:t>complexity levels for placental histopathology</w:t>
      </w:r>
      <w:r w:rsidR="00CD66BD" w:rsidRPr="00F516FD">
        <w:t xml:space="preserve"> </w:t>
      </w:r>
      <w:r w:rsidR="006C094A" w:rsidRPr="00F516FD">
        <w:t xml:space="preserve">and </w:t>
      </w:r>
      <w:r w:rsidR="00BC2CD5" w:rsidRPr="00F516FD">
        <w:t xml:space="preserve">update to </w:t>
      </w:r>
      <w:r w:rsidR="00CC6EC7" w:rsidRPr="00F516FD">
        <w:t xml:space="preserve">products of conception </w:t>
      </w:r>
      <w:r w:rsidR="00CD66BD" w:rsidRPr="00F516FD">
        <w:t>on the MBS Pathology Services Table</w:t>
      </w:r>
    </w:p>
    <w:tbl>
      <w:tblPr>
        <w:tblStyle w:val="TableGrid"/>
        <w:tblW w:w="9010" w:type="dxa"/>
        <w:tblLook w:val="04A0" w:firstRow="1" w:lastRow="0" w:firstColumn="1" w:lastColumn="0" w:noHBand="0" w:noVBand="1"/>
        <w:tblCaption w:val="Table 3. Proposed complexity levels for placental histopathology on the MBS Pathology Services Table"/>
        <w:tblDescription w:val="Proposed complexity levels for placental histopathology on the MBS Pathology Services Table.&#10;&#10;Three different types of placental histology specimens are described; arising from live births; second trimester pregnancy losses and stillbirth after 20 weeks gestation."/>
      </w:tblPr>
      <w:tblGrid>
        <w:gridCol w:w="7225"/>
        <w:gridCol w:w="1785"/>
      </w:tblGrid>
      <w:tr w:rsidR="00BA72DC" w:rsidRPr="00F516FD" w14:paraId="468B350C" w14:textId="77777777" w:rsidTr="246987D2">
        <w:trPr>
          <w:trHeight w:val="359"/>
          <w:tblHeader/>
        </w:trPr>
        <w:tc>
          <w:tcPr>
            <w:tcW w:w="7225" w:type="dxa"/>
          </w:tcPr>
          <w:p w14:paraId="0D0DE025" w14:textId="73C914AF" w:rsidR="00BA72DC" w:rsidRPr="00F516FD" w:rsidRDefault="00BA72DC">
            <w:pPr>
              <w:pStyle w:val="TableHeading0"/>
            </w:pPr>
            <w:r w:rsidRPr="00F516FD">
              <w:t>Specimen Type</w:t>
            </w:r>
          </w:p>
        </w:tc>
        <w:tc>
          <w:tcPr>
            <w:tcW w:w="1785" w:type="dxa"/>
          </w:tcPr>
          <w:p w14:paraId="685CADFA" w14:textId="77777777" w:rsidR="00BA72DC" w:rsidRPr="00F516FD" w:rsidRDefault="00BA72DC">
            <w:pPr>
              <w:pStyle w:val="TableHeading0"/>
            </w:pPr>
            <w:r w:rsidRPr="00F516FD">
              <w:t>Complexity Level</w:t>
            </w:r>
          </w:p>
        </w:tc>
      </w:tr>
      <w:tr w:rsidR="008A2EC5" w:rsidRPr="00F516FD" w14:paraId="05AE8478" w14:textId="77777777" w:rsidTr="246987D2">
        <w:trPr>
          <w:trHeight w:val="70"/>
        </w:trPr>
        <w:tc>
          <w:tcPr>
            <w:tcW w:w="7225" w:type="dxa"/>
            <w:shd w:val="clear" w:color="auto" w:fill="D9D9D9" w:themeFill="background1" w:themeFillShade="D9"/>
          </w:tcPr>
          <w:p w14:paraId="64D3BFA4" w14:textId="0477DBF6" w:rsidR="008A2EC5" w:rsidRPr="00F516FD" w:rsidRDefault="008A2EC5">
            <w:pPr>
              <w:pStyle w:val="TableText"/>
              <w:rPr>
                <w:szCs w:val="16"/>
              </w:rPr>
            </w:pPr>
            <w:proofErr w:type="spellStart"/>
            <w:r w:rsidRPr="00F516FD">
              <w:rPr>
                <w:szCs w:val="16"/>
              </w:rPr>
              <w:t>Fetus</w:t>
            </w:r>
            <w:proofErr w:type="spellEnd"/>
            <w:r w:rsidRPr="00F516FD">
              <w:rPr>
                <w:szCs w:val="16"/>
              </w:rPr>
              <w:t xml:space="preserve"> with dissection</w:t>
            </w:r>
          </w:p>
        </w:tc>
        <w:tc>
          <w:tcPr>
            <w:tcW w:w="1785" w:type="dxa"/>
            <w:shd w:val="clear" w:color="auto" w:fill="D9D9D9" w:themeFill="background1" w:themeFillShade="D9"/>
          </w:tcPr>
          <w:p w14:paraId="2A6BD3F1" w14:textId="77777777" w:rsidR="008A2EC5" w:rsidRPr="00F516FD" w:rsidRDefault="008A2EC5">
            <w:pPr>
              <w:pStyle w:val="TableText"/>
              <w:rPr>
                <w:szCs w:val="16"/>
              </w:rPr>
            </w:pPr>
            <w:r w:rsidRPr="00F516FD">
              <w:rPr>
                <w:szCs w:val="16"/>
              </w:rPr>
              <w:t>6</w:t>
            </w:r>
          </w:p>
        </w:tc>
      </w:tr>
      <w:tr w:rsidR="00466BC3" w:rsidRPr="00F516FD" w14:paraId="2DD09161" w14:textId="77777777" w:rsidTr="246987D2">
        <w:trPr>
          <w:trHeight w:val="70"/>
        </w:trPr>
        <w:tc>
          <w:tcPr>
            <w:tcW w:w="7225" w:type="dxa"/>
          </w:tcPr>
          <w:p w14:paraId="7718A2A7" w14:textId="5D6740ED" w:rsidR="00466BC3" w:rsidRPr="00F516FD" w:rsidRDefault="00466BC3" w:rsidP="00466BC3">
            <w:pPr>
              <w:pStyle w:val="TableText"/>
            </w:pPr>
            <w:r w:rsidRPr="00F516FD">
              <w:t xml:space="preserve">Placenta – stillbirth of a </w:t>
            </w:r>
            <w:r w:rsidRPr="00F516FD">
              <w:rPr>
                <w:strike/>
              </w:rPr>
              <w:t>registered</w:t>
            </w:r>
            <w:r w:rsidRPr="00F516FD">
              <w:t xml:space="preserve"> baby delivered at or after 20 weeks gestation</w:t>
            </w:r>
          </w:p>
        </w:tc>
        <w:tc>
          <w:tcPr>
            <w:tcW w:w="1785" w:type="dxa"/>
          </w:tcPr>
          <w:p w14:paraId="0724E778" w14:textId="77777777" w:rsidR="00466BC3" w:rsidRPr="00F516FD" w:rsidRDefault="00466BC3" w:rsidP="00466BC3">
            <w:pPr>
              <w:pStyle w:val="TableText"/>
              <w:rPr>
                <w:szCs w:val="16"/>
              </w:rPr>
            </w:pPr>
            <w:r w:rsidRPr="00F516FD">
              <w:rPr>
                <w:szCs w:val="16"/>
              </w:rPr>
              <w:t>6</w:t>
            </w:r>
          </w:p>
        </w:tc>
      </w:tr>
      <w:tr w:rsidR="00466BC3" w:rsidRPr="00F516FD" w14:paraId="7A25A67C" w14:textId="77777777" w:rsidTr="246987D2">
        <w:trPr>
          <w:trHeight w:val="231"/>
        </w:trPr>
        <w:tc>
          <w:tcPr>
            <w:tcW w:w="7225" w:type="dxa"/>
          </w:tcPr>
          <w:p w14:paraId="4C0DA49B" w14:textId="4E0AD5DF" w:rsidR="00466BC3" w:rsidRPr="00F516FD" w:rsidRDefault="00466BC3" w:rsidP="00466BC3">
            <w:pPr>
              <w:pStyle w:val="TableText"/>
            </w:pPr>
            <w:r w:rsidRPr="00F516FD">
              <w:t xml:space="preserve">Placenta – </w:t>
            </w:r>
            <w:r w:rsidRPr="00F516FD">
              <w:rPr>
                <w:rStyle w:val="cf01"/>
                <w:rFonts w:ascii="Arial Narrow" w:hAnsi="Arial Narrow" w:cstheme="minorBidi"/>
                <w:sz w:val="20"/>
                <w:szCs w:val="20"/>
              </w:rPr>
              <w:t xml:space="preserve">second trimester pregnancy </w:t>
            </w:r>
            <w:r w:rsidRPr="00F516FD">
              <w:rPr>
                <w:rStyle w:val="cf01"/>
                <w:rFonts w:ascii="Arial Narrow" w:hAnsi="Arial Narrow" w:cstheme="minorBidi"/>
                <w:strike/>
                <w:sz w:val="20"/>
                <w:szCs w:val="20"/>
              </w:rPr>
              <w:t>loss</w:t>
            </w:r>
            <w:r w:rsidRPr="00F516FD">
              <w:rPr>
                <w:rStyle w:val="cf01"/>
                <w:rFonts w:ascii="Arial Narrow" w:hAnsi="Arial Narrow" w:cstheme="minorBidi"/>
                <w:sz w:val="20"/>
                <w:szCs w:val="20"/>
              </w:rPr>
              <w:t xml:space="preserve"> </w:t>
            </w:r>
            <w:r w:rsidRPr="00F516FD">
              <w:rPr>
                <w:rStyle w:val="cf01"/>
                <w:rFonts w:ascii="Arial Narrow" w:hAnsi="Arial Narrow" w:cstheme="minorBidi"/>
                <w:sz w:val="20"/>
                <w:szCs w:val="20"/>
                <w:u w:val="single"/>
              </w:rPr>
              <w:t>at</w:t>
            </w:r>
            <w:r w:rsidRPr="00F516FD">
              <w:rPr>
                <w:rStyle w:val="cf01"/>
                <w:rFonts w:ascii="Arial Narrow" w:hAnsi="Arial Narrow" w:cstheme="minorBidi"/>
                <w:sz w:val="20"/>
                <w:szCs w:val="20"/>
              </w:rPr>
              <w:t xml:space="preserve"> </w:t>
            </w:r>
            <w:r w:rsidRPr="00F516FD">
              <w:rPr>
                <w:rStyle w:val="cf01"/>
                <w:rFonts w:ascii="Arial Narrow" w:hAnsi="Arial Narrow" w:cstheme="minorBidi"/>
                <w:strike/>
                <w:sz w:val="20"/>
                <w:szCs w:val="20"/>
              </w:rPr>
              <w:t>(greater than</w:t>
            </w:r>
            <w:r w:rsidRPr="00F516FD">
              <w:rPr>
                <w:rStyle w:val="cf01"/>
                <w:rFonts w:ascii="Arial Narrow" w:hAnsi="Arial Narrow" w:cstheme="minorBidi"/>
                <w:sz w:val="20"/>
                <w:szCs w:val="20"/>
              </w:rPr>
              <w:t xml:space="preserve"> 12 weeks</w:t>
            </w:r>
            <w:r w:rsidR="008C7002" w:rsidRPr="00F516FD">
              <w:rPr>
                <w:rStyle w:val="cf01"/>
                <w:rFonts w:ascii="Arial Narrow" w:hAnsi="Arial Narrow" w:cstheme="minorBidi"/>
                <w:sz w:val="20"/>
                <w:szCs w:val="20"/>
              </w:rPr>
              <w:t xml:space="preserve"> </w:t>
            </w:r>
            <w:r w:rsidR="008C7002" w:rsidRPr="00F516FD">
              <w:rPr>
                <w:rStyle w:val="cf01"/>
                <w:rFonts w:ascii="Arial Narrow" w:hAnsi="Arial Narrow"/>
                <w:sz w:val="20"/>
                <w:szCs w:val="20"/>
                <w:u w:val="single"/>
              </w:rPr>
              <w:t>gestation</w:t>
            </w:r>
            <w:r w:rsidRPr="00F516FD">
              <w:rPr>
                <w:rStyle w:val="cf01"/>
                <w:rFonts w:ascii="Arial Narrow" w:hAnsi="Arial Narrow" w:cstheme="minorBidi"/>
                <w:strike/>
                <w:sz w:val="20"/>
                <w:szCs w:val="20"/>
              </w:rPr>
              <w:t>)</w:t>
            </w:r>
            <w:r w:rsidRPr="00F516FD">
              <w:rPr>
                <w:rStyle w:val="cf01"/>
                <w:rFonts w:ascii="Arial Narrow" w:hAnsi="Arial Narrow" w:cstheme="minorBidi"/>
                <w:sz w:val="20"/>
                <w:szCs w:val="20"/>
              </w:rPr>
              <w:t xml:space="preserve"> </w:t>
            </w:r>
            <w:r w:rsidRPr="00F516FD">
              <w:rPr>
                <w:rStyle w:val="cf01"/>
                <w:rFonts w:ascii="Arial Narrow" w:hAnsi="Arial Narrow" w:cstheme="minorBidi"/>
                <w:sz w:val="20"/>
                <w:szCs w:val="20"/>
                <w:u w:val="single"/>
              </w:rPr>
              <w:t>and</w:t>
            </w:r>
            <w:r w:rsidRPr="00F516FD">
              <w:rPr>
                <w:rStyle w:val="cf01"/>
                <w:rFonts w:ascii="Arial Narrow" w:hAnsi="Arial Narrow" w:cstheme="minorBidi"/>
                <w:sz w:val="20"/>
                <w:szCs w:val="20"/>
              </w:rPr>
              <w:t xml:space="preserve"> delivered before 20 weeks’ gestation </w:t>
            </w:r>
            <w:r w:rsidRPr="00F516FD">
              <w:rPr>
                <w:rStyle w:val="cf01"/>
                <w:rFonts w:ascii="Arial Narrow" w:hAnsi="Arial Narrow"/>
                <w:strike/>
                <w:sz w:val="20"/>
                <w:szCs w:val="20"/>
              </w:rPr>
              <w:t>(i.e.</w:t>
            </w:r>
            <w:r w:rsidR="00A72AFF" w:rsidRPr="00F516FD">
              <w:rPr>
                <w:rStyle w:val="cf01"/>
                <w:rFonts w:ascii="Arial Narrow" w:hAnsi="Arial Narrow"/>
                <w:strike/>
                <w:sz w:val="20"/>
                <w:szCs w:val="20"/>
              </w:rPr>
              <w:t>,</w:t>
            </w:r>
            <w:r w:rsidRPr="00F516FD">
              <w:rPr>
                <w:rStyle w:val="cf01"/>
                <w:rFonts w:ascii="Arial Narrow" w:hAnsi="Arial Narrow"/>
                <w:strike/>
                <w:sz w:val="20"/>
                <w:szCs w:val="20"/>
              </w:rPr>
              <w:t xml:space="preserve"> non-registered baby), with delivered placenta</w:t>
            </w:r>
            <w:r w:rsidRPr="00F516FD">
              <w:rPr>
                <w:rStyle w:val="cf01"/>
                <w:rFonts w:ascii="Arial Narrow" w:hAnsi="Arial Narrow" w:cstheme="minorBidi"/>
                <w:sz w:val="20"/>
                <w:szCs w:val="20"/>
              </w:rPr>
              <w:t xml:space="preserve"> (excluding D&amp;C samples)</w:t>
            </w:r>
          </w:p>
        </w:tc>
        <w:tc>
          <w:tcPr>
            <w:tcW w:w="1785" w:type="dxa"/>
          </w:tcPr>
          <w:p w14:paraId="4270BD94" w14:textId="77777777" w:rsidR="00466BC3" w:rsidRPr="00F516FD" w:rsidRDefault="00466BC3" w:rsidP="00466BC3">
            <w:pPr>
              <w:pStyle w:val="TableText"/>
              <w:rPr>
                <w:szCs w:val="16"/>
              </w:rPr>
            </w:pPr>
            <w:r w:rsidRPr="00F516FD">
              <w:rPr>
                <w:szCs w:val="16"/>
              </w:rPr>
              <w:t>5</w:t>
            </w:r>
          </w:p>
        </w:tc>
      </w:tr>
      <w:tr w:rsidR="00466BC3" w:rsidRPr="00F516FD" w14:paraId="03944940" w14:textId="77777777" w:rsidTr="246987D2">
        <w:trPr>
          <w:trHeight w:val="70"/>
        </w:trPr>
        <w:tc>
          <w:tcPr>
            <w:tcW w:w="7225" w:type="dxa"/>
          </w:tcPr>
          <w:p w14:paraId="2BA65214" w14:textId="084C9F97" w:rsidR="00466BC3" w:rsidRPr="00F516FD" w:rsidRDefault="00466BC3" w:rsidP="00466BC3">
            <w:pPr>
              <w:pStyle w:val="TableText"/>
              <w:rPr>
                <w:rStyle w:val="cf01"/>
                <w:rFonts w:ascii="Arial Narrow" w:hAnsi="Arial Narrow" w:cstheme="minorBidi"/>
                <w:sz w:val="20"/>
                <w:szCs w:val="20"/>
              </w:rPr>
            </w:pPr>
            <w:r w:rsidRPr="00F516FD">
              <w:t xml:space="preserve">Placenta – live birth </w:t>
            </w:r>
            <w:r w:rsidRPr="00F516FD">
              <w:rPr>
                <w:rStyle w:val="cf01"/>
                <w:rFonts w:ascii="Arial Narrow" w:hAnsi="Arial Narrow" w:cstheme="minorBidi"/>
                <w:sz w:val="20"/>
                <w:szCs w:val="20"/>
              </w:rPr>
              <w:t xml:space="preserve">at any gestation </w:t>
            </w:r>
            <w:r w:rsidRPr="00F516FD">
              <w:rPr>
                <w:rStyle w:val="cf01"/>
                <w:rFonts w:ascii="Arial Narrow" w:hAnsi="Arial Narrow" w:cstheme="minorBidi"/>
                <w:strike/>
                <w:sz w:val="20"/>
                <w:szCs w:val="20"/>
              </w:rPr>
              <w:t>where placental examination is clinically indicated according to clinical practice guidelines</w:t>
            </w:r>
          </w:p>
        </w:tc>
        <w:tc>
          <w:tcPr>
            <w:tcW w:w="1785" w:type="dxa"/>
          </w:tcPr>
          <w:p w14:paraId="26A78489" w14:textId="68C06252" w:rsidR="00466BC3" w:rsidRPr="00F516FD" w:rsidRDefault="00466BC3" w:rsidP="00466BC3">
            <w:pPr>
              <w:pStyle w:val="TableText"/>
            </w:pPr>
            <w:r w:rsidRPr="00F516FD">
              <w:t>5</w:t>
            </w:r>
          </w:p>
        </w:tc>
      </w:tr>
      <w:tr w:rsidR="00466BC3" w:rsidRPr="00F516FD" w14:paraId="5367FD16" w14:textId="77777777" w:rsidTr="246987D2">
        <w:trPr>
          <w:trHeight w:val="70"/>
        </w:trPr>
        <w:tc>
          <w:tcPr>
            <w:tcW w:w="7225" w:type="dxa"/>
          </w:tcPr>
          <w:p w14:paraId="14C7F10C" w14:textId="7E55A982" w:rsidR="00466BC3" w:rsidRPr="00F516FD" w:rsidRDefault="008C7002" w:rsidP="00466BC3">
            <w:pPr>
              <w:pStyle w:val="TableText"/>
              <w:rPr>
                <w:u w:val="single"/>
              </w:rPr>
            </w:pPr>
            <w:r w:rsidRPr="00F516FD">
              <w:rPr>
                <w:u w:val="single"/>
              </w:rPr>
              <w:t>Placenta – live birth at any gestation associated with very early neonatal death within 24 hours of birth</w:t>
            </w:r>
          </w:p>
        </w:tc>
        <w:tc>
          <w:tcPr>
            <w:tcW w:w="1785" w:type="dxa"/>
          </w:tcPr>
          <w:p w14:paraId="55770E2F" w14:textId="77777777" w:rsidR="00466BC3" w:rsidRPr="00F516FD" w:rsidRDefault="00466BC3" w:rsidP="00466BC3">
            <w:pPr>
              <w:pStyle w:val="TableText"/>
            </w:pPr>
            <w:r w:rsidRPr="00F516FD">
              <w:t>6</w:t>
            </w:r>
          </w:p>
        </w:tc>
      </w:tr>
      <w:tr w:rsidR="00466BC3" w:rsidRPr="00F516FD" w14:paraId="78DF6376" w14:textId="199EA158" w:rsidTr="246987D2">
        <w:trPr>
          <w:trHeight w:val="335"/>
        </w:trPr>
        <w:tc>
          <w:tcPr>
            <w:tcW w:w="7225" w:type="dxa"/>
            <w:shd w:val="clear" w:color="auto" w:fill="D9D9D9" w:themeFill="background1" w:themeFillShade="D9"/>
          </w:tcPr>
          <w:p w14:paraId="118F0387" w14:textId="506BD41A" w:rsidR="00466BC3" w:rsidRPr="00F516FD" w:rsidRDefault="00466BC3" w:rsidP="00466BC3">
            <w:pPr>
              <w:pStyle w:val="TableText"/>
            </w:pPr>
            <w:r w:rsidRPr="00F516FD">
              <w:t xml:space="preserve">Products of conception first trimester (&lt;12 weeks) pregnancy </w:t>
            </w:r>
            <w:r w:rsidRPr="00F516FD">
              <w:rPr>
                <w:strike/>
              </w:rPr>
              <w:t>loss</w:t>
            </w:r>
            <w:r w:rsidRPr="00F516FD">
              <w:t xml:space="preserve">, or second trimester </w:t>
            </w:r>
            <w:r w:rsidRPr="00F516FD">
              <w:rPr>
                <w:strike/>
              </w:rPr>
              <w:t>loss</w:t>
            </w:r>
            <w:r w:rsidRPr="00F516FD">
              <w:t xml:space="preserve"> (&lt;20 weeks) with D&amp;C </w:t>
            </w:r>
            <w:r w:rsidRPr="00F516FD">
              <w:rPr>
                <w:strike/>
              </w:rPr>
              <w:t>sample</w:t>
            </w:r>
            <w:r w:rsidRPr="00F516FD">
              <w:t xml:space="preserve"> tissue only</w:t>
            </w:r>
          </w:p>
        </w:tc>
        <w:tc>
          <w:tcPr>
            <w:tcW w:w="1785" w:type="dxa"/>
            <w:shd w:val="clear" w:color="auto" w:fill="D9D9D9" w:themeFill="background1" w:themeFillShade="D9"/>
          </w:tcPr>
          <w:p w14:paraId="36871FE5" w14:textId="4B190341" w:rsidR="00466BC3" w:rsidRPr="00F516FD" w:rsidRDefault="00466BC3" w:rsidP="00466BC3">
            <w:pPr>
              <w:pStyle w:val="TableText"/>
              <w:rPr>
                <w:szCs w:val="16"/>
              </w:rPr>
            </w:pPr>
            <w:r w:rsidRPr="00F516FD">
              <w:rPr>
                <w:szCs w:val="16"/>
              </w:rPr>
              <w:t>4</w:t>
            </w:r>
          </w:p>
        </w:tc>
      </w:tr>
      <w:tr w:rsidR="00466BC3" w:rsidRPr="00F516FD" w14:paraId="1A079BCB" w14:textId="77777777" w:rsidTr="246987D2">
        <w:trPr>
          <w:trHeight w:val="375"/>
        </w:trPr>
        <w:tc>
          <w:tcPr>
            <w:tcW w:w="7225" w:type="dxa"/>
            <w:shd w:val="clear" w:color="auto" w:fill="D9D9D9" w:themeFill="background1" w:themeFillShade="D9"/>
          </w:tcPr>
          <w:p w14:paraId="0DC1EBDE" w14:textId="5821FFC9" w:rsidR="00466BC3" w:rsidRPr="00F516FD" w:rsidRDefault="00466BC3" w:rsidP="00466BC3">
            <w:pPr>
              <w:pStyle w:val="TableText"/>
            </w:pPr>
            <w:r w:rsidRPr="00F516FD">
              <w:t xml:space="preserve">Products of conception, termination of pregnancy </w:t>
            </w:r>
            <w:r w:rsidRPr="00F516FD">
              <w:rPr>
                <w:u w:val="single"/>
              </w:rPr>
              <w:t>less than 12 weeks</w:t>
            </w:r>
          </w:p>
        </w:tc>
        <w:tc>
          <w:tcPr>
            <w:tcW w:w="1785" w:type="dxa"/>
            <w:shd w:val="clear" w:color="auto" w:fill="D9D9D9" w:themeFill="background1" w:themeFillShade="D9"/>
          </w:tcPr>
          <w:p w14:paraId="63825519" w14:textId="77777777" w:rsidR="00466BC3" w:rsidRPr="00F516FD" w:rsidRDefault="00466BC3" w:rsidP="00466BC3">
            <w:pPr>
              <w:pStyle w:val="TableText"/>
              <w:rPr>
                <w:szCs w:val="16"/>
              </w:rPr>
            </w:pPr>
            <w:r w:rsidRPr="00F516FD">
              <w:rPr>
                <w:szCs w:val="16"/>
              </w:rPr>
              <w:t>3</w:t>
            </w:r>
          </w:p>
        </w:tc>
      </w:tr>
    </w:tbl>
    <w:p w14:paraId="297DF5D3" w14:textId="09BC11E5" w:rsidR="00EB223B" w:rsidRPr="00F516FD" w:rsidRDefault="00696E7C">
      <w:pPr>
        <w:pStyle w:val="Tablenotes0"/>
        <w:jc w:val="left"/>
      </w:pPr>
      <w:r w:rsidRPr="00F516FD">
        <w:t>D&amp;C</w:t>
      </w:r>
      <w:r w:rsidR="005805B3" w:rsidRPr="00F516FD">
        <w:t xml:space="preserve"> =</w:t>
      </w:r>
      <w:r w:rsidRPr="00F516FD">
        <w:t xml:space="preserve"> dila</w:t>
      </w:r>
      <w:r w:rsidR="00137888" w:rsidRPr="00F516FD">
        <w:t>ta</w:t>
      </w:r>
      <w:r w:rsidRPr="00F516FD">
        <w:t>tion and cu</w:t>
      </w:r>
      <w:r w:rsidR="00394DB4" w:rsidRPr="00F516FD">
        <w:t>rettage</w:t>
      </w:r>
      <w:r w:rsidR="005805B3" w:rsidRPr="00F516FD">
        <w:t>; MBS = Medicare Benefits Schedule</w:t>
      </w:r>
      <w:r w:rsidR="006D5DA8" w:rsidRPr="00F516FD">
        <w:t xml:space="preserve">. </w:t>
      </w:r>
    </w:p>
    <w:p w14:paraId="6DAE3463" w14:textId="2D1A8465" w:rsidR="246987D2" w:rsidRPr="00F516FD" w:rsidRDefault="00EB223B" w:rsidP="246987D2">
      <w:pPr>
        <w:pStyle w:val="Tablenotes0"/>
        <w:jc w:val="left"/>
      </w:pPr>
      <w:r w:rsidRPr="00F516FD">
        <w:t xml:space="preserve">Note: </w:t>
      </w:r>
      <w:r w:rsidR="006D5DA8" w:rsidRPr="00F516FD">
        <w:t xml:space="preserve">Grey shading indicates </w:t>
      </w:r>
      <w:r w:rsidR="00620697" w:rsidRPr="00F516FD">
        <w:t>specimen types not propose</w:t>
      </w:r>
      <w:r w:rsidR="00BA2E9D" w:rsidRPr="00F516FD">
        <w:t>d to</w:t>
      </w:r>
      <w:r w:rsidR="00620697" w:rsidRPr="00F516FD">
        <w:t xml:space="preserve"> chang</w:t>
      </w:r>
      <w:r w:rsidR="00BA2E9D" w:rsidRPr="00F516FD">
        <w:t>e</w:t>
      </w:r>
      <w:r w:rsidR="00A37295" w:rsidRPr="00F516FD">
        <w:t xml:space="preserve"> complexity level</w:t>
      </w:r>
      <w:r w:rsidR="00620697" w:rsidRPr="00F516FD">
        <w:t>.</w:t>
      </w:r>
      <w:r w:rsidR="00E40902" w:rsidRPr="00F516FD">
        <w:t xml:space="preserve"> </w:t>
      </w:r>
      <w:r w:rsidRPr="00F516FD">
        <w:br/>
      </w:r>
      <w:r w:rsidR="005805B3" w:rsidRPr="00F516FD">
        <w:t xml:space="preserve">Source: developed by assessment group </w:t>
      </w:r>
      <w:r w:rsidR="005C6DD8" w:rsidRPr="00F516FD">
        <w:t xml:space="preserve">based on </w:t>
      </w:r>
      <w:r w:rsidR="002D1453" w:rsidRPr="00F516FD">
        <w:t xml:space="preserve">the </w:t>
      </w:r>
      <w:r w:rsidR="005805B3" w:rsidRPr="00F516FD">
        <w:t xml:space="preserve">application </w:t>
      </w:r>
      <w:r w:rsidR="005C6DD8" w:rsidRPr="00F516FD">
        <w:t>form</w:t>
      </w:r>
      <w:r w:rsidR="007669E3" w:rsidRPr="00F516FD">
        <w:t>. Strikethrough</w:t>
      </w:r>
      <w:r w:rsidR="007215AE" w:rsidRPr="00F516FD">
        <w:t xml:space="preserve"> and underline</w:t>
      </w:r>
      <w:r w:rsidR="007669E3" w:rsidRPr="00F516FD">
        <w:t xml:space="preserve"> indicate changes proposed </w:t>
      </w:r>
      <w:r w:rsidR="00081C73" w:rsidRPr="00F516FD">
        <w:t xml:space="preserve">by the </w:t>
      </w:r>
      <w:r w:rsidR="007215AE" w:rsidRPr="00F516FD">
        <w:t>department</w:t>
      </w:r>
      <w:r w:rsidR="00081C73" w:rsidRPr="00F516FD">
        <w:t xml:space="preserve"> </w:t>
      </w:r>
      <w:r w:rsidR="007669E3" w:rsidRPr="00F516FD">
        <w:t>during the assessment.</w:t>
      </w:r>
    </w:p>
    <w:p w14:paraId="1C7E4199" w14:textId="59D946DE" w:rsidR="00853FBF" w:rsidRPr="00F516FD" w:rsidRDefault="00B23883" w:rsidP="000A45BD">
      <w:r w:rsidRPr="00F516FD">
        <w:t>Following advice from the MSAC Executive, t</w:t>
      </w:r>
      <w:r w:rsidR="00446408" w:rsidRPr="00F516FD">
        <w:t xml:space="preserve">he </w:t>
      </w:r>
      <w:r w:rsidR="00060511" w:rsidRPr="00F516FD">
        <w:t xml:space="preserve">proposed </w:t>
      </w:r>
      <w:r w:rsidR="008200F3" w:rsidRPr="00F516FD">
        <w:t>complexity level</w:t>
      </w:r>
      <w:r w:rsidR="00F009AB" w:rsidRPr="00F516FD">
        <w:t xml:space="preserve"> descriptors </w:t>
      </w:r>
      <w:r w:rsidR="001025F2" w:rsidRPr="00F516FD">
        <w:t xml:space="preserve">for placental </w:t>
      </w:r>
      <w:r w:rsidR="00343D4E" w:rsidRPr="00F516FD">
        <w:t>histopathology</w:t>
      </w:r>
      <w:r w:rsidR="001025F2" w:rsidRPr="00F516FD">
        <w:t xml:space="preserve"> </w:t>
      </w:r>
      <w:r w:rsidR="00F009AB" w:rsidRPr="00F516FD">
        <w:t xml:space="preserve">include </w:t>
      </w:r>
      <w:r w:rsidR="00F52C7D" w:rsidRPr="00F516FD">
        <w:t>reference to gestational age</w:t>
      </w:r>
      <w:r w:rsidR="00562A73" w:rsidRPr="00F516FD">
        <w:t>,</w:t>
      </w:r>
      <w:r w:rsidR="009E4906" w:rsidRPr="00F516FD">
        <w:t xml:space="preserve"> </w:t>
      </w:r>
      <w:r w:rsidR="003505F7" w:rsidRPr="00F516FD">
        <w:t xml:space="preserve">based on </w:t>
      </w:r>
      <w:r w:rsidR="00523268" w:rsidRPr="00F516FD">
        <w:t xml:space="preserve">the MSAC Executive’s </w:t>
      </w:r>
      <w:r w:rsidR="003505F7" w:rsidRPr="00F516FD">
        <w:t>concern that the</w:t>
      </w:r>
      <w:r w:rsidR="00CE28EB" w:rsidRPr="00F516FD">
        <w:t xml:space="preserve">y could be used </w:t>
      </w:r>
      <w:r w:rsidR="00244BCC" w:rsidRPr="00F516FD">
        <w:t>beyond their indication to examine</w:t>
      </w:r>
      <w:r w:rsidR="3CBBA6E0" w:rsidRPr="00F516FD">
        <w:t xml:space="preserve"> tissue from early pregnancy loss</w:t>
      </w:r>
      <w:r w:rsidR="00244BCC" w:rsidRPr="00F516FD">
        <w:t xml:space="preserve">. This differs </w:t>
      </w:r>
      <w:r w:rsidR="00B22223" w:rsidRPr="00F516FD">
        <w:t>from</w:t>
      </w:r>
      <w:r w:rsidR="003C4759" w:rsidRPr="00F516FD">
        <w:t xml:space="preserve"> </w:t>
      </w:r>
      <w:r w:rsidR="00244BCC" w:rsidRPr="00F516FD">
        <w:t>the</w:t>
      </w:r>
      <w:r w:rsidR="003505F7" w:rsidRPr="00F516FD">
        <w:t xml:space="preserve"> </w:t>
      </w:r>
      <w:r w:rsidR="00DF5267" w:rsidRPr="00F516FD">
        <w:t xml:space="preserve">PCC recommendation and that of Expert </w:t>
      </w:r>
      <w:r w:rsidR="003B00FA" w:rsidRPr="00F516FD">
        <w:t>1</w:t>
      </w:r>
      <w:r w:rsidR="00EA109C" w:rsidRPr="00F516FD">
        <w:t>,</w:t>
      </w:r>
      <w:r w:rsidR="00BA707F" w:rsidRPr="00F516FD">
        <w:t xml:space="preserve"> </w:t>
      </w:r>
      <w:r w:rsidR="00EC6784" w:rsidRPr="00F516FD">
        <w:t>who both preferred to remove specification of gestational age in the descriptor.</w:t>
      </w:r>
    </w:p>
    <w:p w14:paraId="41AD18B4" w14:textId="025D585C" w:rsidR="0093657F" w:rsidRPr="00F516FD" w:rsidRDefault="1510DDA3" w:rsidP="08D4D029">
      <w:r w:rsidRPr="00F516FD">
        <w:t>As with all MBS services in an antenatal setting, the patient is the mother (or pregnant person) until the birth of the baby.</w:t>
      </w:r>
      <w:r w:rsidR="7284E163" w:rsidRPr="00F516FD">
        <w:t xml:space="preserve"> People who are deceased, including </w:t>
      </w:r>
      <w:r w:rsidR="69893837" w:rsidRPr="00F516FD">
        <w:t>stillborn infants</w:t>
      </w:r>
      <w:r w:rsidR="1583A2B6" w:rsidRPr="00F516FD">
        <w:t xml:space="preserve">, are ineligible to </w:t>
      </w:r>
      <w:r w:rsidR="1583A2B6" w:rsidRPr="00F516FD">
        <w:lastRenderedPageBreak/>
        <w:t>access Medicare services</w:t>
      </w:r>
      <w:r w:rsidR="1F04422A" w:rsidRPr="00F516FD">
        <w:t xml:space="preserve"> and </w:t>
      </w:r>
      <w:r w:rsidR="69CD357A" w:rsidRPr="00F516FD">
        <w:t xml:space="preserve">in this setting </w:t>
      </w:r>
      <w:r w:rsidR="1F04422A" w:rsidRPr="00F516FD">
        <w:t xml:space="preserve">pathology tests </w:t>
      </w:r>
      <w:r w:rsidR="250F01A8" w:rsidRPr="00F516FD">
        <w:t>on the placenta</w:t>
      </w:r>
      <w:r w:rsidR="70451F00" w:rsidRPr="00F516FD">
        <w:t xml:space="preserve"> </w:t>
      </w:r>
      <w:r w:rsidR="1F04422A" w:rsidRPr="00F516FD">
        <w:t>are order</w:t>
      </w:r>
      <w:r w:rsidR="58F2684B" w:rsidRPr="00F516FD">
        <w:t>ed</w:t>
      </w:r>
      <w:r w:rsidR="1F04422A" w:rsidRPr="00F516FD">
        <w:t xml:space="preserve"> under the </w:t>
      </w:r>
      <w:r w:rsidR="2758B87C" w:rsidRPr="00F516FD">
        <w:t>mother’s name</w:t>
      </w:r>
      <w:r w:rsidR="069BBC64" w:rsidRPr="00F516FD">
        <w:t xml:space="preserve"> and </w:t>
      </w:r>
      <w:r w:rsidR="6D202DE4" w:rsidRPr="00F516FD">
        <w:t xml:space="preserve">will be </w:t>
      </w:r>
      <w:r w:rsidR="278A4C5B" w:rsidRPr="00F516FD">
        <w:t xml:space="preserve">retained </w:t>
      </w:r>
      <w:r w:rsidR="6D202DE4" w:rsidRPr="00F516FD">
        <w:t xml:space="preserve">on </w:t>
      </w:r>
      <w:r w:rsidR="3C99228C" w:rsidRPr="00F516FD">
        <w:t>the</w:t>
      </w:r>
      <w:r w:rsidR="00642F3A" w:rsidRPr="00F516FD">
        <w:t xml:space="preserve"> mother’s</w:t>
      </w:r>
      <w:r w:rsidR="6D202DE4" w:rsidRPr="00F516FD">
        <w:t xml:space="preserve"> record </w:t>
      </w:r>
      <w:r w:rsidR="00642F3A" w:rsidRPr="00F516FD">
        <w:t xml:space="preserve">to inform </w:t>
      </w:r>
      <w:r w:rsidR="6D202DE4" w:rsidRPr="00F516FD">
        <w:t>future antenatal care</w:t>
      </w:r>
      <w:r w:rsidR="2758B87C" w:rsidRPr="00F516FD">
        <w:t>.</w:t>
      </w:r>
    </w:p>
    <w:p w14:paraId="45E2EBE7" w14:textId="0D60C978" w:rsidR="006029A1" w:rsidRPr="00F516FD" w:rsidRDefault="7DAB202D" w:rsidP="00B800B1">
      <w:r w:rsidRPr="00F516FD">
        <w:t>The complexity descriptors proposed</w:t>
      </w:r>
      <w:r w:rsidR="358EA6E7" w:rsidRPr="00F516FD">
        <w:t xml:space="preserve"> by the applicant</w:t>
      </w:r>
      <w:r w:rsidRPr="00F516FD">
        <w:t xml:space="preserve"> are </w:t>
      </w:r>
      <w:r w:rsidR="3130352D" w:rsidRPr="00F516FD">
        <w:t>more d</w:t>
      </w:r>
      <w:r w:rsidR="12F737A5" w:rsidRPr="00F516FD">
        <w:t xml:space="preserve">etailed than those </w:t>
      </w:r>
      <w:r w:rsidR="6B74BDC0" w:rsidRPr="00F516FD">
        <w:t xml:space="preserve">currently </w:t>
      </w:r>
      <w:r w:rsidR="12774470" w:rsidRPr="00F516FD">
        <w:t>included within the PST</w:t>
      </w:r>
      <w:r w:rsidR="01F03DFE" w:rsidRPr="00F516FD">
        <w:t xml:space="preserve">, in contrast to the recommendations of the PCC that retained sparse </w:t>
      </w:r>
      <w:r w:rsidR="2FC7AE6B" w:rsidRPr="00F516FD">
        <w:t>wording</w:t>
      </w:r>
      <w:r w:rsidR="5B1D2F6F" w:rsidRPr="00F516FD">
        <w:t xml:space="preserve"> (‘placenta, abnormal pregnancy or delivery’ (level 5) and ‘placenta, stillbirth’ (level 6)</w:t>
      </w:r>
      <w:r w:rsidR="468890AB" w:rsidRPr="00F516FD">
        <w:t>)</w:t>
      </w:r>
      <w:r w:rsidR="12774470" w:rsidRPr="00F516FD">
        <w:t xml:space="preserve">. </w:t>
      </w:r>
    </w:p>
    <w:p w14:paraId="609BE684" w14:textId="615B39BE" w:rsidR="00FA0983" w:rsidRPr="00F516FD" w:rsidRDefault="00FA0983" w:rsidP="00FA0983">
      <w:pPr>
        <w:pStyle w:val="Heading3"/>
      </w:pPr>
      <w:bookmarkStart w:id="15" w:name="_Toc171508492"/>
      <w:r w:rsidRPr="00F516FD">
        <w:t xml:space="preserve">Justification of the </w:t>
      </w:r>
      <w:r w:rsidR="002C13C7" w:rsidRPr="00F516FD">
        <w:t xml:space="preserve">complexity and associated </w:t>
      </w:r>
      <w:r w:rsidRPr="00F516FD">
        <w:t>fee</w:t>
      </w:r>
      <w:bookmarkEnd w:id="15"/>
    </w:p>
    <w:p w14:paraId="362B3CD2" w14:textId="404F3BEC" w:rsidR="00D02852" w:rsidRPr="00F516FD" w:rsidRDefault="00D02852" w:rsidP="00197810">
      <w:r w:rsidRPr="00F516FD">
        <w:t xml:space="preserve">The requested fee increase </w:t>
      </w:r>
      <w:r w:rsidR="00543C60" w:rsidRPr="00F516FD">
        <w:t>wa</w:t>
      </w:r>
      <w:r w:rsidRPr="00F516FD">
        <w:t xml:space="preserve">s based on the time taken to complete </w:t>
      </w:r>
      <w:r w:rsidR="002E08D1" w:rsidRPr="00F516FD">
        <w:t xml:space="preserve">a </w:t>
      </w:r>
      <w:r w:rsidRPr="00F516FD">
        <w:t xml:space="preserve">placental examination. </w:t>
      </w:r>
      <w:r w:rsidR="009758B5" w:rsidRPr="00F516FD">
        <w:t>T</w:t>
      </w:r>
      <w:r w:rsidRPr="00F516FD">
        <w:t>he currently claimed MBS pathology item</w:t>
      </w:r>
      <w:r w:rsidR="00CA05C2" w:rsidRPr="00F516FD">
        <w:t>, 72823</w:t>
      </w:r>
      <w:r w:rsidRPr="00F516FD">
        <w:t xml:space="preserve"> </w:t>
      </w:r>
      <w:r w:rsidR="008E4150" w:rsidRPr="00F516FD">
        <w:t>(</w:t>
      </w:r>
      <w:r w:rsidRPr="00F516FD">
        <w:t>complexity level</w:t>
      </w:r>
      <w:r w:rsidR="00CA05C2" w:rsidRPr="00F516FD">
        <w:t xml:space="preserve"> 4</w:t>
      </w:r>
      <w:r w:rsidR="008E4150" w:rsidRPr="00F516FD">
        <w:t>),</w:t>
      </w:r>
      <w:r w:rsidRPr="00F516FD">
        <w:t xml:space="preserve"> </w:t>
      </w:r>
      <w:r w:rsidR="00FB7AEC" w:rsidRPr="00F516FD">
        <w:t>wa</w:t>
      </w:r>
      <w:r w:rsidRPr="00F516FD">
        <w:t>s based on a single gastrointestinal biopsy specimen with a corresponding time value of 5 minutes.</w:t>
      </w:r>
      <w:r w:rsidR="0099462D" w:rsidRPr="00F516FD">
        <w:t xml:space="preserve"> </w:t>
      </w:r>
      <w:r w:rsidR="003F208D" w:rsidRPr="00F516FD">
        <w:t>Whereas t</w:t>
      </w:r>
      <w:r w:rsidR="0099462D" w:rsidRPr="00F516FD">
        <w:t xml:space="preserve">he </w:t>
      </w:r>
      <w:r w:rsidR="00180D37" w:rsidRPr="00F516FD">
        <w:t xml:space="preserve">application stated that the </w:t>
      </w:r>
      <w:r w:rsidR="0099462D" w:rsidRPr="00F516FD">
        <w:t>average examination time for one placenta, including gross examination and</w:t>
      </w:r>
      <w:r w:rsidR="00197810" w:rsidRPr="00F516FD">
        <w:t xml:space="preserve"> measurements, sampling for ancillary studies, dissection, tissue processing, staining, </w:t>
      </w:r>
      <w:proofErr w:type="gramStart"/>
      <w:r w:rsidR="00197810" w:rsidRPr="00F516FD">
        <w:t>microscopy</w:t>
      </w:r>
      <w:proofErr w:type="gramEnd"/>
      <w:r w:rsidR="00197810" w:rsidRPr="00F516FD">
        <w:t xml:space="preserve"> and reporting, </w:t>
      </w:r>
      <w:r w:rsidR="003F208D" w:rsidRPr="00F516FD">
        <w:t>wa</w:t>
      </w:r>
      <w:r w:rsidR="00197810" w:rsidRPr="00F516FD">
        <w:t>s estimated to be a minimum of 30 minutes</w:t>
      </w:r>
      <w:r w:rsidR="00136856" w:rsidRPr="00F516FD">
        <w:t>.</w:t>
      </w:r>
      <w:r w:rsidR="00197810" w:rsidRPr="00F516FD">
        <w:t xml:space="preserve"> </w:t>
      </w:r>
      <w:r w:rsidR="00136856" w:rsidRPr="00F516FD">
        <w:t>I</w:t>
      </w:r>
      <w:r w:rsidR="00197810" w:rsidRPr="00F516FD">
        <w:t xml:space="preserve">n </w:t>
      </w:r>
      <w:r w:rsidR="00497AFC" w:rsidRPr="00F516FD">
        <w:t xml:space="preserve">complex </w:t>
      </w:r>
      <w:r w:rsidR="00197810" w:rsidRPr="00F516FD">
        <w:t>cases</w:t>
      </w:r>
      <w:r w:rsidR="00497AFC" w:rsidRPr="00F516FD">
        <w:t xml:space="preserve"> </w:t>
      </w:r>
      <w:r w:rsidR="00197810" w:rsidRPr="00F516FD">
        <w:t xml:space="preserve">associated with a neonatal death or stillbirth, </w:t>
      </w:r>
      <w:r w:rsidR="00E3589F" w:rsidRPr="00F516FD">
        <w:t xml:space="preserve">the time taken for placental examination </w:t>
      </w:r>
      <w:r w:rsidR="002158AD" w:rsidRPr="00F516FD">
        <w:t>is</w:t>
      </w:r>
      <w:r w:rsidR="00197810" w:rsidRPr="00F516FD">
        <w:t xml:space="preserve"> 45-60 minutes.</w:t>
      </w:r>
    </w:p>
    <w:p w14:paraId="38653FAC" w14:textId="6374CA75" w:rsidR="00795AF2" w:rsidRPr="00F516FD" w:rsidRDefault="00795AF2" w:rsidP="00795AF2">
      <w:r w:rsidRPr="00F516FD">
        <w:t>The applicant provided a brief description of the standard protocol for investigation of the placenta:</w:t>
      </w:r>
    </w:p>
    <w:p w14:paraId="54AE268F" w14:textId="3768B578" w:rsidR="0039068A" w:rsidRPr="00F516FD" w:rsidRDefault="0039068A" w:rsidP="008426CE">
      <w:pPr>
        <w:pStyle w:val="ListParagraph"/>
        <w:numPr>
          <w:ilvl w:val="0"/>
          <w:numId w:val="12"/>
        </w:numPr>
        <w:rPr>
          <w:color w:val="000000"/>
        </w:rPr>
      </w:pPr>
      <w:r w:rsidRPr="00F516FD">
        <w:rPr>
          <w:color w:val="000000"/>
        </w:rPr>
        <w:t xml:space="preserve">Placenta received fresh </w:t>
      </w:r>
      <w:r w:rsidR="00752657" w:rsidRPr="00F516FD">
        <w:rPr>
          <w:color w:val="000000"/>
        </w:rPr>
        <w:t>and</w:t>
      </w:r>
      <w:r w:rsidRPr="00F516FD">
        <w:rPr>
          <w:color w:val="000000"/>
        </w:rPr>
        <w:t xml:space="preserve"> is swabbed for infection and sampled for genetic studies if clinically indicated. An urgent cord section may be performed to look for evidence of </w:t>
      </w:r>
      <w:proofErr w:type="spellStart"/>
      <w:r w:rsidRPr="00F516FD">
        <w:rPr>
          <w:color w:val="000000"/>
        </w:rPr>
        <w:t>fetal</w:t>
      </w:r>
      <w:proofErr w:type="spellEnd"/>
      <w:r w:rsidRPr="00F516FD">
        <w:rPr>
          <w:color w:val="000000"/>
        </w:rPr>
        <w:t xml:space="preserve"> response to infection, which is used to determine antibiotic use in neonates if there is a high risk of sepsis. </w:t>
      </w:r>
    </w:p>
    <w:p w14:paraId="380A1557" w14:textId="77777777" w:rsidR="0039068A" w:rsidRPr="00F516FD" w:rsidRDefault="0039068A" w:rsidP="008426CE">
      <w:pPr>
        <w:pStyle w:val="ListParagraph"/>
        <w:numPr>
          <w:ilvl w:val="0"/>
          <w:numId w:val="12"/>
        </w:numPr>
        <w:rPr>
          <w:color w:val="000000"/>
        </w:rPr>
      </w:pPr>
      <w:r w:rsidRPr="00F516FD">
        <w:rPr>
          <w:color w:val="000000"/>
        </w:rPr>
        <w:t xml:space="preserve">Macroscopic examination is undertaken on both fresh and fixed whole placenta, taking an average 10-15 minutes including photography of any significant abnormalities. </w:t>
      </w:r>
    </w:p>
    <w:p w14:paraId="75E178D4" w14:textId="77777777" w:rsidR="0039068A" w:rsidRPr="00F516FD" w:rsidRDefault="0039068A" w:rsidP="008426CE">
      <w:pPr>
        <w:pStyle w:val="ListParagraph"/>
        <w:numPr>
          <w:ilvl w:val="0"/>
          <w:numId w:val="12"/>
        </w:numPr>
        <w:rPr>
          <w:color w:val="000000"/>
        </w:rPr>
      </w:pPr>
      <w:r w:rsidRPr="00F516FD">
        <w:rPr>
          <w:color w:val="000000"/>
        </w:rPr>
        <w:t>The placenta is fixed for 24 hours.</w:t>
      </w:r>
    </w:p>
    <w:p w14:paraId="65E54F21" w14:textId="77777777" w:rsidR="0039068A" w:rsidRPr="00F516FD" w:rsidRDefault="0039068A" w:rsidP="008426CE">
      <w:pPr>
        <w:pStyle w:val="ListParagraph"/>
        <w:numPr>
          <w:ilvl w:val="0"/>
          <w:numId w:val="12"/>
        </w:numPr>
        <w:rPr>
          <w:color w:val="000000"/>
        </w:rPr>
      </w:pPr>
      <w:r w:rsidRPr="00F516FD">
        <w:rPr>
          <w:color w:val="000000"/>
        </w:rPr>
        <w:t>A minimum of five tissue blocks are examined or an average of six blocks per placenta.</w:t>
      </w:r>
    </w:p>
    <w:p w14:paraId="29199768" w14:textId="78333BF5" w:rsidR="0039068A" w:rsidRPr="00F516FD" w:rsidRDefault="0039068A" w:rsidP="008426CE">
      <w:pPr>
        <w:pStyle w:val="ListParagraph"/>
        <w:numPr>
          <w:ilvl w:val="0"/>
          <w:numId w:val="12"/>
        </w:numPr>
        <w:rPr>
          <w:color w:val="000000"/>
        </w:rPr>
      </w:pPr>
      <w:r w:rsidRPr="00F516FD">
        <w:rPr>
          <w:color w:val="000000"/>
        </w:rPr>
        <w:t xml:space="preserve">Microscopic examination including reporting takes a minimum 10 minutes per placenta for live births, 20 minutes per placenta for an intrauterine </w:t>
      </w:r>
      <w:proofErr w:type="spellStart"/>
      <w:r w:rsidRPr="00F516FD">
        <w:rPr>
          <w:color w:val="000000"/>
        </w:rPr>
        <w:t>fetal</w:t>
      </w:r>
      <w:proofErr w:type="spellEnd"/>
      <w:r w:rsidRPr="00F516FD">
        <w:rPr>
          <w:color w:val="000000"/>
        </w:rPr>
        <w:t xml:space="preserve"> death.</w:t>
      </w:r>
    </w:p>
    <w:p w14:paraId="690DA9EA" w14:textId="518C354E" w:rsidR="008E6354" w:rsidRPr="00F516FD" w:rsidRDefault="008E6354">
      <w:r w:rsidRPr="00F516FD">
        <w:t xml:space="preserve">The RCPA manual for placental examination </w:t>
      </w:r>
      <w:r w:rsidR="00221E76" w:rsidRPr="00F516FD">
        <w:t>provides greater detail</w:t>
      </w:r>
      <w:r w:rsidR="00221E76" w:rsidRPr="00F516FD">
        <w:rPr>
          <w:rStyle w:val="FootnoteReference"/>
          <w:color w:val="000000"/>
        </w:rPr>
        <w:footnoteReference w:id="3"/>
      </w:r>
      <w:r w:rsidR="009F6208" w:rsidRPr="00F516FD">
        <w:t>.</w:t>
      </w:r>
      <w:r w:rsidR="00FB0157" w:rsidRPr="00F516FD">
        <w:t xml:space="preserve"> </w:t>
      </w:r>
      <w:r w:rsidR="00934D1E" w:rsidRPr="00F516FD">
        <w:t xml:space="preserve">The number of specimens per examination is usually one (one placenta), </w:t>
      </w:r>
      <w:r w:rsidR="00EA2F31" w:rsidRPr="00F516FD">
        <w:t>except for</w:t>
      </w:r>
      <w:r w:rsidR="00934D1E" w:rsidRPr="00F516FD">
        <w:t xml:space="preserve"> multiple births (e.g. twins).</w:t>
      </w:r>
    </w:p>
    <w:p w14:paraId="247896AD" w14:textId="5DE28433" w:rsidR="003F230D" w:rsidRPr="00F516FD" w:rsidRDefault="003F230D" w:rsidP="000A45BD">
      <w:pPr>
        <w:rPr>
          <w:color w:val="000000"/>
        </w:rPr>
      </w:pPr>
      <w:r w:rsidRPr="00F516FD">
        <w:rPr>
          <w:rFonts w:eastAsia="Franklin Gothic Book" w:cs="Franklin Gothic Book"/>
          <w:color w:val="000000" w:themeColor="text1"/>
        </w:rPr>
        <w:t xml:space="preserve"> </w:t>
      </w:r>
      <w:r w:rsidR="18D88681" w:rsidRPr="00F516FD">
        <w:rPr>
          <w:rFonts w:eastAsia="Franklin Gothic Book" w:cs="Franklin Gothic Book"/>
          <w:color w:val="000000" w:themeColor="text1"/>
        </w:rPr>
        <w:t>While it is not an MBS requirement, g</w:t>
      </w:r>
      <w:r w:rsidR="03EA3744" w:rsidRPr="00F516FD">
        <w:rPr>
          <w:rFonts w:eastAsia="Franklin Gothic Book" w:cs="Franklin Gothic Book"/>
          <w:color w:val="000000" w:themeColor="text1"/>
        </w:rPr>
        <w:t>uidelines recommend that the service should</w:t>
      </w:r>
      <w:r w:rsidRPr="00F516FD">
        <w:rPr>
          <w:color w:val="000000"/>
        </w:rPr>
        <w:t xml:space="preserve"> be performed by a perinatal pathologist, defined as follows</w:t>
      </w:r>
      <w:r w:rsidR="00BC29D8" w:rsidRPr="00F516FD">
        <w:rPr>
          <w:rStyle w:val="FootnoteReference"/>
        </w:rPr>
        <w:footnoteReference w:id="4"/>
      </w:r>
      <w:r w:rsidR="0072259A" w:rsidRPr="00F516FD">
        <w:rPr>
          <w:color w:val="000000"/>
        </w:rPr>
        <w:t>:</w:t>
      </w:r>
    </w:p>
    <w:p w14:paraId="7A421B9B" w14:textId="3A2E4BB7" w:rsidR="00763021" w:rsidRPr="00F516FD" w:rsidRDefault="003F230D" w:rsidP="00E21022">
      <w:pPr>
        <w:ind w:left="284" w:right="237"/>
        <w:rPr>
          <w:color w:val="000000"/>
        </w:rPr>
      </w:pPr>
      <w:r w:rsidRPr="00F516FD">
        <w:rPr>
          <w:color w:val="000000" w:themeColor="text1"/>
        </w:rPr>
        <w:t>“</w:t>
      </w:r>
      <w:r w:rsidR="00763021" w:rsidRPr="00F516FD">
        <w:rPr>
          <w:color w:val="000000" w:themeColor="text1"/>
        </w:rPr>
        <w:t>Pathologist with specialist professional training in examining tissues of pregnancy (placenta, embryo, f</w:t>
      </w:r>
      <w:r w:rsidRPr="00F516FD">
        <w:rPr>
          <w:color w:val="000000" w:themeColor="text1"/>
        </w:rPr>
        <w:t>o</w:t>
      </w:r>
      <w:r w:rsidR="00763021" w:rsidRPr="00F516FD">
        <w:rPr>
          <w:color w:val="000000" w:themeColor="text1"/>
        </w:rPr>
        <w:t>etal tissue) to identify cause of death during the perinatal period. Perinatal pathologists are also trained in performing autopsies to investigate causes of neonate death</w:t>
      </w:r>
      <w:r w:rsidRPr="00F516FD">
        <w:rPr>
          <w:color w:val="000000" w:themeColor="text1"/>
        </w:rPr>
        <w:t>.”</w:t>
      </w:r>
    </w:p>
    <w:p w14:paraId="672496E8" w14:textId="77777777" w:rsidR="00D072BE" w:rsidRPr="00F516FD" w:rsidRDefault="000354C5" w:rsidP="000A45BD">
      <w:pPr>
        <w:rPr>
          <w:color w:val="000000"/>
        </w:rPr>
      </w:pPr>
      <w:r w:rsidRPr="00F516FD">
        <w:rPr>
          <w:color w:val="000000"/>
        </w:rPr>
        <w:t>Additional justification for the fee was provided by</w:t>
      </w:r>
      <w:r w:rsidR="00A15F3C" w:rsidRPr="00F516FD">
        <w:rPr>
          <w:color w:val="000000"/>
        </w:rPr>
        <w:t xml:space="preserve"> two clinical experts.</w:t>
      </w:r>
      <w:r w:rsidRPr="00F516FD">
        <w:rPr>
          <w:color w:val="000000"/>
        </w:rPr>
        <w:t xml:space="preserve"> </w:t>
      </w:r>
    </w:p>
    <w:p w14:paraId="56821FA9" w14:textId="43F69DE0" w:rsidR="00D072BE" w:rsidRPr="00F516FD" w:rsidRDefault="007F7802" w:rsidP="000A45BD">
      <w:pPr>
        <w:rPr>
          <w:color w:val="000000"/>
        </w:rPr>
      </w:pPr>
      <w:r w:rsidRPr="00F516FD">
        <w:rPr>
          <w:color w:val="000000"/>
        </w:rPr>
        <w:t>E</w:t>
      </w:r>
      <w:r w:rsidR="000354C5" w:rsidRPr="00F516FD">
        <w:rPr>
          <w:color w:val="000000"/>
        </w:rPr>
        <w:t xml:space="preserve">xpert </w:t>
      </w:r>
      <w:r w:rsidR="00EA2F31" w:rsidRPr="00F516FD">
        <w:rPr>
          <w:color w:val="000000"/>
        </w:rPr>
        <w:t>2</w:t>
      </w:r>
      <w:r w:rsidR="000354C5" w:rsidRPr="00F516FD">
        <w:rPr>
          <w:color w:val="000000"/>
        </w:rPr>
        <w:t xml:space="preserve"> noted that </w:t>
      </w:r>
      <w:r w:rsidR="00BD6FF7" w:rsidRPr="00F516FD">
        <w:rPr>
          <w:color w:val="000000"/>
        </w:rPr>
        <w:t xml:space="preserve">placental weights and measurements are required to be conducted fresh </w:t>
      </w:r>
      <w:r w:rsidR="00F33615" w:rsidRPr="00F516FD">
        <w:rPr>
          <w:color w:val="000000"/>
        </w:rPr>
        <w:t>to</w:t>
      </w:r>
      <w:r w:rsidR="00BD6FF7" w:rsidRPr="00F516FD">
        <w:rPr>
          <w:color w:val="000000"/>
        </w:rPr>
        <w:t xml:space="preserve"> allow comparison with </w:t>
      </w:r>
      <w:r w:rsidR="00B16032" w:rsidRPr="00F516FD">
        <w:rPr>
          <w:color w:val="000000"/>
        </w:rPr>
        <w:t>internationally recognised gestational tables</w:t>
      </w:r>
      <w:r w:rsidR="0057542B" w:rsidRPr="00F516FD">
        <w:rPr>
          <w:color w:val="000000"/>
        </w:rPr>
        <w:t>.</w:t>
      </w:r>
      <w:r w:rsidR="000E6B1A" w:rsidRPr="00F516FD">
        <w:rPr>
          <w:color w:val="000000"/>
        </w:rPr>
        <w:t xml:space="preserve"> </w:t>
      </w:r>
      <w:r w:rsidR="0057542B" w:rsidRPr="00F516FD">
        <w:rPr>
          <w:color w:val="000000"/>
        </w:rPr>
        <w:t>H</w:t>
      </w:r>
      <w:r w:rsidR="000E6B1A" w:rsidRPr="00F516FD">
        <w:rPr>
          <w:color w:val="000000"/>
        </w:rPr>
        <w:t>owever</w:t>
      </w:r>
      <w:r w:rsidR="009851C9" w:rsidRPr="00F516FD">
        <w:rPr>
          <w:color w:val="000000"/>
        </w:rPr>
        <w:t>,</w:t>
      </w:r>
      <w:r w:rsidR="000E6B1A" w:rsidRPr="00F516FD">
        <w:rPr>
          <w:color w:val="000000"/>
        </w:rPr>
        <w:t xml:space="preserve"> fresh handling </w:t>
      </w:r>
      <w:r w:rsidR="00AD3421" w:rsidRPr="00F516FD">
        <w:rPr>
          <w:color w:val="000000"/>
        </w:rPr>
        <w:t>is time</w:t>
      </w:r>
      <w:r w:rsidR="00362D70" w:rsidRPr="00F516FD">
        <w:rPr>
          <w:color w:val="000000"/>
        </w:rPr>
        <w:t>-</w:t>
      </w:r>
      <w:r w:rsidR="00AD3421" w:rsidRPr="00F516FD">
        <w:rPr>
          <w:color w:val="000000"/>
        </w:rPr>
        <w:t>consuming</w:t>
      </w:r>
      <w:r w:rsidR="009851C9" w:rsidRPr="00F516FD">
        <w:rPr>
          <w:color w:val="000000"/>
        </w:rPr>
        <w:t>,</w:t>
      </w:r>
      <w:r w:rsidR="00AD3421" w:rsidRPr="00F516FD">
        <w:rPr>
          <w:color w:val="000000"/>
        </w:rPr>
        <w:t xml:space="preserve"> particularly given the large </w:t>
      </w:r>
      <w:r w:rsidR="00031E54" w:rsidRPr="00F516FD">
        <w:rPr>
          <w:color w:val="000000"/>
        </w:rPr>
        <w:t>sample size</w:t>
      </w:r>
      <w:r w:rsidR="00622018" w:rsidRPr="00F516FD">
        <w:rPr>
          <w:color w:val="000000"/>
        </w:rPr>
        <w:t xml:space="preserve"> – </w:t>
      </w:r>
      <w:r w:rsidR="00031E54" w:rsidRPr="00F516FD">
        <w:rPr>
          <w:color w:val="000000"/>
        </w:rPr>
        <w:t>often associated with significant volume</w:t>
      </w:r>
      <w:r w:rsidR="00EE30DF" w:rsidRPr="00F516FD">
        <w:rPr>
          <w:color w:val="000000"/>
        </w:rPr>
        <w:t>s</w:t>
      </w:r>
      <w:r w:rsidR="00031E54" w:rsidRPr="00F516FD">
        <w:rPr>
          <w:color w:val="000000"/>
        </w:rPr>
        <w:t xml:space="preserve"> of blood</w:t>
      </w:r>
      <w:r w:rsidR="00622018" w:rsidRPr="00F516FD">
        <w:rPr>
          <w:color w:val="000000"/>
        </w:rPr>
        <w:t xml:space="preserve"> – </w:t>
      </w:r>
      <w:r w:rsidR="00031E54" w:rsidRPr="00F516FD">
        <w:rPr>
          <w:color w:val="000000"/>
        </w:rPr>
        <w:t>requiring greater care and clean up.</w:t>
      </w:r>
      <w:r w:rsidR="00D84EB3" w:rsidRPr="00F516FD">
        <w:rPr>
          <w:color w:val="000000"/>
        </w:rPr>
        <w:t xml:space="preserve"> The need for photography also </w:t>
      </w:r>
      <w:r w:rsidR="00D84EB3" w:rsidRPr="00F516FD">
        <w:rPr>
          <w:color w:val="000000"/>
        </w:rPr>
        <w:lastRenderedPageBreak/>
        <w:t xml:space="preserve">distinguishes examination of the placenta from a </w:t>
      </w:r>
      <w:r w:rsidR="00A71C01" w:rsidRPr="00F516FD">
        <w:rPr>
          <w:color w:val="000000"/>
        </w:rPr>
        <w:t>biopsy specimen.</w:t>
      </w:r>
      <w:r w:rsidR="003F58A5" w:rsidRPr="00F516FD">
        <w:rPr>
          <w:color w:val="000000"/>
        </w:rPr>
        <w:t xml:space="preserve"> Finally, </w:t>
      </w:r>
      <w:r w:rsidR="00D068F5" w:rsidRPr="00F516FD">
        <w:rPr>
          <w:color w:val="000000"/>
        </w:rPr>
        <w:t>each placenta has at least 5-6 blocks</w:t>
      </w:r>
      <w:r w:rsidR="00A87448" w:rsidRPr="00F516FD">
        <w:rPr>
          <w:color w:val="000000"/>
        </w:rPr>
        <w:t xml:space="preserve"> or more if grossly abnormal</w:t>
      </w:r>
      <w:r w:rsidR="00D068F5" w:rsidRPr="00F516FD">
        <w:rPr>
          <w:color w:val="000000"/>
        </w:rPr>
        <w:t xml:space="preserve"> (compared to one for a single gastrointestinal biopsy), and interpretation is often complex</w:t>
      </w:r>
      <w:r w:rsidR="00403DA5" w:rsidRPr="00F516FD">
        <w:rPr>
          <w:color w:val="000000"/>
        </w:rPr>
        <w:t xml:space="preserve">, </w:t>
      </w:r>
      <w:r w:rsidR="00D068F5" w:rsidRPr="00F516FD">
        <w:rPr>
          <w:color w:val="000000"/>
        </w:rPr>
        <w:t>particular</w:t>
      </w:r>
      <w:r w:rsidR="00403DA5" w:rsidRPr="00F516FD">
        <w:rPr>
          <w:color w:val="000000"/>
        </w:rPr>
        <w:t>ly</w:t>
      </w:r>
      <w:r w:rsidR="00D068F5" w:rsidRPr="00F516FD">
        <w:rPr>
          <w:color w:val="000000"/>
        </w:rPr>
        <w:t xml:space="preserve"> for intrauterine death cases (</w:t>
      </w:r>
      <w:r w:rsidR="00F33615" w:rsidRPr="00F516FD">
        <w:rPr>
          <w:color w:val="000000"/>
        </w:rPr>
        <w:t xml:space="preserve">requested </w:t>
      </w:r>
      <w:r w:rsidR="00D068F5" w:rsidRPr="00F516FD">
        <w:rPr>
          <w:color w:val="000000"/>
        </w:rPr>
        <w:t>level 6</w:t>
      </w:r>
      <w:r w:rsidR="00F33615" w:rsidRPr="00F516FD">
        <w:rPr>
          <w:color w:val="000000"/>
        </w:rPr>
        <w:t xml:space="preserve"> complexity</w:t>
      </w:r>
      <w:r w:rsidR="00D068F5" w:rsidRPr="00F516FD">
        <w:rPr>
          <w:color w:val="000000"/>
        </w:rPr>
        <w:t>), as there is also an expectation of clinical correlatio</w:t>
      </w:r>
      <w:r w:rsidR="00F33615" w:rsidRPr="00F516FD">
        <w:rPr>
          <w:color w:val="000000"/>
        </w:rPr>
        <w:t>n</w:t>
      </w:r>
      <w:r w:rsidR="00D068F5" w:rsidRPr="00F516FD">
        <w:rPr>
          <w:color w:val="000000"/>
        </w:rPr>
        <w:t>.</w:t>
      </w:r>
    </w:p>
    <w:p w14:paraId="1B10D15E" w14:textId="0655BE37" w:rsidR="009A6A12" w:rsidRPr="00F516FD" w:rsidRDefault="007F7802" w:rsidP="008A0DC0">
      <w:r w:rsidRPr="00F516FD">
        <w:t>E</w:t>
      </w:r>
      <w:r w:rsidR="00D072BE" w:rsidRPr="00F516FD">
        <w:t xml:space="preserve">xpert </w:t>
      </w:r>
      <w:r w:rsidR="00EA2F31" w:rsidRPr="00F516FD">
        <w:t>3</w:t>
      </w:r>
      <w:r w:rsidR="00D072BE" w:rsidRPr="00F516FD">
        <w:t xml:space="preserve"> </w:t>
      </w:r>
      <w:r w:rsidR="008A1342" w:rsidRPr="00F516FD">
        <w:t xml:space="preserve">provided details of reporting time for placental </w:t>
      </w:r>
      <w:r w:rsidR="00DE4E66" w:rsidRPr="00F516FD">
        <w:t>specimens</w:t>
      </w:r>
      <w:r w:rsidR="008A1342" w:rsidRPr="00F516FD">
        <w:t xml:space="preserve"> compare</w:t>
      </w:r>
      <w:r w:rsidR="00DE4E66" w:rsidRPr="00F516FD">
        <w:t>d to endoscopic biopsies</w:t>
      </w:r>
      <w:r w:rsidR="00334789" w:rsidRPr="00F516FD">
        <w:t xml:space="preserve"> </w:t>
      </w:r>
      <w:r w:rsidR="00B0476B" w:rsidRPr="00F516FD">
        <w:t>(</w:t>
      </w:r>
      <w:r w:rsidR="003C2104" w:rsidRPr="00F516FD">
        <w:fldChar w:fldCharType="begin"/>
      </w:r>
      <w:r w:rsidR="003C2104" w:rsidRPr="00F516FD">
        <w:instrText xml:space="preserve"> REF _Ref167197166 \h </w:instrText>
      </w:r>
      <w:r w:rsidR="00F516FD">
        <w:instrText xml:space="preserve"> \* MERGEFORMAT </w:instrText>
      </w:r>
      <w:r w:rsidR="003C2104" w:rsidRPr="00F516FD">
        <w:fldChar w:fldCharType="separate"/>
      </w:r>
      <w:r w:rsidR="002A4535" w:rsidRPr="00F516FD">
        <w:t xml:space="preserve">Table </w:t>
      </w:r>
      <w:r w:rsidR="002A4535" w:rsidRPr="00F516FD">
        <w:rPr>
          <w:noProof/>
        </w:rPr>
        <w:t>5</w:t>
      </w:r>
      <w:r w:rsidR="003C2104" w:rsidRPr="00F516FD">
        <w:fldChar w:fldCharType="end"/>
      </w:r>
      <w:r w:rsidR="00B0476B" w:rsidRPr="00F516FD">
        <w:t>)</w:t>
      </w:r>
      <w:r w:rsidR="00226F56" w:rsidRPr="00F516FD">
        <w:t>.</w:t>
      </w:r>
    </w:p>
    <w:p w14:paraId="0FC2F020" w14:textId="19BA26E9" w:rsidR="009A6A12" w:rsidRPr="00F516FD" w:rsidRDefault="009A6A12" w:rsidP="009A6A12">
      <w:pPr>
        <w:pStyle w:val="Caption"/>
      </w:pPr>
      <w:bookmarkStart w:id="16" w:name="_Ref167197166"/>
      <w:r w:rsidRPr="00F516FD">
        <w:t xml:space="preserve">Table </w:t>
      </w:r>
      <w:r w:rsidRPr="00F516FD">
        <w:fldChar w:fldCharType="begin"/>
      </w:r>
      <w:r w:rsidRPr="00F516FD">
        <w:instrText>SEQ Table \* ARABIC</w:instrText>
      </w:r>
      <w:r w:rsidRPr="00F516FD">
        <w:fldChar w:fldCharType="separate"/>
      </w:r>
      <w:r w:rsidR="002A4535" w:rsidRPr="00F516FD">
        <w:rPr>
          <w:noProof/>
        </w:rPr>
        <w:t>5</w:t>
      </w:r>
      <w:r w:rsidRPr="00F516FD">
        <w:fldChar w:fldCharType="end"/>
      </w:r>
      <w:bookmarkEnd w:id="16"/>
      <w:r w:rsidRPr="00F516FD">
        <w:tab/>
        <w:t xml:space="preserve">Estimated time for examination of placenta specimens compared to endoscopic </w:t>
      </w:r>
      <w:proofErr w:type="gramStart"/>
      <w:r w:rsidRPr="00F516FD">
        <w:t>biopsies</w:t>
      </w:r>
      <w:proofErr w:type="gramEnd"/>
    </w:p>
    <w:tbl>
      <w:tblPr>
        <w:tblStyle w:val="TableGrid"/>
        <w:tblW w:w="5000" w:type="pct"/>
        <w:tblLook w:val="04A0" w:firstRow="1" w:lastRow="0" w:firstColumn="1" w:lastColumn="0" w:noHBand="0" w:noVBand="1"/>
        <w:tblCaption w:val="Table 4. Estimated time for examination of placenta specimens compared to endoscopic biopsies"/>
        <w:tblDescription w:val="Estimated time for examination of placenta specimens compared to endoscopic biopsies.&#10;&#10;Indicative times are shown for Pathologist reporting time; Specimen cut-up time; Scientific labour time; Equivalent block labour. &#10;"/>
      </w:tblPr>
      <w:tblGrid>
        <w:gridCol w:w="3005"/>
        <w:gridCol w:w="3005"/>
        <w:gridCol w:w="3006"/>
      </w:tblGrid>
      <w:tr w:rsidR="009A6A12" w:rsidRPr="00F516FD" w14:paraId="43D8ED73" w14:textId="77777777" w:rsidTr="00CB6D18">
        <w:trPr>
          <w:tblHeader/>
        </w:trPr>
        <w:tc>
          <w:tcPr>
            <w:tcW w:w="1666" w:type="pct"/>
          </w:tcPr>
          <w:p w14:paraId="4482C32E" w14:textId="401FBE3B" w:rsidR="009A6A12" w:rsidRPr="00F516FD" w:rsidRDefault="00C95E81" w:rsidP="00BC29D8">
            <w:pPr>
              <w:pStyle w:val="TableHeading0"/>
              <w:keepNext/>
            </w:pPr>
            <w:r w:rsidRPr="00F516FD">
              <w:t>Time element</w:t>
            </w:r>
          </w:p>
        </w:tc>
        <w:tc>
          <w:tcPr>
            <w:tcW w:w="1666" w:type="pct"/>
          </w:tcPr>
          <w:p w14:paraId="6786A775" w14:textId="77777777" w:rsidR="009A6A12" w:rsidRPr="00F516FD" w:rsidRDefault="009A6A12" w:rsidP="00BC29D8">
            <w:pPr>
              <w:pStyle w:val="TableHeading0"/>
              <w:keepNext/>
              <w:rPr>
                <w:color w:val="000000"/>
              </w:rPr>
            </w:pPr>
            <w:r w:rsidRPr="00F516FD">
              <w:rPr>
                <w:color w:val="000000"/>
              </w:rPr>
              <w:t>Placenta</w:t>
            </w:r>
          </w:p>
        </w:tc>
        <w:tc>
          <w:tcPr>
            <w:tcW w:w="1667" w:type="pct"/>
          </w:tcPr>
          <w:p w14:paraId="33D314FD" w14:textId="77777777" w:rsidR="009A6A12" w:rsidRPr="00F516FD" w:rsidRDefault="009A6A12" w:rsidP="00BC29D8">
            <w:pPr>
              <w:pStyle w:val="TableHeading0"/>
              <w:keepNext/>
              <w:rPr>
                <w:color w:val="000000"/>
              </w:rPr>
            </w:pPr>
            <w:r w:rsidRPr="00F516FD">
              <w:rPr>
                <w:color w:val="000000"/>
              </w:rPr>
              <w:t>Endoscopic biopsy</w:t>
            </w:r>
          </w:p>
        </w:tc>
      </w:tr>
      <w:tr w:rsidR="009A6A12" w:rsidRPr="00F516FD" w14:paraId="182057AD" w14:textId="77777777" w:rsidTr="00CB6D18">
        <w:tc>
          <w:tcPr>
            <w:tcW w:w="1666" w:type="pct"/>
          </w:tcPr>
          <w:p w14:paraId="741A2FD0" w14:textId="77777777" w:rsidR="009A6A12" w:rsidRPr="00F516FD" w:rsidRDefault="009A6A12">
            <w:pPr>
              <w:pStyle w:val="TableText"/>
              <w:rPr>
                <w:color w:val="000000"/>
              </w:rPr>
            </w:pPr>
            <w:r w:rsidRPr="00F516FD">
              <w:rPr>
                <w:color w:val="000000"/>
              </w:rPr>
              <w:t>Pathologist reporting time</w:t>
            </w:r>
          </w:p>
        </w:tc>
        <w:tc>
          <w:tcPr>
            <w:tcW w:w="1666" w:type="pct"/>
          </w:tcPr>
          <w:p w14:paraId="2BA93301" w14:textId="77777777" w:rsidR="009A6A12" w:rsidRPr="00F516FD" w:rsidRDefault="009A6A12">
            <w:pPr>
              <w:pStyle w:val="TableText"/>
              <w:rPr>
                <w:color w:val="000000"/>
              </w:rPr>
            </w:pPr>
            <w:r w:rsidRPr="00F516FD">
              <w:rPr>
                <w:color w:val="000000"/>
              </w:rPr>
              <w:t>10-15 mins</w:t>
            </w:r>
          </w:p>
        </w:tc>
        <w:tc>
          <w:tcPr>
            <w:tcW w:w="1667" w:type="pct"/>
          </w:tcPr>
          <w:p w14:paraId="15166B55" w14:textId="77777777" w:rsidR="009A6A12" w:rsidRPr="00F516FD" w:rsidRDefault="009A6A12">
            <w:pPr>
              <w:pStyle w:val="TableText"/>
              <w:rPr>
                <w:color w:val="000000"/>
              </w:rPr>
            </w:pPr>
            <w:r w:rsidRPr="00F516FD">
              <w:rPr>
                <w:color w:val="000000"/>
              </w:rPr>
              <w:t>1-2 mins</w:t>
            </w:r>
          </w:p>
        </w:tc>
      </w:tr>
      <w:tr w:rsidR="009A6A12" w:rsidRPr="00F516FD" w14:paraId="53401706" w14:textId="77777777" w:rsidTr="00CB6D18">
        <w:tc>
          <w:tcPr>
            <w:tcW w:w="1666" w:type="pct"/>
          </w:tcPr>
          <w:p w14:paraId="2BD03960" w14:textId="77777777" w:rsidR="009A6A12" w:rsidRPr="00F516FD" w:rsidRDefault="009A6A12">
            <w:pPr>
              <w:pStyle w:val="TableText"/>
              <w:rPr>
                <w:color w:val="000000"/>
              </w:rPr>
            </w:pPr>
            <w:r w:rsidRPr="00F516FD">
              <w:rPr>
                <w:color w:val="000000"/>
              </w:rPr>
              <w:t>Specimen cut-up time</w:t>
            </w:r>
          </w:p>
        </w:tc>
        <w:tc>
          <w:tcPr>
            <w:tcW w:w="1666" w:type="pct"/>
          </w:tcPr>
          <w:p w14:paraId="6E35F42F" w14:textId="77777777" w:rsidR="009A6A12" w:rsidRPr="00F516FD" w:rsidRDefault="009A6A12">
            <w:pPr>
              <w:pStyle w:val="TableText"/>
              <w:rPr>
                <w:color w:val="000000"/>
              </w:rPr>
            </w:pPr>
            <w:r w:rsidRPr="00F516FD">
              <w:rPr>
                <w:color w:val="000000"/>
              </w:rPr>
              <w:t>10-15 mins</w:t>
            </w:r>
          </w:p>
        </w:tc>
        <w:tc>
          <w:tcPr>
            <w:tcW w:w="1667" w:type="pct"/>
          </w:tcPr>
          <w:p w14:paraId="26E5A6E3" w14:textId="77777777" w:rsidR="009A6A12" w:rsidRPr="00F516FD" w:rsidRDefault="009A6A12">
            <w:pPr>
              <w:pStyle w:val="TableText"/>
              <w:rPr>
                <w:color w:val="000000"/>
              </w:rPr>
            </w:pPr>
            <w:r w:rsidRPr="00F516FD">
              <w:rPr>
                <w:color w:val="000000"/>
              </w:rPr>
              <w:t>1-2 mins</w:t>
            </w:r>
          </w:p>
        </w:tc>
      </w:tr>
      <w:tr w:rsidR="009A6A12" w:rsidRPr="00F516FD" w14:paraId="0FDCEF96" w14:textId="77777777" w:rsidTr="00CB6D18">
        <w:tc>
          <w:tcPr>
            <w:tcW w:w="1666" w:type="pct"/>
          </w:tcPr>
          <w:p w14:paraId="5CC022BC" w14:textId="77777777" w:rsidR="009A6A12" w:rsidRPr="00F516FD" w:rsidRDefault="009A6A12">
            <w:pPr>
              <w:pStyle w:val="TableText"/>
              <w:rPr>
                <w:color w:val="000000"/>
              </w:rPr>
            </w:pPr>
            <w:r w:rsidRPr="00F516FD">
              <w:rPr>
                <w:color w:val="000000"/>
              </w:rPr>
              <w:t>Scientific labour time</w:t>
            </w:r>
          </w:p>
        </w:tc>
        <w:tc>
          <w:tcPr>
            <w:tcW w:w="1666" w:type="pct"/>
          </w:tcPr>
          <w:p w14:paraId="5201732B" w14:textId="77777777" w:rsidR="009A6A12" w:rsidRPr="00F516FD" w:rsidRDefault="009A6A12">
            <w:pPr>
              <w:pStyle w:val="TableText"/>
              <w:rPr>
                <w:color w:val="000000"/>
              </w:rPr>
            </w:pPr>
            <w:r w:rsidRPr="00F516FD">
              <w:t xml:space="preserve">20 minutes </w:t>
            </w:r>
          </w:p>
        </w:tc>
        <w:tc>
          <w:tcPr>
            <w:tcW w:w="1667" w:type="pct"/>
          </w:tcPr>
          <w:p w14:paraId="1CAC0F8A" w14:textId="77777777" w:rsidR="009A6A12" w:rsidRPr="00F516FD" w:rsidRDefault="009A6A12">
            <w:pPr>
              <w:pStyle w:val="TableText"/>
              <w:rPr>
                <w:color w:val="000000"/>
              </w:rPr>
            </w:pPr>
            <w:r w:rsidRPr="00F516FD">
              <w:t xml:space="preserve">4 minutes </w:t>
            </w:r>
          </w:p>
        </w:tc>
      </w:tr>
      <w:tr w:rsidR="009A6A12" w:rsidRPr="00F516FD" w14:paraId="40D782E5" w14:textId="77777777" w:rsidTr="00CB6D18">
        <w:tc>
          <w:tcPr>
            <w:tcW w:w="1666" w:type="pct"/>
          </w:tcPr>
          <w:p w14:paraId="29E007CA" w14:textId="77777777" w:rsidR="009A6A12" w:rsidRPr="00F516FD" w:rsidRDefault="009A6A12">
            <w:pPr>
              <w:pStyle w:val="TableText"/>
              <w:rPr>
                <w:color w:val="000000"/>
              </w:rPr>
            </w:pPr>
            <w:r w:rsidRPr="00F516FD">
              <w:rPr>
                <w:color w:val="000000"/>
              </w:rPr>
              <w:t>Equivalent block labour</w:t>
            </w:r>
          </w:p>
        </w:tc>
        <w:tc>
          <w:tcPr>
            <w:tcW w:w="1666" w:type="pct"/>
          </w:tcPr>
          <w:p w14:paraId="12979000" w14:textId="77777777" w:rsidR="009A6A12" w:rsidRPr="00F516FD" w:rsidRDefault="009A6A12">
            <w:pPr>
              <w:pStyle w:val="TableText"/>
              <w:rPr>
                <w:color w:val="000000"/>
              </w:rPr>
            </w:pPr>
            <w:r w:rsidRPr="00F516FD">
              <w:rPr>
                <w:color w:val="000000"/>
              </w:rPr>
              <w:t>4-5 blocks</w:t>
            </w:r>
          </w:p>
        </w:tc>
        <w:tc>
          <w:tcPr>
            <w:tcW w:w="1667" w:type="pct"/>
          </w:tcPr>
          <w:p w14:paraId="5B7C0BA4" w14:textId="77777777" w:rsidR="009A6A12" w:rsidRPr="00F516FD" w:rsidRDefault="009A6A12">
            <w:pPr>
              <w:pStyle w:val="TableText"/>
              <w:rPr>
                <w:color w:val="000000"/>
              </w:rPr>
            </w:pPr>
            <w:r w:rsidRPr="00F516FD">
              <w:rPr>
                <w:color w:val="000000"/>
              </w:rPr>
              <w:t>1 block</w:t>
            </w:r>
          </w:p>
        </w:tc>
      </w:tr>
    </w:tbl>
    <w:p w14:paraId="26C56FBF" w14:textId="29E3D917" w:rsidR="009A6A12" w:rsidRPr="00F516FD" w:rsidRDefault="009A6A12" w:rsidP="009A6A12">
      <w:pPr>
        <w:pStyle w:val="Tablenotes0"/>
      </w:pPr>
      <w:r w:rsidRPr="00F516FD">
        <w:t xml:space="preserve">Source: Adapted from correspondence from </w:t>
      </w:r>
      <w:r w:rsidR="007F7802" w:rsidRPr="00F516FD">
        <w:t>E</w:t>
      </w:r>
      <w:r w:rsidRPr="00F516FD">
        <w:t xml:space="preserve">xpert </w:t>
      </w:r>
      <w:r w:rsidR="007E09A0" w:rsidRPr="00F516FD">
        <w:t>3</w:t>
      </w:r>
    </w:p>
    <w:p w14:paraId="34E0B08F" w14:textId="1255E179" w:rsidR="00772829" w:rsidRPr="00F516FD" w:rsidRDefault="007D2A04" w:rsidP="002A18BE">
      <w:pPr>
        <w:pStyle w:val="Heading2"/>
        <w:numPr>
          <w:ilvl w:val="0"/>
          <w:numId w:val="0"/>
        </w:numPr>
      </w:pPr>
      <w:bookmarkStart w:id="17" w:name="_Toc164685257"/>
      <w:bookmarkStart w:id="18" w:name="_Toc171508493"/>
      <w:r w:rsidRPr="00F516FD">
        <w:t>7</w:t>
      </w:r>
      <w:r w:rsidR="00C36633" w:rsidRPr="00F516FD">
        <w:t>.</w:t>
      </w:r>
      <w:r w:rsidR="00C36633" w:rsidRPr="00F516FD">
        <w:tab/>
      </w:r>
      <w:r w:rsidR="00772829" w:rsidRPr="00F516FD">
        <w:t>Population</w:t>
      </w:r>
      <w:bookmarkEnd w:id="17"/>
      <w:bookmarkEnd w:id="18"/>
    </w:p>
    <w:p w14:paraId="29158B56" w14:textId="250C1C67" w:rsidR="00FA1C6B" w:rsidRPr="00F516FD" w:rsidRDefault="00FA1C6B" w:rsidP="00FA1C6B">
      <w:r w:rsidRPr="00F516FD">
        <w:t xml:space="preserve">Three populations are proposed and align with the </w:t>
      </w:r>
      <w:r w:rsidR="0084623B" w:rsidRPr="00F516FD">
        <w:t xml:space="preserve">applicant’s </w:t>
      </w:r>
      <w:r w:rsidR="00DB6B4B" w:rsidRPr="00F516FD">
        <w:t>advice</w:t>
      </w:r>
      <w:r w:rsidRPr="00F516FD">
        <w:t>:</w:t>
      </w:r>
    </w:p>
    <w:p w14:paraId="3A8F2946" w14:textId="0D900E22" w:rsidR="00FA1C6B" w:rsidRPr="00F516FD" w:rsidRDefault="21CBCE12" w:rsidP="00FA1C6B">
      <w:pPr>
        <w:pStyle w:val="ListParagraph"/>
        <w:numPr>
          <w:ilvl w:val="0"/>
          <w:numId w:val="11"/>
        </w:numPr>
      </w:pPr>
      <w:r w:rsidRPr="00F516FD">
        <w:t>Stillbirth of a baby delivered at or after 20 weeks’ gestation</w:t>
      </w:r>
      <w:r w:rsidR="002D1130" w:rsidRPr="00F516FD">
        <w:t xml:space="preserve"> </w:t>
      </w:r>
      <w:r w:rsidR="00926F6E" w:rsidRPr="00F516FD">
        <w:t>or</w:t>
      </w:r>
      <w:r w:rsidR="009434FA" w:rsidRPr="00F516FD">
        <w:t xml:space="preserve"> </w:t>
      </w:r>
      <w:r w:rsidR="00926F6E" w:rsidRPr="00F516FD">
        <w:t>a</w:t>
      </w:r>
      <w:r w:rsidR="0013707F" w:rsidRPr="00F516FD">
        <w:t xml:space="preserve"> very early neonatal death</w:t>
      </w:r>
      <w:r w:rsidR="00644226" w:rsidRPr="00F516FD">
        <w:t xml:space="preserve"> occurring within 24 </w:t>
      </w:r>
      <w:proofErr w:type="gramStart"/>
      <w:r w:rsidR="00644226" w:rsidRPr="00F516FD">
        <w:t>hours</w:t>
      </w:r>
      <w:proofErr w:type="gramEnd"/>
    </w:p>
    <w:p w14:paraId="212F43C4" w14:textId="5561F649" w:rsidR="00FA1C6B" w:rsidRPr="00F516FD" w:rsidRDefault="00FA1C6B" w:rsidP="00FA1C6B">
      <w:pPr>
        <w:pStyle w:val="ListParagraph"/>
        <w:numPr>
          <w:ilvl w:val="0"/>
          <w:numId w:val="11"/>
        </w:numPr>
      </w:pPr>
      <w:r w:rsidRPr="00F516FD">
        <w:rPr>
          <w:rStyle w:val="cf01"/>
          <w:rFonts w:ascii="Franklin Gothic Book" w:hAnsi="Franklin Gothic Book" w:cstheme="minorBidi"/>
          <w:sz w:val="22"/>
          <w:szCs w:val="22"/>
        </w:rPr>
        <w:t xml:space="preserve">Second trimester pregnancy </w:t>
      </w:r>
      <w:r w:rsidR="00683417" w:rsidRPr="00F516FD">
        <w:rPr>
          <w:rStyle w:val="cf01"/>
          <w:rFonts w:ascii="Franklin Gothic Book" w:hAnsi="Franklin Gothic Book" w:cstheme="minorBidi"/>
          <w:sz w:val="22"/>
          <w:szCs w:val="22"/>
        </w:rPr>
        <w:t xml:space="preserve">occurring </w:t>
      </w:r>
      <w:r w:rsidR="00BE331E" w:rsidRPr="00F516FD">
        <w:rPr>
          <w:rStyle w:val="cf01"/>
          <w:rFonts w:ascii="Franklin Gothic Book" w:hAnsi="Franklin Gothic Book" w:cstheme="minorBidi"/>
          <w:sz w:val="22"/>
          <w:szCs w:val="22"/>
        </w:rPr>
        <w:t xml:space="preserve">at </w:t>
      </w:r>
      <w:r w:rsidRPr="00F516FD">
        <w:rPr>
          <w:rStyle w:val="cf01"/>
          <w:rFonts w:ascii="Franklin Gothic Book" w:hAnsi="Franklin Gothic Book" w:cstheme="minorBidi"/>
          <w:sz w:val="22"/>
          <w:szCs w:val="22"/>
        </w:rPr>
        <w:t>greater than 12 weeks</w:t>
      </w:r>
      <w:r w:rsidR="00BE331E" w:rsidRPr="00F516FD">
        <w:rPr>
          <w:rStyle w:val="cf01"/>
          <w:rFonts w:ascii="Franklin Gothic Book" w:hAnsi="Franklin Gothic Book" w:cstheme="minorBidi"/>
          <w:sz w:val="22"/>
          <w:szCs w:val="22"/>
        </w:rPr>
        <w:t xml:space="preserve"> and</w:t>
      </w:r>
      <w:r w:rsidRPr="00F516FD">
        <w:rPr>
          <w:rStyle w:val="cf01"/>
          <w:rFonts w:ascii="Franklin Gothic Book" w:hAnsi="Franklin Gothic Book" w:cstheme="minorBidi"/>
          <w:sz w:val="22"/>
          <w:szCs w:val="22"/>
        </w:rPr>
        <w:t xml:space="preserve"> delivered before 20 weeks’ gestation (excluding dilatation and curettage </w:t>
      </w:r>
      <w:r w:rsidR="006D03F9" w:rsidRPr="00F516FD">
        <w:rPr>
          <w:rStyle w:val="cf01"/>
          <w:rFonts w:ascii="Franklin Gothic Book" w:hAnsi="Franklin Gothic Book" w:cstheme="minorBidi"/>
          <w:sz w:val="22"/>
          <w:szCs w:val="22"/>
        </w:rPr>
        <w:t xml:space="preserve">[D&amp;C] </w:t>
      </w:r>
      <w:r w:rsidRPr="00F516FD">
        <w:rPr>
          <w:rStyle w:val="cf01"/>
          <w:rFonts w:ascii="Franklin Gothic Book" w:hAnsi="Franklin Gothic Book" w:cstheme="minorBidi"/>
          <w:sz w:val="22"/>
          <w:szCs w:val="22"/>
        </w:rPr>
        <w:t xml:space="preserve">samples) </w:t>
      </w:r>
    </w:p>
    <w:p w14:paraId="2D4767CF" w14:textId="76C4DC3D" w:rsidR="00FA1C6B" w:rsidRPr="00F516FD" w:rsidRDefault="00FA1C6B" w:rsidP="00FA1C6B">
      <w:pPr>
        <w:pStyle w:val="ListParagraph"/>
        <w:numPr>
          <w:ilvl w:val="0"/>
          <w:numId w:val="11"/>
        </w:numPr>
      </w:pPr>
      <w:r w:rsidRPr="00F516FD">
        <w:t xml:space="preserve">Live birth </w:t>
      </w:r>
      <w:r w:rsidRPr="00F516FD">
        <w:rPr>
          <w:rStyle w:val="cf01"/>
          <w:rFonts w:ascii="Franklin Gothic Book" w:hAnsi="Franklin Gothic Book" w:cstheme="minorBidi"/>
          <w:sz w:val="22"/>
          <w:szCs w:val="22"/>
        </w:rPr>
        <w:t xml:space="preserve">at any gestation </w:t>
      </w:r>
      <w:r w:rsidR="00090E26" w:rsidRPr="00F516FD">
        <w:rPr>
          <w:rStyle w:val="cf01"/>
          <w:rFonts w:ascii="Franklin Gothic Book" w:hAnsi="Franklin Gothic Book" w:cstheme="minorBidi"/>
          <w:sz w:val="22"/>
          <w:szCs w:val="22"/>
        </w:rPr>
        <w:t>(</w:t>
      </w:r>
      <w:r w:rsidR="00090E26" w:rsidRPr="00F516FD">
        <w:rPr>
          <w:rStyle w:val="cf01"/>
          <w:rFonts w:ascii="Franklin Gothic Book" w:hAnsi="Franklin Gothic Book" w:cstheme="minorBidi"/>
          <w:i/>
          <w:iCs/>
          <w:sz w:val="22"/>
          <w:szCs w:val="22"/>
        </w:rPr>
        <w:t>note: this excludes very early neonatal death</w:t>
      </w:r>
      <w:r w:rsidR="00CE4465" w:rsidRPr="00F516FD">
        <w:rPr>
          <w:rStyle w:val="cf01"/>
          <w:rFonts w:ascii="Franklin Gothic Book" w:hAnsi="Franklin Gothic Book" w:cstheme="minorBidi"/>
          <w:i/>
          <w:iCs/>
          <w:sz w:val="22"/>
          <w:szCs w:val="22"/>
        </w:rPr>
        <w:t xml:space="preserve"> </w:t>
      </w:r>
      <w:r w:rsidR="00A72AFF" w:rsidRPr="00F516FD">
        <w:rPr>
          <w:rStyle w:val="cf01"/>
          <w:rFonts w:ascii="Franklin Gothic Book" w:hAnsi="Franklin Gothic Book" w:cstheme="minorBidi"/>
          <w:i/>
          <w:iCs/>
          <w:sz w:val="22"/>
          <w:szCs w:val="22"/>
        </w:rPr>
        <w:t>as captured in Population 1)</w:t>
      </w:r>
    </w:p>
    <w:p w14:paraId="4AA865E4" w14:textId="11E61B18" w:rsidR="001640EC" w:rsidRPr="00F516FD" w:rsidRDefault="001640EC" w:rsidP="00875B7E">
      <w:r w:rsidRPr="00F516FD">
        <w:t xml:space="preserve">Perinatal death in Australia </w:t>
      </w:r>
      <w:r w:rsidR="00DF5AFA" w:rsidRPr="00F516FD">
        <w:t>is defined as</w:t>
      </w:r>
      <w:r w:rsidR="00BC2FA3" w:rsidRPr="00F516FD">
        <w:t xml:space="preserve"> (and encompasses both)</w:t>
      </w:r>
      <w:r w:rsidR="00DF5AFA" w:rsidRPr="00F516FD">
        <w:t>:</w:t>
      </w:r>
    </w:p>
    <w:p w14:paraId="67CDD140" w14:textId="7C6D3E17" w:rsidR="00DF5AFA" w:rsidRPr="00F516FD" w:rsidRDefault="00DF5AFA" w:rsidP="008426CE">
      <w:pPr>
        <w:pStyle w:val="ListParagraph"/>
        <w:numPr>
          <w:ilvl w:val="0"/>
          <w:numId w:val="13"/>
        </w:numPr>
      </w:pPr>
      <w:r w:rsidRPr="00F516FD">
        <w:t>Stillbirth</w:t>
      </w:r>
      <w:r w:rsidR="00F671A9" w:rsidRPr="00F516FD">
        <w:t xml:space="preserve"> (</w:t>
      </w:r>
      <w:proofErr w:type="spellStart"/>
      <w:r w:rsidR="00F671A9" w:rsidRPr="00F516FD">
        <w:t>fetal</w:t>
      </w:r>
      <w:proofErr w:type="spellEnd"/>
      <w:r w:rsidR="00F671A9" w:rsidRPr="00F516FD">
        <w:t xml:space="preserve"> death)</w:t>
      </w:r>
      <w:r w:rsidRPr="00F516FD">
        <w:t>:</w:t>
      </w:r>
      <w:r w:rsidRPr="00F516FD">
        <w:rPr>
          <w:b/>
          <w:bCs/>
        </w:rPr>
        <w:t xml:space="preserve"> </w:t>
      </w:r>
      <w:r w:rsidR="00E10CB0" w:rsidRPr="00F516FD">
        <w:t xml:space="preserve">birth following the death of an unborn baby of 20 or more completed weeks of gestation or of 400 g or more birthweight. </w:t>
      </w:r>
    </w:p>
    <w:p w14:paraId="5791D066" w14:textId="7942196D" w:rsidR="00533F96" w:rsidRPr="00F516FD" w:rsidRDefault="000A6999" w:rsidP="00B84FF9">
      <w:pPr>
        <w:pStyle w:val="ListParagraph"/>
        <w:numPr>
          <w:ilvl w:val="0"/>
          <w:numId w:val="13"/>
        </w:numPr>
      </w:pPr>
      <w:r w:rsidRPr="00F516FD">
        <w:t xml:space="preserve">Neonatal death: </w:t>
      </w:r>
      <w:r w:rsidR="00527950" w:rsidRPr="00F516FD">
        <w:t>a live born baby who dies within 28 days of life (regardless of gestation or weight at birth</w:t>
      </w:r>
      <w:r w:rsidR="00B75291" w:rsidRPr="00F516FD">
        <w:t>)</w:t>
      </w:r>
      <w:bookmarkStart w:id="19" w:name="_Ref170841079"/>
      <w:r w:rsidR="00F85CCC" w:rsidRPr="00F516FD">
        <w:rPr>
          <w:rStyle w:val="FootnoteReference"/>
        </w:rPr>
        <w:footnoteReference w:id="5"/>
      </w:r>
      <w:bookmarkEnd w:id="19"/>
      <w:r w:rsidR="00B75291" w:rsidRPr="00F516FD">
        <w:t>.</w:t>
      </w:r>
      <w:r w:rsidR="00766F00" w:rsidRPr="00F516FD">
        <w:t xml:space="preserve"> </w:t>
      </w:r>
      <w:r w:rsidR="00A76573" w:rsidRPr="00F516FD">
        <w:t>Neonatal deaths are</w:t>
      </w:r>
      <w:r w:rsidR="00766F00" w:rsidRPr="00F516FD">
        <w:t xml:space="preserve"> further subdivided </w:t>
      </w:r>
      <w:r w:rsidR="00524B76" w:rsidRPr="00F516FD">
        <w:t xml:space="preserve">by the World Health Organization (WHO) </w:t>
      </w:r>
      <w:r w:rsidR="00766F00" w:rsidRPr="00F516FD">
        <w:t>into</w:t>
      </w:r>
      <w:r w:rsidR="00533F96" w:rsidRPr="00F516FD">
        <w:t>:</w:t>
      </w:r>
      <w:r w:rsidR="000C542E" w:rsidRPr="00F516FD">
        <w:t xml:space="preserve"> </w:t>
      </w:r>
    </w:p>
    <w:p w14:paraId="133281D7" w14:textId="77777777" w:rsidR="00533F96" w:rsidRPr="00F516FD" w:rsidRDefault="000C542E" w:rsidP="00533F96">
      <w:pPr>
        <w:pStyle w:val="ListParagraph"/>
        <w:numPr>
          <w:ilvl w:val="1"/>
          <w:numId w:val="13"/>
        </w:numPr>
      </w:pPr>
      <w:r w:rsidRPr="00F516FD">
        <w:t>(</w:t>
      </w:r>
      <w:proofErr w:type="spellStart"/>
      <w:r w:rsidRPr="00F516FD">
        <w:t>i</w:t>
      </w:r>
      <w:proofErr w:type="spellEnd"/>
      <w:r w:rsidRPr="00F516FD">
        <w:t>) very early neonatal death (0</w:t>
      </w:r>
      <w:r w:rsidR="0083247B" w:rsidRPr="00F516FD">
        <w:t xml:space="preserve"> to &lt;</w:t>
      </w:r>
      <w:r w:rsidRPr="00F516FD">
        <w:t>24 hours</w:t>
      </w:r>
      <w:proofErr w:type="gramStart"/>
      <w:r w:rsidRPr="00F516FD">
        <w:t>)</w:t>
      </w:r>
      <w:r w:rsidR="0083247B" w:rsidRPr="00F516FD">
        <w:t>;</w:t>
      </w:r>
      <w:proofErr w:type="gramEnd"/>
      <w:r w:rsidR="0083247B" w:rsidRPr="00F516FD">
        <w:t xml:space="preserve"> </w:t>
      </w:r>
    </w:p>
    <w:p w14:paraId="5C77F17E" w14:textId="77D661CE" w:rsidR="00533F96" w:rsidRPr="00F516FD" w:rsidRDefault="0083247B" w:rsidP="00533F96">
      <w:pPr>
        <w:pStyle w:val="ListParagraph"/>
        <w:numPr>
          <w:ilvl w:val="1"/>
          <w:numId w:val="13"/>
        </w:numPr>
      </w:pPr>
      <w:r w:rsidRPr="00F516FD">
        <w:t xml:space="preserve">(ii) early neonatal death (&gt;24 hours to &lt;7 days); and </w:t>
      </w:r>
    </w:p>
    <w:p w14:paraId="6EE7C7C9" w14:textId="1135EAA8" w:rsidR="000A6999" w:rsidRPr="00F516FD" w:rsidRDefault="0083247B" w:rsidP="00FA5DCA">
      <w:pPr>
        <w:pStyle w:val="ListParagraph"/>
        <w:numPr>
          <w:ilvl w:val="1"/>
          <w:numId w:val="13"/>
        </w:numPr>
      </w:pPr>
      <w:r w:rsidRPr="00F516FD">
        <w:t xml:space="preserve">(iii) late neonatal deaths (&gt;7 days </w:t>
      </w:r>
      <w:r w:rsidR="00374AEC" w:rsidRPr="00F516FD">
        <w:t>to &lt;28 days)</w:t>
      </w:r>
      <w:r w:rsidR="00374AEC" w:rsidRPr="00F516FD">
        <w:rPr>
          <w:rStyle w:val="FootnoteReference"/>
        </w:rPr>
        <w:footnoteReference w:id="6"/>
      </w:r>
      <w:r w:rsidR="00374AEC" w:rsidRPr="00F516FD">
        <w:t xml:space="preserve">. </w:t>
      </w:r>
    </w:p>
    <w:p w14:paraId="42D0020A" w14:textId="208FFFF2" w:rsidR="00CB482E" w:rsidRPr="00F516FD" w:rsidRDefault="6133BC1D" w:rsidP="00CB482E">
      <w:r w:rsidRPr="00F516FD">
        <w:t xml:space="preserve">Australian law defines a </w:t>
      </w:r>
      <w:proofErr w:type="spellStart"/>
      <w:r w:rsidRPr="00F516FD">
        <w:t>fetal</w:t>
      </w:r>
      <w:proofErr w:type="spellEnd"/>
      <w:r w:rsidRPr="00F516FD">
        <w:t xml:space="preserve"> death as a pregnancy loss from 20 weeks</w:t>
      </w:r>
      <w:r w:rsidR="74F95E74" w:rsidRPr="00F516FD">
        <w:t>’</w:t>
      </w:r>
      <w:r w:rsidRPr="00F516FD">
        <w:t xml:space="preserve"> gestational age (when the perinatal period commences) until delivery. </w:t>
      </w:r>
      <w:r w:rsidRPr="00F516FD">
        <w:rPr>
          <w:lang w:val="en-US"/>
        </w:rPr>
        <w:t xml:space="preserve">All deliveries </w:t>
      </w:r>
      <w:r w:rsidR="66ABF2E8" w:rsidRPr="00F516FD">
        <w:rPr>
          <w:lang w:val="en-US"/>
        </w:rPr>
        <w:t xml:space="preserve">at or </w:t>
      </w:r>
      <w:r w:rsidRPr="00F516FD">
        <w:rPr>
          <w:lang w:val="en-US"/>
        </w:rPr>
        <w:t>after 20 weeks</w:t>
      </w:r>
      <w:r w:rsidR="71F286D8" w:rsidRPr="00F516FD">
        <w:rPr>
          <w:lang w:val="en-US"/>
        </w:rPr>
        <w:t>’</w:t>
      </w:r>
      <w:r w:rsidRPr="00F516FD">
        <w:rPr>
          <w:lang w:val="en-US"/>
        </w:rPr>
        <w:t xml:space="preserve"> gestation, including stillborn babies, are registered as births in Australia. Pregnancy losses prior to 20</w:t>
      </w:r>
      <w:r w:rsidR="00DD3794" w:rsidRPr="00F516FD">
        <w:rPr>
          <w:lang w:val="en-US"/>
        </w:rPr>
        <w:t> </w:t>
      </w:r>
      <w:r w:rsidRPr="00F516FD">
        <w:rPr>
          <w:lang w:val="en-US"/>
        </w:rPr>
        <w:t>weeks</w:t>
      </w:r>
      <w:r w:rsidR="48CB9FFC" w:rsidRPr="00F516FD">
        <w:rPr>
          <w:lang w:val="en-US"/>
        </w:rPr>
        <w:t>’</w:t>
      </w:r>
      <w:r w:rsidRPr="00F516FD">
        <w:rPr>
          <w:lang w:val="en-US"/>
        </w:rPr>
        <w:t xml:space="preserve"> gestation usually cannot be registered</w:t>
      </w:r>
      <w:r w:rsidR="7EEB467C" w:rsidRPr="00F516FD">
        <w:rPr>
          <w:lang w:val="en-US"/>
        </w:rPr>
        <w:t xml:space="preserve">, though this </w:t>
      </w:r>
      <w:r w:rsidR="5D5B85AD" w:rsidRPr="00F516FD">
        <w:rPr>
          <w:lang w:val="en-US"/>
        </w:rPr>
        <w:t xml:space="preserve">is dependent </w:t>
      </w:r>
      <w:r w:rsidRPr="00F516FD">
        <w:rPr>
          <w:lang w:val="en-US"/>
        </w:rPr>
        <w:t>on the state or territory jurisdiction involved.</w:t>
      </w:r>
      <w:r w:rsidR="0056BFC7" w:rsidRPr="00F516FD">
        <w:rPr>
          <w:lang w:val="en-US"/>
        </w:rPr>
        <w:t xml:space="preserve"> </w:t>
      </w:r>
      <w:r w:rsidRPr="00F516FD">
        <w:t>Pregnancy loss prior to 20 weeks is termed a miscarriage</w:t>
      </w:r>
      <w:r w:rsidR="3FA3B730" w:rsidRPr="00F516FD">
        <w:t>;</w:t>
      </w:r>
      <w:r w:rsidRPr="00F516FD">
        <w:t xml:space="preserve"> a loss between 12 to &lt;20 weeks</w:t>
      </w:r>
      <w:r w:rsidR="69AAD2AA" w:rsidRPr="00F516FD">
        <w:t>’</w:t>
      </w:r>
      <w:r w:rsidRPr="00F516FD">
        <w:t xml:space="preserve"> gestation is a late miscarriage. </w:t>
      </w:r>
    </w:p>
    <w:p w14:paraId="75187624" w14:textId="40C15256" w:rsidR="001273AE" w:rsidRPr="00F516FD" w:rsidRDefault="0021441E" w:rsidP="00CC0692">
      <w:r w:rsidRPr="00F516FD">
        <w:lastRenderedPageBreak/>
        <w:t>Criteria for placental examination are documented in Australian clinical practice guidelines</w:t>
      </w:r>
      <w:r w:rsidR="001B5C1B" w:rsidRPr="00F516FD">
        <w:rPr>
          <w:vertAlign w:val="superscript"/>
        </w:rPr>
        <w:fldChar w:fldCharType="begin"/>
      </w:r>
      <w:r w:rsidR="001B5C1B" w:rsidRPr="00F516FD">
        <w:rPr>
          <w:vertAlign w:val="superscript"/>
        </w:rPr>
        <w:instrText xml:space="preserve"> NOTEREF _Ref170841079 \h  \* MERGEFORMAT </w:instrText>
      </w:r>
      <w:r w:rsidR="001B5C1B" w:rsidRPr="00F516FD">
        <w:rPr>
          <w:vertAlign w:val="superscript"/>
        </w:rPr>
      </w:r>
      <w:r w:rsidR="001B5C1B" w:rsidRPr="00F516FD">
        <w:rPr>
          <w:vertAlign w:val="superscript"/>
        </w:rPr>
        <w:fldChar w:fldCharType="separate"/>
      </w:r>
      <w:r w:rsidR="002A4535" w:rsidRPr="00F516FD">
        <w:rPr>
          <w:vertAlign w:val="superscript"/>
        </w:rPr>
        <w:t>4</w:t>
      </w:r>
      <w:r w:rsidR="001B5C1B" w:rsidRPr="00F516FD">
        <w:rPr>
          <w:vertAlign w:val="superscript"/>
        </w:rPr>
        <w:fldChar w:fldCharType="end"/>
      </w:r>
      <w:r w:rsidR="004734C8" w:rsidRPr="00F516FD">
        <w:rPr>
          <w:vertAlign w:val="superscript"/>
        </w:rPr>
        <w:t>,</w:t>
      </w:r>
      <w:r w:rsidRPr="00F516FD">
        <w:rPr>
          <w:rStyle w:val="FootnoteReference"/>
        </w:rPr>
        <w:footnoteReference w:id="7"/>
      </w:r>
      <w:r w:rsidR="004734C8" w:rsidRPr="00F516FD">
        <w:rPr>
          <w:vertAlign w:val="superscript"/>
        </w:rPr>
        <w:t>,</w:t>
      </w:r>
      <w:r w:rsidR="005C31E4" w:rsidRPr="00F516FD">
        <w:rPr>
          <w:rStyle w:val="FootnoteReference"/>
        </w:rPr>
        <w:footnoteReference w:id="8"/>
      </w:r>
      <w:r w:rsidR="004734C8" w:rsidRPr="00F516FD">
        <w:rPr>
          <w:vertAlign w:val="superscript"/>
        </w:rPr>
        <w:t>,</w:t>
      </w:r>
      <w:r w:rsidR="005B368F" w:rsidRPr="00F516FD">
        <w:rPr>
          <w:rStyle w:val="FootnoteReference"/>
        </w:rPr>
        <w:footnoteReference w:id="9"/>
      </w:r>
      <w:r w:rsidR="0070754F" w:rsidRPr="00F516FD">
        <w:t>. The crit</w:t>
      </w:r>
      <w:r w:rsidR="006D34B7" w:rsidRPr="00F516FD">
        <w:t xml:space="preserve">eria specified by </w:t>
      </w:r>
      <w:r w:rsidR="00815C2B" w:rsidRPr="00F516FD">
        <w:t>the Perinatal Society of Australia and New Zealand (</w:t>
      </w:r>
      <w:r w:rsidR="006D34B7" w:rsidRPr="00F516FD">
        <w:t>PSANZ</w:t>
      </w:r>
      <w:r w:rsidR="00815C2B" w:rsidRPr="00F516FD">
        <w:t>)</w:t>
      </w:r>
      <w:r w:rsidR="006D34B7" w:rsidRPr="00F516FD">
        <w:t xml:space="preserve"> </w:t>
      </w:r>
      <w:r w:rsidRPr="00F516FD">
        <w:t>a</w:t>
      </w:r>
      <w:r w:rsidR="006D34B7" w:rsidRPr="00F516FD">
        <w:t>re listed</w:t>
      </w:r>
      <w:r w:rsidRPr="00F516FD">
        <w:t xml:space="preserve"> in </w:t>
      </w:r>
      <w:r w:rsidR="006A01BF" w:rsidRPr="00F516FD">
        <w:fldChar w:fldCharType="begin"/>
      </w:r>
      <w:r w:rsidR="006A01BF" w:rsidRPr="00F516FD">
        <w:instrText xml:space="preserve"> REF _Ref167115332 \h </w:instrText>
      </w:r>
      <w:r w:rsidR="00F516FD">
        <w:instrText xml:space="preserve"> \* MERGEFORMAT </w:instrText>
      </w:r>
      <w:r w:rsidR="006A01BF" w:rsidRPr="00F516FD">
        <w:fldChar w:fldCharType="separate"/>
      </w:r>
      <w:r w:rsidR="002A4535" w:rsidRPr="00F516FD">
        <w:t>Table </w:t>
      </w:r>
      <w:r w:rsidR="002A4535" w:rsidRPr="00F516FD">
        <w:rPr>
          <w:noProof/>
        </w:rPr>
        <w:t>6</w:t>
      </w:r>
      <w:r w:rsidR="006A01BF" w:rsidRPr="00F516FD">
        <w:fldChar w:fldCharType="end"/>
      </w:r>
      <w:r w:rsidRPr="00F516FD">
        <w:t xml:space="preserve">. </w:t>
      </w:r>
      <w:r w:rsidR="00815C2B" w:rsidRPr="00F516FD">
        <w:t>There is s</w:t>
      </w:r>
      <w:r w:rsidR="00F0383B" w:rsidRPr="00F516FD">
        <w:t>ome inconsistency between guidelines</w:t>
      </w:r>
      <w:r w:rsidR="00877EAD" w:rsidRPr="00F516FD">
        <w:t>;</w:t>
      </w:r>
      <w:r w:rsidR="00F0383B" w:rsidRPr="00F516FD">
        <w:t xml:space="preserve"> for example, </w:t>
      </w:r>
      <w:r w:rsidR="00CD3A8A" w:rsidRPr="00F516FD">
        <w:t xml:space="preserve">South Australian Perinatal Practice Guidelines </w:t>
      </w:r>
      <w:r w:rsidR="00F07391" w:rsidRPr="00F516FD">
        <w:t xml:space="preserve">(2019) </w:t>
      </w:r>
      <w:r w:rsidR="00CD3A8A" w:rsidRPr="00F516FD">
        <w:t>appear to have broader criteria including</w:t>
      </w:r>
      <w:r w:rsidR="00475C61" w:rsidRPr="00F516FD">
        <w:t>:</w:t>
      </w:r>
    </w:p>
    <w:p w14:paraId="5583F7B8" w14:textId="25E769B6" w:rsidR="00475C61" w:rsidRPr="00F516FD" w:rsidRDefault="0026691B" w:rsidP="008426CE">
      <w:pPr>
        <w:pStyle w:val="ListParagraph"/>
        <w:numPr>
          <w:ilvl w:val="0"/>
          <w:numId w:val="15"/>
        </w:numPr>
      </w:pPr>
      <w:r w:rsidRPr="00F516FD">
        <w:t>p</w:t>
      </w:r>
      <w:r w:rsidR="00475C61" w:rsidRPr="00F516FD">
        <w:t>oor obstetric history</w:t>
      </w:r>
    </w:p>
    <w:p w14:paraId="2D5D48F7" w14:textId="63DBB571" w:rsidR="00475C61" w:rsidRPr="00F516FD" w:rsidRDefault="0026691B" w:rsidP="008426CE">
      <w:pPr>
        <w:pStyle w:val="ListParagraph"/>
        <w:numPr>
          <w:ilvl w:val="0"/>
          <w:numId w:val="15"/>
        </w:numPr>
      </w:pPr>
      <w:r w:rsidRPr="00F516FD">
        <w:t>h</w:t>
      </w:r>
      <w:r w:rsidR="00E52D3A" w:rsidRPr="00F516FD">
        <w:t>istory of &gt;2 miscarriages</w:t>
      </w:r>
    </w:p>
    <w:p w14:paraId="6277A6D0" w14:textId="6C547B85" w:rsidR="00E52D3A" w:rsidRPr="00F516FD" w:rsidRDefault="0026691B" w:rsidP="008426CE">
      <w:pPr>
        <w:pStyle w:val="ListParagraph"/>
        <w:numPr>
          <w:ilvl w:val="0"/>
          <w:numId w:val="15"/>
        </w:numPr>
      </w:pPr>
      <w:r w:rsidRPr="00F516FD">
        <w:t>d</w:t>
      </w:r>
      <w:r w:rsidR="00227D4E" w:rsidRPr="00F516FD">
        <w:t xml:space="preserve">rug or alcohol </w:t>
      </w:r>
      <w:proofErr w:type="gramStart"/>
      <w:r w:rsidR="00227D4E" w:rsidRPr="00F516FD">
        <w:t>misuse</w:t>
      </w:r>
      <w:proofErr w:type="gramEnd"/>
    </w:p>
    <w:p w14:paraId="6725AE04" w14:textId="587EEC96" w:rsidR="00692ED6" w:rsidRPr="00F516FD" w:rsidRDefault="0026691B" w:rsidP="008426CE">
      <w:pPr>
        <w:pStyle w:val="ListParagraph"/>
        <w:numPr>
          <w:ilvl w:val="0"/>
          <w:numId w:val="15"/>
        </w:numPr>
      </w:pPr>
      <w:r w:rsidRPr="00F516FD">
        <w:t>m</w:t>
      </w:r>
      <w:r w:rsidR="00692ED6" w:rsidRPr="00F516FD">
        <w:t>econium-stained liquor</w:t>
      </w:r>
      <w:r w:rsidR="00990909" w:rsidRPr="00F516FD">
        <w:t>.</w:t>
      </w:r>
    </w:p>
    <w:p w14:paraId="2912AC0D" w14:textId="64EBD38C" w:rsidR="00C30648" w:rsidRPr="00F516FD" w:rsidRDefault="00C30648" w:rsidP="00C30648">
      <w:r w:rsidRPr="00F516FD">
        <w:t xml:space="preserve">This may lead to </w:t>
      </w:r>
      <w:r w:rsidR="00D719AD" w:rsidRPr="00F516FD">
        <w:t>inconsistent</w:t>
      </w:r>
      <w:r w:rsidRPr="00F516FD">
        <w:t xml:space="preserve"> rates of referral to pathology </w:t>
      </w:r>
      <w:r w:rsidR="00D719AD" w:rsidRPr="00F516FD">
        <w:t>between</w:t>
      </w:r>
      <w:r w:rsidR="00C45EAF" w:rsidRPr="00F516FD">
        <w:t xml:space="preserve"> </w:t>
      </w:r>
      <w:r w:rsidR="00D719AD" w:rsidRPr="00F516FD">
        <w:t>settings or jurisdictions.</w:t>
      </w:r>
    </w:p>
    <w:p w14:paraId="1B932979" w14:textId="78CD7D1F" w:rsidR="008234C6" w:rsidRPr="00F516FD" w:rsidRDefault="001273AE" w:rsidP="00CC0692">
      <w:r w:rsidRPr="00F516FD">
        <w:t xml:space="preserve">The 2024 PSANZ guideline notes that placental examination by a perinatal pathologist is one of the most cost-effective tests for stillbirth investigation that can provide causal and prognostic information. The guideline states that pathological placental changes have been reported in 23% to 96% of stillbirths. </w:t>
      </w:r>
      <w:r w:rsidR="00DF0244" w:rsidRPr="00F516FD">
        <w:t xml:space="preserve">Therefore, histopathology of the placenta and umbilical cord is </w:t>
      </w:r>
      <w:r w:rsidR="00533439" w:rsidRPr="00F516FD">
        <w:t>recommended for all perinatal deaths.</w:t>
      </w:r>
      <w:r w:rsidR="00B301F5" w:rsidRPr="00F516FD">
        <w:t xml:space="preserve"> Guidelines frequently recommend that placentas are retained </w:t>
      </w:r>
      <w:r w:rsidR="000D51AE" w:rsidRPr="00F516FD">
        <w:t xml:space="preserve">for a few days after birth </w:t>
      </w:r>
      <w:r w:rsidR="00281C76" w:rsidRPr="00F516FD">
        <w:t xml:space="preserve">to enable examination should the baby’s condition deteriorate. </w:t>
      </w:r>
    </w:p>
    <w:p w14:paraId="096FDCF7" w14:textId="5154C49E" w:rsidR="00493AE1" w:rsidRPr="00F516FD" w:rsidRDefault="00493AE1" w:rsidP="008F5545">
      <w:pPr>
        <w:pStyle w:val="Caption"/>
        <w:keepLines/>
        <w:spacing w:before="120"/>
        <w:rPr>
          <w:rFonts w:cs="Arial"/>
        </w:rPr>
      </w:pPr>
      <w:bookmarkStart w:id="20" w:name="_Ref167115332"/>
      <w:r w:rsidRPr="00F516FD">
        <w:lastRenderedPageBreak/>
        <w:t>Table </w:t>
      </w:r>
      <w:r w:rsidRPr="00F516FD">
        <w:fldChar w:fldCharType="begin"/>
      </w:r>
      <w:r w:rsidRPr="00F516FD">
        <w:instrText>SEQ Table \* ARABIC</w:instrText>
      </w:r>
      <w:r w:rsidRPr="00F516FD">
        <w:fldChar w:fldCharType="separate"/>
      </w:r>
      <w:r w:rsidR="002A4535" w:rsidRPr="00F516FD">
        <w:rPr>
          <w:noProof/>
        </w:rPr>
        <w:t>6</w:t>
      </w:r>
      <w:r w:rsidRPr="00F516FD">
        <w:fldChar w:fldCharType="end"/>
      </w:r>
      <w:bookmarkEnd w:id="20"/>
      <w:r w:rsidRPr="00F516FD">
        <w:rPr>
          <w:rFonts w:cs="Arial"/>
        </w:rPr>
        <w:tab/>
      </w:r>
      <w:r w:rsidR="00834673" w:rsidRPr="00F516FD">
        <w:rPr>
          <w:rFonts w:cs="Arial"/>
        </w:rPr>
        <w:t>Indications for placental examination by a pathologist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5. Indications for placental examination by a pathologist"/>
        <w:tblDescription w:val="Indications for placental examination by a pathologist are shown grouped into Maternal indications; Fetal and neonatal indications; Placental indications."/>
      </w:tblPr>
      <w:tblGrid>
        <w:gridCol w:w="2972"/>
        <w:gridCol w:w="6044"/>
      </w:tblGrid>
      <w:tr w:rsidR="0008130E" w:rsidRPr="00F516FD" w14:paraId="49880459" w14:textId="77777777" w:rsidTr="004B33BC">
        <w:trPr>
          <w:trHeight w:val="351"/>
          <w:tblHeader/>
        </w:trPr>
        <w:tc>
          <w:tcPr>
            <w:tcW w:w="1648" w:type="pct"/>
            <w:tcBorders>
              <w:top w:val="single" w:sz="4" w:space="0" w:color="000000"/>
              <w:left w:val="single" w:sz="4" w:space="0" w:color="000000"/>
              <w:bottom w:val="single" w:sz="4" w:space="0" w:color="000000"/>
              <w:right w:val="single" w:sz="4" w:space="0" w:color="000000"/>
            </w:tcBorders>
          </w:tcPr>
          <w:p w14:paraId="177C2CC8" w14:textId="7CC9D06A" w:rsidR="00493AE1" w:rsidRPr="00F516FD" w:rsidRDefault="001243D5" w:rsidP="008F5545">
            <w:pPr>
              <w:pStyle w:val="TableHeading0"/>
              <w:keepNext/>
              <w:keepLines/>
              <w:spacing w:before="40" w:after="40"/>
            </w:pPr>
            <w:r w:rsidRPr="00F516FD">
              <w:t>G</w:t>
            </w:r>
            <w:r w:rsidR="00C42635" w:rsidRPr="00F516FD">
              <w:t>roup</w:t>
            </w:r>
          </w:p>
        </w:tc>
        <w:tc>
          <w:tcPr>
            <w:tcW w:w="3352" w:type="pct"/>
            <w:tcBorders>
              <w:top w:val="single" w:sz="4" w:space="0" w:color="000000"/>
              <w:left w:val="single" w:sz="4" w:space="0" w:color="000000"/>
              <w:bottom w:val="single" w:sz="4" w:space="0" w:color="000000"/>
              <w:right w:val="single" w:sz="4" w:space="0" w:color="000000"/>
            </w:tcBorders>
          </w:tcPr>
          <w:p w14:paraId="11CEA37D" w14:textId="5C727C81" w:rsidR="00493AE1" w:rsidRPr="00F516FD" w:rsidRDefault="00E11F8E" w:rsidP="008F5545">
            <w:pPr>
              <w:pStyle w:val="TableHeading0"/>
              <w:keepNext/>
              <w:keepLines/>
              <w:spacing w:before="40" w:after="40"/>
            </w:pPr>
            <w:r w:rsidRPr="00F516FD">
              <w:t>Indications</w:t>
            </w:r>
            <w:r w:rsidR="00897FAC" w:rsidRPr="00F516FD">
              <w:t xml:space="preserve"> </w:t>
            </w:r>
            <w:r w:rsidR="00532B0B" w:rsidRPr="00F516FD">
              <w:t>for placental examination</w:t>
            </w:r>
          </w:p>
        </w:tc>
      </w:tr>
      <w:tr w:rsidR="00D82130" w:rsidRPr="00F516FD" w14:paraId="1AB4A738" w14:textId="77777777" w:rsidTr="007D7490">
        <w:tc>
          <w:tcPr>
            <w:tcW w:w="1648" w:type="pct"/>
            <w:tcBorders>
              <w:top w:val="single" w:sz="4" w:space="0" w:color="000000"/>
              <w:left w:val="single" w:sz="4" w:space="0" w:color="000000"/>
              <w:bottom w:val="single" w:sz="4" w:space="0" w:color="000000"/>
              <w:right w:val="single" w:sz="4" w:space="0" w:color="000000"/>
            </w:tcBorders>
          </w:tcPr>
          <w:p w14:paraId="4B510947" w14:textId="074C2B01" w:rsidR="00D82130" w:rsidRPr="00F516FD" w:rsidRDefault="00D82130" w:rsidP="008F5545">
            <w:pPr>
              <w:pStyle w:val="TableText"/>
              <w:keepNext/>
              <w:keepLines/>
              <w:rPr>
                <w:b/>
              </w:rPr>
            </w:pPr>
            <w:r w:rsidRPr="00F516FD">
              <w:rPr>
                <w:b/>
              </w:rPr>
              <w:t>Maternal indications:</w:t>
            </w:r>
          </w:p>
        </w:tc>
        <w:tc>
          <w:tcPr>
            <w:tcW w:w="3352" w:type="pct"/>
            <w:tcBorders>
              <w:top w:val="single" w:sz="4" w:space="0" w:color="000000"/>
              <w:left w:val="single" w:sz="4" w:space="0" w:color="000000"/>
              <w:bottom w:val="single" w:sz="4" w:space="0" w:color="000000"/>
              <w:right w:val="single" w:sz="4" w:space="0" w:color="000000"/>
            </w:tcBorders>
          </w:tcPr>
          <w:p w14:paraId="7EDDB6A4" w14:textId="2F5C8D76" w:rsidR="00D82130" w:rsidRPr="00F516FD" w:rsidRDefault="00D82130" w:rsidP="008F5545">
            <w:pPr>
              <w:pStyle w:val="TableText"/>
              <w:keepNext/>
              <w:keepLines/>
            </w:pPr>
            <w:r w:rsidRPr="00F516FD">
              <w:t xml:space="preserve">Systemic disorders such as an active autoimmune disease, uncontrolled diabetes, or other significant maternal disease that has affected the pregnancy </w:t>
            </w:r>
            <w:r w:rsidRPr="00F516FD">
              <w:br/>
              <w:t xml:space="preserve">Moderate or severe pre-eclampsia </w:t>
            </w:r>
            <w:r w:rsidRPr="00F516FD">
              <w:br/>
              <w:t xml:space="preserve">Intrapartum fever or infection </w:t>
            </w:r>
            <w:r w:rsidRPr="00F516FD">
              <w:br/>
              <w:t xml:space="preserve">Suspected chorioamnionitis </w:t>
            </w:r>
            <w:r w:rsidRPr="00F516FD">
              <w:br/>
              <w:t xml:space="preserve">Unexplained bleeding in the third trimester </w:t>
            </w:r>
            <w:r w:rsidRPr="00F516FD">
              <w:br/>
              <w:t>Excessive bleeding (more than 500</w:t>
            </w:r>
            <w:r w:rsidR="00E73D02" w:rsidRPr="00F516FD">
              <w:t xml:space="preserve"> </w:t>
            </w:r>
            <w:r w:rsidRPr="00F516FD">
              <w:t xml:space="preserve">mL) </w:t>
            </w:r>
            <w:r w:rsidRPr="00F516FD">
              <w:br/>
              <w:t xml:space="preserve">Placental abruption </w:t>
            </w:r>
            <w:r w:rsidRPr="00F516FD">
              <w:br/>
              <w:t xml:space="preserve">Severe maternal trauma </w:t>
            </w:r>
            <w:r w:rsidRPr="00F516FD">
              <w:br/>
              <w:t>Amniotic Fluid Index abnormalities</w:t>
            </w:r>
          </w:p>
        </w:tc>
      </w:tr>
      <w:tr w:rsidR="008F203D" w:rsidRPr="00F516FD" w14:paraId="5F0D55C0" w14:textId="77777777" w:rsidTr="004B33BC">
        <w:tc>
          <w:tcPr>
            <w:tcW w:w="1648" w:type="pct"/>
            <w:tcBorders>
              <w:top w:val="nil"/>
              <w:left w:val="single" w:sz="4" w:space="0" w:color="000000"/>
              <w:bottom w:val="nil"/>
              <w:right w:val="single" w:sz="4" w:space="0" w:color="000000"/>
            </w:tcBorders>
          </w:tcPr>
          <w:p w14:paraId="6E6FED34" w14:textId="79603132" w:rsidR="00493AE1" w:rsidRPr="00F516FD" w:rsidRDefault="00532B0B" w:rsidP="008F5545">
            <w:pPr>
              <w:pStyle w:val="TableText"/>
              <w:keepNext/>
              <w:keepLines/>
              <w:rPr>
                <w:b/>
              </w:rPr>
            </w:pPr>
            <w:proofErr w:type="spellStart"/>
            <w:r w:rsidRPr="00F516FD">
              <w:rPr>
                <w:b/>
              </w:rPr>
              <w:t>F</w:t>
            </w:r>
            <w:r w:rsidR="008E0691" w:rsidRPr="00F516FD">
              <w:rPr>
                <w:b/>
              </w:rPr>
              <w:t>etal</w:t>
            </w:r>
            <w:proofErr w:type="spellEnd"/>
            <w:r w:rsidR="008E0691" w:rsidRPr="00F516FD">
              <w:rPr>
                <w:b/>
              </w:rPr>
              <w:t xml:space="preserve"> </w:t>
            </w:r>
            <w:r w:rsidRPr="00F516FD">
              <w:rPr>
                <w:b/>
              </w:rPr>
              <w:t xml:space="preserve">and neonatal </w:t>
            </w:r>
            <w:r w:rsidR="008E0691" w:rsidRPr="00F516FD">
              <w:rPr>
                <w:b/>
              </w:rPr>
              <w:t>indications:</w:t>
            </w:r>
          </w:p>
        </w:tc>
        <w:tc>
          <w:tcPr>
            <w:tcW w:w="3352" w:type="pct"/>
            <w:tcBorders>
              <w:top w:val="nil"/>
              <w:left w:val="single" w:sz="4" w:space="0" w:color="000000"/>
              <w:bottom w:val="nil"/>
              <w:right w:val="single" w:sz="4" w:space="0" w:color="000000"/>
            </w:tcBorders>
          </w:tcPr>
          <w:p w14:paraId="56EBD09C" w14:textId="26C778A0" w:rsidR="00493AE1" w:rsidRPr="00F516FD" w:rsidRDefault="008E0691" w:rsidP="008F5545">
            <w:pPr>
              <w:pStyle w:val="TableText"/>
              <w:keepNext/>
              <w:keepLines/>
            </w:pPr>
            <w:r w:rsidRPr="00F516FD">
              <w:t xml:space="preserve">Admission to neonatal intensive care </w:t>
            </w:r>
            <w:r w:rsidR="009025C6" w:rsidRPr="00F516FD">
              <w:br/>
            </w:r>
            <w:r w:rsidRPr="00F516FD">
              <w:t>Failure to respond to resuscitation</w:t>
            </w:r>
            <w:r w:rsidRPr="00F516FD">
              <w:br/>
              <w:t xml:space="preserve">Spontaneous or iatrogenic preterm birth </w:t>
            </w:r>
            <w:r w:rsidRPr="00F516FD">
              <w:br/>
            </w:r>
            <w:proofErr w:type="spellStart"/>
            <w:r w:rsidRPr="00F516FD">
              <w:t>Fetal</w:t>
            </w:r>
            <w:proofErr w:type="spellEnd"/>
            <w:r w:rsidRPr="00F516FD">
              <w:t xml:space="preserve"> compromise including growth restriction </w:t>
            </w:r>
            <w:r w:rsidRPr="00F516FD">
              <w:br/>
              <w:t xml:space="preserve">Severe cardiorespiratory depression at birth </w:t>
            </w:r>
            <w:r w:rsidRPr="00F516FD">
              <w:br/>
              <w:t xml:space="preserve">Signs consistent with congenital infection </w:t>
            </w:r>
            <w:r w:rsidRPr="00F516FD">
              <w:br/>
              <w:t xml:space="preserve">Severe growth restriction </w:t>
            </w:r>
            <w:r w:rsidRPr="00F516FD">
              <w:br/>
              <w:t xml:space="preserve">Diagnosis of hydrops fetalis </w:t>
            </w:r>
            <w:r w:rsidRPr="00F516FD">
              <w:br/>
              <w:t xml:space="preserve">Suspected severe anaemia </w:t>
            </w:r>
            <w:r w:rsidRPr="00F516FD">
              <w:br/>
              <w:t>Suspected or known major congenital abnormalities</w:t>
            </w:r>
            <w:r w:rsidR="009025C6" w:rsidRPr="00F516FD">
              <w:br/>
            </w:r>
            <w:r w:rsidRPr="00F516FD">
              <w:t>Death</w:t>
            </w:r>
          </w:p>
        </w:tc>
      </w:tr>
      <w:tr w:rsidR="007056DD" w:rsidRPr="00F516FD" w14:paraId="56DC078F" w14:textId="77777777" w:rsidTr="004B33BC">
        <w:tc>
          <w:tcPr>
            <w:tcW w:w="1648" w:type="pct"/>
            <w:tcBorders>
              <w:top w:val="single" w:sz="4" w:space="0" w:color="000000"/>
              <w:left w:val="single" w:sz="4" w:space="0" w:color="000000"/>
              <w:bottom w:val="single" w:sz="4" w:space="0" w:color="000000"/>
              <w:right w:val="single" w:sz="4" w:space="0" w:color="000000"/>
            </w:tcBorders>
          </w:tcPr>
          <w:p w14:paraId="69D66B85" w14:textId="7C01FFAD" w:rsidR="00493AE1" w:rsidRPr="00F516FD" w:rsidRDefault="00532B0B" w:rsidP="008F5545">
            <w:pPr>
              <w:pStyle w:val="TableText"/>
              <w:keepNext/>
              <w:keepLines/>
              <w:rPr>
                <w:b/>
              </w:rPr>
            </w:pPr>
            <w:r w:rsidRPr="00F516FD">
              <w:rPr>
                <w:b/>
              </w:rPr>
              <w:t>P</w:t>
            </w:r>
            <w:r w:rsidR="009025C6" w:rsidRPr="00F516FD">
              <w:rPr>
                <w:b/>
              </w:rPr>
              <w:t xml:space="preserve">lacental </w:t>
            </w:r>
            <w:r w:rsidRPr="00F516FD">
              <w:rPr>
                <w:b/>
              </w:rPr>
              <w:t>indications</w:t>
            </w:r>
            <w:r w:rsidR="009025C6" w:rsidRPr="00F516FD">
              <w:rPr>
                <w:b/>
              </w:rPr>
              <w:t>:</w:t>
            </w:r>
          </w:p>
        </w:tc>
        <w:tc>
          <w:tcPr>
            <w:tcW w:w="3352" w:type="pct"/>
            <w:tcBorders>
              <w:top w:val="single" w:sz="4" w:space="0" w:color="000000"/>
              <w:left w:val="single" w:sz="4" w:space="0" w:color="000000"/>
              <w:bottom w:val="single" w:sz="4" w:space="0" w:color="000000"/>
              <w:right w:val="single" w:sz="4" w:space="0" w:color="000000"/>
            </w:tcBorders>
          </w:tcPr>
          <w:p w14:paraId="61E7C101" w14:textId="1C7E77FE" w:rsidR="00493AE1" w:rsidRPr="00F516FD" w:rsidRDefault="00041C11" w:rsidP="008F5545">
            <w:pPr>
              <w:pStyle w:val="TableText"/>
              <w:keepNext/>
              <w:keepLines/>
            </w:pPr>
            <w:r w:rsidRPr="00F516FD">
              <w:t xml:space="preserve">Physical abnormality </w:t>
            </w:r>
            <w:r w:rsidRPr="00F516FD">
              <w:br/>
              <w:t xml:space="preserve">Abnormal placental size or weight for gestational age (small or large) </w:t>
            </w:r>
            <w:r w:rsidRPr="00F516FD">
              <w:br/>
              <w:t xml:space="preserve">Suspected vasa praevia </w:t>
            </w:r>
            <w:r w:rsidRPr="00F516FD">
              <w:br/>
              <w:t xml:space="preserve">Umbilical cord lesions </w:t>
            </w:r>
            <w:r w:rsidRPr="00F516FD">
              <w:br/>
              <w:t>Abnormal cord length</w:t>
            </w:r>
          </w:p>
        </w:tc>
      </w:tr>
    </w:tbl>
    <w:p w14:paraId="3E0871A0" w14:textId="09C48892" w:rsidR="00493AE1" w:rsidRPr="00F516FD" w:rsidRDefault="00493AE1" w:rsidP="008F5545">
      <w:pPr>
        <w:pStyle w:val="Tablenotes0"/>
        <w:keepNext/>
        <w:keepLines/>
        <w:contextualSpacing w:val="0"/>
      </w:pPr>
      <w:r w:rsidRPr="00F516FD">
        <w:t xml:space="preserve">Source: </w:t>
      </w:r>
      <w:r w:rsidR="000728BF" w:rsidRPr="00F516FD">
        <w:rPr>
          <w:lang w:val="en-US"/>
        </w:rPr>
        <w:t xml:space="preserve">Centre of Research Excellence in Stillbirth &amp; Perinatal Society of Australia and New Zealand (PSANZ) (2024). Care Around Stillbirth and Neonatal Death Clinical Practice Guideline. Available at: </w:t>
      </w:r>
      <w:hyperlink r:id="rId18" w:tooltip="Link to website for Centre of Research Excellence in Stillbirth &amp; Perinatal Society of Australia and New Zealand" w:history="1">
        <w:r w:rsidR="000728BF" w:rsidRPr="00F516FD">
          <w:rPr>
            <w:rStyle w:val="Hyperlink"/>
            <w:lang w:val="en-US"/>
          </w:rPr>
          <w:t>https://learn.stillbirthcre.org.au/</w:t>
        </w:r>
      </w:hyperlink>
      <w:r w:rsidRPr="00F516FD">
        <w:t xml:space="preserve"> </w:t>
      </w:r>
    </w:p>
    <w:p w14:paraId="355C1387" w14:textId="78095A03" w:rsidR="00C834A7" w:rsidRPr="00F516FD" w:rsidRDefault="00C834A7" w:rsidP="004C3628">
      <w:r w:rsidRPr="00F516FD">
        <w:t>The proposed change to complexity level (and fee) of placental histopathology is not expected to impact the clinical pathway</w:t>
      </w:r>
      <w:r w:rsidR="00855BBF" w:rsidRPr="00F516FD">
        <w:t>.</w:t>
      </w:r>
      <w:r w:rsidRPr="00F516FD">
        <w:t xml:space="preserve"> </w:t>
      </w:r>
      <w:r w:rsidR="00855BBF" w:rsidRPr="00F516FD">
        <w:t>T</w:t>
      </w:r>
      <w:r w:rsidR="00C42DFA" w:rsidRPr="00F516FD">
        <w:t>he clinical indications for the service remain the same</w:t>
      </w:r>
      <w:r w:rsidRPr="00F516FD">
        <w:t xml:space="preserve"> </w:t>
      </w:r>
      <w:r w:rsidR="000860C7" w:rsidRPr="00F516FD">
        <w:t xml:space="preserve">and no downstream impacts are anticipated. </w:t>
      </w:r>
    </w:p>
    <w:p w14:paraId="73D016B4" w14:textId="115CD658" w:rsidR="00BE59F9" w:rsidRPr="00F516FD" w:rsidRDefault="00BE59F9" w:rsidP="004C3628">
      <w:r w:rsidRPr="00F516FD">
        <w:t xml:space="preserve">RCPA Best Practice Guidelines </w:t>
      </w:r>
      <w:r w:rsidR="00581240" w:rsidRPr="00F516FD">
        <w:t xml:space="preserve">(2023) </w:t>
      </w:r>
      <w:r w:rsidRPr="00F516FD">
        <w:t>state that no lower or upper limit on gestational age</w:t>
      </w:r>
      <w:r w:rsidR="0008214B" w:rsidRPr="00F516FD">
        <w:t>, or gestational birthweight,</w:t>
      </w:r>
      <w:r w:rsidRPr="00F516FD">
        <w:t xml:space="preserve"> should be applied</w:t>
      </w:r>
      <w:r w:rsidR="0008214B" w:rsidRPr="00F516FD">
        <w:t xml:space="preserve"> to </w:t>
      </w:r>
      <w:r w:rsidR="00794D9E" w:rsidRPr="00F516FD">
        <w:t>perinatal</w:t>
      </w:r>
      <w:r w:rsidR="0008214B" w:rsidRPr="00F516FD">
        <w:t xml:space="preserve"> </w:t>
      </w:r>
      <w:r w:rsidR="005D310C" w:rsidRPr="00F516FD">
        <w:t>investigations. This is consistent with the PCC recommendations</w:t>
      </w:r>
      <w:r w:rsidR="0097172B" w:rsidRPr="00F516FD">
        <w:t>,</w:t>
      </w:r>
      <w:r w:rsidR="005D310C" w:rsidRPr="00F516FD">
        <w:t xml:space="preserve"> </w:t>
      </w:r>
      <w:r w:rsidR="00D6052A" w:rsidRPr="00F516FD">
        <w:t xml:space="preserve">although </w:t>
      </w:r>
      <w:r w:rsidR="00321FE4" w:rsidRPr="00F516FD">
        <w:t xml:space="preserve">does not align with the proposed complexity descriptors. </w:t>
      </w:r>
    </w:p>
    <w:p w14:paraId="66BDFCC1" w14:textId="35D26E7A" w:rsidR="00772829" w:rsidRPr="00F516FD" w:rsidRDefault="007D2A04" w:rsidP="002A18BE">
      <w:pPr>
        <w:pStyle w:val="Heading2"/>
        <w:numPr>
          <w:ilvl w:val="0"/>
          <w:numId w:val="0"/>
        </w:numPr>
      </w:pPr>
      <w:bookmarkStart w:id="21" w:name="_Toc164685258"/>
      <w:bookmarkStart w:id="22" w:name="_Toc171508494"/>
      <w:r w:rsidRPr="00F516FD">
        <w:t>8</w:t>
      </w:r>
      <w:r w:rsidR="00C36633" w:rsidRPr="00F516FD">
        <w:t>.</w:t>
      </w:r>
      <w:r w:rsidR="00C36633" w:rsidRPr="00F516FD">
        <w:tab/>
      </w:r>
      <w:r w:rsidR="00772829" w:rsidRPr="00F516FD">
        <w:t>Comparator</w:t>
      </w:r>
      <w:bookmarkEnd w:id="21"/>
      <w:bookmarkEnd w:id="22"/>
    </w:p>
    <w:p w14:paraId="2DF149F3" w14:textId="285D9804" w:rsidR="007F1EE3" w:rsidRPr="00F516FD" w:rsidRDefault="007F1EE3" w:rsidP="007F1EE3">
      <w:r w:rsidRPr="00F516FD">
        <w:t xml:space="preserve">A formal PICO </w:t>
      </w:r>
      <w:r w:rsidR="00D6052A" w:rsidRPr="00F516FD">
        <w:t>w</w:t>
      </w:r>
      <w:r w:rsidRPr="00F516FD">
        <w:t>as not defined for this assessment, but the comparator was assumed to be the existing, unchanged</w:t>
      </w:r>
      <w:r w:rsidR="00F60946" w:rsidRPr="00F516FD">
        <w:t xml:space="preserve"> MBS</w:t>
      </w:r>
      <w:r w:rsidRPr="00F516FD">
        <w:t xml:space="preserve"> items for histopathology (</w:t>
      </w:r>
      <w:r w:rsidR="00195629" w:rsidRPr="00F516FD">
        <w:t>with</w:t>
      </w:r>
      <w:r w:rsidRPr="00F516FD">
        <w:t xml:space="preserve"> associated item complexity guidance for placenta specimen types). </w:t>
      </w:r>
    </w:p>
    <w:p w14:paraId="41EC4E30" w14:textId="3784F262" w:rsidR="005A4C22" w:rsidRPr="00F516FD" w:rsidRDefault="007C6108" w:rsidP="007F1EE3">
      <w:r w:rsidRPr="00F516FD">
        <w:t>E</w:t>
      </w:r>
      <w:r w:rsidR="005A4C22" w:rsidRPr="00F516FD">
        <w:t xml:space="preserve">xpert 2 noted that </w:t>
      </w:r>
      <w:r w:rsidR="00EC40C6" w:rsidRPr="00F516FD">
        <w:t xml:space="preserve">some specialised pathology laboratories </w:t>
      </w:r>
      <w:r w:rsidR="00AB5D69" w:rsidRPr="00F516FD">
        <w:t>do not perform placental histology because the complexity level (and fee) is considered inadequate for the time and effort involved</w:t>
      </w:r>
      <w:r w:rsidR="00020745" w:rsidRPr="00F516FD">
        <w:t>.</w:t>
      </w:r>
    </w:p>
    <w:p w14:paraId="4439668A" w14:textId="77777777" w:rsidR="007D2A04" w:rsidRPr="00F516FD" w:rsidRDefault="007D2A04" w:rsidP="008F5545">
      <w:pPr>
        <w:pStyle w:val="Heading2"/>
        <w:numPr>
          <w:ilvl w:val="0"/>
          <w:numId w:val="0"/>
        </w:numPr>
      </w:pPr>
      <w:bookmarkStart w:id="23" w:name="_Toc69491421"/>
      <w:r w:rsidRPr="00F516FD">
        <w:lastRenderedPageBreak/>
        <w:t>9.</w:t>
      </w:r>
      <w:r w:rsidRPr="00F516FD">
        <w:tab/>
        <w:t>Summary of public consultation input</w:t>
      </w:r>
      <w:bookmarkEnd w:id="23"/>
    </w:p>
    <w:p w14:paraId="5B55411B" w14:textId="77777777" w:rsidR="007D2A04" w:rsidRPr="00F516FD" w:rsidRDefault="007D2A04" w:rsidP="008F5545">
      <w:pPr>
        <w:keepNext/>
        <w:keepLines/>
        <w:tabs>
          <w:tab w:val="left" w:pos="3686"/>
        </w:tabs>
        <w:spacing w:line="256" w:lineRule="auto"/>
      </w:pPr>
      <w:r w:rsidRPr="00F516FD">
        <w:t xml:space="preserve">Consultation input was welcomed from three (3) professional organisations. </w:t>
      </w:r>
    </w:p>
    <w:p w14:paraId="70AF81D2" w14:textId="77777777" w:rsidR="007D2A04" w:rsidRPr="00F516FD" w:rsidRDefault="007D2A04" w:rsidP="008F5545">
      <w:pPr>
        <w:keepNext/>
        <w:keepLines/>
        <w:tabs>
          <w:tab w:val="left" w:pos="3686"/>
        </w:tabs>
        <w:spacing w:line="256" w:lineRule="auto"/>
      </w:pPr>
      <w:r w:rsidRPr="00F516FD">
        <w:t xml:space="preserve">The organisations who submitted input were: </w:t>
      </w:r>
    </w:p>
    <w:p w14:paraId="18144D67" w14:textId="77777777" w:rsidR="007D2A04" w:rsidRPr="00F516FD" w:rsidRDefault="007D2A04" w:rsidP="008F5545">
      <w:pPr>
        <w:pStyle w:val="ListParagraph"/>
        <w:keepNext/>
        <w:keepLines/>
        <w:numPr>
          <w:ilvl w:val="0"/>
          <w:numId w:val="22"/>
        </w:numPr>
        <w:tabs>
          <w:tab w:val="left" w:pos="3686"/>
        </w:tabs>
        <w:spacing w:line="256" w:lineRule="auto"/>
      </w:pPr>
      <w:r w:rsidRPr="00F516FD">
        <w:t>Australian Pathology (AP)</w:t>
      </w:r>
    </w:p>
    <w:p w14:paraId="5DEA227C" w14:textId="77777777" w:rsidR="007D2A04" w:rsidRPr="00F516FD" w:rsidRDefault="007D2A04" w:rsidP="008F5545">
      <w:pPr>
        <w:pStyle w:val="ListParagraph"/>
        <w:keepNext/>
        <w:keepLines/>
        <w:numPr>
          <w:ilvl w:val="0"/>
          <w:numId w:val="22"/>
        </w:numPr>
        <w:tabs>
          <w:tab w:val="left" w:pos="3686"/>
        </w:tabs>
        <w:spacing w:line="256" w:lineRule="auto"/>
      </w:pPr>
      <w:r w:rsidRPr="00F516FD">
        <w:t xml:space="preserve">Public Pathology Australia (PPA) </w:t>
      </w:r>
    </w:p>
    <w:p w14:paraId="7A39E67B" w14:textId="77777777" w:rsidR="007D2A04" w:rsidRPr="00F516FD" w:rsidRDefault="007D2A04" w:rsidP="008F5545">
      <w:pPr>
        <w:pStyle w:val="ListParagraph"/>
        <w:keepNext/>
        <w:keepLines/>
        <w:numPr>
          <w:ilvl w:val="0"/>
          <w:numId w:val="22"/>
        </w:numPr>
        <w:tabs>
          <w:tab w:val="left" w:pos="3686"/>
        </w:tabs>
        <w:spacing w:line="256" w:lineRule="auto"/>
      </w:pPr>
      <w:r w:rsidRPr="00F516FD">
        <w:t>The Royal Australian and New Zealand College of Obstetricians and Gynaecologists (RANZCOG)</w:t>
      </w:r>
    </w:p>
    <w:p w14:paraId="1A4BEB0E" w14:textId="77777777" w:rsidR="007D2A04" w:rsidRPr="00F516FD" w:rsidRDefault="007D2A04" w:rsidP="007D2A04">
      <w:pPr>
        <w:tabs>
          <w:tab w:val="left" w:pos="3686"/>
        </w:tabs>
        <w:spacing w:line="256" w:lineRule="auto"/>
      </w:pPr>
      <w:r w:rsidRPr="00F516FD">
        <w:t xml:space="preserve">The consultation feedback received was mostly supportive of the application. </w:t>
      </w:r>
    </w:p>
    <w:p w14:paraId="6D8540FD" w14:textId="77777777" w:rsidR="007D2A04" w:rsidRPr="00F516FD" w:rsidRDefault="007D2A04" w:rsidP="007D2A04">
      <w:pPr>
        <w:rPr>
          <w:b/>
          <w:bCs/>
        </w:rPr>
      </w:pPr>
      <w:r w:rsidRPr="00F516FD">
        <w:rPr>
          <w:b/>
          <w:bCs/>
        </w:rPr>
        <w:t xml:space="preserve">Benefits </w:t>
      </w:r>
    </w:p>
    <w:p w14:paraId="2C1B2000" w14:textId="77777777" w:rsidR="007D2A04" w:rsidRPr="00F516FD" w:rsidRDefault="007D2A04" w:rsidP="007D2A04">
      <w:pPr>
        <w:pStyle w:val="ListParagraph"/>
        <w:numPr>
          <w:ilvl w:val="0"/>
          <w:numId w:val="22"/>
        </w:numPr>
        <w:spacing w:before="0"/>
      </w:pPr>
      <w:r w:rsidRPr="00F516FD">
        <w:t>Families would benefit from understanding the cause of their child’s death, and treating clinicians would be better able to counsel patients.</w:t>
      </w:r>
    </w:p>
    <w:p w14:paraId="27A75DAB" w14:textId="77777777" w:rsidR="007D2A04" w:rsidRPr="00F516FD" w:rsidRDefault="007D2A04" w:rsidP="007D2A04">
      <w:pPr>
        <w:pStyle w:val="ListParagraph"/>
        <w:numPr>
          <w:ilvl w:val="0"/>
          <w:numId w:val="22"/>
        </w:numPr>
        <w:spacing w:before="0"/>
      </w:pPr>
      <w:r w:rsidRPr="00F516FD">
        <w:t>Clinicians could advise of any consequential health interventions that may be associated with the child’s cause of death, and this information could assist in informed reproductive choices and future pregnancy management.</w:t>
      </w:r>
    </w:p>
    <w:p w14:paraId="5AC12F67" w14:textId="77777777" w:rsidR="007D2A04" w:rsidRPr="00F516FD" w:rsidRDefault="007D2A04" w:rsidP="007D2A04">
      <w:pPr>
        <w:pStyle w:val="ListParagraph"/>
        <w:numPr>
          <w:ilvl w:val="0"/>
          <w:numId w:val="22"/>
        </w:numPr>
        <w:spacing w:before="0"/>
      </w:pPr>
      <w:r w:rsidRPr="00F516FD">
        <w:t>Placental examination is important in routine obstetric care where a wide range of conditions have specific placental manifestations.</w:t>
      </w:r>
    </w:p>
    <w:p w14:paraId="1BC1C890" w14:textId="083EF602" w:rsidR="007D2A04" w:rsidRPr="00F516FD" w:rsidRDefault="007D2A04" w:rsidP="007D2A04">
      <w:pPr>
        <w:pStyle w:val="ListParagraph"/>
        <w:numPr>
          <w:ilvl w:val="0"/>
          <w:numId w:val="22"/>
        </w:numPr>
        <w:spacing w:before="0"/>
      </w:pPr>
      <w:r w:rsidRPr="00F516FD">
        <w:t xml:space="preserve">Public funding will improve the uptake of perinatal autopsy and placental </w:t>
      </w:r>
      <w:proofErr w:type="gramStart"/>
      <w:r w:rsidRPr="00F516FD">
        <w:t>examination, and</w:t>
      </w:r>
      <w:proofErr w:type="gramEnd"/>
      <w:r w:rsidRPr="00F516FD">
        <w:t xml:space="preserve"> will enable a better understanding of the causes of pregnancy loss and poor perinatal outcomes including prematurity and growth restriction.</w:t>
      </w:r>
    </w:p>
    <w:p w14:paraId="21D1603A" w14:textId="72705D27" w:rsidR="007D2A04" w:rsidRPr="00F516FD" w:rsidRDefault="007D2A04" w:rsidP="007D2A04">
      <w:pPr>
        <w:autoSpaceDE w:val="0"/>
        <w:autoSpaceDN w:val="0"/>
        <w:adjustRightInd w:val="0"/>
        <w:spacing w:line="240" w:lineRule="auto"/>
      </w:pPr>
      <w:r w:rsidRPr="00F516FD">
        <w:t xml:space="preserve">No disadvantages were identified by the Organisations providing consultation Feedback.  </w:t>
      </w:r>
    </w:p>
    <w:p w14:paraId="78656450" w14:textId="77777777" w:rsidR="007D2A04" w:rsidRPr="00F516FD" w:rsidRDefault="007D2A04" w:rsidP="007D2A04">
      <w:pPr>
        <w:rPr>
          <w:b/>
          <w:bCs/>
        </w:rPr>
      </w:pPr>
      <w:r w:rsidRPr="00F516FD">
        <w:rPr>
          <w:b/>
          <w:bCs/>
        </w:rPr>
        <w:t xml:space="preserve">Additional Comments </w:t>
      </w:r>
    </w:p>
    <w:p w14:paraId="26061C97" w14:textId="3EDB6F73" w:rsidR="007D2A04" w:rsidRPr="00F516FD" w:rsidRDefault="007D2A04" w:rsidP="007D2A04">
      <w:pPr>
        <w:autoSpaceDE w:val="0"/>
        <w:autoSpaceDN w:val="0"/>
        <w:adjustRightInd w:val="0"/>
        <w:spacing w:line="240" w:lineRule="auto"/>
      </w:pPr>
      <w:r w:rsidRPr="00F516FD">
        <w:t>In the past, the government maintained a clinical committee which reviewed histological examination complexity levels to ensure they remained aligned with contemporary pathology practice, and feedback from AP is that it should be re-established.</w:t>
      </w:r>
    </w:p>
    <w:p w14:paraId="7807213A" w14:textId="291D2FCB" w:rsidR="007D2A04" w:rsidRPr="00F516FD" w:rsidRDefault="007D2A04" w:rsidP="007D2A04">
      <w:pPr>
        <w:pStyle w:val="Default"/>
        <w:spacing w:after="240"/>
        <w:rPr>
          <w:rFonts w:ascii="Franklin Gothic Book" w:hAnsi="Franklin Gothic Book" w:cstheme="minorBidi"/>
          <w:color w:val="auto"/>
          <w:sz w:val="22"/>
          <w:szCs w:val="22"/>
        </w:rPr>
      </w:pPr>
      <w:r w:rsidRPr="00F516FD">
        <w:rPr>
          <w:rFonts w:ascii="Franklin Gothic Book" w:hAnsi="Franklin Gothic Book" w:cstheme="minorBidi"/>
          <w:color w:val="auto"/>
          <w:sz w:val="22"/>
          <w:szCs w:val="22"/>
        </w:rPr>
        <w:t xml:space="preserve">Feedback from PPA noted that as </w:t>
      </w:r>
      <w:proofErr w:type="gramStart"/>
      <w:r w:rsidRPr="00F516FD">
        <w:rPr>
          <w:rFonts w:ascii="Franklin Gothic Book" w:hAnsi="Franklin Gothic Book" w:cstheme="minorBidi"/>
          <w:color w:val="auto"/>
          <w:sz w:val="22"/>
          <w:szCs w:val="22"/>
        </w:rPr>
        <w:t>the majority of</w:t>
      </w:r>
      <w:proofErr w:type="gramEnd"/>
      <w:r w:rsidRPr="00F516FD">
        <w:rPr>
          <w:rFonts w:ascii="Franklin Gothic Book" w:hAnsi="Franklin Gothic Book" w:cstheme="minorBidi"/>
          <w:color w:val="auto"/>
          <w:sz w:val="22"/>
          <w:szCs w:val="22"/>
        </w:rPr>
        <w:t xml:space="preserve"> cases are referred from the public hospital system, there should be clarity that MBS can be used for all placenta histopathology, including referrals from the public hospital system. </w:t>
      </w:r>
    </w:p>
    <w:p w14:paraId="446C681A" w14:textId="0DFE3705" w:rsidR="007D2A04" w:rsidRPr="00F516FD" w:rsidRDefault="007D2A04" w:rsidP="007D2A04">
      <w:pPr>
        <w:pStyle w:val="Default"/>
        <w:rPr>
          <w:rFonts w:ascii="Franklin Gothic Book" w:hAnsi="Franklin Gothic Book" w:cstheme="minorBidi"/>
          <w:color w:val="auto"/>
          <w:sz w:val="22"/>
          <w:szCs w:val="22"/>
        </w:rPr>
      </w:pPr>
      <w:r w:rsidRPr="00F516FD">
        <w:rPr>
          <w:rFonts w:ascii="Franklin Gothic Book" w:hAnsi="Franklin Gothic Book" w:cstheme="minorBidi"/>
          <w:color w:val="auto"/>
          <w:sz w:val="22"/>
          <w:szCs w:val="22"/>
        </w:rPr>
        <w:t>Other services identified to be delivered alongside the testing include a meeting with the patients’ health care provider to discuss the results, post-test counselling and management of subsequent pregnancies (obstetric services).</w:t>
      </w:r>
    </w:p>
    <w:p w14:paraId="03C7A1F1" w14:textId="4E104055" w:rsidR="00772829" w:rsidRPr="00F516FD" w:rsidRDefault="007D2A04" w:rsidP="002A18BE">
      <w:pPr>
        <w:pStyle w:val="Heading2"/>
        <w:numPr>
          <w:ilvl w:val="0"/>
          <w:numId w:val="0"/>
        </w:numPr>
      </w:pPr>
      <w:bookmarkStart w:id="24" w:name="_Toc164685260"/>
      <w:bookmarkStart w:id="25" w:name="_Toc171508495"/>
      <w:r w:rsidRPr="00F516FD">
        <w:t>10</w:t>
      </w:r>
      <w:r w:rsidR="00C36633" w:rsidRPr="00F516FD">
        <w:t>.</w:t>
      </w:r>
      <w:r w:rsidR="00C36633" w:rsidRPr="00F516FD">
        <w:tab/>
      </w:r>
      <w:r w:rsidR="00772829" w:rsidRPr="00F516FD">
        <w:t>Characteristics of the evidence base</w:t>
      </w:r>
      <w:bookmarkEnd w:id="24"/>
      <w:bookmarkEnd w:id="25"/>
    </w:p>
    <w:p w14:paraId="1A3C47F8" w14:textId="7128E5D4" w:rsidR="00E12CBF" w:rsidRPr="00F516FD" w:rsidRDefault="00FB0084" w:rsidP="00E12CBF">
      <w:r w:rsidRPr="00F516FD">
        <w:t>A systematic evaluation of the evidence base for placental histopathology was not in scope for this fit-for-purpose DCAR</w:t>
      </w:r>
      <w:r w:rsidR="00E12CBF" w:rsidRPr="00F516FD">
        <w:t xml:space="preserve">. </w:t>
      </w:r>
    </w:p>
    <w:p w14:paraId="3B9FC2AD" w14:textId="29C7B44E" w:rsidR="00772829" w:rsidRPr="00F516FD" w:rsidRDefault="007D2A04" w:rsidP="002A18BE">
      <w:pPr>
        <w:pStyle w:val="Heading2"/>
        <w:numPr>
          <w:ilvl w:val="0"/>
          <w:numId w:val="0"/>
        </w:numPr>
      </w:pPr>
      <w:bookmarkStart w:id="26" w:name="_Toc164685261"/>
      <w:bookmarkStart w:id="27" w:name="_Toc171508496"/>
      <w:r w:rsidRPr="00F516FD">
        <w:t>11</w:t>
      </w:r>
      <w:r w:rsidR="00C36633" w:rsidRPr="00F516FD">
        <w:t>.</w:t>
      </w:r>
      <w:r w:rsidR="00C36633" w:rsidRPr="00F516FD">
        <w:tab/>
      </w:r>
      <w:r w:rsidR="00772829" w:rsidRPr="00F516FD">
        <w:t>Comparative safety</w:t>
      </w:r>
      <w:bookmarkEnd w:id="26"/>
      <w:bookmarkEnd w:id="27"/>
    </w:p>
    <w:p w14:paraId="798FAF62" w14:textId="147D81E0" w:rsidR="00E12CBF" w:rsidRPr="00F516FD" w:rsidRDefault="008B1765" w:rsidP="00E12CBF">
      <w:r w:rsidRPr="00F516FD">
        <w:t>An assessment of the comparative safety of placental histopathology was not in scope for this fit-for-purpose DCAR</w:t>
      </w:r>
      <w:r w:rsidR="00E12CBF" w:rsidRPr="00F516FD">
        <w:t xml:space="preserve">. </w:t>
      </w:r>
      <w:r w:rsidR="00832BE1" w:rsidRPr="00F516FD">
        <w:t xml:space="preserve">A change in the designated complexity level (and fee) associated with the service is not expected to impact on safety. </w:t>
      </w:r>
    </w:p>
    <w:p w14:paraId="3717AA01" w14:textId="3EDBB6EC" w:rsidR="00772829" w:rsidRPr="00F516FD" w:rsidRDefault="007D2A04" w:rsidP="002A18BE">
      <w:pPr>
        <w:pStyle w:val="Heading2"/>
        <w:numPr>
          <w:ilvl w:val="0"/>
          <w:numId w:val="0"/>
        </w:numPr>
      </w:pPr>
      <w:bookmarkStart w:id="28" w:name="_Toc164685262"/>
      <w:bookmarkStart w:id="29" w:name="_Toc171508497"/>
      <w:r w:rsidRPr="00F516FD">
        <w:lastRenderedPageBreak/>
        <w:t>12</w:t>
      </w:r>
      <w:r w:rsidR="00C36633" w:rsidRPr="00F516FD">
        <w:t>.</w:t>
      </w:r>
      <w:r w:rsidR="00C36633" w:rsidRPr="00F516FD">
        <w:tab/>
      </w:r>
      <w:r w:rsidR="00772829" w:rsidRPr="00F516FD">
        <w:t>Comparative effectiveness</w:t>
      </w:r>
      <w:bookmarkEnd w:id="28"/>
      <w:bookmarkEnd w:id="29"/>
    </w:p>
    <w:p w14:paraId="273A8A61" w14:textId="1A57EA94" w:rsidR="00E12CBF" w:rsidRPr="00F516FD" w:rsidRDefault="00AC2A83" w:rsidP="00E12CBF">
      <w:r w:rsidRPr="00F516FD">
        <w:t xml:space="preserve">An assessment of the comparative </w:t>
      </w:r>
      <w:r w:rsidR="00A96D23" w:rsidRPr="00F516FD">
        <w:t>effectiveness</w:t>
      </w:r>
      <w:r w:rsidRPr="00F516FD">
        <w:t xml:space="preserve"> of placental histopathology was not in scope for this fit-for-purpose DCAR</w:t>
      </w:r>
      <w:r w:rsidR="00E12CBF" w:rsidRPr="00F516FD">
        <w:t xml:space="preserve">. </w:t>
      </w:r>
      <w:r w:rsidR="00C46305" w:rsidRPr="00F516FD">
        <w:t xml:space="preserve">A change in the designated complexity level (and fee) associated with the service is not expected to impact on effectiveness, unless </w:t>
      </w:r>
      <w:r w:rsidR="00987172" w:rsidRPr="00F516FD">
        <w:t xml:space="preserve">the current </w:t>
      </w:r>
      <w:r w:rsidR="00C46305" w:rsidRPr="00F516FD">
        <w:t xml:space="preserve">reimbursement </w:t>
      </w:r>
      <w:r w:rsidR="00F149DB" w:rsidRPr="00F516FD">
        <w:t xml:space="preserve">(which may be considered inadequate for the time and </w:t>
      </w:r>
      <w:r w:rsidR="005F6652" w:rsidRPr="00F516FD">
        <w:t>effort</w:t>
      </w:r>
      <w:r w:rsidR="00F149DB" w:rsidRPr="00F516FD">
        <w:t xml:space="preserve"> </w:t>
      </w:r>
      <w:r w:rsidR="001D54DA" w:rsidRPr="00F516FD">
        <w:t>involved</w:t>
      </w:r>
      <w:r w:rsidR="00F149DB" w:rsidRPr="00F516FD">
        <w:t xml:space="preserve">) </w:t>
      </w:r>
      <w:r w:rsidR="00C46305" w:rsidRPr="00F516FD">
        <w:t>for the service lowers the quantity or quality of the placental examinations taking place</w:t>
      </w:r>
      <w:r w:rsidR="00655C73" w:rsidRPr="00F516FD">
        <w:t>.</w:t>
      </w:r>
    </w:p>
    <w:p w14:paraId="0D09C9E4" w14:textId="7FCA41E3" w:rsidR="00772829" w:rsidRPr="00F516FD" w:rsidRDefault="00C36633" w:rsidP="002A18BE">
      <w:pPr>
        <w:pStyle w:val="Heading2"/>
        <w:numPr>
          <w:ilvl w:val="0"/>
          <w:numId w:val="0"/>
        </w:numPr>
      </w:pPr>
      <w:bookmarkStart w:id="30" w:name="_Toc164685263"/>
      <w:bookmarkStart w:id="31" w:name="_Toc171508498"/>
      <w:r w:rsidRPr="00F516FD">
        <w:t>1</w:t>
      </w:r>
      <w:r w:rsidR="007D2A04" w:rsidRPr="00F516FD">
        <w:t>3</w:t>
      </w:r>
      <w:r w:rsidRPr="00F516FD">
        <w:t>.</w:t>
      </w:r>
      <w:r w:rsidRPr="00F516FD">
        <w:tab/>
      </w:r>
      <w:r w:rsidR="00772829" w:rsidRPr="00F516FD">
        <w:t>Economic evaluation</w:t>
      </w:r>
      <w:bookmarkEnd w:id="30"/>
      <w:bookmarkEnd w:id="31"/>
    </w:p>
    <w:p w14:paraId="0BDB8083" w14:textId="13E545BA" w:rsidR="00E12CBF" w:rsidRPr="00F516FD" w:rsidRDefault="00D56DCC" w:rsidP="00E12CBF">
      <w:r w:rsidRPr="00F516FD">
        <w:t>An economic evaluation was not undertake</w:t>
      </w:r>
      <w:r w:rsidR="00FD7323" w:rsidRPr="00F516FD">
        <w:t>n</w:t>
      </w:r>
      <w:r w:rsidRPr="00F516FD">
        <w:t xml:space="preserve"> for this fit-for-purpose DCAR</w:t>
      </w:r>
      <w:r w:rsidR="00E12CBF" w:rsidRPr="00F516FD">
        <w:t xml:space="preserve">. </w:t>
      </w:r>
    </w:p>
    <w:p w14:paraId="25AE2BAC" w14:textId="1C0A5564" w:rsidR="00772829" w:rsidRPr="00F516FD" w:rsidRDefault="00C36633" w:rsidP="002A18BE">
      <w:pPr>
        <w:pStyle w:val="Heading2"/>
        <w:numPr>
          <w:ilvl w:val="0"/>
          <w:numId w:val="0"/>
        </w:numPr>
      </w:pPr>
      <w:bookmarkStart w:id="32" w:name="_Toc164685264"/>
      <w:bookmarkStart w:id="33" w:name="_Toc171508499"/>
      <w:r w:rsidRPr="00F516FD">
        <w:t>1</w:t>
      </w:r>
      <w:r w:rsidR="007D2A04" w:rsidRPr="00F516FD">
        <w:t>4</w:t>
      </w:r>
      <w:r w:rsidRPr="00F516FD">
        <w:t>.</w:t>
      </w:r>
      <w:r w:rsidRPr="00F516FD">
        <w:tab/>
      </w:r>
      <w:r w:rsidR="00772829" w:rsidRPr="00F516FD">
        <w:t>Financial/budgetary impacts</w:t>
      </w:r>
      <w:bookmarkEnd w:id="32"/>
      <w:bookmarkEnd w:id="33"/>
    </w:p>
    <w:p w14:paraId="542BFEB2" w14:textId="54C49030" w:rsidR="00987172" w:rsidRPr="00F516FD" w:rsidRDefault="00987172" w:rsidP="00190011">
      <w:r w:rsidRPr="00F516FD">
        <w:t>The MSAC Executive</w:t>
      </w:r>
      <w:r w:rsidR="008A4B4C" w:rsidRPr="00F516FD">
        <w:t xml:space="preserve"> noted that relevant epidemiological data are available</w:t>
      </w:r>
      <w:r w:rsidR="00DE7E28" w:rsidRPr="00F516FD">
        <w:t xml:space="preserve"> </w:t>
      </w:r>
      <w:r w:rsidR="00AB594B" w:rsidRPr="00F516FD">
        <w:t>and requested</w:t>
      </w:r>
      <w:r w:rsidRPr="00F516FD">
        <w:t xml:space="preserve"> this assessment focus on </w:t>
      </w:r>
      <w:r w:rsidR="00C87E50" w:rsidRPr="00F516FD">
        <w:t xml:space="preserve">estimating the financial cost to the MBS, </w:t>
      </w:r>
      <w:r w:rsidR="00BD26AD" w:rsidRPr="00F516FD">
        <w:t xml:space="preserve">also </w:t>
      </w:r>
      <w:r w:rsidR="00C87E50" w:rsidRPr="00F516FD">
        <w:t>including evidence based on real</w:t>
      </w:r>
      <w:r w:rsidR="00BF2D39" w:rsidRPr="00F516FD">
        <w:t>-</w:t>
      </w:r>
      <w:r w:rsidR="00C87E50" w:rsidRPr="00F516FD">
        <w:t>world estimates</w:t>
      </w:r>
      <w:r w:rsidR="00A13803" w:rsidRPr="00F516FD">
        <w:t>.</w:t>
      </w:r>
    </w:p>
    <w:p w14:paraId="40743BC3" w14:textId="66DD92A4" w:rsidR="00C87E50" w:rsidRPr="00F516FD" w:rsidRDefault="000D7593" w:rsidP="00C87E50">
      <w:pPr>
        <w:pStyle w:val="Heading3"/>
      </w:pPr>
      <w:bookmarkStart w:id="34" w:name="_Toc171508500"/>
      <w:r w:rsidRPr="00F516FD">
        <w:t>U</w:t>
      </w:r>
      <w:r w:rsidR="00C87E50" w:rsidRPr="00F516FD">
        <w:t>sing epidemiological data</w:t>
      </w:r>
      <w:bookmarkEnd w:id="34"/>
    </w:p>
    <w:p w14:paraId="62EB56DF" w14:textId="5C605BC2" w:rsidR="00850436" w:rsidRPr="00F516FD" w:rsidRDefault="000A2A11" w:rsidP="00190011">
      <w:r w:rsidRPr="00F516FD">
        <w:t xml:space="preserve">An epidemiological approach </w:t>
      </w:r>
      <w:r w:rsidR="00D55DFA" w:rsidRPr="00F516FD">
        <w:t>wa</w:t>
      </w:r>
      <w:r w:rsidRPr="00F516FD">
        <w:t>s used to estimate the financial impact to the MBS of increasing the complexity level in the PST to level</w:t>
      </w:r>
      <w:r w:rsidR="00DB4D66" w:rsidRPr="00F516FD">
        <w:t>s</w:t>
      </w:r>
      <w:r w:rsidRPr="00F516FD">
        <w:t xml:space="preserve"> 5 or 6 for placental histopathology, depending on gestational age and birth outcome. </w:t>
      </w:r>
      <w:r w:rsidR="008E592B" w:rsidRPr="00F516FD">
        <w:t xml:space="preserve">The financial implications to the MBS </w:t>
      </w:r>
      <w:r w:rsidR="00240D24" w:rsidRPr="00F516FD">
        <w:t xml:space="preserve">of </w:t>
      </w:r>
      <w:r w:rsidR="00CB2011" w:rsidRPr="00F516FD">
        <w:t xml:space="preserve">the </w:t>
      </w:r>
      <w:r w:rsidR="00C623CF" w:rsidRPr="00F516FD">
        <w:t xml:space="preserve">proposed change in complexity level from 4 to 6 </w:t>
      </w:r>
      <w:r w:rsidR="001F1C01" w:rsidRPr="00F516FD">
        <w:t>for Population 1 (</w:t>
      </w:r>
      <w:r w:rsidR="00B33238" w:rsidRPr="00F516FD">
        <w:t xml:space="preserve">stillbirths and </w:t>
      </w:r>
      <w:r w:rsidR="00A72AFF" w:rsidRPr="00F516FD">
        <w:t>very early neonatal death within 24 hours of birth</w:t>
      </w:r>
      <w:r w:rsidR="001F1C01" w:rsidRPr="00F516FD">
        <w:t>)</w:t>
      </w:r>
      <w:r w:rsidR="00240D24" w:rsidRPr="00F516FD">
        <w:t xml:space="preserve"> are summarised in </w:t>
      </w:r>
      <w:r w:rsidR="00240D24" w:rsidRPr="00F516FD">
        <w:fldChar w:fldCharType="begin"/>
      </w:r>
      <w:r w:rsidR="00240D24" w:rsidRPr="00F516FD">
        <w:instrText xml:space="preserve"> REF _Ref167960953 \h </w:instrText>
      </w:r>
      <w:r w:rsidR="00F516FD">
        <w:instrText xml:space="preserve"> \* MERGEFORMAT </w:instrText>
      </w:r>
      <w:r w:rsidR="00240D24" w:rsidRPr="00F516FD">
        <w:fldChar w:fldCharType="separate"/>
      </w:r>
      <w:r w:rsidR="002A4535" w:rsidRPr="00F516FD">
        <w:t xml:space="preserve">Table </w:t>
      </w:r>
      <w:r w:rsidR="002A4535" w:rsidRPr="00F516FD">
        <w:rPr>
          <w:noProof/>
        </w:rPr>
        <w:t>7</w:t>
      </w:r>
      <w:r w:rsidR="00240D24" w:rsidRPr="00F516FD">
        <w:fldChar w:fldCharType="end"/>
      </w:r>
      <w:r w:rsidR="00240D24" w:rsidRPr="00F516FD">
        <w:t>.</w:t>
      </w:r>
      <w:r w:rsidR="001F1C01" w:rsidRPr="00F516FD">
        <w:t xml:space="preserve"> </w:t>
      </w:r>
      <w:r w:rsidR="00240D24" w:rsidRPr="00F516FD">
        <w:t>The financial implications to the MBS of the proposed change in complexity level from 4 to 5 for Population 2 (second trimester losses</w:t>
      </w:r>
      <w:r w:rsidR="008153BF" w:rsidRPr="00F516FD">
        <w:t>)</w:t>
      </w:r>
      <w:r w:rsidR="00240D24" w:rsidRPr="00F516FD">
        <w:t xml:space="preserve"> and </w:t>
      </w:r>
      <w:r w:rsidR="008153BF" w:rsidRPr="00F516FD">
        <w:t>Population 3 (</w:t>
      </w:r>
      <w:r w:rsidR="00240D24" w:rsidRPr="00F516FD">
        <w:t xml:space="preserve">live births) are summarised in </w:t>
      </w:r>
      <w:r w:rsidR="008E592B" w:rsidRPr="00F516FD">
        <w:fldChar w:fldCharType="begin"/>
      </w:r>
      <w:r w:rsidR="008E592B" w:rsidRPr="00F516FD">
        <w:instrText xml:space="preserve"> REF _Ref167960959 \h </w:instrText>
      </w:r>
      <w:r w:rsidR="00F516FD">
        <w:instrText xml:space="preserve"> \* MERGEFORMAT </w:instrText>
      </w:r>
      <w:r w:rsidR="008E592B" w:rsidRPr="00F516FD">
        <w:fldChar w:fldCharType="separate"/>
      </w:r>
      <w:r w:rsidR="002A4535" w:rsidRPr="00F516FD">
        <w:t xml:space="preserve">Table </w:t>
      </w:r>
      <w:r w:rsidR="002A4535" w:rsidRPr="00F516FD">
        <w:rPr>
          <w:noProof/>
        </w:rPr>
        <w:t>8</w:t>
      </w:r>
      <w:r w:rsidR="008E592B" w:rsidRPr="00F516FD">
        <w:fldChar w:fldCharType="end"/>
      </w:r>
      <w:r w:rsidR="008E592B" w:rsidRPr="00F516FD">
        <w:t>.</w:t>
      </w:r>
    </w:p>
    <w:p w14:paraId="66CE1447" w14:textId="52C53479" w:rsidR="00190011" w:rsidRPr="00F516FD" w:rsidRDefault="000A2A11" w:rsidP="00190011">
      <w:r w:rsidRPr="00F516FD">
        <w:t xml:space="preserve">The key sources of data </w:t>
      </w:r>
      <w:r w:rsidR="007B6FC8" w:rsidRPr="00F516FD">
        <w:t>were</w:t>
      </w:r>
      <w:r w:rsidRPr="00F516FD">
        <w:t xml:space="preserve"> </w:t>
      </w:r>
      <w:r w:rsidR="00680825" w:rsidRPr="00F516FD">
        <w:t xml:space="preserve">from </w:t>
      </w:r>
      <w:r w:rsidR="00E24763" w:rsidRPr="00F516FD">
        <w:t>the</w:t>
      </w:r>
      <w:r w:rsidR="00680825" w:rsidRPr="00F516FD">
        <w:t xml:space="preserve"> </w:t>
      </w:r>
      <w:r w:rsidR="00E24763" w:rsidRPr="00F516FD">
        <w:t>Australian Institute of Health and Welfare (</w:t>
      </w:r>
      <w:r w:rsidR="00680825" w:rsidRPr="00F516FD">
        <w:t>AIHW</w:t>
      </w:r>
      <w:r w:rsidR="00E24763" w:rsidRPr="00F516FD">
        <w:t>)</w:t>
      </w:r>
      <w:r w:rsidR="00680825" w:rsidRPr="00F516FD">
        <w:t xml:space="preserve">: </w:t>
      </w:r>
      <w:r w:rsidRPr="00F516FD">
        <w:t xml:space="preserve">the </w:t>
      </w:r>
      <w:r w:rsidR="00681AC3" w:rsidRPr="00F516FD">
        <w:t>National Perinatal Data Collection (NPDC)</w:t>
      </w:r>
      <w:r w:rsidR="004C1209" w:rsidRPr="00F516FD">
        <w:t>,</w:t>
      </w:r>
      <w:r w:rsidR="00681AC3" w:rsidRPr="00F516FD">
        <w:t xml:space="preserve"> and the </w:t>
      </w:r>
      <w:r w:rsidRPr="00F516FD">
        <w:t>National Perinatal Mortality Data Collection (NPM</w:t>
      </w:r>
      <w:r w:rsidR="00260A7D" w:rsidRPr="00F516FD">
        <w:t>D</w:t>
      </w:r>
      <w:r w:rsidRPr="00F516FD">
        <w:t>C).</w:t>
      </w:r>
      <w:r w:rsidR="00190011" w:rsidRPr="00F516FD">
        <w:t xml:space="preserve"> The NPDC provides the annual number of births nationally (and by state and territory) and the trend over time. The NPMDC provides annual perinatal mortality data (stillbirth and neonatal death)</w:t>
      </w:r>
      <w:r w:rsidR="00681AC3" w:rsidRPr="00F516FD">
        <w:t>,</w:t>
      </w:r>
      <w:r w:rsidR="00190011" w:rsidRPr="00F516FD">
        <w:t xml:space="preserve"> both nationally and by state and territory.</w:t>
      </w:r>
    </w:p>
    <w:p w14:paraId="3732CDCB" w14:textId="60B89FE5" w:rsidR="00021F63" w:rsidRPr="00F516FD" w:rsidRDefault="00273259" w:rsidP="00273259">
      <w:r w:rsidRPr="00F516FD">
        <w:t>Intrapartum stillbirth (</w:t>
      </w:r>
      <w:proofErr w:type="spellStart"/>
      <w:r w:rsidRPr="00F516FD">
        <w:t>fetal</w:t>
      </w:r>
      <w:proofErr w:type="spellEnd"/>
      <w:r w:rsidRPr="00F516FD">
        <w:t xml:space="preserve"> death occurring during labour and birth) and neonatal death within the first 24 hours after birth are often considered together as, in many cases, the process leading to the death is a continuum that may result in death before or after the birth occurs. For this reason, although the </w:t>
      </w:r>
      <w:r w:rsidR="00CB61B6" w:rsidRPr="00F516FD">
        <w:t xml:space="preserve">proposed </w:t>
      </w:r>
      <w:r w:rsidR="000267C1" w:rsidRPr="00F516FD">
        <w:t xml:space="preserve">PST </w:t>
      </w:r>
      <w:r w:rsidRPr="00F516FD">
        <w:t xml:space="preserve">descriptor </w:t>
      </w:r>
      <w:r w:rsidR="00A1318C" w:rsidRPr="00F516FD">
        <w:t xml:space="preserve">referred to </w:t>
      </w:r>
      <w:r w:rsidRPr="00F516FD">
        <w:t>stillbirth</w:t>
      </w:r>
      <w:r w:rsidR="00A1318C" w:rsidRPr="00F516FD">
        <w:t>s</w:t>
      </w:r>
      <w:r w:rsidRPr="00F516FD">
        <w:t xml:space="preserve">, both intrapartum stillbirth and very early (within 24 hours) neonatal death were included to provide a conservative estimate of the total </w:t>
      </w:r>
      <w:r w:rsidR="002F3B5F" w:rsidRPr="00F516FD">
        <w:t xml:space="preserve">number of examinations for </w:t>
      </w:r>
      <w:r w:rsidR="00872FA2" w:rsidRPr="00F516FD">
        <w:t>P</w:t>
      </w:r>
      <w:r w:rsidRPr="00F516FD">
        <w:t xml:space="preserve">opulation </w:t>
      </w:r>
      <w:r w:rsidR="00E173BF" w:rsidRPr="00F516FD">
        <w:t>1 (level 6 complexity)</w:t>
      </w:r>
      <w:r w:rsidRPr="00F516FD">
        <w:t xml:space="preserve">. </w:t>
      </w:r>
      <w:r w:rsidR="0001698F" w:rsidRPr="00F516FD">
        <w:t>M</w:t>
      </w:r>
      <w:r w:rsidR="004306AA" w:rsidRPr="00F516FD">
        <w:t>ultiple births have higher rates of perinatal mortality</w:t>
      </w:r>
      <w:r w:rsidR="0001698F" w:rsidRPr="00F516FD">
        <w:t xml:space="preserve"> and are accounted for in the NP</w:t>
      </w:r>
      <w:r w:rsidR="00BD546C" w:rsidRPr="00F516FD">
        <w:t>M</w:t>
      </w:r>
      <w:r w:rsidR="00AB3AE3" w:rsidRPr="00F516FD">
        <w:t>D</w:t>
      </w:r>
      <w:r w:rsidR="00BD546C" w:rsidRPr="00F516FD">
        <w:t xml:space="preserve">C data, but the MBS restriction on </w:t>
      </w:r>
      <w:r w:rsidR="007034E8" w:rsidRPr="00F516FD">
        <w:t>claiming</w:t>
      </w:r>
      <w:r w:rsidR="00BD546C" w:rsidRPr="00F516FD">
        <w:t xml:space="preserve"> for a single item per patient episode in the event of two or more placentas being examined from a multiple birth is not </w:t>
      </w:r>
      <w:r w:rsidR="007034E8" w:rsidRPr="00F516FD">
        <w:t xml:space="preserve">incorporated into the </w:t>
      </w:r>
      <w:r w:rsidR="00B12208" w:rsidRPr="00F516FD">
        <w:t>utilisation estimates</w:t>
      </w:r>
      <w:r w:rsidR="00405A20" w:rsidRPr="00F516FD">
        <w:t>.</w:t>
      </w:r>
      <w:r w:rsidR="004442B4" w:rsidRPr="00F516FD">
        <w:t xml:space="preserve"> </w:t>
      </w:r>
      <w:r w:rsidR="00405A20" w:rsidRPr="00F516FD">
        <w:t>T</w:t>
      </w:r>
      <w:r w:rsidR="004442B4" w:rsidRPr="00F516FD">
        <w:t>herefore</w:t>
      </w:r>
      <w:r w:rsidR="00405A20" w:rsidRPr="00F516FD">
        <w:t>,</w:t>
      </w:r>
      <w:r w:rsidR="004442B4" w:rsidRPr="00F516FD">
        <w:t xml:space="preserve"> the population</w:t>
      </w:r>
      <w:r w:rsidR="000F7A18" w:rsidRPr="00F516FD">
        <w:t xml:space="preserve"> may</w:t>
      </w:r>
      <w:r w:rsidR="0064265B" w:rsidRPr="00F516FD">
        <w:t xml:space="preserve"> </w:t>
      </w:r>
      <w:r w:rsidR="000F7A18" w:rsidRPr="00F516FD">
        <w:t>be marginally overestimated.</w:t>
      </w:r>
    </w:p>
    <w:p w14:paraId="00850F88" w14:textId="72B3D1AD" w:rsidR="003F20D1" w:rsidRPr="00F516FD" w:rsidRDefault="00B11707" w:rsidP="00273259">
      <w:r w:rsidRPr="00F516FD">
        <w:t>Based on linear regression from historical data, t</w:t>
      </w:r>
      <w:r w:rsidR="003F20D1" w:rsidRPr="00F516FD">
        <w:t xml:space="preserve">he number of perinatal deaths </w:t>
      </w:r>
      <w:r w:rsidR="00AB53A1" w:rsidRPr="00F516FD">
        <w:t>increased slowly</w:t>
      </w:r>
      <w:r w:rsidR="0082501A" w:rsidRPr="00F516FD">
        <w:t xml:space="preserve"> over the </w:t>
      </w:r>
      <w:r w:rsidR="00D539EB" w:rsidRPr="00F516FD">
        <w:t>6-year forecast</w:t>
      </w:r>
      <w:r w:rsidR="00DE326D" w:rsidRPr="00F516FD">
        <w:t xml:space="preserve"> period</w:t>
      </w:r>
      <w:r w:rsidR="0082501A" w:rsidRPr="00F516FD">
        <w:t xml:space="preserve">, </w:t>
      </w:r>
      <w:r w:rsidR="005308C0" w:rsidRPr="00F516FD">
        <w:t xml:space="preserve">due to </w:t>
      </w:r>
      <w:r w:rsidR="0082501A" w:rsidRPr="00F516FD">
        <w:t>a small incre</w:t>
      </w:r>
      <w:r w:rsidR="000605B9" w:rsidRPr="00F516FD">
        <w:t xml:space="preserve">ase </w:t>
      </w:r>
      <w:r w:rsidR="006C3497" w:rsidRPr="00F516FD">
        <w:t xml:space="preserve">over time </w:t>
      </w:r>
      <w:r w:rsidR="0039624D" w:rsidRPr="00F516FD">
        <w:t xml:space="preserve">in </w:t>
      </w:r>
      <w:r w:rsidR="00AD7802" w:rsidRPr="00F516FD">
        <w:t xml:space="preserve">the number of </w:t>
      </w:r>
      <w:r w:rsidR="0039624D" w:rsidRPr="00F516FD">
        <w:t xml:space="preserve">stillbirths and </w:t>
      </w:r>
      <w:r w:rsidR="00AD7802" w:rsidRPr="00F516FD">
        <w:t xml:space="preserve">a </w:t>
      </w:r>
      <w:r w:rsidR="00083322" w:rsidRPr="00F516FD">
        <w:t>very small</w:t>
      </w:r>
      <w:r w:rsidR="00AD7802" w:rsidRPr="00F516FD">
        <w:t xml:space="preserve"> </w:t>
      </w:r>
      <w:r w:rsidR="0039624D" w:rsidRPr="00F516FD">
        <w:t xml:space="preserve">decrease in </w:t>
      </w:r>
      <w:r w:rsidR="00E159FC" w:rsidRPr="00F516FD">
        <w:t>very early neonatal deaths</w:t>
      </w:r>
      <w:r w:rsidR="00E07A23" w:rsidRPr="00F516FD">
        <w:t xml:space="preserve">. </w:t>
      </w:r>
      <w:r w:rsidR="00EF5072" w:rsidRPr="00F516FD">
        <w:t>Th</w:t>
      </w:r>
      <w:r w:rsidR="004D5646" w:rsidRPr="00F516FD">
        <w:t>e</w:t>
      </w:r>
      <w:r w:rsidR="00EF5072" w:rsidRPr="00F516FD">
        <w:t xml:space="preserve"> </w:t>
      </w:r>
      <w:r w:rsidR="004D5646" w:rsidRPr="00F516FD">
        <w:t xml:space="preserve">total cost </w:t>
      </w:r>
      <w:r w:rsidR="00131035" w:rsidRPr="00F516FD">
        <w:t xml:space="preserve">of the proposed level 6 </w:t>
      </w:r>
      <w:r w:rsidR="00E23881" w:rsidRPr="00F516FD">
        <w:t xml:space="preserve">complexity </w:t>
      </w:r>
      <w:r w:rsidR="00131035" w:rsidRPr="00F516FD">
        <w:t>service</w:t>
      </w:r>
      <w:r w:rsidR="0077606B" w:rsidRPr="00F516FD">
        <w:t>s</w:t>
      </w:r>
      <w:r w:rsidR="00131035" w:rsidRPr="00F516FD">
        <w:t xml:space="preserve"> </w:t>
      </w:r>
      <w:r w:rsidR="004D5646" w:rsidRPr="00F516FD">
        <w:t xml:space="preserve">to the MBS </w:t>
      </w:r>
      <w:r w:rsidR="0028660C" w:rsidRPr="00F516FD">
        <w:t>wa</w:t>
      </w:r>
      <w:r w:rsidR="00EF5072" w:rsidRPr="00F516FD">
        <w:t xml:space="preserve">s </w:t>
      </w:r>
      <w:r w:rsidR="00915435" w:rsidRPr="00F516FD">
        <w:t>partially offset by the reduced use of level 4 complexity</w:t>
      </w:r>
      <w:r w:rsidR="00DD4541" w:rsidRPr="00F516FD">
        <w:t xml:space="preserve"> services. </w:t>
      </w:r>
    </w:p>
    <w:p w14:paraId="6A248B6C" w14:textId="471B5CAC" w:rsidR="000F7A18" w:rsidRPr="00F516FD" w:rsidRDefault="000F7A18" w:rsidP="000F7A18">
      <w:pPr>
        <w:pStyle w:val="Caption"/>
      </w:pPr>
      <w:bookmarkStart w:id="35" w:name="_Ref167960953"/>
      <w:r w:rsidRPr="00F516FD">
        <w:lastRenderedPageBreak/>
        <w:t xml:space="preserve">Table </w:t>
      </w:r>
      <w:r w:rsidR="00075E84" w:rsidRPr="00F516FD">
        <w:fldChar w:fldCharType="begin"/>
      </w:r>
      <w:r w:rsidR="00075E84" w:rsidRPr="00F516FD">
        <w:instrText xml:space="preserve"> SEQ Table \* ARABIC </w:instrText>
      </w:r>
      <w:r w:rsidR="00075E84" w:rsidRPr="00F516FD">
        <w:fldChar w:fldCharType="separate"/>
      </w:r>
      <w:r w:rsidR="002A4535" w:rsidRPr="00F516FD">
        <w:rPr>
          <w:noProof/>
        </w:rPr>
        <w:t>7</w:t>
      </w:r>
      <w:r w:rsidR="00075E84" w:rsidRPr="00F516FD">
        <w:rPr>
          <w:noProof/>
        </w:rPr>
        <w:fldChar w:fldCharType="end"/>
      </w:r>
      <w:bookmarkEnd w:id="35"/>
      <w:r w:rsidRPr="00F516FD">
        <w:tab/>
        <w:t xml:space="preserve">Net financial impact to the MBS of increasing the complexity level of placental examinations for </w:t>
      </w:r>
      <w:r w:rsidR="004479AD" w:rsidRPr="00F516FD">
        <w:t>Population 1</w:t>
      </w:r>
      <w:r w:rsidR="008850CE" w:rsidRPr="00F516FD">
        <w:t xml:space="preserve"> – </w:t>
      </w:r>
      <w:r w:rsidRPr="00F516FD">
        <w:t xml:space="preserve">stillbirths </w:t>
      </w:r>
      <w:r w:rsidR="008C34C6" w:rsidRPr="00F516FD">
        <w:t xml:space="preserve">and </w:t>
      </w:r>
      <w:r w:rsidR="00A72AFF" w:rsidRPr="00F516FD">
        <w:t>very early neonatal death within 24 hours of birth</w:t>
      </w:r>
      <w:r w:rsidRPr="00F516FD">
        <w:t xml:space="preserve"> </w:t>
      </w:r>
      <w:r w:rsidR="00121BF7" w:rsidRPr="00F516FD">
        <w:t xml:space="preserve">– </w:t>
      </w:r>
      <w:r w:rsidRPr="00F516FD">
        <w:t>from level 4 to 6</w:t>
      </w:r>
      <w:r w:rsidR="00FC076F" w:rsidRPr="00F516FD">
        <w:t xml:space="preserve">, </w:t>
      </w:r>
      <w:r w:rsidR="00C22A30" w:rsidRPr="00F516FD">
        <w:t>using</w:t>
      </w:r>
      <w:r w:rsidR="00FC076F" w:rsidRPr="00F516FD">
        <w:t xml:space="preserve"> epidemiological </w:t>
      </w:r>
      <w:proofErr w:type="gramStart"/>
      <w:r w:rsidR="00FC076F" w:rsidRPr="00F516FD">
        <w:t>data</w:t>
      </w:r>
      <w:proofErr w:type="gramEnd"/>
    </w:p>
    <w:tbl>
      <w:tblPr>
        <w:tblStyle w:val="TableGrid"/>
        <w:tblW w:w="5000" w:type="pct"/>
        <w:tblLook w:val="04A0" w:firstRow="1" w:lastRow="0" w:firstColumn="1" w:lastColumn="0" w:noHBand="0" w:noVBand="1"/>
        <w:tblCaption w:val="Table 6. Net financial impact to the MBS of increasing the complexity level of placental examinations for Population 1 – stillbirths (including very early neonatal deaths) – from level 4 to 6"/>
        <w:tblDescription w:val="Table showing Net financial impact to the MBS of increasing the complexity level of placental examinations for Population 1 – stillbirths (including very early neonatal deaths) – from level 4 to 6. &#10;&#10;Estimated values are shown from years 2024 to 2029 for Population 1 (stillbirths)."/>
      </w:tblPr>
      <w:tblGrid>
        <w:gridCol w:w="2547"/>
        <w:gridCol w:w="1078"/>
        <w:gridCol w:w="1078"/>
        <w:gridCol w:w="642"/>
        <w:gridCol w:w="211"/>
        <w:gridCol w:w="234"/>
        <w:gridCol w:w="373"/>
        <w:gridCol w:w="218"/>
        <w:gridCol w:w="236"/>
        <w:gridCol w:w="251"/>
        <w:gridCol w:w="242"/>
        <w:gridCol w:w="97"/>
        <w:gridCol w:w="285"/>
        <w:gridCol w:w="458"/>
        <w:gridCol w:w="1066"/>
      </w:tblGrid>
      <w:tr w:rsidR="00B45CEF" w:rsidRPr="00F516FD" w14:paraId="20E27FAA" w14:textId="48A1BBCD" w:rsidTr="00E165FE">
        <w:trPr>
          <w:tblHeader/>
        </w:trPr>
        <w:tc>
          <w:tcPr>
            <w:tcW w:w="1412" w:type="pct"/>
            <w:tcBorders>
              <w:bottom w:val="single" w:sz="4" w:space="0" w:color="auto"/>
            </w:tcBorders>
            <w:tcMar>
              <w:left w:w="57" w:type="dxa"/>
              <w:right w:w="57" w:type="dxa"/>
            </w:tcMar>
          </w:tcPr>
          <w:p w14:paraId="17059317" w14:textId="77777777" w:rsidR="00F967EB" w:rsidRPr="00F516FD" w:rsidRDefault="00F967EB">
            <w:pPr>
              <w:pStyle w:val="TableHeading0"/>
            </w:pPr>
            <w:r w:rsidRPr="00F516FD">
              <w:t>Parameter</w:t>
            </w:r>
          </w:p>
        </w:tc>
        <w:tc>
          <w:tcPr>
            <w:tcW w:w="598" w:type="pct"/>
            <w:tcBorders>
              <w:bottom w:val="single" w:sz="4" w:space="0" w:color="auto"/>
            </w:tcBorders>
            <w:tcMar>
              <w:left w:w="57" w:type="dxa"/>
              <w:right w:w="57" w:type="dxa"/>
            </w:tcMar>
          </w:tcPr>
          <w:p w14:paraId="363E38B8" w14:textId="0FFB1BBC" w:rsidR="00F967EB" w:rsidRPr="00F516FD" w:rsidRDefault="001B0DD2">
            <w:pPr>
              <w:pStyle w:val="TableHeading0"/>
            </w:pPr>
            <w:r w:rsidRPr="00F516FD">
              <w:t>FY 202</w:t>
            </w:r>
            <w:r w:rsidR="00227359" w:rsidRPr="00F516FD">
              <w:t>5</w:t>
            </w:r>
            <w:r w:rsidR="00F254F0" w:rsidRPr="00F516FD">
              <w:t>–</w:t>
            </w:r>
            <w:r w:rsidR="00F967EB" w:rsidRPr="00F516FD">
              <w:t>2</w:t>
            </w:r>
            <w:r w:rsidR="00227359" w:rsidRPr="00F516FD">
              <w:t>6</w:t>
            </w:r>
          </w:p>
        </w:tc>
        <w:tc>
          <w:tcPr>
            <w:tcW w:w="598" w:type="pct"/>
            <w:tcBorders>
              <w:bottom w:val="single" w:sz="4" w:space="0" w:color="auto"/>
            </w:tcBorders>
            <w:tcMar>
              <w:left w:w="57" w:type="dxa"/>
              <w:right w:w="57" w:type="dxa"/>
            </w:tcMar>
          </w:tcPr>
          <w:p w14:paraId="0C12C9C8" w14:textId="2F63BC7C" w:rsidR="00F967EB" w:rsidRPr="00F516FD" w:rsidRDefault="00F254F0">
            <w:pPr>
              <w:pStyle w:val="TableHeading0"/>
            </w:pPr>
            <w:r w:rsidRPr="00F516FD">
              <w:t xml:space="preserve">FY </w:t>
            </w:r>
            <w:r w:rsidR="00F967EB" w:rsidRPr="00F516FD">
              <w:t>202</w:t>
            </w:r>
            <w:r w:rsidR="00227359" w:rsidRPr="00F516FD">
              <w:t>6</w:t>
            </w:r>
            <w:r w:rsidRPr="00F516FD">
              <w:t>–</w:t>
            </w:r>
            <w:r w:rsidR="00493571" w:rsidRPr="00F516FD">
              <w:t>2</w:t>
            </w:r>
            <w:r w:rsidR="00227359" w:rsidRPr="00F516FD">
              <w:t>7</w:t>
            </w:r>
          </w:p>
        </w:tc>
        <w:tc>
          <w:tcPr>
            <w:tcW w:w="603" w:type="pct"/>
            <w:gridSpan w:val="3"/>
            <w:tcBorders>
              <w:bottom w:val="single" w:sz="4" w:space="0" w:color="auto"/>
            </w:tcBorders>
            <w:tcMar>
              <w:left w:w="57" w:type="dxa"/>
              <w:right w:w="57" w:type="dxa"/>
            </w:tcMar>
          </w:tcPr>
          <w:p w14:paraId="47D3B674" w14:textId="2042BBF0" w:rsidR="00F967EB" w:rsidRPr="00F516FD" w:rsidRDefault="00B45CEF">
            <w:pPr>
              <w:pStyle w:val="TableHeading0"/>
            </w:pPr>
            <w:r w:rsidRPr="00F516FD">
              <w:t xml:space="preserve">FY </w:t>
            </w:r>
            <w:r w:rsidR="00F967EB" w:rsidRPr="00F516FD">
              <w:t>202</w:t>
            </w:r>
            <w:r w:rsidR="00227359" w:rsidRPr="00F516FD">
              <w:t>7</w:t>
            </w:r>
            <w:r w:rsidRPr="00F516FD">
              <w:t>–2</w:t>
            </w:r>
            <w:r w:rsidR="00227359" w:rsidRPr="00F516FD">
              <w:t>8</w:t>
            </w:r>
          </w:p>
        </w:tc>
        <w:tc>
          <w:tcPr>
            <w:tcW w:w="598" w:type="pct"/>
            <w:gridSpan w:val="4"/>
            <w:tcBorders>
              <w:bottom w:val="single" w:sz="4" w:space="0" w:color="auto"/>
            </w:tcBorders>
            <w:tcMar>
              <w:left w:w="57" w:type="dxa"/>
              <w:right w:w="57" w:type="dxa"/>
            </w:tcMar>
          </w:tcPr>
          <w:p w14:paraId="200B4DD8" w14:textId="3B30A654" w:rsidR="00F967EB" w:rsidRPr="00F516FD" w:rsidRDefault="00B45CEF">
            <w:pPr>
              <w:pStyle w:val="TableHeading0"/>
            </w:pPr>
            <w:r w:rsidRPr="00F516FD">
              <w:t xml:space="preserve">FY </w:t>
            </w:r>
            <w:r w:rsidR="00F967EB" w:rsidRPr="00F516FD">
              <w:t>202</w:t>
            </w:r>
            <w:r w:rsidR="00227359" w:rsidRPr="00F516FD">
              <w:t>8</w:t>
            </w:r>
            <w:r w:rsidRPr="00F516FD">
              <w:t>–2</w:t>
            </w:r>
            <w:r w:rsidR="00227359" w:rsidRPr="00F516FD">
              <w:t>9</w:t>
            </w:r>
          </w:p>
        </w:tc>
        <w:tc>
          <w:tcPr>
            <w:tcW w:w="600" w:type="pct"/>
            <w:gridSpan w:val="4"/>
            <w:tcBorders>
              <w:bottom w:val="single" w:sz="4" w:space="0" w:color="auto"/>
            </w:tcBorders>
            <w:tcMar>
              <w:left w:w="57" w:type="dxa"/>
              <w:right w:w="57" w:type="dxa"/>
            </w:tcMar>
          </w:tcPr>
          <w:p w14:paraId="6CB618CE" w14:textId="5469AA93" w:rsidR="00F967EB" w:rsidRPr="00F516FD" w:rsidRDefault="00B45CEF">
            <w:pPr>
              <w:pStyle w:val="TableHeading0"/>
            </w:pPr>
            <w:r w:rsidRPr="00F516FD">
              <w:t xml:space="preserve">FY </w:t>
            </w:r>
            <w:r w:rsidR="00F967EB" w:rsidRPr="00F516FD">
              <w:t>202</w:t>
            </w:r>
            <w:r w:rsidR="00227359" w:rsidRPr="00F516FD">
              <w:t>9</w:t>
            </w:r>
            <w:r w:rsidRPr="00F516FD">
              <w:t>–</w:t>
            </w:r>
            <w:r w:rsidR="00227359" w:rsidRPr="00F516FD">
              <w:t>30</w:t>
            </w:r>
          </w:p>
        </w:tc>
        <w:tc>
          <w:tcPr>
            <w:tcW w:w="591" w:type="pct"/>
            <w:tcBorders>
              <w:bottom w:val="single" w:sz="4" w:space="0" w:color="auto"/>
            </w:tcBorders>
            <w:tcMar>
              <w:left w:w="57" w:type="dxa"/>
              <w:right w:w="57" w:type="dxa"/>
            </w:tcMar>
          </w:tcPr>
          <w:p w14:paraId="7FAE82BB" w14:textId="08C61F56" w:rsidR="00F967EB" w:rsidRPr="00F516FD" w:rsidRDefault="00227359">
            <w:pPr>
              <w:pStyle w:val="TableHeading0"/>
            </w:pPr>
            <w:r w:rsidRPr="00F516FD">
              <w:t xml:space="preserve">FY </w:t>
            </w:r>
            <w:r w:rsidR="00F967EB" w:rsidRPr="00F516FD">
              <w:t>2030</w:t>
            </w:r>
            <w:r w:rsidRPr="00F516FD">
              <w:t>–31</w:t>
            </w:r>
          </w:p>
        </w:tc>
      </w:tr>
      <w:tr w:rsidR="00B45CEF" w:rsidRPr="00F516FD" w14:paraId="24EEA516" w14:textId="3D3915E3" w:rsidTr="00E165FE">
        <w:tc>
          <w:tcPr>
            <w:tcW w:w="2964" w:type="pct"/>
            <w:gridSpan w:val="4"/>
            <w:tcBorders>
              <w:left w:val="single" w:sz="4" w:space="0" w:color="auto"/>
              <w:right w:val="nil"/>
            </w:tcBorders>
            <w:tcMar>
              <w:left w:w="57" w:type="dxa"/>
              <w:right w:w="57" w:type="dxa"/>
            </w:tcMar>
          </w:tcPr>
          <w:p w14:paraId="6DE757B5" w14:textId="3D38DCDF" w:rsidR="00F967EB" w:rsidRPr="00F516FD" w:rsidRDefault="00F967EB">
            <w:pPr>
              <w:pStyle w:val="Tabletext0"/>
              <w:jc w:val="left"/>
            </w:pPr>
            <w:r w:rsidRPr="00F516FD">
              <w:rPr>
                <w:b/>
                <w:bCs/>
              </w:rPr>
              <w:t>Estimated use and cost of the proposed health technology</w:t>
            </w:r>
          </w:p>
        </w:tc>
        <w:tc>
          <w:tcPr>
            <w:tcW w:w="117" w:type="pct"/>
            <w:tcBorders>
              <w:left w:val="nil"/>
              <w:right w:val="nil"/>
            </w:tcBorders>
            <w:tcMar>
              <w:left w:w="57" w:type="dxa"/>
              <w:right w:w="57" w:type="dxa"/>
            </w:tcMar>
          </w:tcPr>
          <w:p w14:paraId="5F1CA96C" w14:textId="77777777" w:rsidR="00F967EB" w:rsidRPr="00F516FD" w:rsidRDefault="00F967EB">
            <w:pPr>
              <w:pStyle w:val="Tabletext0"/>
              <w:jc w:val="left"/>
            </w:pPr>
          </w:p>
        </w:tc>
        <w:tc>
          <w:tcPr>
            <w:tcW w:w="130" w:type="pct"/>
            <w:tcBorders>
              <w:left w:val="nil"/>
              <w:right w:val="nil"/>
            </w:tcBorders>
            <w:tcMar>
              <w:left w:w="57" w:type="dxa"/>
              <w:right w:w="57" w:type="dxa"/>
            </w:tcMar>
          </w:tcPr>
          <w:p w14:paraId="699C7903" w14:textId="77777777" w:rsidR="00F967EB" w:rsidRPr="00F516FD" w:rsidRDefault="00F967EB">
            <w:pPr>
              <w:pStyle w:val="Tabletext0"/>
              <w:jc w:val="left"/>
            </w:pPr>
          </w:p>
        </w:tc>
        <w:tc>
          <w:tcPr>
            <w:tcW w:w="786" w:type="pct"/>
            <w:gridSpan w:val="6"/>
            <w:tcBorders>
              <w:left w:val="nil"/>
              <w:right w:val="nil"/>
            </w:tcBorders>
            <w:tcMar>
              <w:left w:w="57" w:type="dxa"/>
              <w:right w:w="57" w:type="dxa"/>
            </w:tcMar>
          </w:tcPr>
          <w:p w14:paraId="32DB4DB2" w14:textId="77777777" w:rsidR="00F967EB" w:rsidRPr="00F516FD" w:rsidRDefault="00F967EB">
            <w:pPr>
              <w:pStyle w:val="Tabletext0"/>
              <w:jc w:val="left"/>
            </w:pPr>
          </w:p>
        </w:tc>
        <w:tc>
          <w:tcPr>
            <w:tcW w:w="158" w:type="pct"/>
            <w:tcBorders>
              <w:left w:val="nil"/>
              <w:right w:val="nil"/>
            </w:tcBorders>
            <w:tcMar>
              <w:left w:w="57" w:type="dxa"/>
              <w:right w:w="57" w:type="dxa"/>
            </w:tcMar>
          </w:tcPr>
          <w:p w14:paraId="224064D5" w14:textId="77777777" w:rsidR="00F967EB" w:rsidRPr="00F516FD" w:rsidRDefault="00F967EB">
            <w:pPr>
              <w:pStyle w:val="Tabletext0"/>
              <w:jc w:val="left"/>
            </w:pPr>
          </w:p>
        </w:tc>
        <w:tc>
          <w:tcPr>
            <w:tcW w:w="254" w:type="pct"/>
            <w:tcBorders>
              <w:left w:val="nil"/>
              <w:right w:val="nil"/>
            </w:tcBorders>
            <w:tcMar>
              <w:left w:w="57" w:type="dxa"/>
              <w:right w:w="57" w:type="dxa"/>
            </w:tcMar>
          </w:tcPr>
          <w:p w14:paraId="1B68F794" w14:textId="77777777" w:rsidR="00F967EB" w:rsidRPr="00F516FD" w:rsidRDefault="00F967EB">
            <w:pPr>
              <w:pStyle w:val="Tabletext0"/>
              <w:jc w:val="left"/>
            </w:pPr>
          </w:p>
        </w:tc>
        <w:tc>
          <w:tcPr>
            <w:tcW w:w="591" w:type="pct"/>
            <w:tcBorders>
              <w:left w:val="nil"/>
            </w:tcBorders>
            <w:tcMar>
              <w:left w:w="57" w:type="dxa"/>
              <w:right w:w="57" w:type="dxa"/>
            </w:tcMar>
          </w:tcPr>
          <w:p w14:paraId="520976E9" w14:textId="77777777" w:rsidR="00F967EB" w:rsidRPr="00F516FD" w:rsidRDefault="00F967EB">
            <w:pPr>
              <w:pStyle w:val="Tabletext0"/>
              <w:jc w:val="left"/>
            </w:pPr>
          </w:p>
        </w:tc>
      </w:tr>
      <w:tr w:rsidR="00B45CEF" w:rsidRPr="00F516FD" w14:paraId="52B5868A" w14:textId="7FB89169" w:rsidTr="00E165FE">
        <w:tc>
          <w:tcPr>
            <w:tcW w:w="1412" w:type="pct"/>
            <w:tcMar>
              <w:left w:w="57" w:type="dxa"/>
              <w:right w:w="57" w:type="dxa"/>
            </w:tcMar>
          </w:tcPr>
          <w:p w14:paraId="723FF8EF" w14:textId="4E7066AF" w:rsidR="00F0312F" w:rsidRPr="00F516FD" w:rsidRDefault="00F0312F" w:rsidP="00F0312F">
            <w:pPr>
              <w:pStyle w:val="Tabletext0"/>
              <w:jc w:val="left"/>
            </w:pPr>
            <w:r w:rsidRPr="00F516FD">
              <w:t>Number of stillbirths</w:t>
            </w:r>
          </w:p>
        </w:tc>
        <w:tc>
          <w:tcPr>
            <w:tcW w:w="598" w:type="pct"/>
            <w:tcMar>
              <w:left w:w="57" w:type="dxa"/>
              <w:right w:w="57" w:type="dxa"/>
            </w:tcMar>
          </w:tcPr>
          <w:p w14:paraId="2D2DB0D0" w14:textId="77777777" w:rsidR="00F0312F" w:rsidRPr="00F516FD" w:rsidRDefault="00F0312F" w:rsidP="00F0312F">
            <w:pPr>
              <w:pStyle w:val="Tabletext0"/>
              <w:jc w:val="left"/>
            </w:pPr>
            <w:r w:rsidRPr="00F516FD">
              <w:t>2,277</w:t>
            </w:r>
          </w:p>
        </w:tc>
        <w:tc>
          <w:tcPr>
            <w:tcW w:w="598" w:type="pct"/>
            <w:tcMar>
              <w:left w:w="57" w:type="dxa"/>
              <w:right w:w="57" w:type="dxa"/>
            </w:tcMar>
          </w:tcPr>
          <w:p w14:paraId="4CE4F4BA" w14:textId="77777777" w:rsidR="00F0312F" w:rsidRPr="00F516FD" w:rsidRDefault="00F0312F" w:rsidP="00F0312F">
            <w:pPr>
              <w:pStyle w:val="Tabletext0"/>
              <w:jc w:val="left"/>
            </w:pPr>
            <w:r w:rsidRPr="00F516FD">
              <w:t>2,290</w:t>
            </w:r>
          </w:p>
        </w:tc>
        <w:tc>
          <w:tcPr>
            <w:tcW w:w="603" w:type="pct"/>
            <w:gridSpan w:val="3"/>
            <w:tcMar>
              <w:left w:w="57" w:type="dxa"/>
              <w:right w:w="57" w:type="dxa"/>
            </w:tcMar>
          </w:tcPr>
          <w:p w14:paraId="068D6342" w14:textId="77777777" w:rsidR="00F0312F" w:rsidRPr="00F516FD" w:rsidRDefault="00F0312F" w:rsidP="00F0312F">
            <w:pPr>
              <w:pStyle w:val="Tabletext0"/>
              <w:jc w:val="left"/>
            </w:pPr>
            <w:r w:rsidRPr="00F516FD">
              <w:t>2,302</w:t>
            </w:r>
          </w:p>
        </w:tc>
        <w:tc>
          <w:tcPr>
            <w:tcW w:w="598" w:type="pct"/>
            <w:gridSpan w:val="4"/>
            <w:tcMar>
              <w:left w:w="57" w:type="dxa"/>
              <w:right w:w="57" w:type="dxa"/>
            </w:tcMar>
          </w:tcPr>
          <w:p w14:paraId="79258CBA" w14:textId="77777777" w:rsidR="00F0312F" w:rsidRPr="00F516FD" w:rsidRDefault="00F0312F" w:rsidP="00F0312F">
            <w:pPr>
              <w:pStyle w:val="Tabletext0"/>
              <w:jc w:val="left"/>
            </w:pPr>
            <w:r w:rsidRPr="00F516FD">
              <w:t>2,314</w:t>
            </w:r>
          </w:p>
        </w:tc>
        <w:tc>
          <w:tcPr>
            <w:tcW w:w="600" w:type="pct"/>
            <w:gridSpan w:val="4"/>
            <w:tcMar>
              <w:left w:w="57" w:type="dxa"/>
              <w:right w:w="57" w:type="dxa"/>
            </w:tcMar>
          </w:tcPr>
          <w:p w14:paraId="3094ACCA" w14:textId="77777777" w:rsidR="00F0312F" w:rsidRPr="00F516FD" w:rsidRDefault="00F0312F" w:rsidP="00F0312F">
            <w:pPr>
              <w:pStyle w:val="Tabletext0"/>
              <w:jc w:val="left"/>
            </w:pPr>
            <w:r w:rsidRPr="00F516FD">
              <w:t>2,326</w:t>
            </w:r>
          </w:p>
        </w:tc>
        <w:tc>
          <w:tcPr>
            <w:tcW w:w="591" w:type="pct"/>
            <w:tcMar>
              <w:left w:w="57" w:type="dxa"/>
              <w:right w:w="57" w:type="dxa"/>
            </w:tcMar>
          </w:tcPr>
          <w:p w14:paraId="66AF660C" w14:textId="2E5AD852" w:rsidR="00F0312F" w:rsidRPr="00F516FD" w:rsidRDefault="00F0312F" w:rsidP="00F0312F">
            <w:pPr>
              <w:pStyle w:val="Tabletext0"/>
              <w:jc w:val="left"/>
            </w:pPr>
            <w:r w:rsidRPr="00F516FD">
              <w:t>2,338</w:t>
            </w:r>
          </w:p>
        </w:tc>
      </w:tr>
      <w:tr w:rsidR="00B45CEF" w:rsidRPr="00F516FD" w14:paraId="236F8EDB" w14:textId="3F6B7375" w:rsidTr="00E165FE">
        <w:tc>
          <w:tcPr>
            <w:tcW w:w="1412" w:type="pct"/>
            <w:tcMar>
              <w:left w:w="57" w:type="dxa"/>
              <w:right w:w="57" w:type="dxa"/>
            </w:tcMar>
          </w:tcPr>
          <w:p w14:paraId="18F74F13" w14:textId="4AFDD61A" w:rsidR="00F0312F" w:rsidRPr="00F516FD" w:rsidRDefault="00F0312F" w:rsidP="00F0312F">
            <w:pPr>
              <w:pStyle w:val="Tabletext0"/>
              <w:jc w:val="left"/>
              <w:rPr>
                <w:vertAlign w:val="superscript"/>
              </w:rPr>
            </w:pPr>
            <w:r w:rsidRPr="00F516FD">
              <w:t xml:space="preserve">Number of very early neonatal </w:t>
            </w:r>
            <w:proofErr w:type="spellStart"/>
            <w:r w:rsidRPr="00F516FD">
              <w:t>deaths</w:t>
            </w:r>
            <w:r w:rsidRPr="00F516FD">
              <w:rPr>
                <w:vertAlign w:val="superscript"/>
              </w:rPr>
              <w:t>a</w:t>
            </w:r>
            <w:proofErr w:type="spellEnd"/>
          </w:p>
        </w:tc>
        <w:tc>
          <w:tcPr>
            <w:tcW w:w="598" w:type="pct"/>
            <w:tcMar>
              <w:left w:w="57" w:type="dxa"/>
              <w:right w:w="57" w:type="dxa"/>
            </w:tcMar>
          </w:tcPr>
          <w:p w14:paraId="62B253C0" w14:textId="77777777" w:rsidR="00F0312F" w:rsidRPr="00F516FD" w:rsidRDefault="00F0312F" w:rsidP="00F0312F">
            <w:pPr>
              <w:pStyle w:val="Tabletext0"/>
              <w:jc w:val="left"/>
            </w:pPr>
            <w:r w:rsidRPr="00F516FD">
              <w:t>104</w:t>
            </w:r>
          </w:p>
        </w:tc>
        <w:tc>
          <w:tcPr>
            <w:tcW w:w="598" w:type="pct"/>
            <w:tcMar>
              <w:left w:w="57" w:type="dxa"/>
              <w:right w:w="57" w:type="dxa"/>
            </w:tcMar>
          </w:tcPr>
          <w:p w14:paraId="6E43C563" w14:textId="77777777" w:rsidR="00F0312F" w:rsidRPr="00F516FD" w:rsidRDefault="00F0312F" w:rsidP="00F0312F">
            <w:pPr>
              <w:pStyle w:val="Tabletext0"/>
              <w:jc w:val="left"/>
            </w:pPr>
            <w:r w:rsidRPr="00F516FD">
              <w:t>102</w:t>
            </w:r>
          </w:p>
        </w:tc>
        <w:tc>
          <w:tcPr>
            <w:tcW w:w="603" w:type="pct"/>
            <w:gridSpan w:val="3"/>
            <w:tcMar>
              <w:left w:w="57" w:type="dxa"/>
              <w:right w:w="57" w:type="dxa"/>
            </w:tcMar>
          </w:tcPr>
          <w:p w14:paraId="38F86299" w14:textId="77777777" w:rsidR="00F0312F" w:rsidRPr="00F516FD" w:rsidRDefault="00F0312F" w:rsidP="00F0312F">
            <w:pPr>
              <w:pStyle w:val="Tabletext0"/>
              <w:jc w:val="left"/>
            </w:pPr>
            <w:r w:rsidRPr="00F516FD">
              <w:t>101</w:t>
            </w:r>
          </w:p>
        </w:tc>
        <w:tc>
          <w:tcPr>
            <w:tcW w:w="598" w:type="pct"/>
            <w:gridSpan w:val="4"/>
            <w:tcMar>
              <w:left w:w="57" w:type="dxa"/>
              <w:right w:w="57" w:type="dxa"/>
            </w:tcMar>
          </w:tcPr>
          <w:p w14:paraId="2BEB5655" w14:textId="77777777" w:rsidR="00F0312F" w:rsidRPr="00F516FD" w:rsidRDefault="00F0312F" w:rsidP="00F0312F">
            <w:pPr>
              <w:pStyle w:val="Tabletext0"/>
              <w:jc w:val="left"/>
            </w:pPr>
            <w:r w:rsidRPr="00F516FD">
              <w:t>99</w:t>
            </w:r>
          </w:p>
        </w:tc>
        <w:tc>
          <w:tcPr>
            <w:tcW w:w="600" w:type="pct"/>
            <w:gridSpan w:val="4"/>
            <w:tcMar>
              <w:left w:w="57" w:type="dxa"/>
              <w:right w:w="57" w:type="dxa"/>
            </w:tcMar>
          </w:tcPr>
          <w:p w14:paraId="7E5BD10B" w14:textId="77777777" w:rsidR="00F0312F" w:rsidRPr="00F516FD" w:rsidRDefault="00F0312F" w:rsidP="00F0312F">
            <w:pPr>
              <w:pStyle w:val="Tabletext0"/>
              <w:jc w:val="left"/>
            </w:pPr>
            <w:r w:rsidRPr="00F516FD">
              <w:t>97</w:t>
            </w:r>
          </w:p>
        </w:tc>
        <w:tc>
          <w:tcPr>
            <w:tcW w:w="591" w:type="pct"/>
            <w:tcMar>
              <w:left w:w="57" w:type="dxa"/>
              <w:right w:w="57" w:type="dxa"/>
            </w:tcMar>
          </w:tcPr>
          <w:p w14:paraId="18392B12" w14:textId="7F4085CC" w:rsidR="00F0312F" w:rsidRPr="00F516FD" w:rsidRDefault="00E761FF" w:rsidP="00FA5DCA">
            <w:pPr>
              <w:pStyle w:val="Tabletext0"/>
              <w:ind w:right="142"/>
              <w:jc w:val="left"/>
            </w:pPr>
            <w:r w:rsidRPr="00F516FD">
              <w:t>96</w:t>
            </w:r>
          </w:p>
        </w:tc>
      </w:tr>
      <w:tr w:rsidR="00B45CEF" w:rsidRPr="00F516FD" w14:paraId="7B27FC25" w14:textId="76FAFEFB" w:rsidTr="00E165FE">
        <w:tc>
          <w:tcPr>
            <w:tcW w:w="1412" w:type="pct"/>
            <w:tcMar>
              <w:left w:w="57" w:type="dxa"/>
              <w:right w:w="57" w:type="dxa"/>
            </w:tcMar>
          </w:tcPr>
          <w:p w14:paraId="09C824C7" w14:textId="4219960A" w:rsidR="00F0312F" w:rsidRPr="00F516FD" w:rsidRDefault="00F0312F" w:rsidP="00F0312F">
            <w:pPr>
              <w:pStyle w:val="Tabletext0"/>
              <w:jc w:val="left"/>
            </w:pPr>
            <w:r w:rsidRPr="00F516FD">
              <w:t>Total number of placental examinations for Population 1</w:t>
            </w:r>
          </w:p>
        </w:tc>
        <w:tc>
          <w:tcPr>
            <w:tcW w:w="598" w:type="pct"/>
            <w:tcMar>
              <w:left w:w="57" w:type="dxa"/>
              <w:right w:w="57" w:type="dxa"/>
            </w:tcMar>
          </w:tcPr>
          <w:p w14:paraId="186031BB" w14:textId="77777777" w:rsidR="00F0312F" w:rsidRPr="00F516FD" w:rsidRDefault="00F0312F" w:rsidP="00F0312F">
            <w:pPr>
              <w:pStyle w:val="Tabletext0"/>
              <w:jc w:val="left"/>
            </w:pPr>
            <w:r w:rsidRPr="00F516FD">
              <w:t>2,382</w:t>
            </w:r>
          </w:p>
        </w:tc>
        <w:tc>
          <w:tcPr>
            <w:tcW w:w="598" w:type="pct"/>
            <w:tcMar>
              <w:left w:w="57" w:type="dxa"/>
              <w:right w:w="57" w:type="dxa"/>
            </w:tcMar>
          </w:tcPr>
          <w:p w14:paraId="3D608523" w14:textId="77777777" w:rsidR="00F0312F" w:rsidRPr="00F516FD" w:rsidRDefault="00F0312F" w:rsidP="00F0312F">
            <w:pPr>
              <w:pStyle w:val="Tabletext0"/>
              <w:jc w:val="left"/>
            </w:pPr>
            <w:r w:rsidRPr="00F516FD">
              <w:t>2,392</w:t>
            </w:r>
          </w:p>
        </w:tc>
        <w:tc>
          <w:tcPr>
            <w:tcW w:w="603" w:type="pct"/>
            <w:gridSpan w:val="3"/>
            <w:tcMar>
              <w:left w:w="57" w:type="dxa"/>
              <w:right w:w="57" w:type="dxa"/>
            </w:tcMar>
          </w:tcPr>
          <w:p w14:paraId="3AE05E04" w14:textId="77777777" w:rsidR="00F0312F" w:rsidRPr="00F516FD" w:rsidRDefault="00F0312F" w:rsidP="00F0312F">
            <w:pPr>
              <w:pStyle w:val="Tabletext0"/>
              <w:jc w:val="left"/>
            </w:pPr>
            <w:r w:rsidRPr="00F516FD">
              <w:t>2,402</w:t>
            </w:r>
          </w:p>
        </w:tc>
        <w:tc>
          <w:tcPr>
            <w:tcW w:w="598" w:type="pct"/>
            <w:gridSpan w:val="4"/>
            <w:tcMar>
              <w:left w:w="57" w:type="dxa"/>
              <w:right w:w="57" w:type="dxa"/>
            </w:tcMar>
          </w:tcPr>
          <w:p w14:paraId="4C83922C" w14:textId="77777777" w:rsidR="00F0312F" w:rsidRPr="00F516FD" w:rsidRDefault="00F0312F" w:rsidP="00F0312F">
            <w:pPr>
              <w:pStyle w:val="Tabletext0"/>
              <w:jc w:val="left"/>
            </w:pPr>
            <w:r w:rsidRPr="00F516FD">
              <w:t>2,413</w:t>
            </w:r>
          </w:p>
        </w:tc>
        <w:tc>
          <w:tcPr>
            <w:tcW w:w="600" w:type="pct"/>
            <w:gridSpan w:val="4"/>
            <w:tcMar>
              <w:left w:w="57" w:type="dxa"/>
              <w:right w:w="57" w:type="dxa"/>
            </w:tcMar>
          </w:tcPr>
          <w:p w14:paraId="6E8B9034" w14:textId="77777777" w:rsidR="00F0312F" w:rsidRPr="00F516FD" w:rsidRDefault="00F0312F" w:rsidP="00F0312F">
            <w:pPr>
              <w:pStyle w:val="Tabletext0"/>
              <w:jc w:val="left"/>
            </w:pPr>
            <w:r w:rsidRPr="00F516FD">
              <w:t>2,423</w:t>
            </w:r>
          </w:p>
        </w:tc>
        <w:tc>
          <w:tcPr>
            <w:tcW w:w="591" w:type="pct"/>
            <w:tcMar>
              <w:left w:w="57" w:type="dxa"/>
              <w:right w:w="57" w:type="dxa"/>
            </w:tcMar>
          </w:tcPr>
          <w:p w14:paraId="1614D108" w14:textId="54B5D4B4" w:rsidR="00F0312F" w:rsidRPr="00F516FD" w:rsidRDefault="00E761FF" w:rsidP="00F0312F">
            <w:pPr>
              <w:pStyle w:val="Tabletext0"/>
              <w:jc w:val="left"/>
            </w:pPr>
            <w:r w:rsidRPr="00F516FD">
              <w:t>2,434</w:t>
            </w:r>
          </w:p>
        </w:tc>
      </w:tr>
      <w:tr w:rsidR="00B45CEF" w:rsidRPr="00F516FD" w14:paraId="5D0F1CC1" w14:textId="595816A3" w:rsidTr="00E165FE">
        <w:tc>
          <w:tcPr>
            <w:tcW w:w="1412" w:type="pct"/>
            <w:tcMar>
              <w:left w:w="57" w:type="dxa"/>
              <w:right w:w="57" w:type="dxa"/>
            </w:tcMar>
          </w:tcPr>
          <w:p w14:paraId="48010EF4" w14:textId="2567FA20" w:rsidR="00F0312F" w:rsidRPr="00F516FD" w:rsidRDefault="00F0312F" w:rsidP="00F0312F">
            <w:pPr>
              <w:pStyle w:val="Tabletext0"/>
              <w:jc w:val="left"/>
              <w:rPr>
                <w:vertAlign w:val="superscript"/>
              </w:rPr>
            </w:pPr>
            <w:r w:rsidRPr="00F516FD">
              <w:t>Number of private placental examinations for Population 1</w:t>
            </w:r>
            <w:r w:rsidRPr="00F516FD">
              <w:rPr>
                <w:vertAlign w:val="superscript"/>
              </w:rPr>
              <w:t>b</w:t>
            </w:r>
          </w:p>
        </w:tc>
        <w:tc>
          <w:tcPr>
            <w:tcW w:w="598" w:type="pct"/>
            <w:tcMar>
              <w:left w:w="57" w:type="dxa"/>
              <w:right w:w="57" w:type="dxa"/>
            </w:tcMar>
          </w:tcPr>
          <w:p w14:paraId="125AD2FB" w14:textId="77777777" w:rsidR="00F0312F" w:rsidRPr="00F516FD" w:rsidRDefault="00F0312F" w:rsidP="00F0312F">
            <w:pPr>
              <w:pStyle w:val="Tabletext0"/>
              <w:jc w:val="left"/>
            </w:pPr>
            <w:r w:rsidRPr="00F516FD">
              <w:t>605</w:t>
            </w:r>
          </w:p>
        </w:tc>
        <w:tc>
          <w:tcPr>
            <w:tcW w:w="598" w:type="pct"/>
            <w:tcMar>
              <w:left w:w="57" w:type="dxa"/>
              <w:right w:w="57" w:type="dxa"/>
            </w:tcMar>
          </w:tcPr>
          <w:p w14:paraId="415CAC58" w14:textId="77777777" w:rsidR="00F0312F" w:rsidRPr="00F516FD" w:rsidRDefault="00F0312F" w:rsidP="00F0312F">
            <w:pPr>
              <w:pStyle w:val="Tabletext0"/>
              <w:jc w:val="left"/>
            </w:pPr>
            <w:r w:rsidRPr="00F516FD">
              <w:t>607</w:t>
            </w:r>
          </w:p>
        </w:tc>
        <w:tc>
          <w:tcPr>
            <w:tcW w:w="603" w:type="pct"/>
            <w:gridSpan w:val="3"/>
            <w:tcMar>
              <w:left w:w="57" w:type="dxa"/>
              <w:right w:w="57" w:type="dxa"/>
            </w:tcMar>
          </w:tcPr>
          <w:p w14:paraId="1B4C788C" w14:textId="77777777" w:rsidR="00F0312F" w:rsidRPr="00F516FD" w:rsidRDefault="00F0312F" w:rsidP="00F0312F">
            <w:pPr>
              <w:pStyle w:val="Tabletext0"/>
              <w:jc w:val="left"/>
            </w:pPr>
            <w:r w:rsidRPr="00F516FD">
              <w:t>610</w:t>
            </w:r>
          </w:p>
        </w:tc>
        <w:tc>
          <w:tcPr>
            <w:tcW w:w="598" w:type="pct"/>
            <w:gridSpan w:val="4"/>
            <w:tcMar>
              <w:left w:w="57" w:type="dxa"/>
              <w:right w:w="57" w:type="dxa"/>
            </w:tcMar>
          </w:tcPr>
          <w:p w14:paraId="5FB95EC3" w14:textId="77777777" w:rsidR="00F0312F" w:rsidRPr="00F516FD" w:rsidRDefault="00F0312F" w:rsidP="00F0312F">
            <w:pPr>
              <w:pStyle w:val="Tabletext0"/>
              <w:jc w:val="left"/>
            </w:pPr>
            <w:r w:rsidRPr="00F516FD">
              <w:t>613</w:t>
            </w:r>
          </w:p>
        </w:tc>
        <w:tc>
          <w:tcPr>
            <w:tcW w:w="600" w:type="pct"/>
            <w:gridSpan w:val="4"/>
            <w:tcMar>
              <w:left w:w="57" w:type="dxa"/>
              <w:right w:w="57" w:type="dxa"/>
            </w:tcMar>
          </w:tcPr>
          <w:p w14:paraId="657538C0" w14:textId="77777777" w:rsidR="00F0312F" w:rsidRPr="00F516FD" w:rsidRDefault="00F0312F" w:rsidP="00F0312F">
            <w:pPr>
              <w:pStyle w:val="Tabletext0"/>
              <w:jc w:val="left"/>
            </w:pPr>
            <w:r w:rsidRPr="00F516FD">
              <w:t>615</w:t>
            </w:r>
          </w:p>
        </w:tc>
        <w:tc>
          <w:tcPr>
            <w:tcW w:w="591" w:type="pct"/>
            <w:tcMar>
              <w:left w:w="57" w:type="dxa"/>
              <w:right w:w="57" w:type="dxa"/>
            </w:tcMar>
          </w:tcPr>
          <w:p w14:paraId="23694A87" w14:textId="41D20F7D" w:rsidR="00F0312F" w:rsidRPr="00F516FD" w:rsidRDefault="00E761FF" w:rsidP="00F0312F">
            <w:pPr>
              <w:pStyle w:val="Tabletext0"/>
              <w:jc w:val="left"/>
            </w:pPr>
            <w:r w:rsidRPr="00F516FD">
              <w:t>618</w:t>
            </w:r>
          </w:p>
        </w:tc>
      </w:tr>
      <w:tr w:rsidR="00B45CEF" w:rsidRPr="00F516FD" w14:paraId="1F71932F" w14:textId="487B63AD" w:rsidTr="00E165FE">
        <w:tc>
          <w:tcPr>
            <w:tcW w:w="1412" w:type="pct"/>
            <w:tcBorders>
              <w:bottom w:val="single" w:sz="4" w:space="0" w:color="auto"/>
            </w:tcBorders>
            <w:tcMar>
              <w:left w:w="57" w:type="dxa"/>
              <w:right w:w="57" w:type="dxa"/>
            </w:tcMar>
          </w:tcPr>
          <w:p w14:paraId="6F080D35" w14:textId="7995840B" w:rsidR="00F967EB" w:rsidRPr="00F516FD" w:rsidRDefault="00F967EB">
            <w:pPr>
              <w:pStyle w:val="Tabletext0"/>
              <w:jc w:val="left"/>
            </w:pPr>
            <w:r w:rsidRPr="00F516FD">
              <w:t xml:space="preserve">Cost to MBS of proposed level 6 services (75% </w:t>
            </w:r>
            <w:proofErr w:type="gramStart"/>
            <w:r w:rsidRPr="00F516FD">
              <w:t>benefit)</w:t>
            </w:r>
            <w:r w:rsidRPr="00F516FD">
              <w:rPr>
                <w:vertAlign w:val="superscript"/>
              </w:rPr>
              <w:t>c</w:t>
            </w:r>
            <w:proofErr w:type="gramEnd"/>
          </w:p>
        </w:tc>
        <w:tc>
          <w:tcPr>
            <w:tcW w:w="598" w:type="pct"/>
            <w:tcBorders>
              <w:bottom w:val="single" w:sz="4" w:space="0" w:color="auto"/>
            </w:tcBorders>
            <w:tcMar>
              <w:left w:w="57" w:type="dxa"/>
              <w:right w:w="57" w:type="dxa"/>
            </w:tcMar>
          </w:tcPr>
          <w:p w14:paraId="5DD2EE9D" w14:textId="77777777" w:rsidR="00F967EB" w:rsidRPr="00F516FD" w:rsidRDefault="00F967EB">
            <w:pPr>
              <w:pStyle w:val="Tabletext0"/>
              <w:jc w:val="left"/>
            </w:pPr>
            <w:r w:rsidRPr="00F516FD">
              <w:t>$189,225</w:t>
            </w:r>
          </w:p>
        </w:tc>
        <w:tc>
          <w:tcPr>
            <w:tcW w:w="598" w:type="pct"/>
            <w:tcBorders>
              <w:bottom w:val="single" w:sz="4" w:space="0" w:color="auto"/>
            </w:tcBorders>
            <w:tcMar>
              <w:left w:w="57" w:type="dxa"/>
              <w:right w:w="57" w:type="dxa"/>
            </w:tcMar>
          </w:tcPr>
          <w:p w14:paraId="0018E723" w14:textId="77777777" w:rsidR="00F967EB" w:rsidRPr="00F516FD" w:rsidRDefault="00F967EB">
            <w:pPr>
              <w:pStyle w:val="Tabletext0"/>
              <w:jc w:val="left"/>
            </w:pPr>
            <w:r w:rsidRPr="00F516FD">
              <w:t>$190,051</w:t>
            </w:r>
          </w:p>
        </w:tc>
        <w:tc>
          <w:tcPr>
            <w:tcW w:w="603" w:type="pct"/>
            <w:gridSpan w:val="3"/>
            <w:tcBorders>
              <w:bottom w:val="single" w:sz="4" w:space="0" w:color="auto"/>
            </w:tcBorders>
            <w:tcMar>
              <w:left w:w="57" w:type="dxa"/>
              <w:right w:w="57" w:type="dxa"/>
            </w:tcMar>
          </w:tcPr>
          <w:p w14:paraId="5667E4FB" w14:textId="77777777" w:rsidR="00F967EB" w:rsidRPr="00F516FD" w:rsidRDefault="00F967EB">
            <w:pPr>
              <w:pStyle w:val="Tabletext0"/>
              <w:jc w:val="left"/>
            </w:pPr>
            <w:r w:rsidRPr="00F516FD">
              <w:t>$190,876</w:t>
            </w:r>
          </w:p>
        </w:tc>
        <w:tc>
          <w:tcPr>
            <w:tcW w:w="598" w:type="pct"/>
            <w:gridSpan w:val="4"/>
            <w:tcBorders>
              <w:bottom w:val="single" w:sz="4" w:space="0" w:color="auto"/>
            </w:tcBorders>
            <w:tcMar>
              <w:left w:w="57" w:type="dxa"/>
              <w:right w:w="57" w:type="dxa"/>
            </w:tcMar>
          </w:tcPr>
          <w:p w14:paraId="6AC86506" w14:textId="77777777" w:rsidR="00F967EB" w:rsidRPr="00F516FD" w:rsidRDefault="00F967EB">
            <w:pPr>
              <w:pStyle w:val="Tabletext0"/>
              <w:jc w:val="left"/>
            </w:pPr>
            <w:r w:rsidRPr="00F516FD">
              <w:t>$191,702</w:t>
            </w:r>
          </w:p>
        </w:tc>
        <w:tc>
          <w:tcPr>
            <w:tcW w:w="600" w:type="pct"/>
            <w:gridSpan w:val="4"/>
            <w:tcBorders>
              <w:bottom w:val="single" w:sz="4" w:space="0" w:color="auto"/>
            </w:tcBorders>
            <w:tcMar>
              <w:left w:w="57" w:type="dxa"/>
              <w:right w:w="57" w:type="dxa"/>
            </w:tcMar>
          </w:tcPr>
          <w:p w14:paraId="24D8779D" w14:textId="77777777" w:rsidR="00F967EB" w:rsidRPr="00F516FD" w:rsidRDefault="00F967EB">
            <w:pPr>
              <w:pStyle w:val="Tabletext0"/>
              <w:jc w:val="left"/>
            </w:pPr>
            <w:r w:rsidRPr="00F516FD">
              <w:t>$192,527</w:t>
            </w:r>
          </w:p>
        </w:tc>
        <w:tc>
          <w:tcPr>
            <w:tcW w:w="591" w:type="pct"/>
            <w:tcBorders>
              <w:bottom w:val="single" w:sz="4" w:space="0" w:color="auto"/>
            </w:tcBorders>
            <w:tcMar>
              <w:left w:w="57" w:type="dxa"/>
              <w:right w:w="57" w:type="dxa"/>
            </w:tcMar>
          </w:tcPr>
          <w:p w14:paraId="40ABBB11" w14:textId="2B47A60C" w:rsidR="00F967EB" w:rsidRPr="00F516FD" w:rsidRDefault="00F0312F">
            <w:pPr>
              <w:pStyle w:val="Tabletext0"/>
              <w:jc w:val="left"/>
            </w:pPr>
            <w:r w:rsidRPr="00F516FD">
              <w:t>$193,352</w:t>
            </w:r>
          </w:p>
        </w:tc>
      </w:tr>
      <w:tr w:rsidR="00B45CEF" w:rsidRPr="00F516FD" w14:paraId="335A5F67" w14:textId="6A5A78F0" w:rsidTr="00E165FE">
        <w:tc>
          <w:tcPr>
            <w:tcW w:w="3418" w:type="pct"/>
            <w:gridSpan w:val="7"/>
            <w:tcBorders>
              <w:left w:val="single" w:sz="4" w:space="0" w:color="auto"/>
              <w:right w:val="nil"/>
            </w:tcBorders>
            <w:tcMar>
              <w:left w:w="57" w:type="dxa"/>
              <w:right w:w="57" w:type="dxa"/>
            </w:tcMar>
          </w:tcPr>
          <w:p w14:paraId="1A54546F" w14:textId="1F67C338" w:rsidR="00F967EB" w:rsidRPr="00F516FD" w:rsidRDefault="00F967EB">
            <w:pPr>
              <w:pStyle w:val="Tabletext0"/>
              <w:jc w:val="left"/>
              <w:rPr>
                <w:b/>
                <w:bCs/>
              </w:rPr>
            </w:pPr>
            <w:r w:rsidRPr="00F516FD">
              <w:rPr>
                <w:b/>
                <w:bCs/>
              </w:rPr>
              <w:t>Change in use and cost of other health technologies</w:t>
            </w:r>
          </w:p>
        </w:tc>
        <w:tc>
          <w:tcPr>
            <w:tcW w:w="121" w:type="pct"/>
            <w:tcBorders>
              <w:left w:val="nil"/>
              <w:right w:val="nil"/>
            </w:tcBorders>
            <w:tcMar>
              <w:left w:w="57" w:type="dxa"/>
              <w:right w:w="57" w:type="dxa"/>
            </w:tcMar>
          </w:tcPr>
          <w:p w14:paraId="3037EF75" w14:textId="77777777" w:rsidR="00F967EB" w:rsidRPr="00F516FD" w:rsidRDefault="00F967EB">
            <w:pPr>
              <w:pStyle w:val="Tabletext0"/>
              <w:jc w:val="left"/>
              <w:rPr>
                <w:b/>
                <w:bCs/>
              </w:rPr>
            </w:pPr>
          </w:p>
        </w:tc>
        <w:tc>
          <w:tcPr>
            <w:tcW w:w="131" w:type="pct"/>
            <w:tcBorders>
              <w:left w:val="nil"/>
              <w:right w:val="nil"/>
            </w:tcBorders>
            <w:tcMar>
              <w:left w:w="57" w:type="dxa"/>
              <w:right w:w="57" w:type="dxa"/>
            </w:tcMar>
          </w:tcPr>
          <w:p w14:paraId="6CEA19C4" w14:textId="77777777" w:rsidR="00F967EB" w:rsidRPr="00F516FD" w:rsidRDefault="00F967EB">
            <w:pPr>
              <w:pStyle w:val="Tabletext0"/>
              <w:jc w:val="left"/>
              <w:rPr>
                <w:b/>
                <w:bCs/>
              </w:rPr>
            </w:pPr>
          </w:p>
        </w:tc>
        <w:tc>
          <w:tcPr>
            <w:tcW w:w="139" w:type="pct"/>
            <w:tcBorders>
              <w:left w:val="nil"/>
              <w:right w:val="nil"/>
            </w:tcBorders>
            <w:tcMar>
              <w:left w:w="57" w:type="dxa"/>
              <w:right w:w="57" w:type="dxa"/>
            </w:tcMar>
          </w:tcPr>
          <w:p w14:paraId="6BEB723B" w14:textId="77777777" w:rsidR="00F967EB" w:rsidRPr="00F516FD" w:rsidRDefault="00F967EB">
            <w:pPr>
              <w:pStyle w:val="Tabletext0"/>
              <w:jc w:val="left"/>
              <w:rPr>
                <w:b/>
                <w:bCs/>
              </w:rPr>
            </w:pPr>
          </w:p>
        </w:tc>
        <w:tc>
          <w:tcPr>
            <w:tcW w:w="134" w:type="pct"/>
            <w:tcBorders>
              <w:left w:val="nil"/>
              <w:right w:val="nil"/>
            </w:tcBorders>
            <w:tcMar>
              <w:left w:w="57" w:type="dxa"/>
              <w:right w:w="57" w:type="dxa"/>
            </w:tcMar>
          </w:tcPr>
          <w:p w14:paraId="428A2F5B" w14:textId="77777777" w:rsidR="00F967EB" w:rsidRPr="00F516FD" w:rsidRDefault="00F967EB">
            <w:pPr>
              <w:pStyle w:val="Tabletext0"/>
              <w:jc w:val="left"/>
              <w:rPr>
                <w:b/>
                <w:bCs/>
              </w:rPr>
            </w:pPr>
          </w:p>
        </w:tc>
        <w:tc>
          <w:tcPr>
            <w:tcW w:w="466" w:type="pct"/>
            <w:gridSpan w:val="3"/>
            <w:tcBorders>
              <w:left w:val="nil"/>
              <w:right w:val="nil"/>
            </w:tcBorders>
            <w:tcMar>
              <w:left w:w="57" w:type="dxa"/>
              <w:right w:w="57" w:type="dxa"/>
            </w:tcMar>
          </w:tcPr>
          <w:p w14:paraId="4A477B84" w14:textId="77777777" w:rsidR="00F967EB" w:rsidRPr="00F516FD" w:rsidRDefault="00F967EB">
            <w:pPr>
              <w:pStyle w:val="Tabletext0"/>
              <w:jc w:val="left"/>
              <w:rPr>
                <w:b/>
                <w:bCs/>
              </w:rPr>
            </w:pPr>
          </w:p>
        </w:tc>
        <w:tc>
          <w:tcPr>
            <w:tcW w:w="591" w:type="pct"/>
            <w:tcBorders>
              <w:left w:val="nil"/>
            </w:tcBorders>
            <w:tcMar>
              <w:left w:w="57" w:type="dxa"/>
              <w:right w:w="57" w:type="dxa"/>
            </w:tcMar>
          </w:tcPr>
          <w:p w14:paraId="2BDE8979" w14:textId="77777777" w:rsidR="00F967EB" w:rsidRPr="00F516FD" w:rsidRDefault="00F967EB">
            <w:pPr>
              <w:pStyle w:val="Tabletext0"/>
              <w:jc w:val="left"/>
              <w:rPr>
                <w:b/>
                <w:bCs/>
              </w:rPr>
            </w:pPr>
          </w:p>
        </w:tc>
      </w:tr>
      <w:tr w:rsidR="00B45CEF" w:rsidRPr="00F516FD" w14:paraId="169F5090" w14:textId="6C6B6888" w:rsidTr="00E165FE">
        <w:tc>
          <w:tcPr>
            <w:tcW w:w="1412" w:type="pct"/>
            <w:tcMar>
              <w:left w:w="57" w:type="dxa"/>
              <w:right w:w="57" w:type="dxa"/>
            </w:tcMar>
          </w:tcPr>
          <w:p w14:paraId="2D0AD433" w14:textId="230525FB" w:rsidR="00C170C4" w:rsidRPr="00F516FD" w:rsidRDefault="00C170C4" w:rsidP="00C170C4">
            <w:pPr>
              <w:pStyle w:val="Tabletext0"/>
              <w:jc w:val="left"/>
            </w:pPr>
            <w:r w:rsidRPr="00F516FD">
              <w:t xml:space="preserve">Cost to MBS of level 4 services (75% </w:t>
            </w:r>
            <w:proofErr w:type="gramStart"/>
            <w:r w:rsidRPr="00F516FD">
              <w:t>benefit)</w:t>
            </w:r>
            <w:r w:rsidRPr="00F516FD">
              <w:rPr>
                <w:vertAlign w:val="superscript"/>
              </w:rPr>
              <w:t>d</w:t>
            </w:r>
            <w:proofErr w:type="gramEnd"/>
          </w:p>
        </w:tc>
        <w:tc>
          <w:tcPr>
            <w:tcW w:w="598" w:type="pct"/>
            <w:tcMar>
              <w:left w:w="57" w:type="dxa"/>
              <w:right w:w="57" w:type="dxa"/>
            </w:tcMar>
          </w:tcPr>
          <w:p w14:paraId="04817F1C" w14:textId="77777777" w:rsidR="00C170C4" w:rsidRPr="00F516FD" w:rsidRDefault="00C170C4" w:rsidP="00C170C4">
            <w:pPr>
              <w:pStyle w:val="Tabletext0"/>
              <w:jc w:val="left"/>
            </w:pPr>
            <w:r w:rsidRPr="00F516FD">
              <w:t>-$44,086</w:t>
            </w:r>
          </w:p>
        </w:tc>
        <w:tc>
          <w:tcPr>
            <w:tcW w:w="598" w:type="pct"/>
            <w:tcMar>
              <w:left w:w="57" w:type="dxa"/>
              <w:right w:w="57" w:type="dxa"/>
            </w:tcMar>
          </w:tcPr>
          <w:p w14:paraId="76F5FE61" w14:textId="77777777" w:rsidR="00C170C4" w:rsidRPr="00F516FD" w:rsidRDefault="00C170C4" w:rsidP="00C170C4">
            <w:pPr>
              <w:pStyle w:val="Tabletext0"/>
              <w:jc w:val="left"/>
            </w:pPr>
            <w:r w:rsidRPr="00F516FD">
              <w:t>-$44,278</w:t>
            </w:r>
          </w:p>
        </w:tc>
        <w:tc>
          <w:tcPr>
            <w:tcW w:w="598" w:type="pct"/>
            <w:gridSpan w:val="3"/>
            <w:tcMar>
              <w:left w:w="57" w:type="dxa"/>
              <w:right w:w="57" w:type="dxa"/>
            </w:tcMar>
          </w:tcPr>
          <w:p w14:paraId="562CCBB1" w14:textId="77777777" w:rsidR="00C170C4" w:rsidRPr="00F516FD" w:rsidRDefault="00C170C4" w:rsidP="00C170C4">
            <w:pPr>
              <w:pStyle w:val="Tabletext0"/>
              <w:jc w:val="left"/>
            </w:pPr>
            <w:r w:rsidRPr="00F516FD">
              <w:t>-$44,471</w:t>
            </w:r>
          </w:p>
        </w:tc>
        <w:tc>
          <w:tcPr>
            <w:tcW w:w="598" w:type="pct"/>
            <w:gridSpan w:val="4"/>
            <w:tcMar>
              <w:left w:w="57" w:type="dxa"/>
              <w:right w:w="57" w:type="dxa"/>
            </w:tcMar>
          </w:tcPr>
          <w:p w14:paraId="0F8F3A44" w14:textId="77777777" w:rsidR="00C170C4" w:rsidRPr="00F516FD" w:rsidRDefault="00C170C4" w:rsidP="00C170C4">
            <w:pPr>
              <w:pStyle w:val="Tabletext0"/>
              <w:jc w:val="left"/>
            </w:pPr>
            <w:r w:rsidRPr="00F516FD">
              <w:t>-$44,663</w:t>
            </w:r>
          </w:p>
        </w:tc>
        <w:tc>
          <w:tcPr>
            <w:tcW w:w="598" w:type="pct"/>
            <w:gridSpan w:val="4"/>
            <w:tcMar>
              <w:left w:w="57" w:type="dxa"/>
              <w:right w:w="57" w:type="dxa"/>
            </w:tcMar>
          </w:tcPr>
          <w:p w14:paraId="04BB0AF0" w14:textId="77777777" w:rsidR="00C170C4" w:rsidRPr="00F516FD" w:rsidRDefault="00C170C4" w:rsidP="00C170C4">
            <w:pPr>
              <w:pStyle w:val="Tabletext0"/>
              <w:jc w:val="left"/>
            </w:pPr>
            <w:r w:rsidRPr="00F516FD">
              <w:t>-$44,855</w:t>
            </w:r>
          </w:p>
        </w:tc>
        <w:tc>
          <w:tcPr>
            <w:tcW w:w="598" w:type="pct"/>
            <w:tcMar>
              <w:left w:w="57" w:type="dxa"/>
              <w:right w:w="57" w:type="dxa"/>
            </w:tcMar>
          </w:tcPr>
          <w:p w14:paraId="6F962543" w14:textId="1B254FFA" w:rsidR="00C170C4" w:rsidRPr="00F516FD" w:rsidRDefault="00C170C4" w:rsidP="00C170C4">
            <w:pPr>
              <w:pStyle w:val="Tabletext0"/>
              <w:jc w:val="left"/>
            </w:pPr>
            <w:r w:rsidRPr="00F516FD">
              <w:t>-$45,048</w:t>
            </w:r>
          </w:p>
        </w:tc>
      </w:tr>
      <w:tr w:rsidR="00B45CEF" w:rsidRPr="00F516FD" w14:paraId="322CA865" w14:textId="1F3109BA" w:rsidTr="00E165FE">
        <w:tc>
          <w:tcPr>
            <w:tcW w:w="1412" w:type="pct"/>
            <w:tcMar>
              <w:left w:w="57" w:type="dxa"/>
              <w:right w:w="57" w:type="dxa"/>
            </w:tcMar>
          </w:tcPr>
          <w:p w14:paraId="37F3FC8F" w14:textId="3EC75CC8" w:rsidR="00C170C4" w:rsidRPr="00F516FD" w:rsidRDefault="00C170C4" w:rsidP="00C170C4">
            <w:pPr>
              <w:pStyle w:val="Tabletext0"/>
              <w:jc w:val="left"/>
              <w:rPr>
                <w:b/>
                <w:bCs/>
              </w:rPr>
            </w:pPr>
            <w:bookmarkStart w:id="36" w:name="_Hlk170996501"/>
            <w:r w:rsidRPr="00F516FD">
              <w:rPr>
                <w:b/>
                <w:bCs/>
              </w:rPr>
              <w:t>Net financial impact to MBS of increasing from complexity level 4 to 6 (75% benefit)</w:t>
            </w:r>
          </w:p>
        </w:tc>
        <w:tc>
          <w:tcPr>
            <w:tcW w:w="598" w:type="pct"/>
            <w:tcMar>
              <w:left w:w="57" w:type="dxa"/>
              <w:right w:w="57" w:type="dxa"/>
            </w:tcMar>
          </w:tcPr>
          <w:p w14:paraId="21F95038" w14:textId="77777777" w:rsidR="00C170C4" w:rsidRPr="00F516FD" w:rsidRDefault="00C170C4" w:rsidP="00C170C4">
            <w:pPr>
              <w:pStyle w:val="Tabletext0"/>
              <w:jc w:val="left"/>
              <w:rPr>
                <w:b/>
                <w:bCs/>
              </w:rPr>
            </w:pPr>
            <w:r w:rsidRPr="00F516FD">
              <w:rPr>
                <w:b/>
                <w:bCs/>
              </w:rPr>
              <w:t>$145,139</w:t>
            </w:r>
          </w:p>
        </w:tc>
        <w:tc>
          <w:tcPr>
            <w:tcW w:w="598" w:type="pct"/>
            <w:tcMar>
              <w:left w:w="57" w:type="dxa"/>
              <w:right w:w="57" w:type="dxa"/>
            </w:tcMar>
          </w:tcPr>
          <w:p w14:paraId="74873AC6" w14:textId="77777777" w:rsidR="00C170C4" w:rsidRPr="00F516FD" w:rsidRDefault="00C170C4" w:rsidP="00C170C4">
            <w:pPr>
              <w:pStyle w:val="Tabletext0"/>
              <w:jc w:val="left"/>
              <w:rPr>
                <w:b/>
                <w:bCs/>
              </w:rPr>
            </w:pPr>
            <w:r w:rsidRPr="00F516FD">
              <w:rPr>
                <w:b/>
                <w:bCs/>
              </w:rPr>
              <w:t>$145,772</w:t>
            </w:r>
          </w:p>
        </w:tc>
        <w:tc>
          <w:tcPr>
            <w:tcW w:w="598" w:type="pct"/>
            <w:gridSpan w:val="3"/>
            <w:tcMar>
              <w:left w:w="57" w:type="dxa"/>
              <w:right w:w="57" w:type="dxa"/>
            </w:tcMar>
          </w:tcPr>
          <w:p w14:paraId="02E6B43F" w14:textId="77777777" w:rsidR="00C170C4" w:rsidRPr="00F516FD" w:rsidRDefault="00C170C4" w:rsidP="00C170C4">
            <w:pPr>
              <w:pStyle w:val="Tabletext0"/>
              <w:jc w:val="left"/>
              <w:rPr>
                <w:b/>
                <w:bCs/>
              </w:rPr>
            </w:pPr>
            <w:r w:rsidRPr="00F516FD">
              <w:rPr>
                <w:b/>
                <w:bCs/>
              </w:rPr>
              <w:t>$146,406</w:t>
            </w:r>
          </w:p>
        </w:tc>
        <w:tc>
          <w:tcPr>
            <w:tcW w:w="598" w:type="pct"/>
            <w:gridSpan w:val="4"/>
            <w:tcMar>
              <w:left w:w="57" w:type="dxa"/>
              <w:right w:w="57" w:type="dxa"/>
            </w:tcMar>
          </w:tcPr>
          <w:p w14:paraId="679D812B" w14:textId="77777777" w:rsidR="00C170C4" w:rsidRPr="00F516FD" w:rsidRDefault="00C170C4" w:rsidP="00C170C4">
            <w:pPr>
              <w:pStyle w:val="Tabletext0"/>
              <w:jc w:val="left"/>
              <w:rPr>
                <w:b/>
                <w:bCs/>
              </w:rPr>
            </w:pPr>
            <w:r w:rsidRPr="00F516FD">
              <w:rPr>
                <w:b/>
                <w:bCs/>
              </w:rPr>
              <w:t>$147,039</w:t>
            </w:r>
          </w:p>
        </w:tc>
        <w:tc>
          <w:tcPr>
            <w:tcW w:w="598" w:type="pct"/>
            <w:gridSpan w:val="4"/>
            <w:tcMar>
              <w:left w:w="57" w:type="dxa"/>
              <w:right w:w="57" w:type="dxa"/>
            </w:tcMar>
          </w:tcPr>
          <w:p w14:paraId="207135E0" w14:textId="77777777" w:rsidR="00C170C4" w:rsidRPr="00F516FD" w:rsidRDefault="00C170C4" w:rsidP="00C170C4">
            <w:pPr>
              <w:pStyle w:val="Tabletext0"/>
              <w:jc w:val="left"/>
              <w:rPr>
                <w:b/>
                <w:bCs/>
              </w:rPr>
            </w:pPr>
            <w:r w:rsidRPr="00F516FD">
              <w:rPr>
                <w:b/>
                <w:bCs/>
              </w:rPr>
              <w:t>$147,672</w:t>
            </w:r>
          </w:p>
        </w:tc>
        <w:tc>
          <w:tcPr>
            <w:tcW w:w="598" w:type="pct"/>
            <w:tcMar>
              <w:left w:w="57" w:type="dxa"/>
              <w:right w:w="57" w:type="dxa"/>
            </w:tcMar>
          </w:tcPr>
          <w:p w14:paraId="374ED9B2" w14:textId="0179DA14" w:rsidR="00C170C4" w:rsidRPr="00F516FD" w:rsidRDefault="00C170C4" w:rsidP="00C170C4">
            <w:pPr>
              <w:pStyle w:val="Tabletext0"/>
              <w:jc w:val="left"/>
              <w:rPr>
                <w:b/>
                <w:bCs/>
              </w:rPr>
            </w:pPr>
            <w:r w:rsidRPr="00F516FD">
              <w:rPr>
                <w:b/>
                <w:bCs/>
              </w:rPr>
              <w:t>$148,305</w:t>
            </w:r>
          </w:p>
        </w:tc>
      </w:tr>
    </w:tbl>
    <w:bookmarkEnd w:id="36"/>
    <w:p w14:paraId="7644F23F" w14:textId="42FEC447" w:rsidR="000F7A18" w:rsidRPr="00F516FD" w:rsidRDefault="00BA584D" w:rsidP="000F7A18">
      <w:pPr>
        <w:pStyle w:val="TableFooter"/>
      </w:pPr>
      <w:r w:rsidRPr="00F516FD">
        <w:t xml:space="preserve">FY = financial year; </w:t>
      </w:r>
      <w:r w:rsidR="000F7A18" w:rsidRPr="00F516FD">
        <w:t>MBS = Medicare Benefits Schedule</w:t>
      </w:r>
      <w:r w:rsidR="00CA5E08" w:rsidRPr="00F516FD">
        <w:t>.</w:t>
      </w:r>
    </w:p>
    <w:p w14:paraId="4E0E46A2" w14:textId="6CB76DD7" w:rsidR="000F7A18" w:rsidRPr="00F516FD" w:rsidRDefault="000F7A18" w:rsidP="000F7A18">
      <w:pPr>
        <w:pStyle w:val="TableFooter"/>
      </w:pPr>
      <w:r w:rsidRPr="00F516FD">
        <w:t>a</w:t>
      </w:r>
      <w:r w:rsidRPr="00F516FD">
        <w:rPr>
          <w:b/>
          <w:bCs/>
        </w:rPr>
        <w:t xml:space="preserve"> </w:t>
      </w:r>
      <w:r w:rsidRPr="00F516FD">
        <w:t xml:space="preserve">Calculated by multiplying the proportion of neonatal deaths </w:t>
      </w:r>
      <w:r w:rsidR="004D5132" w:rsidRPr="00F516FD">
        <w:t>that occur within 24 hours (16%)</w:t>
      </w:r>
      <w:r w:rsidRPr="00F516FD">
        <w:t xml:space="preserve"> by the number of all neonatal deaths</w:t>
      </w:r>
      <w:r w:rsidR="002A255D" w:rsidRPr="00F516FD">
        <w:t>.</w:t>
      </w:r>
    </w:p>
    <w:p w14:paraId="06088C20" w14:textId="6E652047" w:rsidR="00E956AA" w:rsidRPr="00F516FD" w:rsidRDefault="00824310" w:rsidP="000F7A18">
      <w:pPr>
        <w:pStyle w:val="TableFooter"/>
      </w:pPr>
      <w:r w:rsidRPr="00F516FD">
        <w:t>b</w:t>
      </w:r>
      <w:r w:rsidR="000F7A18" w:rsidRPr="00F516FD">
        <w:t xml:space="preserve"> Calculated by multiplying the total number of </w:t>
      </w:r>
      <w:r w:rsidR="004378D6" w:rsidRPr="00F516FD">
        <w:t xml:space="preserve">placental </w:t>
      </w:r>
      <w:r w:rsidR="000D1843" w:rsidRPr="00F516FD">
        <w:t xml:space="preserve">examinations for Population 1 </w:t>
      </w:r>
      <w:r w:rsidR="004012C4" w:rsidRPr="00F516FD">
        <w:t>by</w:t>
      </w:r>
      <w:r w:rsidR="000F7A18" w:rsidRPr="00F516FD">
        <w:t xml:space="preserve"> the proportion of patients giving birth </w:t>
      </w:r>
      <w:r w:rsidR="004012C4" w:rsidRPr="00F516FD">
        <w:t>in a private hospital (25.4%)</w:t>
      </w:r>
      <w:r w:rsidR="00162DA2" w:rsidRPr="00F516FD">
        <w:t>.</w:t>
      </w:r>
      <w:r w:rsidR="003562B5" w:rsidRPr="00F516FD">
        <w:t xml:space="preserve"> Assumes </w:t>
      </w:r>
      <w:r w:rsidR="00E165FE" w:rsidRPr="00F516FD">
        <w:t>one</w:t>
      </w:r>
      <w:r w:rsidR="003562B5" w:rsidRPr="00F516FD">
        <w:t xml:space="preserve"> placental examination per stillbirth/neonatal death.</w:t>
      </w:r>
    </w:p>
    <w:p w14:paraId="47AE675D" w14:textId="35F5CAAA" w:rsidR="000858AF" w:rsidRPr="00F516FD" w:rsidRDefault="000858AF" w:rsidP="000F7A18">
      <w:pPr>
        <w:pStyle w:val="TableFooter"/>
      </w:pPr>
      <w:r w:rsidRPr="00F516FD">
        <w:t>c Calculated using 75% benefit ($312.90) for examination of complexity level 6 biopsy material (MBS item 72836).</w:t>
      </w:r>
    </w:p>
    <w:p w14:paraId="3A8E2A10" w14:textId="1E038AF2" w:rsidR="000858AF" w:rsidRPr="00F516FD" w:rsidRDefault="00F92173" w:rsidP="000F7A18">
      <w:pPr>
        <w:pStyle w:val="TableFooter"/>
      </w:pPr>
      <w:r w:rsidRPr="00F516FD">
        <w:t>d Calculated using 75% benefit ($72.90) for examination of complexity level 4 biopsy material (MBS item 72823).</w:t>
      </w:r>
    </w:p>
    <w:p w14:paraId="28462933" w14:textId="01BBE9E9" w:rsidR="002B47DA" w:rsidRPr="00F516FD" w:rsidRDefault="002B47DA" w:rsidP="000F7A18">
      <w:pPr>
        <w:pStyle w:val="TableFooter"/>
      </w:pPr>
      <w:r w:rsidRPr="00F516FD">
        <w:t>Source: DCAR Table</w:t>
      </w:r>
      <w:r w:rsidR="00786ADB" w:rsidRPr="00F516FD">
        <w:t>s</w:t>
      </w:r>
      <w:r w:rsidRPr="00F516FD">
        <w:t xml:space="preserve"> </w:t>
      </w:r>
      <w:r w:rsidR="00F06D25" w:rsidRPr="00F516FD">
        <w:t xml:space="preserve">18 </w:t>
      </w:r>
      <w:r w:rsidR="00786ADB" w:rsidRPr="00F516FD">
        <w:t xml:space="preserve">and </w:t>
      </w:r>
      <w:r w:rsidR="00062A82" w:rsidRPr="00F516FD">
        <w:t>23</w:t>
      </w:r>
      <w:r w:rsidR="00CA5E08" w:rsidRPr="00F516FD">
        <w:t>.</w:t>
      </w:r>
    </w:p>
    <w:p w14:paraId="147EFE6C" w14:textId="09DE84E2" w:rsidR="00CF6ABF" w:rsidRPr="00F516FD" w:rsidRDefault="009E7247" w:rsidP="00CF6ABF">
      <w:r w:rsidRPr="00F516FD">
        <w:t xml:space="preserve">The AIHW does not report statistics for pregnancy loss, </w:t>
      </w:r>
      <w:r w:rsidR="00D7259F" w:rsidRPr="00F516FD">
        <w:t>n</w:t>
      </w:r>
      <w:r w:rsidRPr="00F516FD">
        <w:t>or prenatal data prior to 20 weeks</w:t>
      </w:r>
      <w:r w:rsidR="00B56808" w:rsidRPr="00F516FD">
        <w:t>’</w:t>
      </w:r>
      <w:r w:rsidRPr="00F516FD">
        <w:t xml:space="preserve"> gestation. Therefore, hospital separations with a primary diagnosis of spontaneous abortion (ICD-10 codes O03.0 to O03.9) were used as an approximate measure in the absence of more specific data.</w:t>
      </w:r>
      <w:r w:rsidR="00CF6ABF" w:rsidRPr="00F516FD">
        <w:t xml:space="preserve"> In 2021, there were 10,722 hospitalisations due to spontaneous abortion. Although this would include some early miscarriages (prior to 12 weeks</w:t>
      </w:r>
      <w:r w:rsidR="002F2BD5" w:rsidRPr="00F516FD">
        <w:t>’</w:t>
      </w:r>
      <w:r w:rsidR="00CF6ABF" w:rsidRPr="00F516FD">
        <w:t xml:space="preserve"> gestation), it was assumed that essentially all late miscarriages would be captured as hospitalisations</w:t>
      </w:r>
      <w:r w:rsidR="00A7365C" w:rsidRPr="00F516FD">
        <w:t xml:space="preserve"> (</w:t>
      </w:r>
      <w:r w:rsidR="00F75E39" w:rsidRPr="00F516FD">
        <w:t>or</w:t>
      </w:r>
      <w:r w:rsidR="00A7365C" w:rsidRPr="00F516FD">
        <w:t xml:space="preserve"> if not, would not be available for placental examination</w:t>
      </w:r>
      <w:r w:rsidR="00F75E39" w:rsidRPr="00F516FD">
        <w:t>)</w:t>
      </w:r>
      <w:r w:rsidR="00CF6ABF" w:rsidRPr="00F516FD">
        <w:t xml:space="preserve">. Furthermore, it was assumed that all late </w:t>
      </w:r>
      <w:r w:rsidR="00CE422E" w:rsidRPr="00F516FD">
        <w:t xml:space="preserve">hospital </w:t>
      </w:r>
      <w:r w:rsidR="00CF6ABF" w:rsidRPr="00F516FD">
        <w:t xml:space="preserve">miscarriages would be indicated for, and undergo, placental histopathology. </w:t>
      </w:r>
    </w:p>
    <w:p w14:paraId="7A3364EB" w14:textId="77AD1BAE" w:rsidR="004B321A" w:rsidRPr="00F516FD" w:rsidRDefault="004B321A" w:rsidP="004B321A">
      <w:r w:rsidRPr="00F516FD">
        <w:t xml:space="preserve">Indications for placental histology, including following a live birth, are listed in </w:t>
      </w:r>
      <w:r w:rsidRPr="00F516FD">
        <w:fldChar w:fldCharType="begin"/>
      </w:r>
      <w:r w:rsidRPr="00F516FD">
        <w:instrText xml:space="preserve"> REF _Ref167115332 \h </w:instrText>
      </w:r>
      <w:r w:rsidR="00F516FD">
        <w:instrText xml:space="preserve"> \* MERGEFORMAT </w:instrText>
      </w:r>
      <w:r w:rsidRPr="00F516FD">
        <w:fldChar w:fldCharType="separate"/>
      </w:r>
      <w:r w:rsidR="002A4535" w:rsidRPr="00F516FD">
        <w:t>Table </w:t>
      </w:r>
      <w:r w:rsidR="002A4535" w:rsidRPr="00F516FD">
        <w:rPr>
          <w:noProof/>
        </w:rPr>
        <w:t>6</w:t>
      </w:r>
      <w:r w:rsidRPr="00F516FD">
        <w:fldChar w:fldCharType="end"/>
      </w:r>
      <w:r w:rsidRPr="00F516FD">
        <w:t xml:space="preserve">. These include </w:t>
      </w:r>
      <w:proofErr w:type="spellStart"/>
      <w:r w:rsidRPr="00F516FD">
        <w:t>fetal</w:t>
      </w:r>
      <w:proofErr w:type="spellEnd"/>
      <w:r w:rsidRPr="00F516FD">
        <w:t xml:space="preserve">, </w:t>
      </w:r>
      <w:proofErr w:type="gramStart"/>
      <w:r w:rsidRPr="00F516FD">
        <w:t>maternal</w:t>
      </w:r>
      <w:proofErr w:type="gramEnd"/>
      <w:r w:rsidRPr="00F516FD">
        <w:t xml:space="preserve"> and placental indications and although they cover a broad range of conditions and outcomes, admission to a special care nursery (SCN) or NICU following birth is considered a suitable proxy. These admissions cover premature births and births complicated by abnormal gestation or </w:t>
      </w:r>
      <w:proofErr w:type="spellStart"/>
      <w:r w:rsidRPr="00F516FD">
        <w:t>fetal</w:t>
      </w:r>
      <w:proofErr w:type="spellEnd"/>
      <w:r w:rsidRPr="00F516FD">
        <w:t xml:space="preserve"> development. The AIHW reports that in 2021, 17% of live births were admitted to SCN or NICU, equating to 53,670 babies. </w:t>
      </w:r>
    </w:p>
    <w:p w14:paraId="32E08394" w14:textId="400FFF2B" w:rsidR="000F7A18" w:rsidRPr="00F516FD" w:rsidRDefault="0046104B" w:rsidP="00273259">
      <w:r w:rsidRPr="00F516FD">
        <w:t xml:space="preserve">The number of women who give birth and the number of babies born have both remained steady between 2011 and 2021 and therefore no trend analysis was included for </w:t>
      </w:r>
      <w:r w:rsidR="000D4406" w:rsidRPr="00F516FD">
        <w:t>P</w:t>
      </w:r>
      <w:r w:rsidRPr="00F516FD">
        <w:t>opulations 2 and 3 (proposed level 5 complexity.)</w:t>
      </w:r>
    </w:p>
    <w:p w14:paraId="0D027A65" w14:textId="1C7F2CDA" w:rsidR="00DA1BD8" w:rsidRPr="00F516FD" w:rsidRDefault="005D5B90" w:rsidP="00DA1BD8">
      <w:r w:rsidRPr="00F516FD">
        <w:t>A large</w:t>
      </w:r>
      <w:r w:rsidR="00E64D98" w:rsidRPr="00F516FD">
        <w:t xml:space="preserve"> proportion of </w:t>
      </w:r>
      <w:r w:rsidRPr="00F516FD">
        <w:t xml:space="preserve">the estimated </w:t>
      </w:r>
      <w:r w:rsidR="00712565" w:rsidRPr="00F516FD">
        <w:t xml:space="preserve">net </w:t>
      </w:r>
      <w:r w:rsidR="00E64D98" w:rsidRPr="00F516FD">
        <w:t>cos</w:t>
      </w:r>
      <w:r w:rsidRPr="00F516FD">
        <w:t>t to the</w:t>
      </w:r>
      <w:r w:rsidR="00A61B1A" w:rsidRPr="00F516FD">
        <w:t xml:space="preserve"> MBS was</w:t>
      </w:r>
      <w:r w:rsidR="00E64D98" w:rsidRPr="00F516FD">
        <w:t xml:space="preserve"> associated with live births </w:t>
      </w:r>
      <w:r w:rsidR="00291F91" w:rsidRPr="00F516FD">
        <w:t>(</w:t>
      </w:r>
      <w:r w:rsidR="00DA1BD8" w:rsidRPr="00F516FD">
        <w:t>83%</w:t>
      </w:r>
      <w:r w:rsidR="00291F91" w:rsidRPr="00F516FD">
        <w:t xml:space="preserve">) and </w:t>
      </w:r>
      <w:r w:rsidR="00712565" w:rsidRPr="00F516FD">
        <w:t xml:space="preserve">this </w:t>
      </w:r>
      <w:r w:rsidR="00D57B0E" w:rsidRPr="00F516FD">
        <w:t>wa</w:t>
      </w:r>
      <w:r w:rsidR="008463AF" w:rsidRPr="00F516FD">
        <w:t>s partially offset by a reduction in level 4 services.</w:t>
      </w:r>
    </w:p>
    <w:p w14:paraId="4E53BB38" w14:textId="187D6E3B" w:rsidR="001B4F23" w:rsidRPr="00F516FD" w:rsidRDefault="001B4F23" w:rsidP="001B4F23">
      <w:pPr>
        <w:pStyle w:val="Caption"/>
      </w:pPr>
      <w:bookmarkStart w:id="37" w:name="_Ref167891740"/>
      <w:bookmarkStart w:id="38" w:name="_Ref167960959"/>
      <w:bookmarkStart w:id="39" w:name="_Ref169798394"/>
      <w:r w:rsidRPr="00F516FD">
        <w:lastRenderedPageBreak/>
        <w:t>Table</w:t>
      </w:r>
      <w:bookmarkEnd w:id="37"/>
      <w:r w:rsidRPr="00F516FD">
        <w:t xml:space="preserve"> </w:t>
      </w:r>
      <w:r w:rsidRPr="00F516FD">
        <w:fldChar w:fldCharType="begin"/>
      </w:r>
      <w:r w:rsidRPr="00F516FD">
        <w:instrText>SEQ Table \* ARABIC</w:instrText>
      </w:r>
      <w:r w:rsidRPr="00F516FD">
        <w:fldChar w:fldCharType="separate"/>
      </w:r>
      <w:r w:rsidR="002A4535" w:rsidRPr="00F516FD">
        <w:rPr>
          <w:noProof/>
        </w:rPr>
        <w:t>8</w:t>
      </w:r>
      <w:r w:rsidRPr="00F516FD">
        <w:fldChar w:fldCharType="end"/>
      </w:r>
      <w:bookmarkEnd w:id="38"/>
      <w:r w:rsidRPr="00F516FD">
        <w:tab/>
        <w:t xml:space="preserve">Net financial impact to the MBS of increasing the complexity level of placental examinations for </w:t>
      </w:r>
      <w:r w:rsidR="00262ACA" w:rsidRPr="00F516FD">
        <w:t>Population</w:t>
      </w:r>
      <w:r w:rsidR="00E25538" w:rsidRPr="00F516FD">
        <w:t>s</w:t>
      </w:r>
      <w:r w:rsidR="00262ACA" w:rsidRPr="00F516FD">
        <w:t xml:space="preserve"> 2</w:t>
      </w:r>
      <w:r w:rsidR="001963CD" w:rsidRPr="00F516FD">
        <w:t xml:space="preserve"> and 3</w:t>
      </w:r>
      <w:r w:rsidR="00E25538" w:rsidRPr="00F516FD">
        <w:t xml:space="preserve"> </w:t>
      </w:r>
      <w:r w:rsidR="00121BF7" w:rsidRPr="00F516FD">
        <w:t xml:space="preserve">– </w:t>
      </w:r>
      <w:r w:rsidRPr="00F516FD">
        <w:t>second trimester losses and live births</w:t>
      </w:r>
      <w:r w:rsidR="000F7443" w:rsidRPr="00F516FD">
        <w:t xml:space="preserve"> </w:t>
      </w:r>
      <w:r w:rsidR="005335BC" w:rsidRPr="00F516FD">
        <w:t xml:space="preserve">– </w:t>
      </w:r>
      <w:r w:rsidRPr="00F516FD">
        <w:t>from level 4 to 5</w:t>
      </w:r>
      <w:bookmarkEnd w:id="39"/>
      <w:r w:rsidR="00FC076F" w:rsidRPr="00F516FD">
        <w:t xml:space="preserve">, </w:t>
      </w:r>
      <w:r w:rsidR="00C22A30" w:rsidRPr="00F516FD">
        <w:t>using</w:t>
      </w:r>
      <w:r w:rsidR="00FC076F" w:rsidRPr="00F516FD">
        <w:t xml:space="preserve"> epidemiological </w:t>
      </w:r>
      <w:proofErr w:type="gramStart"/>
      <w:r w:rsidR="00FC076F" w:rsidRPr="00F516FD">
        <w:t>data</w:t>
      </w:r>
      <w:proofErr w:type="gramEnd"/>
    </w:p>
    <w:tbl>
      <w:tblPr>
        <w:tblStyle w:val="TableGrid"/>
        <w:tblW w:w="5000" w:type="pct"/>
        <w:tblLayout w:type="fixed"/>
        <w:tblLook w:val="04A0" w:firstRow="1" w:lastRow="0" w:firstColumn="1" w:lastColumn="0" w:noHBand="0" w:noVBand="1"/>
        <w:tblCaption w:val="Table 7. Net financial impact to the MBS of increasing the complexity level of placental examinations for Populations 2 and 3 – second trimester losses and live births with a clinical indication for a placental examination – from level 4 to 5"/>
        <w:tblDescription w:val="Table showing Net financial impact to the MBS of increasing the complexity level of placental examinations for Populations 2 and 3 – second trimester losses and live births with a clinical indication for a placental examination – from level 4 to 5.&#10;&#10;Estimated values for 2024 to 2029 are shown for Population 2 (second trimester pregnancy losses) and Population 3 (live births with clinical indication for a placental examination)."/>
      </w:tblPr>
      <w:tblGrid>
        <w:gridCol w:w="1981"/>
        <w:gridCol w:w="1167"/>
        <w:gridCol w:w="1174"/>
        <w:gridCol w:w="1044"/>
        <w:gridCol w:w="128"/>
        <w:gridCol w:w="162"/>
        <w:gridCol w:w="289"/>
        <w:gridCol w:w="283"/>
        <w:gridCol w:w="133"/>
        <w:gridCol w:w="126"/>
        <w:gridCol w:w="186"/>
        <w:gridCol w:w="132"/>
        <w:gridCol w:w="442"/>
        <w:gridCol w:w="600"/>
        <w:gridCol w:w="442"/>
        <w:gridCol w:w="442"/>
        <w:gridCol w:w="285"/>
      </w:tblGrid>
      <w:tr w:rsidR="001C773F" w:rsidRPr="00F516FD" w14:paraId="678662F4" w14:textId="43CD466A" w:rsidTr="00E04250">
        <w:trPr>
          <w:tblHeader/>
        </w:trPr>
        <w:tc>
          <w:tcPr>
            <w:tcW w:w="1099" w:type="pct"/>
            <w:tcBorders>
              <w:bottom w:val="single" w:sz="4" w:space="0" w:color="auto"/>
            </w:tcBorders>
            <w:tcMar>
              <w:left w:w="57" w:type="dxa"/>
              <w:right w:w="57" w:type="dxa"/>
            </w:tcMar>
          </w:tcPr>
          <w:p w14:paraId="7D424408" w14:textId="77777777" w:rsidR="00B643FA" w:rsidRPr="00F516FD" w:rsidRDefault="00B643FA" w:rsidP="00B643FA">
            <w:pPr>
              <w:pStyle w:val="TableHeading0"/>
              <w:rPr>
                <w:szCs w:val="20"/>
              </w:rPr>
            </w:pPr>
            <w:r w:rsidRPr="00F516FD">
              <w:rPr>
                <w:szCs w:val="20"/>
              </w:rPr>
              <w:t>Parameter</w:t>
            </w:r>
          </w:p>
        </w:tc>
        <w:tc>
          <w:tcPr>
            <w:tcW w:w="647" w:type="pct"/>
            <w:tcBorders>
              <w:bottom w:val="single" w:sz="4" w:space="0" w:color="auto"/>
            </w:tcBorders>
            <w:tcMar>
              <w:left w:w="57" w:type="dxa"/>
              <w:right w:w="57" w:type="dxa"/>
            </w:tcMar>
          </w:tcPr>
          <w:p w14:paraId="0D1AE282" w14:textId="1D9952FD" w:rsidR="00B643FA" w:rsidRPr="00F516FD" w:rsidRDefault="00B643FA" w:rsidP="00B643FA">
            <w:pPr>
              <w:pStyle w:val="TableHeading0"/>
              <w:rPr>
                <w:szCs w:val="20"/>
              </w:rPr>
            </w:pPr>
            <w:r w:rsidRPr="00F516FD">
              <w:rPr>
                <w:szCs w:val="20"/>
              </w:rPr>
              <w:t>FY 2025–26</w:t>
            </w:r>
          </w:p>
        </w:tc>
        <w:tc>
          <w:tcPr>
            <w:tcW w:w="651" w:type="pct"/>
            <w:tcBorders>
              <w:bottom w:val="single" w:sz="4" w:space="0" w:color="auto"/>
            </w:tcBorders>
            <w:tcMar>
              <w:left w:w="57" w:type="dxa"/>
              <w:right w:w="57" w:type="dxa"/>
            </w:tcMar>
          </w:tcPr>
          <w:p w14:paraId="5B70434E" w14:textId="1E116C2F" w:rsidR="00B643FA" w:rsidRPr="00F516FD" w:rsidRDefault="00B643FA" w:rsidP="00B643FA">
            <w:pPr>
              <w:pStyle w:val="TableHeading0"/>
              <w:rPr>
                <w:szCs w:val="20"/>
              </w:rPr>
            </w:pPr>
            <w:r w:rsidRPr="00F516FD">
              <w:rPr>
                <w:szCs w:val="20"/>
              </w:rPr>
              <w:t>FY 2026–27</w:t>
            </w:r>
          </w:p>
        </w:tc>
        <w:tc>
          <w:tcPr>
            <w:tcW w:w="650" w:type="pct"/>
            <w:gridSpan w:val="2"/>
            <w:tcBorders>
              <w:bottom w:val="single" w:sz="4" w:space="0" w:color="auto"/>
            </w:tcBorders>
            <w:tcMar>
              <w:left w:w="57" w:type="dxa"/>
              <w:right w:w="57" w:type="dxa"/>
            </w:tcMar>
          </w:tcPr>
          <w:p w14:paraId="7CD2FC5F" w14:textId="1D700A5D" w:rsidR="00B643FA" w:rsidRPr="00F516FD" w:rsidRDefault="00B643FA" w:rsidP="00B643FA">
            <w:pPr>
              <w:pStyle w:val="TableHeading0"/>
              <w:rPr>
                <w:szCs w:val="20"/>
              </w:rPr>
            </w:pPr>
            <w:r w:rsidRPr="00F516FD">
              <w:rPr>
                <w:szCs w:val="20"/>
              </w:rPr>
              <w:t>FY 2027–28</w:t>
            </w:r>
          </w:p>
        </w:tc>
        <w:tc>
          <w:tcPr>
            <w:tcW w:w="654" w:type="pct"/>
            <w:gridSpan w:val="6"/>
            <w:tcBorders>
              <w:bottom w:val="single" w:sz="4" w:space="0" w:color="auto"/>
            </w:tcBorders>
            <w:tcMar>
              <w:left w:w="57" w:type="dxa"/>
              <w:right w:w="57" w:type="dxa"/>
            </w:tcMar>
          </w:tcPr>
          <w:p w14:paraId="4528BE13" w14:textId="6E4A499B" w:rsidR="00B643FA" w:rsidRPr="00F516FD" w:rsidRDefault="00B643FA" w:rsidP="00B643FA">
            <w:pPr>
              <w:pStyle w:val="TableHeading0"/>
              <w:rPr>
                <w:szCs w:val="20"/>
              </w:rPr>
            </w:pPr>
            <w:r w:rsidRPr="00F516FD">
              <w:rPr>
                <w:szCs w:val="20"/>
              </w:rPr>
              <w:t>FY 2028–29</w:t>
            </w:r>
          </w:p>
        </w:tc>
        <w:tc>
          <w:tcPr>
            <w:tcW w:w="651" w:type="pct"/>
            <w:gridSpan w:val="3"/>
            <w:tcBorders>
              <w:bottom w:val="single" w:sz="4" w:space="0" w:color="auto"/>
            </w:tcBorders>
            <w:tcMar>
              <w:left w:w="57" w:type="dxa"/>
              <w:right w:w="57" w:type="dxa"/>
            </w:tcMar>
          </w:tcPr>
          <w:p w14:paraId="4710B897" w14:textId="32F6A583" w:rsidR="00B643FA" w:rsidRPr="00F516FD" w:rsidRDefault="00B643FA" w:rsidP="00B643FA">
            <w:pPr>
              <w:pStyle w:val="TableHeading0"/>
              <w:rPr>
                <w:szCs w:val="20"/>
              </w:rPr>
            </w:pPr>
            <w:r w:rsidRPr="00F516FD">
              <w:rPr>
                <w:szCs w:val="20"/>
              </w:rPr>
              <w:t>FY 2029–30</w:t>
            </w:r>
          </w:p>
        </w:tc>
        <w:tc>
          <w:tcPr>
            <w:tcW w:w="648" w:type="pct"/>
            <w:gridSpan w:val="3"/>
            <w:tcBorders>
              <w:bottom w:val="single" w:sz="4" w:space="0" w:color="auto"/>
            </w:tcBorders>
            <w:tcMar>
              <w:left w:w="57" w:type="dxa"/>
              <w:right w:w="57" w:type="dxa"/>
            </w:tcMar>
          </w:tcPr>
          <w:p w14:paraId="35133091" w14:textId="0F3F11FD" w:rsidR="00B643FA" w:rsidRPr="00F516FD" w:rsidRDefault="00B643FA" w:rsidP="00B643FA">
            <w:pPr>
              <w:pStyle w:val="TableHeading0"/>
              <w:rPr>
                <w:szCs w:val="20"/>
              </w:rPr>
            </w:pPr>
            <w:r w:rsidRPr="00F516FD">
              <w:rPr>
                <w:szCs w:val="20"/>
              </w:rPr>
              <w:t>FY 2030–31</w:t>
            </w:r>
          </w:p>
        </w:tc>
      </w:tr>
      <w:tr w:rsidR="001C773F" w:rsidRPr="00F516FD" w14:paraId="5A8C9804" w14:textId="7DBB982A" w:rsidTr="00E04250">
        <w:tc>
          <w:tcPr>
            <w:tcW w:w="2976" w:type="pct"/>
            <w:gridSpan w:val="4"/>
            <w:tcBorders>
              <w:left w:val="single" w:sz="4" w:space="0" w:color="auto"/>
              <w:right w:val="nil"/>
            </w:tcBorders>
            <w:tcMar>
              <w:left w:w="57" w:type="dxa"/>
              <w:right w:w="57" w:type="dxa"/>
            </w:tcMar>
          </w:tcPr>
          <w:p w14:paraId="6FD6A6E7" w14:textId="02E01BFB" w:rsidR="00051D66" w:rsidRPr="00F516FD" w:rsidRDefault="00051D66" w:rsidP="00C57698">
            <w:pPr>
              <w:pStyle w:val="Tabletext0"/>
              <w:keepNext/>
              <w:jc w:val="left"/>
              <w:rPr>
                <w:b/>
              </w:rPr>
            </w:pPr>
            <w:r w:rsidRPr="00F516FD">
              <w:rPr>
                <w:b/>
              </w:rPr>
              <w:t>Estimated use and cost of the proposed health technology</w:t>
            </w:r>
          </w:p>
        </w:tc>
        <w:tc>
          <w:tcPr>
            <w:tcW w:w="161" w:type="pct"/>
            <w:gridSpan w:val="2"/>
            <w:tcBorders>
              <w:left w:val="nil"/>
              <w:right w:val="nil"/>
            </w:tcBorders>
            <w:tcMar>
              <w:left w:w="57" w:type="dxa"/>
              <w:right w:w="57" w:type="dxa"/>
            </w:tcMar>
          </w:tcPr>
          <w:p w14:paraId="18CDE514" w14:textId="77777777" w:rsidR="00051D66" w:rsidRPr="00F516FD" w:rsidRDefault="00051D66" w:rsidP="00C57698">
            <w:pPr>
              <w:pStyle w:val="Tabletext0"/>
              <w:keepNext/>
              <w:jc w:val="left"/>
              <w:rPr>
                <w:b/>
              </w:rPr>
            </w:pPr>
          </w:p>
        </w:tc>
        <w:tc>
          <w:tcPr>
            <w:tcW w:w="160" w:type="pct"/>
            <w:tcBorders>
              <w:left w:val="nil"/>
              <w:right w:val="nil"/>
            </w:tcBorders>
            <w:tcMar>
              <w:left w:w="57" w:type="dxa"/>
              <w:right w:w="57" w:type="dxa"/>
            </w:tcMar>
          </w:tcPr>
          <w:p w14:paraId="2DD9FF2B" w14:textId="77777777" w:rsidR="00051D66" w:rsidRPr="00F516FD" w:rsidRDefault="00051D66" w:rsidP="00C57698">
            <w:pPr>
              <w:pStyle w:val="Tabletext0"/>
              <w:keepNext/>
              <w:jc w:val="left"/>
              <w:rPr>
                <w:b/>
              </w:rPr>
            </w:pPr>
          </w:p>
        </w:tc>
        <w:tc>
          <w:tcPr>
            <w:tcW w:w="157" w:type="pct"/>
            <w:tcBorders>
              <w:left w:val="nil"/>
              <w:right w:val="nil"/>
            </w:tcBorders>
            <w:tcMar>
              <w:left w:w="57" w:type="dxa"/>
              <w:right w:w="57" w:type="dxa"/>
            </w:tcMar>
          </w:tcPr>
          <w:p w14:paraId="1F1ED25D" w14:textId="77777777" w:rsidR="00051D66" w:rsidRPr="00F516FD" w:rsidRDefault="00051D66" w:rsidP="00C57698">
            <w:pPr>
              <w:pStyle w:val="Tabletext0"/>
              <w:keepNext/>
              <w:jc w:val="left"/>
              <w:rPr>
                <w:b/>
              </w:rPr>
            </w:pPr>
          </w:p>
        </w:tc>
        <w:tc>
          <w:tcPr>
            <w:tcW w:w="144" w:type="pct"/>
            <w:gridSpan w:val="2"/>
            <w:tcBorders>
              <w:left w:val="nil"/>
              <w:right w:val="nil"/>
            </w:tcBorders>
            <w:tcMar>
              <w:left w:w="57" w:type="dxa"/>
              <w:right w:w="57" w:type="dxa"/>
            </w:tcMar>
          </w:tcPr>
          <w:p w14:paraId="7C790708" w14:textId="77777777" w:rsidR="00051D66" w:rsidRPr="00F516FD" w:rsidRDefault="00051D66" w:rsidP="00C57698">
            <w:pPr>
              <w:pStyle w:val="Tabletext0"/>
              <w:keepNext/>
              <w:jc w:val="left"/>
              <w:rPr>
                <w:b/>
              </w:rPr>
            </w:pPr>
          </w:p>
        </w:tc>
        <w:tc>
          <w:tcPr>
            <w:tcW w:w="754" w:type="pct"/>
            <w:gridSpan w:val="4"/>
            <w:tcBorders>
              <w:left w:val="nil"/>
              <w:bottom w:val="single" w:sz="4" w:space="0" w:color="auto"/>
              <w:right w:val="nil"/>
            </w:tcBorders>
            <w:tcMar>
              <w:left w:w="57" w:type="dxa"/>
              <w:right w:w="57" w:type="dxa"/>
            </w:tcMar>
          </w:tcPr>
          <w:p w14:paraId="4A0FC886" w14:textId="77777777" w:rsidR="00051D66" w:rsidRPr="00F516FD" w:rsidRDefault="00051D66" w:rsidP="00C57698">
            <w:pPr>
              <w:pStyle w:val="Tabletext0"/>
              <w:keepNext/>
              <w:jc w:val="left"/>
              <w:rPr>
                <w:b/>
              </w:rPr>
            </w:pPr>
          </w:p>
        </w:tc>
        <w:tc>
          <w:tcPr>
            <w:tcW w:w="648" w:type="pct"/>
            <w:gridSpan w:val="3"/>
            <w:tcBorders>
              <w:left w:val="nil"/>
              <w:bottom w:val="single" w:sz="4" w:space="0" w:color="auto"/>
            </w:tcBorders>
            <w:tcMar>
              <w:left w:w="57" w:type="dxa"/>
              <w:right w:w="57" w:type="dxa"/>
            </w:tcMar>
          </w:tcPr>
          <w:p w14:paraId="20C983FD" w14:textId="77777777" w:rsidR="00051D66" w:rsidRPr="00F516FD" w:rsidRDefault="00051D66" w:rsidP="00C57698">
            <w:pPr>
              <w:pStyle w:val="Tabletext0"/>
              <w:keepNext/>
              <w:jc w:val="left"/>
              <w:rPr>
                <w:b/>
              </w:rPr>
            </w:pPr>
          </w:p>
        </w:tc>
      </w:tr>
      <w:tr w:rsidR="0031566C" w:rsidRPr="00F516FD" w14:paraId="5940EA3A" w14:textId="3EB60241" w:rsidTr="0031566C">
        <w:tc>
          <w:tcPr>
            <w:tcW w:w="5000" w:type="pct"/>
            <w:gridSpan w:val="17"/>
            <w:tcBorders>
              <w:left w:val="single" w:sz="4" w:space="0" w:color="auto"/>
            </w:tcBorders>
            <w:tcMar>
              <w:left w:w="57" w:type="dxa"/>
              <w:right w:w="57" w:type="dxa"/>
            </w:tcMar>
          </w:tcPr>
          <w:p w14:paraId="67815FC3" w14:textId="61CBB276" w:rsidR="0031566C" w:rsidRPr="00F516FD" w:rsidRDefault="0031566C" w:rsidP="00C57698">
            <w:pPr>
              <w:pStyle w:val="Tabletext0"/>
              <w:keepNext/>
              <w:jc w:val="left"/>
              <w:rPr>
                <w:b/>
              </w:rPr>
            </w:pPr>
            <w:r w:rsidRPr="00F516FD">
              <w:rPr>
                <w:b/>
              </w:rPr>
              <w:t xml:space="preserve">Population 2: Second trimester pregnancy losses </w:t>
            </w:r>
            <w:r w:rsidRPr="00F516FD">
              <w:rPr>
                <w:b/>
                <w:bCs/>
              </w:rPr>
              <w:t>with delivered placenta</w:t>
            </w:r>
          </w:p>
        </w:tc>
      </w:tr>
      <w:tr w:rsidR="001C773F" w:rsidRPr="00F516FD" w14:paraId="3C122386" w14:textId="6BE24997" w:rsidTr="00E04250">
        <w:tc>
          <w:tcPr>
            <w:tcW w:w="1099" w:type="pct"/>
            <w:tcMar>
              <w:left w:w="57" w:type="dxa"/>
              <w:right w:w="57" w:type="dxa"/>
            </w:tcMar>
          </w:tcPr>
          <w:p w14:paraId="2A669C7F" w14:textId="03E6F3F2" w:rsidR="00B7047F" w:rsidRPr="00F516FD" w:rsidRDefault="00B7047F" w:rsidP="00B7047F">
            <w:pPr>
              <w:pStyle w:val="Tabletext0"/>
              <w:jc w:val="left"/>
            </w:pPr>
            <w:r w:rsidRPr="00F516FD">
              <w:t>Number of hospital separations with primary diagnosis of SAB</w:t>
            </w:r>
          </w:p>
        </w:tc>
        <w:tc>
          <w:tcPr>
            <w:tcW w:w="647" w:type="pct"/>
            <w:tcMar>
              <w:left w:w="57" w:type="dxa"/>
              <w:right w:w="57" w:type="dxa"/>
            </w:tcMar>
          </w:tcPr>
          <w:p w14:paraId="1E6E3E13" w14:textId="77777777" w:rsidR="00B7047F" w:rsidRPr="00F516FD" w:rsidRDefault="00B7047F" w:rsidP="00B7047F">
            <w:pPr>
              <w:pStyle w:val="Tabletext0"/>
              <w:jc w:val="left"/>
            </w:pPr>
            <w:r w:rsidRPr="00F516FD">
              <w:t>10,722</w:t>
            </w:r>
          </w:p>
        </w:tc>
        <w:tc>
          <w:tcPr>
            <w:tcW w:w="651" w:type="pct"/>
            <w:tcMar>
              <w:left w:w="57" w:type="dxa"/>
              <w:right w:w="57" w:type="dxa"/>
            </w:tcMar>
          </w:tcPr>
          <w:p w14:paraId="06502E55" w14:textId="77777777" w:rsidR="00B7047F" w:rsidRPr="00F516FD" w:rsidRDefault="00B7047F" w:rsidP="00B7047F">
            <w:pPr>
              <w:pStyle w:val="Tabletext0"/>
              <w:jc w:val="left"/>
            </w:pPr>
            <w:r w:rsidRPr="00F516FD">
              <w:t>10,722</w:t>
            </w:r>
          </w:p>
        </w:tc>
        <w:tc>
          <w:tcPr>
            <w:tcW w:w="650" w:type="pct"/>
            <w:gridSpan w:val="2"/>
            <w:tcMar>
              <w:left w:w="57" w:type="dxa"/>
              <w:right w:w="57" w:type="dxa"/>
            </w:tcMar>
          </w:tcPr>
          <w:p w14:paraId="4D0E14AC" w14:textId="77777777" w:rsidR="00B7047F" w:rsidRPr="00F516FD" w:rsidRDefault="00B7047F" w:rsidP="00B7047F">
            <w:pPr>
              <w:pStyle w:val="Tabletext0"/>
              <w:jc w:val="left"/>
            </w:pPr>
            <w:r w:rsidRPr="00F516FD">
              <w:t>10,722</w:t>
            </w:r>
          </w:p>
        </w:tc>
        <w:tc>
          <w:tcPr>
            <w:tcW w:w="654" w:type="pct"/>
            <w:gridSpan w:val="6"/>
            <w:tcMar>
              <w:left w:w="57" w:type="dxa"/>
              <w:right w:w="57" w:type="dxa"/>
            </w:tcMar>
          </w:tcPr>
          <w:p w14:paraId="303BE141" w14:textId="77777777" w:rsidR="00B7047F" w:rsidRPr="00F516FD" w:rsidRDefault="00B7047F" w:rsidP="00B7047F">
            <w:pPr>
              <w:pStyle w:val="Tabletext0"/>
              <w:jc w:val="left"/>
            </w:pPr>
            <w:r w:rsidRPr="00F516FD">
              <w:t>10,722</w:t>
            </w:r>
          </w:p>
        </w:tc>
        <w:tc>
          <w:tcPr>
            <w:tcW w:w="651" w:type="pct"/>
            <w:gridSpan w:val="3"/>
            <w:tcMar>
              <w:left w:w="57" w:type="dxa"/>
              <w:right w:w="57" w:type="dxa"/>
            </w:tcMar>
          </w:tcPr>
          <w:p w14:paraId="043D3B21" w14:textId="77777777" w:rsidR="00B7047F" w:rsidRPr="00F516FD" w:rsidRDefault="00B7047F" w:rsidP="00B7047F">
            <w:pPr>
              <w:pStyle w:val="Tabletext0"/>
              <w:jc w:val="left"/>
            </w:pPr>
            <w:r w:rsidRPr="00F516FD">
              <w:t>10,722</w:t>
            </w:r>
          </w:p>
        </w:tc>
        <w:tc>
          <w:tcPr>
            <w:tcW w:w="648" w:type="pct"/>
            <w:gridSpan w:val="3"/>
            <w:tcMar>
              <w:left w:w="57" w:type="dxa"/>
              <w:right w:w="57" w:type="dxa"/>
            </w:tcMar>
          </w:tcPr>
          <w:p w14:paraId="632E29E1" w14:textId="2028B338" w:rsidR="00B7047F" w:rsidRPr="00F516FD" w:rsidRDefault="00B7047F" w:rsidP="00B7047F">
            <w:pPr>
              <w:pStyle w:val="Tabletext0"/>
              <w:jc w:val="left"/>
            </w:pPr>
            <w:r w:rsidRPr="00F516FD">
              <w:t>10,722</w:t>
            </w:r>
          </w:p>
        </w:tc>
      </w:tr>
      <w:tr w:rsidR="001C773F" w:rsidRPr="00F516FD" w14:paraId="1DFD78A1" w14:textId="6AED802A" w:rsidTr="00E04250">
        <w:tc>
          <w:tcPr>
            <w:tcW w:w="1099" w:type="pct"/>
            <w:tcMar>
              <w:left w:w="57" w:type="dxa"/>
              <w:right w:w="57" w:type="dxa"/>
            </w:tcMar>
          </w:tcPr>
          <w:p w14:paraId="1EE9B0E9" w14:textId="6FCE3266" w:rsidR="00B7047F" w:rsidRPr="00F516FD" w:rsidRDefault="00B7047F" w:rsidP="00B7047F">
            <w:pPr>
              <w:pStyle w:val="Tabletext0"/>
              <w:jc w:val="left"/>
            </w:pPr>
            <w:r w:rsidRPr="00F516FD">
              <w:t>Number of private placental examinations for Population 2</w:t>
            </w:r>
            <w:r w:rsidRPr="00F516FD">
              <w:rPr>
                <w:vertAlign w:val="superscript"/>
              </w:rPr>
              <w:t>a</w:t>
            </w:r>
          </w:p>
        </w:tc>
        <w:tc>
          <w:tcPr>
            <w:tcW w:w="647" w:type="pct"/>
            <w:tcMar>
              <w:left w:w="57" w:type="dxa"/>
              <w:right w:w="57" w:type="dxa"/>
            </w:tcMar>
          </w:tcPr>
          <w:p w14:paraId="2B8492AF" w14:textId="77777777" w:rsidR="00B7047F" w:rsidRPr="00F516FD" w:rsidRDefault="00B7047F" w:rsidP="00B7047F">
            <w:pPr>
              <w:pStyle w:val="Tabletext0"/>
              <w:jc w:val="left"/>
            </w:pPr>
            <w:r w:rsidRPr="00F516FD">
              <w:t>2,723</w:t>
            </w:r>
          </w:p>
        </w:tc>
        <w:tc>
          <w:tcPr>
            <w:tcW w:w="651" w:type="pct"/>
            <w:tcMar>
              <w:left w:w="57" w:type="dxa"/>
              <w:right w:w="57" w:type="dxa"/>
            </w:tcMar>
          </w:tcPr>
          <w:p w14:paraId="17FBFE05" w14:textId="77777777" w:rsidR="00B7047F" w:rsidRPr="00F516FD" w:rsidRDefault="00B7047F" w:rsidP="00B7047F">
            <w:pPr>
              <w:pStyle w:val="Tabletext0"/>
              <w:jc w:val="left"/>
            </w:pPr>
            <w:r w:rsidRPr="00F516FD">
              <w:t>2,723</w:t>
            </w:r>
          </w:p>
        </w:tc>
        <w:tc>
          <w:tcPr>
            <w:tcW w:w="650" w:type="pct"/>
            <w:gridSpan w:val="2"/>
            <w:tcMar>
              <w:left w:w="57" w:type="dxa"/>
              <w:right w:w="57" w:type="dxa"/>
            </w:tcMar>
          </w:tcPr>
          <w:p w14:paraId="394CD35E" w14:textId="77777777" w:rsidR="00B7047F" w:rsidRPr="00F516FD" w:rsidRDefault="00B7047F" w:rsidP="00B7047F">
            <w:pPr>
              <w:pStyle w:val="Tabletext0"/>
              <w:jc w:val="left"/>
            </w:pPr>
            <w:r w:rsidRPr="00F516FD">
              <w:t>2,723</w:t>
            </w:r>
          </w:p>
        </w:tc>
        <w:tc>
          <w:tcPr>
            <w:tcW w:w="654" w:type="pct"/>
            <w:gridSpan w:val="6"/>
            <w:tcMar>
              <w:left w:w="57" w:type="dxa"/>
              <w:right w:w="57" w:type="dxa"/>
            </w:tcMar>
          </w:tcPr>
          <w:p w14:paraId="535596E9" w14:textId="77777777" w:rsidR="00B7047F" w:rsidRPr="00F516FD" w:rsidRDefault="00B7047F" w:rsidP="00B7047F">
            <w:pPr>
              <w:pStyle w:val="Tabletext0"/>
              <w:jc w:val="left"/>
            </w:pPr>
            <w:r w:rsidRPr="00F516FD">
              <w:t>2,723</w:t>
            </w:r>
          </w:p>
        </w:tc>
        <w:tc>
          <w:tcPr>
            <w:tcW w:w="651" w:type="pct"/>
            <w:gridSpan w:val="3"/>
            <w:tcMar>
              <w:left w:w="57" w:type="dxa"/>
              <w:right w:w="57" w:type="dxa"/>
            </w:tcMar>
          </w:tcPr>
          <w:p w14:paraId="158B59B7" w14:textId="77777777" w:rsidR="00B7047F" w:rsidRPr="00F516FD" w:rsidRDefault="00B7047F" w:rsidP="00B7047F">
            <w:pPr>
              <w:pStyle w:val="Tabletext0"/>
              <w:jc w:val="left"/>
            </w:pPr>
            <w:r w:rsidRPr="00F516FD">
              <w:t>2,723</w:t>
            </w:r>
          </w:p>
        </w:tc>
        <w:tc>
          <w:tcPr>
            <w:tcW w:w="648" w:type="pct"/>
            <w:gridSpan w:val="3"/>
            <w:tcMar>
              <w:left w:w="57" w:type="dxa"/>
              <w:right w:w="57" w:type="dxa"/>
            </w:tcMar>
          </w:tcPr>
          <w:p w14:paraId="345AB1FC" w14:textId="54701BE5" w:rsidR="00B7047F" w:rsidRPr="00F516FD" w:rsidRDefault="00B7047F" w:rsidP="00B7047F">
            <w:pPr>
              <w:pStyle w:val="Tabletext0"/>
              <w:jc w:val="left"/>
            </w:pPr>
            <w:r w:rsidRPr="00F516FD">
              <w:t>2,723</w:t>
            </w:r>
          </w:p>
        </w:tc>
      </w:tr>
      <w:tr w:rsidR="001C773F" w:rsidRPr="00F516FD" w14:paraId="3D6C306B" w14:textId="121549DC" w:rsidTr="00E04250">
        <w:tc>
          <w:tcPr>
            <w:tcW w:w="1099" w:type="pct"/>
            <w:tcBorders>
              <w:bottom w:val="single" w:sz="4" w:space="0" w:color="auto"/>
            </w:tcBorders>
            <w:tcMar>
              <w:left w:w="57" w:type="dxa"/>
              <w:right w:w="57" w:type="dxa"/>
            </w:tcMar>
          </w:tcPr>
          <w:p w14:paraId="7BF75BCD" w14:textId="6929E629" w:rsidR="00051D66" w:rsidRPr="00F516FD" w:rsidRDefault="00051D66" w:rsidP="00B23605">
            <w:pPr>
              <w:pStyle w:val="Tabletext0"/>
              <w:jc w:val="left"/>
            </w:pPr>
            <w:r w:rsidRPr="00F516FD">
              <w:t xml:space="preserve">Cost to MBS of proposed level 5 services (75% </w:t>
            </w:r>
            <w:proofErr w:type="gramStart"/>
            <w:r w:rsidRPr="00F516FD">
              <w:t>benefit)</w:t>
            </w:r>
            <w:r w:rsidRPr="00F516FD">
              <w:rPr>
                <w:vertAlign w:val="superscript"/>
              </w:rPr>
              <w:t>b</w:t>
            </w:r>
            <w:proofErr w:type="gramEnd"/>
          </w:p>
        </w:tc>
        <w:tc>
          <w:tcPr>
            <w:tcW w:w="647" w:type="pct"/>
            <w:tcBorders>
              <w:bottom w:val="single" w:sz="4" w:space="0" w:color="auto"/>
            </w:tcBorders>
            <w:tcMar>
              <w:left w:w="57" w:type="dxa"/>
              <w:right w:w="57" w:type="dxa"/>
            </w:tcMar>
          </w:tcPr>
          <w:p w14:paraId="4CA4AD4A" w14:textId="77777777" w:rsidR="00051D66" w:rsidRPr="00F516FD" w:rsidRDefault="00051D66" w:rsidP="00B23605">
            <w:pPr>
              <w:pStyle w:val="Tabletext0"/>
              <w:jc w:val="left"/>
            </w:pPr>
            <w:r w:rsidRPr="00F516FD">
              <w:t>$559,902</w:t>
            </w:r>
          </w:p>
        </w:tc>
        <w:tc>
          <w:tcPr>
            <w:tcW w:w="651" w:type="pct"/>
            <w:tcBorders>
              <w:bottom w:val="single" w:sz="4" w:space="0" w:color="auto"/>
            </w:tcBorders>
            <w:tcMar>
              <w:left w:w="57" w:type="dxa"/>
              <w:right w:w="57" w:type="dxa"/>
            </w:tcMar>
          </w:tcPr>
          <w:p w14:paraId="6498C2C0" w14:textId="77777777" w:rsidR="00051D66" w:rsidRPr="00F516FD" w:rsidRDefault="00051D66" w:rsidP="00B23605">
            <w:pPr>
              <w:pStyle w:val="Tabletext0"/>
              <w:jc w:val="left"/>
            </w:pPr>
            <w:r w:rsidRPr="00F516FD">
              <w:t>$559,902</w:t>
            </w:r>
          </w:p>
        </w:tc>
        <w:tc>
          <w:tcPr>
            <w:tcW w:w="650" w:type="pct"/>
            <w:gridSpan w:val="2"/>
            <w:tcBorders>
              <w:bottom w:val="single" w:sz="4" w:space="0" w:color="auto"/>
            </w:tcBorders>
            <w:tcMar>
              <w:left w:w="57" w:type="dxa"/>
              <w:right w:w="57" w:type="dxa"/>
            </w:tcMar>
          </w:tcPr>
          <w:p w14:paraId="53743BE8" w14:textId="77777777" w:rsidR="00051D66" w:rsidRPr="00F516FD" w:rsidRDefault="00051D66" w:rsidP="00B23605">
            <w:pPr>
              <w:pStyle w:val="Tabletext0"/>
              <w:jc w:val="left"/>
            </w:pPr>
            <w:r w:rsidRPr="00F516FD">
              <w:t>$559,902</w:t>
            </w:r>
          </w:p>
        </w:tc>
        <w:tc>
          <w:tcPr>
            <w:tcW w:w="654" w:type="pct"/>
            <w:gridSpan w:val="6"/>
            <w:tcBorders>
              <w:bottom w:val="single" w:sz="4" w:space="0" w:color="auto"/>
            </w:tcBorders>
            <w:tcMar>
              <w:left w:w="57" w:type="dxa"/>
              <w:right w:w="57" w:type="dxa"/>
            </w:tcMar>
          </w:tcPr>
          <w:p w14:paraId="2D2B0C4C" w14:textId="77777777" w:rsidR="00051D66" w:rsidRPr="00F516FD" w:rsidRDefault="00051D66" w:rsidP="00B23605">
            <w:pPr>
              <w:pStyle w:val="Tabletext0"/>
              <w:jc w:val="left"/>
            </w:pPr>
            <w:r w:rsidRPr="00F516FD">
              <w:t>$559,902</w:t>
            </w:r>
          </w:p>
        </w:tc>
        <w:tc>
          <w:tcPr>
            <w:tcW w:w="651" w:type="pct"/>
            <w:gridSpan w:val="3"/>
            <w:tcBorders>
              <w:bottom w:val="single" w:sz="4" w:space="0" w:color="auto"/>
            </w:tcBorders>
            <w:tcMar>
              <w:left w:w="57" w:type="dxa"/>
              <w:right w:w="57" w:type="dxa"/>
            </w:tcMar>
          </w:tcPr>
          <w:p w14:paraId="6783915B" w14:textId="77777777" w:rsidR="00051D66" w:rsidRPr="00F516FD" w:rsidRDefault="00051D66" w:rsidP="00B23605">
            <w:pPr>
              <w:pStyle w:val="Tabletext0"/>
              <w:jc w:val="left"/>
            </w:pPr>
            <w:r w:rsidRPr="00F516FD">
              <w:t>$559,902</w:t>
            </w:r>
          </w:p>
        </w:tc>
        <w:tc>
          <w:tcPr>
            <w:tcW w:w="648" w:type="pct"/>
            <w:gridSpan w:val="3"/>
            <w:tcBorders>
              <w:bottom w:val="single" w:sz="4" w:space="0" w:color="auto"/>
            </w:tcBorders>
            <w:tcMar>
              <w:left w:w="57" w:type="dxa"/>
              <w:right w:w="57" w:type="dxa"/>
            </w:tcMar>
          </w:tcPr>
          <w:p w14:paraId="55BF2AC7" w14:textId="4FCFA76B" w:rsidR="00051D66" w:rsidRPr="00F516FD" w:rsidRDefault="00B7047F" w:rsidP="00B23605">
            <w:pPr>
              <w:pStyle w:val="Tabletext0"/>
              <w:jc w:val="left"/>
            </w:pPr>
            <w:r w:rsidRPr="00F516FD">
              <w:t>$559,902</w:t>
            </w:r>
          </w:p>
        </w:tc>
      </w:tr>
      <w:tr w:rsidR="0031566C" w:rsidRPr="00F516FD" w14:paraId="0B8BE6F8" w14:textId="156F5E63" w:rsidTr="0031566C">
        <w:tc>
          <w:tcPr>
            <w:tcW w:w="5000" w:type="pct"/>
            <w:gridSpan w:val="17"/>
            <w:tcBorders>
              <w:left w:val="single" w:sz="4" w:space="0" w:color="auto"/>
            </w:tcBorders>
            <w:tcMar>
              <w:left w:w="57" w:type="dxa"/>
              <w:right w:w="57" w:type="dxa"/>
            </w:tcMar>
            <w:vAlign w:val="center"/>
          </w:tcPr>
          <w:p w14:paraId="6C84C34B" w14:textId="4376F821" w:rsidR="0031566C" w:rsidRPr="00F516FD" w:rsidRDefault="0031566C" w:rsidP="00B23605">
            <w:pPr>
              <w:pStyle w:val="Tabletext0"/>
              <w:jc w:val="left"/>
            </w:pPr>
            <w:r w:rsidRPr="00F516FD">
              <w:rPr>
                <w:b/>
              </w:rPr>
              <w:t>Population 3: Live births (Proposed Level 5 complexity)</w:t>
            </w:r>
          </w:p>
        </w:tc>
      </w:tr>
      <w:tr w:rsidR="001C773F" w:rsidRPr="00F516FD" w14:paraId="33EB1213" w14:textId="6DF9D669" w:rsidTr="00A80BC0">
        <w:tc>
          <w:tcPr>
            <w:tcW w:w="1099" w:type="pct"/>
            <w:tcMar>
              <w:left w:w="57" w:type="dxa"/>
              <w:right w:w="57" w:type="dxa"/>
            </w:tcMar>
          </w:tcPr>
          <w:p w14:paraId="11286607" w14:textId="43C701D2" w:rsidR="00057B0C" w:rsidRPr="00F516FD" w:rsidRDefault="00057B0C" w:rsidP="00057B0C">
            <w:pPr>
              <w:pStyle w:val="Tabletext0"/>
              <w:jc w:val="left"/>
              <w:rPr>
                <w:vertAlign w:val="superscript"/>
              </w:rPr>
            </w:pPr>
            <w:r w:rsidRPr="00F516FD">
              <w:t xml:space="preserve">Number of live births admitted to SCN or </w:t>
            </w:r>
            <w:proofErr w:type="spellStart"/>
            <w:r w:rsidRPr="00F516FD">
              <w:t>NICU</w:t>
            </w:r>
            <w:r w:rsidR="0045283A" w:rsidRPr="00F516FD">
              <w:rPr>
                <w:vertAlign w:val="superscript"/>
              </w:rPr>
              <w:t>d</w:t>
            </w:r>
            <w:proofErr w:type="spellEnd"/>
          </w:p>
        </w:tc>
        <w:tc>
          <w:tcPr>
            <w:tcW w:w="647" w:type="pct"/>
            <w:tcMar>
              <w:left w:w="57" w:type="dxa"/>
              <w:right w:w="57" w:type="dxa"/>
            </w:tcMar>
            <w:vAlign w:val="bottom"/>
          </w:tcPr>
          <w:p w14:paraId="618F3099" w14:textId="07FD4715" w:rsidR="00057B0C" w:rsidRPr="00F516FD" w:rsidRDefault="00057B0C" w:rsidP="001C773F">
            <w:pPr>
              <w:pStyle w:val="Tabletext0"/>
              <w:jc w:val="left"/>
            </w:pPr>
            <w:r w:rsidRPr="00F516FD">
              <w:t>53,670</w:t>
            </w:r>
          </w:p>
        </w:tc>
        <w:tc>
          <w:tcPr>
            <w:tcW w:w="651" w:type="pct"/>
            <w:tcMar>
              <w:left w:w="57" w:type="dxa"/>
              <w:right w:w="57" w:type="dxa"/>
            </w:tcMar>
            <w:vAlign w:val="bottom"/>
          </w:tcPr>
          <w:p w14:paraId="4D483672" w14:textId="17C96EBE" w:rsidR="00057B0C" w:rsidRPr="00F516FD" w:rsidRDefault="00057B0C" w:rsidP="001C773F">
            <w:pPr>
              <w:pStyle w:val="Tabletext0"/>
              <w:jc w:val="left"/>
            </w:pPr>
            <w:r w:rsidRPr="00F516FD">
              <w:t>53,670</w:t>
            </w:r>
          </w:p>
        </w:tc>
        <w:tc>
          <w:tcPr>
            <w:tcW w:w="650" w:type="pct"/>
            <w:gridSpan w:val="2"/>
            <w:tcMar>
              <w:left w:w="57" w:type="dxa"/>
              <w:right w:w="57" w:type="dxa"/>
            </w:tcMar>
            <w:vAlign w:val="bottom"/>
          </w:tcPr>
          <w:p w14:paraId="665D9D96" w14:textId="25AA34C9" w:rsidR="00057B0C" w:rsidRPr="00F516FD" w:rsidRDefault="00057B0C" w:rsidP="001C773F">
            <w:pPr>
              <w:pStyle w:val="Tabletext0"/>
              <w:jc w:val="left"/>
            </w:pPr>
            <w:r w:rsidRPr="00F516FD">
              <w:t>53,670</w:t>
            </w:r>
          </w:p>
        </w:tc>
        <w:tc>
          <w:tcPr>
            <w:tcW w:w="654" w:type="pct"/>
            <w:gridSpan w:val="6"/>
            <w:tcMar>
              <w:left w:w="57" w:type="dxa"/>
              <w:right w:w="57" w:type="dxa"/>
            </w:tcMar>
            <w:vAlign w:val="bottom"/>
          </w:tcPr>
          <w:p w14:paraId="30736C18" w14:textId="0DB7BA9F" w:rsidR="00057B0C" w:rsidRPr="00F516FD" w:rsidRDefault="00057B0C" w:rsidP="001C773F">
            <w:pPr>
              <w:pStyle w:val="Tabletext0"/>
              <w:jc w:val="left"/>
            </w:pPr>
            <w:r w:rsidRPr="00F516FD">
              <w:t>53,670</w:t>
            </w:r>
          </w:p>
        </w:tc>
        <w:tc>
          <w:tcPr>
            <w:tcW w:w="651" w:type="pct"/>
            <w:gridSpan w:val="3"/>
            <w:tcMar>
              <w:left w:w="57" w:type="dxa"/>
              <w:right w:w="57" w:type="dxa"/>
            </w:tcMar>
            <w:vAlign w:val="bottom"/>
          </w:tcPr>
          <w:p w14:paraId="57069E13" w14:textId="21ABAAAE" w:rsidR="00057B0C" w:rsidRPr="00F516FD" w:rsidRDefault="00057B0C" w:rsidP="001C773F">
            <w:pPr>
              <w:pStyle w:val="Tabletext0"/>
              <w:jc w:val="left"/>
            </w:pPr>
            <w:r w:rsidRPr="00F516FD">
              <w:t>53,670</w:t>
            </w:r>
          </w:p>
        </w:tc>
        <w:tc>
          <w:tcPr>
            <w:tcW w:w="648" w:type="pct"/>
            <w:gridSpan w:val="3"/>
            <w:tcMar>
              <w:left w:w="57" w:type="dxa"/>
              <w:right w:w="57" w:type="dxa"/>
            </w:tcMar>
            <w:vAlign w:val="bottom"/>
          </w:tcPr>
          <w:p w14:paraId="24A35BA1" w14:textId="62317D98" w:rsidR="00057B0C" w:rsidRPr="00F516FD" w:rsidRDefault="00057B0C" w:rsidP="001C773F">
            <w:pPr>
              <w:pStyle w:val="Tabletext0"/>
              <w:jc w:val="left"/>
            </w:pPr>
            <w:r w:rsidRPr="00F516FD">
              <w:t>53,670</w:t>
            </w:r>
          </w:p>
        </w:tc>
      </w:tr>
      <w:tr w:rsidR="001C773F" w:rsidRPr="00F516FD" w14:paraId="1C2B7727" w14:textId="6E5D1E18" w:rsidTr="00A80BC0">
        <w:tc>
          <w:tcPr>
            <w:tcW w:w="1099" w:type="pct"/>
            <w:tcMar>
              <w:left w:w="57" w:type="dxa"/>
              <w:right w:w="57" w:type="dxa"/>
            </w:tcMar>
          </w:tcPr>
          <w:p w14:paraId="5C212E34" w14:textId="10C2291C" w:rsidR="00057B0C" w:rsidRPr="00F516FD" w:rsidRDefault="00057B0C" w:rsidP="00057B0C">
            <w:pPr>
              <w:pStyle w:val="Tabletext0"/>
              <w:jc w:val="left"/>
            </w:pPr>
            <w:r w:rsidRPr="00F516FD">
              <w:t>Number of private placental examinations for Population 3</w:t>
            </w:r>
            <w:r w:rsidRPr="00F516FD">
              <w:rPr>
                <w:vertAlign w:val="superscript"/>
              </w:rPr>
              <w:t>a</w:t>
            </w:r>
          </w:p>
        </w:tc>
        <w:tc>
          <w:tcPr>
            <w:tcW w:w="647" w:type="pct"/>
            <w:tcMar>
              <w:left w:w="57" w:type="dxa"/>
              <w:right w:w="57" w:type="dxa"/>
            </w:tcMar>
            <w:vAlign w:val="bottom"/>
          </w:tcPr>
          <w:p w14:paraId="2C2B4544" w14:textId="1FAC112E" w:rsidR="00057B0C" w:rsidRPr="00F516FD" w:rsidRDefault="00057B0C" w:rsidP="001C773F">
            <w:pPr>
              <w:pStyle w:val="Tabletext0"/>
              <w:jc w:val="left"/>
            </w:pPr>
            <w:r w:rsidRPr="00F516FD">
              <w:t>13,628</w:t>
            </w:r>
          </w:p>
        </w:tc>
        <w:tc>
          <w:tcPr>
            <w:tcW w:w="651" w:type="pct"/>
            <w:tcMar>
              <w:left w:w="57" w:type="dxa"/>
              <w:right w:w="57" w:type="dxa"/>
            </w:tcMar>
            <w:vAlign w:val="bottom"/>
          </w:tcPr>
          <w:p w14:paraId="130D140D" w14:textId="271BC6D6" w:rsidR="00057B0C" w:rsidRPr="00F516FD" w:rsidRDefault="00057B0C" w:rsidP="001C773F">
            <w:pPr>
              <w:pStyle w:val="Tabletext0"/>
              <w:jc w:val="left"/>
            </w:pPr>
            <w:r w:rsidRPr="00F516FD">
              <w:t>13,628</w:t>
            </w:r>
          </w:p>
        </w:tc>
        <w:tc>
          <w:tcPr>
            <w:tcW w:w="650" w:type="pct"/>
            <w:gridSpan w:val="2"/>
            <w:tcMar>
              <w:left w:w="57" w:type="dxa"/>
              <w:right w:w="57" w:type="dxa"/>
            </w:tcMar>
            <w:vAlign w:val="bottom"/>
          </w:tcPr>
          <w:p w14:paraId="77C70219" w14:textId="5AE47A12" w:rsidR="00057B0C" w:rsidRPr="00F516FD" w:rsidRDefault="00057B0C" w:rsidP="001C773F">
            <w:pPr>
              <w:pStyle w:val="Tabletext0"/>
              <w:jc w:val="left"/>
            </w:pPr>
            <w:r w:rsidRPr="00F516FD">
              <w:t>13,628</w:t>
            </w:r>
          </w:p>
        </w:tc>
        <w:tc>
          <w:tcPr>
            <w:tcW w:w="654" w:type="pct"/>
            <w:gridSpan w:val="6"/>
            <w:tcMar>
              <w:left w:w="57" w:type="dxa"/>
              <w:right w:w="57" w:type="dxa"/>
            </w:tcMar>
            <w:vAlign w:val="bottom"/>
          </w:tcPr>
          <w:p w14:paraId="28A86EF2" w14:textId="0A2BFCE1" w:rsidR="00057B0C" w:rsidRPr="00F516FD" w:rsidRDefault="00057B0C" w:rsidP="001C773F">
            <w:pPr>
              <w:pStyle w:val="Tabletext0"/>
              <w:jc w:val="left"/>
            </w:pPr>
            <w:r w:rsidRPr="00F516FD">
              <w:t>13,628</w:t>
            </w:r>
          </w:p>
        </w:tc>
        <w:tc>
          <w:tcPr>
            <w:tcW w:w="651" w:type="pct"/>
            <w:gridSpan w:val="3"/>
            <w:tcMar>
              <w:left w:w="57" w:type="dxa"/>
              <w:right w:w="57" w:type="dxa"/>
            </w:tcMar>
            <w:vAlign w:val="bottom"/>
          </w:tcPr>
          <w:p w14:paraId="60B5091D" w14:textId="5490EC46" w:rsidR="00057B0C" w:rsidRPr="00F516FD" w:rsidRDefault="00057B0C" w:rsidP="001C773F">
            <w:pPr>
              <w:pStyle w:val="Tabletext0"/>
              <w:jc w:val="left"/>
            </w:pPr>
            <w:r w:rsidRPr="00F516FD">
              <w:t>13,628</w:t>
            </w:r>
          </w:p>
        </w:tc>
        <w:tc>
          <w:tcPr>
            <w:tcW w:w="648" w:type="pct"/>
            <w:gridSpan w:val="3"/>
            <w:tcMar>
              <w:left w:w="57" w:type="dxa"/>
              <w:right w:w="57" w:type="dxa"/>
            </w:tcMar>
            <w:vAlign w:val="bottom"/>
          </w:tcPr>
          <w:p w14:paraId="05586347" w14:textId="56C51D88" w:rsidR="00057B0C" w:rsidRPr="00F516FD" w:rsidRDefault="00057B0C" w:rsidP="001C773F">
            <w:pPr>
              <w:pStyle w:val="Tabletext0"/>
              <w:jc w:val="left"/>
            </w:pPr>
            <w:r w:rsidRPr="00F516FD">
              <w:t>13,628</w:t>
            </w:r>
          </w:p>
        </w:tc>
      </w:tr>
      <w:tr w:rsidR="001C773F" w:rsidRPr="00F516FD" w14:paraId="6DF5C523" w14:textId="5C214F2B" w:rsidTr="00A80BC0">
        <w:tc>
          <w:tcPr>
            <w:tcW w:w="1099" w:type="pct"/>
            <w:tcBorders>
              <w:bottom w:val="single" w:sz="4" w:space="0" w:color="auto"/>
            </w:tcBorders>
            <w:tcMar>
              <w:left w:w="57" w:type="dxa"/>
              <w:right w:w="57" w:type="dxa"/>
            </w:tcMar>
          </w:tcPr>
          <w:p w14:paraId="5BC53920" w14:textId="5B9AFB8C" w:rsidR="00057B0C" w:rsidRPr="00F516FD" w:rsidRDefault="00057B0C" w:rsidP="00057B0C">
            <w:pPr>
              <w:pStyle w:val="Tabletext0"/>
              <w:jc w:val="left"/>
            </w:pPr>
            <w:r w:rsidRPr="00F516FD">
              <w:t xml:space="preserve">Cost to MBS of proposed level 5 services (75% </w:t>
            </w:r>
            <w:proofErr w:type="gramStart"/>
            <w:r w:rsidRPr="00F516FD">
              <w:t>benefit)</w:t>
            </w:r>
            <w:r w:rsidRPr="00F516FD">
              <w:rPr>
                <w:vertAlign w:val="superscript"/>
              </w:rPr>
              <w:t>b</w:t>
            </w:r>
            <w:proofErr w:type="gramEnd"/>
          </w:p>
        </w:tc>
        <w:tc>
          <w:tcPr>
            <w:tcW w:w="647" w:type="pct"/>
            <w:tcBorders>
              <w:bottom w:val="single" w:sz="4" w:space="0" w:color="auto"/>
            </w:tcBorders>
            <w:tcMar>
              <w:left w:w="57" w:type="dxa"/>
              <w:right w:w="57" w:type="dxa"/>
            </w:tcMar>
            <w:vAlign w:val="bottom"/>
          </w:tcPr>
          <w:p w14:paraId="3E508046" w14:textId="630ADE05" w:rsidR="00057B0C" w:rsidRPr="00F516FD" w:rsidRDefault="00057B0C" w:rsidP="001C773F">
            <w:pPr>
              <w:pStyle w:val="Tabletext0"/>
              <w:jc w:val="left"/>
            </w:pPr>
            <w:r w:rsidRPr="00F516FD">
              <w:t>$2,802,638</w:t>
            </w:r>
          </w:p>
        </w:tc>
        <w:tc>
          <w:tcPr>
            <w:tcW w:w="651" w:type="pct"/>
            <w:tcBorders>
              <w:bottom w:val="single" w:sz="4" w:space="0" w:color="auto"/>
            </w:tcBorders>
            <w:tcMar>
              <w:left w:w="57" w:type="dxa"/>
              <w:right w:w="57" w:type="dxa"/>
            </w:tcMar>
            <w:vAlign w:val="bottom"/>
          </w:tcPr>
          <w:p w14:paraId="3155DB8A" w14:textId="32F44A12" w:rsidR="00057B0C" w:rsidRPr="00F516FD" w:rsidRDefault="00057B0C" w:rsidP="001C773F">
            <w:pPr>
              <w:pStyle w:val="Tabletext0"/>
              <w:jc w:val="left"/>
            </w:pPr>
            <w:r w:rsidRPr="00F516FD">
              <w:t>$2,802,638</w:t>
            </w:r>
          </w:p>
        </w:tc>
        <w:tc>
          <w:tcPr>
            <w:tcW w:w="650" w:type="pct"/>
            <w:gridSpan w:val="2"/>
            <w:tcBorders>
              <w:bottom w:val="single" w:sz="4" w:space="0" w:color="auto"/>
            </w:tcBorders>
            <w:tcMar>
              <w:left w:w="57" w:type="dxa"/>
              <w:right w:w="57" w:type="dxa"/>
            </w:tcMar>
            <w:vAlign w:val="bottom"/>
          </w:tcPr>
          <w:p w14:paraId="45D41C5E" w14:textId="60CA6FBA" w:rsidR="00057B0C" w:rsidRPr="00F516FD" w:rsidRDefault="00057B0C" w:rsidP="001C773F">
            <w:pPr>
              <w:pStyle w:val="Tabletext0"/>
              <w:jc w:val="left"/>
            </w:pPr>
            <w:r w:rsidRPr="00F516FD">
              <w:t>$2,802,638</w:t>
            </w:r>
          </w:p>
        </w:tc>
        <w:tc>
          <w:tcPr>
            <w:tcW w:w="654" w:type="pct"/>
            <w:gridSpan w:val="6"/>
            <w:tcBorders>
              <w:bottom w:val="single" w:sz="4" w:space="0" w:color="auto"/>
            </w:tcBorders>
            <w:tcMar>
              <w:left w:w="57" w:type="dxa"/>
              <w:right w:w="57" w:type="dxa"/>
            </w:tcMar>
            <w:vAlign w:val="bottom"/>
          </w:tcPr>
          <w:p w14:paraId="755116D1" w14:textId="512D0E95" w:rsidR="00057B0C" w:rsidRPr="00F516FD" w:rsidRDefault="00057B0C" w:rsidP="001C773F">
            <w:pPr>
              <w:pStyle w:val="Tabletext0"/>
              <w:jc w:val="left"/>
            </w:pPr>
            <w:r w:rsidRPr="00F516FD">
              <w:t>$2,802,638</w:t>
            </w:r>
          </w:p>
        </w:tc>
        <w:tc>
          <w:tcPr>
            <w:tcW w:w="651" w:type="pct"/>
            <w:gridSpan w:val="3"/>
            <w:tcBorders>
              <w:bottom w:val="single" w:sz="4" w:space="0" w:color="auto"/>
            </w:tcBorders>
            <w:tcMar>
              <w:left w:w="57" w:type="dxa"/>
              <w:right w:w="57" w:type="dxa"/>
            </w:tcMar>
            <w:vAlign w:val="bottom"/>
          </w:tcPr>
          <w:p w14:paraId="42E53381" w14:textId="48954611" w:rsidR="00057B0C" w:rsidRPr="00F516FD" w:rsidRDefault="00057B0C" w:rsidP="001C773F">
            <w:pPr>
              <w:pStyle w:val="Tabletext0"/>
              <w:jc w:val="left"/>
            </w:pPr>
            <w:r w:rsidRPr="00F516FD">
              <w:t>$2,802,638</w:t>
            </w:r>
          </w:p>
        </w:tc>
        <w:tc>
          <w:tcPr>
            <w:tcW w:w="648" w:type="pct"/>
            <w:gridSpan w:val="3"/>
            <w:tcBorders>
              <w:bottom w:val="single" w:sz="4" w:space="0" w:color="auto"/>
            </w:tcBorders>
            <w:tcMar>
              <w:left w:w="57" w:type="dxa"/>
              <w:right w:w="57" w:type="dxa"/>
            </w:tcMar>
            <w:vAlign w:val="bottom"/>
          </w:tcPr>
          <w:p w14:paraId="04E7129F" w14:textId="21ADCF26" w:rsidR="00057B0C" w:rsidRPr="00F516FD" w:rsidRDefault="00057B0C" w:rsidP="001C773F">
            <w:pPr>
              <w:pStyle w:val="Tabletext0"/>
              <w:jc w:val="left"/>
            </w:pPr>
            <w:r w:rsidRPr="00F516FD">
              <w:t>$2,802,638</w:t>
            </w:r>
          </w:p>
        </w:tc>
      </w:tr>
      <w:tr w:rsidR="001C773F" w:rsidRPr="00F516FD" w14:paraId="7936D520" w14:textId="1FEEAA74" w:rsidTr="00E04250">
        <w:tc>
          <w:tcPr>
            <w:tcW w:w="3528" w:type="pct"/>
            <w:gridSpan w:val="9"/>
            <w:tcBorders>
              <w:left w:val="single" w:sz="4" w:space="0" w:color="auto"/>
              <w:bottom w:val="nil"/>
              <w:right w:val="nil"/>
            </w:tcBorders>
            <w:tcMar>
              <w:left w:w="57" w:type="dxa"/>
              <w:right w:w="57" w:type="dxa"/>
            </w:tcMar>
          </w:tcPr>
          <w:p w14:paraId="64DB50AD" w14:textId="356BD6D9" w:rsidR="00051D66" w:rsidRPr="00F516FD" w:rsidRDefault="00051D66" w:rsidP="00B23605">
            <w:pPr>
              <w:pStyle w:val="Tabletext0"/>
              <w:jc w:val="left"/>
              <w:rPr>
                <w:b/>
              </w:rPr>
            </w:pPr>
            <w:r w:rsidRPr="00F516FD">
              <w:rPr>
                <w:b/>
                <w:bCs/>
              </w:rPr>
              <w:t>Total for Populations 2 &amp; 3</w:t>
            </w:r>
          </w:p>
        </w:tc>
        <w:tc>
          <w:tcPr>
            <w:tcW w:w="246" w:type="pct"/>
            <w:gridSpan w:val="3"/>
            <w:tcBorders>
              <w:left w:val="nil"/>
              <w:bottom w:val="nil"/>
              <w:right w:val="nil"/>
            </w:tcBorders>
            <w:tcMar>
              <w:left w:w="57" w:type="dxa"/>
              <w:right w:w="57" w:type="dxa"/>
            </w:tcMar>
          </w:tcPr>
          <w:p w14:paraId="4CB2F1E3" w14:textId="77777777" w:rsidR="00051D66" w:rsidRPr="00F516FD" w:rsidRDefault="00051D66" w:rsidP="00B23605">
            <w:pPr>
              <w:pStyle w:val="Tabletext0"/>
              <w:jc w:val="left"/>
              <w:rPr>
                <w:b/>
              </w:rPr>
            </w:pPr>
          </w:p>
        </w:tc>
        <w:tc>
          <w:tcPr>
            <w:tcW w:w="245" w:type="pct"/>
            <w:tcBorders>
              <w:left w:val="nil"/>
              <w:bottom w:val="nil"/>
              <w:right w:val="nil"/>
            </w:tcBorders>
            <w:tcMar>
              <w:left w:w="57" w:type="dxa"/>
              <w:right w:w="57" w:type="dxa"/>
            </w:tcMar>
          </w:tcPr>
          <w:p w14:paraId="07F660AB" w14:textId="77777777" w:rsidR="00051D66" w:rsidRPr="00F516FD" w:rsidRDefault="00051D66" w:rsidP="00B23605">
            <w:pPr>
              <w:pStyle w:val="Tabletext0"/>
              <w:jc w:val="left"/>
              <w:rPr>
                <w:b/>
              </w:rPr>
            </w:pPr>
          </w:p>
        </w:tc>
        <w:tc>
          <w:tcPr>
            <w:tcW w:w="333" w:type="pct"/>
            <w:tcBorders>
              <w:left w:val="nil"/>
              <w:bottom w:val="nil"/>
              <w:right w:val="nil"/>
            </w:tcBorders>
            <w:tcMar>
              <w:left w:w="57" w:type="dxa"/>
              <w:right w:w="57" w:type="dxa"/>
            </w:tcMar>
          </w:tcPr>
          <w:p w14:paraId="11E73360" w14:textId="77777777" w:rsidR="00051D66" w:rsidRPr="00F516FD" w:rsidRDefault="00051D66" w:rsidP="00B23605">
            <w:pPr>
              <w:pStyle w:val="Tabletext0"/>
              <w:jc w:val="left"/>
              <w:rPr>
                <w:b/>
              </w:rPr>
            </w:pPr>
          </w:p>
        </w:tc>
        <w:tc>
          <w:tcPr>
            <w:tcW w:w="245" w:type="pct"/>
            <w:tcBorders>
              <w:left w:val="nil"/>
              <w:bottom w:val="nil"/>
              <w:right w:val="nil"/>
            </w:tcBorders>
            <w:tcMar>
              <w:left w:w="57" w:type="dxa"/>
              <w:right w:w="57" w:type="dxa"/>
            </w:tcMar>
          </w:tcPr>
          <w:p w14:paraId="6DAAA6A4" w14:textId="77777777" w:rsidR="00051D66" w:rsidRPr="00F516FD" w:rsidRDefault="00051D66" w:rsidP="00B23605">
            <w:pPr>
              <w:pStyle w:val="Tabletext0"/>
              <w:jc w:val="left"/>
              <w:rPr>
                <w:b/>
              </w:rPr>
            </w:pPr>
          </w:p>
        </w:tc>
        <w:tc>
          <w:tcPr>
            <w:tcW w:w="245" w:type="pct"/>
            <w:tcBorders>
              <w:left w:val="nil"/>
              <w:bottom w:val="nil"/>
              <w:right w:val="nil"/>
            </w:tcBorders>
            <w:tcMar>
              <w:left w:w="57" w:type="dxa"/>
              <w:right w:w="57" w:type="dxa"/>
            </w:tcMar>
          </w:tcPr>
          <w:p w14:paraId="46C7C755" w14:textId="77777777" w:rsidR="00051D66" w:rsidRPr="00F516FD" w:rsidRDefault="00051D66" w:rsidP="00B23605">
            <w:pPr>
              <w:pStyle w:val="Tabletext0"/>
              <w:jc w:val="left"/>
              <w:rPr>
                <w:b/>
              </w:rPr>
            </w:pPr>
          </w:p>
        </w:tc>
        <w:tc>
          <w:tcPr>
            <w:tcW w:w="158" w:type="pct"/>
            <w:tcBorders>
              <w:left w:val="nil"/>
              <w:bottom w:val="nil"/>
            </w:tcBorders>
            <w:tcMar>
              <w:left w:w="57" w:type="dxa"/>
              <w:right w:w="57" w:type="dxa"/>
            </w:tcMar>
          </w:tcPr>
          <w:p w14:paraId="220DD54C" w14:textId="77777777" w:rsidR="00051D66" w:rsidRPr="00F516FD" w:rsidRDefault="00051D66" w:rsidP="00B23605">
            <w:pPr>
              <w:pStyle w:val="Tabletext0"/>
              <w:jc w:val="left"/>
              <w:rPr>
                <w:b/>
              </w:rPr>
            </w:pPr>
          </w:p>
        </w:tc>
      </w:tr>
      <w:tr w:rsidR="001C773F" w:rsidRPr="00F516FD" w14:paraId="33E5E787" w14:textId="09E22B67" w:rsidTr="00A80BC0">
        <w:tc>
          <w:tcPr>
            <w:tcW w:w="1099" w:type="pct"/>
            <w:tcBorders>
              <w:bottom w:val="single" w:sz="4" w:space="0" w:color="auto"/>
            </w:tcBorders>
            <w:tcMar>
              <w:left w:w="57" w:type="dxa"/>
              <w:right w:w="57" w:type="dxa"/>
            </w:tcMar>
          </w:tcPr>
          <w:p w14:paraId="479B373E" w14:textId="2FD429CC" w:rsidR="00E04250" w:rsidRPr="00F516FD" w:rsidRDefault="00E04250" w:rsidP="00E04250">
            <w:pPr>
              <w:pStyle w:val="Tabletext0"/>
              <w:jc w:val="left"/>
            </w:pPr>
            <w:r w:rsidRPr="00F516FD">
              <w:t>Total cost to MBS of proposed level 5 services (75% benefit)</w:t>
            </w:r>
          </w:p>
        </w:tc>
        <w:tc>
          <w:tcPr>
            <w:tcW w:w="647" w:type="pct"/>
            <w:tcBorders>
              <w:bottom w:val="single" w:sz="4" w:space="0" w:color="auto"/>
            </w:tcBorders>
            <w:tcMar>
              <w:left w:w="57" w:type="dxa"/>
              <w:right w:w="57" w:type="dxa"/>
            </w:tcMar>
            <w:vAlign w:val="bottom"/>
          </w:tcPr>
          <w:p w14:paraId="153081E0" w14:textId="44FADDA2" w:rsidR="00E04250" w:rsidRPr="00F516FD" w:rsidRDefault="00E04250" w:rsidP="001C773F">
            <w:pPr>
              <w:pStyle w:val="Tabletext0"/>
              <w:jc w:val="left"/>
            </w:pPr>
            <w:r w:rsidRPr="00F516FD">
              <w:t>$3,362,540</w:t>
            </w:r>
          </w:p>
        </w:tc>
        <w:tc>
          <w:tcPr>
            <w:tcW w:w="651" w:type="pct"/>
            <w:tcBorders>
              <w:bottom w:val="single" w:sz="4" w:space="0" w:color="auto"/>
            </w:tcBorders>
            <w:tcMar>
              <w:left w:w="57" w:type="dxa"/>
              <w:right w:w="57" w:type="dxa"/>
            </w:tcMar>
            <w:vAlign w:val="bottom"/>
          </w:tcPr>
          <w:p w14:paraId="00F31BB6" w14:textId="67156AAA" w:rsidR="00E04250" w:rsidRPr="00F516FD" w:rsidRDefault="00E04250" w:rsidP="001C773F">
            <w:pPr>
              <w:pStyle w:val="Tabletext0"/>
              <w:jc w:val="left"/>
            </w:pPr>
            <w:r w:rsidRPr="00F516FD">
              <w:t>$3,362,540</w:t>
            </w:r>
          </w:p>
        </w:tc>
        <w:tc>
          <w:tcPr>
            <w:tcW w:w="650" w:type="pct"/>
            <w:gridSpan w:val="2"/>
            <w:tcBorders>
              <w:bottom w:val="single" w:sz="4" w:space="0" w:color="auto"/>
            </w:tcBorders>
            <w:tcMar>
              <w:left w:w="57" w:type="dxa"/>
              <w:right w:w="57" w:type="dxa"/>
            </w:tcMar>
            <w:vAlign w:val="bottom"/>
          </w:tcPr>
          <w:p w14:paraId="097AC47A" w14:textId="3BA9F24C" w:rsidR="00E04250" w:rsidRPr="00F516FD" w:rsidRDefault="00E04250" w:rsidP="001C773F">
            <w:pPr>
              <w:pStyle w:val="Tabletext0"/>
              <w:jc w:val="left"/>
            </w:pPr>
            <w:r w:rsidRPr="00F516FD">
              <w:t>$3,362,540</w:t>
            </w:r>
          </w:p>
        </w:tc>
        <w:tc>
          <w:tcPr>
            <w:tcW w:w="654" w:type="pct"/>
            <w:gridSpan w:val="6"/>
            <w:tcBorders>
              <w:bottom w:val="single" w:sz="4" w:space="0" w:color="auto"/>
            </w:tcBorders>
            <w:tcMar>
              <w:left w:w="57" w:type="dxa"/>
              <w:right w:w="57" w:type="dxa"/>
            </w:tcMar>
            <w:vAlign w:val="bottom"/>
          </w:tcPr>
          <w:p w14:paraId="45D02801" w14:textId="01C10EBA" w:rsidR="00E04250" w:rsidRPr="00F516FD" w:rsidRDefault="00E04250" w:rsidP="001C773F">
            <w:pPr>
              <w:pStyle w:val="Tabletext0"/>
              <w:jc w:val="left"/>
            </w:pPr>
            <w:r w:rsidRPr="00F516FD">
              <w:t>$3,362,540</w:t>
            </w:r>
          </w:p>
        </w:tc>
        <w:tc>
          <w:tcPr>
            <w:tcW w:w="651" w:type="pct"/>
            <w:gridSpan w:val="3"/>
            <w:tcBorders>
              <w:bottom w:val="single" w:sz="4" w:space="0" w:color="auto"/>
            </w:tcBorders>
            <w:tcMar>
              <w:left w:w="57" w:type="dxa"/>
              <w:right w:w="57" w:type="dxa"/>
            </w:tcMar>
            <w:vAlign w:val="bottom"/>
          </w:tcPr>
          <w:p w14:paraId="5D9B8FBB" w14:textId="665EA320" w:rsidR="00E04250" w:rsidRPr="00F516FD" w:rsidRDefault="00E04250" w:rsidP="001C773F">
            <w:pPr>
              <w:pStyle w:val="Tabletext0"/>
              <w:jc w:val="left"/>
            </w:pPr>
            <w:r w:rsidRPr="00F516FD">
              <w:t>$3,362,540</w:t>
            </w:r>
          </w:p>
        </w:tc>
        <w:tc>
          <w:tcPr>
            <w:tcW w:w="648" w:type="pct"/>
            <w:gridSpan w:val="3"/>
            <w:tcBorders>
              <w:bottom w:val="single" w:sz="4" w:space="0" w:color="auto"/>
            </w:tcBorders>
            <w:tcMar>
              <w:left w:w="57" w:type="dxa"/>
              <w:right w:w="57" w:type="dxa"/>
            </w:tcMar>
            <w:vAlign w:val="bottom"/>
          </w:tcPr>
          <w:p w14:paraId="44A7D440" w14:textId="57A4ED40" w:rsidR="00E04250" w:rsidRPr="00F516FD" w:rsidRDefault="00E04250" w:rsidP="001C773F">
            <w:pPr>
              <w:pStyle w:val="Tabletext0"/>
              <w:jc w:val="left"/>
            </w:pPr>
            <w:r w:rsidRPr="00F516FD">
              <w:t>$3,362,540</w:t>
            </w:r>
          </w:p>
        </w:tc>
      </w:tr>
      <w:tr w:rsidR="001C773F" w:rsidRPr="00F516FD" w14:paraId="070C72FE" w14:textId="70B6AEE6" w:rsidTr="00E04250">
        <w:tc>
          <w:tcPr>
            <w:tcW w:w="2976" w:type="pct"/>
            <w:gridSpan w:val="4"/>
            <w:tcBorders>
              <w:left w:val="single" w:sz="4" w:space="0" w:color="auto"/>
              <w:right w:val="nil"/>
            </w:tcBorders>
            <w:tcMar>
              <w:left w:w="57" w:type="dxa"/>
              <w:right w:w="57" w:type="dxa"/>
            </w:tcMar>
          </w:tcPr>
          <w:p w14:paraId="33CDCC0D" w14:textId="0DDF621F" w:rsidR="00051D66" w:rsidRPr="00F516FD" w:rsidRDefault="00051D66" w:rsidP="00B23605">
            <w:pPr>
              <w:pStyle w:val="Tabletext0"/>
              <w:jc w:val="left"/>
            </w:pPr>
            <w:r w:rsidRPr="00F516FD">
              <w:rPr>
                <w:b/>
              </w:rPr>
              <w:t>Change in use and cost of other health technologies</w:t>
            </w:r>
          </w:p>
        </w:tc>
        <w:tc>
          <w:tcPr>
            <w:tcW w:w="161" w:type="pct"/>
            <w:gridSpan w:val="2"/>
            <w:tcBorders>
              <w:left w:val="nil"/>
              <w:right w:val="nil"/>
            </w:tcBorders>
            <w:tcMar>
              <w:left w:w="57" w:type="dxa"/>
              <w:right w:w="57" w:type="dxa"/>
            </w:tcMar>
          </w:tcPr>
          <w:p w14:paraId="7919D1A1" w14:textId="77777777" w:rsidR="00051D66" w:rsidRPr="00F516FD" w:rsidRDefault="00051D66" w:rsidP="00B23605">
            <w:pPr>
              <w:pStyle w:val="Tabletext0"/>
              <w:jc w:val="left"/>
            </w:pPr>
          </w:p>
        </w:tc>
        <w:tc>
          <w:tcPr>
            <w:tcW w:w="160" w:type="pct"/>
            <w:tcBorders>
              <w:left w:val="nil"/>
              <w:right w:val="nil"/>
            </w:tcBorders>
            <w:tcMar>
              <w:left w:w="57" w:type="dxa"/>
              <w:right w:w="57" w:type="dxa"/>
            </w:tcMar>
          </w:tcPr>
          <w:p w14:paraId="6E8C158E" w14:textId="77777777" w:rsidR="00051D66" w:rsidRPr="00F516FD" w:rsidRDefault="00051D66" w:rsidP="00B23605">
            <w:pPr>
              <w:pStyle w:val="Tabletext0"/>
              <w:jc w:val="left"/>
            </w:pPr>
          </w:p>
        </w:tc>
        <w:tc>
          <w:tcPr>
            <w:tcW w:w="157" w:type="pct"/>
            <w:tcBorders>
              <w:left w:val="nil"/>
              <w:right w:val="nil"/>
            </w:tcBorders>
            <w:tcMar>
              <w:left w:w="57" w:type="dxa"/>
              <w:right w:w="57" w:type="dxa"/>
            </w:tcMar>
          </w:tcPr>
          <w:p w14:paraId="0F23E366" w14:textId="77777777" w:rsidR="00051D66" w:rsidRPr="00F516FD" w:rsidRDefault="00051D66" w:rsidP="00B23605">
            <w:pPr>
              <w:pStyle w:val="Tabletext0"/>
              <w:jc w:val="left"/>
            </w:pPr>
          </w:p>
        </w:tc>
        <w:tc>
          <w:tcPr>
            <w:tcW w:w="144" w:type="pct"/>
            <w:gridSpan w:val="2"/>
            <w:tcBorders>
              <w:left w:val="nil"/>
              <w:right w:val="nil"/>
            </w:tcBorders>
            <w:tcMar>
              <w:left w:w="57" w:type="dxa"/>
              <w:right w:w="57" w:type="dxa"/>
            </w:tcMar>
          </w:tcPr>
          <w:p w14:paraId="6ED76870" w14:textId="77777777" w:rsidR="00051D66" w:rsidRPr="00F516FD" w:rsidRDefault="00051D66" w:rsidP="00B23605">
            <w:pPr>
              <w:pStyle w:val="Tabletext0"/>
              <w:jc w:val="left"/>
            </w:pPr>
          </w:p>
        </w:tc>
        <w:tc>
          <w:tcPr>
            <w:tcW w:w="754" w:type="pct"/>
            <w:gridSpan w:val="4"/>
            <w:tcBorders>
              <w:left w:val="nil"/>
              <w:right w:val="nil"/>
            </w:tcBorders>
            <w:tcMar>
              <w:left w:w="57" w:type="dxa"/>
              <w:right w:w="57" w:type="dxa"/>
            </w:tcMar>
          </w:tcPr>
          <w:p w14:paraId="58CE8D38" w14:textId="77777777" w:rsidR="00051D66" w:rsidRPr="00F516FD" w:rsidRDefault="00051D66" w:rsidP="00B23605">
            <w:pPr>
              <w:pStyle w:val="Tabletext0"/>
              <w:jc w:val="left"/>
            </w:pPr>
          </w:p>
        </w:tc>
        <w:tc>
          <w:tcPr>
            <w:tcW w:w="648" w:type="pct"/>
            <w:gridSpan w:val="3"/>
            <w:tcBorders>
              <w:left w:val="nil"/>
            </w:tcBorders>
            <w:tcMar>
              <w:left w:w="57" w:type="dxa"/>
              <w:right w:w="57" w:type="dxa"/>
            </w:tcMar>
          </w:tcPr>
          <w:p w14:paraId="2B609ACD" w14:textId="77777777" w:rsidR="00051D66" w:rsidRPr="00F516FD" w:rsidRDefault="00051D66" w:rsidP="00B23605">
            <w:pPr>
              <w:pStyle w:val="Tabletext0"/>
              <w:jc w:val="left"/>
            </w:pPr>
          </w:p>
        </w:tc>
      </w:tr>
      <w:tr w:rsidR="001C773F" w:rsidRPr="00F516FD" w14:paraId="30C26C95" w14:textId="1FD7C0DF" w:rsidTr="00A80BC0">
        <w:tc>
          <w:tcPr>
            <w:tcW w:w="1099" w:type="pct"/>
            <w:tcMar>
              <w:left w:w="57" w:type="dxa"/>
              <w:right w:w="57" w:type="dxa"/>
            </w:tcMar>
          </w:tcPr>
          <w:p w14:paraId="03A41EFE" w14:textId="759CF19D" w:rsidR="00E04250" w:rsidRPr="00F516FD" w:rsidRDefault="00E04250" w:rsidP="00E04250">
            <w:pPr>
              <w:pStyle w:val="Tabletext0"/>
              <w:jc w:val="left"/>
            </w:pPr>
            <w:r w:rsidRPr="00F516FD">
              <w:t xml:space="preserve">Cost to MBS of level 4 services (75% </w:t>
            </w:r>
            <w:proofErr w:type="gramStart"/>
            <w:r w:rsidRPr="00F516FD">
              <w:t>benefit)</w:t>
            </w:r>
            <w:r w:rsidRPr="00F516FD">
              <w:rPr>
                <w:vertAlign w:val="superscript"/>
              </w:rPr>
              <w:t>c</w:t>
            </w:r>
            <w:proofErr w:type="gramEnd"/>
          </w:p>
        </w:tc>
        <w:tc>
          <w:tcPr>
            <w:tcW w:w="647" w:type="pct"/>
            <w:tcMar>
              <w:left w:w="57" w:type="dxa"/>
              <w:right w:w="57" w:type="dxa"/>
            </w:tcMar>
            <w:vAlign w:val="bottom"/>
          </w:tcPr>
          <w:p w14:paraId="6D93BC29" w14:textId="6D2E8CEF" w:rsidR="00E04250" w:rsidRPr="00F516FD" w:rsidRDefault="00E04250" w:rsidP="001C773F">
            <w:pPr>
              <w:pStyle w:val="Tabletext0"/>
              <w:jc w:val="left"/>
            </w:pPr>
            <w:r w:rsidRPr="00F516FD">
              <w:t>-$1,191,973</w:t>
            </w:r>
          </w:p>
        </w:tc>
        <w:tc>
          <w:tcPr>
            <w:tcW w:w="651" w:type="pct"/>
            <w:tcMar>
              <w:left w:w="57" w:type="dxa"/>
              <w:right w:w="57" w:type="dxa"/>
            </w:tcMar>
            <w:vAlign w:val="bottom"/>
          </w:tcPr>
          <w:p w14:paraId="57A66867" w14:textId="2DE1A11D" w:rsidR="00E04250" w:rsidRPr="00F516FD" w:rsidRDefault="00E04250" w:rsidP="001C773F">
            <w:pPr>
              <w:pStyle w:val="Tabletext0"/>
              <w:jc w:val="left"/>
            </w:pPr>
            <w:r w:rsidRPr="00F516FD">
              <w:t>-$1,191,973</w:t>
            </w:r>
          </w:p>
        </w:tc>
        <w:tc>
          <w:tcPr>
            <w:tcW w:w="650" w:type="pct"/>
            <w:gridSpan w:val="2"/>
            <w:tcMar>
              <w:left w:w="57" w:type="dxa"/>
              <w:right w:w="57" w:type="dxa"/>
            </w:tcMar>
            <w:vAlign w:val="bottom"/>
          </w:tcPr>
          <w:p w14:paraId="26002CD5" w14:textId="43EEABC7" w:rsidR="00E04250" w:rsidRPr="00F516FD" w:rsidRDefault="00E04250" w:rsidP="001C773F">
            <w:pPr>
              <w:pStyle w:val="Tabletext0"/>
              <w:jc w:val="left"/>
            </w:pPr>
            <w:r w:rsidRPr="00F516FD">
              <w:t>-$1,191,973</w:t>
            </w:r>
          </w:p>
        </w:tc>
        <w:tc>
          <w:tcPr>
            <w:tcW w:w="654" w:type="pct"/>
            <w:gridSpan w:val="6"/>
            <w:tcMar>
              <w:left w:w="57" w:type="dxa"/>
              <w:right w:w="57" w:type="dxa"/>
            </w:tcMar>
            <w:vAlign w:val="bottom"/>
          </w:tcPr>
          <w:p w14:paraId="6FC4B30E" w14:textId="3640CDC1" w:rsidR="00E04250" w:rsidRPr="00F516FD" w:rsidRDefault="00E04250" w:rsidP="001C773F">
            <w:pPr>
              <w:pStyle w:val="Tabletext0"/>
              <w:jc w:val="left"/>
            </w:pPr>
            <w:r w:rsidRPr="00F516FD">
              <w:t>-$1,191,973</w:t>
            </w:r>
          </w:p>
        </w:tc>
        <w:tc>
          <w:tcPr>
            <w:tcW w:w="651" w:type="pct"/>
            <w:gridSpan w:val="3"/>
            <w:tcMar>
              <w:left w:w="57" w:type="dxa"/>
              <w:right w:w="57" w:type="dxa"/>
            </w:tcMar>
            <w:vAlign w:val="bottom"/>
          </w:tcPr>
          <w:p w14:paraId="68160B75" w14:textId="6F22447F" w:rsidR="00E04250" w:rsidRPr="00F516FD" w:rsidRDefault="00E04250" w:rsidP="001C773F">
            <w:pPr>
              <w:pStyle w:val="Tabletext0"/>
              <w:jc w:val="left"/>
            </w:pPr>
            <w:r w:rsidRPr="00F516FD">
              <w:t>-$1,191,973</w:t>
            </w:r>
          </w:p>
        </w:tc>
        <w:tc>
          <w:tcPr>
            <w:tcW w:w="648" w:type="pct"/>
            <w:gridSpan w:val="3"/>
            <w:tcMar>
              <w:left w:w="57" w:type="dxa"/>
              <w:right w:w="57" w:type="dxa"/>
            </w:tcMar>
            <w:vAlign w:val="bottom"/>
          </w:tcPr>
          <w:p w14:paraId="330F0022" w14:textId="10AA9EBF" w:rsidR="00E04250" w:rsidRPr="00F516FD" w:rsidRDefault="00E04250" w:rsidP="001C773F">
            <w:pPr>
              <w:pStyle w:val="Tabletext0"/>
              <w:jc w:val="left"/>
            </w:pPr>
            <w:r w:rsidRPr="00F516FD">
              <w:t>-$1,191,973</w:t>
            </w:r>
          </w:p>
        </w:tc>
      </w:tr>
      <w:tr w:rsidR="001C773F" w:rsidRPr="00F516FD" w14:paraId="2F757D6B" w14:textId="7928E715" w:rsidTr="00A80BC0">
        <w:tc>
          <w:tcPr>
            <w:tcW w:w="1099" w:type="pct"/>
            <w:tcMar>
              <w:left w:w="57" w:type="dxa"/>
              <w:right w:w="57" w:type="dxa"/>
            </w:tcMar>
          </w:tcPr>
          <w:p w14:paraId="3906C353" w14:textId="63DC552D" w:rsidR="00E04250" w:rsidRPr="00F516FD" w:rsidRDefault="00E04250" w:rsidP="00E04250">
            <w:pPr>
              <w:pStyle w:val="Tabletext0"/>
              <w:jc w:val="left"/>
              <w:rPr>
                <w:b/>
              </w:rPr>
            </w:pPr>
            <w:r w:rsidRPr="00F516FD">
              <w:rPr>
                <w:b/>
              </w:rPr>
              <w:t>Net financial impact to MBS</w:t>
            </w:r>
            <w:r w:rsidRPr="00F516FD">
              <w:rPr>
                <w:b/>
                <w:bCs/>
              </w:rPr>
              <w:t xml:space="preserve"> of increasing from complexity level 4 to 5</w:t>
            </w:r>
          </w:p>
        </w:tc>
        <w:tc>
          <w:tcPr>
            <w:tcW w:w="647" w:type="pct"/>
            <w:tcMar>
              <w:left w:w="57" w:type="dxa"/>
              <w:right w:w="57" w:type="dxa"/>
            </w:tcMar>
            <w:vAlign w:val="bottom"/>
          </w:tcPr>
          <w:p w14:paraId="76CED2D0" w14:textId="11B883B7" w:rsidR="00E04250" w:rsidRPr="00F516FD" w:rsidRDefault="00E04250" w:rsidP="001C773F">
            <w:pPr>
              <w:pStyle w:val="Tabletext0"/>
              <w:jc w:val="left"/>
              <w:rPr>
                <w:b/>
              </w:rPr>
            </w:pPr>
            <w:r w:rsidRPr="00F516FD">
              <w:rPr>
                <w:b/>
              </w:rPr>
              <w:t>$2,170,568</w:t>
            </w:r>
          </w:p>
        </w:tc>
        <w:tc>
          <w:tcPr>
            <w:tcW w:w="651" w:type="pct"/>
            <w:tcMar>
              <w:left w:w="57" w:type="dxa"/>
              <w:right w:w="57" w:type="dxa"/>
            </w:tcMar>
            <w:vAlign w:val="bottom"/>
          </w:tcPr>
          <w:p w14:paraId="777A5F82" w14:textId="6EA1CD48" w:rsidR="00E04250" w:rsidRPr="00F516FD" w:rsidRDefault="00E04250" w:rsidP="001C773F">
            <w:pPr>
              <w:pStyle w:val="Tabletext0"/>
              <w:jc w:val="left"/>
              <w:rPr>
                <w:b/>
              </w:rPr>
            </w:pPr>
            <w:r w:rsidRPr="00F516FD">
              <w:rPr>
                <w:b/>
              </w:rPr>
              <w:t>$2,170,568</w:t>
            </w:r>
          </w:p>
        </w:tc>
        <w:tc>
          <w:tcPr>
            <w:tcW w:w="650" w:type="pct"/>
            <w:gridSpan w:val="2"/>
            <w:tcMar>
              <w:left w:w="57" w:type="dxa"/>
              <w:right w:w="57" w:type="dxa"/>
            </w:tcMar>
            <w:vAlign w:val="bottom"/>
          </w:tcPr>
          <w:p w14:paraId="2CAEF870" w14:textId="504D4023" w:rsidR="00E04250" w:rsidRPr="00F516FD" w:rsidRDefault="00E04250" w:rsidP="001C773F">
            <w:pPr>
              <w:pStyle w:val="Tabletext0"/>
              <w:jc w:val="left"/>
              <w:rPr>
                <w:b/>
              </w:rPr>
            </w:pPr>
            <w:r w:rsidRPr="00F516FD">
              <w:rPr>
                <w:b/>
              </w:rPr>
              <w:t>$2,170,568</w:t>
            </w:r>
          </w:p>
        </w:tc>
        <w:tc>
          <w:tcPr>
            <w:tcW w:w="654" w:type="pct"/>
            <w:gridSpan w:val="6"/>
            <w:tcMar>
              <w:left w:w="57" w:type="dxa"/>
              <w:right w:w="57" w:type="dxa"/>
            </w:tcMar>
            <w:vAlign w:val="bottom"/>
          </w:tcPr>
          <w:p w14:paraId="4F7D9E0E" w14:textId="3EA257A8" w:rsidR="00E04250" w:rsidRPr="00F516FD" w:rsidRDefault="00E04250" w:rsidP="001C773F">
            <w:pPr>
              <w:pStyle w:val="Tabletext0"/>
              <w:jc w:val="left"/>
              <w:rPr>
                <w:b/>
              </w:rPr>
            </w:pPr>
            <w:r w:rsidRPr="00F516FD">
              <w:rPr>
                <w:b/>
              </w:rPr>
              <w:t>$2,170,568</w:t>
            </w:r>
          </w:p>
        </w:tc>
        <w:tc>
          <w:tcPr>
            <w:tcW w:w="651" w:type="pct"/>
            <w:gridSpan w:val="3"/>
            <w:tcMar>
              <w:left w:w="57" w:type="dxa"/>
              <w:right w:w="57" w:type="dxa"/>
            </w:tcMar>
            <w:vAlign w:val="bottom"/>
          </w:tcPr>
          <w:p w14:paraId="21254FDC" w14:textId="750992CF" w:rsidR="00E04250" w:rsidRPr="00F516FD" w:rsidRDefault="00E04250" w:rsidP="001C773F">
            <w:pPr>
              <w:pStyle w:val="Tabletext0"/>
              <w:jc w:val="left"/>
              <w:rPr>
                <w:b/>
              </w:rPr>
            </w:pPr>
            <w:r w:rsidRPr="00F516FD">
              <w:rPr>
                <w:b/>
              </w:rPr>
              <w:t>$2,170,568</w:t>
            </w:r>
          </w:p>
        </w:tc>
        <w:tc>
          <w:tcPr>
            <w:tcW w:w="648" w:type="pct"/>
            <w:gridSpan w:val="3"/>
            <w:tcMar>
              <w:left w:w="57" w:type="dxa"/>
              <w:right w:w="57" w:type="dxa"/>
            </w:tcMar>
            <w:vAlign w:val="bottom"/>
          </w:tcPr>
          <w:p w14:paraId="3135FA6E" w14:textId="0B51F3AE" w:rsidR="00E04250" w:rsidRPr="00F516FD" w:rsidRDefault="00E04250" w:rsidP="001C773F">
            <w:pPr>
              <w:pStyle w:val="Tabletext0"/>
              <w:jc w:val="left"/>
              <w:rPr>
                <w:b/>
              </w:rPr>
            </w:pPr>
            <w:r w:rsidRPr="00F516FD">
              <w:rPr>
                <w:b/>
              </w:rPr>
              <w:t>$2,170,568</w:t>
            </w:r>
          </w:p>
        </w:tc>
      </w:tr>
    </w:tbl>
    <w:p w14:paraId="49594B2F" w14:textId="5E99DB93" w:rsidR="001B4F23" w:rsidRPr="00F516FD" w:rsidRDefault="008B18BC" w:rsidP="001B4F23">
      <w:pPr>
        <w:pStyle w:val="TableFooter"/>
      </w:pPr>
      <w:r w:rsidRPr="00F516FD">
        <w:t>FY =</w:t>
      </w:r>
      <w:r w:rsidR="003806D9" w:rsidRPr="00F516FD">
        <w:t xml:space="preserve"> </w:t>
      </w:r>
      <w:r w:rsidRPr="00F516FD">
        <w:t xml:space="preserve">financial year; </w:t>
      </w:r>
      <w:r w:rsidR="001B4F23" w:rsidRPr="00F516FD">
        <w:t>MBS = Medicare Benefits Schedule</w:t>
      </w:r>
      <w:r w:rsidR="00320EC7" w:rsidRPr="00F516FD">
        <w:t xml:space="preserve">; </w:t>
      </w:r>
      <w:r w:rsidR="00412879" w:rsidRPr="00F516FD">
        <w:t xml:space="preserve">NICU = neonatal intensive care unit; </w:t>
      </w:r>
      <w:r w:rsidR="0032092C" w:rsidRPr="00F516FD">
        <w:t>SAB</w:t>
      </w:r>
      <w:r w:rsidR="00320EC7" w:rsidRPr="00F516FD">
        <w:t xml:space="preserve"> = spontaneous</w:t>
      </w:r>
      <w:r w:rsidR="0032092C" w:rsidRPr="00F516FD">
        <w:t xml:space="preserve"> abortion</w:t>
      </w:r>
      <w:r w:rsidR="00412879" w:rsidRPr="00F516FD">
        <w:t>; SCN = special care nursery.</w:t>
      </w:r>
    </w:p>
    <w:p w14:paraId="6E9F36F5" w14:textId="1BC5C120" w:rsidR="00DA1BD8" w:rsidRPr="00F516FD" w:rsidRDefault="001B4F23" w:rsidP="00F04BC3">
      <w:pPr>
        <w:pStyle w:val="TableFooter"/>
      </w:pPr>
      <w:r w:rsidRPr="00F516FD">
        <w:t xml:space="preserve">a Calculated by multiplying the total number of </w:t>
      </w:r>
      <w:r w:rsidR="00F04BC3" w:rsidRPr="00F516FD">
        <w:t>placental examinations</w:t>
      </w:r>
      <w:r w:rsidR="005E2EC7" w:rsidRPr="00F516FD">
        <w:t xml:space="preserve"> </w:t>
      </w:r>
      <w:r w:rsidR="006F0F1A" w:rsidRPr="00F516FD">
        <w:t xml:space="preserve">for the population </w:t>
      </w:r>
      <w:r w:rsidR="008463AF" w:rsidRPr="00F516FD">
        <w:t>by</w:t>
      </w:r>
      <w:r w:rsidRPr="00F516FD">
        <w:t xml:space="preserve"> the proportion of patients giving birth</w:t>
      </w:r>
      <w:r w:rsidR="008463AF" w:rsidRPr="00F516FD">
        <w:t xml:space="preserve"> in a private hospital (25.4%)</w:t>
      </w:r>
      <w:r w:rsidR="00052C35" w:rsidRPr="00F516FD">
        <w:t>.</w:t>
      </w:r>
      <w:r w:rsidR="001D0B14" w:rsidRPr="00F516FD">
        <w:t xml:space="preserve"> Assumes </w:t>
      </w:r>
      <w:r w:rsidR="00EA68F8" w:rsidRPr="00F516FD">
        <w:t>one</w:t>
      </w:r>
      <w:r w:rsidR="001D0B14" w:rsidRPr="00F516FD">
        <w:t xml:space="preserve"> placental examination per </w:t>
      </w:r>
      <w:r w:rsidR="00EC58B1" w:rsidRPr="00F516FD">
        <w:t>hospital separation</w:t>
      </w:r>
      <w:r w:rsidR="001D0B14" w:rsidRPr="00F516FD">
        <w:t>.</w:t>
      </w:r>
    </w:p>
    <w:p w14:paraId="6B506284" w14:textId="458057E0" w:rsidR="00983370" w:rsidRPr="00F516FD" w:rsidRDefault="00983370" w:rsidP="00F04BC3">
      <w:pPr>
        <w:pStyle w:val="TableFooter"/>
      </w:pPr>
      <w:r w:rsidRPr="00F516FD">
        <w:t xml:space="preserve">b </w:t>
      </w:r>
      <w:r w:rsidR="00A50CF6" w:rsidRPr="00F516FD">
        <w:t>Calculated using 75% benefit ($205.65) for examination of complexity level 5 biopsy material (MBS item 72830).</w:t>
      </w:r>
    </w:p>
    <w:p w14:paraId="3FF34DB9" w14:textId="44B35BE7" w:rsidR="00A50CF6" w:rsidRPr="00F516FD" w:rsidRDefault="00A50CF6" w:rsidP="00F04BC3">
      <w:pPr>
        <w:pStyle w:val="TableFooter"/>
      </w:pPr>
      <w:r w:rsidRPr="00F516FD">
        <w:t>c Calculated using 75% benefit ($72.90) for examination of complexity level 4 biopsy material (MBS item 72823).</w:t>
      </w:r>
    </w:p>
    <w:p w14:paraId="63AB69E0" w14:textId="3BFC3451" w:rsidR="000E42E3" w:rsidRPr="00F516FD" w:rsidRDefault="000E42E3" w:rsidP="001B4F23">
      <w:pPr>
        <w:pStyle w:val="TableFooter"/>
      </w:pPr>
      <w:r w:rsidRPr="00F516FD">
        <w:t>Source: DCAR Tables 19 and 24.</w:t>
      </w:r>
    </w:p>
    <w:p w14:paraId="7CD97A43" w14:textId="470BEC3B" w:rsidR="00AD0E6A" w:rsidRPr="00F516FD" w:rsidRDefault="00AD0E6A" w:rsidP="00AD0E6A">
      <w:r w:rsidRPr="00F516FD">
        <w:t xml:space="preserve">The combined financial implication to the MBS of the proposed change in complexity level from 4 to 6 for Population 1, and 4 to 5 in Populations 2 and 3 are summarised in </w:t>
      </w:r>
      <w:r w:rsidRPr="00F516FD">
        <w:fldChar w:fldCharType="begin"/>
      </w:r>
      <w:r w:rsidRPr="00F516FD">
        <w:instrText xml:space="preserve"> REF _Ref169798154 \h </w:instrText>
      </w:r>
      <w:r w:rsidR="00F516FD">
        <w:instrText xml:space="preserve"> \* MERGEFORMAT </w:instrText>
      </w:r>
      <w:r w:rsidRPr="00F516FD">
        <w:fldChar w:fldCharType="separate"/>
      </w:r>
      <w:r w:rsidR="002A4535" w:rsidRPr="00F516FD">
        <w:t xml:space="preserve">Table </w:t>
      </w:r>
      <w:r w:rsidR="002A4535" w:rsidRPr="00F516FD">
        <w:rPr>
          <w:noProof/>
        </w:rPr>
        <w:t>9</w:t>
      </w:r>
      <w:r w:rsidRPr="00F516FD">
        <w:fldChar w:fldCharType="end"/>
      </w:r>
      <w:r w:rsidRPr="00F516FD">
        <w:t>. Increasing the complexity of level 4 services to level 5 for Populations 2 and 3 was estimated to have the largest net financial impact to the MBS.</w:t>
      </w:r>
    </w:p>
    <w:p w14:paraId="3E345161" w14:textId="7A875A96" w:rsidR="00AD0E6A" w:rsidRPr="00F516FD" w:rsidRDefault="00AD0E6A" w:rsidP="00AD0E6A">
      <w:pPr>
        <w:pStyle w:val="Caption"/>
      </w:pPr>
      <w:bookmarkStart w:id="40" w:name="_Ref169798154"/>
      <w:r w:rsidRPr="00F516FD">
        <w:lastRenderedPageBreak/>
        <w:t xml:space="preserve">Table </w:t>
      </w:r>
      <w:r w:rsidRPr="00F516FD">
        <w:fldChar w:fldCharType="begin"/>
      </w:r>
      <w:r w:rsidRPr="00F516FD">
        <w:instrText>SEQ Table \* ARABIC</w:instrText>
      </w:r>
      <w:r w:rsidRPr="00F516FD">
        <w:fldChar w:fldCharType="separate"/>
      </w:r>
      <w:r w:rsidR="002A4535" w:rsidRPr="00F516FD">
        <w:rPr>
          <w:noProof/>
        </w:rPr>
        <w:t>9</w:t>
      </w:r>
      <w:r w:rsidRPr="00F516FD">
        <w:fldChar w:fldCharType="end"/>
      </w:r>
      <w:bookmarkEnd w:id="40"/>
      <w:r w:rsidRPr="00F516FD">
        <w:tab/>
        <w:t>Net financial impact to the MBS of increasing the complexity of level 4 services to level 5 (Populations 2 and 3) or level 6 (Population 1)</w:t>
      </w:r>
      <w:r w:rsidR="00FC076F" w:rsidRPr="00F516FD">
        <w:t xml:space="preserve">, </w:t>
      </w:r>
      <w:r w:rsidR="00C22A30" w:rsidRPr="00F516FD">
        <w:t>using</w:t>
      </w:r>
      <w:r w:rsidR="00FC076F" w:rsidRPr="00F516FD">
        <w:t xml:space="preserve"> epidemiological </w:t>
      </w:r>
      <w:proofErr w:type="gramStart"/>
      <w:r w:rsidR="00FC076F" w:rsidRPr="00F516FD">
        <w:t>data</w:t>
      </w:r>
      <w:proofErr w:type="gramEnd"/>
    </w:p>
    <w:tbl>
      <w:tblPr>
        <w:tblStyle w:val="TableGrid"/>
        <w:tblW w:w="5000" w:type="pct"/>
        <w:tblLook w:val="04A0" w:firstRow="1" w:lastRow="0" w:firstColumn="1" w:lastColumn="0" w:noHBand="0" w:noVBand="1"/>
        <w:tblCaption w:val="Net financial impact to the MBS of increasing the complexity of level 4 services to level 5 (Populations 2 and 3) or level 6 (Population 1)"/>
        <w:tblDescription w:val="The table summarises the net financial impact to the MBS over the 6-year period for all three populations."/>
      </w:tblPr>
      <w:tblGrid>
        <w:gridCol w:w="2122"/>
        <w:gridCol w:w="1134"/>
        <w:gridCol w:w="1136"/>
        <w:gridCol w:w="281"/>
        <w:gridCol w:w="240"/>
        <w:gridCol w:w="615"/>
        <w:gridCol w:w="236"/>
        <w:gridCol w:w="283"/>
        <w:gridCol w:w="252"/>
        <w:gridCol w:w="361"/>
        <w:gridCol w:w="96"/>
        <w:gridCol w:w="1039"/>
        <w:gridCol w:w="96"/>
        <w:gridCol w:w="1125"/>
      </w:tblGrid>
      <w:tr w:rsidR="00904D9D" w:rsidRPr="00F516FD" w14:paraId="7FA5147A" w14:textId="77777777">
        <w:trPr>
          <w:tblHeader/>
        </w:trPr>
        <w:tc>
          <w:tcPr>
            <w:tcW w:w="1177" w:type="pct"/>
            <w:tcBorders>
              <w:bottom w:val="single" w:sz="4" w:space="0" w:color="auto"/>
            </w:tcBorders>
            <w:tcMar>
              <w:left w:w="57" w:type="dxa"/>
              <w:right w:w="57" w:type="dxa"/>
            </w:tcMar>
          </w:tcPr>
          <w:p w14:paraId="6A5462E8" w14:textId="77777777" w:rsidR="00904D9D" w:rsidRPr="00F516FD" w:rsidRDefault="00904D9D">
            <w:pPr>
              <w:pStyle w:val="TableHeading0"/>
              <w:keepNext/>
            </w:pPr>
            <w:r w:rsidRPr="00F516FD">
              <w:t>Parameter</w:t>
            </w:r>
          </w:p>
        </w:tc>
        <w:tc>
          <w:tcPr>
            <w:tcW w:w="629" w:type="pct"/>
            <w:tcBorders>
              <w:bottom w:val="single" w:sz="4" w:space="0" w:color="auto"/>
            </w:tcBorders>
            <w:tcMar>
              <w:left w:w="57" w:type="dxa"/>
              <w:right w:w="57" w:type="dxa"/>
            </w:tcMar>
          </w:tcPr>
          <w:p w14:paraId="4263483B" w14:textId="77777777" w:rsidR="00904D9D" w:rsidRPr="00F516FD" w:rsidRDefault="00904D9D">
            <w:pPr>
              <w:pStyle w:val="TableHeading0"/>
              <w:keepNext/>
            </w:pPr>
            <w:r w:rsidRPr="00F516FD">
              <w:t>FY 2025–26</w:t>
            </w:r>
          </w:p>
        </w:tc>
        <w:tc>
          <w:tcPr>
            <w:tcW w:w="630" w:type="pct"/>
            <w:tcBorders>
              <w:bottom w:val="single" w:sz="4" w:space="0" w:color="auto"/>
            </w:tcBorders>
            <w:tcMar>
              <w:left w:w="57" w:type="dxa"/>
              <w:right w:w="57" w:type="dxa"/>
            </w:tcMar>
          </w:tcPr>
          <w:p w14:paraId="75D6D320" w14:textId="77777777" w:rsidR="00904D9D" w:rsidRPr="00F516FD" w:rsidRDefault="00904D9D">
            <w:pPr>
              <w:pStyle w:val="TableHeading0"/>
              <w:keepNext/>
            </w:pPr>
            <w:r w:rsidRPr="00F516FD">
              <w:t>FY 2026–27</w:t>
            </w:r>
          </w:p>
        </w:tc>
        <w:tc>
          <w:tcPr>
            <w:tcW w:w="630" w:type="pct"/>
            <w:gridSpan w:val="3"/>
            <w:tcBorders>
              <w:bottom w:val="single" w:sz="4" w:space="0" w:color="auto"/>
            </w:tcBorders>
            <w:tcMar>
              <w:left w:w="57" w:type="dxa"/>
              <w:right w:w="57" w:type="dxa"/>
            </w:tcMar>
          </w:tcPr>
          <w:p w14:paraId="4D6E6EB5" w14:textId="77777777" w:rsidR="00904D9D" w:rsidRPr="00F516FD" w:rsidRDefault="00904D9D">
            <w:pPr>
              <w:pStyle w:val="TableHeading0"/>
              <w:keepNext/>
            </w:pPr>
            <w:r w:rsidRPr="00F516FD">
              <w:t>FY 2027–28</w:t>
            </w:r>
          </w:p>
        </w:tc>
        <w:tc>
          <w:tcPr>
            <w:tcW w:w="628" w:type="pct"/>
            <w:gridSpan w:val="4"/>
            <w:tcBorders>
              <w:bottom w:val="single" w:sz="4" w:space="0" w:color="auto"/>
            </w:tcBorders>
            <w:tcMar>
              <w:left w:w="57" w:type="dxa"/>
              <w:right w:w="57" w:type="dxa"/>
            </w:tcMar>
          </w:tcPr>
          <w:p w14:paraId="2099E7CD" w14:textId="77777777" w:rsidR="00904D9D" w:rsidRPr="00F516FD" w:rsidRDefault="00904D9D">
            <w:pPr>
              <w:pStyle w:val="TableHeading0"/>
              <w:keepNext/>
            </w:pPr>
            <w:r w:rsidRPr="00F516FD">
              <w:t>FY 2028–29</w:t>
            </w:r>
          </w:p>
        </w:tc>
        <w:tc>
          <w:tcPr>
            <w:tcW w:w="629" w:type="pct"/>
            <w:gridSpan w:val="2"/>
            <w:tcBorders>
              <w:bottom w:val="single" w:sz="4" w:space="0" w:color="auto"/>
            </w:tcBorders>
            <w:tcMar>
              <w:left w:w="57" w:type="dxa"/>
              <w:right w:w="57" w:type="dxa"/>
            </w:tcMar>
          </w:tcPr>
          <w:p w14:paraId="4B5E7957" w14:textId="77777777" w:rsidR="00904D9D" w:rsidRPr="00F516FD" w:rsidRDefault="00904D9D">
            <w:pPr>
              <w:pStyle w:val="TableHeading0"/>
              <w:keepNext/>
            </w:pPr>
            <w:r w:rsidRPr="00F516FD">
              <w:t>FY 2029–30</w:t>
            </w:r>
          </w:p>
        </w:tc>
        <w:tc>
          <w:tcPr>
            <w:tcW w:w="677" w:type="pct"/>
            <w:gridSpan w:val="2"/>
            <w:tcBorders>
              <w:bottom w:val="single" w:sz="4" w:space="0" w:color="auto"/>
            </w:tcBorders>
            <w:tcMar>
              <w:left w:w="57" w:type="dxa"/>
              <w:right w:w="57" w:type="dxa"/>
            </w:tcMar>
          </w:tcPr>
          <w:p w14:paraId="0261DE98" w14:textId="77777777" w:rsidR="00904D9D" w:rsidRPr="00F516FD" w:rsidRDefault="00904D9D">
            <w:pPr>
              <w:pStyle w:val="TableHeading0"/>
              <w:keepNext/>
            </w:pPr>
            <w:r w:rsidRPr="00F516FD">
              <w:t>FY 2030–31</w:t>
            </w:r>
          </w:p>
        </w:tc>
      </w:tr>
      <w:tr w:rsidR="00904D9D" w:rsidRPr="00F516FD" w14:paraId="41C5668B" w14:textId="77777777">
        <w:tc>
          <w:tcPr>
            <w:tcW w:w="3066" w:type="pct"/>
            <w:gridSpan w:val="6"/>
            <w:tcBorders>
              <w:right w:val="nil"/>
            </w:tcBorders>
            <w:tcMar>
              <w:left w:w="57" w:type="dxa"/>
              <w:right w:w="57" w:type="dxa"/>
            </w:tcMar>
          </w:tcPr>
          <w:p w14:paraId="7B0F936A" w14:textId="77777777" w:rsidR="00904D9D" w:rsidRPr="00F516FD" w:rsidRDefault="00904D9D">
            <w:pPr>
              <w:pStyle w:val="Tabletext0"/>
              <w:keepNext/>
              <w:rPr>
                <w:b/>
                <w:bCs/>
              </w:rPr>
            </w:pPr>
            <w:r w:rsidRPr="00F516FD">
              <w:rPr>
                <w:b/>
                <w:bCs/>
              </w:rPr>
              <w:t>Estimated use and cost of the proposed health technology</w:t>
            </w:r>
          </w:p>
        </w:tc>
        <w:tc>
          <w:tcPr>
            <w:tcW w:w="131" w:type="pct"/>
            <w:tcBorders>
              <w:left w:val="nil"/>
              <w:right w:val="nil"/>
            </w:tcBorders>
            <w:tcMar>
              <w:left w:w="57" w:type="dxa"/>
              <w:right w:w="57" w:type="dxa"/>
            </w:tcMar>
          </w:tcPr>
          <w:p w14:paraId="1F974D75" w14:textId="77777777" w:rsidR="00904D9D" w:rsidRPr="00F516FD" w:rsidRDefault="00904D9D">
            <w:pPr>
              <w:pStyle w:val="Tabletext0"/>
              <w:keepNext/>
              <w:rPr>
                <w:b/>
                <w:bCs/>
              </w:rPr>
            </w:pPr>
          </w:p>
        </w:tc>
        <w:tc>
          <w:tcPr>
            <w:tcW w:w="157" w:type="pct"/>
            <w:tcBorders>
              <w:left w:val="nil"/>
              <w:right w:val="nil"/>
            </w:tcBorders>
            <w:tcMar>
              <w:left w:w="57" w:type="dxa"/>
              <w:right w:w="57" w:type="dxa"/>
            </w:tcMar>
          </w:tcPr>
          <w:p w14:paraId="0A835667" w14:textId="77777777" w:rsidR="00904D9D" w:rsidRPr="00F516FD" w:rsidRDefault="00904D9D">
            <w:pPr>
              <w:pStyle w:val="Tabletext0"/>
              <w:keepNext/>
              <w:rPr>
                <w:b/>
                <w:bCs/>
              </w:rPr>
            </w:pPr>
          </w:p>
        </w:tc>
        <w:tc>
          <w:tcPr>
            <w:tcW w:w="140" w:type="pct"/>
            <w:tcBorders>
              <w:left w:val="nil"/>
              <w:right w:val="nil"/>
            </w:tcBorders>
            <w:tcMar>
              <w:left w:w="57" w:type="dxa"/>
              <w:right w:w="57" w:type="dxa"/>
            </w:tcMar>
          </w:tcPr>
          <w:p w14:paraId="6B96592C" w14:textId="77777777" w:rsidR="00904D9D" w:rsidRPr="00F516FD" w:rsidRDefault="00904D9D">
            <w:pPr>
              <w:pStyle w:val="Tabletext0"/>
              <w:keepNext/>
              <w:rPr>
                <w:b/>
                <w:bCs/>
              </w:rPr>
            </w:pPr>
          </w:p>
        </w:tc>
        <w:tc>
          <w:tcPr>
            <w:tcW w:w="253" w:type="pct"/>
            <w:gridSpan w:val="2"/>
            <w:tcBorders>
              <w:left w:val="nil"/>
              <w:right w:val="nil"/>
            </w:tcBorders>
            <w:tcMar>
              <w:left w:w="57" w:type="dxa"/>
              <w:right w:w="57" w:type="dxa"/>
            </w:tcMar>
          </w:tcPr>
          <w:p w14:paraId="01E7F030" w14:textId="77777777" w:rsidR="00904D9D" w:rsidRPr="00F516FD" w:rsidRDefault="00904D9D">
            <w:pPr>
              <w:pStyle w:val="Tabletext0"/>
              <w:keepNext/>
              <w:rPr>
                <w:b/>
                <w:bCs/>
              </w:rPr>
            </w:pPr>
          </w:p>
        </w:tc>
        <w:tc>
          <w:tcPr>
            <w:tcW w:w="629" w:type="pct"/>
            <w:gridSpan w:val="2"/>
            <w:tcBorders>
              <w:left w:val="nil"/>
              <w:right w:val="nil"/>
            </w:tcBorders>
            <w:tcMar>
              <w:left w:w="57" w:type="dxa"/>
              <w:right w:w="57" w:type="dxa"/>
            </w:tcMar>
          </w:tcPr>
          <w:p w14:paraId="39F61703" w14:textId="77777777" w:rsidR="00904D9D" w:rsidRPr="00F516FD" w:rsidRDefault="00904D9D">
            <w:pPr>
              <w:pStyle w:val="Tabletext0"/>
              <w:keepNext/>
              <w:rPr>
                <w:b/>
                <w:bCs/>
              </w:rPr>
            </w:pPr>
          </w:p>
        </w:tc>
        <w:tc>
          <w:tcPr>
            <w:tcW w:w="624" w:type="pct"/>
            <w:tcBorders>
              <w:left w:val="nil"/>
            </w:tcBorders>
            <w:tcMar>
              <w:left w:w="57" w:type="dxa"/>
              <w:right w:w="57" w:type="dxa"/>
            </w:tcMar>
          </w:tcPr>
          <w:p w14:paraId="30DDA310" w14:textId="77777777" w:rsidR="00904D9D" w:rsidRPr="00F516FD" w:rsidRDefault="00904D9D">
            <w:pPr>
              <w:pStyle w:val="Tabletext0"/>
              <w:keepNext/>
              <w:rPr>
                <w:b/>
                <w:bCs/>
              </w:rPr>
            </w:pPr>
          </w:p>
        </w:tc>
      </w:tr>
      <w:tr w:rsidR="00904D9D" w:rsidRPr="00F516FD" w14:paraId="71023B4A" w14:textId="77777777">
        <w:tc>
          <w:tcPr>
            <w:tcW w:w="1177" w:type="pct"/>
            <w:tcBorders>
              <w:bottom w:val="single" w:sz="4" w:space="0" w:color="auto"/>
            </w:tcBorders>
            <w:tcMar>
              <w:left w:w="57" w:type="dxa"/>
              <w:right w:w="57" w:type="dxa"/>
            </w:tcMar>
          </w:tcPr>
          <w:p w14:paraId="4CFBB225" w14:textId="77777777" w:rsidR="00904D9D" w:rsidRPr="00F516FD" w:rsidRDefault="00904D9D">
            <w:pPr>
              <w:pStyle w:val="Tabletext0"/>
              <w:jc w:val="left"/>
              <w:rPr>
                <w:vertAlign w:val="superscript"/>
              </w:rPr>
            </w:pPr>
            <w:r w:rsidRPr="00F516FD">
              <w:t xml:space="preserve">Cost of services to the MBS (75% </w:t>
            </w:r>
            <w:proofErr w:type="gramStart"/>
            <w:r w:rsidRPr="00F516FD">
              <w:t>benefit)</w:t>
            </w:r>
            <w:r w:rsidRPr="00F516FD">
              <w:rPr>
                <w:vertAlign w:val="superscript"/>
              </w:rPr>
              <w:t>a</w:t>
            </w:r>
            <w:proofErr w:type="gramEnd"/>
          </w:p>
        </w:tc>
        <w:tc>
          <w:tcPr>
            <w:tcW w:w="629" w:type="pct"/>
            <w:tcBorders>
              <w:bottom w:val="single" w:sz="4" w:space="0" w:color="auto"/>
            </w:tcBorders>
            <w:tcMar>
              <w:left w:w="57" w:type="dxa"/>
              <w:right w:w="57" w:type="dxa"/>
            </w:tcMar>
          </w:tcPr>
          <w:p w14:paraId="6EEE1280" w14:textId="77777777" w:rsidR="00904D9D" w:rsidRPr="00F516FD" w:rsidRDefault="00904D9D">
            <w:pPr>
              <w:pStyle w:val="Tabletext0"/>
              <w:jc w:val="left"/>
            </w:pPr>
            <w:r w:rsidRPr="00F516FD">
              <w:t>$3,551,766</w:t>
            </w:r>
          </w:p>
        </w:tc>
        <w:tc>
          <w:tcPr>
            <w:tcW w:w="630" w:type="pct"/>
            <w:tcBorders>
              <w:bottom w:val="single" w:sz="4" w:space="0" w:color="auto"/>
            </w:tcBorders>
            <w:tcMar>
              <w:left w:w="57" w:type="dxa"/>
              <w:right w:w="57" w:type="dxa"/>
            </w:tcMar>
          </w:tcPr>
          <w:p w14:paraId="3E48A944" w14:textId="77777777" w:rsidR="00904D9D" w:rsidRPr="00F516FD" w:rsidRDefault="00904D9D">
            <w:pPr>
              <w:pStyle w:val="Tabletext0"/>
              <w:jc w:val="left"/>
            </w:pPr>
            <w:r w:rsidRPr="00F516FD">
              <w:t>$3,552,591</w:t>
            </w:r>
          </w:p>
        </w:tc>
        <w:tc>
          <w:tcPr>
            <w:tcW w:w="630" w:type="pct"/>
            <w:gridSpan w:val="3"/>
            <w:tcBorders>
              <w:bottom w:val="single" w:sz="4" w:space="0" w:color="auto"/>
            </w:tcBorders>
            <w:tcMar>
              <w:left w:w="57" w:type="dxa"/>
              <w:right w:w="57" w:type="dxa"/>
            </w:tcMar>
          </w:tcPr>
          <w:p w14:paraId="04927DC8" w14:textId="77777777" w:rsidR="00904D9D" w:rsidRPr="00F516FD" w:rsidRDefault="00904D9D">
            <w:pPr>
              <w:pStyle w:val="Tabletext0"/>
              <w:jc w:val="left"/>
            </w:pPr>
            <w:r w:rsidRPr="00F516FD">
              <w:t>$3,553,416</w:t>
            </w:r>
          </w:p>
        </w:tc>
        <w:tc>
          <w:tcPr>
            <w:tcW w:w="628" w:type="pct"/>
            <w:gridSpan w:val="4"/>
            <w:tcBorders>
              <w:bottom w:val="single" w:sz="4" w:space="0" w:color="auto"/>
            </w:tcBorders>
            <w:tcMar>
              <w:left w:w="57" w:type="dxa"/>
              <w:right w:w="57" w:type="dxa"/>
            </w:tcMar>
          </w:tcPr>
          <w:p w14:paraId="02F0209A" w14:textId="77777777" w:rsidR="00904D9D" w:rsidRPr="00F516FD" w:rsidRDefault="00904D9D">
            <w:pPr>
              <w:pStyle w:val="Tabletext0"/>
              <w:jc w:val="left"/>
            </w:pPr>
            <w:r w:rsidRPr="00F516FD">
              <w:t>$3,554,242</w:t>
            </w:r>
          </w:p>
        </w:tc>
        <w:tc>
          <w:tcPr>
            <w:tcW w:w="629" w:type="pct"/>
            <w:gridSpan w:val="2"/>
            <w:tcBorders>
              <w:bottom w:val="single" w:sz="4" w:space="0" w:color="auto"/>
            </w:tcBorders>
            <w:tcMar>
              <w:left w:w="57" w:type="dxa"/>
              <w:right w:w="57" w:type="dxa"/>
            </w:tcMar>
          </w:tcPr>
          <w:p w14:paraId="511F573C" w14:textId="77777777" w:rsidR="00904D9D" w:rsidRPr="00F516FD" w:rsidRDefault="00904D9D">
            <w:pPr>
              <w:pStyle w:val="Tabletext0"/>
              <w:jc w:val="left"/>
            </w:pPr>
            <w:r w:rsidRPr="00F516FD">
              <w:t>$3,555,067</w:t>
            </w:r>
          </w:p>
        </w:tc>
        <w:tc>
          <w:tcPr>
            <w:tcW w:w="677" w:type="pct"/>
            <w:gridSpan w:val="2"/>
            <w:tcBorders>
              <w:bottom w:val="single" w:sz="4" w:space="0" w:color="auto"/>
            </w:tcBorders>
            <w:tcMar>
              <w:left w:w="57" w:type="dxa"/>
              <w:right w:w="57" w:type="dxa"/>
            </w:tcMar>
          </w:tcPr>
          <w:p w14:paraId="3A6287D8" w14:textId="77777777" w:rsidR="00904D9D" w:rsidRPr="00F516FD" w:rsidRDefault="00904D9D">
            <w:pPr>
              <w:pStyle w:val="Tabletext0"/>
              <w:jc w:val="left"/>
            </w:pPr>
            <w:r w:rsidRPr="00F516FD">
              <w:t>$3,555,893</w:t>
            </w:r>
          </w:p>
        </w:tc>
      </w:tr>
      <w:tr w:rsidR="00904D9D" w:rsidRPr="00F516FD" w14:paraId="63A621B1" w14:textId="77777777">
        <w:tc>
          <w:tcPr>
            <w:tcW w:w="2436" w:type="pct"/>
            <w:gridSpan w:val="3"/>
            <w:tcBorders>
              <w:right w:val="nil"/>
            </w:tcBorders>
            <w:tcMar>
              <w:left w:w="57" w:type="dxa"/>
              <w:right w:w="57" w:type="dxa"/>
            </w:tcMar>
          </w:tcPr>
          <w:p w14:paraId="7DA96D35" w14:textId="77777777" w:rsidR="00904D9D" w:rsidRPr="00F516FD" w:rsidRDefault="00904D9D">
            <w:pPr>
              <w:pStyle w:val="Tabletext0"/>
              <w:jc w:val="left"/>
              <w:rPr>
                <w:b/>
                <w:bCs/>
              </w:rPr>
            </w:pPr>
            <w:r w:rsidRPr="00F516FD">
              <w:rPr>
                <w:b/>
                <w:bCs/>
              </w:rPr>
              <w:t>Change in use and cost of other health technologies</w:t>
            </w:r>
          </w:p>
        </w:tc>
        <w:tc>
          <w:tcPr>
            <w:tcW w:w="156" w:type="pct"/>
            <w:tcBorders>
              <w:left w:val="nil"/>
              <w:right w:val="nil"/>
            </w:tcBorders>
            <w:tcMar>
              <w:left w:w="57" w:type="dxa"/>
              <w:right w:w="57" w:type="dxa"/>
            </w:tcMar>
          </w:tcPr>
          <w:p w14:paraId="67CF76AC" w14:textId="77777777" w:rsidR="00904D9D" w:rsidRPr="00F516FD" w:rsidRDefault="00904D9D">
            <w:pPr>
              <w:pStyle w:val="Tabletext0"/>
              <w:jc w:val="left"/>
              <w:rPr>
                <w:b/>
                <w:bCs/>
              </w:rPr>
            </w:pPr>
          </w:p>
        </w:tc>
        <w:tc>
          <w:tcPr>
            <w:tcW w:w="133" w:type="pct"/>
            <w:tcBorders>
              <w:left w:val="nil"/>
              <w:right w:val="nil"/>
            </w:tcBorders>
            <w:tcMar>
              <w:left w:w="57" w:type="dxa"/>
              <w:right w:w="57" w:type="dxa"/>
            </w:tcMar>
          </w:tcPr>
          <w:p w14:paraId="1D089E65" w14:textId="77777777" w:rsidR="00904D9D" w:rsidRPr="00F516FD" w:rsidRDefault="00904D9D">
            <w:pPr>
              <w:pStyle w:val="Tabletext0"/>
              <w:jc w:val="left"/>
              <w:rPr>
                <w:b/>
                <w:bCs/>
              </w:rPr>
            </w:pPr>
          </w:p>
        </w:tc>
        <w:tc>
          <w:tcPr>
            <w:tcW w:w="341" w:type="pct"/>
            <w:tcBorders>
              <w:left w:val="nil"/>
              <w:right w:val="nil"/>
            </w:tcBorders>
            <w:tcMar>
              <w:left w:w="57" w:type="dxa"/>
              <w:right w:w="57" w:type="dxa"/>
            </w:tcMar>
          </w:tcPr>
          <w:p w14:paraId="6EB15078" w14:textId="77777777" w:rsidR="00904D9D" w:rsidRPr="00F516FD" w:rsidRDefault="00904D9D">
            <w:pPr>
              <w:pStyle w:val="Tabletext0"/>
              <w:jc w:val="left"/>
              <w:rPr>
                <w:b/>
                <w:bCs/>
              </w:rPr>
            </w:pPr>
          </w:p>
        </w:tc>
        <w:tc>
          <w:tcPr>
            <w:tcW w:w="628" w:type="pct"/>
            <w:gridSpan w:val="4"/>
            <w:tcBorders>
              <w:left w:val="nil"/>
              <w:right w:val="nil"/>
            </w:tcBorders>
            <w:tcMar>
              <w:left w:w="57" w:type="dxa"/>
              <w:right w:w="57" w:type="dxa"/>
            </w:tcMar>
          </w:tcPr>
          <w:p w14:paraId="23690C3F" w14:textId="77777777" w:rsidR="00904D9D" w:rsidRPr="00F516FD" w:rsidRDefault="00904D9D">
            <w:pPr>
              <w:pStyle w:val="Tabletext0"/>
              <w:jc w:val="left"/>
              <w:rPr>
                <w:b/>
                <w:bCs/>
              </w:rPr>
            </w:pPr>
          </w:p>
        </w:tc>
        <w:tc>
          <w:tcPr>
            <w:tcW w:w="629" w:type="pct"/>
            <w:gridSpan w:val="2"/>
            <w:tcBorders>
              <w:left w:val="nil"/>
              <w:right w:val="nil"/>
            </w:tcBorders>
            <w:tcMar>
              <w:left w:w="57" w:type="dxa"/>
              <w:right w:w="57" w:type="dxa"/>
            </w:tcMar>
          </w:tcPr>
          <w:p w14:paraId="1007A215" w14:textId="77777777" w:rsidR="00904D9D" w:rsidRPr="00F516FD" w:rsidRDefault="00904D9D">
            <w:pPr>
              <w:pStyle w:val="Tabletext0"/>
              <w:jc w:val="left"/>
              <w:rPr>
                <w:b/>
                <w:bCs/>
              </w:rPr>
            </w:pPr>
          </w:p>
        </w:tc>
        <w:tc>
          <w:tcPr>
            <w:tcW w:w="677" w:type="pct"/>
            <w:gridSpan w:val="2"/>
            <w:tcBorders>
              <w:left w:val="nil"/>
            </w:tcBorders>
            <w:tcMar>
              <w:left w:w="57" w:type="dxa"/>
              <w:right w:w="57" w:type="dxa"/>
            </w:tcMar>
          </w:tcPr>
          <w:p w14:paraId="0FE1C743" w14:textId="77777777" w:rsidR="00904D9D" w:rsidRPr="00F516FD" w:rsidRDefault="00904D9D">
            <w:pPr>
              <w:pStyle w:val="Tabletext0"/>
              <w:jc w:val="left"/>
              <w:rPr>
                <w:b/>
                <w:bCs/>
              </w:rPr>
            </w:pPr>
          </w:p>
        </w:tc>
      </w:tr>
      <w:tr w:rsidR="00904D9D" w:rsidRPr="00F516FD" w14:paraId="5FB93969" w14:textId="77777777">
        <w:tc>
          <w:tcPr>
            <w:tcW w:w="1177" w:type="pct"/>
            <w:tcMar>
              <w:left w:w="57" w:type="dxa"/>
              <w:right w:w="57" w:type="dxa"/>
            </w:tcMar>
          </w:tcPr>
          <w:p w14:paraId="776760A9" w14:textId="77777777" w:rsidR="00904D9D" w:rsidRPr="00F516FD" w:rsidRDefault="00904D9D">
            <w:pPr>
              <w:pStyle w:val="Tabletext0"/>
              <w:jc w:val="left"/>
              <w:rPr>
                <w:vertAlign w:val="superscript"/>
              </w:rPr>
            </w:pPr>
            <w:r w:rsidRPr="00F516FD">
              <w:t xml:space="preserve">Cost of level 4 service to the MBS (75% </w:t>
            </w:r>
            <w:proofErr w:type="gramStart"/>
            <w:r w:rsidRPr="00F516FD">
              <w:t>benefit)</w:t>
            </w:r>
            <w:r w:rsidRPr="00F516FD">
              <w:rPr>
                <w:vertAlign w:val="superscript"/>
              </w:rPr>
              <w:t>b</w:t>
            </w:r>
            <w:proofErr w:type="gramEnd"/>
          </w:p>
        </w:tc>
        <w:tc>
          <w:tcPr>
            <w:tcW w:w="629" w:type="pct"/>
            <w:tcMar>
              <w:left w:w="57" w:type="dxa"/>
              <w:right w:w="57" w:type="dxa"/>
            </w:tcMar>
          </w:tcPr>
          <w:p w14:paraId="53F419AC" w14:textId="77777777" w:rsidR="00904D9D" w:rsidRPr="00F516FD" w:rsidRDefault="00904D9D">
            <w:pPr>
              <w:pStyle w:val="Tabletext0"/>
              <w:jc w:val="left"/>
            </w:pPr>
            <w:r w:rsidRPr="00F516FD">
              <w:t>-$1,236,059</w:t>
            </w:r>
          </w:p>
        </w:tc>
        <w:tc>
          <w:tcPr>
            <w:tcW w:w="630" w:type="pct"/>
            <w:tcMar>
              <w:left w:w="57" w:type="dxa"/>
              <w:right w:w="57" w:type="dxa"/>
            </w:tcMar>
          </w:tcPr>
          <w:p w14:paraId="5689B313" w14:textId="77777777" w:rsidR="00904D9D" w:rsidRPr="00F516FD" w:rsidRDefault="00904D9D">
            <w:pPr>
              <w:pStyle w:val="Tabletext0"/>
              <w:jc w:val="left"/>
            </w:pPr>
            <w:r w:rsidRPr="00F516FD">
              <w:t>-$1,236,251</w:t>
            </w:r>
          </w:p>
        </w:tc>
        <w:tc>
          <w:tcPr>
            <w:tcW w:w="630" w:type="pct"/>
            <w:gridSpan w:val="3"/>
            <w:tcMar>
              <w:left w:w="57" w:type="dxa"/>
              <w:right w:w="57" w:type="dxa"/>
            </w:tcMar>
          </w:tcPr>
          <w:p w14:paraId="7BA7C6B3" w14:textId="77777777" w:rsidR="00904D9D" w:rsidRPr="00F516FD" w:rsidRDefault="00904D9D">
            <w:pPr>
              <w:pStyle w:val="Tabletext0"/>
              <w:jc w:val="left"/>
            </w:pPr>
            <w:r w:rsidRPr="00F516FD">
              <w:t>-$1,236,443</w:t>
            </w:r>
          </w:p>
        </w:tc>
        <w:tc>
          <w:tcPr>
            <w:tcW w:w="628" w:type="pct"/>
            <w:gridSpan w:val="4"/>
            <w:tcMar>
              <w:left w:w="57" w:type="dxa"/>
              <w:right w:w="57" w:type="dxa"/>
            </w:tcMar>
          </w:tcPr>
          <w:p w14:paraId="6E7EC952" w14:textId="77777777" w:rsidR="00904D9D" w:rsidRPr="00F516FD" w:rsidRDefault="00904D9D">
            <w:pPr>
              <w:pStyle w:val="Tabletext0"/>
              <w:jc w:val="left"/>
            </w:pPr>
            <w:r w:rsidRPr="00F516FD">
              <w:t>-$1,236,636</w:t>
            </w:r>
          </w:p>
        </w:tc>
        <w:tc>
          <w:tcPr>
            <w:tcW w:w="629" w:type="pct"/>
            <w:gridSpan w:val="2"/>
            <w:tcMar>
              <w:left w:w="57" w:type="dxa"/>
              <w:right w:w="57" w:type="dxa"/>
            </w:tcMar>
          </w:tcPr>
          <w:p w14:paraId="10FE3837" w14:textId="77777777" w:rsidR="00904D9D" w:rsidRPr="00F516FD" w:rsidRDefault="00904D9D">
            <w:pPr>
              <w:pStyle w:val="Tabletext0"/>
              <w:jc w:val="left"/>
            </w:pPr>
            <w:r w:rsidRPr="00F516FD">
              <w:t>-$1,236,828</w:t>
            </w:r>
          </w:p>
        </w:tc>
        <w:tc>
          <w:tcPr>
            <w:tcW w:w="677" w:type="pct"/>
            <w:gridSpan w:val="2"/>
            <w:tcMar>
              <w:left w:w="57" w:type="dxa"/>
              <w:right w:w="57" w:type="dxa"/>
            </w:tcMar>
          </w:tcPr>
          <w:p w14:paraId="03BF5F57" w14:textId="77777777" w:rsidR="00904D9D" w:rsidRPr="00F516FD" w:rsidRDefault="00904D9D">
            <w:pPr>
              <w:pStyle w:val="Tabletext0"/>
              <w:jc w:val="left"/>
            </w:pPr>
            <w:r w:rsidRPr="00F516FD">
              <w:t>-$1,237,020</w:t>
            </w:r>
          </w:p>
        </w:tc>
      </w:tr>
      <w:tr w:rsidR="00904D9D" w:rsidRPr="00F516FD" w14:paraId="499EE5A0" w14:textId="77777777">
        <w:tc>
          <w:tcPr>
            <w:tcW w:w="1177" w:type="pct"/>
            <w:tcMar>
              <w:left w:w="57" w:type="dxa"/>
              <w:right w:w="57" w:type="dxa"/>
            </w:tcMar>
          </w:tcPr>
          <w:p w14:paraId="5FDC62CF" w14:textId="77777777" w:rsidR="00904D9D" w:rsidRPr="00F516FD" w:rsidRDefault="00904D9D">
            <w:pPr>
              <w:pStyle w:val="Tabletext0"/>
              <w:jc w:val="left"/>
              <w:rPr>
                <w:b/>
                <w:bCs/>
              </w:rPr>
            </w:pPr>
            <w:r w:rsidRPr="00F516FD">
              <w:rPr>
                <w:b/>
                <w:bCs/>
              </w:rPr>
              <w:t>Net financial impact to the MBS of increasing level 4 to 5 or 6 to the MBS</w:t>
            </w:r>
          </w:p>
        </w:tc>
        <w:tc>
          <w:tcPr>
            <w:tcW w:w="629" w:type="pct"/>
            <w:tcMar>
              <w:left w:w="57" w:type="dxa"/>
              <w:right w:w="57" w:type="dxa"/>
            </w:tcMar>
          </w:tcPr>
          <w:p w14:paraId="24C78E18" w14:textId="77777777" w:rsidR="00904D9D" w:rsidRPr="00F516FD" w:rsidRDefault="00904D9D">
            <w:pPr>
              <w:pStyle w:val="Tabletext0"/>
              <w:jc w:val="left"/>
              <w:rPr>
                <w:b/>
                <w:bCs/>
              </w:rPr>
            </w:pPr>
            <w:r w:rsidRPr="00F516FD">
              <w:rPr>
                <w:b/>
                <w:bCs/>
              </w:rPr>
              <w:t>$2,315,707</w:t>
            </w:r>
          </w:p>
        </w:tc>
        <w:tc>
          <w:tcPr>
            <w:tcW w:w="630" w:type="pct"/>
            <w:tcMar>
              <w:left w:w="57" w:type="dxa"/>
              <w:right w:w="57" w:type="dxa"/>
            </w:tcMar>
          </w:tcPr>
          <w:p w14:paraId="16A301F8" w14:textId="77777777" w:rsidR="00904D9D" w:rsidRPr="00F516FD" w:rsidRDefault="00904D9D">
            <w:pPr>
              <w:pStyle w:val="Tabletext0"/>
              <w:jc w:val="left"/>
              <w:rPr>
                <w:b/>
                <w:bCs/>
              </w:rPr>
            </w:pPr>
            <w:r w:rsidRPr="00F516FD">
              <w:rPr>
                <w:b/>
                <w:bCs/>
              </w:rPr>
              <w:t>$2,316,340</w:t>
            </w:r>
          </w:p>
        </w:tc>
        <w:tc>
          <w:tcPr>
            <w:tcW w:w="630" w:type="pct"/>
            <w:gridSpan w:val="3"/>
            <w:tcMar>
              <w:left w:w="57" w:type="dxa"/>
              <w:right w:w="57" w:type="dxa"/>
            </w:tcMar>
          </w:tcPr>
          <w:p w14:paraId="068F3301" w14:textId="77777777" w:rsidR="00904D9D" w:rsidRPr="00F516FD" w:rsidRDefault="00904D9D">
            <w:pPr>
              <w:pStyle w:val="Tabletext0"/>
              <w:jc w:val="left"/>
              <w:rPr>
                <w:b/>
                <w:bCs/>
              </w:rPr>
            </w:pPr>
            <w:r w:rsidRPr="00F516FD">
              <w:rPr>
                <w:b/>
                <w:bCs/>
              </w:rPr>
              <w:t>$2,316,973</w:t>
            </w:r>
          </w:p>
        </w:tc>
        <w:tc>
          <w:tcPr>
            <w:tcW w:w="628" w:type="pct"/>
            <w:gridSpan w:val="4"/>
            <w:tcMar>
              <w:left w:w="57" w:type="dxa"/>
              <w:right w:w="57" w:type="dxa"/>
            </w:tcMar>
          </w:tcPr>
          <w:p w14:paraId="3EA471C6" w14:textId="77777777" w:rsidR="00904D9D" w:rsidRPr="00F516FD" w:rsidRDefault="00904D9D">
            <w:pPr>
              <w:pStyle w:val="Tabletext0"/>
              <w:jc w:val="left"/>
              <w:rPr>
                <w:b/>
                <w:bCs/>
              </w:rPr>
            </w:pPr>
            <w:r w:rsidRPr="00F516FD">
              <w:rPr>
                <w:b/>
                <w:bCs/>
              </w:rPr>
              <w:t>$2,317,606</w:t>
            </w:r>
          </w:p>
        </w:tc>
        <w:tc>
          <w:tcPr>
            <w:tcW w:w="629" w:type="pct"/>
            <w:gridSpan w:val="2"/>
            <w:tcMar>
              <w:left w:w="57" w:type="dxa"/>
              <w:right w:w="57" w:type="dxa"/>
            </w:tcMar>
          </w:tcPr>
          <w:p w14:paraId="45AD8C8D" w14:textId="77777777" w:rsidR="00904D9D" w:rsidRPr="00F516FD" w:rsidRDefault="00904D9D">
            <w:pPr>
              <w:pStyle w:val="Tabletext0"/>
              <w:jc w:val="left"/>
              <w:rPr>
                <w:b/>
                <w:bCs/>
              </w:rPr>
            </w:pPr>
            <w:r w:rsidRPr="00F516FD">
              <w:rPr>
                <w:b/>
                <w:bCs/>
              </w:rPr>
              <w:t>$2,318,239</w:t>
            </w:r>
          </w:p>
        </w:tc>
        <w:tc>
          <w:tcPr>
            <w:tcW w:w="677" w:type="pct"/>
            <w:gridSpan w:val="2"/>
            <w:tcMar>
              <w:left w:w="57" w:type="dxa"/>
              <w:right w:w="57" w:type="dxa"/>
            </w:tcMar>
          </w:tcPr>
          <w:p w14:paraId="2DF5CBF9" w14:textId="77777777" w:rsidR="00904D9D" w:rsidRPr="00F516FD" w:rsidRDefault="00904D9D">
            <w:pPr>
              <w:pStyle w:val="Tabletext0"/>
              <w:jc w:val="left"/>
              <w:rPr>
                <w:b/>
                <w:bCs/>
              </w:rPr>
            </w:pPr>
            <w:r w:rsidRPr="00F516FD">
              <w:rPr>
                <w:b/>
                <w:bCs/>
              </w:rPr>
              <w:t>$2,318,872</w:t>
            </w:r>
          </w:p>
        </w:tc>
      </w:tr>
    </w:tbl>
    <w:p w14:paraId="02FD0A3E" w14:textId="77777777" w:rsidR="00AD0E6A" w:rsidRPr="00F516FD" w:rsidRDefault="00AD0E6A" w:rsidP="00AD0E6A">
      <w:pPr>
        <w:pStyle w:val="TableFooter"/>
      </w:pPr>
      <w:r w:rsidRPr="00F516FD">
        <w:t>FY = financial year; MBS = Medicare Benefits Schedule.</w:t>
      </w:r>
    </w:p>
    <w:p w14:paraId="407E9609" w14:textId="77777777" w:rsidR="00AD0E6A" w:rsidRPr="00F516FD" w:rsidRDefault="00AD0E6A" w:rsidP="00AD0E6A">
      <w:pPr>
        <w:pStyle w:val="TableFooter"/>
      </w:pPr>
      <w:r w:rsidRPr="00F516FD">
        <w:t>a Calculated by adding the cost of level 5 services with the cost of level 6 services.</w:t>
      </w:r>
    </w:p>
    <w:p w14:paraId="70FA4DA3" w14:textId="51758385" w:rsidR="00C77A6D" w:rsidRPr="00F516FD" w:rsidRDefault="00AD0E6A" w:rsidP="00C77A6D">
      <w:pPr>
        <w:pStyle w:val="TableFooter"/>
      </w:pPr>
      <w:r w:rsidRPr="00F516FD">
        <w:t>b Calculated using 75% benefit ($72.90) for examination of complexity level 4 biopsy material (MBS item 72823).</w:t>
      </w:r>
      <w:r w:rsidR="00C77A6D" w:rsidRPr="00F516FD">
        <w:br/>
      </w:r>
      <w:r w:rsidRPr="00F516FD">
        <w:t xml:space="preserve">Source: </w:t>
      </w:r>
      <w:r w:rsidRPr="00F516FD">
        <w:fldChar w:fldCharType="begin"/>
      </w:r>
      <w:r w:rsidRPr="00F516FD">
        <w:instrText xml:space="preserve"> REF _Ref167960953 \h </w:instrText>
      </w:r>
      <w:r w:rsidR="00F516FD">
        <w:instrText xml:space="preserve"> \* MERGEFORMAT </w:instrText>
      </w:r>
      <w:r w:rsidRPr="00F516FD">
        <w:fldChar w:fldCharType="separate"/>
      </w:r>
      <w:r w:rsidR="002A4535" w:rsidRPr="00F516FD">
        <w:t xml:space="preserve">Table </w:t>
      </w:r>
      <w:r w:rsidR="002A4535" w:rsidRPr="00F516FD">
        <w:rPr>
          <w:noProof/>
        </w:rPr>
        <w:t>7</w:t>
      </w:r>
      <w:r w:rsidRPr="00F516FD">
        <w:fldChar w:fldCharType="end"/>
      </w:r>
      <w:r w:rsidRPr="00F516FD">
        <w:t xml:space="preserve"> and </w:t>
      </w:r>
      <w:r w:rsidRPr="00F516FD">
        <w:fldChar w:fldCharType="begin"/>
      </w:r>
      <w:r w:rsidRPr="00F516FD">
        <w:instrText xml:space="preserve"> REF _Ref167960959 \h </w:instrText>
      </w:r>
      <w:r w:rsidR="00F516FD">
        <w:instrText xml:space="preserve"> \* MERGEFORMAT </w:instrText>
      </w:r>
      <w:r w:rsidRPr="00F516FD">
        <w:fldChar w:fldCharType="separate"/>
      </w:r>
      <w:r w:rsidR="002A4535" w:rsidRPr="00F516FD">
        <w:t xml:space="preserve">Table </w:t>
      </w:r>
      <w:r w:rsidR="002A4535" w:rsidRPr="00F516FD">
        <w:rPr>
          <w:noProof/>
        </w:rPr>
        <w:t>8</w:t>
      </w:r>
      <w:r w:rsidRPr="00F516FD">
        <w:fldChar w:fldCharType="end"/>
      </w:r>
      <w:r w:rsidRPr="00F516FD">
        <w:t xml:space="preserve">. </w:t>
      </w:r>
    </w:p>
    <w:p w14:paraId="558B4760" w14:textId="32AEE602" w:rsidR="00451A78" w:rsidRPr="00F516FD" w:rsidRDefault="00451A78" w:rsidP="00451A78">
      <w:pPr>
        <w:pStyle w:val="Heading3"/>
      </w:pPr>
      <w:bookmarkStart w:id="41" w:name="_Toc171508501"/>
      <w:r w:rsidRPr="00F516FD">
        <w:t>Using real</w:t>
      </w:r>
      <w:r w:rsidR="003D4122" w:rsidRPr="00F516FD">
        <w:t>-</w:t>
      </w:r>
      <w:r w:rsidRPr="00F516FD">
        <w:t>world data</w:t>
      </w:r>
      <w:bookmarkEnd w:id="41"/>
    </w:p>
    <w:p w14:paraId="5B3E1CD8" w14:textId="0152E8DA" w:rsidR="00451A78" w:rsidRPr="00F516FD" w:rsidRDefault="00451A78" w:rsidP="00451A78">
      <w:r w:rsidRPr="00F516FD">
        <w:t xml:space="preserve">In addition to epidemiological data, the applicant provided placental pathology service utilisation data from </w:t>
      </w:r>
      <w:r w:rsidR="002A045C" w:rsidRPr="00F516FD">
        <w:rPr>
          <w:b/>
          <w:bCs/>
        </w:rPr>
        <w:t>redacted</w:t>
      </w:r>
      <w:r w:rsidRPr="00F516FD">
        <w:t xml:space="preserve"> from July 2018 to March 2024, including whether the examination was funded publicly or privately. </w:t>
      </w:r>
      <w:r w:rsidR="002A045C" w:rsidRPr="00F516FD">
        <w:rPr>
          <w:b/>
          <w:bCs/>
        </w:rPr>
        <w:t>redacted</w:t>
      </w:r>
      <w:r w:rsidRPr="00785A5D">
        <w:t xml:space="preserve">. The </w:t>
      </w:r>
      <w:r w:rsidR="002A045C" w:rsidRPr="00F516FD">
        <w:rPr>
          <w:b/>
          <w:bCs/>
        </w:rPr>
        <w:t>redacted</w:t>
      </w:r>
      <w:r w:rsidRPr="00F516FD">
        <w:t xml:space="preserve"> data did not include details of the birth (for example, live birth, stillbirth, week of gestation, indication/reason for referral). </w:t>
      </w:r>
    </w:p>
    <w:p w14:paraId="78E564AE" w14:textId="0C2CDAB9" w:rsidR="00451A78" w:rsidRPr="00785A5D" w:rsidRDefault="002A045C" w:rsidP="00451A78">
      <w:r w:rsidRPr="00F516FD">
        <w:rPr>
          <w:b/>
          <w:bCs/>
        </w:rPr>
        <w:t>redacted</w:t>
      </w:r>
      <w:r w:rsidR="00451A78" w:rsidRPr="00785A5D">
        <w:t>. In response to a request from the assessment group for further details, the applicant sourced additional data from this laboratory, which provided the indication for placental histology and gestational age for the year 2021. These data were less certain because details were not always provided on the request form, not readily searchable from the data files, and there may have been more than one indication per placenta.</w:t>
      </w:r>
    </w:p>
    <w:p w14:paraId="13545BBA" w14:textId="6DE5E180" w:rsidR="00451A78" w:rsidRPr="00F516FD" w:rsidRDefault="00451A78" w:rsidP="00451A78">
      <w:r w:rsidRPr="00785A5D">
        <w:t>The additional</w:t>
      </w:r>
      <w:r w:rsidRPr="00F516FD">
        <w:t xml:space="preserve"> data analysis </w:t>
      </w:r>
      <w:r w:rsidRPr="00785A5D">
        <w:t xml:space="preserve">provided by the </w:t>
      </w:r>
      <w:r w:rsidR="002A045C" w:rsidRPr="00F516FD">
        <w:rPr>
          <w:b/>
          <w:bCs/>
        </w:rPr>
        <w:t>redacted</w:t>
      </w:r>
      <w:r w:rsidRPr="00F516FD">
        <w:t xml:space="preserve"> enabled an estimate of the actual number of examinations </w:t>
      </w:r>
      <w:r w:rsidRPr="00785A5D">
        <w:t>in 2021</w:t>
      </w:r>
      <w:r w:rsidRPr="00F516FD">
        <w:t xml:space="preserve"> for Population 1 </w:t>
      </w:r>
      <w:r w:rsidRPr="00785A5D">
        <w:t xml:space="preserve">in </w:t>
      </w:r>
      <w:r w:rsidR="002A045C" w:rsidRPr="00F516FD">
        <w:rPr>
          <w:b/>
          <w:bCs/>
        </w:rPr>
        <w:t>redacted</w:t>
      </w:r>
      <w:r w:rsidRPr="00F516FD">
        <w:t xml:space="preserve">. This was derived from the indications of </w:t>
      </w:r>
      <w:proofErr w:type="spellStart"/>
      <w:r w:rsidRPr="00F516FD">
        <w:t>fetal</w:t>
      </w:r>
      <w:proofErr w:type="spellEnd"/>
      <w:r w:rsidRPr="00F516FD">
        <w:t xml:space="preserve"> loss, stillbirth, miscarriage, intrauterine death, and intrauterine </w:t>
      </w:r>
      <w:proofErr w:type="spellStart"/>
      <w:r w:rsidRPr="00F516FD">
        <w:t>fetal</w:t>
      </w:r>
      <w:proofErr w:type="spellEnd"/>
      <w:r w:rsidRPr="00F516FD">
        <w:t xml:space="preserve"> demise at gestations of 20 weeks or more. The </w:t>
      </w:r>
      <w:r w:rsidR="002A045C" w:rsidRPr="00F516FD">
        <w:rPr>
          <w:b/>
          <w:bCs/>
        </w:rPr>
        <w:t>redacted</w:t>
      </w:r>
      <w:r w:rsidRPr="00F516FD">
        <w:t xml:space="preserve"> stillbirths identified in these data were fewer than </w:t>
      </w:r>
      <w:r w:rsidRPr="00785A5D">
        <w:t xml:space="preserve">the </w:t>
      </w:r>
      <w:r w:rsidR="002A045C" w:rsidRPr="00F516FD">
        <w:rPr>
          <w:b/>
          <w:bCs/>
        </w:rPr>
        <w:t>redacted</w:t>
      </w:r>
      <w:r w:rsidRPr="00F516FD">
        <w:t xml:space="preserve"> stillbirths recorded by the AIHW </w:t>
      </w:r>
      <w:r w:rsidRPr="00785A5D">
        <w:t xml:space="preserve">in </w:t>
      </w:r>
      <w:r w:rsidR="002A045C" w:rsidRPr="00F516FD">
        <w:rPr>
          <w:b/>
          <w:bCs/>
        </w:rPr>
        <w:t>redacted</w:t>
      </w:r>
      <w:r w:rsidRPr="00F516FD">
        <w:t xml:space="preserve"> for that year and may represent actual uptake of the service being lower than guideline recommendations for histopathological examination of all placentas following stillbirth. Alternatively, it may reflect the limitations of the data available</w:t>
      </w:r>
      <w:r w:rsidR="00F31065" w:rsidRPr="00F516FD">
        <w:t xml:space="preserve"> </w:t>
      </w:r>
      <w:r w:rsidR="00A1018F" w:rsidRPr="00F516FD">
        <w:t>or</w:t>
      </w:r>
      <w:r w:rsidR="00F31065" w:rsidRPr="00F516FD">
        <w:t xml:space="preserve"> </w:t>
      </w:r>
      <w:r w:rsidR="00CC1D19" w:rsidRPr="00F516FD">
        <w:t>lack of parental consent</w:t>
      </w:r>
      <w:r w:rsidR="002821B7" w:rsidRPr="00F516FD">
        <w:t xml:space="preserve"> for placental examination</w:t>
      </w:r>
      <w:r w:rsidR="00CC1D19" w:rsidRPr="00F516FD">
        <w:t xml:space="preserve">, particularly </w:t>
      </w:r>
      <w:r w:rsidR="00D01AF9" w:rsidRPr="00F516FD">
        <w:t xml:space="preserve">when </w:t>
      </w:r>
      <w:r w:rsidR="0028565C" w:rsidRPr="00F516FD">
        <w:t xml:space="preserve">they perceive </w:t>
      </w:r>
      <w:r w:rsidR="00D01AF9" w:rsidRPr="00F516FD">
        <w:t xml:space="preserve">cause of death to be </w:t>
      </w:r>
      <w:r w:rsidR="000F4FDC" w:rsidRPr="00F516FD">
        <w:t>apparent</w:t>
      </w:r>
      <w:r w:rsidRPr="00F516FD">
        <w:t>.</w:t>
      </w:r>
    </w:p>
    <w:p w14:paraId="264FB36E" w14:textId="19C3471C" w:rsidR="00451A78" w:rsidRPr="00F516FD" w:rsidRDefault="00451A78" w:rsidP="00451A78">
      <w:r w:rsidRPr="00F516FD">
        <w:t xml:space="preserve">The estimated number of complexity level 6 placental examinations for Population 1 was extrapolated </w:t>
      </w:r>
      <w:r w:rsidRPr="00785A5D">
        <w:t xml:space="preserve">from the </w:t>
      </w:r>
      <w:r w:rsidR="002A045C" w:rsidRPr="00F516FD">
        <w:rPr>
          <w:b/>
          <w:bCs/>
        </w:rPr>
        <w:t>redacted</w:t>
      </w:r>
      <w:r w:rsidRPr="00785A5D">
        <w:t xml:space="preserve"> data</w:t>
      </w:r>
      <w:r w:rsidRPr="00F516FD">
        <w:t xml:space="preserve"> (</w:t>
      </w:r>
      <w:r w:rsidR="00066117" w:rsidRPr="00F516FD">
        <w:fldChar w:fldCharType="begin"/>
      </w:r>
      <w:r w:rsidR="00066117" w:rsidRPr="00F516FD">
        <w:instrText xml:space="preserve"> REF _Ref169879720 \h </w:instrText>
      </w:r>
      <w:r w:rsidR="00F516FD">
        <w:instrText xml:space="preserve"> \* MERGEFORMAT </w:instrText>
      </w:r>
      <w:r w:rsidR="00066117" w:rsidRPr="00F516FD">
        <w:fldChar w:fldCharType="separate"/>
      </w:r>
      <w:r w:rsidR="002A4535" w:rsidRPr="00F516FD">
        <w:t xml:space="preserve">Table </w:t>
      </w:r>
      <w:r w:rsidR="002A4535" w:rsidRPr="00F516FD">
        <w:rPr>
          <w:noProof/>
        </w:rPr>
        <w:t>10</w:t>
      </w:r>
      <w:r w:rsidR="00066117" w:rsidRPr="00F516FD">
        <w:fldChar w:fldCharType="end"/>
      </w:r>
      <w:r w:rsidRPr="00F516FD">
        <w:t>) and resulted in a lower net cost</w:t>
      </w:r>
      <w:r w:rsidR="00106FB8" w:rsidRPr="00F516FD">
        <w:t xml:space="preserve"> </w:t>
      </w:r>
      <w:r w:rsidRPr="00F516FD">
        <w:t xml:space="preserve">to the MBS </w:t>
      </w:r>
      <w:r w:rsidR="000D4CC3" w:rsidRPr="00F516FD">
        <w:t xml:space="preserve">(26% lower in </w:t>
      </w:r>
      <w:r w:rsidR="005B730F" w:rsidRPr="00F516FD">
        <w:t xml:space="preserve">the </w:t>
      </w:r>
      <w:r w:rsidR="000D4CC3" w:rsidRPr="00F516FD">
        <w:t>2030–31</w:t>
      </w:r>
      <w:r w:rsidR="005B730F" w:rsidRPr="00F516FD">
        <w:t xml:space="preserve"> financial year</w:t>
      </w:r>
      <w:r w:rsidR="000D4CC3" w:rsidRPr="00F516FD">
        <w:t>)</w:t>
      </w:r>
      <w:r w:rsidRPr="00F516FD">
        <w:t xml:space="preserve"> than the estimates derived from AIHW data (</w:t>
      </w:r>
      <w:r w:rsidRPr="00F516FD">
        <w:fldChar w:fldCharType="begin"/>
      </w:r>
      <w:r w:rsidRPr="00F516FD">
        <w:instrText xml:space="preserve"> REF _Ref167960953 \h </w:instrText>
      </w:r>
      <w:r w:rsidR="00F516FD">
        <w:instrText xml:space="preserve"> \* MERGEFORMAT </w:instrText>
      </w:r>
      <w:r w:rsidRPr="00F516FD">
        <w:fldChar w:fldCharType="separate"/>
      </w:r>
      <w:r w:rsidR="002A4535" w:rsidRPr="00F516FD">
        <w:t xml:space="preserve">Table </w:t>
      </w:r>
      <w:r w:rsidR="002A4535" w:rsidRPr="00F516FD">
        <w:rPr>
          <w:noProof/>
        </w:rPr>
        <w:t>7</w:t>
      </w:r>
      <w:r w:rsidRPr="00F516FD">
        <w:fldChar w:fldCharType="end"/>
      </w:r>
      <w:r w:rsidRPr="00F516FD">
        <w:t>).</w:t>
      </w:r>
      <w:r w:rsidR="00AF1EB7" w:rsidRPr="00F516FD">
        <w:t xml:space="preserve"> </w:t>
      </w:r>
    </w:p>
    <w:p w14:paraId="5AA35A07" w14:textId="215EB78C" w:rsidR="00451A78" w:rsidRPr="00F516FD" w:rsidRDefault="00451A78" w:rsidP="00451A78">
      <w:pPr>
        <w:pStyle w:val="Caption"/>
      </w:pPr>
      <w:bookmarkStart w:id="42" w:name="_Ref169879720"/>
      <w:r w:rsidRPr="00F516FD">
        <w:lastRenderedPageBreak/>
        <w:t xml:space="preserve">Table </w:t>
      </w:r>
      <w:r w:rsidRPr="00F516FD">
        <w:fldChar w:fldCharType="begin"/>
      </w:r>
      <w:r w:rsidRPr="00F516FD">
        <w:instrText>SEQ Table \* ARABIC</w:instrText>
      </w:r>
      <w:r w:rsidRPr="00F516FD">
        <w:fldChar w:fldCharType="separate"/>
      </w:r>
      <w:r w:rsidR="002A4535" w:rsidRPr="00F516FD">
        <w:rPr>
          <w:noProof/>
        </w:rPr>
        <w:t>10</w:t>
      </w:r>
      <w:r w:rsidRPr="00F516FD">
        <w:fldChar w:fldCharType="end"/>
      </w:r>
      <w:bookmarkEnd w:id="42"/>
      <w:r w:rsidRPr="00F516FD">
        <w:tab/>
        <w:t xml:space="preserve">Net financial impact to the MBS of increasing the complexity level of placental examinations for Population 1 – stillbirths and </w:t>
      </w:r>
      <w:r w:rsidR="00A72AFF" w:rsidRPr="00F516FD">
        <w:t>very early neonatal death within 24 hours of birth</w:t>
      </w:r>
      <w:r w:rsidRPr="00F516FD">
        <w:t xml:space="preserve"> – from level 4 to 6</w:t>
      </w:r>
      <w:r w:rsidR="00FC076F" w:rsidRPr="00F516FD">
        <w:t xml:space="preserve">, </w:t>
      </w:r>
      <w:r w:rsidR="00C22A30" w:rsidRPr="00F516FD">
        <w:t>using</w:t>
      </w:r>
      <w:r w:rsidR="00FC076F" w:rsidRPr="00F516FD">
        <w:t xml:space="preserve"> real</w:t>
      </w:r>
      <w:r w:rsidR="00C22A30" w:rsidRPr="00F516FD">
        <w:t>-</w:t>
      </w:r>
      <w:r w:rsidR="00FC076F" w:rsidRPr="00F516FD">
        <w:t xml:space="preserve">world </w:t>
      </w:r>
      <w:proofErr w:type="gramStart"/>
      <w:r w:rsidR="00FC076F" w:rsidRPr="00F516FD">
        <w:t>data</w:t>
      </w:r>
      <w:proofErr w:type="gramEnd"/>
    </w:p>
    <w:tbl>
      <w:tblPr>
        <w:tblStyle w:val="TableGrid"/>
        <w:tblW w:w="0" w:type="auto"/>
        <w:tblLayout w:type="fixed"/>
        <w:tblLook w:val="04A0" w:firstRow="1" w:lastRow="0" w:firstColumn="1" w:lastColumn="0" w:noHBand="0" w:noVBand="1"/>
        <w:tblCaption w:val="Committee-in-confidence. Table 8. Net financial impact to the MBS of increasing the complexity level of placental examinations for Population 1 – stillbirths and very early neonatal deaths – from level 4 to 6"/>
        <w:tblDescription w:val="Committee in confidence table showing Net financial impact to the MBS of increasing the complexity level of placental examinations for Population 1 – stillbirths and very early neonatal deaths – from level 4 to 6&#10;&#10;Estimated values for 2024 to 2029 are shown for Population 1 (stillbirths)."/>
      </w:tblPr>
      <w:tblGrid>
        <w:gridCol w:w="2637"/>
        <w:gridCol w:w="1060"/>
        <w:gridCol w:w="1060"/>
        <w:gridCol w:w="1060"/>
        <w:gridCol w:w="1060"/>
        <w:gridCol w:w="1060"/>
        <w:gridCol w:w="1060"/>
      </w:tblGrid>
      <w:tr w:rsidR="00372BB2" w:rsidRPr="00F516FD" w14:paraId="55ECE2D4" w14:textId="77777777" w:rsidTr="00785A5D">
        <w:trPr>
          <w:tblHeader/>
        </w:trPr>
        <w:tc>
          <w:tcPr>
            <w:tcW w:w="2637" w:type="dxa"/>
            <w:tcBorders>
              <w:bottom w:val="single" w:sz="4" w:space="0" w:color="auto"/>
            </w:tcBorders>
            <w:tcMar>
              <w:left w:w="57" w:type="dxa"/>
              <w:right w:w="57" w:type="dxa"/>
            </w:tcMar>
          </w:tcPr>
          <w:p w14:paraId="47C19AEE" w14:textId="77777777" w:rsidR="00451A78" w:rsidRPr="00F516FD" w:rsidRDefault="00451A78" w:rsidP="00221C4D">
            <w:pPr>
              <w:pStyle w:val="TableHeading0"/>
              <w:keepNext/>
            </w:pPr>
            <w:r w:rsidRPr="00F516FD">
              <w:t>Parameter</w:t>
            </w:r>
          </w:p>
        </w:tc>
        <w:tc>
          <w:tcPr>
            <w:tcW w:w="1060" w:type="dxa"/>
            <w:tcBorders>
              <w:bottom w:val="single" w:sz="4" w:space="0" w:color="auto"/>
            </w:tcBorders>
            <w:tcMar>
              <w:left w:w="57" w:type="dxa"/>
              <w:right w:w="57" w:type="dxa"/>
            </w:tcMar>
          </w:tcPr>
          <w:p w14:paraId="696174E0" w14:textId="28A7A77B" w:rsidR="00451A78" w:rsidRPr="00F516FD" w:rsidRDefault="009344C6" w:rsidP="00221C4D">
            <w:pPr>
              <w:pStyle w:val="TableHeading0"/>
              <w:keepNext/>
            </w:pPr>
            <w:r w:rsidRPr="00F516FD">
              <w:t>FY 2025–26</w:t>
            </w:r>
          </w:p>
        </w:tc>
        <w:tc>
          <w:tcPr>
            <w:tcW w:w="1060" w:type="dxa"/>
            <w:tcBorders>
              <w:bottom w:val="single" w:sz="4" w:space="0" w:color="auto"/>
            </w:tcBorders>
            <w:tcMar>
              <w:left w:w="57" w:type="dxa"/>
              <w:right w:w="57" w:type="dxa"/>
            </w:tcMar>
          </w:tcPr>
          <w:p w14:paraId="5ACD9C1A" w14:textId="42D0DE2B" w:rsidR="00451A78" w:rsidRPr="00F516FD" w:rsidRDefault="009344C6" w:rsidP="00221C4D">
            <w:pPr>
              <w:pStyle w:val="TableHeading0"/>
              <w:keepNext/>
            </w:pPr>
            <w:r w:rsidRPr="00F516FD">
              <w:t>FY 2026–27</w:t>
            </w:r>
          </w:p>
        </w:tc>
        <w:tc>
          <w:tcPr>
            <w:tcW w:w="1060" w:type="dxa"/>
            <w:tcBorders>
              <w:bottom w:val="single" w:sz="4" w:space="0" w:color="auto"/>
            </w:tcBorders>
            <w:tcMar>
              <w:left w:w="57" w:type="dxa"/>
              <w:right w:w="57" w:type="dxa"/>
            </w:tcMar>
          </w:tcPr>
          <w:p w14:paraId="1CEA6C69" w14:textId="61E7F235" w:rsidR="00451A78" w:rsidRPr="00F516FD" w:rsidRDefault="009344C6" w:rsidP="00221C4D">
            <w:pPr>
              <w:pStyle w:val="TableHeading0"/>
              <w:keepNext/>
            </w:pPr>
            <w:r w:rsidRPr="00F516FD">
              <w:t>FY 2027–28</w:t>
            </w:r>
          </w:p>
        </w:tc>
        <w:tc>
          <w:tcPr>
            <w:tcW w:w="1060" w:type="dxa"/>
            <w:tcBorders>
              <w:bottom w:val="single" w:sz="4" w:space="0" w:color="auto"/>
            </w:tcBorders>
            <w:tcMar>
              <w:left w:w="57" w:type="dxa"/>
              <w:right w:w="57" w:type="dxa"/>
            </w:tcMar>
          </w:tcPr>
          <w:p w14:paraId="684DBF40" w14:textId="1A43CC40" w:rsidR="00451A78" w:rsidRPr="00F516FD" w:rsidRDefault="009344C6" w:rsidP="00221C4D">
            <w:pPr>
              <w:pStyle w:val="TableHeading0"/>
              <w:keepNext/>
            </w:pPr>
            <w:r w:rsidRPr="00F516FD">
              <w:t>FY 2028–29</w:t>
            </w:r>
          </w:p>
        </w:tc>
        <w:tc>
          <w:tcPr>
            <w:tcW w:w="1060" w:type="dxa"/>
            <w:tcBorders>
              <w:bottom w:val="single" w:sz="4" w:space="0" w:color="auto"/>
            </w:tcBorders>
            <w:tcMar>
              <w:left w:w="57" w:type="dxa"/>
              <w:right w:w="57" w:type="dxa"/>
            </w:tcMar>
          </w:tcPr>
          <w:p w14:paraId="09AEE28E" w14:textId="35FF636E" w:rsidR="00451A78" w:rsidRPr="00F516FD" w:rsidRDefault="009344C6" w:rsidP="00221C4D">
            <w:pPr>
              <w:pStyle w:val="TableHeading0"/>
              <w:keepNext/>
            </w:pPr>
            <w:r w:rsidRPr="00F516FD">
              <w:t>FY 2029–30</w:t>
            </w:r>
          </w:p>
        </w:tc>
        <w:tc>
          <w:tcPr>
            <w:tcW w:w="1060" w:type="dxa"/>
            <w:tcBorders>
              <w:bottom w:val="single" w:sz="4" w:space="0" w:color="auto"/>
            </w:tcBorders>
            <w:tcMar>
              <w:left w:w="57" w:type="dxa"/>
              <w:right w:w="57" w:type="dxa"/>
            </w:tcMar>
          </w:tcPr>
          <w:p w14:paraId="15360F12" w14:textId="219644EF" w:rsidR="00451A78" w:rsidRPr="00F516FD" w:rsidRDefault="009344C6" w:rsidP="00221C4D">
            <w:pPr>
              <w:pStyle w:val="TableHeading0"/>
              <w:keepNext/>
            </w:pPr>
            <w:r w:rsidRPr="00F516FD">
              <w:t>FY 2030–31</w:t>
            </w:r>
          </w:p>
        </w:tc>
      </w:tr>
      <w:tr w:rsidR="00372BB2" w:rsidRPr="00F516FD" w14:paraId="234EA159" w14:textId="77777777" w:rsidTr="00785A5D">
        <w:tc>
          <w:tcPr>
            <w:tcW w:w="1060" w:type="dxa"/>
            <w:gridSpan w:val="7"/>
            <w:tcMar>
              <w:left w:w="57" w:type="dxa"/>
              <w:right w:w="57" w:type="dxa"/>
            </w:tcMar>
          </w:tcPr>
          <w:p w14:paraId="0C5E9389" w14:textId="691EC2FA" w:rsidR="00372BB2" w:rsidRPr="00F516FD" w:rsidRDefault="00372BB2" w:rsidP="00C57698">
            <w:pPr>
              <w:pStyle w:val="Tabletext0"/>
              <w:keepNext/>
              <w:jc w:val="left"/>
              <w:rPr>
                <w:b/>
                <w:bCs/>
              </w:rPr>
            </w:pPr>
            <w:r w:rsidRPr="00F516FD">
              <w:rPr>
                <w:b/>
                <w:bCs/>
              </w:rPr>
              <w:t>Estimated use and cost of the proposed health technology</w:t>
            </w:r>
          </w:p>
        </w:tc>
      </w:tr>
      <w:tr w:rsidR="00372BB2" w:rsidRPr="00F516FD" w14:paraId="633C80AC" w14:textId="77777777" w:rsidTr="00785A5D">
        <w:tc>
          <w:tcPr>
            <w:tcW w:w="2637" w:type="dxa"/>
            <w:tcMar>
              <w:left w:w="57" w:type="dxa"/>
              <w:right w:w="57" w:type="dxa"/>
            </w:tcMar>
          </w:tcPr>
          <w:p w14:paraId="1A909E1D" w14:textId="25C70917" w:rsidR="00451A78" w:rsidRPr="00785A5D" w:rsidRDefault="00451A78">
            <w:pPr>
              <w:pStyle w:val="Tabletext0"/>
              <w:jc w:val="left"/>
            </w:pPr>
            <w:r w:rsidRPr="00785A5D">
              <w:t xml:space="preserve">Number of placental examinations for </w:t>
            </w:r>
            <w:proofErr w:type="spellStart"/>
            <w:r w:rsidRPr="00785A5D">
              <w:t>stillbirths</w:t>
            </w:r>
            <w:r w:rsidRPr="00785A5D">
              <w:rPr>
                <w:vertAlign w:val="superscript"/>
              </w:rPr>
              <w:t>a</w:t>
            </w:r>
            <w:proofErr w:type="spellEnd"/>
            <w:r w:rsidRPr="00785A5D">
              <w:t xml:space="preserve"> in </w:t>
            </w:r>
            <w:r w:rsidR="002A045C" w:rsidRPr="00F516FD">
              <w:rPr>
                <w:b/>
                <w:bCs/>
              </w:rPr>
              <w:t>redacted</w:t>
            </w:r>
          </w:p>
        </w:tc>
        <w:tc>
          <w:tcPr>
            <w:tcW w:w="1060" w:type="dxa"/>
            <w:tcMar>
              <w:left w:w="57" w:type="dxa"/>
              <w:right w:w="57" w:type="dxa"/>
            </w:tcMar>
          </w:tcPr>
          <w:p w14:paraId="390E7CA7" w14:textId="291CABEA" w:rsidR="00451A78" w:rsidRPr="00785A5D" w:rsidRDefault="002A045C">
            <w:pPr>
              <w:pStyle w:val="Tabletext0"/>
              <w:jc w:val="left"/>
            </w:pPr>
            <w:r w:rsidRPr="00F516FD">
              <w:rPr>
                <w:b/>
                <w:bCs/>
              </w:rPr>
              <w:t>redacted</w:t>
            </w:r>
          </w:p>
        </w:tc>
        <w:tc>
          <w:tcPr>
            <w:tcW w:w="1060" w:type="dxa"/>
            <w:tcMar>
              <w:left w:w="57" w:type="dxa"/>
              <w:right w:w="57" w:type="dxa"/>
            </w:tcMar>
          </w:tcPr>
          <w:p w14:paraId="7BD0DC65" w14:textId="19D717C6" w:rsidR="00451A78" w:rsidRPr="00785A5D" w:rsidRDefault="002A045C">
            <w:pPr>
              <w:pStyle w:val="Tabletext0"/>
              <w:jc w:val="left"/>
            </w:pPr>
            <w:r w:rsidRPr="00F516FD">
              <w:rPr>
                <w:b/>
                <w:bCs/>
              </w:rPr>
              <w:t>redacted</w:t>
            </w:r>
          </w:p>
        </w:tc>
        <w:tc>
          <w:tcPr>
            <w:tcW w:w="1060" w:type="dxa"/>
            <w:tcMar>
              <w:left w:w="57" w:type="dxa"/>
              <w:right w:w="57" w:type="dxa"/>
            </w:tcMar>
          </w:tcPr>
          <w:p w14:paraId="16A404B5" w14:textId="02BBF65A" w:rsidR="00451A78" w:rsidRPr="00785A5D" w:rsidRDefault="002A045C">
            <w:pPr>
              <w:pStyle w:val="Tabletext0"/>
              <w:jc w:val="left"/>
            </w:pPr>
            <w:r w:rsidRPr="00F516FD">
              <w:rPr>
                <w:b/>
                <w:bCs/>
              </w:rPr>
              <w:t>redacted</w:t>
            </w:r>
          </w:p>
        </w:tc>
        <w:tc>
          <w:tcPr>
            <w:tcW w:w="1060" w:type="dxa"/>
            <w:tcMar>
              <w:left w:w="57" w:type="dxa"/>
              <w:right w:w="57" w:type="dxa"/>
            </w:tcMar>
          </w:tcPr>
          <w:p w14:paraId="2D554A87" w14:textId="4D4A643E" w:rsidR="00451A78" w:rsidRPr="00785A5D" w:rsidRDefault="002A045C">
            <w:pPr>
              <w:pStyle w:val="Tabletext0"/>
              <w:jc w:val="left"/>
            </w:pPr>
            <w:r w:rsidRPr="00F516FD">
              <w:rPr>
                <w:b/>
                <w:bCs/>
              </w:rPr>
              <w:t>redacted</w:t>
            </w:r>
          </w:p>
        </w:tc>
        <w:tc>
          <w:tcPr>
            <w:tcW w:w="1060" w:type="dxa"/>
            <w:tcMar>
              <w:left w:w="57" w:type="dxa"/>
              <w:right w:w="57" w:type="dxa"/>
            </w:tcMar>
          </w:tcPr>
          <w:p w14:paraId="3C18EE6A" w14:textId="71AC259C" w:rsidR="00451A78" w:rsidRPr="00785A5D" w:rsidRDefault="002A045C">
            <w:pPr>
              <w:pStyle w:val="Tabletext0"/>
              <w:jc w:val="left"/>
            </w:pPr>
            <w:r w:rsidRPr="00F516FD">
              <w:rPr>
                <w:b/>
                <w:bCs/>
              </w:rPr>
              <w:t>redacted</w:t>
            </w:r>
          </w:p>
        </w:tc>
        <w:tc>
          <w:tcPr>
            <w:tcW w:w="1060" w:type="dxa"/>
            <w:tcMar>
              <w:left w:w="57" w:type="dxa"/>
              <w:right w:w="57" w:type="dxa"/>
            </w:tcMar>
          </w:tcPr>
          <w:p w14:paraId="237F3C64" w14:textId="509DCA6E" w:rsidR="00451A78" w:rsidRPr="00F516FD" w:rsidRDefault="002A045C">
            <w:pPr>
              <w:pStyle w:val="Tabletext0"/>
              <w:jc w:val="left"/>
            </w:pPr>
            <w:r w:rsidRPr="00F516FD">
              <w:rPr>
                <w:b/>
                <w:bCs/>
              </w:rPr>
              <w:t>redacted</w:t>
            </w:r>
          </w:p>
        </w:tc>
      </w:tr>
      <w:tr w:rsidR="00372BB2" w:rsidRPr="00F516FD" w14:paraId="0BC48995" w14:textId="77777777" w:rsidTr="00785A5D">
        <w:tc>
          <w:tcPr>
            <w:tcW w:w="2637" w:type="dxa"/>
            <w:tcMar>
              <w:left w:w="57" w:type="dxa"/>
              <w:right w:w="57" w:type="dxa"/>
            </w:tcMar>
          </w:tcPr>
          <w:p w14:paraId="2321371B" w14:textId="77777777" w:rsidR="00451A78" w:rsidRPr="00F516FD" w:rsidRDefault="00451A78">
            <w:pPr>
              <w:pStyle w:val="Tabletext0"/>
              <w:jc w:val="left"/>
            </w:pPr>
            <w:r w:rsidRPr="00F516FD">
              <w:t>Number of placental examinations for Population 1 in Australia (extrapolated)</w:t>
            </w:r>
          </w:p>
        </w:tc>
        <w:tc>
          <w:tcPr>
            <w:tcW w:w="1060" w:type="dxa"/>
            <w:tcMar>
              <w:left w:w="57" w:type="dxa"/>
              <w:right w:w="57" w:type="dxa"/>
            </w:tcMar>
          </w:tcPr>
          <w:p w14:paraId="4C4BBA82" w14:textId="77777777" w:rsidR="00451A78" w:rsidRPr="00F516FD" w:rsidRDefault="00451A78">
            <w:pPr>
              <w:pStyle w:val="Tabletext0"/>
              <w:jc w:val="left"/>
            </w:pPr>
            <w:r w:rsidRPr="00F516FD">
              <w:t>1,955</w:t>
            </w:r>
          </w:p>
        </w:tc>
        <w:tc>
          <w:tcPr>
            <w:tcW w:w="1060" w:type="dxa"/>
            <w:tcMar>
              <w:left w:w="57" w:type="dxa"/>
              <w:right w:w="57" w:type="dxa"/>
            </w:tcMar>
          </w:tcPr>
          <w:p w14:paraId="103EF3CE" w14:textId="77777777" w:rsidR="00451A78" w:rsidRPr="00F516FD" w:rsidRDefault="00451A78">
            <w:pPr>
              <w:pStyle w:val="Tabletext0"/>
              <w:jc w:val="left"/>
            </w:pPr>
            <w:r w:rsidRPr="00F516FD">
              <w:t>1,955</w:t>
            </w:r>
          </w:p>
        </w:tc>
        <w:tc>
          <w:tcPr>
            <w:tcW w:w="1060" w:type="dxa"/>
            <w:tcMar>
              <w:left w:w="57" w:type="dxa"/>
              <w:right w:w="57" w:type="dxa"/>
            </w:tcMar>
          </w:tcPr>
          <w:p w14:paraId="5A1BF2DC" w14:textId="77777777" w:rsidR="00451A78" w:rsidRPr="00F516FD" w:rsidRDefault="00451A78">
            <w:pPr>
              <w:pStyle w:val="Tabletext0"/>
              <w:jc w:val="left"/>
            </w:pPr>
            <w:r w:rsidRPr="00F516FD">
              <w:t>1,955</w:t>
            </w:r>
          </w:p>
        </w:tc>
        <w:tc>
          <w:tcPr>
            <w:tcW w:w="1060" w:type="dxa"/>
            <w:tcMar>
              <w:left w:w="57" w:type="dxa"/>
              <w:right w:w="57" w:type="dxa"/>
            </w:tcMar>
          </w:tcPr>
          <w:p w14:paraId="7D40D7A1" w14:textId="77777777" w:rsidR="00451A78" w:rsidRPr="00F516FD" w:rsidRDefault="00451A78">
            <w:pPr>
              <w:pStyle w:val="Tabletext0"/>
              <w:jc w:val="left"/>
            </w:pPr>
            <w:r w:rsidRPr="00F516FD">
              <w:t>1,955</w:t>
            </w:r>
          </w:p>
        </w:tc>
        <w:tc>
          <w:tcPr>
            <w:tcW w:w="1060" w:type="dxa"/>
            <w:tcMar>
              <w:left w:w="57" w:type="dxa"/>
              <w:right w:w="57" w:type="dxa"/>
            </w:tcMar>
          </w:tcPr>
          <w:p w14:paraId="3B9D4967" w14:textId="77777777" w:rsidR="00451A78" w:rsidRPr="00F516FD" w:rsidRDefault="00451A78">
            <w:pPr>
              <w:pStyle w:val="Tabletext0"/>
              <w:jc w:val="left"/>
            </w:pPr>
            <w:r w:rsidRPr="00F516FD">
              <w:t>1,955</w:t>
            </w:r>
          </w:p>
        </w:tc>
        <w:tc>
          <w:tcPr>
            <w:tcW w:w="1060" w:type="dxa"/>
            <w:tcMar>
              <w:left w:w="57" w:type="dxa"/>
              <w:right w:w="57" w:type="dxa"/>
            </w:tcMar>
          </w:tcPr>
          <w:p w14:paraId="1C15CF75" w14:textId="77777777" w:rsidR="00451A78" w:rsidRPr="00F516FD" w:rsidRDefault="00451A78">
            <w:pPr>
              <w:pStyle w:val="Tabletext0"/>
              <w:jc w:val="left"/>
            </w:pPr>
            <w:r w:rsidRPr="00F516FD">
              <w:t>1,955</w:t>
            </w:r>
          </w:p>
        </w:tc>
      </w:tr>
      <w:tr w:rsidR="00372BB2" w:rsidRPr="00F516FD" w14:paraId="554E0282" w14:textId="77777777" w:rsidTr="00785A5D">
        <w:tc>
          <w:tcPr>
            <w:tcW w:w="2637" w:type="dxa"/>
            <w:tcMar>
              <w:left w:w="57" w:type="dxa"/>
              <w:right w:w="57" w:type="dxa"/>
            </w:tcMar>
          </w:tcPr>
          <w:p w14:paraId="0DDED6F3" w14:textId="1370416E" w:rsidR="00451A78" w:rsidRPr="00F251FA" w:rsidRDefault="00451A78">
            <w:pPr>
              <w:pStyle w:val="Tabletext0"/>
              <w:jc w:val="left"/>
              <w:rPr>
                <w:vertAlign w:val="superscript"/>
              </w:rPr>
            </w:pPr>
            <w:r w:rsidRPr="00785A5D">
              <w:t>Number of private placental examinations for Population 1</w:t>
            </w:r>
            <w:r w:rsidRPr="00785A5D">
              <w:rPr>
                <w:vertAlign w:val="superscript"/>
              </w:rPr>
              <w:t>b</w:t>
            </w:r>
          </w:p>
        </w:tc>
        <w:tc>
          <w:tcPr>
            <w:tcW w:w="1060" w:type="dxa"/>
            <w:tcMar>
              <w:left w:w="57" w:type="dxa"/>
              <w:right w:w="57" w:type="dxa"/>
            </w:tcMar>
          </w:tcPr>
          <w:p w14:paraId="38E8D622" w14:textId="5DD9EA74" w:rsidR="00451A78" w:rsidRPr="00785A5D" w:rsidRDefault="00451A78">
            <w:pPr>
              <w:pStyle w:val="Tabletext0"/>
              <w:jc w:val="left"/>
            </w:pPr>
            <w:r w:rsidRPr="00785A5D">
              <w:t>455</w:t>
            </w:r>
          </w:p>
        </w:tc>
        <w:tc>
          <w:tcPr>
            <w:tcW w:w="1060" w:type="dxa"/>
            <w:tcMar>
              <w:left w:w="57" w:type="dxa"/>
              <w:right w:w="57" w:type="dxa"/>
            </w:tcMar>
          </w:tcPr>
          <w:p w14:paraId="576BB67C" w14:textId="160A1C60" w:rsidR="00451A78" w:rsidRPr="00785A5D" w:rsidRDefault="00451A78">
            <w:pPr>
              <w:pStyle w:val="Tabletext0"/>
              <w:jc w:val="left"/>
            </w:pPr>
            <w:r w:rsidRPr="00785A5D">
              <w:t>455</w:t>
            </w:r>
          </w:p>
        </w:tc>
        <w:tc>
          <w:tcPr>
            <w:tcW w:w="1060" w:type="dxa"/>
            <w:tcMar>
              <w:left w:w="57" w:type="dxa"/>
              <w:right w:w="57" w:type="dxa"/>
            </w:tcMar>
          </w:tcPr>
          <w:p w14:paraId="5A448E9C" w14:textId="736C0221" w:rsidR="00451A78" w:rsidRPr="00785A5D" w:rsidRDefault="00451A78">
            <w:pPr>
              <w:pStyle w:val="Tabletext0"/>
              <w:jc w:val="left"/>
            </w:pPr>
            <w:r w:rsidRPr="00785A5D">
              <w:t>455</w:t>
            </w:r>
          </w:p>
        </w:tc>
        <w:tc>
          <w:tcPr>
            <w:tcW w:w="1060" w:type="dxa"/>
            <w:tcMar>
              <w:left w:w="57" w:type="dxa"/>
              <w:right w:w="57" w:type="dxa"/>
            </w:tcMar>
          </w:tcPr>
          <w:p w14:paraId="131FCF2A" w14:textId="373F058F" w:rsidR="00451A78" w:rsidRPr="00785A5D" w:rsidRDefault="00451A78">
            <w:pPr>
              <w:pStyle w:val="Tabletext0"/>
              <w:jc w:val="left"/>
            </w:pPr>
            <w:r w:rsidRPr="00785A5D">
              <w:t>455</w:t>
            </w:r>
          </w:p>
        </w:tc>
        <w:tc>
          <w:tcPr>
            <w:tcW w:w="1060" w:type="dxa"/>
            <w:tcMar>
              <w:left w:w="57" w:type="dxa"/>
              <w:right w:w="57" w:type="dxa"/>
            </w:tcMar>
          </w:tcPr>
          <w:p w14:paraId="465B4597" w14:textId="6FC36AB5" w:rsidR="00451A78" w:rsidRPr="00785A5D" w:rsidRDefault="00451A78">
            <w:pPr>
              <w:pStyle w:val="Tabletext0"/>
              <w:jc w:val="left"/>
            </w:pPr>
            <w:r w:rsidRPr="00785A5D">
              <w:t>455</w:t>
            </w:r>
          </w:p>
        </w:tc>
        <w:tc>
          <w:tcPr>
            <w:tcW w:w="1060" w:type="dxa"/>
            <w:tcMar>
              <w:left w:w="57" w:type="dxa"/>
              <w:right w:w="57" w:type="dxa"/>
            </w:tcMar>
          </w:tcPr>
          <w:p w14:paraId="368988B3" w14:textId="20B5398C" w:rsidR="00451A78" w:rsidRPr="00F516FD" w:rsidRDefault="00451A78">
            <w:pPr>
              <w:pStyle w:val="Tabletext0"/>
              <w:jc w:val="left"/>
            </w:pPr>
            <w:r w:rsidRPr="00785A5D">
              <w:t>455</w:t>
            </w:r>
          </w:p>
        </w:tc>
      </w:tr>
      <w:tr w:rsidR="00372BB2" w:rsidRPr="00F516FD" w14:paraId="4EA5A7B8" w14:textId="77777777" w:rsidTr="00785A5D">
        <w:tc>
          <w:tcPr>
            <w:tcW w:w="2637" w:type="dxa"/>
            <w:tcBorders>
              <w:bottom w:val="single" w:sz="4" w:space="0" w:color="auto"/>
            </w:tcBorders>
            <w:tcMar>
              <w:left w:w="57" w:type="dxa"/>
              <w:right w:w="57" w:type="dxa"/>
            </w:tcMar>
          </w:tcPr>
          <w:p w14:paraId="2CC31A02" w14:textId="77777777" w:rsidR="00451A78" w:rsidRPr="00785A5D" w:rsidRDefault="00451A78">
            <w:pPr>
              <w:pStyle w:val="Tabletext0"/>
              <w:jc w:val="left"/>
            </w:pPr>
            <w:r w:rsidRPr="00785A5D">
              <w:t xml:space="preserve">Cost to MBS of proposed level 6 services (75% </w:t>
            </w:r>
            <w:proofErr w:type="gramStart"/>
            <w:r w:rsidRPr="00785A5D">
              <w:t>benefit)</w:t>
            </w:r>
            <w:r w:rsidRPr="00785A5D">
              <w:rPr>
                <w:vertAlign w:val="superscript"/>
              </w:rPr>
              <w:t>c</w:t>
            </w:r>
            <w:proofErr w:type="gramEnd"/>
          </w:p>
        </w:tc>
        <w:tc>
          <w:tcPr>
            <w:tcW w:w="1060" w:type="dxa"/>
            <w:tcBorders>
              <w:bottom w:val="single" w:sz="4" w:space="0" w:color="auto"/>
            </w:tcBorders>
            <w:tcMar>
              <w:left w:w="57" w:type="dxa"/>
              <w:right w:w="57" w:type="dxa"/>
            </w:tcMar>
          </w:tcPr>
          <w:p w14:paraId="53C97DF7" w14:textId="7D165035" w:rsidR="00451A78" w:rsidRPr="00785A5D" w:rsidRDefault="00451A78">
            <w:pPr>
              <w:pStyle w:val="Tabletext0"/>
              <w:jc w:val="left"/>
            </w:pPr>
            <w:r w:rsidRPr="00785A5D">
              <w:t>$142,416</w:t>
            </w:r>
          </w:p>
        </w:tc>
        <w:tc>
          <w:tcPr>
            <w:tcW w:w="1060" w:type="dxa"/>
            <w:tcBorders>
              <w:bottom w:val="single" w:sz="4" w:space="0" w:color="auto"/>
            </w:tcBorders>
            <w:tcMar>
              <w:left w:w="57" w:type="dxa"/>
              <w:right w:w="57" w:type="dxa"/>
            </w:tcMar>
          </w:tcPr>
          <w:p w14:paraId="73F25241" w14:textId="3B9E7892" w:rsidR="00451A78" w:rsidRPr="00785A5D" w:rsidRDefault="00451A78">
            <w:pPr>
              <w:pStyle w:val="Tabletext0"/>
              <w:jc w:val="left"/>
            </w:pPr>
            <w:r w:rsidRPr="00785A5D">
              <w:t>$142,416</w:t>
            </w:r>
          </w:p>
        </w:tc>
        <w:tc>
          <w:tcPr>
            <w:tcW w:w="1060" w:type="dxa"/>
            <w:tcBorders>
              <w:bottom w:val="single" w:sz="4" w:space="0" w:color="auto"/>
            </w:tcBorders>
            <w:tcMar>
              <w:left w:w="57" w:type="dxa"/>
              <w:right w:w="57" w:type="dxa"/>
            </w:tcMar>
          </w:tcPr>
          <w:p w14:paraId="324A8C8A" w14:textId="4DD89E91" w:rsidR="00451A78" w:rsidRPr="00785A5D" w:rsidRDefault="00451A78">
            <w:pPr>
              <w:pStyle w:val="Tabletext0"/>
              <w:jc w:val="left"/>
            </w:pPr>
            <w:r w:rsidRPr="00785A5D">
              <w:t>$142,416</w:t>
            </w:r>
          </w:p>
        </w:tc>
        <w:tc>
          <w:tcPr>
            <w:tcW w:w="1060" w:type="dxa"/>
            <w:tcBorders>
              <w:bottom w:val="single" w:sz="4" w:space="0" w:color="auto"/>
            </w:tcBorders>
            <w:tcMar>
              <w:left w:w="57" w:type="dxa"/>
              <w:right w:w="57" w:type="dxa"/>
            </w:tcMar>
          </w:tcPr>
          <w:p w14:paraId="70FE4699" w14:textId="29093E65" w:rsidR="00451A78" w:rsidRPr="00785A5D" w:rsidRDefault="00451A78">
            <w:pPr>
              <w:pStyle w:val="Tabletext0"/>
              <w:jc w:val="left"/>
            </w:pPr>
            <w:r w:rsidRPr="00785A5D">
              <w:t>$142,416</w:t>
            </w:r>
          </w:p>
        </w:tc>
        <w:tc>
          <w:tcPr>
            <w:tcW w:w="1060" w:type="dxa"/>
            <w:tcBorders>
              <w:bottom w:val="single" w:sz="4" w:space="0" w:color="auto"/>
            </w:tcBorders>
            <w:tcMar>
              <w:left w:w="57" w:type="dxa"/>
              <w:right w:w="57" w:type="dxa"/>
            </w:tcMar>
          </w:tcPr>
          <w:p w14:paraId="65E74BD3" w14:textId="48E73D00" w:rsidR="00451A78" w:rsidRPr="00785A5D" w:rsidRDefault="00451A78">
            <w:pPr>
              <w:pStyle w:val="Tabletext0"/>
              <w:jc w:val="left"/>
            </w:pPr>
            <w:r w:rsidRPr="00785A5D">
              <w:t>$142,416</w:t>
            </w:r>
          </w:p>
        </w:tc>
        <w:tc>
          <w:tcPr>
            <w:tcW w:w="1060" w:type="dxa"/>
            <w:tcBorders>
              <w:bottom w:val="single" w:sz="4" w:space="0" w:color="auto"/>
            </w:tcBorders>
            <w:tcMar>
              <w:left w:w="57" w:type="dxa"/>
              <w:right w:w="57" w:type="dxa"/>
            </w:tcMar>
          </w:tcPr>
          <w:p w14:paraId="7554BB62" w14:textId="7E6C976D" w:rsidR="00451A78" w:rsidRPr="00F516FD" w:rsidRDefault="00451A78">
            <w:pPr>
              <w:pStyle w:val="Tabletext0"/>
              <w:jc w:val="left"/>
            </w:pPr>
            <w:r w:rsidRPr="00785A5D">
              <w:t>$142,416</w:t>
            </w:r>
          </w:p>
        </w:tc>
      </w:tr>
      <w:tr w:rsidR="00372BB2" w:rsidRPr="00F516FD" w14:paraId="331D9FC5" w14:textId="77777777" w:rsidTr="00785A5D">
        <w:tc>
          <w:tcPr>
            <w:tcW w:w="1060" w:type="dxa"/>
            <w:gridSpan w:val="7"/>
            <w:tcMar>
              <w:left w:w="57" w:type="dxa"/>
              <w:right w:w="57" w:type="dxa"/>
            </w:tcMar>
          </w:tcPr>
          <w:p w14:paraId="28FAA877" w14:textId="2B82E299" w:rsidR="00372BB2" w:rsidRPr="00F516FD" w:rsidRDefault="00372BB2" w:rsidP="00C57698">
            <w:pPr>
              <w:pStyle w:val="Tabletext0"/>
              <w:keepNext/>
              <w:jc w:val="left"/>
              <w:rPr>
                <w:b/>
                <w:bCs/>
              </w:rPr>
            </w:pPr>
            <w:r w:rsidRPr="00F516FD">
              <w:rPr>
                <w:b/>
                <w:bCs/>
              </w:rPr>
              <w:t>Change in use and cost of other health technologies</w:t>
            </w:r>
          </w:p>
        </w:tc>
      </w:tr>
      <w:tr w:rsidR="00372BB2" w:rsidRPr="00F516FD" w14:paraId="6098EB9E" w14:textId="77777777" w:rsidTr="00785A5D">
        <w:tc>
          <w:tcPr>
            <w:tcW w:w="2637" w:type="dxa"/>
            <w:tcMar>
              <w:left w:w="57" w:type="dxa"/>
              <w:right w:w="57" w:type="dxa"/>
            </w:tcMar>
          </w:tcPr>
          <w:p w14:paraId="1287076F" w14:textId="77777777" w:rsidR="00451A78" w:rsidRPr="00F516FD" w:rsidRDefault="00451A78">
            <w:pPr>
              <w:pStyle w:val="Tabletext0"/>
              <w:jc w:val="left"/>
            </w:pPr>
            <w:r w:rsidRPr="00F516FD">
              <w:t xml:space="preserve">Cost to MBS of level 4 services (75% </w:t>
            </w:r>
            <w:proofErr w:type="gramStart"/>
            <w:r w:rsidRPr="00F516FD">
              <w:t>benefit)</w:t>
            </w:r>
            <w:r w:rsidRPr="00F516FD">
              <w:rPr>
                <w:vertAlign w:val="superscript"/>
              </w:rPr>
              <w:t>d</w:t>
            </w:r>
            <w:proofErr w:type="gramEnd"/>
          </w:p>
        </w:tc>
        <w:tc>
          <w:tcPr>
            <w:tcW w:w="1060" w:type="dxa"/>
            <w:tcMar>
              <w:left w:w="57" w:type="dxa"/>
              <w:right w:w="57" w:type="dxa"/>
            </w:tcMar>
          </w:tcPr>
          <w:p w14:paraId="6134F002" w14:textId="24C92EB5" w:rsidR="00451A78" w:rsidRPr="00F516FD" w:rsidRDefault="00451A78">
            <w:pPr>
              <w:pStyle w:val="Tabletext0"/>
              <w:jc w:val="left"/>
            </w:pPr>
            <w:r w:rsidRPr="00F516FD">
              <w:t>-$33,180</w:t>
            </w:r>
          </w:p>
        </w:tc>
        <w:tc>
          <w:tcPr>
            <w:tcW w:w="1060" w:type="dxa"/>
            <w:tcMar>
              <w:left w:w="57" w:type="dxa"/>
              <w:right w:w="57" w:type="dxa"/>
            </w:tcMar>
          </w:tcPr>
          <w:p w14:paraId="46E86FE4" w14:textId="0D7FACA1" w:rsidR="00451A78" w:rsidRPr="00F516FD" w:rsidRDefault="00451A78">
            <w:pPr>
              <w:pStyle w:val="Tabletext0"/>
              <w:jc w:val="left"/>
            </w:pPr>
            <w:r w:rsidRPr="00F516FD">
              <w:t>-$33,180</w:t>
            </w:r>
          </w:p>
        </w:tc>
        <w:tc>
          <w:tcPr>
            <w:tcW w:w="1060" w:type="dxa"/>
            <w:tcMar>
              <w:left w:w="57" w:type="dxa"/>
              <w:right w:w="57" w:type="dxa"/>
            </w:tcMar>
          </w:tcPr>
          <w:p w14:paraId="5E195EA2" w14:textId="16D3057A" w:rsidR="00451A78" w:rsidRPr="00F516FD" w:rsidRDefault="00451A78">
            <w:pPr>
              <w:pStyle w:val="Tabletext0"/>
              <w:jc w:val="left"/>
            </w:pPr>
            <w:r w:rsidRPr="00F516FD">
              <w:t>-$33,180</w:t>
            </w:r>
          </w:p>
        </w:tc>
        <w:tc>
          <w:tcPr>
            <w:tcW w:w="1060" w:type="dxa"/>
            <w:tcMar>
              <w:left w:w="57" w:type="dxa"/>
              <w:right w:w="57" w:type="dxa"/>
            </w:tcMar>
          </w:tcPr>
          <w:p w14:paraId="0E5060C5" w14:textId="7DD8E7EF" w:rsidR="00451A78" w:rsidRPr="00F516FD" w:rsidRDefault="00451A78">
            <w:pPr>
              <w:pStyle w:val="Tabletext0"/>
              <w:jc w:val="left"/>
            </w:pPr>
            <w:r w:rsidRPr="00F516FD">
              <w:t>-$33,180</w:t>
            </w:r>
          </w:p>
        </w:tc>
        <w:tc>
          <w:tcPr>
            <w:tcW w:w="1060" w:type="dxa"/>
            <w:tcMar>
              <w:left w:w="57" w:type="dxa"/>
              <w:right w:w="57" w:type="dxa"/>
            </w:tcMar>
          </w:tcPr>
          <w:p w14:paraId="3C9D18F8" w14:textId="05458293" w:rsidR="00451A78" w:rsidRPr="00F516FD" w:rsidRDefault="00451A78">
            <w:pPr>
              <w:pStyle w:val="Tabletext0"/>
              <w:jc w:val="left"/>
            </w:pPr>
            <w:r w:rsidRPr="00F516FD">
              <w:t>-$33,180</w:t>
            </w:r>
          </w:p>
        </w:tc>
        <w:tc>
          <w:tcPr>
            <w:tcW w:w="1060" w:type="dxa"/>
            <w:tcMar>
              <w:left w:w="57" w:type="dxa"/>
              <w:right w:w="57" w:type="dxa"/>
            </w:tcMar>
          </w:tcPr>
          <w:p w14:paraId="71D3ACCB" w14:textId="3C2441F5" w:rsidR="00451A78" w:rsidRPr="00F516FD" w:rsidRDefault="00451A78">
            <w:pPr>
              <w:pStyle w:val="Tabletext0"/>
              <w:jc w:val="left"/>
            </w:pPr>
            <w:r w:rsidRPr="00F516FD">
              <w:t>-$33,180</w:t>
            </w:r>
          </w:p>
        </w:tc>
      </w:tr>
      <w:tr w:rsidR="00372BB2" w:rsidRPr="00F516FD" w14:paraId="72CD7FDC" w14:textId="77777777" w:rsidTr="00785A5D">
        <w:tc>
          <w:tcPr>
            <w:tcW w:w="2637" w:type="dxa"/>
            <w:tcMar>
              <w:left w:w="57" w:type="dxa"/>
              <w:right w:w="57" w:type="dxa"/>
            </w:tcMar>
          </w:tcPr>
          <w:p w14:paraId="6594009C" w14:textId="77777777" w:rsidR="00451A78" w:rsidRPr="00F516FD" w:rsidRDefault="00451A78">
            <w:pPr>
              <w:pStyle w:val="Tabletext0"/>
              <w:jc w:val="left"/>
              <w:rPr>
                <w:b/>
                <w:bCs/>
              </w:rPr>
            </w:pPr>
            <w:r w:rsidRPr="00F516FD">
              <w:rPr>
                <w:b/>
                <w:bCs/>
              </w:rPr>
              <w:t>Net financial impact to MBS of increasing from complexity level 4 to 6</w:t>
            </w:r>
          </w:p>
        </w:tc>
        <w:tc>
          <w:tcPr>
            <w:tcW w:w="1060" w:type="dxa"/>
            <w:tcMar>
              <w:left w:w="57" w:type="dxa"/>
              <w:right w:w="57" w:type="dxa"/>
            </w:tcMar>
          </w:tcPr>
          <w:p w14:paraId="79E8564E" w14:textId="77777777" w:rsidR="00451A78" w:rsidRPr="00F516FD" w:rsidRDefault="00451A78">
            <w:pPr>
              <w:pStyle w:val="Tabletext0"/>
              <w:jc w:val="left"/>
              <w:rPr>
                <w:b/>
                <w:bCs/>
              </w:rPr>
            </w:pPr>
            <w:r w:rsidRPr="00F516FD">
              <w:rPr>
                <w:b/>
                <w:bCs/>
              </w:rPr>
              <w:t>$109,236</w:t>
            </w:r>
          </w:p>
        </w:tc>
        <w:tc>
          <w:tcPr>
            <w:tcW w:w="1060" w:type="dxa"/>
            <w:tcMar>
              <w:left w:w="57" w:type="dxa"/>
              <w:right w:w="57" w:type="dxa"/>
            </w:tcMar>
          </w:tcPr>
          <w:p w14:paraId="6143F548" w14:textId="77777777" w:rsidR="00451A78" w:rsidRPr="00F516FD" w:rsidRDefault="00451A78">
            <w:pPr>
              <w:pStyle w:val="Tabletext0"/>
              <w:jc w:val="left"/>
              <w:rPr>
                <w:b/>
                <w:bCs/>
              </w:rPr>
            </w:pPr>
            <w:r w:rsidRPr="00F516FD">
              <w:rPr>
                <w:b/>
                <w:bCs/>
              </w:rPr>
              <w:t>$109,236</w:t>
            </w:r>
          </w:p>
        </w:tc>
        <w:tc>
          <w:tcPr>
            <w:tcW w:w="1060" w:type="dxa"/>
            <w:tcMar>
              <w:left w:w="57" w:type="dxa"/>
              <w:right w:w="57" w:type="dxa"/>
            </w:tcMar>
          </w:tcPr>
          <w:p w14:paraId="0725AA3E" w14:textId="77777777" w:rsidR="00451A78" w:rsidRPr="00F516FD" w:rsidRDefault="00451A78">
            <w:pPr>
              <w:pStyle w:val="Tabletext0"/>
              <w:jc w:val="left"/>
              <w:rPr>
                <w:b/>
                <w:bCs/>
              </w:rPr>
            </w:pPr>
            <w:r w:rsidRPr="00F516FD">
              <w:rPr>
                <w:b/>
                <w:bCs/>
              </w:rPr>
              <w:t>$109,236</w:t>
            </w:r>
          </w:p>
        </w:tc>
        <w:tc>
          <w:tcPr>
            <w:tcW w:w="1060" w:type="dxa"/>
            <w:tcMar>
              <w:left w:w="57" w:type="dxa"/>
              <w:right w:w="57" w:type="dxa"/>
            </w:tcMar>
          </w:tcPr>
          <w:p w14:paraId="4B00D341" w14:textId="77777777" w:rsidR="00451A78" w:rsidRPr="00F516FD" w:rsidRDefault="00451A78">
            <w:pPr>
              <w:pStyle w:val="Tabletext0"/>
              <w:jc w:val="left"/>
              <w:rPr>
                <w:b/>
                <w:bCs/>
              </w:rPr>
            </w:pPr>
            <w:r w:rsidRPr="00F516FD">
              <w:rPr>
                <w:b/>
                <w:bCs/>
              </w:rPr>
              <w:t>$109,236</w:t>
            </w:r>
          </w:p>
        </w:tc>
        <w:tc>
          <w:tcPr>
            <w:tcW w:w="1060" w:type="dxa"/>
            <w:tcMar>
              <w:left w:w="57" w:type="dxa"/>
              <w:right w:w="57" w:type="dxa"/>
            </w:tcMar>
          </w:tcPr>
          <w:p w14:paraId="79B5506F" w14:textId="77777777" w:rsidR="00451A78" w:rsidRPr="00F516FD" w:rsidRDefault="00451A78">
            <w:pPr>
              <w:pStyle w:val="Tabletext0"/>
              <w:jc w:val="left"/>
              <w:rPr>
                <w:b/>
                <w:bCs/>
              </w:rPr>
            </w:pPr>
            <w:r w:rsidRPr="00F516FD">
              <w:rPr>
                <w:b/>
                <w:bCs/>
              </w:rPr>
              <w:t>$109,236</w:t>
            </w:r>
          </w:p>
        </w:tc>
        <w:tc>
          <w:tcPr>
            <w:tcW w:w="1060" w:type="dxa"/>
            <w:tcMar>
              <w:left w:w="57" w:type="dxa"/>
              <w:right w:w="57" w:type="dxa"/>
            </w:tcMar>
          </w:tcPr>
          <w:p w14:paraId="3BDB9AC6" w14:textId="77777777" w:rsidR="00451A78" w:rsidRPr="00F516FD" w:rsidRDefault="00451A78">
            <w:pPr>
              <w:pStyle w:val="Tabletext0"/>
              <w:jc w:val="left"/>
              <w:rPr>
                <w:b/>
                <w:bCs/>
              </w:rPr>
            </w:pPr>
            <w:r w:rsidRPr="00F516FD">
              <w:rPr>
                <w:b/>
                <w:bCs/>
              </w:rPr>
              <w:t>$109,236</w:t>
            </w:r>
          </w:p>
        </w:tc>
      </w:tr>
    </w:tbl>
    <w:p w14:paraId="50AF0445" w14:textId="448547F2" w:rsidR="00451A78" w:rsidRPr="00F516FD" w:rsidRDefault="00451A78" w:rsidP="00451A78">
      <w:pPr>
        <w:pStyle w:val="TableFooter"/>
      </w:pPr>
      <w:r w:rsidRPr="00F516FD">
        <w:t xml:space="preserve">MBS = Medicare Benefits Schedule; </w:t>
      </w:r>
      <w:r w:rsidR="002A045C" w:rsidRPr="00F516FD">
        <w:rPr>
          <w:b/>
          <w:bCs/>
        </w:rPr>
        <w:t>redacted</w:t>
      </w:r>
    </w:p>
    <w:p w14:paraId="6543B3E4" w14:textId="77777777" w:rsidR="00451A78" w:rsidRPr="00785A5D" w:rsidRDefault="00451A78" w:rsidP="00451A78">
      <w:pPr>
        <w:pStyle w:val="TableFooter"/>
      </w:pPr>
      <w:proofErr w:type="gramStart"/>
      <w:r w:rsidRPr="00785A5D">
        <w:t>a</w:t>
      </w:r>
      <w:proofErr w:type="gramEnd"/>
      <w:r w:rsidRPr="00785A5D">
        <w:t xml:space="preserve"> Assumed to also include placental examinations for very early neonatal deaths.</w:t>
      </w:r>
    </w:p>
    <w:p w14:paraId="71591016" w14:textId="76A3F212" w:rsidR="00451A78" w:rsidRPr="00F516FD" w:rsidRDefault="00451A78" w:rsidP="00451A78">
      <w:pPr>
        <w:pStyle w:val="TableFooter"/>
      </w:pPr>
      <w:r w:rsidRPr="00785A5D">
        <w:t xml:space="preserve">b Calculated by multiplying total number of placental examinations for Population 1 by proportion of </w:t>
      </w:r>
      <w:r w:rsidR="00C9583F" w:rsidRPr="00785A5D">
        <w:t xml:space="preserve">privately funded </w:t>
      </w:r>
      <w:r w:rsidR="00E14279" w:rsidRPr="00785A5D">
        <w:t xml:space="preserve">placental examinations </w:t>
      </w:r>
      <w:r w:rsidR="00C9583F" w:rsidRPr="00785A5D">
        <w:t xml:space="preserve">in </w:t>
      </w:r>
      <w:r w:rsidR="00082F0D">
        <w:rPr>
          <w:b/>
          <w:bCs/>
        </w:rPr>
        <w:t>r</w:t>
      </w:r>
      <w:r w:rsidR="003659EB" w:rsidRPr="003659EB">
        <w:rPr>
          <w:b/>
          <w:bCs/>
        </w:rPr>
        <w:t>edacted</w:t>
      </w:r>
      <w:r w:rsidR="00C525EF" w:rsidRPr="00785A5D">
        <w:t xml:space="preserve"> (23.3%)</w:t>
      </w:r>
      <w:r w:rsidRPr="00785A5D">
        <w:t>.</w:t>
      </w:r>
    </w:p>
    <w:p w14:paraId="00CB092B" w14:textId="77777777" w:rsidR="00451A78" w:rsidRPr="00F516FD" w:rsidRDefault="00451A78" w:rsidP="00451A78">
      <w:pPr>
        <w:pStyle w:val="TableFooter"/>
      </w:pPr>
      <w:r w:rsidRPr="00F516FD">
        <w:t>c Calculated using 75% benefit ($312.90) for examination of complexity level 6 biopsy material (MBS item 72836).</w:t>
      </w:r>
    </w:p>
    <w:p w14:paraId="082B5CC3" w14:textId="77777777" w:rsidR="00451A78" w:rsidRPr="00F516FD" w:rsidRDefault="00451A78" w:rsidP="00451A78">
      <w:pPr>
        <w:pStyle w:val="TableFooter"/>
      </w:pPr>
      <w:r w:rsidRPr="00F516FD">
        <w:t>d Calculated using 75% benefit ($72.90) for examination of complexity level 4 biopsy material (MBS item 72823).</w:t>
      </w:r>
    </w:p>
    <w:p w14:paraId="029269C7" w14:textId="78C6FE4F" w:rsidR="00451A78" w:rsidRPr="00F516FD" w:rsidRDefault="00451A78" w:rsidP="00451A78">
      <w:pPr>
        <w:pStyle w:val="TableFooter"/>
      </w:pPr>
      <w:r w:rsidRPr="00F516FD">
        <w:t xml:space="preserve">Source: DCAR Tables </w:t>
      </w:r>
      <w:r w:rsidR="002F234D" w:rsidRPr="00F516FD">
        <w:t>21</w:t>
      </w:r>
      <w:r w:rsidRPr="00F516FD">
        <w:t xml:space="preserve"> and </w:t>
      </w:r>
      <w:r w:rsidR="00E96A61" w:rsidRPr="00F516FD">
        <w:t>26</w:t>
      </w:r>
    </w:p>
    <w:p w14:paraId="45F0BA77" w14:textId="2A8E7615" w:rsidR="00451A78" w:rsidRPr="00785A5D" w:rsidRDefault="00451A78" w:rsidP="00451A78">
      <w:r w:rsidRPr="00785A5D">
        <w:t xml:space="preserve">From the data provided by </w:t>
      </w:r>
      <w:r w:rsidR="002A045C" w:rsidRPr="00F516FD">
        <w:rPr>
          <w:b/>
          <w:bCs/>
        </w:rPr>
        <w:t>redacted</w:t>
      </w:r>
      <w:r w:rsidRPr="00785A5D">
        <w:t xml:space="preserve">, there were </w:t>
      </w:r>
      <w:r w:rsidR="002A045C" w:rsidRPr="00F516FD">
        <w:rPr>
          <w:b/>
          <w:bCs/>
        </w:rPr>
        <w:t>redacted</w:t>
      </w:r>
      <w:r w:rsidRPr="00785A5D">
        <w:t xml:space="preserve"> placental examinations that were coded with a gestational age between 12 and &lt;20 weeks and with an indication of </w:t>
      </w:r>
      <w:proofErr w:type="spellStart"/>
      <w:r w:rsidRPr="00785A5D">
        <w:t>fetal</w:t>
      </w:r>
      <w:proofErr w:type="spellEnd"/>
      <w:r w:rsidRPr="00785A5D">
        <w:t xml:space="preserve"> loss, stillbirth, miscarriage, intrauterine </w:t>
      </w:r>
      <w:proofErr w:type="gramStart"/>
      <w:r w:rsidRPr="00785A5D">
        <w:t>death</w:t>
      </w:r>
      <w:proofErr w:type="gramEnd"/>
      <w:r w:rsidRPr="00785A5D">
        <w:t xml:space="preserve"> or intrauterine </w:t>
      </w:r>
      <w:proofErr w:type="spellStart"/>
      <w:r w:rsidRPr="00785A5D">
        <w:t>fetal</w:t>
      </w:r>
      <w:proofErr w:type="spellEnd"/>
      <w:r w:rsidRPr="00785A5D">
        <w:t xml:space="preserve"> demise. This was considered a lower estimate of this population based on </w:t>
      </w:r>
      <w:r w:rsidR="002A045C" w:rsidRPr="00F516FD">
        <w:rPr>
          <w:b/>
          <w:bCs/>
        </w:rPr>
        <w:t>redacted</w:t>
      </w:r>
      <w:r w:rsidRPr="00785A5D">
        <w:t xml:space="preserve"> data; an upper estimate was all </w:t>
      </w:r>
      <w:r w:rsidR="002A045C" w:rsidRPr="00F516FD">
        <w:rPr>
          <w:b/>
          <w:bCs/>
        </w:rPr>
        <w:t>redacted</w:t>
      </w:r>
      <w:r w:rsidRPr="00785A5D">
        <w:t xml:space="preserve"> examinations of placentas recorded with a gestational age of 12 to &lt;20 weeks. </w:t>
      </w:r>
    </w:p>
    <w:p w14:paraId="3F2E4E26" w14:textId="076FC509" w:rsidR="00451A78" w:rsidRPr="00F516FD" w:rsidRDefault="00451A78" w:rsidP="00451A78">
      <w:r w:rsidRPr="00785A5D">
        <w:t xml:space="preserve">The remaining </w:t>
      </w:r>
      <w:r w:rsidR="007229F0" w:rsidRPr="00785A5D">
        <w:t xml:space="preserve">placental </w:t>
      </w:r>
      <w:r w:rsidRPr="00785A5D">
        <w:t>examinations</w:t>
      </w:r>
      <w:r w:rsidR="00BB0BFE" w:rsidRPr="00785A5D">
        <w:t xml:space="preserve"> (</w:t>
      </w:r>
      <w:r w:rsidR="00DC4532" w:rsidRPr="00785A5D">
        <w:t>i.e.,</w:t>
      </w:r>
      <w:r w:rsidR="00BB0BFE" w:rsidRPr="00785A5D">
        <w:t xml:space="preserve"> total number of placental examinations by </w:t>
      </w:r>
      <w:r w:rsidR="002A045C" w:rsidRPr="00F516FD">
        <w:rPr>
          <w:b/>
          <w:bCs/>
        </w:rPr>
        <w:t>redacted</w:t>
      </w:r>
      <w:r w:rsidR="00BB0BFE" w:rsidRPr="00785A5D">
        <w:t xml:space="preserve"> in 2021 minus </w:t>
      </w:r>
      <w:r w:rsidR="008413E7" w:rsidRPr="00785A5D">
        <w:t xml:space="preserve">the number of </w:t>
      </w:r>
      <w:r w:rsidR="00BB0BFE" w:rsidRPr="00785A5D">
        <w:t xml:space="preserve">placental examinations for stillbirths and </w:t>
      </w:r>
      <w:r w:rsidR="008413E7" w:rsidRPr="00785A5D">
        <w:t>12 to &lt;20 weeks pregnancy</w:t>
      </w:r>
      <w:r w:rsidR="00BB0BFE" w:rsidRPr="00785A5D">
        <w:t xml:space="preserve"> losses in 2021)</w:t>
      </w:r>
      <w:r w:rsidRPr="00785A5D">
        <w:t xml:space="preserve"> were used to estimate the uptake for Population 3, live births. Of the </w:t>
      </w:r>
      <w:r w:rsidR="000246D3" w:rsidRPr="00785A5D">
        <w:t xml:space="preserve">total </w:t>
      </w:r>
      <w:r w:rsidRPr="00785A5D">
        <w:t>proposed level 5 complexity</w:t>
      </w:r>
      <w:r w:rsidR="00B34DA0" w:rsidRPr="00785A5D">
        <w:t xml:space="preserve"> placental</w:t>
      </w:r>
      <w:r w:rsidRPr="00785A5D">
        <w:t xml:space="preserve"> examinations</w:t>
      </w:r>
      <w:r w:rsidR="000246D3" w:rsidRPr="00785A5D">
        <w:t xml:space="preserve"> </w:t>
      </w:r>
      <w:r w:rsidR="00061D24" w:rsidRPr="00785A5D">
        <w:t xml:space="preserve">(i.e., </w:t>
      </w:r>
      <w:r w:rsidR="0090094A" w:rsidRPr="00785A5D">
        <w:t xml:space="preserve">Population 2 </w:t>
      </w:r>
      <w:r w:rsidR="00FB6055" w:rsidRPr="00785A5D">
        <w:t xml:space="preserve">and </w:t>
      </w:r>
      <w:r w:rsidR="0090094A" w:rsidRPr="00785A5D">
        <w:t>3</w:t>
      </w:r>
      <w:r w:rsidR="00061D24" w:rsidRPr="00785A5D">
        <w:t>)</w:t>
      </w:r>
      <w:r w:rsidRPr="00785A5D">
        <w:t xml:space="preserve">, </w:t>
      </w:r>
      <w:r w:rsidR="002A045C" w:rsidRPr="00F516FD">
        <w:rPr>
          <w:b/>
          <w:bCs/>
        </w:rPr>
        <w:t>redacted</w:t>
      </w:r>
      <w:r w:rsidRPr="00785A5D">
        <w:t xml:space="preserve">% were </w:t>
      </w:r>
      <w:r w:rsidR="00A75E1F" w:rsidRPr="00785A5D">
        <w:t>estimated</w:t>
      </w:r>
      <w:r w:rsidR="00B34DA0" w:rsidRPr="00785A5D">
        <w:t xml:space="preserve"> to be </w:t>
      </w:r>
      <w:r w:rsidRPr="00785A5D">
        <w:t xml:space="preserve">live births using </w:t>
      </w:r>
      <w:r w:rsidR="002A045C" w:rsidRPr="00F516FD">
        <w:rPr>
          <w:b/>
          <w:bCs/>
        </w:rPr>
        <w:t>redacted</w:t>
      </w:r>
      <w:r w:rsidRPr="00785A5D">
        <w:t xml:space="preserve"> data</w:t>
      </w:r>
      <w:r w:rsidR="00B34DA0" w:rsidRPr="00785A5D">
        <w:t>,</w:t>
      </w:r>
      <w:r w:rsidRPr="00785A5D">
        <w:t xml:space="preserve"> compared to 83% using AIHW data.</w:t>
      </w:r>
    </w:p>
    <w:p w14:paraId="6E78D19B" w14:textId="65E6A40A" w:rsidR="00451A78" w:rsidRPr="00F516FD" w:rsidDel="00852407" w:rsidRDefault="00451A78" w:rsidP="00451A78">
      <w:r w:rsidRPr="00F516FD">
        <w:t xml:space="preserve">The estimated number of complexity level 5 placental examinations for Populations 2 and 3 were extrapolated from </w:t>
      </w:r>
      <w:r w:rsidRPr="00785A5D">
        <w:t xml:space="preserve">the </w:t>
      </w:r>
      <w:r w:rsidR="002D6523" w:rsidRPr="00785A5D">
        <w:rPr>
          <w:b/>
          <w:bCs/>
        </w:rPr>
        <w:t>redacted</w:t>
      </w:r>
      <w:r w:rsidRPr="00785A5D">
        <w:t xml:space="preserve"> data</w:t>
      </w:r>
      <w:r w:rsidRPr="00F516FD">
        <w:t xml:space="preserve"> (</w:t>
      </w:r>
      <w:r w:rsidR="00066117" w:rsidRPr="00F516FD">
        <w:fldChar w:fldCharType="begin"/>
      </w:r>
      <w:r w:rsidR="00066117" w:rsidRPr="00F516FD">
        <w:instrText xml:space="preserve"> REF _Ref169879732 \h </w:instrText>
      </w:r>
      <w:r w:rsidR="00F516FD">
        <w:instrText xml:space="preserve"> \* MERGEFORMAT </w:instrText>
      </w:r>
      <w:r w:rsidR="00066117" w:rsidRPr="00F516FD">
        <w:fldChar w:fldCharType="separate"/>
      </w:r>
      <w:r w:rsidR="002A4535" w:rsidRPr="00F516FD">
        <w:t xml:space="preserve">Table </w:t>
      </w:r>
      <w:r w:rsidR="002A4535" w:rsidRPr="00F516FD">
        <w:rPr>
          <w:noProof/>
        </w:rPr>
        <w:t>11</w:t>
      </w:r>
      <w:r w:rsidR="00066117" w:rsidRPr="00F516FD">
        <w:fldChar w:fldCharType="end"/>
      </w:r>
      <w:r w:rsidRPr="00F516FD">
        <w:t xml:space="preserve">) and resulted in a lower net cost to the MBS </w:t>
      </w:r>
      <w:r w:rsidR="0027313E" w:rsidRPr="00F516FD">
        <w:t>(13% lower in 2030–31)</w:t>
      </w:r>
      <w:r w:rsidRPr="00F516FD">
        <w:t xml:space="preserve"> than the estimates derived from AIHW data (</w:t>
      </w:r>
      <w:r w:rsidRPr="00F516FD">
        <w:fldChar w:fldCharType="begin"/>
      </w:r>
      <w:r w:rsidRPr="00F516FD">
        <w:instrText xml:space="preserve"> REF _Ref167960959 \h </w:instrText>
      </w:r>
      <w:r w:rsidR="00F516FD">
        <w:instrText xml:space="preserve"> \* MERGEFORMAT </w:instrText>
      </w:r>
      <w:r w:rsidRPr="00F516FD">
        <w:fldChar w:fldCharType="separate"/>
      </w:r>
      <w:r w:rsidR="002A4535" w:rsidRPr="00F516FD">
        <w:t xml:space="preserve">Table </w:t>
      </w:r>
      <w:r w:rsidR="002A4535" w:rsidRPr="00F516FD">
        <w:rPr>
          <w:noProof/>
        </w:rPr>
        <w:t>8</w:t>
      </w:r>
      <w:r w:rsidRPr="00F516FD">
        <w:fldChar w:fldCharType="end"/>
      </w:r>
      <w:r w:rsidRPr="00F516FD">
        <w:t>).</w:t>
      </w:r>
    </w:p>
    <w:p w14:paraId="2C0E244A" w14:textId="305A8226" w:rsidR="00451A78" w:rsidRPr="00F516FD" w:rsidRDefault="00451A78" w:rsidP="00451A78">
      <w:pPr>
        <w:pStyle w:val="Caption"/>
      </w:pPr>
      <w:bookmarkStart w:id="43" w:name="_Ref169879732"/>
      <w:r w:rsidRPr="00F516FD">
        <w:lastRenderedPageBreak/>
        <w:t xml:space="preserve">Table </w:t>
      </w:r>
      <w:r w:rsidRPr="00F516FD">
        <w:fldChar w:fldCharType="begin"/>
      </w:r>
      <w:r w:rsidRPr="00F516FD">
        <w:instrText>SEQ Table \* ARABIC</w:instrText>
      </w:r>
      <w:r w:rsidRPr="00F516FD">
        <w:fldChar w:fldCharType="separate"/>
      </w:r>
      <w:r w:rsidR="002A4535" w:rsidRPr="00F516FD">
        <w:rPr>
          <w:noProof/>
        </w:rPr>
        <w:t>11</w:t>
      </w:r>
      <w:r w:rsidRPr="00F516FD">
        <w:fldChar w:fldCharType="end"/>
      </w:r>
      <w:bookmarkEnd w:id="43"/>
      <w:r w:rsidRPr="00F516FD">
        <w:tab/>
        <w:t>Net financial impact to the MBS of increasing the complexity level of placental examinations for Populations 2 and 3 – second trimester losses and live births – from level 4 to 5</w:t>
      </w:r>
      <w:r w:rsidR="00FC076F" w:rsidRPr="00F516FD">
        <w:t xml:space="preserve">, </w:t>
      </w:r>
      <w:r w:rsidR="00C22A30" w:rsidRPr="00F516FD">
        <w:t>using</w:t>
      </w:r>
      <w:r w:rsidR="00FC076F" w:rsidRPr="00F516FD">
        <w:t xml:space="preserve"> real</w:t>
      </w:r>
      <w:r w:rsidR="00C22A30" w:rsidRPr="00F516FD">
        <w:t>-</w:t>
      </w:r>
      <w:r w:rsidR="00FC076F" w:rsidRPr="00F516FD">
        <w:t xml:space="preserve">world </w:t>
      </w:r>
      <w:proofErr w:type="gramStart"/>
      <w:r w:rsidR="00FC076F" w:rsidRPr="00F516FD">
        <w:t>data</w:t>
      </w:r>
      <w:proofErr w:type="gramEnd"/>
    </w:p>
    <w:tbl>
      <w:tblPr>
        <w:tblStyle w:val="TableGrid"/>
        <w:tblW w:w="9122" w:type="dxa"/>
        <w:tblLayout w:type="fixed"/>
        <w:tblLook w:val="04A0" w:firstRow="1" w:lastRow="0" w:firstColumn="1" w:lastColumn="0" w:noHBand="0" w:noVBand="1"/>
        <w:tblCaption w:val="Committee-in-confidence Table 9. Net financial impact to the MBS of increasing the complexity level of placental examinations for Populations 2 and 3 – second trimester losses and live births with a clinical indication for a placental examination – from level 4 to 5"/>
        <w:tblDescription w:val="Committee in confidence table showing Net financial impact to the MBS of increasing the complexity level of placental examinations for Populations 2 and 3 – second trimester losses and live births with a clinical indication for a placental examination – from level 4 to 5.&#10;&#10;Estimated values are shown for 2024 to 2029 for Population 2 (second trimester pregnancy losses) and Population 3 (lives births with clinical indication for a placental examination)."/>
      </w:tblPr>
      <w:tblGrid>
        <w:gridCol w:w="2281"/>
        <w:gridCol w:w="1128"/>
        <w:gridCol w:w="1128"/>
        <w:gridCol w:w="177"/>
        <w:gridCol w:w="274"/>
        <w:gridCol w:w="275"/>
        <w:gridCol w:w="406"/>
        <w:gridCol w:w="141"/>
        <w:gridCol w:w="274"/>
        <w:gridCol w:w="138"/>
        <w:gridCol w:w="314"/>
        <w:gridCol w:w="264"/>
        <w:gridCol w:w="303"/>
        <w:gridCol w:w="274"/>
        <w:gridCol w:w="333"/>
        <w:gridCol w:w="283"/>
        <w:gridCol w:w="1129"/>
      </w:tblGrid>
      <w:tr w:rsidR="00451A78" w:rsidRPr="00F516FD" w14:paraId="16389AE5" w14:textId="77777777">
        <w:trPr>
          <w:trHeight w:val="290"/>
          <w:tblHeader/>
        </w:trPr>
        <w:tc>
          <w:tcPr>
            <w:tcW w:w="2281" w:type="dxa"/>
            <w:tcBorders>
              <w:bottom w:val="single" w:sz="4" w:space="0" w:color="auto"/>
            </w:tcBorders>
            <w:noWrap/>
            <w:tcMar>
              <w:left w:w="57" w:type="dxa"/>
              <w:right w:w="57" w:type="dxa"/>
            </w:tcMar>
            <w:hideMark/>
          </w:tcPr>
          <w:p w14:paraId="359303D3" w14:textId="77777777" w:rsidR="00451A78" w:rsidRPr="00F516FD" w:rsidRDefault="00451A78">
            <w:pPr>
              <w:pStyle w:val="TableHeading0"/>
            </w:pPr>
            <w:r w:rsidRPr="00F516FD">
              <w:t>Parameter</w:t>
            </w:r>
          </w:p>
        </w:tc>
        <w:tc>
          <w:tcPr>
            <w:tcW w:w="1128" w:type="dxa"/>
            <w:tcBorders>
              <w:bottom w:val="single" w:sz="4" w:space="0" w:color="auto"/>
            </w:tcBorders>
            <w:noWrap/>
            <w:tcMar>
              <w:left w:w="57" w:type="dxa"/>
              <w:right w:w="57" w:type="dxa"/>
            </w:tcMar>
            <w:hideMark/>
          </w:tcPr>
          <w:p w14:paraId="6406806E" w14:textId="6FA46629" w:rsidR="00451A78" w:rsidRPr="00F516FD" w:rsidRDefault="00580A4B">
            <w:pPr>
              <w:pStyle w:val="TableHeading0"/>
            </w:pPr>
            <w:r w:rsidRPr="00F516FD">
              <w:t>FY 2025–26</w:t>
            </w:r>
          </w:p>
        </w:tc>
        <w:tc>
          <w:tcPr>
            <w:tcW w:w="1128" w:type="dxa"/>
            <w:tcBorders>
              <w:bottom w:val="single" w:sz="4" w:space="0" w:color="auto"/>
            </w:tcBorders>
            <w:noWrap/>
            <w:tcMar>
              <w:left w:w="57" w:type="dxa"/>
              <w:right w:w="57" w:type="dxa"/>
            </w:tcMar>
            <w:hideMark/>
          </w:tcPr>
          <w:p w14:paraId="6879E070" w14:textId="10F019D9" w:rsidR="00451A78" w:rsidRPr="00F516FD" w:rsidRDefault="00580A4B">
            <w:pPr>
              <w:pStyle w:val="TableHeading0"/>
            </w:pPr>
            <w:r w:rsidRPr="00F516FD">
              <w:t>FY 2026–27</w:t>
            </w:r>
          </w:p>
        </w:tc>
        <w:tc>
          <w:tcPr>
            <w:tcW w:w="1132" w:type="dxa"/>
            <w:gridSpan w:val="4"/>
            <w:tcBorders>
              <w:bottom w:val="single" w:sz="4" w:space="0" w:color="auto"/>
            </w:tcBorders>
            <w:noWrap/>
            <w:tcMar>
              <w:left w:w="57" w:type="dxa"/>
              <w:right w:w="57" w:type="dxa"/>
            </w:tcMar>
            <w:hideMark/>
          </w:tcPr>
          <w:p w14:paraId="26A418C8" w14:textId="661C637C" w:rsidR="00451A78" w:rsidRPr="00F516FD" w:rsidRDefault="00580A4B">
            <w:pPr>
              <w:pStyle w:val="TableHeading0"/>
            </w:pPr>
            <w:r w:rsidRPr="00F516FD">
              <w:t>FY 2027–28</w:t>
            </w:r>
          </w:p>
        </w:tc>
        <w:tc>
          <w:tcPr>
            <w:tcW w:w="1131" w:type="dxa"/>
            <w:gridSpan w:val="5"/>
            <w:tcBorders>
              <w:bottom w:val="single" w:sz="4" w:space="0" w:color="auto"/>
            </w:tcBorders>
            <w:noWrap/>
            <w:tcMar>
              <w:left w:w="57" w:type="dxa"/>
              <w:right w:w="57" w:type="dxa"/>
            </w:tcMar>
            <w:hideMark/>
          </w:tcPr>
          <w:p w14:paraId="0057804F" w14:textId="6A217B17" w:rsidR="00451A78" w:rsidRPr="00F516FD" w:rsidRDefault="00580A4B">
            <w:pPr>
              <w:pStyle w:val="TableHeading0"/>
            </w:pPr>
            <w:r w:rsidRPr="00F516FD">
              <w:t>FY 2028–29</w:t>
            </w:r>
          </w:p>
        </w:tc>
        <w:tc>
          <w:tcPr>
            <w:tcW w:w="1193" w:type="dxa"/>
            <w:gridSpan w:val="4"/>
            <w:tcBorders>
              <w:bottom w:val="single" w:sz="4" w:space="0" w:color="auto"/>
            </w:tcBorders>
            <w:noWrap/>
            <w:tcMar>
              <w:left w:w="57" w:type="dxa"/>
              <w:right w:w="57" w:type="dxa"/>
            </w:tcMar>
            <w:hideMark/>
          </w:tcPr>
          <w:p w14:paraId="37E20D66" w14:textId="217C028A" w:rsidR="00451A78" w:rsidRPr="00F516FD" w:rsidRDefault="00580A4B">
            <w:pPr>
              <w:pStyle w:val="TableHeading0"/>
            </w:pPr>
            <w:r w:rsidRPr="00F516FD">
              <w:t>FY 2029–30</w:t>
            </w:r>
          </w:p>
        </w:tc>
        <w:tc>
          <w:tcPr>
            <w:tcW w:w="1129" w:type="dxa"/>
            <w:tcBorders>
              <w:bottom w:val="single" w:sz="4" w:space="0" w:color="auto"/>
            </w:tcBorders>
            <w:noWrap/>
            <w:tcMar>
              <w:left w:w="57" w:type="dxa"/>
              <w:right w:w="57" w:type="dxa"/>
            </w:tcMar>
            <w:hideMark/>
          </w:tcPr>
          <w:p w14:paraId="7628CC75" w14:textId="2D7A322A" w:rsidR="00451A78" w:rsidRPr="00F516FD" w:rsidRDefault="00580A4B">
            <w:pPr>
              <w:pStyle w:val="TableHeading0"/>
            </w:pPr>
            <w:r w:rsidRPr="00F516FD">
              <w:t>FY 2030–31</w:t>
            </w:r>
          </w:p>
        </w:tc>
      </w:tr>
      <w:tr w:rsidR="00451A78" w:rsidRPr="00F516FD" w14:paraId="69067ABD" w14:textId="77777777">
        <w:trPr>
          <w:trHeight w:val="290"/>
        </w:trPr>
        <w:tc>
          <w:tcPr>
            <w:tcW w:w="4714" w:type="dxa"/>
            <w:gridSpan w:val="4"/>
            <w:tcBorders>
              <w:right w:val="nil"/>
            </w:tcBorders>
            <w:noWrap/>
            <w:tcMar>
              <w:left w:w="57" w:type="dxa"/>
              <w:right w:w="57" w:type="dxa"/>
            </w:tcMar>
            <w:hideMark/>
          </w:tcPr>
          <w:p w14:paraId="149AF65F" w14:textId="77777777" w:rsidR="00451A78" w:rsidRPr="00F516FD" w:rsidRDefault="00451A78" w:rsidP="00985D6B">
            <w:pPr>
              <w:pStyle w:val="Tabletext0"/>
              <w:keepNext/>
              <w:rPr>
                <w:b/>
                <w:bCs/>
              </w:rPr>
            </w:pPr>
            <w:r w:rsidRPr="00F516FD">
              <w:rPr>
                <w:b/>
                <w:bCs/>
              </w:rPr>
              <w:t>Estimated use and cost of the proposed health technology</w:t>
            </w:r>
          </w:p>
        </w:tc>
        <w:tc>
          <w:tcPr>
            <w:tcW w:w="274" w:type="dxa"/>
            <w:tcBorders>
              <w:left w:val="nil"/>
              <w:right w:val="nil"/>
            </w:tcBorders>
            <w:noWrap/>
            <w:tcMar>
              <w:left w:w="57" w:type="dxa"/>
              <w:right w:w="57" w:type="dxa"/>
            </w:tcMar>
            <w:hideMark/>
          </w:tcPr>
          <w:p w14:paraId="17EA5050" w14:textId="77777777" w:rsidR="00451A78" w:rsidRPr="00F516FD" w:rsidRDefault="00451A78" w:rsidP="00985D6B">
            <w:pPr>
              <w:pStyle w:val="Tabletext0"/>
              <w:keepNext/>
              <w:rPr>
                <w:b/>
                <w:bCs/>
              </w:rPr>
            </w:pPr>
            <w:r w:rsidRPr="00F516FD">
              <w:rPr>
                <w:b/>
                <w:bCs/>
              </w:rPr>
              <w:t> </w:t>
            </w:r>
          </w:p>
        </w:tc>
        <w:tc>
          <w:tcPr>
            <w:tcW w:w="275" w:type="dxa"/>
            <w:tcBorders>
              <w:left w:val="nil"/>
              <w:right w:val="nil"/>
            </w:tcBorders>
            <w:noWrap/>
            <w:tcMar>
              <w:left w:w="57" w:type="dxa"/>
              <w:right w:w="57" w:type="dxa"/>
            </w:tcMar>
            <w:hideMark/>
          </w:tcPr>
          <w:p w14:paraId="1317D093" w14:textId="77777777" w:rsidR="00451A78" w:rsidRPr="00F516FD" w:rsidRDefault="00451A78" w:rsidP="00985D6B">
            <w:pPr>
              <w:pStyle w:val="Tabletext0"/>
              <w:keepNext/>
              <w:rPr>
                <w:b/>
                <w:bCs/>
              </w:rPr>
            </w:pPr>
            <w:r w:rsidRPr="00F516FD">
              <w:rPr>
                <w:b/>
                <w:bCs/>
              </w:rPr>
              <w:t> </w:t>
            </w:r>
          </w:p>
        </w:tc>
        <w:tc>
          <w:tcPr>
            <w:tcW w:w="406" w:type="dxa"/>
            <w:tcBorders>
              <w:left w:val="nil"/>
              <w:right w:val="nil"/>
            </w:tcBorders>
            <w:noWrap/>
            <w:tcMar>
              <w:left w:w="57" w:type="dxa"/>
              <w:right w:w="57" w:type="dxa"/>
            </w:tcMar>
            <w:hideMark/>
          </w:tcPr>
          <w:p w14:paraId="13A96422" w14:textId="77777777" w:rsidR="00451A78" w:rsidRPr="00F516FD" w:rsidRDefault="00451A78" w:rsidP="00985D6B">
            <w:pPr>
              <w:pStyle w:val="Tabletext0"/>
              <w:keepNext/>
              <w:rPr>
                <w:b/>
                <w:bCs/>
              </w:rPr>
            </w:pPr>
            <w:r w:rsidRPr="00F516FD">
              <w:rPr>
                <w:b/>
                <w:bCs/>
              </w:rPr>
              <w:t> </w:t>
            </w:r>
          </w:p>
        </w:tc>
        <w:tc>
          <w:tcPr>
            <w:tcW w:w="867" w:type="dxa"/>
            <w:gridSpan w:val="4"/>
            <w:tcBorders>
              <w:left w:val="nil"/>
              <w:right w:val="nil"/>
            </w:tcBorders>
            <w:noWrap/>
            <w:tcMar>
              <w:left w:w="57" w:type="dxa"/>
              <w:right w:w="57" w:type="dxa"/>
            </w:tcMar>
            <w:hideMark/>
          </w:tcPr>
          <w:p w14:paraId="64731FD3" w14:textId="77777777" w:rsidR="00451A78" w:rsidRPr="00F516FD" w:rsidRDefault="00451A78" w:rsidP="00985D6B">
            <w:pPr>
              <w:pStyle w:val="Tabletext0"/>
              <w:keepNext/>
              <w:rPr>
                <w:b/>
                <w:bCs/>
              </w:rPr>
            </w:pPr>
            <w:r w:rsidRPr="00F516FD">
              <w:rPr>
                <w:b/>
                <w:bCs/>
              </w:rPr>
              <w:t> </w:t>
            </w:r>
          </w:p>
        </w:tc>
        <w:tc>
          <w:tcPr>
            <w:tcW w:w="1174" w:type="dxa"/>
            <w:gridSpan w:val="4"/>
            <w:tcBorders>
              <w:left w:val="nil"/>
              <w:right w:val="nil"/>
            </w:tcBorders>
            <w:noWrap/>
            <w:tcMar>
              <w:left w:w="57" w:type="dxa"/>
              <w:right w:w="57" w:type="dxa"/>
            </w:tcMar>
            <w:hideMark/>
          </w:tcPr>
          <w:p w14:paraId="2F98D9B0" w14:textId="77777777" w:rsidR="00451A78" w:rsidRPr="00F516FD" w:rsidRDefault="00451A78" w:rsidP="00985D6B">
            <w:pPr>
              <w:pStyle w:val="Tabletext0"/>
              <w:keepNext/>
              <w:rPr>
                <w:b/>
                <w:bCs/>
              </w:rPr>
            </w:pPr>
            <w:r w:rsidRPr="00F516FD">
              <w:rPr>
                <w:b/>
                <w:bCs/>
              </w:rPr>
              <w:t> </w:t>
            </w:r>
          </w:p>
        </w:tc>
        <w:tc>
          <w:tcPr>
            <w:tcW w:w="1412" w:type="dxa"/>
            <w:gridSpan w:val="2"/>
            <w:tcBorders>
              <w:left w:val="nil"/>
            </w:tcBorders>
            <w:noWrap/>
            <w:tcMar>
              <w:left w:w="57" w:type="dxa"/>
              <w:right w:w="57" w:type="dxa"/>
            </w:tcMar>
            <w:hideMark/>
          </w:tcPr>
          <w:p w14:paraId="15E40E54" w14:textId="77777777" w:rsidR="00451A78" w:rsidRPr="00F516FD" w:rsidRDefault="00451A78" w:rsidP="00985D6B">
            <w:pPr>
              <w:pStyle w:val="Tabletext0"/>
              <w:keepNext/>
              <w:rPr>
                <w:b/>
                <w:bCs/>
              </w:rPr>
            </w:pPr>
            <w:r w:rsidRPr="00F516FD">
              <w:rPr>
                <w:b/>
                <w:bCs/>
              </w:rPr>
              <w:t> </w:t>
            </w:r>
          </w:p>
        </w:tc>
      </w:tr>
      <w:tr w:rsidR="00451A78" w:rsidRPr="00F516FD" w14:paraId="652F32C0" w14:textId="77777777">
        <w:trPr>
          <w:trHeight w:val="290"/>
        </w:trPr>
        <w:tc>
          <w:tcPr>
            <w:tcW w:w="5263" w:type="dxa"/>
            <w:gridSpan w:val="6"/>
            <w:tcBorders>
              <w:right w:val="nil"/>
            </w:tcBorders>
            <w:noWrap/>
            <w:tcMar>
              <w:left w:w="57" w:type="dxa"/>
              <w:right w:w="57" w:type="dxa"/>
            </w:tcMar>
          </w:tcPr>
          <w:p w14:paraId="389F96C7" w14:textId="77777777" w:rsidR="00451A78" w:rsidRPr="00F516FD" w:rsidRDefault="00451A78" w:rsidP="00985D6B">
            <w:pPr>
              <w:pStyle w:val="Tabletext0"/>
              <w:keepNext/>
              <w:ind w:left="284"/>
              <w:rPr>
                <w:b/>
                <w:bCs/>
              </w:rPr>
            </w:pPr>
            <w:r w:rsidRPr="00F516FD">
              <w:rPr>
                <w:b/>
                <w:bCs/>
              </w:rPr>
              <w:t>Population 2: Second trimester losses with delivered placenta</w:t>
            </w:r>
          </w:p>
        </w:tc>
        <w:tc>
          <w:tcPr>
            <w:tcW w:w="547" w:type="dxa"/>
            <w:gridSpan w:val="2"/>
            <w:tcBorders>
              <w:left w:val="nil"/>
              <w:right w:val="nil"/>
            </w:tcBorders>
            <w:noWrap/>
            <w:tcMar>
              <w:left w:w="57" w:type="dxa"/>
              <w:right w:w="57" w:type="dxa"/>
            </w:tcMar>
          </w:tcPr>
          <w:p w14:paraId="5D681C45" w14:textId="77777777" w:rsidR="00451A78" w:rsidRPr="00F516FD" w:rsidRDefault="00451A78" w:rsidP="00985D6B">
            <w:pPr>
              <w:pStyle w:val="Tabletext0"/>
              <w:keepNext/>
              <w:rPr>
                <w:b/>
                <w:bCs/>
              </w:rPr>
            </w:pPr>
          </w:p>
        </w:tc>
        <w:tc>
          <w:tcPr>
            <w:tcW w:w="274" w:type="dxa"/>
            <w:tcBorders>
              <w:left w:val="nil"/>
              <w:right w:val="nil"/>
            </w:tcBorders>
            <w:noWrap/>
            <w:tcMar>
              <w:left w:w="57" w:type="dxa"/>
              <w:right w:w="57" w:type="dxa"/>
            </w:tcMar>
          </w:tcPr>
          <w:p w14:paraId="7E1163F2" w14:textId="77777777" w:rsidR="00451A78" w:rsidRPr="00F516FD" w:rsidRDefault="00451A78" w:rsidP="00985D6B">
            <w:pPr>
              <w:pStyle w:val="Tabletext0"/>
              <w:keepNext/>
              <w:rPr>
                <w:b/>
                <w:bCs/>
              </w:rPr>
            </w:pPr>
          </w:p>
        </w:tc>
        <w:tc>
          <w:tcPr>
            <w:tcW w:w="452" w:type="dxa"/>
            <w:gridSpan w:val="2"/>
            <w:tcBorders>
              <w:left w:val="nil"/>
              <w:right w:val="nil"/>
            </w:tcBorders>
            <w:noWrap/>
            <w:tcMar>
              <w:left w:w="57" w:type="dxa"/>
              <w:right w:w="57" w:type="dxa"/>
            </w:tcMar>
          </w:tcPr>
          <w:p w14:paraId="7C3435CB" w14:textId="77777777" w:rsidR="00451A78" w:rsidRPr="00F516FD" w:rsidRDefault="00451A78" w:rsidP="00985D6B">
            <w:pPr>
              <w:pStyle w:val="Tabletext0"/>
              <w:keepNext/>
              <w:rPr>
                <w:b/>
                <w:bCs/>
              </w:rPr>
            </w:pPr>
          </w:p>
        </w:tc>
        <w:tc>
          <w:tcPr>
            <w:tcW w:w="264" w:type="dxa"/>
            <w:tcBorders>
              <w:left w:val="nil"/>
              <w:right w:val="nil"/>
            </w:tcBorders>
            <w:noWrap/>
            <w:tcMar>
              <w:left w:w="57" w:type="dxa"/>
              <w:right w:w="57" w:type="dxa"/>
            </w:tcMar>
          </w:tcPr>
          <w:p w14:paraId="7A00A8C0" w14:textId="77777777" w:rsidR="00451A78" w:rsidRPr="00F516FD" w:rsidRDefault="00451A78" w:rsidP="00985D6B">
            <w:pPr>
              <w:pStyle w:val="Tabletext0"/>
              <w:keepNext/>
              <w:rPr>
                <w:b/>
                <w:bCs/>
              </w:rPr>
            </w:pPr>
          </w:p>
        </w:tc>
        <w:tc>
          <w:tcPr>
            <w:tcW w:w="910" w:type="dxa"/>
            <w:gridSpan w:val="3"/>
            <w:tcBorders>
              <w:left w:val="nil"/>
              <w:right w:val="nil"/>
            </w:tcBorders>
            <w:noWrap/>
            <w:tcMar>
              <w:left w:w="57" w:type="dxa"/>
              <w:right w:w="57" w:type="dxa"/>
            </w:tcMar>
          </w:tcPr>
          <w:p w14:paraId="0656BF45" w14:textId="77777777" w:rsidR="00451A78" w:rsidRPr="00F516FD" w:rsidRDefault="00451A78" w:rsidP="00985D6B">
            <w:pPr>
              <w:pStyle w:val="Tabletext0"/>
              <w:keepNext/>
              <w:rPr>
                <w:b/>
                <w:bCs/>
              </w:rPr>
            </w:pPr>
          </w:p>
        </w:tc>
        <w:tc>
          <w:tcPr>
            <w:tcW w:w="1412" w:type="dxa"/>
            <w:gridSpan w:val="2"/>
            <w:tcBorders>
              <w:left w:val="nil"/>
            </w:tcBorders>
            <w:noWrap/>
            <w:tcMar>
              <w:left w:w="57" w:type="dxa"/>
              <w:right w:w="57" w:type="dxa"/>
            </w:tcMar>
          </w:tcPr>
          <w:p w14:paraId="48F474BC" w14:textId="77777777" w:rsidR="00451A78" w:rsidRPr="00F516FD" w:rsidRDefault="00451A78" w:rsidP="00985D6B">
            <w:pPr>
              <w:pStyle w:val="Tabletext0"/>
              <w:keepNext/>
              <w:rPr>
                <w:b/>
                <w:bCs/>
              </w:rPr>
            </w:pPr>
          </w:p>
        </w:tc>
      </w:tr>
      <w:tr w:rsidR="00451A78" w:rsidRPr="00F516FD" w14:paraId="6F9903C4" w14:textId="77777777">
        <w:trPr>
          <w:trHeight w:val="290"/>
        </w:trPr>
        <w:tc>
          <w:tcPr>
            <w:tcW w:w="2281" w:type="dxa"/>
            <w:noWrap/>
            <w:tcMar>
              <w:left w:w="57" w:type="dxa"/>
              <w:right w:w="57" w:type="dxa"/>
            </w:tcMar>
            <w:hideMark/>
          </w:tcPr>
          <w:p w14:paraId="5EBAE383" w14:textId="35F829A8" w:rsidR="00451A78" w:rsidRPr="00785A5D" w:rsidRDefault="00451A78">
            <w:pPr>
              <w:pStyle w:val="TableText"/>
            </w:pPr>
            <w:r w:rsidRPr="00785A5D">
              <w:t xml:space="preserve">Number of placental examinations for 2nd trimester PL in </w:t>
            </w:r>
            <w:r w:rsidR="002A045C" w:rsidRPr="00F516FD">
              <w:rPr>
                <w:b/>
                <w:bCs/>
              </w:rPr>
              <w:t>redacted</w:t>
            </w:r>
          </w:p>
        </w:tc>
        <w:tc>
          <w:tcPr>
            <w:tcW w:w="1128" w:type="dxa"/>
            <w:noWrap/>
            <w:tcMar>
              <w:left w:w="57" w:type="dxa"/>
              <w:right w:w="57" w:type="dxa"/>
            </w:tcMar>
            <w:vAlign w:val="center"/>
            <w:hideMark/>
          </w:tcPr>
          <w:p w14:paraId="42B70AC8" w14:textId="47399BA0" w:rsidR="00451A78" w:rsidRPr="00785A5D" w:rsidRDefault="002A045C">
            <w:pPr>
              <w:pStyle w:val="TableText"/>
            </w:pPr>
            <w:r w:rsidRPr="00F516FD">
              <w:rPr>
                <w:b/>
                <w:bCs/>
              </w:rPr>
              <w:t>redacted</w:t>
            </w:r>
          </w:p>
        </w:tc>
        <w:tc>
          <w:tcPr>
            <w:tcW w:w="1128" w:type="dxa"/>
            <w:noWrap/>
            <w:tcMar>
              <w:left w:w="57" w:type="dxa"/>
              <w:right w:w="57" w:type="dxa"/>
            </w:tcMar>
            <w:vAlign w:val="center"/>
            <w:hideMark/>
          </w:tcPr>
          <w:p w14:paraId="03256D9B" w14:textId="0A8DACE0" w:rsidR="00451A78" w:rsidRPr="00785A5D" w:rsidRDefault="002A045C">
            <w:pPr>
              <w:pStyle w:val="TableText"/>
            </w:pPr>
            <w:r w:rsidRPr="00F516FD">
              <w:rPr>
                <w:b/>
                <w:bCs/>
              </w:rPr>
              <w:t>redacted</w:t>
            </w:r>
          </w:p>
        </w:tc>
        <w:tc>
          <w:tcPr>
            <w:tcW w:w="1132" w:type="dxa"/>
            <w:gridSpan w:val="4"/>
            <w:noWrap/>
            <w:tcMar>
              <w:left w:w="57" w:type="dxa"/>
              <w:right w:w="57" w:type="dxa"/>
            </w:tcMar>
            <w:vAlign w:val="center"/>
            <w:hideMark/>
          </w:tcPr>
          <w:p w14:paraId="4DEA89B5" w14:textId="100F8891" w:rsidR="00451A78" w:rsidRPr="00785A5D" w:rsidRDefault="002A045C">
            <w:pPr>
              <w:pStyle w:val="TableText"/>
            </w:pPr>
            <w:r w:rsidRPr="00F516FD">
              <w:rPr>
                <w:b/>
                <w:bCs/>
              </w:rPr>
              <w:t>redacted</w:t>
            </w:r>
          </w:p>
        </w:tc>
        <w:tc>
          <w:tcPr>
            <w:tcW w:w="1131" w:type="dxa"/>
            <w:gridSpan w:val="5"/>
            <w:noWrap/>
            <w:tcMar>
              <w:left w:w="57" w:type="dxa"/>
              <w:right w:w="57" w:type="dxa"/>
            </w:tcMar>
            <w:vAlign w:val="center"/>
            <w:hideMark/>
          </w:tcPr>
          <w:p w14:paraId="39B1B9A7" w14:textId="1F3A5F91" w:rsidR="00451A78" w:rsidRPr="00785A5D" w:rsidRDefault="002A045C">
            <w:pPr>
              <w:pStyle w:val="TableText"/>
            </w:pPr>
            <w:r w:rsidRPr="00F516FD">
              <w:rPr>
                <w:b/>
                <w:bCs/>
              </w:rPr>
              <w:t>redacted</w:t>
            </w:r>
          </w:p>
        </w:tc>
        <w:tc>
          <w:tcPr>
            <w:tcW w:w="1193" w:type="dxa"/>
            <w:gridSpan w:val="4"/>
            <w:noWrap/>
            <w:tcMar>
              <w:left w:w="57" w:type="dxa"/>
              <w:right w:w="57" w:type="dxa"/>
            </w:tcMar>
            <w:vAlign w:val="center"/>
            <w:hideMark/>
          </w:tcPr>
          <w:p w14:paraId="722BFE6D" w14:textId="1186EF58" w:rsidR="00451A78" w:rsidRPr="00785A5D" w:rsidRDefault="002A045C">
            <w:pPr>
              <w:pStyle w:val="TableText"/>
            </w:pPr>
            <w:r w:rsidRPr="00F516FD">
              <w:rPr>
                <w:b/>
                <w:bCs/>
              </w:rPr>
              <w:t>redacted</w:t>
            </w:r>
          </w:p>
        </w:tc>
        <w:tc>
          <w:tcPr>
            <w:tcW w:w="1129" w:type="dxa"/>
            <w:noWrap/>
            <w:tcMar>
              <w:left w:w="57" w:type="dxa"/>
              <w:right w:w="57" w:type="dxa"/>
            </w:tcMar>
            <w:vAlign w:val="center"/>
            <w:hideMark/>
          </w:tcPr>
          <w:p w14:paraId="1CCC95BC" w14:textId="7C37951E" w:rsidR="00451A78" w:rsidRPr="00F516FD" w:rsidRDefault="002A045C">
            <w:pPr>
              <w:pStyle w:val="TableText"/>
            </w:pPr>
            <w:r w:rsidRPr="00F516FD">
              <w:rPr>
                <w:b/>
                <w:bCs/>
              </w:rPr>
              <w:t>redacted</w:t>
            </w:r>
          </w:p>
        </w:tc>
      </w:tr>
      <w:tr w:rsidR="00451A78" w:rsidRPr="00F516FD" w14:paraId="3CBB0960" w14:textId="77777777">
        <w:trPr>
          <w:trHeight w:val="290"/>
        </w:trPr>
        <w:tc>
          <w:tcPr>
            <w:tcW w:w="2281" w:type="dxa"/>
            <w:noWrap/>
            <w:tcMar>
              <w:left w:w="57" w:type="dxa"/>
              <w:right w:w="57" w:type="dxa"/>
            </w:tcMar>
            <w:hideMark/>
          </w:tcPr>
          <w:p w14:paraId="5C32786D" w14:textId="77777777" w:rsidR="00451A78" w:rsidRPr="00F516FD" w:rsidRDefault="00451A78">
            <w:pPr>
              <w:pStyle w:val="TableText"/>
            </w:pPr>
            <w:r w:rsidRPr="00F516FD">
              <w:t>Number of placental examinations in Population 2 in Australia (extrapolated)</w:t>
            </w:r>
          </w:p>
        </w:tc>
        <w:tc>
          <w:tcPr>
            <w:tcW w:w="1128" w:type="dxa"/>
            <w:noWrap/>
            <w:tcMar>
              <w:left w:w="57" w:type="dxa"/>
              <w:right w:w="57" w:type="dxa"/>
            </w:tcMar>
            <w:vAlign w:val="center"/>
            <w:hideMark/>
          </w:tcPr>
          <w:p w14:paraId="1742E21D" w14:textId="77777777" w:rsidR="00451A78" w:rsidRPr="00D742F4" w:rsidRDefault="00451A78">
            <w:pPr>
              <w:pStyle w:val="TableText"/>
            </w:pPr>
            <w:r w:rsidRPr="00D742F4">
              <w:t>1,048</w:t>
            </w:r>
          </w:p>
        </w:tc>
        <w:tc>
          <w:tcPr>
            <w:tcW w:w="1128" w:type="dxa"/>
            <w:noWrap/>
            <w:tcMar>
              <w:left w:w="57" w:type="dxa"/>
              <w:right w:w="57" w:type="dxa"/>
            </w:tcMar>
            <w:vAlign w:val="center"/>
            <w:hideMark/>
          </w:tcPr>
          <w:p w14:paraId="7BE93751" w14:textId="77777777" w:rsidR="00451A78" w:rsidRPr="00D742F4" w:rsidRDefault="00451A78">
            <w:pPr>
              <w:pStyle w:val="TableText"/>
            </w:pPr>
            <w:r w:rsidRPr="00D742F4">
              <w:t>1,048</w:t>
            </w:r>
          </w:p>
        </w:tc>
        <w:tc>
          <w:tcPr>
            <w:tcW w:w="1132" w:type="dxa"/>
            <w:gridSpan w:val="4"/>
            <w:noWrap/>
            <w:tcMar>
              <w:left w:w="57" w:type="dxa"/>
              <w:right w:w="57" w:type="dxa"/>
            </w:tcMar>
            <w:vAlign w:val="center"/>
            <w:hideMark/>
          </w:tcPr>
          <w:p w14:paraId="3CFC14E3" w14:textId="77777777" w:rsidR="00451A78" w:rsidRPr="00D742F4" w:rsidRDefault="00451A78">
            <w:pPr>
              <w:pStyle w:val="TableText"/>
            </w:pPr>
            <w:r w:rsidRPr="00D742F4">
              <w:t>1,048</w:t>
            </w:r>
          </w:p>
        </w:tc>
        <w:tc>
          <w:tcPr>
            <w:tcW w:w="1131" w:type="dxa"/>
            <w:gridSpan w:val="5"/>
            <w:noWrap/>
            <w:tcMar>
              <w:left w:w="57" w:type="dxa"/>
              <w:right w:w="57" w:type="dxa"/>
            </w:tcMar>
            <w:vAlign w:val="center"/>
            <w:hideMark/>
          </w:tcPr>
          <w:p w14:paraId="2DBA290D" w14:textId="77777777" w:rsidR="00451A78" w:rsidRPr="00D742F4" w:rsidRDefault="00451A78">
            <w:pPr>
              <w:pStyle w:val="TableText"/>
            </w:pPr>
            <w:r w:rsidRPr="00D742F4">
              <w:t>1,048</w:t>
            </w:r>
          </w:p>
        </w:tc>
        <w:tc>
          <w:tcPr>
            <w:tcW w:w="1193" w:type="dxa"/>
            <w:gridSpan w:val="4"/>
            <w:noWrap/>
            <w:tcMar>
              <w:left w:w="57" w:type="dxa"/>
              <w:right w:w="57" w:type="dxa"/>
            </w:tcMar>
            <w:vAlign w:val="center"/>
            <w:hideMark/>
          </w:tcPr>
          <w:p w14:paraId="59C5905E" w14:textId="77777777" w:rsidR="00451A78" w:rsidRPr="00D742F4" w:rsidRDefault="00451A78">
            <w:pPr>
              <w:pStyle w:val="TableText"/>
            </w:pPr>
            <w:r w:rsidRPr="00D742F4">
              <w:t>1,048</w:t>
            </w:r>
          </w:p>
        </w:tc>
        <w:tc>
          <w:tcPr>
            <w:tcW w:w="1129" w:type="dxa"/>
            <w:noWrap/>
            <w:tcMar>
              <w:left w:w="57" w:type="dxa"/>
              <w:right w:w="57" w:type="dxa"/>
            </w:tcMar>
            <w:vAlign w:val="center"/>
            <w:hideMark/>
          </w:tcPr>
          <w:p w14:paraId="0B404C47" w14:textId="77777777" w:rsidR="00451A78" w:rsidRPr="00D742F4" w:rsidRDefault="00451A78">
            <w:pPr>
              <w:pStyle w:val="TableText"/>
            </w:pPr>
            <w:r w:rsidRPr="00D742F4">
              <w:t>1,048</w:t>
            </w:r>
          </w:p>
        </w:tc>
      </w:tr>
      <w:tr w:rsidR="00451A78" w:rsidRPr="00F516FD" w14:paraId="648AA08C" w14:textId="77777777">
        <w:trPr>
          <w:trHeight w:val="290"/>
        </w:trPr>
        <w:tc>
          <w:tcPr>
            <w:tcW w:w="2281" w:type="dxa"/>
            <w:noWrap/>
            <w:tcMar>
              <w:left w:w="57" w:type="dxa"/>
              <w:right w:w="57" w:type="dxa"/>
            </w:tcMar>
            <w:hideMark/>
          </w:tcPr>
          <w:p w14:paraId="6E636996" w14:textId="77777777" w:rsidR="00451A78" w:rsidRPr="00F516FD" w:rsidRDefault="00451A78">
            <w:pPr>
              <w:pStyle w:val="TableText"/>
            </w:pPr>
            <w:r w:rsidRPr="00F516FD">
              <w:t>Number of private placental examinations for Population 2</w:t>
            </w:r>
            <w:r w:rsidRPr="00F516FD">
              <w:rPr>
                <w:vertAlign w:val="superscript"/>
              </w:rPr>
              <w:t>a</w:t>
            </w:r>
            <w:r w:rsidRPr="00F516FD">
              <w:t xml:space="preserve"> </w:t>
            </w:r>
          </w:p>
        </w:tc>
        <w:tc>
          <w:tcPr>
            <w:tcW w:w="1128" w:type="dxa"/>
            <w:noWrap/>
            <w:tcMar>
              <w:left w:w="57" w:type="dxa"/>
              <w:right w:w="57" w:type="dxa"/>
            </w:tcMar>
            <w:vAlign w:val="center"/>
            <w:hideMark/>
          </w:tcPr>
          <w:p w14:paraId="76D684CB" w14:textId="77777777" w:rsidR="00451A78" w:rsidRPr="00D742F4" w:rsidRDefault="00451A78">
            <w:pPr>
              <w:pStyle w:val="TableText"/>
            </w:pPr>
            <w:r w:rsidRPr="00D742F4">
              <w:t>244</w:t>
            </w:r>
          </w:p>
        </w:tc>
        <w:tc>
          <w:tcPr>
            <w:tcW w:w="1128" w:type="dxa"/>
            <w:noWrap/>
            <w:tcMar>
              <w:left w:w="57" w:type="dxa"/>
              <w:right w:w="57" w:type="dxa"/>
            </w:tcMar>
            <w:vAlign w:val="center"/>
            <w:hideMark/>
          </w:tcPr>
          <w:p w14:paraId="1EB14FC4" w14:textId="77777777" w:rsidR="00451A78" w:rsidRPr="00D742F4" w:rsidRDefault="00451A78">
            <w:pPr>
              <w:pStyle w:val="TableText"/>
            </w:pPr>
            <w:r w:rsidRPr="00D742F4">
              <w:t>244</w:t>
            </w:r>
          </w:p>
        </w:tc>
        <w:tc>
          <w:tcPr>
            <w:tcW w:w="1132" w:type="dxa"/>
            <w:gridSpan w:val="4"/>
            <w:noWrap/>
            <w:tcMar>
              <w:left w:w="57" w:type="dxa"/>
              <w:right w:w="57" w:type="dxa"/>
            </w:tcMar>
            <w:vAlign w:val="center"/>
            <w:hideMark/>
          </w:tcPr>
          <w:p w14:paraId="134DDAF6" w14:textId="77777777" w:rsidR="00451A78" w:rsidRPr="00D742F4" w:rsidRDefault="00451A78">
            <w:pPr>
              <w:pStyle w:val="TableText"/>
            </w:pPr>
            <w:r w:rsidRPr="00D742F4">
              <w:t>244</w:t>
            </w:r>
          </w:p>
        </w:tc>
        <w:tc>
          <w:tcPr>
            <w:tcW w:w="1131" w:type="dxa"/>
            <w:gridSpan w:val="5"/>
            <w:noWrap/>
            <w:tcMar>
              <w:left w:w="57" w:type="dxa"/>
              <w:right w:w="57" w:type="dxa"/>
            </w:tcMar>
            <w:vAlign w:val="center"/>
            <w:hideMark/>
          </w:tcPr>
          <w:p w14:paraId="2CD5D128" w14:textId="77777777" w:rsidR="00451A78" w:rsidRPr="00D742F4" w:rsidRDefault="00451A78">
            <w:pPr>
              <w:pStyle w:val="TableText"/>
            </w:pPr>
            <w:r w:rsidRPr="00D742F4">
              <w:t>244</w:t>
            </w:r>
          </w:p>
        </w:tc>
        <w:tc>
          <w:tcPr>
            <w:tcW w:w="1193" w:type="dxa"/>
            <w:gridSpan w:val="4"/>
            <w:noWrap/>
            <w:tcMar>
              <w:left w:w="57" w:type="dxa"/>
              <w:right w:w="57" w:type="dxa"/>
            </w:tcMar>
            <w:vAlign w:val="center"/>
            <w:hideMark/>
          </w:tcPr>
          <w:p w14:paraId="21C5B171" w14:textId="77777777" w:rsidR="00451A78" w:rsidRPr="00D742F4" w:rsidRDefault="00451A78">
            <w:pPr>
              <w:pStyle w:val="TableText"/>
            </w:pPr>
            <w:r w:rsidRPr="00D742F4">
              <w:t>244</w:t>
            </w:r>
          </w:p>
        </w:tc>
        <w:tc>
          <w:tcPr>
            <w:tcW w:w="1129" w:type="dxa"/>
            <w:noWrap/>
            <w:tcMar>
              <w:left w:w="57" w:type="dxa"/>
              <w:right w:w="57" w:type="dxa"/>
            </w:tcMar>
            <w:vAlign w:val="center"/>
            <w:hideMark/>
          </w:tcPr>
          <w:p w14:paraId="38350196" w14:textId="77777777" w:rsidR="00451A78" w:rsidRPr="00D742F4" w:rsidRDefault="00451A78">
            <w:pPr>
              <w:pStyle w:val="TableText"/>
            </w:pPr>
            <w:r w:rsidRPr="00D742F4">
              <w:t>244</w:t>
            </w:r>
          </w:p>
        </w:tc>
      </w:tr>
      <w:tr w:rsidR="00451A78" w:rsidRPr="00F516FD" w14:paraId="529A6877" w14:textId="77777777">
        <w:trPr>
          <w:trHeight w:val="290"/>
        </w:trPr>
        <w:tc>
          <w:tcPr>
            <w:tcW w:w="2281" w:type="dxa"/>
            <w:noWrap/>
            <w:tcMar>
              <w:left w:w="57" w:type="dxa"/>
              <w:right w:w="57" w:type="dxa"/>
            </w:tcMar>
            <w:hideMark/>
          </w:tcPr>
          <w:p w14:paraId="353DF885" w14:textId="77777777" w:rsidR="00451A78" w:rsidRPr="00F516FD" w:rsidRDefault="00451A78">
            <w:pPr>
              <w:pStyle w:val="TableText"/>
            </w:pPr>
            <w:r w:rsidRPr="00F516FD">
              <w:t xml:space="preserve">Cost to MBS of proposed level 5 services (75% </w:t>
            </w:r>
            <w:proofErr w:type="gramStart"/>
            <w:r w:rsidRPr="00F516FD">
              <w:t>benefit)</w:t>
            </w:r>
            <w:r w:rsidRPr="00F516FD">
              <w:rPr>
                <w:vertAlign w:val="superscript"/>
              </w:rPr>
              <w:t>b</w:t>
            </w:r>
            <w:proofErr w:type="gramEnd"/>
            <w:r w:rsidRPr="00F516FD">
              <w:t xml:space="preserve"> </w:t>
            </w:r>
          </w:p>
        </w:tc>
        <w:tc>
          <w:tcPr>
            <w:tcW w:w="1128" w:type="dxa"/>
            <w:noWrap/>
            <w:tcMar>
              <w:left w:w="57" w:type="dxa"/>
              <w:right w:w="57" w:type="dxa"/>
            </w:tcMar>
            <w:vAlign w:val="center"/>
            <w:hideMark/>
          </w:tcPr>
          <w:p w14:paraId="2573E21B" w14:textId="77777777" w:rsidR="00451A78" w:rsidRPr="00D742F4" w:rsidRDefault="00451A78">
            <w:pPr>
              <w:pStyle w:val="TableText"/>
            </w:pPr>
            <w:r w:rsidRPr="00D742F4">
              <w:t>$50,170</w:t>
            </w:r>
          </w:p>
        </w:tc>
        <w:tc>
          <w:tcPr>
            <w:tcW w:w="1128" w:type="dxa"/>
            <w:noWrap/>
            <w:tcMar>
              <w:left w:w="57" w:type="dxa"/>
              <w:right w:w="57" w:type="dxa"/>
            </w:tcMar>
            <w:vAlign w:val="center"/>
            <w:hideMark/>
          </w:tcPr>
          <w:p w14:paraId="69B5ECD7" w14:textId="77777777" w:rsidR="00451A78" w:rsidRPr="00D742F4" w:rsidRDefault="00451A78">
            <w:pPr>
              <w:pStyle w:val="TableText"/>
            </w:pPr>
            <w:r w:rsidRPr="00D742F4">
              <w:t>$50,170</w:t>
            </w:r>
          </w:p>
        </w:tc>
        <w:tc>
          <w:tcPr>
            <w:tcW w:w="1132" w:type="dxa"/>
            <w:gridSpan w:val="4"/>
            <w:noWrap/>
            <w:tcMar>
              <w:left w:w="57" w:type="dxa"/>
              <w:right w:w="57" w:type="dxa"/>
            </w:tcMar>
            <w:vAlign w:val="center"/>
            <w:hideMark/>
          </w:tcPr>
          <w:p w14:paraId="034BD571" w14:textId="77777777" w:rsidR="00451A78" w:rsidRPr="00D742F4" w:rsidRDefault="00451A78">
            <w:pPr>
              <w:pStyle w:val="TableText"/>
            </w:pPr>
            <w:r w:rsidRPr="00D742F4">
              <w:t>$50,170</w:t>
            </w:r>
          </w:p>
        </w:tc>
        <w:tc>
          <w:tcPr>
            <w:tcW w:w="1131" w:type="dxa"/>
            <w:gridSpan w:val="5"/>
            <w:noWrap/>
            <w:tcMar>
              <w:left w:w="57" w:type="dxa"/>
              <w:right w:w="57" w:type="dxa"/>
            </w:tcMar>
            <w:vAlign w:val="center"/>
            <w:hideMark/>
          </w:tcPr>
          <w:p w14:paraId="0F4801A8" w14:textId="77777777" w:rsidR="00451A78" w:rsidRPr="00D742F4" w:rsidRDefault="00451A78">
            <w:pPr>
              <w:pStyle w:val="TableText"/>
            </w:pPr>
            <w:r w:rsidRPr="00D742F4">
              <w:t>$50,170</w:t>
            </w:r>
          </w:p>
        </w:tc>
        <w:tc>
          <w:tcPr>
            <w:tcW w:w="1193" w:type="dxa"/>
            <w:gridSpan w:val="4"/>
            <w:noWrap/>
            <w:tcMar>
              <w:left w:w="57" w:type="dxa"/>
              <w:right w:w="57" w:type="dxa"/>
            </w:tcMar>
            <w:vAlign w:val="center"/>
            <w:hideMark/>
          </w:tcPr>
          <w:p w14:paraId="587446F3" w14:textId="77777777" w:rsidR="00451A78" w:rsidRPr="00D742F4" w:rsidRDefault="00451A78">
            <w:pPr>
              <w:pStyle w:val="TableText"/>
            </w:pPr>
            <w:r w:rsidRPr="00D742F4">
              <w:t>$50,170</w:t>
            </w:r>
          </w:p>
        </w:tc>
        <w:tc>
          <w:tcPr>
            <w:tcW w:w="1129" w:type="dxa"/>
            <w:noWrap/>
            <w:tcMar>
              <w:left w:w="57" w:type="dxa"/>
              <w:right w:w="57" w:type="dxa"/>
            </w:tcMar>
            <w:vAlign w:val="center"/>
            <w:hideMark/>
          </w:tcPr>
          <w:p w14:paraId="7FD2BC9A" w14:textId="77777777" w:rsidR="00451A78" w:rsidRPr="00D742F4" w:rsidRDefault="00451A78">
            <w:pPr>
              <w:pStyle w:val="TableText"/>
            </w:pPr>
            <w:r w:rsidRPr="00D742F4">
              <w:t>$50,170</w:t>
            </w:r>
          </w:p>
        </w:tc>
      </w:tr>
      <w:tr w:rsidR="00451A78" w:rsidRPr="00F516FD" w14:paraId="567F2119" w14:textId="77777777">
        <w:trPr>
          <w:trHeight w:val="290"/>
        </w:trPr>
        <w:tc>
          <w:tcPr>
            <w:tcW w:w="6222" w:type="dxa"/>
            <w:gridSpan w:val="10"/>
            <w:tcBorders>
              <w:right w:val="nil"/>
            </w:tcBorders>
            <w:noWrap/>
            <w:tcMar>
              <w:left w:w="57" w:type="dxa"/>
              <w:right w:w="57" w:type="dxa"/>
            </w:tcMar>
          </w:tcPr>
          <w:p w14:paraId="08A67546" w14:textId="739AE025" w:rsidR="00451A78" w:rsidRPr="00D742F4" w:rsidRDefault="00451A78">
            <w:pPr>
              <w:pStyle w:val="Tabletext0"/>
              <w:ind w:left="284"/>
              <w:rPr>
                <w:b/>
                <w:bCs/>
              </w:rPr>
            </w:pPr>
            <w:r w:rsidRPr="00D742F4">
              <w:rPr>
                <w:b/>
                <w:bCs/>
              </w:rPr>
              <w:t xml:space="preserve">Population 3: Live births </w:t>
            </w:r>
          </w:p>
        </w:tc>
        <w:tc>
          <w:tcPr>
            <w:tcW w:w="578" w:type="dxa"/>
            <w:gridSpan w:val="2"/>
            <w:tcBorders>
              <w:left w:val="nil"/>
              <w:right w:val="nil"/>
            </w:tcBorders>
            <w:noWrap/>
            <w:tcMar>
              <w:left w:w="57" w:type="dxa"/>
              <w:right w:w="57" w:type="dxa"/>
            </w:tcMar>
          </w:tcPr>
          <w:p w14:paraId="74EDC250" w14:textId="77777777" w:rsidR="00451A78" w:rsidRPr="00D742F4" w:rsidRDefault="00451A78">
            <w:pPr>
              <w:pStyle w:val="Tabletext0"/>
              <w:ind w:left="284"/>
              <w:rPr>
                <w:b/>
                <w:bCs/>
              </w:rPr>
            </w:pPr>
          </w:p>
        </w:tc>
        <w:tc>
          <w:tcPr>
            <w:tcW w:w="303" w:type="dxa"/>
            <w:tcBorders>
              <w:left w:val="nil"/>
              <w:right w:val="nil"/>
            </w:tcBorders>
            <w:noWrap/>
            <w:tcMar>
              <w:left w:w="57" w:type="dxa"/>
              <w:right w:w="57" w:type="dxa"/>
            </w:tcMar>
          </w:tcPr>
          <w:p w14:paraId="604466A1" w14:textId="77777777" w:rsidR="00451A78" w:rsidRPr="00D742F4" w:rsidRDefault="00451A78">
            <w:pPr>
              <w:pStyle w:val="Tabletext0"/>
              <w:ind w:left="284"/>
              <w:rPr>
                <w:b/>
                <w:bCs/>
              </w:rPr>
            </w:pPr>
          </w:p>
        </w:tc>
        <w:tc>
          <w:tcPr>
            <w:tcW w:w="274" w:type="dxa"/>
            <w:tcBorders>
              <w:left w:val="nil"/>
              <w:right w:val="nil"/>
            </w:tcBorders>
            <w:noWrap/>
            <w:tcMar>
              <w:left w:w="57" w:type="dxa"/>
              <w:right w:w="57" w:type="dxa"/>
            </w:tcMar>
          </w:tcPr>
          <w:p w14:paraId="3B221A29" w14:textId="77777777" w:rsidR="00451A78" w:rsidRPr="00D742F4" w:rsidRDefault="00451A78">
            <w:pPr>
              <w:pStyle w:val="Tabletext0"/>
              <w:ind w:left="284"/>
              <w:rPr>
                <w:b/>
                <w:bCs/>
              </w:rPr>
            </w:pPr>
          </w:p>
        </w:tc>
        <w:tc>
          <w:tcPr>
            <w:tcW w:w="333" w:type="dxa"/>
            <w:tcBorders>
              <w:left w:val="nil"/>
              <w:right w:val="nil"/>
            </w:tcBorders>
            <w:noWrap/>
            <w:tcMar>
              <w:left w:w="57" w:type="dxa"/>
              <w:right w:w="57" w:type="dxa"/>
            </w:tcMar>
          </w:tcPr>
          <w:p w14:paraId="26527169" w14:textId="77777777" w:rsidR="00451A78" w:rsidRPr="00D742F4" w:rsidRDefault="00451A78">
            <w:pPr>
              <w:pStyle w:val="Tabletext0"/>
              <w:ind w:left="284"/>
              <w:rPr>
                <w:b/>
                <w:bCs/>
              </w:rPr>
            </w:pPr>
          </w:p>
        </w:tc>
        <w:tc>
          <w:tcPr>
            <w:tcW w:w="283" w:type="dxa"/>
            <w:tcBorders>
              <w:left w:val="nil"/>
              <w:right w:val="nil"/>
            </w:tcBorders>
            <w:noWrap/>
            <w:tcMar>
              <w:left w:w="57" w:type="dxa"/>
              <w:right w:w="57" w:type="dxa"/>
            </w:tcMar>
          </w:tcPr>
          <w:p w14:paraId="43D58CCE" w14:textId="77777777" w:rsidR="00451A78" w:rsidRPr="00D742F4" w:rsidRDefault="00451A78">
            <w:pPr>
              <w:pStyle w:val="Tabletext0"/>
              <w:ind w:left="284"/>
              <w:rPr>
                <w:b/>
                <w:bCs/>
              </w:rPr>
            </w:pPr>
          </w:p>
        </w:tc>
        <w:tc>
          <w:tcPr>
            <w:tcW w:w="1129" w:type="dxa"/>
            <w:tcBorders>
              <w:left w:val="nil"/>
            </w:tcBorders>
            <w:noWrap/>
            <w:tcMar>
              <w:left w:w="57" w:type="dxa"/>
              <w:right w:w="57" w:type="dxa"/>
            </w:tcMar>
          </w:tcPr>
          <w:p w14:paraId="7287957F" w14:textId="77777777" w:rsidR="00451A78" w:rsidRPr="00D742F4" w:rsidRDefault="00451A78">
            <w:pPr>
              <w:pStyle w:val="Tabletext0"/>
              <w:ind w:left="284"/>
              <w:rPr>
                <w:b/>
                <w:bCs/>
              </w:rPr>
            </w:pPr>
          </w:p>
        </w:tc>
      </w:tr>
      <w:tr w:rsidR="00451A78" w:rsidRPr="00F516FD" w14:paraId="5A491B4D" w14:textId="77777777">
        <w:trPr>
          <w:trHeight w:val="290"/>
        </w:trPr>
        <w:tc>
          <w:tcPr>
            <w:tcW w:w="2281" w:type="dxa"/>
            <w:noWrap/>
            <w:tcMar>
              <w:left w:w="57" w:type="dxa"/>
              <w:right w:w="57" w:type="dxa"/>
            </w:tcMar>
            <w:hideMark/>
          </w:tcPr>
          <w:p w14:paraId="66258E93" w14:textId="46B10E4C" w:rsidR="00451A78" w:rsidRPr="00785A5D" w:rsidRDefault="00451A78">
            <w:pPr>
              <w:pStyle w:val="TableText"/>
            </w:pPr>
            <w:r w:rsidRPr="00785A5D">
              <w:t xml:space="preserve">Number of placental examinations following live birth in </w:t>
            </w:r>
            <w:r w:rsidR="002A045C" w:rsidRPr="00F516FD">
              <w:rPr>
                <w:b/>
                <w:bCs/>
              </w:rPr>
              <w:t>redacted</w:t>
            </w:r>
          </w:p>
        </w:tc>
        <w:tc>
          <w:tcPr>
            <w:tcW w:w="1128" w:type="dxa"/>
            <w:noWrap/>
            <w:tcMar>
              <w:left w:w="57" w:type="dxa"/>
              <w:right w:w="57" w:type="dxa"/>
            </w:tcMar>
            <w:vAlign w:val="center"/>
            <w:hideMark/>
          </w:tcPr>
          <w:p w14:paraId="49DB9D14" w14:textId="37512912" w:rsidR="00451A78" w:rsidRPr="00785A5D" w:rsidRDefault="002A045C">
            <w:pPr>
              <w:pStyle w:val="TableText"/>
            </w:pPr>
            <w:r w:rsidRPr="00D742F4">
              <w:rPr>
                <w:b/>
                <w:bCs/>
              </w:rPr>
              <w:t>redacted</w:t>
            </w:r>
          </w:p>
        </w:tc>
        <w:tc>
          <w:tcPr>
            <w:tcW w:w="1128" w:type="dxa"/>
            <w:noWrap/>
            <w:tcMar>
              <w:left w:w="57" w:type="dxa"/>
              <w:right w:w="57" w:type="dxa"/>
            </w:tcMar>
            <w:vAlign w:val="center"/>
            <w:hideMark/>
          </w:tcPr>
          <w:p w14:paraId="0925F5E4" w14:textId="2CDB46B1" w:rsidR="00451A78" w:rsidRPr="00785A5D" w:rsidRDefault="002A045C">
            <w:pPr>
              <w:pStyle w:val="TableText"/>
            </w:pPr>
            <w:r w:rsidRPr="00D742F4">
              <w:rPr>
                <w:b/>
                <w:bCs/>
              </w:rPr>
              <w:t>redacted</w:t>
            </w:r>
          </w:p>
        </w:tc>
        <w:tc>
          <w:tcPr>
            <w:tcW w:w="1132" w:type="dxa"/>
            <w:gridSpan w:val="4"/>
            <w:noWrap/>
            <w:tcMar>
              <w:left w:w="57" w:type="dxa"/>
              <w:right w:w="57" w:type="dxa"/>
            </w:tcMar>
            <w:vAlign w:val="center"/>
            <w:hideMark/>
          </w:tcPr>
          <w:p w14:paraId="1056D557" w14:textId="22E8AA3D" w:rsidR="00451A78" w:rsidRPr="00785A5D" w:rsidRDefault="002A045C">
            <w:pPr>
              <w:pStyle w:val="TableText"/>
            </w:pPr>
            <w:r w:rsidRPr="00D742F4">
              <w:rPr>
                <w:b/>
                <w:bCs/>
              </w:rPr>
              <w:t>redacted</w:t>
            </w:r>
          </w:p>
        </w:tc>
        <w:tc>
          <w:tcPr>
            <w:tcW w:w="1131" w:type="dxa"/>
            <w:gridSpan w:val="5"/>
            <w:noWrap/>
            <w:tcMar>
              <w:left w:w="57" w:type="dxa"/>
              <w:right w:w="57" w:type="dxa"/>
            </w:tcMar>
            <w:vAlign w:val="center"/>
            <w:hideMark/>
          </w:tcPr>
          <w:p w14:paraId="6E433635" w14:textId="36F6B3D1" w:rsidR="00451A78" w:rsidRPr="00785A5D" w:rsidRDefault="002A045C">
            <w:pPr>
              <w:pStyle w:val="TableText"/>
            </w:pPr>
            <w:r w:rsidRPr="00D742F4">
              <w:rPr>
                <w:b/>
                <w:bCs/>
              </w:rPr>
              <w:t>redacted</w:t>
            </w:r>
          </w:p>
        </w:tc>
        <w:tc>
          <w:tcPr>
            <w:tcW w:w="1193" w:type="dxa"/>
            <w:gridSpan w:val="4"/>
            <w:noWrap/>
            <w:tcMar>
              <w:left w:w="57" w:type="dxa"/>
              <w:right w:w="57" w:type="dxa"/>
            </w:tcMar>
            <w:vAlign w:val="center"/>
            <w:hideMark/>
          </w:tcPr>
          <w:p w14:paraId="238373A9" w14:textId="5BB14612" w:rsidR="00451A78" w:rsidRPr="00785A5D" w:rsidRDefault="002A045C">
            <w:pPr>
              <w:pStyle w:val="TableText"/>
            </w:pPr>
            <w:r w:rsidRPr="00D742F4">
              <w:rPr>
                <w:b/>
                <w:bCs/>
              </w:rPr>
              <w:t>redacted</w:t>
            </w:r>
          </w:p>
        </w:tc>
        <w:tc>
          <w:tcPr>
            <w:tcW w:w="1129" w:type="dxa"/>
            <w:noWrap/>
            <w:tcMar>
              <w:left w:w="57" w:type="dxa"/>
              <w:right w:w="57" w:type="dxa"/>
            </w:tcMar>
            <w:vAlign w:val="center"/>
            <w:hideMark/>
          </w:tcPr>
          <w:p w14:paraId="04F8DD29" w14:textId="56A3B5B4" w:rsidR="00451A78" w:rsidRPr="00D742F4" w:rsidRDefault="002A045C">
            <w:pPr>
              <w:pStyle w:val="TableText"/>
            </w:pPr>
            <w:r w:rsidRPr="00D742F4">
              <w:rPr>
                <w:b/>
                <w:bCs/>
              </w:rPr>
              <w:t>redacted</w:t>
            </w:r>
          </w:p>
        </w:tc>
      </w:tr>
      <w:tr w:rsidR="00451A78" w:rsidRPr="00F516FD" w14:paraId="3E199D70" w14:textId="77777777">
        <w:trPr>
          <w:trHeight w:val="290"/>
        </w:trPr>
        <w:tc>
          <w:tcPr>
            <w:tcW w:w="2281" w:type="dxa"/>
            <w:noWrap/>
            <w:tcMar>
              <w:left w:w="57" w:type="dxa"/>
              <w:right w:w="57" w:type="dxa"/>
            </w:tcMar>
            <w:hideMark/>
          </w:tcPr>
          <w:p w14:paraId="41A935A9" w14:textId="77777777" w:rsidR="00451A78" w:rsidRPr="00F516FD" w:rsidRDefault="00451A78">
            <w:pPr>
              <w:pStyle w:val="TableText"/>
            </w:pPr>
            <w:r w:rsidRPr="00F516FD">
              <w:t>Number of placental examinations in Population 3 in Australia (extrapolated)</w:t>
            </w:r>
          </w:p>
        </w:tc>
        <w:tc>
          <w:tcPr>
            <w:tcW w:w="1128" w:type="dxa"/>
            <w:noWrap/>
            <w:tcMar>
              <w:left w:w="57" w:type="dxa"/>
              <w:right w:w="57" w:type="dxa"/>
            </w:tcMar>
            <w:vAlign w:val="center"/>
            <w:hideMark/>
          </w:tcPr>
          <w:p w14:paraId="137C6253" w14:textId="77777777" w:rsidR="00451A78" w:rsidRPr="00D742F4" w:rsidRDefault="00451A78">
            <w:pPr>
              <w:pStyle w:val="TableText"/>
            </w:pPr>
            <w:r w:rsidRPr="00D742F4">
              <w:t>60,072</w:t>
            </w:r>
          </w:p>
        </w:tc>
        <w:tc>
          <w:tcPr>
            <w:tcW w:w="1128" w:type="dxa"/>
            <w:noWrap/>
            <w:tcMar>
              <w:left w:w="57" w:type="dxa"/>
              <w:right w:w="57" w:type="dxa"/>
            </w:tcMar>
            <w:vAlign w:val="center"/>
            <w:hideMark/>
          </w:tcPr>
          <w:p w14:paraId="25D4BA09" w14:textId="77777777" w:rsidR="00451A78" w:rsidRPr="00D742F4" w:rsidRDefault="00451A78">
            <w:pPr>
              <w:pStyle w:val="TableText"/>
            </w:pPr>
            <w:r w:rsidRPr="00D742F4">
              <w:t>60,072</w:t>
            </w:r>
          </w:p>
        </w:tc>
        <w:tc>
          <w:tcPr>
            <w:tcW w:w="1132" w:type="dxa"/>
            <w:gridSpan w:val="4"/>
            <w:noWrap/>
            <w:tcMar>
              <w:left w:w="57" w:type="dxa"/>
              <w:right w:w="57" w:type="dxa"/>
            </w:tcMar>
            <w:vAlign w:val="center"/>
            <w:hideMark/>
          </w:tcPr>
          <w:p w14:paraId="6CF1A15E" w14:textId="77777777" w:rsidR="00451A78" w:rsidRPr="00D742F4" w:rsidRDefault="00451A78">
            <w:pPr>
              <w:pStyle w:val="TableText"/>
            </w:pPr>
            <w:r w:rsidRPr="00D742F4">
              <w:t>60,072</w:t>
            </w:r>
          </w:p>
        </w:tc>
        <w:tc>
          <w:tcPr>
            <w:tcW w:w="1131" w:type="dxa"/>
            <w:gridSpan w:val="5"/>
            <w:noWrap/>
            <w:tcMar>
              <w:left w:w="57" w:type="dxa"/>
              <w:right w:w="57" w:type="dxa"/>
            </w:tcMar>
            <w:vAlign w:val="center"/>
            <w:hideMark/>
          </w:tcPr>
          <w:p w14:paraId="0CC87289" w14:textId="77777777" w:rsidR="00451A78" w:rsidRPr="00D742F4" w:rsidRDefault="00451A78">
            <w:pPr>
              <w:pStyle w:val="TableText"/>
            </w:pPr>
            <w:r w:rsidRPr="00D742F4">
              <w:t>60,072</w:t>
            </w:r>
          </w:p>
        </w:tc>
        <w:tc>
          <w:tcPr>
            <w:tcW w:w="1193" w:type="dxa"/>
            <w:gridSpan w:val="4"/>
            <w:noWrap/>
            <w:tcMar>
              <w:left w:w="57" w:type="dxa"/>
              <w:right w:w="57" w:type="dxa"/>
            </w:tcMar>
            <w:vAlign w:val="center"/>
            <w:hideMark/>
          </w:tcPr>
          <w:p w14:paraId="00DEAE17" w14:textId="77777777" w:rsidR="00451A78" w:rsidRPr="00D742F4" w:rsidRDefault="00451A78">
            <w:pPr>
              <w:pStyle w:val="TableText"/>
            </w:pPr>
            <w:r w:rsidRPr="00D742F4">
              <w:t>60,072</w:t>
            </w:r>
          </w:p>
        </w:tc>
        <w:tc>
          <w:tcPr>
            <w:tcW w:w="1129" w:type="dxa"/>
            <w:noWrap/>
            <w:tcMar>
              <w:left w:w="57" w:type="dxa"/>
              <w:right w:w="57" w:type="dxa"/>
            </w:tcMar>
            <w:vAlign w:val="center"/>
            <w:hideMark/>
          </w:tcPr>
          <w:p w14:paraId="79C9644B" w14:textId="77777777" w:rsidR="00451A78" w:rsidRPr="00D742F4" w:rsidRDefault="00451A78">
            <w:pPr>
              <w:pStyle w:val="TableText"/>
            </w:pPr>
            <w:r w:rsidRPr="00D742F4">
              <w:t>60,072</w:t>
            </w:r>
          </w:p>
        </w:tc>
      </w:tr>
      <w:tr w:rsidR="00451A78" w:rsidRPr="00F516FD" w14:paraId="27A9E252" w14:textId="77777777">
        <w:trPr>
          <w:trHeight w:val="290"/>
        </w:trPr>
        <w:tc>
          <w:tcPr>
            <w:tcW w:w="2281" w:type="dxa"/>
            <w:noWrap/>
            <w:tcMar>
              <w:left w:w="57" w:type="dxa"/>
              <w:right w:w="57" w:type="dxa"/>
            </w:tcMar>
            <w:hideMark/>
          </w:tcPr>
          <w:p w14:paraId="77B9B15E" w14:textId="77777777" w:rsidR="00451A78" w:rsidRPr="00F516FD" w:rsidRDefault="00451A78">
            <w:pPr>
              <w:pStyle w:val="TableText"/>
              <w:rPr>
                <w:vertAlign w:val="superscript"/>
              </w:rPr>
            </w:pPr>
            <w:r w:rsidRPr="00F516FD">
              <w:t>Number of private placental examinations for Population 3</w:t>
            </w:r>
            <w:r w:rsidRPr="00F516FD">
              <w:rPr>
                <w:vertAlign w:val="superscript"/>
              </w:rPr>
              <w:t>a</w:t>
            </w:r>
          </w:p>
        </w:tc>
        <w:tc>
          <w:tcPr>
            <w:tcW w:w="1128" w:type="dxa"/>
            <w:noWrap/>
            <w:tcMar>
              <w:left w:w="57" w:type="dxa"/>
              <w:right w:w="57" w:type="dxa"/>
            </w:tcMar>
            <w:vAlign w:val="center"/>
            <w:hideMark/>
          </w:tcPr>
          <w:p w14:paraId="29D661A1" w14:textId="77777777" w:rsidR="00451A78" w:rsidRPr="00D742F4" w:rsidRDefault="00451A78">
            <w:pPr>
              <w:pStyle w:val="TableText"/>
            </w:pPr>
            <w:r w:rsidRPr="00D742F4">
              <w:t>13,982</w:t>
            </w:r>
          </w:p>
        </w:tc>
        <w:tc>
          <w:tcPr>
            <w:tcW w:w="1128" w:type="dxa"/>
            <w:noWrap/>
            <w:tcMar>
              <w:left w:w="57" w:type="dxa"/>
              <w:right w:w="57" w:type="dxa"/>
            </w:tcMar>
            <w:vAlign w:val="center"/>
            <w:hideMark/>
          </w:tcPr>
          <w:p w14:paraId="206C2858" w14:textId="77777777" w:rsidR="00451A78" w:rsidRPr="00D742F4" w:rsidRDefault="00451A78">
            <w:pPr>
              <w:pStyle w:val="TableText"/>
            </w:pPr>
            <w:r w:rsidRPr="00D742F4">
              <w:t>13,982</w:t>
            </w:r>
          </w:p>
        </w:tc>
        <w:tc>
          <w:tcPr>
            <w:tcW w:w="1132" w:type="dxa"/>
            <w:gridSpan w:val="4"/>
            <w:noWrap/>
            <w:tcMar>
              <w:left w:w="57" w:type="dxa"/>
              <w:right w:w="57" w:type="dxa"/>
            </w:tcMar>
            <w:vAlign w:val="center"/>
            <w:hideMark/>
          </w:tcPr>
          <w:p w14:paraId="70547D0D" w14:textId="77777777" w:rsidR="00451A78" w:rsidRPr="00D742F4" w:rsidRDefault="00451A78">
            <w:pPr>
              <w:pStyle w:val="TableText"/>
            </w:pPr>
            <w:r w:rsidRPr="00D742F4">
              <w:t>13,982</w:t>
            </w:r>
          </w:p>
        </w:tc>
        <w:tc>
          <w:tcPr>
            <w:tcW w:w="1131" w:type="dxa"/>
            <w:gridSpan w:val="5"/>
            <w:noWrap/>
            <w:tcMar>
              <w:left w:w="57" w:type="dxa"/>
              <w:right w:w="57" w:type="dxa"/>
            </w:tcMar>
            <w:vAlign w:val="center"/>
            <w:hideMark/>
          </w:tcPr>
          <w:p w14:paraId="744E47B1" w14:textId="77777777" w:rsidR="00451A78" w:rsidRPr="00D742F4" w:rsidRDefault="00451A78">
            <w:pPr>
              <w:pStyle w:val="TableText"/>
            </w:pPr>
            <w:r w:rsidRPr="00D742F4">
              <w:t>13,982</w:t>
            </w:r>
          </w:p>
        </w:tc>
        <w:tc>
          <w:tcPr>
            <w:tcW w:w="1193" w:type="dxa"/>
            <w:gridSpan w:val="4"/>
            <w:noWrap/>
            <w:tcMar>
              <w:left w:w="57" w:type="dxa"/>
              <w:right w:w="57" w:type="dxa"/>
            </w:tcMar>
            <w:vAlign w:val="center"/>
            <w:hideMark/>
          </w:tcPr>
          <w:p w14:paraId="7A2147C2" w14:textId="77777777" w:rsidR="00451A78" w:rsidRPr="00D742F4" w:rsidRDefault="00451A78">
            <w:pPr>
              <w:pStyle w:val="TableText"/>
            </w:pPr>
            <w:r w:rsidRPr="00D742F4">
              <w:t>13,982</w:t>
            </w:r>
          </w:p>
        </w:tc>
        <w:tc>
          <w:tcPr>
            <w:tcW w:w="1129" w:type="dxa"/>
            <w:noWrap/>
            <w:tcMar>
              <w:left w:w="57" w:type="dxa"/>
              <w:right w:w="57" w:type="dxa"/>
            </w:tcMar>
            <w:vAlign w:val="center"/>
            <w:hideMark/>
          </w:tcPr>
          <w:p w14:paraId="69CAE46C" w14:textId="77777777" w:rsidR="00451A78" w:rsidRPr="00D742F4" w:rsidRDefault="00451A78">
            <w:pPr>
              <w:pStyle w:val="TableText"/>
            </w:pPr>
            <w:r w:rsidRPr="00D742F4">
              <w:t>13,982</w:t>
            </w:r>
          </w:p>
        </w:tc>
      </w:tr>
      <w:tr w:rsidR="00451A78" w:rsidRPr="00F516FD" w14:paraId="0468AB3A" w14:textId="77777777">
        <w:trPr>
          <w:trHeight w:val="290"/>
        </w:trPr>
        <w:tc>
          <w:tcPr>
            <w:tcW w:w="2281" w:type="dxa"/>
            <w:noWrap/>
            <w:tcMar>
              <w:left w:w="57" w:type="dxa"/>
              <w:right w:w="57" w:type="dxa"/>
            </w:tcMar>
            <w:hideMark/>
          </w:tcPr>
          <w:p w14:paraId="3B5C2A86" w14:textId="13DB16F6" w:rsidR="00451A78" w:rsidRPr="00F516FD" w:rsidRDefault="00451A78">
            <w:pPr>
              <w:pStyle w:val="TableText"/>
            </w:pPr>
            <w:r w:rsidRPr="00F516FD">
              <w:t xml:space="preserve">Cost to MBS of level 5 services (75% </w:t>
            </w:r>
            <w:proofErr w:type="gramStart"/>
            <w:r w:rsidRPr="00F516FD">
              <w:t>benefit)</w:t>
            </w:r>
            <w:r w:rsidR="004321CC" w:rsidRPr="00F516FD">
              <w:rPr>
                <w:vertAlign w:val="superscript"/>
              </w:rPr>
              <w:t>b</w:t>
            </w:r>
            <w:proofErr w:type="gramEnd"/>
          </w:p>
        </w:tc>
        <w:tc>
          <w:tcPr>
            <w:tcW w:w="1128" w:type="dxa"/>
            <w:noWrap/>
            <w:tcMar>
              <w:left w:w="57" w:type="dxa"/>
              <w:right w:w="57" w:type="dxa"/>
            </w:tcMar>
            <w:vAlign w:val="center"/>
            <w:hideMark/>
          </w:tcPr>
          <w:p w14:paraId="59D81C23" w14:textId="77777777" w:rsidR="00451A78" w:rsidRPr="00D742F4" w:rsidRDefault="00451A78">
            <w:pPr>
              <w:pStyle w:val="TableText"/>
            </w:pPr>
            <w:r w:rsidRPr="00D742F4">
              <w:t>$2,875,432</w:t>
            </w:r>
          </w:p>
        </w:tc>
        <w:tc>
          <w:tcPr>
            <w:tcW w:w="1128" w:type="dxa"/>
            <w:noWrap/>
            <w:tcMar>
              <w:left w:w="57" w:type="dxa"/>
              <w:right w:w="57" w:type="dxa"/>
            </w:tcMar>
            <w:vAlign w:val="center"/>
            <w:hideMark/>
          </w:tcPr>
          <w:p w14:paraId="52BC532A" w14:textId="77777777" w:rsidR="00451A78" w:rsidRPr="00D742F4" w:rsidRDefault="00451A78">
            <w:pPr>
              <w:pStyle w:val="TableText"/>
            </w:pPr>
            <w:r w:rsidRPr="00D742F4">
              <w:t>$2,875,432</w:t>
            </w:r>
          </w:p>
        </w:tc>
        <w:tc>
          <w:tcPr>
            <w:tcW w:w="1132" w:type="dxa"/>
            <w:gridSpan w:val="4"/>
            <w:noWrap/>
            <w:tcMar>
              <w:left w:w="57" w:type="dxa"/>
              <w:right w:w="57" w:type="dxa"/>
            </w:tcMar>
            <w:vAlign w:val="center"/>
            <w:hideMark/>
          </w:tcPr>
          <w:p w14:paraId="1DCF540B" w14:textId="77777777" w:rsidR="00451A78" w:rsidRPr="00D742F4" w:rsidRDefault="00451A78">
            <w:pPr>
              <w:pStyle w:val="TableText"/>
            </w:pPr>
            <w:r w:rsidRPr="00D742F4">
              <w:t>$2,875,432</w:t>
            </w:r>
          </w:p>
        </w:tc>
        <w:tc>
          <w:tcPr>
            <w:tcW w:w="1131" w:type="dxa"/>
            <w:gridSpan w:val="5"/>
            <w:noWrap/>
            <w:tcMar>
              <w:left w:w="57" w:type="dxa"/>
              <w:right w:w="57" w:type="dxa"/>
            </w:tcMar>
            <w:vAlign w:val="center"/>
            <w:hideMark/>
          </w:tcPr>
          <w:p w14:paraId="35D7DF0C" w14:textId="77777777" w:rsidR="00451A78" w:rsidRPr="00D742F4" w:rsidRDefault="00451A78">
            <w:pPr>
              <w:pStyle w:val="TableText"/>
            </w:pPr>
            <w:r w:rsidRPr="00D742F4">
              <w:t>$2,875,432</w:t>
            </w:r>
          </w:p>
        </w:tc>
        <w:tc>
          <w:tcPr>
            <w:tcW w:w="1193" w:type="dxa"/>
            <w:gridSpan w:val="4"/>
            <w:noWrap/>
            <w:tcMar>
              <w:left w:w="57" w:type="dxa"/>
              <w:right w:w="57" w:type="dxa"/>
            </w:tcMar>
            <w:vAlign w:val="center"/>
            <w:hideMark/>
          </w:tcPr>
          <w:p w14:paraId="359499EA" w14:textId="77777777" w:rsidR="00451A78" w:rsidRPr="00D742F4" w:rsidRDefault="00451A78">
            <w:pPr>
              <w:pStyle w:val="TableText"/>
            </w:pPr>
            <w:r w:rsidRPr="00D742F4">
              <w:t>$2,875,432</w:t>
            </w:r>
          </w:p>
        </w:tc>
        <w:tc>
          <w:tcPr>
            <w:tcW w:w="1129" w:type="dxa"/>
            <w:noWrap/>
            <w:tcMar>
              <w:left w:w="57" w:type="dxa"/>
              <w:right w:w="57" w:type="dxa"/>
            </w:tcMar>
            <w:vAlign w:val="center"/>
            <w:hideMark/>
          </w:tcPr>
          <w:p w14:paraId="20E17595" w14:textId="77777777" w:rsidR="00451A78" w:rsidRPr="00D742F4" w:rsidRDefault="00451A78">
            <w:pPr>
              <w:pStyle w:val="TableText"/>
            </w:pPr>
            <w:r w:rsidRPr="00D742F4">
              <w:t>$2,875,432</w:t>
            </w:r>
          </w:p>
        </w:tc>
      </w:tr>
      <w:tr w:rsidR="00451A78" w:rsidRPr="00F516FD" w14:paraId="2ED6DB3E" w14:textId="77777777">
        <w:trPr>
          <w:trHeight w:val="290"/>
        </w:trPr>
        <w:tc>
          <w:tcPr>
            <w:tcW w:w="6222" w:type="dxa"/>
            <w:gridSpan w:val="10"/>
            <w:tcBorders>
              <w:right w:val="nil"/>
            </w:tcBorders>
            <w:noWrap/>
            <w:tcMar>
              <w:left w:w="57" w:type="dxa"/>
              <w:right w:w="57" w:type="dxa"/>
            </w:tcMar>
          </w:tcPr>
          <w:p w14:paraId="3E7D783B" w14:textId="77777777" w:rsidR="00451A78" w:rsidRPr="00D742F4" w:rsidRDefault="00451A78">
            <w:pPr>
              <w:pStyle w:val="Tabletext0"/>
              <w:ind w:left="284"/>
              <w:rPr>
                <w:b/>
                <w:bCs/>
              </w:rPr>
            </w:pPr>
            <w:r w:rsidRPr="00D742F4">
              <w:rPr>
                <w:b/>
                <w:bCs/>
              </w:rPr>
              <w:t>Total for Populations 2 &amp; 3</w:t>
            </w:r>
          </w:p>
        </w:tc>
        <w:tc>
          <w:tcPr>
            <w:tcW w:w="578" w:type="dxa"/>
            <w:gridSpan w:val="2"/>
            <w:tcBorders>
              <w:left w:val="nil"/>
              <w:right w:val="nil"/>
            </w:tcBorders>
            <w:noWrap/>
            <w:tcMar>
              <w:left w:w="57" w:type="dxa"/>
              <w:right w:w="57" w:type="dxa"/>
            </w:tcMar>
          </w:tcPr>
          <w:p w14:paraId="6E7A570F" w14:textId="77777777" w:rsidR="00451A78" w:rsidRPr="00D742F4" w:rsidRDefault="00451A78">
            <w:pPr>
              <w:pStyle w:val="Tabletext0"/>
              <w:ind w:left="284"/>
              <w:rPr>
                <w:b/>
                <w:bCs/>
              </w:rPr>
            </w:pPr>
          </w:p>
        </w:tc>
        <w:tc>
          <w:tcPr>
            <w:tcW w:w="303" w:type="dxa"/>
            <w:tcBorders>
              <w:left w:val="nil"/>
              <w:right w:val="nil"/>
            </w:tcBorders>
            <w:noWrap/>
            <w:tcMar>
              <w:left w:w="57" w:type="dxa"/>
              <w:right w:w="57" w:type="dxa"/>
            </w:tcMar>
          </w:tcPr>
          <w:p w14:paraId="666ABC4E" w14:textId="77777777" w:rsidR="00451A78" w:rsidRPr="00D742F4" w:rsidRDefault="00451A78">
            <w:pPr>
              <w:pStyle w:val="Tabletext0"/>
              <w:ind w:left="284"/>
              <w:rPr>
                <w:b/>
                <w:bCs/>
              </w:rPr>
            </w:pPr>
          </w:p>
        </w:tc>
        <w:tc>
          <w:tcPr>
            <w:tcW w:w="274" w:type="dxa"/>
            <w:tcBorders>
              <w:left w:val="nil"/>
              <w:right w:val="nil"/>
            </w:tcBorders>
            <w:noWrap/>
            <w:tcMar>
              <w:left w:w="57" w:type="dxa"/>
              <w:right w:w="57" w:type="dxa"/>
            </w:tcMar>
          </w:tcPr>
          <w:p w14:paraId="27C6DEDE" w14:textId="77777777" w:rsidR="00451A78" w:rsidRPr="00D742F4" w:rsidRDefault="00451A78">
            <w:pPr>
              <w:pStyle w:val="Tabletext0"/>
              <w:ind w:left="284"/>
              <w:rPr>
                <w:b/>
                <w:bCs/>
              </w:rPr>
            </w:pPr>
          </w:p>
        </w:tc>
        <w:tc>
          <w:tcPr>
            <w:tcW w:w="333" w:type="dxa"/>
            <w:tcBorders>
              <w:left w:val="nil"/>
              <w:right w:val="nil"/>
            </w:tcBorders>
            <w:noWrap/>
            <w:tcMar>
              <w:left w:w="57" w:type="dxa"/>
              <w:right w:w="57" w:type="dxa"/>
            </w:tcMar>
          </w:tcPr>
          <w:p w14:paraId="1360BF05" w14:textId="77777777" w:rsidR="00451A78" w:rsidRPr="00D742F4" w:rsidRDefault="00451A78">
            <w:pPr>
              <w:pStyle w:val="Tabletext0"/>
              <w:ind w:left="284"/>
              <w:rPr>
                <w:b/>
                <w:bCs/>
              </w:rPr>
            </w:pPr>
          </w:p>
        </w:tc>
        <w:tc>
          <w:tcPr>
            <w:tcW w:w="283" w:type="dxa"/>
            <w:tcBorders>
              <w:left w:val="nil"/>
              <w:right w:val="nil"/>
            </w:tcBorders>
            <w:noWrap/>
            <w:tcMar>
              <w:left w:w="57" w:type="dxa"/>
              <w:right w:w="57" w:type="dxa"/>
            </w:tcMar>
          </w:tcPr>
          <w:p w14:paraId="018CEA87" w14:textId="77777777" w:rsidR="00451A78" w:rsidRPr="00D742F4" w:rsidRDefault="00451A78">
            <w:pPr>
              <w:pStyle w:val="Tabletext0"/>
              <w:ind w:left="284"/>
              <w:rPr>
                <w:b/>
                <w:bCs/>
              </w:rPr>
            </w:pPr>
          </w:p>
        </w:tc>
        <w:tc>
          <w:tcPr>
            <w:tcW w:w="1129" w:type="dxa"/>
            <w:tcBorders>
              <w:left w:val="nil"/>
            </w:tcBorders>
            <w:noWrap/>
            <w:tcMar>
              <w:left w:w="57" w:type="dxa"/>
              <w:right w:w="57" w:type="dxa"/>
            </w:tcMar>
          </w:tcPr>
          <w:p w14:paraId="160DEA01" w14:textId="77777777" w:rsidR="00451A78" w:rsidRPr="00D742F4" w:rsidRDefault="00451A78">
            <w:pPr>
              <w:pStyle w:val="Tabletext0"/>
              <w:ind w:left="284"/>
              <w:rPr>
                <w:b/>
                <w:bCs/>
              </w:rPr>
            </w:pPr>
          </w:p>
        </w:tc>
      </w:tr>
      <w:tr w:rsidR="00451A78" w:rsidRPr="00F516FD" w14:paraId="640C9834" w14:textId="77777777">
        <w:trPr>
          <w:trHeight w:val="290"/>
        </w:trPr>
        <w:tc>
          <w:tcPr>
            <w:tcW w:w="2281" w:type="dxa"/>
            <w:tcBorders>
              <w:bottom w:val="single" w:sz="4" w:space="0" w:color="auto"/>
            </w:tcBorders>
            <w:noWrap/>
            <w:tcMar>
              <w:left w:w="57" w:type="dxa"/>
              <w:right w:w="57" w:type="dxa"/>
            </w:tcMar>
            <w:hideMark/>
          </w:tcPr>
          <w:p w14:paraId="03A5A551" w14:textId="43E33A6B" w:rsidR="00451A78" w:rsidRPr="00F516FD" w:rsidRDefault="00451A78">
            <w:pPr>
              <w:pStyle w:val="TableText"/>
              <w:rPr>
                <w:vertAlign w:val="superscript"/>
              </w:rPr>
            </w:pPr>
            <w:r w:rsidRPr="00F516FD">
              <w:t>Total cost to MBS of proposed level 5 services (75% benefit)</w:t>
            </w:r>
          </w:p>
        </w:tc>
        <w:tc>
          <w:tcPr>
            <w:tcW w:w="1128" w:type="dxa"/>
            <w:tcBorders>
              <w:bottom w:val="single" w:sz="4" w:space="0" w:color="auto"/>
            </w:tcBorders>
            <w:noWrap/>
            <w:tcMar>
              <w:left w:w="57" w:type="dxa"/>
              <w:right w:w="57" w:type="dxa"/>
            </w:tcMar>
            <w:vAlign w:val="center"/>
            <w:hideMark/>
          </w:tcPr>
          <w:p w14:paraId="04C3D0B6" w14:textId="77777777" w:rsidR="00451A78" w:rsidRPr="00D742F4" w:rsidRDefault="00451A78">
            <w:pPr>
              <w:pStyle w:val="TableText"/>
            </w:pPr>
            <w:r w:rsidRPr="00D742F4">
              <w:t>$2,925,</w:t>
            </w:r>
            <w:r w:rsidRPr="00D742F4">
              <w:rPr>
                <w:bCs/>
              </w:rPr>
              <w:t>602</w:t>
            </w:r>
          </w:p>
        </w:tc>
        <w:tc>
          <w:tcPr>
            <w:tcW w:w="1128" w:type="dxa"/>
            <w:tcBorders>
              <w:bottom w:val="single" w:sz="4" w:space="0" w:color="auto"/>
            </w:tcBorders>
            <w:noWrap/>
            <w:tcMar>
              <w:left w:w="57" w:type="dxa"/>
              <w:right w:w="57" w:type="dxa"/>
            </w:tcMar>
            <w:vAlign w:val="center"/>
            <w:hideMark/>
          </w:tcPr>
          <w:p w14:paraId="672A7B64" w14:textId="77777777" w:rsidR="00451A78" w:rsidRPr="00D742F4" w:rsidRDefault="00451A78">
            <w:pPr>
              <w:pStyle w:val="TableText"/>
            </w:pPr>
            <w:r w:rsidRPr="00D742F4">
              <w:t>$2,925,</w:t>
            </w:r>
            <w:r w:rsidRPr="00D742F4">
              <w:rPr>
                <w:bCs/>
              </w:rPr>
              <w:t>602</w:t>
            </w:r>
          </w:p>
        </w:tc>
        <w:tc>
          <w:tcPr>
            <w:tcW w:w="1132" w:type="dxa"/>
            <w:gridSpan w:val="4"/>
            <w:tcBorders>
              <w:bottom w:val="single" w:sz="4" w:space="0" w:color="auto"/>
            </w:tcBorders>
            <w:noWrap/>
            <w:tcMar>
              <w:left w:w="57" w:type="dxa"/>
              <w:right w:w="57" w:type="dxa"/>
            </w:tcMar>
            <w:vAlign w:val="center"/>
            <w:hideMark/>
          </w:tcPr>
          <w:p w14:paraId="63CCA665" w14:textId="77777777" w:rsidR="00451A78" w:rsidRPr="00D742F4" w:rsidRDefault="00451A78">
            <w:pPr>
              <w:pStyle w:val="TableText"/>
            </w:pPr>
            <w:r w:rsidRPr="00D742F4">
              <w:t>$2,925,</w:t>
            </w:r>
            <w:r w:rsidRPr="00D742F4">
              <w:rPr>
                <w:bCs/>
              </w:rPr>
              <w:t>602</w:t>
            </w:r>
          </w:p>
        </w:tc>
        <w:tc>
          <w:tcPr>
            <w:tcW w:w="1131" w:type="dxa"/>
            <w:gridSpan w:val="5"/>
            <w:tcBorders>
              <w:bottom w:val="single" w:sz="4" w:space="0" w:color="auto"/>
            </w:tcBorders>
            <w:noWrap/>
            <w:tcMar>
              <w:left w:w="57" w:type="dxa"/>
              <w:right w:w="57" w:type="dxa"/>
            </w:tcMar>
            <w:vAlign w:val="center"/>
            <w:hideMark/>
          </w:tcPr>
          <w:p w14:paraId="3D186AFA" w14:textId="77777777" w:rsidR="00451A78" w:rsidRPr="00D742F4" w:rsidRDefault="00451A78">
            <w:pPr>
              <w:pStyle w:val="TableText"/>
            </w:pPr>
            <w:r w:rsidRPr="00D742F4">
              <w:t>$2,925,</w:t>
            </w:r>
            <w:r w:rsidRPr="00D742F4">
              <w:rPr>
                <w:bCs/>
              </w:rPr>
              <w:t>602</w:t>
            </w:r>
          </w:p>
        </w:tc>
        <w:tc>
          <w:tcPr>
            <w:tcW w:w="1193" w:type="dxa"/>
            <w:gridSpan w:val="4"/>
            <w:tcBorders>
              <w:bottom w:val="single" w:sz="4" w:space="0" w:color="auto"/>
            </w:tcBorders>
            <w:noWrap/>
            <w:tcMar>
              <w:left w:w="57" w:type="dxa"/>
              <w:right w:w="57" w:type="dxa"/>
            </w:tcMar>
            <w:vAlign w:val="center"/>
            <w:hideMark/>
          </w:tcPr>
          <w:p w14:paraId="6CCCBD14" w14:textId="77777777" w:rsidR="00451A78" w:rsidRPr="00D742F4" w:rsidRDefault="00451A78">
            <w:pPr>
              <w:pStyle w:val="TableText"/>
            </w:pPr>
            <w:r w:rsidRPr="00D742F4">
              <w:t>$2,925,</w:t>
            </w:r>
            <w:r w:rsidRPr="00D742F4">
              <w:rPr>
                <w:bCs/>
              </w:rPr>
              <w:t>602</w:t>
            </w:r>
          </w:p>
        </w:tc>
        <w:tc>
          <w:tcPr>
            <w:tcW w:w="1129" w:type="dxa"/>
            <w:tcBorders>
              <w:bottom w:val="single" w:sz="4" w:space="0" w:color="auto"/>
            </w:tcBorders>
            <w:noWrap/>
            <w:tcMar>
              <w:left w:w="57" w:type="dxa"/>
              <w:right w:w="57" w:type="dxa"/>
            </w:tcMar>
            <w:vAlign w:val="center"/>
            <w:hideMark/>
          </w:tcPr>
          <w:p w14:paraId="057E9451" w14:textId="77777777" w:rsidR="00451A78" w:rsidRPr="00D742F4" w:rsidRDefault="00451A78">
            <w:pPr>
              <w:pStyle w:val="TableText"/>
            </w:pPr>
            <w:r w:rsidRPr="00D742F4">
              <w:t>$2,925,</w:t>
            </w:r>
            <w:r w:rsidRPr="00D742F4">
              <w:rPr>
                <w:bCs/>
              </w:rPr>
              <w:t>602</w:t>
            </w:r>
          </w:p>
        </w:tc>
      </w:tr>
      <w:tr w:rsidR="00451A78" w:rsidRPr="00F516FD" w14:paraId="62E9D55D" w14:textId="77777777">
        <w:trPr>
          <w:trHeight w:val="290"/>
        </w:trPr>
        <w:tc>
          <w:tcPr>
            <w:tcW w:w="4714" w:type="dxa"/>
            <w:gridSpan w:val="4"/>
            <w:tcBorders>
              <w:right w:val="nil"/>
            </w:tcBorders>
            <w:noWrap/>
            <w:tcMar>
              <w:left w:w="57" w:type="dxa"/>
              <w:right w:w="57" w:type="dxa"/>
            </w:tcMar>
          </w:tcPr>
          <w:p w14:paraId="5237E63F" w14:textId="77777777" w:rsidR="00451A78" w:rsidRPr="00D742F4" w:rsidRDefault="00451A78">
            <w:pPr>
              <w:pStyle w:val="TableText"/>
              <w:keepNext/>
              <w:rPr>
                <w:b/>
                <w:bCs/>
              </w:rPr>
            </w:pPr>
            <w:r w:rsidRPr="00D742F4">
              <w:rPr>
                <w:b/>
                <w:bCs/>
              </w:rPr>
              <w:t>Change in use and cost of other health technologies</w:t>
            </w:r>
          </w:p>
        </w:tc>
        <w:tc>
          <w:tcPr>
            <w:tcW w:w="274" w:type="dxa"/>
            <w:tcBorders>
              <w:left w:val="nil"/>
              <w:right w:val="nil"/>
            </w:tcBorders>
            <w:noWrap/>
            <w:tcMar>
              <w:left w:w="57" w:type="dxa"/>
              <w:right w:w="57" w:type="dxa"/>
            </w:tcMar>
            <w:vAlign w:val="center"/>
          </w:tcPr>
          <w:p w14:paraId="4588D32E" w14:textId="77777777" w:rsidR="00451A78" w:rsidRPr="00D742F4" w:rsidRDefault="00451A78">
            <w:pPr>
              <w:pStyle w:val="TableText"/>
              <w:keepNext/>
              <w:rPr>
                <w:b/>
                <w:bCs/>
              </w:rPr>
            </w:pPr>
          </w:p>
        </w:tc>
        <w:tc>
          <w:tcPr>
            <w:tcW w:w="275" w:type="dxa"/>
            <w:tcBorders>
              <w:left w:val="nil"/>
              <w:right w:val="nil"/>
            </w:tcBorders>
            <w:noWrap/>
            <w:tcMar>
              <w:left w:w="57" w:type="dxa"/>
              <w:right w:w="57" w:type="dxa"/>
            </w:tcMar>
            <w:vAlign w:val="center"/>
          </w:tcPr>
          <w:p w14:paraId="2D1A72D0" w14:textId="77777777" w:rsidR="00451A78" w:rsidRPr="00D742F4" w:rsidRDefault="00451A78">
            <w:pPr>
              <w:pStyle w:val="TableText"/>
              <w:keepNext/>
              <w:rPr>
                <w:b/>
                <w:bCs/>
              </w:rPr>
            </w:pPr>
          </w:p>
        </w:tc>
        <w:tc>
          <w:tcPr>
            <w:tcW w:w="406" w:type="dxa"/>
            <w:tcBorders>
              <w:left w:val="nil"/>
              <w:right w:val="nil"/>
            </w:tcBorders>
            <w:noWrap/>
            <w:tcMar>
              <w:left w:w="57" w:type="dxa"/>
              <w:right w:w="57" w:type="dxa"/>
            </w:tcMar>
            <w:vAlign w:val="center"/>
          </w:tcPr>
          <w:p w14:paraId="6AB36D00" w14:textId="77777777" w:rsidR="00451A78" w:rsidRPr="00D742F4" w:rsidRDefault="00451A78">
            <w:pPr>
              <w:pStyle w:val="TableText"/>
              <w:keepNext/>
              <w:rPr>
                <w:b/>
                <w:bCs/>
              </w:rPr>
            </w:pPr>
          </w:p>
        </w:tc>
        <w:tc>
          <w:tcPr>
            <w:tcW w:w="867" w:type="dxa"/>
            <w:gridSpan w:val="4"/>
            <w:tcBorders>
              <w:left w:val="nil"/>
              <w:right w:val="nil"/>
            </w:tcBorders>
            <w:noWrap/>
            <w:tcMar>
              <w:left w:w="57" w:type="dxa"/>
              <w:right w:w="57" w:type="dxa"/>
            </w:tcMar>
            <w:vAlign w:val="center"/>
          </w:tcPr>
          <w:p w14:paraId="0069983C" w14:textId="77777777" w:rsidR="00451A78" w:rsidRPr="00D742F4" w:rsidRDefault="00451A78">
            <w:pPr>
              <w:pStyle w:val="TableText"/>
              <w:keepNext/>
              <w:rPr>
                <w:b/>
                <w:bCs/>
              </w:rPr>
            </w:pPr>
          </w:p>
        </w:tc>
        <w:tc>
          <w:tcPr>
            <w:tcW w:w="1174" w:type="dxa"/>
            <w:gridSpan w:val="4"/>
            <w:tcBorders>
              <w:left w:val="nil"/>
              <w:right w:val="nil"/>
            </w:tcBorders>
            <w:noWrap/>
            <w:tcMar>
              <w:left w:w="57" w:type="dxa"/>
              <w:right w:w="57" w:type="dxa"/>
            </w:tcMar>
            <w:vAlign w:val="center"/>
          </w:tcPr>
          <w:p w14:paraId="6E01D33E" w14:textId="77777777" w:rsidR="00451A78" w:rsidRPr="00D742F4" w:rsidRDefault="00451A78">
            <w:pPr>
              <w:pStyle w:val="TableText"/>
              <w:keepNext/>
              <w:rPr>
                <w:b/>
                <w:bCs/>
              </w:rPr>
            </w:pPr>
          </w:p>
        </w:tc>
        <w:tc>
          <w:tcPr>
            <w:tcW w:w="1412" w:type="dxa"/>
            <w:gridSpan w:val="2"/>
            <w:tcBorders>
              <w:left w:val="nil"/>
            </w:tcBorders>
            <w:noWrap/>
            <w:tcMar>
              <w:left w:w="57" w:type="dxa"/>
              <w:right w:w="57" w:type="dxa"/>
            </w:tcMar>
            <w:vAlign w:val="center"/>
          </w:tcPr>
          <w:p w14:paraId="5711DA20" w14:textId="77777777" w:rsidR="00451A78" w:rsidRPr="00D742F4" w:rsidRDefault="00451A78">
            <w:pPr>
              <w:pStyle w:val="TableText"/>
              <w:keepNext/>
              <w:rPr>
                <w:b/>
                <w:bCs/>
              </w:rPr>
            </w:pPr>
          </w:p>
        </w:tc>
      </w:tr>
      <w:tr w:rsidR="00451A78" w:rsidRPr="00F516FD" w14:paraId="181D8BED" w14:textId="77777777">
        <w:trPr>
          <w:trHeight w:val="290"/>
        </w:trPr>
        <w:tc>
          <w:tcPr>
            <w:tcW w:w="2281" w:type="dxa"/>
            <w:noWrap/>
            <w:tcMar>
              <w:left w:w="57" w:type="dxa"/>
              <w:right w:w="57" w:type="dxa"/>
            </w:tcMar>
          </w:tcPr>
          <w:p w14:paraId="3FAB4586" w14:textId="42B2C205" w:rsidR="00451A78" w:rsidRPr="00F516FD" w:rsidRDefault="00451A78">
            <w:pPr>
              <w:pStyle w:val="TableText"/>
            </w:pPr>
            <w:r w:rsidRPr="00F516FD">
              <w:t xml:space="preserve">Cost to MBS of level 4 services (75% </w:t>
            </w:r>
            <w:proofErr w:type="gramStart"/>
            <w:r w:rsidRPr="00F516FD">
              <w:t>benefit)</w:t>
            </w:r>
            <w:r w:rsidR="006B4BB3" w:rsidRPr="00F516FD">
              <w:rPr>
                <w:vertAlign w:val="superscript"/>
              </w:rPr>
              <w:t>c</w:t>
            </w:r>
            <w:proofErr w:type="gramEnd"/>
          </w:p>
        </w:tc>
        <w:tc>
          <w:tcPr>
            <w:tcW w:w="1128" w:type="dxa"/>
            <w:noWrap/>
            <w:tcMar>
              <w:left w:w="57" w:type="dxa"/>
              <w:right w:w="57" w:type="dxa"/>
            </w:tcMar>
          </w:tcPr>
          <w:p w14:paraId="2896FF5F" w14:textId="77777777" w:rsidR="00451A78" w:rsidRPr="00D742F4" w:rsidRDefault="00451A78">
            <w:pPr>
              <w:pStyle w:val="TableText"/>
            </w:pPr>
            <w:r w:rsidRPr="00D742F4">
              <w:t>-$1,037,084</w:t>
            </w:r>
          </w:p>
        </w:tc>
        <w:tc>
          <w:tcPr>
            <w:tcW w:w="1128" w:type="dxa"/>
            <w:noWrap/>
            <w:tcMar>
              <w:left w:w="57" w:type="dxa"/>
              <w:right w:w="57" w:type="dxa"/>
            </w:tcMar>
          </w:tcPr>
          <w:p w14:paraId="43CFA33F" w14:textId="77777777" w:rsidR="00451A78" w:rsidRPr="00D742F4" w:rsidRDefault="00451A78">
            <w:pPr>
              <w:pStyle w:val="TableText"/>
            </w:pPr>
            <w:r w:rsidRPr="00D742F4">
              <w:t>-$1,037,084</w:t>
            </w:r>
          </w:p>
        </w:tc>
        <w:tc>
          <w:tcPr>
            <w:tcW w:w="1132" w:type="dxa"/>
            <w:gridSpan w:val="4"/>
            <w:noWrap/>
            <w:tcMar>
              <w:left w:w="57" w:type="dxa"/>
              <w:right w:w="57" w:type="dxa"/>
            </w:tcMar>
          </w:tcPr>
          <w:p w14:paraId="0FB68986" w14:textId="77777777" w:rsidR="00451A78" w:rsidRPr="00D742F4" w:rsidRDefault="00451A78">
            <w:pPr>
              <w:pStyle w:val="TableText"/>
            </w:pPr>
            <w:r w:rsidRPr="00D742F4">
              <w:t>-$1,037,084</w:t>
            </w:r>
          </w:p>
        </w:tc>
        <w:tc>
          <w:tcPr>
            <w:tcW w:w="1131" w:type="dxa"/>
            <w:gridSpan w:val="5"/>
            <w:noWrap/>
            <w:tcMar>
              <w:left w:w="57" w:type="dxa"/>
              <w:right w:w="57" w:type="dxa"/>
            </w:tcMar>
          </w:tcPr>
          <w:p w14:paraId="68C680CA" w14:textId="77777777" w:rsidR="00451A78" w:rsidRPr="00D742F4" w:rsidRDefault="00451A78">
            <w:pPr>
              <w:pStyle w:val="TableText"/>
            </w:pPr>
            <w:r w:rsidRPr="00D742F4">
              <w:t>-$1,037,084</w:t>
            </w:r>
          </w:p>
        </w:tc>
        <w:tc>
          <w:tcPr>
            <w:tcW w:w="1193" w:type="dxa"/>
            <w:gridSpan w:val="4"/>
            <w:noWrap/>
            <w:tcMar>
              <w:left w:w="57" w:type="dxa"/>
              <w:right w:w="57" w:type="dxa"/>
            </w:tcMar>
          </w:tcPr>
          <w:p w14:paraId="2247BE8B" w14:textId="77777777" w:rsidR="00451A78" w:rsidRPr="00D742F4" w:rsidRDefault="00451A78">
            <w:pPr>
              <w:pStyle w:val="TableText"/>
            </w:pPr>
            <w:r w:rsidRPr="00D742F4">
              <w:t>-$1,037,084</w:t>
            </w:r>
          </w:p>
        </w:tc>
        <w:tc>
          <w:tcPr>
            <w:tcW w:w="1129" w:type="dxa"/>
            <w:noWrap/>
            <w:tcMar>
              <w:left w:w="57" w:type="dxa"/>
              <w:right w:w="57" w:type="dxa"/>
            </w:tcMar>
          </w:tcPr>
          <w:p w14:paraId="3565A952" w14:textId="77777777" w:rsidR="00451A78" w:rsidRPr="00D742F4" w:rsidRDefault="00451A78">
            <w:pPr>
              <w:pStyle w:val="TableText"/>
            </w:pPr>
            <w:r w:rsidRPr="00D742F4">
              <w:t>-$1,037,084</w:t>
            </w:r>
          </w:p>
        </w:tc>
      </w:tr>
      <w:tr w:rsidR="00451A78" w:rsidRPr="00F516FD" w14:paraId="32D608C9" w14:textId="77777777">
        <w:trPr>
          <w:trHeight w:val="290"/>
        </w:trPr>
        <w:tc>
          <w:tcPr>
            <w:tcW w:w="2281" w:type="dxa"/>
            <w:noWrap/>
            <w:tcMar>
              <w:left w:w="57" w:type="dxa"/>
              <w:right w:w="57" w:type="dxa"/>
            </w:tcMar>
          </w:tcPr>
          <w:p w14:paraId="408DD478" w14:textId="77777777" w:rsidR="00451A78" w:rsidRPr="00F516FD" w:rsidRDefault="00451A78">
            <w:pPr>
              <w:pStyle w:val="TableText"/>
              <w:rPr>
                <w:b/>
                <w:bCs/>
              </w:rPr>
            </w:pPr>
            <w:r w:rsidRPr="00F516FD">
              <w:rPr>
                <w:b/>
                <w:bCs/>
              </w:rPr>
              <w:t>Net financial impact to MBS of increasing from complexity level 4 to 5</w:t>
            </w:r>
          </w:p>
        </w:tc>
        <w:tc>
          <w:tcPr>
            <w:tcW w:w="1128" w:type="dxa"/>
            <w:noWrap/>
            <w:tcMar>
              <w:left w:w="57" w:type="dxa"/>
              <w:right w:w="57" w:type="dxa"/>
            </w:tcMar>
          </w:tcPr>
          <w:p w14:paraId="1C1CE37A" w14:textId="77777777" w:rsidR="00451A78" w:rsidRPr="00F516FD" w:rsidRDefault="00451A78">
            <w:pPr>
              <w:pStyle w:val="TableText"/>
              <w:rPr>
                <w:b/>
                <w:bCs/>
              </w:rPr>
            </w:pPr>
            <w:r w:rsidRPr="00F516FD">
              <w:rPr>
                <w:b/>
                <w:bCs/>
              </w:rPr>
              <w:t>$1,888,518</w:t>
            </w:r>
          </w:p>
        </w:tc>
        <w:tc>
          <w:tcPr>
            <w:tcW w:w="1128" w:type="dxa"/>
            <w:noWrap/>
            <w:tcMar>
              <w:left w:w="57" w:type="dxa"/>
              <w:right w:w="57" w:type="dxa"/>
            </w:tcMar>
          </w:tcPr>
          <w:p w14:paraId="1B4F77AB" w14:textId="77777777" w:rsidR="00451A78" w:rsidRPr="00F516FD" w:rsidRDefault="00451A78">
            <w:pPr>
              <w:pStyle w:val="TableText"/>
              <w:rPr>
                <w:b/>
                <w:bCs/>
              </w:rPr>
            </w:pPr>
            <w:r w:rsidRPr="00F516FD">
              <w:rPr>
                <w:b/>
                <w:bCs/>
              </w:rPr>
              <w:t>$1,888,518</w:t>
            </w:r>
          </w:p>
        </w:tc>
        <w:tc>
          <w:tcPr>
            <w:tcW w:w="1132" w:type="dxa"/>
            <w:gridSpan w:val="4"/>
            <w:noWrap/>
            <w:tcMar>
              <w:left w:w="57" w:type="dxa"/>
              <w:right w:w="57" w:type="dxa"/>
            </w:tcMar>
          </w:tcPr>
          <w:p w14:paraId="52AEA560" w14:textId="77777777" w:rsidR="00451A78" w:rsidRPr="00F516FD" w:rsidRDefault="00451A78">
            <w:pPr>
              <w:pStyle w:val="TableText"/>
              <w:rPr>
                <w:b/>
                <w:bCs/>
              </w:rPr>
            </w:pPr>
            <w:r w:rsidRPr="00F516FD">
              <w:rPr>
                <w:b/>
                <w:bCs/>
              </w:rPr>
              <w:t>$1,888,518</w:t>
            </w:r>
          </w:p>
        </w:tc>
        <w:tc>
          <w:tcPr>
            <w:tcW w:w="1131" w:type="dxa"/>
            <w:gridSpan w:val="5"/>
            <w:noWrap/>
            <w:tcMar>
              <w:left w:w="57" w:type="dxa"/>
              <w:right w:w="57" w:type="dxa"/>
            </w:tcMar>
          </w:tcPr>
          <w:p w14:paraId="110B2DF1" w14:textId="77777777" w:rsidR="00451A78" w:rsidRPr="00F516FD" w:rsidRDefault="00451A78">
            <w:pPr>
              <w:pStyle w:val="TableText"/>
              <w:rPr>
                <w:b/>
                <w:bCs/>
              </w:rPr>
            </w:pPr>
            <w:r w:rsidRPr="00F516FD">
              <w:rPr>
                <w:b/>
                <w:bCs/>
              </w:rPr>
              <w:t>$1,888,518</w:t>
            </w:r>
          </w:p>
        </w:tc>
        <w:tc>
          <w:tcPr>
            <w:tcW w:w="1193" w:type="dxa"/>
            <w:gridSpan w:val="4"/>
            <w:noWrap/>
            <w:tcMar>
              <w:left w:w="57" w:type="dxa"/>
              <w:right w:w="57" w:type="dxa"/>
            </w:tcMar>
          </w:tcPr>
          <w:p w14:paraId="74EE36C3" w14:textId="77777777" w:rsidR="00451A78" w:rsidRPr="00F516FD" w:rsidRDefault="00451A78">
            <w:pPr>
              <w:pStyle w:val="TableText"/>
              <w:rPr>
                <w:b/>
                <w:bCs/>
              </w:rPr>
            </w:pPr>
            <w:r w:rsidRPr="00F516FD">
              <w:rPr>
                <w:b/>
                <w:bCs/>
              </w:rPr>
              <w:t>$1,888,518</w:t>
            </w:r>
          </w:p>
        </w:tc>
        <w:tc>
          <w:tcPr>
            <w:tcW w:w="1129" w:type="dxa"/>
            <w:noWrap/>
            <w:tcMar>
              <w:left w:w="57" w:type="dxa"/>
              <w:right w:w="57" w:type="dxa"/>
            </w:tcMar>
          </w:tcPr>
          <w:p w14:paraId="71B7CA3A" w14:textId="77777777" w:rsidR="00451A78" w:rsidRPr="00F516FD" w:rsidRDefault="00451A78">
            <w:pPr>
              <w:pStyle w:val="TableText"/>
              <w:rPr>
                <w:b/>
                <w:bCs/>
              </w:rPr>
            </w:pPr>
            <w:r w:rsidRPr="00F516FD">
              <w:rPr>
                <w:b/>
                <w:bCs/>
              </w:rPr>
              <w:t>$1,888,518</w:t>
            </w:r>
          </w:p>
        </w:tc>
      </w:tr>
    </w:tbl>
    <w:p w14:paraId="581BC848" w14:textId="51B899B5" w:rsidR="00451A78" w:rsidRPr="00F516FD" w:rsidRDefault="00451A78" w:rsidP="00451A78">
      <w:pPr>
        <w:pStyle w:val="TableFooter"/>
      </w:pPr>
      <w:r w:rsidRPr="00F516FD">
        <w:t xml:space="preserve">MBS = Medicare Benefits Schedule; PL = pregnancy loss; </w:t>
      </w:r>
      <w:r w:rsidR="002A045C" w:rsidRPr="00F516FD">
        <w:rPr>
          <w:b/>
          <w:bCs/>
        </w:rPr>
        <w:t>redacted</w:t>
      </w:r>
      <w:r w:rsidRPr="00F516FD">
        <w:t>.</w:t>
      </w:r>
    </w:p>
    <w:p w14:paraId="3CDF5403" w14:textId="380E0144" w:rsidR="00451A78" w:rsidRPr="00F516FD" w:rsidRDefault="00451A78" w:rsidP="00451A78">
      <w:pPr>
        <w:pStyle w:val="TableFooter"/>
      </w:pPr>
      <w:r w:rsidRPr="00785A5D">
        <w:rPr>
          <w:bCs/>
        </w:rPr>
        <w:t>a</w:t>
      </w:r>
      <w:r w:rsidRPr="00785A5D">
        <w:t xml:space="preserve"> Calculated by multiplying number of placental examinations for second trimester pregnancy loss by proportion of private</w:t>
      </w:r>
      <w:r w:rsidR="00AC52F9" w:rsidRPr="00785A5D">
        <w:t>ly funded</w:t>
      </w:r>
      <w:r w:rsidRPr="00785A5D">
        <w:t xml:space="preserve"> </w:t>
      </w:r>
      <w:r w:rsidR="00AC52F9" w:rsidRPr="00785A5D">
        <w:t xml:space="preserve">placental examinations in </w:t>
      </w:r>
      <w:r w:rsidR="00082F0D">
        <w:rPr>
          <w:b/>
          <w:bCs/>
        </w:rPr>
        <w:t>r</w:t>
      </w:r>
      <w:r w:rsidR="003659EB" w:rsidRPr="003659EB">
        <w:rPr>
          <w:b/>
          <w:bCs/>
        </w:rPr>
        <w:t>edacted</w:t>
      </w:r>
      <w:r w:rsidR="00AC52F9" w:rsidRPr="00785A5D">
        <w:t xml:space="preserve"> (23.3%)</w:t>
      </w:r>
      <w:r w:rsidRPr="00785A5D">
        <w:t>.</w:t>
      </w:r>
    </w:p>
    <w:p w14:paraId="5EA6D978" w14:textId="0EBDD734" w:rsidR="00451A78" w:rsidRPr="00F516FD" w:rsidRDefault="00FA4191" w:rsidP="00451A78">
      <w:pPr>
        <w:pStyle w:val="TableFooter"/>
      </w:pPr>
      <w:r w:rsidRPr="00F516FD">
        <w:t>b</w:t>
      </w:r>
      <w:r w:rsidR="00451A78" w:rsidRPr="00F516FD">
        <w:t xml:space="preserve"> Calculated using 75% benefit ($205.65) for examination of complexity level 5 biopsy material (MBS item 72830).</w:t>
      </w:r>
    </w:p>
    <w:p w14:paraId="41F1BD64" w14:textId="20E6D2DD" w:rsidR="00451A78" w:rsidRPr="00F516FD" w:rsidRDefault="00FA4191" w:rsidP="00451A78">
      <w:pPr>
        <w:pStyle w:val="TableFooter"/>
      </w:pPr>
      <w:r w:rsidRPr="00F516FD">
        <w:t>c</w:t>
      </w:r>
      <w:r w:rsidR="00451A78" w:rsidRPr="00F516FD">
        <w:t xml:space="preserve"> Calculated using 75% benefit ($72.90) for examination of complexity level 4 biopsy material (MBS item 72823).</w:t>
      </w:r>
    </w:p>
    <w:p w14:paraId="71FB7546" w14:textId="3838CA0D" w:rsidR="00451A78" w:rsidRPr="00F516FD" w:rsidRDefault="00451A78" w:rsidP="00451A78">
      <w:pPr>
        <w:pStyle w:val="TableFooter"/>
      </w:pPr>
      <w:r w:rsidRPr="00F516FD">
        <w:t xml:space="preserve">Source: DCAR Tables </w:t>
      </w:r>
      <w:r w:rsidR="005311BA" w:rsidRPr="00F516FD">
        <w:t>22</w:t>
      </w:r>
      <w:r w:rsidRPr="00F516FD">
        <w:t xml:space="preserve"> and </w:t>
      </w:r>
      <w:r w:rsidR="00AE1DF5" w:rsidRPr="00F516FD">
        <w:t>27</w:t>
      </w:r>
    </w:p>
    <w:p w14:paraId="7A6ACDF4" w14:textId="66F77356" w:rsidR="00F46F91" w:rsidRPr="00F516FD" w:rsidRDefault="00D9333E" w:rsidP="007D5CB7">
      <w:r w:rsidRPr="00F516FD">
        <w:t>The combined financial implications</w:t>
      </w:r>
      <w:r w:rsidR="00B808B3" w:rsidRPr="00F516FD">
        <w:t xml:space="preserve"> to the MBS of the proposed change</w:t>
      </w:r>
      <w:r w:rsidR="001C79A6" w:rsidRPr="00F516FD">
        <w:t xml:space="preserve"> in complexity levels for histopathological placental examination for all three populations</w:t>
      </w:r>
      <w:r w:rsidR="00601646" w:rsidRPr="00F516FD">
        <w:t xml:space="preserve"> based on real-world data</w:t>
      </w:r>
      <w:r w:rsidR="001C79A6" w:rsidRPr="00F516FD">
        <w:t xml:space="preserve"> are </w:t>
      </w:r>
      <w:r w:rsidR="00FC1E8F" w:rsidRPr="00F516FD">
        <w:t xml:space="preserve">summarised in </w:t>
      </w:r>
      <w:r w:rsidR="0003127A" w:rsidRPr="00F516FD">
        <w:fldChar w:fldCharType="begin"/>
      </w:r>
      <w:r w:rsidR="0003127A" w:rsidRPr="00F516FD">
        <w:instrText xml:space="preserve"> REF _Ref170743555 \h </w:instrText>
      </w:r>
      <w:r w:rsidR="00F516FD">
        <w:instrText xml:space="preserve"> \* MERGEFORMAT </w:instrText>
      </w:r>
      <w:r w:rsidR="0003127A" w:rsidRPr="00F516FD">
        <w:fldChar w:fldCharType="separate"/>
      </w:r>
      <w:r w:rsidR="002A4535" w:rsidRPr="00F516FD">
        <w:t xml:space="preserve">Table </w:t>
      </w:r>
      <w:r w:rsidR="002A4535" w:rsidRPr="00F516FD">
        <w:rPr>
          <w:noProof/>
        </w:rPr>
        <w:t>12</w:t>
      </w:r>
      <w:r w:rsidR="0003127A" w:rsidRPr="00F516FD">
        <w:fldChar w:fldCharType="end"/>
      </w:r>
      <w:r w:rsidR="00FC1E8F" w:rsidRPr="00F516FD">
        <w:t xml:space="preserve">. As seen in the financial estimates from the epidemiological data, </w:t>
      </w:r>
      <w:r w:rsidR="009B699F" w:rsidRPr="00F516FD">
        <w:t xml:space="preserve">increasing the complexity of level 4 services to level 5 for Populations 2 </w:t>
      </w:r>
      <w:r w:rsidR="00580FE3" w:rsidRPr="00F516FD">
        <w:t>and 3 was estimated to have the largest net financial impact to the MBS.</w:t>
      </w:r>
    </w:p>
    <w:p w14:paraId="5ECC6ADC" w14:textId="606E39F9" w:rsidR="00580FE3" w:rsidRPr="00F516FD" w:rsidRDefault="00580FE3" w:rsidP="006E406C">
      <w:pPr>
        <w:pStyle w:val="Caption"/>
      </w:pPr>
      <w:bookmarkStart w:id="44" w:name="_Ref170743555"/>
      <w:r w:rsidRPr="00F516FD">
        <w:lastRenderedPageBreak/>
        <w:t xml:space="preserve">Table </w:t>
      </w:r>
      <w:r w:rsidRPr="00F516FD">
        <w:fldChar w:fldCharType="begin"/>
      </w:r>
      <w:r w:rsidRPr="00F516FD">
        <w:instrText>SEQ Table \* ARABIC</w:instrText>
      </w:r>
      <w:r w:rsidRPr="00F516FD">
        <w:fldChar w:fldCharType="separate"/>
      </w:r>
      <w:r w:rsidR="002A4535" w:rsidRPr="00F516FD">
        <w:rPr>
          <w:noProof/>
        </w:rPr>
        <w:t>12</w:t>
      </w:r>
      <w:r w:rsidRPr="00F516FD">
        <w:fldChar w:fldCharType="end"/>
      </w:r>
      <w:bookmarkEnd w:id="44"/>
      <w:r w:rsidR="00AC1A5E" w:rsidRPr="00F516FD">
        <w:tab/>
        <w:t>Net financial impact to the MBS of increasing the complexity of level 4 services to level</w:t>
      </w:r>
      <w:r w:rsidR="00C477A5" w:rsidRPr="00F516FD">
        <w:t xml:space="preserve"> </w:t>
      </w:r>
      <w:r w:rsidR="00655915" w:rsidRPr="00F516FD">
        <w:t>5</w:t>
      </w:r>
      <w:r w:rsidR="00AC1A5E" w:rsidRPr="00F516FD">
        <w:t xml:space="preserve"> (Populations 2 and 3) o</w:t>
      </w:r>
      <w:r w:rsidR="00655915" w:rsidRPr="00F516FD">
        <w:t>r</w:t>
      </w:r>
      <w:r w:rsidR="00AC1A5E" w:rsidRPr="00F516FD">
        <w:t xml:space="preserve"> level 6 (Population 1)</w:t>
      </w:r>
      <w:r w:rsidR="00FC076F" w:rsidRPr="00F516FD">
        <w:t xml:space="preserve">, </w:t>
      </w:r>
      <w:r w:rsidR="00C22A30" w:rsidRPr="00F516FD">
        <w:t>using</w:t>
      </w:r>
      <w:r w:rsidR="00FC076F" w:rsidRPr="00F516FD">
        <w:t xml:space="preserve"> real</w:t>
      </w:r>
      <w:r w:rsidR="00C22A30" w:rsidRPr="00F516FD">
        <w:t>-</w:t>
      </w:r>
      <w:r w:rsidR="00FC076F" w:rsidRPr="00F516FD">
        <w:t xml:space="preserve">world </w:t>
      </w:r>
      <w:proofErr w:type="gramStart"/>
      <w:r w:rsidR="00FC076F" w:rsidRPr="00F516FD">
        <w:t>data</w:t>
      </w:r>
      <w:proofErr w:type="gramEnd"/>
    </w:p>
    <w:tbl>
      <w:tblPr>
        <w:tblStyle w:val="TableGrid"/>
        <w:tblW w:w="5000" w:type="pct"/>
        <w:tblLook w:val="04A0" w:firstRow="1" w:lastRow="0" w:firstColumn="1" w:lastColumn="0" w:noHBand="0" w:noVBand="1"/>
        <w:tblCaption w:val="Net financial impact to the MBS of increasing the complexity of level 4 services to level (Populations 2 and 3) of level 6 (Population 1)"/>
        <w:tblDescription w:val="The table summarises the net financial impact to the MBS over the 6-year period for all populations."/>
      </w:tblPr>
      <w:tblGrid>
        <w:gridCol w:w="2262"/>
        <w:gridCol w:w="1125"/>
        <w:gridCol w:w="1006"/>
        <w:gridCol w:w="119"/>
        <w:gridCol w:w="162"/>
        <w:gridCol w:w="240"/>
        <w:gridCol w:w="615"/>
        <w:gridCol w:w="108"/>
        <w:gridCol w:w="128"/>
        <w:gridCol w:w="283"/>
        <w:gridCol w:w="252"/>
        <w:gridCol w:w="361"/>
        <w:gridCol w:w="101"/>
        <w:gridCol w:w="1033"/>
        <w:gridCol w:w="101"/>
        <w:gridCol w:w="1120"/>
      </w:tblGrid>
      <w:tr w:rsidR="00580FE3" w:rsidRPr="00F516FD" w14:paraId="0B6DB87F" w14:textId="77777777" w:rsidTr="006E406C">
        <w:trPr>
          <w:tblHeader/>
        </w:trPr>
        <w:tc>
          <w:tcPr>
            <w:tcW w:w="1254" w:type="pct"/>
            <w:tcBorders>
              <w:bottom w:val="single" w:sz="4" w:space="0" w:color="auto"/>
            </w:tcBorders>
            <w:tcMar>
              <w:left w:w="57" w:type="dxa"/>
              <w:right w:w="57" w:type="dxa"/>
            </w:tcMar>
          </w:tcPr>
          <w:p w14:paraId="6CF436FE" w14:textId="77777777" w:rsidR="00580FE3" w:rsidRPr="00F516FD" w:rsidRDefault="00580FE3" w:rsidP="00655915">
            <w:pPr>
              <w:pStyle w:val="TableHeading0"/>
              <w:keepNext/>
            </w:pPr>
            <w:r w:rsidRPr="00F516FD">
              <w:t>Parameter</w:t>
            </w:r>
          </w:p>
        </w:tc>
        <w:tc>
          <w:tcPr>
            <w:tcW w:w="624" w:type="pct"/>
            <w:tcBorders>
              <w:bottom w:val="single" w:sz="4" w:space="0" w:color="auto"/>
            </w:tcBorders>
            <w:tcMar>
              <w:left w:w="57" w:type="dxa"/>
              <w:right w:w="57" w:type="dxa"/>
            </w:tcMar>
          </w:tcPr>
          <w:p w14:paraId="6FEEA69C" w14:textId="77777777" w:rsidR="00580FE3" w:rsidRPr="00F516FD" w:rsidRDefault="00580FE3" w:rsidP="00655915">
            <w:pPr>
              <w:pStyle w:val="TableHeading0"/>
              <w:keepNext/>
            </w:pPr>
            <w:r w:rsidRPr="00F516FD">
              <w:t>FY 2025–26</w:t>
            </w:r>
          </w:p>
        </w:tc>
        <w:tc>
          <w:tcPr>
            <w:tcW w:w="624" w:type="pct"/>
            <w:gridSpan w:val="2"/>
            <w:tcBorders>
              <w:bottom w:val="single" w:sz="4" w:space="0" w:color="auto"/>
            </w:tcBorders>
            <w:tcMar>
              <w:left w:w="57" w:type="dxa"/>
              <w:right w:w="57" w:type="dxa"/>
            </w:tcMar>
          </w:tcPr>
          <w:p w14:paraId="317A94A7" w14:textId="77777777" w:rsidR="00580FE3" w:rsidRPr="00F516FD" w:rsidRDefault="00580FE3" w:rsidP="00655915">
            <w:pPr>
              <w:pStyle w:val="TableHeading0"/>
              <w:keepNext/>
            </w:pPr>
            <w:r w:rsidRPr="00F516FD">
              <w:t>FY 2026–27</w:t>
            </w:r>
          </w:p>
        </w:tc>
        <w:tc>
          <w:tcPr>
            <w:tcW w:w="624" w:type="pct"/>
            <w:gridSpan w:val="4"/>
            <w:tcBorders>
              <w:bottom w:val="single" w:sz="4" w:space="0" w:color="auto"/>
            </w:tcBorders>
            <w:tcMar>
              <w:left w:w="57" w:type="dxa"/>
              <w:right w:w="57" w:type="dxa"/>
            </w:tcMar>
          </w:tcPr>
          <w:p w14:paraId="46A58663" w14:textId="77777777" w:rsidR="00580FE3" w:rsidRPr="00F516FD" w:rsidRDefault="00580FE3" w:rsidP="00655915">
            <w:pPr>
              <w:pStyle w:val="TableHeading0"/>
              <w:keepNext/>
            </w:pPr>
            <w:r w:rsidRPr="00F516FD">
              <w:t>FY 2027–28</w:t>
            </w:r>
          </w:p>
        </w:tc>
        <w:tc>
          <w:tcPr>
            <w:tcW w:w="624" w:type="pct"/>
            <w:gridSpan w:val="5"/>
            <w:tcBorders>
              <w:bottom w:val="single" w:sz="4" w:space="0" w:color="auto"/>
            </w:tcBorders>
            <w:tcMar>
              <w:left w:w="57" w:type="dxa"/>
              <w:right w:w="57" w:type="dxa"/>
            </w:tcMar>
          </w:tcPr>
          <w:p w14:paraId="572154E3" w14:textId="77777777" w:rsidR="00580FE3" w:rsidRPr="00F516FD" w:rsidRDefault="00580FE3" w:rsidP="00655915">
            <w:pPr>
              <w:pStyle w:val="TableHeading0"/>
              <w:keepNext/>
            </w:pPr>
            <w:r w:rsidRPr="00F516FD">
              <w:t>FY 2028–29</w:t>
            </w:r>
          </w:p>
        </w:tc>
        <w:tc>
          <w:tcPr>
            <w:tcW w:w="624" w:type="pct"/>
            <w:gridSpan w:val="2"/>
            <w:tcBorders>
              <w:bottom w:val="single" w:sz="4" w:space="0" w:color="auto"/>
            </w:tcBorders>
            <w:tcMar>
              <w:left w:w="57" w:type="dxa"/>
              <w:right w:w="57" w:type="dxa"/>
            </w:tcMar>
          </w:tcPr>
          <w:p w14:paraId="34C268E6" w14:textId="77777777" w:rsidR="00580FE3" w:rsidRPr="00F516FD" w:rsidRDefault="00580FE3" w:rsidP="00655915">
            <w:pPr>
              <w:pStyle w:val="TableHeading0"/>
              <w:keepNext/>
            </w:pPr>
            <w:r w:rsidRPr="00F516FD">
              <w:t>FY 2029–30</w:t>
            </w:r>
          </w:p>
        </w:tc>
        <w:tc>
          <w:tcPr>
            <w:tcW w:w="624" w:type="pct"/>
            <w:tcBorders>
              <w:bottom w:val="single" w:sz="4" w:space="0" w:color="auto"/>
            </w:tcBorders>
            <w:tcMar>
              <w:left w:w="57" w:type="dxa"/>
              <w:right w:w="57" w:type="dxa"/>
            </w:tcMar>
          </w:tcPr>
          <w:p w14:paraId="213F10A1" w14:textId="77777777" w:rsidR="00580FE3" w:rsidRPr="00F516FD" w:rsidRDefault="00580FE3" w:rsidP="00655915">
            <w:pPr>
              <w:pStyle w:val="TableHeading0"/>
              <w:keepNext/>
            </w:pPr>
            <w:r w:rsidRPr="00F516FD">
              <w:t>FY 2030–31</w:t>
            </w:r>
          </w:p>
        </w:tc>
      </w:tr>
      <w:tr w:rsidR="00580FE3" w:rsidRPr="00F516FD" w14:paraId="2E323E63" w14:textId="77777777" w:rsidTr="00B70E9A">
        <w:tc>
          <w:tcPr>
            <w:tcW w:w="3066" w:type="pct"/>
            <w:gridSpan w:val="7"/>
            <w:tcBorders>
              <w:right w:val="nil"/>
            </w:tcBorders>
            <w:tcMar>
              <w:left w:w="57" w:type="dxa"/>
              <w:right w:w="57" w:type="dxa"/>
            </w:tcMar>
          </w:tcPr>
          <w:p w14:paraId="0B4BA8F8" w14:textId="77777777" w:rsidR="00580FE3" w:rsidRPr="00F516FD" w:rsidRDefault="00580FE3" w:rsidP="00655915">
            <w:pPr>
              <w:pStyle w:val="Tabletext0"/>
              <w:keepNext/>
              <w:rPr>
                <w:b/>
                <w:bCs/>
              </w:rPr>
            </w:pPr>
            <w:r w:rsidRPr="00F516FD">
              <w:rPr>
                <w:b/>
                <w:bCs/>
              </w:rPr>
              <w:t>Estimated use and cost of the proposed health technology</w:t>
            </w:r>
          </w:p>
        </w:tc>
        <w:tc>
          <w:tcPr>
            <w:tcW w:w="131" w:type="pct"/>
            <w:gridSpan w:val="2"/>
            <w:tcBorders>
              <w:left w:val="nil"/>
              <w:right w:val="nil"/>
            </w:tcBorders>
            <w:tcMar>
              <w:left w:w="57" w:type="dxa"/>
              <w:right w:w="57" w:type="dxa"/>
            </w:tcMar>
          </w:tcPr>
          <w:p w14:paraId="709DFAD9" w14:textId="77777777" w:rsidR="00580FE3" w:rsidRPr="00F516FD" w:rsidRDefault="00580FE3" w:rsidP="00655915">
            <w:pPr>
              <w:pStyle w:val="Tabletext0"/>
              <w:keepNext/>
              <w:rPr>
                <w:b/>
                <w:bCs/>
              </w:rPr>
            </w:pPr>
          </w:p>
        </w:tc>
        <w:tc>
          <w:tcPr>
            <w:tcW w:w="157" w:type="pct"/>
            <w:tcBorders>
              <w:left w:val="nil"/>
              <w:right w:val="nil"/>
            </w:tcBorders>
            <w:tcMar>
              <w:left w:w="57" w:type="dxa"/>
              <w:right w:w="57" w:type="dxa"/>
            </w:tcMar>
          </w:tcPr>
          <w:p w14:paraId="77AD3EFB" w14:textId="77777777" w:rsidR="00580FE3" w:rsidRPr="00F516FD" w:rsidRDefault="00580FE3" w:rsidP="00655915">
            <w:pPr>
              <w:pStyle w:val="Tabletext0"/>
              <w:keepNext/>
              <w:rPr>
                <w:b/>
                <w:bCs/>
              </w:rPr>
            </w:pPr>
          </w:p>
        </w:tc>
        <w:tc>
          <w:tcPr>
            <w:tcW w:w="140" w:type="pct"/>
            <w:tcBorders>
              <w:left w:val="nil"/>
              <w:right w:val="nil"/>
            </w:tcBorders>
            <w:tcMar>
              <w:left w:w="57" w:type="dxa"/>
              <w:right w:w="57" w:type="dxa"/>
            </w:tcMar>
          </w:tcPr>
          <w:p w14:paraId="4C560F9B" w14:textId="77777777" w:rsidR="00580FE3" w:rsidRPr="00F516FD" w:rsidRDefault="00580FE3" w:rsidP="00655915">
            <w:pPr>
              <w:pStyle w:val="Tabletext0"/>
              <w:keepNext/>
              <w:rPr>
                <w:b/>
                <w:bCs/>
              </w:rPr>
            </w:pPr>
          </w:p>
        </w:tc>
        <w:tc>
          <w:tcPr>
            <w:tcW w:w="256" w:type="pct"/>
            <w:gridSpan w:val="2"/>
            <w:tcBorders>
              <w:left w:val="nil"/>
              <w:right w:val="nil"/>
            </w:tcBorders>
            <w:tcMar>
              <w:left w:w="57" w:type="dxa"/>
              <w:right w:w="57" w:type="dxa"/>
            </w:tcMar>
          </w:tcPr>
          <w:p w14:paraId="1CA180DB" w14:textId="77777777" w:rsidR="00580FE3" w:rsidRPr="00F516FD" w:rsidRDefault="00580FE3" w:rsidP="00655915">
            <w:pPr>
              <w:pStyle w:val="Tabletext0"/>
              <w:keepNext/>
              <w:rPr>
                <w:b/>
                <w:bCs/>
              </w:rPr>
            </w:pPr>
          </w:p>
        </w:tc>
        <w:tc>
          <w:tcPr>
            <w:tcW w:w="629" w:type="pct"/>
            <w:gridSpan w:val="2"/>
            <w:tcBorders>
              <w:left w:val="nil"/>
              <w:right w:val="nil"/>
            </w:tcBorders>
            <w:tcMar>
              <w:left w:w="57" w:type="dxa"/>
              <w:right w:w="57" w:type="dxa"/>
            </w:tcMar>
          </w:tcPr>
          <w:p w14:paraId="7AD91956" w14:textId="77777777" w:rsidR="00580FE3" w:rsidRPr="00F516FD" w:rsidRDefault="00580FE3" w:rsidP="00655915">
            <w:pPr>
              <w:pStyle w:val="Tabletext0"/>
              <w:keepNext/>
              <w:rPr>
                <w:b/>
                <w:bCs/>
              </w:rPr>
            </w:pPr>
          </w:p>
        </w:tc>
        <w:tc>
          <w:tcPr>
            <w:tcW w:w="621" w:type="pct"/>
            <w:tcBorders>
              <w:left w:val="nil"/>
            </w:tcBorders>
            <w:tcMar>
              <w:left w:w="57" w:type="dxa"/>
              <w:right w:w="57" w:type="dxa"/>
            </w:tcMar>
          </w:tcPr>
          <w:p w14:paraId="75ADF8E4" w14:textId="77777777" w:rsidR="00580FE3" w:rsidRPr="00F516FD" w:rsidRDefault="00580FE3" w:rsidP="00655915">
            <w:pPr>
              <w:pStyle w:val="Tabletext0"/>
              <w:keepNext/>
              <w:rPr>
                <w:b/>
                <w:bCs/>
              </w:rPr>
            </w:pPr>
          </w:p>
        </w:tc>
      </w:tr>
      <w:tr w:rsidR="007D19F6" w:rsidRPr="00F516FD" w14:paraId="0E8DB1EB" w14:textId="77777777" w:rsidTr="00B70E9A">
        <w:tc>
          <w:tcPr>
            <w:tcW w:w="1254" w:type="pct"/>
            <w:tcBorders>
              <w:bottom w:val="single" w:sz="4" w:space="0" w:color="auto"/>
            </w:tcBorders>
            <w:tcMar>
              <w:left w:w="57" w:type="dxa"/>
              <w:right w:w="57" w:type="dxa"/>
            </w:tcMar>
          </w:tcPr>
          <w:p w14:paraId="589023AC" w14:textId="77777777" w:rsidR="007D19F6" w:rsidRPr="00F516FD" w:rsidRDefault="007D19F6" w:rsidP="007D19F6">
            <w:pPr>
              <w:pStyle w:val="Tabletext0"/>
              <w:jc w:val="left"/>
              <w:rPr>
                <w:vertAlign w:val="superscript"/>
              </w:rPr>
            </w:pPr>
            <w:r w:rsidRPr="00F516FD">
              <w:t xml:space="preserve">Cost of services to the MBS (75% </w:t>
            </w:r>
            <w:proofErr w:type="gramStart"/>
            <w:r w:rsidRPr="00F516FD">
              <w:t>benefit)</w:t>
            </w:r>
            <w:r w:rsidRPr="00F516FD">
              <w:rPr>
                <w:vertAlign w:val="superscript"/>
              </w:rPr>
              <w:t>a</w:t>
            </w:r>
            <w:proofErr w:type="gramEnd"/>
          </w:p>
        </w:tc>
        <w:tc>
          <w:tcPr>
            <w:tcW w:w="624" w:type="pct"/>
            <w:tcBorders>
              <w:bottom w:val="single" w:sz="4" w:space="0" w:color="auto"/>
            </w:tcBorders>
            <w:tcMar>
              <w:left w:w="57" w:type="dxa"/>
              <w:right w:w="57" w:type="dxa"/>
            </w:tcMar>
          </w:tcPr>
          <w:p w14:paraId="2CB550CE" w14:textId="25C590A4" w:rsidR="007D19F6" w:rsidRPr="00F516FD" w:rsidRDefault="007D19F6" w:rsidP="007D19F6">
            <w:pPr>
              <w:pStyle w:val="Tabletext0"/>
              <w:jc w:val="left"/>
            </w:pPr>
            <w:r w:rsidRPr="00F516FD">
              <w:t>$3,068,018</w:t>
            </w:r>
          </w:p>
        </w:tc>
        <w:tc>
          <w:tcPr>
            <w:tcW w:w="624" w:type="pct"/>
            <w:gridSpan w:val="2"/>
            <w:tcBorders>
              <w:bottom w:val="single" w:sz="4" w:space="0" w:color="auto"/>
            </w:tcBorders>
            <w:tcMar>
              <w:left w:w="57" w:type="dxa"/>
              <w:right w:w="57" w:type="dxa"/>
            </w:tcMar>
          </w:tcPr>
          <w:p w14:paraId="42E9C813" w14:textId="74E216A0" w:rsidR="007D19F6" w:rsidRPr="00F516FD" w:rsidRDefault="007D19F6" w:rsidP="007D19F6">
            <w:pPr>
              <w:pStyle w:val="Tabletext0"/>
              <w:jc w:val="left"/>
            </w:pPr>
            <w:r w:rsidRPr="00F516FD">
              <w:t>$3,068,018</w:t>
            </w:r>
          </w:p>
        </w:tc>
        <w:tc>
          <w:tcPr>
            <w:tcW w:w="624" w:type="pct"/>
            <w:gridSpan w:val="4"/>
            <w:tcBorders>
              <w:bottom w:val="single" w:sz="4" w:space="0" w:color="auto"/>
            </w:tcBorders>
            <w:tcMar>
              <w:left w:w="57" w:type="dxa"/>
              <w:right w:w="57" w:type="dxa"/>
            </w:tcMar>
          </w:tcPr>
          <w:p w14:paraId="1DAD678E" w14:textId="0B0FC6C0" w:rsidR="007D19F6" w:rsidRPr="00F516FD" w:rsidRDefault="007D19F6" w:rsidP="007D19F6">
            <w:pPr>
              <w:pStyle w:val="Tabletext0"/>
              <w:jc w:val="left"/>
            </w:pPr>
            <w:r w:rsidRPr="00F516FD">
              <w:t>$3,068,018</w:t>
            </w:r>
          </w:p>
        </w:tc>
        <w:tc>
          <w:tcPr>
            <w:tcW w:w="624" w:type="pct"/>
            <w:gridSpan w:val="5"/>
            <w:tcBorders>
              <w:bottom w:val="single" w:sz="4" w:space="0" w:color="auto"/>
            </w:tcBorders>
            <w:tcMar>
              <w:left w:w="57" w:type="dxa"/>
              <w:right w:w="57" w:type="dxa"/>
            </w:tcMar>
          </w:tcPr>
          <w:p w14:paraId="206A8695" w14:textId="31257CCD" w:rsidR="007D19F6" w:rsidRPr="00F516FD" w:rsidRDefault="007D19F6" w:rsidP="007D19F6">
            <w:pPr>
              <w:pStyle w:val="Tabletext0"/>
              <w:jc w:val="left"/>
            </w:pPr>
            <w:r w:rsidRPr="00F516FD">
              <w:t>$3,068,018</w:t>
            </w:r>
          </w:p>
        </w:tc>
        <w:tc>
          <w:tcPr>
            <w:tcW w:w="629" w:type="pct"/>
            <w:gridSpan w:val="2"/>
            <w:tcBorders>
              <w:bottom w:val="single" w:sz="4" w:space="0" w:color="auto"/>
            </w:tcBorders>
            <w:tcMar>
              <w:left w:w="57" w:type="dxa"/>
              <w:right w:w="57" w:type="dxa"/>
            </w:tcMar>
          </w:tcPr>
          <w:p w14:paraId="31B9CD5C" w14:textId="381A7A2B" w:rsidR="007D19F6" w:rsidRPr="00F516FD" w:rsidRDefault="007D19F6" w:rsidP="007D19F6">
            <w:pPr>
              <w:pStyle w:val="Tabletext0"/>
              <w:jc w:val="left"/>
            </w:pPr>
            <w:r w:rsidRPr="00F516FD">
              <w:t>$3,068,018</w:t>
            </w:r>
          </w:p>
        </w:tc>
        <w:tc>
          <w:tcPr>
            <w:tcW w:w="621" w:type="pct"/>
            <w:tcBorders>
              <w:bottom w:val="single" w:sz="4" w:space="0" w:color="auto"/>
            </w:tcBorders>
            <w:tcMar>
              <w:left w:w="57" w:type="dxa"/>
              <w:right w:w="57" w:type="dxa"/>
            </w:tcMar>
          </w:tcPr>
          <w:p w14:paraId="400803FC" w14:textId="6A3EAAA5" w:rsidR="007D19F6" w:rsidRPr="00F516FD" w:rsidRDefault="007D19F6" w:rsidP="007D19F6">
            <w:pPr>
              <w:pStyle w:val="Tabletext0"/>
              <w:jc w:val="left"/>
            </w:pPr>
            <w:r w:rsidRPr="00F516FD">
              <w:t>$3,068,018</w:t>
            </w:r>
          </w:p>
        </w:tc>
      </w:tr>
      <w:tr w:rsidR="00580FE3" w:rsidRPr="00F516FD" w14:paraId="34CE1F6F" w14:textId="77777777" w:rsidTr="007855DD">
        <w:tc>
          <w:tcPr>
            <w:tcW w:w="2436" w:type="pct"/>
            <w:gridSpan w:val="3"/>
            <w:tcBorders>
              <w:right w:val="nil"/>
            </w:tcBorders>
            <w:tcMar>
              <w:left w:w="57" w:type="dxa"/>
              <w:right w:w="57" w:type="dxa"/>
            </w:tcMar>
          </w:tcPr>
          <w:p w14:paraId="6CEF2FE7" w14:textId="77777777" w:rsidR="00580FE3" w:rsidRPr="00F516FD" w:rsidRDefault="00580FE3" w:rsidP="00B70E9A">
            <w:pPr>
              <w:pStyle w:val="Tabletext0"/>
              <w:keepNext/>
              <w:jc w:val="left"/>
              <w:rPr>
                <w:b/>
                <w:bCs/>
              </w:rPr>
            </w:pPr>
            <w:r w:rsidRPr="00F516FD">
              <w:rPr>
                <w:b/>
                <w:bCs/>
              </w:rPr>
              <w:t>Change in use and cost of other health technologies</w:t>
            </w:r>
          </w:p>
        </w:tc>
        <w:tc>
          <w:tcPr>
            <w:tcW w:w="156" w:type="pct"/>
            <w:gridSpan w:val="2"/>
            <w:tcBorders>
              <w:left w:val="nil"/>
              <w:right w:val="nil"/>
            </w:tcBorders>
            <w:tcMar>
              <w:left w:w="57" w:type="dxa"/>
              <w:right w:w="57" w:type="dxa"/>
            </w:tcMar>
          </w:tcPr>
          <w:p w14:paraId="2F0D9F37" w14:textId="77777777" w:rsidR="00580FE3" w:rsidRPr="00F516FD" w:rsidRDefault="00580FE3" w:rsidP="00B70E9A">
            <w:pPr>
              <w:pStyle w:val="Tabletext0"/>
              <w:keepNext/>
              <w:jc w:val="left"/>
              <w:rPr>
                <w:b/>
                <w:bCs/>
              </w:rPr>
            </w:pPr>
          </w:p>
        </w:tc>
        <w:tc>
          <w:tcPr>
            <w:tcW w:w="133" w:type="pct"/>
            <w:tcBorders>
              <w:left w:val="nil"/>
              <w:right w:val="nil"/>
            </w:tcBorders>
            <w:tcMar>
              <w:left w:w="57" w:type="dxa"/>
              <w:right w:w="57" w:type="dxa"/>
            </w:tcMar>
          </w:tcPr>
          <w:p w14:paraId="38A1C2D8" w14:textId="77777777" w:rsidR="00580FE3" w:rsidRPr="00F516FD" w:rsidRDefault="00580FE3" w:rsidP="00B70E9A">
            <w:pPr>
              <w:pStyle w:val="Tabletext0"/>
              <w:keepNext/>
              <w:jc w:val="left"/>
              <w:rPr>
                <w:b/>
                <w:bCs/>
              </w:rPr>
            </w:pPr>
          </w:p>
        </w:tc>
        <w:tc>
          <w:tcPr>
            <w:tcW w:w="341" w:type="pct"/>
            <w:tcBorders>
              <w:left w:val="nil"/>
              <w:right w:val="nil"/>
            </w:tcBorders>
            <w:tcMar>
              <w:left w:w="57" w:type="dxa"/>
              <w:right w:w="57" w:type="dxa"/>
            </w:tcMar>
          </w:tcPr>
          <w:p w14:paraId="30BCA559" w14:textId="77777777" w:rsidR="00580FE3" w:rsidRPr="00F516FD" w:rsidRDefault="00580FE3" w:rsidP="00B70E9A">
            <w:pPr>
              <w:pStyle w:val="Tabletext0"/>
              <w:keepNext/>
              <w:jc w:val="left"/>
              <w:rPr>
                <w:b/>
                <w:bCs/>
              </w:rPr>
            </w:pPr>
          </w:p>
        </w:tc>
        <w:tc>
          <w:tcPr>
            <w:tcW w:w="628" w:type="pct"/>
            <w:gridSpan w:val="5"/>
            <w:tcBorders>
              <w:left w:val="nil"/>
              <w:right w:val="nil"/>
            </w:tcBorders>
            <w:tcMar>
              <w:left w:w="57" w:type="dxa"/>
              <w:right w:w="57" w:type="dxa"/>
            </w:tcMar>
          </w:tcPr>
          <w:p w14:paraId="502008BE" w14:textId="77777777" w:rsidR="00580FE3" w:rsidRPr="00F516FD" w:rsidRDefault="00580FE3" w:rsidP="00B70E9A">
            <w:pPr>
              <w:pStyle w:val="Tabletext0"/>
              <w:keepNext/>
              <w:jc w:val="left"/>
              <w:rPr>
                <w:b/>
                <w:bCs/>
              </w:rPr>
            </w:pPr>
          </w:p>
        </w:tc>
        <w:tc>
          <w:tcPr>
            <w:tcW w:w="629" w:type="pct"/>
            <w:gridSpan w:val="2"/>
            <w:tcBorders>
              <w:left w:val="nil"/>
              <w:right w:val="nil"/>
            </w:tcBorders>
            <w:tcMar>
              <w:left w:w="57" w:type="dxa"/>
              <w:right w:w="57" w:type="dxa"/>
            </w:tcMar>
          </w:tcPr>
          <w:p w14:paraId="77FC50D0" w14:textId="77777777" w:rsidR="00580FE3" w:rsidRPr="00F516FD" w:rsidRDefault="00580FE3" w:rsidP="00B70E9A">
            <w:pPr>
              <w:pStyle w:val="Tabletext0"/>
              <w:keepNext/>
              <w:jc w:val="left"/>
              <w:rPr>
                <w:b/>
                <w:bCs/>
              </w:rPr>
            </w:pPr>
          </w:p>
        </w:tc>
        <w:tc>
          <w:tcPr>
            <w:tcW w:w="677" w:type="pct"/>
            <w:gridSpan w:val="2"/>
            <w:tcBorders>
              <w:left w:val="nil"/>
            </w:tcBorders>
            <w:tcMar>
              <w:left w:w="57" w:type="dxa"/>
              <w:right w:w="57" w:type="dxa"/>
            </w:tcMar>
          </w:tcPr>
          <w:p w14:paraId="25B53C11" w14:textId="77777777" w:rsidR="00580FE3" w:rsidRPr="00F516FD" w:rsidRDefault="00580FE3" w:rsidP="00B70E9A">
            <w:pPr>
              <w:pStyle w:val="Tabletext0"/>
              <w:keepNext/>
              <w:jc w:val="left"/>
              <w:rPr>
                <w:b/>
                <w:bCs/>
              </w:rPr>
            </w:pPr>
          </w:p>
        </w:tc>
      </w:tr>
      <w:tr w:rsidR="007D19F6" w:rsidRPr="00F516FD" w14:paraId="6350FB14" w14:textId="77777777" w:rsidTr="00B70E9A">
        <w:tc>
          <w:tcPr>
            <w:tcW w:w="1254" w:type="pct"/>
            <w:tcMar>
              <w:left w:w="57" w:type="dxa"/>
              <w:right w:w="57" w:type="dxa"/>
            </w:tcMar>
          </w:tcPr>
          <w:p w14:paraId="6298B532" w14:textId="77777777" w:rsidR="007D19F6" w:rsidRPr="00F516FD" w:rsidRDefault="007D19F6" w:rsidP="007D19F6">
            <w:pPr>
              <w:pStyle w:val="Tabletext0"/>
              <w:jc w:val="left"/>
              <w:rPr>
                <w:vertAlign w:val="superscript"/>
              </w:rPr>
            </w:pPr>
            <w:r w:rsidRPr="00F516FD">
              <w:t xml:space="preserve">Cost of level 4 service to the MBS (75% </w:t>
            </w:r>
            <w:proofErr w:type="gramStart"/>
            <w:r w:rsidRPr="00F516FD">
              <w:t>benefit)</w:t>
            </w:r>
            <w:r w:rsidRPr="00F516FD">
              <w:rPr>
                <w:vertAlign w:val="superscript"/>
              </w:rPr>
              <w:t>b</w:t>
            </w:r>
            <w:proofErr w:type="gramEnd"/>
          </w:p>
        </w:tc>
        <w:tc>
          <w:tcPr>
            <w:tcW w:w="624" w:type="pct"/>
            <w:tcMar>
              <w:left w:w="57" w:type="dxa"/>
              <w:right w:w="57" w:type="dxa"/>
            </w:tcMar>
          </w:tcPr>
          <w:p w14:paraId="176C3122" w14:textId="2FD0E119" w:rsidR="007D19F6" w:rsidRPr="00F516FD" w:rsidRDefault="007D19F6" w:rsidP="007D19F6">
            <w:pPr>
              <w:pStyle w:val="Tabletext0"/>
              <w:jc w:val="left"/>
            </w:pPr>
            <w:r w:rsidRPr="00F516FD">
              <w:t>-$1,070,265</w:t>
            </w:r>
          </w:p>
        </w:tc>
        <w:tc>
          <w:tcPr>
            <w:tcW w:w="624" w:type="pct"/>
            <w:gridSpan w:val="2"/>
            <w:tcMar>
              <w:left w:w="57" w:type="dxa"/>
              <w:right w:w="57" w:type="dxa"/>
            </w:tcMar>
          </w:tcPr>
          <w:p w14:paraId="2CA5A365" w14:textId="04754C79" w:rsidR="007D19F6" w:rsidRPr="00F516FD" w:rsidRDefault="007D19F6" w:rsidP="007D19F6">
            <w:pPr>
              <w:pStyle w:val="Tabletext0"/>
              <w:jc w:val="left"/>
            </w:pPr>
            <w:r w:rsidRPr="00F516FD">
              <w:t>-$1,070,265</w:t>
            </w:r>
          </w:p>
        </w:tc>
        <w:tc>
          <w:tcPr>
            <w:tcW w:w="624" w:type="pct"/>
            <w:gridSpan w:val="4"/>
            <w:tcMar>
              <w:left w:w="57" w:type="dxa"/>
              <w:right w:w="57" w:type="dxa"/>
            </w:tcMar>
          </w:tcPr>
          <w:p w14:paraId="697A1C73" w14:textId="57DE2D14" w:rsidR="007D19F6" w:rsidRPr="00F516FD" w:rsidRDefault="007D19F6" w:rsidP="007D19F6">
            <w:pPr>
              <w:pStyle w:val="Tabletext0"/>
              <w:jc w:val="left"/>
            </w:pPr>
            <w:r w:rsidRPr="00F516FD">
              <w:t>-$1,070,265</w:t>
            </w:r>
          </w:p>
        </w:tc>
        <w:tc>
          <w:tcPr>
            <w:tcW w:w="624" w:type="pct"/>
            <w:gridSpan w:val="5"/>
            <w:tcMar>
              <w:left w:w="57" w:type="dxa"/>
              <w:right w:w="57" w:type="dxa"/>
            </w:tcMar>
          </w:tcPr>
          <w:p w14:paraId="0CA261EA" w14:textId="644269FE" w:rsidR="007D19F6" w:rsidRPr="00F516FD" w:rsidRDefault="007D19F6" w:rsidP="007D19F6">
            <w:pPr>
              <w:pStyle w:val="Tabletext0"/>
              <w:jc w:val="left"/>
            </w:pPr>
            <w:r w:rsidRPr="00F516FD">
              <w:t>-$1,070,265</w:t>
            </w:r>
          </w:p>
        </w:tc>
        <w:tc>
          <w:tcPr>
            <w:tcW w:w="629" w:type="pct"/>
            <w:gridSpan w:val="2"/>
            <w:tcMar>
              <w:left w:w="57" w:type="dxa"/>
              <w:right w:w="57" w:type="dxa"/>
            </w:tcMar>
          </w:tcPr>
          <w:p w14:paraId="4C930455" w14:textId="24CFC7D3" w:rsidR="007D19F6" w:rsidRPr="00F516FD" w:rsidRDefault="007D19F6" w:rsidP="007D19F6">
            <w:pPr>
              <w:pStyle w:val="Tabletext0"/>
              <w:jc w:val="left"/>
            </w:pPr>
            <w:r w:rsidRPr="00F516FD">
              <w:t>-$1,070,265</w:t>
            </w:r>
          </w:p>
        </w:tc>
        <w:tc>
          <w:tcPr>
            <w:tcW w:w="621" w:type="pct"/>
            <w:tcMar>
              <w:left w:w="57" w:type="dxa"/>
              <w:right w:w="57" w:type="dxa"/>
            </w:tcMar>
          </w:tcPr>
          <w:p w14:paraId="3F19FECE" w14:textId="573D0BF1" w:rsidR="007D19F6" w:rsidRPr="00F516FD" w:rsidRDefault="007D19F6" w:rsidP="007D19F6">
            <w:pPr>
              <w:pStyle w:val="Tabletext0"/>
              <w:jc w:val="left"/>
            </w:pPr>
            <w:r w:rsidRPr="00F516FD">
              <w:t>-$1,070,265</w:t>
            </w:r>
          </w:p>
        </w:tc>
      </w:tr>
      <w:tr w:rsidR="009824A1" w:rsidRPr="00F516FD" w14:paraId="18298B07" w14:textId="77777777" w:rsidTr="00B70E9A">
        <w:tc>
          <w:tcPr>
            <w:tcW w:w="1254" w:type="pct"/>
            <w:tcMar>
              <w:left w:w="57" w:type="dxa"/>
              <w:right w:w="57" w:type="dxa"/>
            </w:tcMar>
          </w:tcPr>
          <w:p w14:paraId="34BD0ABA" w14:textId="77777777" w:rsidR="009824A1" w:rsidRPr="00F516FD" w:rsidRDefault="009824A1" w:rsidP="009824A1">
            <w:pPr>
              <w:pStyle w:val="Tabletext0"/>
              <w:jc w:val="left"/>
              <w:rPr>
                <w:b/>
                <w:bCs/>
              </w:rPr>
            </w:pPr>
            <w:r w:rsidRPr="00F516FD">
              <w:rPr>
                <w:b/>
                <w:bCs/>
              </w:rPr>
              <w:t>Net financial impact to the MBS of increasing level 4 to 5 or 6 to the MBS</w:t>
            </w:r>
          </w:p>
        </w:tc>
        <w:tc>
          <w:tcPr>
            <w:tcW w:w="624" w:type="pct"/>
            <w:tcMar>
              <w:left w:w="57" w:type="dxa"/>
              <w:right w:w="57" w:type="dxa"/>
            </w:tcMar>
          </w:tcPr>
          <w:p w14:paraId="535160F4" w14:textId="516FE6A6" w:rsidR="009824A1" w:rsidRPr="00F516FD" w:rsidRDefault="009824A1" w:rsidP="009824A1">
            <w:pPr>
              <w:pStyle w:val="Tabletext0"/>
              <w:jc w:val="left"/>
              <w:rPr>
                <w:b/>
                <w:bCs/>
              </w:rPr>
            </w:pPr>
            <w:r w:rsidRPr="00F516FD">
              <w:rPr>
                <w:b/>
                <w:bCs/>
              </w:rPr>
              <w:t>$1,997,753</w:t>
            </w:r>
          </w:p>
        </w:tc>
        <w:tc>
          <w:tcPr>
            <w:tcW w:w="624" w:type="pct"/>
            <w:gridSpan w:val="2"/>
            <w:tcMar>
              <w:left w:w="57" w:type="dxa"/>
              <w:right w:w="57" w:type="dxa"/>
            </w:tcMar>
          </w:tcPr>
          <w:p w14:paraId="7401533E" w14:textId="394339A9" w:rsidR="009824A1" w:rsidRPr="00F516FD" w:rsidRDefault="009824A1" w:rsidP="009824A1">
            <w:pPr>
              <w:pStyle w:val="Tabletext0"/>
              <w:jc w:val="left"/>
              <w:rPr>
                <w:b/>
                <w:bCs/>
              </w:rPr>
            </w:pPr>
            <w:r w:rsidRPr="00F516FD">
              <w:rPr>
                <w:b/>
                <w:bCs/>
              </w:rPr>
              <w:t>$1,997,753</w:t>
            </w:r>
          </w:p>
        </w:tc>
        <w:tc>
          <w:tcPr>
            <w:tcW w:w="624" w:type="pct"/>
            <w:gridSpan w:val="4"/>
            <w:tcMar>
              <w:left w:w="57" w:type="dxa"/>
              <w:right w:w="57" w:type="dxa"/>
            </w:tcMar>
          </w:tcPr>
          <w:p w14:paraId="71E37339" w14:textId="3ED57C9C" w:rsidR="009824A1" w:rsidRPr="00F516FD" w:rsidRDefault="009824A1" w:rsidP="009824A1">
            <w:pPr>
              <w:pStyle w:val="Tabletext0"/>
              <w:jc w:val="left"/>
              <w:rPr>
                <w:b/>
                <w:bCs/>
              </w:rPr>
            </w:pPr>
            <w:r w:rsidRPr="00F516FD">
              <w:rPr>
                <w:b/>
                <w:bCs/>
              </w:rPr>
              <w:t>$1,997,753</w:t>
            </w:r>
          </w:p>
        </w:tc>
        <w:tc>
          <w:tcPr>
            <w:tcW w:w="624" w:type="pct"/>
            <w:gridSpan w:val="5"/>
            <w:tcMar>
              <w:left w:w="57" w:type="dxa"/>
              <w:right w:w="57" w:type="dxa"/>
            </w:tcMar>
          </w:tcPr>
          <w:p w14:paraId="3DC83BBB" w14:textId="4D6928C3" w:rsidR="009824A1" w:rsidRPr="00F516FD" w:rsidRDefault="009824A1" w:rsidP="009824A1">
            <w:pPr>
              <w:pStyle w:val="Tabletext0"/>
              <w:jc w:val="left"/>
              <w:rPr>
                <w:b/>
                <w:bCs/>
              </w:rPr>
            </w:pPr>
            <w:r w:rsidRPr="00F516FD">
              <w:rPr>
                <w:b/>
                <w:bCs/>
              </w:rPr>
              <w:t>$1,997,753</w:t>
            </w:r>
          </w:p>
        </w:tc>
        <w:tc>
          <w:tcPr>
            <w:tcW w:w="629" w:type="pct"/>
            <w:gridSpan w:val="2"/>
            <w:tcMar>
              <w:left w:w="57" w:type="dxa"/>
              <w:right w:w="57" w:type="dxa"/>
            </w:tcMar>
          </w:tcPr>
          <w:p w14:paraId="45A84FAC" w14:textId="7B75C865" w:rsidR="009824A1" w:rsidRPr="00F516FD" w:rsidRDefault="009824A1" w:rsidP="009824A1">
            <w:pPr>
              <w:pStyle w:val="Tabletext0"/>
              <w:jc w:val="left"/>
              <w:rPr>
                <w:b/>
                <w:bCs/>
              </w:rPr>
            </w:pPr>
            <w:r w:rsidRPr="00F516FD">
              <w:rPr>
                <w:b/>
                <w:bCs/>
              </w:rPr>
              <w:t>$1,997,753</w:t>
            </w:r>
          </w:p>
        </w:tc>
        <w:tc>
          <w:tcPr>
            <w:tcW w:w="621" w:type="pct"/>
            <w:tcMar>
              <w:left w:w="57" w:type="dxa"/>
              <w:right w:w="57" w:type="dxa"/>
            </w:tcMar>
          </w:tcPr>
          <w:p w14:paraId="6505520C" w14:textId="3D5647C9" w:rsidR="009824A1" w:rsidRPr="00F516FD" w:rsidRDefault="009824A1" w:rsidP="009824A1">
            <w:pPr>
              <w:pStyle w:val="Tabletext0"/>
              <w:jc w:val="left"/>
              <w:rPr>
                <w:b/>
                <w:bCs/>
              </w:rPr>
            </w:pPr>
            <w:r w:rsidRPr="00F516FD">
              <w:rPr>
                <w:b/>
                <w:bCs/>
              </w:rPr>
              <w:t>$1,997,753</w:t>
            </w:r>
          </w:p>
        </w:tc>
      </w:tr>
    </w:tbl>
    <w:p w14:paraId="0CC737E7" w14:textId="77777777" w:rsidR="00580FE3" w:rsidRPr="00F516FD" w:rsidRDefault="00580FE3" w:rsidP="00580FE3">
      <w:pPr>
        <w:pStyle w:val="TableFooter"/>
      </w:pPr>
      <w:r w:rsidRPr="00F516FD">
        <w:t>FY = financial year; MBS = Medicare Benefits Schedule.</w:t>
      </w:r>
    </w:p>
    <w:p w14:paraId="51B860C6" w14:textId="77777777" w:rsidR="00580FE3" w:rsidRPr="00F516FD" w:rsidRDefault="00580FE3" w:rsidP="00580FE3">
      <w:pPr>
        <w:pStyle w:val="TableFooter"/>
      </w:pPr>
      <w:r w:rsidRPr="00F516FD">
        <w:t>a Calculated by adding the cost of level 5 services with the cost of level 6 services.</w:t>
      </w:r>
    </w:p>
    <w:p w14:paraId="29656D30" w14:textId="77777777" w:rsidR="00580FE3" w:rsidRPr="00F516FD" w:rsidRDefault="00580FE3" w:rsidP="00580FE3">
      <w:pPr>
        <w:pStyle w:val="TableFooter"/>
      </w:pPr>
      <w:r w:rsidRPr="00F516FD">
        <w:t>b Calculated using 75% benefit ($72.90) for examination of complexity level 4 biopsy material (MBS item 72823).</w:t>
      </w:r>
    </w:p>
    <w:p w14:paraId="39EC8E43" w14:textId="1B9C4050" w:rsidR="00580FE3" w:rsidRPr="00F516FD" w:rsidRDefault="00580FE3" w:rsidP="00B70E9A">
      <w:pPr>
        <w:pStyle w:val="TableFooter"/>
      </w:pPr>
      <w:r w:rsidRPr="00F516FD">
        <w:t xml:space="preserve">Source: </w:t>
      </w:r>
      <w:r w:rsidR="009824A1" w:rsidRPr="00F516FD">
        <w:fldChar w:fldCharType="begin"/>
      </w:r>
      <w:r w:rsidR="009824A1" w:rsidRPr="00F516FD">
        <w:instrText xml:space="preserve"> REF _Ref169879720 \h </w:instrText>
      </w:r>
      <w:r w:rsidR="00F516FD">
        <w:instrText xml:space="preserve"> \* MERGEFORMAT </w:instrText>
      </w:r>
      <w:r w:rsidR="009824A1" w:rsidRPr="00F516FD">
        <w:fldChar w:fldCharType="separate"/>
      </w:r>
      <w:r w:rsidR="002A4535" w:rsidRPr="00F516FD">
        <w:t xml:space="preserve">Table </w:t>
      </w:r>
      <w:r w:rsidR="002A4535" w:rsidRPr="00F516FD">
        <w:rPr>
          <w:noProof/>
        </w:rPr>
        <w:t>10</w:t>
      </w:r>
      <w:r w:rsidR="009824A1" w:rsidRPr="00F516FD">
        <w:fldChar w:fldCharType="end"/>
      </w:r>
      <w:r w:rsidRPr="00F516FD">
        <w:t xml:space="preserve"> and </w:t>
      </w:r>
      <w:r w:rsidR="009824A1" w:rsidRPr="00F516FD">
        <w:fldChar w:fldCharType="begin"/>
      </w:r>
      <w:r w:rsidR="009824A1" w:rsidRPr="00F516FD">
        <w:instrText xml:space="preserve"> REF _Ref169879732 \h </w:instrText>
      </w:r>
      <w:r w:rsidR="00F516FD">
        <w:instrText xml:space="preserve"> \* MERGEFORMAT </w:instrText>
      </w:r>
      <w:r w:rsidR="009824A1" w:rsidRPr="00F516FD">
        <w:fldChar w:fldCharType="separate"/>
      </w:r>
      <w:r w:rsidR="002A4535" w:rsidRPr="00F516FD">
        <w:t xml:space="preserve">Table </w:t>
      </w:r>
      <w:r w:rsidR="002A4535" w:rsidRPr="00F516FD">
        <w:rPr>
          <w:noProof/>
        </w:rPr>
        <w:t>11</w:t>
      </w:r>
      <w:r w:rsidR="009824A1" w:rsidRPr="00F516FD">
        <w:fldChar w:fldCharType="end"/>
      </w:r>
      <w:r w:rsidRPr="00F516FD">
        <w:t xml:space="preserve">. </w:t>
      </w:r>
    </w:p>
    <w:p w14:paraId="423F17F4" w14:textId="77777777" w:rsidR="00E2751F" w:rsidRPr="00F516FD" w:rsidRDefault="00E2751F" w:rsidP="00E2751F">
      <w:pPr>
        <w:pStyle w:val="Heading3"/>
      </w:pPr>
      <w:bookmarkStart w:id="45" w:name="_Toc171508502"/>
      <w:r w:rsidRPr="00F516FD">
        <w:t>Uncertainty in the financial estimates</w:t>
      </w:r>
      <w:bookmarkEnd w:id="45"/>
    </w:p>
    <w:p w14:paraId="348E5204" w14:textId="00CC372C" w:rsidR="00601646" w:rsidRPr="00F516FD" w:rsidRDefault="00E2751F" w:rsidP="00E2751F">
      <w:r w:rsidRPr="00F516FD">
        <w:t>To reduce uncertainty in the financial estimates, the analyses have been conduct</w:t>
      </w:r>
      <w:r w:rsidR="00C527D1" w:rsidRPr="00F516FD">
        <w:t>ed</w:t>
      </w:r>
      <w:r w:rsidRPr="00F516FD">
        <w:t xml:space="preserve"> using both an epidemiological approach and </w:t>
      </w:r>
      <w:r w:rsidR="00776D81" w:rsidRPr="00F516FD">
        <w:t xml:space="preserve">a </w:t>
      </w:r>
      <w:r w:rsidRPr="00F516FD">
        <w:t xml:space="preserve">real-world data </w:t>
      </w:r>
      <w:r w:rsidR="00C47E07" w:rsidRPr="00F516FD">
        <w:t xml:space="preserve">approach with </w:t>
      </w:r>
      <w:r w:rsidR="00996952" w:rsidRPr="00F516FD">
        <w:t xml:space="preserve">data </w:t>
      </w:r>
      <w:r w:rsidRPr="00F516FD">
        <w:t xml:space="preserve">provided </w:t>
      </w:r>
      <w:r w:rsidRPr="00785A5D">
        <w:t xml:space="preserve">by </w:t>
      </w:r>
      <w:r w:rsidR="002A045C" w:rsidRPr="00F516FD">
        <w:rPr>
          <w:b/>
          <w:bCs/>
        </w:rPr>
        <w:t>redacted</w:t>
      </w:r>
      <w:r w:rsidRPr="00785A5D">
        <w:t>.</w:t>
      </w:r>
      <w:r w:rsidRPr="00F516FD">
        <w:t xml:space="preserve"> Given that the approaches yielded similar estimates, with a lower overall financial impact estimated using the real-world data, the need for additional uncertainty analyses was reduced.</w:t>
      </w:r>
    </w:p>
    <w:p w14:paraId="4B832EEA" w14:textId="545BEB11" w:rsidR="00601646" w:rsidRPr="00F516FD" w:rsidRDefault="00E2751F" w:rsidP="00601646">
      <w:r w:rsidRPr="00F516FD">
        <w:t>One additional uncertainty analysis was conducted</w:t>
      </w:r>
      <w:r w:rsidR="009F1CA8" w:rsidRPr="00F516FD">
        <w:t>.</w:t>
      </w:r>
      <w:r w:rsidRPr="00F516FD">
        <w:t xml:space="preserve"> </w:t>
      </w:r>
      <w:r w:rsidR="00DB6142" w:rsidRPr="00F516FD">
        <w:t>A</w:t>
      </w:r>
      <w:r w:rsidRPr="00F516FD">
        <w:t>lthough the birth rate and stillbirth rate have remained relatively stable in Australia and are assumed to remain stable over the 6-year period of the analyses, the proposed changes to complexity level 4 placental histopathology services may increase the number of service providers if it is more financially viable to perform.</w:t>
      </w:r>
      <w:r w:rsidR="004967CA" w:rsidRPr="00F516FD">
        <w:t xml:space="preserve"> </w:t>
      </w:r>
      <w:r w:rsidRPr="00F516FD">
        <w:t>A 10% increase in uptake of services per year was applied to the financial analyses (</w:t>
      </w:r>
      <w:r w:rsidR="00C86EBC" w:rsidRPr="00F516FD">
        <w:rPr>
          <w:rFonts w:ascii="Arial Narrow" w:eastAsia="Times New Roman" w:hAnsi="Arial Narrow" w:cs="Times New Roman"/>
          <w:bCs/>
          <w:sz w:val="20"/>
          <w:szCs w:val="20"/>
        </w:rPr>
        <w:fldChar w:fldCharType="begin"/>
      </w:r>
      <w:r w:rsidR="00C86EBC" w:rsidRPr="00F516FD">
        <w:instrText xml:space="preserve"> REF _Ref170744154 \h </w:instrText>
      </w:r>
      <w:r w:rsidR="00F516FD">
        <w:rPr>
          <w:rFonts w:ascii="Arial Narrow" w:eastAsia="Times New Roman" w:hAnsi="Arial Narrow" w:cs="Times New Roman"/>
          <w:bCs/>
          <w:sz w:val="20"/>
          <w:szCs w:val="20"/>
        </w:rPr>
        <w:instrText xml:space="preserve"> \* MERGEFORMAT </w:instrText>
      </w:r>
      <w:r w:rsidR="00C86EBC" w:rsidRPr="00F516FD">
        <w:rPr>
          <w:rFonts w:ascii="Arial Narrow" w:eastAsia="Times New Roman" w:hAnsi="Arial Narrow" w:cs="Times New Roman"/>
          <w:bCs/>
          <w:sz w:val="20"/>
          <w:szCs w:val="20"/>
        </w:rPr>
      </w:r>
      <w:r w:rsidR="00C86EBC" w:rsidRPr="00F516FD">
        <w:rPr>
          <w:rFonts w:ascii="Arial Narrow" w:eastAsia="Times New Roman" w:hAnsi="Arial Narrow" w:cs="Times New Roman"/>
          <w:bCs/>
          <w:sz w:val="20"/>
          <w:szCs w:val="20"/>
        </w:rPr>
        <w:fldChar w:fldCharType="separate"/>
      </w:r>
      <w:r w:rsidR="002A4535" w:rsidRPr="00F516FD">
        <w:t xml:space="preserve">Table </w:t>
      </w:r>
      <w:r w:rsidR="002A4535" w:rsidRPr="00F516FD">
        <w:rPr>
          <w:noProof/>
        </w:rPr>
        <w:t>13</w:t>
      </w:r>
      <w:r w:rsidR="00C86EBC" w:rsidRPr="00F516FD">
        <w:rPr>
          <w:rFonts w:ascii="Arial Narrow" w:eastAsia="Times New Roman" w:hAnsi="Arial Narrow" w:cs="Times New Roman"/>
          <w:bCs/>
          <w:sz w:val="20"/>
          <w:szCs w:val="20"/>
        </w:rPr>
        <w:fldChar w:fldCharType="end"/>
      </w:r>
      <w:r w:rsidRPr="00F516FD">
        <w:t>). While this is unlikely to occur in Populations 1 and 2, it is possible that there could be growth in Population 3 given the indications for placental examination in live births are broader, more varied, and could be influenced by factors such as increased capacity and awareness.</w:t>
      </w:r>
    </w:p>
    <w:p w14:paraId="56978747" w14:textId="41A017DB" w:rsidR="00E2751F" w:rsidRPr="00F516FD" w:rsidRDefault="00E2751F" w:rsidP="00FA5DCA">
      <w:pPr>
        <w:pStyle w:val="Caption"/>
        <w:ind w:left="0" w:firstLine="0"/>
      </w:pPr>
      <w:bookmarkStart w:id="46" w:name="_Ref170744154"/>
      <w:r w:rsidRPr="00F516FD">
        <w:t xml:space="preserve">Table </w:t>
      </w:r>
      <w:r w:rsidRPr="00F516FD">
        <w:fldChar w:fldCharType="begin"/>
      </w:r>
      <w:r w:rsidRPr="00F516FD">
        <w:instrText>SEQ Table \* ARABIC</w:instrText>
      </w:r>
      <w:r w:rsidRPr="00F516FD">
        <w:fldChar w:fldCharType="separate"/>
      </w:r>
      <w:r w:rsidR="002A4535" w:rsidRPr="00F516FD">
        <w:rPr>
          <w:noProof/>
        </w:rPr>
        <w:t>13</w:t>
      </w:r>
      <w:r w:rsidRPr="00F516FD">
        <w:fldChar w:fldCharType="end"/>
      </w:r>
      <w:bookmarkEnd w:id="46"/>
      <w:r w:rsidRPr="00F516FD">
        <w:tab/>
        <w:t xml:space="preserve">Net financial impact to the MBS if service volume increases 10% per year – epidemiological </w:t>
      </w:r>
      <w:proofErr w:type="gramStart"/>
      <w:r w:rsidRPr="00F516FD">
        <w:t>approach</w:t>
      </w:r>
      <w:proofErr w:type="gramEnd"/>
    </w:p>
    <w:tbl>
      <w:tblPr>
        <w:tblStyle w:val="TableGrid"/>
        <w:tblW w:w="9016" w:type="dxa"/>
        <w:tblLayout w:type="fixed"/>
        <w:tblLook w:val="04A0" w:firstRow="1" w:lastRow="0" w:firstColumn="1" w:lastColumn="0" w:noHBand="0" w:noVBand="1"/>
        <w:tblCaption w:val="Table 24. Net financial impact to the MBS if service volume increases 10% per year – epidemiological approach"/>
        <w:tblDescription w:val="Table 24 Net financial impact to the MBS if service volume increases 10% per year – epidemiological approach.&#10;&#10;Sensitivity analysis showing impact from 2024 to 2029 of 10% growth in services per year. "/>
      </w:tblPr>
      <w:tblGrid>
        <w:gridCol w:w="2345"/>
        <w:gridCol w:w="1099"/>
        <w:gridCol w:w="1106"/>
        <w:gridCol w:w="1092"/>
        <w:gridCol w:w="256"/>
        <w:gridCol w:w="281"/>
        <w:gridCol w:w="282"/>
        <w:gridCol w:w="277"/>
        <w:gridCol w:w="626"/>
        <w:gridCol w:w="240"/>
        <w:gridCol w:w="234"/>
        <w:gridCol w:w="312"/>
        <w:gridCol w:w="281"/>
        <w:gridCol w:w="280"/>
        <w:gridCol w:w="305"/>
      </w:tblGrid>
      <w:tr w:rsidR="00E2751F" w:rsidRPr="00F516FD" w14:paraId="57D4B549" w14:textId="77777777" w:rsidTr="00D556DD">
        <w:trPr>
          <w:cantSplit/>
          <w:tblHeader/>
        </w:trPr>
        <w:tc>
          <w:tcPr>
            <w:tcW w:w="2345" w:type="dxa"/>
            <w:tcBorders>
              <w:bottom w:val="single" w:sz="4" w:space="0" w:color="auto"/>
            </w:tcBorders>
            <w:tcMar>
              <w:left w:w="57" w:type="dxa"/>
              <w:right w:w="57" w:type="dxa"/>
            </w:tcMar>
          </w:tcPr>
          <w:p w14:paraId="0E2D96F2" w14:textId="77777777" w:rsidR="00E2751F" w:rsidRPr="00F516FD" w:rsidRDefault="00E2751F">
            <w:pPr>
              <w:pStyle w:val="TableHeading0"/>
            </w:pPr>
            <w:r w:rsidRPr="00F516FD">
              <w:t>Parameter</w:t>
            </w:r>
          </w:p>
        </w:tc>
        <w:tc>
          <w:tcPr>
            <w:tcW w:w="1099" w:type="dxa"/>
            <w:tcBorders>
              <w:bottom w:val="single" w:sz="4" w:space="0" w:color="auto"/>
            </w:tcBorders>
            <w:tcMar>
              <w:left w:w="57" w:type="dxa"/>
              <w:right w:w="57" w:type="dxa"/>
            </w:tcMar>
          </w:tcPr>
          <w:p w14:paraId="060487D3" w14:textId="77777777" w:rsidR="00E2751F" w:rsidRPr="00F516FD" w:rsidRDefault="00E2751F">
            <w:pPr>
              <w:pStyle w:val="TableHeading0"/>
            </w:pPr>
            <w:r w:rsidRPr="00F516FD">
              <w:t>FY 2025–26</w:t>
            </w:r>
          </w:p>
        </w:tc>
        <w:tc>
          <w:tcPr>
            <w:tcW w:w="1106" w:type="dxa"/>
            <w:tcBorders>
              <w:bottom w:val="single" w:sz="4" w:space="0" w:color="auto"/>
            </w:tcBorders>
            <w:tcMar>
              <w:left w:w="57" w:type="dxa"/>
              <w:right w:w="57" w:type="dxa"/>
            </w:tcMar>
          </w:tcPr>
          <w:p w14:paraId="76DB6F2F" w14:textId="77777777" w:rsidR="00E2751F" w:rsidRPr="00F516FD" w:rsidRDefault="00E2751F">
            <w:pPr>
              <w:pStyle w:val="TableHeading0"/>
            </w:pPr>
            <w:r w:rsidRPr="00F516FD">
              <w:t>FY 2026–27</w:t>
            </w:r>
          </w:p>
        </w:tc>
        <w:tc>
          <w:tcPr>
            <w:tcW w:w="1092" w:type="dxa"/>
            <w:tcBorders>
              <w:bottom w:val="single" w:sz="4" w:space="0" w:color="auto"/>
            </w:tcBorders>
            <w:tcMar>
              <w:left w:w="57" w:type="dxa"/>
              <w:right w:w="57" w:type="dxa"/>
            </w:tcMar>
          </w:tcPr>
          <w:p w14:paraId="5B454D7E" w14:textId="77777777" w:rsidR="00E2751F" w:rsidRPr="00F516FD" w:rsidRDefault="00E2751F">
            <w:pPr>
              <w:pStyle w:val="TableHeading0"/>
            </w:pPr>
            <w:r w:rsidRPr="00F516FD">
              <w:t>FY 2027–28</w:t>
            </w:r>
          </w:p>
        </w:tc>
        <w:tc>
          <w:tcPr>
            <w:tcW w:w="1096" w:type="dxa"/>
            <w:gridSpan w:val="4"/>
            <w:tcBorders>
              <w:bottom w:val="single" w:sz="4" w:space="0" w:color="auto"/>
            </w:tcBorders>
            <w:tcMar>
              <w:left w:w="57" w:type="dxa"/>
              <w:right w:w="57" w:type="dxa"/>
            </w:tcMar>
          </w:tcPr>
          <w:p w14:paraId="0CBAB883" w14:textId="77777777" w:rsidR="00E2751F" w:rsidRPr="00F516FD" w:rsidRDefault="00E2751F">
            <w:pPr>
              <w:pStyle w:val="TableHeading0"/>
            </w:pPr>
            <w:r w:rsidRPr="00F516FD">
              <w:t>FY 2028–29</w:t>
            </w:r>
          </w:p>
        </w:tc>
        <w:tc>
          <w:tcPr>
            <w:tcW w:w="1100" w:type="dxa"/>
            <w:gridSpan w:val="3"/>
            <w:tcBorders>
              <w:bottom w:val="single" w:sz="4" w:space="0" w:color="auto"/>
            </w:tcBorders>
            <w:tcMar>
              <w:left w:w="57" w:type="dxa"/>
              <w:right w:w="57" w:type="dxa"/>
            </w:tcMar>
          </w:tcPr>
          <w:p w14:paraId="724535FB" w14:textId="77777777" w:rsidR="00E2751F" w:rsidRPr="00F516FD" w:rsidRDefault="00E2751F">
            <w:pPr>
              <w:pStyle w:val="TableHeading0"/>
            </w:pPr>
            <w:r w:rsidRPr="00F516FD">
              <w:t>FY 2029–30</w:t>
            </w:r>
          </w:p>
        </w:tc>
        <w:tc>
          <w:tcPr>
            <w:tcW w:w="1178" w:type="dxa"/>
            <w:gridSpan w:val="4"/>
            <w:tcBorders>
              <w:bottom w:val="single" w:sz="4" w:space="0" w:color="auto"/>
            </w:tcBorders>
            <w:tcMar>
              <w:left w:w="57" w:type="dxa"/>
              <w:right w:w="57" w:type="dxa"/>
            </w:tcMar>
          </w:tcPr>
          <w:p w14:paraId="6434C775" w14:textId="77777777" w:rsidR="00E2751F" w:rsidRPr="00F516FD" w:rsidRDefault="00E2751F">
            <w:pPr>
              <w:pStyle w:val="TableHeading0"/>
            </w:pPr>
            <w:r w:rsidRPr="00F516FD">
              <w:t>FY 2030–31</w:t>
            </w:r>
          </w:p>
        </w:tc>
      </w:tr>
      <w:tr w:rsidR="00E2751F" w:rsidRPr="00F516FD" w14:paraId="1F1D3AD7" w14:textId="77777777" w:rsidTr="00D556DD">
        <w:trPr>
          <w:cantSplit/>
        </w:trPr>
        <w:tc>
          <w:tcPr>
            <w:tcW w:w="7364" w:type="dxa"/>
            <w:gridSpan w:val="9"/>
            <w:tcBorders>
              <w:right w:val="nil"/>
            </w:tcBorders>
            <w:tcMar>
              <w:left w:w="57" w:type="dxa"/>
              <w:right w:w="57" w:type="dxa"/>
            </w:tcMar>
          </w:tcPr>
          <w:p w14:paraId="163B8CEF" w14:textId="75DF002D" w:rsidR="00E2751F" w:rsidRPr="00F516FD" w:rsidRDefault="00E2751F" w:rsidP="000B0D05">
            <w:pPr>
              <w:pStyle w:val="Tabletext0"/>
              <w:keepNext/>
              <w:jc w:val="left"/>
              <w:rPr>
                <w:b/>
              </w:rPr>
            </w:pPr>
            <w:r w:rsidRPr="00F516FD">
              <w:rPr>
                <w:b/>
              </w:rPr>
              <w:t>Population 1: stillbirth &gt;20 weeks’ gestation</w:t>
            </w:r>
            <w:r w:rsidR="00B068A4" w:rsidRPr="00F516FD">
              <w:rPr>
                <w:b/>
              </w:rPr>
              <w:t xml:space="preserve"> and </w:t>
            </w:r>
            <w:r w:rsidR="00A72AFF" w:rsidRPr="00F516FD">
              <w:rPr>
                <w:b/>
              </w:rPr>
              <w:t>very early neonatal death within 24 hours of birth</w:t>
            </w:r>
            <w:r w:rsidR="00B068A4" w:rsidRPr="00F516FD">
              <w:rPr>
                <w:b/>
              </w:rPr>
              <w:t xml:space="preserve"> (Complexity Level 6)</w:t>
            </w:r>
          </w:p>
        </w:tc>
        <w:tc>
          <w:tcPr>
            <w:tcW w:w="240" w:type="dxa"/>
            <w:tcBorders>
              <w:left w:val="nil"/>
              <w:right w:val="nil"/>
            </w:tcBorders>
            <w:tcMar>
              <w:left w:w="57" w:type="dxa"/>
              <w:right w:w="57" w:type="dxa"/>
            </w:tcMar>
          </w:tcPr>
          <w:p w14:paraId="059A7762" w14:textId="77777777" w:rsidR="00E2751F" w:rsidRPr="00F516FD" w:rsidRDefault="00E2751F" w:rsidP="000B0D05">
            <w:pPr>
              <w:pStyle w:val="Tabletext0"/>
              <w:keepNext/>
              <w:jc w:val="left"/>
              <w:rPr>
                <w:b/>
              </w:rPr>
            </w:pPr>
          </w:p>
        </w:tc>
        <w:tc>
          <w:tcPr>
            <w:tcW w:w="234" w:type="dxa"/>
            <w:tcBorders>
              <w:left w:val="nil"/>
              <w:right w:val="nil"/>
            </w:tcBorders>
            <w:tcMar>
              <w:left w:w="57" w:type="dxa"/>
              <w:right w:w="57" w:type="dxa"/>
            </w:tcMar>
          </w:tcPr>
          <w:p w14:paraId="11E293D1" w14:textId="77777777" w:rsidR="00E2751F" w:rsidRPr="00F516FD" w:rsidRDefault="00E2751F" w:rsidP="000B0D05">
            <w:pPr>
              <w:pStyle w:val="Tabletext0"/>
              <w:keepNext/>
              <w:jc w:val="left"/>
              <w:rPr>
                <w:b/>
              </w:rPr>
            </w:pPr>
          </w:p>
        </w:tc>
        <w:tc>
          <w:tcPr>
            <w:tcW w:w="312" w:type="dxa"/>
            <w:tcBorders>
              <w:left w:val="nil"/>
              <w:right w:val="nil"/>
            </w:tcBorders>
            <w:tcMar>
              <w:left w:w="57" w:type="dxa"/>
              <w:right w:w="57" w:type="dxa"/>
            </w:tcMar>
          </w:tcPr>
          <w:p w14:paraId="3C4D68A8" w14:textId="77777777" w:rsidR="00E2751F" w:rsidRPr="00F516FD" w:rsidRDefault="00E2751F" w:rsidP="000B0D05">
            <w:pPr>
              <w:pStyle w:val="Tabletext0"/>
              <w:keepNext/>
              <w:jc w:val="left"/>
              <w:rPr>
                <w:b/>
              </w:rPr>
            </w:pPr>
          </w:p>
        </w:tc>
        <w:tc>
          <w:tcPr>
            <w:tcW w:w="281" w:type="dxa"/>
            <w:tcBorders>
              <w:left w:val="nil"/>
              <w:right w:val="nil"/>
            </w:tcBorders>
            <w:tcMar>
              <w:left w:w="57" w:type="dxa"/>
              <w:right w:w="57" w:type="dxa"/>
            </w:tcMar>
          </w:tcPr>
          <w:p w14:paraId="00B4C38F" w14:textId="77777777" w:rsidR="00E2751F" w:rsidRPr="00F516FD" w:rsidRDefault="00E2751F" w:rsidP="000B0D05">
            <w:pPr>
              <w:pStyle w:val="Tabletext0"/>
              <w:keepNext/>
              <w:jc w:val="left"/>
              <w:rPr>
                <w:b/>
              </w:rPr>
            </w:pPr>
          </w:p>
        </w:tc>
        <w:tc>
          <w:tcPr>
            <w:tcW w:w="280" w:type="dxa"/>
            <w:tcBorders>
              <w:left w:val="nil"/>
              <w:right w:val="nil"/>
            </w:tcBorders>
            <w:tcMar>
              <w:left w:w="57" w:type="dxa"/>
              <w:right w:w="57" w:type="dxa"/>
            </w:tcMar>
          </w:tcPr>
          <w:p w14:paraId="31BF0637" w14:textId="77777777" w:rsidR="00E2751F" w:rsidRPr="00F516FD" w:rsidRDefault="00E2751F" w:rsidP="000B0D05">
            <w:pPr>
              <w:pStyle w:val="Tabletext0"/>
              <w:keepNext/>
              <w:jc w:val="left"/>
              <w:rPr>
                <w:b/>
              </w:rPr>
            </w:pPr>
          </w:p>
        </w:tc>
        <w:tc>
          <w:tcPr>
            <w:tcW w:w="305" w:type="dxa"/>
            <w:tcBorders>
              <w:left w:val="nil"/>
            </w:tcBorders>
            <w:tcMar>
              <w:left w:w="57" w:type="dxa"/>
              <w:right w:w="57" w:type="dxa"/>
            </w:tcMar>
          </w:tcPr>
          <w:p w14:paraId="085E277A" w14:textId="77777777" w:rsidR="00E2751F" w:rsidRPr="00F516FD" w:rsidRDefault="00E2751F" w:rsidP="000B0D05">
            <w:pPr>
              <w:pStyle w:val="Tabletext0"/>
              <w:keepNext/>
              <w:jc w:val="left"/>
              <w:rPr>
                <w:b/>
              </w:rPr>
            </w:pPr>
          </w:p>
        </w:tc>
      </w:tr>
      <w:tr w:rsidR="00E2751F" w:rsidRPr="00F516FD" w14:paraId="7EA54AB6" w14:textId="77777777" w:rsidTr="00D556DD">
        <w:trPr>
          <w:cantSplit/>
        </w:trPr>
        <w:tc>
          <w:tcPr>
            <w:tcW w:w="2345" w:type="dxa"/>
            <w:tcMar>
              <w:left w:w="57" w:type="dxa"/>
              <w:right w:w="57" w:type="dxa"/>
            </w:tcMar>
          </w:tcPr>
          <w:p w14:paraId="0F622E6A" w14:textId="77777777" w:rsidR="00E2751F" w:rsidRPr="00F516FD" w:rsidRDefault="00E2751F">
            <w:pPr>
              <w:pStyle w:val="Tabletext0"/>
              <w:spacing w:before="20" w:afterLines="20" w:after="48"/>
              <w:jc w:val="left"/>
              <w:rPr>
                <w:b/>
                <w:bCs/>
              </w:rPr>
            </w:pPr>
            <w:r w:rsidRPr="00F516FD">
              <w:t>Net financial impact to MBS of increasing complexity from level 4 to 6 (75% benefit)</w:t>
            </w:r>
          </w:p>
        </w:tc>
        <w:tc>
          <w:tcPr>
            <w:tcW w:w="1099" w:type="dxa"/>
            <w:tcMar>
              <w:left w:w="57" w:type="dxa"/>
              <w:right w:w="57" w:type="dxa"/>
            </w:tcMar>
          </w:tcPr>
          <w:p w14:paraId="449B5713" w14:textId="77777777" w:rsidR="00E2751F" w:rsidRPr="00F516FD" w:rsidRDefault="00E2751F">
            <w:pPr>
              <w:pStyle w:val="Tabletext0"/>
              <w:spacing w:before="20" w:afterLines="20" w:after="48"/>
              <w:jc w:val="left"/>
            </w:pPr>
            <w:r w:rsidRPr="00F516FD">
              <w:t>$158,957</w:t>
            </w:r>
          </w:p>
        </w:tc>
        <w:tc>
          <w:tcPr>
            <w:tcW w:w="1106" w:type="dxa"/>
            <w:tcMar>
              <w:left w:w="57" w:type="dxa"/>
              <w:right w:w="57" w:type="dxa"/>
            </w:tcMar>
          </w:tcPr>
          <w:p w14:paraId="16684115" w14:textId="77777777" w:rsidR="00E2751F" w:rsidRPr="00F516FD" w:rsidRDefault="00E2751F">
            <w:pPr>
              <w:pStyle w:val="Tabletext0"/>
              <w:spacing w:before="20" w:afterLines="20" w:after="48"/>
              <w:jc w:val="left"/>
            </w:pPr>
            <w:r w:rsidRPr="00F516FD">
              <w:t>$174,853</w:t>
            </w:r>
          </w:p>
        </w:tc>
        <w:tc>
          <w:tcPr>
            <w:tcW w:w="1092" w:type="dxa"/>
            <w:tcMar>
              <w:left w:w="57" w:type="dxa"/>
              <w:right w:w="57" w:type="dxa"/>
            </w:tcMar>
          </w:tcPr>
          <w:p w14:paraId="3895798D" w14:textId="77777777" w:rsidR="00E2751F" w:rsidRPr="00F516FD" w:rsidRDefault="00E2751F">
            <w:pPr>
              <w:pStyle w:val="Tabletext0"/>
              <w:spacing w:before="20" w:afterLines="20" w:after="48"/>
              <w:jc w:val="left"/>
            </w:pPr>
            <w:r w:rsidRPr="00F516FD">
              <w:t>$192,338</w:t>
            </w:r>
          </w:p>
        </w:tc>
        <w:tc>
          <w:tcPr>
            <w:tcW w:w="1096" w:type="dxa"/>
            <w:gridSpan w:val="4"/>
            <w:tcMar>
              <w:left w:w="57" w:type="dxa"/>
              <w:right w:w="57" w:type="dxa"/>
            </w:tcMar>
          </w:tcPr>
          <w:p w14:paraId="5964F588" w14:textId="77777777" w:rsidR="00E2751F" w:rsidRPr="00F516FD" w:rsidRDefault="00E2751F">
            <w:pPr>
              <w:pStyle w:val="Tabletext0"/>
              <w:spacing w:before="20" w:afterLines="20" w:after="48"/>
              <w:jc w:val="left"/>
            </w:pPr>
            <w:r w:rsidRPr="00F516FD">
              <w:t>$211,572</w:t>
            </w:r>
          </w:p>
        </w:tc>
        <w:tc>
          <w:tcPr>
            <w:tcW w:w="1100" w:type="dxa"/>
            <w:gridSpan w:val="3"/>
            <w:tcMar>
              <w:left w:w="57" w:type="dxa"/>
              <w:right w:w="57" w:type="dxa"/>
            </w:tcMar>
          </w:tcPr>
          <w:p w14:paraId="112C3E0C" w14:textId="77777777" w:rsidR="00E2751F" w:rsidRPr="00F516FD" w:rsidRDefault="00E2751F">
            <w:pPr>
              <w:pStyle w:val="Tabletext0"/>
              <w:spacing w:before="20" w:afterLines="20" w:after="48"/>
              <w:jc w:val="left"/>
            </w:pPr>
            <w:r w:rsidRPr="00F516FD">
              <w:t>$232,729</w:t>
            </w:r>
          </w:p>
        </w:tc>
        <w:tc>
          <w:tcPr>
            <w:tcW w:w="1178" w:type="dxa"/>
            <w:gridSpan w:val="4"/>
            <w:tcMar>
              <w:left w:w="57" w:type="dxa"/>
              <w:right w:w="57" w:type="dxa"/>
            </w:tcMar>
          </w:tcPr>
          <w:p w14:paraId="69550B74" w14:textId="77777777" w:rsidR="00E2751F" w:rsidRPr="00F516FD" w:rsidRDefault="00E2751F">
            <w:pPr>
              <w:pStyle w:val="Tabletext0"/>
              <w:spacing w:before="20" w:afterLines="20" w:after="48"/>
              <w:jc w:val="left"/>
            </w:pPr>
            <w:r w:rsidRPr="00F516FD">
              <w:t>$256,002</w:t>
            </w:r>
          </w:p>
        </w:tc>
      </w:tr>
      <w:tr w:rsidR="00D556DD" w:rsidRPr="00F516FD" w14:paraId="1542EE14" w14:textId="77777777" w:rsidTr="00D556DD">
        <w:trPr>
          <w:cantSplit/>
        </w:trPr>
        <w:tc>
          <w:tcPr>
            <w:tcW w:w="7364" w:type="dxa"/>
            <w:gridSpan w:val="9"/>
            <w:tcBorders>
              <w:right w:val="nil"/>
            </w:tcBorders>
            <w:tcMar>
              <w:left w:w="57" w:type="dxa"/>
              <w:right w:w="57" w:type="dxa"/>
            </w:tcMar>
          </w:tcPr>
          <w:p w14:paraId="263025B3" w14:textId="0716C7EB" w:rsidR="00E2751F" w:rsidRPr="00F516FD" w:rsidRDefault="00E2751F" w:rsidP="000B0D05">
            <w:pPr>
              <w:pStyle w:val="Tabletext0"/>
              <w:keepNext/>
              <w:jc w:val="left"/>
              <w:rPr>
                <w:b/>
              </w:rPr>
            </w:pPr>
            <w:r w:rsidRPr="00F516FD">
              <w:rPr>
                <w:b/>
              </w:rPr>
              <w:t xml:space="preserve">Populations 2 &amp; 3: second trimester </w:t>
            </w:r>
            <w:r w:rsidR="00721432" w:rsidRPr="00F516FD">
              <w:rPr>
                <w:b/>
              </w:rPr>
              <w:t>pregnancy loss</w:t>
            </w:r>
            <w:r w:rsidRPr="00F516FD">
              <w:rPr>
                <w:b/>
              </w:rPr>
              <w:t xml:space="preserve"> and live births </w:t>
            </w:r>
            <w:r w:rsidR="004A5359" w:rsidRPr="00F516FD">
              <w:rPr>
                <w:b/>
              </w:rPr>
              <w:t>(Complexity Level 5)</w:t>
            </w:r>
          </w:p>
        </w:tc>
        <w:tc>
          <w:tcPr>
            <w:tcW w:w="240" w:type="dxa"/>
            <w:tcBorders>
              <w:left w:val="nil"/>
              <w:right w:val="nil"/>
            </w:tcBorders>
            <w:tcMar>
              <w:left w:w="11" w:type="dxa"/>
              <w:right w:w="11" w:type="dxa"/>
            </w:tcMar>
          </w:tcPr>
          <w:p w14:paraId="202307FD" w14:textId="77777777" w:rsidR="00E2751F" w:rsidRPr="00F516FD" w:rsidRDefault="00E2751F" w:rsidP="000B0D05">
            <w:pPr>
              <w:pStyle w:val="Tabletext0"/>
              <w:keepNext/>
              <w:jc w:val="left"/>
              <w:rPr>
                <w:b/>
              </w:rPr>
            </w:pPr>
          </w:p>
        </w:tc>
        <w:tc>
          <w:tcPr>
            <w:tcW w:w="234" w:type="dxa"/>
            <w:tcBorders>
              <w:left w:val="nil"/>
              <w:right w:val="nil"/>
            </w:tcBorders>
            <w:tcMar>
              <w:left w:w="11" w:type="dxa"/>
              <w:right w:w="11" w:type="dxa"/>
            </w:tcMar>
          </w:tcPr>
          <w:p w14:paraId="7AF64515" w14:textId="77777777" w:rsidR="00E2751F" w:rsidRPr="00F516FD" w:rsidRDefault="00E2751F" w:rsidP="000B0D05">
            <w:pPr>
              <w:pStyle w:val="Tabletext0"/>
              <w:keepNext/>
              <w:jc w:val="left"/>
              <w:rPr>
                <w:b/>
              </w:rPr>
            </w:pPr>
          </w:p>
        </w:tc>
        <w:tc>
          <w:tcPr>
            <w:tcW w:w="312" w:type="dxa"/>
            <w:tcBorders>
              <w:left w:val="nil"/>
              <w:right w:val="nil"/>
            </w:tcBorders>
            <w:tcMar>
              <w:left w:w="11" w:type="dxa"/>
              <w:right w:w="11" w:type="dxa"/>
            </w:tcMar>
          </w:tcPr>
          <w:p w14:paraId="54C51E1B" w14:textId="77777777" w:rsidR="00E2751F" w:rsidRPr="00F516FD" w:rsidRDefault="00E2751F" w:rsidP="000B0D05">
            <w:pPr>
              <w:pStyle w:val="Tabletext0"/>
              <w:keepNext/>
              <w:jc w:val="left"/>
              <w:rPr>
                <w:b/>
              </w:rPr>
            </w:pPr>
          </w:p>
        </w:tc>
        <w:tc>
          <w:tcPr>
            <w:tcW w:w="281" w:type="dxa"/>
            <w:tcBorders>
              <w:left w:val="nil"/>
              <w:right w:val="nil"/>
            </w:tcBorders>
            <w:tcMar>
              <w:left w:w="11" w:type="dxa"/>
              <w:right w:w="11" w:type="dxa"/>
            </w:tcMar>
          </w:tcPr>
          <w:p w14:paraId="2920C5CE" w14:textId="77777777" w:rsidR="00E2751F" w:rsidRPr="00F516FD" w:rsidRDefault="00E2751F" w:rsidP="000B0D05">
            <w:pPr>
              <w:pStyle w:val="Tabletext0"/>
              <w:keepNext/>
              <w:jc w:val="left"/>
              <w:rPr>
                <w:b/>
              </w:rPr>
            </w:pPr>
          </w:p>
        </w:tc>
        <w:tc>
          <w:tcPr>
            <w:tcW w:w="280" w:type="dxa"/>
            <w:tcBorders>
              <w:left w:val="nil"/>
              <w:right w:val="nil"/>
            </w:tcBorders>
            <w:tcMar>
              <w:left w:w="11" w:type="dxa"/>
              <w:right w:w="11" w:type="dxa"/>
            </w:tcMar>
          </w:tcPr>
          <w:p w14:paraId="69513B10" w14:textId="77777777" w:rsidR="00E2751F" w:rsidRPr="00F516FD" w:rsidRDefault="00E2751F" w:rsidP="000B0D05">
            <w:pPr>
              <w:pStyle w:val="Tabletext0"/>
              <w:keepNext/>
              <w:jc w:val="left"/>
              <w:rPr>
                <w:b/>
              </w:rPr>
            </w:pPr>
          </w:p>
        </w:tc>
        <w:tc>
          <w:tcPr>
            <w:tcW w:w="305" w:type="dxa"/>
            <w:tcBorders>
              <w:left w:val="nil"/>
            </w:tcBorders>
            <w:tcMar>
              <w:left w:w="11" w:type="dxa"/>
              <w:right w:w="11" w:type="dxa"/>
            </w:tcMar>
          </w:tcPr>
          <w:p w14:paraId="6C53BCBC" w14:textId="77777777" w:rsidR="00E2751F" w:rsidRPr="00F516FD" w:rsidRDefault="00E2751F" w:rsidP="000B0D05">
            <w:pPr>
              <w:pStyle w:val="Tabletext0"/>
              <w:keepNext/>
              <w:jc w:val="left"/>
              <w:rPr>
                <w:b/>
              </w:rPr>
            </w:pPr>
          </w:p>
        </w:tc>
      </w:tr>
      <w:tr w:rsidR="008A6D27" w:rsidRPr="00F516FD" w14:paraId="5296ED02" w14:textId="77777777" w:rsidTr="00FA5DCA">
        <w:trPr>
          <w:cantSplit/>
        </w:trPr>
        <w:tc>
          <w:tcPr>
            <w:tcW w:w="2345" w:type="dxa"/>
            <w:tcBorders>
              <w:bottom w:val="single" w:sz="4" w:space="0" w:color="auto"/>
            </w:tcBorders>
            <w:tcMar>
              <w:left w:w="57" w:type="dxa"/>
              <w:right w:w="57" w:type="dxa"/>
            </w:tcMar>
          </w:tcPr>
          <w:p w14:paraId="6AEA5483" w14:textId="77777777" w:rsidR="008A6D27" w:rsidRPr="00F516FD" w:rsidRDefault="008A6D27" w:rsidP="008A6D27">
            <w:pPr>
              <w:pStyle w:val="Tabletext0"/>
              <w:spacing w:before="20" w:afterLines="20" w:after="48"/>
              <w:jc w:val="left"/>
            </w:pPr>
            <w:r w:rsidRPr="00F516FD">
              <w:t>Net financial impact to MBS of increasing complexity from level 4 to 5 (75% benefit)</w:t>
            </w:r>
          </w:p>
        </w:tc>
        <w:tc>
          <w:tcPr>
            <w:tcW w:w="1099" w:type="dxa"/>
            <w:tcBorders>
              <w:bottom w:val="single" w:sz="4" w:space="0" w:color="auto"/>
            </w:tcBorders>
            <w:tcMar>
              <w:left w:w="57" w:type="dxa"/>
              <w:right w:w="57" w:type="dxa"/>
            </w:tcMar>
          </w:tcPr>
          <w:p w14:paraId="3AB9075F" w14:textId="5744D07C" w:rsidR="008A6D27" w:rsidRPr="00F516FD" w:rsidRDefault="008A6D27" w:rsidP="008A6D27">
            <w:pPr>
              <w:pStyle w:val="Tabletext0"/>
              <w:spacing w:before="20" w:afterLines="20" w:after="48"/>
              <w:jc w:val="left"/>
            </w:pPr>
            <w:r w:rsidRPr="00F516FD">
              <w:t>$2,387,624</w:t>
            </w:r>
          </w:p>
        </w:tc>
        <w:tc>
          <w:tcPr>
            <w:tcW w:w="1106" w:type="dxa"/>
            <w:tcBorders>
              <w:bottom w:val="single" w:sz="4" w:space="0" w:color="auto"/>
            </w:tcBorders>
            <w:tcMar>
              <w:left w:w="57" w:type="dxa"/>
              <w:right w:w="57" w:type="dxa"/>
            </w:tcMar>
          </w:tcPr>
          <w:p w14:paraId="675CA2FF" w14:textId="05FEFFCA" w:rsidR="008A6D27" w:rsidRPr="00F516FD" w:rsidRDefault="008A6D27" w:rsidP="008A6D27">
            <w:pPr>
              <w:pStyle w:val="Tabletext0"/>
              <w:spacing w:before="20" w:afterLines="20" w:after="48"/>
              <w:jc w:val="left"/>
            </w:pPr>
            <w:r w:rsidRPr="00F516FD">
              <w:t>$2,626,387</w:t>
            </w:r>
          </w:p>
        </w:tc>
        <w:tc>
          <w:tcPr>
            <w:tcW w:w="1092" w:type="dxa"/>
            <w:tcBorders>
              <w:bottom w:val="single" w:sz="4" w:space="0" w:color="auto"/>
            </w:tcBorders>
            <w:tcMar>
              <w:left w:w="57" w:type="dxa"/>
              <w:right w:w="57" w:type="dxa"/>
            </w:tcMar>
          </w:tcPr>
          <w:p w14:paraId="67E60885" w14:textId="22A79A96" w:rsidR="008A6D27" w:rsidRPr="00F516FD" w:rsidRDefault="008A6D27" w:rsidP="008A6D27">
            <w:pPr>
              <w:pStyle w:val="Tabletext0"/>
              <w:spacing w:before="20" w:afterLines="20" w:after="48"/>
              <w:jc w:val="left"/>
            </w:pPr>
            <w:r w:rsidRPr="00F516FD">
              <w:t>$2,889,025</w:t>
            </w:r>
          </w:p>
        </w:tc>
        <w:tc>
          <w:tcPr>
            <w:tcW w:w="1096" w:type="dxa"/>
            <w:gridSpan w:val="4"/>
            <w:tcBorders>
              <w:bottom w:val="single" w:sz="4" w:space="0" w:color="auto"/>
            </w:tcBorders>
            <w:tcMar>
              <w:left w:w="57" w:type="dxa"/>
              <w:right w:w="57" w:type="dxa"/>
            </w:tcMar>
          </w:tcPr>
          <w:p w14:paraId="7EE1C821" w14:textId="12E23ACC" w:rsidR="008A6D27" w:rsidRPr="00F516FD" w:rsidRDefault="008A6D27" w:rsidP="008A6D27">
            <w:pPr>
              <w:pStyle w:val="Tabletext0"/>
              <w:spacing w:before="20" w:afterLines="20" w:after="48"/>
              <w:jc w:val="left"/>
            </w:pPr>
            <w:r w:rsidRPr="00F516FD">
              <w:t>$3,177,928</w:t>
            </w:r>
          </w:p>
        </w:tc>
        <w:tc>
          <w:tcPr>
            <w:tcW w:w="1100" w:type="dxa"/>
            <w:gridSpan w:val="3"/>
            <w:tcBorders>
              <w:bottom w:val="single" w:sz="4" w:space="0" w:color="auto"/>
            </w:tcBorders>
            <w:tcMar>
              <w:left w:w="57" w:type="dxa"/>
              <w:right w:w="57" w:type="dxa"/>
            </w:tcMar>
          </w:tcPr>
          <w:p w14:paraId="36C796D2" w14:textId="0BF65078" w:rsidR="008A6D27" w:rsidRPr="00F516FD" w:rsidRDefault="008A6D27" w:rsidP="008A6D27">
            <w:pPr>
              <w:pStyle w:val="Tabletext0"/>
              <w:spacing w:before="20" w:afterLines="20" w:after="48"/>
              <w:jc w:val="left"/>
            </w:pPr>
            <w:r w:rsidRPr="00F516FD">
              <w:t>$3,495,721</w:t>
            </w:r>
          </w:p>
        </w:tc>
        <w:tc>
          <w:tcPr>
            <w:tcW w:w="1178" w:type="dxa"/>
            <w:gridSpan w:val="4"/>
            <w:tcBorders>
              <w:bottom w:val="single" w:sz="4" w:space="0" w:color="auto"/>
            </w:tcBorders>
            <w:tcMar>
              <w:left w:w="57" w:type="dxa"/>
              <w:right w:w="57" w:type="dxa"/>
            </w:tcMar>
          </w:tcPr>
          <w:p w14:paraId="21F1C172" w14:textId="59BF3E2E" w:rsidR="008A6D27" w:rsidRPr="00F516FD" w:rsidRDefault="008A6D27" w:rsidP="008A6D27">
            <w:pPr>
              <w:pStyle w:val="Tabletext0"/>
              <w:spacing w:before="20" w:afterLines="20" w:after="48"/>
              <w:jc w:val="left"/>
            </w:pPr>
            <w:r w:rsidRPr="00F516FD">
              <w:t>$3,845,293</w:t>
            </w:r>
          </w:p>
        </w:tc>
      </w:tr>
      <w:tr w:rsidR="00E2751F" w:rsidRPr="00F516FD" w14:paraId="368945E4" w14:textId="77777777" w:rsidTr="00D556DD">
        <w:trPr>
          <w:cantSplit/>
        </w:trPr>
        <w:tc>
          <w:tcPr>
            <w:tcW w:w="5642" w:type="dxa"/>
            <w:gridSpan w:val="4"/>
            <w:tcBorders>
              <w:right w:val="nil"/>
            </w:tcBorders>
            <w:tcMar>
              <w:left w:w="57" w:type="dxa"/>
              <w:right w:w="57" w:type="dxa"/>
            </w:tcMar>
          </w:tcPr>
          <w:p w14:paraId="030F4138" w14:textId="13D75C1A" w:rsidR="00E2751F" w:rsidRPr="00F516FD" w:rsidRDefault="004243F3" w:rsidP="000B0D05">
            <w:pPr>
              <w:pStyle w:val="Tabletext0"/>
              <w:keepNext/>
              <w:spacing w:before="20" w:afterLines="20" w:after="48"/>
              <w:jc w:val="left"/>
              <w:rPr>
                <w:b/>
                <w:bCs/>
              </w:rPr>
            </w:pPr>
            <w:r w:rsidRPr="00F516FD">
              <w:rPr>
                <w:b/>
                <w:bCs/>
              </w:rPr>
              <w:t>A</w:t>
            </w:r>
            <w:r w:rsidR="00E2751F" w:rsidRPr="00F516FD">
              <w:rPr>
                <w:b/>
                <w:bCs/>
              </w:rPr>
              <w:t>ll three populations</w:t>
            </w:r>
          </w:p>
        </w:tc>
        <w:tc>
          <w:tcPr>
            <w:tcW w:w="256" w:type="dxa"/>
            <w:tcBorders>
              <w:left w:val="nil"/>
              <w:right w:val="nil"/>
            </w:tcBorders>
            <w:tcMar>
              <w:left w:w="57" w:type="dxa"/>
              <w:right w:w="57" w:type="dxa"/>
            </w:tcMar>
          </w:tcPr>
          <w:p w14:paraId="7B45AC80" w14:textId="77777777" w:rsidR="00E2751F" w:rsidRPr="00F516FD" w:rsidRDefault="00E2751F" w:rsidP="000B0D05">
            <w:pPr>
              <w:pStyle w:val="Tabletext0"/>
              <w:keepNext/>
              <w:spacing w:before="20" w:afterLines="20" w:after="48"/>
              <w:jc w:val="left"/>
              <w:rPr>
                <w:b/>
                <w:bCs/>
              </w:rPr>
            </w:pPr>
          </w:p>
        </w:tc>
        <w:tc>
          <w:tcPr>
            <w:tcW w:w="281" w:type="dxa"/>
            <w:tcBorders>
              <w:left w:val="nil"/>
              <w:right w:val="nil"/>
            </w:tcBorders>
            <w:tcMar>
              <w:left w:w="57" w:type="dxa"/>
              <w:right w:w="57" w:type="dxa"/>
            </w:tcMar>
          </w:tcPr>
          <w:p w14:paraId="3AF79C52" w14:textId="77777777" w:rsidR="00E2751F" w:rsidRPr="00F516FD" w:rsidRDefault="00E2751F" w:rsidP="000B0D05">
            <w:pPr>
              <w:pStyle w:val="Tabletext0"/>
              <w:keepNext/>
              <w:spacing w:before="20" w:afterLines="20" w:after="48"/>
              <w:jc w:val="left"/>
              <w:rPr>
                <w:b/>
                <w:bCs/>
              </w:rPr>
            </w:pPr>
          </w:p>
        </w:tc>
        <w:tc>
          <w:tcPr>
            <w:tcW w:w="282" w:type="dxa"/>
            <w:tcBorders>
              <w:left w:val="nil"/>
              <w:right w:val="nil"/>
            </w:tcBorders>
            <w:tcMar>
              <w:left w:w="57" w:type="dxa"/>
              <w:right w:w="57" w:type="dxa"/>
            </w:tcMar>
          </w:tcPr>
          <w:p w14:paraId="4834BCE5" w14:textId="77777777" w:rsidR="00E2751F" w:rsidRPr="00F516FD" w:rsidRDefault="00E2751F" w:rsidP="000B0D05">
            <w:pPr>
              <w:pStyle w:val="Tabletext0"/>
              <w:keepNext/>
              <w:spacing w:before="20" w:afterLines="20" w:after="48"/>
              <w:jc w:val="left"/>
              <w:rPr>
                <w:b/>
                <w:bCs/>
              </w:rPr>
            </w:pPr>
          </w:p>
        </w:tc>
        <w:tc>
          <w:tcPr>
            <w:tcW w:w="277" w:type="dxa"/>
            <w:tcBorders>
              <w:left w:val="nil"/>
              <w:right w:val="nil"/>
            </w:tcBorders>
            <w:tcMar>
              <w:left w:w="57" w:type="dxa"/>
              <w:right w:w="57" w:type="dxa"/>
            </w:tcMar>
          </w:tcPr>
          <w:p w14:paraId="2A3F857E" w14:textId="77777777" w:rsidR="00E2751F" w:rsidRPr="00F516FD" w:rsidRDefault="00E2751F" w:rsidP="000B0D05">
            <w:pPr>
              <w:pStyle w:val="Tabletext0"/>
              <w:keepNext/>
              <w:spacing w:before="20" w:afterLines="20" w:after="48"/>
              <w:jc w:val="left"/>
              <w:rPr>
                <w:b/>
                <w:bCs/>
              </w:rPr>
            </w:pPr>
          </w:p>
        </w:tc>
        <w:tc>
          <w:tcPr>
            <w:tcW w:w="1100" w:type="dxa"/>
            <w:gridSpan w:val="3"/>
            <w:tcBorders>
              <w:left w:val="nil"/>
              <w:right w:val="nil"/>
            </w:tcBorders>
            <w:tcMar>
              <w:left w:w="57" w:type="dxa"/>
              <w:right w:w="57" w:type="dxa"/>
            </w:tcMar>
          </w:tcPr>
          <w:p w14:paraId="61F1069E" w14:textId="77777777" w:rsidR="00E2751F" w:rsidRPr="00F516FD" w:rsidRDefault="00E2751F" w:rsidP="000B0D05">
            <w:pPr>
              <w:pStyle w:val="Tabletext0"/>
              <w:keepNext/>
              <w:spacing w:before="20" w:afterLines="20" w:after="48"/>
              <w:jc w:val="left"/>
              <w:rPr>
                <w:b/>
                <w:bCs/>
              </w:rPr>
            </w:pPr>
          </w:p>
        </w:tc>
        <w:tc>
          <w:tcPr>
            <w:tcW w:w="1178" w:type="dxa"/>
            <w:gridSpan w:val="4"/>
            <w:tcBorders>
              <w:left w:val="nil"/>
            </w:tcBorders>
            <w:tcMar>
              <w:left w:w="57" w:type="dxa"/>
              <w:right w:w="57" w:type="dxa"/>
            </w:tcMar>
          </w:tcPr>
          <w:p w14:paraId="7697BF0D" w14:textId="77777777" w:rsidR="00E2751F" w:rsidRPr="00F516FD" w:rsidRDefault="00E2751F" w:rsidP="000B0D05">
            <w:pPr>
              <w:pStyle w:val="Tabletext0"/>
              <w:keepNext/>
              <w:spacing w:before="20" w:afterLines="20" w:after="48"/>
              <w:jc w:val="left"/>
              <w:rPr>
                <w:b/>
                <w:bCs/>
              </w:rPr>
            </w:pPr>
          </w:p>
        </w:tc>
      </w:tr>
      <w:tr w:rsidR="004A5359" w:rsidRPr="00F516FD" w14:paraId="1AB65ABE" w14:textId="77777777" w:rsidTr="00FA5DCA">
        <w:trPr>
          <w:cantSplit/>
        </w:trPr>
        <w:tc>
          <w:tcPr>
            <w:tcW w:w="2345" w:type="dxa"/>
            <w:tcMar>
              <w:left w:w="57" w:type="dxa"/>
              <w:right w:w="57" w:type="dxa"/>
            </w:tcMar>
          </w:tcPr>
          <w:p w14:paraId="4B4B1285" w14:textId="77777777" w:rsidR="004A5359" w:rsidRPr="00F516FD" w:rsidRDefault="004A5359" w:rsidP="004A5359">
            <w:pPr>
              <w:pStyle w:val="Tabletext0"/>
              <w:spacing w:before="20" w:afterLines="20" w:after="48"/>
              <w:jc w:val="left"/>
              <w:rPr>
                <w:b/>
                <w:bCs/>
              </w:rPr>
            </w:pPr>
            <w:r w:rsidRPr="00F516FD">
              <w:rPr>
                <w:b/>
                <w:bCs/>
              </w:rPr>
              <w:t>Total net financial impact to the MBS (75% benefit)</w:t>
            </w:r>
          </w:p>
        </w:tc>
        <w:tc>
          <w:tcPr>
            <w:tcW w:w="1099" w:type="dxa"/>
            <w:tcMar>
              <w:left w:w="57" w:type="dxa"/>
              <w:right w:w="57" w:type="dxa"/>
            </w:tcMar>
          </w:tcPr>
          <w:p w14:paraId="1A12583A" w14:textId="18C13EA2" w:rsidR="004A5359" w:rsidRPr="00F516FD" w:rsidRDefault="004A5359" w:rsidP="004A5359">
            <w:pPr>
              <w:pStyle w:val="Tabletext0"/>
              <w:spacing w:before="20" w:afterLines="20" w:after="48"/>
              <w:jc w:val="left"/>
              <w:rPr>
                <w:b/>
                <w:bCs/>
              </w:rPr>
            </w:pPr>
            <w:r w:rsidRPr="00F516FD">
              <w:rPr>
                <w:b/>
                <w:bCs/>
              </w:rPr>
              <w:t>$2,546,581</w:t>
            </w:r>
          </w:p>
        </w:tc>
        <w:tc>
          <w:tcPr>
            <w:tcW w:w="1106" w:type="dxa"/>
            <w:tcMar>
              <w:left w:w="57" w:type="dxa"/>
              <w:right w:w="57" w:type="dxa"/>
            </w:tcMar>
          </w:tcPr>
          <w:p w14:paraId="4CCF6FBA" w14:textId="488C911C" w:rsidR="004A5359" w:rsidRPr="00F516FD" w:rsidRDefault="004A5359" w:rsidP="004A5359">
            <w:pPr>
              <w:pStyle w:val="Tabletext0"/>
              <w:spacing w:before="20" w:afterLines="20" w:after="48"/>
              <w:jc w:val="left"/>
              <w:rPr>
                <w:b/>
                <w:bCs/>
              </w:rPr>
            </w:pPr>
            <w:r w:rsidRPr="00F516FD">
              <w:rPr>
                <w:b/>
                <w:bCs/>
              </w:rPr>
              <w:t>$2,801,239</w:t>
            </w:r>
          </w:p>
        </w:tc>
        <w:tc>
          <w:tcPr>
            <w:tcW w:w="1092" w:type="dxa"/>
            <w:tcMar>
              <w:left w:w="57" w:type="dxa"/>
              <w:right w:w="57" w:type="dxa"/>
            </w:tcMar>
          </w:tcPr>
          <w:p w14:paraId="4CFE176C" w14:textId="53A7CB38" w:rsidR="004A5359" w:rsidRPr="00F516FD" w:rsidRDefault="004A5359" w:rsidP="004A5359">
            <w:pPr>
              <w:pStyle w:val="Tabletext0"/>
              <w:spacing w:before="20" w:afterLines="20" w:after="48"/>
              <w:jc w:val="left"/>
              <w:rPr>
                <w:b/>
                <w:bCs/>
              </w:rPr>
            </w:pPr>
            <w:r w:rsidRPr="00F516FD">
              <w:rPr>
                <w:b/>
                <w:bCs/>
              </w:rPr>
              <w:t>$3,081,363</w:t>
            </w:r>
          </w:p>
        </w:tc>
        <w:tc>
          <w:tcPr>
            <w:tcW w:w="1096" w:type="dxa"/>
            <w:gridSpan w:val="4"/>
            <w:tcMar>
              <w:left w:w="57" w:type="dxa"/>
              <w:right w:w="57" w:type="dxa"/>
            </w:tcMar>
          </w:tcPr>
          <w:p w14:paraId="4AD576CE" w14:textId="672BFA55" w:rsidR="004A5359" w:rsidRPr="00F516FD" w:rsidRDefault="004A5359" w:rsidP="004A5359">
            <w:pPr>
              <w:pStyle w:val="Tabletext0"/>
              <w:spacing w:before="20" w:afterLines="20" w:after="48"/>
              <w:jc w:val="left"/>
              <w:rPr>
                <w:b/>
                <w:bCs/>
              </w:rPr>
            </w:pPr>
            <w:r w:rsidRPr="00F516FD">
              <w:rPr>
                <w:b/>
                <w:bCs/>
              </w:rPr>
              <w:t>$3,389,499</w:t>
            </w:r>
          </w:p>
        </w:tc>
        <w:tc>
          <w:tcPr>
            <w:tcW w:w="1100" w:type="dxa"/>
            <w:gridSpan w:val="3"/>
            <w:tcMar>
              <w:left w:w="57" w:type="dxa"/>
              <w:right w:w="57" w:type="dxa"/>
            </w:tcMar>
          </w:tcPr>
          <w:p w14:paraId="7A3B9E3D" w14:textId="1D2F8AAA" w:rsidR="004A5359" w:rsidRPr="00F516FD" w:rsidRDefault="004A5359" w:rsidP="004A5359">
            <w:pPr>
              <w:pStyle w:val="Tabletext0"/>
              <w:spacing w:before="20" w:afterLines="20" w:after="48"/>
              <w:jc w:val="left"/>
              <w:rPr>
                <w:b/>
                <w:bCs/>
              </w:rPr>
            </w:pPr>
            <w:r w:rsidRPr="00F516FD">
              <w:rPr>
                <w:b/>
                <w:bCs/>
              </w:rPr>
              <w:t>$3,728,449</w:t>
            </w:r>
          </w:p>
        </w:tc>
        <w:tc>
          <w:tcPr>
            <w:tcW w:w="1178" w:type="dxa"/>
            <w:gridSpan w:val="4"/>
            <w:tcMar>
              <w:left w:w="57" w:type="dxa"/>
              <w:right w:w="57" w:type="dxa"/>
            </w:tcMar>
          </w:tcPr>
          <w:p w14:paraId="5C328F75" w14:textId="43E751EE" w:rsidR="004A5359" w:rsidRPr="00F516FD" w:rsidRDefault="004A5359" w:rsidP="004A5359">
            <w:pPr>
              <w:pStyle w:val="Tabletext0"/>
              <w:spacing w:before="20" w:afterLines="20" w:after="48"/>
              <w:jc w:val="left"/>
              <w:rPr>
                <w:b/>
                <w:bCs/>
              </w:rPr>
            </w:pPr>
            <w:r w:rsidRPr="00F516FD">
              <w:rPr>
                <w:b/>
                <w:bCs/>
              </w:rPr>
              <w:t>$4,101,294</w:t>
            </w:r>
          </w:p>
        </w:tc>
      </w:tr>
    </w:tbl>
    <w:p w14:paraId="2894AF78" w14:textId="011130F4" w:rsidR="00E2751F" w:rsidRPr="00F516FD" w:rsidRDefault="00E2751F" w:rsidP="00E2751F">
      <w:pPr>
        <w:pStyle w:val="Tablenotes0"/>
      </w:pPr>
      <w:r w:rsidRPr="00F516FD">
        <w:t>MBS = Medicare Benefits Schedule.</w:t>
      </w:r>
    </w:p>
    <w:p w14:paraId="6ACA260A" w14:textId="48AF2110" w:rsidR="00FD1C10" w:rsidRPr="00F516FD" w:rsidRDefault="00E2751F">
      <w:pPr>
        <w:pStyle w:val="Tablenotes0"/>
      </w:pPr>
      <w:r w:rsidRPr="00F516FD">
        <w:t xml:space="preserve">Source: Compiled by the assessment group using data from </w:t>
      </w:r>
      <w:r w:rsidR="001E490A" w:rsidRPr="00F516FD">
        <w:t xml:space="preserve">DCAR </w:t>
      </w:r>
      <w:r w:rsidR="002D3A03" w:rsidRPr="00F516FD">
        <w:t>Table 30</w:t>
      </w:r>
      <w:r w:rsidRPr="00F516FD">
        <w:t>, assuming number of private placental examinations increases 10% per year.</w:t>
      </w:r>
    </w:p>
    <w:p w14:paraId="76F7DECA" w14:textId="3DF1E31C" w:rsidR="00FD1C10" w:rsidRPr="00F516FD" w:rsidRDefault="00FD1C10" w:rsidP="00FA5DCA">
      <w:r w:rsidRPr="00F516FD">
        <w:lastRenderedPageBreak/>
        <w:t>Note that the assessment was conducted under the assumption that placental examinations would use the single sample MBS item (72823 at level 4, 72830 at level 5, and 72836 at level 6), and did not incorporate late policy advice that for births with multiple placentas multiple specimen items (at higher fees) would be used.</w:t>
      </w:r>
    </w:p>
    <w:p w14:paraId="7838A9FF" w14:textId="22C1019A" w:rsidR="00772829" w:rsidRPr="00F516FD" w:rsidRDefault="00C36633" w:rsidP="002A18BE">
      <w:pPr>
        <w:pStyle w:val="Heading2"/>
        <w:numPr>
          <w:ilvl w:val="0"/>
          <w:numId w:val="0"/>
        </w:numPr>
      </w:pPr>
      <w:bookmarkStart w:id="47" w:name="_Toc164685265"/>
      <w:bookmarkStart w:id="48" w:name="_Toc171508503"/>
      <w:r w:rsidRPr="00F516FD">
        <w:t>1</w:t>
      </w:r>
      <w:r w:rsidR="007D2A04" w:rsidRPr="00F516FD">
        <w:t>5</w:t>
      </w:r>
      <w:r w:rsidRPr="00F516FD">
        <w:t>.</w:t>
      </w:r>
      <w:r w:rsidRPr="00F516FD">
        <w:tab/>
      </w:r>
      <w:r w:rsidR="00772829" w:rsidRPr="00F516FD">
        <w:t xml:space="preserve">Other relevant </w:t>
      </w:r>
      <w:r w:rsidR="00FA5766" w:rsidRPr="00F516FD">
        <w:t>information</w:t>
      </w:r>
      <w:bookmarkEnd w:id="47"/>
      <w:bookmarkEnd w:id="48"/>
    </w:p>
    <w:p w14:paraId="437F407D" w14:textId="77777777" w:rsidR="00195629" w:rsidRPr="00F516FD" w:rsidRDefault="00195629" w:rsidP="00195629">
      <w:bookmarkStart w:id="49" w:name="_Toc164685266"/>
      <w:r w:rsidRPr="00F516FD">
        <w:t xml:space="preserve">Nil. </w:t>
      </w:r>
    </w:p>
    <w:p w14:paraId="6E40E8F2" w14:textId="4EBBE016" w:rsidR="00037302" w:rsidRPr="00F516FD" w:rsidRDefault="00487C85" w:rsidP="00487C85">
      <w:pPr>
        <w:pStyle w:val="Heading2"/>
        <w:numPr>
          <w:ilvl w:val="0"/>
          <w:numId w:val="0"/>
        </w:numPr>
        <w:rPr>
          <w:color w:val="auto"/>
        </w:rPr>
      </w:pPr>
      <w:bookmarkStart w:id="50" w:name="_Toc171508504"/>
      <w:r w:rsidRPr="00F516FD">
        <w:rPr>
          <w:color w:val="auto"/>
        </w:rPr>
        <w:t>1</w:t>
      </w:r>
      <w:r w:rsidR="007D2A04" w:rsidRPr="00F516FD">
        <w:rPr>
          <w:color w:val="auto"/>
        </w:rPr>
        <w:t>6</w:t>
      </w:r>
      <w:r w:rsidRPr="00F516FD">
        <w:rPr>
          <w:color w:val="auto"/>
        </w:rPr>
        <w:t>.</w:t>
      </w:r>
      <w:r w:rsidRPr="00F516FD">
        <w:rPr>
          <w:color w:val="auto"/>
        </w:rPr>
        <w:tab/>
      </w:r>
      <w:r w:rsidR="00037302" w:rsidRPr="00F516FD">
        <w:rPr>
          <w:color w:val="auto"/>
        </w:rPr>
        <w:t>Committee-</w:t>
      </w:r>
      <w:r w:rsidRPr="00F516FD">
        <w:rPr>
          <w:color w:val="auto"/>
        </w:rPr>
        <w:t>i</w:t>
      </w:r>
      <w:r w:rsidR="00037302" w:rsidRPr="00F516FD">
        <w:rPr>
          <w:color w:val="auto"/>
        </w:rPr>
        <w:t>n-</w:t>
      </w:r>
      <w:r w:rsidRPr="00F516FD">
        <w:rPr>
          <w:color w:val="auto"/>
        </w:rPr>
        <w:t>c</w:t>
      </w:r>
      <w:r w:rsidR="00037302" w:rsidRPr="00F516FD">
        <w:rPr>
          <w:color w:val="auto"/>
        </w:rPr>
        <w:t>onfidence information</w:t>
      </w:r>
      <w:bookmarkEnd w:id="49"/>
      <w:bookmarkEnd w:id="50"/>
    </w:p>
    <w:p w14:paraId="4DE1B52B" w14:textId="77777777" w:rsidR="00E4042D" w:rsidRPr="00F516FD" w:rsidRDefault="00E4042D" w:rsidP="001A7713">
      <w:pPr>
        <w:pStyle w:val="Heading3"/>
      </w:pPr>
      <w:bookmarkStart w:id="51" w:name="_Toc171508505"/>
      <w:r w:rsidRPr="00F516FD">
        <w:t>Clinical Experts</w:t>
      </w:r>
      <w:bookmarkEnd w:id="51"/>
    </w:p>
    <w:p w14:paraId="66F00F9B" w14:textId="3B6BB798" w:rsidR="00E4042D" w:rsidRPr="00F516FD" w:rsidRDefault="00E4042D" w:rsidP="001A7713">
      <w:r w:rsidRPr="00F516FD">
        <w:t xml:space="preserve">The names and affiliations of the clinical experts who provided information following consultation by the </w:t>
      </w:r>
      <w:r w:rsidR="00C768D1" w:rsidRPr="00F516FD">
        <w:t xml:space="preserve">department </w:t>
      </w:r>
      <w:r w:rsidRPr="00F516FD">
        <w:t xml:space="preserve">are listed in </w:t>
      </w:r>
      <w:r w:rsidRPr="00F516FD">
        <w:fldChar w:fldCharType="begin"/>
      </w:r>
      <w:r w:rsidRPr="00F516FD">
        <w:instrText xml:space="preserve"> REF _Ref168060449 \h </w:instrText>
      </w:r>
      <w:r w:rsidR="00F516FD">
        <w:instrText xml:space="preserve"> \* MERGEFORMAT </w:instrText>
      </w:r>
      <w:r w:rsidRPr="00F516FD">
        <w:fldChar w:fldCharType="separate"/>
      </w:r>
      <w:r w:rsidR="002A4535" w:rsidRPr="00F516FD">
        <w:t xml:space="preserve">Table </w:t>
      </w:r>
      <w:r w:rsidR="002A4535" w:rsidRPr="00F516FD">
        <w:rPr>
          <w:noProof/>
        </w:rPr>
        <w:t>14</w:t>
      </w:r>
      <w:r w:rsidRPr="00F516FD">
        <w:fldChar w:fldCharType="end"/>
      </w:r>
      <w:r w:rsidRPr="00F516FD">
        <w:t>.</w:t>
      </w:r>
    </w:p>
    <w:p w14:paraId="2293971C" w14:textId="7ABAA572" w:rsidR="00E4042D" w:rsidRPr="00F516FD" w:rsidRDefault="00E4042D" w:rsidP="00BE425F">
      <w:pPr>
        <w:pStyle w:val="Caption"/>
      </w:pPr>
      <w:bookmarkStart w:id="52" w:name="_Ref168060449"/>
      <w:r w:rsidRPr="00F516FD">
        <w:t xml:space="preserve">Table </w:t>
      </w:r>
      <w:r>
        <w:fldChar w:fldCharType="begin"/>
      </w:r>
      <w:r>
        <w:instrText xml:space="preserve"> SEQ Table \* ARABIC </w:instrText>
      </w:r>
      <w:r>
        <w:fldChar w:fldCharType="separate"/>
      </w:r>
      <w:r w:rsidR="002A4535" w:rsidRPr="00F516FD">
        <w:rPr>
          <w:noProof/>
        </w:rPr>
        <w:t>14</w:t>
      </w:r>
      <w:r>
        <w:rPr>
          <w:noProof/>
        </w:rPr>
        <w:fldChar w:fldCharType="end"/>
      </w:r>
      <w:bookmarkEnd w:id="52"/>
      <w:r w:rsidRPr="00F516FD">
        <w:tab/>
        <w:t xml:space="preserve">Clinical experts who provided information for this </w:t>
      </w:r>
      <w:proofErr w:type="gramStart"/>
      <w:r w:rsidRPr="00F516FD">
        <w:t>application</w:t>
      </w:r>
      <w:proofErr w:type="gramEnd"/>
    </w:p>
    <w:tbl>
      <w:tblPr>
        <w:tblStyle w:val="TableGrid"/>
        <w:tblW w:w="5000" w:type="pct"/>
        <w:tblLook w:val="04A0" w:firstRow="1" w:lastRow="0" w:firstColumn="1" w:lastColumn="0" w:noHBand="0" w:noVBand="1"/>
        <w:tblCaption w:val="Committee in confidence Table 10. Clinical experts who provided information for this application"/>
        <w:tblDescription w:val="Committee in confidence list of three Clinical experts who provided information for this application."/>
      </w:tblPr>
      <w:tblGrid>
        <w:gridCol w:w="1675"/>
        <w:gridCol w:w="2526"/>
        <w:gridCol w:w="4815"/>
      </w:tblGrid>
      <w:tr w:rsidR="00E4042D" w:rsidRPr="00F516FD" w14:paraId="41B92051" w14:textId="77777777">
        <w:tc>
          <w:tcPr>
            <w:tcW w:w="929" w:type="pct"/>
          </w:tcPr>
          <w:p w14:paraId="1318D2EF" w14:textId="77777777" w:rsidR="00E4042D" w:rsidRPr="00F516FD" w:rsidRDefault="00E4042D">
            <w:pPr>
              <w:pStyle w:val="TableHeading0"/>
            </w:pPr>
            <w:r w:rsidRPr="00F516FD">
              <w:t>Expert</w:t>
            </w:r>
          </w:p>
        </w:tc>
        <w:tc>
          <w:tcPr>
            <w:tcW w:w="1401" w:type="pct"/>
          </w:tcPr>
          <w:p w14:paraId="3A60D26C" w14:textId="77777777" w:rsidR="00E4042D" w:rsidRPr="00F516FD" w:rsidRDefault="00E4042D">
            <w:pPr>
              <w:pStyle w:val="TableHeading0"/>
            </w:pPr>
            <w:r w:rsidRPr="00F516FD">
              <w:t>Name</w:t>
            </w:r>
          </w:p>
        </w:tc>
        <w:tc>
          <w:tcPr>
            <w:tcW w:w="2670" w:type="pct"/>
          </w:tcPr>
          <w:p w14:paraId="2F754A88" w14:textId="77777777" w:rsidR="00E4042D" w:rsidRPr="00F516FD" w:rsidRDefault="00E4042D">
            <w:pPr>
              <w:pStyle w:val="TableHeading0"/>
            </w:pPr>
            <w:r w:rsidRPr="00F516FD">
              <w:t>Affiliation</w:t>
            </w:r>
          </w:p>
        </w:tc>
      </w:tr>
      <w:tr w:rsidR="00E4042D" w:rsidRPr="00F516FD" w14:paraId="0261C601" w14:textId="77777777">
        <w:tc>
          <w:tcPr>
            <w:tcW w:w="929" w:type="pct"/>
          </w:tcPr>
          <w:p w14:paraId="7619A641" w14:textId="77777777" w:rsidR="00E4042D" w:rsidRPr="00F516FD" w:rsidRDefault="00E4042D">
            <w:pPr>
              <w:pStyle w:val="Tabletext0"/>
            </w:pPr>
            <w:r w:rsidRPr="00F516FD">
              <w:t>Expert 1</w:t>
            </w:r>
          </w:p>
        </w:tc>
        <w:tc>
          <w:tcPr>
            <w:tcW w:w="1401" w:type="pct"/>
          </w:tcPr>
          <w:p w14:paraId="510BFBDB" w14:textId="2E6F14A4" w:rsidR="00E4042D" w:rsidRPr="00F516FD" w:rsidRDefault="002A045C" w:rsidP="00AB760E">
            <w:pPr>
              <w:pStyle w:val="Tabletext0"/>
              <w:jc w:val="left"/>
            </w:pPr>
            <w:r w:rsidRPr="00F516FD">
              <w:rPr>
                <w:b/>
                <w:bCs/>
              </w:rPr>
              <w:t>Redacted</w:t>
            </w:r>
          </w:p>
        </w:tc>
        <w:tc>
          <w:tcPr>
            <w:tcW w:w="2670" w:type="pct"/>
          </w:tcPr>
          <w:p w14:paraId="53C9DE4B" w14:textId="7677A9EC" w:rsidR="00E4042D" w:rsidRPr="00F516FD" w:rsidRDefault="002A045C" w:rsidP="00AB760E">
            <w:pPr>
              <w:pStyle w:val="Tabletext0"/>
              <w:jc w:val="left"/>
            </w:pPr>
            <w:r w:rsidRPr="00F516FD">
              <w:rPr>
                <w:b/>
                <w:bCs/>
              </w:rPr>
              <w:t>Redacted</w:t>
            </w:r>
          </w:p>
        </w:tc>
      </w:tr>
      <w:tr w:rsidR="00E4042D" w:rsidRPr="00F516FD" w14:paraId="3B2CFCBD" w14:textId="77777777">
        <w:tc>
          <w:tcPr>
            <w:tcW w:w="929" w:type="pct"/>
          </w:tcPr>
          <w:p w14:paraId="7BF5D745" w14:textId="77777777" w:rsidR="00E4042D" w:rsidRPr="00F516FD" w:rsidRDefault="00E4042D">
            <w:pPr>
              <w:pStyle w:val="Tabletext0"/>
            </w:pPr>
            <w:r w:rsidRPr="00F516FD">
              <w:t>Expert 2</w:t>
            </w:r>
          </w:p>
        </w:tc>
        <w:tc>
          <w:tcPr>
            <w:tcW w:w="1401" w:type="pct"/>
          </w:tcPr>
          <w:p w14:paraId="21507A24" w14:textId="043447CD" w:rsidR="00E4042D" w:rsidRPr="00F516FD" w:rsidRDefault="00E4042D" w:rsidP="00AB760E">
            <w:pPr>
              <w:pStyle w:val="Tabletext0"/>
              <w:jc w:val="left"/>
            </w:pPr>
            <w:r w:rsidRPr="00F516FD">
              <w:t>The applicant’s clinical experts</w:t>
            </w:r>
          </w:p>
        </w:tc>
        <w:tc>
          <w:tcPr>
            <w:tcW w:w="2670" w:type="pct"/>
          </w:tcPr>
          <w:p w14:paraId="276A7C3D" w14:textId="77777777" w:rsidR="00E4042D" w:rsidRPr="00F516FD" w:rsidRDefault="00E4042D" w:rsidP="00AB760E">
            <w:pPr>
              <w:pStyle w:val="Tabletext0"/>
              <w:jc w:val="left"/>
            </w:pPr>
            <w:r w:rsidRPr="00F516FD">
              <w:t>The Royal College of Pathologists of Australasia (RCPA)</w:t>
            </w:r>
          </w:p>
        </w:tc>
      </w:tr>
      <w:tr w:rsidR="00E4042D" w:rsidRPr="00F516FD" w14:paraId="39EA9063" w14:textId="77777777">
        <w:tc>
          <w:tcPr>
            <w:tcW w:w="929" w:type="pct"/>
          </w:tcPr>
          <w:p w14:paraId="47E8AA90" w14:textId="77777777" w:rsidR="00E4042D" w:rsidRPr="00F516FD" w:rsidRDefault="00E4042D">
            <w:pPr>
              <w:pStyle w:val="Tabletext0"/>
            </w:pPr>
            <w:r w:rsidRPr="00F516FD">
              <w:t>Expert 3</w:t>
            </w:r>
          </w:p>
        </w:tc>
        <w:tc>
          <w:tcPr>
            <w:tcW w:w="1401" w:type="pct"/>
          </w:tcPr>
          <w:p w14:paraId="43E4303A" w14:textId="1A1E7BF9" w:rsidR="00E4042D" w:rsidRPr="00F516FD" w:rsidRDefault="002A045C" w:rsidP="00AB760E">
            <w:pPr>
              <w:pStyle w:val="Tabletext0"/>
              <w:jc w:val="left"/>
            </w:pPr>
            <w:r w:rsidRPr="00F516FD">
              <w:rPr>
                <w:b/>
                <w:bCs/>
              </w:rPr>
              <w:t>Redacted</w:t>
            </w:r>
          </w:p>
        </w:tc>
        <w:tc>
          <w:tcPr>
            <w:tcW w:w="2670" w:type="pct"/>
          </w:tcPr>
          <w:p w14:paraId="241AF9B6" w14:textId="21300749" w:rsidR="00E4042D" w:rsidRPr="0006770C" w:rsidRDefault="00343970" w:rsidP="00AB760E">
            <w:pPr>
              <w:pStyle w:val="Tabletext0"/>
              <w:jc w:val="left"/>
              <w:rPr>
                <w:b/>
                <w:bCs/>
              </w:rPr>
            </w:pPr>
            <w:r>
              <w:rPr>
                <w:b/>
                <w:bCs/>
              </w:rPr>
              <w:t>Redacted</w:t>
            </w:r>
          </w:p>
        </w:tc>
      </w:tr>
    </w:tbl>
    <w:p w14:paraId="2585C0D3" w14:textId="53045262" w:rsidR="007D2A04" w:rsidRPr="00F516FD" w:rsidRDefault="007D2A04" w:rsidP="007D2A04">
      <w:pPr>
        <w:pStyle w:val="Heading2"/>
        <w:numPr>
          <w:ilvl w:val="0"/>
          <w:numId w:val="0"/>
        </w:numPr>
      </w:pPr>
      <w:r w:rsidRPr="00F516FD">
        <w:t>17.</w:t>
      </w:r>
      <w:r w:rsidRPr="00F516FD">
        <w:tab/>
        <w:t>Applicant comments on MSAC’s Public Summary Document</w:t>
      </w:r>
    </w:p>
    <w:p w14:paraId="5C652ECD" w14:textId="46CDBDFF" w:rsidR="009D7683" w:rsidRPr="00F516FD" w:rsidRDefault="006A317C" w:rsidP="00785A5D">
      <w:r w:rsidRPr="00F516FD">
        <w:t xml:space="preserve">The College’s Working Party would like to express their delight in MSAC approving </w:t>
      </w:r>
      <w:r w:rsidR="004230F6" w:rsidRPr="00F516FD">
        <w:t xml:space="preserve">the revision of fees associated with MBS items for clinically indicated gross and histologic examination of placentas in perinatal </w:t>
      </w:r>
      <w:proofErr w:type="gramStart"/>
      <w:r w:rsidR="004230F6" w:rsidRPr="00F516FD">
        <w:t>deaths,</w:t>
      </w:r>
      <w:r w:rsidRPr="00F516FD">
        <w:t xml:space="preserve"> and</w:t>
      </w:r>
      <w:proofErr w:type="gramEnd"/>
      <w:r w:rsidRPr="00F516FD">
        <w:t xml:space="preserve"> would like to take this opportunity to thank the Department for its assistance throughout the assessment process. </w:t>
      </w:r>
    </w:p>
    <w:p w14:paraId="07FDCC69" w14:textId="77777777" w:rsidR="007D2A04" w:rsidRPr="00F516FD" w:rsidRDefault="007D2A04" w:rsidP="007D2A04">
      <w:pPr>
        <w:pStyle w:val="Heading2"/>
        <w:numPr>
          <w:ilvl w:val="0"/>
          <w:numId w:val="0"/>
        </w:numPr>
      </w:pPr>
      <w:r w:rsidRPr="00F516FD">
        <w:t>18.</w:t>
      </w:r>
      <w:r w:rsidRPr="00F516FD">
        <w:tab/>
        <w:t>Further information on MSAC</w:t>
      </w:r>
    </w:p>
    <w:p w14:paraId="420B9F4D" w14:textId="1FF0BA58" w:rsidR="004341E8" w:rsidRPr="007D2A04" w:rsidRDefault="007D2A04" w:rsidP="007D2A04">
      <w:pPr>
        <w:pStyle w:val="BodyText"/>
        <w:rPr>
          <w:rFonts w:ascii="Franklin Gothic Book" w:hAnsi="Franklin Gothic Book" w:cstheme="minorBidi"/>
          <w:b/>
          <w:bCs/>
          <w:i/>
          <w:iCs/>
          <w:sz w:val="22"/>
        </w:rPr>
      </w:pPr>
      <w:r w:rsidRPr="00F516FD">
        <w:rPr>
          <w:rFonts w:ascii="Franklin Gothic Book" w:hAnsi="Franklin Gothic Book"/>
          <w:bCs/>
          <w:iCs/>
          <w:sz w:val="22"/>
        </w:rPr>
        <w:t xml:space="preserve">MSAC Terms of Reference and other information are available on the MSAC Website: </w:t>
      </w:r>
      <w:hyperlink r:id="rId19" w:tooltip="Link to the MSAC website" w:history="1">
        <w:r w:rsidRPr="00F516FD">
          <w:rPr>
            <w:rStyle w:val="Hyperlink"/>
            <w:rFonts w:ascii="Franklin Gothic Book" w:hAnsi="Franklin Gothic Book"/>
            <w:iCs/>
            <w:sz w:val="22"/>
          </w:rPr>
          <w:t>visit the MSAC website</w:t>
        </w:r>
      </w:hyperlink>
    </w:p>
    <w:sectPr w:rsidR="004341E8" w:rsidRPr="007D2A04" w:rsidSect="00AC198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B91D" w14:textId="77777777" w:rsidR="006B4734" w:rsidRDefault="006B4734" w:rsidP="00B62DF2">
      <w:pPr>
        <w:spacing w:after="0" w:line="240" w:lineRule="auto"/>
      </w:pPr>
      <w:r>
        <w:separator/>
      </w:r>
    </w:p>
  </w:endnote>
  <w:endnote w:type="continuationSeparator" w:id="0">
    <w:p w14:paraId="61F5BD9B" w14:textId="77777777" w:rsidR="006B4734" w:rsidRDefault="006B4734" w:rsidP="00B62DF2">
      <w:pPr>
        <w:spacing w:after="0" w:line="240" w:lineRule="auto"/>
      </w:pPr>
      <w:r>
        <w:continuationSeparator/>
      </w:r>
    </w:p>
  </w:endnote>
  <w:endnote w:type="continuationNotice" w:id="1">
    <w:p w14:paraId="2DCAF385" w14:textId="77777777" w:rsidR="006B4734" w:rsidRDefault="006B47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53677853" w:rsidR="006A317C" w:rsidRDefault="00C859E0" w:rsidP="007D2A04">
    <w:pPr>
      <w:pStyle w:val="Footer"/>
      <w:tabs>
        <w:tab w:val="left" w:pos="3402"/>
      </w:tabs>
      <w:jc w:val="right"/>
    </w:pPr>
    <w:sdt>
      <w:sdtPr>
        <w:id w:val="1925460831"/>
        <w:docPartObj>
          <w:docPartGallery w:val="Page Numbers (Bottom of Page)"/>
          <w:docPartUnique/>
        </w:docPartObj>
      </w:sdtPr>
      <w:sdtEndPr>
        <w:rPr>
          <w:noProof/>
        </w:rPr>
      </w:sdtEndPr>
      <w:sdtContent>
        <w:r w:rsidR="006A317C" w:rsidRPr="006A2F5F">
          <w:fldChar w:fldCharType="begin"/>
        </w:r>
        <w:r w:rsidR="006A317C" w:rsidRPr="006A2F5F">
          <w:instrText xml:space="preserve"> PAGE   \* MERGEFORMAT </w:instrText>
        </w:r>
        <w:r w:rsidR="006A317C" w:rsidRPr="006A2F5F">
          <w:fldChar w:fldCharType="separate"/>
        </w:r>
        <w:r w:rsidR="006A317C" w:rsidRPr="006A2F5F">
          <w:rPr>
            <w:noProof/>
          </w:rPr>
          <w:t>72</w:t>
        </w:r>
        <w:r w:rsidR="006A317C" w:rsidRPr="006A2F5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C30142E" w:rsidR="006A317C" w:rsidRDefault="006A317C" w:rsidP="00052DD3">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22320"/>
      <w:docPartObj>
        <w:docPartGallery w:val="Page Numbers (Bottom of Page)"/>
        <w:docPartUnique/>
      </w:docPartObj>
    </w:sdtPr>
    <w:sdtEndPr>
      <w:rPr>
        <w:noProof/>
      </w:rPr>
    </w:sdtEndPr>
    <w:sdtContent>
      <w:p w14:paraId="356D69FD" w14:textId="0BDC35FB" w:rsidR="006A317C" w:rsidRDefault="006A317C" w:rsidP="007D2A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7E36" w14:textId="77777777" w:rsidR="006B4734" w:rsidRDefault="006B4734" w:rsidP="00B62DF2">
      <w:pPr>
        <w:spacing w:after="0" w:line="240" w:lineRule="auto"/>
      </w:pPr>
      <w:r>
        <w:separator/>
      </w:r>
    </w:p>
  </w:footnote>
  <w:footnote w:type="continuationSeparator" w:id="0">
    <w:p w14:paraId="7EB34311" w14:textId="77777777" w:rsidR="006B4734" w:rsidRDefault="006B4734" w:rsidP="00B62DF2">
      <w:pPr>
        <w:spacing w:after="0" w:line="240" w:lineRule="auto"/>
      </w:pPr>
      <w:r>
        <w:continuationSeparator/>
      </w:r>
    </w:p>
  </w:footnote>
  <w:footnote w:type="continuationNotice" w:id="1">
    <w:p w14:paraId="0E75155A" w14:textId="77777777" w:rsidR="006B4734" w:rsidRDefault="006B4734">
      <w:pPr>
        <w:spacing w:before="0" w:after="0" w:line="240" w:lineRule="auto"/>
      </w:pPr>
    </w:p>
  </w:footnote>
  <w:footnote w:id="2">
    <w:p w14:paraId="07DD0275" w14:textId="6E0E2876" w:rsidR="006A317C" w:rsidRDefault="006A317C">
      <w:pPr>
        <w:pStyle w:val="FootnoteText"/>
      </w:pPr>
      <w:r>
        <w:rPr>
          <w:rStyle w:val="FootnoteReference"/>
        </w:rPr>
        <w:footnoteRef/>
      </w:r>
      <w:r>
        <w:t xml:space="preserve"> Medicare Benefits Schedule – Note PN.0.33: </w:t>
      </w:r>
      <w:hyperlink r:id="rId1" w:tooltip="This links to the MBS website Note PN.0.33" w:history="1">
        <w:r w:rsidRPr="00E24B30">
          <w:rPr>
            <w:rStyle w:val="Hyperlink"/>
          </w:rPr>
          <w:t>https://www9.health.gov.au/mbs/fullDisplay.cfm?type=note&amp;qt=NoteID&amp;q=PN.0.33</w:t>
        </w:r>
      </w:hyperlink>
      <w:r>
        <w:t xml:space="preserve"> </w:t>
      </w:r>
    </w:p>
  </w:footnote>
  <w:footnote w:id="3">
    <w:p w14:paraId="6C59CFD8" w14:textId="1B04E352" w:rsidR="006A317C" w:rsidRDefault="006A317C">
      <w:pPr>
        <w:pStyle w:val="FootnoteText"/>
      </w:pPr>
      <w:r>
        <w:rPr>
          <w:rStyle w:val="FootnoteReference"/>
        </w:rPr>
        <w:footnoteRef/>
      </w:r>
      <w:r>
        <w:t xml:space="preserve"> </w:t>
      </w:r>
      <w:hyperlink r:id="rId2" w:tooltip="Link to the RCPA manual for examination of a single gestation placenta" w:history="1">
        <w:r>
          <w:rPr>
            <w:rStyle w:val="Hyperlink"/>
          </w:rPr>
          <w:t>Placenta single gestation - RCPA manual</w:t>
        </w:r>
      </w:hyperlink>
      <w:r>
        <w:t xml:space="preserve"> </w:t>
      </w:r>
    </w:p>
  </w:footnote>
  <w:footnote w:id="4">
    <w:p w14:paraId="0CD97AFD" w14:textId="36E02A5B" w:rsidR="006A317C" w:rsidRPr="00130A66" w:rsidRDefault="006A317C" w:rsidP="00FE60C0">
      <w:pPr>
        <w:pStyle w:val="FootnoteText"/>
        <w:rPr>
          <w:lang w:val="en-US"/>
        </w:rPr>
      </w:pPr>
      <w:r>
        <w:rPr>
          <w:rStyle w:val="FootnoteReference"/>
        </w:rPr>
        <w:footnoteRef/>
      </w:r>
      <w:r>
        <w:t xml:space="preserve"> </w:t>
      </w:r>
      <w:r w:rsidRPr="00FE60C0">
        <w:rPr>
          <w:lang w:val="en-US"/>
        </w:rPr>
        <w:t>Centre of Research Excellence in Stillbirth &amp; Perinatal</w:t>
      </w:r>
      <w:r>
        <w:rPr>
          <w:lang w:val="en-US"/>
        </w:rPr>
        <w:t xml:space="preserve"> </w:t>
      </w:r>
      <w:r w:rsidRPr="00FE60C0">
        <w:rPr>
          <w:lang w:val="en-US"/>
        </w:rPr>
        <w:t>Society of Australia and New Zealand</w:t>
      </w:r>
      <w:r>
        <w:rPr>
          <w:lang w:val="en-US"/>
        </w:rPr>
        <w:t xml:space="preserve"> (PSANZ)</w:t>
      </w:r>
      <w:r w:rsidRPr="00FE60C0">
        <w:rPr>
          <w:lang w:val="en-US"/>
        </w:rPr>
        <w:t xml:space="preserve"> (2024). Care</w:t>
      </w:r>
      <w:r>
        <w:rPr>
          <w:lang w:val="en-US"/>
        </w:rPr>
        <w:t xml:space="preserve"> </w:t>
      </w:r>
      <w:r w:rsidRPr="00FE60C0">
        <w:rPr>
          <w:lang w:val="en-US"/>
        </w:rPr>
        <w:t>Around Stillbirth and Neonatal Death Clinical Practice</w:t>
      </w:r>
      <w:r>
        <w:rPr>
          <w:lang w:val="en-US"/>
        </w:rPr>
        <w:t xml:space="preserve"> </w:t>
      </w:r>
      <w:r w:rsidRPr="00FE60C0">
        <w:rPr>
          <w:lang w:val="en-US"/>
        </w:rPr>
        <w:t xml:space="preserve">Guideline. </w:t>
      </w:r>
    </w:p>
  </w:footnote>
  <w:footnote w:id="5">
    <w:p w14:paraId="7F6D58EF" w14:textId="50C5AB0A" w:rsidR="006A317C" w:rsidRDefault="006A317C">
      <w:pPr>
        <w:pStyle w:val="FootnoteText"/>
      </w:pPr>
      <w:r>
        <w:rPr>
          <w:rStyle w:val="FootnoteReference"/>
        </w:rPr>
        <w:footnoteRef/>
      </w:r>
      <w:r>
        <w:t xml:space="preserve"> </w:t>
      </w:r>
      <w:r w:rsidRPr="00FE60C0">
        <w:rPr>
          <w:lang w:val="en-US"/>
        </w:rPr>
        <w:t>Centre of Research Excellence in Stillbirth &amp; Perinatal</w:t>
      </w:r>
      <w:r>
        <w:rPr>
          <w:lang w:val="en-US"/>
        </w:rPr>
        <w:t xml:space="preserve"> </w:t>
      </w:r>
      <w:r w:rsidRPr="00FE60C0">
        <w:rPr>
          <w:lang w:val="en-US"/>
        </w:rPr>
        <w:t>Society of Australia and New Zealand</w:t>
      </w:r>
      <w:r>
        <w:rPr>
          <w:lang w:val="en-US"/>
        </w:rPr>
        <w:t xml:space="preserve"> (PSANZ)</w:t>
      </w:r>
      <w:r w:rsidRPr="00FE60C0">
        <w:rPr>
          <w:lang w:val="en-US"/>
        </w:rPr>
        <w:t xml:space="preserve"> (2024). Care</w:t>
      </w:r>
      <w:r>
        <w:rPr>
          <w:lang w:val="en-US"/>
        </w:rPr>
        <w:t xml:space="preserve"> </w:t>
      </w:r>
      <w:r w:rsidRPr="00FE60C0">
        <w:rPr>
          <w:lang w:val="en-US"/>
        </w:rPr>
        <w:t>Around Stillbirth and Neonatal Death Clinical Practice</w:t>
      </w:r>
      <w:r>
        <w:rPr>
          <w:lang w:val="en-US"/>
        </w:rPr>
        <w:t xml:space="preserve"> </w:t>
      </w:r>
      <w:r w:rsidRPr="00FE60C0">
        <w:rPr>
          <w:lang w:val="en-US"/>
        </w:rPr>
        <w:t xml:space="preserve">Guideline. </w:t>
      </w:r>
    </w:p>
  </w:footnote>
  <w:footnote w:id="6">
    <w:p w14:paraId="48101C3A" w14:textId="0D061371" w:rsidR="006A317C" w:rsidRDefault="006A317C" w:rsidP="00FA5DCA">
      <w:pPr>
        <w:pStyle w:val="FootnoteText"/>
        <w:spacing w:before="0"/>
      </w:pPr>
      <w:r>
        <w:rPr>
          <w:rStyle w:val="FootnoteReference"/>
        </w:rPr>
        <w:footnoteRef/>
      </w:r>
      <w:r>
        <w:t xml:space="preserve"> Neonatal death: Case definition &amp; guidelines for data collection, analysis, and presentation of immunization safety data, Vaccine, Volume 34, Issue 49, 2016. </w:t>
      </w:r>
      <w:hyperlink r:id="rId3" w:history="1">
        <w:r w:rsidRPr="00213A10">
          <w:rPr>
            <w:rStyle w:val="Hyperlink"/>
          </w:rPr>
          <w:t>https://doi.org/10.1016/j.vaccine.2016.03.040</w:t>
        </w:r>
      </w:hyperlink>
      <w:r w:rsidRPr="00DC2D54">
        <w:t>.</w:t>
      </w:r>
      <w:r>
        <w:t xml:space="preserve"> </w:t>
      </w:r>
    </w:p>
  </w:footnote>
  <w:footnote w:id="7">
    <w:p w14:paraId="2853E2FF" w14:textId="2D13AEA6" w:rsidR="006A317C" w:rsidRPr="005C468C" w:rsidRDefault="006A317C" w:rsidP="0021441E">
      <w:pPr>
        <w:pStyle w:val="FootnoteText"/>
        <w:rPr>
          <w:lang w:val="en-US"/>
        </w:rPr>
      </w:pPr>
      <w:r>
        <w:rPr>
          <w:rStyle w:val="FootnoteReference"/>
        </w:rPr>
        <w:footnoteRef/>
      </w:r>
      <w:r>
        <w:t xml:space="preserve"> The Royal College of Pathologists of Australasia (RCPA) (2023) RCPA Best Practice Guideline For Perinatal Death Investigations. First Edition, Version 1.5. </w:t>
      </w:r>
    </w:p>
  </w:footnote>
  <w:footnote w:id="8">
    <w:p w14:paraId="1FA13BEC" w14:textId="19BFACFF" w:rsidR="006A317C" w:rsidRPr="0003705F" w:rsidRDefault="006A317C" w:rsidP="005C31E4">
      <w:pPr>
        <w:pStyle w:val="FootnoteText"/>
        <w:rPr>
          <w:lang w:val="en-US"/>
        </w:rPr>
      </w:pPr>
      <w:r>
        <w:rPr>
          <w:rStyle w:val="FootnoteReference"/>
        </w:rPr>
        <w:footnoteRef/>
      </w:r>
      <w:r>
        <w:rPr>
          <w:lang w:val="en-US"/>
        </w:rPr>
        <w:t xml:space="preserve"> </w:t>
      </w:r>
      <w:r>
        <w:t xml:space="preserve">Agency for Clinical Innovation, NSW Health (2014) Maternity - Indications for Placental Histological Examination. Guideline </w:t>
      </w:r>
      <w:r w:rsidRPr="003E2412">
        <w:t>GL2014_006</w:t>
      </w:r>
      <w:r>
        <w:t xml:space="preserve">. </w:t>
      </w:r>
    </w:p>
  </w:footnote>
  <w:footnote w:id="9">
    <w:p w14:paraId="784810A8" w14:textId="77777777" w:rsidR="006A317C" w:rsidRPr="0003705F" w:rsidRDefault="006A317C" w:rsidP="005B368F">
      <w:pPr>
        <w:pStyle w:val="FootnoteText"/>
        <w:rPr>
          <w:lang w:val="en-US"/>
        </w:rPr>
      </w:pPr>
      <w:r>
        <w:rPr>
          <w:rStyle w:val="FootnoteReference"/>
        </w:rPr>
        <w:footnoteRef/>
      </w:r>
      <w:r>
        <w:t xml:space="preserve"> Department of Health and Wellbeing, Government of South Australia (2019) </w:t>
      </w:r>
      <w:r w:rsidRPr="0003705F">
        <w:t>Histopathology Management of the Placenta</w:t>
      </w:r>
      <w:r>
        <w:t xml:space="preserve">. Version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1414" w14:textId="77777777" w:rsidR="000B4B58" w:rsidRDefault="000B4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A9E6" w14:textId="77777777" w:rsidR="000B4B58" w:rsidRDefault="000B4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01CE" w14:textId="77777777" w:rsidR="000B4B58" w:rsidRDefault="000B4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07C"/>
    <w:multiLevelType w:val="multilevel"/>
    <w:tmpl w:val="3308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42E7B"/>
    <w:multiLevelType w:val="hybridMultilevel"/>
    <w:tmpl w:val="BC802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13448"/>
    <w:multiLevelType w:val="hybridMultilevel"/>
    <w:tmpl w:val="F63632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E1D2170"/>
    <w:multiLevelType w:val="hybridMultilevel"/>
    <w:tmpl w:val="B812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A66E1"/>
    <w:multiLevelType w:val="hybridMultilevel"/>
    <w:tmpl w:val="19BC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A96613"/>
    <w:multiLevelType w:val="hybridMultilevel"/>
    <w:tmpl w:val="7702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AA2499E"/>
    <w:multiLevelType w:val="hybridMultilevel"/>
    <w:tmpl w:val="CC86DABE"/>
    <w:styleLink w:val="Headings"/>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C5D9F"/>
    <w:multiLevelType w:val="hybridMultilevel"/>
    <w:tmpl w:val="B1C09864"/>
    <w:lvl w:ilvl="0" w:tplc="3CD0808E">
      <w:start w:val="1"/>
      <w:numFmt w:val="decimal"/>
      <w:pStyle w:val="ES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FF0F3E"/>
    <w:multiLevelType w:val="hybridMultilevel"/>
    <w:tmpl w:val="C742D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370CD9"/>
    <w:multiLevelType w:val="hybridMultilevel"/>
    <w:tmpl w:val="27FA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A93CDB"/>
    <w:multiLevelType w:val="multilevel"/>
    <w:tmpl w:val="BB0E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7E51AB"/>
    <w:multiLevelType w:val="hybridMultilevel"/>
    <w:tmpl w:val="A2E6C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673F3D"/>
    <w:multiLevelType w:val="hybridMultilevel"/>
    <w:tmpl w:val="8280F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4D5A43"/>
    <w:multiLevelType w:val="hybridMultilevel"/>
    <w:tmpl w:val="307EA932"/>
    <w:lvl w:ilvl="0" w:tplc="68E69848">
      <w:start w:val="1"/>
      <w:numFmt w:val="decimal"/>
      <w:lvlText w:val="%1."/>
      <w:lvlJc w:val="left"/>
      <w:pPr>
        <w:ind w:left="1020" w:hanging="360"/>
      </w:pPr>
    </w:lvl>
    <w:lvl w:ilvl="1" w:tplc="A2C870BA">
      <w:start w:val="1"/>
      <w:numFmt w:val="decimal"/>
      <w:lvlText w:val="%2."/>
      <w:lvlJc w:val="left"/>
      <w:pPr>
        <w:ind w:left="1020" w:hanging="360"/>
      </w:pPr>
    </w:lvl>
    <w:lvl w:ilvl="2" w:tplc="FB96477E">
      <w:start w:val="1"/>
      <w:numFmt w:val="decimal"/>
      <w:lvlText w:val="%3."/>
      <w:lvlJc w:val="left"/>
      <w:pPr>
        <w:ind w:left="1020" w:hanging="360"/>
      </w:pPr>
    </w:lvl>
    <w:lvl w:ilvl="3" w:tplc="FA6A5004">
      <w:start w:val="1"/>
      <w:numFmt w:val="decimal"/>
      <w:lvlText w:val="%4."/>
      <w:lvlJc w:val="left"/>
      <w:pPr>
        <w:ind w:left="1020" w:hanging="360"/>
      </w:pPr>
    </w:lvl>
    <w:lvl w:ilvl="4" w:tplc="12047ACE">
      <w:start w:val="1"/>
      <w:numFmt w:val="decimal"/>
      <w:lvlText w:val="%5."/>
      <w:lvlJc w:val="left"/>
      <w:pPr>
        <w:ind w:left="1020" w:hanging="360"/>
      </w:pPr>
    </w:lvl>
    <w:lvl w:ilvl="5" w:tplc="C00287B8">
      <w:start w:val="1"/>
      <w:numFmt w:val="decimal"/>
      <w:lvlText w:val="%6."/>
      <w:lvlJc w:val="left"/>
      <w:pPr>
        <w:ind w:left="1020" w:hanging="360"/>
      </w:pPr>
    </w:lvl>
    <w:lvl w:ilvl="6" w:tplc="331C1732">
      <w:start w:val="1"/>
      <w:numFmt w:val="decimal"/>
      <w:lvlText w:val="%7."/>
      <w:lvlJc w:val="left"/>
      <w:pPr>
        <w:ind w:left="1020" w:hanging="360"/>
      </w:pPr>
    </w:lvl>
    <w:lvl w:ilvl="7" w:tplc="2B54A6B8">
      <w:start w:val="1"/>
      <w:numFmt w:val="decimal"/>
      <w:lvlText w:val="%8."/>
      <w:lvlJc w:val="left"/>
      <w:pPr>
        <w:ind w:left="1020" w:hanging="360"/>
      </w:pPr>
    </w:lvl>
    <w:lvl w:ilvl="8" w:tplc="777652C2">
      <w:start w:val="1"/>
      <w:numFmt w:val="decimal"/>
      <w:lvlText w:val="%9."/>
      <w:lvlJc w:val="left"/>
      <w:pPr>
        <w:ind w:left="1020" w:hanging="360"/>
      </w:pPr>
    </w:lvl>
  </w:abstractNum>
  <w:abstractNum w:abstractNumId="21" w15:restartNumberingAfterBreak="0">
    <w:nsid w:val="581262B7"/>
    <w:multiLevelType w:val="hybridMultilevel"/>
    <w:tmpl w:val="94227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B715D"/>
    <w:multiLevelType w:val="hybridMultilevel"/>
    <w:tmpl w:val="740EDB9A"/>
    <w:lvl w:ilvl="0" w:tplc="1C58D8C2">
      <w:start w:val="1"/>
      <w:numFmt w:val="decimal"/>
      <w:lvlText w:val="%1."/>
      <w:lvlJc w:val="left"/>
      <w:pPr>
        <w:ind w:left="1020" w:hanging="360"/>
      </w:pPr>
    </w:lvl>
    <w:lvl w:ilvl="1" w:tplc="4100F330">
      <w:start w:val="1"/>
      <w:numFmt w:val="decimal"/>
      <w:lvlText w:val="%2."/>
      <w:lvlJc w:val="left"/>
      <w:pPr>
        <w:ind w:left="1020" w:hanging="360"/>
      </w:pPr>
    </w:lvl>
    <w:lvl w:ilvl="2" w:tplc="035C19BE">
      <w:start w:val="1"/>
      <w:numFmt w:val="decimal"/>
      <w:lvlText w:val="%3."/>
      <w:lvlJc w:val="left"/>
      <w:pPr>
        <w:ind w:left="1020" w:hanging="360"/>
      </w:pPr>
    </w:lvl>
    <w:lvl w:ilvl="3" w:tplc="1384F5AE">
      <w:start w:val="1"/>
      <w:numFmt w:val="decimal"/>
      <w:lvlText w:val="%4."/>
      <w:lvlJc w:val="left"/>
      <w:pPr>
        <w:ind w:left="1020" w:hanging="360"/>
      </w:pPr>
    </w:lvl>
    <w:lvl w:ilvl="4" w:tplc="DB3E5884">
      <w:start w:val="1"/>
      <w:numFmt w:val="decimal"/>
      <w:lvlText w:val="%5."/>
      <w:lvlJc w:val="left"/>
      <w:pPr>
        <w:ind w:left="1020" w:hanging="360"/>
      </w:pPr>
    </w:lvl>
    <w:lvl w:ilvl="5" w:tplc="25047BA8">
      <w:start w:val="1"/>
      <w:numFmt w:val="decimal"/>
      <w:lvlText w:val="%6."/>
      <w:lvlJc w:val="left"/>
      <w:pPr>
        <w:ind w:left="1020" w:hanging="360"/>
      </w:pPr>
    </w:lvl>
    <w:lvl w:ilvl="6" w:tplc="3E48A058">
      <w:start w:val="1"/>
      <w:numFmt w:val="decimal"/>
      <w:lvlText w:val="%7."/>
      <w:lvlJc w:val="left"/>
      <w:pPr>
        <w:ind w:left="1020" w:hanging="360"/>
      </w:pPr>
    </w:lvl>
    <w:lvl w:ilvl="7" w:tplc="F37EDF98">
      <w:start w:val="1"/>
      <w:numFmt w:val="decimal"/>
      <w:lvlText w:val="%8."/>
      <w:lvlJc w:val="left"/>
      <w:pPr>
        <w:ind w:left="1020" w:hanging="360"/>
      </w:pPr>
    </w:lvl>
    <w:lvl w:ilvl="8" w:tplc="5A9A1F30">
      <w:start w:val="1"/>
      <w:numFmt w:val="decimal"/>
      <w:lvlText w:val="%9."/>
      <w:lvlJc w:val="left"/>
      <w:pPr>
        <w:ind w:left="1020" w:hanging="360"/>
      </w:pPr>
    </w:lvl>
  </w:abstractNum>
  <w:abstractNum w:abstractNumId="23" w15:restartNumberingAfterBreak="0">
    <w:nsid w:val="61A37603"/>
    <w:multiLevelType w:val="hybridMultilevel"/>
    <w:tmpl w:val="4000C942"/>
    <w:lvl w:ilvl="0" w:tplc="9648EC80">
      <w:start w:val="1"/>
      <w:numFmt w:val="decimal"/>
      <w:lvlText w:val="%1)"/>
      <w:lvlJc w:val="left"/>
      <w:pPr>
        <w:ind w:left="1020" w:hanging="360"/>
      </w:pPr>
    </w:lvl>
    <w:lvl w:ilvl="1" w:tplc="954E64D8">
      <w:start w:val="1"/>
      <w:numFmt w:val="decimal"/>
      <w:lvlText w:val="%2)"/>
      <w:lvlJc w:val="left"/>
      <w:pPr>
        <w:ind w:left="1020" w:hanging="360"/>
      </w:pPr>
    </w:lvl>
    <w:lvl w:ilvl="2" w:tplc="32E01354">
      <w:start w:val="1"/>
      <w:numFmt w:val="decimal"/>
      <w:lvlText w:val="%3)"/>
      <w:lvlJc w:val="left"/>
      <w:pPr>
        <w:ind w:left="1020" w:hanging="360"/>
      </w:pPr>
    </w:lvl>
    <w:lvl w:ilvl="3" w:tplc="0302B3D8">
      <w:start w:val="1"/>
      <w:numFmt w:val="decimal"/>
      <w:lvlText w:val="%4)"/>
      <w:lvlJc w:val="left"/>
      <w:pPr>
        <w:ind w:left="1020" w:hanging="360"/>
      </w:pPr>
    </w:lvl>
    <w:lvl w:ilvl="4" w:tplc="023AD9DE">
      <w:start w:val="1"/>
      <w:numFmt w:val="decimal"/>
      <w:lvlText w:val="%5)"/>
      <w:lvlJc w:val="left"/>
      <w:pPr>
        <w:ind w:left="1020" w:hanging="360"/>
      </w:pPr>
    </w:lvl>
    <w:lvl w:ilvl="5" w:tplc="BD5AB9B6">
      <w:start w:val="1"/>
      <w:numFmt w:val="decimal"/>
      <w:lvlText w:val="%6)"/>
      <w:lvlJc w:val="left"/>
      <w:pPr>
        <w:ind w:left="1020" w:hanging="360"/>
      </w:pPr>
    </w:lvl>
    <w:lvl w:ilvl="6" w:tplc="15825F24">
      <w:start w:val="1"/>
      <w:numFmt w:val="decimal"/>
      <w:lvlText w:val="%7)"/>
      <w:lvlJc w:val="left"/>
      <w:pPr>
        <w:ind w:left="1020" w:hanging="360"/>
      </w:pPr>
    </w:lvl>
    <w:lvl w:ilvl="7" w:tplc="8590872E">
      <w:start w:val="1"/>
      <w:numFmt w:val="decimal"/>
      <w:lvlText w:val="%8)"/>
      <w:lvlJc w:val="left"/>
      <w:pPr>
        <w:ind w:left="1020" w:hanging="360"/>
      </w:pPr>
    </w:lvl>
    <w:lvl w:ilvl="8" w:tplc="96640C90">
      <w:start w:val="1"/>
      <w:numFmt w:val="decimal"/>
      <w:lvlText w:val="%9)"/>
      <w:lvlJc w:val="left"/>
      <w:pPr>
        <w:ind w:left="1020" w:hanging="360"/>
      </w:pPr>
    </w:lvl>
  </w:abstractNum>
  <w:abstractNum w:abstractNumId="24" w15:restartNumberingAfterBreak="0">
    <w:nsid w:val="68DC1AEE"/>
    <w:multiLevelType w:val="hybridMultilevel"/>
    <w:tmpl w:val="64DE2638"/>
    <w:lvl w:ilvl="0" w:tplc="32F433D8">
      <w:start w:val="3"/>
      <w:numFmt w:val="bullet"/>
      <w:lvlText w:val="-"/>
      <w:lvlJc w:val="left"/>
      <w:pPr>
        <w:ind w:left="360" w:hanging="360"/>
      </w:pPr>
      <w:rPr>
        <w:rFonts w:ascii="Franklin Gothic Book" w:eastAsiaTheme="minorHAnsi" w:hAnsi="Franklin Gothic Book"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9F065A"/>
    <w:multiLevelType w:val="hybridMultilevel"/>
    <w:tmpl w:val="A88A6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0D709F"/>
    <w:multiLevelType w:val="hybridMultilevel"/>
    <w:tmpl w:val="9464262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29" w15:restartNumberingAfterBreak="0">
    <w:nsid w:val="7FC200F9"/>
    <w:multiLevelType w:val="hybridMultilevel"/>
    <w:tmpl w:val="FAD6890E"/>
    <w:lvl w:ilvl="0" w:tplc="9290435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774443">
    <w:abstractNumId w:val="13"/>
  </w:num>
  <w:num w:numId="2" w16cid:durableId="1896893499">
    <w:abstractNumId w:val="28"/>
  </w:num>
  <w:num w:numId="3" w16cid:durableId="2085831721">
    <w:abstractNumId w:val="4"/>
  </w:num>
  <w:num w:numId="4" w16cid:durableId="770244764">
    <w:abstractNumId w:val="6"/>
  </w:num>
  <w:num w:numId="5" w16cid:durableId="1434207564">
    <w:abstractNumId w:val="27"/>
  </w:num>
  <w:num w:numId="6" w16cid:durableId="1112283776">
    <w:abstractNumId w:val="7"/>
  </w:num>
  <w:num w:numId="7" w16cid:durableId="339551009">
    <w:abstractNumId w:val="9"/>
  </w:num>
  <w:num w:numId="8" w16cid:durableId="1178931090">
    <w:abstractNumId w:val="12"/>
  </w:num>
  <w:num w:numId="9" w16cid:durableId="1171876798">
    <w:abstractNumId w:val="16"/>
  </w:num>
  <w:num w:numId="10" w16cid:durableId="1868133297">
    <w:abstractNumId w:val="2"/>
  </w:num>
  <w:num w:numId="11" w16cid:durableId="261764281">
    <w:abstractNumId w:val="26"/>
  </w:num>
  <w:num w:numId="12" w16cid:durableId="1476219121">
    <w:abstractNumId w:val="8"/>
  </w:num>
  <w:num w:numId="13" w16cid:durableId="2101484065">
    <w:abstractNumId w:val="19"/>
  </w:num>
  <w:num w:numId="14" w16cid:durableId="328099263">
    <w:abstractNumId w:val="21"/>
  </w:num>
  <w:num w:numId="15" w16cid:durableId="1077828035">
    <w:abstractNumId w:val="5"/>
  </w:num>
  <w:num w:numId="16" w16cid:durableId="1880119488">
    <w:abstractNumId w:val="15"/>
  </w:num>
  <w:num w:numId="17" w16cid:durableId="114980532">
    <w:abstractNumId w:val="14"/>
  </w:num>
  <w:num w:numId="18" w16cid:durableId="2115323747">
    <w:abstractNumId w:val="11"/>
  </w:num>
  <w:num w:numId="19" w16cid:durableId="671689942">
    <w:abstractNumId w:val="10"/>
  </w:num>
  <w:num w:numId="20" w16cid:durableId="922954369">
    <w:abstractNumId w:val="3"/>
  </w:num>
  <w:num w:numId="21" w16cid:durableId="1681353695">
    <w:abstractNumId w:val="25"/>
  </w:num>
  <w:num w:numId="22" w16cid:durableId="1243104796">
    <w:abstractNumId w:val="29"/>
  </w:num>
  <w:num w:numId="23" w16cid:durableId="1491095080">
    <w:abstractNumId w:val="1"/>
  </w:num>
  <w:num w:numId="24" w16cid:durableId="279076035">
    <w:abstractNumId w:val="18"/>
  </w:num>
  <w:num w:numId="25" w16cid:durableId="1750077947">
    <w:abstractNumId w:val="24"/>
  </w:num>
  <w:num w:numId="26" w16cid:durableId="1236890838">
    <w:abstractNumId w:val="0"/>
  </w:num>
  <w:num w:numId="27" w16cid:durableId="2045248922">
    <w:abstractNumId w:val="17"/>
  </w:num>
  <w:num w:numId="28" w16cid:durableId="369040360">
    <w:abstractNumId w:val="23"/>
  </w:num>
  <w:num w:numId="29" w16cid:durableId="1894349915">
    <w:abstractNumId w:val="22"/>
  </w:num>
  <w:num w:numId="30" w16cid:durableId="8148820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5FE"/>
    <w:rsid w:val="00000791"/>
    <w:rsid w:val="000007D3"/>
    <w:rsid w:val="00000CEF"/>
    <w:rsid w:val="0000109A"/>
    <w:rsid w:val="00001349"/>
    <w:rsid w:val="000013B8"/>
    <w:rsid w:val="00001498"/>
    <w:rsid w:val="00001824"/>
    <w:rsid w:val="00001AE6"/>
    <w:rsid w:val="00002023"/>
    <w:rsid w:val="00002260"/>
    <w:rsid w:val="00002446"/>
    <w:rsid w:val="000027E4"/>
    <w:rsid w:val="00002A94"/>
    <w:rsid w:val="0000302C"/>
    <w:rsid w:val="000030CF"/>
    <w:rsid w:val="000030ED"/>
    <w:rsid w:val="000033D3"/>
    <w:rsid w:val="0000352A"/>
    <w:rsid w:val="00003766"/>
    <w:rsid w:val="00003B2E"/>
    <w:rsid w:val="00003C0D"/>
    <w:rsid w:val="00003D41"/>
    <w:rsid w:val="00003E5C"/>
    <w:rsid w:val="000042C2"/>
    <w:rsid w:val="00004371"/>
    <w:rsid w:val="0000459F"/>
    <w:rsid w:val="000045B7"/>
    <w:rsid w:val="0000466E"/>
    <w:rsid w:val="000049FC"/>
    <w:rsid w:val="00004AA6"/>
    <w:rsid w:val="00004B12"/>
    <w:rsid w:val="00004CB6"/>
    <w:rsid w:val="00004D3B"/>
    <w:rsid w:val="00004D69"/>
    <w:rsid w:val="00004DA9"/>
    <w:rsid w:val="00004F7F"/>
    <w:rsid w:val="0000504C"/>
    <w:rsid w:val="0000523A"/>
    <w:rsid w:val="000054C9"/>
    <w:rsid w:val="000057FF"/>
    <w:rsid w:val="00005E99"/>
    <w:rsid w:val="000062A8"/>
    <w:rsid w:val="0000647B"/>
    <w:rsid w:val="00006637"/>
    <w:rsid w:val="00006A22"/>
    <w:rsid w:val="00006A45"/>
    <w:rsid w:val="00007347"/>
    <w:rsid w:val="00007538"/>
    <w:rsid w:val="000075BC"/>
    <w:rsid w:val="000076B5"/>
    <w:rsid w:val="00007A92"/>
    <w:rsid w:val="00007CBF"/>
    <w:rsid w:val="00007E87"/>
    <w:rsid w:val="0001000E"/>
    <w:rsid w:val="000102E4"/>
    <w:rsid w:val="000105D9"/>
    <w:rsid w:val="000107E0"/>
    <w:rsid w:val="0001090A"/>
    <w:rsid w:val="00010A09"/>
    <w:rsid w:val="00010A87"/>
    <w:rsid w:val="00010BA6"/>
    <w:rsid w:val="00010BDD"/>
    <w:rsid w:val="00010D7E"/>
    <w:rsid w:val="00010EA0"/>
    <w:rsid w:val="00011077"/>
    <w:rsid w:val="0001112B"/>
    <w:rsid w:val="0001117E"/>
    <w:rsid w:val="000111EB"/>
    <w:rsid w:val="0001123A"/>
    <w:rsid w:val="00011568"/>
    <w:rsid w:val="00011BB3"/>
    <w:rsid w:val="00011CC4"/>
    <w:rsid w:val="00011EED"/>
    <w:rsid w:val="00011EF3"/>
    <w:rsid w:val="00011FCC"/>
    <w:rsid w:val="00012FD9"/>
    <w:rsid w:val="000131F4"/>
    <w:rsid w:val="00013C79"/>
    <w:rsid w:val="00013EA6"/>
    <w:rsid w:val="00014220"/>
    <w:rsid w:val="000142D1"/>
    <w:rsid w:val="00014974"/>
    <w:rsid w:val="00014A14"/>
    <w:rsid w:val="00014A6E"/>
    <w:rsid w:val="00014ACE"/>
    <w:rsid w:val="00014BF1"/>
    <w:rsid w:val="00014F99"/>
    <w:rsid w:val="000151B6"/>
    <w:rsid w:val="0001527C"/>
    <w:rsid w:val="00015AAB"/>
    <w:rsid w:val="00016008"/>
    <w:rsid w:val="00016442"/>
    <w:rsid w:val="0001698F"/>
    <w:rsid w:val="00016C04"/>
    <w:rsid w:val="00016EBA"/>
    <w:rsid w:val="00016F4E"/>
    <w:rsid w:val="00017029"/>
    <w:rsid w:val="00017163"/>
    <w:rsid w:val="000172C8"/>
    <w:rsid w:val="000172DF"/>
    <w:rsid w:val="000173E6"/>
    <w:rsid w:val="000176F2"/>
    <w:rsid w:val="00017C5D"/>
    <w:rsid w:val="00017CB0"/>
    <w:rsid w:val="00017E8D"/>
    <w:rsid w:val="00017ECF"/>
    <w:rsid w:val="000201EC"/>
    <w:rsid w:val="000203B3"/>
    <w:rsid w:val="00020745"/>
    <w:rsid w:val="0002090C"/>
    <w:rsid w:val="00020BD8"/>
    <w:rsid w:val="000211F3"/>
    <w:rsid w:val="00021404"/>
    <w:rsid w:val="000215DD"/>
    <w:rsid w:val="00021997"/>
    <w:rsid w:val="00021A42"/>
    <w:rsid w:val="00021AA8"/>
    <w:rsid w:val="00021C44"/>
    <w:rsid w:val="00021D63"/>
    <w:rsid w:val="00021F0A"/>
    <w:rsid w:val="00021F63"/>
    <w:rsid w:val="0002206A"/>
    <w:rsid w:val="0002227D"/>
    <w:rsid w:val="00022387"/>
    <w:rsid w:val="0002238B"/>
    <w:rsid w:val="0002266D"/>
    <w:rsid w:val="000228B8"/>
    <w:rsid w:val="00022B3A"/>
    <w:rsid w:val="00022D83"/>
    <w:rsid w:val="00023010"/>
    <w:rsid w:val="000230EA"/>
    <w:rsid w:val="00023306"/>
    <w:rsid w:val="00023441"/>
    <w:rsid w:val="0002361F"/>
    <w:rsid w:val="00023771"/>
    <w:rsid w:val="0002381B"/>
    <w:rsid w:val="00023857"/>
    <w:rsid w:val="00023CB1"/>
    <w:rsid w:val="0002405B"/>
    <w:rsid w:val="0002410C"/>
    <w:rsid w:val="00024135"/>
    <w:rsid w:val="0002418C"/>
    <w:rsid w:val="000244CE"/>
    <w:rsid w:val="00024693"/>
    <w:rsid w:val="000246D3"/>
    <w:rsid w:val="000247E0"/>
    <w:rsid w:val="000248A9"/>
    <w:rsid w:val="000248B7"/>
    <w:rsid w:val="000248D4"/>
    <w:rsid w:val="00024A53"/>
    <w:rsid w:val="00024CA0"/>
    <w:rsid w:val="00024CF1"/>
    <w:rsid w:val="00024E73"/>
    <w:rsid w:val="00024EA5"/>
    <w:rsid w:val="00025045"/>
    <w:rsid w:val="0002514A"/>
    <w:rsid w:val="00025255"/>
    <w:rsid w:val="0002526F"/>
    <w:rsid w:val="00025284"/>
    <w:rsid w:val="000252AA"/>
    <w:rsid w:val="00025853"/>
    <w:rsid w:val="00025B5C"/>
    <w:rsid w:val="00025F5C"/>
    <w:rsid w:val="00026301"/>
    <w:rsid w:val="00026502"/>
    <w:rsid w:val="00026552"/>
    <w:rsid w:val="00026648"/>
    <w:rsid w:val="000267C1"/>
    <w:rsid w:val="00026DBA"/>
    <w:rsid w:val="00027095"/>
    <w:rsid w:val="000273D1"/>
    <w:rsid w:val="000274F0"/>
    <w:rsid w:val="0002755F"/>
    <w:rsid w:val="00027581"/>
    <w:rsid w:val="000275DE"/>
    <w:rsid w:val="00027770"/>
    <w:rsid w:val="0002783F"/>
    <w:rsid w:val="000278BC"/>
    <w:rsid w:val="00027EFC"/>
    <w:rsid w:val="00030034"/>
    <w:rsid w:val="00030191"/>
    <w:rsid w:val="00030B9F"/>
    <w:rsid w:val="00030FAF"/>
    <w:rsid w:val="00030FC3"/>
    <w:rsid w:val="00030FF5"/>
    <w:rsid w:val="0003127A"/>
    <w:rsid w:val="00031334"/>
    <w:rsid w:val="000318AA"/>
    <w:rsid w:val="000318D5"/>
    <w:rsid w:val="00031915"/>
    <w:rsid w:val="00031A8C"/>
    <w:rsid w:val="00031E54"/>
    <w:rsid w:val="00031FB1"/>
    <w:rsid w:val="00031FD2"/>
    <w:rsid w:val="0003203B"/>
    <w:rsid w:val="0003254F"/>
    <w:rsid w:val="000325CC"/>
    <w:rsid w:val="00032832"/>
    <w:rsid w:val="00032939"/>
    <w:rsid w:val="00032A06"/>
    <w:rsid w:val="00032E65"/>
    <w:rsid w:val="00033075"/>
    <w:rsid w:val="000333E1"/>
    <w:rsid w:val="000335E7"/>
    <w:rsid w:val="000339F4"/>
    <w:rsid w:val="00033B4A"/>
    <w:rsid w:val="00033C0F"/>
    <w:rsid w:val="00034038"/>
    <w:rsid w:val="0003423A"/>
    <w:rsid w:val="0003477F"/>
    <w:rsid w:val="00035374"/>
    <w:rsid w:val="000354C5"/>
    <w:rsid w:val="00035A88"/>
    <w:rsid w:val="00035AC0"/>
    <w:rsid w:val="00035B4A"/>
    <w:rsid w:val="00035C0B"/>
    <w:rsid w:val="00035C8F"/>
    <w:rsid w:val="00035CAC"/>
    <w:rsid w:val="00035CDD"/>
    <w:rsid w:val="00035D33"/>
    <w:rsid w:val="00036345"/>
    <w:rsid w:val="000364F9"/>
    <w:rsid w:val="000366B7"/>
    <w:rsid w:val="00036930"/>
    <w:rsid w:val="00036986"/>
    <w:rsid w:val="00036AD8"/>
    <w:rsid w:val="00036B05"/>
    <w:rsid w:val="00036D6C"/>
    <w:rsid w:val="00037037"/>
    <w:rsid w:val="0003705F"/>
    <w:rsid w:val="00037302"/>
    <w:rsid w:val="000373AD"/>
    <w:rsid w:val="000374A8"/>
    <w:rsid w:val="0003758E"/>
    <w:rsid w:val="00037608"/>
    <w:rsid w:val="00037852"/>
    <w:rsid w:val="000379F9"/>
    <w:rsid w:val="00037AE0"/>
    <w:rsid w:val="00037B5E"/>
    <w:rsid w:val="00037D8E"/>
    <w:rsid w:val="00037E20"/>
    <w:rsid w:val="0004005D"/>
    <w:rsid w:val="000400CB"/>
    <w:rsid w:val="000400EB"/>
    <w:rsid w:val="00040304"/>
    <w:rsid w:val="00040422"/>
    <w:rsid w:val="00040576"/>
    <w:rsid w:val="000405CC"/>
    <w:rsid w:val="000406B4"/>
    <w:rsid w:val="00040750"/>
    <w:rsid w:val="00040ADF"/>
    <w:rsid w:val="00040ED4"/>
    <w:rsid w:val="00040FB4"/>
    <w:rsid w:val="000410BB"/>
    <w:rsid w:val="000410FC"/>
    <w:rsid w:val="00041143"/>
    <w:rsid w:val="0004123D"/>
    <w:rsid w:val="00041321"/>
    <w:rsid w:val="000414C7"/>
    <w:rsid w:val="0004178C"/>
    <w:rsid w:val="00041C11"/>
    <w:rsid w:val="00041C7A"/>
    <w:rsid w:val="00041C86"/>
    <w:rsid w:val="00041F5D"/>
    <w:rsid w:val="00042173"/>
    <w:rsid w:val="00042375"/>
    <w:rsid w:val="00042D67"/>
    <w:rsid w:val="00042F31"/>
    <w:rsid w:val="0004357F"/>
    <w:rsid w:val="00043833"/>
    <w:rsid w:val="00043CAB"/>
    <w:rsid w:val="00044075"/>
    <w:rsid w:val="00044360"/>
    <w:rsid w:val="000443A6"/>
    <w:rsid w:val="000445C6"/>
    <w:rsid w:val="00044650"/>
    <w:rsid w:val="000449C6"/>
    <w:rsid w:val="000449D1"/>
    <w:rsid w:val="00045097"/>
    <w:rsid w:val="00045216"/>
    <w:rsid w:val="000456DB"/>
    <w:rsid w:val="00045B8D"/>
    <w:rsid w:val="00045C35"/>
    <w:rsid w:val="00045C8D"/>
    <w:rsid w:val="00045CC5"/>
    <w:rsid w:val="00045E25"/>
    <w:rsid w:val="00046123"/>
    <w:rsid w:val="00046549"/>
    <w:rsid w:val="0004658E"/>
    <w:rsid w:val="0004659B"/>
    <w:rsid w:val="000465D1"/>
    <w:rsid w:val="0004666F"/>
    <w:rsid w:val="000466C3"/>
    <w:rsid w:val="00046919"/>
    <w:rsid w:val="00046B6A"/>
    <w:rsid w:val="00046C8E"/>
    <w:rsid w:val="00046EA5"/>
    <w:rsid w:val="000472D4"/>
    <w:rsid w:val="00047569"/>
    <w:rsid w:val="000478B7"/>
    <w:rsid w:val="000478D8"/>
    <w:rsid w:val="00047B7E"/>
    <w:rsid w:val="00047F58"/>
    <w:rsid w:val="000503AF"/>
    <w:rsid w:val="0005077A"/>
    <w:rsid w:val="000507C1"/>
    <w:rsid w:val="00050CAB"/>
    <w:rsid w:val="0005112A"/>
    <w:rsid w:val="000515A8"/>
    <w:rsid w:val="000516A0"/>
    <w:rsid w:val="0005178F"/>
    <w:rsid w:val="00051A06"/>
    <w:rsid w:val="00051A77"/>
    <w:rsid w:val="00051D66"/>
    <w:rsid w:val="00052688"/>
    <w:rsid w:val="000528EC"/>
    <w:rsid w:val="00052C35"/>
    <w:rsid w:val="00052CBA"/>
    <w:rsid w:val="00052DD3"/>
    <w:rsid w:val="0005326D"/>
    <w:rsid w:val="0005364D"/>
    <w:rsid w:val="000538BE"/>
    <w:rsid w:val="000539CD"/>
    <w:rsid w:val="00053C9F"/>
    <w:rsid w:val="00053E33"/>
    <w:rsid w:val="00053F6C"/>
    <w:rsid w:val="000542F9"/>
    <w:rsid w:val="00054439"/>
    <w:rsid w:val="00054577"/>
    <w:rsid w:val="00054670"/>
    <w:rsid w:val="000549D9"/>
    <w:rsid w:val="00054AD4"/>
    <w:rsid w:val="00054CA7"/>
    <w:rsid w:val="00054FF6"/>
    <w:rsid w:val="0005505D"/>
    <w:rsid w:val="00055091"/>
    <w:rsid w:val="000552EB"/>
    <w:rsid w:val="0005536F"/>
    <w:rsid w:val="000555A5"/>
    <w:rsid w:val="000557D9"/>
    <w:rsid w:val="00055895"/>
    <w:rsid w:val="00055922"/>
    <w:rsid w:val="00055A17"/>
    <w:rsid w:val="00055D16"/>
    <w:rsid w:val="00055F28"/>
    <w:rsid w:val="0005628A"/>
    <w:rsid w:val="00056601"/>
    <w:rsid w:val="00056845"/>
    <w:rsid w:val="00056AAF"/>
    <w:rsid w:val="00057334"/>
    <w:rsid w:val="00057426"/>
    <w:rsid w:val="0005752A"/>
    <w:rsid w:val="00057543"/>
    <w:rsid w:val="000576F2"/>
    <w:rsid w:val="00057983"/>
    <w:rsid w:val="00057B0C"/>
    <w:rsid w:val="00057C64"/>
    <w:rsid w:val="0006021D"/>
    <w:rsid w:val="00060271"/>
    <w:rsid w:val="0006030D"/>
    <w:rsid w:val="0006035F"/>
    <w:rsid w:val="000603C2"/>
    <w:rsid w:val="000604EC"/>
    <w:rsid w:val="00060511"/>
    <w:rsid w:val="000605B9"/>
    <w:rsid w:val="000607A6"/>
    <w:rsid w:val="000609F1"/>
    <w:rsid w:val="00060DB2"/>
    <w:rsid w:val="00060E7C"/>
    <w:rsid w:val="00061625"/>
    <w:rsid w:val="0006180B"/>
    <w:rsid w:val="00061811"/>
    <w:rsid w:val="000619C8"/>
    <w:rsid w:val="00061D24"/>
    <w:rsid w:val="000620EC"/>
    <w:rsid w:val="0006211F"/>
    <w:rsid w:val="000622F9"/>
    <w:rsid w:val="0006236B"/>
    <w:rsid w:val="000627E8"/>
    <w:rsid w:val="000627EB"/>
    <w:rsid w:val="0006298A"/>
    <w:rsid w:val="000629CA"/>
    <w:rsid w:val="00062A0F"/>
    <w:rsid w:val="00062A82"/>
    <w:rsid w:val="00062E0C"/>
    <w:rsid w:val="00062E15"/>
    <w:rsid w:val="00062E98"/>
    <w:rsid w:val="00062F27"/>
    <w:rsid w:val="0006339C"/>
    <w:rsid w:val="000639ED"/>
    <w:rsid w:val="00063C60"/>
    <w:rsid w:val="00063CA2"/>
    <w:rsid w:val="00063CE1"/>
    <w:rsid w:val="00063CE9"/>
    <w:rsid w:val="00063E3A"/>
    <w:rsid w:val="0006436E"/>
    <w:rsid w:val="0006442C"/>
    <w:rsid w:val="000644BE"/>
    <w:rsid w:val="00064514"/>
    <w:rsid w:val="000646AA"/>
    <w:rsid w:val="00064783"/>
    <w:rsid w:val="000647C2"/>
    <w:rsid w:val="000649C4"/>
    <w:rsid w:val="00064C30"/>
    <w:rsid w:val="00064D15"/>
    <w:rsid w:val="00064F79"/>
    <w:rsid w:val="000650A8"/>
    <w:rsid w:val="000650C0"/>
    <w:rsid w:val="00065140"/>
    <w:rsid w:val="00065375"/>
    <w:rsid w:val="0006571A"/>
    <w:rsid w:val="0006574B"/>
    <w:rsid w:val="0006577A"/>
    <w:rsid w:val="00065D2E"/>
    <w:rsid w:val="00065FA2"/>
    <w:rsid w:val="00066015"/>
    <w:rsid w:val="00066117"/>
    <w:rsid w:val="000665B5"/>
    <w:rsid w:val="00066C83"/>
    <w:rsid w:val="00066E51"/>
    <w:rsid w:val="00066E94"/>
    <w:rsid w:val="00066EB7"/>
    <w:rsid w:val="00066F2A"/>
    <w:rsid w:val="00066FD5"/>
    <w:rsid w:val="00067221"/>
    <w:rsid w:val="0006770C"/>
    <w:rsid w:val="000678AB"/>
    <w:rsid w:val="00067C3D"/>
    <w:rsid w:val="00067E40"/>
    <w:rsid w:val="00067EC6"/>
    <w:rsid w:val="00067F58"/>
    <w:rsid w:val="0007003D"/>
    <w:rsid w:val="0007010C"/>
    <w:rsid w:val="0007021F"/>
    <w:rsid w:val="00070245"/>
    <w:rsid w:val="000703CB"/>
    <w:rsid w:val="00070602"/>
    <w:rsid w:val="00070752"/>
    <w:rsid w:val="000709A0"/>
    <w:rsid w:val="00070EE2"/>
    <w:rsid w:val="00071509"/>
    <w:rsid w:val="00071632"/>
    <w:rsid w:val="00071AA2"/>
    <w:rsid w:val="00071FBF"/>
    <w:rsid w:val="00072104"/>
    <w:rsid w:val="00072381"/>
    <w:rsid w:val="000723EF"/>
    <w:rsid w:val="00072496"/>
    <w:rsid w:val="00072561"/>
    <w:rsid w:val="000727FE"/>
    <w:rsid w:val="000728AB"/>
    <w:rsid w:val="000728BF"/>
    <w:rsid w:val="00072976"/>
    <w:rsid w:val="00072AB5"/>
    <w:rsid w:val="00072F5C"/>
    <w:rsid w:val="00073158"/>
    <w:rsid w:val="00073527"/>
    <w:rsid w:val="00073830"/>
    <w:rsid w:val="000738C2"/>
    <w:rsid w:val="0007392C"/>
    <w:rsid w:val="00073D09"/>
    <w:rsid w:val="00073E5B"/>
    <w:rsid w:val="00074199"/>
    <w:rsid w:val="0007434F"/>
    <w:rsid w:val="000743F2"/>
    <w:rsid w:val="000744CF"/>
    <w:rsid w:val="0007459E"/>
    <w:rsid w:val="0007464E"/>
    <w:rsid w:val="0007468D"/>
    <w:rsid w:val="0007478F"/>
    <w:rsid w:val="00074A29"/>
    <w:rsid w:val="00074BA2"/>
    <w:rsid w:val="00074D2D"/>
    <w:rsid w:val="00074D5E"/>
    <w:rsid w:val="00074E7B"/>
    <w:rsid w:val="0007527B"/>
    <w:rsid w:val="00075584"/>
    <w:rsid w:val="000759DA"/>
    <w:rsid w:val="00075E84"/>
    <w:rsid w:val="00075ED6"/>
    <w:rsid w:val="000764BE"/>
    <w:rsid w:val="00076528"/>
    <w:rsid w:val="0007684D"/>
    <w:rsid w:val="00076F4A"/>
    <w:rsid w:val="00077313"/>
    <w:rsid w:val="00077494"/>
    <w:rsid w:val="00077909"/>
    <w:rsid w:val="00077CF7"/>
    <w:rsid w:val="00077DF9"/>
    <w:rsid w:val="00080241"/>
    <w:rsid w:val="0008032C"/>
    <w:rsid w:val="00080483"/>
    <w:rsid w:val="0008096E"/>
    <w:rsid w:val="00080C32"/>
    <w:rsid w:val="00080C45"/>
    <w:rsid w:val="00080E7B"/>
    <w:rsid w:val="00080FD1"/>
    <w:rsid w:val="0008110E"/>
    <w:rsid w:val="00081192"/>
    <w:rsid w:val="0008120B"/>
    <w:rsid w:val="0008130E"/>
    <w:rsid w:val="000815B0"/>
    <w:rsid w:val="00081709"/>
    <w:rsid w:val="00081778"/>
    <w:rsid w:val="00081835"/>
    <w:rsid w:val="00081C73"/>
    <w:rsid w:val="00081E15"/>
    <w:rsid w:val="0008214B"/>
    <w:rsid w:val="00082259"/>
    <w:rsid w:val="000823BA"/>
    <w:rsid w:val="00082B15"/>
    <w:rsid w:val="00082CDA"/>
    <w:rsid w:val="00082D29"/>
    <w:rsid w:val="00082F0D"/>
    <w:rsid w:val="00083259"/>
    <w:rsid w:val="00083322"/>
    <w:rsid w:val="000834BE"/>
    <w:rsid w:val="00083501"/>
    <w:rsid w:val="000835A0"/>
    <w:rsid w:val="00083ABB"/>
    <w:rsid w:val="00083B08"/>
    <w:rsid w:val="00083D59"/>
    <w:rsid w:val="00084112"/>
    <w:rsid w:val="000842AE"/>
    <w:rsid w:val="00084451"/>
    <w:rsid w:val="000850A5"/>
    <w:rsid w:val="00085259"/>
    <w:rsid w:val="00085583"/>
    <w:rsid w:val="000857EF"/>
    <w:rsid w:val="000858AF"/>
    <w:rsid w:val="0008591F"/>
    <w:rsid w:val="00085D50"/>
    <w:rsid w:val="000860C7"/>
    <w:rsid w:val="00086598"/>
    <w:rsid w:val="00086737"/>
    <w:rsid w:val="0008699E"/>
    <w:rsid w:val="00086BCE"/>
    <w:rsid w:val="00086C6B"/>
    <w:rsid w:val="00086CEA"/>
    <w:rsid w:val="00086E8B"/>
    <w:rsid w:val="00086EA9"/>
    <w:rsid w:val="00086F68"/>
    <w:rsid w:val="000870B6"/>
    <w:rsid w:val="000871EE"/>
    <w:rsid w:val="000875A7"/>
    <w:rsid w:val="00087ABE"/>
    <w:rsid w:val="00087C15"/>
    <w:rsid w:val="00090558"/>
    <w:rsid w:val="000905F8"/>
    <w:rsid w:val="00090613"/>
    <w:rsid w:val="0009083B"/>
    <w:rsid w:val="00090925"/>
    <w:rsid w:val="00090A41"/>
    <w:rsid w:val="00090B70"/>
    <w:rsid w:val="00090BD1"/>
    <w:rsid w:val="00090E26"/>
    <w:rsid w:val="0009106F"/>
    <w:rsid w:val="000911D2"/>
    <w:rsid w:val="00091204"/>
    <w:rsid w:val="000914AF"/>
    <w:rsid w:val="00091857"/>
    <w:rsid w:val="000919A0"/>
    <w:rsid w:val="00091B09"/>
    <w:rsid w:val="00091C59"/>
    <w:rsid w:val="00091C71"/>
    <w:rsid w:val="00091D69"/>
    <w:rsid w:val="00091E42"/>
    <w:rsid w:val="00091EC6"/>
    <w:rsid w:val="00092241"/>
    <w:rsid w:val="00092509"/>
    <w:rsid w:val="00092732"/>
    <w:rsid w:val="000927C9"/>
    <w:rsid w:val="0009282D"/>
    <w:rsid w:val="000928C9"/>
    <w:rsid w:val="00092A21"/>
    <w:rsid w:val="00092F43"/>
    <w:rsid w:val="00092F95"/>
    <w:rsid w:val="000935EF"/>
    <w:rsid w:val="000936AB"/>
    <w:rsid w:val="00093729"/>
    <w:rsid w:val="00093749"/>
    <w:rsid w:val="00093983"/>
    <w:rsid w:val="00093AC5"/>
    <w:rsid w:val="00093D9A"/>
    <w:rsid w:val="00093FFB"/>
    <w:rsid w:val="0009442E"/>
    <w:rsid w:val="00094460"/>
    <w:rsid w:val="00094481"/>
    <w:rsid w:val="00094647"/>
    <w:rsid w:val="00094656"/>
    <w:rsid w:val="00094C4D"/>
    <w:rsid w:val="00094C4F"/>
    <w:rsid w:val="00095134"/>
    <w:rsid w:val="00095244"/>
    <w:rsid w:val="0009538D"/>
    <w:rsid w:val="00095D24"/>
    <w:rsid w:val="00095EE9"/>
    <w:rsid w:val="00095F95"/>
    <w:rsid w:val="00096164"/>
    <w:rsid w:val="000965AF"/>
    <w:rsid w:val="00096B52"/>
    <w:rsid w:val="00096EF5"/>
    <w:rsid w:val="000973B1"/>
    <w:rsid w:val="000975A6"/>
    <w:rsid w:val="000979F5"/>
    <w:rsid w:val="00097AA3"/>
    <w:rsid w:val="00097DBD"/>
    <w:rsid w:val="00097FAD"/>
    <w:rsid w:val="000A08D1"/>
    <w:rsid w:val="000A0C2F"/>
    <w:rsid w:val="000A0CA6"/>
    <w:rsid w:val="000A1031"/>
    <w:rsid w:val="000A10BF"/>
    <w:rsid w:val="000A156E"/>
    <w:rsid w:val="000A16AE"/>
    <w:rsid w:val="000A1870"/>
    <w:rsid w:val="000A2105"/>
    <w:rsid w:val="000A2338"/>
    <w:rsid w:val="000A2383"/>
    <w:rsid w:val="000A2618"/>
    <w:rsid w:val="000A290E"/>
    <w:rsid w:val="000A2A11"/>
    <w:rsid w:val="000A2A33"/>
    <w:rsid w:val="000A2ACD"/>
    <w:rsid w:val="000A2B65"/>
    <w:rsid w:val="000A2BA0"/>
    <w:rsid w:val="000A2DA8"/>
    <w:rsid w:val="000A35AE"/>
    <w:rsid w:val="000A3651"/>
    <w:rsid w:val="000A428C"/>
    <w:rsid w:val="000A431F"/>
    <w:rsid w:val="000A45BD"/>
    <w:rsid w:val="000A49A6"/>
    <w:rsid w:val="000A4A29"/>
    <w:rsid w:val="000A4A75"/>
    <w:rsid w:val="000A4C0E"/>
    <w:rsid w:val="000A50D2"/>
    <w:rsid w:val="000A50EA"/>
    <w:rsid w:val="000A50F9"/>
    <w:rsid w:val="000A523A"/>
    <w:rsid w:val="000A5463"/>
    <w:rsid w:val="000A565B"/>
    <w:rsid w:val="000A5899"/>
    <w:rsid w:val="000A5B34"/>
    <w:rsid w:val="000A5C3F"/>
    <w:rsid w:val="000A5C47"/>
    <w:rsid w:val="000A5DBE"/>
    <w:rsid w:val="000A5DD2"/>
    <w:rsid w:val="000A6009"/>
    <w:rsid w:val="000A629E"/>
    <w:rsid w:val="000A68B2"/>
    <w:rsid w:val="000A6999"/>
    <w:rsid w:val="000A6B30"/>
    <w:rsid w:val="000A6CB1"/>
    <w:rsid w:val="000A6CF1"/>
    <w:rsid w:val="000A7009"/>
    <w:rsid w:val="000A70A8"/>
    <w:rsid w:val="000A7215"/>
    <w:rsid w:val="000A763B"/>
    <w:rsid w:val="000A768F"/>
    <w:rsid w:val="000A7B73"/>
    <w:rsid w:val="000A7E9C"/>
    <w:rsid w:val="000B0D05"/>
    <w:rsid w:val="000B13B8"/>
    <w:rsid w:val="000B1768"/>
    <w:rsid w:val="000B18C0"/>
    <w:rsid w:val="000B1DCF"/>
    <w:rsid w:val="000B1E0C"/>
    <w:rsid w:val="000B1FAF"/>
    <w:rsid w:val="000B203D"/>
    <w:rsid w:val="000B2255"/>
    <w:rsid w:val="000B2348"/>
    <w:rsid w:val="000B234E"/>
    <w:rsid w:val="000B2472"/>
    <w:rsid w:val="000B294E"/>
    <w:rsid w:val="000B2B4C"/>
    <w:rsid w:val="000B2BAF"/>
    <w:rsid w:val="000B2C16"/>
    <w:rsid w:val="000B2D92"/>
    <w:rsid w:val="000B2F6F"/>
    <w:rsid w:val="000B3022"/>
    <w:rsid w:val="000B3330"/>
    <w:rsid w:val="000B3458"/>
    <w:rsid w:val="000B349B"/>
    <w:rsid w:val="000B3578"/>
    <w:rsid w:val="000B35C0"/>
    <w:rsid w:val="000B3602"/>
    <w:rsid w:val="000B386D"/>
    <w:rsid w:val="000B38D5"/>
    <w:rsid w:val="000B4044"/>
    <w:rsid w:val="000B41E2"/>
    <w:rsid w:val="000B4287"/>
    <w:rsid w:val="000B467D"/>
    <w:rsid w:val="000B48E6"/>
    <w:rsid w:val="000B497A"/>
    <w:rsid w:val="000B4B58"/>
    <w:rsid w:val="000B4D3D"/>
    <w:rsid w:val="000B4D70"/>
    <w:rsid w:val="000B4F60"/>
    <w:rsid w:val="000B51B7"/>
    <w:rsid w:val="000B5317"/>
    <w:rsid w:val="000B5679"/>
    <w:rsid w:val="000B56B0"/>
    <w:rsid w:val="000B575D"/>
    <w:rsid w:val="000B59F2"/>
    <w:rsid w:val="000B5B9B"/>
    <w:rsid w:val="000B5E3D"/>
    <w:rsid w:val="000B65CC"/>
    <w:rsid w:val="000B66F9"/>
    <w:rsid w:val="000B6CBA"/>
    <w:rsid w:val="000B6CF0"/>
    <w:rsid w:val="000B6CFD"/>
    <w:rsid w:val="000B6DF5"/>
    <w:rsid w:val="000B6F5B"/>
    <w:rsid w:val="000B720C"/>
    <w:rsid w:val="000B72C3"/>
    <w:rsid w:val="000B734B"/>
    <w:rsid w:val="000B7447"/>
    <w:rsid w:val="000B7665"/>
    <w:rsid w:val="000B7797"/>
    <w:rsid w:val="000B77EA"/>
    <w:rsid w:val="000B78AE"/>
    <w:rsid w:val="000B7935"/>
    <w:rsid w:val="000B7A22"/>
    <w:rsid w:val="000B7DA2"/>
    <w:rsid w:val="000C00CB"/>
    <w:rsid w:val="000C04B3"/>
    <w:rsid w:val="000C0642"/>
    <w:rsid w:val="000C06E7"/>
    <w:rsid w:val="000C0D5E"/>
    <w:rsid w:val="000C0E9B"/>
    <w:rsid w:val="000C0F4E"/>
    <w:rsid w:val="000C108B"/>
    <w:rsid w:val="000C1239"/>
    <w:rsid w:val="000C13F4"/>
    <w:rsid w:val="000C1568"/>
    <w:rsid w:val="000C1E63"/>
    <w:rsid w:val="000C2056"/>
    <w:rsid w:val="000C2422"/>
    <w:rsid w:val="000C2560"/>
    <w:rsid w:val="000C25D0"/>
    <w:rsid w:val="000C28FE"/>
    <w:rsid w:val="000C29BD"/>
    <w:rsid w:val="000C2B31"/>
    <w:rsid w:val="000C2E65"/>
    <w:rsid w:val="000C316A"/>
    <w:rsid w:val="000C3943"/>
    <w:rsid w:val="000C3A12"/>
    <w:rsid w:val="000C3D7F"/>
    <w:rsid w:val="000C3FC9"/>
    <w:rsid w:val="000C4081"/>
    <w:rsid w:val="000C416E"/>
    <w:rsid w:val="000C42A1"/>
    <w:rsid w:val="000C4842"/>
    <w:rsid w:val="000C48D3"/>
    <w:rsid w:val="000C4ECF"/>
    <w:rsid w:val="000C50EE"/>
    <w:rsid w:val="000C5365"/>
    <w:rsid w:val="000C53DD"/>
    <w:rsid w:val="000C542E"/>
    <w:rsid w:val="000C54C9"/>
    <w:rsid w:val="000C59FF"/>
    <w:rsid w:val="000C5DA1"/>
    <w:rsid w:val="000C5E71"/>
    <w:rsid w:val="000C6018"/>
    <w:rsid w:val="000C61CD"/>
    <w:rsid w:val="000C63C9"/>
    <w:rsid w:val="000C640D"/>
    <w:rsid w:val="000C64A0"/>
    <w:rsid w:val="000C652A"/>
    <w:rsid w:val="000C682C"/>
    <w:rsid w:val="000C68AE"/>
    <w:rsid w:val="000C6AA9"/>
    <w:rsid w:val="000C6AF2"/>
    <w:rsid w:val="000C6DDB"/>
    <w:rsid w:val="000C6F95"/>
    <w:rsid w:val="000C7077"/>
    <w:rsid w:val="000C76DD"/>
    <w:rsid w:val="000C76E3"/>
    <w:rsid w:val="000C78CF"/>
    <w:rsid w:val="000C7C46"/>
    <w:rsid w:val="000C7C74"/>
    <w:rsid w:val="000C7D9C"/>
    <w:rsid w:val="000D0417"/>
    <w:rsid w:val="000D0868"/>
    <w:rsid w:val="000D0A91"/>
    <w:rsid w:val="000D0FD3"/>
    <w:rsid w:val="000D1356"/>
    <w:rsid w:val="000D1505"/>
    <w:rsid w:val="000D1843"/>
    <w:rsid w:val="000D1B52"/>
    <w:rsid w:val="000D1D58"/>
    <w:rsid w:val="000D1DA2"/>
    <w:rsid w:val="000D1EF1"/>
    <w:rsid w:val="000D2227"/>
    <w:rsid w:val="000D23DD"/>
    <w:rsid w:val="000D2581"/>
    <w:rsid w:val="000D2798"/>
    <w:rsid w:val="000D2B8A"/>
    <w:rsid w:val="000D2D1B"/>
    <w:rsid w:val="000D2D46"/>
    <w:rsid w:val="000D2D5B"/>
    <w:rsid w:val="000D2F2B"/>
    <w:rsid w:val="000D3CBE"/>
    <w:rsid w:val="000D3CDC"/>
    <w:rsid w:val="000D3CF6"/>
    <w:rsid w:val="000D4160"/>
    <w:rsid w:val="000D42E4"/>
    <w:rsid w:val="000D43C6"/>
    <w:rsid w:val="000D4406"/>
    <w:rsid w:val="000D4ADD"/>
    <w:rsid w:val="000D4C1B"/>
    <w:rsid w:val="000D4CC3"/>
    <w:rsid w:val="000D4D3F"/>
    <w:rsid w:val="000D4EFE"/>
    <w:rsid w:val="000D4F29"/>
    <w:rsid w:val="000D51AE"/>
    <w:rsid w:val="000D51CB"/>
    <w:rsid w:val="000D5398"/>
    <w:rsid w:val="000D5523"/>
    <w:rsid w:val="000D56E4"/>
    <w:rsid w:val="000D5755"/>
    <w:rsid w:val="000D5D2F"/>
    <w:rsid w:val="000D6020"/>
    <w:rsid w:val="000D6130"/>
    <w:rsid w:val="000D63DF"/>
    <w:rsid w:val="000D67F0"/>
    <w:rsid w:val="000D69FD"/>
    <w:rsid w:val="000D6AE8"/>
    <w:rsid w:val="000D6D2E"/>
    <w:rsid w:val="000D7162"/>
    <w:rsid w:val="000D7310"/>
    <w:rsid w:val="000D7593"/>
    <w:rsid w:val="000D7E12"/>
    <w:rsid w:val="000D7FFC"/>
    <w:rsid w:val="000E0150"/>
    <w:rsid w:val="000E03DC"/>
    <w:rsid w:val="000E0A92"/>
    <w:rsid w:val="000E0CA0"/>
    <w:rsid w:val="000E0CD2"/>
    <w:rsid w:val="000E0FE3"/>
    <w:rsid w:val="000E1084"/>
    <w:rsid w:val="000E1124"/>
    <w:rsid w:val="000E123B"/>
    <w:rsid w:val="000E1792"/>
    <w:rsid w:val="000E1986"/>
    <w:rsid w:val="000E1C82"/>
    <w:rsid w:val="000E1F43"/>
    <w:rsid w:val="000E25D8"/>
    <w:rsid w:val="000E268A"/>
    <w:rsid w:val="000E275A"/>
    <w:rsid w:val="000E2A1E"/>
    <w:rsid w:val="000E300B"/>
    <w:rsid w:val="000E312D"/>
    <w:rsid w:val="000E3234"/>
    <w:rsid w:val="000E35C9"/>
    <w:rsid w:val="000E36DF"/>
    <w:rsid w:val="000E37AB"/>
    <w:rsid w:val="000E37F9"/>
    <w:rsid w:val="000E390F"/>
    <w:rsid w:val="000E3D2D"/>
    <w:rsid w:val="000E3DE6"/>
    <w:rsid w:val="000E418C"/>
    <w:rsid w:val="000E42E3"/>
    <w:rsid w:val="000E4753"/>
    <w:rsid w:val="000E49B0"/>
    <w:rsid w:val="000E4A81"/>
    <w:rsid w:val="000E4AC9"/>
    <w:rsid w:val="000E4BE2"/>
    <w:rsid w:val="000E4CAB"/>
    <w:rsid w:val="000E51BE"/>
    <w:rsid w:val="000E5296"/>
    <w:rsid w:val="000E5340"/>
    <w:rsid w:val="000E5465"/>
    <w:rsid w:val="000E5531"/>
    <w:rsid w:val="000E56D9"/>
    <w:rsid w:val="000E5868"/>
    <w:rsid w:val="000E58D9"/>
    <w:rsid w:val="000E5A39"/>
    <w:rsid w:val="000E5BFD"/>
    <w:rsid w:val="000E611B"/>
    <w:rsid w:val="000E6367"/>
    <w:rsid w:val="000E6410"/>
    <w:rsid w:val="000E678B"/>
    <w:rsid w:val="000E68A0"/>
    <w:rsid w:val="000E69AA"/>
    <w:rsid w:val="000E6B1A"/>
    <w:rsid w:val="000E6BBD"/>
    <w:rsid w:val="000E710F"/>
    <w:rsid w:val="000E71F7"/>
    <w:rsid w:val="000E7330"/>
    <w:rsid w:val="000E7AD6"/>
    <w:rsid w:val="000E7AE3"/>
    <w:rsid w:val="000E7B27"/>
    <w:rsid w:val="000E7D8C"/>
    <w:rsid w:val="000F0178"/>
    <w:rsid w:val="000F0237"/>
    <w:rsid w:val="000F0322"/>
    <w:rsid w:val="000F0689"/>
    <w:rsid w:val="000F0702"/>
    <w:rsid w:val="000F0804"/>
    <w:rsid w:val="000F098E"/>
    <w:rsid w:val="000F0CA0"/>
    <w:rsid w:val="000F0D75"/>
    <w:rsid w:val="000F0E45"/>
    <w:rsid w:val="000F0F18"/>
    <w:rsid w:val="000F0F74"/>
    <w:rsid w:val="000F100B"/>
    <w:rsid w:val="000F12AE"/>
    <w:rsid w:val="000F15CF"/>
    <w:rsid w:val="000F167D"/>
    <w:rsid w:val="000F16BF"/>
    <w:rsid w:val="000F1F20"/>
    <w:rsid w:val="000F2116"/>
    <w:rsid w:val="000F2159"/>
    <w:rsid w:val="000F2536"/>
    <w:rsid w:val="000F27ED"/>
    <w:rsid w:val="000F28AD"/>
    <w:rsid w:val="000F2955"/>
    <w:rsid w:val="000F2A86"/>
    <w:rsid w:val="000F2E01"/>
    <w:rsid w:val="000F2E09"/>
    <w:rsid w:val="000F2E4F"/>
    <w:rsid w:val="000F31E1"/>
    <w:rsid w:val="000F321A"/>
    <w:rsid w:val="000F3453"/>
    <w:rsid w:val="000F3726"/>
    <w:rsid w:val="000F3946"/>
    <w:rsid w:val="000F3D1D"/>
    <w:rsid w:val="000F400A"/>
    <w:rsid w:val="000F430F"/>
    <w:rsid w:val="000F45DB"/>
    <w:rsid w:val="000F476F"/>
    <w:rsid w:val="000F47AB"/>
    <w:rsid w:val="000F4A1C"/>
    <w:rsid w:val="000F4C35"/>
    <w:rsid w:val="000F4C8C"/>
    <w:rsid w:val="000F4E14"/>
    <w:rsid w:val="000F4FDC"/>
    <w:rsid w:val="000F510B"/>
    <w:rsid w:val="000F5421"/>
    <w:rsid w:val="000F5773"/>
    <w:rsid w:val="000F5804"/>
    <w:rsid w:val="000F59BF"/>
    <w:rsid w:val="000F5A54"/>
    <w:rsid w:val="000F5AFC"/>
    <w:rsid w:val="000F5D12"/>
    <w:rsid w:val="000F5D25"/>
    <w:rsid w:val="000F5FB0"/>
    <w:rsid w:val="000F6102"/>
    <w:rsid w:val="000F6286"/>
    <w:rsid w:val="000F62EF"/>
    <w:rsid w:val="000F664E"/>
    <w:rsid w:val="000F6F42"/>
    <w:rsid w:val="000F7174"/>
    <w:rsid w:val="000F725C"/>
    <w:rsid w:val="000F7295"/>
    <w:rsid w:val="000F742D"/>
    <w:rsid w:val="000F7443"/>
    <w:rsid w:val="000F74D0"/>
    <w:rsid w:val="000F74E6"/>
    <w:rsid w:val="000F75C1"/>
    <w:rsid w:val="000F76BF"/>
    <w:rsid w:val="000F76EC"/>
    <w:rsid w:val="000F7814"/>
    <w:rsid w:val="000F7850"/>
    <w:rsid w:val="000F7987"/>
    <w:rsid w:val="000F7A18"/>
    <w:rsid w:val="000F7A27"/>
    <w:rsid w:val="000F7F7A"/>
    <w:rsid w:val="001004B5"/>
    <w:rsid w:val="0010051C"/>
    <w:rsid w:val="001005E2"/>
    <w:rsid w:val="0010064C"/>
    <w:rsid w:val="00100938"/>
    <w:rsid w:val="00100A30"/>
    <w:rsid w:val="00100A7B"/>
    <w:rsid w:val="00100B4A"/>
    <w:rsid w:val="00100E91"/>
    <w:rsid w:val="00101055"/>
    <w:rsid w:val="0010111C"/>
    <w:rsid w:val="0010134F"/>
    <w:rsid w:val="00101C18"/>
    <w:rsid w:val="00101E17"/>
    <w:rsid w:val="00101E40"/>
    <w:rsid w:val="00102029"/>
    <w:rsid w:val="0010251D"/>
    <w:rsid w:val="001025F2"/>
    <w:rsid w:val="00102A32"/>
    <w:rsid w:val="00102A68"/>
    <w:rsid w:val="00102AC0"/>
    <w:rsid w:val="00102B1A"/>
    <w:rsid w:val="00102DBF"/>
    <w:rsid w:val="00102F27"/>
    <w:rsid w:val="00103BE3"/>
    <w:rsid w:val="001043FE"/>
    <w:rsid w:val="0010448B"/>
    <w:rsid w:val="001045B5"/>
    <w:rsid w:val="00104AD2"/>
    <w:rsid w:val="00104B0F"/>
    <w:rsid w:val="0010507C"/>
    <w:rsid w:val="0010521F"/>
    <w:rsid w:val="00105425"/>
    <w:rsid w:val="001055BC"/>
    <w:rsid w:val="00105A76"/>
    <w:rsid w:val="00105CA4"/>
    <w:rsid w:val="00105CCD"/>
    <w:rsid w:val="0010610A"/>
    <w:rsid w:val="001061F0"/>
    <w:rsid w:val="0010625A"/>
    <w:rsid w:val="001063A4"/>
    <w:rsid w:val="0010665D"/>
    <w:rsid w:val="0010674D"/>
    <w:rsid w:val="001067D1"/>
    <w:rsid w:val="0010682D"/>
    <w:rsid w:val="00106C25"/>
    <w:rsid w:val="00106FB8"/>
    <w:rsid w:val="00107138"/>
    <w:rsid w:val="001071F1"/>
    <w:rsid w:val="00107524"/>
    <w:rsid w:val="00107AA6"/>
    <w:rsid w:val="00107B81"/>
    <w:rsid w:val="00107DCD"/>
    <w:rsid w:val="00107EF0"/>
    <w:rsid w:val="00107F24"/>
    <w:rsid w:val="00107F3A"/>
    <w:rsid w:val="00110096"/>
    <w:rsid w:val="001107F6"/>
    <w:rsid w:val="0011090C"/>
    <w:rsid w:val="00110F40"/>
    <w:rsid w:val="001112B6"/>
    <w:rsid w:val="00111417"/>
    <w:rsid w:val="00111450"/>
    <w:rsid w:val="00111548"/>
    <w:rsid w:val="0011158F"/>
    <w:rsid w:val="00111672"/>
    <w:rsid w:val="001118F6"/>
    <w:rsid w:val="00111F5D"/>
    <w:rsid w:val="00112195"/>
    <w:rsid w:val="001127A8"/>
    <w:rsid w:val="0011286F"/>
    <w:rsid w:val="00112D43"/>
    <w:rsid w:val="00112DBC"/>
    <w:rsid w:val="00112E29"/>
    <w:rsid w:val="00112E99"/>
    <w:rsid w:val="00113C60"/>
    <w:rsid w:val="00113DCD"/>
    <w:rsid w:val="0011427A"/>
    <w:rsid w:val="00114318"/>
    <w:rsid w:val="001144EE"/>
    <w:rsid w:val="00114833"/>
    <w:rsid w:val="0011486A"/>
    <w:rsid w:val="001148D4"/>
    <w:rsid w:val="00114B69"/>
    <w:rsid w:val="00114BCB"/>
    <w:rsid w:val="00114C3B"/>
    <w:rsid w:val="0011534C"/>
    <w:rsid w:val="0011552C"/>
    <w:rsid w:val="00115573"/>
    <w:rsid w:val="00115691"/>
    <w:rsid w:val="001158B6"/>
    <w:rsid w:val="00115B4C"/>
    <w:rsid w:val="00115BA9"/>
    <w:rsid w:val="00115E4D"/>
    <w:rsid w:val="00116574"/>
    <w:rsid w:val="00116B26"/>
    <w:rsid w:val="00116C8F"/>
    <w:rsid w:val="00117039"/>
    <w:rsid w:val="0011721B"/>
    <w:rsid w:val="00117273"/>
    <w:rsid w:val="00117AC4"/>
    <w:rsid w:val="00117C5E"/>
    <w:rsid w:val="00117C74"/>
    <w:rsid w:val="00117E56"/>
    <w:rsid w:val="00117F04"/>
    <w:rsid w:val="001200C1"/>
    <w:rsid w:val="00120414"/>
    <w:rsid w:val="00120539"/>
    <w:rsid w:val="00120703"/>
    <w:rsid w:val="001211DB"/>
    <w:rsid w:val="00121270"/>
    <w:rsid w:val="001212AE"/>
    <w:rsid w:val="00121639"/>
    <w:rsid w:val="0012172F"/>
    <w:rsid w:val="001217FD"/>
    <w:rsid w:val="0012183A"/>
    <w:rsid w:val="00121885"/>
    <w:rsid w:val="0012193E"/>
    <w:rsid w:val="00121946"/>
    <w:rsid w:val="00121BF7"/>
    <w:rsid w:val="00121E39"/>
    <w:rsid w:val="001220CD"/>
    <w:rsid w:val="001223DC"/>
    <w:rsid w:val="001225E5"/>
    <w:rsid w:val="00122637"/>
    <w:rsid w:val="0012269B"/>
    <w:rsid w:val="00122AE3"/>
    <w:rsid w:val="00122DCC"/>
    <w:rsid w:val="00122EE1"/>
    <w:rsid w:val="00122F10"/>
    <w:rsid w:val="0012304C"/>
    <w:rsid w:val="001230EB"/>
    <w:rsid w:val="001230F7"/>
    <w:rsid w:val="00123547"/>
    <w:rsid w:val="0012356F"/>
    <w:rsid w:val="00123658"/>
    <w:rsid w:val="001237AF"/>
    <w:rsid w:val="00123807"/>
    <w:rsid w:val="00123B97"/>
    <w:rsid w:val="00123BED"/>
    <w:rsid w:val="00123DE5"/>
    <w:rsid w:val="00123F24"/>
    <w:rsid w:val="00124285"/>
    <w:rsid w:val="001243D5"/>
    <w:rsid w:val="0012449F"/>
    <w:rsid w:val="0012454E"/>
    <w:rsid w:val="001247A3"/>
    <w:rsid w:val="001247EB"/>
    <w:rsid w:val="00124938"/>
    <w:rsid w:val="00124B46"/>
    <w:rsid w:val="00124BB5"/>
    <w:rsid w:val="00124C85"/>
    <w:rsid w:val="00124E7B"/>
    <w:rsid w:val="00124F3C"/>
    <w:rsid w:val="00125117"/>
    <w:rsid w:val="00125366"/>
    <w:rsid w:val="001254B6"/>
    <w:rsid w:val="00125A7F"/>
    <w:rsid w:val="00125B61"/>
    <w:rsid w:val="00125F75"/>
    <w:rsid w:val="00125FB1"/>
    <w:rsid w:val="00126077"/>
    <w:rsid w:val="00126122"/>
    <w:rsid w:val="00126145"/>
    <w:rsid w:val="00126593"/>
    <w:rsid w:val="00126B6A"/>
    <w:rsid w:val="00126C59"/>
    <w:rsid w:val="00126D1D"/>
    <w:rsid w:val="00126DE2"/>
    <w:rsid w:val="00126F7D"/>
    <w:rsid w:val="00127071"/>
    <w:rsid w:val="001273AE"/>
    <w:rsid w:val="001275B5"/>
    <w:rsid w:val="00127CA0"/>
    <w:rsid w:val="00127D6C"/>
    <w:rsid w:val="00127E0B"/>
    <w:rsid w:val="001300B9"/>
    <w:rsid w:val="001300D9"/>
    <w:rsid w:val="00130520"/>
    <w:rsid w:val="00130596"/>
    <w:rsid w:val="00130609"/>
    <w:rsid w:val="0013081F"/>
    <w:rsid w:val="00130876"/>
    <w:rsid w:val="00130A2B"/>
    <w:rsid w:val="00130A66"/>
    <w:rsid w:val="00130E1E"/>
    <w:rsid w:val="00131035"/>
    <w:rsid w:val="00131129"/>
    <w:rsid w:val="00131480"/>
    <w:rsid w:val="0013165D"/>
    <w:rsid w:val="00131B69"/>
    <w:rsid w:val="00131D45"/>
    <w:rsid w:val="00131D4F"/>
    <w:rsid w:val="00131D94"/>
    <w:rsid w:val="00131EDC"/>
    <w:rsid w:val="00131FE6"/>
    <w:rsid w:val="001320E5"/>
    <w:rsid w:val="001320F0"/>
    <w:rsid w:val="0013272B"/>
    <w:rsid w:val="00132803"/>
    <w:rsid w:val="0013294C"/>
    <w:rsid w:val="00132EB9"/>
    <w:rsid w:val="001332D2"/>
    <w:rsid w:val="001336E0"/>
    <w:rsid w:val="001337C2"/>
    <w:rsid w:val="00133C29"/>
    <w:rsid w:val="00133D24"/>
    <w:rsid w:val="00133E7B"/>
    <w:rsid w:val="00133F34"/>
    <w:rsid w:val="0013466B"/>
    <w:rsid w:val="00134982"/>
    <w:rsid w:val="00134A05"/>
    <w:rsid w:val="00134EC8"/>
    <w:rsid w:val="00135273"/>
    <w:rsid w:val="0013533F"/>
    <w:rsid w:val="00135385"/>
    <w:rsid w:val="001353B0"/>
    <w:rsid w:val="0013576B"/>
    <w:rsid w:val="0013586D"/>
    <w:rsid w:val="001359C4"/>
    <w:rsid w:val="00135B5D"/>
    <w:rsid w:val="00135BAF"/>
    <w:rsid w:val="00135C37"/>
    <w:rsid w:val="00135FC9"/>
    <w:rsid w:val="0013631C"/>
    <w:rsid w:val="0013654E"/>
    <w:rsid w:val="0013658E"/>
    <w:rsid w:val="00136837"/>
    <w:rsid w:val="00136856"/>
    <w:rsid w:val="00136CB0"/>
    <w:rsid w:val="00136DF8"/>
    <w:rsid w:val="00136F82"/>
    <w:rsid w:val="0013707F"/>
    <w:rsid w:val="0013718D"/>
    <w:rsid w:val="00137752"/>
    <w:rsid w:val="00137766"/>
    <w:rsid w:val="00137819"/>
    <w:rsid w:val="0013781C"/>
    <w:rsid w:val="00137888"/>
    <w:rsid w:val="00137B00"/>
    <w:rsid w:val="00137CB1"/>
    <w:rsid w:val="00137ECD"/>
    <w:rsid w:val="00140146"/>
    <w:rsid w:val="001403DB"/>
    <w:rsid w:val="00140427"/>
    <w:rsid w:val="0014042A"/>
    <w:rsid w:val="00140641"/>
    <w:rsid w:val="001406BC"/>
    <w:rsid w:val="001408FF"/>
    <w:rsid w:val="00140A34"/>
    <w:rsid w:val="00140A39"/>
    <w:rsid w:val="00140AA8"/>
    <w:rsid w:val="00140CEE"/>
    <w:rsid w:val="00140E2C"/>
    <w:rsid w:val="00140ED1"/>
    <w:rsid w:val="00141420"/>
    <w:rsid w:val="0014170F"/>
    <w:rsid w:val="001418CD"/>
    <w:rsid w:val="00141B82"/>
    <w:rsid w:val="001422C5"/>
    <w:rsid w:val="0014233B"/>
    <w:rsid w:val="00142441"/>
    <w:rsid w:val="00142593"/>
    <w:rsid w:val="0014285D"/>
    <w:rsid w:val="00142A72"/>
    <w:rsid w:val="00142D28"/>
    <w:rsid w:val="00142D51"/>
    <w:rsid w:val="00143478"/>
    <w:rsid w:val="001435FC"/>
    <w:rsid w:val="00143926"/>
    <w:rsid w:val="00143B71"/>
    <w:rsid w:val="00143F2F"/>
    <w:rsid w:val="001441BD"/>
    <w:rsid w:val="001442D5"/>
    <w:rsid w:val="0014435B"/>
    <w:rsid w:val="001444C0"/>
    <w:rsid w:val="00144B6A"/>
    <w:rsid w:val="00144C33"/>
    <w:rsid w:val="00144C4E"/>
    <w:rsid w:val="00144D9D"/>
    <w:rsid w:val="00144F67"/>
    <w:rsid w:val="001450F8"/>
    <w:rsid w:val="00145651"/>
    <w:rsid w:val="00145A3B"/>
    <w:rsid w:val="00145A55"/>
    <w:rsid w:val="0014601D"/>
    <w:rsid w:val="00146081"/>
    <w:rsid w:val="001460A6"/>
    <w:rsid w:val="001464F0"/>
    <w:rsid w:val="00146624"/>
    <w:rsid w:val="00146EB7"/>
    <w:rsid w:val="00147123"/>
    <w:rsid w:val="001473C4"/>
    <w:rsid w:val="0014774E"/>
    <w:rsid w:val="00147A0E"/>
    <w:rsid w:val="00147A94"/>
    <w:rsid w:val="00147B8D"/>
    <w:rsid w:val="00147B9C"/>
    <w:rsid w:val="00147C2C"/>
    <w:rsid w:val="00147D1D"/>
    <w:rsid w:val="00147FE9"/>
    <w:rsid w:val="001500D3"/>
    <w:rsid w:val="00150205"/>
    <w:rsid w:val="00150376"/>
    <w:rsid w:val="001509B6"/>
    <w:rsid w:val="00150A6B"/>
    <w:rsid w:val="001512EA"/>
    <w:rsid w:val="00151445"/>
    <w:rsid w:val="00151790"/>
    <w:rsid w:val="001517AB"/>
    <w:rsid w:val="0015186F"/>
    <w:rsid w:val="00151A8C"/>
    <w:rsid w:val="00151CAF"/>
    <w:rsid w:val="00151DBD"/>
    <w:rsid w:val="00151E23"/>
    <w:rsid w:val="001521B7"/>
    <w:rsid w:val="00152525"/>
    <w:rsid w:val="001528C0"/>
    <w:rsid w:val="00152A01"/>
    <w:rsid w:val="00152FCA"/>
    <w:rsid w:val="001531D6"/>
    <w:rsid w:val="001532FE"/>
    <w:rsid w:val="00153320"/>
    <w:rsid w:val="001534F4"/>
    <w:rsid w:val="001539E2"/>
    <w:rsid w:val="001539F2"/>
    <w:rsid w:val="001539F3"/>
    <w:rsid w:val="00153C55"/>
    <w:rsid w:val="0015425D"/>
    <w:rsid w:val="001542F5"/>
    <w:rsid w:val="00154322"/>
    <w:rsid w:val="001546A3"/>
    <w:rsid w:val="001546F2"/>
    <w:rsid w:val="00154950"/>
    <w:rsid w:val="001549A1"/>
    <w:rsid w:val="00154B1F"/>
    <w:rsid w:val="00154B21"/>
    <w:rsid w:val="00154C6E"/>
    <w:rsid w:val="00154C9D"/>
    <w:rsid w:val="00154D53"/>
    <w:rsid w:val="00155354"/>
    <w:rsid w:val="00155434"/>
    <w:rsid w:val="00155771"/>
    <w:rsid w:val="001557E6"/>
    <w:rsid w:val="001558A2"/>
    <w:rsid w:val="00155ACA"/>
    <w:rsid w:val="00155BDA"/>
    <w:rsid w:val="00155ED9"/>
    <w:rsid w:val="00155EE7"/>
    <w:rsid w:val="00156050"/>
    <w:rsid w:val="0015622A"/>
    <w:rsid w:val="0015683C"/>
    <w:rsid w:val="00156A5A"/>
    <w:rsid w:val="00156F3A"/>
    <w:rsid w:val="00156FA7"/>
    <w:rsid w:val="00156FD9"/>
    <w:rsid w:val="00157384"/>
    <w:rsid w:val="0015751A"/>
    <w:rsid w:val="0015751B"/>
    <w:rsid w:val="00157742"/>
    <w:rsid w:val="00157875"/>
    <w:rsid w:val="00157D1D"/>
    <w:rsid w:val="00157E07"/>
    <w:rsid w:val="00160062"/>
    <w:rsid w:val="0016023A"/>
    <w:rsid w:val="001602D1"/>
    <w:rsid w:val="00160BAE"/>
    <w:rsid w:val="00160C61"/>
    <w:rsid w:val="00160D51"/>
    <w:rsid w:val="00160D52"/>
    <w:rsid w:val="00160EB4"/>
    <w:rsid w:val="00160F3E"/>
    <w:rsid w:val="001610EE"/>
    <w:rsid w:val="00161127"/>
    <w:rsid w:val="00161405"/>
    <w:rsid w:val="00161538"/>
    <w:rsid w:val="00161A07"/>
    <w:rsid w:val="00161F8C"/>
    <w:rsid w:val="00162307"/>
    <w:rsid w:val="00162515"/>
    <w:rsid w:val="001625D1"/>
    <w:rsid w:val="00162906"/>
    <w:rsid w:val="00162DA2"/>
    <w:rsid w:val="00162DBF"/>
    <w:rsid w:val="00163452"/>
    <w:rsid w:val="0016347A"/>
    <w:rsid w:val="00163816"/>
    <w:rsid w:val="00163D21"/>
    <w:rsid w:val="00163D8E"/>
    <w:rsid w:val="00163DA5"/>
    <w:rsid w:val="00163E8B"/>
    <w:rsid w:val="001640EC"/>
    <w:rsid w:val="00164367"/>
    <w:rsid w:val="001643A0"/>
    <w:rsid w:val="0016462E"/>
    <w:rsid w:val="00164752"/>
    <w:rsid w:val="0016484A"/>
    <w:rsid w:val="001649C7"/>
    <w:rsid w:val="00164A7A"/>
    <w:rsid w:val="00164C4B"/>
    <w:rsid w:val="00164C9E"/>
    <w:rsid w:val="00164CF8"/>
    <w:rsid w:val="00164F77"/>
    <w:rsid w:val="00164FED"/>
    <w:rsid w:val="0016510B"/>
    <w:rsid w:val="001651A7"/>
    <w:rsid w:val="001651BA"/>
    <w:rsid w:val="001653AE"/>
    <w:rsid w:val="00165436"/>
    <w:rsid w:val="00165458"/>
    <w:rsid w:val="00165459"/>
    <w:rsid w:val="0016554F"/>
    <w:rsid w:val="001655B6"/>
    <w:rsid w:val="001658E0"/>
    <w:rsid w:val="00165A9B"/>
    <w:rsid w:val="00165CBD"/>
    <w:rsid w:val="00165DAE"/>
    <w:rsid w:val="00165FFF"/>
    <w:rsid w:val="00166189"/>
    <w:rsid w:val="001667F6"/>
    <w:rsid w:val="00166810"/>
    <w:rsid w:val="00166DC0"/>
    <w:rsid w:val="00167082"/>
    <w:rsid w:val="001670AE"/>
    <w:rsid w:val="00167172"/>
    <w:rsid w:val="001672CC"/>
    <w:rsid w:val="00167627"/>
    <w:rsid w:val="00167633"/>
    <w:rsid w:val="001678F9"/>
    <w:rsid w:val="001679DA"/>
    <w:rsid w:val="00167AE3"/>
    <w:rsid w:val="00167AFE"/>
    <w:rsid w:val="00167B31"/>
    <w:rsid w:val="00167C92"/>
    <w:rsid w:val="001704FF"/>
    <w:rsid w:val="00170753"/>
    <w:rsid w:val="00170C1A"/>
    <w:rsid w:val="00170D5B"/>
    <w:rsid w:val="0017105D"/>
    <w:rsid w:val="001710AA"/>
    <w:rsid w:val="0017131E"/>
    <w:rsid w:val="001713A2"/>
    <w:rsid w:val="0017178C"/>
    <w:rsid w:val="00171D74"/>
    <w:rsid w:val="0017221D"/>
    <w:rsid w:val="001722C0"/>
    <w:rsid w:val="001726C7"/>
    <w:rsid w:val="0017279D"/>
    <w:rsid w:val="00172876"/>
    <w:rsid w:val="00172B8F"/>
    <w:rsid w:val="00172BF2"/>
    <w:rsid w:val="00172FCB"/>
    <w:rsid w:val="0017326C"/>
    <w:rsid w:val="0017337A"/>
    <w:rsid w:val="0017354F"/>
    <w:rsid w:val="00173667"/>
    <w:rsid w:val="001736BC"/>
    <w:rsid w:val="001736F8"/>
    <w:rsid w:val="0017378A"/>
    <w:rsid w:val="00173D85"/>
    <w:rsid w:val="00173EF3"/>
    <w:rsid w:val="00173EFA"/>
    <w:rsid w:val="001740FD"/>
    <w:rsid w:val="00174357"/>
    <w:rsid w:val="0017460A"/>
    <w:rsid w:val="00174DC4"/>
    <w:rsid w:val="00174E00"/>
    <w:rsid w:val="00174FD4"/>
    <w:rsid w:val="001750AC"/>
    <w:rsid w:val="001750F6"/>
    <w:rsid w:val="00175157"/>
    <w:rsid w:val="001753BC"/>
    <w:rsid w:val="001754D6"/>
    <w:rsid w:val="00175AF7"/>
    <w:rsid w:val="00175B8A"/>
    <w:rsid w:val="00175BE4"/>
    <w:rsid w:val="00175EFF"/>
    <w:rsid w:val="00176392"/>
    <w:rsid w:val="001769AB"/>
    <w:rsid w:val="001769E9"/>
    <w:rsid w:val="00176E89"/>
    <w:rsid w:val="00177322"/>
    <w:rsid w:val="00177401"/>
    <w:rsid w:val="00177416"/>
    <w:rsid w:val="0017752B"/>
    <w:rsid w:val="001775D4"/>
    <w:rsid w:val="00177652"/>
    <w:rsid w:val="001777C5"/>
    <w:rsid w:val="001778F3"/>
    <w:rsid w:val="0017793B"/>
    <w:rsid w:val="00177A45"/>
    <w:rsid w:val="00177BFA"/>
    <w:rsid w:val="00177D87"/>
    <w:rsid w:val="0018044E"/>
    <w:rsid w:val="00180481"/>
    <w:rsid w:val="0018073D"/>
    <w:rsid w:val="001807DE"/>
    <w:rsid w:val="00180903"/>
    <w:rsid w:val="00180D37"/>
    <w:rsid w:val="00180DE5"/>
    <w:rsid w:val="0018104A"/>
    <w:rsid w:val="00181191"/>
    <w:rsid w:val="00181AC1"/>
    <w:rsid w:val="00181AFD"/>
    <w:rsid w:val="00181C5C"/>
    <w:rsid w:val="00181FFE"/>
    <w:rsid w:val="0018258A"/>
    <w:rsid w:val="001826D3"/>
    <w:rsid w:val="00182D42"/>
    <w:rsid w:val="00182E17"/>
    <w:rsid w:val="00182F32"/>
    <w:rsid w:val="00182F4A"/>
    <w:rsid w:val="00182F64"/>
    <w:rsid w:val="001831ED"/>
    <w:rsid w:val="0018334E"/>
    <w:rsid w:val="001833DF"/>
    <w:rsid w:val="00183462"/>
    <w:rsid w:val="0018381F"/>
    <w:rsid w:val="001839FB"/>
    <w:rsid w:val="00183A7A"/>
    <w:rsid w:val="00183B38"/>
    <w:rsid w:val="00183BC2"/>
    <w:rsid w:val="00183E30"/>
    <w:rsid w:val="00183FF9"/>
    <w:rsid w:val="0018423D"/>
    <w:rsid w:val="0018429B"/>
    <w:rsid w:val="0018446F"/>
    <w:rsid w:val="00184B49"/>
    <w:rsid w:val="00184B7A"/>
    <w:rsid w:val="00184B96"/>
    <w:rsid w:val="00184BAE"/>
    <w:rsid w:val="00184C35"/>
    <w:rsid w:val="00184CD7"/>
    <w:rsid w:val="00184D12"/>
    <w:rsid w:val="00184D93"/>
    <w:rsid w:val="00184DE0"/>
    <w:rsid w:val="00184FFB"/>
    <w:rsid w:val="001850D4"/>
    <w:rsid w:val="001853F9"/>
    <w:rsid w:val="001854D1"/>
    <w:rsid w:val="00185CEE"/>
    <w:rsid w:val="00185D8F"/>
    <w:rsid w:val="00185DE1"/>
    <w:rsid w:val="00185E6A"/>
    <w:rsid w:val="00185E6C"/>
    <w:rsid w:val="001860A3"/>
    <w:rsid w:val="001862AE"/>
    <w:rsid w:val="00186489"/>
    <w:rsid w:val="001865B9"/>
    <w:rsid w:val="00186B18"/>
    <w:rsid w:val="00186B1E"/>
    <w:rsid w:val="00186C50"/>
    <w:rsid w:val="001873FA"/>
    <w:rsid w:val="001874DA"/>
    <w:rsid w:val="00187540"/>
    <w:rsid w:val="00187742"/>
    <w:rsid w:val="001879A3"/>
    <w:rsid w:val="00187C85"/>
    <w:rsid w:val="00187E9F"/>
    <w:rsid w:val="00187EB9"/>
    <w:rsid w:val="00190011"/>
    <w:rsid w:val="001902EB"/>
    <w:rsid w:val="0019041B"/>
    <w:rsid w:val="001907C6"/>
    <w:rsid w:val="00190840"/>
    <w:rsid w:val="00190960"/>
    <w:rsid w:val="00190990"/>
    <w:rsid w:val="00190A3A"/>
    <w:rsid w:val="00190E31"/>
    <w:rsid w:val="00190EA4"/>
    <w:rsid w:val="001911DC"/>
    <w:rsid w:val="00191200"/>
    <w:rsid w:val="0019133C"/>
    <w:rsid w:val="001917A5"/>
    <w:rsid w:val="00191B36"/>
    <w:rsid w:val="00191BED"/>
    <w:rsid w:val="00191DB1"/>
    <w:rsid w:val="00191F7E"/>
    <w:rsid w:val="0019212A"/>
    <w:rsid w:val="001928D4"/>
    <w:rsid w:val="00192C62"/>
    <w:rsid w:val="00192C97"/>
    <w:rsid w:val="0019342C"/>
    <w:rsid w:val="001934D6"/>
    <w:rsid w:val="0019362A"/>
    <w:rsid w:val="00193BC4"/>
    <w:rsid w:val="00193D4C"/>
    <w:rsid w:val="00193E4E"/>
    <w:rsid w:val="00194245"/>
    <w:rsid w:val="00194454"/>
    <w:rsid w:val="00194489"/>
    <w:rsid w:val="001944CA"/>
    <w:rsid w:val="001946DA"/>
    <w:rsid w:val="0019474E"/>
    <w:rsid w:val="001948B5"/>
    <w:rsid w:val="001948C0"/>
    <w:rsid w:val="00194B95"/>
    <w:rsid w:val="00194D06"/>
    <w:rsid w:val="00194EB5"/>
    <w:rsid w:val="00195174"/>
    <w:rsid w:val="00195253"/>
    <w:rsid w:val="00195629"/>
    <w:rsid w:val="00195728"/>
    <w:rsid w:val="00195A61"/>
    <w:rsid w:val="00195E6B"/>
    <w:rsid w:val="001960BC"/>
    <w:rsid w:val="00196109"/>
    <w:rsid w:val="00196279"/>
    <w:rsid w:val="00196307"/>
    <w:rsid w:val="001963CD"/>
    <w:rsid w:val="00196532"/>
    <w:rsid w:val="001965D6"/>
    <w:rsid w:val="00196837"/>
    <w:rsid w:val="00196A25"/>
    <w:rsid w:val="00196EEA"/>
    <w:rsid w:val="00196F4D"/>
    <w:rsid w:val="001970C0"/>
    <w:rsid w:val="0019741A"/>
    <w:rsid w:val="00197498"/>
    <w:rsid w:val="0019769D"/>
    <w:rsid w:val="00197810"/>
    <w:rsid w:val="00197920"/>
    <w:rsid w:val="001979B7"/>
    <w:rsid w:val="00197A53"/>
    <w:rsid w:val="001A0047"/>
    <w:rsid w:val="001A0844"/>
    <w:rsid w:val="001A0AD1"/>
    <w:rsid w:val="001A0FFC"/>
    <w:rsid w:val="001A134D"/>
    <w:rsid w:val="001A142B"/>
    <w:rsid w:val="001A15BB"/>
    <w:rsid w:val="001A1765"/>
    <w:rsid w:val="001A1B46"/>
    <w:rsid w:val="001A1C52"/>
    <w:rsid w:val="001A1CB7"/>
    <w:rsid w:val="001A1D55"/>
    <w:rsid w:val="001A1EB8"/>
    <w:rsid w:val="001A26F6"/>
    <w:rsid w:val="001A2B53"/>
    <w:rsid w:val="001A2D9F"/>
    <w:rsid w:val="001A2FA1"/>
    <w:rsid w:val="001A317E"/>
    <w:rsid w:val="001A32FF"/>
    <w:rsid w:val="001A34CF"/>
    <w:rsid w:val="001A35D9"/>
    <w:rsid w:val="001A3950"/>
    <w:rsid w:val="001A420B"/>
    <w:rsid w:val="001A4B97"/>
    <w:rsid w:val="001A4F7D"/>
    <w:rsid w:val="001A5007"/>
    <w:rsid w:val="001A5152"/>
    <w:rsid w:val="001A53AB"/>
    <w:rsid w:val="001A56D7"/>
    <w:rsid w:val="001A570F"/>
    <w:rsid w:val="001A58B8"/>
    <w:rsid w:val="001A5B48"/>
    <w:rsid w:val="001A5CF4"/>
    <w:rsid w:val="001A6749"/>
    <w:rsid w:val="001A719A"/>
    <w:rsid w:val="001A7713"/>
    <w:rsid w:val="001A786A"/>
    <w:rsid w:val="001A78C6"/>
    <w:rsid w:val="001A7A03"/>
    <w:rsid w:val="001A7A11"/>
    <w:rsid w:val="001A7AFF"/>
    <w:rsid w:val="001A7B42"/>
    <w:rsid w:val="001A7C33"/>
    <w:rsid w:val="001A7D8F"/>
    <w:rsid w:val="001B01AF"/>
    <w:rsid w:val="001B02A0"/>
    <w:rsid w:val="001B04B8"/>
    <w:rsid w:val="001B04D4"/>
    <w:rsid w:val="001B0B2C"/>
    <w:rsid w:val="001B0B6A"/>
    <w:rsid w:val="001B0BC5"/>
    <w:rsid w:val="001B0CD4"/>
    <w:rsid w:val="001B0D2D"/>
    <w:rsid w:val="001B0DCA"/>
    <w:rsid w:val="001B0DD2"/>
    <w:rsid w:val="001B1143"/>
    <w:rsid w:val="001B12B2"/>
    <w:rsid w:val="001B142E"/>
    <w:rsid w:val="001B145C"/>
    <w:rsid w:val="001B1574"/>
    <w:rsid w:val="001B168A"/>
    <w:rsid w:val="001B1B55"/>
    <w:rsid w:val="001B1BB1"/>
    <w:rsid w:val="001B1C7E"/>
    <w:rsid w:val="001B1DA4"/>
    <w:rsid w:val="001B2509"/>
    <w:rsid w:val="001B27D8"/>
    <w:rsid w:val="001B288A"/>
    <w:rsid w:val="001B2A97"/>
    <w:rsid w:val="001B2B1B"/>
    <w:rsid w:val="001B2CD4"/>
    <w:rsid w:val="001B2D46"/>
    <w:rsid w:val="001B34B4"/>
    <w:rsid w:val="001B34D9"/>
    <w:rsid w:val="001B3842"/>
    <w:rsid w:val="001B39B2"/>
    <w:rsid w:val="001B39D0"/>
    <w:rsid w:val="001B3C2F"/>
    <w:rsid w:val="001B3F3D"/>
    <w:rsid w:val="001B42BA"/>
    <w:rsid w:val="001B462B"/>
    <w:rsid w:val="001B464B"/>
    <w:rsid w:val="001B4A76"/>
    <w:rsid w:val="001B4E73"/>
    <w:rsid w:val="001B4F23"/>
    <w:rsid w:val="001B5057"/>
    <w:rsid w:val="001B52CE"/>
    <w:rsid w:val="001B52E2"/>
    <w:rsid w:val="001B534E"/>
    <w:rsid w:val="001B537E"/>
    <w:rsid w:val="001B564F"/>
    <w:rsid w:val="001B56D4"/>
    <w:rsid w:val="001B5818"/>
    <w:rsid w:val="001B58D6"/>
    <w:rsid w:val="001B5A21"/>
    <w:rsid w:val="001B5B81"/>
    <w:rsid w:val="001B5C1B"/>
    <w:rsid w:val="001B63EF"/>
    <w:rsid w:val="001B65CE"/>
    <w:rsid w:val="001B6661"/>
    <w:rsid w:val="001B6738"/>
    <w:rsid w:val="001B67D3"/>
    <w:rsid w:val="001B67D5"/>
    <w:rsid w:val="001B6994"/>
    <w:rsid w:val="001B6AA7"/>
    <w:rsid w:val="001B6DB0"/>
    <w:rsid w:val="001B71C2"/>
    <w:rsid w:val="001B72BB"/>
    <w:rsid w:val="001B7329"/>
    <w:rsid w:val="001B75A9"/>
    <w:rsid w:val="001B75DC"/>
    <w:rsid w:val="001B77FF"/>
    <w:rsid w:val="001B7882"/>
    <w:rsid w:val="001B78FD"/>
    <w:rsid w:val="001B7A60"/>
    <w:rsid w:val="001B7B5C"/>
    <w:rsid w:val="001B7BBB"/>
    <w:rsid w:val="001B7DE1"/>
    <w:rsid w:val="001C0135"/>
    <w:rsid w:val="001C01DB"/>
    <w:rsid w:val="001C02DD"/>
    <w:rsid w:val="001C0442"/>
    <w:rsid w:val="001C0C68"/>
    <w:rsid w:val="001C0E4D"/>
    <w:rsid w:val="001C0F1A"/>
    <w:rsid w:val="001C1033"/>
    <w:rsid w:val="001C10D7"/>
    <w:rsid w:val="001C1130"/>
    <w:rsid w:val="001C117D"/>
    <w:rsid w:val="001C145B"/>
    <w:rsid w:val="001C1502"/>
    <w:rsid w:val="001C1589"/>
    <w:rsid w:val="001C174A"/>
    <w:rsid w:val="001C1832"/>
    <w:rsid w:val="001C18C2"/>
    <w:rsid w:val="001C1D05"/>
    <w:rsid w:val="001C1F08"/>
    <w:rsid w:val="001C1F30"/>
    <w:rsid w:val="001C22FB"/>
    <w:rsid w:val="001C2495"/>
    <w:rsid w:val="001C2A48"/>
    <w:rsid w:val="001C2A81"/>
    <w:rsid w:val="001C2A89"/>
    <w:rsid w:val="001C2D26"/>
    <w:rsid w:val="001C2F38"/>
    <w:rsid w:val="001C34C4"/>
    <w:rsid w:val="001C3572"/>
    <w:rsid w:val="001C35F0"/>
    <w:rsid w:val="001C35F9"/>
    <w:rsid w:val="001C3700"/>
    <w:rsid w:val="001C3A3A"/>
    <w:rsid w:val="001C3AFA"/>
    <w:rsid w:val="001C3DBC"/>
    <w:rsid w:val="001C419E"/>
    <w:rsid w:val="001C420F"/>
    <w:rsid w:val="001C4311"/>
    <w:rsid w:val="001C472C"/>
    <w:rsid w:val="001C476D"/>
    <w:rsid w:val="001C4DD6"/>
    <w:rsid w:val="001C4FA0"/>
    <w:rsid w:val="001C5059"/>
    <w:rsid w:val="001C5144"/>
    <w:rsid w:val="001C514B"/>
    <w:rsid w:val="001C51A1"/>
    <w:rsid w:val="001C5426"/>
    <w:rsid w:val="001C5470"/>
    <w:rsid w:val="001C54CC"/>
    <w:rsid w:val="001C5BA0"/>
    <w:rsid w:val="001C60CC"/>
    <w:rsid w:val="001C6559"/>
    <w:rsid w:val="001C65C9"/>
    <w:rsid w:val="001C6641"/>
    <w:rsid w:val="001C67B5"/>
    <w:rsid w:val="001C688A"/>
    <w:rsid w:val="001C69E3"/>
    <w:rsid w:val="001C6BD5"/>
    <w:rsid w:val="001C6DFD"/>
    <w:rsid w:val="001C6EAE"/>
    <w:rsid w:val="001C6FD0"/>
    <w:rsid w:val="001C738C"/>
    <w:rsid w:val="001C75B7"/>
    <w:rsid w:val="001C76C0"/>
    <w:rsid w:val="001C773F"/>
    <w:rsid w:val="001C77CC"/>
    <w:rsid w:val="001C787D"/>
    <w:rsid w:val="001C795A"/>
    <w:rsid w:val="001C79A6"/>
    <w:rsid w:val="001C7A25"/>
    <w:rsid w:val="001C7F45"/>
    <w:rsid w:val="001C7FE3"/>
    <w:rsid w:val="001CBF00"/>
    <w:rsid w:val="001D0375"/>
    <w:rsid w:val="001D07FC"/>
    <w:rsid w:val="001D0A17"/>
    <w:rsid w:val="001D0A20"/>
    <w:rsid w:val="001D0B14"/>
    <w:rsid w:val="001D0E57"/>
    <w:rsid w:val="001D0F76"/>
    <w:rsid w:val="001D1207"/>
    <w:rsid w:val="001D153B"/>
    <w:rsid w:val="001D1697"/>
    <w:rsid w:val="001D16B6"/>
    <w:rsid w:val="001D1A11"/>
    <w:rsid w:val="001D2220"/>
    <w:rsid w:val="001D247B"/>
    <w:rsid w:val="001D2533"/>
    <w:rsid w:val="001D25C4"/>
    <w:rsid w:val="001D2BFD"/>
    <w:rsid w:val="001D2C3C"/>
    <w:rsid w:val="001D2D04"/>
    <w:rsid w:val="001D2F55"/>
    <w:rsid w:val="001D30CF"/>
    <w:rsid w:val="001D32C0"/>
    <w:rsid w:val="001D3386"/>
    <w:rsid w:val="001D3A64"/>
    <w:rsid w:val="001D3B0D"/>
    <w:rsid w:val="001D3D25"/>
    <w:rsid w:val="001D3FAD"/>
    <w:rsid w:val="001D40DD"/>
    <w:rsid w:val="001D416A"/>
    <w:rsid w:val="001D41CD"/>
    <w:rsid w:val="001D4529"/>
    <w:rsid w:val="001D4BDD"/>
    <w:rsid w:val="001D4BFF"/>
    <w:rsid w:val="001D4CF1"/>
    <w:rsid w:val="001D5042"/>
    <w:rsid w:val="001D506E"/>
    <w:rsid w:val="001D50D7"/>
    <w:rsid w:val="001D50F3"/>
    <w:rsid w:val="001D5153"/>
    <w:rsid w:val="001D51FD"/>
    <w:rsid w:val="001D5344"/>
    <w:rsid w:val="001D54DA"/>
    <w:rsid w:val="001D5540"/>
    <w:rsid w:val="001D5626"/>
    <w:rsid w:val="001D5793"/>
    <w:rsid w:val="001D59F5"/>
    <w:rsid w:val="001D5A82"/>
    <w:rsid w:val="001D5E65"/>
    <w:rsid w:val="001D5FF8"/>
    <w:rsid w:val="001D6729"/>
    <w:rsid w:val="001D680E"/>
    <w:rsid w:val="001D69A5"/>
    <w:rsid w:val="001D6A12"/>
    <w:rsid w:val="001D6C31"/>
    <w:rsid w:val="001D72A4"/>
    <w:rsid w:val="001D739D"/>
    <w:rsid w:val="001D74A7"/>
    <w:rsid w:val="001D7773"/>
    <w:rsid w:val="001D78A3"/>
    <w:rsid w:val="001D7E61"/>
    <w:rsid w:val="001D7FEE"/>
    <w:rsid w:val="001D7FEF"/>
    <w:rsid w:val="001D7FF9"/>
    <w:rsid w:val="001E0222"/>
    <w:rsid w:val="001E030A"/>
    <w:rsid w:val="001E03DB"/>
    <w:rsid w:val="001E0578"/>
    <w:rsid w:val="001E081A"/>
    <w:rsid w:val="001E09C5"/>
    <w:rsid w:val="001E0B0C"/>
    <w:rsid w:val="001E0BDC"/>
    <w:rsid w:val="001E0C7F"/>
    <w:rsid w:val="001E13F0"/>
    <w:rsid w:val="001E142B"/>
    <w:rsid w:val="001E15F2"/>
    <w:rsid w:val="001E1628"/>
    <w:rsid w:val="001E17EF"/>
    <w:rsid w:val="001E17F9"/>
    <w:rsid w:val="001E1957"/>
    <w:rsid w:val="001E1972"/>
    <w:rsid w:val="001E22F7"/>
    <w:rsid w:val="001E2819"/>
    <w:rsid w:val="001E2DA5"/>
    <w:rsid w:val="001E3090"/>
    <w:rsid w:val="001E35E0"/>
    <w:rsid w:val="001E3705"/>
    <w:rsid w:val="001E3756"/>
    <w:rsid w:val="001E37B5"/>
    <w:rsid w:val="001E3A62"/>
    <w:rsid w:val="001E3B88"/>
    <w:rsid w:val="001E3BA4"/>
    <w:rsid w:val="001E3C52"/>
    <w:rsid w:val="001E3CD8"/>
    <w:rsid w:val="001E3D91"/>
    <w:rsid w:val="001E3D9B"/>
    <w:rsid w:val="001E3F0A"/>
    <w:rsid w:val="001E3FB0"/>
    <w:rsid w:val="001E4024"/>
    <w:rsid w:val="001E4057"/>
    <w:rsid w:val="001E42EB"/>
    <w:rsid w:val="001E4631"/>
    <w:rsid w:val="001E465F"/>
    <w:rsid w:val="001E490A"/>
    <w:rsid w:val="001E4BB7"/>
    <w:rsid w:val="001E4E05"/>
    <w:rsid w:val="001E5029"/>
    <w:rsid w:val="001E516F"/>
    <w:rsid w:val="001E54AF"/>
    <w:rsid w:val="001E5610"/>
    <w:rsid w:val="001E5A82"/>
    <w:rsid w:val="001E5C0D"/>
    <w:rsid w:val="001E5F8D"/>
    <w:rsid w:val="001E6202"/>
    <w:rsid w:val="001E6217"/>
    <w:rsid w:val="001E6468"/>
    <w:rsid w:val="001E6865"/>
    <w:rsid w:val="001E70AE"/>
    <w:rsid w:val="001E71E7"/>
    <w:rsid w:val="001E7677"/>
    <w:rsid w:val="001E7851"/>
    <w:rsid w:val="001E7938"/>
    <w:rsid w:val="001E7E37"/>
    <w:rsid w:val="001F0224"/>
    <w:rsid w:val="001F02AE"/>
    <w:rsid w:val="001F133D"/>
    <w:rsid w:val="001F1557"/>
    <w:rsid w:val="001F15C7"/>
    <w:rsid w:val="001F17AD"/>
    <w:rsid w:val="001F1A83"/>
    <w:rsid w:val="001F1C01"/>
    <w:rsid w:val="001F1C44"/>
    <w:rsid w:val="001F1D74"/>
    <w:rsid w:val="001F1E90"/>
    <w:rsid w:val="001F1FA6"/>
    <w:rsid w:val="001F2346"/>
    <w:rsid w:val="001F24C6"/>
    <w:rsid w:val="001F2887"/>
    <w:rsid w:val="001F2902"/>
    <w:rsid w:val="001F29E1"/>
    <w:rsid w:val="001F2A48"/>
    <w:rsid w:val="001F2B15"/>
    <w:rsid w:val="001F31A3"/>
    <w:rsid w:val="001F3241"/>
    <w:rsid w:val="001F3576"/>
    <w:rsid w:val="001F3778"/>
    <w:rsid w:val="001F3A5D"/>
    <w:rsid w:val="001F3AEF"/>
    <w:rsid w:val="001F3BBB"/>
    <w:rsid w:val="001F3C1F"/>
    <w:rsid w:val="001F3F35"/>
    <w:rsid w:val="001F3F36"/>
    <w:rsid w:val="001F40EB"/>
    <w:rsid w:val="001F416B"/>
    <w:rsid w:val="001F43C7"/>
    <w:rsid w:val="001F4443"/>
    <w:rsid w:val="001F4A6A"/>
    <w:rsid w:val="001F4E78"/>
    <w:rsid w:val="001F4EB2"/>
    <w:rsid w:val="001F500A"/>
    <w:rsid w:val="001F5079"/>
    <w:rsid w:val="001F531B"/>
    <w:rsid w:val="001F53BD"/>
    <w:rsid w:val="001F5403"/>
    <w:rsid w:val="001F546C"/>
    <w:rsid w:val="001F5524"/>
    <w:rsid w:val="001F5663"/>
    <w:rsid w:val="001F5E68"/>
    <w:rsid w:val="001F5FFE"/>
    <w:rsid w:val="001F6306"/>
    <w:rsid w:val="001F658C"/>
    <w:rsid w:val="001F675C"/>
    <w:rsid w:val="001F69DA"/>
    <w:rsid w:val="001F6BF3"/>
    <w:rsid w:val="001F6D66"/>
    <w:rsid w:val="001F6F44"/>
    <w:rsid w:val="001F7031"/>
    <w:rsid w:val="001F7197"/>
    <w:rsid w:val="001F742A"/>
    <w:rsid w:val="001F7553"/>
    <w:rsid w:val="001F7563"/>
    <w:rsid w:val="001F76E3"/>
    <w:rsid w:val="001F7917"/>
    <w:rsid w:val="001F7971"/>
    <w:rsid w:val="0020029A"/>
    <w:rsid w:val="00200300"/>
    <w:rsid w:val="00200328"/>
    <w:rsid w:val="00200354"/>
    <w:rsid w:val="00200BC5"/>
    <w:rsid w:val="00201185"/>
    <w:rsid w:val="0020129F"/>
    <w:rsid w:val="0020162B"/>
    <w:rsid w:val="0020169A"/>
    <w:rsid w:val="00201BDE"/>
    <w:rsid w:val="002020EC"/>
    <w:rsid w:val="00202178"/>
    <w:rsid w:val="002022F9"/>
    <w:rsid w:val="002026D1"/>
    <w:rsid w:val="002026DD"/>
    <w:rsid w:val="00202AB5"/>
    <w:rsid w:val="00202D41"/>
    <w:rsid w:val="00202D6E"/>
    <w:rsid w:val="00202ED8"/>
    <w:rsid w:val="00202FA1"/>
    <w:rsid w:val="00202FE0"/>
    <w:rsid w:val="00203203"/>
    <w:rsid w:val="0020342C"/>
    <w:rsid w:val="002036DC"/>
    <w:rsid w:val="00203729"/>
    <w:rsid w:val="00203A52"/>
    <w:rsid w:val="00203BB6"/>
    <w:rsid w:val="002040F9"/>
    <w:rsid w:val="00204892"/>
    <w:rsid w:val="00204AB0"/>
    <w:rsid w:val="00204ACE"/>
    <w:rsid w:val="00204DC5"/>
    <w:rsid w:val="002050D3"/>
    <w:rsid w:val="00205228"/>
    <w:rsid w:val="002052D0"/>
    <w:rsid w:val="0020531F"/>
    <w:rsid w:val="002059E9"/>
    <w:rsid w:val="00205A4D"/>
    <w:rsid w:val="00205BDF"/>
    <w:rsid w:val="00206412"/>
    <w:rsid w:val="00206454"/>
    <w:rsid w:val="0020658C"/>
    <w:rsid w:val="00206672"/>
    <w:rsid w:val="00206A1F"/>
    <w:rsid w:val="00206A82"/>
    <w:rsid w:val="00206AB3"/>
    <w:rsid w:val="00206C91"/>
    <w:rsid w:val="00206DCB"/>
    <w:rsid w:val="00207247"/>
    <w:rsid w:val="00207A15"/>
    <w:rsid w:val="00207A43"/>
    <w:rsid w:val="00207A8D"/>
    <w:rsid w:val="00207B7E"/>
    <w:rsid w:val="00207F59"/>
    <w:rsid w:val="0021040A"/>
    <w:rsid w:val="002106F1"/>
    <w:rsid w:val="002107B7"/>
    <w:rsid w:val="00210A0D"/>
    <w:rsid w:val="00210E26"/>
    <w:rsid w:val="00211033"/>
    <w:rsid w:val="00211100"/>
    <w:rsid w:val="0021133A"/>
    <w:rsid w:val="00211A29"/>
    <w:rsid w:val="00211C21"/>
    <w:rsid w:val="00211D63"/>
    <w:rsid w:val="00211DC3"/>
    <w:rsid w:val="00211E11"/>
    <w:rsid w:val="00211E4E"/>
    <w:rsid w:val="00211FDA"/>
    <w:rsid w:val="00212322"/>
    <w:rsid w:val="002127A1"/>
    <w:rsid w:val="00212A4A"/>
    <w:rsid w:val="00212B54"/>
    <w:rsid w:val="00212ECB"/>
    <w:rsid w:val="00212FCC"/>
    <w:rsid w:val="0021377B"/>
    <w:rsid w:val="00213F6C"/>
    <w:rsid w:val="00214345"/>
    <w:rsid w:val="0021441E"/>
    <w:rsid w:val="0021463B"/>
    <w:rsid w:val="00214DD9"/>
    <w:rsid w:val="00214E1C"/>
    <w:rsid w:val="00214FA3"/>
    <w:rsid w:val="002155A2"/>
    <w:rsid w:val="002155B6"/>
    <w:rsid w:val="0021573B"/>
    <w:rsid w:val="002157E4"/>
    <w:rsid w:val="002158AD"/>
    <w:rsid w:val="00215AFB"/>
    <w:rsid w:val="00215DEA"/>
    <w:rsid w:val="00215FF6"/>
    <w:rsid w:val="00216933"/>
    <w:rsid w:val="00216A05"/>
    <w:rsid w:val="00216BB1"/>
    <w:rsid w:val="00216EA5"/>
    <w:rsid w:val="002170BC"/>
    <w:rsid w:val="0021712A"/>
    <w:rsid w:val="00217293"/>
    <w:rsid w:val="0021749A"/>
    <w:rsid w:val="002175D6"/>
    <w:rsid w:val="002176A8"/>
    <w:rsid w:val="00217CD2"/>
    <w:rsid w:val="00217CE7"/>
    <w:rsid w:val="00217F35"/>
    <w:rsid w:val="002200D8"/>
    <w:rsid w:val="00220122"/>
    <w:rsid w:val="0022018E"/>
    <w:rsid w:val="002201A7"/>
    <w:rsid w:val="002201AE"/>
    <w:rsid w:val="00220A1F"/>
    <w:rsid w:val="00220B22"/>
    <w:rsid w:val="00220DBD"/>
    <w:rsid w:val="00221523"/>
    <w:rsid w:val="00221652"/>
    <w:rsid w:val="002216BE"/>
    <w:rsid w:val="00221C4D"/>
    <w:rsid w:val="00221C9F"/>
    <w:rsid w:val="00221E5E"/>
    <w:rsid w:val="00221E76"/>
    <w:rsid w:val="002220D3"/>
    <w:rsid w:val="002222D9"/>
    <w:rsid w:val="0022233A"/>
    <w:rsid w:val="002224F7"/>
    <w:rsid w:val="002224FB"/>
    <w:rsid w:val="002225A1"/>
    <w:rsid w:val="0022262E"/>
    <w:rsid w:val="002228F3"/>
    <w:rsid w:val="002229A7"/>
    <w:rsid w:val="00222E35"/>
    <w:rsid w:val="002231A3"/>
    <w:rsid w:val="00223312"/>
    <w:rsid w:val="00223664"/>
    <w:rsid w:val="00223902"/>
    <w:rsid w:val="00223A56"/>
    <w:rsid w:val="00223AF9"/>
    <w:rsid w:val="00223BD1"/>
    <w:rsid w:val="00223BF2"/>
    <w:rsid w:val="00223E2F"/>
    <w:rsid w:val="00223F14"/>
    <w:rsid w:val="00224104"/>
    <w:rsid w:val="00224B45"/>
    <w:rsid w:val="00224F46"/>
    <w:rsid w:val="00225104"/>
    <w:rsid w:val="00225833"/>
    <w:rsid w:val="00225AB7"/>
    <w:rsid w:val="00225B8A"/>
    <w:rsid w:val="00225D65"/>
    <w:rsid w:val="00226019"/>
    <w:rsid w:val="00226095"/>
    <w:rsid w:val="0022682A"/>
    <w:rsid w:val="002269A9"/>
    <w:rsid w:val="00226BE4"/>
    <w:rsid w:val="00226D78"/>
    <w:rsid w:val="00226DE4"/>
    <w:rsid w:val="00226EEC"/>
    <w:rsid w:val="00226F56"/>
    <w:rsid w:val="002271E9"/>
    <w:rsid w:val="00227359"/>
    <w:rsid w:val="00227569"/>
    <w:rsid w:val="002277C6"/>
    <w:rsid w:val="00227989"/>
    <w:rsid w:val="00227A0D"/>
    <w:rsid w:val="00227AF7"/>
    <w:rsid w:val="00227B89"/>
    <w:rsid w:val="00227D4E"/>
    <w:rsid w:val="00227F43"/>
    <w:rsid w:val="00227FC0"/>
    <w:rsid w:val="0023019D"/>
    <w:rsid w:val="00230626"/>
    <w:rsid w:val="002307A4"/>
    <w:rsid w:val="002307EE"/>
    <w:rsid w:val="002308CD"/>
    <w:rsid w:val="00230FD7"/>
    <w:rsid w:val="0023124A"/>
    <w:rsid w:val="0023149C"/>
    <w:rsid w:val="002314A6"/>
    <w:rsid w:val="00231919"/>
    <w:rsid w:val="00231A2D"/>
    <w:rsid w:val="00231C23"/>
    <w:rsid w:val="00232764"/>
    <w:rsid w:val="00232D6D"/>
    <w:rsid w:val="00232D78"/>
    <w:rsid w:val="00232E20"/>
    <w:rsid w:val="00232F2D"/>
    <w:rsid w:val="002330DD"/>
    <w:rsid w:val="002331D7"/>
    <w:rsid w:val="0023340E"/>
    <w:rsid w:val="002334C2"/>
    <w:rsid w:val="002334FF"/>
    <w:rsid w:val="00233B71"/>
    <w:rsid w:val="00233D16"/>
    <w:rsid w:val="00233DA2"/>
    <w:rsid w:val="00233E82"/>
    <w:rsid w:val="00233F7F"/>
    <w:rsid w:val="00234091"/>
    <w:rsid w:val="00234512"/>
    <w:rsid w:val="00234528"/>
    <w:rsid w:val="00234640"/>
    <w:rsid w:val="0023481A"/>
    <w:rsid w:val="00234873"/>
    <w:rsid w:val="00234967"/>
    <w:rsid w:val="00235239"/>
    <w:rsid w:val="0023536D"/>
    <w:rsid w:val="00235453"/>
    <w:rsid w:val="00235B98"/>
    <w:rsid w:val="00235BEC"/>
    <w:rsid w:val="00235BF8"/>
    <w:rsid w:val="002366AE"/>
    <w:rsid w:val="00236A06"/>
    <w:rsid w:val="00236D2C"/>
    <w:rsid w:val="00236DCB"/>
    <w:rsid w:val="00236E6E"/>
    <w:rsid w:val="00237121"/>
    <w:rsid w:val="002376A8"/>
    <w:rsid w:val="002377CA"/>
    <w:rsid w:val="00237974"/>
    <w:rsid w:val="002379FE"/>
    <w:rsid w:val="00237A22"/>
    <w:rsid w:val="00237D5E"/>
    <w:rsid w:val="00237D76"/>
    <w:rsid w:val="00240072"/>
    <w:rsid w:val="00240106"/>
    <w:rsid w:val="00240439"/>
    <w:rsid w:val="002406C8"/>
    <w:rsid w:val="00240D24"/>
    <w:rsid w:val="00241151"/>
    <w:rsid w:val="002411C7"/>
    <w:rsid w:val="002416E5"/>
    <w:rsid w:val="0024171A"/>
    <w:rsid w:val="00241747"/>
    <w:rsid w:val="002425A5"/>
    <w:rsid w:val="002426AD"/>
    <w:rsid w:val="002427CF"/>
    <w:rsid w:val="00242B30"/>
    <w:rsid w:val="00242D6C"/>
    <w:rsid w:val="00242ECA"/>
    <w:rsid w:val="00242EF4"/>
    <w:rsid w:val="00242F4E"/>
    <w:rsid w:val="00242FA4"/>
    <w:rsid w:val="00243009"/>
    <w:rsid w:val="00243076"/>
    <w:rsid w:val="0024313A"/>
    <w:rsid w:val="00243259"/>
    <w:rsid w:val="002433D3"/>
    <w:rsid w:val="00243D3D"/>
    <w:rsid w:val="00243F13"/>
    <w:rsid w:val="00243FE5"/>
    <w:rsid w:val="002442B2"/>
    <w:rsid w:val="00244352"/>
    <w:rsid w:val="0024436B"/>
    <w:rsid w:val="0024484B"/>
    <w:rsid w:val="00244A74"/>
    <w:rsid w:val="00244BCC"/>
    <w:rsid w:val="00244BF8"/>
    <w:rsid w:val="00244CB1"/>
    <w:rsid w:val="00244D03"/>
    <w:rsid w:val="00244F66"/>
    <w:rsid w:val="002452A0"/>
    <w:rsid w:val="002454B4"/>
    <w:rsid w:val="002456A5"/>
    <w:rsid w:val="00245972"/>
    <w:rsid w:val="00245BA6"/>
    <w:rsid w:val="00245C52"/>
    <w:rsid w:val="00245EA5"/>
    <w:rsid w:val="00245EF4"/>
    <w:rsid w:val="00245F26"/>
    <w:rsid w:val="002461C2"/>
    <w:rsid w:val="00246397"/>
    <w:rsid w:val="002463A6"/>
    <w:rsid w:val="002465C6"/>
    <w:rsid w:val="002465FD"/>
    <w:rsid w:val="002466F9"/>
    <w:rsid w:val="00246768"/>
    <w:rsid w:val="002467C1"/>
    <w:rsid w:val="00246ADB"/>
    <w:rsid w:val="00246AEE"/>
    <w:rsid w:val="00246E0A"/>
    <w:rsid w:val="002470B5"/>
    <w:rsid w:val="002470ED"/>
    <w:rsid w:val="0024760C"/>
    <w:rsid w:val="00247925"/>
    <w:rsid w:val="002479F9"/>
    <w:rsid w:val="00247B6A"/>
    <w:rsid w:val="00247EF2"/>
    <w:rsid w:val="0025076E"/>
    <w:rsid w:val="00250887"/>
    <w:rsid w:val="002509D8"/>
    <w:rsid w:val="00250AEE"/>
    <w:rsid w:val="00250BD1"/>
    <w:rsid w:val="00250F79"/>
    <w:rsid w:val="00250F7E"/>
    <w:rsid w:val="0025104C"/>
    <w:rsid w:val="0025118D"/>
    <w:rsid w:val="00251220"/>
    <w:rsid w:val="0025123A"/>
    <w:rsid w:val="002514E4"/>
    <w:rsid w:val="0025179D"/>
    <w:rsid w:val="002517A5"/>
    <w:rsid w:val="002519EB"/>
    <w:rsid w:val="00251A16"/>
    <w:rsid w:val="00251A9A"/>
    <w:rsid w:val="00251C22"/>
    <w:rsid w:val="00251C3E"/>
    <w:rsid w:val="00251DF9"/>
    <w:rsid w:val="00251F6C"/>
    <w:rsid w:val="00252199"/>
    <w:rsid w:val="002523BC"/>
    <w:rsid w:val="0025249C"/>
    <w:rsid w:val="00252529"/>
    <w:rsid w:val="00252567"/>
    <w:rsid w:val="0025256D"/>
    <w:rsid w:val="002526D8"/>
    <w:rsid w:val="00252E63"/>
    <w:rsid w:val="002533BC"/>
    <w:rsid w:val="002533D0"/>
    <w:rsid w:val="00253457"/>
    <w:rsid w:val="00253495"/>
    <w:rsid w:val="002535E2"/>
    <w:rsid w:val="002539AD"/>
    <w:rsid w:val="002539ED"/>
    <w:rsid w:val="00253C76"/>
    <w:rsid w:val="00253D19"/>
    <w:rsid w:val="00253F32"/>
    <w:rsid w:val="002540FD"/>
    <w:rsid w:val="00254157"/>
    <w:rsid w:val="00254347"/>
    <w:rsid w:val="0025440D"/>
    <w:rsid w:val="0025450E"/>
    <w:rsid w:val="00254582"/>
    <w:rsid w:val="002547FA"/>
    <w:rsid w:val="00254B63"/>
    <w:rsid w:val="002550DC"/>
    <w:rsid w:val="00255152"/>
    <w:rsid w:val="002553C0"/>
    <w:rsid w:val="0025554E"/>
    <w:rsid w:val="00255776"/>
    <w:rsid w:val="00255850"/>
    <w:rsid w:val="002559F4"/>
    <w:rsid w:val="00255B18"/>
    <w:rsid w:val="00255E38"/>
    <w:rsid w:val="00256169"/>
    <w:rsid w:val="0025619E"/>
    <w:rsid w:val="0025639B"/>
    <w:rsid w:val="002568E4"/>
    <w:rsid w:val="00256B8A"/>
    <w:rsid w:val="00256C96"/>
    <w:rsid w:val="002573A4"/>
    <w:rsid w:val="00257658"/>
    <w:rsid w:val="00257BA7"/>
    <w:rsid w:val="00257D31"/>
    <w:rsid w:val="00260097"/>
    <w:rsid w:val="0026022F"/>
    <w:rsid w:val="0026044E"/>
    <w:rsid w:val="002606A1"/>
    <w:rsid w:val="00260A42"/>
    <w:rsid w:val="00260A7D"/>
    <w:rsid w:val="002614A6"/>
    <w:rsid w:val="00261667"/>
    <w:rsid w:val="00261B49"/>
    <w:rsid w:val="00261B4B"/>
    <w:rsid w:val="00261E1E"/>
    <w:rsid w:val="00261FD3"/>
    <w:rsid w:val="00262065"/>
    <w:rsid w:val="0026208B"/>
    <w:rsid w:val="00262337"/>
    <w:rsid w:val="00262ACA"/>
    <w:rsid w:val="00262C7B"/>
    <w:rsid w:val="00262CCC"/>
    <w:rsid w:val="00262F85"/>
    <w:rsid w:val="00262FAA"/>
    <w:rsid w:val="00263072"/>
    <w:rsid w:val="0026307A"/>
    <w:rsid w:val="002630CA"/>
    <w:rsid w:val="00263447"/>
    <w:rsid w:val="00263523"/>
    <w:rsid w:val="002638F4"/>
    <w:rsid w:val="00263AF8"/>
    <w:rsid w:val="00263EC3"/>
    <w:rsid w:val="0026414C"/>
    <w:rsid w:val="0026414E"/>
    <w:rsid w:val="002643DA"/>
    <w:rsid w:val="002643F5"/>
    <w:rsid w:val="002645FD"/>
    <w:rsid w:val="0026471B"/>
    <w:rsid w:val="0026476C"/>
    <w:rsid w:val="00264A36"/>
    <w:rsid w:val="00264DB1"/>
    <w:rsid w:val="002650A3"/>
    <w:rsid w:val="00265426"/>
    <w:rsid w:val="002656BB"/>
    <w:rsid w:val="00265A11"/>
    <w:rsid w:val="00265BB4"/>
    <w:rsid w:val="002660C2"/>
    <w:rsid w:val="002662A2"/>
    <w:rsid w:val="002663C2"/>
    <w:rsid w:val="002663DB"/>
    <w:rsid w:val="00266537"/>
    <w:rsid w:val="0026683B"/>
    <w:rsid w:val="0026691B"/>
    <w:rsid w:val="00266951"/>
    <w:rsid w:val="00266AFE"/>
    <w:rsid w:val="00266DEC"/>
    <w:rsid w:val="00267265"/>
    <w:rsid w:val="00267585"/>
    <w:rsid w:val="0026761C"/>
    <w:rsid w:val="0026782F"/>
    <w:rsid w:val="00267D8C"/>
    <w:rsid w:val="00267E79"/>
    <w:rsid w:val="00270837"/>
    <w:rsid w:val="00270A77"/>
    <w:rsid w:val="00270C68"/>
    <w:rsid w:val="00270D04"/>
    <w:rsid w:val="00271453"/>
    <w:rsid w:val="0027160C"/>
    <w:rsid w:val="00271C98"/>
    <w:rsid w:val="0027202D"/>
    <w:rsid w:val="00272344"/>
    <w:rsid w:val="002725D9"/>
    <w:rsid w:val="00272708"/>
    <w:rsid w:val="00272759"/>
    <w:rsid w:val="00272ADF"/>
    <w:rsid w:val="00272D79"/>
    <w:rsid w:val="00272E14"/>
    <w:rsid w:val="00272F04"/>
    <w:rsid w:val="00272F61"/>
    <w:rsid w:val="0027313E"/>
    <w:rsid w:val="002731E7"/>
    <w:rsid w:val="00273259"/>
    <w:rsid w:val="0027342F"/>
    <w:rsid w:val="0027345C"/>
    <w:rsid w:val="002738CD"/>
    <w:rsid w:val="00273B80"/>
    <w:rsid w:val="00273D7D"/>
    <w:rsid w:val="002740FA"/>
    <w:rsid w:val="00274364"/>
    <w:rsid w:val="002745FC"/>
    <w:rsid w:val="0027469A"/>
    <w:rsid w:val="002746D9"/>
    <w:rsid w:val="002750BA"/>
    <w:rsid w:val="00275171"/>
    <w:rsid w:val="002751D1"/>
    <w:rsid w:val="00275209"/>
    <w:rsid w:val="002753E8"/>
    <w:rsid w:val="00275472"/>
    <w:rsid w:val="00275630"/>
    <w:rsid w:val="002757B2"/>
    <w:rsid w:val="002759CF"/>
    <w:rsid w:val="00275F6C"/>
    <w:rsid w:val="00276167"/>
    <w:rsid w:val="0027621B"/>
    <w:rsid w:val="00276426"/>
    <w:rsid w:val="002764FC"/>
    <w:rsid w:val="00276585"/>
    <w:rsid w:val="00276617"/>
    <w:rsid w:val="002767E7"/>
    <w:rsid w:val="00276B5B"/>
    <w:rsid w:val="00276EAE"/>
    <w:rsid w:val="00277029"/>
    <w:rsid w:val="00277180"/>
    <w:rsid w:val="002772DD"/>
    <w:rsid w:val="00277762"/>
    <w:rsid w:val="002779B2"/>
    <w:rsid w:val="00277A34"/>
    <w:rsid w:val="00277EBB"/>
    <w:rsid w:val="002805C1"/>
    <w:rsid w:val="00280695"/>
    <w:rsid w:val="002807F3"/>
    <w:rsid w:val="00280C03"/>
    <w:rsid w:val="00281232"/>
    <w:rsid w:val="0028125D"/>
    <w:rsid w:val="0028137A"/>
    <w:rsid w:val="00281607"/>
    <w:rsid w:val="002818EB"/>
    <w:rsid w:val="00281AA6"/>
    <w:rsid w:val="00281C30"/>
    <w:rsid w:val="00281C76"/>
    <w:rsid w:val="002821B7"/>
    <w:rsid w:val="002825FB"/>
    <w:rsid w:val="002826A7"/>
    <w:rsid w:val="00282895"/>
    <w:rsid w:val="00282AE3"/>
    <w:rsid w:val="00282D05"/>
    <w:rsid w:val="00282D2C"/>
    <w:rsid w:val="00282D97"/>
    <w:rsid w:val="00282ED7"/>
    <w:rsid w:val="0028372C"/>
    <w:rsid w:val="00283FBB"/>
    <w:rsid w:val="00284056"/>
    <w:rsid w:val="00284340"/>
    <w:rsid w:val="0028443E"/>
    <w:rsid w:val="002848E5"/>
    <w:rsid w:val="00284AF2"/>
    <w:rsid w:val="00284E35"/>
    <w:rsid w:val="00285154"/>
    <w:rsid w:val="002852B0"/>
    <w:rsid w:val="0028565C"/>
    <w:rsid w:val="00285E07"/>
    <w:rsid w:val="00285E81"/>
    <w:rsid w:val="00286229"/>
    <w:rsid w:val="0028622D"/>
    <w:rsid w:val="00286484"/>
    <w:rsid w:val="00286577"/>
    <w:rsid w:val="0028660C"/>
    <w:rsid w:val="00286695"/>
    <w:rsid w:val="00286799"/>
    <w:rsid w:val="0028692F"/>
    <w:rsid w:val="0028716D"/>
    <w:rsid w:val="0028723D"/>
    <w:rsid w:val="002873F4"/>
    <w:rsid w:val="00287753"/>
    <w:rsid w:val="00287C51"/>
    <w:rsid w:val="00287D50"/>
    <w:rsid w:val="00287DB0"/>
    <w:rsid w:val="00287E78"/>
    <w:rsid w:val="00287E7E"/>
    <w:rsid w:val="00290151"/>
    <w:rsid w:val="0029017A"/>
    <w:rsid w:val="00290676"/>
    <w:rsid w:val="002907A1"/>
    <w:rsid w:val="00290C93"/>
    <w:rsid w:val="00290CCE"/>
    <w:rsid w:val="0029122D"/>
    <w:rsid w:val="00291256"/>
    <w:rsid w:val="002912B1"/>
    <w:rsid w:val="00291462"/>
    <w:rsid w:val="0029154B"/>
    <w:rsid w:val="00291572"/>
    <w:rsid w:val="00291700"/>
    <w:rsid w:val="00291F91"/>
    <w:rsid w:val="0029269A"/>
    <w:rsid w:val="002927A8"/>
    <w:rsid w:val="00292B78"/>
    <w:rsid w:val="00292CDF"/>
    <w:rsid w:val="00292D19"/>
    <w:rsid w:val="002932AC"/>
    <w:rsid w:val="0029332B"/>
    <w:rsid w:val="00293523"/>
    <w:rsid w:val="0029360B"/>
    <w:rsid w:val="002936E8"/>
    <w:rsid w:val="00293B09"/>
    <w:rsid w:val="00293DF2"/>
    <w:rsid w:val="00293FB8"/>
    <w:rsid w:val="00294134"/>
    <w:rsid w:val="002947B2"/>
    <w:rsid w:val="00294B0C"/>
    <w:rsid w:val="00294B57"/>
    <w:rsid w:val="00294CD4"/>
    <w:rsid w:val="00294EFB"/>
    <w:rsid w:val="00295019"/>
    <w:rsid w:val="0029501E"/>
    <w:rsid w:val="00295327"/>
    <w:rsid w:val="00295418"/>
    <w:rsid w:val="0029543E"/>
    <w:rsid w:val="002955A4"/>
    <w:rsid w:val="00295746"/>
    <w:rsid w:val="00295904"/>
    <w:rsid w:val="00295952"/>
    <w:rsid w:val="0029616F"/>
    <w:rsid w:val="002962EB"/>
    <w:rsid w:val="00296636"/>
    <w:rsid w:val="00296856"/>
    <w:rsid w:val="00296AC0"/>
    <w:rsid w:val="00297409"/>
    <w:rsid w:val="00297449"/>
    <w:rsid w:val="002975A3"/>
    <w:rsid w:val="00297650"/>
    <w:rsid w:val="00297F15"/>
    <w:rsid w:val="00297F30"/>
    <w:rsid w:val="002A02B5"/>
    <w:rsid w:val="002A02EF"/>
    <w:rsid w:val="002A045C"/>
    <w:rsid w:val="002A04B4"/>
    <w:rsid w:val="002A053F"/>
    <w:rsid w:val="002A078D"/>
    <w:rsid w:val="002A0928"/>
    <w:rsid w:val="002A0FAE"/>
    <w:rsid w:val="002A122C"/>
    <w:rsid w:val="002A145B"/>
    <w:rsid w:val="002A18BE"/>
    <w:rsid w:val="002A232B"/>
    <w:rsid w:val="002A2444"/>
    <w:rsid w:val="002A255D"/>
    <w:rsid w:val="002A279D"/>
    <w:rsid w:val="002A2DBB"/>
    <w:rsid w:val="002A2F4F"/>
    <w:rsid w:val="002A2FDE"/>
    <w:rsid w:val="002A31DD"/>
    <w:rsid w:val="002A323A"/>
    <w:rsid w:val="002A32EC"/>
    <w:rsid w:val="002A33B7"/>
    <w:rsid w:val="002A35C3"/>
    <w:rsid w:val="002A361C"/>
    <w:rsid w:val="002A36F6"/>
    <w:rsid w:val="002A371B"/>
    <w:rsid w:val="002A3B1C"/>
    <w:rsid w:val="002A3D92"/>
    <w:rsid w:val="002A3E30"/>
    <w:rsid w:val="002A3E97"/>
    <w:rsid w:val="002A4019"/>
    <w:rsid w:val="002A4084"/>
    <w:rsid w:val="002A4122"/>
    <w:rsid w:val="002A42B4"/>
    <w:rsid w:val="002A4423"/>
    <w:rsid w:val="002A4535"/>
    <w:rsid w:val="002A4566"/>
    <w:rsid w:val="002A48A7"/>
    <w:rsid w:val="002A4AD6"/>
    <w:rsid w:val="002A4B7D"/>
    <w:rsid w:val="002A4C6D"/>
    <w:rsid w:val="002A5109"/>
    <w:rsid w:val="002A53DA"/>
    <w:rsid w:val="002A55A9"/>
    <w:rsid w:val="002A5633"/>
    <w:rsid w:val="002A56BB"/>
    <w:rsid w:val="002A5E71"/>
    <w:rsid w:val="002A62C0"/>
    <w:rsid w:val="002A66C9"/>
    <w:rsid w:val="002A681A"/>
    <w:rsid w:val="002A6DDC"/>
    <w:rsid w:val="002A6E91"/>
    <w:rsid w:val="002A7196"/>
    <w:rsid w:val="002A731D"/>
    <w:rsid w:val="002A74D2"/>
    <w:rsid w:val="002A760E"/>
    <w:rsid w:val="002A76AE"/>
    <w:rsid w:val="002A78E3"/>
    <w:rsid w:val="002A7CD7"/>
    <w:rsid w:val="002A7D49"/>
    <w:rsid w:val="002B020D"/>
    <w:rsid w:val="002B033B"/>
    <w:rsid w:val="002B0475"/>
    <w:rsid w:val="002B05A1"/>
    <w:rsid w:val="002B0B67"/>
    <w:rsid w:val="002B115D"/>
    <w:rsid w:val="002B1220"/>
    <w:rsid w:val="002B12DF"/>
    <w:rsid w:val="002B1384"/>
    <w:rsid w:val="002B14A6"/>
    <w:rsid w:val="002B1515"/>
    <w:rsid w:val="002B16B1"/>
    <w:rsid w:val="002B171B"/>
    <w:rsid w:val="002B17F1"/>
    <w:rsid w:val="002B1889"/>
    <w:rsid w:val="002B196A"/>
    <w:rsid w:val="002B1BC4"/>
    <w:rsid w:val="002B1FC6"/>
    <w:rsid w:val="002B20ED"/>
    <w:rsid w:val="002B23B9"/>
    <w:rsid w:val="002B23F0"/>
    <w:rsid w:val="002B28EB"/>
    <w:rsid w:val="002B3146"/>
    <w:rsid w:val="002B31A3"/>
    <w:rsid w:val="002B31BE"/>
    <w:rsid w:val="002B331B"/>
    <w:rsid w:val="002B3485"/>
    <w:rsid w:val="002B3681"/>
    <w:rsid w:val="002B3BDB"/>
    <w:rsid w:val="002B3FD0"/>
    <w:rsid w:val="002B3FF5"/>
    <w:rsid w:val="002B417A"/>
    <w:rsid w:val="002B426B"/>
    <w:rsid w:val="002B428A"/>
    <w:rsid w:val="002B42F0"/>
    <w:rsid w:val="002B4310"/>
    <w:rsid w:val="002B4462"/>
    <w:rsid w:val="002B45B8"/>
    <w:rsid w:val="002B47DA"/>
    <w:rsid w:val="002B4803"/>
    <w:rsid w:val="002B48FF"/>
    <w:rsid w:val="002B4BE0"/>
    <w:rsid w:val="002B4ECB"/>
    <w:rsid w:val="002B5115"/>
    <w:rsid w:val="002B51B7"/>
    <w:rsid w:val="002B54FC"/>
    <w:rsid w:val="002B59A9"/>
    <w:rsid w:val="002B5A2C"/>
    <w:rsid w:val="002B5F89"/>
    <w:rsid w:val="002B6072"/>
    <w:rsid w:val="002B61F9"/>
    <w:rsid w:val="002B6400"/>
    <w:rsid w:val="002B665A"/>
    <w:rsid w:val="002B667C"/>
    <w:rsid w:val="002B66B8"/>
    <w:rsid w:val="002B6B38"/>
    <w:rsid w:val="002B6CC9"/>
    <w:rsid w:val="002B6CD2"/>
    <w:rsid w:val="002B6CDB"/>
    <w:rsid w:val="002B6E0F"/>
    <w:rsid w:val="002B70F3"/>
    <w:rsid w:val="002B72FC"/>
    <w:rsid w:val="002B7348"/>
    <w:rsid w:val="002B74B3"/>
    <w:rsid w:val="002B7586"/>
    <w:rsid w:val="002B75B7"/>
    <w:rsid w:val="002B78F7"/>
    <w:rsid w:val="002B7937"/>
    <w:rsid w:val="002B79B6"/>
    <w:rsid w:val="002B7FC9"/>
    <w:rsid w:val="002B7FE0"/>
    <w:rsid w:val="002C00B5"/>
    <w:rsid w:val="002C010A"/>
    <w:rsid w:val="002C03C9"/>
    <w:rsid w:val="002C0517"/>
    <w:rsid w:val="002C0962"/>
    <w:rsid w:val="002C11CA"/>
    <w:rsid w:val="002C1277"/>
    <w:rsid w:val="002C13C7"/>
    <w:rsid w:val="002C13FB"/>
    <w:rsid w:val="002C1429"/>
    <w:rsid w:val="002C14D0"/>
    <w:rsid w:val="002C1533"/>
    <w:rsid w:val="002C1583"/>
    <w:rsid w:val="002C1944"/>
    <w:rsid w:val="002C1A79"/>
    <w:rsid w:val="002C1C91"/>
    <w:rsid w:val="002C2077"/>
    <w:rsid w:val="002C20FB"/>
    <w:rsid w:val="002C2297"/>
    <w:rsid w:val="002C22FE"/>
    <w:rsid w:val="002C23F9"/>
    <w:rsid w:val="002C256B"/>
    <w:rsid w:val="002C25A6"/>
    <w:rsid w:val="002C25E2"/>
    <w:rsid w:val="002C2B72"/>
    <w:rsid w:val="002C2BBB"/>
    <w:rsid w:val="002C3085"/>
    <w:rsid w:val="002C30D8"/>
    <w:rsid w:val="002C32BC"/>
    <w:rsid w:val="002C3455"/>
    <w:rsid w:val="002C35F4"/>
    <w:rsid w:val="002C36A9"/>
    <w:rsid w:val="002C3D36"/>
    <w:rsid w:val="002C3EC3"/>
    <w:rsid w:val="002C4573"/>
    <w:rsid w:val="002C45E8"/>
    <w:rsid w:val="002C49C6"/>
    <w:rsid w:val="002C4A5A"/>
    <w:rsid w:val="002C4C0E"/>
    <w:rsid w:val="002C51FF"/>
    <w:rsid w:val="002C53C9"/>
    <w:rsid w:val="002C5784"/>
    <w:rsid w:val="002C5AFB"/>
    <w:rsid w:val="002C5C1B"/>
    <w:rsid w:val="002C5C3E"/>
    <w:rsid w:val="002C607B"/>
    <w:rsid w:val="002C63C7"/>
    <w:rsid w:val="002C675D"/>
    <w:rsid w:val="002C678B"/>
    <w:rsid w:val="002C683E"/>
    <w:rsid w:val="002C68E9"/>
    <w:rsid w:val="002C691E"/>
    <w:rsid w:val="002C6BAA"/>
    <w:rsid w:val="002C6DDD"/>
    <w:rsid w:val="002C70CE"/>
    <w:rsid w:val="002C718A"/>
    <w:rsid w:val="002C728B"/>
    <w:rsid w:val="002C7560"/>
    <w:rsid w:val="002C789E"/>
    <w:rsid w:val="002C78FE"/>
    <w:rsid w:val="002C7901"/>
    <w:rsid w:val="002C79E4"/>
    <w:rsid w:val="002C7AD6"/>
    <w:rsid w:val="002C7D1A"/>
    <w:rsid w:val="002D04E3"/>
    <w:rsid w:val="002D074D"/>
    <w:rsid w:val="002D088B"/>
    <w:rsid w:val="002D0DC6"/>
    <w:rsid w:val="002D0E31"/>
    <w:rsid w:val="002D1130"/>
    <w:rsid w:val="002D13DD"/>
    <w:rsid w:val="002D1453"/>
    <w:rsid w:val="002D189E"/>
    <w:rsid w:val="002D1B3A"/>
    <w:rsid w:val="002D1B88"/>
    <w:rsid w:val="002D23CD"/>
    <w:rsid w:val="002D268E"/>
    <w:rsid w:val="002D2929"/>
    <w:rsid w:val="002D2FCA"/>
    <w:rsid w:val="002D373B"/>
    <w:rsid w:val="002D3793"/>
    <w:rsid w:val="002D3971"/>
    <w:rsid w:val="002D39AB"/>
    <w:rsid w:val="002D39C9"/>
    <w:rsid w:val="002D3A03"/>
    <w:rsid w:val="002D3A0D"/>
    <w:rsid w:val="002D3A2D"/>
    <w:rsid w:val="002D3A6B"/>
    <w:rsid w:val="002D3AEA"/>
    <w:rsid w:val="002D3CE5"/>
    <w:rsid w:val="002D3E3D"/>
    <w:rsid w:val="002D4138"/>
    <w:rsid w:val="002D422C"/>
    <w:rsid w:val="002D4388"/>
    <w:rsid w:val="002D4453"/>
    <w:rsid w:val="002D44F8"/>
    <w:rsid w:val="002D4532"/>
    <w:rsid w:val="002D46F8"/>
    <w:rsid w:val="002D47B8"/>
    <w:rsid w:val="002D5097"/>
    <w:rsid w:val="002D54B6"/>
    <w:rsid w:val="002D54D5"/>
    <w:rsid w:val="002D55E4"/>
    <w:rsid w:val="002D5638"/>
    <w:rsid w:val="002D5732"/>
    <w:rsid w:val="002D58AD"/>
    <w:rsid w:val="002D61CD"/>
    <w:rsid w:val="002D640A"/>
    <w:rsid w:val="002D6523"/>
    <w:rsid w:val="002D6584"/>
    <w:rsid w:val="002D67D3"/>
    <w:rsid w:val="002D690D"/>
    <w:rsid w:val="002D69E6"/>
    <w:rsid w:val="002D6A7A"/>
    <w:rsid w:val="002D6B6D"/>
    <w:rsid w:val="002D6C53"/>
    <w:rsid w:val="002D6F63"/>
    <w:rsid w:val="002D7309"/>
    <w:rsid w:val="002D76C8"/>
    <w:rsid w:val="002D76D3"/>
    <w:rsid w:val="002D7963"/>
    <w:rsid w:val="002D796C"/>
    <w:rsid w:val="002D79EC"/>
    <w:rsid w:val="002D7B7C"/>
    <w:rsid w:val="002D7D06"/>
    <w:rsid w:val="002D7D27"/>
    <w:rsid w:val="002D7EC0"/>
    <w:rsid w:val="002E00F0"/>
    <w:rsid w:val="002E0339"/>
    <w:rsid w:val="002E08D1"/>
    <w:rsid w:val="002E1052"/>
    <w:rsid w:val="002E1161"/>
    <w:rsid w:val="002E127D"/>
    <w:rsid w:val="002E1395"/>
    <w:rsid w:val="002E14B6"/>
    <w:rsid w:val="002E1621"/>
    <w:rsid w:val="002E1687"/>
    <w:rsid w:val="002E170D"/>
    <w:rsid w:val="002E1AE8"/>
    <w:rsid w:val="002E1C89"/>
    <w:rsid w:val="002E21B1"/>
    <w:rsid w:val="002E225D"/>
    <w:rsid w:val="002E247D"/>
    <w:rsid w:val="002E25FE"/>
    <w:rsid w:val="002E2617"/>
    <w:rsid w:val="002E2C36"/>
    <w:rsid w:val="002E3248"/>
    <w:rsid w:val="002E3818"/>
    <w:rsid w:val="002E39B4"/>
    <w:rsid w:val="002E39FE"/>
    <w:rsid w:val="002E3BF0"/>
    <w:rsid w:val="002E3CE7"/>
    <w:rsid w:val="002E3F6B"/>
    <w:rsid w:val="002E4515"/>
    <w:rsid w:val="002E4520"/>
    <w:rsid w:val="002E4D3C"/>
    <w:rsid w:val="002E4E0A"/>
    <w:rsid w:val="002E5083"/>
    <w:rsid w:val="002E5101"/>
    <w:rsid w:val="002E51A0"/>
    <w:rsid w:val="002E571F"/>
    <w:rsid w:val="002E5755"/>
    <w:rsid w:val="002E5B8A"/>
    <w:rsid w:val="002E5CE5"/>
    <w:rsid w:val="002E5E3C"/>
    <w:rsid w:val="002E5F5C"/>
    <w:rsid w:val="002E6172"/>
    <w:rsid w:val="002E6181"/>
    <w:rsid w:val="002E62DB"/>
    <w:rsid w:val="002E6462"/>
    <w:rsid w:val="002E64F0"/>
    <w:rsid w:val="002E64FD"/>
    <w:rsid w:val="002E6585"/>
    <w:rsid w:val="002E65BF"/>
    <w:rsid w:val="002E662A"/>
    <w:rsid w:val="002E6738"/>
    <w:rsid w:val="002E676F"/>
    <w:rsid w:val="002E6B89"/>
    <w:rsid w:val="002E6F1B"/>
    <w:rsid w:val="002E7187"/>
    <w:rsid w:val="002E7256"/>
    <w:rsid w:val="002E73AF"/>
    <w:rsid w:val="002E75AB"/>
    <w:rsid w:val="002E7775"/>
    <w:rsid w:val="002E7A98"/>
    <w:rsid w:val="002E7AD2"/>
    <w:rsid w:val="002E7FB4"/>
    <w:rsid w:val="002F00A6"/>
    <w:rsid w:val="002F0632"/>
    <w:rsid w:val="002F0E14"/>
    <w:rsid w:val="002F0E72"/>
    <w:rsid w:val="002F0F0E"/>
    <w:rsid w:val="002F1079"/>
    <w:rsid w:val="002F1285"/>
    <w:rsid w:val="002F1399"/>
    <w:rsid w:val="002F1433"/>
    <w:rsid w:val="002F149D"/>
    <w:rsid w:val="002F1AC6"/>
    <w:rsid w:val="002F1AD5"/>
    <w:rsid w:val="002F1BD7"/>
    <w:rsid w:val="002F1C10"/>
    <w:rsid w:val="002F1D56"/>
    <w:rsid w:val="002F1DCE"/>
    <w:rsid w:val="002F2020"/>
    <w:rsid w:val="002F234D"/>
    <w:rsid w:val="002F2568"/>
    <w:rsid w:val="002F25EA"/>
    <w:rsid w:val="002F2BD5"/>
    <w:rsid w:val="002F2FDB"/>
    <w:rsid w:val="002F31C0"/>
    <w:rsid w:val="002F32FB"/>
    <w:rsid w:val="002F335C"/>
    <w:rsid w:val="002F34C5"/>
    <w:rsid w:val="002F34F8"/>
    <w:rsid w:val="002F3B5F"/>
    <w:rsid w:val="002F3CFE"/>
    <w:rsid w:val="002F3D86"/>
    <w:rsid w:val="002F3D90"/>
    <w:rsid w:val="002F3DC5"/>
    <w:rsid w:val="002F3F0F"/>
    <w:rsid w:val="002F440B"/>
    <w:rsid w:val="002F4576"/>
    <w:rsid w:val="002F45DC"/>
    <w:rsid w:val="002F4627"/>
    <w:rsid w:val="002F463C"/>
    <w:rsid w:val="002F4675"/>
    <w:rsid w:val="002F4DE8"/>
    <w:rsid w:val="002F4E47"/>
    <w:rsid w:val="002F4FAE"/>
    <w:rsid w:val="002F4FFB"/>
    <w:rsid w:val="002F5611"/>
    <w:rsid w:val="002F5683"/>
    <w:rsid w:val="002F56CA"/>
    <w:rsid w:val="002F572A"/>
    <w:rsid w:val="002F5B94"/>
    <w:rsid w:val="002F5E45"/>
    <w:rsid w:val="002F5F29"/>
    <w:rsid w:val="002F5F5E"/>
    <w:rsid w:val="002F5F85"/>
    <w:rsid w:val="002F5FE8"/>
    <w:rsid w:val="002F601F"/>
    <w:rsid w:val="002F603D"/>
    <w:rsid w:val="002F6484"/>
    <w:rsid w:val="002F65CF"/>
    <w:rsid w:val="002F65F2"/>
    <w:rsid w:val="002F668A"/>
    <w:rsid w:val="002F693F"/>
    <w:rsid w:val="002F6AA8"/>
    <w:rsid w:val="002F6ACA"/>
    <w:rsid w:val="002F6B79"/>
    <w:rsid w:val="002F6D0E"/>
    <w:rsid w:val="002F7257"/>
    <w:rsid w:val="002F7426"/>
    <w:rsid w:val="002F7C30"/>
    <w:rsid w:val="002F7CD5"/>
    <w:rsid w:val="003000B9"/>
    <w:rsid w:val="0030025E"/>
    <w:rsid w:val="0030027B"/>
    <w:rsid w:val="003002D6"/>
    <w:rsid w:val="0030035B"/>
    <w:rsid w:val="003003B6"/>
    <w:rsid w:val="0030047D"/>
    <w:rsid w:val="0030051C"/>
    <w:rsid w:val="00300819"/>
    <w:rsid w:val="003008CC"/>
    <w:rsid w:val="00300B2F"/>
    <w:rsid w:val="00301633"/>
    <w:rsid w:val="003016EC"/>
    <w:rsid w:val="00301763"/>
    <w:rsid w:val="003018EA"/>
    <w:rsid w:val="00301D1C"/>
    <w:rsid w:val="00301E7B"/>
    <w:rsid w:val="00302111"/>
    <w:rsid w:val="00302243"/>
    <w:rsid w:val="00302252"/>
    <w:rsid w:val="00302861"/>
    <w:rsid w:val="0030295C"/>
    <w:rsid w:val="003029FC"/>
    <w:rsid w:val="00302AA6"/>
    <w:rsid w:val="00302B56"/>
    <w:rsid w:val="00302C18"/>
    <w:rsid w:val="00302CD2"/>
    <w:rsid w:val="00302F89"/>
    <w:rsid w:val="00302FFC"/>
    <w:rsid w:val="003030B7"/>
    <w:rsid w:val="003034C3"/>
    <w:rsid w:val="003034CF"/>
    <w:rsid w:val="003035DE"/>
    <w:rsid w:val="00303649"/>
    <w:rsid w:val="003039A0"/>
    <w:rsid w:val="003039B1"/>
    <w:rsid w:val="00303A36"/>
    <w:rsid w:val="00303B66"/>
    <w:rsid w:val="00303BF8"/>
    <w:rsid w:val="00303C60"/>
    <w:rsid w:val="003040ED"/>
    <w:rsid w:val="00304169"/>
    <w:rsid w:val="003043CB"/>
    <w:rsid w:val="00304698"/>
    <w:rsid w:val="00304849"/>
    <w:rsid w:val="00304CA1"/>
    <w:rsid w:val="00304EAD"/>
    <w:rsid w:val="00304EE0"/>
    <w:rsid w:val="00304FB8"/>
    <w:rsid w:val="003052F8"/>
    <w:rsid w:val="003054CD"/>
    <w:rsid w:val="0030649C"/>
    <w:rsid w:val="0030686C"/>
    <w:rsid w:val="003069E4"/>
    <w:rsid w:val="00306AA4"/>
    <w:rsid w:val="00306ABF"/>
    <w:rsid w:val="00306AF2"/>
    <w:rsid w:val="00306F78"/>
    <w:rsid w:val="00306FB9"/>
    <w:rsid w:val="0030713B"/>
    <w:rsid w:val="00307299"/>
    <w:rsid w:val="003072E8"/>
    <w:rsid w:val="0030765C"/>
    <w:rsid w:val="0030783F"/>
    <w:rsid w:val="00307951"/>
    <w:rsid w:val="00307BD5"/>
    <w:rsid w:val="00307C7A"/>
    <w:rsid w:val="00307DAA"/>
    <w:rsid w:val="00310018"/>
    <w:rsid w:val="00310514"/>
    <w:rsid w:val="00310B9B"/>
    <w:rsid w:val="00310C3F"/>
    <w:rsid w:val="00310ECC"/>
    <w:rsid w:val="00310F6E"/>
    <w:rsid w:val="00310FD9"/>
    <w:rsid w:val="00311143"/>
    <w:rsid w:val="00311269"/>
    <w:rsid w:val="00311F00"/>
    <w:rsid w:val="00312002"/>
    <w:rsid w:val="0031203B"/>
    <w:rsid w:val="00312080"/>
    <w:rsid w:val="003123A5"/>
    <w:rsid w:val="003125B3"/>
    <w:rsid w:val="003126EF"/>
    <w:rsid w:val="00312955"/>
    <w:rsid w:val="00312C12"/>
    <w:rsid w:val="00312DCA"/>
    <w:rsid w:val="00312E80"/>
    <w:rsid w:val="00312FEB"/>
    <w:rsid w:val="00313091"/>
    <w:rsid w:val="003133C7"/>
    <w:rsid w:val="003134B7"/>
    <w:rsid w:val="00313A1E"/>
    <w:rsid w:val="00313C23"/>
    <w:rsid w:val="00313C99"/>
    <w:rsid w:val="00313F95"/>
    <w:rsid w:val="00314072"/>
    <w:rsid w:val="003140D2"/>
    <w:rsid w:val="0031427E"/>
    <w:rsid w:val="00314AEF"/>
    <w:rsid w:val="00314CA0"/>
    <w:rsid w:val="00314DE5"/>
    <w:rsid w:val="00314EDA"/>
    <w:rsid w:val="00314F61"/>
    <w:rsid w:val="00314F6D"/>
    <w:rsid w:val="00314FCF"/>
    <w:rsid w:val="00315007"/>
    <w:rsid w:val="003150B5"/>
    <w:rsid w:val="0031521B"/>
    <w:rsid w:val="0031528A"/>
    <w:rsid w:val="003153DE"/>
    <w:rsid w:val="0031566C"/>
    <w:rsid w:val="00315688"/>
    <w:rsid w:val="003156AE"/>
    <w:rsid w:val="00315AA3"/>
    <w:rsid w:val="00315EC5"/>
    <w:rsid w:val="00315FA0"/>
    <w:rsid w:val="00315FBE"/>
    <w:rsid w:val="00316011"/>
    <w:rsid w:val="003161AE"/>
    <w:rsid w:val="003164C9"/>
    <w:rsid w:val="003165BB"/>
    <w:rsid w:val="00316A0A"/>
    <w:rsid w:val="00316A31"/>
    <w:rsid w:val="00316BC5"/>
    <w:rsid w:val="00316D02"/>
    <w:rsid w:val="00316F21"/>
    <w:rsid w:val="00316F2E"/>
    <w:rsid w:val="0031708B"/>
    <w:rsid w:val="00317714"/>
    <w:rsid w:val="00317E9A"/>
    <w:rsid w:val="003201CE"/>
    <w:rsid w:val="00320345"/>
    <w:rsid w:val="0032068C"/>
    <w:rsid w:val="00320711"/>
    <w:rsid w:val="0032092C"/>
    <w:rsid w:val="00320A17"/>
    <w:rsid w:val="00320B1A"/>
    <w:rsid w:val="00320C74"/>
    <w:rsid w:val="00320CEE"/>
    <w:rsid w:val="00320EC7"/>
    <w:rsid w:val="00320EE4"/>
    <w:rsid w:val="00321273"/>
    <w:rsid w:val="0032128C"/>
    <w:rsid w:val="00321548"/>
    <w:rsid w:val="003215CB"/>
    <w:rsid w:val="003218B1"/>
    <w:rsid w:val="0032199C"/>
    <w:rsid w:val="00321E51"/>
    <w:rsid w:val="00321FC6"/>
    <w:rsid w:val="00321FE4"/>
    <w:rsid w:val="0032239F"/>
    <w:rsid w:val="00322542"/>
    <w:rsid w:val="003225DA"/>
    <w:rsid w:val="003228FF"/>
    <w:rsid w:val="00322CBC"/>
    <w:rsid w:val="00322D2B"/>
    <w:rsid w:val="00322DA9"/>
    <w:rsid w:val="00323113"/>
    <w:rsid w:val="003231D1"/>
    <w:rsid w:val="00323206"/>
    <w:rsid w:val="00323246"/>
    <w:rsid w:val="003232EB"/>
    <w:rsid w:val="0032338A"/>
    <w:rsid w:val="003237F5"/>
    <w:rsid w:val="003238A4"/>
    <w:rsid w:val="003238AC"/>
    <w:rsid w:val="003239EB"/>
    <w:rsid w:val="00323AF6"/>
    <w:rsid w:val="00323D41"/>
    <w:rsid w:val="00323D90"/>
    <w:rsid w:val="00323ED6"/>
    <w:rsid w:val="00323FD6"/>
    <w:rsid w:val="003241EB"/>
    <w:rsid w:val="00324586"/>
    <w:rsid w:val="0032489A"/>
    <w:rsid w:val="00324911"/>
    <w:rsid w:val="003251C2"/>
    <w:rsid w:val="003255D3"/>
    <w:rsid w:val="003255F6"/>
    <w:rsid w:val="0032561F"/>
    <w:rsid w:val="00325724"/>
    <w:rsid w:val="003258D5"/>
    <w:rsid w:val="0032598E"/>
    <w:rsid w:val="00325B16"/>
    <w:rsid w:val="00325C62"/>
    <w:rsid w:val="00325DC5"/>
    <w:rsid w:val="00325EC1"/>
    <w:rsid w:val="00325ED1"/>
    <w:rsid w:val="00325F99"/>
    <w:rsid w:val="00325FA0"/>
    <w:rsid w:val="003261B3"/>
    <w:rsid w:val="00326574"/>
    <w:rsid w:val="00326744"/>
    <w:rsid w:val="00326F1C"/>
    <w:rsid w:val="00326F3C"/>
    <w:rsid w:val="00327162"/>
    <w:rsid w:val="0032727E"/>
    <w:rsid w:val="00327412"/>
    <w:rsid w:val="003275B3"/>
    <w:rsid w:val="00327653"/>
    <w:rsid w:val="00327AED"/>
    <w:rsid w:val="00327F5F"/>
    <w:rsid w:val="00327F60"/>
    <w:rsid w:val="00327FCD"/>
    <w:rsid w:val="00330298"/>
    <w:rsid w:val="00330378"/>
    <w:rsid w:val="00330512"/>
    <w:rsid w:val="0033062B"/>
    <w:rsid w:val="0033090C"/>
    <w:rsid w:val="00330945"/>
    <w:rsid w:val="00330A0A"/>
    <w:rsid w:val="00330C38"/>
    <w:rsid w:val="00330D71"/>
    <w:rsid w:val="00330ED5"/>
    <w:rsid w:val="003310F2"/>
    <w:rsid w:val="0033113C"/>
    <w:rsid w:val="003315BE"/>
    <w:rsid w:val="00331720"/>
    <w:rsid w:val="003317EE"/>
    <w:rsid w:val="00331AB5"/>
    <w:rsid w:val="00331DC8"/>
    <w:rsid w:val="00331DCE"/>
    <w:rsid w:val="00331EC8"/>
    <w:rsid w:val="00331EE9"/>
    <w:rsid w:val="00331F51"/>
    <w:rsid w:val="00332198"/>
    <w:rsid w:val="0033225D"/>
    <w:rsid w:val="00332302"/>
    <w:rsid w:val="0033254F"/>
    <w:rsid w:val="00332646"/>
    <w:rsid w:val="003326B8"/>
    <w:rsid w:val="003328A9"/>
    <w:rsid w:val="003328D0"/>
    <w:rsid w:val="00332C4A"/>
    <w:rsid w:val="0033353B"/>
    <w:rsid w:val="0033374E"/>
    <w:rsid w:val="00333900"/>
    <w:rsid w:val="0033394A"/>
    <w:rsid w:val="00333BBF"/>
    <w:rsid w:val="00333FBB"/>
    <w:rsid w:val="00334271"/>
    <w:rsid w:val="00334789"/>
    <w:rsid w:val="00334BDC"/>
    <w:rsid w:val="00334C48"/>
    <w:rsid w:val="00334E8C"/>
    <w:rsid w:val="003350CE"/>
    <w:rsid w:val="003352FF"/>
    <w:rsid w:val="003353F0"/>
    <w:rsid w:val="003358A0"/>
    <w:rsid w:val="00335A83"/>
    <w:rsid w:val="00335C18"/>
    <w:rsid w:val="00335D2C"/>
    <w:rsid w:val="00335D6A"/>
    <w:rsid w:val="00335F8F"/>
    <w:rsid w:val="00335FF8"/>
    <w:rsid w:val="0033602E"/>
    <w:rsid w:val="00336064"/>
    <w:rsid w:val="003361F5"/>
    <w:rsid w:val="00336206"/>
    <w:rsid w:val="003363AF"/>
    <w:rsid w:val="003365A6"/>
    <w:rsid w:val="0033676A"/>
    <w:rsid w:val="003367E5"/>
    <w:rsid w:val="00336816"/>
    <w:rsid w:val="003369E9"/>
    <w:rsid w:val="00336DF1"/>
    <w:rsid w:val="00336F9B"/>
    <w:rsid w:val="003371B5"/>
    <w:rsid w:val="003373CF"/>
    <w:rsid w:val="0033753D"/>
    <w:rsid w:val="003376E2"/>
    <w:rsid w:val="00337BAF"/>
    <w:rsid w:val="00337D5B"/>
    <w:rsid w:val="003402FA"/>
    <w:rsid w:val="00340341"/>
    <w:rsid w:val="00340523"/>
    <w:rsid w:val="00340A01"/>
    <w:rsid w:val="00340A3C"/>
    <w:rsid w:val="00340C70"/>
    <w:rsid w:val="00340CBC"/>
    <w:rsid w:val="00341122"/>
    <w:rsid w:val="00341516"/>
    <w:rsid w:val="003416D2"/>
    <w:rsid w:val="003417CB"/>
    <w:rsid w:val="0034195A"/>
    <w:rsid w:val="003419C9"/>
    <w:rsid w:val="003419CC"/>
    <w:rsid w:val="00341C60"/>
    <w:rsid w:val="00341E17"/>
    <w:rsid w:val="003420C9"/>
    <w:rsid w:val="00342391"/>
    <w:rsid w:val="00342460"/>
    <w:rsid w:val="00342539"/>
    <w:rsid w:val="00342556"/>
    <w:rsid w:val="00342EA5"/>
    <w:rsid w:val="0034337A"/>
    <w:rsid w:val="003435A9"/>
    <w:rsid w:val="00343970"/>
    <w:rsid w:val="00343BBA"/>
    <w:rsid w:val="00343C6C"/>
    <w:rsid w:val="00343D4E"/>
    <w:rsid w:val="00344354"/>
    <w:rsid w:val="0034453C"/>
    <w:rsid w:val="00344649"/>
    <w:rsid w:val="00344ACA"/>
    <w:rsid w:val="00344AEA"/>
    <w:rsid w:val="00344E44"/>
    <w:rsid w:val="00345185"/>
    <w:rsid w:val="003451FD"/>
    <w:rsid w:val="0034528F"/>
    <w:rsid w:val="00345496"/>
    <w:rsid w:val="00345BCF"/>
    <w:rsid w:val="00345BFA"/>
    <w:rsid w:val="00345E4E"/>
    <w:rsid w:val="00345FE0"/>
    <w:rsid w:val="003461E0"/>
    <w:rsid w:val="00346428"/>
    <w:rsid w:val="003464E2"/>
    <w:rsid w:val="0034653A"/>
    <w:rsid w:val="003466F9"/>
    <w:rsid w:val="00346ABA"/>
    <w:rsid w:val="00346B3F"/>
    <w:rsid w:val="00346D06"/>
    <w:rsid w:val="00346D86"/>
    <w:rsid w:val="00346ECD"/>
    <w:rsid w:val="00346F50"/>
    <w:rsid w:val="00347051"/>
    <w:rsid w:val="00347098"/>
    <w:rsid w:val="0034712A"/>
    <w:rsid w:val="0034722E"/>
    <w:rsid w:val="00347371"/>
    <w:rsid w:val="0034753E"/>
    <w:rsid w:val="0034793E"/>
    <w:rsid w:val="00347A33"/>
    <w:rsid w:val="00350092"/>
    <w:rsid w:val="00350097"/>
    <w:rsid w:val="00350149"/>
    <w:rsid w:val="003502E6"/>
    <w:rsid w:val="003502F7"/>
    <w:rsid w:val="00350389"/>
    <w:rsid w:val="003503F6"/>
    <w:rsid w:val="0035050B"/>
    <w:rsid w:val="003505BB"/>
    <w:rsid w:val="003505F7"/>
    <w:rsid w:val="003509EB"/>
    <w:rsid w:val="00350AAE"/>
    <w:rsid w:val="00350BF0"/>
    <w:rsid w:val="0035104F"/>
    <w:rsid w:val="003510C7"/>
    <w:rsid w:val="00351268"/>
    <w:rsid w:val="003516B4"/>
    <w:rsid w:val="003516B6"/>
    <w:rsid w:val="0035175F"/>
    <w:rsid w:val="003519AD"/>
    <w:rsid w:val="003519D8"/>
    <w:rsid w:val="00351A63"/>
    <w:rsid w:val="00351DB3"/>
    <w:rsid w:val="00351E0E"/>
    <w:rsid w:val="00351E13"/>
    <w:rsid w:val="003520AF"/>
    <w:rsid w:val="00352141"/>
    <w:rsid w:val="003521D0"/>
    <w:rsid w:val="003523BA"/>
    <w:rsid w:val="003526F4"/>
    <w:rsid w:val="00352725"/>
    <w:rsid w:val="00352848"/>
    <w:rsid w:val="00352CB5"/>
    <w:rsid w:val="00353045"/>
    <w:rsid w:val="00353098"/>
    <w:rsid w:val="00353172"/>
    <w:rsid w:val="003531B2"/>
    <w:rsid w:val="003532E9"/>
    <w:rsid w:val="003532F3"/>
    <w:rsid w:val="00353355"/>
    <w:rsid w:val="003533B9"/>
    <w:rsid w:val="00353883"/>
    <w:rsid w:val="00353927"/>
    <w:rsid w:val="00353B76"/>
    <w:rsid w:val="00353CDC"/>
    <w:rsid w:val="00353D33"/>
    <w:rsid w:val="00353ECA"/>
    <w:rsid w:val="00353EE6"/>
    <w:rsid w:val="00353F25"/>
    <w:rsid w:val="003544E9"/>
    <w:rsid w:val="00354655"/>
    <w:rsid w:val="003549DF"/>
    <w:rsid w:val="00354B48"/>
    <w:rsid w:val="00354C5A"/>
    <w:rsid w:val="00354EB4"/>
    <w:rsid w:val="003551C3"/>
    <w:rsid w:val="00355409"/>
    <w:rsid w:val="0035560A"/>
    <w:rsid w:val="00355B77"/>
    <w:rsid w:val="00355BB2"/>
    <w:rsid w:val="00355D91"/>
    <w:rsid w:val="00355EF1"/>
    <w:rsid w:val="0035613C"/>
    <w:rsid w:val="003562B5"/>
    <w:rsid w:val="00356544"/>
    <w:rsid w:val="00356947"/>
    <w:rsid w:val="003569AD"/>
    <w:rsid w:val="00356AAB"/>
    <w:rsid w:val="00356ADE"/>
    <w:rsid w:val="00356CEE"/>
    <w:rsid w:val="00356D1F"/>
    <w:rsid w:val="00356D29"/>
    <w:rsid w:val="00356D7D"/>
    <w:rsid w:val="00357004"/>
    <w:rsid w:val="00357179"/>
    <w:rsid w:val="003571C2"/>
    <w:rsid w:val="003571E4"/>
    <w:rsid w:val="00357336"/>
    <w:rsid w:val="003574AC"/>
    <w:rsid w:val="00357843"/>
    <w:rsid w:val="00357F32"/>
    <w:rsid w:val="003600BE"/>
    <w:rsid w:val="003600C3"/>
    <w:rsid w:val="00360164"/>
    <w:rsid w:val="00360175"/>
    <w:rsid w:val="00360366"/>
    <w:rsid w:val="00360437"/>
    <w:rsid w:val="0036059E"/>
    <w:rsid w:val="0036061B"/>
    <w:rsid w:val="003607C7"/>
    <w:rsid w:val="0036083C"/>
    <w:rsid w:val="00360D44"/>
    <w:rsid w:val="0036157B"/>
    <w:rsid w:val="003615C0"/>
    <w:rsid w:val="003615E6"/>
    <w:rsid w:val="00361885"/>
    <w:rsid w:val="00361FBC"/>
    <w:rsid w:val="0036226D"/>
    <w:rsid w:val="003623BD"/>
    <w:rsid w:val="003629AC"/>
    <w:rsid w:val="00362BD3"/>
    <w:rsid w:val="00362D70"/>
    <w:rsid w:val="00362E15"/>
    <w:rsid w:val="00363031"/>
    <w:rsid w:val="00363166"/>
    <w:rsid w:val="00363705"/>
    <w:rsid w:val="00363775"/>
    <w:rsid w:val="00363F75"/>
    <w:rsid w:val="003640A7"/>
    <w:rsid w:val="0036445A"/>
    <w:rsid w:val="0036457C"/>
    <w:rsid w:val="00364841"/>
    <w:rsid w:val="00364BE6"/>
    <w:rsid w:val="00364F77"/>
    <w:rsid w:val="00365447"/>
    <w:rsid w:val="0036552F"/>
    <w:rsid w:val="003659EB"/>
    <w:rsid w:val="00365C85"/>
    <w:rsid w:val="00366441"/>
    <w:rsid w:val="0036667E"/>
    <w:rsid w:val="003669A2"/>
    <w:rsid w:val="00366A5A"/>
    <w:rsid w:val="00366BD9"/>
    <w:rsid w:val="00366CF2"/>
    <w:rsid w:val="00367003"/>
    <w:rsid w:val="003671B5"/>
    <w:rsid w:val="00367258"/>
    <w:rsid w:val="0036794E"/>
    <w:rsid w:val="00367A15"/>
    <w:rsid w:val="00367B5D"/>
    <w:rsid w:val="00367DCA"/>
    <w:rsid w:val="00367E3F"/>
    <w:rsid w:val="00370060"/>
    <w:rsid w:val="003701EB"/>
    <w:rsid w:val="003707B5"/>
    <w:rsid w:val="00370B17"/>
    <w:rsid w:val="00370D0E"/>
    <w:rsid w:val="00370ECF"/>
    <w:rsid w:val="00371032"/>
    <w:rsid w:val="0037115D"/>
    <w:rsid w:val="0037117D"/>
    <w:rsid w:val="00371480"/>
    <w:rsid w:val="00371839"/>
    <w:rsid w:val="00372083"/>
    <w:rsid w:val="00372182"/>
    <w:rsid w:val="0037227B"/>
    <w:rsid w:val="003722F0"/>
    <w:rsid w:val="003723CC"/>
    <w:rsid w:val="00372523"/>
    <w:rsid w:val="0037294E"/>
    <w:rsid w:val="00372BB2"/>
    <w:rsid w:val="00373B8B"/>
    <w:rsid w:val="00373C09"/>
    <w:rsid w:val="00373CDF"/>
    <w:rsid w:val="00373CE6"/>
    <w:rsid w:val="00373CF3"/>
    <w:rsid w:val="00373EEB"/>
    <w:rsid w:val="003740DC"/>
    <w:rsid w:val="00374224"/>
    <w:rsid w:val="003745D2"/>
    <w:rsid w:val="003745FD"/>
    <w:rsid w:val="003746C7"/>
    <w:rsid w:val="00374AEC"/>
    <w:rsid w:val="00374B93"/>
    <w:rsid w:val="00375028"/>
    <w:rsid w:val="00375110"/>
    <w:rsid w:val="00375295"/>
    <w:rsid w:val="003752D0"/>
    <w:rsid w:val="003753EB"/>
    <w:rsid w:val="003756D1"/>
    <w:rsid w:val="003757CA"/>
    <w:rsid w:val="003757D4"/>
    <w:rsid w:val="00375947"/>
    <w:rsid w:val="003759A8"/>
    <w:rsid w:val="00375C06"/>
    <w:rsid w:val="00375DA5"/>
    <w:rsid w:val="00375FCA"/>
    <w:rsid w:val="00376190"/>
    <w:rsid w:val="0037676A"/>
    <w:rsid w:val="003767FE"/>
    <w:rsid w:val="003768F0"/>
    <w:rsid w:val="0037690C"/>
    <w:rsid w:val="00376D72"/>
    <w:rsid w:val="00377126"/>
    <w:rsid w:val="00377302"/>
    <w:rsid w:val="0037734F"/>
    <w:rsid w:val="00377575"/>
    <w:rsid w:val="003779E7"/>
    <w:rsid w:val="00377C4F"/>
    <w:rsid w:val="00377DAB"/>
    <w:rsid w:val="00377E15"/>
    <w:rsid w:val="00380027"/>
    <w:rsid w:val="00380219"/>
    <w:rsid w:val="0038026F"/>
    <w:rsid w:val="003802E7"/>
    <w:rsid w:val="00380685"/>
    <w:rsid w:val="003806D9"/>
    <w:rsid w:val="003807EF"/>
    <w:rsid w:val="00380889"/>
    <w:rsid w:val="003808E8"/>
    <w:rsid w:val="00380D17"/>
    <w:rsid w:val="00381067"/>
    <w:rsid w:val="0038146C"/>
    <w:rsid w:val="003816F4"/>
    <w:rsid w:val="00381B2D"/>
    <w:rsid w:val="00381BA7"/>
    <w:rsid w:val="00381D04"/>
    <w:rsid w:val="00381D45"/>
    <w:rsid w:val="0038218F"/>
    <w:rsid w:val="003822B5"/>
    <w:rsid w:val="003822DE"/>
    <w:rsid w:val="003823E1"/>
    <w:rsid w:val="0038252D"/>
    <w:rsid w:val="00382536"/>
    <w:rsid w:val="003825FC"/>
    <w:rsid w:val="00382609"/>
    <w:rsid w:val="003828E6"/>
    <w:rsid w:val="00382A69"/>
    <w:rsid w:val="00382D6D"/>
    <w:rsid w:val="00382EA1"/>
    <w:rsid w:val="0038331E"/>
    <w:rsid w:val="003833C0"/>
    <w:rsid w:val="00383544"/>
    <w:rsid w:val="003837F2"/>
    <w:rsid w:val="00383A5C"/>
    <w:rsid w:val="00383BEF"/>
    <w:rsid w:val="00383C5D"/>
    <w:rsid w:val="00383D7C"/>
    <w:rsid w:val="00383FEA"/>
    <w:rsid w:val="00384053"/>
    <w:rsid w:val="0038424D"/>
    <w:rsid w:val="0038436B"/>
    <w:rsid w:val="00384480"/>
    <w:rsid w:val="003844A2"/>
    <w:rsid w:val="003849B1"/>
    <w:rsid w:val="00384AD7"/>
    <w:rsid w:val="00384C62"/>
    <w:rsid w:val="00384DDD"/>
    <w:rsid w:val="00384FB1"/>
    <w:rsid w:val="003850D1"/>
    <w:rsid w:val="0038529D"/>
    <w:rsid w:val="003855E3"/>
    <w:rsid w:val="00385616"/>
    <w:rsid w:val="00385C34"/>
    <w:rsid w:val="00385D29"/>
    <w:rsid w:val="00386124"/>
    <w:rsid w:val="003861E4"/>
    <w:rsid w:val="003861E5"/>
    <w:rsid w:val="003862A7"/>
    <w:rsid w:val="00386369"/>
    <w:rsid w:val="003863BF"/>
    <w:rsid w:val="003864D5"/>
    <w:rsid w:val="00386846"/>
    <w:rsid w:val="00386BC8"/>
    <w:rsid w:val="00386E54"/>
    <w:rsid w:val="00386F5A"/>
    <w:rsid w:val="003870D2"/>
    <w:rsid w:val="0038736A"/>
    <w:rsid w:val="00387650"/>
    <w:rsid w:val="003876F5"/>
    <w:rsid w:val="00387722"/>
    <w:rsid w:val="0038773A"/>
    <w:rsid w:val="00387800"/>
    <w:rsid w:val="00387808"/>
    <w:rsid w:val="00387961"/>
    <w:rsid w:val="00387992"/>
    <w:rsid w:val="00387A94"/>
    <w:rsid w:val="00387D5F"/>
    <w:rsid w:val="00387ED5"/>
    <w:rsid w:val="00390090"/>
    <w:rsid w:val="003902DA"/>
    <w:rsid w:val="0039035C"/>
    <w:rsid w:val="00390436"/>
    <w:rsid w:val="0039052A"/>
    <w:rsid w:val="00390567"/>
    <w:rsid w:val="0039056E"/>
    <w:rsid w:val="0039068A"/>
    <w:rsid w:val="00390997"/>
    <w:rsid w:val="00390A7F"/>
    <w:rsid w:val="00390B86"/>
    <w:rsid w:val="00390D02"/>
    <w:rsid w:val="00390EBB"/>
    <w:rsid w:val="0039127E"/>
    <w:rsid w:val="00391440"/>
    <w:rsid w:val="0039166C"/>
    <w:rsid w:val="00391748"/>
    <w:rsid w:val="003917EB"/>
    <w:rsid w:val="0039180A"/>
    <w:rsid w:val="00391A74"/>
    <w:rsid w:val="00391D4F"/>
    <w:rsid w:val="00392065"/>
    <w:rsid w:val="00392443"/>
    <w:rsid w:val="003926F4"/>
    <w:rsid w:val="003928E6"/>
    <w:rsid w:val="00392D43"/>
    <w:rsid w:val="00392DB7"/>
    <w:rsid w:val="00392DC8"/>
    <w:rsid w:val="00392EE9"/>
    <w:rsid w:val="00393215"/>
    <w:rsid w:val="00393254"/>
    <w:rsid w:val="003937E3"/>
    <w:rsid w:val="00393B6D"/>
    <w:rsid w:val="0039433A"/>
    <w:rsid w:val="00394359"/>
    <w:rsid w:val="003943B8"/>
    <w:rsid w:val="00394CEB"/>
    <w:rsid w:val="00394DB4"/>
    <w:rsid w:val="003951B8"/>
    <w:rsid w:val="003952C7"/>
    <w:rsid w:val="003952ED"/>
    <w:rsid w:val="0039539D"/>
    <w:rsid w:val="0039542C"/>
    <w:rsid w:val="00395754"/>
    <w:rsid w:val="00395880"/>
    <w:rsid w:val="0039590C"/>
    <w:rsid w:val="00395EF8"/>
    <w:rsid w:val="003961C3"/>
    <w:rsid w:val="0039624D"/>
    <w:rsid w:val="00396362"/>
    <w:rsid w:val="0039649C"/>
    <w:rsid w:val="003965BC"/>
    <w:rsid w:val="003966F6"/>
    <w:rsid w:val="0039677D"/>
    <w:rsid w:val="0039705D"/>
    <w:rsid w:val="0039742D"/>
    <w:rsid w:val="00397936"/>
    <w:rsid w:val="00397AB9"/>
    <w:rsid w:val="00397B5E"/>
    <w:rsid w:val="00397D78"/>
    <w:rsid w:val="00397F4E"/>
    <w:rsid w:val="003A0660"/>
    <w:rsid w:val="003A068A"/>
    <w:rsid w:val="003A06C1"/>
    <w:rsid w:val="003A0D52"/>
    <w:rsid w:val="003A0DC7"/>
    <w:rsid w:val="003A1225"/>
    <w:rsid w:val="003A12F3"/>
    <w:rsid w:val="003A14A3"/>
    <w:rsid w:val="003A16FB"/>
    <w:rsid w:val="003A1842"/>
    <w:rsid w:val="003A1B25"/>
    <w:rsid w:val="003A1C06"/>
    <w:rsid w:val="003A1F2E"/>
    <w:rsid w:val="003A2303"/>
    <w:rsid w:val="003A257E"/>
    <w:rsid w:val="003A2B64"/>
    <w:rsid w:val="003A2BF8"/>
    <w:rsid w:val="003A2BF9"/>
    <w:rsid w:val="003A2D16"/>
    <w:rsid w:val="003A2ED1"/>
    <w:rsid w:val="003A3052"/>
    <w:rsid w:val="003A3243"/>
    <w:rsid w:val="003A342A"/>
    <w:rsid w:val="003A34E6"/>
    <w:rsid w:val="003A3506"/>
    <w:rsid w:val="003A3740"/>
    <w:rsid w:val="003A3783"/>
    <w:rsid w:val="003A39C9"/>
    <w:rsid w:val="003A39D7"/>
    <w:rsid w:val="003A3A8B"/>
    <w:rsid w:val="003A3B8D"/>
    <w:rsid w:val="003A3D22"/>
    <w:rsid w:val="003A3D25"/>
    <w:rsid w:val="003A3D48"/>
    <w:rsid w:val="003A3E0B"/>
    <w:rsid w:val="003A43DD"/>
    <w:rsid w:val="003A4C18"/>
    <w:rsid w:val="003A4C47"/>
    <w:rsid w:val="003A4D92"/>
    <w:rsid w:val="003A4EC7"/>
    <w:rsid w:val="003A525C"/>
    <w:rsid w:val="003A55F8"/>
    <w:rsid w:val="003A571D"/>
    <w:rsid w:val="003A5834"/>
    <w:rsid w:val="003A587E"/>
    <w:rsid w:val="003A5997"/>
    <w:rsid w:val="003A5C1B"/>
    <w:rsid w:val="003A5CC2"/>
    <w:rsid w:val="003A5CDA"/>
    <w:rsid w:val="003A5DB3"/>
    <w:rsid w:val="003A5F4D"/>
    <w:rsid w:val="003A5FBE"/>
    <w:rsid w:val="003A6070"/>
    <w:rsid w:val="003A6260"/>
    <w:rsid w:val="003A6275"/>
    <w:rsid w:val="003A6724"/>
    <w:rsid w:val="003A684B"/>
    <w:rsid w:val="003A6A1E"/>
    <w:rsid w:val="003A6A4C"/>
    <w:rsid w:val="003A6BFC"/>
    <w:rsid w:val="003A6E1A"/>
    <w:rsid w:val="003A7182"/>
    <w:rsid w:val="003A720D"/>
    <w:rsid w:val="003A744F"/>
    <w:rsid w:val="003A74C7"/>
    <w:rsid w:val="003A7996"/>
    <w:rsid w:val="003B00FA"/>
    <w:rsid w:val="003B081D"/>
    <w:rsid w:val="003B0949"/>
    <w:rsid w:val="003B0BA1"/>
    <w:rsid w:val="003B0CC6"/>
    <w:rsid w:val="003B0D9E"/>
    <w:rsid w:val="003B10B1"/>
    <w:rsid w:val="003B1997"/>
    <w:rsid w:val="003B1AB4"/>
    <w:rsid w:val="003B1DCA"/>
    <w:rsid w:val="003B1DED"/>
    <w:rsid w:val="003B25B8"/>
    <w:rsid w:val="003B279D"/>
    <w:rsid w:val="003B27D8"/>
    <w:rsid w:val="003B2876"/>
    <w:rsid w:val="003B2E62"/>
    <w:rsid w:val="003B2ED5"/>
    <w:rsid w:val="003B2FC0"/>
    <w:rsid w:val="003B2FE1"/>
    <w:rsid w:val="003B3050"/>
    <w:rsid w:val="003B3122"/>
    <w:rsid w:val="003B33D6"/>
    <w:rsid w:val="003B355D"/>
    <w:rsid w:val="003B3595"/>
    <w:rsid w:val="003B39E6"/>
    <w:rsid w:val="003B3F2B"/>
    <w:rsid w:val="003B4599"/>
    <w:rsid w:val="003B45E3"/>
    <w:rsid w:val="003B49C5"/>
    <w:rsid w:val="003B4BFC"/>
    <w:rsid w:val="003B4D5C"/>
    <w:rsid w:val="003B4D61"/>
    <w:rsid w:val="003B4E19"/>
    <w:rsid w:val="003B5500"/>
    <w:rsid w:val="003B55C5"/>
    <w:rsid w:val="003B561F"/>
    <w:rsid w:val="003B5667"/>
    <w:rsid w:val="003B57C1"/>
    <w:rsid w:val="003B59D8"/>
    <w:rsid w:val="003B5ACF"/>
    <w:rsid w:val="003B5F9D"/>
    <w:rsid w:val="003B61B7"/>
    <w:rsid w:val="003B634D"/>
    <w:rsid w:val="003B64ED"/>
    <w:rsid w:val="003B69E7"/>
    <w:rsid w:val="003B7222"/>
    <w:rsid w:val="003B7922"/>
    <w:rsid w:val="003B7AF5"/>
    <w:rsid w:val="003B7C73"/>
    <w:rsid w:val="003B7FD9"/>
    <w:rsid w:val="003C0385"/>
    <w:rsid w:val="003C16A5"/>
    <w:rsid w:val="003C16FE"/>
    <w:rsid w:val="003C1AE2"/>
    <w:rsid w:val="003C1CEF"/>
    <w:rsid w:val="003C1EB8"/>
    <w:rsid w:val="003C2104"/>
    <w:rsid w:val="003C214F"/>
    <w:rsid w:val="003C2865"/>
    <w:rsid w:val="003C2BB5"/>
    <w:rsid w:val="003C2C61"/>
    <w:rsid w:val="003C3216"/>
    <w:rsid w:val="003C331C"/>
    <w:rsid w:val="003C36DC"/>
    <w:rsid w:val="003C379C"/>
    <w:rsid w:val="003C39A7"/>
    <w:rsid w:val="003C3ABE"/>
    <w:rsid w:val="003C3B63"/>
    <w:rsid w:val="003C3D4A"/>
    <w:rsid w:val="003C3FC2"/>
    <w:rsid w:val="003C40B1"/>
    <w:rsid w:val="003C414E"/>
    <w:rsid w:val="003C4229"/>
    <w:rsid w:val="003C4263"/>
    <w:rsid w:val="003C454F"/>
    <w:rsid w:val="003C4693"/>
    <w:rsid w:val="003C4759"/>
    <w:rsid w:val="003C47E3"/>
    <w:rsid w:val="003C4B74"/>
    <w:rsid w:val="003C4BC6"/>
    <w:rsid w:val="003C4BCD"/>
    <w:rsid w:val="003C4C16"/>
    <w:rsid w:val="003C4C21"/>
    <w:rsid w:val="003C4F8F"/>
    <w:rsid w:val="003C510C"/>
    <w:rsid w:val="003C537C"/>
    <w:rsid w:val="003C5521"/>
    <w:rsid w:val="003C55E2"/>
    <w:rsid w:val="003C56E4"/>
    <w:rsid w:val="003C5850"/>
    <w:rsid w:val="003C5999"/>
    <w:rsid w:val="003C5C4C"/>
    <w:rsid w:val="003C5CDD"/>
    <w:rsid w:val="003C5D3D"/>
    <w:rsid w:val="003C5D77"/>
    <w:rsid w:val="003C62A7"/>
    <w:rsid w:val="003C6400"/>
    <w:rsid w:val="003C675E"/>
    <w:rsid w:val="003C6B59"/>
    <w:rsid w:val="003C6EA8"/>
    <w:rsid w:val="003C742F"/>
    <w:rsid w:val="003C7813"/>
    <w:rsid w:val="003C7B79"/>
    <w:rsid w:val="003C7C2A"/>
    <w:rsid w:val="003D007A"/>
    <w:rsid w:val="003D02E4"/>
    <w:rsid w:val="003D0931"/>
    <w:rsid w:val="003D0943"/>
    <w:rsid w:val="003D099D"/>
    <w:rsid w:val="003D0B95"/>
    <w:rsid w:val="003D0CEE"/>
    <w:rsid w:val="003D1279"/>
    <w:rsid w:val="003D142C"/>
    <w:rsid w:val="003D1653"/>
    <w:rsid w:val="003D18D2"/>
    <w:rsid w:val="003D19DE"/>
    <w:rsid w:val="003D1A62"/>
    <w:rsid w:val="003D1F0B"/>
    <w:rsid w:val="003D253D"/>
    <w:rsid w:val="003D25AB"/>
    <w:rsid w:val="003D2704"/>
    <w:rsid w:val="003D275D"/>
    <w:rsid w:val="003D299E"/>
    <w:rsid w:val="003D2D7A"/>
    <w:rsid w:val="003D2EEF"/>
    <w:rsid w:val="003D3149"/>
    <w:rsid w:val="003D315C"/>
    <w:rsid w:val="003D3279"/>
    <w:rsid w:val="003D3847"/>
    <w:rsid w:val="003D3A37"/>
    <w:rsid w:val="003D3A5C"/>
    <w:rsid w:val="003D3E61"/>
    <w:rsid w:val="003D3E6B"/>
    <w:rsid w:val="003D3EFC"/>
    <w:rsid w:val="003D3F53"/>
    <w:rsid w:val="003D4122"/>
    <w:rsid w:val="003D45EC"/>
    <w:rsid w:val="003D4A18"/>
    <w:rsid w:val="003D4A77"/>
    <w:rsid w:val="003D4B68"/>
    <w:rsid w:val="003D4FB9"/>
    <w:rsid w:val="003D50C0"/>
    <w:rsid w:val="003D55E1"/>
    <w:rsid w:val="003D599D"/>
    <w:rsid w:val="003D5BDD"/>
    <w:rsid w:val="003D5BFC"/>
    <w:rsid w:val="003D5E94"/>
    <w:rsid w:val="003D5F06"/>
    <w:rsid w:val="003D5FEB"/>
    <w:rsid w:val="003D60FE"/>
    <w:rsid w:val="003D625C"/>
    <w:rsid w:val="003D6286"/>
    <w:rsid w:val="003D632D"/>
    <w:rsid w:val="003D641A"/>
    <w:rsid w:val="003D6524"/>
    <w:rsid w:val="003D66BF"/>
    <w:rsid w:val="003D67E8"/>
    <w:rsid w:val="003D6A25"/>
    <w:rsid w:val="003D6A47"/>
    <w:rsid w:val="003D6CA8"/>
    <w:rsid w:val="003D71EB"/>
    <w:rsid w:val="003D72FA"/>
    <w:rsid w:val="003D7488"/>
    <w:rsid w:val="003D75A2"/>
    <w:rsid w:val="003D781B"/>
    <w:rsid w:val="003D7C0F"/>
    <w:rsid w:val="003D7D23"/>
    <w:rsid w:val="003E0395"/>
    <w:rsid w:val="003E0425"/>
    <w:rsid w:val="003E0727"/>
    <w:rsid w:val="003E0ACE"/>
    <w:rsid w:val="003E0B06"/>
    <w:rsid w:val="003E10F5"/>
    <w:rsid w:val="003E1431"/>
    <w:rsid w:val="003E1456"/>
    <w:rsid w:val="003E195F"/>
    <w:rsid w:val="003E1C19"/>
    <w:rsid w:val="003E1D75"/>
    <w:rsid w:val="003E22CB"/>
    <w:rsid w:val="003E22E8"/>
    <w:rsid w:val="003E2343"/>
    <w:rsid w:val="003E2412"/>
    <w:rsid w:val="003E26FB"/>
    <w:rsid w:val="003E2CA5"/>
    <w:rsid w:val="003E2F65"/>
    <w:rsid w:val="003E306D"/>
    <w:rsid w:val="003E3243"/>
    <w:rsid w:val="003E325B"/>
    <w:rsid w:val="003E334B"/>
    <w:rsid w:val="003E3946"/>
    <w:rsid w:val="003E3ACA"/>
    <w:rsid w:val="003E3B2E"/>
    <w:rsid w:val="003E3B90"/>
    <w:rsid w:val="003E3CA1"/>
    <w:rsid w:val="003E3E06"/>
    <w:rsid w:val="003E3F06"/>
    <w:rsid w:val="003E406B"/>
    <w:rsid w:val="003E40E9"/>
    <w:rsid w:val="003E42FB"/>
    <w:rsid w:val="003E4477"/>
    <w:rsid w:val="003E479C"/>
    <w:rsid w:val="003E4F8F"/>
    <w:rsid w:val="003E4F96"/>
    <w:rsid w:val="003E500F"/>
    <w:rsid w:val="003E50DE"/>
    <w:rsid w:val="003E510F"/>
    <w:rsid w:val="003E517C"/>
    <w:rsid w:val="003E56C2"/>
    <w:rsid w:val="003E587C"/>
    <w:rsid w:val="003E5AC2"/>
    <w:rsid w:val="003E5CCA"/>
    <w:rsid w:val="003E5EE5"/>
    <w:rsid w:val="003E6FD1"/>
    <w:rsid w:val="003E733E"/>
    <w:rsid w:val="003E7412"/>
    <w:rsid w:val="003E758C"/>
    <w:rsid w:val="003E7773"/>
    <w:rsid w:val="003E7868"/>
    <w:rsid w:val="003E79FC"/>
    <w:rsid w:val="003E7A51"/>
    <w:rsid w:val="003E7B8F"/>
    <w:rsid w:val="003E7C04"/>
    <w:rsid w:val="003E7C8C"/>
    <w:rsid w:val="003E7E3B"/>
    <w:rsid w:val="003F021C"/>
    <w:rsid w:val="003F0385"/>
    <w:rsid w:val="003F03DA"/>
    <w:rsid w:val="003F04A6"/>
    <w:rsid w:val="003F052A"/>
    <w:rsid w:val="003F0B74"/>
    <w:rsid w:val="003F0D61"/>
    <w:rsid w:val="003F115E"/>
    <w:rsid w:val="003F1208"/>
    <w:rsid w:val="003F1466"/>
    <w:rsid w:val="003F14C2"/>
    <w:rsid w:val="003F1519"/>
    <w:rsid w:val="003F1660"/>
    <w:rsid w:val="003F19E7"/>
    <w:rsid w:val="003F1ABF"/>
    <w:rsid w:val="003F1AF5"/>
    <w:rsid w:val="003F1D33"/>
    <w:rsid w:val="003F208D"/>
    <w:rsid w:val="003F20D1"/>
    <w:rsid w:val="003F2210"/>
    <w:rsid w:val="003F230D"/>
    <w:rsid w:val="003F26BF"/>
    <w:rsid w:val="003F2774"/>
    <w:rsid w:val="003F2798"/>
    <w:rsid w:val="003F2ABA"/>
    <w:rsid w:val="003F2B04"/>
    <w:rsid w:val="003F2B1C"/>
    <w:rsid w:val="003F2B5A"/>
    <w:rsid w:val="003F3073"/>
    <w:rsid w:val="003F3140"/>
    <w:rsid w:val="003F3553"/>
    <w:rsid w:val="003F35B4"/>
    <w:rsid w:val="003F3884"/>
    <w:rsid w:val="003F390F"/>
    <w:rsid w:val="003F3BC0"/>
    <w:rsid w:val="003F3C8D"/>
    <w:rsid w:val="003F4631"/>
    <w:rsid w:val="003F46E4"/>
    <w:rsid w:val="003F470C"/>
    <w:rsid w:val="003F4B3D"/>
    <w:rsid w:val="003F4E2D"/>
    <w:rsid w:val="003F4E62"/>
    <w:rsid w:val="003F5137"/>
    <w:rsid w:val="003F535C"/>
    <w:rsid w:val="003F53BF"/>
    <w:rsid w:val="003F58A5"/>
    <w:rsid w:val="003F596B"/>
    <w:rsid w:val="003F5993"/>
    <w:rsid w:val="003F5CB9"/>
    <w:rsid w:val="003F5D42"/>
    <w:rsid w:val="003F5E91"/>
    <w:rsid w:val="003F5F60"/>
    <w:rsid w:val="003F608E"/>
    <w:rsid w:val="003F6F6B"/>
    <w:rsid w:val="003F7196"/>
    <w:rsid w:val="003F7248"/>
    <w:rsid w:val="003F7B28"/>
    <w:rsid w:val="003F7BFA"/>
    <w:rsid w:val="003F7C6D"/>
    <w:rsid w:val="003F7D76"/>
    <w:rsid w:val="003F7FDA"/>
    <w:rsid w:val="003F7FF6"/>
    <w:rsid w:val="00400375"/>
    <w:rsid w:val="004003D0"/>
    <w:rsid w:val="0040051A"/>
    <w:rsid w:val="004008AF"/>
    <w:rsid w:val="004009FB"/>
    <w:rsid w:val="00400B5F"/>
    <w:rsid w:val="00400BBA"/>
    <w:rsid w:val="00400F80"/>
    <w:rsid w:val="0040115F"/>
    <w:rsid w:val="004011AD"/>
    <w:rsid w:val="004011B4"/>
    <w:rsid w:val="004011B5"/>
    <w:rsid w:val="00401219"/>
    <w:rsid w:val="004012C4"/>
    <w:rsid w:val="00401329"/>
    <w:rsid w:val="00401450"/>
    <w:rsid w:val="0040194B"/>
    <w:rsid w:val="00401D02"/>
    <w:rsid w:val="00401DA8"/>
    <w:rsid w:val="00401DBF"/>
    <w:rsid w:val="00402038"/>
    <w:rsid w:val="00402662"/>
    <w:rsid w:val="0040270C"/>
    <w:rsid w:val="004027E3"/>
    <w:rsid w:val="00402BA2"/>
    <w:rsid w:val="00402CD7"/>
    <w:rsid w:val="004030BC"/>
    <w:rsid w:val="004030E6"/>
    <w:rsid w:val="00403135"/>
    <w:rsid w:val="0040323D"/>
    <w:rsid w:val="004033D9"/>
    <w:rsid w:val="0040368A"/>
    <w:rsid w:val="0040384E"/>
    <w:rsid w:val="004039DC"/>
    <w:rsid w:val="00403ABB"/>
    <w:rsid w:val="00403DA5"/>
    <w:rsid w:val="00404A60"/>
    <w:rsid w:val="00404A94"/>
    <w:rsid w:val="00404CB8"/>
    <w:rsid w:val="00404CF4"/>
    <w:rsid w:val="00404D1E"/>
    <w:rsid w:val="00405334"/>
    <w:rsid w:val="00405386"/>
    <w:rsid w:val="004053A6"/>
    <w:rsid w:val="004053E0"/>
    <w:rsid w:val="0040551F"/>
    <w:rsid w:val="004055E5"/>
    <w:rsid w:val="00405A20"/>
    <w:rsid w:val="00405B6D"/>
    <w:rsid w:val="00405EFF"/>
    <w:rsid w:val="00405F5D"/>
    <w:rsid w:val="004063CD"/>
    <w:rsid w:val="004064BC"/>
    <w:rsid w:val="004065CC"/>
    <w:rsid w:val="00407011"/>
    <w:rsid w:val="0040771F"/>
    <w:rsid w:val="004079E4"/>
    <w:rsid w:val="00407A70"/>
    <w:rsid w:val="00407DBE"/>
    <w:rsid w:val="00407DD7"/>
    <w:rsid w:val="00407FC4"/>
    <w:rsid w:val="00407FEC"/>
    <w:rsid w:val="004100CF"/>
    <w:rsid w:val="0041064D"/>
    <w:rsid w:val="0041073E"/>
    <w:rsid w:val="00410DDD"/>
    <w:rsid w:val="0041111B"/>
    <w:rsid w:val="00411167"/>
    <w:rsid w:val="004111F7"/>
    <w:rsid w:val="00411233"/>
    <w:rsid w:val="004113DD"/>
    <w:rsid w:val="004114A1"/>
    <w:rsid w:val="00411638"/>
    <w:rsid w:val="004116A8"/>
    <w:rsid w:val="004116D1"/>
    <w:rsid w:val="0041181A"/>
    <w:rsid w:val="00411A5F"/>
    <w:rsid w:val="0041217D"/>
    <w:rsid w:val="004121D2"/>
    <w:rsid w:val="0041222A"/>
    <w:rsid w:val="004125C6"/>
    <w:rsid w:val="004126BF"/>
    <w:rsid w:val="0041275F"/>
    <w:rsid w:val="00412879"/>
    <w:rsid w:val="0041296F"/>
    <w:rsid w:val="00412C2F"/>
    <w:rsid w:val="0041336F"/>
    <w:rsid w:val="004133BE"/>
    <w:rsid w:val="00413C59"/>
    <w:rsid w:val="00413D56"/>
    <w:rsid w:val="00413D5C"/>
    <w:rsid w:val="00413ED0"/>
    <w:rsid w:val="0041409D"/>
    <w:rsid w:val="004140F8"/>
    <w:rsid w:val="0041410F"/>
    <w:rsid w:val="00414153"/>
    <w:rsid w:val="004141AF"/>
    <w:rsid w:val="00414275"/>
    <w:rsid w:val="004147DF"/>
    <w:rsid w:val="004149B0"/>
    <w:rsid w:val="00414A1D"/>
    <w:rsid w:val="00414BA9"/>
    <w:rsid w:val="00414BC9"/>
    <w:rsid w:val="00414C4B"/>
    <w:rsid w:val="004150B5"/>
    <w:rsid w:val="00415235"/>
    <w:rsid w:val="00415536"/>
    <w:rsid w:val="00415FBD"/>
    <w:rsid w:val="00416281"/>
    <w:rsid w:val="0041637B"/>
    <w:rsid w:val="004167DE"/>
    <w:rsid w:val="00416C8B"/>
    <w:rsid w:val="00416D1C"/>
    <w:rsid w:val="00416EF9"/>
    <w:rsid w:val="0041722B"/>
    <w:rsid w:val="00417312"/>
    <w:rsid w:val="00417440"/>
    <w:rsid w:val="0041754B"/>
    <w:rsid w:val="004175F9"/>
    <w:rsid w:val="004177B0"/>
    <w:rsid w:val="00417B4E"/>
    <w:rsid w:val="00417C24"/>
    <w:rsid w:val="00417F83"/>
    <w:rsid w:val="00417FF6"/>
    <w:rsid w:val="004201D9"/>
    <w:rsid w:val="00420492"/>
    <w:rsid w:val="00420493"/>
    <w:rsid w:val="004205AD"/>
    <w:rsid w:val="004205B4"/>
    <w:rsid w:val="00420B41"/>
    <w:rsid w:val="00420E6E"/>
    <w:rsid w:val="0042145E"/>
    <w:rsid w:val="0042152F"/>
    <w:rsid w:val="00421608"/>
    <w:rsid w:val="0042165C"/>
    <w:rsid w:val="004217F6"/>
    <w:rsid w:val="0042189D"/>
    <w:rsid w:val="00421A89"/>
    <w:rsid w:val="00421E58"/>
    <w:rsid w:val="00421EBC"/>
    <w:rsid w:val="004225FB"/>
    <w:rsid w:val="00422638"/>
    <w:rsid w:val="0042273F"/>
    <w:rsid w:val="004228AC"/>
    <w:rsid w:val="00422E0B"/>
    <w:rsid w:val="00422FDC"/>
    <w:rsid w:val="0042304B"/>
    <w:rsid w:val="004230F6"/>
    <w:rsid w:val="004232E5"/>
    <w:rsid w:val="00423316"/>
    <w:rsid w:val="0042378F"/>
    <w:rsid w:val="004237EF"/>
    <w:rsid w:val="004238CC"/>
    <w:rsid w:val="0042399C"/>
    <w:rsid w:val="00423A3C"/>
    <w:rsid w:val="00423F56"/>
    <w:rsid w:val="00424084"/>
    <w:rsid w:val="00424108"/>
    <w:rsid w:val="00424357"/>
    <w:rsid w:val="004243F3"/>
    <w:rsid w:val="0042444B"/>
    <w:rsid w:val="00424554"/>
    <w:rsid w:val="0042471B"/>
    <w:rsid w:val="00424C83"/>
    <w:rsid w:val="004251A2"/>
    <w:rsid w:val="004251A4"/>
    <w:rsid w:val="00425216"/>
    <w:rsid w:val="00425440"/>
    <w:rsid w:val="00425472"/>
    <w:rsid w:val="00425601"/>
    <w:rsid w:val="00425635"/>
    <w:rsid w:val="00425ABF"/>
    <w:rsid w:val="00425AD5"/>
    <w:rsid w:val="00425D85"/>
    <w:rsid w:val="004266EA"/>
    <w:rsid w:val="00426FF6"/>
    <w:rsid w:val="00427123"/>
    <w:rsid w:val="004272CE"/>
    <w:rsid w:val="004273AD"/>
    <w:rsid w:val="004276AF"/>
    <w:rsid w:val="00427735"/>
    <w:rsid w:val="00427C28"/>
    <w:rsid w:val="00427C72"/>
    <w:rsid w:val="00427D06"/>
    <w:rsid w:val="00427D40"/>
    <w:rsid w:val="00427E08"/>
    <w:rsid w:val="0042AB99"/>
    <w:rsid w:val="00430167"/>
    <w:rsid w:val="004304C3"/>
    <w:rsid w:val="004304D2"/>
    <w:rsid w:val="00430579"/>
    <w:rsid w:val="004305AE"/>
    <w:rsid w:val="004306AA"/>
    <w:rsid w:val="00430702"/>
    <w:rsid w:val="00430710"/>
    <w:rsid w:val="00430BA8"/>
    <w:rsid w:val="00430C50"/>
    <w:rsid w:val="0043120C"/>
    <w:rsid w:val="0043124B"/>
    <w:rsid w:val="00431450"/>
    <w:rsid w:val="00431502"/>
    <w:rsid w:val="00431525"/>
    <w:rsid w:val="00431800"/>
    <w:rsid w:val="00431BBC"/>
    <w:rsid w:val="00431D17"/>
    <w:rsid w:val="004321CC"/>
    <w:rsid w:val="004326F9"/>
    <w:rsid w:val="00432839"/>
    <w:rsid w:val="0043283C"/>
    <w:rsid w:val="004328F5"/>
    <w:rsid w:val="00432DE8"/>
    <w:rsid w:val="0043313B"/>
    <w:rsid w:val="004331DB"/>
    <w:rsid w:val="004331F6"/>
    <w:rsid w:val="00433409"/>
    <w:rsid w:val="00433541"/>
    <w:rsid w:val="00433884"/>
    <w:rsid w:val="00433CBB"/>
    <w:rsid w:val="00433F73"/>
    <w:rsid w:val="004341E8"/>
    <w:rsid w:val="0043427A"/>
    <w:rsid w:val="004347EA"/>
    <w:rsid w:val="004348E1"/>
    <w:rsid w:val="00435011"/>
    <w:rsid w:val="004351AC"/>
    <w:rsid w:val="004356DE"/>
    <w:rsid w:val="00435C13"/>
    <w:rsid w:val="00435CE0"/>
    <w:rsid w:val="00435D6A"/>
    <w:rsid w:val="00435FC6"/>
    <w:rsid w:val="00436070"/>
    <w:rsid w:val="004361F8"/>
    <w:rsid w:val="00436235"/>
    <w:rsid w:val="00436514"/>
    <w:rsid w:val="0043688C"/>
    <w:rsid w:val="00436D29"/>
    <w:rsid w:val="00436F9D"/>
    <w:rsid w:val="0043722A"/>
    <w:rsid w:val="00437493"/>
    <w:rsid w:val="004376C5"/>
    <w:rsid w:val="00437744"/>
    <w:rsid w:val="0043776A"/>
    <w:rsid w:val="004377D5"/>
    <w:rsid w:val="0043782B"/>
    <w:rsid w:val="004378D6"/>
    <w:rsid w:val="00437E42"/>
    <w:rsid w:val="00437F2E"/>
    <w:rsid w:val="00440320"/>
    <w:rsid w:val="00440353"/>
    <w:rsid w:val="00440379"/>
    <w:rsid w:val="0044061F"/>
    <w:rsid w:val="00440BED"/>
    <w:rsid w:val="00440BF5"/>
    <w:rsid w:val="00440CCB"/>
    <w:rsid w:val="004410EF"/>
    <w:rsid w:val="0044134B"/>
    <w:rsid w:val="004413E5"/>
    <w:rsid w:val="00441493"/>
    <w:rsid w:val="004419A6"/>
    <w:rsid w:val="00441AF9"/>
    <w:rsid w:val="00441D41"/>
    <w:rsid w:val="00441F1B"/>
    <w:rsid w:val="004423F7"/>
    <w:rsid w:val="00442A49"/>
    <w:rsid w:val="00442EB0"/>
    <w:rsid w:val="00442FD0"/>
    <w:rsid w:val="004432EB"/>
    <w:rsid w:val="004435D3"/>
    <w:rsid w:val="0044369A"/>
    <w:rsid w:val="004437A5"/>
    <w:rsid w:val="00443AEB"/>
    <w:rsid w:val="00443F2D"/>
    <w:rsid w:val="00443F88"/>
    <w:rsid w:val="004440BB"/>
    <w:rsid w:val="004442B4"/>
    <w:rsid w:val="004442DC"/>
    <w:rsid w:val="00444368"/>
    <w:rsid w:val="00444471"/>
    <w:rsid w:val="00444649"/>
    <w:rsid w:val="0044496A"/>
    <w:rsid w:val="00444B3D"/>
    <w:rsid w:val="00444C50"/>
    <w:rsid w:val="004450E7"/>
    <w:rsid w:val="004451C1"/>
    <w:rsid w:val="004456EA"/>
    <w:rsid w:val="004459FB"/>
    <w:rsid w:val="00445AA2"/>
    <w:rsid w:val="00445B05"/>
    <w:rsid w:val="00445C06"/>
    <w:rsid w:val="00445D4F"/>
    <w:rsid w:val="00445EFC"/>
    <w:rsid w:val="00445F20"/>
    <w:rsid w:val="00445FC6"/>
    <w:rsid w:val="00446132"/>
    <w:rsid w:val="00446408"/>
    <w:rsid w:val="0044651A"/>
    <w:rsid w:val="004467CE"/>
    <w:rsid w:val="0044690B"/>
    <w:rsid w:val="00446BBE"/>
    <w:rsid w:val="00447009"/>
    <w:rsid w:val="00447126"/>
    <w:rsid w:val="004474FF"/>
    <w:rsid w:val="00447520"/>
    <w:rsid w:val="004475BA"/>
    <w:rsid w:val="004477F5"/>
    <w:rsid w:val="0044781D"/>
    <w:rsid w:val="0044782C"/>
    <w:rsid w:val="0044784B"/>
    <w:rsid w:val="00447894"/>
    <w:rsid w:val="004478E7"/>
    <w:rsid w:val="004479AD"/>
    <w:rsid w:val="00447A32"/>
    <w:rsid w:val="00447B80"/>
    <w:rsid w:val="00447CFC"/>
    <w:rsid w:val="00447EA6"/>
    <w:rsid w:val="00450068"/>
    <w:rsid w:val="004500D5"/>
    <w:rsid w:val="00450590"/>
    <w:rsid w:val="00450675"/>
    <w:rsid w:val="00450769"/>
    <w:rsid w:val="0045093D"/>
    <w:rsid w:val="0045098C"/>
    <w:rsid w:val="00450B60"/>
    <w:rsid w:val="00450CCC"/>
    <w:rsid w:val="00450D94"/>
    <w:rsid w:val="00450E54"/>
    <w:rsid w:val="00450E95"/>
    <w:rsid w:val="00450E9F"/>
    <w:rsid w:val="00451645"/>
    <w:rsid w:val="00451736"/>
    <w:rsid w:val="004518AC"/>
    <w:rsid w:val="004518FD"/>
    <w:rsid w:val="0045198E"/>
    <w:rsid w:val="004519D1"/>
    <w:rsid w:val="00451A78"/>
    <w:rsid w:val="00451B90"/>
    <w:rsid w:val="00451C62"/>
    <w:rsid w:val="00451CDC"/>
    <w:rsid w:val="00451DA0"/>
    <w:rsid w:val="00451F63"/>
    <w:rsid w:val="00451F74"/>
    <w:rsid w:val="00452092"/>
    <w:rsid w:val="004521BB"/>
    <w:rsid w:val="0045283A"/>
    <w:rsid w:val="0045284D"/>
    <w:rsid w:val="00452C93"/>
    <w:rsid w:val="00452CD4"/>
    <w:rsid w:val="0045305B"/>
    <w:rsid w:val="004530DF"/>
    <w:rsid w:val="004531A6"/>
    <w:rsid w:val="004532D8"/>
    <w:rsid w:val="00453450"/>
    <w:rsid w:val="0045352C"/>
    <w:rsid w:val="00453F72"/>
    <w:rsid w:val="0045410D"/>
    <w:rsid w:val="0045419D"/>
    <w:rsid w:val="0045449A"/>
    <w:rsid w:val="004544CA"/>
    <w:rsid w:val="00454620"/>
    <w:rsid w:val="00454822"/>
    <w:rsid w:val="0045498A"/>
    <w:rsid w:val="00454A1E"/>
    <w:rsid w:val="00454BEA"/>
    <w:rsid w:val="00454C9A"/>
    <w:rsid w:val="00454D28"/>
    <w:rsid w:val="00454F8E"/>
    <w:rsid w:val="00455212"/>
    <w:rsid w:val="00455384"/>
    <w:rsid w:val="0045542B"/>
    <w:rsid w:val="004554B3"/>
    <w:rsid w:val="004555B7"/>
    <w:rsid w:val="00455D2C"/>
    <w:rsid w:val="0045631B"/>
    <w:rsid w:val="004567A8"/>
    <w:rsid w:val="00456C7C"/>
    <w:rsid w:val="00456DE4"/>
    <w:rsid w:val="00457586"/>
    <w:rsid w:val="00457C18"/>
    <w:rsid w:val="00457C8A"/>
    <w:rsid w:val="004602C7"/>
    <w:rsid w:val="00460CBA"/>
    <w:rsid w:val="00460EC0"/>
    <w:rsid w:val="0046104B"/>
    <w:rsid w:val="0046128D"/>
    <w:rsid w:val="004612E5"/>
    <w:rsid w:val="004614DB"/>
    <w:rsid w:val="004618BF"/>
    <w:rsid w:val="00461981"/>
    <w:rsid w:val="00461DBB"/>
    <w:rsid w:val="00461E25"/>
    <w:rsid w:val="00461E32"/>
    <w:rsid w:val="00461F75"/>
    <w:rsid w:val="004624C9"/>
    <w:rsid w:val="004625A6"/>
    <w:rsid w:val="00462763"/>
    <w:rsid w:val="00462778"/>
    <w:rsid w:val="004629B4"/>
    <w:rsid w:val="004633E0"/>
    <w:rsid w:val="004633E9"/>
    <w:rsid w:val="004637C8"/>
    <w:rsid w:val="00463A0A"/>
    <w:rsid w:val="00463E27"/>
    <w:rsid w:val="00463E9A"/>
    <w:rsid w:val="00463F1D"/>
    <w:rsid w:val="00463FCB"/>
    <w:rsid w:val="00463FEB"/>
    <w:rsid w:val="004642D3"/>
    <w:rsid w:val="00464514"/>
    <w:rsid w:val="0046457C"/>
    <w:rsid w:val="00464822"/>
    <w:rsid w:val="00464963"/>
    <w:rsid w:val="00464A5B"/>
    <w:rsid w:val="00464B91"/>
    <w:rsid w:val="00464CDE"/>
    <w:rsid w:val="00464CE2"/>
    <w:rsid w:val="00464CFC"/>
    <w:rsid w:val="00464D60"/>
    <w:rsid w:val="00464F6C"/>
    <w:rsid w:val="00465322"/>
    <w:rsid w:val="00465447"/>
    <w:rsid w:val="004654CE"/>
    <w:rsid w:val="00465CBD"/>
    <w:rsid w:val="00465D88"/>
    <w:rsid w:val="00465E98"/>
    <w:rsid w:val="00465FE5"/>
    <w:rsid w:val="00466185"/>
    <w:rsid w:val="00466344"/>
    <w:rsid w:val="00466930"/>
    <w:rsid w:val="00466BC3"/>
    <w:rsid w:val="00466E62"/>
    <w:rsid w:val="00466E87"/>
    <w:rsid w:val="00466EFF"/>
    <w:rsid w:val="004670FE"/>
    <w:rsid w:val="0046737B"/>
    <w:rsid w:val="004678CC"/>
    <w:rsid w:val="00467B1A"/>
    <w:rsid w:val="00467BBD"/>
    <w:rsid w:val="00467D2F"/>
    <w:rsid w:val="00467D62"/>
    <w:rsid w:val="00467D9D"/>
    <w:rsid w:val="00467F57"/>
    <w:rsid w:val="0047005D"/>
    <w:rsid w:val="00470334"/>
    <w:rsid w:val="0047045A"/>
    <w:rsid w:val="00470B0E"/>
    <w:rsid w:val="00471252"/>
    <w:rsid w:val="0047171E"/>
    <w:rsid w:val="00471AFC"/>
    <w:rsid w:val="00471D0D"/>
    <w:rsid w:val="00471D1A"/>
    <w:rsid w:val="00471D2E"/>
    <w:rsid w:val="00471D6C"/>
    <w:rsid w:val="00471FDA"/>
    <w:rsid w:val="004722FC"/>
    <w:rsid w:val="00472384"/>
    <w:rsid w:val="004727CD"/>
    <w:rsid w:val="00472F86"/>
    <w:rsid w:val="00473012"/>
    <w:rsid w:val="004734C8"/>
    <w:rsid w:val="004735FB"/>
    <w:rsid w:val="00473DCA"/>
    <w:rsid w:val="00473E77"/>
    <w:rsid w:val="00473F46"/>
    <w:rsid w:val="004740DA"/>
    <w:rsid w:val="004741E2"/>
    <w:rsid w:val="004746B0"/>
    <w:rsid w:val="00474B2E"/>
    <w:rsid w:val="00474BFA"/>
    <w:rsid w:val="00474D5B"/>
    <w:rsid w:val="00474E01"/>
    <w:rsid w:val="00474F09"/>
    <w:rsid w:val="0047505C"/>
    <w:rsid w:val="0047546B"/>
    <w:rsid w:val="004754CB"/>
    <w:rsid w:val="004756CB"/>
    <w:rsid w:val="00475A09"/>
    <w:rsid w:val="00475C61"/>
    <w:rsid w:val="00475FED"/>
    <w:rsid w:val="00476340"/>
    <w:rsid w:val="00476644"/>
    <w:rsid w:val="00476A43"/>
    <w:rsid w:val="00476B39"/>
    <w:rsid w:val="00476B90"/>
    <w:rsid w:val="00476BE6"/>
    <w:rsid w:val="00476D7A"/>
    <w:rsid w:val="00476E12"/>
    <w:rsid w:val="00476F44"/>
    <w:rsid w:val="00476FD4"/>
    <w:rsid w:val="00477271"/>
    <w:rsid w:val="004774BE"/>
    <w:rsid w:val="00477702"/>
    <w:rsid w:val="0047784B"/>
    <w:rsid w:val="00477BCE"/>
    <w:rsid w:val="00477D7C"/>
    <w:rsid w:val="0048025F"/>
    <w:rsid w:val="00480365"/>
    <w:rsid w:val="004807E1"/>
    <w:rsid w:val="00480DE8"/>
    <w:rsid w:val="00481196"/>
    <w:rsid w:val="00481402"/>
    <w:rsid w:val="00481508"/>
    <w:rsid w:val="004819EE"/>
    <w:rsid w:val="00481AD0"/>
    <w:rsid w:val="00481B52"/>
    <w:rsid w:val="00481DB3"/>
    <w:rsid w:val="00482176"/>
    <w:rsid w:val="004821B1"/>
    <w:rsid w:val="004821EE"/>
    <w:rsid w:val="00482284"/>
    <w:rsid w:val="004824DD"/>
    <w:rsid w:val="004825D0"/>
    <w:rsid w:val="004826B3"/>
    <w:rsid w:val="00482804"/>
    <w:rsid w:val="004829CA"/>
    <w:rsid w:val="00482AB4"/>
    <w:rsid w:val="00482B47"/>
    <w:rsid w:val="00482B85"/>
    <w:rsid w:val="00482F90"/>
    <w:rsid w:val="0048323E"/>
    <w:rsid w:val="004832C5"/>
    <w:rsid w:val="00483517"/>
    <w:rsid w:val="00483555"/>
    <w:rsid w:val="0048372E"/>
    <w:rsid w:val="00483AF3"/>
    <w:rsid w:val="00483BBB"/>
    <w:rsid w:val="00484788"/>
    <w:rsid w:val="00484800"/>
    <w:rsid w:val="00484B29"/>
    <w:rsid w:val="00484B68"/>
    <w:rsid w:val="00484DC5"/>
    <w:rsid w:val="00484F9B"/>
    <w:rsid w:val="0048516A"/>
    <w:rsid w:val="0048545E"/>
    <w:rsid w:val="004855A1"/>
    <w:rsid w:val="00485675"/>
    <w:rsid w:val="00485BB7"/>
    <w:rsid w:val="00485D1D"/>
    <w:rsid w:val="004862EF"/>
    <w:rsid w:val="0048658B"/>
    <w:rsid w:val="00486676"/>
    <w:rsid w:val="00486716"/>
    <w:rsid w:val="00486952"/>
    <w:rsid w:val="00486BAA"/>
    <w:rsid w:val="00486CD0"/>
    <w:rsid w:val="00486F89"/>
    <w:rsid w:val="00487197"/>
    <w:rsid w:val="004873C8"/>
    <w:rsid w:val="00487485"/>
    <w:rsid w:val="00487715"/>
    <w:rsid w:val="00487C85"/>
    <w:rsid w:val="00487FED"/>
    <w:rsid w:val="0049023C"/>
    <w:rsid w:val="004904D0"/>
    <w:rsid w:val="004904E0"/>
    <w:rsid w:val="004905DC"/>
    <w:rsid w:val="00490699"/>
    <w:rsid w:val="00490943"/>
    <w:rsid w:val="00490A58"/>
    <w:rsid w:val="00490AD1"/>
    <w:rsid w:val="00490DC4"/>
    <w:rsid w:val="004912C5"/>
    <w:rsid w:val="00491D1C"/>
    <w:rsid w:val="00492370"/>
    <w:rsid w:val="00492C43"/>
    <w:rsid w:val="00492CBE"/>
    <w:rsid w:val="00492D98"/>
    <w:rsid w:val="00492FC4"/>
    <w:rsid w:val="00493480"/>
    <w:rsid w:val="00493571"/>
    <w:rsid w:val="00493AE1"/>
    <w:rsid w:val="00493F08"/>
    <w:rsid w:val="00493FCC"/>
    <w:rsid w:val="004941B4"/>
    <w:rsid w:val="0049427B"/>
    <w:rsid w:val="0049448E"/>
    <w:rsid w:val="00494771"/>
    <w:rsid w:val="00494896"/>
    <w:rsid w:val="00494E7E"/>
    <w:rsid w:val="00494F64"/>
    <w:rsid w:val="0049519E"/>
    <w:rsid w:val="004951C7"/>
    <w:rsid w:val="0049527B"/>
    <w:rsid w:val="004952F3"/>
    <w:rsid w:val="004955E9"/>
    <w:rsid w:val="004956C0"/>
    <w:rsid w:val="00495754"/>
    <w:rsid w:val="00495855"/>
    <w:rsid w:val="00495B8B"/>
    <w:rsid w:val="00495DDB"/>
    <w:rsid w:val="00495EA9"/>
    <w:rsid w:val="0049623C"/>
    <w:rsid w:val="0049658F"/>
    <w:rsid w:val="004965F3"/>
    <w:rsid w:val="004967CA"/>
    <w:rsid w:val="0049691A"/>
    <w:rsid w:val="004969D2"/>
    <w:rsid w:val="00496B95"/>
    <w:rsid w:val="00496BA5"/>
    <w:rsid w:val="00496D70"/>
    <w:rsid w:val="004973FE"/>
    <w:rsid w:val="00497668"/>
    <w:rsid w:val="004976B8"/>
    <w:rsid w:val="004976F3"/>
    <w:rsid w:val="0049778A"/>
    <w:rsid w:val="004979CA"/>
    <w:rsid w:val="00497AFC"/>
    <w:rsid w:val="00497B9F"/>
    <w:rsid w:val="00497C09"/>
    <w:rsid w:val="00497D52"/>
    <w:rsid w:val="00497EEE"/>
    <w:rsid w:val="00497FB4"/>
    <w:rsid w:val="004A02DB"/>
    <w:rsid w:val="004A0AC0"/>
    <w:rsid w:val="004A0D4F"/>
    <w:rsid w:val="004A1077"/>
    <w:rsid w:val="004A14D7"/>
    <w:rsid w:val="004A1657"/>
    <w:rsid w:val="004A1E52"/>
    <w:rsid w:val="004A1FC3"/>
    <w:rsid w:val="004A2084"/>
    <w:rsid w:val="004A2213"/>
    <w:rsid w:val="004A25AC"/>
    <w:rsid w:val="004A2BD3"/>
    <w:rsid w:val="004A2CD9"/>
    <w:rsid w:val="004A2D9B"/>
    <w:rsid w:val="004A32D7"/>
    <w:rsid w:val="004A34DA"/>
    <w:rsid w:val="004A356A"/>
    <w:rsid w:val="004A3613"/>
    <w:rsid w:val="004A39CB"/>
    <w:rsid w:val="004A3C17"/>
    <w:rsid w:val="004A3E49"/>
    <w:rsid w:val="004A3F61"/>
    <w:rsid w:val="004A4430"/>
    <w:rsid w:val="004A44E5"/>
    <w:rsid w:val="004A4568"/>
    <w:rsid w:val="004A45FB"/>
    <w:rsid w:val="004A4770"/>
    <w:rsid w:val="004A4FDF"/>
    <w:rsid w:val="004A504F"/>
    <w:rsid w:val="004A509D"/>
    <w:rsid w:val="004A51A5"/>
    <w:rsid w:val="004A520B"/>
    <w:rsid w:val="004A5359"/>
    <w:rsid w:val="004A5489"/>
    <w:rsid w:val="004A549D"/>
    <w:rsid w:val="004A5503"/>
    <w:rsid w:val="004A55A8"/>
    <w:rsid w:val="004A58A6"/>
    <w:rsid w:val="004A5A92"/>
    <w:rsid w:val="004A5E73"/>
    <w:rsid w:val="004A5FC6"/>
    <w:rsid w:val="004A61CB"/>
    <w:rsid w:val="004A62A9"/>
    <w:rsid w:val="004A6A3F"/>
    <w:rsid w:val="004A6A75"/>
    <w:rsid w:val="004A6BF3"/>
    <w:rsid w:val="004A6FC2"/>
    <w:rsid w:val="004A73B1"/>
    <w:rsid w:val="004A742F"/>
    <w:rsid w:val="004A7940"/>
    <w:rsid w:val="004A7A52"/>
    <w:rsid w:val="004A7AEF"/>
    <w:rsid w:val="004A7D77"/>
    <w:rsid w:val="004B00AE"/>
    <w:rsid w:val="004B020A"/>
    <w:rsid w:val="004B020D"/>
    <w:rsid w:val="004B0486"/>
    <w:rsid w:val="004B0551"/>
    <w:rsid w:val="004B0641"/>
    <w:rsid w:val="004B0A2B"/>
    <w:rsid w:val="004B0C34"/>
    <w:rsid w:val="004B0C53"/>
    <w:rsid w:val="004B0D53"/>
    <w:rsid w:val="004B132E"/>
    <w:rsid w:val="004B1511"/>
    <w:rsid w:val="004B178E"/>
    <w:rsid w:val="004B19FE"/>
    <w:rsid w:val="004B1ACF"/>
    <w:rsid w:val="004B1C64"/>
    <w:rsid w:val="004B1DE5"/>
    <w:rsid w:val="004B1EC7"/>
    <w:rsid w:val="004B1EE1"/>
    <w:rsid w:val="004B23AF"/>
    <w:rsid w:val="004B24D1"/>
    <w:rsid w:val="004B2503"/>
    <w:rsid w:val="004B2681"/>
    <w:rsid w:val="004B2A4D"/>
    <w:rsid w:val="004B2C5F"/>
    <w:rsid w:val="004B2E20"/>
    <w:rsid w:val="004B2E96"/>
    <w:rsid w:val="004B2F45"/>
    <w:rsid w:val="004B321A"/>
    <w:rsid w:val="004B33BC"/>
    <w:rsid w:val="004B33C2"/>
    <w:rsid w:val="004B343D"/>
    <w:rsid w:val="004B3724"/>
    <w:rsid w:val="004B37C0"/>
    <w:rsid w:val="004B3B7D"/>
    <w:rsid w:val="004B3FE1"/>
    <w:rsid w:val="004B4170"/>
    <w:rsid w:val="004B4214"/>
    <w:rsid w:val="004B43D3"/>
    <w:rsid w:val="004B45D9"/>
    <w:rsid w:val="004B4ABD"/>
    <w:rsid w:val="004B4C53"/>
    <w:rsid w:val="004B4D74"/>
    <w:rsid w:val="004B4E89"/>
    <w:rsid w:val="004B51BE"/>
    <w:rsid w:val="004B529B"/>
    <w:rsid w:val="004B5867"/>
    <w:rsid w:val="004B625F"/>
    <w:rsid w:val="004B67A2"/>
    <w:rsid w:val="004B689D"/>
    <w:rsid w:val="004B68B5"/>
    <w:rsid w:val="004B68F3"/>
    <w:rsid w:val="004B6941"/>
    <w:rsid w:val="004B6BA3"/>
    <w:rsid w:val="004B6BB9"/>
    <w:rsid w:val="004B6D43"/>
    <w:rsid w:val="004B6DAB"/>
    <w:rsid w:val="004B6EAC"/>
    <w:rsid w:val="004B6FD6"/>
    <w:rsid w:val="004B7026"/>
    <w:rsid w:val="004B7466"/>
    <w:rsid w:val="004B78A6"/>
    <w:rsid w:val="004B78C4"/>
    <w:rsid w:val="004B7BA7"/>
    <w:rsid w:val="004B7E56"/>
    <w:rsid w:val="004C008B"/>
    <w:rsid w:val="004C00DE"/>
    <w:rsid w:val="004C012E"/>
    <w:rsid w:val="004C0329"/>
    <w:rsid w:val="004C04F9"/>
    <w:rsid w:val="004C0954"/>
    <w:rsid w:val="004C0BC4"/>
    <w:rsid w:val="004C0D72"/>
    <w:rsid w:val="004C0E2A"/>
    <w:rsid w:val="004C0E97"/>
    <w:rsid w:val="004C1209"/>
    <w:rsid w:val="004C12DD"/>
    <w:rsid w:val="004C1368"/>
    <w:rsid w:val="004C1585"/>
    <w:rsid w:val="004C1AA4"/>
    <w:rsid w:val="004C1BBD"/>
    <w:rsid w:val="004C21F3"/>
    <w:rsid w:val="004C2322"/>
    <w:rsid w:val="004C2698"/>
    <w:rsid w:val="004C28BB"/>
    <w:rsid w:val="004C2A33"/>
    <w:rsid w:val="004C2AE5"/>
    <w:rsid w:val="004C2CD2"/>
    <w:rsid w:val="004C2E5F"/>
    <w:rsid w:val="004C2E8A"/>
    <w:rsid w:val="004C3070"/>
    <w:rsid w:val="004C3154"/>
    <w:rsid w:val="004C330C"/>
    <w:rsid w:val="004C336D"/>
    <w:rsid w:val="004C33B3"/>
    <w:rsid w:val="004C3628"/>
    <w:rsid w:val="004C3C43"/>
    <w:rsid w:val="004C3E34"/>
    <w:rsid w:val="004C3F0E"/>
    <w:rsid w:val="004C40C4"/>
    <w:rsid w:val="004C428D"/>
    <w:rsid w:val="004C42D1"/>
    <w:rsid w:val="004C46DF"/>
    <w:rsid w:val="004C48C8"/>
    <w:rsid w:val="004C49AB"/>
    <w:rsid w:val="004C4A9E"/>
    <w:rsid w:val="004C4ED9"/>
    <w:rsid w:val="004C4F32"/>
    <w:rsid w:val="004C4FE0"/>
    <w:rsid w:val="004C5094"/>
    <w:rsid w:val="004C517C"/>
    <w:rsid w:val="004C51E0"/>
    <w:rsid w:val="004C5872"/>
    <w:rsid w:val="004C598D"/>
    <w:rsid w:val="004C5BF1"/>
    <w:rsid w:val="004C5D56"/>
    <w:rsid w:val="004C5DB6"/>
    <w:rsid w:val="004C5FE1"/>
    <w:rsid w:val="004C6114"/>
    <w:rsid w:val="004C6326"/>
    <w:rsid w:val="004C65B3"/>
    <w:rsid w:val="004C6AD8"/>
    <w:rsid w:val="004C6DA0"/>
    <w:rsid w:val="004C6DBD"/>
    <w:rsid w:val="004C70E1"/>
    <w:rsid w:val="004C75DE"/>
    <w:rsid w:val="004C78AA"/>
    <w:rsid w:val="004C7AE8"/>
    <w:rsid w:val="004C7B5F"/>
    <w:rsid w:val="004C7D2F"/>
    <w:rsid w:val="004C7D5C"/>
    <w:rsid w:val="004C7E60"/>
    <w:rsid w:val="004D03C0"/>
    <w:rsid w:val="004D0EBA"/>
    <w:rsid w:val="004D124B"/>
    <w:rsid w:val="004D1514"/>
    <w:rsid w:val="004D15D3"/>
    <w:rsid w:val="004D206A"/>
    <w:rsid w:val="004D233E"/>
    <w:rsid w:val="004D23F5"/>
    <w:rsid w:val="004D2722"/>
    <w:rsid w:val="004D29AE"/>
    <w:rsid w:val="004D29D5"/>
    <w:rsid w:val="004D2A10"/>
    <w:rsid w:val="004D2F62"/>
    <w:rsid w:val="004D3440"/>
    <w:rsid w:val="004D3632"/>
    <w:rsid w:val="004D369E"/>
    <w:rsid w:val="004D3897"/>
    <w:rsid w:val="004D3951"/>
    <w:rsid w:val="004D437F"/>
    <w:rsid w:val="004D4425"/>
    <w:rsid w:val="004D446E"/>
    <w:rsid w:val="004D44D7"/>
    <w:rsid w:val="004D4614"/>
    <w:rsid w:val="004D49B1"/>
    <w:rsid w:val="004D5056"/>
    <w:rsid w:val="004D50ED"/>
    <w:rsid w:val="004D5132"/>
    <w:rsid w:val="004D53D0"/>
    <w:rsid w:val="004D541E"/>
    <w:rsid w:val="004D5646"/>
    <w:rsid w:val="004D56BE"/>
    <w:rsid w:val="004D5812"/>
    <w:rsid w:val="004D5845"/>
    <w:rsid w:val="004D59A9"/>
    <w:rsid w:val="004D5A31"/>
    <w:rsid w:val="004D5B4B"/>
    <w:rsid w:val="004D5E74"/>
    <w:rsid w:val="004D6561"/>
    <w:rsid w:val="004D6B86"/>
    <w:rsid w:val="004D6D3B"/>
    <w:rsid w:val="004D6F31"/>
    <w:rsid w:val="004D704D"/>
    <w:rsid w:val="004D75D9"/>
    <w:rsid w:val="004D78DA"/>
    <w:rsid w:val="004D79AA"/>
    <w:rsid w:val="004D79C3"/>
    <w:rsid w:val="004D7D49"/>
    <w:rsid w:val="004D7FB1"/>
    <w:rsid w:val="004E008C"/>
    <w:rsid w:val="004E0403"/>
    <w:rsid w:val="004E05D8"/>
    <w:rsid w:val="004E0A4E"/>
    <w:rsid w:val="004E0ADE"/>
    <w:rsid w:val="004E0BC5"/>
    <w:rsid w:val="004E1044"/>
    <w:rsid w:val="004E18CB"/>
    <w:rsid w:val="004E1B63"/>
    <w:rsid w:val="004E1B69"/>
    <w:rsid w:val="004E1C85"/>
    <w:rsid w:val="004E20A4"/>
    <w:rsid w:val="004E2312"/>
    <w:rsid w:val="004E2407"/>
    <w:rsid w:val="004E2762"/>
    <w:rsid w:val="004E2768"/>
    <w:rsid w:val="004E29A2"/>
    <w:rsid w:val="004E2AAF"/>
    <w:rsid w:val="004E2BD6"/>
    <w:rsid w:val="004E2C4D"/>
    <w:rsid w:val="004E2D93"/>
    <w:rsid w:val="004E2E38"/>
    <w:rsid w:val="004E31C5"/>
    <w:rsid w:val="004E334D"/>
    <w:rsid w:val="004E35BD"/>
    <w:rsid w:val="004E3808"/>
    <w:rsid w:val="004E3898"/>
    <w:rsid w:val="004E3BE9"/>
    <w:rsid w:val="004E3BEA"/>
    <w:rsid w:val="004E3CB3"/>
    <w:rsid w:val="004E3D5C"/>
    <w:rsid w:val="004E3DA3"/>
    <w:rsid w:val="004E403A"/>
    <w:rsid w:val="004E4258"/>
    <w:rsid w:val="004E4416"/>
    <w:rsid w:val="004E452C"/>
    <w:rsid w:val="004E45A5"/>
    <w:rsid w:val="004E460E"/>
    <w:rsid w:val="004E49EF"/>
    <w:rsid w:val="004E4CAB"/>
    <w:rsid w:val="004E58B4"/>
    <w:rsid w:val="004E5FAD"/>
    <w:rsid w:val="004E6207"/>
    <w:rsid w:val="004E6225"/>
    <w:rsid w:val="004E6441"/>
    <w:rsid w:val="004E6477"/>
    <w:rsid w:val="004E64F2"/>
    <w:rsid w:val="004E6ADF"/>
    <w:rsid w:val="004E6B78"/>
    <w:rsid w:val="004E6C5A"/>
    <w:rsid w:val="004E6C96"/>
    <w:rsid w:val="004E7115"/>
    <w:rsid w:val="004E720C"/>
    <w:rsid w:val="004E73D2"/>
    <w:rsid w:val="004E74A6"/>
    <w:rsid w:val="004E757E"/>
    <w:rsid w:val="004E78C4"/>
    <w:rsid w:val="004E7C6A"/>
    <w:rsid w:val="004E7C7C"/>
    <w:rsid w:val="004E7E51"/>
    <w:rsid w:val="004F009D"/>
    <w:rsid w:val="004F015F"/>
    <w:rsid w:val="004F0198"/>
    <w:rsid w:val="004F0266"/>
    <w:rsid w:val="004F026F"/>
    <w:rsid w:val="004F0346"/>
    <w:rsid w:val="004F03CB"/>
    <w:rsid w:val="004F05BF"/>
    <w:rsid w:val="004F17B0"/>
    <w:rsid w:val="004F1864"/>
    <w:rsid w:val="004F1F22"/>
    <w:rsid w:val="004F1F57"/>
    <w:rsid w:val="004F2088"/>
    <w:rsid w:val="004F2408"/>
    <w:rsid w:val="004F2492"/>
    <w:rsid w:val="004F24CA"/>
    <w:rsid w:val="004F2A2F"/>
    <w:rsid w:val="004F2D38"/>
    <w:rsid w:val="004F2E41"/>
    <w:rsid w:val="004F3405"/>
    <w:rsid w:val="004F341D"/>
    <w:rsid w:val="004F35C0"/>
    <w:rsid w:val="004F371C"/>
    <w:rsid w:val="004F380B"/>
    <w:rsid w:val="004F39CC"/>
    <w:rsid w:val="004F3F51"/>
    <w:rsid w:val="004F42F0"/>
    <w:rsid w:val="004F483F"/>
    <w:rsid w:val="004F4AA2"/>
    <w:rsid w:val="004F4DC5"/>
    <w:rsid w:val="004F4E08"/>
    <w:rsid w:val="004F509C"/>
    <w:rsid w:val="004F50D4"/>
    <w:rsid w:val="004F512C"/>
    <w:rsid w:val="004F559B"/>
    <w:rsid w:val="004F55FF"/>
    <w:rsid w:val="004F5892"/>
    <w:rsid w:val="004F59CE"/>
    <w:rsid w:val="004F5E4A"/>
    <w:rsid w:val="004F6336"/>
    <w:rsid w:val="004F667D"/>
    <w:rsid w:val="004F6734"/>
    <w:rsid w:val="004F67E4"/>
    <w:rsid w:val="004F6992"/>
    <w:rsid w:val="004F6AD3"/>
    <w:rsid w:val="004F6B49"/>
    <w:rsid w:val="004F6F69"/>
    <w:rsid w:val="004F7105"/>
    <w:rsid w:val="004F76BA"/>
    <w:rsid w:val="004F77B6"/>
    <w:rsid w:val="004F79CE"/>
    <w:rsid w:val="004F7BCA"/>
    <w:rsid w:val="004F7D71"/>
    <w:rsid w:val="005000BC"/>
    <w:rsid w:val="005001D8"/>
    <w:rsid w:val="005006FD"/>
    <w:rsid w:val="00500DF3"/>
    <w:rsid w:val="00500DF7"/>
    <w:rsid w:val="00500F47"/>
    <w:rsid w:val="0050100D"/>
    <w:rsid w:val="0050128C"/>
    <w:rsid w:val="005012C5"/>
    <w:rsid w:val="00501309"/>
    <w:rsid w:val="00501386"/>
    <w:rsid w:val="0050148E"/>
    <w:rsid w:val="005018AB"/>
    <w:rsid w:val="00501BB3"/>
    <w:rsid w:val="00501BD9"/>
    <w:rsid w:val="00501C25"/>
    <w:rsid w:val="00501CF8"/>
    <w:rsid w:val="00502139"/>
    <w:rsid w:val="005025BF"/>
    <w:rsid w:val="005025F3"/>
    <w:rsid w:val="005027A6"/>
    <w:rsid w:val="0050291C"/>
    <w:rsid w:val="00502940"/>
    <w:rsid w:val="00502DAE"/>
    <w:rsid w:val="00502FFB"/>
    <w:rsid w:val="0050301B"/>
    <w:rsid w:val="0050347A"/>
    <w:rsid w:val="005036A1"/>
    <w:rsid w:val="00503808"/>
    <w:rsid w:val="0050386D"/>
    <w:rsid w:val="005038A0"/>
    <w:rsid w:val="00503920"/>
    <w:rsid w:val="00503A06"/>
    <w:rsid w:val="00503D32"/>
    <w:rsid w:val="00503E08"/>
    <w:rsid w:val="0050459B"/>
    <w:rsid w:val="005046CE"/>
    <w:rsid w:val="00504A26"/>
    <w:rsid w:val="00504A82"/>
    <w:rsid w:val="00504B50"/>
    <w:rsid w:val="00505394"/>
    <w:rsid w:val="00505475"/>
    <w:rsid w:val="0050554E"/>
    <w:rsid w:val="0050575D"/>
    <w:rsid w:val="00505808"/>
    <w:rsid w:val="0050581D"/>
    <w:rsid w:val="00505931"/>
    <w:rsid w:val="00505BCF"/>
    <w:rsid w:val="00505E19"/>
    <w:rsid w:val="0050632F"/>
    <w:rsid w:val="005066AC"/>
    <w:rsid w:val="005066D3"/>
    <w:rsid w:val="00506CE3"/>
    <w:rsid w:val="005073DE"/>
    <w:rsid w:val="005075D3"/>
    <w:rsid w:val="0050760B"/>
    <w:rsid w:val="0050770D"/>
    <w:rsid w:val="0050779B"/>
    <w:rsid w:val="005077D8"/>
    <w:rsid w:val="00507858"/>
    <w:rsid w:val="00507A12"/>
    <w:rsid w:val="00507A9D"/>
    <w:rsid w:val="00507BAD"/>
    <w:rsid w:val="005103C5"/>
    <w:rsid w:val="00510736"/>
    <w:rsid w:val="005108DC"/>
    <w:rsid w:val="005116CD"/>
    <w:rsid w:val="00511889"/>
    <w:rsid w:val="00511B25"/>
    <w:rsid w:val="00511C14"/>
    <w:rsid w:val="00511CFF"/>
    <w:rsid w:val="00511F99"/>
    <w:rsid w:val="005120D9"/>
    <w:rsid w:val="00512323"/>
    <w:rsid w:val="00512434"/>
    <w:rsid w:val="00512D76"/>
    <w:rsid w:val="00512ECD"/>
    <w:rsid w:val="00513141"/>
    <w:rsid w:val="005131D3"/>
    <w:rsid w:val="005133FA"/>
    <w:rsid w:val="0051352C"/>
    <w:rsid w:val="0051358D"/>
    <w:rsid w:val="00513959"/>
    <w:rsid w:val="00513ABE"/>
    <w:rsid w:val="00513BB2"/>
    <w:rsid w:val="00513C7E"/>
    <w:rsid w:val="00513CC9"/>
    <w:rsid w:val="00513CF4"/>
    <w:rsid w:val="005142A9"/>
    <w:rsid w:val="005144CB"/>
    <w:rsid w:val="0051451B"/>
    <w:rsid w:val="00514539"/>
    <w:rsid w:val="00514AAD"/>
    <w:rsid w:val="00514AC4"/>
    <w:rsid w:val="00514D19"/>
    <w:rsid w:val="00514DC0"/>
    <w:rsid w:val="00514FC2"/>
    <w:rsid w:val="005158EA"/>
    <w:rsid w:val="005158FE"/>
    <w:rsid w:val="00515A12"/>
    <w:rsid w:val="00515A13"/>
    <w:rsid w:val="00515BFA"/>
    <w:rsid w:val="00516059"/>
    <w:rsid w:val="0051622C"/>
    <w:rsid w:val="00516603"/>
    <w:rsid w:val="0051671B"/>
    <w:rsid w:val="00516835"/>
    <w:rsid w:val="00516ABD"/>
    <w:rsid w:val="00516B3C"/>
    <w:rsid w:val="00516DCE"/>
    <w:rsid w:val="00517186"/>
    <w:rsid w:val="005173C5"/>
    <w:rsid w:val="005177C3"/>
    <w:rsid w:val="00517878"/>
    <w:rsid w:val="00517A86"/>
    <w:rsid w:val="00520A1D"/>
    <w:rsid w:val="00520B75"/>
    <w:rsid w:val="00520E05"/>
    <w:rsid w:val="00520F0C"/>
    <w:rsid w:val="00520F6B"/>
    <w:rsid w:val="005212D5"/>
    <w:rsid w:val="0052158F"/>
    <w:rsid w:val="005218C4"/>
    <w:rsid w:val="00521903"/>
    <w:rsid w:val="0052191B"/>
    <w:rsid w:val="00521CE3"/>
    <w:rsid w:val="00521E78"/>
    <w:rsid w:val="00521E8C"/>
    <w:rsid w:val="00521EDD"/>
    <w:rsid w:val="00521F12"/>
    <w:rsid w:val="00521FD5"/>
    <w:rsid w:val="0052201F"/>
    <w:rsid w:val="005228A2"/>
    <w:rsid w:val="00522AC2"/>
    <w:rsid w:val="00522BF1"/>
    <w:rsid w:val="00522D81"/>
    <w:rsid w:val="00522E4C"/>
    <w:rsid w:val="00522EE3"/>
    <w:rsid w:val="00523033"/>
    <w:rsid w:val="00523047"/>
    <w:rsid w:val="00523124"/>
    <w:rsid w:val="00523251"/>
    <w:rsid w:val="00523268"/>
    <w:rsid w:val="0052341C"/>
    <w:rsid w:val="0052349D"/>
    <w:rsid w:val="00523789"/>
    <w:rsid w:val="005238BB"/>
    <w:rsid w:val="0052397E"/>
    <w:rsid w:val="00523C1E"/>
    <w:rsid w:val="00523DA8"/>
    <w:rsid w:val="00524337"/>
    <w:rsid w:val="00524510"/>
    <w:rsid w:val="0052453C"/>
    <w:rsid w:val="005245CE"/>
    <w:rsid w:val="005246EE"/>
    <w:rsid w:val="00524788"/>
    <w:rsid w:val="00524B76"/>
    <w:rsid w:val="00524BE8"/>
    <w:rsid w:val="00524F94"/>
    <w:rsid w:val="005250A6"/>
    <w:rsid w:val="005252F9"/>
    <w:rsid w:val="00525487"/>
    <w:rsid w:val="00525534"/>
    <w:rsid w:val="005255D1"/>
    <w:rsid w:val="005255EF"/>
    <w:rsid w:val="0052575D"/>
    <w:rsid w:val="00525826"/>
    <w:rsid w:val="00525B26"/>
    <w:rsid w:val="00525B8D"/>
    <w:rsid w:val="00525D89"/>
    <w:rsid w:val="00525EF3"/>
    <w:rsid w:val="00525F3F"/>
    <w:rsid w:val="00526AD6"/>
    <w:rsid w:val="00526B48"/>
    <w:rsid w:val="00526B62"/>
    <w:rsid w:val="00526C92"/>
    <w:rsid w:val="00527052"/>
    <w:rsid w:val="00527181"/>
    <w:rsid w:val="00527210"/>
    <w:rsid w:val="00527254"/>
    <w:rsid w:val="005274F7"/>
    <w:rsid w:val="005275FC"/>
    <w:rsid w:val="00527676"/>
    <w:rsid w:val="0052768C"/>
    <w:rsid w:val="0052788C"/>
    <w:rsid w:val="00527950"/>
    <w:rsid w:val="00527C02"/>
    <w:rsid w:val="0053037E"/>
    <w:rsid w:val="005305C8"/>
    <w:rsid w:val="0053060A"/>
    <w:rsid w:val="0053061D"/>
    <w:rsid w:val="00530896"/>
    <w:rsid w:val="005308C0"/>
    <w:rsid w:val="005308ED"/>
    <w:rsid w:val="00530D54"/>
    <w:rsid w:val="00530E47"/>
    <w:rsid w:val="005310AF"/>
    <w:rsid w:val="005311BA"/>
    <w:rsid w:val="0053135E"/>
    <w:rsid w:val="00531A1D"/>
    <w:rsid w:val="00531C26"/>
    <w:rsid w:val="0053207F"/>
    <w:rsid w:val="0053249A"/>
    <w:rsid w:val="005324C2"/>
    <w:rsid w:val="005329F3"/>
    <w:rsid w:val="00532B0B"/>
    <w:rsid w:val="00532F18"/>
    <w:rsid w:val="00532F61"/>
    <w:rsid w:val="00532F77"/>
    <w:rsid w:val="00532FCE"/>
    <w:rsid w:val="00532FFE"/>
    <w:rsid w:val="00533149"/>
    <w:rsid w:val="00533439"/>
    <w:rsid w:val="005335BC"/>
    <w:rsid w:val="005337CC"/>
    <w:rsid w:val="005337CF"/>
    <w:rsid w:val="0053392B"/>
    <w:rsid w:val="00533F96"/>
    <w:rsid w:val="00534074"/>
    <w:rsid w:val="00534169"/>
    <w:rsid w:val="0053419A"/>
    <w:rsid w:val="005342C3"/>
    <w:rsid w:val="005344BF"/>
    <w:rsid w:val="005347DF"/>
    <w:rsid w:val="005348C9"/>
    <w:rsid w:val="0053490B"/>
    <w:rsid w:val="00534D76"/>
    <w:rsid w:val="00534F0D"/>
    <w:rsid w:val="00534F44"/>
    <w:rsid w:val="0053512C"/>
    <w:rsid w:val="00535581"/>
    <w:rsid w:val="005357BD"/>
    <w:rsid w:val="00535AC2"/>
    <w:rsid w:val="00535DC8"/>
    <w:rsid w:val="00535DE4"/>
    <w:rsid w:val="00535F60"/>
    <w:rsid w:val="00535F96"/>
    <w:rsid w:val="005362D9"/>
    <w:rsid w:val="005362F5"/>
    <w:rsid w:val="005363A8"/>
    <w:rsid w:val="00536444"/>
    <w:rsid w:val="005366D5"/>
    <w:rsid w:val="0053676F"/>
    <w:rsid w:val="00536903"/>
    <w:rsid w:val="0053700E"/>
    <w:rsid w:val="005370AF"/>
    <w:rsid w:val="0053725B"/>
    <w:rsid w:val="0053750D"/>
    <w:rsid w:val="005377F1"/>
    <w:rsid w:val="005378A2"/>
    <w:rsid w:val="005378C2"/>
    <w:rsid w:val="00537AD6"/>
    <w:rsid w:val="00537C40"/>
    <w:rsid w:val="00537CD7"/>
    <w:rsid w:val="005400FE"/>
    <w:rsid w:val="0054031B"/>
    <w:rsid w:val="00540337"/>
    <w:rsid w:val="0054039D"/>
    <w:rsid w:val="005403D3"/>
    <w:rsid w:val="0054043C"/>
    <w:rsid w:val="00540503"/>
    <w:rsid w:val="005406B7"/>
    <w:rsid w:val="0054086F"/>
    <w:rsid w:val="005409BB"/>
    <w:rsid w:val="00540C57"/>
    <w:rsid w:val="00540DBA"/>
    <w:rsid w:val="005410A5"/>
    <w:rsid w:val="0054123F"/>
    <w:rsid w:val="00541800"/>
    <w:rsid w:val="00541BE0"/>
    <w:rsid w:val="0054201D"/>
    <w:rsid w:val="005421AA"/>
    <w:rsid w:val="005421AD"/>
    <w:rsid w:val="00542AE3"/>
    <w:rsid w:val="00542D30"/>
    <w:rsid w:val="005430AD"/>
    <w:rsid w:val="005430EA"/>
    <w:rsid w:val="0054332C"/>
    <w:rsid w:val="005433B8"/>
    <w:rsid w:val="00543425"/>
    <w:rsid w:val="00543545"/>
    <w:rsid w:val="0054365B"/>
    <w:rsid w:val="00543797"/>
    <w:rsid w:val="005438A3"/>
    <w:rsid w:val="00543BAF"/>
    <w:rsid w:val="00543C60"/>
    <w:rsid w:val="00543E6A"/>
    <w:rsid w:val="00543E95"/>
    <w:rsid w:val="005440B1"/>
    <w:rsid w:val="00544120"/>
    <w:rsid w:val="005441C4"/>
    <w:rsid w:val="005442EE"/>
    <w:rsid w:val="00544338"/>
    <w:rsid w:val="00544362"/>
    <w:rsid w:val="00544406"/>
    <w:rsid w:val="00544588"/>
    <w:rsid w:val="005447C0"/>
    <w:rsid w:val="00544817"/>
    <w:rsid w:val="0054549C"/>
    <w:rsid w:val="00545581"/>
    <w:rsid w:val="00545647"/>
    <w:rsid w:val="00545B10"/>
    <w:rsid w:val="00546178"/>
    <w:rsid w:val="00546597"/>
    <w:rsid w:val="005468D1"/>
    <w:rsid w:val="005469F5"/>
    <w:rsid w:val="005470A3"/>
    <w:rsid w:val="005470F9"/>
    <w:rsid w:val="005471EB"/>
    <w:rsid w:val="005473B3"/>
    <w:rsid w:val="005477BB"/>
    <w:rsid w:val="00547BE2"/>
    <w:rsid w:val="00547C46"/>
    <w:rsid w:val="00547FC3"/>
    <w:rsid w:val="00547FEA"/>
    <w:rsid w:val="00550143"/>
    <w:rsid w:val="0055026C"/>
    <w:rsid w:val="005502D9"/>
    <w:rsid w:val="0055046D"/>
    <w:rsid w:val="005506BE"/>
    <w:rsid w:val="00550AC7"/>
    <w:rsid w:val="00550EAE"/>
    <w:rsid w:val="00551194"/>
    <w:rsid w:val="00551A6F"/>
    <w:rsid w:val="00551FD1"/>
    <w:rsid w:val="005520DB"/>
    <w:rsid w:val="005522FC"/>
    <w:rsid w:val="00552450"/>
    <w:rsid w:val="00552476"/>
    <w:rsid w:val="005524EB"/>
    <w:rsid w:val="00552760"/>
    <w:rsid w:val="00552872"/>
    <w:rsid w:val="005528BA"/>
    <w:rsid w:val="00552A93"/>
    <w:rsid w:val="00552DF2"/>
    <w:rsid w:val="00553102"/>
    <w:rsid w:val="005531BD"/>
    <w:rsid w:val="005533BE"/>
    <w:rsid w:val="005538F4"/>
    <w:rsid w:val="00553A1F"/>
    <w:rsid w:val="00553BB6"/>
    <w:rsid w:val="00553BC4"/>
    <w:rsid w:val="00553EB2"/>
    <w:rsid w:val="00554331"/>
    <w:rsid w:val="00554461"/>
    <w:rsid w:val="00554497"/>
    <w:rsid w:val="00554691"/>
    <w:rsid w:val="00554CEB"/>
    <w:rsid w:val="00555163"/>
    <w:rsid w:val="005551D5"/>
    <w:rsid w:val="00555211"/>
    <w:rsid w:val="00555255"/>
    <w:rsid w:val="00555392"/>
    <w:rsid w:val="00555475"/>
    <w:rsid w:val="005554FB"/>
    <w:rsid w:val="0055565C"/>
    <w:rsid w:val="0055584B"/>
    <w:rsid w:val="00555E6C"/>
    <w:rsid w:val="005560C9"/>
    <w:rsid w:val="005561BE"/>
    <w:rsid w:val="005565F5"/>
    <w:rsid w:val="005566F0"/>
    <w:rsid w:val="005567B2"/>
    <w:rsid w:val="00556A71"/>
    <w:rsid w:val="00556C96"/>
    <w:rsid w:val="0055735A"/>
    <w:rsid w:val="005573B0"/>
    <w:rsid w:val="005575A3"/>
    <w:rsid w:val="00557670"/>
    <w:rsid w:val="00557870"/>
    <w:rsid w:val="00557A1E"/>
    <w:rsid w:val="00557AB7"/>
    <w:rsid w:val="00557C0C"/>
    <w:rsid w:val="00557CBC"/>
    <w:rsid w:val="00557F64"/>
    <w:rsid w:val="005600FA"/>
    <w:rsid w:val="00560277"/>
    <w:rsid w:val="005602C2"/>
    <w:rsid w:val="005603D6"/>
    <w:rsid w:val="00560464"/>
    <w:rsid w:val="00560938"/>
    <w:rsid w:val="00560AF1"/>
    <w:rsid w:val="00560C2E"/>
    <w:rsid w:val="00560DDF"/>
    <w:rsid w:val="005611F2"/>
    <w:rsid w:val="00561334"/>
    <w:rsid w:val="00561562"/>
    <w:rsid w:val="00561661"/>
    <w:rsid w:val="00561707"/>
    <w:rsid w:val="005618A9"/>
    <w:rsid w:val="0056199E"/>
    <w:rsid w:val="005619DA"/>
    <w:rsid w:val="00561D76"/>
    <w:rsid w:val="00561E10"/>
    <w:rsid w:val="00561E9F"/>
    <w:rsid w:val="005628E7"/>
    <w:rsid w:val="00562A73"/>
    <w:rsid w:val="00562CB7"/>
    <w:rsid w:val="00562D95"/>
    <w:rsid w:val="00563739"/>
    <w:rsid w:val="0056399C"/>
    <w:rsid w:val="005639B2"/>
    <w:rsid w:val="00563A43"/>
    <w:rsid w:val="00563B6F"/>
    <w:rsid w:val="00563D1B"/>
    <w:rsid w:val="00563DD3"/>
    <w:rsid w:val="00563DDF"/>
    <w:rsid w:val="00563DE6"/>
    <w:rsid w:val="0056413C"/>
    <w:rsid w:val="005644CA"/>
    <w:rsid w:val="00564605"/>
    <w:rsid w:val="00564B22"/>
    <w:rsid w:val="0056503A"/>
    <w:rsid w:val="0056528D"/>
    <w:rsid w:val="005654C3"/>
    <w:rsid w:val="005655DE"/>
    <w:rsid w:val="00565A82"/>
    <w:rsid w:val="00565C64"/>
    <w:rsid w:val="00565D11"/>
    <w:rsid w:val="00566000"/>
    <w:rsid w:val="0056628B"/>
    <w:rsid w:val="00566298"/>
    <w:rsid w:val="005664E5"/>
    <w:rsid w:val="005669AD"/>
    <w:rsid w:val="00566CD8"/>
    <w:rsid w:val="00566D8A"/>
    <w:rsid w:val="00566DD5"/>
    <w:rsid w:val="00566F12"/>
    <w:rsid w:val="00567477"/>
    <w:rsid w:val="005675EE"/>
    <w:rsid w:val="0056BFC7"/>
    <w:rsid w:val="0057045E"/>
    <w:rsid w:val="00570652"/>
    <w:rsid w:val="00570659"/>
    <w:rsid w:val="0057091E"/>
    <w:rsid w:val="005709F3"/>
    <w:rsid w:val="00570AB3"/>
    <w:rsid w:val="00570DBE"/>
    <w:rsid w:val="00570E63"/>
    <w:rsid w:val="00570EAA"/>
    <w:rsid w:val="00570ECB"/>
    <w:rsid w:val="00570FAF"/>
    <w:rsid w:val="00571100"/>
    <w:rsid w:val="005714B1"/>
    <w:rsid w:val="005718CA"/>
    <w:rsid w:val="0057192F"/>
    <w:rsid w:val="00571C21"/>
    <w:rsid w:val="00571C60"/>
    <w:rsid w:val="00571DA2"/>
    <w:rsid w:val="00571F6D"/>
    <w:rsid w:val="0057219F"/>
    <w:rsid w:val="005721B8"/>
    <w:rsid w:val="005723D6"/>
    <w:rsid w:val="005723D7"/>
    <w:rsid w:val="00572605"/>
    <w:rsid w:val="00572633"/>
    <w:rsid w:val="00572715"/>
    <w:rsid w:val="005727AB"/>
    <w:rsid w:val="00572AC8"/>
    <w:rsid w:val="00572AD1"/>
    <w:rsid w:val="00572C39"/>
    <w:rsid w:val="0057322D"/>
    <w:rsid w:val="00573F1B"/>
    <w:rsid w:val="005744DE"/>
    <w:rsid w:val="005747EF"/>
    <w:rsid w:val="0057480E"/>
    <w:rsid w:val="00574931"/>
    <w:rsid w:val="00574A6E"/>
    <w:rsid w:val="00574B2A"/>
    <w:rsid w:val="00574B35"/>
    <w:rsid w:val="00574B82"/>
    <w:rsid w:val="0057542B"/>
    <w:rsid w:val="0057569C"/>
    <w:rsid w:val="00575A68"/>
    <w:rsid w:val="00575DFE"/>
    <w:rsid w:val="00575ED9"/>
    <w:rsid w:val="00575F2C"/>
    <w:rsid w:val="00576439"/>
    <w:rsid w:val="00576470"/>
    <w:rsid w:val="00576530"/>
    <w:rsid w:val="0057665B"/>
    <w:rsid w:val="00576B7A"/>
    <w:rsid w:val="00577145"/>
    <w:rsid w:val="005773BE"/>
    <w:rsid w:val="00577552"/>
    <w:rsid w:val="0057773B"/>
    <w:rsid w:val="00577981"/>
    <w:rsid w:val="00577B05"/>
    <w:rsid w:val="00577B1D"/>
    <w:rsid w:val="00577BF1"/>
    <w:rsid w:val="00577E7C"/>
    <w:rsid w:val="00577FC1"/>
    <w:rsid w:val="00580416"/>
    <w:rsid w:val="005805B3"/>
    <w:rsid w:val="005805BB"/>
    <w:rsid w:val="005807EA"/>
    <w:rsid w:val="00580983"/>
    <w:rsid w:val="00580A4B"/>
    <w:rsid w:val="00580FE3"/>
    <w:rsid w:val="005811F2"/>
    <w:rsid w:val="00581239"/>
    <w:rsid w:val="00581240"/>
    <w:rsid w:val="005812C2"/>
    <w:rsid w:val="005816D9"/>
    <w:rsid w:val="00581A0F"/>
    <w:rsid w:val="00581C74"/>
    <w:rsid w:val="00582365"/>
    <w:rsid w:val="005825B0"/>
    <w:rsid w:val="00582A15"/>
    <w:rsid w:val="00582EA3"/>
    <w:rsid w:val="00582EBC"/>
    <w:rsid w:val="00583949"/>
    <w:rsid w:val="00583B44"/>
    <w:rsid w:val="00583E63"/>
    <w:rsid w:val="00584197"/>
    <w:rsid w:val="005842A9"/>
    <w:rsid w:val="00584A09"/>
    <w:rsid w:val="00584CBD"/>
    <w:rsid w:val="00584D35"/>
    <w:rsid w:val="005851E6"/>
    <w:rsid w:val="0058527F"/>
    <w:rsid w:val="00585440"/>
    <w:rsid w:val="0058561B"/>
    <w:rsid w:val="00585653"/>
    <w:rsid w:val="0058571E"/>
    <w:rsid w:val="00585B8A"/>
    <w:rsid w:val="00585C1B"/>
    <w:rsid w:val="00585FE5"/>
    <w:rsid w:val="0058611F"/>
    <w:rsid w:val="00586121"/>
    <w:rsid w:val="005862AE"/>
    <w:rsid w:val="005863B5"/>
    <w:rsid w:val="005863E5"/>
    <w:rsid w:val="00586716"/>
    <w:rsid w:val="00586F40"/>
    <w:rsid w:val="00587639"/>
    <w:rsid w:val="00587BAD"/>
    <w:rsid w:val="0059034F"/>
    <w:rsid w:val="0059045B"/>
    <w:rsid w:val="005908C9"/>
    <w:rsid w:val="00590FAB"/>
    <w:rsid w:val="00591077"/>
    <w:rsid w:val="00591079"/>
    <w:rsid w:val="0059119F"/>
    <w:rsid w:val="005911C3"/>
    <w:rsid w:val="00591275"/>
    <w:rsid w:val="005915FD"/>
    <w:rsid w:val="00591814"/>
    <w:rsid w:val="00591BE0"/>
    <w:rsid w:val="00591BE2"/>
    <w:rsid w:val="00591F1E"/>
    <w:rsid w:val="0059222B"/>
    <w:rsid w:val="00592638"/>
    <w:rsid w:val="00592660"/>
    <w:rsid w:val="00592720"/>
    <w:rsid w:val="005928CF"/>
    <w:rsid w:val="00592B9D"/>
    <w:rsid w:val="00592C46"/>
    <w:rsid w:val="00593138"/>
    <w:rsid w:val="00593995"/>
    <w:rsid w:val="005939B3"/>
    <w:rsid w:val="00593A33"/>
    <w:rsid w:val="00593BB0"/>
    <w:rsid w:val="00593C74"/>
    <w:rsid w:val="00593D5A"/>
    <w:rsid w:val="00593ECC"/>
    <w:rsid w:val="00594062"/>
    <w:rsid w:val="005941EF"/>
    <w:rsid w:val="0059420C"/>
    <w:rsid w:val="005943E1"/>
    <w:rsid w:val="005944D0"/>
    <w:rsid w:val="005947B5"/>
    <w:rsid w:val="0059495E"/>
    <w:rsid w:val="00594981"/>
    <w:rsid w:val="00594985"/>
    <w:rsid w:val="00594C2E"/>
    <w:rsid w:val="00594DB5"/>
    <w:rsid w:val="00594E6C"/>
    <w:rsid w:val="00594E8C"/>
    <w:rsid w:val="00594FB9"/>
    <w:rsid w:val="00594FBD"/>
    <w:rsid w:val="005951B8"/>
    <w:rsid w:val="0059531D"/>
    <w:rsid w:val="00595562"/>
    <w:rsid w:val="0059566C"/>
    <w:rsid w:val="00595D31"/>
    <w:rsid w:val="00595DFD"/>
    <w:rsid w:val="00595E4D"/>
    <w:rsid w:val="00595EFE"/>
    <w:rsid w:val="00595FED"/>
    <w:rsid w:val="005960BB"/>
    <w:rsid w:val="00596571"/>
    <w:rsid w:val="00596AC9"/>
    <w:rsid w:val="00597007"/>
    <w:rsid w:val="00597407"/>
    <w:rsid w:val="005974B4"/>
    <w:rsid w:val="005976CF"/>
    <w:rsid w:val="0059785E"/>
    <w:rsid w:val="0059792E"/>
    <w:rsid w:val="00597C0C"/>
    <w:rsid w:val="00597CDB"/>
    <w:rsid w:val="005A00CF"/>
    <w:rsid w:val="005A010A"/>
    <w:rsid w:val="005A0171"/>
    <w:rsid w:val="005A0250"/>
    <w:rsid w:val="005A047C"/>
    <w:rsid w:val="005A0496"/>
    <w:rsid w:val="005A04D5"/>
    <w:rsid w:val="005A097F"/>
    <w:rsid w:val="005A0D8F"/>
    <w:rsid w:val="005A1560"/>
    <w:rsid w:val="005A1642"/>
    <w:rsid w:val="005A1759"/>
    <w:rsid w:val="005A1ACB"/>
    <w:rsid w:val="005A1CC8"/>
    <w:rsid w:val="005A1D07"/>
    <w:rsid w:val="005A1DF0"/>
    <w:rsid w:val="005A1E5B"/>
    <w:rsid w:val="005A1FAA"/>
    <w:rsid w:val="005A25FB"/>
    <w:rsid w:val="005A27DB"/>
    <w:rsid w:val="005A294F"/>
    <w:rsid w:val="005A29D2"/>
    <w:rsid w:val="005A2C55"/>
    <w:rsid w:val="005A2CC3"/>
    <w:rsid w:val="005A2CC6"/>
    <w:rsid w:val="005A2FFF"/>
    <w:rsid w:val="005A3004"/>
    <w:rsid w:val="005A306A"/>
    <w:rsid w:val="005A323B"/>
    <w:rsid w:val="005A32FA"/>
    <w:rsid w:val="005A3770"/>
    <w:rsid w:val="005A39CC"/>
    <w:rsid w:val="005A39F1"/>
    <w:rsid w:val="005A3DE4"/>
    <w:rsid w:val="005A4047"/>
    <w:rsid w:val="005A4384"/>
    <w:rsid w:val="005A49CC"/>
    <w:rsid w:val="005A4C22"/>
    <w:rsid w:val="005A4CA8"/>
    <w:rsid w:val="005A4CD5"/>
    <w:rsid w:val="005A4F98"/>
    <w:rsid w:val="005A4FCB"/>
    <w:rsid w:val="005A52DA"/>
    <w:rsid w:val="005A5549"/>
    <w:rsid w:val="005A59B2"/>
    <w:rsid w:val="005A5A39"/>
    <w:rsid w:val="005A5ABB"/>
    <w:rsid w:val="005A62EF"/>
    <w:rsid w:val="005A6349"/>
    <w:rsid w:val="005A6397"/>
    <w:rsid w:val="005A65EB"/>
    <w:rsid w:val="005A6761"/>
    <w:rsid w:val="005A6AF3"/>
    <w:rsid w:val="005A6B20"/>
    <w:rsid w:val="005A6DC4"/>
    <w:rsid w:val="005A6E6F"/>
    <w:rsid w:val="005A7012"/>
    <w:rsid w:val="005A7163"/>
    <w:rsid w:val="005A7583"/>
    <w:rsid w:val="005A758B"/>
    <w:rsid w:val="005A759F"/>
    <w:rsid w:val="005A764F"/>
    <w:rsid w:val="005A776B"/>
    <w:rsid w:val="005A7A5E"/>
    <w:rsid w:val="005A7CAA"/>
    <w:rsid w:val="005A7FA1"/>
    <w:rsid w:val="005B019D"/>
    <w:rsid w:val="005B01B2"/>
    <w:rsid w:val="005B0265"/>
    <w:rsid w:val="005B0353"/>
    <w:rsid w:val="005B0390"/>
    <w:rsid w:val="005B04B8"/>
    <w:rsid w:val="005B05E6"/>
    <w:rsid w:val="005B05FA"/>
    <w:rsid w:val="005B06C1"/>
    <w:rsid w:val="005B0B61"/>
    <w:rsid w:val="005B0D03"/>
    <w:rsid w:val="005B0D64"/>
    <w:rsid w:val="005B0E2E"/>
    <w:rsid w:val="005B111C"/>
    <w:rsid w:val="005B111E"/>
    <w:rsid w:val="005B11AA"/>
    <w:rsid w:val="005B12F6"/>
    <w:rsid w:val="005B1513"/>
    <w:rsid w:val="005B16F1"/>
    <w:rsid w:val="005B19A6"/>
    <w:rsid w:val="005B19F7"/>
    <w:rsid w:val="005B1C07"/>
    <w:rsid w:val="005B1E82"/>
    <w:rsid w:val="005B1E9A"/>
    <w:rsid w:val="005B1F23"/>
    <w:rsid w:val="005B230B"/>
    <w:rsid w:val="005B2323"/>
    <w:rsid w:val="005B2404"/>
    <w:rsid w:val="005B2849"/>
    <w:rsid w:val="005B29E6"/>
    <w:rsid w:val="005B2B58"/>
    <w:rsid w:val="005B2C47"/>
    <w:rsid w:val="005B2D05"/>
    <w:rsid w:val="005B2D1E"/>
    <w:rsid w:val="005B311B"/>
    <w:rsid w:val="005B3432"/>
    <w:rsid w:val="005B353B"/>
    <w:rsid w:val="005B368F"/>
    <w:rsid w:val="005B373C"/>
    <w:rsid w:val="005B39C8"/>
    <w:rsid w:val="005B3BD6"/>
    <w:rsid w:val="005B3CA1"/>
    <w:rsid w:val="005B3D15"/>
    <w:rsid w:val="005B3DB0"/>
    <w:rsid w:val="005B4555"/>
    <w:rsid w:val="005B4815"/>
    <w:rsid w:val="005B4971"/>
    <w:rsid w:val="005B4FAE"/>
    <w:rsid w:val="005B4FB7"/>
    <w:rsid w:val="005B51AE"/>
    <w:rsid w:val="005B53ED"/>
    <w:rsid w:val="005B54BB"/>
    <w:rsid w:val="005B551E"/>
    <w:rsid w:val="005B5A7C"/>
    <w:rsid w:val="005B5D8C"/>
    <w:rsid w:val="005B5DDB"/>
    <w:rsid w:val="005B5F00"/>
    <w:rsid w:val="005B5F25"/>
    <w:rsid w:val="005B5F62"/>
    <w:rsid w:val="005B63EB"/>
    <w:rsid w:val="005B6500"/>
    <w:rsid w:val="005B66C0"/>
    <w:rsid w:val="005B6813"/>
    <w:rsid w:val="005B69FF"/>
    <w:rsid w:val="005B6B7C"/>
    <w:rsid w:val="005B6FA1"/>
    <w:rsid w:val="005B730F"/>
    <w:rsid w:val="005B73BB"/>
    <w:rsid w:val="005B7863"/>
    <w:rsid w:val="005B7881"/>
    <w:rsid w:val="005B7B6C"/>
    <w:rsid w:val="005B7C46"/>
    <w:rsid w:val="005B7D6C"/>
    <w:rsid w:val="005C022F"/>
    <w:rsid w:val="005C02AF"/>
    <w:rsid w:val="005C035E"/>
    <w:rsid w:val="005C0620"/>
    <w:rsid w:val="005C09C0"/>
    <w:rsid w:val="005C0A7E"/>
    <w:rsid w:val="005C0B5E"/>
    <w:rsid w:val="005C0FFE"/>
    <w:rsid w:val="005C10B0"/>
    <w:rsid w:val="005C1109"/>
    <w:rsid w:val="005C1290"/>
    <w:rsid w:val="005C1529"/>
    <w:rsid w:val="005C1FCF"/>
    <w:rsid w:val="005C21E5"/>
    <w:rsid w:val="005C2914"/>
    <w:rsid w:val="005C2A3D"/>
    <w:rsid w:val="005C2EE5"/>
    <w:rsid w:val="005C2EEC"/>
    <w:rsid w:val="005C31E4"/>
    <w:rsid w:val="005C349F"/>
    <w:rsid w:val="005C34C2"/>
    <w:rsid w:val="005C357E"/>
    <w:rsid w:val="005C3916"/>
    <w:rsid w:val="005C398E"/>
    <w:rsid w:val="005C39B1"/>
    <w:rsid w:val="005C3C16"/>
    <w:rsid w:val="005C3E28"/>
    <w:rsid w:val="005C3E51"/>
    <w:rsid w:val="005C41B2"/>
    <w:rsid w:val="005C44DB"/>
    <w:rsid w:val="005C468C"/>
    <w:rsid w:val="005C4751"/>
    <w:rsid w:val="005C47BE"/>
    <w:rsid w:val="005C492E"/>
    <w:rsid w:val="005C4A9F"/>
    <w:rsid w:val="005C4B72"/>
    <w:rsid w:val="005C5079"/>
    <w:rsid w:val="005C50B2"/>
    <w:rsid w:val="005C522A"/>
    <w:rsid w:val="005C5858"/>
    <w:rsid w:val="005C590C"/>
    <w:rsid w:val="005C597E"/>
    <w:rsid w:val="005C5EAB"/>
    <w:rsid w:val="005C5FDB"/>
    <w:rsid w:val="005C6862"/>
    <w:rsid w:val="005C69F7"/>
    <w:rsid w:val="005C6B63"/>
    <w:rsid w:val="005C6C54"/>
    <w:rsid w:val="005C6DD8"/>
    <w:rsid w:val="005C6F4A"/>
    <w:rsid w:val="005C6FD1"/>
    <w:rsid w:val="005C7215"/>
    <w:rsid w:val="005C72A8"/>
    <w:rsid w:val="005C73C4"/>
    <w:rsid w:val="005C7445"/>
    <w:rsid w:val="005C7470"/>
    <w:rsid w:val="005C74F0"/>
    <w:rsid w:val="005C76C8"/>
    <w:rsid w:val="005C7823"/>
    <w:rsid w:val="005C7A31"/>
    <w:rsid w:val="005C7D53"/>
    <w:rsid w:val="005C7DC4"/>
    <w:rsid w:val="005D006D"/>
    <w:rsid w:val="005D009F"/>
    <w:rsid w:val="005D00EA"/>
    <w:rsid w:val="005D0187"/>
    <w:rsid w:val="005D01FE"/>
    <w:rsid w:val="005D023B"/>
    <w:rsid w:val="005D0359"/>
    <w:rsid w:val="005D038D"/>
    <w:rsid w:val="005D0596"/>
    <w:rsid w:val="005D0786"/>
    <w:rsid w:val="005D0884"/>
    <w:rsid w:val="005D0B69"/>
    <w:rsid w:val="005D0C68"/>
    <w:rsid w:val="005D13C4"/>
    <w:rsid w:val="005D141D"/>
    <w:rsid w:val="005D151D"/>
    <w:rsid w:val="005D153A"/>
    <w:rsid w:val="005D173D"/>
    <w:rsid w:val="005D1939"/>
    <w:rsid w:val="005D213C"/>
    <w:rsid w:val="005D21EF"/>
    <w:rsid w:val="005D2304"/>
    <w:rsid w:val="005D23C5"/>
    <w:rsid w:val="005D2491"/>
    <w:rsid w:val="005D2885"/>
    <w:rsid w:val="005D290E"/>
    <w:rsid w:val="005D2A5D"/>
    <w:rsid w:val="005D2B67"/>
    <w:rsid w:val="005D2F5D"/>
    <w:rsid w:val="005D303B"/>
    <w:rsid w:val="005D310C"/>
    <w:rsid w:val="005D34FD"/>
    <w:rsid w:val="005D39CD"/>
    <w:rsid w:val="005D3A04"/>
    <w:rsid w:val="005D3E5C"/>
    <w:rsid w:val="005D418F"/>
    <w:rsid w:val="005D423B"/>
    <w:rsid w:val="005D4709"/>
    <w:rsid w:val="005D4744"/>
    <w:rsid w:val="005D48FE"/>
    <w:rsid w:val="005D4BCD"/>
    <w:rsid w:val="005D5170"/>
    <w:rsid w:val="005D5265"/>
    <w:rsid w:val="005D528A"/>
    <w:rsid w:val="005D56D9"/>
    <w:rsid w:val="005D5B90"/>
    <w:rsid w:val="005D5CDB"/>
    <w:rsid w:val="005D66DE"/>
    <w:rsid w:val="005D68A6"/>
    <w:rsid w:val="005D6A4C"/>
    <w:rsid w:val="005D6B1E"/>
    <w:rsid w:val="005D6DBB"/>
    <w:rsid w:val="005D6EC4"/>
    <w:rsid w:val="005D7152"/>
    <w:rsid w:val="005D7153"/>
    <w:rsid w:val="005D71DA"/>
    <w:rsid w:val="005D7471"/>
    <w:rsid w:val="005D749D"/>
    <w:rsid w:val="005D7508"/>
    <w:rsid w:val="005D7D04"/>
    <w:rsid w:val="005E02CC"/>
    <w:rsid w:val="005E03E8"/>
    <w:rsid w:val="005E0526"/>
    <w:rsid w:val="005E0662"/>
    <w:rsid w:val="005E07F2"/>
    <w:rsid w:val="005E0B07"/>
    <w:rsid w:val="005E0B87"/>
    <w:rsid w:val="005E0CF2"/>
    <w:rsid w:val="005E0FA4"/>
    <w:rsid w:val="005E105E"/>
    <w:rsid w:val="005E115C"/>
    <w:rsid w:val="005E11CA"/>
    <w:rsid w:val="005E13A9"/>
    <w:rsid w:val="005E15BB"/>
    <w:rsid w:val="005E16D5"/>
    <w:rsid w:val="005E1A73"/>
    <w:rsid w:val="005E1B16"/>
    <w:rsid w:val="005E2187"/>
    <w:rsid w:val="005E21E2"/>
    <w:rsid w:val="005E24F5"/>
    <w:rsid w:val="005E25F1"/>
    <w:rsid w:val="005E2702"/>
    <w:rsid w:val="005E2814"/>
    <w:rsid w:val="005E28D4"/>
    <w:rsid w:val="005E2C90"/>
    <w:rsid w:val="005E2E95"/>
    <w:rsid w:val="005E2EC7"/>
    <w:rsid w:val="005E2FCA"/>
    <w:rsid w:val="005E30ED"/>
    <w:rsid w:val="005E3574"/>
    <w:rsid w:val="005E35BB"/>
    <w:rsid w:val="005E3A74"/>
    <w:rsid w:val="005E3E33"/>
    <w:rsid w:val="005E40AA"/>
    <w:rsid w:val="005E4129"/>
    <w:rsid w:val="005E4184"/>
    <w:rsid w:val="005E41A0"/>
    <w:rsid w:val="005E4647"/>
    <w:rsid w:val="005E46EF"/>
    <w:rsid w:val="005E4930"/>
    <w:rsid w:val="005E4C47"/>
    <w:rsid w:val="005E4C5A"/>
    <w:rsid w:val="005E4C85"/>
    <w:rsid w:val="005E4F7A"/>
    <w:rsid w:val="005E514B"/>
    <w:rsid w:val="005E55A2"/>
    <w:rsid w:val="005E5874"/>
    <w:rsid w:val="005E59E5"/>
    <w:rsid w:val="005E5C6B"/>
    <w:rsid w:val="005E5EF1"/>
    <w:rsid w:val="005E5F52"/>
    <w:rsid w:val="005E60D4"/>
    <w:rsid w:val="005E65C9"/>
    <w:rsid w:val="005E6BE3"/>
    <w:rsid w:val="005E6D46"/>
    <w:rsid w:val="005E6EDF"/>
    <w:rsid w:val="005E738F"/>
    <w:rsid w:val="005E7415"/>
    <w:rsid w:val="005E7562"/>
    <w:rsid w:val="005E75D5"/>
    <w:rsid w:val="005E7DC4"/>
    <w:rsid w:val="005E7FB8"/>
    <w:rsid w:val="005F0286"/>
    <w:rsid w:val="005F044D"/>
    <w:rsid w:val="005F04F9"/>
    <w:rsid w:val="005F0845"/>
    <w:rsid w:val="005F0B0D"/>
    <w:rsid w:val="005F0C00"/>
    <w:rsid w:val="005F0C5E"/>
    <w:rsid w:val="005F1226"/>
    <w:rsid w:val="005F1555"/>
    <w:rsid w:val="005F19F8"/>
    <w:rsid w:val="005F1BE6"/>
    <w:rsid w:val="005F1CC5"/>
    <w:rsid w:val="005F1D4E"/>
    <w:rsid w:val="005F1DC0"/>
    <w:rsid w:val="005F1E87"/>
    <w:rsid w:val="005F2362"/>
    <w:rsid w:val="005F2579"/>
    <w:rsid w:val="005F2671"/>
    <w:rsid w:val="005F27AB"/>
    <w:rsid w:val="005F2870"/>
    <w:rsid w:val="005F2978"/>
    <w:rsid w:val="005F34B9"/>
    <w:rsid w:val="005F3871"/>
    <w:rsid w:val="005F3BDE"/>
    <w:rsid w:val="005F3F81"/>
    <w:rsid w:val="005F4078"/>
    <w:rsid w:val="005F459C"/>
    <w:rsid w:val="005F4721"/>
    <w:rsid w:val="005F481E"/>
    <w:rsid w:val="005F4B15"/>
    <w:rsid w:val="005F4BAB"/>
    <w:rsid w:val="005F4D13"/>
    <w:rsid w:val="005F4ED3"/>
    <w:rsid w:val="005F5064"/>
    <w:rsid w:val="005F50CB"/>
    <w:rsid w:val="005F510C"/>
    <w:rsid w:val="005F5382"/>
    <w:rsid w:val="005F56E6"/>
    <w:rsid w:val="005F5756"/>
    <w:rsid w:val="005F599E"/>
    <w:rsid w:val="005F5A2C"/>
    <w:rsid w:val="005F6328"/>
    <w:rsid w:val="005F639B"/>
    <w:rsid w:val="005F64BE"/>
    <w:rsid w:val="005F6652"/>
    <w:rsid w:val="005F68DE"/>
    <w:rsid w:val="005F6956"/>
    <w:rsid w:val="005F6A01"/>
    <w:rsid w:val="005F6C19"/>
    <w:rsid w:val="005F6D29"/>
    <w:rsid w:val="005F6DF1"/>
    <w:rsid w:val="005F6F3D"/>
    <w:rsid w:val="005F71C1"/>
    <w:rsid w:val="005F720A"/>
    <w:rsid w:val="005F731B"/>
    <w:rsid w:val="005F7531"/>
    <w:rsid w:val="005F7C4B"/>
    <w:rsid w:val="005F7F5F"/>
    <w:rsid w:val="00600170"/>
    <w:rsid w:val="006001FF"/>
    <w:rsid w:val="00600207"/>
    <w:rsid w:val="00600455"/>
    <w:rsid w:val="006004D9"/>
    <w:rsid w:val="0060051B"/>
    <w:rsid w:val="00600917"/>
    <w:rsid w:val="00600A80"/>
    <w:rsid w:val="00600CE3"/>
    <w:rsid w:val="00600F46"/>
    <w:rsid w:val="0060130D"/>
    <w:rsid w:val="00601646"/>
    <w:rsid w:val="00601A6C"/>
    <w:rsid w:val="00601EC5"/>
    <w:rsid w:val="00601F10"/>
    <w:rsid w:val="00602327"/>
    <w:rsid w:val="00602383"/>
    <w:rsid w:val="00602481"/>
    <w:rsid w:val="006024EC"/>
    <w:rsid w:val="00602793"/>
    <w:rsid w:val="006029A1"/>
    <w:rsid w:val="00602A92"/>
    <w:rsid w:val="00602DC2"/>
    <w:rsid w:val="00602F43"/>
    <w:rsid w:val="006031DD"/>
    <w:rsid w:val="00603299"/>
    <w:rsid w:val="0060365D"/>
    <w:rsid w:val="00603A57"/>
    <w:rsid w:val="00603AD5"/>
    <w:rsid w:val="00603B08"/>
    <w:rsid w:val="00603C89"/>
    <w:rsid w:val="00603CBD"/>
    <w:rsid w:val="0060432A"/>
    <w:rsid w:val="0060451E"/>
    <w:rsid w:val="0060459F"/>
    <w:rsid w:val="0060498D"/>
    <w:rsid w:val="00604A1E"/>
    <w:rsid w:val="00604F7A"/>
    <w:rsid w:val="00604FB2"/>
    <w:rsid w:val="00605776"/>
    <w:rsid w:val="006058CE"/>
    <w:rsid w:val="00605DF2"/>
    <w:rsid w:val="00605E50"/>
    <w:rsid w:val="006061EC"/>
    <w:rsid w:val="00606338"/>
    <w:rsid w:val="0060637A"/>
    <w:rsid w:val="00606564"/>
    <w:rsid w:val="0060662A"/>
    <w:rsid w:val="00606773"/>
    <w:rsid w:val="0060691F"/>
    <w:rsid w:val="00607022"/>
    <w:rsid w:val="0060710A"/>
    <w:rsid w:val="00607251"/>
    <w:rsid w:val="0060773B"/>
    <w:rsid w:val="00607754"/>
    <w:rsid w:val="00607861"/>
    <w:rsid w:val="00610065"/>
    <w:rsid w:val="006100B0"/>
    <w:rsid w:val="00610162"/>
    <w:rsid w:val="006101E5"/>
    <w:rsid w:val="00610291"/>
    <w:rsid w:val="006103CA"/>
    <w:rsid w:val="006106A5"/>
    <w:rsid w:val="00610854"/>
    <w:rsid w:val="006108D3"/>
    <w:rsid w:val="00610ABA"/>
    <w:rsid w:val="00610BD1"/>
    <w:rsid w:val="00610C29"/>
    <w:rsid w:val="00610C3F"/>
    <w:rsid w:val="00611508"/>
    <w:rsid w:val="0061152B"/>
    <w:rsid w:val="00611653"/>
    <w:rsid w:val="00611789"/>
    <w:rsid w:val="00611A85"/>
    <w:rsid w:val="00611A88"/>
    <w:rsid w:val="00611C25"/>
    <w:rsid w:val="00611CFB"/>
    <w:rsid w:val="00611E87"/>
    <w:rsid w:val="00612110"/>
    <w:rsid w:val="006123A0"/>
    <w:rsid w:val="006125C2"/>
    <w:rsid w:val="00612AA7"/>
    <w:rsid w:val="00612CB0"/>
    <w:rsid w:val="00612F06"/>
    <w:rsid w:val="00613037"/>
    <w:rsid w:val="0061326E"/>
    <w:rsid w:val="006135AB"/>
    <w:rsid w:val="006138E4"/>
    <w:rsid w:val="00613A0D"/>
    <w:rsid w:val="00613AF8"/>
    <w:rsid w:val="00613CE5"/>
    <w:rsid w:val="00613DFA"/>
    <w:rsid w:val="00613EDB"/>
    <w:rsid w:val="00613F25"/>
    <w:rsid w:val="006141DF"/>
    <w:rsid w:val="006141E2"/>
    <w:rsid w:val="006144F6"/>
    <w:rsid w:val="006147DA"/>
    <w:rsid w:val="006147FC"/>
    <w:rsid w:val="00614C4F"/>
    <w:rsid w:val="00614F95"/>
    <w:rsid w:val="00615195"/>
    <w:rsid w:val="00615396"/>
    <w:rsid w:val="00615443"/>
    <w:rsid w:val="006154F0"/>
    <w:rsid w:val="006156D9"/>
    <w:rsid w:val="00615C6C"/>
    <w:rsid w:val="00615F38"/>
    <w:rsid w:val="00616080"/>
    <w:rsid w:val="00616407"/>
    <w:rsid w:val="00616451"/>
    <w:rsid w:val="00616837"/>
    <w:rsid w:val="006169AC"/>
    <w:rsid w:val="00616A88"/>
    <w:rsid w:val="00616C2C"/>
    <w:rsid w:val="00616C5E"/>
    <w:rsid w:val="006170AD"/>
    <w:rsid w:val="00617359"/>
    <w:rsid w:val="00617888"/>
    <w:rsid w:val="00617B5E"/>
    <w:rsid w:val="00617FAA"/>
    <w:rsid w:val="00620148"/>
    <w:rsid w:val="00620497"/>
    <w:rsid w:val="00620697"/>
    <w:rsid w:val="006207E1"/>
    <w:rsid w:val="0062085A"/>
    <w:rsid w:val="0062088B"/>
    <w:rsid w:val="00620890"/>
    <w:rsid w:val="00620B6A"/>
    <w:rsid w:val="00620E5A"/>
    <w:rsid w:val="006211DA"/>
    <w:rsid w:val="0062129F"/>
    <w:rsid w:val="0062135C"/>
    <w:rsid w:val="0062163B"/>
    <w:rsid w:val="0062176A"/>
    <w:rsid w:val="00621F8E"/>
    <w:rsid w:val="00622018"/>
    <w:rsid w:val="006222D9"/>
    <w:rsid w:val="006222DD"/>
    <w:rsid w:val="0062235E"/>
    <w:rsid w:val="006223A9"/>
    <w:rsid w:val="006229D1"/>
    <w:rsid w:val="00622CBE"/>
    <w:rsid w:val="00622F9C"/>
    <w:rsid w:val="006230F4"/>
    <w:rsid w:val="00623232"/>
    <w:rsid w:val="0062327C"/>
    <w:rsid w:val="00623510"/>
    <w:rsid w:val="00623583"/>
    <w:rsid w:val="006235B8"/>
    <w:rsid w:val="0062399A"/>
    <w:rsid w:val="00623C51"/>
    <w:rsid w:val="00623D41"/>
    <w:rsid w:val="00624EB8"/>
    <w:rsid w:val="006250DC"/>
    <w:rsid w:val="006250E9"/>
    <w:rsid w:val="006252D9"/>
    <w:rsid w:val="00625564"/>
    <w:rsid w:val="00625E38"/>
    <w:rsid w:val="00625E8D"/>
    <w:rsid w:val="00626144"/>
    <w:rsid w:val="006262E1"/>
    <w:rsid w:val="006265CA"/>
    <w:rsid w:val="006265F8"/>
    <w:rsid w:val="00626849"/>
    <w:rsid w:val="0062685F"/>
    <w:rsid w:val="00626A94"/>
    <w:rsid w:val="00626ED6"/>
    <w:rsid w:val="00627002"/>
    <w:rsid w:val="0062720F"/>
    <w:rsid w:val="00627645"/>
    <w:rsid w:val="006277EE"/>
    <w:rsid w:val="0062782E"/>
    <w:rsid w:val="00627AB4"/>
    <w:rsid w:val="00627E9A"/>
    <w:rsid w:val="00627FEB"/>
    <w:rsid w:val="006302F7"/>
    <w:rsid w:val="006305C0"/>
    <w:rsid w:val="00630A54"/>
    <w:rsid w:val="00630FA6"/>
    <w:rsid w:val="0063148A"/>
    <w:rsid w:val="0063184C"/>
    <w:rsid w:val="0063184E"/>
    <w:rsid w:val="006319BB"/>
    <w:rsid w:val="00631A4A"/>
    <w:rsid w:val="00631A8B"/>
    <w:rsid w:val="006324D3"/>
    <w:rsid w:val="00632B21"/>
    <w:rsid w:val="00632BB1"/>
    <w:rsid w:val="00632ED3"/>
    <w:rsid w:val="0063334B"/>
    <w:rsid w:val="0063339A"/>
    <w:rsid w:val="0063357D"/>
    <w:rsid w:val="0063384C"/>
    <w:rsid w:val="006339CD"/>
    <w:rsid w:val="00633B2F"/>
    <w:rsid w:val="00634271"/>
    <w:rsid w:val="00634353"/>
    <w:rsid w:val="006346D5"/>
    <w:rsid w:val="00634A7D"/>
    <w:rsid w:val="00634C47"/>
    <w:rsid w:val="00635019"/>
    <w:rsid w:val="00635290"/>
    <w:rsid w:val="00635314"/>
    <w:rsid w:val="00635ACF"/>
    <w:rsid w:val="00635FB5"/>
    <w:rsid w:val="006360BC"/>
    <w:rsid w:val="006361FD"/>
    <w:rsid w:val="0063639E"/>
    <w:rsid w:val="00636442"/>
    <w:rsid w:val="0063666E"/>
    <w:rsid w:val="006368AF"/>
    <w:rsid w:val="0063692B"/>
    <w:rsid w:val="00637135"/>
    <w:rsid w:val="006376A8"/>
    <w:rsid w:val="00637850"/>
    <w:rsid w:val="0063799F"/>
    <w:rsid w:val="00637A48"/>
    <w:rsid w:val="00637B9F"/>
    <w:rsid w:val="00637E7D"/>
    <w:rsid w:val="00637FF8"/>
    <w:rsid w:val="00640086"/>
    <w:rsid w:val="006401F4"/>
    <w:rsid w:val="0064066C"/>
    <w:rsid w:val="006406F8"/>
    <w:rsid w:val="006408D9"/>
    <w:rsid w:val="006408FE"/>
    <w:rsid w:val="00640A49"/>
    <w:rsid w:val="00640C31"/>
    <w:rsid w:val="00640DFE"/>
    <w:rsid w:val="00640E20"/>
    <w:rsid w:val="0064164C"/>
    <w:rsid w:val="0064167A"/>
    <w:rsid w:val="006417B2"/>
    <w:rsid w:val="0064189A"/>
    <w:rsid w:val="00641CA6"/>
    <w:rsid w:val="006424BF"/>
    <w:rsid w:val="0064265B"/>
    <w:rsid w:val="0064276F"/>
    <w:rsid w:val="00642803"/>
    <w:rsid w:val="00642901"/>
    <w:rsid w:val="00642935"/>
    <w:rsid w:val="00642952"/>
    <w:rsid w:val="00642A29"/>
    <w:rsid w:val="00642CA4"/>
    <w:rsid w:val="00642CF6"/>
    <w:rsid w:val="00642DF6"/>
    <w:rsid w:val="00642F3A"/>
    <w:rsid w:val="00642F64"/>
    <w:rsid w:val="00643038"/>
    <w:rsid w:val="00643226"/>
    <w:rsid w:val="00643729"/>
    <w:rsid w:val="0064392A"/>
    <w:rsid w:val="0064397E"/>
    <w:rsid w:val="006439EF"/>
    <w:rsid w:val="00643D82"/>
    <w:rsid w:val="00643F18"/>
    <w:rsid w:val="00644226"/>
    <w:rsid w:val="0064448A"/>
    <w:rsid w:val="006446C0"/>
    <w:rsid w:val="0064481E"/>
    <w:rsid w:val="006449EC"/>
    <w:rsid w:val="00644AB0"/>
    <w:rsid w:val="00644ABC"/>
    <w:rsid w:val="00644AD8"/>
    <w:rsid w:val="00644B16"/>
    <w:rsid w:val="00644B5E"/>
    <w:rsid w:val="00644CFE"/>
    <w:rsid w:val="00644F18"/>
    <w:rsid w:val="0064509E"/>
    <w:rsid w:val="006450F1"/>
    <w:rsid w:val="006453BB"/>
    <w:rsid w:val="006459EF"/>
    <w:rsid w:val="006459F0"/>
    <w:rsid w:val="00645A3D"/>
    <w:rsid w:val="00646034"/>
    <w:rsid w:val="00646178"/>
    <w:rsid w:val="00646208"/>
    <w:rsid w:val="00646260"/>
    <w:rsid w:val="00646371"/>
    <w:rsid w:val="00646579"/>
    <w:rsid w:val="006465B5"/>
    <w:rsid w:val="006465F3"/>
    <w:rsid w:val="00646668"/>
    <w:rsid w:val="00646E72"/>
    <w:rsid w:val="0064712B"/>
    <w:rsid w:val="00647173"/>
    <w:rsid w:val="00647322"/>
    <w:rsid w:val="00647A0F"/>
    <w:rsid w:val="00647A3E"/>
    <w:rsid w:val="00647AEF"/>
    <w:rsid w:val="00647BAC"/>
    <w:rsid w:val="00647CBA"/>
    <w:rsid w:val="00647F53"/>
    <w:rsid w:val="006501B9"/>
    <w:rsid w:val="0065023B"/>
    <w:rsid w:val="00650909"/>
    <w:rsid w:val="0065098D"/>
    <w:rsid w:val="00650AE9"/>
    <w:rsid w:val="00650C37"/>
    <w:rsid w:val="006510A7"/>
    <w:rsid w:val="0065125A"/>
    <w:rsid w:val="0065143D"/>
    <w:rsid w:val="00651833"/>
    <w:rsid w:val="00651987"/>
    <w:rsid w:val="00651B65"/>
    <w:rsid w:val="00651C69"/>
    <w:rsid w:val="00651CFF"/>
    <w:rsid w:val="00651D4D"/>
    <w:rsid w:val="00651F74"/>
    <w:rsid w:val="006521AC"/>
    <w:rsid w:val="0065252E"/>
    <w:rsid w:val="00652649"/>
    <w:rsid w:val="00652656"/>
    <w:rsid w:val="00652E03"/>
    <w:rsid w:val="00652ED0"/>
    <w:rsid w:val="006530E8"/>
    <w:rsid w:val="006533CE"/>
    <w:rsid w:val="006534BF"/>
    <w:rsid w:val="006534C6"/>
    <w:rsid w:val="006536B2"/>
    <w:rsid w:val="006537D7"/>
    <w:rsid w:val="00653851"/>
    <w:rsid w:val="006539F6"/>
    <w:rsid w:val="00653AAD"/>
    <w:rsid w:val="00654231"/>
    <w:rsid w:val="0065444A"/>
    <w:rsid w:val="0065468A"/>
    <w:rsid w:val="006546C8"/>
    <w:rsid w:val="00654997"/>
    <w:rsid w:val="00654AB0"/>
    <w:rsid w:val="00654AB1"/>
    <w:rsid w:val="00654E9A"/>
    <w:rsid w:val="00654F48"/>
    <w:rsid w:val="00654F68"/>
    <w:rsid w:val="00654F87"/>
    <w:rsid w:val="00654FF4"/>
    <w:rsid w:val="0065528C"/>
    <w:rsid w:val="00655307"/>
    <w:rsid w:val="00655370"/>
    <w:rsid w:val="00655915"/>
    <w:rsid w:val="00655C73"/>
    <w:rsid w:val="00655C88"/>
    <w:rsid w:val="00655CF9"/>
    <w:rsid w:val="00655D45"/>
    <w:rsid w:val="00655E89"/>
    <w:rsid w:val="00655FA1"/>
    <w:rsid w:val="00656248"/>
    <w:rsid w:val="006564E7"/>
    <w:rsid w:val="006569A4"/>
    <w:rsid w:val="00656B4C"/>
    <w:rsid w:val="00656D6B"/>
    <w:rsid w:val="0065714C"/>
    <w:rsid w:val="006576FA"/>
    <w:rsid w:val="00657895"/>
    <w:rsid w:val="00657A9A"/>
    <w:rsid w:val="00657CE6"/>
    <w:rsid w:val="00657D89"/>
    <w:rsid w:val="00657E7D"/>
    <w:rsid w:val="00657EB2"/>
    <w:rsid w:val="006600A9"/>
    <w:rsid w:val="006602D8"/>
    <w:rsid w:val="00660342"/>
    <w:rsid w:val="00660784"/>
    <w:rsid w:val="00660A64"/>
    <w:rsid w:val="00660A74"/>
    <w:rsid w:val="00660B0D"/>
    <w:rsid w:val="00660D14"/>
    <w:rsid w:val="0066109D"/>
    <w:rsid w:val="0066155B"/>
    <w:rsid w:val="006619D9"/>
    <w:rsid w:val="00661BA1"/>
    <w:rsid w:val="00661CCC"/>
    <w:rsid w:val="00661D00"/>
    <w:rsid w:val="00662577"/>
    <w:rsid w:val="006626E5"/>
    <w:rsid w:val="0066271C"/>
    <w:rsid w:val="00662C10"/>
    <w:rsid w:val="00662E5F"/>
    <w:rsid w:val="00663287"/>
    <w:rsid w:val="006636ED"/>
    <w:rsid w:val="00663A5B"/>
    <w:rsid w:val="00663F0C"/>
    <w:rsid w:val="00663F6D"/>
    <w:rsid w:val="006640A2"/>
    <w:rsid w:val="006640D4"/>
    <w:rsid w:val="006641EE"/>
    <w:rsid w:val="00664206"/>
    <w:rsid w:val="00664434"/>
    <w:rsid w:val="006645B0"/>
    <w:rsid w:val="006646DF"/>
    <w:rsid w:val="006646EB"/>
    <w:rsid w:val="00664978"/>
    <w:rsid w:val="00664BF3"/>
    <w:rsid w:val="00664D77"/>
    <w:rsid w:val="00664E5A"/>
    <w:rsid w:val="00664EAE"/>
    <w:rsid w:val="006652AE"/>
    <w:rsid w:val="0066561F"/>
    <w:rsid w:val="00665680"/>
    <w:rsid w:val="00665B66"/>
    <w:rsid w:val="00665E81"/>
    <w:rsid w:val="0066634A"/>
    <w:rsid w:val="00666545"/>
    <w:rsid w:val="00666861"/>
    <w:rsid w:val="00666A58"/>
    <w:rsid w:val="0066713C"/>
    <w:rsid w:val="006672F7"/>
    <w:rsid w:val="0066738D"/>
    <w:rsid w:val="00667531"/>
    <w:rsid w:val="00667771"/>
    <w:rsid w:val="00667958"/>
    <w:rsid w:val="00667BDB"/>
    <w:rsid w:val="00667DCD"/>
    <w:rsid w:val="006701B5"/>
    <w:rsid w:val="00670209"/>
    <w:rsid w:val="00670222"/>
    <w:rsid w:val="00670650"/>
    <w:rsid w:val="006706BC"/>
    <w:rsid w:val="0067095F"/>
    <w:rsid w:val="00670ACD"/>
    <w:rsid w:val="0067119D"/>
    <w:rsid w:val="006712C0"/>
    <w:rsid w:val="0067144B"/>
    <w:rsid w:val="00671465"/>
    <w:rsid w:val="00671900"/>
    <w:rsid w:val="00671BB5"/>
    <w:rsid w:val="00672220"/>
    <w:rsid w:val="00672289"/>
    <w:rsid w:val="0067237F"/>
    <w:rsid w:val="006723A6"/>
    <w:rsid w:val="00672424"/>
    <w:rsid w:val="00672449"/>
    <w:rsid w:val="006726B9"/>
    <w:rsid w:val="00672953"/>
    <w:rsid w:val="00673192"/>
    <w:rsid w:val="006733FB"/>
    <w:rsid w:val="00673566"/>
    <w:rsid w:val="00673BDD"/>
    <w:rsid w:val="00673CD4"/>
    <w:rsid w:val="00673CEF"/>
    <w:rsid w:val="00673EE1"/>
    <w:rsid w:val="00674002"/>
    <w:rsid w:val="00674071"/>
    <w:rsid w:val="0067408D"/>
    <w:rsid w:val="0067428D"/>
    <w:rsid w:val="006744AC"/>
    <w:rsid w:val="0067459C"/>
    <w:rsid w:val="00674BD7"/>
    <w:rsid w:val="00674C7D"/>
    <w:rsid w:val="00674E29"/>
    <w:rsid w:val="00675145"/>
    <w:rsid w:val="00675376"/>
    <w:rsid w:val="00675720"/>
    <w:rsid w:val="006758EA"/>
    <w:rsid w:val="00675D55"/>
    <w:rsid w:val="00675E19"/>
    <w:rsid w:val="00675F3D"/>
    <w:rsid w:val="00675FB4"/>
    <w:rsid w:val="0067625D"/>
    <w:rsid w:val="00676309"/>
    <w:rsid w:val="00676376"/>
    <w:rsid w:val="00676503"/>
    <w:rsid w:val="00676856"/>
    <w:rsid w:val="00676A22"/>
    <w:rsid w:val="00676A86"/>
    <w:rsid w:val="00676C2C"/>
    <w:rsid w:val="00676C6D"/>
    <w:rsid w:val="00676C87"/>
    <w:rsid w:val="00676CFA"/>
    <w:rsid w:val="00676F50"/>
    <w:rsid w:val="0067700F"/>
    <w:rsid w:val="00677194"/>
    <w:rsid w:val="0067723D"/>
    <w:rsid w:val="006772F1"/>
    <w:rsid w:val="00677D7A"/>
    <w:rsid w:val="00680302"/>
    <w:rsid w:val="0068080E"/>
    <w:rsid w:val="00680825"/>
    <w:rsid w:val="006808DF"/>
    <w:rsid w:val="0068091E"/>
    <w:rsid w:val="00680B40"/>
    <w:rsid w:val="00680D06"/>
    <w:rsid w:val="00680DAC"/>
    <w:rsid w:val="00680F19"/>
    <w:rsid w:val="00681024"/>
    <w:rsid w:val="0068104F"/>
    <w:rsid w:val="006811E7"/>
    <w:rsid w:val="006811EC"/>
    <w:rsid w:val="00681294"/>
    <w:rsid w:val="0068136D"/>
    <w:rsid w:val="00681576"/>
    <w:rsid w:val="006815DE"/>
    <w:rsid w:val="006816DD"/>
    <w:rsid w:val="006817B5"/>
    <w:rsid w:val="00681AC3"/>
    <w:rsid w:val="00681BBD"/>
    <w:rsid w:val="00681CD3"/>
    <w:rsid w:val="00681E55"/>
    <w:rsid w:val="00681EC9"/>
    <w:rsid w:val="00681F74"/>
    <w:rsid w:val="006820C5"/>
    <w:rsid w:val="006822FA"/>
    <w:rsid w:val="0068288C"/>
    <w:rsid w:val="00682B00"/>
    <w:rsid w:val="00682B3C"/>
    <w:rsid w:val="00682D3D"/>
    <w:rsid w:val="00682FD9"/>
    <w:rsid w:val="0068304B"/>
    <w:rsid w:val="00683085"/>
    <w:rsid w:val="006831F0"/>
    <w:rsid w:val="006832FB"/>
    <w:rsid w:val="00683417"/>
    <w:rsid w:val="0068371B"/>
    <w:rsid w:val="00683F36"/>
    <w:rsid w:val="00684047"/>
    <w:rsid w:val="00684083"/>
    <w:rsid w:val="00684353"/>
    <w:rsid w:val="00684747"/>
    <w:rsid w:val="00684C50"/>
    <w:rsid w:val="00684CD8"/>
    <w:rsid w:val="00684F2F"/>
    <w:rsid w:val="0068504F"/>
    <w:rsid w:val="0068517E"/>
    <w:rsid w:val="006853A3"/>
    <w:rsid w:val="00685589"/>
    <w:rsid w:val="00685813"/>
    <w:rsid w:val="00685B70"/>
    <w:rsid w:val="00685BE0"/>
    <w:rsid w:val="00685D5C"/>
    <w:rsid w:val="00685FA1"/>
    <w:rsid w:val="00685FE5"/>
    <w:rsid w:val="0068682C"/>
    <w:rsid w:val="00686942"/>
    <w:rsid w:val="00686A0C"/>
    <w:rsid w:val="00686B8C"/>
    <w:rsid w:val="00686F1E"/>
    <w:rsid w:val="006871C6"/>
    <w:rsid w:val="00687557"/>
    <w:rsid w:val="0068796C"/>
    <w:rsid w:val="00687A86"/>
    <w:rsid w:val="00687EDE"/>
    <w:rsid w:val="00687F5D"/>
    <w:rsid w:val="00690752"/>
    <w:rsid w:val="00690929"/>
    <w:rsid w:val="00690B79"/>
    <w:rsid w:val="00690C90"/>
    <w:rsid w:val="00690CCF"/>
    <w:rsid w:val="00690D27"/>
    <w:rsid w:val="00690DC2"/>
    <w:rsid w:val="00690EBD"/>
    <w:rsid w:val="00690FE9"/>
    <w:rsid w:val="006910E0"/>
    <w:rsid w:val="00691114"/>
    <w:rsid w:val="00691902"/>
    <w:rsid w:val="00691BA1"/>
    <w:rsid w:val="00691D3A"/>
    <w:rsid w:val="00691EDB"/>
    <w:rsid w:val="00692182"/>
    <w:rsid w:val="00692368"/>
    <w:rsid w:val="006923FF"/>
    <w:rsid w:val="00692606"/>
    <w:rsid w:val="0069268F"/>
    <w:rsid w:val="0069280D"/>
    <w:rsid w:val="00692BC8"/>
    <w:rsid w:val="00692ED6"/>
    <w:rsid w:val="00693116"/>
    <w:rsid w:val="0069328C"/>
    <w:rsid w:val="006932E7"/>
    <w:rsid w:val="00693372"/>
    <w:rsid w:val="006934F6"/>
    <w:rsid w:val="00693644"/>
    <w:rsid w:val="00693697"/>
    <w:rsid w:val="006938AA"/>
    <w:rsid w:val="00693BA8"/>
    <w:rsid w:val="00693D7B"/>
    <w:rsid w:val="00693DBA"/>
    <w:rsid w:val="00693F84"/>
    <w:rsid w:val="0069412C"/>
    <w:rsid w:val="006942E0"/>
    <w:rsid w:val="006945B7"/>
    <w:rsid w:val="0069474B"/>
    <w:rsid w:val="0069475D"/>
    <w:rsid w:val="0069480E"/>
    <w:rsid w:val="00694B56"/>
    <w:rsid w:val="00694DB4"/>
    <w:rsid w:val="0069530A"/>
    <w:rsid w:val="006954A5"/>
    <w:rsid w:val="00695708"/>
    <w:rsid w:val="00695727"/>
    <w:rsid w:val="00695878"/>
    <w:rsid w:val="00695A79"/>
    <w:rsid w:val="00695A8D"/>
    <w:rsid w:val="00695D9B"/>
    <w:rsid w:val="00696113"/>
    <w:rsid w:val="0069621E"/>
    <w:rsid w:val="00696288"/>
    <w:rsid w:val="00696878"/>
    <w:rsid w:val="00696962"/>
    <w:rsid w:val="00696C34"/>
    <w:rsid w:val="00696E7C"/>
    <w:rsid w:val="00696EBC"/>
    <w:rsid w:val="00697093"/>
    <w:rsid w:val="006970CE"/>
    <w:rsid w:val="0069718E"/>
    <w:rsid w:val="0069726B"/>
    <w:rsid w:val="00697361"/>
    <w:rsid w:val="006976D7"/>
    <w:rsid w:val="00697966"/>
    <w:rsid w:val="00697978"/>
    <w:rsid w:val="00697C35"/>
    <w:rsid w:val="00697CEC"/>
    <w:rsid w:val="006A01BF"/>
    <w:rsid w:val="006A03E4"/>
    <w:rsid w:val="006A0547"/>
    <w:rsid w:val="006A068C"/>
    <w:rsid w:val="006A077C"/>
    <w:rsid w:val="006A0B68"/>
    <w:rsid w:val="006A12F5"/>
    <w:rsid w:val="006A1326"/>
    <w:rsid w:val="006A15A3"/>
    <w:rsid w:val="006A19C7"/>
    <w:rsid w:val="006A1DBA"/>
    <w:rsid w:val="006A1E07"/>
    <w:rsid w:val="006A20C3"/>
    <w:rsid w:val="006A2177"/>
    <w:rsid w:val="006A26F9"/>
    <w:rsid w:val="006A286E"/>
    <w:rsid w:val="006A2B5B"/>
    <w:rsid w:val="006A2F5F"/>
    <w:rsid w:val="006A3070"/>
    <w:rsid w:val="006A317C"/>
    <w:rsid w:val="006A36E1"/>
    <w:rsid w:val="006A386E"/>
    <w:rsid w:val="006A39E5"/>
    <w:rsid w:val="006A3A2B"/>
    <w:rsid w:val="006A3BC0"/>
    <w:rsid w:val="006A3D62"/>
    <w:rsid w:val="006A3EBF"/>
    <w:rsid w:val="006A41F0"/>
    <w:rsid w:val="006A42BF"/>
    <w:rsid w:val="006A431D"/>
    <w:rsid w:val="006A4542"/>
    <w:rsid w:val="006A49D2"/>
    <w:rsid w:val="006A4B64"/>
    <w:rsid w:val="006A4DAE"/>
    <w:rsid w:val="006A50BD"/>
    <w:rsid w:val="006A5207"/>
    <w:rsid w:val="006A52B3"/>
    <w:rsid w:val="006A5362"/>
    <w:rsid w:val="006A617A"/>
    <w:rsid w:val="006A65B8"/>
    <w:rsid w:val="006A666C"/>
    <w:rsid w:val="006A6BF1"/>
    <w:rsid w:val="006A6F1F"/>
    <w:rsid w:val="006A7BD7"/>
    <w:rsid w:val="006A7FA6"/>
    <w:rsid w:val="006B0193"/>
    <w:rsid w:val="006B0302"/>
    <w:rsid w:val="006B04A3"/>
    <w:rsid w:val="006B0836"/>
    <w:rsid w:val="006B0867"/>
    <w:rsid w:val="006B09BA"/>
    <w:rsid w:val="006B0F1D"/>
    <w:rsid w:val="006B101B"/>
    <w:rsid w:val="006B10A6"/>
    <w:rsid w:val="006B1122"/>
    <w:rsid w:val="006B1123"/>
    <w:rsid w:val="006B130F"/>
    <w:rsid w:val="006B183D"/>
    <w:rsid w:val="006B188D"/>
    <w:rsid w:val="006B22C2"/>
    <w:rsid w:val="006B24EC"/>
    <w:rsid w:val="006B2B6E"/>
    <w:rsid w:val="006B3032"/>
    <w:rsid w:val="006B326D"/>
    <w:rsid w:val="006B3364"/>
    <w:rsid w:val="006B3430"/>
    <w:rsid w:val="006B3624"/>
    <w:rsid w:val="006B37BA"/>
    <w:rsid w:val="006B3A5B"/>
    <w:rsid w:val="006B3A71"/>
    <w:rsid w:val="006B3BB0"/>
    <w:rsid w:val="006B3E54"/>
    <w:rsid w:val="006B3ED2"/>
    <w:rsid w:val="006B41F6"/>
    <w:rsid w:val="006B426D"/>
    <w:rsid w:val="006B4285"/>
    <w:rsid w:val="006B4311"/>
    <w:rsid w:val="006B448C"/>
    <w:rsid w:val="006B4734"/>
    <w:rsid w:val="006B4792"/>
    <w:rsid w:val="006B4AD5"/>
    <w:rsid w:val="006B4B4A"/>
    <w:rsid w:val="006B4BB3"/>
    <w:rsid w:val="006B4CF1"/>
    <w:rsid w:val="006B4E13"/>
    <w:rsid w:val="006B5205"/>
    <w:rsid w:val="006B5342"/>
    <w:rsid w:val="006B53F7"/>
    <w:rsid w:val="006B5557"/>
    <w:rsid w:val="006B558C"/>
    <w:rsid w:val="006B583C"/>
    <w:rsid w:val="006B5D4B"/>
    <w:rsid w:val="006B61B0"/>
    <w:rsid w:val="006B643E"/>
    <w:rsid w:val="006B6482"/>
    <w:rsid w:val="006B64C8"/>
    <w:rsid w:val="006B654D"/>
    <w:rsid w:val="006B656F"/>
    <w:rsid w:val="006B6910"/>
    <w:rsid w:val="006B7072"/>
    <w:rsid w:val="006B7162"/>
    <w:rsid w:val="006B75C6"/>
    <w:rsid w:val="006B7931"/>
    <w:rsid w:val="006B7B09"/>
    <w:rsid w:val="006B7CD0"/>
    <w:rsid w:val="006C01AB"/>
    <w:rsid w:val="006C01D1"/>
    <w:rsid w:val="006C0762"/>
    <w:rsid w:val="006C094A"/>
    <w:rsid w:val="006C0955"/>
    <w:rsid w:val="006C0990"/>
    <w:rsid w:val="006C0AE5"/>
    <w:rsid w:val="006C0F13"/>
    <w:rsid w:val="006C1032"/>
    <w:rsid w:val="006C1091"/>
    <w:rsid w:val="006C117A"/>
    <w:rsid w:val="006C1225"/>
    <w:rsid w:val="006C1635"/>
    <w:rsid w:val="006C1828"/>
    <w:rsid w:val="006C1987"/>
    <w:rsid w:val="006C1A23"/>
    <w:rsid w:val="006C1C53"/>
    <w:rsid w:val="006C1F7A"/>
    <w:rsid w:val="006C2140"/>
    <w:rsid w:val="006C238A"/>
    <w:rsid w:val="006C2BAC"/>
    <w:rsid w:val="006C2D13"/>
    <w:rsid w:val="006C2DC8"/>
    <w:rsid w:val="006C2E33"/>
    <w:rsid w:val="006C3497"/>
    <w:rsid w:val="006C354C"/>
    <w:rsid w:val="006C36C0"/>
    <w:rsid w:val="006C37E2"/>
    <w:rsid w:val="006C3B76"/>
    <w:rsid w:val="006C3C90"/>
    <w:rsid w:val="006C3D01"/>
    <w:rsid w:val="006C3D66"/>
    <w:rsid w:val="006C4572"/>
    <w:rsid w:val="006C469B"/>
    <w:rsid w:val="006C48DC"/>
    <w:rsid w:val="006C48F0"/>
    <w:rsid w:val="006C49CC"/>
    <w:rsid w:val="006C4AFB"/>
    <w:rsid w:val="006C4F53"/>
    <w:rsid w:val="006C54A0"/>
    <w:rsid w:val="006C589F"/>
    <w:rsid w:val="006C58D8"/>
    <w:rsid w:val="006C59E0"/>
    <w:rsid w:val="006C5D8E"/>
    <w:rsid w:val="006C5E9A"/>
    <w:rsid w:val="006C5FE5"/>
    <w:rsid w:val="006C620E"/>
    <w:rsid w:val="006C6938"/>
    <w:rsid w:val="006C6B2F"/>
    <w:rsid w:val="006C6C7E"/>
    <w:rsid w:val="006C7243"/>
    <w:rsid w:val="006C74A9"/>
    <w:rsid w:val="006C7B03"/>
    <w:rsid w:val="006C7D27"/>
    <w:rsid w:val="006D0100"/>
    <w:rsid w:val="006D010E"/>
    <w:rsid w:val="006D0292"/>
    <w:rsid w:val="006D02D6"/>
    <w:rsid w:val="006D03F9"/>
    <w:rsid w:val="006D07C8"/>
    <w:rsid w:val="006D08C3"/>
    <w:rsid w:val="006D09B2"/>
    <w:rsid w:val="006D09C2"/>
    <w:rsid w:val="006D0B44"/>
    <w:rsid w:val="006D0D4C"/>
    <w:rsid w:val="006D0EC2"/>
    <w:rsid w:val="006D1272"/>
    <w:rsid w:val="006D1700"/>
    <w:rsid w:val="006D1894"/>
    <w:rsid w:val="006D1918"/>
    <w:rsid w:val="006D1A60"/>
    <w:rsid w:val="006D247D"/>
    <w:rsid w:val="006D25E4"/>
    <w:rsid w:val="006D262F"/>
    <w:rsid w:val="006D2B34"/>
    <w:rsid w:val="006D2C8E"/>
    <w:rsid w:val="006D2E55"/>
    <w:rsid w:val="006D305E"/>
    <w:rsid w:val="006D30ED"/>
    <w:rsid w:val="006D313B"/>
    <w:rsid w:val="006D3181"/>
    <w:rsid w:val="006D3212"/>
    <w:rsid w:val="006D33D9"/>
    <w:rsid w:val="006D34B7"/>
    <w:rsid w:val="006D3530"/>
    <w:rsid w:val="006D359A"/>
    <w:rsid w:val="006D3971"/>
    <w:rsid w:val="006D3B57"/>
    <w:rsid w:val="006D40DE"/>
    <w:rsid w:val="006D42FD"/>
    <w:rsid w:val="006D435B"/>
    <w:rsid w:val="006D4672"/>
    <w:rsid w:val="006D46F7"/>
    <w:rsid w:val="006D4721"/>
    <w:rsid w:val="006D499E"/>
    <w:rsid w:val="006D4A26"/>
    <w:rsid w:val="006D4C72"/>
    <w:rsid w:val="006D4E4C"/>
    <w:rsid w:val="006D510A"/>
    <w:rsid w:val="006D51F0"/>
    <w:rsid w:val="006D54EC"/>
    <w:rsid w:val="006D5585"/>
    <w:rsid w:val="006D5881"/>
    <w:rsid w:val="006D58BC"/>
    <w:rsid w:val="006D5A1D"/>
    <w:rsid w:val="006D5B48"/>
    <w:rsid w:val="006D5C09"/>
    <w:rsid w:val="006D5C13"/>
    <w:rsid w:val="006D5C44"/>
    <w:rsid w:val="006D5DA8"/>
    <w:rsid w:val="006D5DB6"/>
    <w:rsid w:val="006D5E6B"/>
    <w:rsid w:val="006D5EF6"/>
    <w:rsid w:val="006D5F76"/>
    <w:rsid w:val="006D625A"/>
    <w:rsid w:val="006D63D6"/>
    <w:rsid w:val="006D65B3"/>
    <w:rsid w:val="006D6C26"/>
    <w:rsid w:val="006D6D96"/>
    <w:rsid w:val="006D71D0"/>
    <w:rsid w:val="006D7211"/>
    <w:rsid w:val="006D7232"/>
    <w:rsid w:val="006D724D"/>
    <w:rsid w:val="006D752A"/>
    <w:rsid w:val="006D75C8"/>
    <w:rsid w:val="006D76AF"/>
    <w:rsid w:val="006D76DF"/>
    <w:rsid w:val="006D7754"/>
    <w:rsid w:val="006D7C41"/>
    <w:rsid w:val="006E076B"/>
    <w:rsid w:val="006E0AC8"/>
    <w:rsid w:val="006E0EB5"/>
    <w:rsid w:val="006E0EB9"/>
    <w:rsid w:val="006E0F49"/>
    <w:rsid w:val="006E120F"/>
    <w:rsid w:val="006E163D"/>
    <w:rsid w:val="006E1840"/>
    <w:rsid w:val="006E19BB"/>
    <w:rsid w:val="006E220F"/>
    <w:rsid w:val="006E230D"/>
    <w:rsid w:val="006E283D"/>
    <w:rsid w:val="006E2F6E"/>
    <w:rsid w:val="006E31CF"/>
    <w:rsid w:val="006E3318"/>
    <w:rsid w:val="006E37A3"/>
    <w:rsid w:val="006E3953"/>
    <w:rsid w:val="006E3AFE"/>
    <w:rsid w:val="006E3E23"/>
    <w:rsid w:val="006E3F59"/>
    <w:rsid w:val="006E3F87"/>
    <w:rsid w:val="006E406C"/>
    <w:rsid w:val="006E43EF"/>
    <w:rsid w:val="006E454B"/>
    <w:rsid w:val="006E45A6"/>
    <w:rsid w:val="006E4643"/>
    <w:rsid w:val="006E467F"/>
    <w:rsid w:val="006E4B71"/>
    <w:rsid w:val="006E4E19"/>
    <w:rsid w:val="006E5364"/>
    <w:rsid w:val="006E5387"/>
    <w:rsid w:val="006E54A5"/>
    <w:rsid w:val="006E5E5F"/>
    <w:rsid w:val="006E6036"/>
    <w:rsid w:val="006E60DB"/>
    <w:rsid w:val="006E648C"/>
    <w:rsid w:val="006E66C3"/>
    <w:rsid w:val="006E66EB"/>
    <w:rsid w:val="006E6A36"/>
    <w:rsid w:val="006E6B57"/>
    <w:rsid w:val="006E6CF9"/>
    <w:rsid w:val="006E7019"/>
    <w:rsid w:val="006E72E8"/>
    <w:rsid w:val="006E7636"/>
    <w:rsid w:val="006E76ED"/>
    <w:rsid w:val="006E7AA1"/>
    <w:rsid w:val="006F008B"/>
    <w:rsid w:val="006F0132"/>
    <w:rsid w:val="006F04E3"/>
    <w:rsid w:val="006F0844"/>
    <w:rsid w:val="006F0D46"/>
    <w:rsid w:val="006F0E67"/>
    <w:rsid w:val="006F0F1A"/>
    <w:rsid w:val="006F1040"/>
    <w:rsid w:val="006F1230"/>
    <w:rsid w:val="006F128F"/>
    <w:rsid w:val="006F147D"/>
    <w:rsid w:val="006F1525"/>
    <w:rsid w:val="006F18BE"/>
    <w:rsid w:val="006F1A06"/>
    <w:rsid w:val="006F1A10"/>
    <w:rsid w:val="006F1B61"/>
    <w:rsid w:val="006F1CA7"/>
    <w:rsid w:val="006F1CBF"/>
    <w:rsid w:val="006F209C"/>
    <w:rsid w:val="006F2209"/>
    <w:rsid w:val="006F23DD"/>
    <w:rsid w:val="006F2702"/>
    <w:rsid w:val="006F282B"/>
    <w:rsid w:val="006F2A12"/>
    <w:rsid w:val="006F2B58"/>
    <w:rsid w:val="006F2E44"/>
    <w:rsid w:val="006F2E98"/>
    <w:rsid w:val="006F2F9A"/>
    <w:rsid w:val="006F3088"/>
    <w:rsid w:val="006F36FB"/>
    <w:rsid w:val="006F3EC9"/>
    <w:rsid w:val="006F3EE3"/>
    <w:rsid w:val="006F3FEA"/>
    <w:rsid w:val="006F413D"/>
    <w:rsid w:val="006F41DB"/>
    <w:rsid w:val="006F4B60"/>
    <w:rsid w:val="006F4F11"/>
    <w:rsid w:val="006F4FB4"/>
    <w:rsid w:val="006F5158"/>
    <w:rsid w:val="006F5369"/>
    <w:rsid w:val="006F5914"/>
    <w:rsid w:val="006F595D"/>
    <w:rsid w:val="006F59DC"/>
    <w:rsid w:val="006F59E5"/>
    <w:rsid w:val="006F5D80"/>
    <w:rsid w:val="006F5EEB"/>
    <w:rsid w:val="006F6336"/>
    <w:rsid w:val="006F6521"/>
    <w:rsid w:val="006F657D"/>
    <w:rsid w:val="006F65C0"/>
    <w:rsid w:val="006F669A"/>
    <w:rsid w:val="006F6884"/>
    <w:rsid w:val="006F6A8E"/>
    <w:rsid w:val="006F6AFE"/>
    <w:rsid w:val="006F6EA8"/>
    <w:rsid w:val="006F7798"/>
    <w:rsid w:val="006F77F1"/>
    <w:rsid w:val="006F7949"/>
    <w:rsid w:val="006F7965"/>
    <w:rsid w:val="006F7DB5"/>
    <w:rsid w:val="006F7DF1"/>
    <w:rsid w:val="00700171"/>
    <w:rsid w:val="007001D9"/>
    <w:rsid w:val="00700250"/>
    <w:rsid w:val="007002D3"/>
    <w:rsid w:val="00700350"/>
    <w:rsid w:val="007004F3"/>
    <w:rsid w:val="00700545"/>
    <w:rsid w:val="00700950"/>
    <w:rsid w:val="00700A62"/>
    <w:rsid w:val="00700A8C"/>
    <w:rsid w:val="00700E1B"/>
    <w:rsid w:val="00701021"/>
    <w:rsid w:val="00701136"/>
    <w:rsid w:val="00701154"/>
    <w:rsid w:val="007011CB"/>
    <w:rsid w:val="007013BB"/>
    <w:rsid w:val="0070181A"/>
    <w:rsid w:val="00701845"/>
    <w:rsid w:val="00701ABB"/>
    <w:rsid w:val="00701C39"/>
    <w:rsid w:val="00701C9D"/>
    <w:rsid w:val="00701EC6"/>
    <w:rsid w:val="00701F3E"/>
    <w:rsid w:val="007020F9"/>
    <w:rsid w:val="00702152"/>
    <w:rsid w:val="00702866"/>
    <w:rsid w:val="00702879"/>
    <w:rsid w:val="0070319A"/>
    <w:rsid w:val="007031B6"/>
    <w:rsid w:val="00703402"/>
    <w:rsid w:val="007034E8"/>
    <w:rsid w:val="007036A5"/>
    <w:rsid w:val="00703BC3"/>
    <w:rsid w:val="00703CB4"/>
    <w:rsid w:val="00703CF7"/>
    <w:rsid w:val="00703D40"/>
    <w:rsid w:val="00703EEC"/>
    <w:rsid w:val="0070419C"/>
    <w:rsid w:val="00704729"/>
    <w:rsid w:val="00704A83"/>
    <w:rsid w:val="00704F4F"/>
    <w:rsid w:val="007050B1"/>
    <w:rsid w:val="00705134"/>
    <w:rsid w:val="00705323"/>
    <w:rsid w:val="0070536E"/>
    <w:rsid w:val="0070561B"/>
    <w:rsid w:val="007056DD"/>
    <w:rsid w:val="00705CE9"/>
    <w:rsid w:val="00705FE4"/>
    <w:rsid w:val="0070637D"/>
    <w:rsid w:val="007067B9"/>
    <w:rsid w:val="00706BCD"/>
    <w:rsid w:val="00706DA7"/>
    <w:rsid w:val="00706DAA"/>
    <w:rsid w:val="007071BE"/>
    <w:rsid w:val="0070720A"/>
    <w:rsid w:val="00707480"/>
    <w:rsid w:val="0070754F"/>
    <w:rsid w:val="007075B7"/>
    <w:rsid w:val="007075E4"/>
    <w:rsid w:val="00707897"/>
    <w:rsid w:val="007079EB"/>
    <w:rsid w:val="00707C18"/>
    <w:rsid w:val="00707CD5"/>
    <w:rsid w:val="00710261"/>
    <w:rsid w:val="007103A9"/>
    <w:rsid w:val="00710566"/>
    <w:rsid w:val="0071072E"/>
    <w:rsid w:val="00710B8E"/>
    <w:rsid w:val="00710D4C"/>
    <w:rsid w:val="00710E95"/>
    <w:rsid w:val="00710F31"/>
    <w:rsid w:val="007112AC"/>
    <w:rsid w:val="007113B8"/>
    <w:rsid w:val="00711893"/>
    <w:rsid w:val="0071189F"/>
    <w:rsid w:val="00711D61"/>
    <w:rsid w:val="00711D6C"/>
    <w:rsid w:val="0071205D"/>
    <w:rsid w:val="00712086"/>
    <w:rsid w:val="00712314"/>
    <w:rsid w:val="0071235C"/>
    <w:rsid w:val="007124A8"/>
    <w:rsid w:val="00712565"/>
    <w:rsid w:val="0071258C"/>
    <w:rsid w:val="00712893"/>
    <w:rsid w:val="00712AC1"/>
    <w:rsid w:val="00712C71"/>
    <w:rsid w:val="00712EDA"/>
    <w:rsid w:val="00712F06"/>
    <w:rsid w:val="00712FAA"/>
    <w:rsid w:val="00713158"/>
    <w:rsid w:val="007131A3"/>
    <w:rsid w:val="0071327E"/>
    <w:rsid w:val="007134B6"/>
    <w:rsid w:val="007135C5"/>
    <w:rsid w:val="007136E4"/>
    <w:rsid w:val="00713736"/>
    <w:rsid w:val="00713737"/>
    <w:rsid w:val="00713999"/>
    <w:rsid w:val="007141AC"/>
    <w:rsid w:val="007141D4"/>
    <w:rsid w:val="00714456"/>
    <w:rsid w:val="007144BA"/>
    <w:rsid w:val="007144CF"/>
    <w:rsid w:val="007144F0"/>
    <w:rsid w:val="007149E7"/>
    <w:rsid w:val="00714D1A"/>
    <w:rsid w:val="00715060"/>
    <w:rsid w:val="0071513A"/>
    <w:rsid w:val="00715293"/>
    <w:rsid w:val="007153C2"/>
    <w:rsid w:val="00715413"/>
    <w:rsid w:val="0071556E"/>
    <w:rsid w:val="0071559E"/>
    <w:rsid w:val="00715719"/>
    <w:rsid w:val="00715835"/>
    <w:rsid w:val="00715F75"/>
    <w:rsid w:val="0071670F"/>
    <w:rsid w:val="00716750"/>
    <w:rsid w:val="00716A43"/>
    <w:rsid w:val="00716AD2"/>
    <w:rsid w:val="00716C32"/>
    <w:rsid w:val="00716F69"/>
    <w:rsid w:val="00717385"/>
    <w:rsid w:val="00717669"/>
    <w:rsid w:val="007177EB"/>
    <w:rsid w:val="00717855"/>
    <w:rsid w:val="0071788C"/>
    <w:rsid w:val="007178C5"/>
    <w:rsid w:val="00717BDF"/>
    <w:rsid w:val="00717D8E"/>
    <w:rsid w:val="00720064"/>
    <w:rsid w:val="0072012C"/>
    <w:rsid w:val="007202AF"/>
    <w:rsid w:val="007203CA"/>
    <w:rsid w:val="007204DF"/>
    <w:rsid w:val="0072073E"/>
    <w:rsid w:val="007207D4"/>
    <w:rsid w:val="00720DBC"/>
    <w:rsid w:val="00720E6E"/>
    <w:rsid w:val="00721432"/>
    <w:rsid w:val="0072149D"/>
    <w:rsid w:val="0072158D"/>
    <w:rsid w:val="007215AE"/>
    <w:rsid w:val="00721978"/>
    <w:rsid w:val="00721B70"/>
    <w:rsid w:val="00721D0A"/>
    <w:rsid w:val="0072229A"/>
    <w:rsid w:val="0072229B"/>
    <w:rsid w:val="00722411"/>
    <w:rsid w:val="00722490"/>
    <w:rsid w:val="0072259A"/>
    <w:rsid w:val="007226F5"/>
    <w:rsid w:val="007227FF"/>
    <w:rsid w:val="007229F0"/>
    <w:rsid w:val="00722AA1"/>
    <w:rsid w:val="00722E1E"/>
    <w:rsid w:val="00722E7C"/>
    <w:rsid w:val="00723165"/>
    <w:rsid w:val="007231C4"/>
    <w:rsid w:val="007237A6"/>
    <w:rsid w:val="007238A7"/>
    <w:rsid w:val="00723AC5"/>
    <w:rsid w:val="00723B2C"/>
    <w:rsid w:val="00724329"/>
    <w:rsid w:val="007246A0"/>
    <w:rsid w:val="007249C0"/>
    <w:rsid w:val="00724ED0"/>
    <w:rsid w:val="00724F8E"/>
    <w:rsid w:val="00724F92"/>
    <w:rsid w:val="007251AB"/>
    <w:rsid w:val="007253D6"/>
    <w:rsid w:val="00725421"/>
    <w:rsid w:val="00725485"/>
    <w:rsid w:val="007255D6"/>
    <w:rsid w:val="0072578A"/>
    <w:rsid w:val="00725894"/>
    <w:rsid w:val="0072597A"/>
    <w:rsid w:val="00725BE2"/>
    <w:rsid w:val="00725C5F"/>
    <w:rsid w:val="00725D31"/>
    <w:rsid w:val="00725D71"/>
    <w:rsid w:val="00726005"/>
    <w:rsid w:val="007262E8"/>
    <w:rsid w:val="007266CD"/>
    <w:rsid w:val="007266FA"/>
    <w:rsid w:val="00726B5B"/>
    <w:rsid w:val="00726BE8"/>
    <w:rsid w:val="00726C94"/>
    <w:rsid w:val="00726F2C"/>
    <w:rsid w:val="00727044"/>
    <w:rsid w:val="00727275"/>
    <w:rsid w:val="00727D49"/>
    <w:rsid w:val="00727DFE"/>
    <w:rsid w:val="00727F57"/>
    <w:rsid w:val="00730059"/>
    <w:rsid w:val="0073030B"/>
    <w:rsid w:val="007306B0"/>
    <w:rsid w:val="007306B2"/>
    <w:rsid w:val="00730C0B"/>
    <w:rsid w:val="00730EDB"/>
    <w:rsid w:val="00730F61"/>
    <w:rsid w:val="007311C8"/>
    <w:rsid w:val="00731205"/>
    <w:rsid w:val="00731655"/>
    <w:rsid w:val="00731656"/>
    <w:rsid w:val="00731725"/>
    <w:rsid w:val="00732126"/>
    <w:rsid w:val="00732213"/>
    <w:rsid w:val="007323C6"/>
    <w:rsid w:val="0073264A"/>
    <w:rsid w:val="007326D3"/>
    <w:rsid w:val="007327DF"/>
    <w:rsid w:val="00732DA6"/>
    <w:rsid w:val="00732FFE"/>
    <w:rsid w:val="00733033"/>
    <w:rsid w:val="00733050"/>
    <w:rsid w:val="00733194"/>
    <w:rsid w:val="007331A4"/>
    <w:rsid w:val="00733227"/>
    <w:rsid w:val="007332FA"/>
    <w:rsid w:val="0073333B"/>
    <w:rsid w:val="0073369A"/>
    <w:rsid w:val="00733814"/>
    <w:rsid w:val="0073394B"/>
    <w:rsid w:val="007339FA"/>
    <w:rsid w:val="00733C32"/>
    <w:rsid w:val="00733D31"/>
    <w:rsid w:val="00733E63"/>
    <w:rsid w:val="00734180"/>
    <w:rsid w:val="00734B5A"/>
    <w:rsid w:val="00734BA4"/>
    <w:rsid w:val="00735065"/>
    <w:rsid w:val="0073509F"/>
    <w:rsid w:val="007351F6"/>
    <w:rsid w:val="00735454"/>
    <w:rsid w:val="0073548F"/>
    <w:rsid w:val="007358DE"/>
    <w:rsid w:val="007358FF"/>
    <w:rsid w:val="0073611B"/>
    <w:rsid w:val="00736188"/>
    <w:rsid w:val="0073627D"/>
    <w:rsid w:val="007366AE"/>
    <w:rsid w:val="007368C4"/>
    <w:rsid w:val="00736DAD"/>
    <w:rsid w:val="00736F16"/>
    <w:rsid w:val="0073720C"/>
    <w:rsid w:val="0073729B"/>
    <w:rsid w:val="007374DA"/>
    <w:rsid w:val="0073778A"/>
    <w:rsid w:val="0073792C"/>
    <w:rsid w:val="007379EA"/>
    <w:rsid w:val="00737AEA"/>
    <w:rsid w:val="00737C61"/>
    <w:rsid w:val="00737CC5"/>
    <w:rsid w:val="00737CDC"/>
    <w:rsid w:val="007400B1"/>
    <w:rsid w:val="0074023B"/>
    <w:rsid w:val="0074026A"/>
    <w:rsid w:val="00740516"/>
    <w:rsid w:val="00740529"/>
    <w:rsid w:val="00740728"/>
    <w:rsid w:val="0074083F"/>
    <w:rsid w:val="00740ABA"/>
    <w:rsid w:val="00740C7D"/>
    <w:rsid w:val="007410B8"/>
    <w:rsid w:val="007410F8"/>
    <w:rsid w:val="00741119"/>
    <w:rsid w:val="0074129F"/>
    <w:rsid w:val="00741335"/>
    <w:rsid w:val="0074176D"/>
    <w:rsid w:val="00741798"/>
    <w:rsid w:val="007418CD"/>
    <w:rsid w:val="00741973"/>
    <w:rsid w:val="00741982"/>
    <w:rsid w:val="00741ACF"/>
    <w:rsid w:val="00741D46"/>
    <w:rsid w:val="00741DAA"/>
    <w:rsid w:val="007420C1"/>
    <w:rsid w:val="0074216C"/>
    <w:rsid w:val="007422BA"/>
    <w:rsid w:val="0074257A"/>
    <w:rsid w:val="00742A63"/>
    <w:rsid w:val="00742B27"/>
    <w:rsid w:val="00742BCD"/>
    <w:rsid w:val="00743232"/>
    <w:rsid w:val="007432E8"/>
    <w:rsid w:val="00743392"/>
    <w:rsid w:val="007433E6"/>
    <w:rsid w:val="00743562"/>
    <w:rsid w:val="0074359E"/>
    <w:rsid w:val="007437CB"/>
    <w:rsid w:val="00743AA3"/>
    <w:rsid w:val="00743B92"/>
    <w:rsid w:val="00743B9D"/>
    <w:rsid w:val="00743F82"/>
    <w:rsid w:val="007442E7"/>
    <w:rsid w:val="00744603"/>
    <w:rsid w:val="007446AC"/>
    <w:rsid w:val="007448B6"/>
    <w:rsid w:val="00744954"/>
    <w:rsid w:val="00744B96"/>
    <w:rsid w:val="00744C30"/>
    <w:rsid w:val="00744C6F"/>
    <w:rsid w:val="0074562B"/>
    <w:rsid w:val="00745676"/>
    <w:rsid w:val="00745984"/>
    <w:rsid w:val="00745DDD"/>
    <w:rsid w:val="00745E90"/>
    <w:rsid w:val="007465C7"/>
    <w:rsid w:val="007465DB"/>
    <w:rsid w:val="0074671D"/>
    <w:rsid w:val="00746CC9"/>
    <w:rsid w:val="00746EE3"/>
    <w:rsid w:val="00747434"/>
    <w:rsid w:val="007475FD"/>
    <w:rsid w:val="0074788B"/>
    <w:rsid w:val="00747D02"/>
    <w:rsid w:val="00747D90"/>
    <w:rsid w:val="00750593"/>
    <w:rsid w:val="007505C3"/>
    <w:rsid w:val="00750617"/>
    <w:rsid w:val="007506DF"/>
    <w:rsid w:val="00750D6B"/>
    <w:rsid w:val="00750E18"/>
    <w:rsid w:val="00750E9C"/>
    <w:rsid w:val="007511A8"/>
    <w:rsid w:val="00751302"/>
    <w:rsid w:val="0075137C"/>
    <w:rsid w:val="00751517"/>
    <w:rsid w:val="00751B5A"/>
    <w:rsid w:val="00751F1F"/>
    <w:rsid w:val="007520AD"/>
    <w:rsid w:val="007524E8"/>
    <w:rsid w:val="00752595"/>
    <w:rsid w:val="00752657"/>
    <w:rsid w:val="00752750"/>
    <w:rsid w:val="00752B58"/>
    <w:rsid w:val="00752B78"/>
    <w:rsid w:val="00752F5F"/>
    <w:rsid w:val="007530F2"/>
    <w:rsid w:val="00753294"/>
    <w:rsid w:val="00753BEA"/>
    <w:rsid w:val="00753C6F"/>
    <w:rsid w:val="00753F5C"/>
    <w:rsid w:val="0075418A"/>
    <w:rsid w:val="00754383"/>
    <w:rsid w:val="00754401"/>
    <w:rsid w:val="0075456B"/>
    <w:rsid w:val="00754A37"/>
    <w:rsid w:val="00754CBD"/>
    <w:rsid w:val="00754E4E"/>
    <w:rsid w:val="00755318"/>
    <w:rsid w:val="00755787"/>
    <w:rsid w:val="00755A1F"/>
    <w:rsid w:val="00755A5F"/>
    <w:rsid w:val="00755A96"/>
    <w:rsid w:val="00755AE1"/>
    <w:rsid w:val="00755B68"/>
    <w:rsid w:val="00755C90"/>
    <w:rsid w:val="00755D45"/>
    <w:rsid w:val="007566CA"/>
    <w:rsid w:val="00756E5D"/>
    <w:rsid w:val="00757349"/>
    <w:rsid w:val="007576AE"/>
    <w:rsid w:val="007576D2"/>
    <w:rsid w:val="00757B5B"/>
    <w:rsid w:val="00757C97"/>
    <w:rsid w:val="00760216"/>
    <w:rsid w:val="0076022D"/>
    <w:rsid w:val="007603AF"/>
    <w:rsid w:val="00760427"/>
    <w:rsid w:val="00760592"/>
    <w:rsid w:val="00760A3C"/>
    <w:rsid w:val="00760D42"/>
    <w:rsid w:val="00760F3E"/>
    <w:rsid w:val="007611F4"/>
    <w:rsid w:val="00761483"/>
    <w:rsid w:val="00762029"/>
    <w:rsid w:val="0076207A"/>
    <w:rsid w:val="0076260D"/>
    <w:rsid w:val="007626B8"/>
    <w:rsid w:val="00762A6F"/>
    <w:rsid w:val="00762B90"/>
    <w:rsid w:val="00763021"/>
    <w:rsid w:val="00763029"/>
    <w:rsid w:val="007633BF"/>
    <w:rsid w:val="007634FC"/>
    <w:rsid w:val="0076359A"/>
    <w:rsid w:val="007639A9"/>
    <w:rsid w:val="007639CA"/>
    <w:rsid w:val="00763AEE"/>
    <w:rsid w:val="00763B77"/>
    <w:rsid w:val="00763FDF"/>
    <w:rsid w:val="0076426B"/>
    <w:rsid w:val="007645BD"/>
    <w:rsid w:val="00764687"/>
    <w:rsid w:val="007647B6"/>
    <w:rsid w:val="00764AED"/>
    <w:rsid w:val="00764B1C"/>
    <w:rsid w:val="00764D68"/>
    <w:rsid w:val="00764DFE"/>
    <w:rsid w:val="0076542A"/>
    <w:rsid w:val="00765626"/>
    <w:rsid w:val="007657CD"/>
    <w:rsid w:val="00765A36"/>
    <w:rsid w:val="00765BB3"/>
    <w:rsid w:val="00765FC8"/>
    <w:rsid w:val="00765FE7"/>
    <w:rsid w:val="00766044"/>
    <w:rsid w:val="0076612E"/>
    <w:rsid w:val="0076616F"/>
    <w:rsid w:val="00766242"/>
    <w:rsid w:val="007664A8"/>
    <w:rsid w:val="0076676D"/>
    <w:rsid w:val="00766801"/>
    <w:rsid w:val="00766970"/>
    <w:rsid w:val="007669E3"/>
    <w:rsid w:val="00766ED4"/>
    <w:rsid w:val="00766F00"/>
    <w:rsid w:val="0076702C"/>
    <w:rsid w:val="0076717C"/>
    <w:rsid w:val="007672DA"/>
    <w:rsid w:val="00767386"/>
    <w:rsid w:val="00767992"/>
    <w:rsid w:val="00767F6C"/>
    <w:rsid w:val="00770003"/>
    <w:rsid w:val="00770009"/>
    <w:rsid w:val="00770156"/>
    <w:rsid w:val="00770671"/>
    <w:rsid w:val="007707C5"/>
    <w:rsid w:val="00770CFE"/>
    <w:rsid w:val="00770FF9"/>
    <w:rsid w:val="00770FFD"/>
    <w:rsid w:val="00771042"/>
    <w:rsid w:val="00771086"/>
    <w:rsid w:val="00771131"/>
    <w:rsid w:val="0077122C"/>
    <w:rsid w:val="0077164D"/>
    <w:rsid w:val="00771912"/>
    <w:rsid w:val="00771EE5"/>
    <w:rsid w:val="00771FD0"/>
    <w:rsid w:val="0077211F"/>
    <w:rsid w:val="007722ED"/>
    <w:rsid w:val="007723E0"/>
    <w:rsid w:val="00772477"/>
    <w:rsid w:val="0077252E"/>
    <w:rsid w:val="007725B3"/>
    <w:rsid w:val="00772738"/>
    <w:rsid w:val="00772829"/>
    <w:rsid w:val="0077295D"/>
    <w:rsid w:val="00772B91"/>
    <w:rsid w:val="00772E59"/>
    <w:rsid w:val="0077346F"/>
    <w:rsid w:val="00773570"/>
    <w:rsid w:val="0077370E"/>
    <w:rsid w:val="00773796"/>
    <w:rsid w:val="007738D5"/>
    <w:rsid w:val="00773946"/>
    <w:rsid w:val="00774033"/>
    <w:rsid w:val="0077453A"/>
    <w:rsid w:val="00774E70"/>
    <w:rsid w:val="007751A5"/>
    <w:rsid w:val="007756F4"/>
    <w:rsid w:val="00775786"/>
    <w:rsid w:val="007757EF"/>
    <w:rsid w:val="00775973"/>
    <w:rsid w:val="00775C4F"/>
    <w:rsid w:val="0077606B"/>
    <w:rsid w:val="007760E3"/>
    <w:rsid w:val="007762E4"/>
    <w:rsid w:val="00776457"/>
    <w:rsid w:val="007765FC"/>
    <w:rsid w:val="00776709"/>
    <w:rsid w:val="00776776"/>
    <w:rsid w:val="007767B8"/>
    <w:rsid w:val="00776813"/>
    <w:rsid w:val="0077691B"/>
    <w:rsid w:val="00776C05"/>
    <w:rsid w:val="00776D25"/>
    <w:rsid w:val="00776D81"/>
    <w:rsid w:val="00776F19"/>
    <w:rsid w:val="00777474"/>
    <w:rsid w:val="00777848"/>
    <w:rsid w:val="00777893"/>
    <w:rsid w:val="007779F9"/>
    <w:rsid w:val="00777C43"/>
    <w:rsid w:val="00777E9C"/>
    <w:rsid w:val="0078011D"/>
    <w:rsid w:val="00780390"/>
    <w:rsid w:val="0078072B"/>
    <w:rsid w:val="00780752"/>
    <w:rsid w:val="0078082B"/>
    <w:rsid w:val="00780927"/>
    <w:rsid w:val="00780950"/>
    <w:rsid w:val="00780983"/>
    <w:rsid w:val="007809E9"/>
    <w:rsid w:val="00780A45"/>
    <w:rsid w:val="00780C3F"/>
    <w:rsid w:val="00780E99"/>
    <w:rsid w:val="007816E4"/>
    <w:rsid w:val="00781944"/>
    <w:rsid w:val="00781CB3"/>
    <w:rsid w:val="00781F4C"/>
    <w:rsid w:val="00781FAD"/>
    <w:rsid w:val="0078205F"/>
    <w:rsid w:val="007822F2"/>
    <w:rsid w:val="0078236B"/>
    <w:rsid w:val="007825B4"/>
    <w:rsid w:val="007827F9"/>
    <w:rsid w:val="00782B60"/>
    <w:rsid w:val="00782D3A"/>
    <w:rsid w:val="00782F6C"/>
    <w:rsid w:val="00783129"/>
    <w:rsid w:val="0078375F"/>
    <w:rsid w:val="00783762"/>
    <w:rsid w:val="0078395D"/>
    <w:rsid w:val="00783965"/>
    <w:rsid w:val="00783B92"/>
    <w:rsid w:val="00783D20"/>
    <w:rsid w:val="00783DFB"/>
    <w:rsid w:val="00783E92"/>
    <w:rsid w:val="007844A1"/>
    <w:rsid w:val="00784853"/>
    <w:rsid w:val="0078487D"/>
    <w:rsid w:val="007849FE"/>
    <w:rsid w:val="00784A47"/>
    <w:rsid w:val="00784A4A"/>
    <w:rsid w:val="00784AC9"/>
    <w:rsid w:val="00784D84"/>
    <w:rsid w:val="007850F3"/>
    <w:rsid w:val="007852E9"/>
    <w:rsid w:val="0078556F"/>
    <w:rsid w:val="007855DD"/>
    <w:rsid w:val="007857B3"/>
    <w:rsid w:val="00785A5D"/>
    <w:rsid w:val="007861B7"/>
    <w:rsid w:val="00786388"/>
    <w:rsid w:val="00786820"/>
    <w:rsid w:val="00786843"/>
    <w:rsid w:val="00786995"/>
    <w:rsid w:val="00786A13"/>
    <w:rsid w:val="00786ADB"/>
    <w:rsid w:val="00786B17"/>
    <w:rsid w:val="00786E34"/>
    <w:rsid w:val="0078717C"/>
    <w:rsid w:val="007871E0"/>
    <w:rsid w:val="007873D9"/>
    <w:rsid w:val="007877AB"/>
    <w:rsid w:val="00787924"/>
    <w:rsid w:val="00787A81"/>
    <w:rsid w:val="00787D84"/>
    <w:rsid w:val="007901B5"/>
    <w:rsid w:val="00790374"/>
    <w:rsid w:val="00790B15"/>
    <w:rsid w:val="00790F49"/>
    <w:rsid w:val="00790F73"/>
    <w:rsid w:val="007910F3"/>
    <w:rsid w:val="0079112D"/>
    <w:rsid w:val="00791132"/>
    <w:rsid w:val="007919A8"/>
    <w:rsid w:val="00791A56"/>
    <w:rsid w:val="00791CA1"/>
    <w:rsid w:val="00791E00"/>
    <w:rsid w:val="007921A0"/>
    <w:rsid w:val="007922FA"/>
    <w:rsid w:val="007924D4"/>
    <w:rsid w:val="007926F6"/>
    <w:rsid w:val="007927D5"/>
    <w:rsid w:val="007927E7"/>
    <w:rsid w:val="00792A16"/>
    <w:rsid w:val="00792B44"/>
    <w:rsid w:val="00792D00"/>
    <w:rsid w:val="00792E99"/>
    <w:rsid w:val="00792F1F"/>
    <w:rsid w:val="0079316A"/>
    <w:rsid w:val="007931CB"/>
    <w:rsid w:val="00793619"/>
    <w:rsid w:val="00793969"/>
    <w:rsid w:val="00793B2F"/>
    <w:rsid w:val="00793B56"/>
    <w:rsid w:val="00794750"/>
    <w:rsid w:val="00794974"/>
    <w:rsid w:val="007949DD"/>
    <w:rsid w:val="00794B0D"/>
    <w:rsid w:val="00794D9E"/>
    <w:rsid w:val="00794F65"/>
    <w:rsid w:val="007951D4"/>
    <w:rsid w:val="00795458"/>
    <w:rsid w:val="00795668"/>
    <w:rsid w:val="007956A1"/>
    <w:rsid w:val="007959D8"/>
    <w:rsid w:val="00795AF2"/>
    <w:rsid w:val="00795BEB"/>
    <w:rsid w:val="00795E36"/>
    <w:rsid w:val="00795EBA"/>
    <w:rsid w:val="007962C1"/>
    <w:rsid w:val="00796989"/>
    <w:rsid w:val="007972A5"/>
    <w:rsid w:val="007976B3"/>
    <w:rsid w:val="00797AD1"/>
    <w:rsid w:val="00797C46"/>
    <w:rsid w:val="00797EFA"/>
    <w:rsid w:val="007A00DA"/>
    <w:rsid w:val="007A00F3"/>
    <w:rsid w:val="007A0185"/>
    <w:rsid w:val="007A0198"/>
    <w:rsid w:val="007A054D"/>
    <w:rsid w:val="007A089F"/>
    <w:rsid w:val="007A08C0"/>
    <w:rsid w:val="007A0918"/>
    <w:rsid w:val="007A0B18"/>
    <w:rsid w:val="007A0E92"/>
    <w:rsid w:val="007A11B6"/>
    <w:rsid w:val="007A1457"/>
    <w:rsid w:val="007A19F6"/>
    <w:rsid w:val="007A1BEE"/>
    <w:rsid w:val="007A1D69"/>
    <w:rsid w:val="007A243C"/>
    <w:rsid w:val="007A27EF"/>
    <w:rsid w:val="007A2B65"/>
    <w:rsid w:val="007A2ED8"/>
    <w:rsid w:val="007A2F85"/>
    <w:rsid w:val="007A3043"/>
    <w:rsid w:val="007A3533"/>
    <w:rsid w:val="007A35D8"/>
    <w:rsid w:val="007A35F9"/>
    <w:rsid w:val="007A36A6"/>
    <w:rsid w:val="007A3905"/>
    <w:rsid w:val="007A3C42"/>
    <w:rsid w:val="007A3CEC"/>
    <w:rsid w:val="007A40EC"/>
    <w:rsid w:val="007A445D"/>
    <w:rsid w:val="007A4835"/>
    <w:rsid w:val="007A4AC9"/>
    <w:rsid w:val="007A4AD0"/>
    <w:rsid w:val="007A4AFD"/>
    <w:rsid w:val="007A4B90"/>
    <w:rsid w:val="007A4EC5"/>
    <w:rsid w:val="007A527E"/>
    <w:rsid w:val="007A52AC"/>
    <w:rsid w:val="007A5380"/>
    <w:rsid w:val="007A5390"/>
    <w:rsid w:val="007A5467"/>
    <w:rsid w:val="007A5529"/>
    <w:rsid w:val="007A5617"/>
    <w:rsid w:val="007A562D"/>
    <w:rsid w:val="007A57AA"/>
    <w:rsid w:val="007A5D21"/>
    <w:rsid w:val="007A5E1F"/>
    <w:rsid w:val="007A5ED3"/>
    <w:rsid w:val="007A5F13"/>
    <w:rsid w:val="007A605E"/>
    <w:rsid w:val="007A63E3"/>
    <w:rsid w:val="007A6501"/>
    <w:rsid w:val="007A66EF"/>
    <w:rsid w:val="007A686A"/>
    <w:rsid w:val="007A698B"/>
    <w:rsid w:val="007A6B31"/>
    <w:rsid w:val="007A6B98"/>
    <w:rsid w:val="007A6C36"/>
    <w:rsid w:val="007A6F5D"/>
    <w:rsid w:val="007A7228"/>
    <w:rsid w:val="007A7498"/>
    <w:rsid w:val="007A7B36"/>
    <w:rsid w:val="007A7C85"/>
    <w:rsid w:val="007B0245"/>
    <w:rsid w:val="007B02A6"/>
    <w:rsid w:val="007B0757"/>
    <w:rsid w:val="007B083F"/>
    <w:rsid w:val="007B0880"/>
    <w:rsid w:val="007B0886"/>
    <w:rsid w:val="007B0B09"/>
    <w:rsid w:val="007B0D01"/>
    <w:rsid w:val="007B0D2F"/>
    <w:rsid w:val="007B109D"/>
    <w:rsid w:val="007B1171"/>
    <w:rsid w:val="007B134F"/>
    <w:rsid w:val="007B1454"/>
    <w:rsid w:val="007B1870"/>
    <w:rsid w:val="007B18B4"/>
    <w:rsid w:val="007B1BF8"/>
    <w:rsid w:val="007B1C95"/>
    <w:rsid w:val="007B1CD8"/>
    <w:rsid w:val="007B1D4A"/>
    <w:rsid w:val="007B2085"/>
    <w:rsid w:val="007B216A"/>
    <w:rsid w:val="007B2358"/>
    <w:rsid w:val="007B275D"/>
    <w:rsid w:val="007B2C66"/>
    <w:rsid w:val="007B2E6B"/>
    <w:rsid w:val="007B2E92"/>
    <w:rsid w:val="007B2FDC"/>
    <w:rsid w:val="007B306F"/>
    <w:rsid w:val="007B30A2"/>
    <w:rsid w:val="007B349C"/>
    <w:rsid w:val="007B3576"/>
    <w:rsid w:val="007B381D"/>
    <w:rsid w:val="007B38A0"/>
    <w:rsid w:val="007B38B7"/>
    <w:rsid w:val="007B39E0"/>
    <w:rsid w:val="007B3AA5"/>
    <w:rsid w:val="007B4462"/>
    <w:rsid w:val="007B44EB"/>
    <w:rsid w:val="007B4886"/>
    <w:rsid w:val="007B48B1"/>
    <w:rsid w:val="007B4939"/>
    <w:rsid w:val="007B496B"/>
    <w:rsid w:val="007B4BB9"/>
    <w:rsid w:val="007B4CD6"/>
    <w:rsid w:val="007B4F7B"/>
    <w:rsid w:val="007B5303"/>
    <w:rsid w:val="007B555D"/>
    <w:rsid w:val="007B55F9"/>
    <w:rsid w:val="007B583D"/>
    <w:rsid w:val="007B584F"/>
    <w:rsid w:val="007B588F"/>
    <w:rsid w:val="007B58FC"/>
    <w:rsid w:val="007B598B"/>
    <w:rsid w:val="007B5B2D"/>
    <w:rsid w:val="007B5BBA"/>
    <w:rsid w:val="007B5BD0"/>
    <w:rsid w:val="007B5E2F"/>
    <w:rsid w:val="007B61E7"/>
    <w:rsid w:val="007B6340"/>
    <w:rsid w:val="007B63B8"/>
    <w:rsid w:val="007B63E7"/>
    <w:rsid w:val="007B65D6"/>
    <w:rsid w:val="007B6684"/>
    <w:rsid w:val="007B6731"/>
    <w:rsid w:val="007B68B3"/>
    <w:rsid w:val="007B6B21"/>
    <w:rsid w:val="007B6B33"/>
    <w:rsid w:val="007B6DE1"/>
    <w:rsid w:val="007B6EB9"/>
    <w:rsid w:val="007B6FC8"/>
    <w:rsid w:val="007B7024"/>
    <w:rsid w:val="007B7161"/>
    <w:rsid w:val="007B747B"/>
    <w:rsid w:val="007B7813"/>
    <w:rsid w:val="007B79A4"/>
    <w:rsid w:val="007C02A6"/>
    <w:rsid w:val="007C02C7"/>
    <w:rsid w:val="007C0390"/>
    <w:rsid w:val="007C04DD"/>
    <w:rsid w:val="007C0ED7"/>
    <w:rsid w:val="007C1140"/>
    <w:rsid w:val="007C14A2"/>
    <w:rsid w:val="007C1559"/>
    <w:rsid w:val="007C17B4"/>
    <w:rsid w:val="007C1ADE"/>
    <w:rsid w:val="007C1B63"/>
    <w:rsid w:val="007C1DE0"/>
    <w:rsid w:val="007C2171"/>
    <w:rsid w:val="007C22A9"/>
    <w:rsid w:val="007C25B3"/>
    <w:rsid w:val="007C2874"/>
    <w:rsid w:val="007C2A7C"/>
    <w:rsid w:val="007C2B61"/>
    <w:rsid w:val="007C2E45"/>
    <w:rsid w:val="007C2EA2"/>
    <w:rsid w:val="007C300E"/>
    <w:rsid w:val="007C3027"/>
    <w:rsid w:val="007C328D"/>
    <w:rsid w:val="007C336F"/>
    <w:rsid w:val="007C3638"/>
    <w:rsid w:val="007C396F"/>
    <w:rsid w:val="007C39FA"/>
    <w:rsid w:val="007C3B2C"/>
    <w:rsid w:val="007C3B5D"/>
    <w:rsid w:val="007C3E49"/>
    <w:rsid w:val="007C3E5A"/>
    <w:rsid w:val="007C4029"/>
    <w:rsid w:val="007C413E"/>
    <w:rsid w:val="007C41B1"/>
    <w:rsid w:val="007C469B"/>
    <w:rsid w:val="007C46ED"/>
    <w:rsid w:val="007C4756"/>
    <w:rsid w:val="007C47D9"/>
    <w:rsid w:val="007C48E0"/>
    <w:rsid w:val="007C49A4"/>
    <w:rsid w:val="007C4AD4"/>
    <w:rsid w:val="007C4B8A"/>
    <w:rsid w:val="007C4F33"/>
    <w:rsid w:val="007C4FFE"/>
    <w:rsid w:val="007C5000"/>
    <w:rsid w:val="007C56CC"/>
    <w:rsid w:val="007C583D"/>
    <w:rsid w:val="007C5870"/>
    <w:rsid w:val="007C5B11"/>
    <w:rsid w:val="007C5B1B"/>
    <w:rsid w:val="007C5C78"/>
    <w:rsid w:val="007C5D28"/>
    <w:rsid w:val="007C6108"/>
    <w:rsid w:val="007C650E"/>
    <w:rsid w:val="007C6512"/>
    <w:rsid w:val="007C67AC"/>
    <w:rsid w:val="007C6B99"/>
    <w:rsid w:val="007C6D26"/>
    <w:rsid w:val="007C6DB9"/>
    <w:rsid w:val="007C710E"/>
    <w:rsid w:val="007C721C"/>
    <w:rsid w:val="007C7378"/>
    <w:rsid w:val="007C7591"/>
    <w:rsid w:val="007C7B21"/>
    <w:rsid w:val="007C7CE1"/>
    <w:rsid w:val="007C7DEA"/>
    <w:rsid w:val="007D0588"/>
    <w:rsid w:val="007D08D5"/>
    <w:rsid w:val="007D0BCE"/>
    <w:rsid w:val="007D0C21"/>
    <w:rsid w:val="007D0F34"/>
    <w:rsid w:val="007D1550"/>
    <w:rsid w:val="007D15C9"/>
    <w:rsid w:val="007D19F6"/>
    <w:rsid w:val="007D1F07"/>
    <w:rsid w:val="007D1FE1"/>
    <w:rsid w:val="007D227D"/>
    <w:rsid w:val="007D24D2"/>
    <w:rsid w:val="007D2941"/>
    <w:rsid w:val="007D2A04"/>
    <w:rsid w:val="007D2B41"/>
    <w:rsid w:val="007D2CF6"/>
    <w:rsid w:val="007D2DE8"/>
    <w:rsid w:val="007D2E42"/>
    <w:rsid w:val="007D2E77"/>
    <w:rsid w:val="007D30B7"/>
    <w:rsid w:val="007D32F0"/>
    <w:rsid w:val="007D330B"/>
    <w:rsid w:val="007D3682"/>
    <w:rsid w:val="007D3AE6"/>
    <w:rsid w:val="007D3AFB"/>
    <w:rsid w:val="007D3B0A"/>
    <w:rsid w:val="007D3EBF"/>
    <w:rsid w:val="007D3F5B"/>
    <w:rsid w:val="007D41CB"/>
    <w:rsid w:val="007D4A8F"/>
    <w:rsid w:val="007D4F6B"/>
    <w:rsid w:val="007D526A"/>
    <w:rsid w:val="007D538C"/>
    <w:rsid w:val="007D555E"/>
    <w:rsid w:val="007D5674"/>
    <w:rsid w:val="007D5766"/>
    <w:rsid w:val="007D596B"/>
    <w:rsid w:val="007D5A50"/>
    <w:rsid w:val="007D5CB7"/>
    <w:rsid w:val="007D5D6D"/>
    <w:rsid w:val="007D63E0"/>
    <w:rsid w:val="007D64C8"/>
    <w:rsid w:val="007D6523"/>
    <w:rsid w:val="007D6567"/>
    <w:rsid w:val="007D65C0"/>
    <w:rsid w:val="007D66AB"/>
    <w:rsid w:val="007D670A"/>
    <w:rsid w:val="007D69B6"/>
    <w:rsid w:val="007D6A31"/>
    <w:rsid w:val="007D6D04"/>
    <w:rsid w:val="007D70F8"/>
    <w:rsid w:val="007D715C"/>
    <w:rsid w:val="007D7490"/>
    <w:rsid w:val="007D7896"/>
    <w:rsid w:val="007D7921"/>
    <w:rsid w:val="007D7F2F"/>
    <w:rsid w:val="007E02D7"/>
    <w:rsid w:val="007E09A0"/>
    <w:rsid w:val="007E0E84"/>
    <w:rsid w:val="007E134A"/>
    <w:rsid w:val="007E1524"/>
    <w:rsid w:val="007E157C"/>
    <w:rsid w:val="007E15AD"/>
    <w:rsid w:val="007E166C"/>
    <w:rsid w:val="007E166F"/>
    <w:rsid w:val="007E1A63"/>
    <w:rsid w:val="007E1B4A"/>
    <w:rsid w:val="007E1C74"/>
    <w:rsid w:val="007E1C96"/>
    <w:rsid w:val="007E1E7F"/>
    <w:rsid w:val="007E1FDF"/>
    <w:rsid w:val="007E2052"/>
    <w:rsid w:val="007E25ED"/>
    <w:rsid w:val="007E2609"/>
    <w:rsid w:val="007E265B"/>
    <w:rsid w:val="007E295A"/>
    <w:rsid w:val="007E2BC0"/>
    <w:rsid w:val="007E2C35"/>
    <w:rsid w:val="007E2CE7"/>
    <w:rsid w:val="007E32EC"/>
    <w:rsid w:val="007E34BB"/>
    <w:rsid w:val="007E36FE"/>
    <w:rsid w:val="007E3822"/>
    <w:rsid w:val="007E3EBB"/>
    <w:rsid w:val="007E432F"/>
    <w:rsid w:val="007E444C"/>
    <w:rsid w:val="007E482C"/>
    <w:rsid w:val="007E48C6"/>
    <w:rsid w:val="007E493A"/>
    <w:rsid w:val="007E5010"/>
    <w:rsid w:val="007E509D"/>
    <w:rsid w:val="007E50BE"/>
    <w:rsid w:val="007E56B9"/>
    <w:rsid w:val="007E5A21"/>
    <w:rsid w:val="007E5B62"/>
    <w:rsid w:val="007E5D63"/>
    <w:rsid w:val="007E5DA5"/>
    <w:rsid w:val="007E60A8"/>
    <w:rsid w:val="007E61D4"/>
    <w:rsid w:val="007E635D"/>
    <w:rsid w:val="007E6703"/>
    <w:rsid w:val="007E6746"/>
    <w:rsid w:val="007E697A"/>
    <w:rsid w:val="007E6A19"/>
    <w:rsid w:val="007E6B1A"/>
    <w:rsid w:val="007E6DD6"/>
    <w:rsid w:val="007E6ECA"/>
    <w:rsid w:val="007E7019"/>
    <w:rsid w:val="007E7211"/>
    <w:rsid w:val="007E73BE"/>
    <w:rsid w:val="007E74CF"/>
    <w:rsid w:val="007E76C8"/>
    <w:rsid w:val="007E7A85"/>
    <w:rsid w:val="007E7BCE"/>
    <w:rsid w:val="007F03F8"/>
    <w:rsid w:val="007F041A"/>
    <w:rsid w:val="007F0776"/>
    <w:rsid w:val="007F0ACC"/>
    <w:rsid w:val="007F0C42"/>
    <w:rsid w:val="007F0D97"/>
    <w:rsid w:val="007F0E17"/>
    <w:rsid w:val="007F1128"/>
    <w:rsid w:val="007F126F"/>
    <w:rsid w:val="007F13D2"/>
    <w:rsid w:val="007F1578"/>
    <w:rsid w:val="007F15E3"/>
    <w:rsid w:val="007F1703"/>
    <w:rsid w:val="007F1756"/>
    <w:rsid w:val="007F1B6D"/>
    <w:rsid w:val="007F1DA6"/>
    <w:rsid w:val="007F1EC9"/>
    <w:rsid w:val="007F1EE3"/>
    <w:rsid w:val="007F2405"/>
    <w:rsid w:val="007F2A9F"/>
    <w:rsid w:val="007F2E0D"/>
    <w:rsid w:val="007F2F58"/>
    <w:rsid w:val="007F2FD8"/>
    <w:rsid w:val="007F3036"/>
    <w:rsid w:val="007F30C9"/>
    <w:rsid w:val="007F316B"/>
    <w:rsid w:val="007F38B5"/>
    <w:rsid w:val="007F3A8C"/>
    <w:rsid w:val="007F3BF8"/>
    <w:rsid w:val="007F3CEF"/>
    <w:rsid w:val="007F3D69"/>
    <w:rsid w:val="007F4013"/>
    <w:rsid w:val="007F40E4"/>
    <w:rsid w:val="007F42BB"/>
    <w:rsid w:val="007F4489"/>
    <w:rsid w:val="007F4594"/>
    <w:rsid w:val="007F4DC1"/>
    <w:rsid w:val="007F4F61"/>
    <w:rsid w:val="007F50F6"/>
    <w:rsid w:val="007F537C"/>
    <w:rsid w:val="007F549E"/>
    <w:rsid w:val="007F5826"/>
    <w:rsid w:val="007F60A8"/>
    <w:rsid w:val="007F648A"/>
    <w:rsid w:val="007F65A2"/>
    <w:rsid w:val="007F6711"/>
    <w:rsid w:val="007F67E9"/>
    <w:rsid w:val="007F6B10"/>
    <w:rsid w:val="007F6D1F"/>
    <w:rsid w:val="007F6E0D"/>
    <w:rsid w:val="007F6E4E"/>
    <w:rsid w:val="007F766E"/>
    <w:rsid w:val="007F7802"/>
    <w:rsid w:val="007F7BD5"/>
    <w:rsid w:val="007F7C7B"/>
    <w:rsid w:val="007F7CED"/>
    <w:rsid w:val="0080008D"/>
    <w:rsid w:val="008000CB"/>
    <w:rsid w:val="008000F6"/>
    <w:rsid w:val="008003A2"/>
    <w:rsid w:val="00800BC0"/>
    <w:rsid w:val="00800BFF"/>
    <w:rsid w:val="00800CDB"/>
    <w:rsid w:val="00801401"/>
    <w:rsid w:val="00801D25"/>
    <w:rsid w:val="008020C5"/>
    <w:rsid w:val="00802185"/>
    <w:rsid w:val="008021E1"/>
    <w:rsid w:val="00802334"/>
    <w:rsid w:val="00802899"/>
    <w:rsid w:val="008028E9"/>
    <w:rsid w:val="00802D90"/>
    <w:rsid w:val="00803229"/>
    <w:rsid w:val="008032B3"/>
    <w:rsid w:val="0080333C"/>
    <w:rsid w:val="00803629"/>
    <w:rsid w:val="008039C8"/>
    <w:rsid w:val="008040A2"/>
    <w:rsid w:val="00804152"/>
    <w:rsid w:val="00804269"/>
    <w:rsid w:val="008044D1"/>
    <w:rsid w:val="00804554"/>
    <w:rsid w:val="00804632"/>
    <w:rsid w:val="00804848"/>
    <w:rsid w:val="0080494D"/>
    <w:rsid w:val="00804B53"/>
    <w:rsid w:val="00804B96"/>
    <w:rsid w:val="00804D5B"/>
    <w:rsid w:val="00804FB9"/>
    <w:rsid w:val="008054D9"/>
    <w:rsid w:val="00805512"/>
    <w:rsid w:val="008055E0"/>
    <w:rsid w:val="0080592F"/>
    <w:rsid w:val="0080596A"/>
    <w:rsid w:val="008059C0"/>
    <w:rsid w:val="00805A1C"/>
    <w:rsid w:val="00805AB3"/>
    <w:rsid w:val="00805B3C"/>
    <w:rsid w:val="00805C4E"/>
    <w:rsid w:val="0080614A"/>
    <w:rsid w:val="008061EB"/>
    <w:rsid w:val="00806301"/>
    <w:rsid w:val="0080651B"/>
    <w:rsid w:val="008065CE"/>
    <w:rsid w:val="00806688"/>
    <w:rsid w:val="0080695E"/>
    <w:rsid w:val="008069D6"/>
    <w:rsid w:val="00806D6A"/>
    <w:rsid w:val="00806EEA"/>
    <w:rsid w:val="00806F40"/>
    <w:rsid w:val="00807308"/>
    <w:rsid w:val="0080732D"/>
    <w:rsid w:val="008074BE"/>
    <w:rsid w:val="00807715"/>
    <w:rsid w:val="00807A3E"/>
    <w:rsid w:val="00810338"/>
    <w:rsid w:val="008107C4"/>
    <w:rsid w:val="008108C5"/>
    <w:rsid w:val="008108FC"/>
    <w:rsid w:val="00810B72"/>
    <w:rsid w:val="00810B91"/>
    <w:rsid w:val="00810CEF"/>
    <w:rsid w:val="00810E2C"/>
    <w:rsid w:val="00810E30"/>
    <w:rsid w:val="00810F6D"/>
    <w:rsid w:val="00810F81"/>
    <w:rsid w:val="0081101B"/>
    <w:rsid w:val="008110C4"/>
    <w:rsid w:val="008112EF"/>
    <w:rsid w:val="008118B9"/>
    <w:rsid w:val="008118EC"/>
    <w:rsid w:val="00811CAC"/>
    <w:rsid w:val="00811CD4"/>
    <w:rsid w:val="00811D35"/>
    <w:rsid w:val="00811D51"/>
    <w:rsid w:val="00811EE6"/>
    <w:rsid w:val="0081212D"/>
    <w:rsid w:val="00812282"/>
    <w:rsid w:val="008126D4"/>
    <w:rsid w:val="0081272C"/>
    <w:rsid w:val="00812DB4"/>
    <w:rsid w:val="00813076"/>
    <w:rsid w:val="00813435"/>
    <w:rsid w:val="00813B26"/>
    <w:rsid w:val="00813DEA"/>
    <w:rsid w:val="00813E5D"/>
    <w:rsid w:val="00813EF2"/>
    <w:rsid w:val="00813F58"/>
    <w:rsid w:val="00813FB3"/>
    <w:rsid w:val="00813FBD"/>
    <w:rsid w:val="0081439E"/>
    <w:rsid w:val="008143B9"/>
    <w:rsid w:val="0081440B"/>
    <w:rsid w:val="00814620"/>
    <w:rsid w:val="008148E4"/>
    <w:rsid w:val="00814966"/>
    <w:rsid w:val="00814B46"/>
    <w:rsid w:val="00814F25"/>
    <w:rsid w:val="008153BF"/>
    <w:rsid w:val="00815576"/>
    <w:rsid w:val="008156E5"/>
    <w:rsid w:val="008157F1"/>
    <w:rsid w:val="00815B2E"/>
    <w:rsid w:val="00815C2B"/>
    <w:rsid w:val="00815C92"/>
    <w:rsid w:val="00815D84"/>
    <w:rsid w:val="00815E6A"/>
    <w:rsid w:val="0081602A"/>
    <w:rsid w:val="00816075"/>
    <w:rsid w:val="00816200"/>
    <w:rsid w:val="00816499"/>
    <w:rsid w:val="00816817"/>
    <w:rsid w:val="0081692A"/>
    <w:rsid w:val="00816931"/>
    <w:rsid w:val="00816CC9"/>
    <w:rsid w:val="00816DE1"/>
    <w:rsid w:val="00816EC2"/>
    <w:rsid w:val="00816FBE"/>
    <w:rsid w:val="00817247"/>
    <w:rsid w:val="008173CA"/>
    <w:rsid w:val="00817675"/>
    <w:rsid w:val="00817A32"/>
    <w:rsid w:val="00817C35"/>
    <w:rsid w:val="00817DD7"/>
    <w:rsid w:val="00817EA3"/>
    <w:rsid w:val="008200F3"/>
    <w:rsid w:val="00820895"/>
    <w:rsid w:val="008208F9"/>
    <w:rsid w:val="0082097E"/>
    <w:rsid w:val="00820A19"/>
    <w:rsid w:val="008211C8"/>
    <w:rsid w:val="008213CF"/>
    <w:rsid w:val="0082168C"/>
    <w:rsid w:val="00821AD9"/>
    <w:rsid w:val="00821BCF"/>
    <w:rsid w:val="00821E99"/>
    <w:rsid w:val="008223C0"/>
    <w:rsid w:val="008223DA"/>
    <w:rsid w:val="00822617"/>
    <w:rsid w:val="008226DA"/>
    <w:rsid w:val="00822C49"/>
    <w:rsid w:val="00822E83"/>
    <w:rsid w:val="00822F91"/>
    <w:rsid w:val="00822FD7"/>
    <w:rsid w:val="008230EF"/>
    <w:rsid w:val="00823175"/>
    <w:rsid w:val="008234C6"/>
    <w:rsid w:val="00823610"/>
    <w:rsid w:val="008236E1"/>
    <w:rsid w:val="0082392B"/>
    <w:rsid w:val="008239EC"/>
    <w:rsid w:val="00823BAC"/>
    <w:rsid w:val="00824044"/>
    <w:rsid w:val="0082419A"/>
    <w:rsid w:val="0082430C"/>
    <w:rsid w:val="00824310"/>
    <w:rsid w:val="00824315"/>
    <w:rsid w:val="0082431F"/>
    <w:rsid w:val="00824458"/>
    <w:rsid w:val="00824623"/>
    <w:rsid w:val="00824854"/>
    <w:rsid w:val="008249F7"/>
    <w:rsid w:val="00824B74"/>
    <w:rsid w:val="00824B83"/>
    <w:rsid w:val="00824BA8"/>
    <w:rsid w:val="00824C49"/>
    <w:rsid w:val="0082501A"/>
    <w:rsid w:val="0082517F"/>
    <w:rsid w:val="008252C8"/>
    <w:rsid w:val="0082543D"/>
    <w:rsid w:val="0082577A"/>
    <w:rsid w:val="00825893"/>
    <w:rsid w:val="00825938"/>
    <w:rsid w:val="00825963"/>
    <w:rsid w:val="00825A69"/>
    <w:rsid w:val="00825AE3"/>
    <w:rsid w:val="00825FD1"/>
    <w:rsid w:val="008266D9"/>
    <w:rsid w:val="00826C71"/>
    <w:rsid w:val="00826EBC"/>
    <w:rsid w:val="00827027"/>
    <w:rsid w:val="00827183"/>
    <w:rsid w:val="008271AE"/>
    <w:rsid w:val="008273BF"/>
    <w:rsid w:val="008274C0"/>
    <w:rsid w:val="008275AC"/>
    <w:rsid w:val="00827877"/>
    <w:rsid w:val="0082791E"/>
    <w:rsid w:val="00827CC6"/>
    <w:rsid w:val="00830139"/>
    <w:rsid w:val="00830164"/>
    <w:rsid w:val="008301C4"/>
    <w:rsid w:val="0083025C"/>
    <w:rsid w:val="00830697"/>
    <w:rsid w:val="0083091F"/>
    <w:rsid w:val="00830E43"/>
    <w:rsid w:val="00830FD2"/>
    <w:rsid w:val="0083107C"/>
    <w:rsid w:val="00831083"/>
    <w:rsid w:val="008310B3"/>
    <w:rsid w:val="00831378"/>
    <w:rsid w:val="0083157A"/>
    <w:rsid w:val="008317CE"/>
    <w:rsid w:val="008319EF"/>
    <w:rsid w:val="00831CEC"/>
    <w:rsid w:val="00831F1A"/>
    <w:rsid w:val="00832186"/>
    <w:rsid w:val="008322AD"/>
    <w:rsid w:val="00832309"/>
    <w:rsid w:val="0083241A"/>
    <w:rsid w:val="0083247B"/>
    <w:rsid w:val="008325E3"/>
    <w:rsid w:val="008328D3"/>
    <w:rsid w:val="00832BE1"/>
    <w:rsid w:val="0083304B"/>
    <w:rsid w:val="00833358"/>
    <w:rsid w:val="0083343E"/>
    <w:rsid w:val="008334D0"/>
    <w:rsid w:val="00833584"/>
    <w:rsid w:val="0083362C"/>
    <w:rsid w:val="00833634"/>
    <w:rsid w:val="00833961"/>
    <w:rsid w:val="00833AAC"/>
    <w:rsid w:val="00833B13"/>
    <w:rsid w:val="00833C50"/>
    <w:rsid w:val="00834142"/>
    <w:rsid w:val="00834369"/>
    <w:rsid w:val="00834380"/>
    <w:rsid w:val="008345B9"/>
    <w:rsid w:val="00834673"/>
    <w:rsid w:val="00834A4B"/>
    <w:rsid w:val="00834D81"/>
    <w:rsid w:val="00834E15"/>
    <w:rsid w:val="008350D2"/>
    <w:rsid w:val="0083545E"/>
    <w:rsid w:val="008355EB"/>
    <w:rsid w:val="0083574A"/>
    <w:rsid w:val="0083576B"/>
    <w:rsid w:val="008357FC"/>
    <w:rsid w:val="008359C4"/>
    <w:rsid w:val="00835AD9"/>
    <w:rsid w:val="00835BF6"/>
    <w:rsid w:val="00835D0A"/>
    <w:rsid w:val="00835D61"/>
    <w:rsid w:val="00835E40"/>
    <w:rsid w:val="00835EC9"/>
    <w:rsid w:val="008368D9"/>
    <w:rsid w:val="00836B99"/>
    <w:rsid w:val="00836DDD"/>
    <w:rsid w:val="00836ED1"/>
    <w:rsid w:val="00836F02"/>
    <w:rsid w:val="008379F4"/>
    <w:rsid w:val="00837A0B"/>
    <w:rsid w:val="00837CAC"/>
    <w:rsid w:val="00837D39"/>
    <w:rsid w:val="0084025A"/>
    <w:rsid w:val="008403EE"/>
    <w:rsid w:val="008404BD"/>
    <w:rsid w:val="008404D1"/>
    <w:rsid w:val="00840C1E"/>
    <w:rsid w:val="00840CA4"/>
    <w:rsid w:val="008410F6"/>
    <w:rsid w:val="00841388"/>
    <w:rsid w:val="008413E7"/>
    <w:rsid w:val="0084177E"/>
    <w:rsid w:val="00841D66"/>
    <w:rsid w:val="00841EFB"/>
    <w:rsid w:val="00841F44"/>
    <w:rsid w:val="00842370"/>
    <w:rsid w:val="00842538"/>
    <w:rsid w:val="008426CE"/>
    <w:rsid w:val="00842C82"/>
    <w:rsid w:val="00842F4B"/>
    <w:rsid w:val="00842FD8"/>
    <w:rsid w:val="008432B1"/>
    <w:rsid w:val="0084334E"/>
    <w:rsid w:val="008433D9"/>
    <w:rsid w:val="008436D7"/>
    <w:rsid w:val="008436F0"/>
    <w:rsid w:val="00843A04"/>
    <w:rsid w:val="00843A12"/>
    <w:rsid w:val="00843C40"/>
    <w:rsid w:val="00843C59"/>
    <w:rsid w:val="00843CBE"/>
    <w:rsid w:val="008440FE"/>
    <w:rsid w:val="008441EE"/>
    <w:rsid w:val="008442FA"/>
    <w:rsid w:val="00844457"/>
    <w:rsid w:val="0084456F"/>
    <w:rsid w:val="008445DB"/>
    <w:rsid w:val="00844C8C"/>
    <w:rsid w:val="00844F50"/>
    <w:rsid w:val="0084546A"/>
    <w:rsid w:val="0084555C"/>
    <w:rsid w:val="008458FB"/>
    <w:rsid w:val="00845971"/>
    <w:rsid w:val="00845E37"/>
    <w:rsid w:val="00845FEF"/>
    <w:rsid w:val="00846077"/>
    <w:rsid w:val="0084610E"/>
    <w:rsid w:val="00846119"/>
    <w:rsid w:val="0084614C"/>
    <w:rsid w:val="008461B7"/>
    <w:rsid w:val="0084623B"/>
    <w:rsid w:val="008462EF"/>
    <w:rsid w:val="008463AF"/>
    <w:rsid w:val="008466EA"/>
    <w:rsid w:val="00846889"/>
    <w:rsid w:val="008468E1"/>
    <w:rsid w:val="008469DB"/>
    <w:rsid w:val="00846A14"/>
    <w:rsid w:val="00846AD4"/>
    <w:rsid w:val="00846BD2"/>
    <w:rsid w:val="0084708D"/>
    <w:rsid w:val="008471DC"/>
    <w:rsid w:val="0084721D"/>
    <w:rsid w:val="008474E3"/>
    <w:rsid w:val="00847754"/>
    <w:rsid w:val="00847764"/>
    <w:rsid w:val="00847B1F"/>
    <w:rsid w:val="00847E0D"/>
    <w:rsid w:val="00847FD7"/>
    <w:rsid w:val="00850436"/>
    <w:rsid w:val="00850641"/>
    <w:rsid w:val="008507B6"/>
    <w:rsid w:val="008508FA"/>
    <w:rsid w:val="00850D90"/>
    <w:rsid w:val="00850FC6"/>
    <w:rsid w:val="008510D3"/>
    <w:rsid w:val="0085119A"/>
    <w:rsid w:val="0085126B"/>
    <w:rsid w:val="00851374"/>
    <w:rsid w:val="008514B6"/>
    <w:rsid w:val="0085174C"/>
    <w:rsid w:val="00851845"/>
    <w:rsid w:val="00851EB1"/>
    <w:rsid w:val="00851FEE"/>
    <w:rsid w:val="00852055"/>
    <w:rsid w:val="00852407"/>
    <w:rsid w:val="008527DD"/>
    <w:rsid w:val="008527ED"/>
    <w:rsid w:val="00852F16"/>
    <w:rsid w:val="00852F4C"/>
    <w:rsid w:val="0085312E"/>
    <w:rsid w:val="008532AC"/>
    <w:rsid w:val="0085348B"/>
    <w:rsid w:val="0085352D"/>
    <w:rsid w:val="0085360C"/>
    <w:rsid w:val="008537B4"/>
    <w:rsid w:val="008537F7"/>
    <w:rsid w:val="00853819"/>
    <w:rsid w:val="00853964"/>
    <w:rsid w:val="00853AB3"/>
    <w:rsid w:val="00853F66"/>
    <w:rsid w:val="00853FBF"/>
    <w:rsid w:val="0085419F"/>
    <w:rsid w:val="0085430A"/>
    <w:rsid w:val="008545EF"/>
    <w:rsid w:val="008546BE"/>
    <w:rsid w:val="008547F1"/>
    <w:rsid w:val="008547FC"/>
    <w:rsid w:val="00854A7B"/>
    <w:rsid w:val="00854AB2"/>
    <w:rsid w:val="00854B0C"/>
    <w:rsid w:val="00854E53"/>
    <w:rsid w:val="00854EA8"/>
    <w:rsid w:val="0085500D"/>
    <w:rsid w:val="008550B6"/>
    <w:rsid w:val="00855164"/>
    <w:rsid w:val="008551AC"/>
    <w:rsid w:val="0085534C"/>
    <w:rsid w:val="00855543"/>
    <w:rsid w:val="008555EF"/>
    <w:rsid w:val="008556AB"/>
    <w:rsid w:val="00855BBF"/>
    <w:rsid w:val="00855C59"/>
    <w:rsid w:val="00855CB6"/>
    <w:rsid w:val="00855CE3"/>
    <w:rsid w:val="00856074"/>
    <w:rsid w:val="00856122"/>
    <w:rsid w:val="00856165"/>
    <w:rsid w:val="0085650A"/>
    <w:rsid w:val="008566C0"/>
    <w:rsid w:val="0085672E"/>
    <w:rsid w:val="008567F3"/>
    <w:rsid w:val="00856803"/>
    <w:rsid w:val="00856C63"/>
    <w:rsid w:val="00856D0B"/>
    <w:rsid w:val="00856E04"/>
    <w:rsid w:val="00856F63"/>
    <w:rsid w:val="008573BE"/>
    <w:rsid w:val="00857483"/>
    <w:rsid w:val="00857949"/>
    <w:rsid w:val="00857B2F"/>
    <w:rsid w:val="00857B7F"/>
    <w:rsid w:val="00857FC5"/>
    <w:rsid w:val="008600BB"/>
    <w:rsid w:val="00860349"/>
    <w:rsid w:val="00860832"/>
    <w:rsid w:val="00860C4D"/>
    <w:rsid w:val="00860E0B"/>
    <w:rsid w:val="00860F4B"/>
    <w:rsid w:val="00860FCF"/>
    <w:rsid w:val="0086101A"/>
    <w:rsid w:val="008610FA"/>
    <w:rsid w:val="008611FA"/>
    <w:rsid w:val="0086120A"/>
    <w:rsid w:val="0086134D"/>
    <w:rsid w:val="008615D3"/>
    <w:rsid w:val="00861654"/>
    <w:rsid w:val="00861A17"/>
    <w:rsid w:val="00861C81"/>
    <w:rsid w:val="00861CF0"/>
    <w:rsid w:val="00861F58"/>
    <w:rsid w:val="00862028"/>
    <w:rsid w:val="0086211B"/>
    <w:rsid w:val="00862310"/>
    <w:rsid w:val="008624BC"/>
    <w:rsid w:val="00862551"/>
    <w:rsid w:val="0086291A"/>
    <w:rsid w:val="00862C83"/>
    <w:rsid w:val="00862C9D"/>
    <w:rsid w:val="008632E3"/>
    <w:rsid w:val="00863772"/>
    <w:rsid w:val="0086378C"/>
    <w:rsid w:val="00863C28"/>
    <w:rsid w:val="00864138"/>
    <w:rsid w:val="00864247"/>
    <w:rsid w:val="00864644"/>
    <w:rsid w:val="00864A79"/>
    <w:rsid w:val="008650D8"/>
    <w:rsid w:val="00865474"/>
    <w:rsid w:val="0086551D"/>
    <w:rsid w:val="00865878"/>
    <w:rsid w:val="00865897"/>
    <w:rsid w:val="00865BB3"/>
    <w:rsid w:val="00865D8E"/>
    <w:rsid w:val="00865EEA"/>
    <w:rsid w:val="00865FC6"/>
    <w:rsid w:val="008660B7"/>
    <w:rsid w:val="008662F7"/>
    <w:rsid w:val="00866679"/>
    <w:rsid w:val="008666F1"/>
    <w:rsid w:val="0086679B"/>
    <w:rsid w:val="00866889"/>
    <w:rsid w:val="00866C8F"/>
    <w:rsid w:val="00866CA2"/>
    <w:rsid w:val="00867139"/>
    <w:rsid w:val="008673EC"/>
    <w:rsid w:val="00867589"/>
    <w:rsid w:val="008676C6"/>
    <w:rsid w:val="008677A5"/>
    <w:rsid w:val="00867B27"/>
    <w:rsid w:val="00867B74"/>
    <w:rsid w:val="00867BEA"/>
    <w:rsid w:val="00870065"/>
    <w:rsid w:val="008700BC"/>
    <w:rsid w:val="00870326"/>
    <w:rsid w:val="0087032F"/>
    <w:rsid w:val="0087037F"/>
    <w:rsid w:val="00870445"/>
    <w:rsid w:val="008708A4"/>
    <w:rsid w:val="00870A24"/>
    <w:rsid w:val="00870A4F"/>
    <w:rsid w:val="00870B9E"/>
    <w:rsid w:val="008710C3"/>
    <w:rsid w:val="0087122F"/>
    <w:rsid w:val="00871242"/>
    <w:rsid w:val="008713FD"/>
    <w:rsid w:val="008718F4"/>
    <w:rsid w:val="008718FE"/>
    <w:rsid w:val="00871964"/>
    <w:rsid w:val="008719C5"/>
    <w:rsid w:val="00871B6D"/>
    <w:rsid w:val="00871FAA"/>
    <w:rsid w:val="00872087"/>
    <w:rsid w:val="00872094"/>
    <w:rsid w:val="0087277A"/>
    <w:rsid w:val="008727A4"/>
    <w:rsid w:val="00872A47"/>
    <w:rsid w:val="00872B22"/>
    <w:rsid w:val="00872FA2"/>
    <w:rsid w:val="0087359C"/>
    <w:rsid w:val="008736D8"/>
    <w:rsid w:val="008736E2"/>
    <w:rsid w:val="00873EF0"/>
    <w:rsid w:val="00874565"/>
    <w:rsid w:val="00874573"/>
    <w:rsid w:val="008745EA"/>
    <w:rsid w:val="00874706"/>
    <w:rsid w:val="00874983"/>
    <w:rsid w:val="00874A0C"/>
    <w:rsid w:val="00874FCF"/>
    <w:rsid w:val="00875018"/>
    <w:rsid w:val="0087560D"/>
    <w:rsid w:val="00875B15"/>
    <w:rsid w:val="00875B7E"/>
    <w:rsid w:val="00875F2E"/>
    <w:rsid w:val="008761AC"/>
    <w:rsid w:val="0087659B"/>
    <w:rsid w:val="00876672"/>
    <w:rsid w:val="008767FA"/>
    <w:rsid w:val="00876C12"/>
    <w:rsid w:val="00876E63"/>
    <w:rsid w:val="00876F06"/>
    <w:rsid w:val="0087704D"/>
    <w:rsid w:val="0087713D"/>
    <w:rsid w:val="00877144"/>
    <w:rsid w:val="0087714F"/>
    <w:rsid w:val="00877247"/>
    <w:rsid w:val="008772D8"/>
    <w:rsid w:val="00877411"/>
    <w:rsid w:val="008779C7"/>
    <w:rsid w:val="00877B61"/>
    <w:rsid w:val="00877B86"/>
    <w:rsid w:val="00877D3A"/>
    <w:rsid w:val="00877EAD"/>
    <w:rsid w:val="008801AE"/>
    <w:rsid w:val="00880455"/>
    <w:rsid w:val="00880562"/>
    <w:rsid w:val="0088095B"/>
    <w:rsid w:val="00880AA3"/>
    <w:rsid w:val="00880B3A"/>
    <w:rsid w:val="008814E9"/>
    <w:rsid w:val="0088166C"/>
    <w:rsid w:val="008816D6"/>
    <w:rsid w:val="00881838"/>
    <w:rsid w:val="00881A98"/>
    <w:rsid w:val="00881C19"/>
    <w:rsid w:val="008823D7"/>
    <w:rsid w:val="00882401"/>
    <w:rsid w:val="0088247B"/>
    <w:rsid w:val="0088262C"/>
    <w:rsid w:val="0088264E"/>
    <w:rsid w:val="0088276C"/>
    <w:rsid w:val="00882887"/>
    <w:rsid w:val="00882BD4"/>
    <w:rsid w:val="00882E48"/>
    <w:rsid w:val="0088340A"/>
    <w:rsid w:val="0088363A"/>
    <w:rsid w:val="00883D1F"/>
    <w:rsid w:val="00883E09"/>
    <w:rsid w:val="00883EA2"/>
    <w:rsid w:val="0088406D"/>
    <w:rsid w:val="0088421C"/>
    <w:rsid w:val="00884257"/>
    <w:rsid w:val="0088445B"/>
    <w:rsid w:val="008846DC"/>
    <w:rsid w:val="008847B0"/>
    <w:rsid w:val="008850CE"/>
    <w:rsid w:val="00885488"/>
    <w:rsid w:val="00885652"/>
    <w:rsid w:val="00885685"/>
    <w:rsid w:val="008856FD"/>
    <w:rsid w:val="00885E96"/>
    <w:rsid w:val="00885FA0"/>
    <w:rsid w:val="00886024"/>
    <w:rsid w:val="00886169"/>
    <w:rsid w:val="008862B5"/>
    <w:rsid w:val="0088657F"/>
    <w:rsid w:val="008865C6"/>
    <w:rsid w:val="00886672"/>
    <w:rsid w:val="008867C3"/>
    <w:rsid w:val="008867E5"/>
    <w:rsid w:val="008868D1"/>
    <w:rsid w:val="0088695E"/>
    <w:rsid w:val="00886B92"/>
    <w:rsid w:val="00886C1E"/>
    <w:rsid w:val="00886D16"/>
    <w:rsid w:val="00886D6A"/>
    <w:rsid w:val="00886DDD"/>
    <w:rsid w:val="0088744F"/>
    <w:rsid w:val="0088766B"/>
    <w:rsid w:val="0088790A"/>
    <w:rsid w:val="00887A86"/>
    <w:rsid w:val="00887F08"/>
    <w:rsid w:val="00890080"/>
    <w:rsid w:val="00890361"/>
    <w:rsid w:val="0089074E"/>
    <w:rsid w:val="00890766"/>
    <w:rsid w:val="00890C0E"/>
    <w:rsid w:val="00891295"/>
    <w:rsid w:val="00891338"/>
    <w:rsid w:val="00891733"/>
    <w:rsid w:val="0089173F"/>
    <w:rsid w:val="0089182A"/>
    <w:rsid w:val="00891AF6"/>
    <w:rsid w:val="00891B48"/>
    <w:rsid w:val="00891B76"/>
    <w:rsid w:val="00891BC3"/>
    <w:rsid w:val="00891F07"/>
    <w:rsid w:val="00891F5D"/>
    <w:rsid w:val="008922AB"/>
    <w:rsid w:val="0089248A"/>
    <w:rsid w:val="0089267E"/>
    <w:rsid w:val="008927C6"/>
    <w:rsid w:val="00892ABB"/>
    <w:rsid w:val="00892E73"/>
    <w:rsid w:val="00892F41"/>
    <w:rsid w:val="00893443"/>
    <w:rsid w:val="00893637"/>
    <w:rsid w:val="008937C8"/>
    <w:rsid w:val="008938F4"/>
    <w:rsid w:val="00893E4B"/>
    <w:rsid w:val="008940E9"/>
    <w:rsid w:val="00894194"/>
    <w:rsid w:val="008943DA"/>
    <w:rsid w:val="008945E3"/>
    <w:rsid w:val="00894899"/>
    <w:rsid w:val="00894BA1"/>
    <w:rsid w:val="00894D6E"/>
    <w:rsid w:val="00894DE1"/>
    <w:rsid w:val="00895017"/>
    <w:rsid w:val="00895B4D"/>
    <w:rsid w:val="00895BE9"/>
    <w:rsid w:val="0089609A"/>
    <w:rsid w:val="00896191"/>
    <w:rsid w:val="00896193"/>
    <w:rsid w:val="008961F5"/>
    <w:rsid w:val="0089621D"/>
    <w:rsid w:val="0089647D"/>
    <w:rsid w:val="00896488"/>
    <w:rsid w:val="0089663C"/>
    <w:rsid w:val="0089678C"/>
    <w:rsid w:val="008967C4"/>
    <w:rsid w:val="008972DB"/>
    <w:rsid w:val="00897665"/>
    <w:rsid w:val="0089772A"/>
    <w:rsid w:val="00897743"/>
    <w:rsid w:val="00897B37"/>
    <w:rsid w:val="00897BD8"/>
    <w:rsid w:val="00897F38"/>
    <w:rsid w:val="00897FAC"/>
    <w:rsid w:val="008A03BB"/>
    <w:rsid w:val="008A048E"/>
    <w:rsid w:val="008A0530"/>
    <w:rsid w:val="008A0542"/>
    <w:rsid w:val="008A0974"/>
    <w:rsid w:val="008A0D2A"/>
    <w:rsid w:val="008A0D52"/>
    <w:rsid w:val="008A0D92"/>
    <w:rsid w:val="008A0DC0"/>
    <w:rsid w:val="008A1087"/>
    <w:rsid w:val="008A12FC"/>
    <w:rsid w:val="008A1342"/>
    <w:rsid w:val="008A134F"/>
    <w:rsid w:val="008A1492"/>
    <w:rsid w:val="008A1693"/>
    <w:rsid w:val="008A19C8"/>
    <w:rsid w:val="008A1DF5"/>
    <w:rsid w:val="008A1E6E"/>
    <w:rsid w:val="008A1F9E"/>
    <w:rsid w:val="008A2123"/>
    <w:rsid w:val="008A229C"/>
    <w:rsid w:val="008A22AF"/>
    <w:rsid w:val="008A2486"/>
    <w:rsid w:val="008A254F"/>
    <w:rsid w:val="008A2630"/>
    <w:rsid w:val="008A28E6"/>
    <w:rsid w:val="008A2EC5"/>
    <w:rsid w:val="008A2EE9"/>
    <w:rsid w:val="008A30E4"/>
    <w:rsid w:val="008A3181"/>
    <w:rsid w:val="008A331C"/>
    <w:rsid w:val="008A3462"/>
    <w:rsid w:val="008A3621"/>
    <w:rsid w:val="008A3AAB"/>
    <w:rsid w:val="008A41D8"/>
    <w:rsid w:val="008A4315"/>
    <w:rsid w:val="008A43AF"/>
    <w:rsid w:val="008A484E"/>
    <w:rsid w:val="008A485B"/>
    <w:rsid w:val="008A4B4C"/>
    <w:rsid w:val="008A4C2F"/>
    <w:rsid w:val="008A4DA9"/>
    <w:rsid w:val="008A5100"/>
    <w:rsid w:val="008A5188"/>
    <w:rsid w:val="008A5658"/>
    <w:rsid w:val="008A5833"/>
    <w:rsid w:val="008A583B"/>
    <w:rsid w:val="008A5A6E"/>
    <w:rsid w:val="008A5B0D"/>
    <w:rsid w:val="008A5D67"/>
    <w:rsid w:val="008A5E2C"/>
    <w:rsid w:val="008A5F25"/>
    <w:rsid w:val="008A5FD8"/>
    <w:rsid w:val="008A624D"/>
    <w:rsid w:val="008A6766"/>
    <w:rsid w:val="008A6AB7"/>
    <w:rsid w:val="008A6D27"/>
    <w:rsid w:val="008A6FDE"/>
    <w:rsid w:val="008A76AF"/>
    <w:rsid w:val="008A76BB"/>
    <w:rsid w:val="008A76D1"/>
    <w:rsid w:val="008A776C"/>
    <w:rsid w:val="008A7831"/>
    <w:rsid w:val="008A792B"/>
    <w:rsid w:val="008A7A9E"/>
    <w:rsid w:val="008B02D6"/>
    <w:rsid w:val="008B056F"/>
    <w:rsid w:val="008B0AE9"/>
    <w:rsid w:val="008B0D28"/>
    <w:rsid w:val="008B112E"/>
    <w:rsid w:val="008B1447"/>
    <w:rsid w:val="008B1638"/>
    <w:rsid w:val="008B1765"/>
    <w:rsid w:val="008B1896"/>
    <w:rsid w:val="008B18BC"/>
    <w:rsid w:val="008B18C5"/>
    <w:rsid w:val="008B1B19"/>
    <w:rsid w:val="008B1BD6"/>
    <w:rsid w:val="008B1C4A"/>
    <w:rsid w:val="008B242B"/>
    <w:rsid w:val="008B277A"/>
    <w:rsid w:val="008B2817"/>
    <w:rsid w:val="008B291E"/>
    <w:rsid w:val="008B2C4A"/>
    <w:rsid w:val="008B2FD7"/>
    <w:rsid w:val="008B30F6"/>
    <w:rsid w:val="008B34E5"/>
    <w:rsid w:val="008B3655"/>
    <w:rsid w:val="008B3857"/>
    <w:rsid w:val="008B3A88"/>
    <w:rsid w:val="008B3BDF"/>
    <w:rsid w:val="008B4259"/>
    <w:rsid w:val="008B425C"/>
    <w:rsid w:val="008B44FE"/>
    <w:rsid w:val="008B4519"/>
    <w:rsid w:val="008B45B4"/>
    <w:rsid w:val="008B4AA5"/>
    <w:rsid w:val="008B4BFC"/>
    <w:rsid w:val="008B4F7D"/>
    <w:rsid w:val="008B5013"/>
    <w:rsid w:val="008B506E"/>
    <w:rsid w:val="008B50E8"/>
    <w:rsid w:val="008B5113"/>
    <w:rsid w:val="008B51B4"/>
    <w:rsid w:val="008B54AF"/>
    <w:rsid w:val="008B55E4"/>
    <w:rsid w:val="008B56EB"/>
    <w:rsid w:val="008B5863"/>
    <w:rsid w:val="008B591A"/>
    <w:rsid w:val="008B59E4"/>
    <w:rsid w:val="008B5AE5"/>
    <w:rsid w:val="008B5B67"/>
    <w:rsid w:val="008B5CBC"/>
    <w:rsid w:val="008B5CD7"/>
    <w:rsid w:val="008B5D7A"/>
    <w:rsid w:val="008B5E33"/>
    <w:rsid w:val="008B62B4"/>
    <w:rsid w:val="008B65F2"/>
    <w:rsid w:val="008B66E3"/>
    <w:rsid w:val="008B6AAC"/>
    <w:rsid w:val="008B6CEC"/>
    <w:rsid w:val="008B7012"/>
    <w:rsid w:val="008B70A6"/>
    <w:rsid w:val="008B76F0"/>
    <w:rsid w:val="008B7848"/>
    <w:rsid w:val="008B7956"/>
    <w:rsid w:val="008C0029"/>
    <w:rsid w:val="008C0500"/>
    <w:rsid w:val="008C08BE"/>
    <w:rsid w:val="008C09C4"/>
    <w:rsid w:val="008C1097"/>
    <w:rsid w:val="008C1E05"/>
    <w:rsid w:val="008C1E87"/>
    <w:rsid w:val="008C1FC7"/>
    <w:rsid w:val="008C1FFF"/>
    <w:rsid w:val="008C2056"/>
    <w:rsid w:val="008C2101"/>
    <w:rsid w:val="008C25B0"/>
    <w:rsid w:val="008C2632"/>
    <w:rsid w:val="008C299C"/>
    <w:rsid w:val="008C2B49"/>
    <w:rsid w:val="008C2E38"/>
    <w:rsid w:val="008C2F89"/>
    <w:rsid w:val="008C310A"/>
    <w:rsid w:val="008C3214"/>
    <w:rsid w:val="008C3218"/>
    <w:rsid w:val="008C34BB"/>
    <w:rsid w:val="008C34C6"/>
    <w:rsid w:val="008C355F"/>
    <w:rsid w:val="008C358F"/>
    <w:rsid w:val="008C399C"/>
    <w:rsid w:val="008C3A29"/>
    <w:rsid w:val="008C3C58"/>
    <w:rsid w:val="008C3F92"/>
    <w:rsid w:val="008C41A9"/>
    <w:rsid w:val="008C459A"/>
    <w:rsid w:val="008C45C7"/>
    <w:rsid w:val="008C45E2"/>
    <w:rsid w:val="008C47A1"/>
    <w:rsid w:val="008C4BB3"/>
    <w:rsid w:val="008C5045"/>
    <w:rsid w:val="008C50E3"/>
    <w:rsid w:val="008C5176"/>
    <w:rsid w:val="008C51AA"/>
    <w:rsid w:val="008C530F"/>
    <w:rsid w:val="008C5712"/>
    <w:rsid w:val="008C57F3"/>
    <w:rsid w:val="008C5914"/>
    <w:rsid w:val="008C5C39"/>
    <w:rsid w:val="008C607F"/>
    <w:rsid w:val="008C6093"/>
    <w:rsid w:val="008C6478"/>
    <w:rsid w:val="008C653D"/>
    <w:rsid w:val="008C6726"/>
    <w:rsid w:val="008C67B9"/>
    <w:rsid w:val="008C6A6D"/>
    <w:rsid w:val="008C6F38"/>
    <w:rsid w:val="008C7002"/>
    <w:rsid w:val="008C70CB"/>
    <w:rsid w:val="008C7291"/>
    <w:rsid w:val="008C733E"/>
    <w:rsid w:val="008C7368"/>
    <w:rsid w:val="008C759E"/>
    <w:rsid w:val="008C77D2"/>
    <w:rsid w:val="008C77F1"/>
    <w:rsid w:val="008C7849"/>
    <w:rsid w:val="008C7BF2"/>
    <w:rsid w:val="008D0089"/>
    <w:rsid w:val="008D02C5"/>
    <w:rsid w:val="008D056D"/>
    <w:rsid w:val="008D0957"/>
    <w:rsid w:val="008D0ACC"/>
    <w:rsid w:val="008D0B39"/>
    <w:rsid w:val="008D0F10"/>
    <w:rsid w:val="008D11C4"/>
    <w:rsid w:val="008D17F1"/>
    <w:rsid w:val="008D1E58"/>
    <w:rsid w:val="008D1ECE"/>
    <w:rsid w:val="008D20E3"/>
    <w:rsid w:val="008D2152"/>
    <w:rsid w:val="008D22F1"/>
    <w:rsid w:val="008D2CBC"/>
    <w:rsid w:val="008D2E25"/>
    <w:rsid w:val="008D31FA"/>
    <w:rsid w:val="008D3220"/>
    <w:rsid w:val="008D3726"/>
    <w:rsid w:val="008D37EE"/>
    <w:rsid w:val="008D3940"/>
    <w:rsid w:val="008D3C5C"/>
    <w:rsid w:val="008D3DAF"/>
    <w:rsid w:val="008D3FA0"/>
    <w:rsid w:val="008D4061"/>
    <w:rsid w:val="008D43B6"/>
    <w:rsid w:val="008D47FC"/>
    <w:rsid w:val="008D481C"/>
    <w:rsid w:val="008D4B3B"/>
    <w:rsid w:val="008D4B6E"/>
    <w:rsid w:val="008D4BDE"/>
    <w:rsid w:val="008D4C38"/>
    <w:rsid w:val="008D4CB0"/>
    <w:rsid w:val="008D4D3E"/>
    <w:rsid w:val="008D4ECE"/>
    <w:rsid w:val="008D5091"/>
    <w:rsid w:val="008D5171"/>
    <w:rsid w:val="008D557E"/>
    <w:rsid w:val="008D5BCF"/>
    <w:rsid w:val="008D5E00"/>
    <w:rsid w:val="008D5FE4"/>
    <w:rsid w:val="008D5FED"/>
    <w:rsid w:val="008D6111"/>
    <w:rsid w:val="008D622D"/>
    <w:rsid w:val="008D6397"/>
    <w:rsid w:val="008D72FD"/>
    <w:rsid w:val="008D7333"/>
    <w:rsid w:val="008D73A8"/>
    <w:rsid w:val="008D73C9"/>
    <w:rsid w:val="008D7615"/>
    <w:rsid w:val="008D7973"/>
    <w:rsid w:val="008D7D4A"/>
    <w:rsid w:val="008E0691"/>
    <w:rsid w:val="008E06D7"/>
    <w:rsid w:val="008E0BD1"/>
    <w:rsid w:val="008E0CCF"/>
    <w:rsid w:val="008E0DC7"/>
    <w:rsid w:val="008E146A"/>
    <w:rsid w:val="008E14DA"/>
    <w:rsid w:val="008E166C"/>
    <w:rsid w:val="008E16BF"/>
    <w:rsid w:val="008E16EB"/>
    <w:rsid w:val="008E17DD"/>
    <w:rsid w:val="008E1821"/>
    <w:rsid w:val="008E2705"/>
    <w:rsid w:val="008E2A3D"/>
    <w:rsid w:val="008E3049"/>
    <w:rsid w:val="008E3215"/>
    <w:rsid w:val="008E33B9"/>
    <w:rsid w:val="008E35A3"/>
    <w:rsid w:val="008E366E"/>
    <w:rsid w:val="008E3732"/>
    <w:rsid w:val="008E3972"/>
    <w:rsid w:val="008E3AB3"/>
    <w:rsid w:val="008E3AC9"/>
    <w:rsid w:val="008E3AEE"/>
    <w:rsid w:val="008E3C3F"/>
    <w:rsid w:val="008E4150"/>
    <w:rsid w:val="008E415E"/>
    <w:rsid w:val="008E4407"/>
    <w:rsid w:val="008E45E6"/>
    <w:rsid w:val="008E4DFA"/>
    <w:rsid w:val="008E4E97"/>
    <w:rsid w:val="008E4F8E"/>
    <w:rsid w:val="008E4FAA"/>
    <w:rsid w:val="008E5009"/>
    <w:rsid w:val="008E51A8"/>
    <w:rsid w:val="008E531E"/>
    <w:rsid w:val="008E579D"/>
    <w:rsid w:val="008E5897"/>
    <w:rsid w:val="008E592B"/>
    <w:rsid w:val="008E6080"/>
    <w:rsid w:val="008E6354"/>
    <w:rsid w:val="008E6995"/>
    <w:rsid w:val="008E6D68"/>
    <w:rsid w:val="008E7274"/>
    <w:rsid w:val="008E73B4"/>
    <w:rsid w:val="008E75D2"/>
    <w:rsid w:val="008E7647"/>
    <w:rsid w:val="008E77EB"/>
    <w:rsid w:val="008E7DCE"/>
    <w:rsid w:val="008E7F4D"/>
    <w:rsid w:val="008E7F74"/>
    <w:rsid w:val="008F040F"/>
    <w:rsid w:val="008F0562"/>
    <w:rsid w:val="008F08CE"/>
    <w:rsid w:val="008F0A15"/>
    <w:rsid w:val="008F0A44"/>
    <w:rsid w:val="008F10AE"/>
    <w:rsid w:val="008F13E2"/>
    <w:rsid w:val="008F1574"/>
    <w:rsid w:val="008F1B94"/>
    <w:rsid w:val="008F1C9E"/>
    <w:rsid w:val="008F1CE5"/>
    <w:rsid w:val="008F1F17"/>
    <w:rsid w:val="008F203D"/>
    <w:rsid w:val="008F2192"/>
    <w:rsid w:val="008F21B8"/>
    <w:rsid w:val="008F260B"/>
    <w:rsid w:val="008F2640"/>
    <w:rsid w:val="008F26B8"/>
    <w:rsid w:val="008F2894"/>
    <w:rsid w:val="008F35F4"/>
    <w:rsid w:val="008F3732"/>
    <w:rsid w:val="008F3AB0"/>
    <w:rsid w:val="008F4164"/>
    <w:rsid w:val="008F41B0"/>
    <w:rsid w:val="008F473F"/>
    <w:rsid w:val="008F5003"/>
    <w:rsid w:val="008F529D"/>
    <w:rsid w:val="008F52B8"/>
    <w:rsid w:val="008F52C2"/>
    <w:rsid w:val="008F5334"/>
    <w:rsid w:val="008F5545"/>
    <w:rsid w:val="008F554E"/>
    <w:rsid w:val="008F5A0A"/>
    <w:rsid w:val="008F5AA3"/>
    <w:rsid w:val="008F5C20"/>
    <w:rsid w:val="008F5C71"/>
    <w:rsid w:val="008F5D98"/>
    <w:rsid w:val="008F6033"/>
    <w:rsid w:val="008F61BB"/>
    <w:rsid w:val="008F64EC"/>
    <w:rsid w:val="008F6658"/>
    <w:rsid w:val="008F6947"/>
    <w:rsid w:val="008F6983"/>
    <w:rsid w:val="008F6B5B"/>
    <w:rsid w:val="008F7142"/>
    <w:rsid w:val="008F720B"/>
    <w:rsid w:val="008F74FF"/>
    <w:rsid w:val="008F7ABE"/>
    <w:rsid w:val="008F7B01"/>
    <w:rsid w:val="008F7B85"/>
    <w:rsid w:val="0090012F"/>
    <w:rsid w:val="00900139"/>
    <w:rsid w:val="00900197"/>
    <w:rsid w:val="0090019F"/>
    <w:rsid w:val="00900289"/>
    <w:rsid w:val="00900428"/>
    <w:rsid w:val="0090071D"/>
    <w:rsid w:val="0090077C"/>
    <w:rsid w:val="0090078A"/>
    <w:rsid w:val="0090094A"/>
    <w:rsid w:val="00900955"/>
    <w:rsid w:val="00900D5B"/>
    <w:rsid w:val="00900DDB"/>
    <w:rsid w:val="0090109D"/>
    <w:rsid w:val="009014DB"/>
    <w:rsid w:val="00901693"/>
    <w:rsid w:val="00901D7E"/>
    <w:rsid w:val="00901E40"/>
    <w:rsid w:val="00901F91"/>
    <w:rsid w:val="009021A1"/>
    <w:rsid w:val="009024DC"/>
    <w:rsid w:val="009025C6"/>
    <w:rsid w:val="00902848"/>
    <w:rsid w:val="009028BA"/>
    <w:rsid w:val="00902EA1"/>
    <w:rsid w:val="00902FC7"/>
    <w:rsid w:val="00903077"/>
    <w:rsid w:val="00903140"/>
    <w:rsid w:val="009032FB"/>
    <w:rsid w:val="0090337A"/>
    <w:rsid w:val="00903454"/>
    <w:rsid w:val="00903506"/>
    <w:rsid w:val="009035E5"/>
    <w:rsid w:val="0090373B"/>
    <w:rsid w:val="00903898"/>
    <w:rsid w:val="00903B92"/>
    <w:rsid w:val="00903D2D"/>
    <w:rsid w:val="00903DA3"/>
    <w:rsid w:val="00904634"/>
    <w:rsid w:val="00904702"/>
    <w:rsid w:val="00904817"/>
    <w:rsid w:val="00904BA4"/>
    <w:rsid w:val="00904CF6"/>
    <w:rsid w:val="00904D9D"/>
    <w:rsid w:val="00904EA3"/>
    <w:rsid w:val="00905042"/>
    <w:rsid w:val="0090533D"/>
    <w:rsid w:val="00905876"/>
    <w:rsid w:val="009058E8"/>
    <w:rsid w:val="00905932"/>
    <w:rsid w:val="00905937"/>
    <w:rsid w:val="00905ABE"/>
    <w:rsid w:val="00905D9A"/>
    <w:rsid w:val="00905E1F"/>
    <w:rsid w:val="00905F8F"/>
    <w:rsid w:val="0090645F"/>
    <w:rsid w:val="0090662F"/>
    <w:rsid w:val="009069A1"/>
    <w:rsid w:val="009069F0"/>
    <w:rsid w:val="00906E65"/>
    <w:rsid w:val="00906E7D"/>
    <w:rsid w:val="00906EC0"/>
    <w:rsid w:val="00907300"/>
    <w:rsid w:val="00907495"/>
    <w:rsid w:val="00907579"/>
    <w:rsid w:val="009076C4"/>
    <w:rsid w:val="0090776A"/>
    <w:rsid w:val="009077A5"/>
    <w:rsid w:val="00907CA8"/>
    <w:rsid w:val="00907E4A"/>
    <w:rsid w:val="00910072"/>
    <w:rsid w:val="009101B6"/>
    <w:rsid w:val="009101DF"/>
    <w:rsid w:val="00910460"/>
    <w:rsid w:val="00910843"/>
    <w:rsid w:val="00910BD1"/>
    <w:rsid w:val="00910FEE"/>
    <w:rsid w:val="00911104"/>
    <w:rsid w:val="0091129D"/>
    <w:rsid w:val="009112E0"/>
    <w:rsid w:val="0091130B"/>
    <w:rsid w:val="009119CF"/>
    <w:rsid w:val="00911B4A"/>
    <w:rsid w:val="00911E41"/>
    <w:rsid w:val="0091238E"/>
    <w:rsid w:val="00912401"/>
    <w:rsid w:val="009125E3"/>
    <w:rsid w:val="009129D4"/>
    <w:rsid w:val="00912ABF"/>
    <w:rsid w:val="00912B23"/>
    <w:rsid w:val="00912BF4"/>
    <w:rsid w:val="00912C9D"/>
    <w:rsid w:val="00912FEA"/>
    <w:rsid w:val="00913031"/>
    <w:rsid w:val="0091340D"/>
    <w:rsid w:val="009135BF"/>
    <w:rsid w:val="00913A6F"/>
    <w:rsid w:val="00913A75"/>
    <w:rsid w:val="00913BEE"/>
    <w:rsid w:val="00913E3E"/>
    <w:rsid w:val="0091400B"/>
    <w:rsid w:val="009144D5"/>
    <w:rsid w:val="009148A1"/>
    <w:rsid w:val="00914A1D"/>
    <w:rsid w:val="00914A67"/>
    <w:rsid w:val="00914EF3"/>
    <w:rsid w:val="009150B8"/>
    <w:rsid w:val="00915349"/>
    <w:rsid w:val="00915435"/>
    <w:rsid w:val="00915AA6"/>
    <w:rsid w:val="00915D14"/>
    <w:rsid w:val="00915D5F"/>
    <w:rsid w:val="00915F65"/>
    <w:rsid w:val="00915F98"/>
    <w:rsid w:val="00915FA3"/>
    <w:rsid w:val="00916005"/>
    <w:rsid w:val="009164CA"/>
    <w:rsid w:val="0091666B"/>
    <w:rsid w:val="009166F1"/>
    <w:rsid w:val="00916761"/>
    <w:rsid w:val="00916830"/>
    <w:rsid w:val="009169C7"/>
    <w:rsid w:val="00916A93"/>
    <w:rsid w:val="00916BA7"/>
    <w:rsid w:val="00916EE3"/>
    <w:rsid w:val="00917057"/>
    <w:rsid w:val="009171ED"/>
    <w:rsid w:val="009173A9"/>
    <w:rsid w:val="009174BC"/>
    <w:rsid w:val="0091767D"/>
    <w:rsid w:val="0091778A"/>
    <w:rsid w:val="00917B4A"/>
    <w:rsid w:val="00917B61"/>
    <w:rsid w:val="00917D38"/>
    <w:rsid w:val="009202B1"/>
    <w:rsid w:val="00920359"/>
    <w:rsid w:val="009209A7"/>
    <w:rsid w:val="00920DD5"/>
    <w:rsid w:val="00920E15"/>
    <w:rsid w:val="00920E99"/>
    <w:rsid w:val="0092107C"/>
    <w:rsid w:val="009210E5"/>
    <w:rsid w:val="00921205"/>
    <w:rsid w:val="009217F8"/>
    <w:rsid w:val="009218A5"/>
    <w:rsid w:val="009219B8"/>
    <w:rsid w:val="00921ED1"/>
    <w:rsid w:val="009221CE"/>
    <w:rsid w:val="0092223A"/>
    <w:rsid w:val="0092244F"/>
    <w:rsid w:val="009224C3"/>
    <w:rsid w:val="009225BA"/>
    <w:rsid w:val="009228FB"/>
    <w:rsid w:val="00922FDF"/>
    <w:rsid w:val="00923060"/>
    <w:rsid w:val="00923079"/>
    <w:rsid w:val="00923750"/>
    <w:rsid w:val="009238B0"/>
    <w:rsid w:val="009238B4"/>
    <w:rsid w:val="00923973"/>
    <w:rsid w:val="00923D11"/>
    <w:rsid w:val="00923E92"/>
    <w:rsid w:val="00924285"/>
    <w:rsid w:val="0092470E"/>
    <w:rsid w:val="009248DB"/>
    <w:rsid w:val="00924CE4"/>
    <w:rsid w:val="00924E42"/>
    <w:rsid w:val="00925187"/>
    <w:rsid w:val="00925452"/>
    <w:rsid w:val="009254FE"/>
    <w:rsid w:val="00925B2A"/>
    <w:rsid w:val="009260E2"/>
    <w:rsid w:val="009260FC"/>
    <w:rsid w:val="0092613E"/>
    <w:rsid w:val="009262CD"/>
    <w:rsid w:val="0092643F"/>
    <w:rsid w:val="009264BF"/>
    <w:rsid w:val="00926944"/>
    <w:rsid w:val="00926946"/>
    <w:rsid w:val="00926C6C"/>
    <w:rsid w:val="00926F6E"/>
    <w:rsid w:val="0092709C"/>
    <w:rsid w:val="0092717F"/>
    <w:rsid w:val="00927288"/>
    <w:rsid w:val="009272A2"/>
    <w:rsid w:val="00927331"/>
    <w:rsid w:val="00927744"/>
    <w:rsid w:val="0092776F"/>
    <w:rsid w:val="009277E6"/>
    <w:rsid w:val="009279ED"/>
    <w:rsid w:val="00927A06"/>
    <w:rsid w:val="00927AED"/>
    <w:rsid w:val="00927B05"/>
    <w:rsid w:val="00927C41"/>
    <w:rsid w:val="00927C49"/>
    <w:rsid w:val="00927C50"/>
    <w:rsid w:val="00927D65"/>
    <w:rsid w:val="00927F2A"/>
    <w:rsid w:val="0093005C"/>
    <w:rsid w:val="0093025B"/>
    <w:rsid w:val="00930A2C"/>
    <w:rsid w:val="00930BA1"/>
    <w:rsid w:val="00930CFC"/>
    <w:rsid w:val="00930F4E"/>
    <w:rsid w:val="00930F98"/>
    <w:rsid w:val="009310C8"/>
    <w:rsid w:val="0093117E"/>
    <w:rsid w:val="0093160A"/>
    <w:rsid w:val="00931670"/>
    <w:rsid w:val="009316C1"/>
    <w:rsid w:val="009318EB"/>
    <w:rsid w:val="00931A40"/>
    <w:rsid w:val="00931E14"/>
    <w:rsid w:val="00931E3E"/>
    <w:rsid w:val="00931E41"/>
    <w:rsid w:val="00931ED6"/>
    <w:rsid w:val="0093218E"/>
    <w:rsid w:val="009323B1"/>
    <w:rsid w:val="0093272A"/>
    <w:rsid w:val="0093287E"/>
    <w:rsid w:val="009328F5"/>
    <w:rsid w:val="0093293D"/>
    <w:rsid w:val="00933342"/>
    <w:rsid w:val="0093361A"/>
    <w:rsid w:val="009338F7"/>
    <w:rsid w:val="00933A27"/>
    <w:rsid w:val="00933FF8"/>
    <w:rsid w:val="009343AA"/>
    <w:rsid w:val="009344C6"/>
    <w:rsid w:val="009345ED"/>
    <w:rsid w:val="009346A7"/>
    <w:rsid w:val="00934A3B"/>
    <w:rsid w:val="00934A62"/>
    <w:rsid w:val="00934B77"/>
    <w:rsid w:val="00934D1E"/>
    <w:rsid w:val="009353E0"/>
    <w:rsid w:val="00935440"/>
    <w:rsid w:val="00935492"/>
    <w:rsid w:val="009354C7"/>
    <w:rsid w:val="0093588F"/>
    <w:rsid w:val="00935991"/>
    <w:rsid w:val="00935A8E"/>
    <w:rsid w:val="00935A9E"/>
    <w:rsid w:val="00935B1E"/>
    <w:rsid w:val="00935D97"/>
    <w:rsid w:val="00935EB6"/>
    <w:rsid w:val="0093602A"/>
    <w:rsid w:val="00936062"/>
    <w:rsid w:val="0093631F"/>
    <w:rsid w:val="0093657F"/>
    <w:rsid w:val="0093682C"/>
    <w:rsid w:val="00936D19"/>
    <w:rsid w:val="00937025"/>
    <w:rsid w:val="0093739F"/>
    <w:rsid w:val="0093765A"/>
    <w:rsid w:val="0093797C"/>
    <w:rsid w:val="009379AC"/>
    <w:rsid w:val="00937CBE"/>
    <w:rsid w:val="009401F7"/>
    <w:rsid w:val="00940879"/>
    <w:rsid w:val="009410BE"/>
    <w:rsid w:val="009412EC"/>
    <w:rsid w:val="009415B1"/>
    <w:rsid w:val="00941636"/>
    <w:rsid w:val="00941841"/>
    <w:rsid w:val="00941DD6"/>
    <w:rsid w:val="00942898"/>
    <w:rsid w:val="00942903"/>
    <w:rsid w:val="00942A88"/>
    <w:rsid w:val="00942AED"/>
    <w:rsid w:val="00942B70"/>
    <w:rsid w:val="00942CB4"/>
    <w:rsid w:val="00942FF4"/>
    <w:rsid w:val="0094324E"/>
    <w:rsid w:val="00943282"/>
    <w:rsid w:val="00943389"/>
    <w:rsid w:val="009434F3"/>
    <w:rsid w:val="009434FA"/>
    <w:rsid w:val="00943727"/>
    <w:rsid w:val="0094397D"/>
    <w:rsid w:val="00943DBF"/>
    <w:rsid w:val="00943E3C"/>
    <w:rsid w:val="0094404A"/>
    <w:rsid w:val="00944087"/>
    <w:rsid w:val="009440BA"/>
    <w:rsid w:val="0094416E"/>
    <w:rsid w:val="0094446D"/>
    <w:rsid w:val="0094466B"/>
    <w:rsid w:val="00944D3E"/>
    <w:rsid w:val="00944DB5"/>
    <w:rsid w:val="00944E4B"/>
    <w:rsid w:val="00944E74"/>
    <w:rsid w:val="00944E8B"/>
    <w:rsid w:val="00944FB6"/>
    <w:rsid w:val="00944FDE"/>
    <w:rsid w:val="009453B5"/>
    <w:rsid w:val="00945442"/>
    <w:rsid w:val="0094546B"/>
    <w:rsid w:val="0094557E"/>
    <w:rsid w:val="00945910"/>
    <w:rsid w:val="00945AA0"/>
    <w:rsid w:val="00945E9F"/>
    <w:rsid w:val="009460F9"/>
    <w:rsid w:val="009461A9"/>
    <w:rsid w:val="00946522"/>
    <w:rsid w:val="00946565"/>
    <w:rsid w:val="00946667"/>
    <w:rsid w:val="009467FB"/>
    <w:rsid w:val="00946AB3"/>
    <w:rsid w:val="00946B74"/>
    <w:rsid w:val="00946D0E"/>
    <w:rsid w:val="0094704C"/>
    <w:rsid w:val="009470C1"/>
    <w:rsid w:val="00947231"/>
    <w:rsid w:val="00947586"/>
    <w:rsid w:val="00947889"/>
    <w:rsid w:val="00947B2B"/>
    <w:rsid w:val="0095012E"/>
    <w:rsid w:val="00950842"/>
    <w:rsid w:val="00950ABA"/>
    <w:rsid w:val="00950E9E"/>
    <w:rsid w:val="00950F88"/>
    <w:rsid w:val="0095107F"/>
    <w:rsid w:val="00951177"/>
    <w:rsid w:val="00951236"/>
    <w:rsid w:val="00951281"/>
    <w:rsid w:val="00951431"/>
    <w:rsid w:val="00951582"/>
    <w:rsid w:val="009516BD"/>
    <w:rsid w:val="00951706"/>
    <w:rsid w:val="00951733"/>
    <w:rsid w:val="009518E5"/>
    <w:rsid w:val="00951934"/>
    <w:rsid w:val="00951E30"/>
    <w:rsid w:val="00951EC2"/>
    <w:rsid w:val="0095207B"/>
    <w:rsid w:val="009521B0"/>
    <w:rsid w:val="0095226D"/>
    <w:rsid w:val="00952272"/>
    <w:rsid w:val="00952344"/>
    <w:rsid w:val="009525EC"/>
    <w:rsid w:val="009530D3"/>
    <w:rsid w:val="00953150"/>
    <w:rsid w:val="009532A1"/>
    <w:rsid w:val="00953833"/>
    <w:rsid w:val="009539A0"/>
    <w:rsid w:val="00953A3E"/>
    <w:rsid w:val="00953BDA"/>
    <w:rsid w:val="00953D42"/>
    <w:rsid w:val="00954091"/>
    <w:rsid w:val="00954422"/>
    <w:rsid w:val="00954425"/>
    <w:rsid w:val="009545CD"/>
    <w:rsid w:val="00954C8C"/>
    <w:rsid w:val="00954FBA"/>
    <w:rsid w:val="0095529A"/>
    <w:rsid w:val="009552D0"/>
    <w:rsid w:val="00955639"/>
    <w:rsid w:val="009558D5"/>
    <w:rsid w:val="00955A67"/>
    <w:rsid w:val="00955BF2"/>
    <w:rsid w:val="00955C11"/>
    <w:rsid w:val="00955CBC"/>
    <w:rsid w:val="00955E61"/>
    <w:rsid w:val="009561DD"/>
    <w:rsid w:val="009561FA"/>
    <w:rsid w:val="0095620A"/>
    <w:rsid w:val="009564E9"/>
    <w:rsid w:val="00956598"/>
    <w:rsid w:val="009569CA"/>
    <w:rsid w:val="00956AC3"/>
    <w:rsid w:val="00956ACE"/>
    <w:rsid w:val="00956ACF"/>
    <w:rsid w:val="00957020"/>
    <w:rsid w:val="009572A0"/>
    <w:rsid w:val="009574CC"/>
    <w:rsid w:val="00957754"/>
    <w:rsid w:val="00957CE0"/>
    <w:rsid w:val="00957D24"/>
    <w:rsid w:val="009604CA"/>
    <w:rsid w:val="00960533"/>
    <w:rsid w:val="0096097E"/>
    <w:rsid w:val="00960C24"/>
    <w:rsid w:val="00960C8D"/>
    <w:rsid w:val="00960D9B"/>
    <w:rsid w:val="00960DCF"/>
    <w:rsid w:val="00960E5A"/>
    <w:rsid w:val="00961066"/>
    <w:rsid w:val="009610E5"/>
    <w:rsid w:val="009615C3"/>
    <w:rsid w:val="009615CB"/>
    <w:rsid w:val="00961645"/>
    <w:rsid w:val="009618AF"/>
    <w:rsid w:val="0096199D"/>
    <w:rsid w:val="00961B53"/>
    <w:rsid w:val="00962573"/>
    <w:rsid w:val="00962670"/>
    <w:rsid w:val="00962869"/>
    <w:rsid w:val="00962A6C"/>
    <w:rsid w:val="00962A82"/>
    <w:rsid w:val="00962B9B"/>
    <w:rsid w:val="0096308D"/>
    <w:rsid w:val="00963264"/>
    <w:rsid w:val="00963646"/>
    <w:rsid w:val="00963695"/>
    <w:rsid w:val="009636C3"/>
    <w:rsid w:val="0096389D"/>
    <w:rsid w:val="00963BD9"/>
    <w:rsid w:val="00963D20"/>
    <w:rsid w:val="00964214"/>
    <w:rsid w:val="0096429C"/>
    <w:rsid w:val="00964379"/>
    <w:rsid w:val="00964676"/>
    <w:rsid w:val="009646F0"/>
    <w:rsid w:val="00964881"/>
    <w:rsid w:val="009649E0"/>
    <w:rsid w:val="00964C0A"/>
    <w:rsid w:val="00964FC2"/>
    <w:rsid w:val="0096514F"/>
    <w:rsid w:val="009651E9"/>
    <w:rsid w:val="0096564A"/>
    <w:rsid w:val="0096567F"/>
    <w:rsid w:val="00965680"/>
    <w:rsid w:val="0096599B"/>
    <w:rsid w:val="00965BCF"/>
    <w:rsid w:val="00965CE5"/>
    <w:rsid w:val="00965FA1"/>
    <w:rsid w:val="00966167"/>
    <w:rsid w:val="0096681B"/>
    <w:rsid w:val="00966DCE"/>
    <w:rsid w:val="0096723A"/>
    <w:rsid w:val="0096743D"/>
    <w:rsid w:val="009674F9"/>
    <w:rsid w:val="009674FC"/>
    <w:rsid w:val="00967549"/>
    <w:rsid w:val="009676C0"/>
    <w:rsid w:val="00967C1B"/>
    <w:rsid w:val="00967D83"/>
    <w:rsid w:val="00967E87"/>
    <w:rsid w:val="00967F98"/>
    <w:rsid w:val="00970111"/>
    <w:rsid w:val="009701C5"/>
    <w:rsid w:val="009705BC"/>
    <w:rsid w:val="00970CAC"/>
    <w:rsid w:val="0097154A"/>
    <w:rsid w:val="0097172B"/>
    <w:rsid w:val="00971799"/>
    <w:rsid w:val="00971A21"/>
    <w:rsid w:val="00971ADE"/>
    <w:rsid w:val="00971DFD"/>
    <w:rsid w:val="00971F04"/>
    <w:rsid w:val="00972483"/>
    <w:rsid w:val="00972619"/>
    <w:rsid w:val="0097262D"/>
    <w:rsid w:val="00972911"/>
    <w:rsid w:val="00972AE3"/>
    <w:rsid w:val="00972E81"/>
    <w:rsid w:val="00972E8F"/>
    <w:rsid w:val="00972FB9"/>
    <w:rsid w:val="0097318A"/>
    <w:rsid w:val="00973192"/>
    <w:rsid w:val="0097321C"/>
    <w:rsid w:val="00973394"/>
    <w:rsid w:val="009735C7"/>
    <w:rsid w:val="0097382E"/>
    <w:rsid w:val="009738CF"/>
    <w:rsid w:val="00973DEA"/>
    <w:rsid w:val="009741DD"/>
    <w:rsid w:val="00974792"/>
    <w:rsid w:val="009748D5"/>
    <w:rsid w:val="0097492E"/>
    <w:rsid w:val="00974E62"/>
    <w:rsid w:val="00974F41"/>
    <w:rsid w:val="009752E7"/>
    <w:rsid w:val="00975315"/>
    <w:rsid w:val="009754B3"/>
    <w:rsid w:val="009755BD"/>
    <w:rsid w:val="009755C4"/>
    <w:rsid w:val="009756F7"/>
    <w:rsid w:val="009758B5"/>
    <w:rsid w:val="00975A29"/>
    <w:rsid w:val="00976427"/>
    <w:rsid w:val="00976697"/>
    <w:rsid w:val="009766C7"/>
    <w:rsid w:val="00976835"/>
    <w:rsid w:val="00976AD2"/>
    <w:rsid w:val="00976C9F"/>
    <w:rsid w:val="009773C4"/>
    <w:rsid w:val="0097742A"/>
    <w:rsid w:val="009775E5"/>
    <w:rsid w:val="00977BE7"/>
    <w:rsid w:val="00977E45"/>
    <w:rsid w:val="00977F62"/>
    <w:rsid w:val="00977F65"/>
    <w:rsid w:val="009803A9"/>
    <w:rsid w:val="009803CB"/>
    <w:rsid w:val="009803D4"/>
    <w:rsid w:val="00980420"/>
    <w:rsid w:val="00980774"/>
    <w:rsid w:val="009807A2"/>
    <w:rsid w:val="00980DEC"/>
    <w:rsid w:val="00981267"/>
    <w:rsid w:val="00981445"/>
    <w:rsid w:val="009814F1"/>
    <w:rsid w:val="00981521"/>
    <w:rsid w:val="009818DB"/>
    <w:rsid w:val="00981964"/>
    <w:rsid w:val="0098199C"/>
    <w:rsid w:val="00981FD0"/>
    <w:rsid w:val="0098207F"/>
    <w:rsid w:val="009820B4"/>
    <w:rsid w:val="009820C4"/>
    <w:rsid w:val="009821C7"/>
    <w:rsid w:val="009821E7"/>
    <w:rsid w:val="009821E9"/>
    <w:rsid w:val="009822CA"/>
    <w:rsid w:val="009824A1"/>
    <w:rsid w:val="009824AD"/>
    <w:rsid w:val="0098258C"/>
    <w:rsid w:val="0098268D"/>
    <w:rsid w:val="009829A2"/>
    <w:rsid w:val="00982E8E"/>
    <w:rsid w:val="0098319E"/>
    <w:rsid w:val="00983301"/>
    <w:rsid w:val="00983370"/>
    <w:rsid w:val="00983F1A"/>
    <w:rsid w:val="00983F51"/>
    <w:rsid w:val="00983F96"/>
    <w:rsid w:val="00983FD0"/>
    <w:rsid w:val="009840DD"/>
    <w:rsid w:val="009842E1"/>
    <w:rsid w:val="00984340"/>
    <w:rsid w:val="00984578"/>
    <w:rsid w:val="00984846"/>
    <w:rsid w:val="009851C9"/>
    <w:rsid w:val="009852C2"/>
    <w:rsid w:val="0098540C"/>
    <w:rsid w:val="009859B6"/>
    <w:rsid w:val="00985A44"/>
    <w:rsid w:val="00985A54"/>
    <w:rsid w:val="00985A67"/>
    <w:rsid w:val="00985C59"/>
    <w:rsid w:val="00985D6B"/>
    <w:rsid w:val="009862A1"/>
    <w:rsid w:val="00986409"/>
    <w:rsid w:val="0098649A"/>
    <w:rsid w:val="00986806"/>
    <w:rsid w:val="00986831"/>
    <w:rsid w:val="00986919"/>
    <w:rsid w:val="00986DA2"/>
    <w:rsid w:val="00986ED8"/>
    <w:rsid w:val="00986F47"/>
    <w:rsid w:val="00987026"/>
    <w:rsid w:val="00987172"/>
    <w:rsid w:val="00987198"/>
    <w:rsid w:val="00987255"/>
    <w:rsid w:val="009872EB"/>
    <w:rsid w:val="00987329"/>
    <w:rsid w:val="00987396"/>
    <w:rsid w:val="009873C3"/>
    <w:rsid w:val="009873F3"/>
    <w:rsid w:val="0098742C"/>
    <w:rsid w:val="00987556"/>
    <w:rsid w:val="0098767F"/>
    <w:rsid w:val="009876CA"/>
    <w:rsid w:val="00987BCD"/>
    <w:rsid w:val="00987DBB"/>
    <w:rsid w:val="00987DD4"/>
    <w:rsid w:val="0099008B"/>
    <w:rsid w:val="009900E6"/>
    <w:rsid w:val="00990240"/>
    <w:rsid w:val="00990385"/>
    <w:rsid w:val="009905B4"/>
    <w:rsid w:val="00990909"/>
    <w:rsid w:val="00990960"/>
    <w:rsid w:val="00990B11"/>
    <w:rsid w:val="00990B1F"/>
    <w:rsid w:val="00990B9F"/>
    <w:rsid w:val="00990BA3"/>
    <w:rsid w:val="00990C5C"/>
    <w:rsid w:val="00990DD6"/>
    <w:rsid w:val="00991129"/>
    <w:rsid w:val="009915B9"/>
    <w:rsid w:val="0099166A"/>
    <w:rsid w:val="009917C6"/>
    <w:rsid w:val="00991869"/>
    <w:rsid w:val="00991876"/>
    <w:rsid w:val="00991A66"/>
    <w:rsid w:val="00991C96"/>
    <w:rsid w:val="00991D2E"/>
    <w:rsid w:val="00991D8B"/>
    <w:rsid w:val="00991F79"/>
    <w:rsid w:val="00992089"/>
    <w:rsid w:val="009920C0"/>
    <w:rsid w:val="00992167"/>
    <w:rsid w:val="009923A7"/>
    <w:rsid w:val="009929BE"/>
    <w:rsid w:val="00992C3C"/>
    <w:rsid w:val="00992D18"/>
    <w:rsid w:val="00992F0F"/>
    <w:rsid w:val="00992FC1"/>
    <w:rsid w:val="009930DD"/>
    <w:rsid w:val="00993659"/>
    <w:rsid w:val="0099389E"/>
    <w:rsid w:val="009939E9"/>
    <w:rsid w:val="00993BCE"/>
    <w:rsid w:val="00993CCF"/>
    <w:rsid w:val="00993DC6"/>
    <w:rsid w:val="00993F14"/>
    <w:rsid w:val="00994090"/>
    <w:rsid w:val="00994114"/>
    <w:rsid w:val="0099450B"/>
    <w:rsid w:val="009945FD"/>
    <w:rsid w:val="0099462D"/>
    <w:rsid w:val="00994659"/>
    <w:rsid w:val="009947EA"/>
    <w:rsid w:val="00994894"/>
    <w:rsid w:val="00995458"/>
    <w:rsid w:val="00995A7B"/>
    <w:rsid w:val="00995E1F"/>
    <w:rsid w:val="00995E98"/>
    <w:rsid w:val="0099601D"/>
    <w:rsid w:val="0099606E"/>
    <w:rsid w:val="009961D8"/>
    <w:rsid w:val="009962B3"/>
    <w:rsid w:val="0099653E"/>
    <w:rsid w:val="00996952"/>
    <w:rsid w:val="00996E0F"/>
    <w:rsid w:val="00996F15"/>
    <w:rsid w:val="00996F23"/>
    <w:rsid w:val="009971E3"/>
    <w:rsid w:val="0099723C"/>
    <w:rsid w:val="00997504"/>
    <w:rsid w:val="0099755C"/>
    <w:rsid w:val="009977A6"/>
    <w:rsid w:val="009977C5"/>
    <w:rsid w:val="00997A1C"/>
    <w:rsid w:val="00997BA8"/>
    <w:rsid w:val="00997C52"/>
    <w:rsid w:val="00997E1C"/>
    <w:rsid w:val="009A002B"/>
    <w:rsid w:val="009A0447"/>
    <w:rsid w:val="009A04AB"/>
    <w:rsid w:val="009A055A"/>
    <w:rsid w:val="009A06F4"/>
    <w:rsid w:val="009A08B6"/>
    <w:rsid w:val="009A09A7"/>
    <w:rsid w:val="009A0A20"/>
    <w:rsid w:val="009A0AC1"/>
    <w:rsid w:val="009A0E1C"/>
    <w:rsid w:val="009A0F57"/>
    <w:rsid w:val="009A11D6"/>
    <w:rsid w:val="009A13B0"/>
    <w:rsid w:val="009A159F"/>
    <w:rsid w:val="009A15B2"/>
    <w:rsid w:val="009A1742"/>
    <w:rsid w:val="009A19F8"/>
    <w:rsid w:val="009A1E28"/>
    <w:rsid w:val="009A1E55"/>
    <w:rsid w:val="009A223D"/>
    <w:rsid w:val="009A23DD"/>
    <w:rsid w:val="009A24A2"/>
    <w:rsid w:val="009A24D5"/>
    <w:rsid w:val="009A275C"/>
    <w:rsid w:val="009A2973"/>
    <w:rsid w:val="009A299F"/>
    <w:rsid w:val="009A2A3F"/>
    <w:rsid w:val="009A2C75"/>
    <w:rsid w:val="009A2E67"/>
    <w:rsid w:val="009A3172"/>
    <w:rsid w:val="009A358C"/>
    <w:rsid w:val="009A368B"/>
    <w:rsid w:val="009A3778"/>
    <w:rsid w:val="009A37AC"/>
    <w:rsid w:val="009A3867"/>
    <w:rsid w:val="009A3B0E"/>
    <w:rsid w:val="009A3CB1"/>
    <w:rsid w:val="009A3E2E"/>
    <w:rsid w:val="009A3FEF"/>
    <w:rsid w:val="009A40D8"/>
    <w:rsid w:val="009A4357"/>
    <w:rsid w:val="009A44DE"/>
    <w:rsid w:val="009A4719"/>
    <w:rsid w:val="009A490E"/>
    <w:rsid w:val="009A4A4F"/>
    <w:rsid w:val="009A4EC5"/>
    <w:rsid w:val="009A52DF"/>
    <w:rsid w:val="009A536F"/>
    <w:rsid w:val="009A54FB"/>
    <w:rsid w:val="009A554D"/>
    <w:rsid w:val="009A57EB"/>
    <w:rsid w:val="009A580D"/>
    <w:rsid w:val="009A599C"/>
    <w:rsid w:val="009A5A6C"/>
    <w:rsid w:val="009A5A7B"/>
    <w:rsid w:val="009A5AFF"/>
    <w:rsid w:val="009A5CD1"/>
    <w:rsid w:val="009A6621"/>
    <w:rsid w:val="009A68D3"/>
    <w:rsid w:val="009A6A12"/>
    <w:rsid w:val="009A7492"/>
    <w:rsid w:val="009A77F2"/>
    <w:rsid w:val="009A7857"/>
    <w:rsid w:val="009A78BB"/>
    <w:rsid w:val="009A7A53"/>
    <w:rsid w:val="009A7AB3"/>
    <w:rsid w:val="009A7F34"/>
    <w:rsid w:val="009A7FB2"/>
    <w:rsid w:val="009B02D8"/>
    <w:rsid w:val="009B0387"/>
    <w:rsid w:val="009B063C"/>
    <w:rsid w:val="009B07EF"/>
    <w:rsid w:val="009B07F5"/>
    <w:rsid w:val="009B10DD"/>
    <w:rsid w:val="009B125E"/>
    <w:rsid w:val="009B13DC"/>
    <w:rsid w:val="009B160A"/>
    <w:rsid w:val="009B1D1D"/>
    <w:rsid w:val="009B1DB0"/>
    <w:rsid w:val="009B1E16"/>
    <w:rsid w:val="009B2068"/>
    <w:rsid w:val="009B2245"/>
    <w:rsid w:val="009B258E"/>
    <w:rsid w:val="009B283A"/>
    <w:rsid w:val="009B2C22"/>
    <w:rsid w:val="009B2E5F"/>
    <w:rsid w:val="009B2E89"/>
    <w:rsid w:val="009B354C"/>
    <w:rsid w:val="009B3706"/>
    <w:rsid w:val="009B3969"/>
    <w:rsid w:val="009B3D2F"/>
    <w:rsid w:val="009B3DA0"/>
    <w:rsid w:val="009B3DA3"/>
    <w:rsid w:val="009B41AE"/>
    <w:rsid w:val="009B431A"/>
    <w:rsid w:val="009B4343"/>
    <w:rsid w:val="009B44A7"/>
    <w:rsid w:val="009B45CB"/>
    <w:rsid w:val="009B46E2"/>
    <w:rsid w:val="009B499E"/>
    <w:rsid w:val="009B4A82"/>
    <w:rsid w:val="009B4F17"/>
    <w:rsid w:val="009B5196"/>
    <w:rsid w:val="009B535D"/>
    <w:rsid w:val="009B53B1"/>
    <w:rsid w:val="009B547E"/>
    <w:rsid w:val="009B5553"/>
    <w:rsid w:val="009B559B"/>
    <w:rsid w:val="009B561E"/>
    <w:rsid w:val="009B576D"/>
    <w:rsid w:val="009B5864"/>
    <w:rsid w:val="009B5997"/>
    <w:rsid w:val="009B5B35"/>
    <w:rsid w:val="009B5B90"/>
    <w:rsid w:val="009B5E66"/>
    <w:rsid w:val="009B5FDD"/>
    <w:rsid w:val="009B6021"/>
    <w:rsid w:val="009B6049"/>
    <w:rsid w:val="009B63A4"/>
    <w:rsid w:val="009B6462"/>
    <w:rsid w:val="009B6982"/>
    <w:rsid w:val="009B6998"/>
    <w:rsid w:val="009B699F"/>
    <w:rsid w:val="009B6B23"/>
    <w:rsid w:val="009B6D7B"/>
    <w:rsid w:val="009B7276"/>
    <w:rsid w:val="009B72D1"/>
    <w:rsid w:val="009B77A9"/>
    <w:rsid w:val="009B78AC"/>
    <w:rsid w:val="009B7909"/>
    <w:rsid w:val="009B793F"/>
    <w:rsid w:val="009B7ABD"/>
    <w:rsid w:val="009B7ADD"/>
    <w:rsid w:val="009B7B3B"/>
    <w:rsid w:val="009B7C91"/>
    <w:rsid w:val="009B7D8E"/>
    <w:rsid w:val="009B7FA1"/>
    <w:rsid w:val="009C001A"/>
    <w:rsid w:val="009C02F1"/>
    <w:rsid w:val="009C03D7"/>
    <w:rsid w:val="009C0478"/>
    <w:rsid w:val="009C0586"/>
    <w:rsid w:val="009C060D"/>
    <w:rsid w:val="009C06AA"/>
    <w:rsid w:val="009C0A63"/>
    <w:rsid w:val="009C1264"/>
    <w:rsid w:val="009C134D"/>
    <w:rsid w:val="009C15D1"/>
    <w:rsid w:val="009C1839"/>
    <w:rsid w:val="009C1ADE"/>
    <w:rsid w:val="009C1B20"/>
    <w:rsid w:val="009C1D27"/>
    <w:rsid w:val="009C1D95"/>
    <w:rsid w:val="009C25B6"/>
    <w:rsid w:val="009C2A51"/>
    <w:rsid w:val="009C30D3"/>
    <w:rsid w:val="009C360E"/>
    <w:rsid w:val="009C38A7"/>
    <w:rsid w:val="009C3B72"/>
    <w:rsid w:val="009C3BD9"/>
    <w:rsid w:val="009C3CCE"/>
    <w:rsid w:val="009C3D76"/>
    <w:rsid w:val="009C40E2"/>
    <w:rsid w:val="009C4194"/>
    <w:rsid w:val="009C43B3"/>
    <w:rsid w:val="009C4670"/>
    <w:rsid w:val="009C473C"/>
    <w:rsid w:val="009C496E"/>
    <w:rsid w:val="009C5028"/>
    <w:rsid w:val="009C50EB"/>
    <w:rsid w:val="009C511A"/>
    <w:rsid w:val="009C51B2"/>
    <w:rsid w:val="009C5926"/>
    <w:rsid w:val="009C5A87"/>
    <w:rsid w:val="009C5B82"/>
    <w:rsid w:val="009C5DDE"/>
    <w:rsid w:val="009C6492"/>
    <w:rsid w:val="009C6871"/>
    <w:rsid w:val="009C6C2C"/>
    <w:rsid w:val="009C6E51"/>
    <w:rsid w:val="009C72A0"/>
    <w:rsid w:val="009C72ED"/>
    <w:rsid w:val="009C732B"/>
    <w:rsid w:val="009C754A"/>
    <w:rsid w:val="009C756E"/>
    <w:rsid w:val="009C7803"/>
    <w:rsid w:val="009C7ABE"/>
    <w:rsid w:val="009C7CCA"/>
    <w:rsid w:val="009C7CD2"/>
    <w:rsid w:val="009D00C1"/>
    <w:rsid w:val="009D0126"/>
    <w:rsid w:val="009D03E4"/>
    <w:rsid w:val="009D0505"/>
    <w:rsid w:val="009D06AC"/>
    <w:rsid w:val="009D0C78"/>
    <w:rsid w:val="009D0E69"/>
    <w:rsid w:val="009D0FB0"/>
    <w:rsid w:val="009D0FC2"/>
    <w:rsid w:val="009D1148"/>
    <w:rsid w:val="009D1692"/>
    <w:rsid w:val="009D17C3"/>
    <w:rsid w:val="009D184E"/>
    <w:rsid w:val="009D1ACA"/>
    <w:rsid w:val="009D1C96"/>
    <w:rsid w:val="009D1E11"/>
    <w:rsid w:val="009D206E"/>
    <w:rsid w:val="009D21BE"/>
    <w:rsid w:val="009D2251"/>
    <w:rsid w:val="009D2254"/>
    <w:rsid w:val="009D2B18"/>
    <w:rsid w:val="009D2C5F"/>
    <w:rsid w:val="009D2EA9"/>
    <w:rsid w:val="009D2EFF"/>
    <w:rsid w:val="009D2FCE"/>
    <w:rsid w:val="009D30AC"/>
    <w:rsid w:val="009D316C"/>
    <w:rsid w:val="009D3419"/>
    <w:rsid w:val="009D3AAD"/>
    <w:rsid w:val="009D3C3D"/>
    <w:rsid w:val="009D4043"/>
    <w:rsid w:val="009D415B"/>
    <w:rsid w:val="009D4172"/>
    <w:rsid w:val="009D46FB"/>
    <w:rsid w:val="009D485D"/>
    <w:rsid w:val="009D48B0"/>
    <w:rsid w:val="009D4C2A"/>
    <w:rsid w:val="009D4D77"/>
    <w:rsid w:val="009D50C6"/>
    <w:rsid w:val="009D5288"/>
    <w:rsid w:val="009D53A5"/>
    <w:rsid w:val="009D563F"/>
    <w:rsid w:val="009D5771"/>
    <w:rsid w:val="009D5824"/>
    <w:rsid w:val="009D58F4"/>
    <w:rsid w:val="009D5922"/>
    <w:rsid w:val="009D5C70"/>
    <w:rsid w:val="009D5D95"/>
    <w:rsid w:val="009D5E33"/>
    <w:rsid w:val="009D63B8"/>
    <w:rsid w:val="009D6448"/>
    <w:rsid w:val="009D6657"/>
    <w:rsid w:val="009D677B"/>
    <w:rsid w:val="009D6861"/>
    <w:rsid w:val="009D6B27"/>
    <w:rsid w:val="009D6ED7"/>
    <w:rsid w:val="009D7129"/>
    <w:rsid w:val="009D73EE"/>
    <w:rsid w:val="009D744A"/>
    <w:rsid w:val="009D751F"/>
    <w:rsid w:val="009D7683"/>
    <w:rsid w:val="009D7CB0"/>
    <w:rsid w:val="009E0199"/>
    <w:rsid w:val="009E0413"/>
    <w:rsid w:val="009E07DC"/>
    <w:rsid w:val="009E080B"/>
    <w:rsid w:val="009E0937"/>
    <w:rsid w:val="009E1164"/>
    <w:rsid w:val="009E1179"/>
    <w:rsid w:val="009E15F8"/>
    <w:rsid w:val="009E18B6"/>
    <w:rsid w:val="009E194C"/>
    <w:rsid w:val="009E1BD1"/>
    <w:rsid w:val="009E1EDD"/>
    <w:rsid w:val="009E2026"/>
    <w:rsid w:val="009E208C"/>
    <w:rsid w:val="009E250D"/>
    <w:rsid w:val="009E25C3"/>
    <w:rsid w:val="009E28B8"/>
    <w:rsid w:val="009E298B"/>
    <w:rsid w:val="009E2AC3"/>
    <w:rsid w:val="009E2AD3"/>
    <w:rsid w:val="009E2B6C"/>
    <w:rsid w:val="009E2C10"/>
    <w:rsid w:val="009E2CE6"/>
    <w:rsid w:val="009E2E68"/>
    <w:rsid w:val="009E2EE4"/>
    <w:rsid w:val="009E304E"/>
    <w:rsid w:val="009E3323"/>
    <w:rsid w:val="009E3450"/>
    <w:rsid w:val="009E3646"/>
    <w:rsid w:val="009E3776"/>
    <w:rsid w:val="009E3C90"/>
    <w:rsid w:val="009E3D2E"/>
    <w:rsid w:val="009E3E86"/>
    <w:rsid w:val="009E4262"/>
    <w:rsid w:val="009E439F"/>
    <w:rsid w:val="009E43E1"/>
    <w:rsid w:val="009E43FF"/>
    <w:rsid w:val="009E454F"/>
    <w:rsid w:val="009E45F2"/>
    <w:rsid w:val="009E47E5"/>
    <w:rsid w:val="009E4906"/>
    <w:rsid w:val="009E4EAF"/>
    <w:rsid w:val="009E5095"/>
    <w:rsid w:val="009E535F"/>
    <w:rsid w:val="009E55D6"/>
    <w:rsid w:val="009E5A27"/>
    <w:rsid w:val="009E5A5B"/>
    <w:rsid w:val="009E5C1A"/>
    <w:rsid w:val="009E5EC9"/>
    <w:rsid w:val="009E5F68"/>
    <w:rsid w:val="009E5F9C"/>
    <w:rsid w:val="009E6006"/>
    <w:rsid w:val="009E6353"/>
    <w:rsid w:val="009E64B0"/>
    <w:rsid w:val="009E65BB"/>
    <w:rsid w:val="009E6692"/>
    <w:rsid w:val="009E6B18"/>
    <w:rsid w:val="009E6B2E"/>
    <w:rsid w:val="009E6C14"/>
    <w:rsid w:val="009E6C72"/>
    <w:rsid w:val="009E6D9A"/>
    <w:rsid w:val="009E7119"/>
    <w:rsid w:val="009E7247"/>
    <w:rsid w:val="009E7328"/>
    <w:rsid w:val="009E7659"/>
    <w:rsid w:val="009E7699"/>
    <w:rsid w:val="009E79E5"/>
    <w:rsid w:val="009E7B42"/>
    <w:rsid w:val="009E7C67"/>
    <w:rsid w:val="009E7CF4"/>
    <w:rsid w:val="009E7DE3"/>
    <w:rsid w:val="009F00BA"/>
    <w:rsid w:val="009F03CF"/>
    <w:rsid w:val="009F09C1"/>
    <w:rsid w:val="009F0B96"/>
    <w:rsid w:val="009F0E8B"/>
    <w:rsid w:val="009F1102"/>
    <w:rsid w:val="009F137A"/>
    <w:rsid w:val="009F146F"/>
    <w:rsid w:val="009F1746"/>
    <w:rsid w:val="009F17E9"/>
    <w:rsid w:val="009F19F1"/>
    <w:rsid w:val="009F1A3C"/>
    <w:rsid w:val="009F1CA8"/>
    <w:rsid w:val="009F1E41"/>
    <w:rsid w:val="009F2046"/>
    <w:rsid w:val="009F20B7"/>
    <w:rsid w:val="009F21BC"/>
    <w:rsid w:val="009F25AF"/>
    <w:rsid w:val="009F2CCD"/>
    <w:rsid w:val="009F2E7D"/>
    <w:rsid w:val="009F2F93"/>
    <w:rsid w:val="009F3033"/>
    <w:rsid w:val="009F3316"/>
    <w:rsid w:val="009F3441"/>
    <w:rsid w:val="009F3515"/>
    <w:rsid w:val="009F3745"/>
    <w:rsid w:val="009F3C75"/>
    <w:rsid w:val="009F3D1B"/>
    <w:rsid w:val="009F3E37"/>
    <w:rsid w:val="009F3FA0"/>
    <w:rsid w:val="009F403F"/>
    <w:rsid w:val="009F41E6"/>
    <w:rsid w:val="009F4241"/>
    <w:rsid w:val="009F436A"/>
    <w:rsid w:val="009F4869"/>
    <w:rsid w:val="009F4890"/>
    <w:rsid w:val="009F4909"/>
    <w:rsid w:val="009F4B4C"/>
    <w:rsid w:val="009F531A"/>
    <w:rsid w:val="009F537D"/>
    <w:rsid w:val="009F53EC"/>
    <w:rsid w:val="009F5F48"/>
    <w:rsid w:val="009F6011"/>
    <w:rsid w:val="009F6055"/>
    <w:rsid w:val="009F6208"/>
    <w:rsid w:val="009F6393"/>
    <w:rsid w:val="009F6520"/>
    <w:rsid w:val="009F65F8"/>
    <w:rsid w:val="009F667B"/>
    <w:rsid w:val="009F6A27"/>
    <w:rsid w:val="009F6F9B"/>
    <w:rsid w:val="009F7127"/>
    <w:rsid w:val="009F79D6"/>
    <w:rsid w:val="009F7C89"/>
    <w:rsid w:val="009F7FCB"/>
    <w:rsid w:val="00A0012A"/>
    <w:rsid w:val="00A001EF"/>
    <w:rsid w:val="00A0037E"/>
    <w:rsid w:val="00A0072F"/>
    <w:rsid w:val="00A008DF"/>
    <w:rsid w:val="00A00CE8"/>
    <w:rsid w:val="00A00FEC"/>
    <w:rsid w:val="00A011D1"/>
    <w:rsid w:val="00A012D5"/>
    <w:rsid w:val="00A01303"/>
    <w:rsid w:val="00A01628"/>
    <w:rsid w:val="00A0163C"/>
    <w:rsid w:val="00A017A7"/>
    <w:rsid w:val="00A018EA"/>
    <w:rsid w:val="00A01975"/>
    <w:rsid w:val="00A01D97"/>
    <w:rsid w:val="00A01EC9"/>
    <w:rsid w:val="00A02343"/>
    <w:rsid w:val="00A024C1"/>
    <w:rsid w:val="00A0259C"/>
    <w:rsid w:val="00A02B65"/>
    <w:rsid w:val="00A02C4F"/>
    <w:rsid w:val="00A02E6B"/>
    <w:rsid w:val="00A03222"/>
    <w:rsid w:val="00A03366"/>
    <w:rsid w:val="00A03577"/>
    <w:rsid w:val="00A0364A"/>
    <w:rsid w:val="00A03D7A"/>
    <w:rsid w:val="00A040B8"/>
    <w:rsid w:val="00A0456C"/>
    <w:rsid w:val="00A04589"/>
    <w:rsid w:val="00A047BF"/>
    <w:rsid w:val="00A04A09"/>
    <w:rsid w:val="00A04A37"/>
    <w:rsid w:val="00A04C96"/>
    <w:rsid w:val="00A04EAF"/>
    <w:rsid w:val="00A04F1E"/>
    <w:rsid w:val="00A05067"/>
    <w:rsid w:val="00A05123"/>
    <w:rsid w:val="00A05187"/>
    <w:rsid w:val="00A05821"/>
    <w:rsid w:val="00A058D0"/>
    <w:rsid w:val="00A05AF5"/>
    <w:rsid w:val="00A05D1D"/>
    <w:rsid w:val="00A05EA2"/>
    <w:rsid w:val="00A060E3"/>
    <w:rsid w:val="00A061FE"/>
    <w:rsid w:val="00A0624B"/>
    <w:rsid w:val="00A06332"/>
    <w:rsid w:val="00A06479"/>
    <w:rsid w:val="00A06527"/>
    <w:rsid w:val="00A065B3"/>
    <w:rsid w:val="00A06A1F"/>
    <w:rsid w:val="00A06E7E"/>
    <w:rsid w:val="00A06E8A"/>
    <w:rsid w:val="00A06F9E"/>
    <w:rsid w:val="00A07002"/>
    <w:rsid w:val="00A07161"/>
    <w:rsid w:val="00A072CD"/>
    <w:rsid w:val="00A076CC"/>
    <w:rsid w:val="00A0786C"/>
    <w:rsid w:val="00A0795D"/>
    <w:rsid w:val="00A079DE"/>
    <w:rsid w:val="00A07C44"/>
    <w:rsid w:val="00A07E46"/>
    <w:rsid w:val="00A1018F"/>
    <w:rsid w:val="00A102FA"/>
    <w:rsid w:val="00A1053D"/>
    <w:rsid w:val="00A106EA"/>
    <w:rsid w:val="00A10708"/>
    <w:rsid w:val="00A10BF4"/>
    <w:rsid w:val="00A10E57"/>
    <w:rsid w:val="00A10E6F"/>
    <w:rsid w:val="00A11002"/>
    <w:rsid w:val="00A11266"/>
    <w:rsid w:val="00A112A8"/>
    <w:rsid w:val="00A1165C"/>
    <w:rsid w:val="00A118E4"/>
    <w:rsid w:val="00A1197E"/>
    <w:rsid w:val="00A119DF"/>
    <w:rsid w:val="00A11B4D"/>
    <w:rsid w:val="00A11CB7"/>
    <w:rsid w:val="00A11D41"/>
    <w:rsid w:val="00A11D9D"/>
    <w:rsid w:val="00A11EAF"/>
    <w:rsid w:val="00A125D6"/>
    <w:rsid w:val="00A125F5"/>
    <w:rsid w:val="00A12CFE"/>
    <w:rsid w:val="00A12D3E"/>
    <w:rsid w:val="00A12DA3"/>
    <w:rsid w:val="00A1318C"/>
    <w:rsid w:val="00A131C4"/>
    <w:rsid w:val="00A13803"/>
    <w:rsid w:val="00A13A62"/>
    <w:rsid w:val="00A13C47"/>
    <w:rsid w:val="00A13E52"/>
    <w:rsid w:val="00A141AB"/>
    <w:rsid w:val="00A14371"/>
    <w:rsid w:val="00A143C4"/>
    <w:rsid w:val="00A1448A"/>
    <w:rsid w:val="00A14581"/>
    <w:rsid w:val="00A145C3"/>
    <w:rsid w:val="00A146D3"/>
    <w:rsid w:val="00A14810"/>
    <w:rsid w:val="00A148B5"/>
    <w:rsid w:val="00A14972"/>
    <w:rsid w:val="00A149D0"/>
    <w:rsid w:val="00A14AFF"/>
    <w:rsid w:val="00A14E53"/>
    <w:rsid w:val="00A150B1"/>
    <w:rsid w:val="00A15101"/>
    <w:rsid w:val="00A15107"/>
    <w:rsid w:val="00A15193"/>
    <w:rsid w:val="00A151EE"/>
    <w:rsid w:val="00A153A1"/>
    <w:rsid w:val="00A15498"/>
    <w:rsid w:val="00A15580"/>
    <w:rsid w:val="00A15599"/>
    <w:rsid w:val="00A155F2"/>
    <w:rsid w:val="00A1577D"/>
    <w:rsid w:val="00A15938"/>
    <w:rsid w:val="00A1596F"/>
    <w:rsid w:val="00A15A67"/>
    <w:rsid w:val="00A15C06"/>
    <w:rsid w:val="00A15D80"/>
    <w:rsid w:val="00A15F3C"/>
    <w:rsid w:val="00A16160"/>
    <w:rsid w:val="00A16362"/>
    <w:rsid w:val="00A16413"/>
    <w:rsid w:val="00A16449"/>
    <w:rsid w:val="00A1663E"/>
    <w:rsid w:val="00A166EA"/>
    <w:rsid w:val="00A1672A"/>
    <w:rsid w:val="00A167AE"/>
    <w:rsid w:val="00A16847"/>
    <w:rsid w:val="00A1694A"/>
    <w:rsid w:val="00A16B6D"/>
    <w:rsid w:val="00A16E3F"/>
    <w:rsid w:val="00A1728F"/>
    <w:rsid w:val="00A1761C"/>
    <w:rsid w:val="00A17892"/>
    <w:rsid w:val="00A17925"/>
    <w:rsid w:val="00A17967"/>
    <w:rsid w:val="00A17BDF"/>
    <w:rsid w:val="00A17C24"/>
    <w:rsid w:val="00A17D8B"/>
    <w:rsid w:val="00A17DDF"/>
    <w:rsid w:val="00A20068"/>
    <w:rsid w:val="00A201CD"/>
    <w:rsid w:val="00A201E6"/>
    <w:rsid w:val="00A2037D"/>
    <w:rsid w:val="00A203C4"/>
    <w:rsid w:val="00A2056E"/>
    <w:rsid w:val="00A207E5"/>
    <w:rsid w:val="00A20E58"/>
    <w:rsid w:val="00A20F8B"/>
    <w:rsid w:val="00A21815"/>
    <w:rsid w:val="00A21921"/>
    <w:rsid w:val="00A219D3"/>
    <w:rsid w:val="00A21CFD"/>
    <w:rsid w:val="00A21D7A"/>
    <w:rsid w:val="00A21DC2"/>
    <w:rsid w:val="00A21F14"/>
    <w:rsid w:val="00A21F2D"/>
    <w:rsid w:val="00A21F47"/>
    <w:rsid w:val="00A22065"/>
    <w:rsid w:val="00A22572"/>
    <w:rsid w:val="00A225FD"/>
    <w:rsid w:val="00A226C7"/>
    <w:rsid w:val="00A22806"/>
    <w:rsid w:val="00A22C67"/>
    <w:rsid w:val="00A22EFC"/>
    <w:rsid w:val="00A23348"/>
    <w:rsid w:val="00A233FB"/>
    <w:rsid w:val="00A2345B"/>
    <w:rsid w:val="00A235AD"/>
    <w:rsid w:val="00A23FC3"/>
    <w:rsid w:val="00A23FF6"/>
    <w:rsid w:val="00A2402D"/>
    <w:rsid w:val="00A241D7"/>
    <w:rsid w:val="00A241DA"/>
    <w:rsid w:val="00A2427C"/>
    <w:rsid w:val="00A24371"/>
    <w:rsid w:val="00A24790"/>
    <w:rsid w:val="00A2495D"/>
    <w:rsid w:val="00A24AC7"/>
    <w:rsid w:val="00A25013"/>
    <w:rsid w:val="00A256CE"/>
    <w:rsid w:val="00A256CF"/>
    <w:rsid w:val="00A2591A"/>
    <w:rsid w:val="00A25BD1"/>
    <w:rsid w:val="00A25ED2"/>
    <w:rsid w:val="00A25F00"/>
    <w:rsid w:val="00A26356"/>
    <w:rsid w:val="00A26389"/>
    <w:rsid w:val="00A26508"/>
    <w:rsid w:val="00A265F8"/>
    <w:rsid w:val="00A2678E"/>
    <w:rsid w:val="00A267D2"/>
    <w:rsid w:val="00A2684C"/>
    <w:rsid w:val="00A2699E"/>
    <w:rsid w:val="00A269B1"/>
    <w:rsid w:val="00A26C43"/>
    <w:rsid w:val="00A26EC4"/>
    <w:rsid w:val="00A26F6A"/>
    <w:rsid w:val="00A270EA"/>
    <w:rsid w:val="00A2722F"/>
    <w:rsid w:val="00A27250"/>
    <w:rsid w:val="00A27471"/>
    <w:rsid w:val="00A2789D"/>
    <w:rsid w:val="00A27C0E"/>
    <w:rsid w:val="00A27D88"/>
    <w:rsid w:val="00A27FC8"/>
    <w:rsid w:val="00A303B8"/>
    <w:rsid w:val="00A303CE"/>
    <w:rsid w:val="00A30503"/>
    <w:rsid w:val="00A3079C"/>
    <w:rsid w:val="00A308E9"/>
    <w:rsid w:val="00A30B5E"/>
    <w:rsid w:val="00A30E71"/>
    <w:rsid w:val="00A3100C"/>
    <w:rsid w:val="00A31059"/>
    <w:rsid w:val="00A31550"/>
    <w:rsid w:val="00A318AF"/>
    <w:rsid w:val="00A319C1"/>
    <w:rsid w:val="00A31EF0"/>
    <w:rsid w:val="00A31F53"/>
    <w:rsid w:val="00A324F4"/>
    <w:rsid w:val="00A325CE"/>
    <w:rsid w:val="00A327B0"/>
    <w:rsid w:val="00A32862"/>
    <w:rsid w:val="00A32A08"/>
    <w:rsid w:val="00A32A1E"/>
    <w:rsid w:val="00A32B56"/>
    <w:rsid w:val="00A32C39"/>
    <w:rsid w:val="00A32F91"/>
    <w:rsid w:val="00A33056"/>
    <w:rsid w:val="00A33740"/>
    <w:rsid w:val="00A3381B"/>
    <w:rsid w:val="00A33999"/>
    <w:rsid w:val="00A339E1"/>
    <w:rsid w:val="00A34013"/>
    <w:rsid w:val="00A34123"/>
    <w:rsid w:val="00A342C5"/>
    <w:rsid w:val="00A344B6"/>
    <w:rsid w:val="00A3450E"/>
    <w:rsid w:val="00A34742"/>
    <w:rsid w:val="00A347C7"/>
    <w:rsid w:val="00A3497C"/>
    <w:rsid w:val="00A34982"/>
    <w:rsid w:val="00A34C5B"/>
    <w:rsid w:val="00A34CB7"/>
    <w:rsid w:val="00A3501F"/>
    <w:rsid w:val="00A352E8"/>
    <w:rsid w:val="00A35339"/>
    <w:rsid w:val="00A3534B"/>
    <w:rsid w:val="00A35461"/>
    <w:rsid w:val="00A354C2"/>
    <w:rsid w:val="00A3559F"/>
    <w:rsid w:val="00A35903"/>
    <w:rsid w:val="00A35DA1"/>
    <w:rsid w:val="00A35FA5"/>
    <w:rsid w:val="00A361C3"/>
    <w:rsid w:val="00A3621C"/>
    <w:rsid w:val="00A36344"/>
    <w:rsid w:val="00A364AD"/>
    <w:rsid w:val="00A3668D"/>
    <w:rsid w:val="00A3669B"/>
    <w:rsid w:val="00A36706"/>
    <w:rsid w:val="00A36870"/>
    <w:rsid w:val="00A36E8D"/>
    <w:rsid w:val="00A37295"/>
    <w:rsid w:val="00A372FD"/>
    <w:rsid w:val="00A3779C"/>
    <w:rsid w:val="00A37856"/>
    <w:rsid w:val="00A37DC5"/>
    <w:rsid w:val="00A401E9"/>
    <w:rsid w:val="00A40466"/>
    <w:rsid w:val="00A40651"/>
    <w:rsid w:val="00A4080E"/>
    <w:rsid w:val="00A4093E"/>
    <w:rsid w:val="00A40DB4"/>
    <w:rsid w:val="00A411FA"/>
    <w:rsid w:val="00A41305"/>
    <w:rsid w:val="00A413E5"/>
    <w:rsid w:val="00A415F5"/>
    <w:rsid w:val="00A418B6"/>
    <w:rsid w:val="00A418D4"/>
    <w:rsid w:val="00A41A03"/>
    <w:rsid w:val="00A41C6B"/>
    <w:rsid w:val="00A41E2B"/>
    <w:rsid w:val="00A422CC"/>
    <w:rsid w:val="00A42888"/>
    <w:rsid w:val="00A42957"/>
    <w:rsid w:val="00A42962"/>
    <w:rsid w:val="00A42A46"/>
    <w:rsid w:val="00A42F0E"/>
    <w:rsid w:val="00A430C3"/>
    <w:rsid w:val="00A430E8"/>
    <w:rsid w:val="00A4323F"/>
    <w:rsid w:val="00A43455"/>
    <w:rsid w:val="00A43478"/>
    <w:rsid w:val="00A43673"/>
    <w:rsid w:val="00A43EAB"/>
    <w:rsid w:val="00A44079"/>
    <w:rsid w:val="00A4423C"/>
    <w:rsid w:val="00A446B8"/>
    <w:rsid w:val="00A44833"/>
    <w:rsid w:val="00A44EC1"/>
    <w:rsid w:val="00A45324"/>
    <w:rsid w:val="00A454B3"/>
    <w:rsid w:val="00A4583E"/>
    <w:rsid w:val="00A45A67"/>
    <w:rsid w:val="00A45CF6"/>
    <w:rsid w:val="00A45E52"/>
    <w:rsid w:val="00A45F21"/>
    <w:rsid w:val="00A45F71"/>
    <w:rsid w:val="00A46438"/>
    <w:rsid w:val="00A4649A"/>
    <w:rsid w:val="00A46652"/>
    <w:rsid w:val="00A46B15"/>
    <w:rsid w:val="00A46B43"/>
    <w:rsid w:val="00A46C11"/>
    <w:rsid w:val="00A46D15"/>
    <w:rsid w:val="00A46EAD"/>
    <w:rsid w:val="00A46F13"/>
    <w:rsid w:val="00A4713D"/>
    <w:rsid w:val="00A47222"/>
    <w:rsid w:val="00A473C5"/>
    <w:rsid w:val="00A473E8"/>
    <w:rsid w:val="00A474BD"/>
    <w:rsid w:val="00A476E5"/>
    <w:rsid w:val="00A477E1"/>
    <w:rsid w:val="00A47B9B"/>
    <w:rsid w:val="00A502F5"/>
    <w:rsid w:val="00A50632"/>
    <w:rsid w:val="00A506FD"/>
    <w:rsid w:val="00A50863"/>
    <w:rsid w:val="00A50B0F"/>
    <w:rsid w:val="00A50CF6"/>
    <w:rsid w:val="00A50D4A"/>
    <w:rsid w:val="00A50E21"/>
    <w:rsid w:val="00A50E3E"/>
    <w:rsid w:val="00A51233"/>
    <w:rsid w:val="00A513BE"/>
    <w:rsid w:val="00A516D6"/>
    <w:rsid w:val="00A51810"/>
    <w:rsid w:val="00A519F3"/>
    <w:rsid w:val="00A519FB"/>
    <w:rsid w:val="00A51BFA"/>
    <w:rsid w:val="00A51CD3"/>
    <w:rsid w:val="00A51F78"/>
    <w:rsid w:val="00A51FC9"/>
    <w:rsid w:val="00A52061"/>
    <w:rsid w:val="00A5222C"/>
    <w:rsid w:val="00A522A5"/>
    <w:rsid w:val="00A523F5"/>
    <w:rsid w:val="00A52B30"/>
    <w:rsid w:val="00A52E46"/>
    <w:rsid w:val="00A52EB5"/>
    <w:rsid w:val="00A53009"/>
    <w:rsid w:val="00A5323B"/>
    <w:rsid w:val="00A5358A"/>
    <w:rsid w:val="00A5370F"/>
    <w:rsid w:val="00A53B45"/>
    <w:rsid w:val="00A53B86"/>
    <w:rsid w:val="00A53D6D"/>
    <w:rsid w:val="00A53DE4"/>
    <w:rsid w:val="00A5456E"/>
    <w:rsid w:val="00A547C7"/>
    <w:rsid w:val="00A5483B"/>
    <w:rsid w:val="00A54A1D"/>
    <w:rsid w:val="00A54AF6"/>
    <w:rsid w:val="00A54BD7"/>
    <w:rsid w:val="00A54C5F"/>
    <w:rsid w:val="00A54CA6"/>
    <w:rsid w:val="00A54EA2"/>
    <w:rsid w:val="00A54FB4"/>
    <w:rsid w:val="00A54FF5"/>
    <w:rsid w:val="00A551C4"/>
    <w:rsid w:val="00A551F2"/>
    <w:rsid w:val="00A5538E"/>
    <w:rsid w:val="00A55455"/>
    <w:rsid w:val="00A55997"/>
    <w:rsid w:val="00A55CA3"/>
    <w:rsid w:val="00A55DC7"/>
    <w:rsid w:val="00A55FAF"/>
    <w:rsid w:val="00A55FF8"/>
    <w:rsid w:val="00A560A4"/>
    <w:rsid w:val="00A5625C"/>
    <w:rsid w:val="00A5628A"/>
    <w:rsid w:val="00A5657B"/>
    <w:rsid w:val="00A5672E"/>
    <w:rsid w:val="00A56A4F"/>
    <w:rsid w:val="00A56DE0"/>
    <w:rsid w:val="00A56F8F"/>
    <w:rsid w:val="00A57219"/>
    <w:rsid w:val="00A57220"/>
    <w:rsid w:val="00A57368"/>
    <w:rsid w:val="00A57384"/>
    <w:rsid w:val="00A57687"/>
    <w:rsid w:val="00A57691"/>
    <w:rsid w:val="00A5794C"/>
    <w:rsid w:val="00A57C4D"/>
    <w:rsid w:val="00A57DE2"/>
    <w:rsid w:val="00A57EA3"/>
    <w:rsid w:val="00A57EEF"/>
    <w:rsid w:val="00A600EF"/>
    <w:rsid w:val="00A6021D"/>
    <w:rsid w:val="00A60288"/>
    <w:rsid w:val="00A603EC"/>
    <w:rsid w:val="00A6047C"/>
    <w:rsid w:val="00A609C6"/>
    <w:rsid w:val="00A60EA2"/>
    <w:rsid w:val="00A610FC"/>
    <w:rsid w:val="00A611E5"/>
    <w:rsid w:val="00A612A2"/>
    <w:rsid w:val="00A61496"/>
    <w:rsid w:val="00A614CE"/>
    <w:rsid w:val="00A6194B"/>
    <w:rsid w:val="00A61B1A"/>
    <w:rsid w:val="00A61CD5"/>
    <w:rsid w:val="00A61D5A"/>
    <w:rsid w:val="00A62168"/>
    <w:rsid w:val="00A62277"/>
    <w:rsid w:val="00A62666"/>
    <w:rsid w:val="00A6278B"/>
    <w:rsid w:val="00A62836"/>
    <w:rsid w:val="00A62BEB"/>
    <w:rsid w:val="00A62C2A"/>
    <w:rsid w:val="00A62C73"/>
    <w:rsid w:val="00A63016"/>
    <w:rsid w:val="00A6308F"/>
    <w:rsid w:val="00A63749"/>
    <w:rsid w:val="00A63B6F"/>
    <w:rsid w:val="00A63C18"/>
    <w:rsid w:val="00A63DFE"/>
    <w:rsid w:val="00A64040"/>
    <w:rsid w:val="00A64044"/>
    <w:rsid w:val="00A640C1"/>
    <w:rsid w:val="00A641BC"/>
    <w:rsid w:val="00A641CC"/>
    <w:rsid w:val="00A64336"/>
    <w:rsid w:val="00A64614"/>
    <w:rsid w:val="00A646CD"/>
    <w:rsid w:val="00A64767"/>
    <w:rsid w:val="00A6479D"/>
    <w:rsid w:val="00A64B04"/>
    <w:rsid w:val="00A64CAF"/>
    <w:rsid w:val="00A6504D"/>
    <w:rsid w:val="00A65180"/>
    <w:rsid w:val="00A65198"/>
    <w:rsid w:val="00A6597F"/>
    <w:rsid w:val="00A65AA8"/>
    <w:rsid w:val="00A65BDA"/>
    <w:rsid w:val="00A66253"/>
    <w:rsid w:val="00A66270"/>
    <w:rsid w:val="00A662DC"/>
    <w:rsid w:val="00A666D2"/>
    <w:rsid w:val="00A66758"/>
    <w:rsid w:val="00A66B02"/>
    <w:rsid w:val="00A66B17"/>
    <w:rsid w:val="00A66CE8"/>
    <w:rsid w:val="00A66D36"/>
    <w:rsid w:val="00A670A5"/>
    <w:rsid w:val="00A67151"/>
    <w:rsid w:val="00A671CC"/>
    <w:rsid w:val="00A6741B"/>
    <w:rsid w:val="00A674FE"/>
    <w:rsid w:val="00A67503"/>
    <w:rsid w:val="00A67A4A"/>
    <w:rsid w:val="00A67B37"/>
    <w:rsid w:val="00A67B81"/>
    <w:rsid w:val="00A70166"/>
    <w:rsid w:val="00A70186"/>
    <w:rsid w:val="00A70268"/>
    <w:rsid w:val="00A707AE"/>
    <w:rsid w:val="00A707F1"/>
    <w:rsid w:val="00A70928"/>
    <w:rsid w:val="00A70AC9"/>
    <w:rsid w:val="00A70B34"/>
    <w:rsid w:val="00A70E3C"/>
    <w:rsid w:val="00A70F34"/>
    <w:rsid w:val="00A70F55"/>
    <w:rsid w:val="00A710F5"/>
    <w:rsid w:val="00A71233"/>
    <w:rsid w:val="00A714E7"/>
    <w:rsid w:val="00A7150B"/>
    <w:rsid w:val="00A7151D"/>
    <w:rsid w:val="00A7163F"/>
    <w:rsid w:val="00A716FF"/>
    <w:rsid w:val="00A71813"/>
    <w:rsid w:val="00A7181B"/>
    <w:rsid w:val="00A71AA9"/>
    <w:rsid w:val="00A71C01"/>
    <w:rsid w:val="00A71C75"/>
    <w:rsid w:val="00A71D09"/>
    <w:rsid w:val="00A71ECD"/>
    <w:rsid w:val="00A7210E"/>
    <w:rsid w:val="00A721BC"/>
    <w:rsid w:val="00A725D8"/>
    <w:rsid w:val="00A72A60"/>
    <w:rsid w:val="00A72AFF"/>
    <w:rsid w:val="00A72F57"/>
    <w:rsid w:val="00A73131"/>
    <w:rsid w:val="00A73511"/>
    <w:rsid w:val="00A7365C"/>
    <w:rsid w:val="00A737EE"/>
    <w:rsid w:val="00A73A18"/>
    <w:rsid w:val="00A73B16"/>
    <w:rsid w:val="00A73DB4"/>
    <w:rsid w:val="00A73EF1"/>
    <w:rsid w:val="00A74226"/>
    <w:rsid w:val="00A7422C"/>
    <w:rsid w:val="00A74430"/>
    <w:rsid w:val="00A744ED"/>
    <w:rsid w:val="00A74A10"/>
    <w:rsid w:val="00A74BD6"/>
    <w:rsid w:val="00A74FE6"/>
    <w:rsid w:val="00A7508A"/>
    <w:rsid w:val="00A754A5"/>
    <w:rsid w:val="00A757B0"/>
    <w:rsid w:val="00A7596C"/>
    <w:rsid w:val="00A75BEB"/>
    <w:rsid w:val="00A75C91"/>
    <w:rsid w:val="00A75E1F"/>
    <w:rsid w:val="00A75E28"/>
    <w:rsid w:val="00A75F1B"/>
    <w:rsid w:val="00A7600F"/>
    <w:rsid w:val="00A76226"/>
    <w:rsid w:val="00A76573"/>
    <w:rsid w:val="00A7671C"/>
    <w:rsid w:val="00A76869"/>
    <w:rsid w:val="00A76A26"/>
    <w:rsid w:val="00A76EBE"/>
    <w:rsid w:val="00A775E0"/>
    <w:rsid w:val="00A7760A"/>
    <w:rsid w:val="00A776A4"/>
    <w:rsid w:val="00A779AC"/>
    <w:rsid w:val="00A77C2B"/>
    <w:rsid w:val="00A77EE4"/>
    <w:rsid w:val="00A77F00"/>
    <w:rsid w:val="00A77F86"/>
    <w:rsid w:val="00A800BB"/>
    <w:rsid w:val="00A8019B"/>
    <w:rsid w:val="00A8031A"/>
    <w:rsid w:val="00A8049D"/>
    <w:rsid w:val="00A80632"/>
    <w:rsid w:val="00A80908"/>
    <w:rsid w:val="00A809DB"/>
    <w:rsid w:val="00A80A1D"/>
    <w:rsid w:val="00A80BC0"/>
    <w:rsid w:val="00A80C10"/>
    <w:rsid w:val="00A80CBA"/>
    <w:rsid w:val="00A80D74"/>
    <w:rsid w:val="00A80E34"/>
    <w:rsid w:val="00A80F1F"/>
    <w:rsid w:val="00A819F2"/>
    <w:rsid w:val="00A81A10"/>
    <w:rsid w:val="00A81B4B"/>
    <w:rsid w:val="00A81D73"/>
    <w:rsid w:val="00A822C2"/>
    <w:rsid w:val="00A823A7"/>
    <w:rsid w:val="00A8244D"/>
    <w:rsid w:val="00A8264F"/>
    <w:rsid w:val="00A8266D"/>
    <w:rsid w:val="00A827FB"/>
    <w:rsid w:val="00A828B4"/>
    <w:rsid w:val="00A82990"/>
    <w:rsid w:val="00A82B70"/>
    <w:rsid w:val="00A82C2B"/>
    <w:rsid w:val="00A82CA2"/>
    <w:rsid w:val="00A82F11"/>
    <w:rsid w:val="00A830C6"/>
    <w:rsid w:val="00A843B4"/>
    <w:rsid w:val="00A843E4"/>
    <w:rsid w:val="00A843EC"/>
    <w:rsid w:val="00A84973"/>
    <w:rsid w:val="00A84A76"/>
    <w:rsid w:val="00A84C16"/>
    <w:rsid w:val="00A84CA3"/>
    <w:rsid w:val="00A84DE7"/>
    <w:rsid w:val="00A84F7C"/>
    <w:rsid w:val="00A855BD"/>
    <w:rsid w:val="00A859AB"/>
    <w:rsid w:val="00A85CDE"/>
    <w:rsid w:val="00A85D2C"/>
    <w:rsid w:val="00A85FD8"/>
    <w:rsid w:val="00A86438"/>
    <w:rsid w:val="00A86591"/>
    <w:rsid w:val="00A86636"/>
    <w:rsid w:val="00A869CF"/>
    <w:rsid w:val="00A86ABF"/>
    <w:rsid w:val="00A86DA1"/>
    <w:rsid w:val="00A8704F"/>
    <w:rsid w:val="00A87448"/>
    <w:rsid w:val="00A87624"/>
    <w:rsid w:val="00A8765D"/>
    <w:rsid w:val="00A87702"/>
    <w:rsid w:val="00A87C44"/>
    <w:rsid w:val="00A87EC2"/>
    <w:rsid w:val="00A900A9"/>
    <w:rsid w:val="00A900B1"/>
    <w:rsid w:val="00A900BD"/>
    <w:rsid w:val="00A90401"/>
    <w:rsid w:val="00A90430"/>
    <w:rsid w:val="00A90453"/>
    <w:rsid w:val="00A90561"/>
    <w:rsid w:val="00A90656"/>
    <w:rsid w:val="00A9065C"/>
    <w:rsid w:val="00A90665"/>
    <w:rsid w:val="00A9073C"/>
    <w:rsid w:val="00A90B49"/>
    <w:rsid w:val="00A90DE8"/>
    <w:rsid w:val="00A911F2"/>
    <w:rsid w:val="00A912AA"/>
    <w:rsid w:val="00A91361"/>
    <w:rsid w:val="00A913D0"/>
    <w:rsid w:val="00A91537"/>
    <w:rsid w:val="00A915C1"/>
    <w:rsid w:val="00A91639"/>
    <w:rsid w:val="00A9185E"/>
    <w:rsid w:val="00A91AB8"/>
    <w:rsid w:val="00A91C20"/>
    <w:rsid w:val="00A91C85"/>
    <w:rsid w:val="00A92027"/>
    <w:rsid w:val="00A92083"/>
    <w:rsid w:val="00A92153"/>
    <w:rsid w:val="00A921E3"/>
    <w:rsid w:val="00A92279"/>
    <w:rsid w:val="00A9238C"/>
    <w:rsid w:val="00A925D1"/>
    <w:rsid w:val="00A92AB4"/>
    <w:rsid w:val="00A92AF9"/>
    <w:rsid w:val="00A92CAB"/>
    <w:rsid w:val="00A92DAD"/>
    <w:rsid w:val="00A92FE9"/>
    <w:rsid w:val="00A931DE"/>
    <w:rsid w:val="00A9335C"/>
    <w:rsid w:val="00A936C8"/>
    <w:rsid w:val="00A936FA"/>
    <w:rsid w:val="00A93974"/>
    <w:rsid w:val="00A939B5"/>
    <w:rsid w:val="00A93CC9"/>
    <w:rsid w:val="00A94220"/>
    <w:rsid w:val="00A94411"/>
    <w:rsid w:val="00A94590"/>
    <w:rsid w:val="00A9470A"/>
    <w:rsid w:val="00A947D6"/>
    <w:rsid w:val="00A94A50"/>
    <w:rsid w:val="00A94BE4"/>
    <w:rsid w:val="00A94D20"/>
    <w:rsid w:val="00A950F1"/>
    <w:rsid w:val="00A95158"/>
    <w:rsid w:val="00A9558F"/>
    <w:rsid w:val="00A9565A"/>
    <w:rsid w:val="00A9566C"/>
    <w:rsid w:val="00A959FC"/>
    <w:rsid w:val="00A95C0B"/>
    <w:rsid w:val="00A95CF3"/>
    <w:rsid w:val="00A95D21"/>
    <w:rsid w:val="00A95D78"/>
    <w:rsid w:val="00A96132"/>
    <w:rsid w:val="00A96196"/>
    <w:rsid w:val="00A96280"/>
    <w:rsid w:val="00A96455"/>
    <w:rsid w:val="00A96508"/>
    <w:rsid w:val="00A96D23"/>
    <w:rsid w:val="00A97000"/>
    <w:rsid w:val="00A97054"/>
    <w:rsid w:val="00A97307"/>
    <w:rsid w:val="00A9752B"/>
    <w:rsid w:val="00A97648"/>
    <w:rsid w:val="00A97853"/>
    <w:rsid w:val="00A97EF3"/>
    <w:rsid w:val="00A97FC7"/>
    <w:rsid w:val="00A97FD6"/>
    <w:rsid w:val="00AA001A"/>
    <w:rsid w:val="00AA012E"/>
    <w:rsid w:val="00AA023B"/>
    <w:rsid w:val="00AA02FD"/>
    <w:rsid w:val="00AA0359"/>
    <w:rsid w:val="00AA08F1"/>
    <w:rsid w:val="00AA0AD5"/>
    <w:rsid w:val="00AA0CC1"/>
    <w:rsid w:val="00AA0F0A"/>
    <w:rsid w:val="00AA11DF"/>
    <w:rsid w:val="00AA1674"/>
    <w:rsid w:val="00AA1C07"/>
    <w:rsid w:val="00AA1D5B"/>
    <w:rsid w:val="00AA23C4"/>
    <w:rsid w:val="00AA2461"/>
    <w:rsid w:val="00AA27D9"/>
    <w:rsid w:val="00AA2865"/>
    <w:rsid w:val="00AA2DAB"/>
    <w:rsid w:val="00AA336C"/>
    <w:rsid w:val="00AA33BF"/>
    <w:rsid w:val="00AA359F"/>
    <w:rsid w:val="00AA36E0"/>
    <w:rsid w:val="00AA39B7"/>
    <w:rsid w:val="00AA3A9B"/>
    <w:rsid w:val="00AA3AEC"/>
    <w:rsid w:val="00AA3BF1"/>
    <w:rsid w:val="00AA4087"/>
    <w:rsid w:val="00AA41E2"/>
    <w:rsid w:val="00AA44B5"/>
    <w:rsid w:val="00AA44E7"/>
    <w:rsid w:val="00AA4503"/>
    <w:rsid w:val="00AA483D"/>
    <w:rsid w:val="00AA4A9B"/>
    <w:rsid w:val="00AA4C78"/>
    <w:rsid w:val="00AA4D6E"/>
    <w:rsid w:val="00AA5118"/>
    <w:rsid w:val="00AA5198"/>
    <w:rsid w:val="00AA5280"/>
    <w:rsid w:val="00AA5410"/>
    <w:rsid w:val="00AA551D"/>
    <w:rsid w:val="00AA5548"/>
    <w:rsid w:val="00AA5577"/>
    <w:rsid w:val="00AA5598"/>
    <w:rsid w:val="00AA5F80"/>
    <w:rsid w:val="00AA5FF8"/>
    <w:rsid w:val="00AA639C"/>
    <w:rsid w:val="00AA6463"/>
    <w:rsid w:val="00AA6469"/>
    <w:rsid w:val="00AA66F2"/>
    <w:rsid w:val="00AA6CC1"/>
    <w:rsid w:val="00AA6ED9"/>
    <w:rsid w:val="00AA7046"/>
    <w:rsid w:val="00AA724C"/>
    <w:rsid w:val="00AA72CA"/>
    <w:rsid w:val="00AA73E4"/>
    <w:rsid w:val="00AA787C"/>
    <w:rsid w:val="00AA7B60"/>
    <w:rsid w:val="00AB004C"/>
    <w:rsid w:val="00AB01FB"/>
    <w:rsid w:val="00AB03E7"/>
    <w:rsid w:val="00AB0401"/>
    <w:rsid w:val="00AB0422"/>
    <w:rsid w:val="00AB0688"/>
    <w:rsid w:val="00AB097D"/>
    <w:rsid w:val="00AB097F"/>
    <w:rsid w:val="00AB0B99"/>
    <w:rsid w:val="00AB105C"/>
    <w:rsid w:val="00AB1166"/>
    <w:rsid w:val="00AB11B2"/>
    <w:rsid w:val="00AB11E9"/>
    <w:rsid w:val="00AB1287"/>
    <w:rsid w:val="00AB18C5"/>
    <w:rsid w:val="00AB1ABE"/>
    <w:rsid w:val="00AB1C26"/>
    <w:rsid w:val="00AB1C2B"/>
    <w:rsid w:val="00AB1F59"/>
    <w:rsid w:val="00AB21C6"/>
    <w:rsid w:val="00AB2258"/>
    <w:rsid w:val="00AB264B"/>
    <w:rsid w:val="00AB282A"/>
    <w:rsid w:val="00AB2830"/>
    <w:rsid w:val="00AB2841"/>
    <w:rsid w:val="00AB2C62"/>
    <w:rsid w:val="00AB30CC"/>
    <w:rsid w:val="00AB31B6"/>
    <w:rsid w:val="00AB3554"/>
    <w:rsid w:val="00AB3AE3"/>
    <w:rsid w:val="00AB40FC"/>
    <w:rsid w:val="00AB426F"/>
    <w:rsid w:val="00AB42FC"/>
    <w:rsid w:val="00AB4303"/>
    <w:rsid w:val="00AB4320"/>
    <w:rsid w:val="00AB43B6"/>
    <w:rsid w:val="00AB47C3"/>
    <w:rsid w:val="00AB4895"/>
    <w:rsid w:val="00AB498C"/>
    <w:rsid w:val="00AB4C37"/>
    <w:rsid w:val="00AB4F23"/>
    <w:rsid w:val="00AB4F31"/>
    <w:rsid w:val="00AB4F39"/>
    <w:rsid w:val="00AB52CE"/>
    <w:rsid w:val="00AB5315"/>
    <w:rsid w:val="00AB53A1"/>
    <w:rsid w:val="00AB53A3"/>
    <w:rsid w:val="00AB53AB"/>
    <w:rsid w:val="00AB5461"/>
    <w:rsid w:val="00AB54A2"/>
    <w:rsid w:val="00AB572F"/>
    <w:rsid w:val="00AB57C5"/>
    <w:rsid w:val="00AB594B"/>
    <w:rsid w:val="00AB596E"/>
    <w:rsid w:val="00AB5A96"/>
    <w:rsid w:val="00AB5D69"/>
    <w:rsid w:val="00AB630C"/>
    <w:rsid w:val="00AB63BC"/>
    <w:rsid w:val="00AB6655"/>
    <w:rsid w:val="00AB667E"/>
    <w:rsid w:val="00AB67B3"/>
    <w:rsid w:val="00AB6A76"/>
    <w:rsid w:val="00AB6B2A"/>
    <w:rsid w:val="00AB6D20"/>
    <w:rsid w:val="00AB71EC"/>
    <w:rsid w:val="00AB760E"/>
    <w:rsid w:val="00AB769A"/>
    <w:rsid w:val="00AB76E3"/>
    <w:rsid w:val="00AB7768"/>
    <w:rsid w:val="00AB7AF4"/>
    <w:rsid w:val="00AB7B8C"/>
    <w:rsid w:val="00AB7CBD"/>
    <w:rsid w:val="00AC0033"/>
    <w:rsid w:val="00AC0689"/>
    <w:rsid w:val="00AC0839"/>
    <w:rsid w:val="00AC08A5"/>
    <w:rsid w:val="00AC0A81"/>
    <w:rsid w:val="00AC0B29"/>
    <w:rsid w:val="00AC0BD9"/>
    <w:rsid w:val="00AC1274"/>
    <w:rsid w:val="00AC14E6"/>
    <w:rsid w:val="00AC1508"/>
    <w:rsid w:val="00AC1891"/>
    <w:rsid w:val="00AC18B0"/>
    <w:rsid w:val="00AC18E7"/>
    <w:rsid w:val="00AC198D"/>
    <w:rsid w:val="00AC1A5E"/>
    <w:rsid w:val="00AC1C6D"/>
    <w:rsid w:val="00AC1EFA"/>
    <w:rsid w:val="00AC214E"/>
    <w:rsid w:val="00AC2924"/>
    <w:rsid w:val="00AC2A83"/>
    <w:rsid w:val="00AC3226"/>
    <w:rsid w:val="00AC3456"/>
    <w:rsid w:val="00AC3583"/>
    <w:rsid w:val="00AC35E6"/>
    <w:rsid w:val="00AC35FF"/>
    <w:rsid w:val="00AC36B6"/>
    <w:rsid w:val="00AC37DC"/>
    <w:rsid w:val="00AC3903"/>
    <w:rsid w:val="00AC3990"/>
    <w:rsid w:val="00AC39E6"/>
    <w:rsid w:val="00AC3EA6"/>
    <w:rsid w:val="00AC444C"/>
    <w:rsid w:val="00AC45F8"/>
    <w:rsid w:val="00AC4917"/>
    <w:rsid w:val="00AC49F7"/>
    <w:rsid w:val="00AC4BF5"/>
    <w:rsid w:val="00AC52F9"/>
    <w:rsid w:val="00AC564E"/>
    <w:rsid w:val="00AC5B89"/>
    <w:rsid w:val="00AC5DD9"/>
    <w:rsid w:val="00AC608F"/>
    <w:rsid w:val="00AC65E5"/>
    <w:rsid w:val="00AC6718"/>
    <w:rsid w:val="00AC680D"/>
    <w:rsid w:val="00AC68F6"/>
    <w:rsid w:val="00AC6970"/>
    <w:rsid w:val="00AC69BE"/>
    <w:rsid w:val="00AC6A33"/>
    <w:rsid w:val="00AC6D79"/>
    <w:rsid w:val="00AC6F7D"/>
    <w:rsid w:val="00AC70F7"/>
    <w:rsid w:val="00AC720A"/>
    <w:rsid w:val="00AC74AF"/>
    <w:rsid w:val="00AC7642"/>
    <w:rsid w:val="00AC7ABA"/>
    <w:rsid w:val="00AD0020"/>
    <w:rsid w:val="00AD01E2"/>
    <w:rsid w:val="00AD0942"/>
    <w:rsid w:val="00AD0C24"/>
    <w:rsid w:val="00AD0DE2"/>
    <w:rsid w:val="00AD0E6A"/>
    <w:rsid w:val="00AD128D"/>
    <w:rsid w:val="00AD1487"/>
    <w:rsid w:val="00AD15C1"/>
    <w:rsid w:val="00AD1689"/>
    <w:rsid w:val="00AD1A6D"/>
    <w:rsid w:val="00AD1AEB"/>
    <w:rsid w:val="00AD1BB1"/>
    <w:rsid w:val="00AD2252"/>
    <w:rsid w:val="00AD2637"/>
    <w:rsid w:val="00AD28D4"/>
    <w:rsid w:val="00AD2A85"/>
    <w:rsid w:val="00AD2B4D"/>
    <w:rsid w:val="00AD2FE6"/>
    <w:rsid w:val="00AD3035"/>
    <w:rsid w:val="00AD3421"/>
    <w:rsid w:val="00AD3437"/>
    <w:rsid w:val="00AD343B"/>
    <w:rsid w:val="00AD3530"/>
    <w:rsid w:val="00AD3624"/>
    <w:rsid w:val="00AD38F8"/>
    <w:rsid w:val="00AD43D3"/>
    <w:rsid w:val="00AD4BE2"/>
    <w:rsid w:val="00AD4FCA"/>
    <w:rsid w:val="00AD4FE3"/>
    <w:rsid w:val="00AD505D"/>
    <w:rsid w:val="00AD54C4"/>
    <w:rsid w:val="00AD5716"/>
    <w:rsid w:val="00AD5772"/>
    <w:rsid w:val="00AD587A"/>
    <w:rsid w:val="00AD5924"/>
    <w:rsid w:val="00AD5BE0"/>
    <w:rsid w:val="00AD5F78"/>
    <w:rsid w:val="00AD60EA"/>
    <w:rsid w:val="00AD6471"/>
    <w:rsid w:val="00AD6658"/>
    <w:rsid w:val="00AD67D4"/>
    <w:rsid w:val="00AD71ED"/>
    <w:rsid w:val="00AD76C1"/>
    <w:rsid w:val="00AD7767"/>
    <w:rsid w:val="00AD7802"/>
    <w:rsid w:val="00AD7BBD"/>
    <w:rsid w:val="00AD7E35"/>
    <w:rsid w:val="00AD7F6C"/>
    <w:rsid w:val="00AE022C"/>
    <w:rsid w:val="00AE026C"/>
    <w:rsid w:val="00AE0378"/>
    <w:rsid w:val="00AE0392"/>
    <w:rsid w:val="00AE0490"/>
    <w:rsid w:val="00AE06D7"/>
    <w:rsid w:val="00AE097E"/>
    <w:rsid w:val="00AE0DCA"/>
    <w:rsid w:val="00AE0F0E"/>
    <w:rsid w:val="00AE0F90"/>
    <w:rsid w:val="00AE0FD6"/>
    <w:rsid w:val="00AE1150"/>
    <w:rsid w:val="00AE13F3"/>
    <w:rsid w:val="00AE163A"/>
    <w:rsid w:val="00AE16E5"/>
    <w:rsid w:val="00AE186C"/>
    <w:rsid w:val="00AE1C77"/>
    <w:rsid w:val="00AE1CC8"/>
    <w:rsid w:val="00AE1DF5"/>
    <w:rsid w:val="00AE1FBE"/>
    <w:rsid w:val="00AE24E4"/>
    <w:rsid w:val="00AE27E0"/>
    <w:rsid w:val="00AE2897"/>
    <w:rsid w:val="00AE2A2A"/>
    <w:rsid w:val="00AE2BF8"/>
    <w:rsid w:val="00AE2C2D"/>
    <w:rsid w:val="00AE2C82"/>
    <w:rsid w:val="00AE2CF9"/>
    <w:rsid w:val="00AE2E95"/>
    <w:rsid w:val="00AE354B"/>
    <w:rsid w:val="00AE36A0"/>
    <w:rsid w:val="00AE3B48"/>
    <w:rsid w:val="00AE4142"/>
    <w:rsid w:val="00AE41BB"/>
    <w:rsid w:val="00AE4331"/>
    <w:rsid w:val="00AE449F"/>
    <w:rsid w:val="00AE452B"/>
    <w:rsid w:val="00AE4614"/>
    <w:rsid w:val="00AE49C6"/>
    <w:rsid w:val="00AE4B4F"/>
    <w:rsid w:val="00AE4CD1"/>
    <w:rsid w:val="00AE4EA3"/>
    <w:rsid w:val="00AE4F9E"/>
    <w:rsid w:val="00AE51F6"/>
    <w:rsid w:val="00AE524A"/>
    <w:rsid w:val="00AE52B7"/>
    <w:rsid w:val="00AE54D6"/>
    <w:rsid w:val="00AE551A"/>
    <w:rsid w:val="00AE561D"/>
    <w:rsid w:val="00AE5993"/>
    <w:rsid w:val="00AE614D"/>
    <w:rsid w:val="00AE6486"/>
    <w:rsid w:val="00AE6952"/>
    <w:rsid w:val="00AE69D1"/>
    <w:rsid w:val="00AE6C2D"/>
    <w:rsid w:val="00AE6D12"/>
    <w:rsid w:val="00AE6F8D"/>
    <w:rsid w:val="00AE7133"/>
    <w:rsid w:val="00AE761D"/>
    <w:rsid w:val="00AE7643"/>
    <w:rsid w:val="00AE7849"/>
    <w:rsid w:val="00AE7977"/>
    <w:rsid w:val="00AE7A77"/>
    <w:rsid w:val="00AE7CB9"/>
    <w:rsid w:val="00AF00A3"/>
    <w:rsid w:val="00AF057F"/>
    <w:rsid w:val="00AF0C3E"/>
    <w:rsid w:val="00AF0C9B"/>
    <w:rsid w:val="00AF0E37"/>
    <w:rsid w:val="00AF1078"/>
    <w:rsid w:val="00AF1660"/>
    <w:rsid w:val="00AF19CE"/>
    <w:rsid w:val="00AF1BB8"/>
    <w:rsid w:val="00AF1D55"/>
    <w:rsid w:val="00AF1EB7"/>
    <w:rsid w:val="00AF1F10"/>
    <w:rsid w:val="00AF1F49"/>
    <w:rsid w:val="00AF1FED"/>
    <w:rsid w:val="00AF21B8"/>
    <w:rsid w:val="00AF26AB"/>
    <w:rsid w:val="00AF2A39"/>
    <w:rsid w:val="00AF2B57"/>
    <w:rsid w:val="00AF2BCD"/>
    <w:rsid w:val="00AF2C3E"/>
    <w:rsid w:val="00AF2F1F"/>
    <w:rsid w:val="00AF3101"/>
    <w:rsid w:val="00AF3323"/>
    <w:rsid w:val="00AF3340"/>
    <w:rsid w:val="00AF33B9"/>
    <w:rsid w:val="00AF34A3"/>
    <w:rsid w:val="00AF385F"/>
    <w:rsid w:val="00AF3AE8"/>
    <w:rsid w:val="00AF3D39"/>
    <w:rsid w:val="00AF3E75"/>
    <w:rsid w:val="00AF4011"/>
    <w:rsid w:val="00AF42F9"/>
    <w:rsid w:val="00AF4528"/>
    <w:rsid w:val="00AF470B"/>
    <w:rsid w:val="00AF4751"/>
    <w:rsid w:val="00AF497B"/>
    <w:rsid w:val="00AF4A35"/>
    <w:rsid w:val="00AF4A44"/>
    <w:rsid w:val="00AF4B12"/>
    <w:rsid w:val="00AF4B28"/>
    <w:rsid w:val="00AF4D09"/>
    <w:rsid w:val="00AF4D83"/>
    <w:rsid w:val="00AF4F60"/>
    <w:rsid w:val="00AF4FA6"/>
    <w:rsid w:val="00AF52C5"/>
    <w:rsid w:val="00AF548F"/>
    <w:rsid w:val="00AF54AA"/>
    <w:rsid w:val="00AF5A38"/>
    <w:rsid w:val="00AF5F33"/>
    <w:rsid w:val="00AF6044"/>
    <w:rsid w:val="00AF644A"/>
    <w:rsid w:val="00AF65FB"/>
    <w:rsid w:val="00AF667D"/>
    <w:rsid w:val="00AF6A4C"/>
    <w:rsid w:val="00AF6A5B"/>
    <w:rsid w:val="00AF6AF3"/>
    <w:rsid w:val="00AF7182"/>
    <w:rsid w:val="00AF7482"/>
    <w:rsid w:val="00AF7705"/>
    <w:rsid w:val="00AF779B"/>
    <w:rsid w:val="00AF77C4"/>
    <w:rsid w:val="00AF78F2"/>
    <w:rsid w:val="00AF7A04"/>
    <w:rsid w:val="00B0007D"/>
    <w:rsid w:val="00B000A2"/>
    <w:rsid w:val="00B00127"/>
    <w:rsid w:val="00B001A4"/>
    <w:rsid w:val="00B00242"/>
    <w:rsid w:val="00B00AE6"/>
    <w:rsid w:val="00B00B5C"/>
    <w:rsid w:val="00B01012"/>
    <w:rsid w:val="00B01052"/>
    <w:rsid w:val="00B01082"/>
    <w:rsid w:val="00B013EE"/>
    <w:rsid w:val="00B0167E"/>
    <w:rsid w:val="00B01687"/>
    <w:rsid w:val="00B01704"/>
    <w:rsid w:val="00B01773"/>
    <w:rsid w:val="00B01B22"/>
    <w:rsid w:val="00B01BDD"/>
    <w:rsid w:val="00B01C13"/>
    <w:rsid w:val="00B01C5C"/>
    <w:rsid w:val="00B01CC8"/>
    <w:rsid w:val="00B02183"/>
    <w:rsid w:val="00B02262"/>
    <w:rsid w:val="00B02478"/>
    <w:rsid w:val="00B02CBA"/>
    <w:rsid w:val="00B02F9F"/>
    <w:rsid w:val="00B03199"/>
    <w:rsid w:val="00B031A7"/>
    <w:rsid w:val="00B0328C"/>
    <w:rsid w:val="00B03341"/>
    <w:rsid w:val="00B03411"/>
    <w:rsid w:val="00B0350B"/>
    <w:rsid w:val="00B03580"/>
    <w:rsid w:val="00B03703"/>
    <w:rsid w:val="00B03722"/>
    <w:rsid w:val="00B03771"/>
    <w:rsid w:val="00B03792"/>
    <w:rsid w:val="00B037C3"/>
    <w:rsid w:val="00B03A67"/>
    <w:rsid w:val="00B03C3B"/>
    <w:rsid w:val="00B03E95"/>
    <w:rsid w:val="00B03EBB"/>
    <w:rsid w:val="00B0400F"/>
    <w:rsid w:val="00B041BA"/>
    <w:rsid w:val="00B0421E"/>
    <w:rsid w:val="00B04543"/>
    <w:rsid w:val="00B0460C"/>
    <w:rsid w:val="00B0464C"/>
    <w:rsid w:val="00B0476B"/>
    <w:rsid w:val="00B047C2"/>
    <w:rsid w:val="00B049CB"/>
    <w:rsid w:val="00B04A6B"/>
    <w:rsid w:val="00B04CA3"/>
    <w:rsid w:val="00B04CB1"/>
    <w:rsid w:val="00B04D0B"/>
    <w:rsid w:val="00B04DFF"/>
    <w:rsid w:val="00B05135"/>
    <w:rsid w:val="00B0549F"/>
    <w:rsid w:val="00B055F5"/>
    <w:rsid w:val="00B05635"/>
    <w:rsid w:val="00B057FC"/>
    <w:rsid w:val="00B05A7E"/>
    <w:rsid w:val="00B05A8A"/>
    <w:rsid w:val="00B05C85"/>
    <w:rsid w:val="00B06188"/>
    <w:rsid w:val="00B063D4"/>
    <w:rsid w:val="00B064B2"/>
    <w:rsid w:val="00B067AA"/>
    <w:rsid w:val="00B0685A"/>
    <w:rsid w:val="00B068A4"/>
    <w:rsid w:val="00B06987"/>
    <w:rsid w:val="00B06A4E"/>
    <w:rsid w:val="00B06D99"/>
    <w:rsid w:val="00B06F17"/>
    <w:rsid w:val="00B06F8C"/>
    <w:rsid w:val="00B07488"/>
    <w:rsid w:val="00B07620"/>
    <w:rsid w:val="00B078AD"/>
    <w:rsid w:val="00B07932"/>
    <w:rsid w:val="00B07B52"/>
    <w:rsid w:val="00B07F28"/>
    <w:rsid w:val="00B10049"/>
    <w:rsid w:val="00B101B7"/>
    <w:rsid w:val="00B10404"/>
    <w:rsid w:val="00B1082D"/>
    <w:rsid w:val="00B10BED"/>
    <w:rsid w:val="00B10EA7"/>
    <w:rsid w:val="00B11236"/>
    <w:rsid w:val="00B115F2"/>
    <w:rsid w:val="00B11707"/>
    <w:rsid w:val="00B1171B"/>
    <w:rsid w:val="00B1187C"/>
    <w:rsid w:val="00B11BCD"/>
    <w:rsid w:val="00B11F7D"/>
    <w:rsid w:val="00B12208"/>
    <w:rsid w:val="00B122B6"/>
    <w:rsid w:val="00B125BD"/>
    <w:rsid w:val="00B125D3"/>
    <w:rsid w:val="00B12601"/>
    <w:rsid w:val="00B12F90"/>
    <w:rsid w:val="00B12FCD"/>
    <w:rsid w:val="00B13008"/>
    <w:rsid w:val="00B1314F"/>
    <w:rsid w:val="00B13153"/>
    <w:rsid w:val="00B13634"/>
    <w:rsid w:val="00B136F5"/>
    <w:rsid w:val="00B1377E"/>
    <w:rsid w:val="00B13999"/>
    <w:rsid w:val="00B13B89"/>
    <w:rsid w:val="00B14032"/>
    <w:rsid w:val="00B141E1"/>
    <w:rsid w:val="00B142FE"/>
    <w:rsid w:val="00B14965"/>
    <w:rsid w:val="00B1496F"/>
    <w:rsid w:val="00B149F0"/>
    <w:rsid w:val="00B14CD6"/>
    <w:rsid w:val="00B14D56"/>
    <w:rsid w:val="00B151CF"/>
    <w:rsid w:val="00B15286"/>
    <w:rsid w:val="00B1574A"/>
    <w:rsid w:val="00B15915"/>
    <w:rsid w:val="00B15A7D"/>
    <w:rsid w:val="00B15D4A"/>
    <w:rsid w:val="00B16032"/>
    <w:rsid w:val="00B162AB"/>
    <w:rsid w:val="00B1640A"/>
    <w:rsid w:val="00B168C4"/>
    <w:rsid w:val="00B16B90"/>
    <w:rsid w:val="00B16C71"/>
    <w:rsid w:val="00B173AF"/>
    <w:rsid w:val="00B17AF0"/>
    <w:rsid w:val="00B17C00"/>
    <w:rsid w:val="00B20080"/>
    <w:rsid w:val="00B200A6"/>
    <w:rsid w:val="00B200C2"/>
    <w:rsid w:val="00B2068F"/>
    <w:rsid w:val="00B20795"/>
    <w:rsid w:val="00B2092A"/>
    <w:rsid w:val="00B20B01"/>
    <w:rsid w:val="00B20D60"/>
    <w:rsid w:val="00B20E31"/>
    <w:rsid w:val="00B211AA"/>
    <w:rsid w:val="00B212A8"/>
    <w:rsid w:val="00B214B7"/>
    <w:rsid w:val="00B21578"/>
    <w:rsid w:val="00B21814"/>
    <w:rsid w:val="00B21AC2"/>
    <w:rsid w:val="00B221E3"/>
    <w:rsid w:val="00B22223"/>
    <w:rsid w:val="00B22351"/>
    <w:rsid w:val="00B2247A"/>
    <w:rsid w:val="00B22942"/>
    <w:rsid w:val="00B22DBF"/>
    <w:rsid w:val="00B22EC1"/>
    <w:rsid w:val="00B22FE5"/>
    <w:rsid w:val="00B23605"/>
    <w:rsid w:val="00B23673"/>
    <w:rsid w:val="00B23792"/>
    <w:rsid w:val="00B23883"/>
    <w:rsid w:val="00B23AB2"/>
    <w:rsid w:val="00B23B42"/>
    <w:rsid w:val="00B23CA6"/>
    <w:rsid w:val="00B23D12"/>
    <w:rsid w:val="00B242ED"/>
    <w:rsid w:val="00B246B2"/>
    <w:rsid w:val="00B247AD"/>
    <w:rsid w:val="00B2483E"/>
    <w:rsid w:val="00B24E1D"/>
    <w:rsid w:val="00B24FB9"/>
    <w:rsid w:val="00B25024"/>
    <w:rsid w:val="00B251A1"/>
    <w:rsid w:val="00B25361"/>
    <w:rsid w:val="00B25AEE"/>
    <w:rsid w:val="00B25BAA"/>
    <w:rsid w:val="00B25D05"/>
    <w:rsid w:val="00B25D4B"/>
    <w:rsid w:val="00B25D65"/>
    <w:rsid w:val="00B25E91"/>
    <w:rsid w:val="00B25F18"/>
    <w:rsid w:val="00B260E0"/>
    <w:rsid w:val="00B265E6"/>
    <w:rsid w:val="00B26622"/>
    <w:rsid w:val="00B26669"/>
    <w:rsid w:val="00B26702"/>
    <w:rsid w:val="00B26A5C"/>
    <w:rsid w:val="00B26E88"/>
    <w:rsid w:val="00B26F5B"/>
    <w:rsid w:val="00B27541"/>
    <w:rsid w:val="00B275E7"/>
    <w:rsid w:val="00B2764D"/>
    <w:rsid w:val="00B276B4"/>
    <w:rsid w:val="00B27B5B"/>
    <w:rsid w:val="00B27E9E"/>
    <w:rsid w:val="00B301F5"/>
    <w:rsid w:val="00B30238"/>
    <w:rsid w:val="00B303F6"/>
    <w:rsid w:val="00B3049C"/>
    <w:rsid w:val="00B3052C"/>
    <w:rsid w:val="00B305BF"/>
    <w:rsid w:val="00B307B7"/>
    <w:rsid w:val="00B3090E"/>
    <w:rsid w:val="00B30AE5"/>
    <w:rsid w:val="00B31271"/>
    <w:rsid w:val="00B312C8"/>
    <w:rsid w:val="00B3133E"/>
    <w:rsid w:val="00B313F2"/>
    <w:rsid w:val="00B317EC"/>
    <w:rsid w:val="00B31940"/>
    <w:rsid w:val="00B31B04"/>
    <w:rsid w:val="00B31C5A"/>
    <w:rsid w:val="00B32897"/>
    <w:rsid w:val="00B329A9"/>
    <w:rsid w:val="00B32E7D"/>
    <w:rsid w:val="00B32F3F"/>
    <w:rsid w:val="00B33106"/>
    <w:rsid w:val="00B33238"/>
    <w:rsid w:val="00B33375"/>
    <w:rsid w:val="00B334C0"/>
    <w:rsid w:val="00B33A43"/>
    <w:rsid w:val="00B33B1C"/>
    <w:rsid w:val="00B33D67"/>
    <w:rsid w:val="00B33EB3"/>
    <w:rsid w:val="00B33FD0"/>
    <w:rsid w:val="00B3418A"/>
    <w:rsid w:val="00B34358"/>
    <w:rsid w:val="00B34588"/>
    <w:rsid w:val="00B34973"/>
    <w:rsid w:val="00B34A3B"/>
    <w:rsid w:val="00B34DA0"/>
    <w:rsid w:val="00B34DB6"/>
    <w:rsid w:val="00B35277"/>
    <w:rsid w:val="00B3538D"/>
    <w:rsid w:val="00B354CD"/>
    <w:rsid w:val="00B35844"/>
    <w:rsid w:val="00B36028"/>
    <w:rsid w:val="00B3679D"/>
    <w:rsid w:val="00B369C8"/>
    <w:rsid w:val="00B36B9A"/>
    <w:rsid w:val="00B36BBA"/>
    <w:rsid w:val="00B36D56"/>
    <w:rsid w:val="00B36D62"/>
    <w:rsid w:val="00B36E70"/>
    <w:rsid w:val="00B36FDF"/>
    <w:rsid w:val="00B3701C"/>
    <w:rsid w:val="00B3703B"/>
    <w:rsid w:val="00B370CB"/>
    <w:rsid w:val="00B371A1"/>
    <w:rsid w:val="00B375EC"/>
    <w:rsid w:val="00B37F5F"/>
    <w:rsid w:val="00B37F99"/>
    <w:rsid w:val="00B40064"/>
    <w:rsid w:val="00B400C1"/>
    <w:rsid w:val="00B400D7"/>
    <w:rsid w:val="00B405A4"/>
    <w:rsid w:val="00B4084E"/>
    <w:rsid w:val="00B40872"/>
    <w:rsid w:val="00B40B14"/>
    <w:rsid w:val="00B41069"/>
    <w:rsid w:val="00B41207"/>
    <w:rsid w:val="00B413BC"/>
    <w:rsid w:val="00B41556"/>
    <w:rsid w:val="00B42112"/>
    <w:rsid w:val="00B42187"/>
    <w:rsid w:val="00B4230F"/>
    <w:rsid w:val="00B4260F"/>
    <w:rsid w:val="00B42615"/>
    <w:rsid w:val="00B42747"/>
    <w:rsid w:val="00B42AF7"/>
    <w:rsid w:val="00B42E66"/>
    <w:rsid w:val="00B42F12"/>
    <w:rsid w:val="00B430D6"/>
    <w:rsid w:val="00B4374A"/>
    <w:rsid w:val="00B43A6E"/>
    <w:rsid w:val="00B43CB6"/>
    <w:rsid w:val="00B43E51"/>
    <w:rsid w:val="00B43F52"/>
    <w:rsid w:val="00B44089"/>
    <w:rsid w:val="00B4414D"/>
    <w:rsid w:val="00B4424A"/>
    <w:rsid w:val="00B444F9"/>
    <w:rsid w:val="00B445D6"/>
    <w:rsid w:val="00B44673"/>
    <w:rsid w:val="00B4477C"/>
    <w:rsid w:val="00B447DE"/>
    <w:rsid w:val="00B4486B"/>
    <w:rsid w:val="00B4496A"/>
    <w:rsid w:val="00B450C6"/>
    <w:rsid w:val="00B454CB"/>
    <w:rsid w:val="00B45A83"/>
    <w:rsid w:val="00B45A9B"/>
    <w:rsid w:val="00B45CEF"/>
    <w:rsid w:val="00B45ED3"/>
    <w:rsid w:val="00B461D7"/>
    <w:rsid w:val="00B465B4"/>
    <w:rsid w:val="00B467EF"/>
    <w:rsid w:val="00B46883"/>
    <w:rsid w:val="00B46B87"/>
    <w:rsid w:val="00B46EEF"/>
    <w:rsid w:val="00B46F17"/>
    <w:rsid w:val="00B46F39"/>
    <w:rsid w:val="00B47483"/>
    <w:rsid w:val="00B47553"/>
    <w:rsid w:val="00B475D4"/>
    <w:rsid w:val="00B47735"/>
    <w:rsid w:val="00B479CD"/>
    <w:rsid w:val="00B47BAC"/>
    <w:rsid w:val="00B50951"/>
    <w:rsid w:val="00B50A44"/>
    <w:rsid w:val="00B50E52"/>
    <w:rsid w:val="00B51258"/>
    <w:rsid w:val="00B512C6"/>
    <w:rsid w:val="00B515FD"/>
    <w:rsid w:val="00B51969"/>
    <w:rsid w:val="00B51B0D"/>
    <w:rsid w:val="00B51DF7"/>
    <w:rsid w:val="00B51E7E"/>
    <w:rsid w:val="00B525EC"/>
    <w:rsid w:val="00B5279E"/>
    <w:rsid w:val="00B52831"/>
    <w:rsid w:val="00B5292A"/>
    <w:rsid w:val="00B52CB9"/>
    <w:rsid w:val="00B52D43"/>
    <w:rsid w:val="00B5309A"/>
    <w:rsid w:val="00B5326C"/>
    <w:rsid w:val="00B53312"/>
    <w:rsid w:val="00B53320"/>
    <w:rsid w:val="00B53B8F"/>
    <w:rsid w:val="00B53FB4"/>
    <w:rsid w:val="00B547F2"/>
    <w:rsid w:val="00B547F6"/>
    <w:rsid w:val="00B54902"/>
    <w:rsid w:val="00B54A22"/>
    <w:rsid w:val="00B54BF9"/>
    <w:rsid w:val="00B54C1F"/>
    <w:rsid w:val="00B5529A"/>
    <w:rsid w:val="00B55524"/>
    <w:rsid w:val="00B556AB"/>
    <w:rsid w:val="00B5578D"/>
    <w:rsid w:val="00B557AB"/>
    <w:rsid w:val="00B5589E"/>
    <w:rsid w:val="00B55B77"/>
    <w:rsid w:val="00B55D55"/>
    <w:rsid w:val="00B5603D"/>
    <w:rsid w:val="00B56387"/>
    <w:rsid w:val="00B564CA"/>
    <w:rsid w:val="00B56675"/>
    <w:rsid w:val="00B56737"/>
    <w:rsid w:val="00B56808"/>
    <w:rsid w:val="00B56CFF"/>
    <w:rsid w:val="00B570AA"/>
    <w:rsid w:val="00B5736E"/>
    <w:rsid w:val="00B575BF"/>
    <w:rsid w:val="00B5767F"/>
    <w:rsid w:val="00B57738"/>
    <w:rsid w:val="00B5792A"/>
    <w:rsid w:val="00B57CDB"/>
    <w:rsid w:val="00B6050A"/>
    <w:rsid w:val="00B6070C"/>
    <w:rsid w:val="00B607C4"/>
    <w:rsid w:val="00B6082D"/>
    <w:rsid w:val="00B60F3D"/>
    <w:rsid w:val="00B612EA"/>
    <w:rsid w:val="00B6181F"/>
    <w:rsid w:val="00B61846"/>
    <w:rsid w:val="00B61885"/>
    <w:rsid w:val="00B61AB9"/>
    <w:rsid w:val="00B61AC4"/>
    <w:rsid w:val="00B61B0C"/>
    <w:rsid w:val="00B61C66"/>
    <w:rsid w:val="00B61CAA"/>
    <w:rsid w:val="00B61D92"/>
    <w:rsid w:val="00B61DCE"/>
    <w:rsid w:val="00B62002"/>
    <w:rsid w:val="00B62398"/>
    <w:rsid w:val="00B62422"/>
    <w:rsid w:val="00B62443"/>
    <w:rsid w:val="00B62604"/>
    <w:rsid w:val="00B62BD1"/>
    <w:rsid w:val="00B62DF2"/>
    <w:rsid w:val="00B63031"/>
    <w:rsid w:val="00B6326C"/>
    <w:rsid w:val="00B634B8"/>
    <w:rsid w:val="00B6376A"/>
    <w:rsid w:val="00B63908"/>
    <w:rsid w:val="00B63B90"/>
    <w:rsid w:val="00B63D46"/>
    <w:rsid w:val="00B63F62"/>
    <w:rsid w:val="00B64322"/>
    <w:rsid w:val="00B6432A"/>
    <w:rsid w:val="00B643FA"/>
    <w:rsid w:val="00B6440D"/>
    <w:rsid w:val="00B64469"/>
    <w:rsid w:val="00B644FB"/>
    <w:rsid w:val="00B645DB"/>
    <w:rsid w:val="00B64AA5"/>
    <w:rsid w:val="00B64B22"/>
    <w:rsid w:val="00B64BB4"/>
    <w:rsid w:val="00B64ED7"/>
    <w:rsid w:val="00B651B1"/>
    <w:rsid w:val="00B651F6"/>
    <w:rsid w:val="00B65280"/>
    <w:rsid w:val="00B652D7"/>
    <w:rsid w:val="00B6551A"/>
    <w:rsid w:val="00B658F5"/>
    <w:rsid w:val="00B65A4F"/>
    <w:rsid w:val="00B65D8A"/>
    <w:rsid w:val="00B65DEF"/>
    <w:rsid w:val="00B65EDC"/>
    <w:rsid w:val="00B65F04"/>
    <w:rsid w:val="00B6609E"/>
    <w:rsid w:val="00B66562"/>
    <w:rsid w:val="00B66641"/>
    <w:rsid w:val="00B66760"/>
    <w:rsid w:val="00B66A87"/>
    <w:rsid w:val="00B66C1D"/>
    <w:rsid w:val="00B66E68"/>
    <w:rsid w:val="00B676DC"/>
    <w:rsid w:val="00B67706"/>
    <w:rsid w:val="00B677E5"/>
    <w:rsid w:val="00B67C2E"/>
    <w:rsid w:val="00B67CB2"/>
    <w:rsid w:val="00B70125"/>
    <w:rsid w:val="00B7024C"/>
    <w:rsid w:val="00B7047F"/>
    <w:rsid w:val="00B70624"/>
    <w:rsid w:val="00B706C2"/>
    <w:rsid w:val="00B70A9D"/>
    <w:rsid w:val="00B70BE1"/>
    <w:rsid w:val="00B70E28"/>
    <w:rsid w:val="00B70E9A"/>
    <w:rsid w:val="00B71026"/>
    <w:rsid w:val="00B710E7"/>
    <w:rsid w:val="00B712D0"/>
    <w:rsid w:val="00B713DF"/>
    <w:rsid w:val="00B713E9"/>
    <w:rsid w:val="00B71501"/>
    <w:rsid w:val="00B71755"/>
    <w:rsid w:val="00B71829"/>
    <w:rsid w:val="00B71937"/>
    <w:rsid w:val="00B71D2A"/>
    <w:rsid w:val="00B71EC3"/>
    <w:rsid w:val="00B72070"/>
    <w:rsid w:val="00B7230D"/>
    <w:rsid w:val="00B724B2"/>
    <w:rsid w:val="00B72EC5"/>
    <w:rsid w:val="00B731ED"/>
    <w:rsid w:val="00B73242"/>
    <w:rsid w:val="00B733AC"/>
    <w:rsid w:val="00B7354D"/>
    <w:rsid w:val="00B736D9"/>
    <w:rsid w:val="00B7374B"/>
    <w:rsid w:val="00B737BB"/>
    <w:rsid w:val="00B73D38"/>
    <w:rsid w:val="00B73E98"/>
    <w:rsid w:val="00B74191"/>
    <w:rsid w:val="00B74222"/>
    <w:rsid w:val="00B7431D"/>
    <w:rsid w:val="00B74578"/>
    <w:rsid w:val="00B74963"/>
    <w:rsid w:val="00B74AC3"/>
    <w:rsid w:val="00B74C29"/>
    <w:rsid w:val="00B74DBC"/>
    <w:rsid w:val="00B74FBA"/>
    <w:rsid w:val="00B75270"/>
    <w:rsid w:val="00B75291"/>
    <w:rsid w:val="00B757E5"/>
    <w:rsid w:val="00B758D9"/>
    <w:rsid w:val="00B75A34"/>
    <w:rsid w:val="00B75AD2"/>
    <w:rsid w:val="00B75C6B"/>
    <w:rsid w:val="00B75ECB"/>
    <w:rsid w:val="00B75FE4"/>
    <w:rsid w:val="00B76097"/>
    <w:rsid w:val="00B762D4"/>
    <w:rsid w:val="00B76483"/>
    <w:rsid w:val="00B769A5"/>
    <w:rsid w:val="00B76A31"/>
    <w:rsid w:val="00B76BF1"/>
    <w:rsid w:val="00B76C48"/>
    <w:rsid w:val="00B76ECB"/>
    <w:rsid w:val="00B77330"/>
    <w:rsid w:val="00B77516"/>
    <w:rsid w:val="00B7789D"/>
    <w:rsid w:val="00B77A07"/>
    <w:rsid w:val="00B77A5E"/>
    <w:rsid w:val="00B77A8B"/>
    <w:rsid w:val="00B77B28"/>
    <w:rsid w:val="00B77CF8"/>
    <w:rsid w:val="00B77F28"/>
    <w:rsid w:val="00B77F64"/>
    <w:rsid w:val="00B800B1"/>
    <w:rsid w:val="00B8035E"/>
    <w:rsid w:val="00B8084B"/>
    <w:rsid w:val="00B808B3"/>
    <w:rsid w:val="00B80B27"/>
    <w:rsid w:val="00B80BED"/>
    <w:rsid w:val="00B80C27"/>
    <w:rsid w:val="00B80CC1"/>
    <w:rsid w:val="00B8114F"/>
    <w:rsid w:val="00B81489"/>
    <w:rsid w:val="00B815D0"/>
    <w:rsid w:val="00B8168D"/>
    <w:rsid w:val="00B819B5"/>
    <w:rsid w:val="00B81BED"/>
    <w:rsid w:val="00B81F38"/>
    <w:rsid w:val="00B829FF"/>
    <w:rsid w:val="00B82B50"/>
    <w:rsid w:val="00B82CA8"/>
    <w:rsid w:val="00B82E63"/>
    <w:rsid w:val="00B82E6B"/>
    <w:rsid w:val="00B830A3"/>
    <w:rsid w:val="00B83215"/>
    <w:rsid w:val="00B8330E"/>
    <w:rsid w:val="00B836E1"/>
    <w:rsid w:val="00B83ADA"/>
    <w:rsid w:val="00B83B33"/>
    <w:rsid w:val="00B83B62"/>
    <w:rsid w:val="00B83CB0"/>
    <w:rsid w:val="00B84006"/>
    <w:rsid w:val="00B84036"/>
    <w:rsid w:val="00B84159"/>
    <w:rsid w:val="00B841BC"/>
    <w:rsid w:val="00B8438A"/>
    <w:rsid w:val="00B843BD"/>
    <w:rsid w:val="00B846A8"/>
    <w:rsid w:val="00B848F6"/>
    <w:rsid w:val="00B84DAC"/>
    <w:rsid w:val="00B84FF9"/>
    <w:rsid w:val="00B8511E"/>
    <w:rsid w:val="00B8535F"/>
    <w:rsid w:val="00B8545F"/>
    <w:rsid w:val="00B85515"/>
    <w:rsid w:val="00B856E5"/>
    <w:rsid w:val="00B85953"/>
    <w:rsid w:val="00B85AAB"/>
    <w:rsid w:val="00B85BF2"/>
    <w:rsid w:val="00B8636E"/>
    <w:rsid w:val="00B863E4"/>
    <w:rsid w:val="00B864DB"/>
    <w:rsid w:val="00B86624"/>
    <w:rsid w:val="00B868DF"/>
    <w:rsid w:val="00B86BB4"/>
    <w:rsid w:val="00B86DFB"/>
    <w:rsid w:val="00B87206"/>
    <w:rsid w:val="00B87238"/>
    <w:rsid w:val="00B87248"/>
    <w:rsid w:val="00B8745D"/>
    <w:rsid w:val="00B87598"/>
    <w:rsid w:val="00B875CD"/>
    <w:rsid w:val="00B878CD"/>
    <w:rsid w:val="00B87A3E"/>
    <w:rsid w:val="00B87B56"/>
    <w:rsid w:val="00B87C91"/>
    <w:rsid w:val="00B87CEC"/>
    <w:rsid w:val="00B87ED7"/>
    <w:rsid w:val="00B900B9"/>
    <w:rsid w:val="00B900E5"/>
    <w:rsid w:val="00B9022A"/>
    <w:rsid w:val="00B90395"/>
    <w:rsid w:val="00B9046F"/>
    <w:rsid w:val="00B9048F"/>
    <w:rsid w:val="00B9080F"/>
    <w:rsid w:val="00B908D3"/>
    <w:rsid w:val="00B9098C"/>
    <w:rsid w:val="00B90B03"/>
    <w:rsid w:val="00B911B0"/>
    <w:rsid w:val="00B912D7"/>
    <w:rsid w:val="00B9141F"/>
    <w:rsid w:val="00B91645"/>
    <w:rsid w:val="00B91678"/>
    <w:rsid w:val="00B918A2"/>
    <w:rsid w:val="00B91CB1"/>
    <w:rsid w:val="00B91F5B"/>
    <w:rsid w:val="00B92124"/>
    <w:rsid w:val="00B9212C"/>
    <w:rsid w:val="00B9232D"/>
    <w:rsid w:val="00B92483"/>
    <w:rsid w:val="00B9249B"/>
    <w:rsid w:val="00B928AE"/>
    <w:rsid w:val="00B92B7A"/>
    <w:rsid w:val="00B932EB"/>
    <w:rsid w:val="00B9341C"/>
    <w:rsid w:val="00B9356F"/>
    <w:rsid w:val="00B9368A"/>
    <w:rsid w:val="00B939B9"/>
    <w:rsid w:val="00B93AC2"/>
    <w:rsid w:val="00B93AFB"/>
    <w:rsid w:val="00B93EC5"/>
    <w:rsid w:val="00B94E71"/>
    <w:rsid w:val="00B9536C"/>
    <w:rsid w:val="00B955E7"/>
    <w:rsid w:val="00B9569F"/>
    <w:rsid w:val="00B95836"/>
    <w:rsid w:val="00B958BA"/>
    <w:rsid w:val="00B96129"/>
    <w:rsid w:val="00B965C2"/>
    <w:rsid w:val="00B96A13"/>
    <w:rsid w:val="00B96AB3"/>
    <w:rsid w:val="00B96D57"/>
    <w:rsid w:val="00B96EF5"/>
    <w:rsid w:val="00B9708D"/>
    <w:rsid w:val="00B97151"/>
    <w:rsid w:val="00B9728C"/>
    <w:rsid w:val="00B97311"/>
    <w:rsid w:val="00B973A2"/>
    <w:rsid w:val="00B9758B"/>
    <w:rsid w:val="00B978AF"/>
    <w:rsid w:val="00B97AEC"/>
    <w:rsid w:val="00B97C23"/>
    <w:rsid w:val="00B97FB8"/>
    <w:rsid w:val="00BA0AA9"/>
    <w:rsid w:val="00BA0B0B"/>
    <w:rsid w:val="00BA0C01"/>
    <w:rsid w:val="00BA0D10"/>
    <w:rsid w:val="00BA1490"/>
    <w:rsid w:val="00BA14F6"/>
    <w:rsid w:val="00BA18C2"/>
    <w:rsid w:val="00BA1FFB"/>
    <w:rsid w:val="00BA220E"/>
    <w:rsid w:val="00BA22FC"/>
    <w:rsid w:val="00BA291F"/>
    <w:rsid w:val="00BA2A9D"/>
    <w:rsid w:val="00BA2B3F"/>
    <w:rsid w:val="00BA2C8F"/>
    <w:rsid w:val="00BA2E9D"/>
    <w:rsid w:val="00BA2EF0"/>
    <w:rsid w:val="00BA3070"/>
    <w:rsid w:val="00BA3551"/>
    <w:rsid w:val="00BA3985"/>
    <w:rsid w:val="00BA3AA6"/>
    <w:rsid w:val="00BA3E9A"/>
    <w:rsid w:val="00BA3EEB"/>
    <w:rsid w:val="00BA3F87"/>
    <w:rsid w:val="00BA40C6"/>
    <w:rsid w:val="00BA40E3"/>
    <w:rsid w:val="00BA42C2"/>
    <w:rsid w:val="00BA4482"/>
    <w:rsid w:val="00BA49B2"/>
    <w:rsid w:val="00BA4A64"/>
    <w:rsid w:val="00BA4DB5"/>
    <w:rsid w:val="00BA4E45"/>
    <w:rsid w:val="00BA5170"/>
    <w:rsid w:val="00BA5299"/>
    <w:rsid w:val="00BA52D5"/>
    <w:rsid w:val="00BA54C2"/>
    <w:rsid w:val="00BA584D"/>
    <w:rsid w:val="00BA59C7"/>
    <w:rsid w:val="00BA59FB"/>
    <w:rsid w:val="00BA5A7C"/>
    <w:rsid w:val="00BA5AEB"/>
    <w:rsid w:val="00BA5C21"/>
    <w:rsid w:val="00BA5EAC"/>
    <w:rsid w:val="00BA5F50"/>
    <w:rsid w:val="00BA6041"/>
    <w:rsid w:val="00BA6099"/>
    <w:rsid w:val="00BA630E"/>
    <w:rsid w:val="00BA649B"/>
    <w:rsid w:val="00BA6D76"/>
    <w:rsid w:val="00BA707F"/>
    <w:rsid w:val="00BA7096"/>
    <w:rsid w:val="00BA7110"/>
    <w:rsid w:val="00BA72DC"/>
    <w:rsid w:val="00BA7412"/>
    <w:rsid w:val="00BA755A"/>
    <w:rsid w:val="00BA7643"/>
    <w:rsid w:val="00BA7664"/>
    <w:rsid w:val="00BA78B0"/>
    <w:rsid w:val="00BA7968"/>
    <w:rsid w:val="00BA7974"/>
    <w:rsid w:val="00BB01D0"/>
    <w:rsid w:val="00BB0215"/>
    <w:rsid w:val="00BB0414"/>
    <w:rsid w:val="00BB0556"/>
    <w:rsid w:val="00BB0794"/>
    <w:rsid w:val="00BB0AAB"/>
    <w:rsid w:val="00BB0B0D"/>
    <w:rsid w:val="00BB0BFE"/>
    <w:rsid w:val="00BB0C9B"/>
    <w:rsid w:val="00BB0CCA"/>
    <w:rsid w:val="00BB0EF0"/>
    <w:rsid w:val="00BB0FB5"/>
    <w:rsid w:val="00BB1248"/>
    <w:rsid w:val="00BB140A"/>
    <w:rsid w:val="00BB14A3"/>
    <w:rsid w:val="00BB1507"/>
    <w:rsid w:val="00BB15E0"/>
    <w:rsid w:val="00BB1DB8"/>
    <w:rsid w:val="00BB1EB7"/>
    <w:rsid w:val="00BB2100"/>
    <w:rsid w:val="00BB22E9"/>
    <w:rsid w:val="00BB2895"/>
    <w:rsid w:val="00BB29A0"/>
    <w:rsid w:val="00BB2A60"/>
    <w:rsid w:val="00BB2CAA"/>
    <w:rsid w:val="00BB33DD"/>
    <w:rsid w:val="00BB3526"/>
    <w:rsid w:val="00BB355A"/>
    <w:rsid w:val="00BB37AF"/>
    <w:rsid w:val="00BB3858"/>
    <w:rsid w:val="00BB3973"/>
    <w:rsid w:val="00BB3CAE"/>
    <w:rsid w:val="00BB3F36"/>
    <w:rsid w:val="00BB416C"/>
    <w:rsid w:val="00BB4509"/>
    <w:rsid w:val="00BB4C5C"/>
    <w:rsid w:val="00BB4CD2"/>
    <w:rsid w:val="00BB4CFE"/>
    <w:rsid w:val="00BB4E8E"/>
    <w:rsid w:val="00BB4FAD"/>
    <w:rsid w:val="00BB5078"/>
    <w:rsid w:val="00BB51B6"/>
    <w:rsid w:val="00BB5466"/>
    <w:rsid w:val="00BB591D"/>
    <w:rsid w:val="00BB593B"/>
    <w:rsid w:val="00BB59D3"/>
    <w:rsid w:val="00BB6360"/>
    <w:rsid w:val="00BB66A6"/>
    <w:rsid w:val="00BB7092"/>
    <w:rsid w:val="00BB70C5"/>
    <w:rsid w:val="00BB70E1"/>
    <w:rsid w:val="00BB7547"/>
    <w:rsid w:val="00BB781D"/>
    <w:rsid w:val="00BB79C1"/>
    <w:rsid w:val="00BB7B15"/>
    <w:rsid w:val="00BB7C99"/>
    <w:rsid w:val="00BB7F94"/>
    <w:rsid w:val="00BB7FF3"/>
    <w:rsid w:val="00BC0086"/>
    <w:rsid w:val="00BC08BD"/>
    <w:rsid w:val="00BC0A0F"/>
    <w:rsid w:val="00BC0A13"/>
    <w:rsid w:val="00BC0B27"/>
    <w:rsid w:val="00BC0B44"/>
    <w:rsid w:val="00BC0E60"/>
    <w:rsid w:val="00BC0ED5"/>
    <w:rsid w:val="00BC0F89"/>
    <w:rsid w:val="00BC15DE"/>
    <w:rsid w:val="00BC1610"/>
    <w:rsid w:val="00BC17C8"/>
    <w:rsid w:val="00BC1A10"/>
    <w:rsid w:val="00BC1A1E"/>
    <w:rsid w:val="00BC1FBD"/>
    <w:rsid w:val="00BC2174"/>
    <w:rsid w:val="00BC2276"/>
    <w:rsid w:val="00BC25DB"/>
    <w:rsid w:val="00BC29D8"/>
    <w:rsid w:val="00BC2B01"/>
    <w:rsid w:val="00BC2B0F"/>
    <w:rsid w:val="00BC2CCE"/>
    <w:rsid w:val="00BC2CD5"/>
    <w:rsid w:val="00BC2D1A"/>
    <w:rsid w:val="00BC2E12"/>
    <w:rsid w:val="00BC2F36"/>
    <w:rsid w:val="00BC2FA3"/>
    <w:rsid w:val="00BC2FE4"/>
    <w:rsid w:val="00BC319D"/>
    <w:rsid w:val="00BC369C"/>
    <w:rsid w:val="00BC37EF"/>
    <w:rsid w:val="00BC3B44"/>
    <w:rsid w:val="00BC3D27"/>
    <w:rsid w:val="00BC3F34"/>
    <w:rsid w:val="00BC3F8A"/>
    <w:rsid w:val="00BC3FC3"/>
    <w:rsid w:val="00BC4380"/>
    <w:rsid w:val="00BC4448"/>
    <w:rsid w:val="00BC47DF"/>
    <w:rsid w:val="00BC4908"/>
    <w:rsid w:val="00BC4958"/>
    <w:rsid w:val="00BC4972"/>
    <w:rsid w:val="00BC4986"/>
    <w:rsid w:val="00BC4A30"/>
    <w:rsid w:val="00BC4A62"/>
    <w:rsid w:val="00BC4C9B"/>
    <w:rsid w:val="00BC517A"/>
    <w:rsid w:val="00BC541B"/>
    <w:rsid w:val="00BC5516"/>
    <w:rsid w:val="00BC5641"/>
    <w:rsid w:val="00BC564F"/>
    <w:rsid w:val="00BC571E"/>
    <w:rsid w:val="00BC5A99"/>
    <w:rsid w:val="00BC6059"/>
    <w:rsid w:val="00BC6120"/>
    <w:rsid w:val="00BC6158"/>
    <w:rsid w:val="00BC61E5"/>
    <w:rsid w:val="00BC6226"/>
    <w:rsid w:val="00BC656A"/>
    <w:rsid w:val="00BC6809"/>
    <w:rsid w:val="00BC6897"/>
    <w:rsid w:val="00BC6ED0"/>
    <w:rsid w:val="00BC72C4"/>
    <w:rsid w:val="00BC73CA"/>
    <w:rsid w:val="00BC7412"/>
    <w:rsid w:val="00BC74F2"/>
    <w:rsid w:val="00BC78CD"/>
    <w:rsid w:val="00BC79F9"/>
    <w:rsid w:val="00BD01F3"/>
    <w:rsid w:val="00BD037B"/>
    <w:rsid w:val="00BD1188"/>
    <w:rsid w:val="00BD11C3"/>
    <w:rsid w:val="00BD1B11"/>
    <w:rsid w:val="00BD1CA7"/>
    <w:rsid w:val="00BD1D0C"/>
    <w:rsid w:val="00BD2178"/>
    <w:rsid w:val="00BD25FC"/>
    <w:rsid w:val="00BD26AD"/>
    <w:rsid w:val="00BD2DDF"/>
    <w:rsid w:val="00BD2F39"/>
    <w:rsid w:val="00BD303F"/>
    <w:rsid w:val="00BD31DF"/>
    <w:rsid w:val="00BD3202"/>
    <w:rsid w:val="00BD320F"/>
    <w:rsid w:val="00BD33D4"/>
    <w:rsid w:val="00BD388F"/>
    <w:rsid w:val="00BD39CF"/>
    <w:rsid w:val="00BD40B1"/>
    <w:rsid w:val="00BD460C"/>
    <w:rsid w:val="00BD4727"/>
    <w:rsid w:val="00BD482F"/>
    <w:rsid w:val="00BD4ACD"/>
    <w:rsid w:val="00BD4B01"/>
    <w:rsid w:val="00BD4BE7"/>
    <w:rsid w:val="00BD4E83"/>
    <w:rsid w:val="00BD534E"/>
    <w:rsid w:val="00BD53FB"/>
    <w:rsid w:val="00BD543A"/>
    <w:rsid w:val="00BD546C"/>
    <w:rsid w:val="00BD5712"/>
    <w:rsid w:val="00BD5D98"/>
    <w:rsid w:val="00BD60EF"/>
    <w:rsid w:val="00BD628B"/>
    <w:rsid w:val="00BD6694"/>
    <w:rsid w:val="00BD6B56"/>
    <w:rsid w:val="00BD6C34"/>
    <w:rsid w:val="00BD6DB9"/>
    <w:rsid w:val="00BD6E6D"/>
    <w:rsid w:val="00BD6FF7"/>
    <w:rsid w:val="00BD706B"/>
    <w:rsid w:val="00BD7355"/>
    <w:rsid w:val="00BD7477"/>
    <w:rsid w:val="00BD7676"/>
    <w:rsid w:val="00BD7802"/>
    <w:rsid w:val="00BD78E4"/>
    <w:rsid w:val="00BD794F"/>
    <w:rsid w:val="00BD7999"/>
    <w:rsid w:val="00BD7AAE"/>
    <w:rsid w:val="00BD7C61"/>
    <w:rsid w:val="00BD7F42"/>
    <w:rsid w:val="00BE0147"/>
    <w:rsid w:val="00BE0458"/>
    <w:rsid w:val="00BE0761"/>
    <w:rsid w:val="00BE0CE9"/>
    <w:rsid w:val="00BE0DCA"/>
    <w:rsid w:val="00BE1016"/>
    <w:rsid w:val="00BE1186"/>
    <w:rsid w:val="00BE11C3"/>
    <w:rsid w:val="00BE1307"/>
    <w:rsid w:val="00BE1491"/>
    <w:rsid w:val="00BE1613"/>
    <w:rsid w:val="00BE1666"/>
    <w:rsid w:val="00BE1A05"/>
    <w:rsid w:val="00BE1C2E"/>
    <w:rsid w:val="00BE1C36"/>
    <w:rsid w:val="00BE1D56"/>
    <w:rsid w:val="00BE2244"/>
    <w:rsid w:val="00BE29A0"/>
    <w:rsid w:val="00BE2C17"/>
    <w:rsid w:val="00BE31A5"/>
    <w:rsid w:val="00BE32A1"/>
    <w:rsid w:val="00BE331E"/>
    <w:rsid w:val="00BE38D2"/>
    <w:rsid w:val="00BE3BAB"/>
    <w:rsid w:val="00BE3C95"/>
    <w:rsid w:val="00BE3DAA"/>
    <w:rsid w:val="00BE3FDD"/>
    <w:rsid w:val="00BE425F"/>
    <w:rsid w:val="00BE43C6"/>
    <w:rsid w:val="00BE4589"/>
    <w:rsid w:val="00BE468C"/>
    <w:rsid w:val="00BE47BF"/>
    <w:rsid w:val="00BE50FC"/>
    <w:rsid w:val="00BE5103"/>
    <w:rsid w:val="00BE5374"/>
    <w:rsid w:val="00BE5685"/>
    <w:rsid w:val="00BE59F9"/>
    <w:rsid w:val="00BE5D51"/>
    <w:rsid w:val="00BE6005"/>
    <w:rsid w:val="00BE6041"/>
    <w:rsid w:val="00BE6199"/>
    <w:rsid w:val="00BE627A"/>
    <w:rsid w:val="00BE649B"/>
    <w:rsid w:val="00BE67CD"/>
    <w:rsid w:val="00BE6B32"/>
    <w:rsid w:val="00BE6B73"/>
    <w:rsid w:val="00BE6CE8"/>
    <w:rsid w:val="00BE6F68"/>
    <w:rsid w:val="00BE7892"/>
    <w:rsid w:val="00BE7896"/>
    <w:rsid w:val="00BE7A42"/>
    <w:rsid w:val="00BE7A4A"/>
    <w:rsid w:val="00BE7C2B"/>
    <w:rsid w:val="00BE7CB8"/>
    <w:rsid w:val="00BF043F"/>
    <w:rsid w:val="00BF058A"/>
    <w:rsid w:val="00BF125F"/>
    <w:rsid w:val="00BF1326"/>
    <w:rsid w:val="00BF1819"/>
    <w:rsid w:val="00BF1B9C"/>
    <w:rsid w:val="00BF1C85"/>
    <w:rsid w:val="00BF1D37"/>
    <w:rsid w:val="00BF219E"/>
    <w:rsid w:val="00BF22E8"/>
    <w:rsid w:val="00BF242B"/>
    <w:rsid w:val="00BF26A1"/>
    <w:rsid w:val="00BF27DE"/>
    <w:rsid w:val="00BF2819"/>
    <w:rsid w:val="00BF2CCC"/>
    <w:rsid w:val="00BF2D39"/>
    <w:rsid w:val="00BF2EE2"/>
    <w:rsid w:val="00BF353A"/>
    <w:rsid w:val="00BF3664"/>
    <w:rsid w:val="00BF36D6"/>
    <w:rsid w:val="00BF39DA"/>
    <w:rsid w:val="00BF3FEF"/>
    <w:rsid w:val="00BF454D"/>
    <w:rsid w:val="00BF4563"/>
    <w:rsid w:val="00BF466A"/>
    <w:rsid w:val="00BF4687"/>
    <w:rsid w:val="00BF469E"/>
    <w:rsid w:val="00BF48F9"/>
    <w:rsid w:val="00BF4B10"/>
    <w:rsid w:val="00BF4D0B"/>
    <w:rsid w:val="00BF4DEB"/>
    <w:rsid w:val="00BF5203"/>
    <w:rsid w:val="00BF5509"/>
    <w:rsid w:val="00BF578C"/>
    <w:rsid w:val="00BF5A13"/>
    <w:rsid w:val="00BF5ACF"/>
    <w:rsid w:val="00BF5CB6"/>
    <w:rsid w:val="00BF5CC2"/>
    <w:rsid w:val="00BF5E93"/>
    <w:rsid w:val="00BF5FAA"/>
    <w:rsid w:val="00BF63B9"/>
    <w:rsid w:val="00BF6434"/>
    <w:rsid w:val="00BF64C1"/>
    <w:rsid w:val="00BF6854"/>
    <w:rsid w:val="00BF6CC2"/>
    <w:rsid w:val="00BF6E78"/>
    <w:rsid w:val="00BF706B"/>
    <w:rsid w:val="00BF71F9"/>
    <w:rsid w:val="00BF7335"/>
    <w:rsid w:val="00BF7534"/>
    <w:rsid w:val="00BF7757"/>
    <w:rsid w:val="00BF7824"/>
    <w:rsid w:val="00BF7A1F"/>
    <w:rsid w:val="00BF7C54"/>
    <w:rsid w:val="00BF7D27"/>
    <w:rsid w:val="00C0004D"/>
    <w:rsid w:val="00C0028F"/>
    <w:rsid w:val="00C003BF"/>
    <w:rsid w:val="00C00417"/>
    <w:rsid w:val="00C00544"/>
    <w:rsid w:val="00C00A40"/>
    <w:rsid w:val="00C00A5C"/>
    <w:rsid w:val="00C00A9C"/>
    <w:rsid w:val="00C00ACD"/>
    <w:rsid w:val="00C00E85"/>
    <w:rsid w:val="00C0114A"/>
    <w:rsid w:val="00C0149D"/>
    <w:rsid w:val="00C017B7"/>
    <w:rsid w:val="00C01D5F"/>
    <w:rsid w:val="00C0226B"/>
    <w:rsid w:val="00C024D7"/>
    <w:rsid w:val="00C025F3"/>
    <w:rsid w:val="00C02822"/>
    <w:rsid w:val="00C02C8D"/>
    <w:rsid w:val="00C02FF8"/>
    <w:rsid w:val="00C0345A"/>
    <w:rsid w:val="00C03511"/>
    <w:rsid w:val="00C03534"/>
    <w:rsid w:val="00C0362A"/>
    <w:rsid w:val="00C03671"/>
    <w:rsid w:val="00C037EB"/>
    <w:rsid w:val="00C03CC5"/>
    <w:rsid w:val="00C03D1D"/>
    <w:rsid w:val="00C0408D"/>
    <w:rsid w:val="00C0423D"/>
    <w:rsid w:val="00C0440D"/>
    <w:rsid w:val="00C045C3"/>
    <w:rsid w:val="00C04708"/>
    <w:rsid w:val="00C04788"/>
    <w:rsid w:val="00C04A14"/>
    <w:rsid w:val="00C04ABF"/>
    <w:rsid w:val="00C04BF2"/>
    <w:rsid w:val="00C04C3A"/>
    <w:rsid w:val="00C04E25"/>
    <w:rsid w:val="00C04EFD"/>
    <w:rsid w:val="00C04F8B"/>
    <w:rsid w:val="00C050F1"/>
    <w:rsid w:val="00C05700"/>
    <w:rsid w:val="00C05790"/>
    <w:rsid w:val="00C05AEE"/>
    <w:rsid w:val="00C05FDB"/>
    <w:rsid w:val="00C06080"/>
    <w:rsid w:val="00C06160"/>
    <w:rsid w:val="00C06187"/>
    <w:rsid w:val="00C06220"/>
    <w:rsid w:val="00C06331"/>
    <w:rsid w:val="00C063CF"/>
    <w:rsid w:val="00C064B3"/>
    <w:rsid w:val="00C06557"/>
    <w:rsid w:val="00C0660F"/>
    <w:rsid w:val="00C066FF"/>
    <w:rsid w:val="00C06946"/>
    <w:rsid w:val="00C07018"/>
    <w:rsid w:val="00C070D4"/>
    <w:rsid w:val="00C074CD"/>
    <w:rsid w:val="00C07579"/>
    <w:rsid w:val="00C07792"/>
    <w:rsid w:val="00C07B53"/>
    <w:rsid w:val="00C07C5B"/>
    <w:rsid w:val="00C07E84"/>
    <w:rsid w:val="00C07F2E"/>
    <w:rsid w:val="00C07F49"/>
    <w:rsid w:val="00C1017E"/>
    <w:rsid w:val="00C104D2"/>
    <w:rsid w:val="00C105E5"/>
    <w:rsid w:val="00C106EA"/>
    <w:rsid w:val="00C10743"/>
    <w:rsid w:val="00C107C3"/>
    <w:rsid w:val="00C107EF"/>
    <w:rsid w:val="00C109BB"/>
    <w:rsid w:val="00C109E8"/>
    <w:rsid w:val="00C10A22"/>
    <w:rsid w:val="00C10ADF"/>
    <w:rsid w:val="00C110A9"/>
    <w:rsid w:val="00C111AA"/>
    <w:rsid w:val="00C116AE"/>
    <w:rsid w:val="00C116C9"/>
    <w:rsid w:val="00C11A38"/>
    <w:rsid w:val="00C11AC0"/>
    <w:rsid w:val="00C11AFA"/>
    <w:rsid w:val="00C11B42"/>
    <w:rsid w:val="00C11C5C"/>
    <w:rsid w:val="00C11F15"/>
    <w:rsid w:val="00C121CC"/>
    <w:rsid w:val="00C12794"/>
    <w:rsid w:val="00C12801"/>
    <w:rsid w:val="00C128FA"/>
    <w:rsid w:val="00C12A16"/>
    <w:rsid w:val="00C12A25"/>
    <w:rsid w:val="00C12C46"/>
    <w:rsid w:val="00C1300B"/>
    <w:rsid w:val="00C13134"/>
    <w:rsid w:val="00C13407"/>
    <w:rsid w:val="00C13409"/>
    <w:rsid w:val="00C13483"/>
    <w:rsid w:val="00C13520"/>
    <w:rsid w:val="00C135A8"/>
    <w:rsid w:val="00C13ADB"/>
    <w:rsid w:val="00C13B84"/>
    <w:rsid w:val="00C13C11"/>
    <w:rsid w:val="00C13C3C"/>
    <w:rsid w:val="00C1435D"/>
    <w:rsid w:val="00C14676"/>
    <w:rsid w:val="00C14859"/>
    <w:rsid w:val="00C1497D"/>
    <w:rsid w:val="00C14AD9"/>
    <w:rsid w:val="00C14C1B"/>
    <w:rsid w:val="00C14CBF"/>
    <w:rsid w:val="00C14F21"/>
    <w:rsid w:val="00C14F9B"/>
    <w:rsid w:val="00C14FAB"/>
    <w:rsid w:val="00C15117"/>
    <w:rsid w:val="00C1514B"/>
    <w:rsid w:val="00C15344"/>
    <w:rsid w:val="00C155BC"/>
    <w:rsid w:val="00C1568E"/>
    <w:rsid w:val="00C157FF"/>
    <w:rsid w:val="00C15882"/>
    <w:rsid w:val="00C15BA8"/>
    <w:rsid w:val="00C15C33"/>
    <w:rsid w:val="00C15C38"/>
    <w:rsid w:val="00C15CE6"/>
    <w:rsid w:val="00C15CF4"/>
    <w:rsid w:val="00C15F42"/>
    <w:rsid w:val="00C1610B"/>
    <w:rsid w:val="00C1611D"/>
    <w:rsid w:val="00C16C9A"/>
    <w:rsid w:val="00C16E36"/>
    <w:rsid w:val="00C170C4"/>
    <w:rsid w:val="00C170F3"/>
    <w:rsid w:val="00C175E4"/>
    <w:rsid w:val="00C17D4D"/>
    <w:rsid w:val="00C17E17"/>
    <w:rsid w:val="00C2007B"/>
    <w:rsid w:val="00C200A4"/>
    <w:rsid w:val="00C20126"/>
    <w:rsid w:val="00C20166"/>
    <w:rsid w:val="00C201C4"/>
    <w:rsid w:val="00C2034A"/>
    <w:rsid w:val="00C2064E"/>
    <w:rsid w:val="00C2096D"/>
    <w:rsid w:val="00C20AE5"/>
    <w:rsid w:val="00C20B5E"/>
    <w:rsid w:val="00C20C10"/>
    <w:rsid w:val="00C20C22"/>
    <w:rsid w:val="00C20C25"/>
    <w:rsid w:val="00C20DC6"/>
    <w:rsid w:val="00C20F6C"/>
    <w:rsid w:val="00C20FBD"/>
    <w:rsid w:val="00C2112B"/>
    <w:rsid w:val="00C212B0"/>
    <w:rsid w:val="00C212B9"/>
    <w:rsid w:val="00C214C1"/>
    <w:rsid w:val="00C21741"/>
    <w:rsid w:val="00C21BAA"/>
    <w:rsid w:val="00C21BAD"/>
    <w:rsid w:val="00C21CC2"/>
    <w:rsid w:val="00C21F5C"/>
    <w:rsid w:val="00C21F6C"/>
    <w:rsid w:val="00C225C0"/>
    <w:rsid w:val="00C2269E"/>
    <w:rsid w:val="00C2281C"/>
    <w:rsid w:val="00C22825"/>
    <w:rsid w:val="00C22A30"/>
    <w:rsid w:val="00C22B06"/>
    <w:rsid w:val="00C22D68"/>
    <w:rsid w:val="00C22E49"/>
    <w:rsid w:val="00C22E4C"/>
    <w:rsid w:val="00C22EB2"/>
    <w:rsid w:val="00C23284"/>
    <w:rsid w:val="00C232E0"/>
    <w:rsid w:val="00C2341D"/>
    <w:rsid w:val="00C2362A"/>
    <w:rsid w:val="00C2388A"/>
    <w:rsid w:val="00C23CE3"/>
    <w:rsid w:val="00C23F97"/>
    <w:rsid w:val="00C24037"/>
    <w:rsid w:val="00C24242"/>
    <w:rsid w:val="00C24307"/>
    <w:rsid w:val="00C244C0"/>
    <w:rsid w:val="00C24579"/>
    <w:rsid w:val="00C249B6"/>
    <w:rsid w:val="00C24B5E"/>
    <w:rsid w:val="00C25167"/>
    <w:rsid w:val="00C251A4"/>
    <w:rsid w:val="00C2529B"/>
    <w:rsid w:val="00C2534F"/>
    <w:rsid w:val="00C254EC"/>
    <w:rsid w:val="00C25519"/>
    <w:rsid w:val="00C25914"/>
    <w:rsid w:val="00C25B0D"/>
    <w:rsid w:val="00C25BD7"/>
    <w:rsid w:val="00C25DC0"/>
    <w:rsid w:val="00C25F1B"/>
    <w:rsid w:val="00C262C0"/>
    <w:rsid w:val="00C26AB4"/>
    <w:rsid w:val="00C26AFC"/>
    <w:rsid w:val="00C26F57"/>
    <w:rsid w:val="00C27759"/>
    <w:rsid w:val="00C27813"/>
    <w:rsid w:val="00C27BA4"/>
    <w:rsid w:val="00C27C5F"/>
    <w:rsid w:val="00C27DD1"/>
    <w:rsid w:val="00C27E05"/>
    <w:rsid w:val="00C27FFC"/>
    <w:rsid w:val="00C30058"/>
    <w:rsid w:val="00C30228"/>
    <w:rsid w:val="00C30274"/>
    <w:rsid w:val="00C30393"/>
    <w:rsid w:val="00C30648"/>
    <w:rsid w:val="00C314E9"/>
    <w:rsid w:val="00C3159B"/>
    <w:rsid w:val="00C315A6"/>
    <w:rsid w:val="00C31722"/>
    <w:rsid w:val="00C317A2"/>
    <w:rsid w:val="00C31973"/>
    <w:rsid w:val="00C31C44"/>
    <w:rsid w:val="00C31F66"/>
    <w:rsid w:val="00C32207"/>
    <w:rsid w:val="00C324F5"/>
    <w:rsid w:val="00C33069"/>
    <w:rsid w:val="00C330B2"/>
    <w:rsid w:val="00C330F2"/>
    <w:rsid w:val="00C331BB"/>
    <w:rsid w:val="00C332E0"/>
    <w:rsid w:val="00C338BF"/>
    <w:rsid w:val="00C33C80"/>
    <w:rsid w:val="00C33DEC"/>
    <w:rsid w:val="00C33F3D"/>
    <w:rsid w:val="00C33FB0"/>
    <w:rsid w:val="00C343FC"/>
    <w:rsid w:val="00C347AD"/>
    <w:rsid w:val="00C3486E"/>
    <w:rsid w:val="00C34EC1"/>
    <w:rsid w:val="00C350DF"/>
    <w:rsid w:val="00C35366"/>
    <w:rsid w:val="00C35780"/>
    <w:rsid w:val="00C35ACD"/>
    <w:rsid w:val="00C35B9A"/>
    <w:rsid w:val="00C36036"/>
    <w:rsid w:val="00C361FE"/>
    <w:rsid w:val="00C3651F"/>
    <w:rsid w:val="00C36548"/>
    <w:rsid w:val="00C36633"/>
    <w:rsid w:val="00C367F6"/>
    <w:rsid w:val="00C368A7"/>
    <w:rsid w:val="00C36E9D"/>
    <w:rsid w:val="00C36F78"/>
    <w:rsid w:val="00C3728F"/>
    <w:rsid w:val="00C374B4"/>
    <w:rsid w:val="00C37648"/>
    <w:rsid w:val="00C376F4"/>
    <w:rsid w:val="00C37BAB"/>
    <w:rsid w:val="00C37C61"/>
    <w:rsid w:val="00C37C86"/>
    <w:rsid w:val="00C37CDF"/>
    <w:rsid w:val="00C37DF9"/>
    <w:rsid w:val="00C40137"/>
    <w:rsid w:val="00C40283"/>
    <w:rsid w:val="00C40448"/>
    <w:rsid w:val="00C40720"/>
    <w:rsid w:val="00C409C3"/>
    <w:rsid w:val="00C40B43"/>
    <w:rsid w:val="00C40C63"/>
    <w:rsid w:val="00C4125A"/>
    <w:rsid w:val="00C412B1"/>
    <w:rsid w:val="00C41322"/>
    <w:rsid w:val="00C413AE"/>
    <w:rsid w:val="00C4146C"/>
    <w:rsid w:val="00C41805"/>
    <w:rsid w:val="00C4180B"/>
    <w:rsid w:val="00C41969"/>
    <w:rsid w:val="00C41B70"/>
    <w:rsid w:val="00C41E59"/>
    <w:rsid w:val="00C41FDC"/>
    <w:rsid w:val="00C42555"/>
    <w:rsid w:val="00C42579"/>
    <w:rsid w:val="00C42635"/>
    <w:rsid w:val="00C42702"/>
    <w:rsid w:val="00C42718"/>
    <w:rsid w:val="00C42A86"/>
    <w:rsid w:val="00C42B10"/>
    <w:rsid w:val="00C42DFA"/>
    <w:rsid w:val="00C431D0"/>
    <w:rsid w:val="00C432BA"/>
    <w:rsid w:val="00C4335D"/>
    <w:rsid w:val="00C4358A"/>
    <w:rsid w:val="00C4377B"/>
    <w:rsid w:val="00C43B9D"/>
    <w:rsid w:val="00C43F69"/>
    <w:rsid w:val="00C4417A"/>
    <w:rsid w:val="00C44289"/>
    <w:rsid w:val="00C4436C"/>
    <w:rsid w:val="00C44C23"/>
    <w:rsid w:val="00C44D4B"/>
    <w:rsid w:val="00C4526B"/>
    <w:rsid w:val="00C45514"/>
    <w:rsid w:val="00C455CF"/>
    <w:rsid w:val="00C4561D"/>
    <w:rsid w:val="00C45626"/>
    <w:rsid w:val="00C459B7"/>
    <w:rsid w:val="00C45BC4"/>
    <w:rsid w:val="00C45EAF"/>
    <w:rsid w:val="00C45EF2"/>
    <w:rsid w:val="00C461B2"/>
    <w:rsid w:val="00C46305"/>
    <w:rsid w:val="00C46430"/>
    <w:rsid w:val="00C4676C"/>
    <w:rsid w:val="00C46E75"/>
    <w:rsid w:val="00C47304"/>
    <w:rsid w:val="00C4741C"/>
    <w:rsid w:val="00C477A5"/>
    <w:rsid w:val="00C47894"/>
    <w:rsid w:val="00C47976"/>
    <w:rsid w:val="00C479E4"/>
    <w:rsid w:val="00C47C8E"/>
    <w:rsid w:val="00C47D93"/>
    <w:rsid w:val="00C47E07"/>
    <w:rsid w:val="00C5018A"/>
    <w:rsid w:val="00C501BD"/>
    <w:rsid w:val="00C5026A"/>
    <w:rsid w:val="00C506BB"/>
    <w:rsid w:val="00C50894"/>
    <w:rsid w:val="00C5148F"/>
    <w:rsid w:val="00C514CD"/>
    <w:rsid w:val="00C514F5"/>
    <w:rsid w:val="00C51526"/>
    <w:rsid w:val="00C51935"/>
    <w:rsid w:val="00C52289"/>
    <w:rsid w:val="00C525EF"/>
    <w:rsid w:val="00C527D1"/>
    <w:rsid w:val="00C52FD1"/>
    <w:rsid w:val="00C53175"/>
    <w:rsid w:val="00C531FD"/>
    <w:rsid w:val="00C53218"/>
    <w:rsid w:val="00C532BE"/>
    <w:rsid w:val="00C5359B"/>
    <w:rsid w:val="00C5373E"/>
    <w:rsid w:val="00C53A55"/>
    <w:rsid w:val="00C53AAB"/>
    <w:rsid w:val="00C53AF7"/>
    <w:rsid w:val="00C53CB7"/>
    <w:rsid w:val="00C5452F"/>
    <w:rsid w:val="00C54549"/>
    <w:rsid w:val="00C54B0B"/>
    <w:rsid w:val="00C554B5"/>
    <w:rsid w:val="00C55538"/>
    <w:rsid w:val="00C55877"/>
    <w:rsid w:val="00C55987"/>
    <w:rsid w:val="00C55995"/>
    <w:rsid w:val="00C55A41"/>
    <w:rsid w:val="00C55A7A"/>
    <w:rsid w:val="00C55CD0"/>
    <w:rsid w:val="00C55F8B"/>
    <w:rsid w:val="00C5622E"/>
    <w:rsid w:val="00C56555"/>
    <w:rsid w:val="00C56867"/>
    <w:rsid w:val="00C56988"/>
    <w:rsid w:val="00C56A49"/>
    <w:rsid w:val="00C56AA4"/>
    <w:rsid w:val="00C56AB2"/>
    <w:rsid w:val="00C56D65"/>
    <w:rsid w:val="00C56D7C"/>
    <w:rsid w:val="00C56DE7"/>
    <w:rsid w:val="00C56EF2"/>
    <w:rsid w:val="00C56F53"/>
    <w:rsid w:val="00C570A6"/>
    <w:rsid w:val="00C570C0"/>
    <w:rsid w:val="00C57698"/>
    <w:rsid w:val="00C576D8"/>
    <w:rsid w:val="00C577C1"/>
    <w:rsid w:val="00C579F3"/>
    <w:rsid w:val="00C579F9"/>
    <w:rsid w:val="00C57C90"/>
    <w:rsid w:val="00C600B3"/>
    <w:rsid w:val="00C60863"/>
    <w:rsid w:val="00C60A35"/>
    <w:rsid w:val="00C60A4A"/>
    <w:rsid w:val="00C611FE"/>
    <w:rsid w:val="00C61464"/>
    <w:rsid w:val="00C6169C"/>
    <w:rsid w:val="00C61752"/>
    <w:rsid w:val="00C61785"/>
    <w:rsid w:val="00C6189C"/>
    <w:rsid w:val="00C618F5"/>
    <w:rsid w:val="00C61AF1"/>
    <w:rsid w:val="00C61D30"/>
    <w:rsid w:val="00C62009"/>
    <w:rsid w:val="00C62319"/>
    <w:rsid w:val="00C623CF"/>
    <w:rsid w:val="00C62624"/>
    <w:rsid w:val="00C6282F"/>
    <w:rsid w:val="00C62B09"/>
    <w:rsid w:val="00C63265"/>
    <w:rsid w:val="00C632E9"/>
    <w:rsid w:val="00C633A1"/>
    <w:rsid w:val="00C6347A"/>
    <w:rsid w:val="00C635E8"/>
    <w:rsid w:val="00C639FB"/>
    <w:rsid w:val="00C63AEC"/>
    <w:rsid w:val="00C63BBE"/>
    <w:rsid w:val="00C63EF5"/>
    <w:rsid w:val="00C64234"/>
    <w:rsid w:val="00C644E0"/>
    <w:rsid w:val="00C6480D"/>
    <w:rsid w:val="00C64A47"/>
    <w:rsid w:val="00C64BBF"/>
    <w:rsid w:val="00C64C18"/>
    <w:rsid w:val="00C64E7B"/>
    <w:rsid w:val="00C64F12"/>
    <w:rsid w:val="00C6514A"/>
    <w:rsid w:val="00C65A9E"/>
    <w:rsid w:val="00C65ADD"/>
    <w:rsid w:val="00C65B67"/>
    <w:rsid w:val="00C65D3C"/>
    <w:rsid w:val="00C660D5"/>
    <w:rsid w:val="00C661E3"/>
    <w:rsid w:val="00C66343"/>
    <w:rsid w:val="00C66611"/>
    <w:rsid w:val="00C66710"/>
    <w:rsid w:val="00C667A1"/>
    <w:rsid w:val="00C66A74"/>
    <w:rsid w:val="00C67158"/>
    <w:rsid w:val="00C67360"/>
    <w:rsid w:val="00C674AB"/>
    <w:rsid w:val="00C67547"/>
    <w:rsid w:val="00C675C4"/>
    <w:rsid w:val="00C6768A"/>
    <w:rsid w:val="00C678A2"/>
    <w:rsid w:val="00C67CCC"/>
    <w:rsid w:val="00C67E36"/>
    <w:rsid w:val="00C67E8E"/>
    <w:rsid w:val="00C701FD"/>
    <w:rsid w:val="00C7065D"/>
    <w:rsid w:val="00C70955"/>
    <w:rsid w:val="00C70A75"/>
    <w:rsid w:val="00C70CBD"/>
    <w:rsid w:val="00C70EE5"/>
    <w:rsid w:val="00C70FE9"/>
    <w:rsid w:val="00C710AF"/>
    <w:rsid w:val="00C71184"/>
    <w:rsid w:val="00C71470"/>
    <w:rsid w:val="00C7156B"/>
    <w:rsid w:val="00C7160A"/>
    <w:rsid w:val="00C7160C"/>
    <w:rsid w:val="00C718C6"/>
    <w:rsid w:val="00C72177"/>
    <w:rsid w:val="00C725AB"/>
    <w:rsid w:val="00C725E4"/>
    <w:rsid w:val="00C72620"/>
    <w:rsid w:val="00C72709"/>
    <w:rsid w:val="00C72B6A"/>
    <w:rsid w:val="00C72ECD"/>
    <w:rsid w:val="00C7372C"/>
    <w:rsid w:val="00C737BE"/>
    <w:rsid w:val="00C73D46"/>
    <w:rsid w:val="00C73F0A"/>
    <w:rsid w:val="00C73F0C"/>
    <w:rsid w:val="00C73F48"/>
    <w:rsid w:val="00C74109"/>
    <w:rsid w:val="00C74137"/>
    <w:rsid w:val="00C74247"/>
    <w:rsid w:val="00C744EB"/>
    <w:rsid w:val="00C74697"/>
    <w:rsid w:val="00C746B1"/>
    <w:rsid w:val="00C746E4"/>
    <w:rsid w:val="00C7493F"/>
    <w:rsid w:val="00C749AB"/>
    <w:rsid w:val="00C749D3"/>
    <w:rsid w:val="00C74A76"/>
    <w:rsid w:val="00C74B2D"/>
    <w:rsid w:val="00C74B8C"/>
    <w:rsid w:val="00C74D9E"/>
    <w:rsid w:val="00C7515A"/>
    <w:rsid w:val="00C75311"/>
    <w:rsid w:val="00C7568D"/>
    <w:rsid w:val="00C75E03"/>
    <w:rsid w:val="00C75E1F"/>
    <w:rsid w:val="00C75E20"/>
    <w:rsid w:val="00C761C7"/>
    <w:rsid w:val="00C761E5"/>
    <w:rsid w:val="00C76240"/>
    <w:rsid w:val="00C76366"/>
    <w:rsid w:val="00C7651C"/>
    <w:rsid w:val="00C767F7"/>
    <w:rsid w:val="00C768D1"/>
    <w:rsid w:val="00C769EA"/>
    <w:rsid w:val="00C76C83"/>
    <w:rsid w:val="00C76CDA"/>
    <w:rsid w:val="00C76DA0"/>
    <w:rsid w:val="00C77016"/>
    <w:rsid w:val="00C77304"/>
    <w:rsid w:val="00C7759E"/>
    <w:rsid w:val="00C776E0"/>
    <w:rsid w:val="00C7781C"/>
    <w:rsid w:val="00C77A6D"/>
    <w:rsid w:val="00C77AC5"/>
    <w:rsid w:val="00C77CEB"/>
    <w:rsid w:val="00C800EF"/>
    <w:rsid w:val="00C801CB"/>
    <w:rsid w:val="00C80978"/>
    <w:rsid w:val="00C8139A"/>
    <w:rsid w:val="00C8139F"/>
    <w:rsid w:val="00C8142A"/>
    <w:rsid w:val="00C81533"/>
    <w:rsid w:val="00C81A6A"/>
    <w:rsid w:val="00C81A98"/>
    <w:rsid w:val="00C82082"/>
    <w:rsid w:val="00C82278"/>
    <w:rsid w:val="00C824FA"/>
    <w:rsid w:val="00C8268F"/>
    <w:rsid w:val="00C82865"/>
    <w:rsid w:val="00C82876"/>
    <w:rsid w:val="00C82BAD"/>
    <w:rsid w:val="00C82D0C"/>
    <w:rsid w:val="00C82DD3"/>
    <w:rsid w:val="00C82F1F"/>
    <w:rsid w:val="00C83092"/>
    <w:rsid w:val="00C8336D"/>
    <w:rsid w:val="00C834A7"/>
    <w:rsid w:val="00C83535"/>
    <w:rsid w:val="00C83846"/>
    <w:rsid w:val="00C83D84"/>
    <w:rsid w:val="00C842F9"/>
    <w:rsid w:val="00C843B7"/>
    <w:rsid w:val="00C843C4"/>
    <w:rsid w:val="00C844A5"/>
    <w:rsid w:val="00C8469F"/>
    <w:rsid w:val="00C846A8"/>
    <w:rsid w:val="00C847B1"/>
    <w:rsid w:val="00C84AF8"/>
    <w:rsid w:val="00C84D01"/>
    <w:rsid w:val="00C84D77"/>
    <w:rsid w:val="00C84FF5"/>
    <w:rsid w:val="00C85116"/>
    <w:rsid w:val="00C8539F"/>
    <w:rsid w:val="00C85809"/>
    <w:rsid w:val="00C8595F"/>
    <w:rsid w:val="00C859E0"/>
    <w:rsid w:val="00C85D18"/>
    <w:rsid w:val="00C85E43"/>
    <w:rsid w:val="00C8611B"/>
    <w:rsid w:val="00C861B6"/>
    <w:rsid w:val="00C863BF"/>
    <w:rsid w:val="00C8652E"/>
    <w:rsid w:val="00C86855"/>
    <w:rsid w:val="00C86EBC"/>
    <w:rsid w:val="00C8708E"/>
    <w:rsid w:val="00C87193"/>
    <w:rsid w:val="00C871FE"/>
    <w:rsid w:val="00C87249"/>
    <w:rsid w:val="00C87436"/>
    <w:rsid w:val="00C874B7"/>
    <w:rsid w:val="00C87512"/>
    <w:rsid w:val="00C87513"/>
    <w:rsid w:val="00C87767"/>
    <w:rsid w:val="00C877FF"/>
    <w:rsid w:val="00C87AF3"/>
    <w:rsid w:val="00C87B34"/>
    <w:rsid w:val="00C87C16"/>
    <w:rsid w:val="00C87C7E"/>
    <w:rsid w:val="00C87DFE"/>
    <w:rsid w:val="00C87E50"/>
    <w:rsid w:val="00C87F06"/>
    <w:rsid w:val="00C9009F"/>
    <w:rsid w:val="00C901C2"/>
    <w:rsid w:val="00C9040F"/>
    <w:rsid w:val="00C90492"/>
    <w:rsid w:val="00C906AE"/>
    <w:rsid w:val="00C9086C"/>
    <w:rsid w:val="00C909E7"/>
    <w:rsid w:val="00C909ED"/>
    <w:rsid w:val="00C90ABF"/>
    <w:rsid w:val="00C90CA0"/>
    <w:rsid w:val="00C90CD0"/>
    <w:rsid w:val="00C90D57"/>
    <w:rsid w:val="00C90DAB"/>
    <w:rsid w:val="00C90EB7"/>
    <w:rsid w:val="00C91146"/>
    <w:rsid w:val="00C9116C"/>
    <w:rsid w:val="00C911E2"/>
    <w:rsid w:val="00C912F6"/>
    <w:rsid w:val="00C9142C"/>
    <w:rsid w:val="00C91594"/>
    <w:rsid w:val="00C91651"/>
    <w:rsid w:val="00C9177F"/>
    <w:rsid w:val="00C917A4"/>
    <w:rsid w:val="00C9181E"/>
    <w:rsid w:val="00C918C5"/>
    <w:rsid w:val="00C91C33"/>
    <w:rsid w:val="00C91D06"/>
    <w:rsid w:val="00C91D75"/>
    <w:rsid w:val="00C922A2"/>
    <w:rsid w:val="00C923C3"/>
    <w:rsid w:val="00C924D8"/>
    <w:rsid w:val="00C927FC"/>
    <w:rsid w:val="00C92BD4"/>
    <w:rsid w:val="00C92C8A"/>
    <w:rsid w:val="00C92EDD"/>
    <w:rsid w:val="00C92FA7"/>
    <w:rsid w:val="00C93602"/>
    <w:rsid w:val="00C936A3"/>
    <w:rsid w:val="00C938CD"/>
    <w:rsid w:val="00C93B60"/>
    <w:rsid w:val="00C94114"/>
    <w:rsid w:val="00C941C7"/>
    <w:rsid w:val="00C94280"/>
    <w:rsid w:val="00C94287"/>
    <w:rsid w:val="00C94826"/>
    <w:rsid w:val="00C94892"/>
    <w:rsid w:val="00C94932"/>
    <w:rsid w:val="00C94C2F"/>
    <w:rsid w:val="00C94F48"/>
    <w:rsid w:val="00C9501E"/>
    <w:rsid w:val="00C953C1"/>
    <w:rsid w:val="00C95400"/>
    <w:rsid w:val="00C956D1"/>
    <w:rsid w:val="00C95811"/>
    <w:rsid w:val="00C9583A"/>
    <w:rsid w:val="00C9583F"/>
    <w:rsid w:val="00C95AE4"/>
    <w:rsid w:val="00C95DBB"/>
    <w:rsid w:val="00C95E71"/>
    <w:rsid w:val="00C95E81"/>
    <w:rsid w:val="00C95F9D"/>
    <w:rsid w:val="00C96073"/>
    <w:rsid w:val="00C960E0"/>
    <w:rsid w:val="00C9611F"/>
    <w:rsid w:val="00C962E4"/>
    <w:rsid w:val="00C963A5"/>
    <w:rsid w:val="00C9650D"/>
    <w:rsid w:val="00C968AD"/>
    <w:rsid w:val="00C9690E"/>
    <w:rsid w:val="00C96E07"/>
    <w:rsid w:val="00C96F7D"/>
    <w:rsid w:val="00C9719F"/>
    <w:rsid w:val="00C973FB"/>
    <w:rsid w:val="00C977D1"/>
    <w:rsid w:val="00C97894"/>
    <w:rsid w:val="00C97A2E"/>
    <w:rsid w:val="00C97CEE"/>
    <w:rsid w:val="00CA0133"/>
    <w:rsid w:val="00CA0159"/>
    <w:rsid w:val="00CA0291"/>
    <w:rsid w:val="00CA02B3"/>
    <w:rsid w:val="00CA037C"/>
    <w:rsid w:val="00CA04D4"/>
    <w:rsid w:val="00CA0507"/>
    <w:rsid w:val="00CA05C2"/>
    <w:rsid w:val="00CA0617"/>
    <w:rsid w:val="00CA0F8D"/>
    <w:rsid w:val="00CA1012"/>
    <w:rsid w:val="00CA1298"/>
    <w:rsid w:val="00CA14F5"/>
    <w:rsid w:val="00CA167B"/>
    <w:rsid w:val="00CA18DF"/>
    <w:rsid w:val="00CA1989"/>
    <w:rsid w:val="00CA1ADB"/>
    <w:rsid w:val="00CA1D8F"/>
    <w:rsid w:val="00CA1E1A"/>
    <w:rsid w:val="00CA1EC7"/>
    <w:rsid w:val="00CA1EDF"/>
    <w:rsid w:val="00CA204C"/>
    <w:rsid w:val="00CA2448"/>
    <w:rsid w:val="00CA250D"/>
    <w:rsid w:val="00CA26EA"/>
    <w:rsid w:val="00CA2F58"/>
    <w:rsid w:val="00CA2FB2"/>
    <w:rsid w:val="00CA31F1"/>
    <w:rsid w:val="00CA3374"/>
    <w:rsid w:val="00CA369D"/>
    <w:rsid w:val="00CA3C96"/>
    <w:rsid w:val="00CA3D3A"/>
    <w:rsid w:val="00CA3F9E"/>
    <w:rsid w:val="00CA4297"/>
    <w:rsid w:val="00CA42D6"/>
    <w:rsid w:val="00CA4374"/>
    <w:rsid w:val="00CA43D7"/>
    <w:rsid w:val="00CA45E8"/>
    <w:rsid w:val="00CA4679"/>
    <w:rsid w:val="00CA475F"/>
    <w:rsid w:val="00CA4CE5"/>
    <w:rsid w:val="00CA4D3E"/>
    <w:rsid w:val="00CA4EA2"/>
    <w:rsid w:val="00CA528A"/>
    <w:rsid w:val="00CA53CB"/>
    <w:rsid w:val="00CA5529"/>
    <w:rsid w:val="00CA5640"/>
    <w:rsid w:val="00CA575C"/>
    <w:rsid w:val="00CA5CDC"/>
    <w:rsid w:val="00CA5D2B"/>
    <w:rsid w:val="00CA5E08"/>
    <w:rsid w:val="00CA61B6"/>
    <w:rsid w:val="00CA637B"/>
    <w:rsid w:val="00CA6B8D"/>
    <w:rsid w:val="00CA6BF5"/>
    <w:rsid w:val="00CA6C70"/>
    <w:rsid w:val="00CA6CBB"/>
    <w:rsid w:val="00CA6DD3"/>
    <w:rsid w:val="00CA74A2"/>
    <w:rsid w:val="00CA7541"/>
    <w:rsid w:val="00CA7610"/>
    <w:rsid w:val="00CA7948"/>
    <w:rsid w:val="00CA7B4B"/>
    <w:rsid w:val="00CA7B69"/>
    <w:rsid w:val="00CA7BA7"/>
    <w:rsid w:val="00CA7CEA"/>
    <w:rsid w:val="00CA7EB9"/>
    <w:rsid w:val="00CB006F"/>
    <w:rsid w:val="00CB01DB"/>
    <w:rsid w:val="00CB01FE"/>
    <w:rsid w:val="00CB068D"/>
    <w:rsid w:val="00CB06A3"/>
    <w:rsid w:val="00CB0AE8"/>
    <w:rsid w:val="00CB0BCE"/>
    <w:rsid w:val="00CB0D1E"/>
    <w:rsid w:val="00CB0DA2"/>
    <w:rsid w:val="00CB0F4F"/>
    <w:rsid w:val="00CB0FC5"/>
    <w:rsid w:val="00CB125F"/>
    <w:rsid w:val="00CB14E0"/>
    <w:rsid w:val="00CB15E9"/>
    <w:rsid w:val="00CB195F"/>
    <w:rsid w:val="00CB1CE5"/>
    <w:rsid w:val="00CB1DD5"/>
    <w:rsid w:val="00CB1F5F"/>
    <w:rsid w:val="00CB1F60"/>
    <w:rsid w:val="00CB1FDD"/>
    <w:rsid w:val="00CB2011"/>
    <w:rsid w:val="00CB2073"/>
    <w:rsid w:val="00CB2569"/>
    <w:rsid w:val="00CB27D2"/>
    <w:rsid w:val="00CB2952"/>
    <w:rsid w:val="00CB2B6E"/>
    <w:rsid w:val="00CB2BD5"/>
    <w:rsid w:val="00CB2CAD"/>
    <w:rsid w:val="00CB30A3"/>
    <w:rsid w:val="00CB31B7"/>
    <w:rsid w:val="00CB31E8"/>
    <w:rsid w:val="00CB35E1"/>
    <w:rsid w:val="00CB3CF9"/>
    <w:rsid w:val="00CB40BB"/>
    <w:rsid w:val="00CB41C6"/>
    <w:rsid w:val="00CB47FF"/>
    <w:rsid w:val="00CB482E"/>
    <w:rsid w:val="00CB49E7"/>
    <w:rsid w:val="00CB4CF5"/>
    <w:rsid w:val="00CB4E02"/>
    <w:rsid w:val="00CB4FBC"/>
    <w:rsid w:val="00CB4FCC"/>
    <w:rsid w:val="00CB506A"/>
    <w:rsid w:val="00CB50C9"/>
    <w:rsid w:val="00CB51B2"/>
    <w:rsid w:val="00CB5351"/>
    <w:rsid w:val="00CB5476"/>
    <w:rsid w:val="00CB549D"/>
    <w:rsid w:val="00CB5819"/>
    <w:rsid w:val="00CB5C55"/>
    <w:rsid w:val="00CB5D57"/>
    <w:rsid w:val="00CB5E7B"/>
    <w:rsid w:val="00CB605D"/>
    <w:rsid w:val="00CB61B6"/>
    <w:rsid w:val="00CB62DB"/>
    <w:rsid w:val="00CB64AF"/>
    <w:rsid w:val="00CB6D18"/>
    <w:rsid w:val="00CB6F1C"/>
    <w:rsid w:val="00CB72A1"/>
    <w:rsid w:val="00CB761B"/>
    <w:rsid w:val="00CB7E55"/>
    <w:rsid w:val="00CC0050"/>
    <w:rsid w:val="00CC005B"/>
    <w:rsid w:val="00CC023F"/>
    <w:rsid w:val="00CC02A1"/>
    <w:rsid w:val="00CC034B"/>
    <w:rsid w:val="00CC05E6"/>
    <w:rsid w:val="00CC0692"/>
    <w:rsid w:val="00CC06DC"/>
    <w:rsid w:val="00CC0881"/>
    <w:rsid w:val="00CC099F"/>
    <w:rsid w:val="00CC0AC5"/>
    <w:rsid w:val="00CC0B6B"/>
    <w:rsid w:val="00CC0D31"/>
    <w:rsid w:val="00CC0DB3"/>
    <w:rsid w:val="00CC0F20"/>
    <w:rsid w:val="00CC0F5D"/>
    <w:rsid w:val="00CC1256"/>
    <w:rsid w:val="00CC13AD"/>
    <w:rsid w:val="00CC18DB"/>
    <w:rsid w:val="00CC1B70"/>
    <w:rsid w:val="00CC1D19"/>
    <w:rsid w:val="00CC1D1A"/>
    <w:rsid w:val="00CC2537"/>
    <w:rsid w:val="00CC278E"/>
    <w:rsid w:val="00CC2C94"/>
    <w:rsid w:val="00CC3053"/>
    <w:rsid w:val="00CC331D"/>
    <w:rsid w:val="00CC33AD"/>
    <w:rsid w:val="00CC340C"/>
    <w:rsid w:val="00CC34F2"/>
    <w:rsid w:val="00CC36E9"/>
    <w:rsid w:val="00CC3CCF"/>
    <w:rsid w:val="00CC3D0C"/>
    <w:rsid w:val="00CC3F4E"/>
    <w:rsid w:val="00CC3FB8"/>
    <w:rsid w:val="00CC4199"/>
    <w:rsid w:val="00CC4515"/>
    <w:rsid w:val="00CC452E"/>
    <w:rsid w:val="00CC4653"/>
    <w:rsid w:val="00CC4767"/>
    <w:rsid w:val="00CC4857"/>
    <w:rsid w:val="00CC494E"/>
    <w:rsid w:val="00CC4ABF"/>
    <w:rsid w:val="00CC4E6A"/>
    <w:rsid w:val="00CC4F34"/>
    <w:rsid w:val="00CC53AB"/>
    <w:rsid w:val="00CC5653"/>
    <w:rsid w:val="00CC56A9"/>
    <w:rsid w:val="00CC56B6"/>
    <w:rsid w:val="00CC5771"/>
    <w:rsid w:val="00CC581A"/>
    <w:rsid w:val="00CC592E"/>
    <w:rsid w:val="00CC5AF5"/>
    <w:rsid w:val="00CC5DA8"/>
    <w:rsid w:val="00CC5E9F"/>
    <w:rsid w:val="00CC5F1D"/>
    <w:rsid w:val="00CC614D"/>
    <w:rsid w:val="00CC6225"/>
    <w:rsid w:val="00CC6260"/>
    <w:rsid w:val="00CC632F"/>
    <w:rsid w:val="00CC63C2"/>
    <w:rsid w:val="00CC671D"/>
    <w:rsid w:val="00CC686B"/>
    <w:rsid w:val="00CC688C"/>
    <w:rsid w:val="00CC6983"/>
    <w:rsid w:val="00CC6EC7"/>
    <w:rsid w:val="00CC7162"/>
    <w:rsid w:val="00CC7488"/>
    <w:rsid w:val="00CC76E5"/>
    <w:rsid w:val="00CC7900"/>
    <w:rsid w:val="00CC79C1"/>
    <w:rsid w:val="00CD0621"/>
    <w:rsid w:val="00CD06DD"/>
    <w:rsid w:val="00CD071B"/>
    <w:rsid w:val="00CD0B20"/>
    <w:rsid w:val="00CD0BC0"/>
    <w:rsid w:val="00CD0D75"/>
    <w:rsid w:val="00CD0DF8"/>
    <w:rsid w:val="00CD0F5E"/>
    <w:rsid w:val="00CD10FD"/>
    <w:rsid w:val="00CD116B"/>
    <w:rsid w:val="00CD117C"/>
    <w:rsid w:val="00CD127B"/>
    <w:rsid w:val="00CD13AF"/>
    <w:rsid w:val="00CD1404"/>
    <w:rsid w:val="00CD14AD"/>
    <w:rsid w:val="00CD16C3"/>
    <w:rsid w:val="00CD17B6"/>
    <w:rsid w:val="00CD1A2A"/>
    <w:rsid w:val="00CD1B23"/>
    <w:rsid w:val="00CD1CEE"/>
    <w:rsid w:val="00CD1E87"/>
    <w:rsid w:val="00CD2037"/>
    <w:rsid w:val="00CD20AE"/>
    <w:rsid w:val="00CD2187"/>
    <w:rsid w:val="00CD2238"/>
    <w:rsid w:val="00CD2452"/>
    <w:rsid w:val="00CD2A2B"/>
    <w:rsid w:val="00CD2EED"/>
    <w:rsid w:val="00CD3072"/>
    <w:rsid w:val="00CD328B"/>
    <w:rsid w:val="00CD3A8A"/>
    <w:rsid w:val="00CD4049"/>
    <w:rsid w:val="00CD414C"/>
    <w:rsid w:val="00CD42BE"/>
    <w:rsid w:val="00CD4308"/>
    <w:rsid w:val="00CD435A"/>
    <w:rsid w:val="00CD453D"/>
    <w:rsid w:val="00CD4834"/>
    <w:rsid w:val="00CD49C9"/>
    <w:rsid w:val="00CD4F98"/>
    <w:rsid w:val="00CD504A"/>
    <w:rsid w:val="00CD508E"/>
    <w:rsid w:val="00CD5170"/>
    <w:rsid w:val="00CD51BC"/>
    <w:rsid w:val="00CD51DD"/>
    <w:rsid w:val="00CD57AC"/>
    <w:rsid w:val="00CD59A7"/>
    <w:rsid w:val="00CD5A55"/>
    <w:rsid w:val="00CD5DFB"/>
    <w:rsid w:val="00CD5F4F"/>
    <w:rsid w:val="00CD5F87"/>
    <w:rsid w:val="00CD6237"/>
    <w:rsid w:val="00CD6383"/>
    <w:rsid w:val="00CD669B"/>
    <w:rsid w:val="00CD66BD"/>
    <w:rsid w:val="00CD677A"/>
    <w:rsid w:val="00CD680D"/>
    <w:rsid w:val="00CD69F0"/>
    <w:rsid w:val="00CD69FB"/>
    <w:rsid w:val="00CD6A72"/>
    <w:rsid w:val="00CD6BFD"/>
    <w:rsid w:val="00CD792F"/>
    <w:rsid w:val="00CD794C"/>
    <w:rsid w:val="00CD79B1"/>
    <w:rsid w:val="00CE043D"/>
    <w:rsid w:val="00CE060B"/>
    <w:rsid w:val="00CE09F2"/>
    <w:rsid w:val="00CE0CDF"/>
    <w:rsid w:val="00CE0CF0"/>
    <w:rsid w:val="00CE0DE4"/>
    <w:rsid w:val="00CE0FD4"/>
    <w:rsid w:val="00CE1164"/>
    <w:rsid w:val="00CE14A4"/>
    <w:rsid w:val="00CE17E7"/>
    <w:rsid w:val="00CE19F6"/>
    <w:rsid w:val="00CE1A31"/>
    <w:rsid w:val="00CE1C13"/>
    <w:rsid w:val="00CE1ED0"/>
    <w:rsid w:val="00CE2098"/>
    <w:rsid w:val="00CE2284"/>
    <w:rsid w:val="00CE28E3"/>
    <w:rsid w:val="00CE28EB"/>
    <w:rsid w:val="00CE2A21"/>
    <w:rsid w:val="00CE2DE7"/>
    <w:rsid w:val="00CE2E8D"/>
    <w:rsid w:val="00CE2FDA"/>
    <w:rsid w:val="00CE3039"/>
    <w:rsid w:val="00CE31C3"/>
    <w:rsid w:val="00CE3562"/>
    <w:rsid w:val="00CE36C7"/>
    <w:rsid w:val="00CE37F3"/>
    <w:rsid w:val="00CE3CB6"/>
    <w:rsid w:val="00CE3CEB"/>
    <w:rsid w:val="00CE4179"/>
    <w:rsid w:val="00CE422E"/>
    <w:rsid w:val="00CE4455"/>
    <w:rsid w:val="00CE4465"/>
    <w:rsid w:val="00CE4C15"/>
    <w:rsid w:val="00CE4F5A"/>
    <w:rsid w:val="00CE4F91"/>
    <w:rsid w:val="00CE5037"/>
    <w:rsid w:val="00CE5274"/>
    <w:rsid w:val="00CE54B8"/>
    <w:rsid w:val="00CE551B"/>
    <w:rsid w:val="00CE5766"/>
    <w:rsid w:val="00CE58F2"/>
    <w:rsid w:val="00CE5D55"/>
    <w:rsid w:val="00CE5FD0"/>
    <w:rsid w:val="00CE5FF0"/>
    <w:rsid w:val="00CE6365"/>
    <w:rsid w:val="00CE646A"/>
    <w:rsid w:val="00CE69B1"/>
    <w:rsid w:val="00CE6C9B"/>
    <w:rsid w:val="00CE733F"/>
    <w:rsid w:val="00CE74EE"/>
    <w:rsid w:val="00CE7655"/>
    <w:rsid w:val="00CE7B22"/>
    <w:rsid w:val="00CE7B7D"/>
    <w:rsid w:val="00CE7C40"/>
    <w:rsid w:val="00CF01D9"/>
    <w:rsid w:val="00CF036F"/>
    <w:rsid w:val="00CF048E"/>
    <w:rsid w:val="00CF0733"/>
    <w:rsid w:val="00CF07DF"/>
    <w:rsid w:val="00CF08F2"/>
    <w:rsid w:val="00CF09F3"/>
    <w:rsid w:val="00CF0AE6"/>
    <w:rsid w:val="00CF0C81"/>
    <w:rsid w:val="00CF0D43"/>
    <w:rsid w:val="00CF0F90"/>
    <w:rsid w:val="00CF1273"/>
    <w:rsid w:val="00CF1A2D"/>
    <w:rsid w:val="00CF1A58"/>
    <w:rsid w:val="00CF1D86"/>
    <w:rsid w:val="00CF1EBB"/>
    <w:rsid w:val="00CF26A7"/>
    <w:rsid w:val="00CF26E6"/>
    <w:rsid w:val="00CF2913"/>
    <w:rsid w:val="00CF2AE0"/>
    <w:rsid w:val="00CF2BE0"/>
    <w:rsid w:val="00CF2C29"/>
    <w:rsid w:val="00CF31E5"/>
    <w:rsid w:val="00CF3731"/>
    <w:rsid w:val="00CF409E"/>
    <w:rsid w:val="00CF40A0"/>
    <w:rsid w:val="00CF4319"/>
    <w:rsid w:val="00CF439F"/>
    <w:rsid w:val="00CF44BE"/>
    <w:rsid w:val="00CF4699"/>
    <w:rsid w:val="00CF487F"/>
    <w:rsid w:val="00CF4C01"/>
    <w:rsid w:val="00CF4DDC"/>
    <w:rsid w:val="00CF4FEA"/>
    <w:rsid w:val="00CF50F3"/>
    <w:rsid w:val="00CF5329"/>
    <w:rsid w:val="00CF5370"/>
    <w:rsid w:val="00CF5541"/>
    <w:rsid w:val="00CF575A"/>
    <w:rsid w:val="00CF5836"/>
    <w:rsid w:val="00CF5921"/>
    <w:rsid w:val="00CF59DC"/>
    <w:rsid w:val="00CF5DEE"/>
    <w:rsid w:val="00CF5FCF"/>
    <w:rsid w:val="00CF6091"/>
    <w:rsid w:val="00CF6564"/>
    <w:rsid w:val="00CF672A"/>
    <w:rsid w:val="00CF67BD"/>
    <w:rsid w:val="00CF68AC"/>
    <w:rsid w:val="00CF68EE"/>
    <w:rsid w:val="00CF6929"/>
    <w:rsid w:val="00CF6ABF"/>
    <w:rsid w:val="00CF6C5A"/>
    <w:rsid w:val="00CF6FEB"/>
    <w:rsid w:val="00CF7120"/>
    <w:rsid w:val="00CF7186"/>
    <w:rsid w:val="00CF724C"/>
    <w:rsid w:val="00CF7460"/>
    <w:rsid w:val="00CF75B2"/>
    <w:rsid w:val="00CF767E"/>
    <w:rsid w:val="00CF7A9D"/>
    <w:rsid w:val="00CF7AAF"/>
    <w:rsid w:val="00CF7D7C"/>
    <w:rsid w:val="00CF7E35"/>
    <w:rsid w:val="00D000CC"/>
    <w:rsid w:val="00D000EF"/>
    <w:rsid w:val="00D00102"/>
    <w:rsid w:val="00D001B4"/>
    <w:rsid w:val="00D003B7"/>
    <w:rsid w:val="00D00400"/>
    <w:rsid w:val="00D004DE"/>
    <w:rsid w:val="00D00A90"/>
    <w:rsid w:val="00D00C5C"/>
    <w:rsid w:val="00D00E36"/>
    <w:rsid w:val="00D00EFA"/>
    <w:rsid w:val="00D00F50"/>
    <w:rsid w:val="00D0130C"/>
    <w:rsid w:val="00D01400"/>
    <w:rsid w:val="00D016EE"/>
    <w:rsid w:val="00D0179E"/>
    <w:rsid w:val="00D01AF9"/>
    <w:rsid w:val="00D01B37"/>
    <w:rsid w:val="00D01E2A"/>
    <w:rsid w:val="00D0211A"/>
    <w:rsid w:val="00D0215B"/>
    <w:rsid w:val="00D02852"/>
    <w:rsid w:val="00D02889"/>
    <w:rsid w:val="00D02CD9"/>
    <w:rsid w:val="00D02F4F"/>
    <w:rsid w:val="00D031F0"/>
    <w:rsid w:val="00D03497"/>
    <w:rsid w:val="00D034A9"/>
    <w:rsid w:val="00D0352A"/>
    <w:rsid w:val="00D0414F"/>
    <w:rsid w:val="00D041EE"/>
    <w:rsid w:val="00D04455"/>
    <w:rsid w:val="00D0451B"/>
    <w:rsid w:val="00D04596"/>
    <w:rsid w:val="00D047C9"/>
    <w:rsid w:val="00D04AF4"/>
    <w:rsid w:val="00D04CB3"/>
    <w:rsid w:val="00D04DF7"/>
    <w:rsid w:val="00D04E4A"/>
    <w:rsid w:val="00D04F49"/>
    <w:rsid w:val="00D0536D"/>
    <w:rsid w:val="00D05E9B"/>
    <w:rsid w:val="00D061C9"/>
    <w:rsid w:val="00D067FA"/>
    <w:rsid w:val="00D068F5"/>
    <w:rsid w:val="00D06B1B"/>
    <w:rsid w:val="00D06CFE"/>
    <w:rsid w:val="00D06DCA"/>
    <w:rsid w:val="00D070DA"/>
    <w:rsid w:val="00D0711E"/>
    <w:rsid w:val="00D07179"/>
    <w:rsid w:val="00D072BE"/>
    <w:rsid w:val="00D07638"/>
    <w:rsid w:val="00D07946"/>
    <w:rsid w:val="00D07956"/>
    <w:rsid w:val="00D07A4E"/>
    <w:rsid w:val="00D07D15"/>
    <w:rsid w:val="00D07E9E"/>
    <w:rsid w:val="00D07F0B"/>
    <w:rsid w:val="00D07F98"/>
    <w:rsid w:val="00D1040E"/>
    <w:rsid w:val="00D104DE"/>
    <w:rsid w:val="00D105DD"/>
    <w:rsid w:val="00D10817"/>
    <w:rsid w:val="00D10E58"/>
    <w:rsid w:val="00D10F74"/>
    <w:rsid w:val="00D112AA"/>
    <w:rsid w:val="00D11681"/>
    <w:rsid w:val="00D11911"/>
    <w:rsid w:val="00D11913"/>
    <w:rsid w:val="00D11D6F"/>
    <w:rsid w:val="00D11E5A"/>
    <w:rsid w:val="00D12401"/>
    <w:rsid w:val="00D124B6"/>
    <w:rsid w:val="00D128CF"/>
    <w:rsid w:val="00D1297D"/>
    <w:rsid w:val="00D12A18"/>
    <w:rsid w:val="00D12B70"/>
    <w:rsid w:val="00D12BC5"/>
    <w:rsid w:val="00D1307A"/>
    <w:rsid w:val="00D1374F"/>
    <w:rsid w:val="00D1384A"/>
    <w:rsid w:val="00D13865"/>
    <w:rsid w:val="00D1389D"/>
    <w:rsid w:val="00D13943"/>
    <w:rsid w:val="00D13A83"/>
    <w:rsid w:val="00D13DA1"/>
    <w:rsid w:val="00D13DC3"/>
    <w:rsid w:val="00D14153"/>
    <w:rsid w:val="00D14560"/>
    <w:rsid w:val="00D147E0"/>
    <w:rsid w:val="00D148B5"/>
    <w:rsid w:val="00D1497D"/>
    <w:rsid w:val="00D14D52"/>
    <w:rsid w:val="00D14E59"/>
    <w:rsid w:val="00D14FA7"/>
    <w:rsid w:val="00D15189"/>
    <w:rsid w:val="00D151E2"/>
    <w:rsid w:val="00D156A8"/>
    <w:rsid w:val="00D15864"/>
    <w:rsid w:val="00D159C2"/>
    <w:rsid w:val="00D15BF0"/>
    <w:rsid w:val="00D15C72"/>
    <w:rsid w:val="00D15C80"/>
    <w:rsid w:val="00D15F3C"/>
    <w:rsid w:val="00D16323"/>
    <w:rsid w:val="00D163E2"/>
    <w:rsid w:val="00D166B5"/>
    <w:rsid w:val="00D16908"/>
    <w:rsid w:val="00D169CA"/>
    <w:rsid w:val="00D16A23"/>
    <w:rsid w:val="00D170B8"/>
    <w:rsid w:val="00D170FB"/>
    <w:rsid w:val="00D1723A"/>
    <w:rsid w:val="00D172AC"/>
    <w:rsid w:val="00D172EA"/>
    <w:rsid w:val="00D1794E"/>
    <w:rsid w:val="00D17DD9"/>
    <w:rsid w:val="00D20031"/>
    <w:rsid w:val="00D20075"/>
    <w:rsid w:val="00D201BF"/>
    <w:rsid w:val="00D2067F"/>
    <w:rsid w:val="00D20ADD"/>
    <w:rsid w:val="00D20F47"/>
    <w:rsid w:val="00D210CB"/>
    <w:rsid w:val="00D21A1F"/>
    <w:rsid w:val="00D21C1C"/>
    <w:rsid w:val="00D21F8C"/>
    <w:rsid w:val="00D21FEC"/>
    <w:rsid w:val="00D22110"/>
    <w:rsid w:val="00D22327"/>
    <w:rsid w:val="00D22588"/>
    <w:rsid w:val="00D227C5"/>
    <w:rsid w:val="00D22D85"/>
    <w:rsid w:val="00D22EEE"/>
    <w:rsid w:val="00D23BD7"/>
    <w:rsid w:val="00D23CB7"/>
    <w:rsid w:val="00D23D09"/>
    <w:rsid w:val="00D23F34"/>
    <w:rsid w:val="00D24263"/>
    <w:rsid w:val="00D243A9"/>
    <w:rsid w:val="00D24457"/>
    <w:rsid w:val="00D24497"/>
    <w:rsid w:val="00D245D4"/>
    <w:rsid w:val="00D24AB4"/>
    <w:rsid w:val="00D24BC0"/>
    <w:rsid w:val="00D24CC8"/>
    <w:rsid w:val="00D24FE7"/>
    <w:rsid w:val="00D250FC"/>
    <w:rsid w:val="00D25343"/>
    <w:rsid w:val="00D2541E"/>
    <w:rsid w:val="00D255A6"/>
    <w:rsid w:val="00D25863"/>
    <w:rsid w:val="00D258F0"/>
    <w:rsid w:val="00D25D32"/>
    <w:rsid w:val="00D25DDA"/>
    <w:rsid w:val="00D25EAC"/>
    <w:rsid w:val="00D26255"/>
    <w:rsid w:val="00D2652E"/>
    <w:rsid w:val="00D26621"/>
    <w:rsid w:val="00D267E5"/>
    <w:rsid w:val="00D26863"/>
    <w:rsid w:val="00D269B1"/>
    <w:rsid w:val="00D26BFD"/>
    <w:rsid w:val="00D26C8B"/>
    <w:rsid w:val="00D2718F"/>
    <w:rsid w:val="00D271FC"/>
    <w:rsid w:val="00D272BA"/>
    <w:rsid w:val="00D273C9"/>
    <w:rsid w:val="00D27580"/>
    <w:rsid w:val="00D27890"/>
    <w:rsid w:val="00D27B37"/>
    <w:rsid w:val="00D27D55"/>
    <w:rsid w:val="00D27E85"/>
    <w:rsid w:val="00D27F28"/>
    <w:rsid w:val="00D27FA7"/>
    <w:rsid w:val="00D30026"/>
    <w:rsid w:val="00D3008C"/>
    <w:rsid w:val="00D301DF"/>
    <w:rsid w:val="00D303DF"/>
    <w:rsid w:val="00D30469"/>
    <w:rsid w:val="00D30519"/>
    <w:rsid w:val="00D30637"/>
    <w:rsid w:val="00D307CB"/>
    <w:rsid w:val="00D30801"/>
    <w:rsid w:val="00D30B11"/>
    <w:rsid w:val="00D30B36"/>
    <w:rsid w:val="00D30DF8"/>
    <w:rsid w:val="00D30EC7"/>
    <w:rsid w:val="00D313B3"/>
    <w:rsid w:val="00D314EB"/>
    <w:rsid w:val="00D31574"/>
    <w:rsid w:val="00D31685"/>
    <w:rsid w:val="00D3173D"/>
    <w:rsid w:val="00D317EC"/>
    <w:rsid w:val="00D319BB"/>
    <w:rsid w:val="00D319D7"/>
    <w:rsid w:val="00D31FEF"/>
    <w:rsid w:val="00D320D2"/>
    <w:rsid w:val="00D32102"/>
    <w:rsid w:val="00D32162"/>
    <w:rsid w:val="00D322A8"/>
    <w:rsid w:val="00D32370"/>
    <w:rsid w:val="00D3254E"/>
    <w:rsid w:val="00D32644"/>
    <w:rsid w:val="00D328F8"/>
    <w:rsid w:val="00D3292B"/>
    <w:rsid w:val="00D32AA9"/>
    <w:rsid w:val="00D32AB1"/>
    <w:rsid w:val="00D32C8C"/>
    <w:rsid w:val="00D32E5F"/>
    <w:rsid w:val="00D32FE8"/>
    <w:rsid w:val="00D330A6"/>
    <w:rsid w:val="00D33133"/>
    <w:rsid w:val="00D33AE6"/>
    <w:rsid w:val="00D33C85"/>
    <w:rsid w:val="00D33CB2"/>
    <w:rsid w:val="00D33DFA"/>
    <w:rsid w:val="00D33E88"/>
    <w:rsid w:val="00D33F02"/>
    <w:rsid w:val="00D343F5"/>
    <w:rsid w:val="00D34538"/>
    <w:rsid w:val="00D34AE4"/>
    <w:rsid w:val="00D34AEC"/>
    <w:rsid w:val="00D34CE6"/>
    <w:rsid w:val="00D34D30"/>
    <w:rsid w:val="00D35213"/>
    <w:rsid w:val="00D3524A"/>
    <w:rsid w:val="00D354C5"/>
    <w:rsid w:val="00D356E9"/>
    <w:rsid w:val="00D357C2"/>
    <w:rsid w:val="00D358F7"/>
    <w:rsid w:val="00D35B1D"/>
    <w:rsid w:val="00D35DFF"/>
    <w:rsid w:val="00D35E03"/>
    <w:rsid w:val="00D35F42"/>
    <w:rsid w:val="00D36090"/>
    <w:rsid w:val="00D36376"/>
    <w:rsid w:val="00D36523"/>
    <w:rsid w:val="00D3665B"/>
    <w:rsid w:val="00D368E2"/>
    <w:rsid w:val="00D36B56"/>
    <w:rsid w:val="00D36E07"/>
    <w:rsid w:val="00D36E67"/>
    <w:rsid w:val="00D373E2"/>
    <w:rsid w:val="00D373F9"/>
    <w:rsid w:val="00D3755C"/>
    <w:rsid w:val="00D37888"/>
    <w:rsid w:val="00D379C1"/>
    <w:rsid w:val="00D37ACA"/>
    <w:rsid w:val="00D37EF5"/>
    <w:rsid w:val="00D4012F"/>
    <w:rsid w:val="00D402F4"/>
    <w:rsid w:val="00D40383"/>
    <w:rsid w:val="00D40A33"/>
    <w:rsid w:val="00D40D53"/>
    <w:rsid w:val="00D40E33"/>
    <w:rsid w:val="00D40F7C"/>
    <w:rsid w:val="00D41006"/>
    <w:rsid w:val="00D4101F"/>
    <w:rsid w:val="00D41548"/>
    <w:rsid w:val="00D41735"/>
    <w:rsid w:val="00D419C9"/>
    <w:rsid w:val="00D4224D"/>
    <w:rsid w:val="00D42865"/>
    <w:rsid w:val="00D428B9"/>
    <w:rsid w:val="00D42C85"/>
    <w:rsid w:val="00D42F75"/>
    <w:rsid w:val="00D42FC6"/>
    <w:rsid w:val="00D43246"/>
    <w:rsid w:val="00D4325D"/>
    <w:rsid w:val="00D43339"/>
    <w:rsid w:val="00D437BC"/>
    <w:rsid w:val="00D43AE8"/>
    <w:rsid w:val="00D43DC2"/>
    <w:rsid w:val="00D43E02"/>
    <w:rsid w:val="00D43FEF"/>
    <w:rsid w:val="00D4435D"/>
    <w:rsid w:val="00D447D7"/>
    <w:rsid w:val="00D44853"/>
    <w:rsid w:val="00D44960"/>
    <w:rsid w:val="00D44968"/>
    <w:rsid w:val="00D44BCD"/>
    <w:rsid w:val="00D44CB0"/>
    <w:rsid w:val="00D44F2F"/>
    <w:rsid w:val="00D45160"/>
    <w:rsid w:val="00D4533D"/>
    <w:rsid w:val="00D453CA"/>
    <w:rsid w:val="00D45674"/>
    <w:rsid w:val="00D45750"/>
    <w:rsid w:val="00D457EA"/>
    <w:rsid w:val="00D45C42"/>
    <w:rsid w:val="00D45C8C"/>
    <w:rsid w:val="00D45DE9"/>
    <w:rsid w:val="00D45E79"/>
    <w:rsid w:val="00D460C0"/>
    <w:rsid w:val="00D4615B"/>
    <w:rsid w:val="00D46551"/>
    <w:rsid w:val="00D46599"/>
    <w:rsid w:val="00D46619"/>
    <w:rsid w:val="00D466D4"/>
    <w:rsid w:val="00D466FC"/>
    <w:rsid w:val="00D466FD"/>
    <w:rsid w:val="00D4680A"/>
    <w:rsid w:val="00D4692B"/>
    <w:rsid w:val="00D46E1B"/>
    <w:rsid w:val="00D47211"/>
    <w:rsid w:val="00D473A4"/>
    <w:rsid w:val="00D478F0"/>
    <w:rsid w:val="00D47A99"/>
    <w:rsid w:val="00D47D8B"/>
    <w:rsid w:val="00D505CE"/>
    <w:rsid w:val="00D50747"/>
    <w:rsid w:val="00D50A42"/>
    <w:rsid w:val="00D50C6F"/>
    <w:rsid w:val="00D50C93"/>
    <w:rsid w:val="00D50CDF"/>
    <w:rsid w:val="00D50FE6"/>
    <w:rsid w:val="00D510C3"/>
    <w:rsid w:val="00D510CF"/>
    <w:rsid w:val="00D5139C"/>
    <w:rsid w:val="00D51476"/>
    <w:rsid w:val="00D51C4A"/>
    <w:rsid w:val="00D51DA0"/>
    <w:rsid w:val="00D52179"/>
    <w:rsid w:val="00D5221B"/>
    <w:rsid w:val="00D52809"/>
    <w:rsid w:val="00D52CA8"/>
    <w:rsid w:val="00D52DBB"/>
    <w:rsid w:val="00D52E26"/>
    <w:rsid w:val="00D52E54"/>
    <w:rsid w:val="00D52FF5"/>
    <w:rsid w:val="00D5317F"/>
    <w:rsid w:val="00D5339B"/>
    <w:rsid w:val="00D539EB"/>
    <w:rsid w:val="00D53BE2"/>
    <w:rsid w:val="00D54055"/>
    <w:rsid w:val="00D542DC"/>
    <w:rsid w:val="00D54850"/>
    <w:rsid w:val="00D548FA"/>
    <w:rsid w:val="00D54F28"/>
    <w:rsid w:val="00D5536D"/>
    <w:rsid w:val="00D554AC"/>
    <w:rsid w:val="00D55611"/>
    <w:rsid w:val="00D556DD"/>
    <w:rsid w:val="00D55727"/>
    <w:rsid w:val="00D55A85"/>
    <w:rsid w:val="00D55C07"/>
    <w:rsid w:val="00D55DC1"/>
    <w:rsid w:val="00D55DFA"/>
    <w:rsid w:val="00D55E93"/>
    <w:rsid w:val="00D55F7B"/>
    <w:rsid w:val="00D560FF"/>
    <w:rsid w:val="00D56665"/>
    <w:rsid w:val="00D566F5"/>
    <w:rsid w:val="00D56961"/>
    <w:rsid w:val="00D569E7"/>
    <w:rsid w:val="00D56DCC"/>
    <w:rsid w:val="00D56DFA"/>
    <w:rsid w:val="00D56F3E"/>
    <w:rsid w:val="00D5750A"/>
    <w:rsid w:val="00D57B0E"/>
    <w:rsid w:val="00D57B1E"/>
    <w:rsid w:val="00D57C31"/>
    <w:rsid w:val="00D57CC0"/>
    <w:rsid w:val="00D57D71"/>
    <w:rsid w:val="00D60087"/>
    <w:rsid w:val="00D6052A"/>
    <w:rsid w:val="00D60606"/>
    <w:rsid w:val="00D60717"/>
    <w:rsid w:val="00D60860"/>
    <w:rsid w:val="00D60BCA"/>
    <w:rsid w:val="00D60C06"/>
    <w:rsid w:val="00D60E22"/>
    <w:rsid w:val="00D6122B"/>
    <w:rsid w:val="00D61302"/>
    <w:rsid w:val="00D613F2"/>
    <w:rsid w:val="00D616E4"/>
    <w:rsid w:val="00D61AA0"/>
    <w:rsid w:val="00D62214"/>
    <w:rsid w:val="00D62363"/>
    <w:rsid w:val="00D6242E"/>
    <w:rsid w:val="00D6264D"/>
    <w:rsid w:val="00D626D0"/>
    <w:rsid w:val="00D626F7"/>
    <w:rsid w:val="00D6289B"/>
    <w:rsid w:val="00D62F4D"/>
    <w:rsid w:val="00D6306C"/>
    <w:rsid w:val="00D63295"/>
    <w:rsid w:val="00D63593"/>
    <w:rsid w:val="00D63595"/>
    <w:rsid w:val="00D63791"/>
    <w:rsid w:val="00D63D4B"/>
    <w:rsid w:val="00D63EB2"/>
    <w:rsid w:val="00D64104"/>
    <w:rsid w:val="00D6436B"/>
    <w:rsid w:val="00D6449D"/>
    <w:rsid w:val="00D64541"/>
    <w:rsid w:val="00D649A7"/>
    <w:rsid w:val="00D652D9"/>
    <w:rsid w:val="00D65A93"/>
    <w:rsid w:val="00D65ABB"/>
    <w:rsid w:val="00D65B37"/>
    <w:rsid w:val="00D65C62"/>
    <w:rsid w:val="00D65E6D"/>
    <w:rsid w:val="00D661BB"/>
    <w:rsid w:val="00D6624E"/>
    <w:rsid w:val="00D66701"/>
    <w:rsid w:val="00D669F4"/>
    <w:rsid w:val="00D676E4"/>
    <w:rsid w:val="00D6782B"/>
    <w:rsid w:val="00D67B4A"/>
    <w:rsid w:val="00D67E09"/>
    <w:rsid w:val="00D67F5B"/>
    <w:rsid w:val="00D67FFE"/>
    <w:rsid w:val="00D70266"/>
    <w:rsid w:val="00D70B1E"/>
    <w:rsid w:val="00D70D5A"/>
    <w:rsid w:val="00D70DCD"/>
    <w:rsid w:val="00D70DDA"/>
    <w:rsid w:val="00D70E56"/>
    <w:rsid w:val="00D70EEC"/>
    <w:rsid w:val="00D70F10"/>
    <w:rsid w:val="00D7112C"/>
    <w:rsid w:val="00D71256"/>
    <w:rsid w:val="00D71278"/>
    <w:rsid w:val="00D714D6"/>
    <w:rsid w:val="00D71614"/>
    <w:rsid w:val="00D718E8"/>
    <w:rsid w:val="00D719AD"/>
    <w:rsid w:val="00D719BE"/>
    <w:rsid w:val="00D71B7B"/>
    <w:rsid w:val="00D71FAC"/>
    <w:rsid w:val="00D72256"/>
    <w:rsid w:val="00D7257F"/>
    <w:rsid w:val="00D7259F"/>
    <w:rsid w:val="00D727FD"/>
    <w:rsid w:val="00D72848"/>
    <w:rsid w:val="00D72A85"/>
    <w:rsid w:val="00D72B61"/>
    <w:rsid w:val="00D72B8C"/>
    <w:rsid w:val="00D73131"/>
    <w:rsid w:val="00D73AD9"/>
    <w:rsid w:val="00D73C8A"/>
    <w:rsid w:val="00D73E41"/>
    <w:rsid w:val="00D74078"/>
    <w:rsid w:val="00D740DC"/>
    <w:rsid w:val="00D742F4"/>
    <w:rsid w:val="00D744EB"/>
    <w:rsid w:val="00D74625"/>
    <w:rsid w:val="00D746E5"/>
    <w:rsid w:val="00D74A72"/>
    <w:rsid w:val="00D74E0E"/>
    <w:rsid w:val="00D7513A"/>
    <w:rsid w:val="00D754E4"/>
    <w:rsid w:val="00D7585B"/>
    <w:rsid w:val="00D75B2C"/>
    <w:rsid w:val="00D75D70"/>
    <w:rsid w:val="00D76131"/>
    <w:rsid w:val="00D7620B"/>
    <w:rsid w:val="00D7667B"/>
    <w:rsid w:val="00D766DF"/>
    <w:rsid w:val="00D7672A"/>
    <w:rsid w:val="00D767EE"/>
    <w:rsid w:val="00D7757E"/>
    <w:rsid w:val="00D77B8D"/>
    <w:rsid w:val="00D77E6E"/>
    <w:rsid w:val="00D77FAC"/>
    <w:rsid w:val="00D80336"/>
    <w:rsid w:val="00D80342"/>
    <w:rsid w:val="00D8065F"/>
    <w:rsid w:val="00D806AA"/>
    <w:rsid w:val="00D806AE"/>
    <w:rsid w:val="00D80BA7"/>
    <w:rsid w:val="00D80BDE"/>
    <w:rsid w:val="00D80C29"/>
    <w:rsid w:val="00D80D09"/>
    <w:rsid w:val="00D80F76"/>
    <w:rsid w:val="00D811D6"/>
    <w:rsid w:val="00D81332"/>
    <w:rsid w:val="00D813AD"/>
    <w:rsid w:val="00D818CC"/>
    <w:rsid w:val="00D81B27"/>
    <w:rsid w:val="00D81F22"/>
    <w:rsid w:val="00D82130"/>
    <w:rsid w:val="00D821CC"/>
    <w:rsid w:val="00D82781"/>
    <w:rsid w:val="00D8299F"/>
    <w:rsid w:val="00D829FB"/>
    <w:rsid w:val="00D82AAE"/>
    <w:rsid w:val="00D82E93"/>
    <w:rsid w:val="00D8316D"/>
    <w:rsid w:val="00D8364E"/>
    <w:rsid w:val="00D83B51"/>
    <w:rsid w:val="00D83D6F"/>
    <w:rsid w:val="00D8427E"/>
    <w:rsid w:val="00D84482"/>
    <w:rsid w:val="00D844FB"/>
    <w:rsid w:val="00D84511"/>
    <w:rsid w:val="00D84550"/>
    <w:rsid w:val="00D846F8"/>
    <w:rsid w:val="00D848A1"/>
    <w:rsid w:val="00D84B3D"/>
    <w:rsid w:val="00D84CAD"/>
    <w:rsid w:val="00D84EB3"/>
    <w:rsid w:val="00D84ECA"/>
    <w:rsid w:val="00D84FD4"/>
    <w:rsid w:val="00D8525A"/>
    <w:rsid w:val="00D8525E"/>
    <w:rsid w:val="00D8543A"/>
    <w:rsid w:val="00D859A3"/>
    <w:rsid w:val="00D85A8B"/>
    <w:rsid w:val="00D85BEB"/>
    <w:rsid w:val="00D85C54"/>
    <w:rsid w:val="00D85C7D"/>
    <w:rsid w:val="00D8627B"/>
    <w:rsid w:val="00D863A3"/>
    <w:rsid w:val="00D866EA"/>
    <w:rsid w:val="00D86745"/>
    <w:rsid w:val="00D86828"/>
    <w:rsid w:val="00D86A03"/>
    <w:rsid w:val="00D86A91"/>
    <w:rsid w:val="00D86B18"/>
    <w:rsid w:val="00D87498"/>
    <w:rsid w:val="00D87844"/>
    <w:rsid w:val="00D878AD"/>
    <w:rsid w:val="00D87A24"/>
    <w:rsid w:val="00D87AD9"/>
    <w:rsid w:val="00D87E47"/>
    <w:rsid w:val="00D87F16"/>
    <w:rsid w:val="00D90196"/>
    <w:rsid w:val="00D903F1"/>
    <w:rsid w:val="00D9041B"/>
    <w:rsid w:val="00D90576"/>
    <w:rsid w:val="00D90723"/>
    <w:rsid w:val="00D9082E"/>
    <w:rsid w:val="00D909E4"/>
    <w:rsid w:val="00D90B8F"/>
    <w:rsid w:val="00D90DBB"/>
    <w:rsid w:val="00D910F2"/>
    <w:rsid w:val="00D911D4"/>
    <w:rsid w:val="00D91368"/>
    <w:rsid w:val="00D913A7"/>
    <w:rsid w:val="00D913DF"/>
    <w:rsid w:val="00D9141D"/>
    <w:rsid w:val="00D9183A"/>
    <w:rsid w:val="00D9188A"/>
    <w:rsid w:val="00D91A2D"/>
    <w:rsid w:val="00D91C4E"/>
    <w:rsid w:val="00D92288"/>
    <w:rsid w:val="00D922D5"/>
    <w:rsid w:val="00D92728"/>
    <w:rsid w:val="00D92A1B"/>
    <w:rsid w:val="00D92AE7"/>
    <w:rsid w:val="00D92EAC"/>
    <w:rsid w:val="00D930BF"/>
    <w:rsid w:val="00D930FF"/>
    <w:rsid w:val="00D931F4"/>
    <w:rsid w:val="00D93221"/>
    <w:rsid w:val="00D9323A"/>
    <w:rsid w:val="00D9323D"/>
    <w:rsid w:val="00D9333E"/>
    <w:rsid w:val="00D93412"/>
    <w:rsid w:val="00D93566"/>
    <w:rsid w:val="00D93578"/>
    <w:rsid w:val="00D935AF"/>
    <w:rsid w:val="00D93A7A"/>
    <w:rsid w:val="00D93B33"/>
    <w:rsid w:val="00D93E9B"/>
    <w:rsid w:val="00D940C1"/>
    <w:rsid w:val="00D94311"/>
    <w:rsid w:val="00D9439C"/>
    <w:rsid w:val="00D94443"/>
    <w:rsid w:val="00D945E7"/>
    <w:rsid w:val="00D946C9"/>
    <w:rsid w:val="00D94723"/>
    <w:rsid w:val="00D94BB1"/>
    <w:rsid w:val="00D94C06"/>
    <w:rsid w:val="00D94C51"/>
    <w:rsid w:val="00D94C99"/>
    <w:rsid w:val="00D94CF3"/>
    <w:rsid w:val="00D94F03"/>
    <w:rsid w:val="00D94FA8"/>
    <w:rsid w:val="00D950E7"/>
    <w:rsid w:val="00D95280"/>
    <w:rsid w:val="00D95294"/>
    <w:rsid w:val="00D953AA"/>
    <w:rsid w:val="00D95610"/>
    <w:rsid w:val="00D958DD"/>
    <w:rsid w:val="00D95C04"/>
    <w:rsid w:val="00D95F03"/>
    <w:rsid w:val="00D9636C"/>
    <w:rsid w:val="00D96589"/>
    <w:rsid w:val="00D967A8"/>
    <w:rsid w:val="00D96C3F"/>
    <w:rsid w:val="00D96D78"/>
    <w:rsid w:val="00D9717E"/>
    <w:rsid w:val="00D97518"/>
    <w:rsid w:val="00D9756A"/>
    <w:rsid w:val="00D97B41"/>
    <w:rsid w:val="00D97CDC"/>
    <w:rsid w:val="00D97D2B"/>
    <w:rsid w:val="00D97EC1"/>
    <w:rsid w:val="00D97EC8"/>
    <w:rsid w:val="00D97F60"/>
    <w:rsid w:val="00DA058E"/>
    <w:rsid w:val="00DA068F"/>
    <w:rsid w:val="00DA071F"/>
    <w:rsid w:val="00DA0928"/>
    <w:rsid w:val="00DA0BA1"/>
    <w:rsid w:val="00DA0BB8"/>
    <w:rsid w:val="00DA0E3E"/>
    <w:rsid w:val="00DA10A9"/>
    <w:rsid w:val="00DA14A5"/>
    <w:rsid w:val="00DA14F8"/>
    <w:rsid w:val="00DA15E4"/>
    <w:rsid w:val="00DA16E6"/>
    <w:rsid w:val="00DA1777"/>
    <w:rsid w:val="00DA18F6"/>
    <w:rsid w:val="00DA1A26"/>
    <w:rsid w:val="00DA1ACC"/>
    <w:rsid w:val="00DA1BD8"/>
    <w:rsid w:val="00DA1C5F"/>
    <w:rsid w:val="00DA1EF3"/>
    <w:rsid w:val="00DA1F06"/>
    <w:rsid w:val="00DA2BF2"/>
    <w:rsid w:val="00DA2C5D"/>
    <w:rsid w:val="00DA337E"/>
    <w:rsid w:val="00DA352E"/>
    <w:rsid w:val="00DA3562"/>
    <w:rsid w:val="00DA37E5"/>
    <w:rsid w:val="00DA3904"/>
    <w:rsid w:val="00DA3F3F"/>
    <w:rsid w:val="00DA4044"/>
    <w:rsid w:val="00DA445C"/>
    <w:rsid w:val="00DA4511"/>
    <w:rsid w:val="00DA4784"/>
    <w:rsid w:val="00DA480B"/>
    <w:rsid w:val="00DA4840"/>
    <w:rsid w:val="00DA4A01"/>
    <w:rsid w:val="00DA4C2C"/>
    <w:rsid w:val="00DA4CAA"/>
    <w:rsid w:val="00DA4D51"/>
    <w:rsid w:val="00DA4E01"/>
    <w:rsid w:val="00DA4E22"/>
    <w:rsid w:val="00DA5029"/>
    <w:rsid w:val="00DA5064"/>
    <w:rsid w:val="00DA512C"/>
    <w:rsid w:val="00DA5706"/>
    <w:rsid w:val="00DA5A32"/>
    <w:rsid w:val="00DA5AC6"/>
    <w:rsid w:val="00DA5C63"/>
    <w:rsid w:val="00DA5DA5"/>
    <w:rsid w:val="00DA5E15"/>
    <w:rsid w:val="00DA5E16"/>
    <w:rsid w:val="00DA5EB9"/>
    <w:rsid w:val="00DA5FA2"/>
    <w:rsid w:val="00DA60F4"/>
    <w:rsid w:val="00DA65BD"/>
    <w:rsid w:val="00DA668B"/>
    <w:rsid w:val="00DA6765"/>
    <w:rsid w:val="00DA6FCC"/>
    <w:rsid w:val="00DA7027"/>
    <w:rsid w:val="00DA732F"/>
    <w:rsid w:val="00DA777E"/>
    <w:rsid w:val="00DA79FB"/>
    <w:rsid w:val="00DA7A17"/>
    <w:rsid w:val="00DA7CC1"/>
    <w:rsid w:val="00DB003C"/>
    <w:rsid w:val="00DB0772"/>
    <w:rsid w:val="00DB0CF7"/>
    <w:rsid w:val="00DB0F1D"/>
    <w:rsid w:val="00DB109B"/>
    <w:rsid w:val="00DB114B"/>
    <w:rsid w:val="00DB1610"/>
    <w:rsid w:val="00DB1A5F"/>
    <w:rsid w:val="00DB1E1C"/>
    <w:rsid w:val="00DB1E91"/>
    <w:rsid w:val="00DB2088"/>
    <w:rsid w:val="00DB238B"/>
    <w:rsid w:val="00DB2468"/>
    <w:rsid w:val="00DB2692"/>
    <w:rsid w:val="00DB2B67"/>
    <w:rsid w:val="00DB2C1D"/>
    <w:rsid w:val="00DB2DF0"/>
    <w:rsid w:val="00DB304A"/>
    <w:rsid w:val="00DB329D"/>
    <w:rsid w:val="00DB353B"/>
    <w:rsid w:val="00DB3AB6"/>
    <w:rsid w:val="00DB3CED"/>
    <w:rsid w:val="00DB3EDB"/>
    <w:rsid w:val="00DB40E4"/>
    <w:rsid w:val="00DB4142"/>
    <w:rsid w:val="00DB4374"/>
    <w:rsid w:val="00DB4410"/>
    <w:rsid w:val="00DB46A0"/>
    <w:rsid w:val="00DB47A1"/>
    <w:rsid w:val="00DB47AB"/>
    <w:rsid w:val="00DB49D1"/>
    <w:rsid w:val="00DB4B51"/>
    <w:rsid w:val="00DB4D06"/>
    <w:rsid w:val="00DB4D32"/>
    <w:rsid w:val="00DB4D66"/>
    <w:rsid w:val="00DB4F1E"/>
    <w:rsid w:val="00DB5028"/>
    <w:rsid w:val="00DB5117"/>
    <w:rsid w:val="00DB55C9"/>
    <w:rsid w:val="00DB5656"/>
    <w:rsid w:val="00DB57BB"/>
    <w:rsid w:val="00DB5879"/>
    <w:rsid w:val="00DB5A20"/>
    <w:rsid w:val="00DB5A81"/>
    <w:rsid w:val="00DB5F20"/>
    <w:rsid w:val="00DB6031"/>
    <w:rsid w:val="00DB6137"/>
    <w:rsid w:val="00DB6142"/>
    <w:rsid w:val="00DB62EF"/>
    <w:rsid w:val="00DB62F3"/>
    <w:rsid w:val="00DB630C"/>
    <w:rsid w:val="00DB648A"/>
    <w:rsid w:val="00DB664A"/>
    <w:rsid w:val="00DB667B"/>
    <w:rsid w:val="00DB6A44"/>
    <w:rsid w:val="00DB6B4B"/>
    <w:rsid w:val="00DB6C40"/>
    <w:rsid w:val="00DB6D9F"/>
    <w:rsid w:val="00DB719C"/>
    <w:rsid w:val="00DB7244"/>
    <w:rsid w:val="00DB745E"/>
    <w:rsid w:val="00DB7463"/>
    <w:rsid w:val="00DB793F"/>
    <w:rsid w:val="00DB7BA3"/>
    <w:rsid w:val="00DB7BD2"/>
    <w:rsid w:val="00DB7DE2"/>
    <w:rsid w:val="00DC0078"/>
    <w:rsid w:val="00DC0210"/>
    <w:rsid w:val="00DC033D"/>
    <w:rsid w:val="00DC0BB9"/>
    <w:rsid w:val="00DC0F3B"/>
    <w:rsid w:val="00DC1036"/>
    <w:rsid w:val="00DC1060"/>
    <w:rsid w:val="00DC12A2"/>
    <w:rsid w:val="00DC12E8"/>
    <w:rsid w:val="00DC13BA"/>
    <w:rsid w:val="00DC14AF"/>
    <w:rsid w:val="00DC155E"/>
    <w:rsid w:val="00DC1720"/>
    <w:rsid w:val="00DC1AD6"/>
    <w:rsid w:val="00DC1D39"/>
    <w:rsid w:val="00DC2353"/>
    <w:rsid w:val="00DC24CA"/>
    <w:rsid w:val="00DC2584"/>
    <w:rsid w:val="00DC282A"/>
    <w:rsid w:val="00DC2CEC"/>
    <w:rsid w:val="00DC2D54"/>
    <w:rsid w:val="00DC2EA3"/>
    <w:rsid w:val="00DC2F26"/>
    <w:rsid w:val="00DC2F66"/>
    <w:rsid w:val="00DC319A"/>
    <w:rsid w:val="00DC340A"/>
    <w:rsid w:val="00DC3633"/>
    <w:rsid w:val="00DC3B0B"/>
    <w:rsid w:val="00DC3E78"/>
    <w:rsid w:val="00DC3FC4"/>
    <w:rsid w:val="00DC4006"/>
    <w:rsid w:val="00DC40F0"/>
    <w:rsid w:val="00DC4108"/>
    <w:rsid w:val="00DC42E4"/>
    <w:rsid w:val="00DC4532"/>
    <w:rsid w:val="00DC4800"/>
    <w:rsid w:val="00DC4A03"/>
    <w:rsid w:val="00DC4EC7"/>
    <w:rsid w:val="00DC4EFF"/>
    <w:rsid w:val="00DC4F64"/>
    <w:rsid w:val="00DC50C5"/>
    <w:rsid w:val="00DC566B"/>
    <w:rsid w:val="00DC5832"/>
    <w:rsid w:val="00DC5A7F"/>
    <w:rsid w:val="00DC5C9A"/>
    <w:rsid w:val="00DC5E66"/>
    <w:rsid w:val="00DC62B2"/>
    <w:rsid w:val="00DC64A7"/>
    <w:rsid w:val="00DC6F1B"/>
    <w:rsid w:val="00DC6F6C"/>
    <w:rsid w:val="00DC74E2"/>
    <w:rsid w:val="00DC798F"/>
    <w:rsid w:val="00DC7CC2"/>
    <w:rsid w:val="00DC7DE2"/>
    <w:rsid w:val="00DC7E55"/>
    <w:rsid w:val="00DC7F62"/>
    <w:rsid w:val="00DC7FA4"/>
    <w:rsid w:val="00DD0025"/>
    <w:rsid w:val="00DD029D"/>
    <w:rsid w:val="00DD08AD"/>
    <w:rsid w:val="00DD0953"/>
    <w:rsid w:val="00DD0A43"/>
    <w:rsid w:val="00DD0F87"/>
    <w:rsid w:val="00DD1051"/>
    <w:rsid w:val="00DD1525"/>
    <w:rsid w:val="00DD1A95"/>
    <w:rsid w:val="00DD1D1E"/>
    <w:rsid w:val="00DD1DF3"/>
    <w:rsid w:val="00DD1EFD"/>
    <w:rsid w:val="00DD1F25"/>
    <w:rsid w:val="00DD2141"/>
    <w:rsid w:val="00DD23C9"/>
    <w:rsid w:val="00DD24A5"/>
    <w:rsid w:val="00DD2A44"/>
    <w:rsid w:val="00DD2C26"/>
    <w:rsid w:val="00DD2C81"/>
    <w:rsid w:val="00DD2FB1"/>
    <w:rsid w:val="00DD310D"/>
    <w:rsid w:val="00DD3117"/>
    <w:rsid w:val="00DD3149"/>
    <w:rsid w:val="00DD32C5"/>
    <w:rsid w:val="00DD33AB"/>
    <w:rsid w:val="00DD35A8"/>
    <w:rsid w:val="00DD3784"/>
    <w:rsid w:val="00DD3794"/>
    <w:rsid w:val="00DD38FB"/>
    <w:rsid w:val="00DD3DDE"/>
    <w:rsid w:val="00DD3E5C"/>
    <w:rsid w:val="00DD3EFE"/>
    <w:rsid w:val="00DD4197"/>
    <w:rsid w:val="00DD41E1"/>
    <w:rsid w:val="00DD4541"/>
    <w:rsid w:val="00DD47D0"/>
    <w:rsid w:val="00DD4A04"/>
    <w:rsid w:val="00DD4B17"/>
    <w:rsid w:val="00DD4D6E"/>
    <w:rsid w:val="00DD5536"/>
    <w:rsid w:val="00DD557C"/>
    <w:rsid w:val="00DD5729"/>
    <w:rsid w:val="00DD68F4"/>
    <w:rsid w:val="00DD6B4D"/>
    <w:rsid w:val="00DD6E7C"/>
    <w:rsid w:val="00DD6F7A"/>
    <w:rsid w:val="00DD7240"/>
    <w:rsid w:val="00DD789C"/>
    <w:rsid w:val="00DD78A6"/>
    <w:rsid w:val="00DD7971"/>
    <w:rsid w:val="00DD7AA8"/>
    <w:rsid w:val="00DD7CFD"/>
    <w:rsid w:val="00DE021E"/>
    <w:rsid w:val="00DE02B1"/>
    <w:rsid w:val="00DE02F1"/>
    <w:rsid w:val="00DE03EF"/>
    <w:rsid w:val="00DE043F"/>
    <w:rsid w:val="00DE0DF1"/>
    <w:rsid w:val="00DE0E73"/>
    <w:rsid w:val="00DE1031"/>
    <w:rsid w:val="00DE1689"/>
    <w:rsid w:val="00DE17EC"/>
    <w:rsid w:val="00DE195F"/>
    <w:rsid w:val="00DE1BB2"/>
    <w:rsid w:val="00DE1F81"/>
    <w:rsid w:val="00DE20E8"/>
    <w:rsid w:val="00DE21BA"/>
    <w:rsid w:val="00DE228B"/>
    <w:rsid w:val="00DE2386"/>
    <w:rsid w:val="00DE2496"/>
    <w:rsid w:val="00DE26F8"/>
    <w:rsid w:val="00DE286F"/>
    <w:rsid w:val="00DE2C2B"/>
    <w:rsid w:val="00DE2F7C"/>
    <w:rsid w:val="00DE3089"/>
    <w:rsid w:val="00DE30B3"/>
    <w:rsid w:val="00DE324B"/>
    <w:rsid w:val="00DE326D"/>
    <w:rsid w:val="00DE32F2"/>
    <w:rsid w:val="00DE3A26"/>
    <w:rsid w:val="00DE420B"/>
    <w:rsid w:val="00DE4212"/>
    <w:rsid w:val="00DE4371"/>
    <w:rsid w:val="00DE4522"/>
    <w:rsid w:val="00DE4B7D"/>
    <w:rsid w:val="00DE4CD2"/>
    <w:rsid w:val="00DE4D5A"/>
    <w:rsid w:val="00DE4E3E"/>
    <w:rsid w:val="00DE4E66"/>
    <w:rsid w:val="00DE5040"/>
    <w:rsid w:val="00DE5193"/>
    <w:rsid w:val="00DE55AE"/>
    <w:rsid w:val="00DE55F1"/>
    <w:rsid w:val="00DE58B9"/>
    <w:rsid w:val="00DE58D0"/>
    <w:rsid w:val="00DE5BDC"/>
    <w:rsid w:val="00DE5D7F"/>
    <w:rsid w:val="00DE5E01"/>
    <w:rsid w:val="00DE6B31"/>
    <w:rsid w:val="00DE6B53"/>
    <w:rsid w:val="00DE6DAB"/>
    <w:rsid w:val="00DE6FFE"/>
    <w:rsid w:val="00DE7099"/>
    <w:rsid w:val="00DE723A"/>
    <w:rsid w:val="00DE7261"/>
    <w:rsid w:val="00DE72B8"/>
    <w:rsid w:val="00DE7413"/>
    <w:rsid w:val="00DE744D"/>
    <w:rsid w:val="00DE7498"/>
    <w:rsid w:val="00DE74A5"/>
    <w:rsid w:val="00DE7756"/>
    <w:rsid w:val="00DE783B"/>
    <w:rsid w:val="00DE7914"/>
    <w:rsid w:val="00DE7ACA"/>
    <w:rsid w:val="00DE7E28"/>
    <w:rsid w:val="00DF00A5"/>
    <w:rsid w:val="00DF0219"/>
    <w:rsid w:val="00DF0244"/>
    <w:rsid w:val="00DF03BF"/>
    <w:rsid w:val="00DF041F"/>
    <w:rsid w:val="00DF0616"/>
    <w:rsid w:val="00DF08A3"/>
    <w:rsid w:val="00DF0FAA"/>
    <w:rsid w:val="00DF1027"/>
    <w:rsid w:val="00DF16C3"/>
    <w:rsid w:val="00DF16E7"/>
    <w:rsid w:val="00DF1BE9"/>
    <w:rsid w:val="00DF1ED4"/>
    <w:rsid w:val="00DF2470"/>
    <w:rsid w:val="00DF2635"/>
    <w:rsid w:val="00DF291D"/>
    <w:rsid w:val="00DF2A34"/>
    <w:rsid w:val="00DF2E56"/>
    <w:rsid w:val="00DF2E86"/>
    <w:rsid w:val="00DF308A"/>
    <w:rsid w:val="00DF3130"/>
    <w:rsid w:val="00DF3406"/>
    <w:rsid w:val="00DF341B"/>
    <w:rsid w:val="00DF3689"/>
    <w:rsid w:val="00DF39E9"/>
    <w:rsid w:val="00DF3BC1"/>
    <w:rsid w:val="00DF3CF7"/>
    <w:rsid w:val="00DF431B"/>
    <w:rsid w:val="00DF4581"/>
    <w:rsid w:val="00DF4599"/>
    <w:rsid w:val="00DF47B5"/>
    <w:rsid w:val="00DF4975"/>
    <w:rsid w:val="00DF49CF"/>
    <w:rsid w:val="00DF4C48"/>
    <w:rsid w:val="00DF5267"/>
    <w:rsid w:val="00DF54E2"/>
    <w:rsid w:val="00DF554B"/>
    <w:rsid w:val="00DF56E0"/>
    <w:rsid w:val="00DF57AD"/>
    <w:rsid w:val="00DF5AFA"/>
    <w:rsid w:val="00DF5C70"/>
    <w:rsid w:val="00DF5DA4"/>
    <w:rsid w:val="00DF5F5E"/>
    <w:rsid w:val="00DF60CE"/>
    <w:rsid w:val="00DF66AD"/>
    <w:rsid w:val="00DF6926"/>
    <w:rsid w:val="00DF69B2"/>
    <w:rsid w:val="00DF6AA7"/>
    <w:rsid w:val="00DF6FAB"/>
    <w:rsid w:val="00DF74D9"/>
    <w:rsid w:val="00DF7596"/>
    <w:rsid w:val="00DF7745"/>
    <w:rsid w:val="00DF792A"/>
    <w:rsid w:val="00DF793D"/>
    <w:rsid w:val="00DF7CCC"/>
    <w:rsid w:val="00DF7D0A"/>
    <w:rsid w:val="00DF7D10"/>
    <w:rsid w:val="00E006EF"/>
    <w:rsid w:val="00E00867"/>
    <w:rsid w:val="00E008C7"/>
    <w:rsid w:val="00E008FD"/>
    <w:rsid w:val="00E0184C"/>
    <w:rsid w:val="00E01A5E"/>
    <w:rsid w:val="00E01F13"/>
    <w:rsid w:val="00E0214A"/>
    <w:rsid w:val="00E02197"/>
    <w:rsid w:val="00E02555"/>
    <w:rsid w:val="00E02605"/>
    <w:rsid w:val="00E0289C"/>
    <w:rsid w:val="00E02B1B"/>
    <w:rsid w:val="00E02CC6"/>
    <w:rsid w:val="00E02E66"/>
    <w:rsid w:val="00E02ED6"/>
    <w:rsid w:val="00E02F2B"/>
    <w:rsid w:val="00E031EC"/>
    <w:rsid w:val="00E0360B"/>
    <w:rsid w:val="00E03729"/>
    <w:rsid w:val="00E03911"/>
    <w:rsid w:val="00E0394B"/>
    <w:rsid w:val="00E03A96"/>
    <w:rsid w:val="00E03B99"/>
    <w:rsid w:val="00E03C26"/>
    <w:rsid w:val="00E03C48"/>
    <w:rsid w:val="00E03DC2"/>
    <w:rsid w:val="00E03E7D"/>
    <w:rsid w:val="00E04250"/>
    <w:rsid w:val="00E04396"/>
    <w:rsid w:val="00E043CC"/>
    <w:rsid w:val="00E04548"/>
    <w:rsid w:val="00E04731"/>
    <w:rsid w:val="00E0488A"/>
    <w:rsid w:val="00E04B51"/>
    <w:rsid w:val="00E05028"/>
    <w:rsid w:val="00E05129"/>
    <w:rsid w:val="00E0514D"/>
    <w:rsid w:val="00E05466"/>
    <w:rsid w:val="00E057B9"/>
    <w:rsid w:val="00E05849"/>
    <w:rsid w:val="00E05867"/>
    <w:rsid w:val="00E05982"/>
    <w:rsid w:val="00E05C1F"/>
    <w:rsid w:val="00E05D56"/>
    <w:rsid w:val="00E05E30"/>
    <w:rsid w:val="00E05E89"/>
    <w:rsid w:val="00E0618B"/>
    <w:rsid w:val="00E06205"/>
    <w:rsid w:val="00E06406"/>
    <w:rsid w:val="00E064AB"/>
    <w:rsid w:val="00E066E2"/>
    <w:rsid w:val="00E0687C"/>
    <w:rsid w:val="00E06E66"/>
    <w:rsid w:val="00E06F8D"/>
    <w:rsid w:val="00E071BA"/>
    <w:rsid w:val="00E072B9"/>
    <w:rsid w:val="00E079B8"/>
    <w:rsid w:val="00E07A23"/>
    <w:rsid w:val="00E07A43"/>
    <w:rsid w:val="00E07BD6"/>
    <w:rsid w:val="00E07C84"/>
    <w:rsid w:val="00E1021E"/>
    <w:rsid w:val="00E105A9"/>
    <w:rsid w:val="00E10CB0"/>
    <w:rsid w:val="00E10D4B"/>
    <w:rsid w:val="00E10EE6"/>
    <w:rsid w:val="00E11158"/>
    <w:rsid w:val="00E119F9"/>
    <w:rsid w:val="00E11AF0"/>
    <w:rsid w:val="00E11BDA"/>
    <w:rsid w:val="00E11E23"/>
    <w:rsid w:val="00E11F4C"/>
    <w:rsid w:val="00E11F88"/>
    <w:rsid w:val="00E11F8D"/>
    <w:rsid w:val="00E11F8E"/>
    <w:rsid w:val="00E11FC9"/>
    <w:rsid w:val="00E124C6"/>
    <w:rsid w:val="00E125A4"/>
    <w:rsid w:val="00E12668"/>
    <w:rsid w:val="00E12671"/>
    <w:rsid w:val="00E129E7"/>
    <w:rsid w:val="00E12B8D"/>
    <w:rsid w:val="00E12CBF"/>
    <w:rsid w:val="00E12CE3"/>
    <w:rsid w:val="00E12D6E"/>
    <w:rsid w:val="00E13190"/>
    <w:rsid w:val="00E131B3"/>
    <w:rsid w:val="00E131E2"/>
    <w:rsid w:val="00E13716"/>
    <w:rsid w:val="00E137AC"/>
    <w:rsid w:val="00E13802"/>
    <w:rsid w:val="00E13963"/>
    <w:rsid w:val="00E13A57"/>
    <w:rsid w:val="00E13B09"/>
    <w:rsid w:val="00E13BD9"/>
    <w:rsid w:val="00E13C34"/>
    <w:rsid w:val="00E13DDD"/>
    <w:rsid w:val="00E13F5E"/>
    <w:rsid w:val="00E1420D"/>
    <w:rsid w:val="00E14279"/>
    <w:rsid w:val="00E142EF"/>
    <w:rsid w:val="00E1494F"/>
    <w:rsid w:val="00E14BB2"/>
    <w:rsid w:val="00E14C17"/>
    <w:rsid w:val="00E14FD6"/>
    <w:rsid w:val="00E15056"/>
    <w:rsid w:val="00E151FB"/>
    <w:rsid w:val="00E159FC"/>
    <w:rsid w:val="00E15A83"/>
    <w:rsid w:val="00E15ADF"/>
    <w:rsid w:val="00E15DB1"/>
    <w:rsid w:val="00E15EA5"/>
    <w:rsid w:val="00E15FB2"/>
    <w:rsid w:val="00E15FFB"/>
    <w:rsid w:val="00E16089"/>
    <w:rsid w:val="00E16102"/>
    <w:rsid w:val="00E165FE"/>
    <w:rsid w:val="00E1663B"/>
    <w:rsid w:val="00E167B9"/>
    <w:rsid w:val="00E16A3C"/>
    <w:rsid w:val="00E16B28"/>
    <w:rsid w:val="00E16BE7"/>
    <w:rsid w:val="00E16C81"/>
    <w:rsid w:val="00E16D40"/>
    <w:rsid w:val="00E17123"/>
    <w:rsid w:val="00E17158"/>
    <w:rsid w:val="00E172EA"/>
    <w:rsid w:val="00E173BF"/>
    <w:rsid w:val="00E17497"/>
    <w:rsid w:val="00E1751E"/>
    <w:rsid w:val="00E17552"/>
    <w:rsid w:val="00E17565"/>
    <w:rsid w:val="00E17BA3"/>
    <w:rsid w:val="00E17DBB"/>
    <w:rsid w:val="00E200BD"/>
    <w:rsid w:val="00E202B0"/>
    <w:rsid w:val="00E20927"/>
    <w:rsid w:val="00E21022"/>
    <w:rsid w:val="00E21043"/>
    <w:rsid w:val="00E21562"/>
    <w:rsid w:val="00E21570"/>
    <w:rsid w:val="00E21A01"/>
    <w:rsid w:val="00E21B03"/>
    <w:rsid w:val="00E21E2B"/>
    <w:rsid w:val="00E222C2"/>
    <w:rsid w:val="00E22445"/>
    <w:rsid w:val="00E22667"/>
    <w:rsid w:val="00E22749"/>
    <w:rsid w:val="00E22A05"/>
    <w:rsid w:val="00E22C14"/>
    <w:rsid w:val="00E22D25"/>
    <w:rsid w:val="00E22E56"/>
    <w:rsid w:val="00E2333B"/>
    <w:rsid w:val="00E23400"/>
    <w:rsid w:val="00E236C3"/>
    <w:rsid w:val="00E2373B"/>
    <w:rsid w:val="00E23881"/>
    <w:rsid w:val="00E239AF"/>
    <w:rsid w:val="00E2409B"/>
    <w:rsid w:val="00E241BF"/>
    <w:rsid w:val="00E24763"/>
    <w:rsid w:val="00E247DC"/>
    <w:rsid w:val="00E24AB3"/>
    <w:rsid w:val="00E24C67"/>
    <w:rsid w:val="00E24CEE"/>
    <w:rsid w:val="00E25146"/>
    <w:rsid w:val="00E251C0"/>
    <w:rsid w:val="00E25538"/>
    <w:rsid w:val="00E25982"/>
    <w:rsid w:val="00E25F59"/>
    <w:rsid w:val="00E260A3"/>
    <w:rsid w:val="00E2616C"/>
    <w:rsid w:val="00E26411"/>
    <w:rsid w:val="00E264CF"/>
    <w:rsid w:val="00E26C2E"/>
    <w:rsid w:val="00E26D15"/>
    <w:rsid w:val="00E26ED1"/>
    <w:rsid w:val="00E2700F"/>
    <w:rsid w:val="00E2722B"/>
    <w:rsid w:val="00E273D4"/>
    <w:rsid w:val="00E274A8"/>
    <w:rsid w:val="00E2751F"/>
    <w:rsid w:val="00E2761D"/>
    <w:rsid w:val="00E27635"/>
    <w:rsid w:val="00E276E5"/>
    <w:rsid w:val="00E277C0"/>
    <w:rsid w:val="00E27DDB"/>
    <w:rsid w:val="00E27E3A"/>
    <w:rsid w:val="00E30135"/>
    <w:rsid w:val="00E3064B"/>
    <w:rsid w:val="00E3080D"/>
    <w:rsid w:val="00E30BF0"/>
    <w:rsid w:val="00E31224"/>
    <w:rsid w:val="00E3152C"/>
    <w:rsid w:val="00E31702"/>
    <w:rsid w:val="00E3173C"/>
    <w:rsid w:val="00E3188D"/>
    <w:rsid w:val="00E3195E"/>
    <w:rsid w:val="00E31B75"/>
    <w:rsid w:val="00E31DD2"/>
    <w:rsid w:val="00E320A6"/>
    <w:rsid w:val="00E320DB"/>
    <w:rsid w:val="00E322E9"/>
    <w:rsid w:val="00E3242E"/>
    <w:rsid w:val="00E324A3"/>
    <w:rsid w:val="00E324CB"/>
    <w:rsid w:val="00E32AA3"/>
    <w:rsid w:val="00E32EB5"/>
    <w:rsid w:val="00E330C9"/>
    <w:rsid w:val="00E3330E"/>
    <w:rsid w:val="00E3351F"/>
    <w:rsid w:val="00E3352C"/>
    <w:rsid w:val="00E33598"/>
    <w:rsid w:val="00E33992"/>
    <w:rsid w:val="00E33ABF"/>
    <w:rsid w:val="00E33CC4"/>
    <w:rsid w:val="00E34043"/>
    <w:rsid w:val="00E34525"/>
    <w:rsid w:val="00E34564"/>
    <w:rsid w:val="00E3459B"/>
    <w:rsid w:val="00E346C9"/>
    <w:rsid w:val="00E348F1"/>
    <w:rsid w:val="00E34B07"/>
    <w:rsid w:val="00E34EFC"/>
    <w:rsid w:val="00E35040"/>
    <w:rsid w:val="00E3566E"/>
    <w:rsid w:val="00E357C7"/>
    <w:rsid w:val="00E3589F"/>
    <w:rsid w:val="00E35C9F"/>
    <w:rsid w:val="00E35E49"/>
    <w:rsid w:val="00E3622D"/>
    <w:rsid w:val="00E36755"/>
    <w:rsid w:val="00E36888"/>
    <w:rsid w:val="00E36981"/>
    <w:rsid w:val="00E36A73"/>
    <w:rsid w:val="00E36AAE"/>
    <w:rsid w:val="00E36D0F"/>
    <w:rsid w:val="00E36F3D"/>
    <w:rsid w:val="00E371DC"/>
    <w:rsid w:val="00E371DF"/>
    <w:rsid w:val="00E37B8A"/>
    <w:rsid w:val="00E37BC2"/>
    <w:rsid w:val="00E4042D"/>
    <w:rsid w:val="00E40902"/>
    <w:rsid w:val="00E409DF"/>
    <w:rsid w:val="00E40C52"/>
    <w:rsid w:val="00E40DAE"/>
    <w:rsid w:val="00E40F62"/>
    <w:rsid w:val="00E412D9"/>
    <w:rsid w:val="00E4141C"/>
    <w:rsid w:val="00E41671"/>
    <w:rsid w:val="00E417EC"/>
    <w:rsid w:val="00E41F22"/>
    <w:rsid w:val="00E41FA8"/>
    <w:rsid w:val="00E420F0"/>
    <w:rsid w:val="00E42408"/>
    <w:rsid w:val="00E42581"/>
    <w:rsid w:val="00E42DA1"/>
    <w:rsid w:val="00E42FC2"/>
    <w:rsid w:val="00E43249"/>
    <w:rsid w:val="00E4343C"/>
    <w:rsid w:val="00E436A2"/>
    <w:rsid w:val="00E43932"/>
    <w:rsid w:val="00E43BC6"/>
    <w:rsid w:val="00E43C24"/>
    <w:rsid w:val="00E44A0B"/>
    <w:rsid w:val="00E44B17"/>
    <w:rsid w:val="00E4514A"/>
    <w:rsid w:val="00E451DE"/>
    <w:rsid w:val="00E4529A"/>
    <w:rsid w:val="00E45305"/>
    <w:rsid w:val="00E4549F"/>
    <w:rsid w:val="00E45797"/>
    <w:rsid w:val="00E458B2"/>
    <w:rsid w:val="00E458D8"/>
    <w:rsid w:val="00E45A8B"/>
    <w:rsid w:val="00E45C2C"/>
    <w:rsid w:val="00E45C9A"/>
    <w:rsid w:val="00E45D3F"/>
    <w:rsid w:val="00E45FA1"/>
    <w:rsid w:val="00E4605F"/>
    <w:rsid w:val="00E46463"/>
    <w:rsid w:val="00E467DC"/>
    <w:rsid w:val="00E46B19"/>
    <w:rsid w:val="00E46D0A"/>
    <w:rsid w:val="00E46ECC"/>
    <w:rsid w:val="00E46FE3"/>
    <w:rsid w:val="00E4704A"/>
    <w:rsid w:val="00E4794D"/>
    <w:rsid w:val="00E4794E"/>
    <w:rsid w:val="00E47963"/>
    <w:rsid w:val="00E47B4B"/>
    <w:rsid w:val="00E47B9D"/>
    <w:rsid w:val="00E47D75"/>
    <w:rsid w:val="00E50199"/>
    <w:rsid w:val="00E501E2"/>
    <w:rsid w:val="00E50269"/>
    <w:rsid w:val="00E50438"/>
    <w:rsid w:val="00E505B4"/>
    <w:rsid w:val="00E50799"/>
    <w:rsid w:val="00E509A9"/>
    <w:rsid w:val="00E50A96"/>
    <w:rsid w:val="00E50B1A"/>
    <w:rsid w:val="00E50C65"/>
    <w:rsid w:val="00E50CCA"/>
    <w:rsid w:val="00E50D06"/>
    <w:rsid w:val="00E51006"/>
    <w:rsid w:val="00E510D5"/>
    <w:rsid w:val="00E51835"/>
    <w:rsid w:val="00E518A7"/>
    <w:rsid w:val="00E51C39"/>
    <w:rsid w:val="00E51C5C"/>
    <w:rsid w:val="00E51C68"/>
    <w:rsid w:val="00E51C9E"/>
    <w:rsid w:val="00E51E5E"/>
    <w:rsid w:val="00E52019"/>
    <w:rsid w:val="00E520B2"/>
    <w:rsid w:val="00E523C9"/>
    <w:rsid w:val="00E528DF"/>
    <w:rsid w:val="00E5298B"/>
    <w:rsid w:val="00E529F5"/>
    <w:rsid w:val="00E52C1F"/>
    <w:rsid w:val="00E52CD1"/>
    <w:rsid w:val="00E52D13"/>
    <w:rsid w:val="00E52D3A"/>
    <w:rsid w:val="00E52DEA"/>
    <w:rsid w:val="00E52ECB"/>
    <w:rsid w:val="00E53006"/>
    <w:rsid w:val="00E53063"/>
    <w:rsid w:val="00E53569"/>
    <w:rsid w:val="00E5356B"/>
    <w:rsid w:val="00E53A64"/>
    <w:rsid w:val="00E53A73"/>
    <w:rsid w:val="00E53DA4"/>
    <w:rsid w:val="00E53E00"/>
    <w:rsid w:val="00E53E44"/>
    <w:rsid w:val="00E54221"/>
    <w:rsid w:val="00E54237"/>
    <w:rsid w:val="00E5433C"/>
    <w:rsid w:val="00E543DD"/>
    <w:rsid w:val="00E5466C"/>
    <w:rsid w:val="00E5526C"/>
    <w:rsid w:val="00E55296"/>
    <w:rsid w:val="00E5553C"/>
    <w:rsid w:val="00E55658"/>
    <w:rsid w:val="00E557FC"/>
    <w:rsid w:val="00E5581E"/>
    <w:rsid w:val="00E558F6"/>
    <w:rsid w:val="00E55A6C"/>
    <w:rsid w:val="00E55B4C"/>
    <w:rsid w:val="00E55DD8"/>
    <w:rsid w:val="00E56153"/>
    <w:rsid w:val="00E56244"/>
    <w:rsid w:val="00E562EF"/>
    <w:rsid w:val="00E5650A"/>
    <w:rsid w:val="00E566D2"/>
    <w:rsid w:val="00E56905"/>
    <w:rsid w:val="00E56EB3"/>
    <w:rsid w:val="00E56F98"/>
    <w:rsid w:val="00E5706E"/>
    <w:rsid w:val="00E574EC"/>
    <w:rsid w:val="00E57504"/>
    <w:rsid w:val="00E579AE"/>
    <w:rsid w:val="00E57B87"/>
    <w:rsid w:val="00E57F32"/>
    <w:rsid w:val="00E57F9C"/>
    <w:rsid w:val="00E6011A"/>
    <w:rsid w:val="00E604CB"/>
    <w:rsid w:val="00E60D10"/>
    <w:rsid w:val="00E60E7C"/>
    <w:rsid w:val="00E60F62"/>
    <w:rsid w:val="00E61013"/>
    <w:rsid w:val="00E612C8"/>
    <w:rsid w:val="00E61375"/>
    <w:rsid w:val="00E61554"/>
    <w:rsid w:val="00E61572"/>
    <w:rsid w:val="00E615F9"/>
    <w:rsid w:val="00E618C5"/>
    <w:rsid w:val="00E6193C"/>
    <w:rsid w:val="00E61AF3"/>
    <w:rsid w:val="00E61E97"/>
    <w:rsid w:val="00E61EE2"/>
    <w:rsid w:val="00E62213"/>
    <w:rsid w:val="00E62634"/>
    <w:rsid w:val="00E62683"/>
    <w:rsid w:val="00E62A17"/>
    <w:rsid w:val="00E62B5B"/>
    <w:rsid w:val="00E62BC2"/>
    <w:rsid w:val="00E63372"/>
    <w:rsid w:val="00E63558"/>
    <w:rsid w:val="00E6355A"/>
    <w:rsid w:val="00E63AC8"/>
    <w:rsid w:val="00E63DAA"/>
    <w:rsid w:val="00E640CE"/>
    <w:rsid w:val="00E64107"/>
    <w:rsid w:val="00E64436"/>
    <w:rsid w:val="00E64917"/>
    <w:rsid w:val="00E64932"/>
    <w:rsid w:val="00E649E5"/>
    <w:rsid w:val="00E64D98"/>
    <w:rsid w:val="00E64E2B"/>
    <w:rsid w:val="00E64E8E"/>
    <w:rsid w:val="00E64FED"/>
    <w:rsid w:val="00E65013"/>
    <w:rsid w:val="00E655E6"/>
    <w:rsid w:val="00E65663"/>
    <w:rsid w:val="00E656E7"/>
    <w:rsid w:val="00E65A1D"/>
    <w:rsid w:val="00E65AE8"/>
    <w:rsid w:val="00E65D54"/>
    <w:rsid w:val="00E66034"/>
    <w:rsid w:val="00E6624E"/>
    <w:rsid w:val="00E66786"/>
    <w:rsid w:val="00E668CD"/>
    <w:rsid w:val="00E66AB0"/>
    <w:rsid w:val="00E66EAD"/>
    <w:rsid w:val="00E6718A"/>
    <w:rsid w:val="00E671F3"/>
    <w:rsid w:val="00E672B7"/>
    <w:rsid w:val="00E6733B"/>
    <w:rsid w:val="00E675DC"/>
    <w:rsid w:val="00E676A4"/>
    <w:rsid w:val="00E679DD"/>
    <w:rsid w:val="00E679E7"/>
    <w:rsid w:val="00E67AC3"/>
    <w:rsid w:val="00E67AF5"/>
    <w:rsid w:val="00E67B2F"/>
    <w:rsid w:val="00E67BC0"/>
    <w:rsid w:val="00E67CE7"/>
    <w:rsid w:val="00E70144"/>
    <w:rsid w:val="00E7021B"/>
    <w:rsid w:val="00E70717"/>
    <w:rsid w:val="00E707D9"/>
    <w:rsid w:val="00E7099C"/>
    <w:rsid w:val="00E70C0D"/>
    <w:rsid w:val="00E70CB6"/>
    <w:rsid w:val="00E70D09"/>
    <w:rsid w:val="00E70D24"/>
    <w:rsid w:val="00E70D55"/>
    <w:rsid w:val="00E71376"/>
    <w:rsid w:val="00E71613"/>
    <w:rsid w:val="00E71CB5"/>
    <w:rsid w:val="00E72065"/>
    <w:rsid w:val="00E7221D"/>
    <w:rsid w:val="00E72790"/>
    <w:rsid w:val="00E728FA"/>
    <w:rsid w:val="00E72B2E"/>
    <w:rsid w:val="00E72C3E"/>
    <w:rsid w:val="00E72C62"/>
    <w:rsid w:val="00E72EFC"/>
    <w:rsid w:val="00E7372E"/>
    <w:rsid w:val="00E73A22"/>
    <w:rsid w:val="00E73B31"/>
    <w:rsid w:val="00E73D02"/>
    <w:rsid w:val="00E73F81"/>
    <w:rsid w:val="00E74084"/>
    <w:rsid w:val="00E74D7D"/>
    <w:rsid w:val="00E74FDD"/>
    <w:rsid w:val="00E75004"/>
    <w:rsid w:val="00E75073"/>
    <w:rsid w:val="00E75334"/>
    <w:rsid w:val="00E7571A"/>
    <w:rsid w:val="00E75C30"/>
    <w:rsid w:val="00E7615F"/>
    <w:rsid w:val="00E761FF"/>
    <w:rsid w:val="00E766A3"/>
    <w:rsid w:val="00E767CC"/>
    <w:rsid w:val="00E76A12"/>
    <w:rsid w:val="00E76A3A"/>
    <w:rsid w:val="00E76AE0"/>
    <w:rsid w:val="00E76D0B"/>
    <w:rsid w:val="00E76EFA"/>
    <w:rsid w:val="00E76EFB"/>
    <w:rsid w:val="00E7705B"/>
    <w:rsid w:val="00E770A0"/>
    <w:rsid w:val="00E771AE"/>
    <w:rsid w:val="00E7721D"/>
    <w:rsid w:val="00E77501"/>
    <w:rsid w:val="00E776AC"/>
    <w:rsid w:val="00E779A1"/>
    <w:rsid w:val="00E779E5"/>
    <w:rsid w:val="00E77A23"/>
    <w:rsid w:val="00E77B31"/>
    <w:rsid w:val="00E77B9F"/>
    <w:rsid w:val="00E77BC1"/>
    <w:rsid w:val="00E77D8E"/>
    <w:rsid w:val="00E77EAA"/>
    <w:rsid w:val="00E77F15"/>
    <w:rsid w:val="00E80151"/>
    <w:rsid w:val="00E80174"/>
    <w:rsid w:val="00E803F1"/>
    <w:rsid w:val="00E804B3"/>
    <w:rsid w:val="00E80768"/>
    <w:rsid w:val="00E80B2C"/>
    <w:rsid w:val="00E812D9"/>
    <w:rsid w:val="00E813BD"/>
    <w:rsid w:val="00E81498"/>
    <w:rsid w:val="00E81609"/>
    <w:rsid w:val="00E81679"/>
    <w:rsid w:val="00E816C5"/>
    <w:rsid w:val="00E818B8"/>
    <w:rsid w:val="00E81A87"/>
    <w:rsid w:val="00E81BAA"/>
    <w:rsid w:val="00E81CD6"/>
    <w:rsid w:val="00E81D23"/>
    <w:rsid w:val="00E81E0A"/>
    <w:rsid w:val="00E82553"/>
    <w:rsid w:val="00E82555"/>
    <w:rsid w:val="00E8263D"/>
    <w:rsid w:val="00E827E3"/>
    <w:rsid w:val="00E82C16"/>
    <w:rsid w:val="00E82C1B"/>
    <w:rsid w:val="00E82CCD"/>
    <w:rsid w:val="00E82DA4"/>
    <w:rsid w:val="00E83437"/>
    <w:rsid w:val="00E83475"/>
    <w:rsid w:val="00E83541"/>
    <w:rsid w:val="00E8368E"/>
    <w:rsid w:val="00E836B7"/>
    <w:rsid w:val="00E838F2"/>
    <w:rsid w:val="00E83948"/>
    <w:rsid w:val="00E83B30"/>
    <w:rsid w:val="00E83B51"/>
    <w:rsid w:val="00E83CF9"/>
    <w:rsid w:val="00E83D0B"/>
    <w:rsid w:val="00E83EB2"/>
    <w:rsid w:val="00E83FCB"/>
    <w:rsid w:val="00E84201"/>
    <w:rsid w:val="00E84317"/>
    <w:rsid w:val="00E84490"/>
    <w:rsid w:val="00E8470E"/>
    <w:rsid w:val="00E84CE6"/>
    <w:rsid w:val="00E84D45"/>
    <w:rsid w:val="00E84D5D"/>
    <w:rsid w:val="00E84DD4"/>
    <w:rsid w:val="00E84DDF"/>
    <w:rsid w:val="00E8505F"/>
    <w:rsid w:val="00E85291"/>
    <w:rsid w:val="00E852E1"/>
    <w:rsid w:val="00E85494"/>
    <w:rsid w:val="00E8575F"/>
    <w:rsid w:val="00E85854"/>
    <w:rsid w:val="00E859A1"/>
    <w:rsid w:val="00E859E3"/>
    <w:rsid w:val="00E85C87"/>
    <w:rsid w:val="00E85DF7"/>
    <w:rsid w:val="00E85E2C"/>
    <w:rsid w:val="00E864B6"/>
    <w:rsid w:val="00E86657"/>
    <w:rsid w:val="00E86670"/>
    <w:rsid w:val="00E86828"/>
    <w:rsid w:val="00E86A23"/>
    <w:rsid w:val="00E86B46"/>
    <w:rsid w:val="00E86B5A"/>
    <w:rsid w:val="00E86DFF"/>
    <w:rsid w:val="00E87408"/>
    <w:rsid w:val="00E87469"/>
    <w:rsid w:val="00E87545"/>
    <w:rsid w:val="00E878E8"/>
    <w:rsid w:val="00E87941"/>
    <w:rsid w:val="00E87942"/>
    <w:rsid w:val="00E87B98"/>
    <w:rsid w:val="00E87BE1"/>
    <w:rsid w:val="00E87C64"/>
    <w:rsid w:val="00E87D2B"/>
    <w:rsid w:val="00E87D69"/>
    <w:rsid w:val="00E90164"/>
    <w:rsid w:val="00E904A4"/>
    <w:rsid w:val="00E904ED"/>
    <w:rsid w:val="00E90788"/>
    <w:rsid w:val="00E90908"/>
    <w:rsid w:val="00E9096E"/>
    <w:rsid w:val="00E90BB8"/>
    <w:rsid w:val="00E90C58"/>
    <w:rsid w:val="00E90CAE"/>
    <w:rsid w:val="00E91035"/>
    <w:rsid w:val="00E915DA"/>
    <w:rsid w:val="00E9168B"/>
    <w:rsid w:val="00E9173D"/>
    <w:rsid w:val="00E91D7E"/>
    <w:rsid w:val="00E9213D"/>
    <w:rsid w:val="00E92738"/>
    <w:rsid w:val="00E927EF"/>
    <w:rsid w:val="00E92974"/>
    <w:rsid w:val="00E92A76"/>
    <w:rsid w:val="00E92F98"/>
    <w:rsid w:val="00E9331D"/>
    <w:rsid w:val="00E9341F"/>
    <w:rsid w:val="00E93440"/>
    <w:rsid w:val="00E93623"/>
    <w:rsid w:val="00E9385B"/>
    <w:rsid w:val="00E938E6"/>
    <w:rsid w:val="00E939B5"/>
    <w:rsid w:val="00E939D8"/>
    <w:rsid w:val="00E93B11"/>
    <w:rsid w:val="00E93BF4"/>
    <w:rsid w:val="00E93CD1"/>
    <w:rsid w:val="00E93D59"/>
    <w:rsid w:val="00E93E5D"/>
    <w:rsid w:val="00E93FE3"/>
    <w:rsid w:val="00E944FD"/>
    <w:rsid w:val="00E9472C"/>
    <w:rsid w:val="00E94B65"/>
    <w:rsid w:val="00E94C92"/>
    <w:rsid w:val="00E94D2E"/>
    <w:rsid w:val="00E94D95"/>
    <w:rsid w:val="00E94E75"/>
    <w:rsid w:val="00E94F48"/>
    <w:rsid w:val="00E952B3"/>
    <w:rsid w:val="00E95322"/>
    <w:rsid w:val="00E95490"/>
    <w:rsid w:val="00E956AA"/>
    <w:rsid w:val="00E95FFB"/>
    <w:rsid w:val="00E96086"/>
    <w:rsid w:val="00E96088"/>
    <w:rsid w:val="00E9612D"/>
    <w:rsid w:val="00E96274"/>
    <w:rsid w:val="00E96359"/>
    <w:rsid w:val="00E9673F"/>
    <w:rsid w:val="00E968C1"/>
    <w:rsid w:val="00E9699E"/>
    <w:rsid w:val="00E96A61"/>
    <w:rsid w:val="00E971B0"/>
    <w:rsid w:val="00E971F6"/>
    <w:rsid w:val="00E97511"/>
    <w:rsid w:val="00E9791D"/>
    <w:rsid w:val="00E97A76"/>
    <w:rsid w:val="00E97C2E"/>
    <w:rsid w:val="00E97EB2"/>
    <w:rsid w:val="00E97FA1"/>
    <w:rsid w:val="00EA03CC"/>
    <w:rsid w:val="00EA03CE"/>
    <w:rsid w:val="00EA0608"/>
    <w:rsid w:val="00EA08E5"/>
    <w:rsid w:val="00EA0AF2"/>
    <w:rsid w:val="00EA0E54"/>
    <w:rsid w:val="00EA0FE8"/>
    <w:rsid w:val="00EA109C"/>
    <w:rsid w:val="00EA1159"/>
    <w:rsid w:val="00EA12C0"/>
    <w:rsid w:val="00EA12DC"/>
    <w:rsid w:val="00EA13B3"/>
    <w:rsid w:val="00EA1769"/>
    <w:rsid w:val="00EA17EB"/>
    <w:rsid w:val="00EA19F9"/>
    <w:rsid w:val="00EA1AF9"/>
    <w:rsid w:val="00EA1CF6"/>
    <w:rsid w:val="00EA1F45"/>
    <w:rsid w:val="00EA221F"/>
    <w:rsid w:val="00EA22FB"/>
    <w:rsid w:val="00EA23A4"/>
    <w:rsid w:val="00EA2561"/>
    <w:rsid w:val="00EA2859"/>
    <w:rsid w:val="00EA2DEF"/>
    <w:rsid w:val="00EA2F31"/>
    <w:rsid w:val="00EA2F34"/>
    <w:rsid w:val="00EA30A3"/>
    <w:rsid w:val="00EA3671"/>
    <w:rsid w:val="00EA3D95"/>
    <w:rsid w:val="00EA3E38"/>
    <w:rsid w:val="00EA44E3"/>
    <w:rsid w:val="00EA4647"/>
    <w:rsid w:val="00EA4ABD"/>
    <w:rsid w:val="00EA4D0C"/>
    <w:rsid w:val="00EA505D"/>
    <w:rsid w:val="00EA5314"/>
    <w:rsid w:val="00EA55B4"/>
    <w:rsid w:val="00EA569E"/>
    <w:rsid w:val="00EA57B4"/>
    <w:rsid w:val="00EA5BB9"/>
    <w:rsid w:val="00EA5D93"/>
    <w:rsid w:val="00EA5F61"/>
    <w:rsid w:val="00EA603A"/>
    <w:rsid w:val="00EA6053"/>
    <w:rsid w:val="00EA60DD"/>
    <w:rsid w:val="00EA6145"/>
    <w:rsid w:val="00EA61D9"/>
    <w:rsid w:val="00EA6230"/>
    <w:rsid w:val="00EA63CF"/>
    <w:rsid w:val="00EA657C"/>
    <w:rsid w:val="00EA6826"/>
    <w:rsid w:val="00EA68F8"/>
    <w:rsid w:val="00EA697A"/>
    <w:rsid w:val="00EA6A46"/>
    <w:rsid w:val="00EA6CA3"/>
    <w:rsid w:val="00EA728E"/>
    <w:rsid w:val="00EA73BF"/>
    <w:rsid w:val="00EA7422"/>
    <w:rsid w:val="00EA74BA"/>
    <w:rsid w:val="00EA799A"/>
    <w:rsid w:val="00EA7BCD"/>
    <w:rsid w:val="00EA7E09"/>
    <w:rsid w:val="00EB04E7"/>
    <w:rsid w:val="00EB06E6"/>
    <w:rsid w:val="00EB08AF"/>
    <w:rsid w:val="00EB0DEA"/>
    <w:rsid w:val="00EB111A"/>
    <w:rsid w:val="00EB1242"/>
    <w:rsid w:val="00EB131D"/>
    <w:rsid w:val="00EB1378"/>
    <w:rsid w:val="00EB13C6"/>
    <w:rsid w:val="00EB15F1"/>
    <w:rsid w:val="00EB1C91"/>
    <w:rsid w:val="00EB1DC2"/>
    <w:rsid w:val="00EB1F63"/>
    <w:rsid w:val="00EB2032"/>
    <w:rsid w:val="00EB221A"/>
    <w:rsid w:val="00EB223B"/>
    <w:rsid w:val="00EB27BC"/>
    <w:rsid w:val="00EB306B"/>
    <w:rsid w:val="00EB3288"/>
    <w:rsid w:val="00EB35A7"/>
    <w:rsid w:val="00EB3AF3"/>
    <w:rsid w:val="00EB3AFB"/>
    <w:rsid w:val="00EB3F39"/>
    <w:rsid w:val="00EB4129"/>
    <w:rsid w:val="00EB423E"/>
    <w:rsid w:val="00EB4344"/>
    <w:rsid w:val="00EB43B1"/>
    <w:rsid w:val="00EB4664"/>
    <w:rsid w:val="00EB4810"/>
    <w:rsid w:val="00EB4E09"/>
    <w:rsid w:val="00EB4E23"/>
    <w:rsid w:val="00EB505E"/>
    <w:rsid w:val="00EB5258"/>
    <w:rsid w:val="00EB53FB"/>
    <w:rsid w:val="00EB5438"/>
    <w:rsid w:val="00EB5524"/>
    <w:rsid w:val="00EB5577"/>
    <w:rsid w:val="00EB5DFC"/>
    <w:rsid w:val="00EB61BD"/>
    <w:rsid w:val="00EB6595"/>
    <w:rsid w:val="00EB6A32"/>
    <w:rsid w:val="00EB6D03"/>
    <w:rsid w:val="00EB6D61"/>
    <w:rsid w:val="00EB6F12"/>
    <w:rsid w:val="00EB6F6A"/>
    <w:rsid w:val="00EB72D3"/>
    <w:rsid w:val="00EB753C"/>
    <w:rsid w:val="00EB79BE"/>
    <w:rsid w:val="00EB79F5"/>
    <w:rsid w:val="00EB7B59"/>
    <w:rsid w:val="00EB7B7A"/>
    <w:rsid w:val="00EC0234"/>
    <w:rsid w:val="00EC0389"/>
    <w:rsid w:val="00EC0569"/>
    <w:rsid w:val="00EC10E9"/>
    <w:rsid w:val="00EC12DC"/>
    <w:rsid w:val="00EC1313"/>
    <w:rsid w:val="00EC143F"/>
    <w:rsid w:val="00EC1593"/>
    <w:rsid w:val="00EC1629"/>
    <w:rsid w:val="00EC18EC"/>
    <w:rsid w:val="00EC1A7F"/>
    <w:rsid w:val="00EC1A9F"/>
    <w:rsid w:val="00EC1C75"/>
    <w:rsid w:val="00EC1DC7"/>
    <w:rsid w:val="00EC1EBE"/>
    <w:rsid w:val="00EC1F61"/>
    <w:rsid w:val="00EC22EF"/>
    <w:rsid w:val="00EC2412"/>
    <w:rsid w:val="00EC2519"/>
    <w:rsid w:val="00EC322D"/>
    <w:rsid w:val="00EC33A0"/>
    <w:rsid w:val="00EC3834"/>
    <w:rsid w:val="00EC38EA"/>
    <w:rsid w:val="00EC3A74"/>
    <w:rsid w:val="00EC40C6"/>
    <w:rsid w:val="00EC41DC"/>
    <w:rsid w:val="00EC4255"/>
    <w:rsid w:val="00EC4836"/>
    <w:rsid w:val="00EC4911"/>
    <w:rsid w:val="00EC4F1E"/>
    <w:rsid w:val="00EC5088"/>
    <w:rsid w:val="00EC5108"/>
    <w:rsid w:val="00EC5356"/>
    <w:rsid w:val="00EC58B1"/>
    <w:rsid w:val="00EC5BDA"/>
    <w:rsid w:val="00EC5C07"/>
    <w:rsid w:val="00EC5C64"/>
    <w:rsid w:val="00EC5C87"/>
    <w:rsid w:val="00EC5FE5"/>
    <w:rsid w:val="00EC6138"/>
    <w:rsid w:val="00EC61AD"/>
    <w:rsid w:val="00EC66DF"/>
    <w:rsid w:val="00EC66E1"/>
    <w:rsid w:val="00EC6770"/>
    <w:rsid w:val="00EC6784"/>
    <w:rsid w:val="00EC6886"/>
    <w:rsid w:val="00EC6E2F"/>
    <w:rsid w:val="00EC6E7A"/>
    <w:rsid w:val="00EC7041"/>
    <w:rsid w:val="00EC704E"/>
    <w:rsid w:val="00EC72A0"/>
    <w:rsid w:val="00EC7374"/>
    <w:rsid w:val="00EC74E8"/>
    <w:rsid w:val="00EC762D"/>
    <w:rsid w:val="00EC79AB"/>
    <w:rsid w:val="00EC7CE0"/>
    <w:rsid w:val="00ED0535"/>
    <w:rsid w:val="00ED0682"/>
    <w:rsid w:val="00ED085F"/>
    <w:rsid w:val="00ED0B80"/>
    <w:rsid w:val="00ED0C18"/>
    <w:rsid w:val="00ED0C2D"/>
    <w:rsid w:val="00ED0D8B"/>
    <w:rsid w:val="00ED0DDB"/>
    <w:rsid w:val="00ED1256"/>
    <w:rsid w:val="00ED12C7"/>
    <w:rsid w:val="00ED13D2"/>
    <w:rsid w:val="00ED150A"/>
    <w:rsid w:val="00ED1765"/>
    <w:rsid w:val="00ED1891"/>
    <w:rsid w:val="00ED1C9B"/>
    <w:rsid w:val="00ED1E6F"/>
    <w:rsid w:val="00ED1F44"/>
    <w:rsid w:val="00ED2024"/>
    <w:rsid w:val="00ED2110"/>
    <w:rsid w:val="00ED2136"/>
    <w:rsid w:val="00ED2247"/>
    <w:rsid w:val="00ED2378"/>
    <w:rsid w:val="00ED23FC"/>
    <w:rsid w:val="00ED2429"/>
    <w:rsid w:val="00ED2845"/>
    <w:rsid w:val="00ED2955"/>
    <w:rsid w:val="00ED2D9B"/>
    <w:rsid w:val="00ED316C"/>
    <w:rsid w:val="00ED3194"/>
    <w:rsid w:val="00ED31B4"/>
    <w:rsid w:val="00ED3217"/>
    <w:rsid w:val="00ED3239"/>
    <w:rsid w:val="00ED3A19"/>
    <w:rsid w:val="00ED3C45"/>
    <w:rsid w:val="00ED4B4A"/>
    <w:rsid w:val="00ED4CBB"/>
    <w:rsid w:val="00ED51A6"/>
    <w:rsid w:val="00ED556B"/>
    <w:rsid w:val="00ED571C"/>
    <w:rsid w:val="00ED59B7"/>
    <w:rsid w:val="00ED5A6B"/>
    <w:rsid w:val="00ED5AB7"/>
    <w:rsid w:val="00ED5BAB"/>
    <w:rsid w:val="00ED5C63"/>
    <w:rsid w:val="00ED5E38"/>
    <w:rsid w:val="00ED6527"/>
    <w:rsid w:val="00ED6759"/>
    <w:rsid w:val="00ED6954"/>
    <w:rsid w:val="00ED6A54"/>
    <w:rsid w:val="00ED6CB7"/>
    <w:rsid w:val="00ED6F58"/>
    <w:rsid w:val="00ED72B0"/>
    <w:rsid w:val="00ED7836"/>
    <w:rsid w:val="00ED7A2B"/>
    <w:rsid w:val="00ED7E7C"/>
    <w:rsid w:val="00ED7EFA"/>
    <w:rsid w:val="00EE0495"/>
    <w:rsid w:val="00EE06A2"/>
    <w:rsid w:val="00EE0D7F"/>
    <w:rsid w:val="00EE0EC3"/>
    <w:rsid w:val="00EE0FF1"/>
    <w:rsid w:val="00EE1169"/>
    <w:rsid w:val="00EE1430"/>
    <w:rsid w:val="00EE14E6"/>
    <w:rsid w:val="00EE17A3"/>
    <w:rsid w:val="00EE18C4"/>
    <w:rsid w:val="00EE19E5"/>
    <w:rsid w:val="00EE1B20"/>
    <w:rsid w:val="00EE2365"/>
    <w:rsid w:val="00EE2572"/>
    <w:rsid w:val="00EE28AB"/>
    <w:rsid w:val="00EE2BB1"/>
    <w:rsid w:val="00EE2E40"/>
    <w:rsid w:val="00EE2F3C"/>
    <w:rsid w:val="00EE30DF"/>
    <w:rsid w:val="00EE31B4"/>
    <w:rsid w:val="00EE342D"/>
    <w:rsid w:val="00EE34EF"/>
    <w:rsid w:val="00EE3950"/>
    <w:rsid w:val="00EE3FEC"/>
    <w:rsid w:val="00EE41CE"/>
    <w:rsid w:val="00EE4258"/>
    <w:rsid w:val="00EE4490"/>
    <w:rsid w:val="00EE44ED"/>
    <w:rsid w:val="00EE45BF"/>
    <w:rsid w:val="00EE47B4"/>
    <w:rsid w:val="00EE47D3"/>
    <w:rsid w:val="00EE4AB8"/>
    <w:rsid w:val="00EE4B09"/>
    <w:rsid w:val="00EE4BE1"/>
    <w:rsid w:val="00EE4D28"/>
    <w:rsid w:val="00EE4EEF"/>
    <w:rsid w:val="00EE512D"/>
    <w:rsid w:val="00EE51E8"/>
    <w:rsid w:val="00EE5895"/>
    <w:rsid w:val="00EE5AEE"/>
    <w:rsid w:val="00EE5E10"/>
    <w:rsid w:val="00EE61D7"/>
    <w:rsid w:val="00EE6558"/>
    <w:rsid w:val="00EE6832"/>
    <w:rsid w:val="00EE6921"/>
    <w:rsid w:val="00EE6EDC"/>
    <w:rsid w:val="00EE70C5"/>
    <w:rsid w:val="00EE7353"/>
    <w:rsid w:val="00EE7691"/>
    <w:rsid w:val="00EE7ADF"/>
    <w:rsid w:val="00EE7B45"/>
    <w:rsid w:val="00EE7D3A"/>
    <w:rsid w:val="00EE7DA6"/>
    <w:rsid w:val="00EF00E7"/>
    <w:rsid w:val="00EF06B9"/>
    <w:rsid w:val="00EF0728"/>
    <w:rsid w:val="00EF1755"/>
    <w:rsid w:val="00EF1784"/>
    <w:rsid w:val="00EF17EC"/>
    <w:rsid w:val="00EF1A69"/>
    <w:rsid w:val="00EF1AF8"/>
    <w:rsid w:val="00EF1C7B"/>
    <w:rsid w:val="00EF1CE2"/>
    <w:rsid w:val="00EF1DFD"/>
    <w:rsid w:val="00EF1E03"/>
    <w:rsid w:val="00EF1F30"/>
    <w:rsid w:val="00EF201C"/>
    <w:rsid w:val="00EF21AB"/>
    <w:rsid w:val="00EF2212"/>
    <w:rsid w:val="00EF2349"/>
    <w:rsid w:val="00EF2631"/>
    <w:rsid w:val="00EF263F"/>
    <w:rsid w:val="00EF2F35"/>
    <w:rsid w:val="00EF31DF"/>
    <w:rsid w:val="00EF32D5"/>
    <w:rsid w:val="00EF38BD"/>
    <w:rsid w:val="00EF3A07"/>
    <w:rsid w:val="00EF3C48"/>
    <w:rsid w:val="00EF3D58"/>
    <w:rsid w:val="00EF43D8"/>
    <w:rsid w:val="00EF44F7"/>
    <w:rsid w:val="00EF4525"/>
    <w:rsid w:val="00EF4539"/>
    <w:rsid w:val="00EF4647"/>
    <w:rsid w:val="00EF467B"/>
    <w:rsid w:val="00EF4944"/>
    <w:rsid w:val="00EF49BD"/>
    <w:rsid w:val="00EF4CA2"/>
    <w:rsid w:val="00EF4DBE"/>
    <w:rsid w:val="00EF4F0F"/>
    <w:rsid w:val="00EF5072"/>
    <w:rsid w:val="00EF5160"/>
    <w:rsid w:val="00EF5731"/>
    <w:rsid w:val="00EF5763"/>
    <w:rsid w:val="00EF5991"/>
    <w:rsid w:val="00EF5B30"/>
    <w:rsid w:val="00EF5B7C"/>
    <w:rsid w:val="00EF64C5"/>
    <w:rsid w:val="00EF6650"/>
    <w:rsid w:val="00EF6749"/>
    <w:rsid w:val="00EF6900"/>
    <w:rsid w:val="00EF7063"/>
    <w:rsid w:val="00EF7084"/>
    <w:rsid w:val="00EF7207"/>
    <w:rsid w:val="00EF7303"/>
    <w:rsid w:val="00EF753E"/>
    <w:rsid w:val="00EF7E99"/>
    <w:rsid w:val="00EF7FA5"/>
    <w:rsid w:val="00F000F0"/>
    <w:rsid w:val="00F001AA"/>
    <w:rsid w:val="00F00253"/>
    <w:rsid w:val="00F003CD"/>
    <w:rsid w:val="00F0049E"/>
    <w:rsid w:val="00F00546"/>
    <w:rsid w:val="00F00688"/>
    <w:rsid w:val="00F00937"/>
    <w:rsid w:val="00F009AB"/>
    <w:rsid w:val="00F00A2C"/>
    <w:rsid w:val="00F00ABE"/>
    <w:rsid w:val="00F00C9E"/>
    <w:rsid w:val="00F00DCC"/>
    <w:rsid w:val="00F00EBE"/>
    <w:rsid w:val="00F011CF"/>
    <w:rsid w:val="00F01574"/>
    <w:rsid w:val="00F01920"/>
    <w:rsid w:val="00F019AD"/>
    <w:rsid w:val="00F01F5F"/>
    <w:rsid w:val="00F020CD"/>
    <w:rsid w:val="00F02591"/>
    <w:rsid w:val="00F02675"/>
    <w:rsid w:val="00F026C9"/>
    <w:rsid w:val="00F02EE5"/>
    <w:rsid w:val="00F0312F"/>
    <w:rsid w:val="00F031A6"/>
    <w:rsid w:val="00F03241"/>
    <w:rsid w:val="00F03294"/>
    <w:rsid w:val="00F03350"/>
    <w:rsid w:val="00F0344C"/>
    <w:rsid w:val="00F03734"/>
    <w:rsid w:val="00F0383B"/>
    <w:rsid w:val="00F03B39"/>
    <w:rsid w:val="00F03E06"/>
    <w:rsid w:val="00F04052"/>
    <w:rsid w:val="00F043AA"/>
    <w:rsid w:val="00F04641"/>
    <w:rsid w:val="00F04AED"/>
    <w:rsid w:val="00F04BA0"/>
    <w:rsid w:val="00F04BC3"/>
    <w:rsid w:val="00F04F90"/>
    <w:rsid w:val="00F04FED"/>
    <w:rsid w:val="00F058E1"/>
    <w:rsid w:val="00F05F61"/>
    <w:rsid w:val="00F06191"/>
    <w:rsid w:val="00F065B6"/>
    <w:rsid w:val="00F0664D"/>
    <w:rsid w:val="00F06673"/>
    <w:rsid w:val="00F066F8"/>
    <w:rsid w:val="00F068C5"/>
    <w:rsid w:val="00F06961"/>
    <w:rsid w:val="00F06A5B"/>
    <w:rsid w:val="00F06AE5"/>
    <w:rsid w:val="00F06D25"/>
    <w:rsid w:val="00F06F47"/>
    <w:rsid w:val="00F07194"/>
    <w:rsid w:val="00F07357"/>
    <w:rsid w:val="00F07373"/>
    <w:rsid w:val="00F07391"/>
    <w:rsid w:val="00F076AB"/>
    <w:rsid w:val="00F07705"/>
    <w:rsid w:val="00F07840"/>
    <w:rsid w:val="00F07845"/>
    <w:rsid w:val="00F07B51"/>
    <w:rsid w:val="00F07E48"/>
    <w:rsid w:val="00F10094"/>
    <w:rsid w:val="00F100E9"/>
    <w:rsid w:val="00F10206"/>
    <w:rsid w:val="00F10485"/>
    <w:rsid w:val="00F105F1"/>
    <w:rsid w:val="00F1066F"/>
    <w:rsid w:val="00F10868"/>
    <w:rsid w:val="00F10EA1"/>
    <w:rsid w:val="00F10F77"/>
    <w:rsid w:val="00F10FAA"/>
    <w:rsid w:val="00F11403"/>
    <w:rsid w:val="00F11531"/>
    <w:rsid w:val="00F117FC"/>
    <w:rsid w:val="00F11814"/>
    <w:rsid w:val="00F11AB7"/>
    <w:rsid w:val="00F11B18"/>
    <w:rsid w:val="00F12010"/>
    <w:rsid w:val="00F122FF"/>
    <w:rsid w:val="00F12317"/>
    <w:rsid w:val="00F123A9"/>
    <w:rsid w:val="00F1245F"/>
    <w:rsid w:val="00F12B87"/>
    <w:rsid w:val="00F12C76"/>
    <w:rsid w:val="00F12CF9"/>
    <w:rsid w:val="00F12E3D"/>
    <w:rsid w:val="00F13174"/>
    <w:rsid w:val="00F13297"/>
    <w:rsid w:val="00F135C6"/>
    <w:rsid w:val="00F1379E"/>
    <w:rsid w:val="00F139B0"/>
    <w:rsid w:val="00F13E31"/>
    <w:rsid w:val="00F13F58"/>
    <w:rsid w:val="00F14021"/>
    <w:rsid w:val="00F1415F"/>
    <w:rsid w:val="00F14201"/>
    <w:rsid w:val="00F14303"/>
    <w:rsid w:val="00F144FE"/>
    <w:rsid w:val="00F149DB"/>
    <w:rsid w:val="00F14A1D"/>
    <w:rsid w:val="00F14AF4"/>
    <w:rsid w:val="00F14D10"/>
    <w:rsid w:val="00F1508C"/>
    <w:rsid w:val="00F15328"/>
    <w:rsid w:val="00F1566A"/>
    <w:rsid w:val="00F1578E"/>
    <w:rsid w:val="00F15D98"/>
    <w:rsid w:val="00F15FCF"/>
    <w:rsid w:val="00F1616B"/>
    <w:rsid w:val="00F166E7"/>
    <w:rsid w:val="00F167FA"/>
    <w:rsid w:val="00F168AA"/>
    <w:rsid w:val="00F169C5"/>
    <w:rsid w:val="00F16A8E"/>
    <w:rsid w:val="00F16A9C"/>
    <w:rsid w:val="00F16BDB"/>
    <w:rsid w:val="00F16BE5"/>
    <w:rsid w:val="00F173FB"/>
    <w:rsid w:val="00F175D6"/>
    <w:rsid w:val="00F17643"/>
    <w:rsid w:val="00F176DB"/>
    <w:rsid w:val="00F17A1B"/>
    <w:rsid w:val="00F17C34"/>
    <w:rsid w:val="00F20186"/>
    <w:rsid w:val="00F201D9"/>
    <w:rsid w:val="00F20329"/>
    <w:rsid w:val="00F204A0"/>
    <w:rsid w:val="00F204EE"/>
    <w:rsid w:val="00F20763"/>
    <w:rsid w:val="00F2080B"/>
    <w:rsid w:val="00F20C7C"/>
    <w:rsid w:val="00F20D8C"/>
    <w:rsid w:val="00F20E09"/>
    <w:rsid w:val="00F21129"/>
    <w:rsid w:val="00F2159F"/>
    <w:rsid w:val="00F217A9"/>
    <w:rsid w:val="00F21BC8"/>
    <w:rsid w:val="00F21C51"/>
    <w:rsid w:val="00F21F7C"/>
    <w:rsid w:val="00F22269"/>
    <w:rsid w:val="00F2232B"/>
    <w:rsid w:val="00F223A8"/>
    <w:rsid w:val="00F22747"/>
    <w:rsid w:val="00F227C8"/>
    <w:rsid w:val="00F22AB8"/>
    <w:rsid w:val="00F22D41"/>
    <w:rsid w:val="00F2330A"/>
    <w:rsid w:val="00F233FF"/>
    <w:rsid w:val="00F2340E"/>
    <w:rsid w:val="00F23791"/>
    <w:rsid w:val="00F23B4B"/>
    <w:rsid w:val="00F23C3C"/>
    <w:rsid w:val="00F23CB7"/>
    <w:rsid w:val="00F2422A"/>
    <w:rsid w:val="00F242CC"/>
    <w:rsid w:val="00F244D6"/>
    <w:rsid w:val="00F24678"/>
    <w:rsid w:val="00F247B7"/>
    <w:rsid w:val="00F24A28"/>
    <w:rsid w:val="00F25112"/>
    <w:rsid w:val="00F25129"/>
    <w:rsid w:val="00F251FA"/>
    <w:rsid w:val="00F2528C"/>
    <w:rsid w:val="00F254F0"/>
    <w:rsid w:val="00F257B5"/>
    <w:rsid w:val="00F25985"/>
    <w:rsid w:val="00F25AB6"/>
    <w:rsid w:val="00F25DE3"/>
    <w:rsid w:val="00F25F0D"/>
    <w:rsid w:val="00F25F3A"/>
    <w:rsid w:val="00F26457"/>
    <w:rsid w:val="00F264E3"/>
    <w:rsid w:val="00F265EB"/>
    <w:rsid w:val="00F26630"/>
    <w:rsid w:val="00F26A44"/>
    <w:rsid w:val="00F26DB1"/>
    <w:rsid w:val="00F27195"/>
    <w:rsid w:val="00F2720E"/>
    <w:rsid w:val="00F27305"/>
    <w:rsid w:val="00F273F7"/>
    <w:rsid w:val="00F274AD"/>
    <w:rsid w:val="00F2776D"/>
    <w:rsid w:val="00F27814"/>
    <w:rsid w:val="00F27EF5"/>
    <w:rsid w:val="00F30603"/>
    <w:rsid w:val="00F30629"/>
    <w:rsid w:val="00F30988"/>
    <w:rsid w:val="00F30A6D"/>
    <w:rsid w:val="00F30AC7"/>
    <w:rsid w:val="00F30B07"/>
    <w:rsid w:val="00F30BD7"/>
    <w:rsid w:val="00F31065"/>
    <w:rsid w:val="00F31237"/>
    <w:rsid w:val="00F3127C"/>
    <w:rsid w:val="00F31656"/>
    <w:rsid w:val="00F316CA"/>
    <w:rsid w:val="00F316FB"/>
    <w:rsid w:val="00F31994"/>
    <w:rsid w:val="00F31A21"/>
    <w:rsid w:val="00F31ED7"/>
    <w:rsid w:val="00F324CA"/>
    <w:rsid w:val="00F32820"/>
    <w:rsid w:val="00F3294B"/>
    <w:rsid w:val="00F32EE3"/>
    <w:rsid w:val="00F3358B"/>
    <w:rsid w:val="00F33615"/>
    <w:rsid w:val="00F339D3"/>
    <w:rsid w:val="00F33B9C"/>
    <w:rsid w:val="00F33BD0"/>
    <w:rsid w:val="00F340DB"/>
    <w:rsid w:val="00F340E5"/>
    <w:rsid w:val="00F34263"/>
    <w:rsid w:val="00F346E6"/>
    <w:rsid w:val="00F34FA8"/>
    <w:rsid w:val="00F35004"/>
    <w:rsid w:val="00F35416"/>
    <w:rsid w:val="00F355EB"/>
    <w:rsid w:val="00F35876"/>
    <w:rsid w:val="00F3594F"/>
    <w:rsid w:val="00F35A39"/>
    <w:rsid w:val="00F35C81"/>
    <w:rsid w:val="00F35E30"/>
    <w:rsid w:val="00F35F39"/>
    <w:rsid w:val="00F36176"/>
    <w:rsid w:val="00F361B8"/>
    <w:rsid w:val="00F365FE"/>
    <w:rsid w:val="00F36892"/>
    <w:rsid w:val="00F36CE7"/>
    <w:rsid w:val="00F37078"/>
    <w:rsid w:val="00F373EF"/>
    <w:rsid w:val="00F3773F"/>
    <w:rsid w:val="00F400F7"/>
    <w:rsid w:val="00F402DE"/>
    <w:rsid w:val="00F4053D"/>
    <w:rsid w:val="00F40602"/>
    <w:rsid w:val="00F4063D"/>
    <w:rsid w:val="00F40677"/>
    <w:rsid w:val="00F406F3"/>
    <w:rsid w:val="00F40864"/>
    <w:rsid w:val="00F40D6F"/>
    <w:rsid w:val="00F40E36"/>
    <w:rsid w:val="00F411A6"/>
    <w:rsid w:val="00F41245"/>
    <w:rsid w:val="00F41828"/>
    <w:rsid w:val="00F41A3C"/>
    <w:rsid w:val="00F41B5A"/>
    <w:rsid w:val="00F41D40"/>
    <w:rsid w:val="00F42295"/>
    <w:rsid w:val="00F424C6"/>
    <w:rsid w:val="00F424F9"/>
    <w:rsid w:val="00F426D9"/>
    <w:rsid w:val="00F42E87"/>
    <w:rsid w:val="00F43182"/>
    <w:rsid w:val="00F4322D"/>
    <w:rsid w:val="00F432E8"/>
    <w:rsid w:val="00F43499"/>
    <w:rsid w:val="00F43506"/>
    <w:rsid w:val="00F43552"/>
    <w:rsid w:val="00F43B5D"/>
    <w:rsid w:val="00F43DD1"/>
    <w:rsid w:val="00F44027"/>
    <w:rsid w:val="00F4416A"/>
    <w:rsid w:val="00F4448F"/>
    <w:rsid w:val="00F445D5"/>
    <w:rsid w:val="00F4488E"/>
    <w:rsid w:val="00F44895"/>
    <w:rsid w:val="00F44A1F"/>
    <w:rsid w:val="00F44BB5"/>
    <w:rsid w:val="00F450F0"/>
    <w:rsid w:val="00F4510A"/>
    <w:rsid w:val="00F4581A"/>
    <w:rsid w:val="00F45884"/>
    <w:rsid w:val="00F4594A"/>
    <w:rsid w:val="00F45C05"/>
    <w:rsid w:val="00F462A4"/>
    <w:rsid w:val="00F468CD"/>
    <w:rsid w:val="00F46E54"/>
    <w:rsid w:val="00F46EAC"/>
    <w:rsid w:val="00F46EC9"/>
    <w:rsid w:val="00F46F91"/>
    <w:rsid w:val="00F47256"/>
    <w:rsid w:val="00F473C6"/>
    <w:rsid w:val="00F473F1"/>
    <w:rsid w:val="00F47C69"/>
    <w:rsid w:val="00F47E42"/>
    <w:rsid w:val="00F47ED2"/>
    <w:rsid w:val="00F50033"/>
    <w:rsid w:val="00F503DF"/>
    <w:rsid w:val="00F504A7"/>
    <w:rsid w:val="00F50585"/>
    <w:rsid w:val="00F507D3"/>
    <w:rsid w:val="00F50BF1"/>
    <w:rsid w:val="00F50D24"/>
    <w:rsid w:val="00F50D42"/>
    <w:rsid w:val="00F513A9"/>
    <w:rsid w:val="00F516E3"/>
    <w:rsid w:val="00F516FD"/>
    <w:rsid w:val="00F51881"/>
    <w:rsid w:val="00F519A4"/>
    <w:rsid w:val="00F519EF"/>
    <w:rsid w:val="00F51B03"/>
    <w:rsid w:val="00F51EA0"/>
    <w:rsid w:val="00F51EFB"/>
    <w:rsid w:val="00F52132"/>
    <w:rsid w:val="00F521FA"/>
    <w:rsid w:val="00F523C9"/>
    <w:rsid w:val="00F524FE"/>
    <w:rsid w:val="00F52AF0"/>
    <w:rsid w:val="00F52C7D"/>
    <w:rsid w:val="00F52D4D"/>
    <w:rsid w:val="00F52DCC"/>
    <w:rsid w:val="00F52F3E"/>
    <w:rsid w:val="00F52F5B"/>
    <w:rsid w:val="00F5392B"/>
    <w:rsid w:val="00F53AC1"/>
    <w:rsid w:val="00F53AD4"/>
    <w:rsid w:val="00F53C69"/>
    <w:rsid w:val="00F53FB2"/>
    <w:rsid w:val="00F53FCB"/>
    <w:rsid w:val="00F54001"/>
    <w:rsid w:val="00F540DD"/>
    <w:rsid w:val="00F54369"/>
    <w:rsid w:val="00F54832"/>
    <w:rsid w:val="00F54B1D"/>
    <w:rsid w:val="00F550BC"/>
    <w:rsid w:val="00F5524E"/>
    <w:rsid w:val="00F55830"/>
    <w:rsid w:val="00F55DAB"/>
    <w:rsid w:val="00F55FD0"/>
    <w:rsid w:val="00F5620F"/>
    <w:rsid w:val="00F56467"/>
    <w:rsid w:val="00F564DC"/>
    <w:rsid w:val="00F56564"/>
    <w:rsid w:val="00F565E2"/>
    <w:rsid w:val="00F56D13"/>
    <w:rsid w:val="00F56D92"/>
    <w:rsid w:val="00F56DC0"/>
    <w:rsid w:val="00F56E78"/>
    <w:rsid w:val="00F5704A"/>
    <w:rsid w:val="00F5714E"/>
    <w:rsid w:val="00F57368"/>
    <w:rsid w:val="00F57648"/>
    <w:rsid w:val="00F577B1"/>
    <w:rsid w:val="00F577BF"/>
    <w:rsid w:val="00F57885"/>
    <w:rsid w:val="00F578ED"/>
    <w:rsid w:val="00F57975"/>
    <w:rsid w:val="00F57A2C"/>
    <w:rsid w:val="00F57C75"/>
    <w:rsid w:val="00F57DA3"/>
    <w:rsid w:val="00F60379"/>
    <w:rsid w:val="00F60542"/>
    <w:rsid w:val="00F6054B"/>
    <w:rsid w:val="00F60559"/>
    <w:rsid w:val="00F60638"/>
    <w:rsid w:val="00F60864"/>
    <w:rsid w:val="00F60891"/>
    <w:rsid w:val="00F6091F"/>
    <w:rsid w:val="00F60946"/>
    <w:rsid w:val="00F609F2"/>
    <w:rsid w:val="00F60B76"/>
    <w:rsid w:val="00F60BC3"/>
    <w:rsid w:val="00F60E49"/>
    <w:rsid w:val="00F610DA"/>
    <w:rsid w:val="00F611E6"/>
    <w:rsid w:val="00F613FD"/>
    <w:rsid w:val="00F617CC"/>
    <w:rsid w:val="00F61B30"/>
    <w:rsid w:val="00F61D46"/>
    <w:rsid w:val="00F61FBE"/>
    <w:rsid w:val="00F62633"/>
    <w:rsid w:val="00F62A16"/>
    <w:rsid w:val="00F62B1C"/>
    <w:rsid w:val="00F63038"/>
    <w:rsid w:val="00F63100"/>
    <w:rsid w:val="00F63368"/>
    <w:rsid w:val="00F633AF"/>
    <w:rsid w:val="00F63426"/>
    <w:rsid w:val="00F63D34"/>
    <w:rsid w:val="00F64493"/>
    <w:rsid w:val="00F646F6"/>
    <w:rsid w:val="00F64749"/>
    <w:rsid w:val="00F647EA"/>
    <w:rsid w:val="00F6497A"/>
    <w:rsid w:val="00F64995"/>
    <w:rsid w:val="00F64AB8"/>
    <w:rsid w:val="00F64D57"/>
    <w:rsid w:val="00F651A8"/>
    <w:rsid w:val="00F6522D"/>
    <w:rsid w:val="00F655E4"/>
    <w:rsid w:val="00F65615"/>
    <w:rsid w:val="00F6587A"/>
    <w:rsid w:val="00F65EC6"/>
    <w:rsid w:val="00F65FA8"/>
    <w:rsid w:val="00F66144"/>
    <w:rsid w:val="00F6645B"/>
    <w:rsid w:val="00F6651D"/>
    <w:rsid w:val="00F6654A"/>
    <w:rsid w:val="00F66812"/>
    <w:rsid w:val="00F66C47"/>
    <w:rsid w:val="00F66D31"/>
    <w:rsid w:val="00F66EFD"/>
    <w:rsid w:val="00F6713F"/>
    <w:rsid w:val="00F671A9"/>
    <w:rsid w:val="00F6755E"/>
    <w:rsid w:val="00F67613"/>
    <w:rsid w:val="00F676A3"/>
    <w:rsid w:val="00F67837"/>
    <w:rsid w:val="00F67944"/>
    <w:rsid w:val="00F67C26"/>
    <w:rsid w:val="00F70255"/>
    <w:rsid w:val="00F70351"/>
    <w:rsid w:val="00F703FE"/>
    <w:rsid w:val="00F70426"/>
    <w:rsid w:val="00F70BD8"/>
    <w:rsid w:val="00F7100B"/>
    <w:rsid w:val="00F710AE"/>
    <w:rsid w:val="00F71206"/>
    <w:rsid w:val="00F715E1"/>
    <w:rsid w:val="00F720E3"/>
    <w:rsid w:val="00F720FD"/>
    <w:rsid w:val="00F7215B"/>
    <w:rsid w:val="00F723AD"/>
    <w:rsid w:val="00F724A0"/>
    <w:rsid w:val="00F72677"/>
    <w:rsid w:val="00F72862"/>
    <w:rsid w:val="00F72C64"/>
    <w:rsid w:val="00F7329B"/>
    <w:rsid w:val="00F7329E"/>
    <w:rsid w:val="00F73709"/>
    <w:rsid w:val="00F73FE0"/>
    <w:rsid w:val="00F74169"/>
    <w:rsid w:val="00F74368"/>
    <w:rsid w:val="00F74AA5"/>
    <w:rsid w:val="00F74B51"/>
    <w:rsid w:val="00F74B85"/>
    <w:rsid w:val="00F74BF4"/>
    <w:rsid w:val="00F74DA2"/>
    <w:rsid w:val="00F750D5"/>
    <w:rsid w:val="00F75232"/>
    <w:rsid w:val="00F75538"/>
    <w:rsid w:val="00F75636"/>
    <w:rsid w:val="00F756AD"/>
    <w:rsid w:val="00F756DD"/>
    <w:rsid w:val="00F7582D"/>
    <w:rsid w:val="00F75E39"/>
    <w:rsid w:val="00F76049"/>
    <w:rsid w:val="00F7604F"/>
    <w:rsid w:val="00F76072"/>
    <w:rsid w:val="00F7626E"/>
    <w:rsid w:val="00F76324"/>
    <w:rsid w:val="00F763A9"/>
    <w:rsid w:val="00F7685D"/>
    <w:rsid w:val="00F76A00"/>
    <w:rsid w:val="00F76ABD"/>
    <w:rsid w:val="00F76CA6"/>
    <w:rsid w:val="00F76F10"/>
    <w:rsid w:val="00F76F16"/>
    <w:rsid w:val="00F77450"/>
    <w:rsid w:val="00F774A9"/>
    <w:rsid w:val="00F77EC3"/>
    <w:rsid w:val="00F803FC"/>
    <w:rsid w:val="00F80463"/>
    <w:rsid w:val="00F80728"/>
    <w:rsid w:val="00F80CAA"/>
    <w:rsid w:val="00F80D99"/>
    <w:rsid w:val="00F810B4"/>
    <w:rsid w:val="00F81173"/>
    <w:rsid w:val="00F8129B"/>
    <w:rsid w:val="00F81362"/>
    <w:rsid w:val="00F813BA"/>
    <w:rsid w:val="00F81425"/>
    <w:rsid w:val="00F81528"/>
    <w:rsid w:val="00F8192D"/>
    <w:rsid w:val="00F81AB2"/>
    <w:rsid w:val="00F81B14"/>
    <w:rsid w:val="00F81CC6"/>
    <w:rsid w:val="00F81FD3"/>
    <w:rsid w:val="00F82057"/>
    <w:rsid w:val="00F82459"/>
    <w:rsid w:val="00F82496"/>
    <w:rsid w:val="00F82A8C"/>
    <w:rsid w:val="00F82ABF"/>
    <w:rsid w:val="00F82E78"/>
    <w:rsid w:val="00F83010"/>
    <w:rsid w:val="00F83206"/>
    <w:rsid w:val="00F835CE"/>
    <w:rsid w:val="00F8391C"/>
    <w:rsid w:val="00F83AE2"/>
    <w:rsid w:val="00F83CF8"/>
    <w:rsid w:val="00F83CF9"/>
    <w:rsid w:val="00F83EBA"/>
    <w:rsid w:val="00F83F8C"/>
    <w:rsid w:val="00F83F8E"/>
    <w:rsid w:val="00F8419B"/>
    <w:rsid w:val="00F841B3"/>
    <w:rsid w:val="00F841D6"/>
    <w:rsid w:val="00F842E9"/>
    <w:rsid w:val="00F845EF"/>
    <w:rsid w:val="00F84964"/>
    <w:rsid w:val="00F84A73"/>
    <w:rsid w:val="00F84B4D"/>
    <w:rsid w:val="00F84BD0"/>
    <w:rsid w:val="00F85084"/>
    <w:rsid w:val="00F854EE"/>
    <w:rsid w:val="00F85759"/>
    <w:rsid w:val="00F8577D"/>
    <w:rsid w:val="00F857B7"/>
    <w:rsid w:val="00F85A83"/>
    <w:rsid w:val="00F85CCC"/>
    <w:rsid w:val="00F85D3A"/>
    <w:rsid w:val="00F85E31"/>
    <w:rsid w:val="00F86067"/>
    <w:rsid w:val="00F8683B"/>
    <w:rsid w:val="00F86A77"/>
    <w:rsid w:val="00F86AA1"/>
    <w:rsid w:val="00F86B91"/>
    <w:rsid w:val="00F870E8"/>
    <w:rsid w:val="00F87399"/>
    <w:rsid w:val="00F874BE"/>
    <w:rsid w:val="00F874C9"/>
    <w:rsid w:val="00F8780A"/>
    <w:rsid w:val="00F87915"/>
    <w:rsid w:val="00F87B2B"/>
    <w:rsid w:val="00F87CDA"/>
    <w:rsid w:val="00F9020E"/>
    <w:rsid w:val="00F906D8"/>
    <w:rsid w:val="00F90717"/>
    <w:rsid w:val="00F90B7C"/>
    <w:rsid w:val="00F90F38"/>
    <w:rsid w:val="00F912E8"/>
    <w:rsid w:val="00F91353"/>
    <w:rsid w:val="00F914EA"/>
    <w:rsid w:val="00F91CF9"/>
    <w:rsid w:val="00F91EF8"/>
    <w:rsid w:val="00F91F21"/>
    <w:rsid w:val="00F92048"/>
    <w:rsid w:val="00F92173"/>
    <w:rsid w:val="00F922CB"/>
    <w:rsid w:val="00F922EF"/>
    <w:rsid w:val="00F923D5"/>
    <w:rsid w:val="00F92428"/>
    <w:rsid w:val="00F92E97"/>
    <w:rsid w:val="00F93534"/>
    <w:rsid w:val="00F9365E"/>
    <w:rsid w:val="00F93827"/>
    <w:rsid w:val="00F93878"/>
    <w:rsid w:val="00F938CB"/>
    <w:rsid w:val="00F93A81"/>
    <w:rsid w:val="00F93D54"/>
    <w:rsid w:val="00F93E53"/>
    <w:rsid w:val="00F94A60"/>
    <w:rsid w:val="00F94E70"/>
    <w:rsid w:val="00F94FEE"/>
    <w:rsid w:val="00F957B5"/>
    <w:rsid w:val="00F9580E"/>
    <w:rsid w:val="00F9596F"/>
    <w:rsid w:val="00F95A74"/>
    <w:rsid w:val="00F95D69"/>
    <w:rsid w:val="00F9605B"/>
    <w:rsid w:val="00F96389"/>
    <w:rsid w:val="00F963F0"/>
    <w:rsid w:val="00F9643C"/>
    <w:rsid w:val="00F96752"/>
    <w:rsid w:val="00F967EB"/>
    <w:rsid w:val="00F9684A"/>
    <w:rsid w:val="00F968B2"/>
    <w:rsid w:val="00F96CAC"/>
    <w:rsid w:val="00F9705D"/>
    <w:rsid w:val="00F972AE"/>
    <w:rsid w:val="00F97848"/>
    <w:rsid w:val="00F978FD"/>
    <w:rsid w:val="00F979DA"/>
    <w:rsid w:val="00F979EB"/>
    <w:rsid w:val="00F97ED8"/>
    <w:rsid w:val="00F97F79"/>
    <w:rsid w:val="00F97FEB"/>
    <w:rsid w:val="00FA03B6"/>
    <w:rsid w:val="00FA0825"/>
    <w:rsid w:val="00FA08AD"/>
    <w:rsid w:val="00FA0983"/>
    <w:rsid w:val="00FA1029"/>
    <w:rsid w:val="00FA1067"/>
    <w:rsid w:val="00FA13F8"/>
    <w:rsid w:val="00FA1437"/>
    <w:rsid w:val="00FA1642"/>
    <w:rsid w:val="00FA1991"/>
    <w:rsid w:val="00FA1B12"/>
    <w:rsid w:val="00FA1C27"/>
    <w:rsid w:val="00FA1C6B"/>
    <w:rsid w:val="00FA1CF6"/>
    <w:rsid w:val="00FA2054"/>
    <w:rsid w:val="00FA2231"/>
    <w:rsid w:val="00FA23DA"/>
    <w:rsid w:val="00FA2B58"/>
    <w:rsid w:val="00FA2BD9"/>
    <w:rsid w:val="00FA2F27"/>
    <w:rsid w:val="00FA30B5"/>
    <w:rsid w:val="00FA3282"/>
    <w:rsid w:val="00FA354C"/>
    <w:rsid w:val="00FA371E"/>
    <w:rsid w:val="00FA3892"/>
    <w:rsid w:val="00FA38C9"/>
    <w:rsid w:val="00FA3918"/>
    <w:rsid w:val="00FA3CD3"/>
    <w:rsid w:val="00FA3E8E"/>
    <w:rsid w:val="00FA4150"/>
    <w:rsid w:val="00FA4191"/>
    <w:rsid w:val="00FA454B"/>
    <w:rsid w:val="00FA4754"/>
    <w:rsid w:val="00FA4C97"/>
    <w:rsid w:val="00FA4CF1"/>
    <w:rsid w:val="00FA5257"/>
    <w:rsid w:val="00FA53A9"/>
    <w:rsid w:val="00FA5766"/>
    <w:rsid w:val="00FA58D7"/>
    <w:rsid w:val="00FA59D5"/>
    <w:rsid w:val="00FA5ADC"/>
    <w:rsid w:val="00FA5BA7"/>
    <w:rsid w:val="00FA5C01"/>
    <w:rsid w:val="00FA5DCA"/>
    <w:rsid w:val="00FA5DFC"/>
    <w:rsid w:val="00FA5F22"/>
    <w:rsid w:val="00FA6112"/>
    <w:rsid w:val="00FA656B"/>
    <w:rsid w:val="00FA69C1"/>
    <w:rsid w:val="00FA7335"/>
    <w:rsid w:val="00FA7370"/>
    <w:rsid w:val="00FA73AC"/>
    <w:rsid w:val="00FA7520"/>
    <w:rsid w:val="00FA7D7D"/>
    <w:rsid w:val="00FA7FCB"/>
    <w:rsid w:val="00FB003A"/>
    <w:rsid w:val="00FB0084"/>
    <w:rsid w:val="00FB0157"/>
    <w:rsid w:val="00FB08D4"/>
    <w:rsid w:val="00FB0C52"/>
    <w:rsid w:val="00FB0C95"/>
    <w:rsid w:val="00FB0FC6"/>
    <w:rsid w:val="00FB1192"/>
    <w:rsid w:val="00FB15B6"/>
    <w:rsid w:val="00FB16D0"/>
    <w:rsid w:val="00FB170E"/>
    <w:rsid w:val="00FB18C7"/>
    <w:rsid w:val="00FB1A64"/>
    <w:rsid w:val="00FB1C77"/>
    <w:rsid w:val="00FB1DFD"/>
    <w:rsid w:val="00FB2001"/>
    <w:rsid w:val="00FB224D"/>
    <w:rsid w:val="00FB24E3"/>
    <w:rsid w:val="00FB282F"/>
    <w:rsid w:val="00FB28C7"/>
    <w:rsid w:val="00FB2A17"/>
    <w:rsid w:val="00FB2A50"/>
    <w:rsid w:val="00FB2C96"/>
    <w:rsid w:val="00FB2EE3"/>
    <w:rsid w:val="00FB2FCD"/>
    <w:rsid w:val="00FB3034"/>
    <w:rsid w:val="00FB3123"/>
    <w:rsid w:val="00FB3333"/>
    <w:rsid w:val="00FB3682"/>
    <w:rsid w:val="00FB3735"/>
    <w:rsid w:val="00FB3985"/>
    <w:rsid w:val="00FB3A71"/>
    <w:rsid w:val="00FB3BF2"/>
    <w:rsid w:val="00FB3EE3"/>
    <w:rsid w:val="00FB43CC"/>
    <w:rsid w:val="00FB44F7"/>
    <w:rsid w:val="00FB4B9A"/>
    <w:rsid w:val="00FB4DBD"/>
    <w:rsid w:val="00FB4ED5"/>
    <w:rsid w:val="00FB50AC"/>
    <w:rsid w:val="00FB52AD"/>
    <w:rsid w:val="00FB53DC"/>
    <w:rsid w:val="00FB54A9"/>
    <w:rsid w:val="00FB582C"/>
    <w:rsid w:val="00FB5D7B"/>
    <w:rsid w:val="00FB5E3D"/>
    <w:rsid w:val="00FB6010"/>
    <w:rsid w:val="00FB6055"/>
    <w:rsid w:val="00FB620D"/>
    <w:rsid w:val="00FB666F"/>
    <w:rsid w:val="00FB69CF"/>
    <w:rsid w:val="00FB6ADA"/>
    <w:rsid w:val="00FB6D3E"/>
    <w:rsid w:val="00FB6E4C"/>
    <w:rsid w:val="00FB6E8F"/>
    <w:rsid w:val="00FB6F67"/>
    <w:rsid w:val="00FB70D7"/>
    <w:rsid w:val="00FB727D"/>
    <w:rsid w:val="00FB7824"/>
    <w:rsid w:val="00FB79B4"/>
    <w:rsid w:val="00FB7A8B"/>
    <w:rsid w:val="00FB7AEC"/>
    <w:rsid w:val="00FB7B4C"/>
    <w:rsid w:val="00FB7D9F"/>
    <w:rsid w:val="00FB7F40"/>
    <w:rsid w:val="00FC0460"/>
    <w:rsid w:val="00FC04A7"/>
    <w:rsid w:val="00FC0504"/>
    <w:rsid w:val="00FC05DC"/>
    <w:rsid w:val="00FC061B"/>
    <w:rsid w:val="00FC076F"/>
    <w:rsid w:val="00FC0AD7"/>
    <w:rsid w:val="00FC1021"/>
    <w:rsid w:val="00FC10DE"/>
    <w:rsid w:val="00FC1155"/>
    <w:rsid w:val="00FC13CD"/>
    <w:rsid w:val="00FC16CF"/>
    <w:rsid w:val="00FC19F1"/>
    <w:rsid w:val="00FC1AD3"/>
    <w:rsid w:val="00FC1C14"/>
    <w:rsid w:val="00FC1D43"/>
    <w:rsid w:val="00FC1D60"/>
    <w:rsid w:val="00FC1DCE"/>
    <w:rsid w:val="00FC1DE7"/>
    <w:rsid w:val="00FC1E8F"/>
    <w:rsid w:val="00FC2025"/>
    <w:rsid w:val="00FC2199"/>
    <w:rsid w:val="00FC22DC"/>
    <w:rsid w:val="00FC23B2"/>
    <w:rsid w:val="00FC2713"/>
    <w:rsid w:val="00FC294B"/>
    <w:rsid w:val="00FC2AFD"/>
    <w:rsid w:val="00FC2C9C"/>
    <w:rsid w:val="00FC2D2C"/>
    <w:rsid w:val="00FC2D5F"/>
    <w:rsid w:val="00FC2F24"/>
    <w:rsid w:val="00FC33E6"/>
    <w:rsid w:val="00FC34BF"/>
    <w:rsid w:val="00FC36E5"/>
    <w:rsid w:val="00FC3A09"/>
    <w:rsid w:val="00FC3C1C"/>
    <w:rsid w:val="00FC3C48"/>
    <w:rsid w:val="00FC3EFC"/>
    <w:rsid w:val="00FC44F7"/>
    <w:rsid w:val="00FC469D"/>
    <w:rsid w:val="00FC491A"/>
    <w:rsid w:val="00FC4B2D"/>
    <w:rsid w:val="00FC4C07"/>
    <w:rsid w:val="00FC4EB1"/>
    <w:rsid w:val="00FC4EE8"/>
    <w:rsid w:val="00FC50B1"/>
    <w:rsid w:val="00FC52D7"/>
    <w:rsid w:val="00FC5603"/>
    <w:rsid w:val="00FC576A"/>
    <w:rsid w:val="00FC5866"/>
    <w:rsid w:val="00FC5A29"/>
    <w:rsid w:val="00FC5A50"/>
    <w:rsid w:val="00FC5BDF"/>
    <w:rsid w:val="00FC5C6E"/>
    <w:rsid w:val="00FC5E84"/>
    <w:rsid w:val="00FC616C"/>
    <w:rsid w:val="00FC638F"/>
    <w:rsid w:val="00FC7164"/>
    <w:rsid w:val="00FC73CF"/>
    <w:rsid w:val="00FC759C"/>
    <w:rsid w:val="00FC76E9"/>
    <w:rsid w:val="00FC7917"/>
    <w:rsid w:val="00FC7A27"/>
    <w:rsid w:val="00FC7AA3"/>
    <w:rsid w:val="00FC7EB0"/>
    <w:rsid w:val="00FC7F42"/>
    <w:rsid w:val="00FD01FF"/>
    <w:rsid w:val="00FD0554"/>
    <w:rsid w:val="00FD0950"/>
    <w:rsid w:val="00FD0A1C"/>
    <w:rsid w:val="00FD0A43"/>
    <w:rsid w:val="00FD0B28"/>
    <w:rsid w:val="00FD0BCF"/>
    <w:rsid w:val="00FD11A3"/>
    <w:rsid w:val="00FD1700"/>
    <w:rsid w:val="00FD1701"/>
    <w:rsid w:val="00FD1759"/>
    <w:rsid w:val="00FD17BA"/>
    <w:rsid w:val="00FD18C6"/>
    <w:rsid w:val="00FD19F1"/>
    <w:rsid w:val="00FD1C10"/>
    <w:rsid w:val="00FD1EC0"/>
    <w:rsid w:val="00FD1F88"/>
    <w:rsid w:val="00FD2013"/>
    <w:rsid w:val="00FD20C7"/>
    <w:rsid w:val="00FD2833"/>
    <w:rsid w:val="00FD2A21"/>
    <w:rsid w:val="00FD2B81"/>
    <w:rsid w:val="00FD2C9D"/>
    <w:rsid w:val="00FD2F74"/>
    <w:rsid w:val="00FD2F98"/>
    <w:rsid w:val="00FD30ED"/>
    <w:rsid w:val="00FD3B94"/>
    <w:rsid w:val="00FD3EB5"/>
    <w:rsid w:val="00FD40DD"/>
    <w:rsid w:val="00FD43B3"/>
    <w:rsid w:val="00FD4557"/>
    <w:rsid w:val="00FD45A0"/>
    <w:rsid w:val="00FD4AF2"/>
    <w:rsid w:val="00FD4F28"/>
    <w:rsid w:val="00FD4F82"/>
    <w:rsid w:val="00FD527E"/>
    <w:rsid w:val="00FD5934"/>
    <w:rsid w:val="00FD5B23"/>
    <w:rsid w:val="00FD5CE3"/>
    <w:rsid w:val="00FD5D5F"/>
    <w:rsid w:val="00FD60E4"/>
    <w:rsid w:val="00FD61BB"/>
    <w:rsid w:val="00FD6295"/>
    <w:rsid w:val="00FD632C"/>
    <w:rsid w:val="00FD68F6"/>
    <w:rsid w:val="00FD69B8"/>
    <w:rsid w:val="00FD6B32"/>
    <w:rsid w:val="00FD6FC0"/>
    <w:rsid w:val="00FD7323"/>
    <w:rsid w:val="00FD751F"/>
    <w:rsid w:val="00FD75D5"/>
    <w:rsid w:val="00FE03B4"/>
    <w:rsid w:val="00FE0697"/>
    <w:rsid w:val="00FE0807"/>
    <w:rsid w:val="00FE0874"/>
    <w:rsid w:val="00FE0D20"/>
    <w:rsid w:val="00FE10A3"/>
    <w:rsid w:val="00FE1118"/>
    <w:rsid w:val="00FE2178"/>
    <w:rsid w:val="00FE2269"/>
    <w:rsid w:val="00FE24F0"/>
    <w:rsid w:val="00FE2835"/>
    <w:rsid w:val="00FE2D9B"/>
    <w:rsid w:val="00FE3081"/>
    <w:rsid w:val="00FE326E"/>
    <w:rsid w:val="00FE33E9"/>
    <w:rsid w:val="00FE36BA"/>
    <w:rsid w:val="00FE3741"/>
    <w:rsid w:val="00FE3BFB"/>
    <w:rsid w:val="00FE3C86"/>
    <w:rsid w:val="00FE40E5"/>
    <w:rsid w:val="00FE4536"/>
    <w:rsid w:val="00FE4645"/>
    <w:rsid w:val="00FE4739"/>
    <w:rsid w:val="00FE4DB2"/>
    <w:rsid w:val="00FE4DE8"/>
    <w:rsid w:val="00FE4E34"/>
    <w:rsid w:val="00FE4FCD"/>
    <w:rsid w:val="00FE5065"/>
    <w:rsid w:val="00FE51B1"/>
    <w:rsid w:val="00FE53D5"/>
    <w:rsid w:val="00FE53D6"/>
    <w:rsid w:val="00FE5A28"/>
    <w:rsid w:val="00FE5C27"/>
    <w:rsid w:val="00FE5CFC"/>
    <w:rsid w:val="00FE60C0"/>
    <w:rsid w:val="00FE644C"/>
    <w:rsid w:val="00FE681D"/>
    <w:rsid w:val="00FE6C3B"/>
    <w:rsid w:val="00FE6E6F"/>
    <w:rsid w:val="00FE6E97"/>
    <w:rsid w:val="00FE7223"/>
    <w:rsid w:val="00FE7447"/>
    <w:rsid w:val="00FE74B5"/>
    <w:rsid w:val="00FE74DF"/>
    <w:rsid w:val="00FE74F3"/>
    <w:rsid w:val="00FE750F"/>
    <w:rsid w:val="00FE7621"/>
    <w:rsid w:val="00FE7A3F"/>
    <w:rsid w:val="00FE7D63"/>
    <w:rsid w:val="00FE7DB9"/>
    <w:rsid w:val="00FF0067"/>
    <w:rsid w:val="00FF01BE"/>
    <w:rsid w:val="00FF0454"/>
    <w:rsid w:val="00FF055E"/>
    <w:rsid w:val="00FF057A"/>
    <w:rsid w:val="00FF075C"/>
    <w:rsid w:val="00FF07A7"/>
    <w:rsid w:val="00FF092F"/>
    <w:rsid w:val="00FF095A"/>
    <w:rsid w:val="00FF09FA"/>
    <w:rsid w:val="00FF0C56"/>
    <w:rsid w:val="00FF0DBD"/>
    <w:rsid w:val="00FF11D9"/>
    <w:rsid w:val="00FF123E"/>
    <w:rsid w:val="00FF1BB4"/>
    <w:rsid w:val="00FF1BCF"/>
    <w:rsid w:val="00FF1DD6"/>
    <w:rsid w:val="00FF1F45"/>
    <w:rsid w:val="00FF2100"/>
    <w:rsid w:val="00FF2123"/>
    <w:rsid w:val="00FF2321"/>
    <w:rsid w:val="00FF23F6"/>
    <w:rsid w:val="00FF265A"/>
    <w:rsid w:val="00FF27B2"/>
    <w:rsid w:val="00FF2822"/>
    <w:rsid w:val="00FF30F5"/>
    <w:rsid w:val="00FF33B7"/>
    <w:rsid w:val="00FF3495"/>
    <w:rsid w:val="00FF3768"/>
    <w:rsid w:val="00FF3863"/>
    <w:rsid w:val="00FF3A07"/>
    <w:rsid w:val="00FF3BA2"/>
    <w:rsid w:val="00FF3EAF"/>
    <w:rsid w:val="00FF3F0A"/>
    <w:rsid w:val="00FF3FEA"/>
    <w:rsid w:val="00FF4142"/>
    <w:rsid w:val="00FF465F"/>
    <w:rsid w:val="00FF4666"/>
    <w:rsid w:val="00FF48D8"/>
    <w:rsid w:val="00FF4A1F"/>
    <w:rsid w:val="00FF4C68"/>
    <w:rsid w:val="00FF4D02"/>
    <w:rsid w:val="00FF50EF"/>
    <w:rsid w:val="00FF5272"/>
    <w:rsid w:val="00FF54E7"/>
    <w:rsid w:val="00FF5565"/>
    <w:rsid w:val="00FF57CE"/>
    <w:rsid w:val="00FF58E6"/>
    <w:rsid w:val="00FF5F8E"/>
    <w:rsid w:val="00FF61A9"/>
    <w:rsid w:val="00FF6461"/>
    <w:rsid w:val="00FF67CF"/>
    <w:rsid w:val="00FF6A75"/>
    <w:rsid w:val="00FF6B07"/>
    <w:rsid w:val="00FF6B5D"/>
    <w:rsid w:val="00FF6EE7"/>
    <w:rsid w:val="00FF6FED"/>
    <w:rsid w:val="00FF7160"/>
    <w:rsid w:val="00FF7246"/>
    <w:rsid w:val="00FF7658"/>
    <w:rsid w:val="00FF7905"/>
    <w:rsid w:val="00FF7B3F"/>
    <w:rsid w:val="00FF7F22"/>
    <w:rsid w:val="00FF7F37"/>
    <w:rsid w:val="00FF7FDD"/>
    <w:rsid w:val="0104C957"/>
    <w:rsid w:val="0130474A"/>
    <w:rsid w:val="0160D1F0"/>
    <w:rsid w:val="017A714F"/>
    <w:rsid w:val="01F03DFE"/>
    <w:rsid w:val="021B6C13"/>
    <w:rsid w:val="0261F558"/>
    <w:rsid w:val="02C22D83"/>
    <w:rsid w:val="02D5E8BC"/>
    <w:rsid w:val="0368E64A"/>
    <w:rsid w:val="037419AE"/>
    <w:rsid w:val="03C0AE17"/>
    <w:rsid w:val="03EA3744"/>
    <w:rsid w:val="03FB341B"/>
    <w:rsid w:val="046F7E6D"/>
    <w:rsid w:val="04887F80"/>
    <w:rsid w:val="048990AC"/>
    <w:rsid w:val="0497B48D"/>
    <w:rsid w:val="04F30142"/>
    <w:rsid w:val="069BBC64"/>
    <w:rsid w:val="06E9604C"/>
    <w:rsid w:val="06FAF3E0"/>
    <w:rsid w:val="071EFA69"/>
    <w:rsid w:val="075CBCF4"/>
    <w:rsid w:val="07667257"/>
    <w:rsid w:val="07B3CF75"/>
    <w:rsid w:val="07D149AE"/>
    <w:rsid w:val="082EDEDC"/>
    <w:rsid w:val="08D4D029"/>
    <w:rsid w:val="09040F6D"/>
    <w:rsid w:val="09423CF1"/>
    <w:rsid w:val="09A2EE65"/>
    <w:rsid w:val="0A0B6116"/>
    <w:rsid w:val="0A13B842"/>
    <w:rsid w:val="0AC0D386"/>
    <w:rsid w:val="0B5DA77F"/>
    <w:rsid w:val="0B753235"/>
    <w:rsid w:val="0B7BFD2E"/>
    <w:rsid w:val="0BCE51DA"/>
    <w:rsid w:val="0BF4ABF5"/>
    <w:rsid w:val="0CC967F4"/>
    <w:rsid w:val="0CE08CB6"/>
    <w:rsid w:val="0CE2C4EA"/>
    <w:rsid w:val="0CE769AF"/>
    <w:rsid w:val="0D0B6BAE"/>
    <w:rsid w:val="0D218FFF"/>
    <w:rsid w:val="0D378595"/>
    <w:rsid w:val="0D5F0216"/>
    <w:rsid w:val="0D662F0E"/>
    <w:rsid w:val="0D71F0ED"/>
    <w:rsid w:val="0DA7DA54"/>
    <w:rsid w:val="0DEF9952"/>
    <w:rsid w:val="0E3678F7"/>
    <w:rsid w:val="0F050FD7"/>
    <w:rsid w:val="0F760DA8"/>
    <w:rsid w:val="0F9B9BD5"/>
    <w:rsid w:val="0FE24BE7"/>
    <w:rsid w:val="10373A99"/>
    <w:rsid w:val="112AD23B"/>
    <w:rsid w:val="11F9687A"/>
    <w:rsid w:val="1243BF04"/>
    <w:rsid w:val="125C7F1D"/>
    <w:rsid w:val="12746893"/>
    <w:rsid w:val="12774470"/>
    <w:rsid w:val="12999092"/>
    <w:rsid w:val="12C4B6D9"/>
    <w:rsid w:val="12ED3B77"/>
    <w:rsid w:val="12F737A5"/>
    <w:rsid w:val="130F6FE7"/>
    <w:rsid w:val="13561A9D"/>
    <w:rsid w:val="13906A8E"/>
    <w:rsid w:val="13D2B70A"/>
    <w:rsid w:val="146AB57E"/>
    <w:rsid w:val="147D5FE9"/>
    <w:rsid w:val="14B8F41F"/>
    <w:rsid w:val="14F2F1AB"/>
    <w:rsid w:val="1510DDA3"/>
    <w:rsid w:val="15786058"/>
    <w:rsid w:val="1583A2B6"/>
    <w:rsid w:val="15EB1B81"/>
    <w:rsid w:val="16B936BD"/>
    <w:rsid w:val="16EB79A5"/>
    <w:rsid w:val="16F433DB"/>
    <w:rsid w:val="174584E5"/>
    <w:rsid w:val="1799D635"/>
    <w:rsid w:val="17A41959"/>
    <w:rsid w:val="17BC3E5E"/>
    <w:rsid w:val="17CC2E68"/>
    <w:rsid w:val="18561EB6"/>
    <w:rsid w:val="18564F15"/>
    <w:rsid w:val="18A9F10F"/>
    <w:rsid w:val="18CE599C"/>
    <w:rsid w:val="18D88681"/>
    <w:rsid w:val="18F6FDB5"/>
    <w:rsid w:val="191D8943"/>
    <w:rsid w:val="195A7D09"/>
    <w:rsid w:val="19874EFD"/>
    <w:rsid w:val="19A82092"/>
    <w:rsid w:val="19AA5CE1"/>
    <w:rsid w:val="1A32532C"/>
    <w:rsid w:val="1A9EB41F"/>
    <w:rsid w:val="1AE8F4C8"/>
    <w:rsid w:val="1BBDCAAA"/>
    <w:rsid w:val="1BF172E6"/>
    <w:rsid w:val="1BFFB5B0"/>
    <w:rsid w:val="1C088C45"/>
    <w:rsid w:val="1C8E64BC"/>
    <w:rsid w:val="1CB402FE"/>
    <w:rsid w:val="1CB7A367"/>
    <w:rsid w:val="1CF8216A"/>
    <w:rsid w:val="1D8600BF"/>
    <w:rsid w:val="1DD8477F"/>
    <w:rsid w:val="1DF0C11C"/>
    <w:rsid w:val="1E112E4A"/>
    <w:rsid w:val="1E310A3F"/>
    <w:rsid w:val="1E45C4CB"/>
    <w:rsid w:val="1E5A023B"/>
    <w:rsid w:val="1E92408C"/>
    <w:rsid w:val="1F04422A"/>
    <w:rsid w:val="1F19C308"/>
    <w:rsid w:val="1F8EA425"/>
    <w:rsid w:val="1FB018A9"/>
    <w:rsid w:val="1FBC1297"/>
    <w:rsid w:val="1FCA10ED"/>
    <w:rsid w:val="1FFE5697"/>
    <w:rsid w:val="20B195F6"/>
    <w:rsid w:val="20CD95DA"/>
    <w:rsid w:val="219F399D"/>
    <w:rsid w:val="21BF067A"/>
    <w:rsid w:val="21CBCE12"/>
    <w:rsid w:val="21D32EF9"/>
    <w:rsid w:val="22163E7E"/>
    <w:rsid w:val="22245350"/>
    <w:rsid w:val="22520D9C"/>
    <w:rsid w:val="22F6C233"/>
    <w:rsid w:val="23273B38"/>
    <w:rsid w:val="239B70C5"/>
    <w:rsid w:val="23AFC6B3"/>
    <w:rsid w:val="24367845"/>
    <w:rsid w:val="246987D2"/>
    <w:rsid w:val="250F01A8"/>
    <w:rsid w:val="251092EC"/>
    <w:rsid w:val="256E906A"/>
    <w:rsid w:val="260C2822"/>
    <w:rsid w:val="267D6096"/>
    <w:rsid w:val="269D0F18"/>
    <w:rsid w:val="26E9E8E2"/>
    <w:rsid w:val="27346CBF"/>
    <w:rsid w:val="2758B87C"/>
    <w:rsid w:val="27627192"/>
    <w:rsid w:val="278A4C5B"/>
    <w:rsid w:val="2827B596"/>
    <w:rsid w:val="283E5985"/>
    <w:rsid w:val="2874A0F8"/>
    <w:rsid w:val="289B2FDA"/>
    <w:rsid w:val="29220778"/>
    <w:rsid w:val="293E3B63"/>
    <w:rsid w:val="2A5375EF"/>
    <w:rsid w:val="2ABF129D"/>
    <w:rsid w:val="2BA61E04"/>
    <w:rsid w:val="2BC202F5"/>
    <w:rsid w:val="2C1A834D"/>
    <w:rsid w:val="2D24BB57"/>
    <w:rsid w:val="2DEC0082"/>
    <w:rsid w:val="2E1DD0E0"/>
    <w:rsid w:val="2E379DEA"/>
    <w:rsid w:val="2E5AC74B"/>
    <w:rsid w:val="2E5C5E63"/>
    <w:rsid w:val="2E8CB28A"/>
    <w:rsid w:val="2EB78049"/>
    <w:rsid w:val="2F1D2AE7"/>
    <w:rsid w:val="2FC7AE6B"/>
    <w:rsid w:val="2FE0FDCA"/>
    <w:rsid w:val="30AF13B1"/>
    <w:rsid w:val="30CA7F7B"/>
    <w:rsid w:val="3130352D"/>
    <w:rsid w:val="315BF678"/>
    <w:rsid w:val="31CFCD77"/>
    <w:rsid w:val="3215EC93"/>
    <w:rsid w:val="324710D3"/>
    <w:rsid w:val="327B3587"/>
    <w:rsid w:val="32C4FE43"/>
    <w:rsid w:val="3327D955"/>
    <w:rsid w:val="33852601"/>
    <w:rsid w:val="33E6E66E"/>
    <w:rsid w:val="34314D41"/>
    <w:rsid w:val="34519F1B"/>
    <w:rsid w:val="3468C837"/>
    <w:rsid w:val="3491E352"/>
    <w:rsid w:val="349D907D"/>
    <w:rsid w:val="34D760F7"/>
    <w:rsid w:val="34F7E33E"/>
    <w:rsid w:val="350E1015"/>
    <w:rsid w:val="3544457D"/>
    <w:rsid w:val="35702906"/>
    <w:rsid w:val="358EA6E7"/>
    <w:rsid w:val="35AFFFE7"/>
    <w:rsid w:val="35C1A889"/>
    <w:rsid w:val="35FE8785"/>
    <w:rsid w:val="36144067"/>
    <w:rsid w:val="366C4C5B"/>
    <w:rsid w:val="371BB06E"/>
    <w:rsid w:val="373B10FC"/>
    <w:rsid w:val="37BA63D4"/>
    <w:rsid w:val="37DE8D19"/>
    <w:rsid w:val="37E53983"/>
    <w:rsid w:val="37E6A01B"/>
    <w:rsid w:val="37E7C3A6"/>
    <w:rsid w:val="386A1E61"/>
    <w:rsid w:val="39349441"/>
    <w:rsid w:val="39613363"/>
    <w:rsid w:val="39A89A78"/>
    <w:rsid w:val="39AD5651"/>
    <w:rsid w:val="39E1D7B0"/>
    <w:rsid w:val="3A39AA19"/>
    <w:rsid w:val="3A46C778"/>
    <w:rsid w:val="3ABDED25"/>
    <w:rsid w:val="3B051D3E"/>
    <w:rsid w:val="3B34C75C"/>
    <w:rsid w:val="3B47532A"/>
    <w:rsid w:val="3C16E6D4"/>
    <w:rsid w:val="3C232F89"/>
    <w:rsid w:val="3C7AB9DF"/>
    <w:rsid w:val="3C7D2194"/>
    <w:rsid w:val="3C99228C"/>
    <w:rsid w:val="3CA65A50"/>
    <w:rsid w:val="3CBBA6E0"/>
    <w:rsid w:val="3D158E97"/>
    <w:rsid w:val="3DA1FC53"/>
    <w:rsid w:val="3E683FBB"/>
    <w:rsid w:val="3E7DD83E"/>
    <w:rsid w:val="3F14685C"/>
    <w:rsid w:val="3F26AB89"/>
    <w:rsid w:val="3F556A5F"/>
    <w:rsid w:val="3FA3B730"/>
    <w:rsid w:val="3FB60507"/>
    <w:rsid w:val="3FE7BAB8"/>
    <w:rsid w:val="3FF742D6"/>
    <w:rsid w:val="4095FF7D"/>
    <w:rsid w:val="40C7F3AD"/>
    <w:rsid w:val="40CC2A87"/>
    <w:rsid w:val="40D12A2B"/>
    <w:rsid w:val="40D8AB64"/>
    <w:rsid w:val="4141A01A"/>
    <w:rsid w:val="414AEA85"/>
    <w:rsid w:val="4150BA82"/>
    <w:rsid w:val="415BD900"/>
    <w:rsid w:val="41794385"/>
    <w:rsid w:val="417AB6B5"/>
    <w:rsid w:val="418380D0"/>
    <w:rsid w:val="41FCB86B"/>
    <w:rsid w:val="41FFC80E"/>
    <w:rsid w:val="42053DF8"/>
    <w:rsid w:val="427CF6BC"/>
    <w:rsid w:val="4284CDA7"/>
    <w:rsid w:val="42C786F2"/>
    <w:rsid w:val="4378CE7B"/>
    <w:rsid w:val="44323E08"/>
    <w:rsid w:val="4464C88C"/>
    <w:rsid w:val="4489A5B0"/>
    <w:rsid w:val="44EECF47"/>
    <w:rsid w:val="45409838"/>
    <w:rsid w:val="454EBF8D"/>
    <w:rsid w:val="45D5118A"/>
    <w:rsid w:val="468890AB"/>
    <w:rsid w:val="469CDA22"/>
    <w:rsid w:val="474B447C"/>
    <w:rsid w:val="47EE64C9"/>
    <w:rsid w:val="4804F4B1"/>
    <w:rsid w:val="4844DC60"/>
    <w:rsid w:val="48C59804"/>
    <w:rsid w:val="48CB9FFC"/>
    <w:rsid w:val="493C9CD8"/>
    <w:rsid w:val="498387BB"/>
    <w:rsid w:val="4997C7FE"/>
    <w:rsid w:val="49C0B9F0"/>
    <w:rsid w:val="4A9119B2"/>
    <w:rsid w:val="4AF688B5"/>
    <w:rsid w:val="4B268758"/>
    <w:rsid w:val="4B5CFA40"/>
    <w:rsid w:val="4BA97724"/>
    <w:rsid w:val="4BD30C2D"/>
    <w:rsid w:val="4BE1240B"/>
    <w:rsid w:val="4C39FC45"/>
    <w:rsid w:val="4C90A778"/>
    <w:rsid w:val="4CAA10E5"/>
    <w:rsid w:val="4D347A61"/>
    <w:rsid w:val="4D745349"/>
    <w:rsid w:val="4DBE5ADB"/>
    <w:rsid w:val="4DFBE3B1"/>
    <w:rsid w:val="4E259447"/>
    <w:rsid w:val="4EA95434"/>
    <w:rsid w:val="4EACBD91"/>
    <w:rsid w:val="4EE46125"/>
    <w:rsid w:val="4F03BDE2"/>
    <w:rsid w:val="503C81CD"/>
    <w:rsid w:val="50476042"/>
    <w:rsid w:val="50B493B8"/>
    <w:rsid w:val="51293120"/>
    <w:rsid w:val="5213C401"/>
    <w:rsid w:val="52E57BEB"/>
    <w:rsid w:val="52F38CC1"/>
    <w:rsid w:val="531A419A"/>
    <w:rsid w:val="534F6C8E"/>
    <w:rsid w:val="53AA1FC7"/>
    <w:rsid w:val="53AB617C"/>
    <w:rsid w:val="541A035A"/>
    <w:rsid w:val="5444CC41"/>
    <w:rsid w:val="5476E109"/>
    <w:rsid w:val="54966545"/>
    <w:rsid w:val="54AA93BD"/>
    <w:rsid w:val="555FB714"/>
    <w:rsid w:val="55EEE51B"/>
    <w:rsid w:val="564B5D8A"/>
    <w:rsid w:val="56FB09A9"/>
    <w:rsid w:val="575782F6"/>
    <w:rsid w:val="57C26332"/>
    <w:rsid w:val="580C6248"/>
    <w:rsid w:val="589E2B30"/>
    <w:rsid w:val="58ABAFC6"/>
    <w:rsid w:val="58BAE635"/>
    <w:rsid w:val="58ED3B74"/>
    <w:rsid w:val="58F25BDD"/>
    <w:rsid w:val="58F2684B"/>
    <w:rsid w:val="590B5944"/>
    <w:rsid w:val="5943181A"/>
    <w:rsid w:val="59529060"/>
    <w:rsid w:val="59780971"/>
    <w:rsid w:val="5997808D"/>
    <w:rsid w:val="599EBAB6"/>
    <w:rsid w:val="59C0107A"/>
    <w:rsid w:val="59F3604D"/>
    <w:rsid w:val="5A0293A9"/>
    <w:rsid w:val="5A1B83A6"/>
    <w:rsid w:val="5A4AABD8"/>
    <w:rsid w:val="5A69E5E2"/>
    <w:rsid w:val="5A7EACE2"/>
    <w:rsid w:val="5AEC2CCD"/>
    <w:rsid w:val="5B0C4916"/>
    <w:rsid w:val="5B1D2F6F"/>
    <w:rsid w:val="5B48572A"/>
    <w:rsid w:val="5C011E3D"/>
    <w:rsid w:val="5C3383F8"/>
    <w:rsid w:val="5C4A8E36"/>
    <w:rsid w:val="5C7D17CF"/>
    <w:rsid w:val="5D026782"/>
    <w:rsid w:val="5D4046C4"/>
    <w:rsid w:val="5D5B85AD"/>
    <w:rsid w:val="5D908C04"/>
    <w:rsid w:val="5DBB37D8"/>
    <w:rsid w:val="5DBD666F"/>
    <w:rsid w:val="5DCF9E46"/>
    <w:rsid w:val="5E9D24CA"/>
    <w:rsid w:val="5F1A6306"/>
    <w:rsid w:val="5F515419"/>
    <w:rsid w:val="5F62FBCB"/>
    <w:rsid w:val="5FBD01F1"/>
    <w:rsid w:val="5FC08A74"/>
    <w:rsid w:val="5FF72A28"/>
    <w:rsid w:val="5FFB8276"/>
    <w:rsid w:val="60118B5D"/>
    <w:rsid w:val="60361008"/>
    <w:rsid w:val="604A42B2"/>
    <w:rsid w:val="608B9866"/>
    <w:rsid w:val="6099753E"/>
    <w:rsid w:val="610C5684"/>
    <w:rsid w:val="6133BC1D"/>
    <w:rsid w:val="61506293"/>
    <w:rsid w:val="6184B393"/>
    <w:rsid w:val="61C79348"/>
    <w:rsid w:val="61CBA175"/>
    <w:rsid w:val="624AA0A3"/>
    <w:rsid w:val="6259F49D"/>
    <w:rsid w:val="62848684"/>
    <w:rsid w:val="6334FCC5"/>
    <w:rsid w:val="635B2675"/>
    <w:rsid w:val="63660504"/>
    <w:rsid w:val="63A6F7AE"/>
    <w:rsid w:val="64BC0E07"/>
    <w:rsid w:val="64ED0654"/>
    <w:rsid w:val="651BE809"/>
    <w:rsid w:val="654528CA"/>
    <w:rsid w:val="655C977A"/>
    <w:rsid w:val="656FAF74"/>
    <w:rsid w:val="65C1A696"/>
    <w:rsid w:val="65DC2D64"/>
    <w:rsid w:val="6647C917"/>
    <w:rsid w:val="665B38A0"/>
    <w:rsid w:val="66A61B43"/>
    <w:rsid w:val="66ABF2E8"/>
    <w:rsid w:val="66AC039A"/>
    <w:rsid w:val="678886D5"/>
    <w:rsid w:val="67C31D66"/>
    <w:rsid w:val="68323B9A"/>
    <w:rsid w:val="684FC558"/>
    <w:rsid w:val="6875C4A8"/>
    <w:rsid w:val="689CC51C"/>
    <w:rsid w:val="69893837"/>
    <w:rsid w:val="69AAD2AA"/>
    <w:rsid w:val="69AC3B7C"/>
    <w:rsid w:val="69CD357A"/>
    <w:rsid w:val="69E320A2"/>
    <w:rsid w:val="6A360B6B"/>
    <w:rsid w:val="6A4B0B3F"/>
    <w:rsid w:val="6A7BE84F"/>
    <w:rsid w:val="6B19039C"/>
    <w:rsid w:val="6B74BDC0"/>
    <w:rsid w:val="6BF196C5"/>
    <w:rsid w:val="6CBD7D27"/>
    <w:rsid w:val="6D1EEE4B"/>
    <w:rsid w:val="6D202DE4"/>
    <w:rsid w:val="6D24BEE6"/>
    <w:rsid w:val="6D92FB37"/>
    <w:rsid w:val="6DB1CFC9"/>
    <w:rsid w:val="6DC89237"/>
    <w:rsid w:val="6E35965A"/>
    <w:rsid w:val="6E3D5CD8"/>
    <w:rsid w:val="6EBFBA41"/>
    <w:rsid w:val="6F0E73B8"/>
    <w:rsid w:val="6F180665"/>
    <w:rsid w:val="6F1DBFA4"/>
    <w:rsid w:val="6F56C6DE"/>
    <w:rsid w:val="6F5FEC5B"/>
    <w:rsid w:val="6FB2329F"/>
    <w:rsid w:val="6FB7464A"/>
    <w:rsid w:val="702D6571"/>
    <w:rsid w:val="70451F00"/>
    <w:rsid w:val="7069B006"/>
    <w:rsid w:val="70D7524C"/>
    <w:rsid w:val="70F0B3D4"/>
    <w:rsid w:val="70F6DC21"/>
    <w:rsid w:val="71313895"/>
    <w:rsid w:val="717BA003"/>
    <w:rsid w:val="71A42509"/>
    <w:rsid w:val="71AD5BE7"/>
    <w:rsid w:val="71F286D8"/>
    <w:rsid w:val="720DD471"/>
    <w:rsid w:val="724AC525"/>
    <w:rsid w:val="72834ED8"/>
    <w:rsid w:val="7284E163"/>
    <w:rsid w:val="72B8235F"/>
    <w:rsid w:val="72C48290"/>
    <w:rsid w:val="72F0A4AA"/>
    <w:rsid w:val="732F9AB9"/>
    <w:rsid w:val="735F856E"/>
    <w:rsid w:val="73754E21"/>
    <w:rsid w:val="738CD7DE"/>
    <w:rsid w:val="738D8261"/>
    <w:rsid w:val="73BD0A82"/>
    <w:rsid w:val="73EC1645"/>
    <w:rsid w:val="73EF858A"/>
    <w:rsid w:val="748406FA"/>
    <w:rsid w:val="74A3E114"/>
    <w:rsid w:val="74B9F8F1"/>
    <w:rsid w:val="74F95E74"/>
    <w:rsid w:val="75675671"/>
    <w:rsid w:val="756BFBB6"/>
    <w:rsid w:val="75C55E65"/>
    <w:rsid w:val="7605E595"/>
    <w:rsid w:val="76181AE8"/>
    <w:rsid w:val="7621484A"/>
    <w:rsid w:val="762975ED"/>
    <w:rsid w:val="7646C10E"/>
    <w:rsid w:val="766D63EB"/>
    <w:rsid w:val="7683C88F"/>
    <w:rsid w:val="770302F3"/>
    <w:rsid w:val="7706813C"/>
    <w:rsid w:val="77ADFBFE"/>
    <w:rsid w:val="77B12D69"/>
    <w:rsid w:val="77FB999F"/>
    <w:rsid w:val="791A1C33"/>
    <w:rsid w:val="794AD993"/>
    <w:rsid w:val="796B40D8"/>
    <w:rsid w:val="796D1EA7"/>
    <w:rsid w:val="79DE94E1"/>
    <w:rsid w:val="7A549711"/>
    <w:rsid w:val="7A6DF647"/>
    <w:rsid w:val="7AA2A641"/>
    <w:rsid w:val="7AF77571"/>
    <w:rsid w:val="7B00C8B5"/>
    <w:rsid w:val="7B6857DD"/>
    <w:rsid w:val="7B988E4E"/>
    <w:rsid w:val="7BB5824B"/>
    <w:rsid w:val="7C7FCE0D"/>
    <w:rsid w:val="7CDDEC3E"/>
    <w:rsid w:val="7D4A073E"/>
    <w:rsid w:val="7D7C0FA1"/>
    <w:rsid w:val="7D84360D"/>
    <w:rsid w:val="7DA3EBDE"/>
    <w:rsid w:val="7DAB202D"/>
    <w:rsid w:val="7DF7A718"/>
    <w:rsid w:val="7E176EE8"/>
    <w:rsid w:val="7E5A59FC"/>
    <w:rsid w:val="7E63B7B5"/>
    <w:rsid w:val="7EEB467C"/>
    <w:rsid w:val="7F2351DE"/>
    <w:rsid w:val="7F5F9C32"/>
    <w:rsid w:val="7F97DB39"/>
    <w:rsid w:val="7FB091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186B18"/>
    <w:pPr>
      <w:keepNext/>
      <w:keepLines/>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86B1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next w:val="Normal"/>
    <w:link w:val="Heading7Char"/>
    <w:uiPriority w:val="9"/>
    <w:unhideWhenUsed/>
    <w:qFormat/>
    <w:rsid w:val="00186B18"/>
    <w:pPr>
      <w:keepNext/>
      <w:keepLines/>
      <w:pBdr>
        <w:bottom w:val="single" w:sz="4" w:space="1" w:color="auto"/>
      </w:pBdr>
      <w:spacing w:before="600" w:after="480"/>
      <w:outlineLvl w:val="6"/>
    </w:pPr>
    <w:rPr>
      <w:rFonts w:ascii="Franklin Gothic Medium" w:eastAsiaTheme="majorEastAsia" w:hAnsi="Franklin Gothic Medium" w:cstheme="majorBidi"/>
      <w:iCs/>
      <w:sz w:val="44"/>
    </w:rPr>
  </w:style>
  <w:style w:type="paragraph" w:styleId="Heading8">
    <w:name w:val="heading 8"/>
    <w:next w:val="Normal"/>
    <w:link w:val="Heading8Char"/>
    <w:uiPriority w:val="9"/>
    <w:unhideWhenUsed/>
    <w:qFormat/>
    <w:rsid w:val="00186B18"/>
    <w:pPr>
      <w:keepNext/>
      <w:keepLines/>
      <w:spacing w:before="360" w:after="240"/>
      <w:outlineLvl w:val="7"/>
    </w:pPr>
    <w:rPr>
      <w:rFonts w:ascii="Franklin Gothic Medium" w:eastAsiaTheme="majorEastAsia" w:hAnsi="Franklin Gothic Medium" w:cstheme="majorBidi"/>
      <w:color w:val="272727" w:themeColor="text1" w:themeTint="D8"/>
      <w:sz w:val="32"/>
      <w:szCs w:val="21"/>
    </w:rPr>
  </w:style>
  <w:style w:type="paragraph" w:styleId="Heading9">
    <w:name w:val="heading 9"/>
    <w:next w:val="Normal"/>
    <w:link w:val="Heading9Char"/>
    <w:uiPriority w:val="9"/>
    <w:unhideWhenUsed/>
    <w:qFormat/>
    <w:rsid w:val="00186B18"/>
    <w:pPr>
      <w:keepNext/>
      <w:keepLines/>
      <w:spacing w:before="360" w:after="200"/>
      <w:outlineLvl w:val="8"/>
    </w:pPr>
    <w:rPr>
      <w:rFonts w:ascii="Franklin Gothic Medium" w:eastAsiaTheme="majorEastAsia" w:hAnsi="Franklin Gothic Medium" w:cstheme="majorBidi"/>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6602D8"/>
    <w:pPr>
      <w:keepNext/>
      <w:spacing w:before="360" w:after="120" w:line="240" w:lineRule="auto"/>
      <w:ind w:left="1021" w:hanging="1021"/>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6602D8"/>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Conclusion box,Table Grid nm,PBAC table,HTAtableplain,MSD Table Grid,Dossier table,Summary Table,PHE Table Grid,Lash Style Table,Section 3- footno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ED12C7"/>
    <w:pPr>
      <w:tabs>
        <w:tab w:val="left" w:pos="1100"/>
        <w:tab w:val="left" w:pos="1531"/>
        <w:tab w:val="right" w:leader="dot" w:pos="9010"/>
      </w:tabs>
      <w:spacing w:after="100" w:line="240" w:lineRule="auto"/>
    </w:pPr>
    <w:rPr>
      <w:rFonts w:asciiTheme="minorHAnsi" w:hAnsiTheme="minorHAnsi" w:cstheme="minorHAnsi"/>
      <w:bCs/>
      <w:noProof/>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D13865"/>
    <w:rPr>
      <w:color w:val="605E5C"/>
      <w:shd w:val="clear" w:color="auto" w:fill="E1DFDD"/>
    </w:rPr>
  </w:style>
  <w:style w:type="paragraph" w:customStyle="1" w:styleId="pf0">
    <w:name w:val="pf0"/>
    <w:basedOn w:val="Normal"/>
    <w:rsid w:val="004642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642D3"/>
    <w:rPr>
      <w:rFonts w:ascii="Segoe UI" w:hAnsi="Segoe UI" w:cs="Segoe UI" w:hint="default"/>
      <w:sz w:val="18"/>
      <w:szCs w:val="18"/>
    </w:rPr>
  </w:style>
  <w:style w:type="character" w:styleId="Mention">
    <w:name w:val="Mention"/>
    <w:basedOn w:val="DefaultParagraphFont"/>
    <w:uiPriority w:val="99"/>
    <w:unhideWhenUsed/>
    <w:rsid w:val="00F00EBE"/>
    <w:rPr>
      <w:color w:val="2B579A"/>
      <w:shd w:val="clear" w:color="auto" w:fill="E1DFDD"/>
    </w:rPr>
  </w:style>
  <w:style w:type="paragraph" w:customStyle="1" w:styleId="Commentarytext">
    <w:name w:val="Commentary text"/>
    <w:basedOn w:val="CommentText"/>
    <w:link w:val="CommentarytextChar"/>
    <w:qFormat/>
    <w:rsid w:val="00E04B51"/>
    <w:pPr>
      <w:spacing w:before="0" w:after="120" w:line="264" w:lineRule="auto"/>
    </w:pPr>
    <w:rPr>
      <w:rFonts w:asciiTheme="minorHAnsi" w:eastAsiaTheme="minorEastAsia" w:hAnsiTheme="minorHAnsi"/>
      <w:color w:val="0070C0"/>
      <w:szCs w:val="20"/>
    </w:rPr>
  </w:style>
  <w:style w:type="character" w:customStyle="1" w:styleId="CommentarytextChar">
    <w:name w:val="Commentary text Char"/>
    <w:basedOn w:val="DefaultParagraphFont"/>
    <w:link w:val="Commentarytext"/>
    <w:rsid w:val="00E04B51"/>
    <w:rPr>
      <w:rFonts w:eastAsiaTheme="minorEastAsia" w:cs="Times New Roman"/>
      <w:color w:val="0070C0"/>
      <w:szCs w:val="20"/>
      <w:lang w:eastAsia="en-AU"/>
    </w:rPr>
  </w:style>
  <w:style w:type="character" w:customStyle="1" w:styleId="Heading5Char">
    <w:name w:val="Heading 5 Char"/>
    <w:basedOn w:val="DefaultParagraphFont"/>
    <w:link w:val="Heading5"/>
    <w:uiPriority w:val="9"/>
    <w:rsid w:val="00186B1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86B1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86B18"/>
    <w:rPr>
      <w:rFonts w:ascii="Franklin Gothic Medium" w:eastAsiaTheme="majorEastAsia" w:hAnsi="Franklin Gothic Medium" w:cstheme="majorBidi"/>
      <w:iCs/>
      <w:sz w:val="44"/>
    </w:rPr>
  </w:style>
  <w:style w:type="character" w:customStyle="1" w:styleId="Heading8Char">
    <w:name w:val="Heading 8 Char"/>
    <w:basedOn w:val="DefaultParagraphFont"/>
    <w:link w:val="Heading8"/>
    <w:uiPriority w:val="9"/>
    <w:rsid w:val="00186B18"/>
    <w:rPr>
      <w:rFonts w:ascii="Franklin Gothic Medium" w:eastAsiaTheme="majorEastAsia" w:hAnsi="Franklin Gothic Medium" w:cstheme="majorBidi"/>
      <w:color w:val="272727" w:themeColor="text1" w:themeTint="D8"/>
      <w:sz w:val="32"/>
      <w:szCs w:val="21"/>
    </w:rPr>
  </w:style>
  <w:style w:type="character" w:customStyle="1" w:styleId="Heading9Char">
    <w:name w:val="Heading 9 Char"/>
    <w:basedOn w:val="DefaultParagraphFont"/>
    <w:link w:val="Heading9"/>
    <w:uiPriority w:val="9"/>
    <w:rsid w:val="00186B18"/>
    <w:rPr>
      <w:rFonts w:ascii="Franklin Gothic Medium" w:eastAsiaTheme="majorEastAsia" w:hAnsi="Franklin Gothic Medium" w:cstheme="majorBidi"/>
      <w:iCs/>
      <w:color w:val="272727" w:themeColor="text1" w:themeTint="D8"/>
      <w:sz w:val="24"/>
      <w:szCs w:val="21"/>
    </w:rPr>
  </w:style>
  <w:style w:type="character" w:styleId="PageNumber">
    <w:name w:val="page number"/>
    <w:basedOn w:val="DefaultParagraphFont"/>
    <w:uiPriority w:val="99"/>
    <w:semiHidden/>
    <w:unhideWhenUsed/>
    <w:rsid w:val="00186B18"/>
  </w:style>
  <w:style w:type="character" w:customStyle="1" w:styleId="cf11">
    <w:name w:val="cf11"/>
    <w:basedOn w:val="DefaultParagraphFont"/>
    <w:rsid w:val="00186B18"/>
    <w:rPr>
      <w:rFonts w:ascii="Segoe UI" w:hAnsi="Segoe UI" w:cs="Segoe UI" w:hint="default"/>
      <w:sz w:val="18"/>
      <w:szCs w:val="18"/>
    </w:rPr>
  </w:style>
  <w:style w:type="paragraph" w:customStyle="1" w:styleId="ESHeading2">
    <w:name w:val="ES Heading 2"/>
    <w:next w:val="Normal"/>
    <w:link w:val="ESHeading2Char"/>
    <w:qFormat/>
    <w:rsid w:val="00186B18"/>
    <w:pPr>
      <w:keepNext/>
      <w:numPr>
        <w:numId w:val="18"/>
      </w:numPr>
      <w:outlineLvl w:val="1"/>
    </w:pPr>
    <w:rPr>
      <w:rFonts w:ascii="Franklin Gothic Medium" w:eastAsiaTheme="majorEastAsia" w:hAnsi="Franklin Gothic Medium" w:cstheme="majorBidi"/>
      <w:color w:val="000000" w:themeColor="text1"/>
      <w:sz w:val="32"/>
      <w:szCs w:val="26"/>
    </w:rPr>
  </w:style>
  <w:style w:type="paragraph" w:styleId="NormalWeb">
    <w:name w:val="Normal (Web)"/>
    <w:basedOn w:val="Normal"/>
    <w:uiPriority w:val="99"/>
    <w:semiHidden/>
    <w:unhideWhenUsed/>
    <w:rsid w:val="00186B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ffect">
    <w:name w:val="effect"/>
    <w:basedOn w:val="DefaultParagraphFont"/>
    <w:rsid w:val="00186B18"/>
  </w:style>
  <w:style w:type="character" w:customStyle="1" w:styleId="quality-sign">
    <w:name w:val="quality-sign"/>
    <w:basedOn w:val="DefaultParagraphFont"/>
    <w:rsid w:val="00186B18"/>
  </w:style>
  <w:style w:type="character" w:customStyle="1" w:styleId="quality-text">
    <w:name w:val="quality-text"/>
    <w:basedOn w:val="DefaultParagraphFont"/>
    <w:rsid w:val="00186B18"/>
  </w:style>
  <w:style w:type="paragraph" w:customStyle="1" w:styleId="do-not-mathjax">
    <w:name w:val="do-not-mathjax"/>
    <w:basedOn w:val="Normal"/>
    <w:rsid w:val="00186B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hor">
    <w:name w:val="author"/>
    <w:basedOn w:val="Normal"/>
    <w:rsid w:val="00186B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eparator">
    <w:name w:val="separator"/>
    <w:basedOn w:val="DefaultParagraphFont"/>
    <w:rsid w:val="00186B18"/>
  </w:style>
  <w:style w:type="paragraph" w:customStyle="1" w:styleId="ESHeading3">
    <w:name w:val="ES Heading 3"/>
    <w:basedOn w:val="ESHeading2"/>
    <w:next w:val="Normal"/>
    <w:link w:val="ESHeading3Char"/>
    <w:qFormat/>
    <w:rsid w:val="00186B18"/>
    <w:pPr>
      <w:numPr>
        <w:numId w:val="0"/>
      </w:numPr>
      <w:outlineLvl w:val="2"/>
    </w:pPr>
    <w:rPr>
      <w:sz w:val="24"/>
    </w:rPr>
  </w:style>
  <w:style w:type="character" w:customStyle="1" w:styleId="ESHeading2Char">
    <w:name w:val="ES Heading 2 Char"/>
    <w:basedOn w:val="DefaultParagraphFont"/>
    <w:link w:val="ESHeading2"/>
    <w:rsid w:val="00186B18"/>
    <w:rPr>
      <w:rFonts w:ascii="Franklin Gothic Medium" w:eastAsiaTheme="majorEastAsia" w:hAnsi="Franklin Gothic Medium" w:cstheme="majorBidi"/>
      <w:color w:val="000000" w:themeColor="text1"/>
      <w:sz w:val="32"/>
      <w:szCs w:val="26"/>
    </w:rPr>
  </w:style>
  <w:style w:type="paragraph" w:customStyle="1" w:styleId="ESHeading4">
    <w:name w:val="ES Heading 4"/>
    <w:basedOn w:val="ESHeading3"/>
    <w:next w:val="Normal"/>
    <w:link w:val="ESHeading4Char"/>
    <w:qFormat/>
    <w:rsid w:val="00186B18"/>
    <w:pPr>
      <w:outlineLvl w:val="3"/>
    </w:pPr>
    <w:rPr>
      <w:i/>
    </w:rPr>
  </w:style>
  <w:style w:type="character" w:customStyle="1" w:styleId="ESHeading3Char">
    <w:name w:val="ES Heading 3 Char"/>
    <w:basedOn w:val="ESHeading2Char"/>
    <w:link w:val="ESHeading3"/>
    <w:rsid w:val="00186B18"/>
    <w:rPr>
      <w:rFonts w:ascii="Franklin Gothic Medium" w:eastAsiaTheme="majorEastAsia" w:hAnsi="Franklin Gothic Medium" w:cstheme="majorBidi"/>
      <w:color w:val="000000" w:themeColor="text1"/>
      <w:sz w:val="24"/>
      <w:szCs w:val="26"/>
    </w:rPr>
  </w:style>
  <w:style w:type="character" w:customStyle="1" w:styleId="ESHeading4Char">
    <w:name w:val="ES Heading 4 Char"/>
    <w:basedOn w:val="ESHeading3Char"/>
    <w:link w:val="ESHeading4"/>
    <w:rsid w:val="00186B18"/>
    <w:rPr>
      <w:rFonts w:ascii="Franklin Gothic Medium" w:eastAsiaTheme="majorEastAsia" w:hAnsi="Franklin Gothic Medium" w:cstheme="majorBidi"/>
      <w:i/>
      <w:color w:val="000000" w:themeColor="text1"/>
      <w:sz w:val="24"/>
      <w:szCs w:val="26"/>
    </w:rPr>
  </w:style>
  <w:style w:type="numbering" w:customStyle="1" w:styleId="Headings">
    <w:name w:val="Headings"/>
    <w:uiPriority w:val="99"/>
    <w:rsid w:val="00DC566B"/>
    <w:pPr>
      <w:numPr>
        <w:numId w:val="19"/>
      </w:numPr>
    </w:pPr>
  </w:style>
  <w:style w:type="paragraph" w:customStyle="1" w:styleId="Default">
    <w:name w:val="Default"/>
    <w:rsid w:val="007D2A0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7D2A04"/>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7D2A04"/>
    <w:rPr>
      <w:rFonts w:ascii="Book Antiqua" w:eastAsia="Times New Roman" w:hAnsi="Book Antiqua" w:cs="Times New Roman"/>
      <w:sz w:val="24"/>
      <w:szCs w:val="20"/>
    </w:rPr>
  </w:style>
  <w:style w:type="paragraph" w:customStyle="1" w:styleId="xmsonormal">
    <w:name w:val="x_msonormal"/>
    <w:basedOn w:val="Normal"/>
    <w:rsid w:val="003645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36457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587998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76483129">
      <w:bodyDiv w:val="1"/>
      <w:marLeft w:val="0"/>
      <w:marRight w:val="0"/>
      <w:marTop w:val="0"/>
      <w:marBottom w:val="0"/>
      <w:divBdr>
        <w:top w:val="none" w:sz="0" w:space="0" w:color="auto"/>
        <w:left w:val="none" w:sz="0" w:space="0" w:color="auto"/>
        <w:bottom w:val="none" w:sz="0" w:space="0" w:color="auto"/>
        <w:right w:val="none" w:sz="0" w:space="0" w:color="auto"/>
      </w:divBdr>
    </w:div>
    <w:div w:id="100077779">
      <w:bodyDiv w:val="1"/>
      <w:marLeft w:val="0"/>
      <w:marRight w:val="0"/>
      <w:marTop w:val="0"/>
      <w:marBottom w:val="0"/>
      <w:divBdr>
        <w:top w:val="none" w:sz="0" w:space="0" w:color="auto"/>
        <w:left w:val="none" w:sz="0" w:space="0" w:color="auto"/>
        <w:bottom w:val="none" w:sz="0" w:space="0" w:color="auto"/>
        <w:right w:val="none" w:sz="0" w:space="0" w:color="auto"/>
      </w:divBdr>
    </w:div>
    <w:div w:id="100758662">
      <w:bodyDiv w:val="1"/>
      <w:marLeft w:val="0"/>
      <w:marRight w:val="0"/>
      <w:marTop w:val="0"/>
      <w:marBottom w:val="0"/>
      <w:divBdr>
        <w:top w:val="none" w:sz="0" w:space="0" w:color="auto"/>
        <w:left w:val="none" w:sz="0" w:space="0" w:color="auto"/>
        <w:bottom w:val="none" w:sz="0" w:space="0" w:color="auto"/>
        <w:right w:val="none" w:sz="0" w:space="0" w:color="auto"/>
      </w:divBdr>
    </w:div>
    <w:div w:id="15592241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31495281">
      <w:bodyDiv w:val="1"/>
      <w:marLeft w:val="0"/>
      <w:marRight w:val="0"/>
      <w:marTop w:val="0"/>
      <w:marBottom w:val="0"/>
      <w:divBdr>
        <w:top w:val="none" w:sz="0" w:space="0" w:color="auto"/>
        <w:left w:val="none" w:sz="0" w:space="0" w:color="auto"/>
        <w:bottom w:val="none" w:sz="0" w:space="0" w:color="auto"/>
        <w:right w:val="none" w:sz="0" w:space="0" w:color="auto"/>
      </w:divBdr>
    </w:div>
    <w:div w:id="369846130">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08040462">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8522774">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5552025">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2389629">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24123719">
      <w:bodyDiv w:val="1"/>
      <w:marLeft w:val="0"/>
      <w:marRight w:val="0"/>
      <w:marTop w:val="0"/>
      <w:marBottom w:val="0"/>
      <w:divBdr>
        <w:top w:val="none" w:sz="0" w:space="0" w:color="auto"/>
        <w:left w:val="none" w:sz="0" w:space="0" w:color="auto"/>
        <w:bottom w:val="none" w:sz="0" w:space="0" w:color="auto"/>
        <w:right w:val="none" w:sz="0" w:space="0" w:color="auto"/>
      </w:divBdr>
    </w:div>
    <w:div w:id="839544049">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6319276">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9856533">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600169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86614703">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714676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86372698">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72597027">
      <w:bodyDiv w:val="1"/>
      <w:marLeft w:val="0"/>
      <w:marRight w:val="0"/>
      <w:marTop w:val="0"/>
      <w:marBottom w:val="0"/>
      <w:divBdr>
        <w:top w:val="none" w:sz="0" w:space="0" w:color="auto"/>
        <w:left w:val="none" w:sz="0" w:space="0" w:color="auto"/>
        <w:bottom w:val="none" w:sz="0" w:space="0" w:color="auto"/>
        <w:right w:val="none" w:sz="0" w:space="0" w:color="auto"/>
      </w:divBdr>
    </w:div>
    <w:div w:id="1478767247">
      <w:bodyDiv w:val="1"/>
      <w:marLeft w:val="0"/>
      <w:marRight w:val="0"/>
      <w:marTop w:val="0"/>
      <w:marBottom w:val="0"/>
      <w:divBdr>
        <w:top w:val="none" w:sz="0" w:space="0" w:color="auto"/>
        <w:left w:val="none" w:sz="0" w:space="0" w:color="auto"/>
        <w:bottom w:val="none" w:sz="0" w:space="0" w:color="auto"/>
        <w:right w:val="none" w:sz="0" w:space="0" w:color="auto"/>
      </w:divBdr>
      <w:divsChild>
        <w:div w:id="256986006">
          <w:marLeft w:val="0"/>
          <w:marRight w:val="0"/>
          <w:marTop w:val="0"/>
          <w:marBottom w:val="0"/>
          <w:divBdr>
            <w:top w:val="none" w:sz="0" w:space="0" w:color="auto"/>
            <w:left w:val="none" w:sz="0" w:space="0" w:color="auto"/>
            <w:bottom w:val="none" w:sz="0" w:space="0" w:color="auto"/>
            <w:right w:val="none" w:sz="0" w:space="0" w:color="auto"/>
          </w:divBdr>
        </w:div>
        <w:div w:id="1677154370">
          <w:marLeft w:val="0"/>
          <w:marRight w:val="0"/>
          <w:marTop w:val="0"/>
          <w:marBottom w:val="0"/>
          <w:divBdr>
            <w:top w:val="none" w:sz="0" w:space="0" w:color="auto"/>
            <w:left w:val="none" w:sz="0" w:space="0" w:color="auto"/>
            <w:bottom w:val="none" w:sz="0" w:space="0" w:color="auto"/>
            <w:right w:val="none" w:sz="0" w:space="0" w:color="auto"/>
          </w:divBdr>
        </w:div>
        <w:div w:id="1888562593">
          <w:marLeft w:val="0"/>
          <w:marRight w:val="0"/>
          <w:marTop w:val="0"/>
          <w:marBottom w:val="0"/>
          <w:divBdr>
            <w:top w:val="none" w:sz="0" w:space="0" w:color="auto"/>
            <w:left w:val="none" w:sz="0" w:space="0" w:color="auto"/>
            <w:bottom w:val="none" w:sz="0" w:space="0" w:color="auto"/>
            <w:right w:val="none" w:sz="0" w:space="0" w:color="auto"/>
          </w:divBdr>
        </w:div>
      </w:divsChild>
    </w:div>
    <w:div w:id="1542668398">
      <w:bodyDiv w:val="1"/>
      <w:marLeft w:val="0"/>
      <w:marRight w:val="0"/>
      <w:marTop w:val="0"/>
      <w:marBottom w:val="0"/>
      <w:divBdr>
        <w:top w:val="none" w:sz="0" w:space="0" w:color="auto"/>
        <w:left w:val="none" w:sz="0" w:space="0" w:color="auto"/>
        <w:bottom w:val="none" w:sz="0" w:space="0" w:color="auto"/>
        <w:right w:val="none" w:sz="0" w:space="0" w:color="auto"/>
      </w:divBdr>
    </w:div>
    <w:div w:id="1544899272">
      <w:bodyDiv w:val="1"/>
      <w:marLeft w:val="0"/>
      <w:marRight w:val="0"/>
      <w:marTop w:val="0"/>
      <w:marBottom w:val="0"/>
      <w:divBdr>
        <w:top w:val="none" w:sz="0" w:space="0" w:color="auto"/>
        <w:left w:val="none" w:sz="0" w:space="0" w:color="auto"/>
        <w:bottom w:val="none" w:sz="0" w:space="0" w:color="auto"/>
        <w:right w:val="none" w:sz="0" w:space="0" w:color="auto"/>
      </w:divBdr>
    </w:div>
    <w:div w:id="1549146414">
      <w:bodyDiv w:val="1"/>
      <w:marLeft w:val="0"/>
      <w:marRight w:val="0"/>
      <w:marTop w:val="0"/>
      <w:marBottom w:val="0"/>
      <w:divBdr>
        <w:top w:val="none" w:sz="0" w:space="0" w:color="auto"/>
        <w:left w:val="none" w:sz="0" w:space="0" w:color="auto"/>
        <w:bottom w:val="none" w:sz="0" w:space="0" w:color="auto"/>
        <w:right w:val="none" w:sz="0" w:space="0" w:color="auto"/>
      </w:divBdr>
    </w:div>
    <w:div w:id="1555772771">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5379001">
      <w:bodyDiv w:val="1"/>
      <w:marLeft w:val="0"/>
      <w:marRight w:val="0"/>
      <w:marTop w:val="0"/>
      <w:marBottom w:val="0"/>
      <w:divBdr>
        <w:top w:val="none" w:sz="0" w:space="0" w:color="auto"/>
        <w:left w:val="none" w:sz="0" w:space="0" w:color="auto"/>
        <w:bottom w:val="none" w:sz="0" w:space="0" w:color="auto"/>
        <w:right w:val="none" w:sz="0" w:space="0" w:color="auto"/>
      </w:divBdr>
    </w:div>
    <w:div w:id="1636445329">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83822334">
      <w:bodyDiv w:val="1"/>
      <w:marLeft w:val="0"/>
      <w:marRight w:val="0"/>
      <w:marTop w:val="0"/>
      <w:marBottom w:val="0"/>
      <w:divBdr>
        <w:top w:val="none" w:sz="0" w:space="0" w:color="auto"/>
        <w:left w:val="none" w:sz="0" w:space="0" w:color="auto"/>
        <w:bottom w:val="none" w:sz="0" w:space="0" w:color="auto"/>
        <w:right w:val="none" w:sz="0" w:space="0" w:color="auto"/>
      </w:divBdr>
    </w:div>
    <w:div w:id="1710495555">
      <w:bodyDiv w:val="1"/>
      <w:marLeft w:val="0"/>
      <w:marRight w:val="0"/>
      <w:marTop w:val="0"/>
      <w:marBottom w:val="0"/>
      <w:divBdr>
        <w:top w:val="none" w:sz="0" w:space="0" w:color="auto"/>
        <w:left w:val="none" w:sz="0" w:space="0" w:color="auto"/>
        <w:bottom w:val="none" w:sz="0" w:space="0" w:color="auto"/>
        <w:right w:val="none" w:sz="0" w:space="0" w:color="auto"/>
      </w:divBdr>
    </w:div>
    <w:div w:id="1759905765">
      <w:bodyDiv w:val="1"/>
      <w:marLeft w:val="0"/>
      <w:marRight w:val="0"/>
      <w:marTop w:val="0"/>
      <w:marBottom w:val="0"/>
      <w:divBdr>
        <w:top w:val="none" w:sz="0" w:space="0" w:color="auto"/>
        <w:left w:val="none" w:sz="0" w:space="0" w:color="auto"/>
        <w:bottom w:val="none" w:sz="0" w:space="0" w:color="auto"/>
        <w:right w:val="none" w:sz="0" w:space="0" w:color="auto"/>
      </w:divBdr>
    </w:div>
    <w:div w:id="1775593529">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2750127">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81938097">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69625808">
      <w:bodyDiv w:val="1"/>
      <w:marLeft w:val="0"/>
      <w:marRight w:val="0"/>
      <w:marTop w:val="0"/>
      <w:marBottom w:val="0"/>
      <w:divBdr>
        <w:top w:val="none" w:sz="0" w:space="0" w:color="auto"/>
        <w:left w:val="none" w:sz="0" w:space="0" w:color="auto"/>
        <w:bottom w:val="none" w:sz="0" w:space="0" w:color="auto"/>
        <w:right w:val="none" w:sz="0" w:space="0" w:color="auto"/>
      </w:divBdr>
    </w:div>
    <w:div w:id="2008317821">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0791533">
      <w:bodyDiv w:val="1"/>
      <w:marLeft w:val="0"/>
      <w:marRight w:val="0"/>
      <w:marTop w:val="0"/>
      <w:marBottom w:val="0"/>
      <w:divBdr>
        <w:top w:val="none" w:sz="0" w:space="0" w:color="auto"/>
        <w:left w:val="none" w:sz="0" w:space="0" w:color="auto"/>
        <w:bottom w:val="none" w:sz="0" w:space="0" w:color="auto"/>
        <w:right w:val="none" w:sz="0" w:space="0" w:color="auto"/>
      </w:divBdr>
    </w:div>
    <w:div w:id="2035382300">
      <w:bodyDiv w:val="1"/>
      <w:marLeft w:val="0"/>
      <w:marRight w:val="0"/>
      <w:marTop w:val="0"/>
      <w:marBottom w:val="0"/>
      <w:divBdr>
        <w:top w:val="none" w:sz="0" w:space="0" w:color="auto"/>
        <w:left w:val="none" w:sz="0" w:space="0" w:color="auto"/>
        <w:bottom w:val="none" w:sz="0" w:space="0" w:color="auto"/>
        <w:right w:val="none" w:sz="0" w:space="0" w:color="auto"/>
      </w:divBdr>
    </w:div>
    <w:div w:id="2056350071">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sanda.psanz.com.au/assets/Uploads/Section-4-PerintalPostMortemExamination-V3-100421.pdf" TargetMode="External"/><Relationship Id="rId18" Type="http://schemas.openxmlformats.org/officeDocument/2006/relationships/hyperlink" Target="https://learn.stillbirthcre.org.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arn.stillbirthcre.org.au/wp-content/uploads/2024/01/Appendix-6K-Exemplar-placental-histopathology-request-form-1.pdf" TargetMode="External"/><Relationship Id="rId17" Type="http://schemas.openxmlformats.org/officeDocument/2006/relationships/hyperlink" Target="https://www.legislation.gov.au/F2020L00460/latest/vers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bsonlin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a.edu.au/Manuals/Macroscopic-Cut-Up-Manual/Gynaecology-and-perinatal/Placenta/Placenta-single-gestatio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ealth.gov.au/resources/publications/report-from-the-pathology-clinical-committee-tissue-anatomical-pathologycytology?language=en" TargetMode="External"/><Relationship Id="rId23" Type="http://schemas.openxmlformats.org/officeDocument/2006/relationships/footer" Target="footer2.xml"/><Relationship Id="rId10" Type="http://schemas.openxmlformats.org/officeDocument/2006/relationships/hyperlink" Target="https://www.health.gov.au/resources/publications/national-stillbirth-action-and-implementation-plan?language=en" TargetMode="External"/><Relationship Id="rId19"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s://www.legislation.gov.au/F2020L00460/latest/text" TargetMode="External"/><Relationship Id="rId14" Type="http://schemas.openxmlformats.org/officeDocument/2006/relationships/hyperlink" Target="https://learn.stillbirthcre.org.au/learn/casand/"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vaccine.2016.03.040" TargetMode="External"/><Relationship Id="rId2" Type="http://schemas.openxmlformats.org/officeDocument/2006/relationships/hyperlink" Target="https://www.rcpa.edu.au/Manuals/Macroscopic-Cut-Up-Manual/Gynaecology-and-perinatal/Placenta/Placenta-single-gestation" TargetMode="External"/><Relationship Id="rId1" Type="http://schemas.openxmlformats.org/officeDocument/2006/relationships/hyperlink" Target="https://www9.health.gov.au/mbs/fullDisplay.cfm?type=note&amp;qt=NoteID&amp;q=PN.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6D52-A255-4E19-856A-FA58BBD2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11080</Words>
  <Characters>64908</Characters>
  <Application>Microsoft Office Word</Application>
  <DocSecurity>2</DocSecurity>
  <Lines>540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2024-10-03T04:11:00Z</dcterms:created>
  <dcterms:modified xsi:type="dcterms:W3CDTF">2024-10-03T04:11:00Z</dcterms:modified>
</cp:coreProperties>
</file>