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D6472" w14:textId="77777777" w:rsidR="00255EA3" w:rsidRDefault="00255EA3" w:rsidP="00255EA3">
      <w:pPr>
        <w:pStyle w:val="Heading1"/>
        <w:numPr>
          <w:ilvl w:val="0"/>
          <w:numId w:val="0"/>
        </w:numPr>
        <w:pBdr>
          <w:bottom w:val="none" w:sz="0" w:space="0" w:color="auto"/>
        </w:pBdr>
        <w:spacing w:before="0" w:after="360"/>
        <w:ind w:left="788"/>
        <w:jc w:val="center"/>
        <w:rPr>
          <w:rFonts w:ascii="Arial" w:hAnsi="Arial" w:cs="Arial"/>
          <w:b/>
          <w:bCs/>
          <w:color w:val="000080"/>
          <w:sz w:val="36"/>
          <w:szCs w:val="36"/>
        </w:rPr>
      </w:pPr>
      <w:r>
        <w:rPr>
          <w:rFonts w:ascii="Arial" w:hAnsi="Arial" w:cs="Arial"/>
          <w:b/>
          <w:bCs/>
          <w:color w:val="000080"/>
          <w:sz w:val="36"/>
          <w:szCs w:val="36"/>
        </w:rPr>
        <w:t>Medical Services Advisory Committee (MSAC)</w:t>
      </w:r>
      <w:r>
        <w:rPr>
          <w:rFonts w:ascii="Arial" w:hAnsi="Arial" w:cs="Arial"/>
          <w:b/>
          <w:bCs/>
          <w:color w:val="000080"/>
          <w:sz w:val="36"/>
          <w:szCs w:val="36"/>
        </w:rPr>
        <w:br/>
      </w:r>
      <w:r w:rsidRPr="00F76D74">
        <w:rPr>
          <w:rFonts w:ascii="Arial" w:hAnsi="Arial" w:cs="Arial"/>
          <w:b/>
          <w:bCs/>
          <w:color w:val="000080"/>
          <w:sz w:val="36"/>
          <w:szCs w:val="36"/>
        </w:rPr>
        <w:t>Public Summary Document</w:t>
      </w:r>
    </w:p>
    <w:p w14:paraId="7A128FDE" w14:textId="4BF2A284" w:rsidR="00772829" w:rsidRPr="00E40A38" w:rsidRDefault="00772829" w:rsidP="00772829">
      <w:pPr>
        <w:pStyle w:val="Subtitle"/>
      </w:pPr>
      <w:r w:rsidRPr="00E40A38">
        <w:t>Application No.</w:t>
      </w:r>
      <w:r w:rsidR="002D20F7" w:rsidRPr="00E40A38">
        <w:t xml:space="preserve"> 1728 – Etranacogene dezaparvovec for the treatment of Haemophilia B</w:t>
      </w:r>
      <w:r w:rsidRPr="00E40A38">
        <w:t xml:space="preserve"> </w:t>
      </w:r>
    </w:p>
    <w:p w14:paraId="35263561" w14:textId="643466F6" w:rsidR="00772829" w:rsidRPr="00E40A38" w:rsidRDefault="00772829" w:rsidP="00772829">
      <w:pPr>
        <w:tabs>
          <w:tab w:val="left" w:pos="3686"/>
        </w:tabs>
        <w:spacing w:after="240"/>
        <w:rPr>
          <w:rFonts w:ascii="Arial" w:hAnsi="Arial" w:cs="Arial"/>
          <w:b/>
          <w:szCs w:val="24"/>
        </w:rPr>
      </w:pPr>
      <w:r w:rsidRPr="00E40A38">
        <w:rPr>
          <w:rFonts w:ascii="Arial" w:hAnsi="Arial" w:cs="Arial"/>
          <w:b/>
          <w:szCs w:val="24"/>
        </w:rPr>
        <w:t>Applicant:</w:t>
      </w:r>
      <w:r w:rsidRPr="00E40A38">
        <w:rPr>
          <w:rFonts w:ascii="Arial" w:hAnsi="Arial" w:cs="Arial"/>
          <w:b/>
          <w:szCs w:val="24"/>
        </w:rPr>
        <w:tab/>
      </w:r>
      <w:r w:rsidR="00C626DB" w:rsidRPr="00E40A38">
        <w:rPr>
          <w:rFonts w:ascii="Arial" w:hAnsi="Arial" w:cs="Arial"/>
          <w:b/>
          <w:szCs w:val="24"/>
        </w:rPr>
        <w:t>CSL Behring (Australia) Pty Ltd.</w:t>
      </w:r>
    </w:p>
    <w:p w14:paraId="15DA9C4A" w14:textId="0CC70390" w:rsidR="009A3778" w:rsidRDefault="00772829" w:rsidP="00772829">
      <w:pPr>
        <w:tabs>
          <w:tab w:val="left" w:pos="3686"/>
        </w:tabs>
        <w:spacing w:after="360"/>
        <w:rPr>
          <w:rFonts w:ascii="Arial" w:hAnsi="Arial" w:cs="Arial"/>
          <w:b/>
          <w:szCs w:val="24"/>
          <w:highlight w:val="cyan"/>
        </w:rPr>
      </w:pPr>
      <w:r w:rsidRPr="00E40A38">
        <w:rPr>
          <w:rFonts w:ascii="Arial" w:hAnsi="Arial" w:cs="Arial"/>
          <w:b/>
          <w:szCs w:val="24"/>
        </w:rPr>
        <w:t>Date of MSAC consideration:</w:t>
      </w:r>
      <w:r w:rsidRPr="00E40A38">
        <w:rPr>
          <w:rFonts w:ascii="Arial" w:hAnsi="Arial" w:cs="Arial"/>
          <w:b/>
          <w:szCs w:val="24"/>
        </w:rPr>
        <w:tab/>
      </w:r>
      <w:r w:rsidR="00255EA3">
        <w:rPr>
          <w:rFonts w:ascii="Arial" w:hAnsi="Arial" w:cs="Arial"/>
          <w:b/>
          <w:szCs w:val="24"/>
        </w:rPr>
        <w:t xml:space="preserve">1-2 August </w:t>
      </w:r>
      <w:r w:rsidR="00245B69" w:rsidRPr="00E40A38">
        <w:rPr>
          <w:rFonts w:ascii="Arial" w:hAnsi="Arial" w:cs="Arial"/>
          <w:b/>
          <w:szCs w:val="24"/>
        </w:rPr>
        <w:t>2024</w:t>
      </w:r>
      <w:r w:rsidR="00245B69" w:rsidRPr="00E40A38">
        <w:rPr>
          <w:rFonts w:ascii="Arial" w:hAnsi="Arial" w:cs="Arial"/>
          <w:b/>
          <w:szCs w:val="24"/>
          <w:highlight w:val="cyan"/>
        </w:rPr>
        <w:t xml:space="preserve"> </w:t>
      </w:r>
    </w:p>
    <w:p w14:paraId="24DA1564" w14:textId="77777777" w:rsidR="00255EA3" w:rsidRPr="00415A9B" w:rsidRDefault="00255EA3" w:rsidP="00255EA3">
      <w:pPr>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8" w:tooltip="Link to Medical Services Advisory Committee website" w:history="1">
        <w:r w:rsidRPr="00F715D1">
          <w:rPr>
            <w:rStyle w:val="Hyperlink"/>
            <w:szCs w:val="24"/>
          </w:rPr>
          <w:t>visit the MSAC website</w:t>
        </w:r>
      </w:hyperlink>
    </w:p>
    <w:p w14:paraId="7EAA7262" w14:textId="010E8743" w:rsidR="00772829" w:rsidRPr="00E40A38" w:rsidRDefault="00C36633" w:rsidP="00C36633">
      <w:pPr>
        <w:pStyle w:val="Heading2"/>
        <w:numPr>
          <w:ilvl w:val="0"/>
          <w:numId w:val="0"/>
        </w:numPr>
      </w:pPr>
      <w:bookmarkStart w:id="0" w:name="_Toc69491415"/>
      <w:r w:rsidRPr="00E40A38">
        <w:t>1.</w:t>
      </w:r>
      <w:r w:rsidRPr="00E40A38">
        <w:tab/>
      </w:r>
      <w:r w:rsidR="00772829" w:rsidRPr="00E40A38">
        <w:t xml:space="preserve">Purpose </w:t>
      </w:r>
      <w:r w:rsidR="00772829" w:rsidRPr="00E40A38">
        <w:rPr>
          <w:szCs w:val="32"/>
        </w:rPr>
        <w:t>of</w:t>
      </w:r>
      <w:r w:rsidR="00772829" w:rsidRPr="00E40A38">
        <w:t xml:space="preserve"> application</w:t>
      </w:r>
      <w:bookmarkEnd w:id="0"/>
    </w:p>
    <w:p w14:paraId="5B4805B8" w14:textId="104B0B32" w:rsidR="00542BCA" w:rsidRPr="00E40A38" w:rsidRDefault="00542BCA" w:rsidP="00542BCA">
      <w:pPr>
        <w:spacing w:after="240"/>
      </w:pPr>
      <w:bookmarkStart w:id="1" w:name="_Toc69491416"/>
      <w:r w:rsidRPr="00E40A38">
        <w:t xml:space="preserve">An application requesting funding </w:t>
      </w:r>
      <w:r w:rsidR="6F365228" w:rsidRPr="00E40A38">
        <w:t xml:space="preserve">under the national blood arrangements </w:t>
      </w:r>
      <w:r w:rsidRPr="00E40A38">
        <w:t xml:space="preserve">of etranacogene dezaparvovec (also known as Hemgenix®, AMT-061 and CSL222 or </w:t>
      </w:r>
      <w:proofErr w:type="spellStart"/>
      <w:r w:rsidRPr="00E40A38">
        <w:t>EtranaDez</w:t>
      </w:r>
      <w:proofErr w:type="spellEnd"/>
      <w:r w:rsidRPr="00E40A38">
        <w:t xml:space="preserve">) for </w:t>
      </w:r>
      <w:r w:rsidR="007D7990" w:rsidRPr="00E40A38">
        <w:t xml:space="preserve">the </w:t>
      </w:r>
      <w:r w:rsidRPr="00E40A38">
        <w:t>treatment of moderately severe and severe haemophilia B was received from CSL Behring (Australia) Pty Ltd by the Department of Health</w:t>
      </w:r>
      <w:r w:rsidR="00BC1F63" w:rsidRPr="00E40A38">
        <w:t xml:space="preserve"> and Aged Care</w:t>
      </w:r>
      <w:r w:rsidRPr="00E40A38">
        <w:t>.</w:t>
      </w:r>
    </w:p>
    <w:p w14:paraId="75103DD4" w14:textId="2EE74166" w:rsidR="00542BCA" w:rsidRDefault="00542BCA" w:rsidP="00542BCA">
      <w:pPr>
        <w:spacing w:after="120"/>
        <w:rPr>
          <w:iCs/>
          <w:szCs w:val="24"/>
        </w:rPr>
      </w:pPr>
      <w:r w:rsidRPr="00E40A38">
        <w:rPr>
          <w:iCs/>
          <w:szCs w:val="24"/>
        </w:rPr>
        <w:t>This</w:t>
      </w:r>
      <w:r w:rsidRPr="00E40A38" w:rsidDel="00297DA9">
        <w:rPr>
          <w:iCs/>
          <w:szCs w:val="24"/>
        </w:rPr>
        <w:t xml:space="preserve"> </w:t>
      </w:r>
      <w:r w:rsidRPr="00E40A38">
        <w:rPr>
          <w:iCs/>
          <w:szCs w:val="24"/>
        </w:rPr>
        <w:t>application also assessed a 9-point cell-based anti-</w:t>
      </w:r>
      <w:r w:rsidR="00692E4F" w:rsidRPr="00E40A38">
        <w:rPr>
          <w:iCs/>
          <w:szCs w:val="24"/>
        </w:rPr>
        <w:t xml:space="preserve">adeno-associated virus </w:t>
      </w:r>
      <w:r w:rsidR="008C36C7" w:rsidRPr="00E40A38">
        <w:rPr>
          <w:iCs/>
          <w:szCs w:val="24"/>
        </w:rPr>
        <w:t xml:space="preserve">type </w:t>
      </w:r>
      <w:r w:rsidR="00487681" w:rsidRPr="00E40A38">
        <w:rPr>
          <w:iCs/>
          <w:szCs w:val="24"/>
        </w:rPr>
        <w:t xml:space="preserve">5 </w:t>
      </w:r>
      <w:r w:rsidR="00185990" w:rsidRPr="00E40A38">
        <w:rPr>
          <w:iCs/>
          <w:szCs w:val="24"/>
        </w:rPr>
        <w:t>(</w:t>
      </w:r>
      <w:r w:rsidR="00487681" w:rsidRPr="00E40A38">
        <w:rPr>
          <w:iCs/>
          <w:szCs w:val="24"/>
        </w:rPr>
        <w:t>anti-</w:t>
      </w:r>
      <w:r w:rsidRPr="00E40A38">
        <w:rPr>
          <w:iCs/>
          <w:szCs w:val="24"/>
        </w:rPr>
        <w:t>AAV5</w:t>
      </w:r>
      <w:r w:rsidR="00487681" w:rsidRPr="00E40A38">
        <w:rPr>
          <w:iCs/>
          <w:szCs w:val="24"/>
        </w:rPr>
        <w:t>)</w:t>
      </w:r>
      <w:r w:rsidRPr="00E40A38">
        <w:rPr>
          <w:iCs/>
          <w:szCs w:val="24"/>
        </w:rPr>
        <w:t xml:space="preserve"> </w:t>
      </w:r>
      <w:r w:rsidRPr="00E40A38">
        <w:t>neutralising antibodies (</w:t>
      </w:r>
      <w:proofErr w:type="spellStart"/>
      <w:r w:rsidRPr="00E40A38">
        <w:t>NAb</w:t>
      </w:r>
      <w:proofErr w:type="spellEnd"/>
      <w:r w:rsidRPr="00E40A38">
        <w:t xml:space="preserve">) assay for prediction of response to </w:t>
      </w:r>
      <w:r w:rsidR="000D0E94">
        <w:rPr>
          <w:iCs/>
        </w:rPr>
        <w:t>Hemgenix</w:t>
      </w:r>
      <w:r w:rsidRPr="00E40A38">
        <w:rPr>
          <w:iCs/>
          <w:szCs w:val="24"/>
        </w:rPr>
        <w:t>. Funding was not sought for this test.</w:t>
      </w:r>
      <w:r w:rsidR="00826FAE" w:rsidRPr="00E40A38">
        <w:rPr>
          <w:iCs/>
          <w:szCs w:val="24"/>
        </w:rPr>
        <w:t xml:space="preserve"> </w:t>
      </w:r>
      <w:r w:rsidR="00325D0E" w:rsidRPr="00E40A38">
        <w:rPr>
          <w:iCs/>
          <w:szCs w:val="24"/>
        </w:rPr>
        <w:t>Assessment of the assay</w:t>
      </w:r>
      <w:r w:rsidR="00826FAE" w:rsidRPr="00E40A38">
        <w:rPr>
          <w:iCs/>
          <w:szCs w:val="24"/>
        </w:rPr>
        <w:t xml:space="preserve"> was requested by </w:t>
      </w:r>
      <w:r w:rsidR="00325D0E" w:rsidRPr="00E40A38">
        <w:rPr>
          <w:iCs/>
          <w:szCs w:val="24"/>
        </w:rPr>
        <w:t xml:space="preserve">the </w:t>
      </w:r>
      <w:r w:rsidR="00325D0E" w:rsidRPr="00E40A38">
        <w:t>PICO Confirmation Advisory Sub-Committee (PASC)</w:t>
      </w:r>
      <w:r w:rsidR="00B90CC8" w:rsidRPr="00E40A38">
        <w:rPr>
          <w:iCs/>
          <w:szCs w:val="24"/>
        </w:rPr>
        <w:t>.</w:t>
      </w:r>
    </w:p>
    <w:p w14:paraId="67BE7F9D" w14:textId="77777777" w:rsidR="00255EA3" w:rsidRDefault="00255EA3" w:rsidP="00255EA3">
      <w:pPr>
        <w:pStyle w:val="Heading2"/>
        <w:numPr>
          <w:ilvl w:val="0"/>
          <w:numId w:val="0"/>
        </w:numPr>
      </w:pPr>
      <w:r>
        <w:t>2.</w:t>
      </w:r>
      <w:r>
        <w:tab/>
        <w:t>MSAC’s advice to the Minister</w:t>
      </w:r>
    </w:p>
    <w:p w14:paraId="41C58CE5" w14:textId="7650615A" w:rsidR="008D4632" w:rsidRPr="008D4632" w:rsidRDefault="00255EA3" w:rsidP="008D4632">
      <w:pPr>
        <w:spacing w:after="240" w:line="240" w:lineRule="auto"/>
        <w:rPr>
          <w:rFonts w:eastAsia="Calibri" w:cs="Times New Roman"/>
        </w:rPr>
      </w:pPr>
      <w:r w:rsidRPr="00C86E49">
        <w:rPr>
          <w:rFonts w:eastAsia="Calibri" w:cs="Times New Roman"/>
        </w:rPr>
        <w:t>After considering the strength of the available evidence in relation to comparative safety,</w:t>
      </w:r>
      <w:r w:rsidR="00BA58F8" w:rsidRPr="00BA58F8">
        <w:rPr>
          <w:rFonts w:eastAsia="Calibri" w:cs="Times New Roman"/>
        </w:rPr>
        <w:t xml:space="preserve"> </w:t>
      </w:r>
      <w:r w:rsidR="00BA58F8" w:rsidRPr="00C86E49">
        <w:rPr>
          <w:rFonts w:eastAsia="Calibri" w:cs="Times New Roman"/>
        </w:rPr>
        <w:t xml:space="preserve">clinical </w:t>
      </w:r>
      <w:r w:rsidRPr="00C86E49">
        <w:rPr>
          <w:rFonts w:eastAsia="Calibri" w:cs="Times New Roman"/>
        </w:rPr>
        <w:t xml:space="preserve">effectiveness, cost-effectiveness and total cost, </w:t>
      </w:r>
      <w:r w:rsidR="008D4632" w:rsidRPr="008D4632">
        <w:rPr>
          <w:rFonts w:eastAsia="Calibri" w:cs="Times New Roman"/>
        </w:rPr>
        <w:t>MSAC did not support public funding of the gene therapy etranacogene dezaparvovec (Hemgenix) for the treatment of adult patients with moderately severe or severe congenital haemophilia B. MSAC noted the limited low certainty clinical evidence indicated that Hemgenix may be effective for some patients in the short term but considered that there was substantial inter-individual variability in the patient response to Hemgenix. Although a lifetime benefit was claimed, MSAC considered the clinical evidence (3</w:t>
      </w:r>
      <w:r w:rsidR="004F4A60">
        <w:rPr>
          <w:rFonts w:eastAsia="Calibri" w:cs="Times New Roman"/>
        </w:rPr>
        <w:noBreakHyphen/>
      </w:r>
      <w:r w:rsidR="008D4632" w:rsidRPr="008D4632">
        <w:rPr>
          <w:rFonts w:eastAsia="Calibri" w:cs="Times New Roman"/>
        </w:rPr>
        <w:t>year follow-up) was insufficient to substantiate the long-term safety and effectiveness of Hemgenix. MSAC noted that pre-existing neutralising antibodies against the viral vector</w:t>
      </w:r>
      <w:r w:rsidR="007570AB">
        <w:rPr>
          <w:rFonts w:eastAsia="Calibri" w:cs="Times New Roman"/>
        </w:rPr>
        <w:t xml:space="preserve"> (anti-AAV5 neutralising anti</w:t>
      </w:r>
      <w:r w:rsidR="00DE1881">
        <w:rPr>
          <w:rFonts w:eastAsia="Calibri" w:cs="Times New Roman"/>
        </w:rPr>
        <w:t>bodies)</w:t>
      </w:r>
      <w:r w:rsidR="008D4632" w:rsidRPr="008D4632">
        <w:rPr>
          <w:rFonts w:eastAsia="Calibri" w:cs="Times New Roman"/>
        </w:rPr>
        <w:t xml:space="preserve"> used to deliver Hemgenix impacts the effectiveness of Hemgenix. MSAC considered the neutralising antibody test was </w:t>
      </w:r>
      <w:r w:rsidR="0081763E">
        <w:rPr>
          <w:rFonts w:eastAsia="Calibri" w:cs="Times New Roman"/>
        </w:rPr>
        <w:t>essential</w:t>
      </w:r>
      <w:r w:rsidR="008D4632" w:rsidRPr="008D4632">
        <w:rPr>
          <w:rFonts w:eastAsia="Calibri" w:cs="Times New Roman"/>
        </w:rPr>
        <w:t xml:space="preserve"> for determining patient eligibility to Hemgenix, but noted this test has not been validated. MSAC also considered that the cost effectiveness of Hemgenix compared to </w:t>
      </w:r>
      <w:r w:rsidR="004F4A60">
        <w:rPr>
          <w:rFonts w:eastAsia="Calibri" w:cs="Times New Roman"/>
        </w:rPr>
        <w:t>f</w:t>
      </w:r>
      <w:r w:rsidR="008D4632" w:rsidRPr="008D4632">
        <w:rPr>
          <w:rFonts w:eastAsia="Calibri" w:cs="Times New Roman"/>
        </w:rPr>
        <w:t xml:space="preserve">actor IX replacement therapy was highly uncertain due to the uncertainties in </w:t>
      </w:r>
      <w:r w:rsidR="00AD10CE" w:rsidRPr="00AD10CE">
        <w:rPr>
          <w:rFonts w:eastAsia="Calibri" w:cs="Times New Roman"/>
        </w:rPr>
        <w:t>both the clinical evidence and the oversimplified economic model which had inherent limitations</w:t>
      </w:r>
      <w:r w:rsidR="008D4632" w:rsidRPr="008D4632">
        <w:rPr>
          <w:rFonts w:eastAsia="Calibri" w:cs="Times New Roman"/>
        </w:rPr>
        <w:t xml:space="preserve">. </w:t>
      </w:r>
      <w:r w:rsidR="00172460">
        <w:rPr>
          <w:rFonts w:eastAsia="Calibri" w:cs="Times New Roman"/>
        </w:rPr>
        <w:t>As such, MSAC considered</w:t>
      </w:r>
      <w:r w:rsidR="00DE6626">
        <w:rPr>
          <w:rFonts w:eastAsia="Calibri" w:cs="Times New Roman"/>
        </w:rPr>
        <w:t xml:space="preserve"> the</w:t>
      </w:r>
      <w:r w:rsidR="00172460">
        <w:rPr>
          <w:rFonts w:eastAsia="Calibri" w:cs="Times New Roman"/>
        </w:rPr>
        <w:t xml:space="preserve"> proposed very high </w:t>
      </w:r>
      <w:r w:rsidR="000611AE">
        <w:rPr>
          <w:rFonts w:eastAsia="Calibri" w:cs="Times New Roman"/>
        </w:rPr>
        <w:t>price</w:t>
      </w:r>
      <w:r w:rsidR="00172460">
        <w:rPr>
          <w:rFonts w:eastAsia="Calibri" w:cs="Times New Roman"/>
        </w:rPr>
        <w:t xml:space="preserve"> for Hemgenix was not cost-effective. </w:t>
      </w:r>
      <w:r w:rsidR="008D4632" w:rsidRPr="008D4632">
        <w:rPr>
          <w:rFonts w:eastAsia="Calibri" w:cs="Times New Roman"/>
        </w:rPr>
        <w:t xml:space="preserve">MSAC considered that the estimated utilisation may be </w:t>
      </w:r>
      <w:r w:rsidR="00133F17">
        <w:rPr>
          <w:rFonts w:eastAsia="Calibri" w:cs="Times New Roman"/>
        </w:rPr>
        <w:t xml:space="preserve">erroneously </w:t>
      </w:r>
      <w:r w:rsidR="008D4632" w:rsidRPr="008D4632">
        <w:rPr>
          <w:rFonts w:eastAsia="Calibri" w:cs="Times New Roman"/>
        </w:rPr>
        <w:t>low</w:t>
      </w:r>
      <w:r w:rsidR="00133F17">
        <w:rPr>
          <w:rFonts w:eastAsia="Calibri" w:cs="Times New Roman"/>
        </w:rPr>
        <w:t xml:space="preserve"> given the p</w:t>
      </w:r>
      <w:r w:rsidR="0055038C">
        <w:rPr>
          <w:rFonts w:eastAsia="Calibri" w:cs="Times New Roman"/>
        </w:rPr>
        <w:t xml:space="preserve">revalent pool of potentially eligible </w:t>
      </w:r>
      <w:proofErr w:type="gramStart"/>
      <w:r w:rsidR="0055038C">
        <w:rPr>
          <w:rFonts w:eastAsia="Calibri" w:cs="Times New Roman"/>
        </w:rPr>
        <w:t>individuals</w:t>
      </w:r>
      <w:proofErr w:type="gramEnd"/>
      <w:r w:rsidR="007872E9">
        <w:rPr>
          <w:rFonts w:eastAsia="Calibri" w:cs="Times New Roman"/>
        </w:rPr>
        <w:t xml:space="preserve"> but </w:t>
      </w:r>
      <w:r w:rsidR="00A20EEA">
        <w:rPr>
          <w:rFonts w:eastAsia="Calibri" w:cs="Times New Roman"/>
        </w:rPr>
        <w:t xml:space="preserve">this was uncertain as </w:t>
      </w:r>
      <w:r w:rsidR="00FF4749">
        <w:rPr>
          <w:rFonts w:eastAsia="Calibri" w:cs="Times New Roman"/>
        </w:rPr>
        <w:t>there may be</w:t>
      </w:r>
      <w:r w:rsidR="008D4632" w:rsidRPr="008D4632">
        <w:rPr>
          <w:rFonts w:eastAsia="Calibri" w:cs="Times New Roman"/>
        </w:rPr>
        <w:t xml:space="preserve"> potential system and supply capacity</w:t>
      </w:r>
      <w:r w:rsidR="00664EE4">
        <w:rPr>
          <w:rFonts w:eastAsia="Calibri" w:cs="Times New Roman"/>
        </w:rPr>
        <w:t xml:space="preserve"> constrain</w:t>
      </w:r>
      <w:r w:rsidR="00007B9A">
        <w:rPr>
          <w:rFonts w:eastAsia="Calibri" w:cs="Times New Roman"/>
        </w:rPr>
        <w:t>t</w:t>
      </w:r>
      <w:r w:rsidR="00664EE4">
        <w:rPr>
          <w:rFonts w:eastAsia="Calibri" w:cs="Times New Roman"/>
        </w:rPr>
        <w:t>s. In addition</w:t>
      </w:r>
      <w:r w:rsidR="008D4632" w:rsidRPr="008D4632">
        <w:rPr>
          <w:rFonts w:eastAsia="Calibri" w:cs="Times New Roman"/>
        </w:rPr>
        <w:t>, patient acceptance with current alternative treatments and other near market and emergent treatments</w:t>
      </w:r>
      <w:r w:rsidR="5091D694" w:rsidRPr="008D4632">
        <w:rPr>
          <w:rFonts w:eastAsia="Calibri" w:cs="Times New Roman"/>
        </w:rPr>
        <w:t>, such as subcut</w:t>
      </w:r>
      <w:r w:rsidR="00947B8B">
        <w:rPr>
          <w:rFonts w:eastAsia="Calibri" w:cs="Times New Roman"/>
        </w:rPr>
        <w:t>a</w:t>
      </w:r>
      <w:r w:rsidR="5091D694" w:rsidRPr="008D4632">
        <w:rPr>
          <w:rFonts w:eastAsia="Calibri" w:cs="Times New Roman"/>
        </w:rPr>
        <w:t xml:space="preserve">neously administered </w:t>
      </w:r>
      <w:r w:rsidR="09025836" w:rsidRPr="00331A44">
        <w:rPr>
          <w:rFonts w:eastAsia="Calibri" w:cs="Times New Roman"/>
        </w:rPr>
        <w:t>anti–tissue factor pathway inhibitors,</w:t>
      </w:r>
      <w:r w:rsidR="00664EE4">
        <w:rPr>
          <w:rFonts w:eastAsia="Calibri" w:cs="Times New Roman"/>
        </w:rPr>
        <w:t xml:space="preserve"> may </w:t>
      </w:r>
      <w:r w:rsidR="670C0F07" w:rsidRPr="5083D224">
        <w:rPr>
          <w:rFonts w:eastAsia="Calibri" w:cs="Times New Roman"/>
        </w:rPr>
        <w:t>increase treatment choice and</w:t>
      </w:r>
      <w:r w:rsidR="00664EE4" w:rsidRPr="0BD5922C">
        <w:rPr>
          <w:rFonts w:eastAsia="Calibri" w:cs="Times New Roman"/>
        </w:rPr>
        <w:t xml:space="preserve"> </w:t>
      </w:r>
      <w:r w:rsidR="670C0F07" w:rsidRPr="1CA22B84">
        <w:rPr>
          <w:rFonts w:eastAsia="Calibri" w:cs="Times New Roman"/>
        </w:rPr>
        <w:t xml:space="preserve">therefore </w:t>
      </w:r>
      <w:r w:rsidR="00C456A2">
        <w:rPr>
          <w:rFonts w:eastAsia="Calibri" w:cs="Times New Roman"/>
        </w:rPr>
        <w:t>impact the up</w:t>
      </w:r>
      <w:r w:rsidR="00D05A8F">
        <w:rPr>
          <w:rFonts w:eastAsia="Calibri" w:cs="Times New Roman"/>
        </w:rPr>
        <w:t>tak</w:t>
      </w:r>
      <w:r w:rsidR="00C456A2">
        <w:rPr>
          <w:rFonts w:eastAsia="Calibri" w:cs="Times New Roman"/>
        </w:rPr>
        <w:t xml:space="preserve">e of Hemgenix. </w:t>
      </w:r>
      <w:r w:rsidR="00007B9A">
        <w:rPr>
          <w:rFonts w:eastAsia="Calibri" w:cs="Times New Roman"/>
        </w:rPr>
        <w:t xml:space="preserve">Therefore, </w:t>
      </w:r>
      <w:r w:rsidR="00C456A2">
        <w:rPr>
          <w:rFonts w:eastAsia="Calibri" w:cs="Times New Roman"/>
        </w:rPr>
        <w:t xml:space="preserve">MSAC consider the utilisation </w:t>
      </w:r>
      <w:r w:rsidR="00007B9A">
        <w:rPr>
          <w:rFonts w:eastAsia="Calibri" w:cs="Times New Roman"/>
        </w:rPr>
        <w:t>and</w:t>
      </w:r>
      <w:r w:rsidR="008D4632" w:rsidRPr="008D4632">
        <w:rPr>
          <w:rFonts w:eastAsia="Calibri" w:cs="Times New Roman"/>
        </w:rPr>
        <w:t xml:space="preserve"> financial impact </w:t>
      </w:r>
      <w:r w:rsidR="002300CC">
        <w:rPr>
          <w:rFonts w:eastAsia="Calibri" w:cs="Times New Roman"/>
        </w:rPr>
        <w:t xml:space="preserve">of </w:t>
      </w:r>
      <w:r w:rsidR="002300CC">
        <w:rPr>
          <w:rFonts w:eastAsia="Calibri" w:cs="Times New Roman"/>
        </w:rPr>
        <w:lastRenderedPageBreak/>
        <w:t xml:space="preserve">Hemgenix </w:t>
      </w:r>
      <w:r w:rsidR="008D4632" w:rsidRPr="008D4632">
        <w:rPr>
          <w:rFonts w:eastAsia="Calibri" w:cs="Times New Roman"/>
        </w:rPr>
        <w:t>was uncertain. MSAC also noted that Hemgenix is only provisionally approved for use in Australia by the Therapeutic Goods Administration.</w:t>
      </w:r>
      <w:r w:rsidR="0098575D" w:rsidRPr="0098575D">
        <w:t xml:space="preserve"> </w:t>
      </w:r>
    </w:p>
    <w:p w14:paraId="1232853A" w14:textId="6C3D4D3F" w:rsidR="00255EA3" w:rsidRDefault="008D4632" w:rsidP="008D4632">
      <w:pPr>
        <w:spacing w:after="240" w:line="240" w:lineRule="auto"/>
        <w:rPr>
          <w:rFonts w:eastAsia="Calibri" w:cs="Times New Roman"/>
        </w:rPr>
      </w:pPr>
      <w:r w:rsidRPr="008D4632">
        <w:rPr>
          <w:rFonts w:eastAsia="Calibri" w:cs="Times New Roman"/>
        </w:rPr>
        <w:t>MSAC considered any re-application would need to provide additional longer-term clinical evidence, including evidence for the neutralising antibody test (consistent with post-marketing registration requirements), revised economic and financial analyses, a significantly reduced price, and details for a proposed risk sharing arrangement.</w:t>
      </w:r>
    </w:p>
    <w:tbl>
      <w:tblPr>
        <w:tblStyle w:val="TableGrid"/>
        <w:tblW w:w="0" w:type="auto"/>
        <w:tblLook w:val="04A0" w:firstRow="1" w:lastRow="0" w:firstColumn="1" w:lastColumn="0" w:noHBand="0" w:noVBand="1"/>
        <w:tblDescription w:val="Consumer summary of MSAC consideration"/>
      </w:tblPr>
      <w:tblGrid>
        <w:gridCol w:w="9016"/>
      </w:tblGrid>
      <w:tr w:rsidR="00255EA3" w:rsidRPr="00C86E49" w14:paraId="6FEDE9C7" w14:textId="77777777" w:rsidTr="00D70CD4">
        <w:trPr>
          <w:tblHeader/>
        </w:trPr>
        <w:tc>
          <w:tcPr>
            <w:tcW w:w="9016" w:type="dxa"/>
          </w:tcPr>
          <w:p w14:paraId="372DB7B8" w14:textId="77777777" w:rsidR="00255EA3" w:rsidRPr="00C86E49" w:rsidRDefault="00255EA3" w:rsidP="00D70CD4">
            <w:pPr>
              <w:keepNext/>
              <w:keepLines/>
              <w:spacing w:after="200"/>
              <w:outlineLvl w:val="2"/>
              <w:rPr>
                <w:rFonts w:ascii="Franklin Gothic Medium" w:eastAsia="Calibri" w:hAnsi="Franklin Gothic Medium" w:cs="Times New Roman"/>
                <w:iCs/>
                <w:color w:val="1F3763"/>
                <w:sz w:val="24"/>
                <w:szCs w:val="24"/>
              </w:rPr>
            </w:pPr>
            <w:r w:rsidRPr="00C86E49">
              <w:rPr>
                <w:rFonts w:ascii="Franklin Gothic Medium" w:eastAsia="Times New Roman" w:hAnsi="Franklin Gothic Medium" w:cs="Times New Roman"/>
                <w:sz w:val="24"/>
                <w:szCs w:val="24"/>
              </w:rPr>
              <w:t>Consumer summary</w:t>
            </w:r>
          </w:p>
        </w:tc>
      </w:tr>
      <w:tr w:rsidR="00255EA3" w:rsidRPr="00C86E49" w14:paraId="054A3FB0" w14:textId="77777777" w:rsidTr="00D70CD4">
        <w:tc>
          <w:tcPr>
            <w:tcW w:w="9016" w:type="dxa"/>
          </w:tcPr>
          <w:p w14:paraId="7E1452D5" w14:textId="7C442F46" w:rsidR="00AC0B68" w:rsidRDefault="00AC0B68" w:rsidP="00AC0B68">
            <w:r w:rsidRPr="00AF46D8">
              <w:t xml:space="preserve">This application from </w:t>
            </w:r>
            <w:r>
              <w:t xml:space="preserve">CSL Behring </w:t>
            </w:r>
            <w:r w:rsidR="00AF1273">
              <w:t>(Australia) Pty Ltd requested</w:t>
            </w:r>
            <w:r w:rsidR="00AF1273" w:rsidRPr="00AF46D8">
              <w:t xml:space="preserve"> </w:t>
            </w:r>
            <w:r>
              <w:t>funding</w:t>
            </w:r>
            <w:r w:rsidRPr="00AF46D8">
              <w:t xml:space="preserve"> of</w:t>
            </w:r>
            <w:r>
              <w:t xml:space="preserve"> Hemgenix </w:t>
            </w:r>
            <w:r w:rsidR="00DD6171">
              <w:t>under</w:t>
            </w:r>
            <w:r w:rsidR="001D3C3F">
              <w:t xml:space="preserve"> </w:t>
            </w:r>
            <w:r>
              <w:t xml:space="preserve">the </w:t>
            </w:r>
            <w:r w:rsidR="00DD6171">
              <w:t>n</w:t>
            </w:r>
            <w:r>
              <w:t xml:space="preserve">ational </w:t>
            </w:r>
            <w:r w:rsidR="00DD6171">
              <w:t>b</w:t>
            </w:r>
            <w:r>
              <w:t xml:space="preserve">lood </w:t>
            </w:r>
            <w:r w:rsidR="00DD6171">
              <w:t>a</w:t>
            </w:r>
            <w:r>
              <w:t xml:space="preserve">rrangements for </w:t>
            </w:r>
            <w:r w:rsidR="00967D8A">
              <w:t xml:space="preserve">adults </w:t>
            </w:r>
            <w:r>
              <w:t xml:space="preserve">with </w:t>
            </w:r>
            <w:r w:rsidRPr="00311898">
              <w:t xml:space="preserve">moderately severe and severe congenital </w:t>
            </w:r>
            <w:r>
              <w:t>h</w:t>
            </w:r>
            <w:r w:rsidRPr="00311898">
              <w:t>aemophilia B</w:t>
            </w:r>
            <w:r>
              <w:t>.</w:t>
            </w:r>
          </w:p>
          <w:p w14:paraId="4CE253EC" w14:textId="478CC984" w:rsidR="00C15347" w:rsidRDefault="0059122F" w:rsidP="00AC0B68">
            <w:r>
              <w:t xml:space="preserve">Haemophilia is </w:t>
            </w:r>
            <w:r w:rsidR="00AD1C31">
              <w:t xml:space="preserve">a </w:t>
            </w:r>
            <w:r w:rsidR="000E61EC">
              <w:t>bleeding disorder</w:t>
            </w:r>
            <w:r w:rsidR="008C405C">
              <w:t xml:space="preserve"> where a </w:t>
            </w:r>
            <w:r w:rsidR="00AD1C31">
              <w:t>person’s</w:t>
            </w:r>
            <w:r w:rsidR="008C405C">
              <w:t xml:space="preserve"> blood does not clot properly</w:t>
            </w:r>
            <w:r w:rsidR="00AD1C31">
              <w:t>,</w:t>
            </w:r>
            <w:r w:rsidR="008C405C">
              <w:t xml:space="preserve"> </w:t>
            </w:r>
            <w:r w:rsidR="00CF1420">
              <w:t xml:space="preserve">which can result in excessive internal and external bleeding. </w:t>
            </w:r>
            <w:r w:rsidR="00AE1711">
              <w:t>Congenital haemophil</w:t>
            </w:r>
            <w:r w:rsidR="00AD1C31">
              <w:t>i</w:t>
            </w:r>
            <w:r w:rsidR="00AE1711">
              <w:t>a B is a</w:t>
            </w:r>
            <w:r w:rsidR="00FA2650">
              <w:t xml:space="preserve"> </w:t>
            </w:r>
            <w:r w:rsidR="00AC0B68">
              <w:t xml:space="preserve">rare </w:t>
            </w:r>
            <w:r w:rsidR="00FA2650">
              <w:t xml:space="preserve">type of haemophilia </w:t>
            </w:r>
            <w:r w:rsidR="00BA1E9B">
              <w:t xml:space="preserve">that </w:t>
            </w:r>
            <w:r w:rsidR="00084FD2">
              <w:t>is caused by a lack of</w:t>
            </w:r>
            <w:r w:rsidR="00E37D62">
              <w:t xml:space="preserve"> blood clotting protein, specifically the factor IX blood clotting protein.</w:t>
            </w:r>
            <w:r w:rsidR="00084FD2">
              <w:t xml:space="preserve"> </w:t>
            </w:r>
            <w:r w:rsidR="00DD1A05">
              <w:t>In p</w:t>
            </w:r>
            <w:r w:rsidR="007D4382">
              <w:t xml:space="preserve">atients with </w:t>
            </w:r>
            <w:r w:rsidR="000233FE" w:rsidRPr="00311898">
              <w:t xml:space="preserve">congenital </w:t>
            </w:r>
            <w:r w:rsidR="000233FE">
              <w:t>h</w:t>
            </w:r>
            <w:r w:rsidR="000233FE" w:rsidRPr="00311898">
              <w:t>aemophilia B</w:t>
            </w:r>
            <w:r w:rsidR="007D4382">
              <w:t>,</w:t>
            </w:r>
            <w:r w:rsidR="00DD1A05">
              <w:t xml:space="preserve"> there is a problem with the factor IX gen</w:t>
            </w:r>
            <w:r w:rsidR="00AE7F35">
              <w:t>e</w:t>
            </w:r>
            <w:r w:rsidR="009C6658">
              <w:t xml:space="preserve"> </w:t>
            </w:r>
            <w:r w:rsidR="00DD1A05">
              <w:t xml:space="preserve">that results in </w:t>
            </w:r>
            <w:r w:rsidR="00382CB1">
              <w:t>the liver producing</w:t>
            </w:r>
            <w:r w:rsidR="00312530">
              <w:t xml:space="preserve"> l</w:t>
            </w:r>
            <w:r w:rsidR="00AC0B68">
              <w:t xml:space="preserve">ow amounts of </w:t>
            </w:r>
            <w:r w:rsidR="00212302">
              <w:t>f</w:t>
            </w:r>
            <w:r w:rsidR="00AC0B68">
              <w:t>actor IX.</w:t>
            </w:r>
            <w:r w:rsidR="00AE7F35">
              <w:t xml:space="preserve"> </w:t>
            </w:r>
            <w:r w:rsidR="004349C7">
              <w:t>The severity of a patient</w:t>
            </w:r>
            <w:r w:rsidR="004A4C6F">
              <w:t>’s condition worse</w:t>
            </w:r>
            <w:r w:rsidR="00767A08">
              <w:t>ns</w:t>
            </w:r>
            <w:r w:rsidR="004A4C6F">
              <w:t xml:space="preserve"> </w:t>
            </w:r>
            <w:r w:rsidR="00767A08">
              <w:t xml:space="preserve">with lower levels of factor IX. </w:t>
            </w:r>
            <w:r w:rsidR="00D82794">
              <w:t xml:space="preserve">Patients with </w:t>
            </w:r>
            <w:r w:rsidR="00934F68" w:rsidRPr="00311898">
              <w:t xml:space="preserve">congenital </w:t>
            </w:r>
            <w:r w:rsidR="00934F68">
              <w:t>h</w:t>
            </w:r>
            <w:r w:rsidR="00934F68" w:rsidRPr="00311898">
              <w:t>aemophilia B</w:t>
            </w:r>
            <w:r w:rsidR="00D82794">
              <w:t xml:space="preserve"> </w:t>
            </w:r>
            <w:r w:rsidR="00656C18">
              <w:t xml:space="preserve">can receive replacement factor IX </w:t>
            </w:r>
            <w:r w:rsidR="008A53B3">
              <w:t xml:space="preserve">either on </w:t>
            </w:r>
            <w:r w:rsidR="00B17436">
              <w:t xml:space="preserve">a </w:t>
            </w:r>
            <w:r w:rsidR="008A53B3">
              <w:t>routine</w:t>
            </w:r>
            <w:r w:rsidR="00AC0B68">
              <w:t xml:space="preserve"> </w:t>
            </w:r>
            <w:r w:rsidR="00B17436">
              <w:t xml:space="preserve">basis as a </w:t>
            </w:r>
            <w:r w:rsidR="00AC0B68">
              <w:t xml:space="preserve">prophylactic (preventative) and/or </w:t>
            </w:r>
            <w:r w:rsidR="0045345F">
              <w:t xml:space="preserve">as </w:t>
            </w:r>
            <w:r w:rsidR="00AC0B68">
              <w:t>on-demand (as needed)</w:t>
            </w:r>
            <w:r w:rsidR="00B17436">
              <w:t xml:space="preserve"> treatment</w:t>
            </w:r>
            <w:r w:rsidR="00AC0B68">
              <w:t xml:space="preserve">. </w:t>
            </w:r>
            <w:r w:rsidR="00992285">
              <w:t xml:space="preserve">The </w:t>
            </w:r>
            <w:r w:rsidR="002B46B7">
              <w:t xml:space="preserve">replacement </w:t>
            </w:r>
            <w:r w:rsidR="00992285">
              <w:t xml:space="preserve">factor IX is administered via injections into </w:t>
            </w:r>
            <w:r w:rsidR="00FF02E0">
              <w:t>a</w:t>
            </w:r>
            <w:r w:rsidR="00992285">
              <w:t xml:space="preserve"> vein (intra-venous).</w:t>
            </w:r>
          </w:p>
          <w:p w14:paraId="6CBABBA6" w14:textId="378173CC" w:rsidR="00AC0B68" w:rsidRDefault="00AC0B68" w:rsidP="00AC0B68">
            <w:r>
              <w:t xml:space="preserve">Hemgenix is a viral-based gene therapy </w:t>
            </w:r>
            <w:r w:rsidR="00293A7E">
              <w:t xml:space="preserve">– </w:t>
            </w:r>
            <w:r w:rsidR="009A5342">
              <w:t>this means</w:t>
            </w:r>
            <w:r w:rsidR="00A52576">
              <w:t xml:space="preserve"> that </w:t>
            </w:r>
            <w:r w:rsidR="00293A7E">
              <w:t>a</w:t>
            </w:r>
            <w:r w:rsidR="00F014B1">
              <w:t>n inactiv</w:t>
            </w:r>
            <w:r w:rsidR="00A52576">
              <w:t>e</w:t>
            </w:r>
            <w:r w:rsidR="00F014B1">
              <w:t xml:space="preserve"> virus </w:t>
            </w:r>
            <w:r w:rsidR="00A52576">
              <w:t>(</w:t>
            </w:r>
            <w:r w:rsidR="00F014B1">
              <w:t xml:space="preserve">that can’t </w:t>
            </w:r>
            <w:r w:rsidR="00AD10CE">
              <w:t>reproduce</w:t>
            </w:r>
            <w:r w:rsidR="00A52576">
              <w:t>)</w:t>
            </w:r>
            <w:r w:rsidR="00056074">
              <w:t xml:space="preserve"> </w:t>
            </w:r>
            <w:r w:rsidR="00A52576">
              <w:t xml:space="preserve">is used </w:t>
            </w:r>
            <w:r w:rsidR="00056074">
              <w:t xml:space="preserve">to deliver a copy of the </w:t>
            </w:r>
            <w:r w:rsidR="00206CDF">
              <w:t xml:space="preserve">factor IX gene into the liver cells, which </w:t>
            </w:r>
            <w:r w:rsidR="00CE22BB">
              <w:t>enables</w:t>
            </w:r>
            <w:r w:rsidR="00206CDF">
              <w:t xml:space="preserve"> the liver cells to produce the factor IX</w:t>
            </w:r>
            <w:r w:rsidR="00744A54">
              <w:t xml:space="preserve"> blood</w:t>
            </w:r>
            <w:r w:rsidR="00206CDF">
              <w:t xml:space="preserve"> clotting protein. </w:t>
            </w:r>
            <w:r w:rsidR="007F6353">
              <w:t xml:space="preserve">Hemgenix is delivered to </w:t>
            </w:r>
            <w:r w:rsidR="00BE4177">
              <w:t>a</w:t>
            </w:r>
            <w:r w:rsidR="007F6353">
              <w:t xml:space="preserve"> patient via </w:t>
            </w:r>
            <w:r>
              <w:t xml:space="preserve">a single </w:t>
            </w:r>
            <w:r w:rsidR="001C71A3">
              <w:t xml:space="preserve">intra-venous </w:t>
            </w:r>
            <w:r>
              <w:t>infusion.</w:t>
            </w:r>
          </w:p>
          <w:p w14:paraId="52BDBC53" w14:textId="7F119D48" w:rsidR="00AC0B68" w:rsidRDefault="005716E1" w:rsidP="00AC0B68">
            <w:r>
              <w:t>MSAC noted that t</w:t>
            </w:r>
            <w:r w:rsidR="00AC0B68">
              <w:t xml:space="preserve">he clinical </w:t>
            </w:r>
            <w:r w:rsidR="001D31A6">
              <w:t>studies</w:t>
            </w:r>
            <w:r>
              <w:t xml:space="preserve"> </w:t>
            </w:r>
            <w:r w:rsidR="00CF0C33">
              <w:t>indicated</w:t>
            </w:r>
            <w:r w:rsidR="00AC0B68">
              <w:t xml:space="preserve"> that some patients responded well to Hemgenix, but others did not. Some patients who did respond still needed </w:t>
            </w:r>
            <w:r w:rsidR="00212302">
              <w:t>f</w:t>
            </w:r>
            <w:r w:rsidR="00AC0B68">
              <w:t xml:space="preserve">actor IX </w:t>
            </w:r>
            <w:r w:rsidR="00BA0F65">
              <w:t xml:space="preserve">replacement </w:t>
            </w:r>
            <w:r w:rsidR="00AC0B68">
              <w:t xml:space="preserve">treatment, but not as much as before receiving Hemgenix. </w:t>
            </w:r>
            <w:r w:rsidR="009C6B37">
              <w:t>S</w:t>
            </w:r>
            <w:r w:rsidR="00AC0B68">
              <w:t xml:space="preserve">ome patients </w:t>
            </w:r>
            <w:r w:rsidR="009C6B37">
              <w:t xml:space="preserve">also </w:t>
            </w:r>
            <w:r w:rsidR="00AC0B68">
              <w:t xml:space="preserve">had more bleeds after Hemgenix </w:t>
            </w:r>
            <w:r w:rsidR="00BA0F65">
              <w:t>than they did before receiving Hemgenix</w:t>
            </w:r>
            <w:r w:rsidR="00AC0B68">
              <w:t>. Further,</w:t>
            </w:r>
            <w:r w:rsidR="0029704E">
              <w:t xml:space="preserve"> MSAC noted that </w:t>
            </w:r>
            <w:r w:rsidR="00495C3E">
              <w:t>one</w:t>
            </w:r>
            <w:r w:rsidR="0029704E">
              <w:t xml:space="preserve"> patient initially </w:t>
            </w:r>
            <w:r w:rsidR="00495C3E">
              <w:t>appeared to</w:t>
            </w:r>
            <w:r w:rsidR="00952FC6">
              <w:t xml:space="preserve"> respond</w:t>
            </w:r>
            <w:r w:rsidR="00495C3E">
              <w:t xml:space="preserve"> </w:t>
            </w:r>
            <w:r w:rsidR="0029704E">
              <w:t xml:space="preserve">but then </w:t>
            </w:r>
            <w:proofErr w:type="gramStart"/>
            <w:r w:rsidR="00495C3E">
              <w:t>later on</w:t>
            </w:r>
            <w:proofErr w:type="gramEnd"/>
            <w:r w:rsidR="00952FC6">
              <w:t xml:space="preserve"> </w:t>
            </w:r>
            <w:r w:rsidR="00275DE4">
              <w:t xml:space="preserve">the effect appeared to reduce </w:t>
            </w:r>
            <w:r w:rsidR="00202D15">
              <w:t>and the patient</w:t>
            </w:r>
            <w:r w:rsidR="00DE755B">
              <w:t xml:space="preserve"> needed routine factor IX replacement again. MSAC did </w:t>
            </w:r>
            <w:r w:rsidR="00167906">
              <w:t xml:space="preserve">not </w:t>
            </w:r>
            <w:r w:rsidR="00DE755B">
              <w:t>know wh</w:t>
            </w:r>
            <w:r w:rsidR="005C5280">
              <w:t xml:space="preserve">ether </w:t>
            </w:r>
            <w:r w:rsidR="00AC0B68">
              <w:t>the effect may wane over time</w:t>
            </w:r>
            <w:r w:rsidR="005C5280">
              <w:t xml:space="preserve"> for other patients</w:t>
            </w:r>
            <w:r w:rsidR="00876F33">
              <w:t xml:space="preserve"> as</w:t>
            </w:r>
            <w:r w:rsidR="00AC0B68">
              <w:t xml:space="preserve"> MSAC only had 3-year follow-up data </w:t>
            </w:r>
            <w:r w:rsidR="00055646">
              <w:t xml:space="preserve">from a small number </w:t>
            </w:r>
            <w:r w:rsidR="00F9065B">
              <w:t xml:space="preserve">(54) </w:t>
            </w:r>
            <w:r w:rsidR="00055646">
              <w:t>of patients</w:t>
            </w:r>
            <w:r w:rsidR="00A77DDD">
              <w:t xml:space="preserve"> </w:t>
            </w:r>
            <w:r w:rsidR="00AC0B68">
              <w:t>to consider</w:t>
            </w:r>
            <w:r w:rsidR="00876F33">
              <w:t>.</w:t>
            </w:r>
            <w:r w:rsidR="00117526">
              <w:t xml:space="preserve"> </w:t>
            </w:r>
            <w:r w:rsidR="006B2A18">
              <w:t>The</w:t>
            </w:r>
            <w:r w:rsidR="00117526">
              <w:t xml:space="preserve"> limitations </w:t>
            </w:r>
            <w:r w:rsidR="006B2A18">
              <w:t>in</w:t>
            </w:r>
            <w:r w:rsidR="00117526">
              <w:t xml:space="preserve"> the study design</w:t>
            </w:r>
            <w:r w:rsidR="006B2A18">
              <w:t xml:space="preserve"> also increased </w:t>
            </w:r>
            <w:r w:rsidR="00771198">
              <w:t>the uncertainty in the claimed benefit of Hemgenix</w:t>
            </w:r>
            <w:r w:rsidR="00117526">
              <w:t xml:space="preserve">. </w:t>
            </w:r>
            <w:r w:rsidR="00876F33">
              <w:t xml:space="preserve">MSAC considered </w:t>
            </w:r>
            <w:r w:rsidR="00CC0CA3">
              <w:t>that</w:t>
            </w:r>
            <w:r w:rsidR="00AC0B68">
              <w:t xml:space="preserve"> longer</w:t>
            </w:r>
            <w:r w:rsidR="00CC0CA3">
              <w:t xml:space="preserve"> term</w:t>
            </w:r>
            <w:r w:rsidR="00AC0B68">
              <w:t xml:space="preserve"> follow-up </w:t>
            </w:r>
            <w:r w:rsidR="00CC0CA3">
              <w:t>data</w:t>
            </w:r>
            <w:r w:rsidR="00AC0B68">
              <w:t xml:space="preserve"> would be better to determine </w:t>
            </w:r>
            <w:r w:rsidR="00F7105C">
              <w:t>whether Hemgenix</w:t>
            </w:r>
            <w:r w:rsidR="00AC0B68">
              <w:t xml:space="preserve"> continues to work</w:t>
            </w:r>
            <w:r w:rsidR="00F7105C">
              <w:t xml:space="preserve"> and is </w:t>
            </w:r>
            <w:r w:rsidR="00C815FC">
              <w:t xml:space="preserve">comparatively </w:t>
            </w:r>
            <w:r w:rsidR="00F7105C">
              <w:t>safe in the long term</w:t>
            </w:r>
            <w:r w:rsidR="00AC0B68">
              <w:t>.</w:t>
            </w:r>
          </w:p>
          <w:p w14:paraId="53EEA114" w14:textId="1E25649B" w:rsidR="00AC0B68" w:rsidRDefault="00AA5D5F" w:rsidP="00AC0B68">
            <w:r>
              <w:t>MSAC noted that if some</w:t>
            </w:r>
            <w:r w:rsidR="009A24F7">
              <w:t xml:space="preserve">one has </w:t>
            </w:r>
            <w:r w:rsidR="00B95E96">
              <w:t xml:space="preserve">a high </w:t>
            </w:r>
            <w:r w:rsidR="00363EAD">
              <w:t xml:space="preserve">level </w:t>
            </w:r>
            <w:r w:rsidR="00B95E96">
              <w:t xml:space="preserve">of </w:t>
            </w:r>
            <w:r w:rsidR="009A24F7">
              <w:t>antibodies that neutralise the virus that is used to deliver the factor IX gen</w:t>
            </w:r>
            <w:r w:rsidR="00B95E96">
              <w:t>e</w:t>
            </w:r>
            <w:r w:rsidR="009A24F7">
              <w:t>, then Hemgenix</w:t>
            </w:r>
            <w:r w:rsidR="00AC0B68">
              <w:t xml:space="preserve"> </w:t>
            </w:r>
            <w:r w:rsidR="00B95E96">
              <w:t>did not work.</w:t>
            </w:r>
            <w:r w:rsidR="00AC0B68">
              <w:t xml:space="preserve"> MSAC considered it important that people</w:t>
            </w:r>
            <w:r w:rsidR="001D27AE">
              <w:t xml:space="preserve"> are tested for </w:t>
            </w:r>
            <w:r w:rsidR="00B95E96">
              <w:t xml:space="preserve">neutralising </w:t>
            </w:r>
            <w:r w:rsidR="00AC0B68">
              <w:t>antibodies</w:t>
            </w:r>
            <w:r w:rsidR="00B95E96">
              <w:t xml:space="preserve"> </w:t>
            </w:r>
            <w:r w:rsidR="00AC0B68">
              <w:t>before treatment</w:t>
            </w:r>
            <w:r w:rsidR="00176C35">
              <w:t xml:space="preserve"> with</w:t>
            </w:r>
            <w:r w:rsidR="00AC0B68">
              <w:t xml:space="preserve"> </w:t>
            </w:r>
            <w:r w:rsidR="003C34D9">
              <w:t>Hemgenix but</w:t>
            </w:r>
            <w:r w:rsidR="00176C35">
              <w:t xml:space="preserve"> noted that further studies</w:t>
            </w:r>
            <w:r w:rsidR="003C34D9">
              <w:t xml:space="preserve"> are</w:t>
            </w:r>
            <w:r w:rsidR="00176C35">
              <w:t xml:space="preserve"> need</w:t>
            </w:r>
            <w:r w:rsidR="003C34D9">
              <w:t>ed</w:t>
            </w:r>
            <w:r w:rsidR="00176C35">
              <w:t xml:space="preserve"> to validate the test</w:t>
            </w:r>
            <w:r w:rsidR="00E6213E">
              <w:t xml:space="preserve"> for the neutralising antibodies. </w:t>
            </w:r>
            <w:r w:rsidR="00AC0B68">
              <w:t xml:space="preserve">Further, MSAC noted that </w:t>
            </w:r>
            <w:r w:rsidR="004E66D7">
              <w:t>after receiving Hemgenix, all patients had high levels of neutralising antibodies</w:t>
            </w:r>
            <w:r w:rsidR="00AC0B68">
              <w:t xml:space="preserve">, which would then prevent people from receiving another similar gene therapy </w:t>
            </w:r>
            <w:r w:rsidR="00833775">
              <w:t>later</w:t>
            </w:r>
            <w:r w:rsidR="00AC0B68">
              <w:t>, even if Hemgenix doesn’t work for them or if it works for only a short time.</w:t>
            </w:r>
            <w:r w:rsidR="00375097">
              <w:t xml:space="preserve"> As such, MSAC agreed with consultation input that it was important for patients to receive counselling to understand the risks and benefits when considering Hemgenix</w:t>
            </w:r>
            <w:r w:rsidR="00B4296F">
              <w:t>.</w:t>
            </w:r>
          </w:p>
          <w:p w14:paraId="001C0F20" w14:textId="61A9507B" w:rsidR="00AC0B68" w:rsidRDefault="007F026C" w:rsidP="004719EC">
            <w:r>
              <w:t xml:space="preserve">MSAC </w:t>
            </w:r>
            <w:r w:rsidR="00A81130">
              <w:t>noted</w:t>
            </w:r>
            <w:r>
              <w:t xml:space="preserve"> the</w:t>
            </w:r>
            <w:r w:rsidR="00AC0B68">
              <w:t xml:space="preserve"> </w:t>
            </w:r>
            <w:r w:rsidR="007B4A30">
              <w:t xml:space="preserve">proposed price </w:t>
            </w:r>
            <w:r w:rsidR="00AC0B68">
              <w:t xml:space="preserve">of Hemgenix </w:t>
            </w:r>
            <w:r w:rsidR="00A81130">
              <w:t>was</w:t>
            </w:r>
            <w:r w:rsidR="00AC0B68">
              <w:t xml:space="preserve"> very high, which MSAC did not consider to be justified</w:t>
            </w:r>
            <w:r w:rsidR="00884227">
              <w:t xml:space="preserve">. When </w:t>
            </w:r>
            <w:r w:rsidR="00091809">
              <w:t>the</w:t>
            </w:r>
            <w:r w:rsidR="0096485D">
              <w:t xml:space="preserve"> very</w:t>
            </w:r>
            <w:r w:rsidR="00091809">
              <w:t xml:space="preserve"> high cost </w:t>
            </w:r>
            <w:r w:rsidR="00884227">
              <w:t xml:space="preserve">for Hemgenix </w:t>
            </w:r>
            <w:r w:rsidR="00091809">
              <w:t>was considered in the context of uncertain clinical benefit</w:t>
            </w:r>
            <w:r w:rsidR="0096485D">
              <w:t xml:space="preserve"> in comparison to the current treatments</w:t>
            </w:r>
            <w:r w:rsidR="00091809">
              <w:t xml:space="preserve">, </w:t>
            </w:r>
            <w:r w:rsidR="00884227">
              <w:t>Hemgenix</w:t>
            </w:r>
            <w:r w:rsidR="00091809">
              <w:t xml:space="preserve"> </w:t>
            </w:r>
            <w:r w:rsidR="00A4338D">
              <w:t>was not demonstrated to be</w:t>
            </w:r>
            <w:r w:rsidR="00AC0B68">
              <w:t xml:space="preserve"> good value for money. </w:t>
            </w:r>
            <w:r w:rsidR="0096485D">
              <w:t>T</w:t>
            </w:r>
            <w:r w:rsidR="00AC0B68">
              <w:t xml:space="preserve">he budget impact </w:t>
            </w:r>
            <w:r w:rsidR="0096485D">
              <w:t xml:space="preserve">was also </w:t>
            </w:r>
            <w:r w:rsidR="00AC0B68">
              <w:t xml:space="preserve">very high, </w:t>
            </w:r>
            <w:r w:rsidR="0096485D" w:rsidRPr="00A80FF6">
              <w:t>even though</w:t>
            </w:r>
            <w:r w:rsidR="00AC0B68" w:rsidRPr="00A80FF6">
              <w:t xml:space="preserve"> some costs were not included</w:t>
            </w:r>
            <w:r w:rsidR="00F773CF" w:rsidRPr="00A80FF6">
              <w:t xml:space="preserve">. MSAC also noted that the number of patients who may use Hemgenix was </w:t>
            </w:r>
            <w:r w:rsidR="00F85281" w:rsidRPr="00A80FF6">
              <w:t xml:space="preserve">very uncertain due to </w:t>
            </w:r>
            <w:proofErr w:type="gramStart"/>
            <w:r w:rsidR="00F85281" w:rsidRPr="00A80FF6">
              <w:t>a number of</w:t>
            </w:r>
            <w:proofErr w:type="gramEnd"/>
            <w:r w:rsidR="00F85281" w:rsidRPr="00A80FF6">
              <w:t xml:space="preserve"> factors such as </w:t>
            </w:r>
            <w:r w:rsidR="00F85281" w:rsidRPr="00A80FF6">
              <w:rPr>
                <w:rFonts w:eastAsia="Franklin Gothic Book"/>
              </w:rPr>
              <w:t xml:space="preserve">potential system and supply capacity, patient </w:t>
            </w:r>
            <w:r w:rsidR="00F85281" w:rsidRPr="00A80FF6">
              <w:rPr>
                <w:rFonts w:eastAsia="Franklin Gothic Book"/>
              </w:rPr>
              <w:lastRenderedPageBreak/>
              <w:t xml:space="preserve">acceptance with current alternative treatments, and other </w:t>
            </w:r>
            <w:r w:rsidR="001407BE" w:rsidRPr="00A80FF6">
              <w:rPr>
                <w:rFonts w:eastAsia="Franklin Gothic Book"/>
              </w:rPr>
              <w:t>new</w:t>
            </w:r>
            <w:r w:rsidR="00F85281" w:rsidRPr="00A80FF6">
              <w:rPr>
                <w:rFonts w:eastAsia="Franklin Gothic Book"/>
              </w:rPr>
              <w:t xml:space="preserve"> treatments</w:t>
            </w:r>
            <w:r w:rsidR="00F773CF">
              <w:t xml:space="preserve"> </w:t>
            </w:r>
            <w:r w:rsidR="001407BE">
              <w:t>that may become available</w:t>
            </w:r>
            <w:r w:rsidR="00DA257A">
              <w:t xml:space="preserve"> (and increase treatment choice)</w:t>
            </w:r>
            <w:r w:rsidR="001407BE">
              <w:t xml:space="preserve"> in the near future. As such, MSAC consider</w:t>
            </w:r>
            <w:r w:rsidR="000B1443">
              <w:t>ed</w:t>
            </w:r>
            <w:r w:rsidR="001407BE">
              <w:t xml:space="preserve"> the </w:t>
            </w:r>
            <w:r w:rsidR="004719EC">
              <w:t>financial impact was also very uncertain.</w:t>
            </w:r>
          </w:p>
          <w:p w14:paraId="4F7CF792" w14:textId="7052843D" w:rsidR="00AC0B68" w:rsidRDefault="00AC0B68" w:rsidP="00AC0B68">
            <w:r>
              <w:t>MSAC also noted that Hemgenix only has provisional approval from the Therapeutic Goods Administration (TGA)</w:t>
            </w:r>
            <w:r w:rsidR="0071378B">
              <w:t xml:space="preserve">, this means that the TGA approval for Hemgenix is currently time-limited </w:t>
            </w:r>
            <w:r w:rsidR="00E01DC9">
              <w:t xml:space="preserve">for up </w:t>
            </w:r>
            <w:r w:rsidR="0071378B">
              <w:t xml:space="preserve">to a maximum of 6 years. The continued approval of Hemgenix after this provisional approval period depends on </w:t>
            </w:r>
            <w:r w:rsidR="0021271D">
              <w:t xml:space="preserve">the </w:t>
            </w:r>
            <w:r w:rsidR="0040789C">
              <w:t>submission</w:t>
            </w:r>
            <w:r w:rsidR="0021271D">
              <w:t xml:space="preserve"> o</w:t>
            </w:r>
            <w:r w:rsidR="00FC7FB6">
              <w:t>f additional</w:t>
            </w:r>
            <w:r w:rsidR="0021271D">
              <w:t xml:space="preserve"> data from ongoing studies to the </w:t>
            </w:r>
            <w:r>
              <w:t>TGA</w:t>
            </w:r>
            <w:r w:rsidR="0021271D">
              <w:t xml:space="preserve"> to confirm the longer-term benefit of Hemgenix</w:t>
            </w:r>
            <w:r>
              <w:t>.</w:t>
            </w:r>
          </w:p>
          <w:p w14:paraId="31F03D5E" w14:textId="77777777" w:rsidR="00255EA3" w:rsidRPr="00C86E49" w:rsidRDefault="00255EA3" w:rsidP="00D70CD4">
            <w:pPr>
              <w:keepNext/>
              <w:keepLines/>
              <w:outlineLvl w:val="2"/>
              <w:rPr>
                <w:rFonts w:ascii="Franklin Gothic Medium" w:eastAsia="Times New Roman" w:hAnsi="Franklin Gothic Medium" w:cs="Times New Roman"/>
                <w:sz w:val="24"/>
                <w:szCs w:val="24"/>
              </w:rPr>
            </w:pPr>
            <w:r w:rsidRPr="00C86E49">
              <w:rPr>
                <w:rFonts w:ascii="Franklin Gothic Medium" w:eastAsia="Times New Roman" w:hAnsi="Franklin Gothic Medium" w:cs="Times New Roman"/>
                <w:sz w:val="24"/>
                <w:szCs w:val="24"/>
              </w:rPr>
              <w:t xml:space="preserve">MSAC’s advice to the </w:t>
            </w:r>
            <w:proofErr w:type="gramStart"/>
            <w:r w:rsidRPr="00C86E49">
              <w:rPr>
                <w:rFonts w:ascii="Franklin Gothic Medium" w:eastAsia="Times New Roman" w:hAnsi="Franklin Gothic Medium" w:cs="Times New Roman"/>
                <w:sz w:val="24"/>
                <w:szCs w:val="24"/>
              </w:rPr>
              <w:t>Commonwealth Minister</w:t>
            </w:r>
            <w:proofErr w:type="gramEnd"/>
            <w:r w:rsidRPr="00C86E49">
              <w:rPr>
                <w:rFonts w:ascii="Franklin Gothic Medium" w:eastAsia="Times New Roman" w:hAnsi="Franklin Gothic Medium" w:cs="Times New Roman"/>
                <w:sz w:val="24"/>
                <w:szCs w:val="24"/>
              </w:rPr>
              <w:t xml:space="preserve"> for Health and Aged Care</w:t>
            </w:r>
          </w:p>
          <w:p w14:paraId="686EFF6F" w14:textId="10CB4882" w:rsidR="00255EA3" w:rsidRPr="00C86E49" w:rsidRDefault="00075366" w:rsidP="00075366">
            <w:pPr>
              <w:spacing w:after="120"/>
              <w:rPr>
                <w:rFonts w:eastAsia="Calibri" w:cs="Times New Roman"/>
              </w:rPr>
            </w:pPr>
            <w:r w:rsidRPr="00AF46D8">
              <w:t>MSAC did not support</w:t>
            </w:r>
            <w:r>
              <w:t xml:space="preserve"> funding Hemgenix </w:t>
            </w:r>
            <w:r w:rsidR="00CD1FA9">
              <w:t>under</w:t>
            </w:r>
            <w:r>
              <w:t xml:space="preserve"> the </w:t>
            </w:r>
            <w:r w:rsidR="00CD1FA9">
              <w:t>n</w:t>
            </w:r>
            <w:r>
              <w:t xml:space="preserve">ational </w:t>
            </w:r>
            <w:r w:rsidR="00CD1FA9">
              <w:t>b</w:t>
            </w:r>
            <w:r>
              <w:t xml:space="preserve">lood </w:t>
            </w:r>
            <w:r w:rsidR="00CD1FA9">
              <w:t>a</w:t>
            </w:r>
            <w:r>
              <w:t>rrangements. MSAC considered</w:t>
            </w:r>
            <w:r w:rsidR="003A6443">
              <w:t xml:space="preserve"> that</w:t>
            </w:r>
            <w:r>
              <w:t xml:space="preserve"> the </w:t>
            </w:r>
            <w:r w:rsidR="003A6443">
              <w:t xml:space="preserve">short-term </w:t>
            </w:r>
            <w:r>
              <w:t xml:space="preserve">effectiveness </w:t>
            </w:r>
            <w:r w:rsidR="003A6443">
              <w:t>was</w:t>
            </w:r>
            <w:r>
              <w:t xml:space="preserve"> highly variable,</w:t>
            </w:r>
            <w:r w:rsidR="003A6443">
              <w:t xml:space="preserve"> the longer</w:t>
            </w:r>
            <w:r w:rsidR="00D70677">
              <w:t>-</w:t>
            </w:r>
            <w:r w:rsidR="003A6443">
              <w:t>term safety and effectiveness was unknown,</w:t>
            </w:r>
            <w:r>
              <w:t xml:space="preserve"> the lack of </w:t>
            </w:r>
            <w:r w:rsidR="003A6443">
              <w:t>a validated neutralising antibody</w:t>
            </w:r>
            <w:r w:rsidR="005F3F0E">
              <w:t xml:space="preserve"> test</w:t>
            </w:r>
            <w:r>
              <w:t xml:space="preserve">, and the </w:t>
            </w:r>
            <w:r w:rsidR="003A6443">
              <w:t xml:space="preserve">very </w:t>
            </w:r>
            <w:r>
              <w:t xml:space="preserve">high price </w:t>
            </w:r>
            <w:r w:rsidR="00393978">
              <w:t xml:space="preserve">together </w:t>
            </w:r>
            <w:r>
              <w:t xml:space="preserve">meant </w:t>
            </w:r>
            <w:r w:rsidR="00393978">
              <w:t xml:space="preserve">Hemgenix did not provide </w:t>
            </w:r>
            <w:r>
              <w:t xml:space="preserve">value for money </w:t>
            </w:r>
            <w:r w:rsidR="00393978">
              <w:t xml:space="preserve">and </w:t>
            </w:r>
            <w:r w:rsidR="00D70677">
              <w:t>could result in a very</w:t>
            </w:r>
            <w:r>
              <w:t xml:space="preserve"> high budget impact</w:t>
            </w:r>
            <w:r w:rsidRPr="00D62A84">
              <w:t>.</w:t>
            </w:r>
          </w:p>
        </w:tc>
      </w:tr>
    </w:tbl>
    <w:p w14:paraId="0C79E7CE" w14:textId="77777777" w:rsidR="00255EA3" w:rsidRPr="00C86E49" w:rsidRDefault="00255EA3" w:rsidP="00255EA3">
      <w:pPr>
        <w:pStyle w:val="Heading2"/>
        <w:numPr>
          <w:ilvl w:val="1"/>
          <w:numId w:val="0"/>
        </w:numPr>
      </w:pPr>
      <w:r w:rsidRPr="00C86E49">
        <w:lastRenderedPageBreak/>
        <w:t>3.</w:t>
      </w:r>
      <w:r w:rsidRPr="00C86E49">
        <w:tab/>
        <w:t>Summary of consideration and rationale for MSAC’s advice</w:t>
      </w:r>
    </w:p>
    <w:p w14:paraId="7F78FACF" w14:textId="3AB2D95E" w:rsidR="00300391" w:rsidRDefault="6398C64D" w:rsidP="68179A25">
      <w:r>
        <w:t xml:space="preserve">MSAC noted that this application from CSL Behring </w:t>
      </w:r>
      <w:r w:rsidR="00CE517E">
        <w:t>(Australia) Pty Ltd</w:t>
      </w:r>
      <w:r w:rsidR="00DC1805">
        <w:t xml:space="preserve"> </w:t>
      </w:r>
      <w:r w:rsidR="007470AB">
        <w:t>sought</w:t>
      </w:r>
      <w:r>
        <w:t xml:space="preserve"> funding </w:t>
      </w:r>
      <w:r w:rsidR="00CB6EB1">
        <w:t xml:space="preserve">of </w:t>
      </w:r>
      <w:r>
        <w:t xml:space="preserve">etranacogene dezaparvovec (Hemgenix) </w:t>
      </w:r>
      <w:r w:rsidR="3001E752" w:rsidRPr="68179A25">
        <w:rPr>
          <w:rFonts w:eastAsia="Franklin Gothic Book" w:cs="Franklin Gothic Book"/>
          <w:color w:val="000000" w:themeColor="text1"/>
        </w:rPr>
        <w:t>for the treatment of adult patients with moderately severe and severe congenital haemophilia B</w:t>
      </w:r>
      <w:r>
        <w:t xml:space="preserve"> (</w:t>
      </w:r>
      <w:proofErr w:type="spellStart"/>
      <w:r>
        <w:t>cHMB</w:t>
      </w:r>
      <w:proofErr w:type="spellEnd"/>
      <w:r>
        <w:t xml:space="preserve">) under the </w:t>
      </w:r>
      <w:r w:rsidR="009B1F15">
        <w:t>n</w:t>
      </w:r>
      <w:r>
        <w:t xml:space="preserve">ational </w:t>
      </w:r>
      <w:r w:rsidR="009B1F15">
        <w:t>b</w:t>
      </w:r>
      <w:r>
        <w:t xml:space="preserve">lood </w:t>
      </w:r>
      <w:r w:rsidR="009B1F15">
        <w:t>a</w:t>
      </w:r>
      <w:r>
        <w:t>rrangements.</w:t>
      </w:r>
    </w:p>
    <w:p w14:paraId="6D0217C9" w14:textId="64D9CE35" w:rsidR="00300391" w:rsidRDefault="00300391" w:rsidP="00300391">
      <w:r>
        <w:t>MSAC noted that Hemgenix is a</w:t>
      </w:r>
      <w:r w:rsidR="004E3E5A">
        <w:t>n</w:t>
      </w:r>
      <w:r w:rsidRPr="006B244F">
        <w:t xml:space="preserve"> adeno-associated virus type 5 (AAV5) gene therapy </w:t>
      </w:r>
      <w:r w:rsidR="003A2B75">
        <w:t xml:space="preserve">that is intended </w:t>
      </w:r>
      <w:r w:rsidRPr="006B244F">
        <w:t xml:space="preserve">to </w:t>
      </w:r>
      <w:r w:rsidR="00CE22BB">
        <w:t xml:space="preserve">enable </w:t>
      </w:r>
      <w:r>
        <w:t xml:space="preserve">the </w:t>
      </w:r>
      <w:r w:rsidRPr="006B244F">
        <w:t xml:space="preserve">liver to produce </w:t>
      </w:r>
      <w:r w:rsidR="009805FA">
        <w:t>factor IX (</w:t>
      </w:r>
      <w:r w:rsidRPr="006B244F">
        <w:t>FIX</w:t>
      </w:r>
      <w:r w:rsidR="009805FA">
        <w:t>) clotting prote</w:t>
      </w:r>
      <w:r w:rsidR="00D15C67">
        <w:t>in</w:t>
      </w:r>
      <w:r>
        <w:t>. A s</w:t>
      </w:r>
      <w:r w:rsidRPr="006B244F">
        <w:t>ingle infusion of 2 × 10</w:t>
      </w:r>
      <w:r w:rsidRPr="006B244F">
        <w:rPr>
          <w:vertAlign w:val="superscript"/>
        </w:rPr>
        <w:t>13</w:t>
      </w:r>
      <w:r w:rsidRPr="006B244F">
        <w:t xml:space="preserve"> genome copies per kilogram of body weight </w:t>
      </w:r>
      <w:r>
        <w:t xml:space="preserve">is administered to the patient. MSAC noted that Hemgenix is provisionally </w:t>
      </w:r>
      <w:r w:rsidRPr="006B244F">
        <w:t>registered by the TGA</w:t>
      </w:r>
      <w:r>
        <w:t xml:space="preserve"> </w:t>
      </w:r>
      <w:r w:rsidR="00D745A2">
        <w:t>and that the proposed</w:t>
      </w:r>
      <w:r>
        <w:t xml:space="preserve"> price</w:t>
      </w:r>
      <w:r w:rsidR="00D745A2">
        <w:t xml:space="preserve"> for Hemgenix </w:t>
      </w:r>
      <w:r w:rsidR="00D745A2" w:rsidRPr="00A80FF6">
        <w:t>was</w:t>
      </w:r>
      <w:r w:rsidRPr="00A80FF6">
        <w:t xml:space="preserve"> $</w:t>
      </w:r>
      <w:r w:rsidR="009507DE" w:rsidRPr="00A80FF6">
        <w:rPr>
          <w:b/>
          <w:bCs/>
        </w:rPr>
        <w:t>redacted</w:t>
      </w:r>
      <w:r w:rsidRPr="00A80FF6">
        <w:t xml:space="preserve"> for</w:t>
      </w:r>
      <w:r w:rsidRPr="006B244F">
        <w:t xml:space="preserve"> a single infusion</w:t>
      </w:r>
      <w:r>
        <w:t>.</w:t>
      </w:r>
    </w:p>
    <w:p w14:paraId="04575CC7" w14:textId="01A8ADD3" w:rsidR="00300391" w:rsidRDefault="00300391" w:rsidP="00300391">
      <w:r>
        <w:t>MSAC noted that the consultation feedback was mostly supportive of the treatment</w:t>
      </w:r>
      <w:r w:rsidR="13D3F855" w:rsidRPr="00344BC5" w:rsidDel="00150496">
        <w:t>.</w:t>
      </w:r>
      <w:r w:rsidRPr="3CBD9193" w:rsidDel="00150496">
        <w:rPr>
          <w:color w:val="FF0000"/>
        </w:rPr>
        <w:t xml:space="preserve"> </w:t>
      </w:r>
      <w:r>
        <w:t>MSAC noted a consumer survey conducted by the H</w:t>
      </w:r>
      <w:r w:rsidRPr="0032552F">
        <w:t xml:space="preserve">aemophilia </w:t>
      </w:r>
      <w:r>
        <w:t>F</w:t>
      </w:r>
      <w:r w:rsidRPr="0032552F">
        <w:t>oundation</w:t>
      </w:r>
      <w:r w:rsidR="004D1E3B">
        <w:t xml:space="preserve"> Australia</w:t>
      </w:r>
      <w:r>
        <w:t xml:space="preserve">, </w:t>
      </w:r>
      <w:r w:rsidR="003D2073">
        <w:t>indicated t</w:t>
      </w:r>
      <w:r w:rsidR="00BD69C1">
        <w:t>hat</w:t>
      </w:r>
      <w:r>
        <w:t xml:space="preserve"> consumer</w:t>
      </w:r>
      <w:r w:rsidR="00173860">
        <w:t>s had expressed</w:t>
      </w:r>
      <w:r>
        <w:t xml:space="preserve"> concerns about </w:t>
      </w:r>
      <w:r w:rsidRPr="0032552F">
        <w:t>gene therapy</w:t>
      </w:r>
      <w:r>
        <w:t>, especially regarding safety and adverse events (AEs)</w:t>
      </w:r>
      <w:r w:rsidRPr="0032552F">
        <w:t xml:space="preserve">, how long </w:t>
      </w:r>
      <w:r>
        <w:t xml:space="preserve">the treatment </w:t>
      </w:r>
      <w:r w:rsidRPr="0032552F">
        <w:t>last</w:t>
      </w:r>
      <w:r>
        <w:t xml:space="preserve">s and associated </w:t>
      </w:r>
      <w:r w:rsidRPr="0032552F">
        <w:t>failure rates</w:t>
      </w:r>
      <w:r>
        <w:t xml:space="preserve">, and the fact that they </w:t>
      </w:r>
      <w:r w:rsidR="004A30C0">
        <w:t>may not be able to</w:t>
      </w:r>
      <w:r>
        <w:t xml:space="preserve"> access</w:t>
      </w:r>
      <w:r w:rsidR="003D260A">
        <w:t xml:space="preserve"> any </w:t>
      </w:r>
      <w:r>
        <w:t xml:space="preserve">similar </w:t>
      </w:r>
      <w:r w:rsidR="003D260A">
        <w:t xml:space="preserve">future </w:t>
      </w:r>
      <w:r>
        <w:t>therapy</w:t>
      </w:r>
      <w:r w:rsidR="00045904">
        <w:t xml:space="preserve"> if Hemgenix doesn’t work</w:t>
      </w:r>
      <w:r>
        <w:t xml:space="preserve">. </w:t>
      </w:r>
      <w:r w:rsidR="00045904">
        <w:t>The survey indicated that p</w:t>
      </w:r>
      <w:r>
        <w:t>atients are currently</w:t>
      </w:r>
      <w:r w:rsidRPr="0032552F">
        <w:t xml:space="preserve"> hesitant to </w:t>
      </w:r>
      <w:r>
        <w:t>choose gene therapy but are open to it as an option in the future</w:t>
      </w:r>
      <w:r w:rsidRPr="0032552F">
        <w:t>.</w:t>
      </w:r>
      <w:r w:rsidR="009961E6">
        <w:t xml:space="preserve"> </w:t>
      </w:r>
      <w:r w:rsidR="00710540">
        <w:t xml:space="preserve">As such, </w:t>
      </w:r>
      <w:r w:rsidR="00CA23DB">
        <w:t>consultation feedback highlighted</w:t>
      </w:r>
      <w:r w:rsidR="00710540">
        <w:t xml:space="preserve"> the importance of counselling </w:t>
      </w:r>
      <w:r w:rsidR="009D15DD">
        <w:t xml:space="preserve">as patients need to understand </w:t>
      </w:r>
      <w:r w:rsidR="00BD7023">
        <w:t>the risks and benefits when considering</w:t>
      </w:r>
      <w:r w:rsidR="00710540">
        <w:t xml:space="preserve"> Hemgenix.</w:t>
      </w:r>
    </w:p>
    <w:p w14:paraId="5733C956" w14:textId="6B8AD5A9" w:rsidR="00300391" w:rsidRDefault="00300391" w:rsidP="00300391">
      <w:r>
        <w:t xml:space="preserve">MSAC noted the proposed population </w:t>
      </w:r>
      <w:r w:rsidR="0060015A">
        <w:t>included patients</w:t>
      </w:r>
      <w:r>
        <w:t xml:space="preserve"> with s</w:t>
      </w:r>
      <w:r w:rsidRPr="00EC6DF4">
        <w:t xml:space="preserve">evere </w:t>
      </w:r>
      <w:proofErr w:type="spellStart"/>
      <w:r w:rsidRPr="00EC6DF4">
        <w:t>cHMB</w:t>
      </w:r>
      <w:proofErr w:type="spellEnd"/>
      <w:r w:rsidRPr="00EC6DF4">
        <w:t xml:space="preserve"> (</w:t>
      </w:r>
      <w:r w:rsidR="00DD2522">
        <w:t>endogenous</w:t>
      </w:r>
      <w:r w:rsidR="00FB2021">
        <w:t xml:space="preserve"> </w:t>
      </w:r>
      <w:r w:rsidRPr="00EC6DF4">
        <w:t>FIX activity less than 1%)</w:t>
      </w:r>
      <w:r>
        <w:t xml:space="preserve"> or m</w:t>
      </w:r>
      <w:r w:rsidRPr="00EC6DF4">
        <w:t xml:space="preserve">oderately severe </w:t>
      </w:r>
      <w:proofErr w:type="spellStart"/>
      <w:r>
        <w:t>cHMB</w:t>
      </w:r>
      <w:proofErr w:type="spellEnd"/>
      <w:r>
        <w:t xml:space="preserve"> </w:t>
      </w:r>
      <w:r w:rsidRPr="00EC6DF4">
        <w:t>(</w:t>
      </w:r>
      <w:r w:rsidR="00DD2522">
        <w:t>endogenous</w:t>
      </w:r>
      <w:r w:rsidR="00FB2021">
        <w:t xml:space="preserve"> </w:t>
      </w:r>
      <w:r w:rsidRPr="00EC6DF4">
        <w:t>FIX activity 1</w:t>
      </w:r>
      <w:r>
        <w:t>–</w:t>
      </w:r>
      <w:r w:rsidRPr="00EC6DF4">
        <w:t>2%)</w:t>
      </w:r>
      <w:r>
        <w:t xml:space="preserve"> who are currently receiving </w:t>
      </w:r>
      <w:r w:rsidR="007B30E9">
        <w:t xml:space="preserve">replacement FIX </w:t>
      </w:r>
      <w:r w:rsidRPr="00EC6DF4">
        <w:t>prophylaxis</w:t>
      </w:r>
      <w:r>
        <w:t xml:space="preserve">. </w:t>
      </w:r>
      <w:r w:rsidR="0060015A">
        <w:t>MSAC also noted that t</w:t>
      </w:r>
      <w:r>
        <w:t>he PICO</w:t>
      </w:r>
      <w:r w:rsidR="00FF2AF5">
        <w:t xml:space="preserve"> had</w:t>
      </w:r>
      <w:r>
        <w:t xml:space="preserve"> included that patients must also have an a</w:t>
      </w:r>
      <w:r w:rsidRPr="00EC6DF4">
        <w:t>nti-AA</w:t>
      </w:r>
      <w:r>
        <w:t>V</w:t>
      </w:r>
      <w:r w:rsidRPr="00EC6DF4">
        <w:t xml:space="preserve">5 </w:t>
      </w:r>
      <w:r>
        <w:t>n</w:t>
      </w:r>
      <w:r w:rsidRPr="00EC6DF4">
        <w:t xml:space="preserve">eutralising </w:t>
      </w:r>
      <w:r>
        <w:t>antibody (</w:t>
      </w:r>
      <w:proofErr w:type="spellStart"/>
      <w:r>
        <w:t>NAb</w:t>
      </w:r>
      <w:proofErr w:type="spellEnd"/>
      <w:r>
        <w:t>)</w:t>
      </w:r>
      <w:r w:rsidRPr="00EC6DF4">
        <w:t xml:space="preserve"> level</w:t>
      </w:r>
      <w:r>
        <w:t xml:space="preserve"> of</w:t>
      </w:r>
      <w:r w:rsidRPr="00EC6DF4">
        <w:t xml:space="preserve"> &lt;1:</w:t>
      </w:r>
      <w:r w:rsidR="00BF21DC">
        <w:t>70</w:t>
      </w:r>
      <w:r w:rsidRPr="00EC6DF4">
        <w:t xml:space="preserve">0 </w:t>
      </w:r>
      <w:r w:rsidR="00FF2AF5">
        <w:t>(</w:t>
      </w:r>
      <w:r w:rsidRPr="00EC6DF4">
        <w:t xml:space="preserve">on </w:t>
      </w:r>
      <w:r w:rsidR="00FF2AF5">
        <w:t>a</w:t>
      </w:r>
      <w:r>
        <w:t xml:space="preserve"> </w:t>
      </w:r>
      <w:r w:rsidR="00BF21DC">
        <w:t>7</w:t>
      </w:r>
      <w:r>
        <w:t>-</w:t>
      </w:r>
      <w:r w:rsidRPr="00EC6DF4">
        <w:t>point assay</w:t>
      </w:r>
      <w:r w:rsidR="00FF2AF5">
        <w:t>)</w:t>
      </w:r>
      <w:r>
        <w:t>, but this was removed from the</w:t>
      </w:r>
      <w:r w:rsidR="00226FA7">
        <w:t xml:space="preserve"> proposed eligibility criteria in the</w:t>
      </w:r>
      <w:r>
        <w:t xml:space="preserve"> </w:t>
      </w:r>
      <w:r w:rsidR="00BF21DC">
        <w:t>A</w:t>
      </w:r>
      <w:r>
        <w:t>pplicant</w:t>
      </w:r>
      <w:r w:rsidR="00BF21DC">
        <w:t xml:space="preserve"> D</w:t>
      </w:r>
      <w:r>
        <w:t xml:space="preserve">eveloped </w:t>
      </w:r>
      <w:r w:rsidR="00BF21DC">
        <w:t>A</w:t>
      </w:r>
      <w:r>
        <w:t xml:space="preserve">ssessment </w:t>
      </w:r>
      <w:r w:rsidR="00BF21DC">
        <w:t>R</w:t>
      </w:r>
      <w:r>
        <w:t xml:space="preserve">eport </w:t>
      </w:r>
      <w:r w:rsidRPr="00EC6DF4">
        <w:t>(ADAR)</w:t>
      </w:r>
      <w:r>
        <w:t xml:space="preserve">. </w:t>
      </w:r>
      <w:r w:rsidR="00512176">
        <w:t>MSAC considered</w:t>
      </w:r>
      <w:r w:rsidR="00512176" w:rsidRPr="002945C4">
        <w:t xml:space="preserve"> </w:t>
      </w:r>
      <w:r w:rsidR="00646BFE">
        <w:t xml:space="preserve">specifying an </w:t>
      </w:r>
      <w:r w:rsidR="00512176">
        <w:t>a</w:t>
      </w:r>
      <w:r w:rsidR="00512176" w:rsidRPr="002945C4">
        <w:t xml:space="preserve">nti-AAV5 </w:t>
      </w:r>
      <w:proofErr w:type="spellStart"/>
      <w:r w:rsidR="00512176">
        <w:t>N</w:t>
      </w:r>
      <w:r w:rsidR="0088384B">
        <w:t>Ab</w:t>
      </w:r>
      <w:proofErr w:type="spellEnd"/>
      <w:r w:rsidR="00646BFE">
        <w:t xml:space="preserve"> titre threshold was</w:t>
      </w:r>
      <w:r w:rsidR="00512176">
        <w:t xml:space="preserve"> an </w:t>
      </w:r>
      <w:r w:rsidR="003B5349">
        <w:t>important eligibility criterion</w:t>
      </w:r>
      <w:r w:rsidR="004702FC">
        <w:t xml:space="preserve"> as Hemgenix was not effective in a patient who had a high anti-AAV5 </w:t>
      </w:r>
      <w:proofErr w:type="spellStart"/>
      <w:r w:rsidR="004702FC">
        <w:t>NAb</w:t>
      </w:r>
      <w:proofErr w:type="spellEnd"/>
      <w:r w:rsidR="004702FC">
        <w:t xml:space="preserve"> titre.</w:t>
      </w:r>
      <w:r w:rsidR="00226FA7">
        <w:t xml:space="preserve"> However, MSAC noted that the anti-AAV5 </w:t>
      </w:r>
      <w:proofErr w:type="spellStart"/>
      <w:r w:rsidR="00226FA7">
        <w:t>NAb</w:t>
      </w:r>
      <w:proofErr w:type="spellEnd"/>
      <w:r w:rsidR="00226FA7">
        <w:t xml:space="preserve"> test, which is </w:t>
      </w:r>
      <w:r w:rsidR="006D3CFD">
        <w:t>currently only performed in the United States</w:t>
      </w:r>
      <w:r w:rsidR="00AE2441">
        <w:t xml:space="preserve"> (US)</w:t>
      </w:r>
      <w:r w:rsidR="006D3CFD">
        <w:t xml:space="preserve">, is not </w:t>
      </w:r>
      <w:r w:rsidR="00FC76D8">
        <w:t>yet</w:t>
      </w:r>
      <w:r w:rsidR="006D3CFD">
        <w:t xml:space="preserve"> validated. Further, the</w:t>
      </w:r>
      <w:r w:rsidR="00AE2441">
        <w:t xml:space="preserve"> </w:t>
      </w:r>
      <w:r w:rsidR="00AE2441" w:rsidRPr="00510942" w:rsidDel="00C91DBD">
        <w:t>US</w:t>
      </w:r>
      <w:r w:rsidR="00AE2441" w:rsidDel="00C91DBD">
        <w:t xml:space="preserve"> Food and Drug Administration (</w:t>
      </w:r>
      <w:r w:rsidR="00AE2441" w:rsidRPr="002945C4" w:rsidDel="00C91DBD">
        <w:t>FDA</w:t>
      </w:r>
      <w:r w:rsidR="00AE2441" w:rsidDel="00C91DBD">
        <w:t>)</w:t>
      </w:r>
      <w:r w:rsidR="00AE2441">
        <w:t xml:space="preserve"> approval for Hemgenix</w:t>
      </w:r>
      <w:r w:rsidR="00717C44">
        <w:rPr>
          <w:rStyle w:val="FootnoteReference"/>
        </w:rPr>
        <w:footnoteReference w:id="2"/>
      </w:r>
      <w:r w:rsidR="00AE2441">
        <w:t xml:space="preserve"> </w:t>
      </w:r>
      <w:r w:rsidR="008E06AE">
        <w:t>mandate</w:t>
      </w:r>
      <w:r w:rsidR="00AE2441">
        <w:t>s</w:t>
      </w:r>
      <w:r w:rsidR="000B4AF5">
        <w:t xml:space="preserve"> </w:t>
      </w:r>
      <w:r w:rsidR="00C1260C">
        <w:t xml:space="preserve">that </w:t>
      </w:r>
      <w:proofErr w:type="gramStart"/>
      <w:r w:rsidR="000B4AF5">
        <w:t>a number of</w:t>
      </w:r>
      <w:proofErr w:type="gramEnd"/>
      <w:r w:rsidR="000B4AF5">
        <w:t xml:space="preserve"> post-market studies </w:t>
      </w:r>
      <w:r w:rsidR="00C1260C">
        <w:t>must</w:t>
      </w:r>
      <w:r w:rsidR="000B4AF5">
        <w:t xml:space="preserve"> be conducted, including </w:t>
      </w:r>
      <w:r w:rsidR="00CC267B">
        <w:t xml:space="preserve">studies to validate the anti-AAV5 </w:t>
      </w:r>
      <w:proofErr w:type="spellStart"/>
      <w:r w:rsidR="00CC267B">
        <w:t>NAb</w:t>
      </w:r>
      <w:proofErr w:type="spellEnd"/>
      <w:r w:rsidR="00CC267B">
        <w:t xml:space="preserve"> test and to assess the association between the effectiveness of H</w:t>
      </w:r>
      <w:r w:rsidR="00F15F01">
        <w:t xml:space="preserve">emgenix and pre-existing anti-AAV5 </w:t>
      </w:r>
      <w:proofErr w:type="spellStart"/>
      <w:r w:rsidR="00F15F01">
        <w:t>NAb</w:t>
      </w:r>
      <w:proofErr w:type="spellEnd"/>
      <w:r w:rsidR="00F15F01">
        <w:t xml:space="preserve">. </w:t>
      </w:r>
      <w:r w:rsidR="000D51C0">
        <w:t>T</w:t>
      </w:r>
      <w:r w:rsidR="00F15F01">
        <w:t>he</w:t>
      </w:r>
      <w:r w:rsidR="00512176">
        <w:t xml:space="preserve"> </w:t>
      </w:r>
      <w:r w:rsidR="00512176" w:rsidRPr="00510942">
        <w:t xml:space="preserve">TGA’s provisional </w:t>
      </w:r>
      <w:r w:rsidR="00F15F01">
        <w:t>approval for Hemgenix is</w:t>
      </w:r>
      <w:r w:rsidR="000D51C0">
        <w:t xml:space="preserve"> also</w:t>
      </w:r>
      <w:r w:rsidR="00512176" w:rsidRPr="00510942">
        <w:t xml:space="preserve"> rel</w:t>
      </w:r>
      <w:r w:rsidR="00A56496">
        <w:t>iant</w:t>
      </w:r>
      <w:r w:rsidR="00512176" w:rsidRPr="00510942">
        <w:t xml:space="preserve"> on further follow-up data</w:t>
      </w:r>
      <w:r w:rsidR="00A56496">
        <w:t xml:space="preserve"> to lead to full registration</w:t>
      </w:r>
      <w:r w:rsidR="00020FE9" w:rsidRPr="00510942">
        <w:t>.</w:t>
      </w:r>
    </w:p>
    <w:p w14:paraId="78BFDACE" w14:textId="087522F8" w:rsidR="00300391" w:rsidRDefault="00300391" w:rsidP="00300391">
      <w:r>
        <w:t xml:space="preserve">MSAC noted that the clinical evidence </w:t>
      </w:r>
      <w:r w:rsidR="008A6B31">
        <w:t>for Hemgenix was informed by</w:t>
      </w:r>
      <w:r>
        <w:t xml:space="preserve"> three</w:t>
      </w:r>
      <w:r w:rsidRPr="00780507">
        <w:t xml:space="preserve"> single</w:t>
      </w:r>
      <w:r>
        <w:t>-</w:t>
      </w:r>
      <w:r w:rsidRPr="00780507">
        <w:t>arm observational studies</w:t>
      </w:r>
      <w:r w:rsidR="0050541C">
        <w:t xml:space="preserve"> (i.e. low certainty evidence)</w:t>
      </w:r>
      <w:r>
        <w:t xml:space="preserve">, </w:t>
      </w:r>
      <w:r w:rsidR="003E66B0">
        <w:t>and that the</w:t>
      </w:r>
      <w:r>
        <w:t xml:space="preserve"> HOPE-B study (</w:t>
      </w:r>
      <w:r w:rsidRPr="00780507">
        <w:t>n</w:t>
      </w:r>
      <w:r>
        <w:t> </w:t>
      </w:r>
      <w:r w:rsidRPr="00780507">
        <w:t>=</w:t>
      </w:r>
      <w:r>
        <w:t> </w:t>
      </w:r>
      <w:r w:rsidRPr="00780507">
        <w:t>54</w:t>
      </w:r>
      <w:r>
        <w:t>)</w:t>
      </w:r>
      <w:r w:rsidR="00510E8E">
        <w:t xml:space="preserve"> provided the </w:t>
      </w:r>
      <w:r w:rsidR="0099418C">
        <w:t xml:space="preserve">main supporting </w:t>
      </w:r>
      <w:r w:rsidR="00510E8E">
        <w:t>evidence</w:t>
      </w:r>
      <w:r>
        <w:t xml:space="preserve">. Measured outcomes from </w:t>
      </w:r>
      <w:r w:rsidR="00C272AE">
        <w:t xml:space="preserve">the HOPE-B </w:t>
      </w:r>
      <w:r>
        <w:t xml:space="preserve">study included </w:t>
      </w:r>
      <w:r w:rsidRPr="00780507">
        <w:t>annuali</w:t>
      </w:r>
      <w:r>
        <w:t>s</w:t>
      </w:r>
      <w:r w:rsidRPr="00780507">
        <w:t>ed bleeding rate (ABR)</w:t>
      </w:r>
      <w:r>
        <w:t xml:space="preserve">, </w:t>
      </w:r>
      <w:r w:rsidRPr="00780507">
        <w:t>uncontaminated FIX activity</w:t>
      </w:r>
      <w:r w:rsidR="00BC0FAA">
        <w:t xml:space="preserve"> (i</w:t>
      </w:r>
      <w:r w:rsidR="00C253DB">
        <w:t>.</w:t>
      </w:r>
      <w:r w:rsidR="00BC0FAA">
        <w:t>e</w:t>
      </w:r>
      <w:r w:rsidR="00C253DB">
        <w:t>.</w:t>
      </w:r>
      <w:r w:rsidR="00BC0FAA">
        <w:t xml:space="preserve"> FIX activity </w:t>
      </w:r>
      <w:r w:rsidR="00296570">
        <w:t>tested off FIX prophylaxis)</w:t>
      </w:r>
      <w:r w:rsidRPr="00780507">
        <w:t>,</w:t>
      </w:r>
      <w:r>
        <w:t xml:space="preserve"> </w:t>
      </w:r>
      <w:r w:rsidRPr="00780507">
        <w:t>FIX use after treatment</w:t>
      </w:r>
      <w:r>
        <w:t>, A</w:t>
      </w:r>
      <w:r w:rsidRPr="00780507">
        <w:t>E</w:t>
      </w:r>
      <w:r>
        <w:t>s</w:t>
      </w:r>
      <w:r w:rsidRPr="00780507">
        <w:t>,</w:t>
      </w:r>
      <w:r>
        <w:t xml:space="preserve"> </w:t>
      </w:r>
      <w:r w:rsidRPr="00780507">
        <w:t>EQ-5D-5L and Haem-A-QoL scores</w:t>
      </w:r>
      <w:r>
        <w:t>.</w:t>
      </w:r>
      <w:r w:rsidR="00C272AE">
        <w:t xml:space="preserve"> MSAC noted the </w:t>
      </w:r>
      <w:r w:rsidR="003D3390">
        <w:t>ADAR</w:t>
      </w:r>
      <w:r w:rsidR="00C272AE">
        <w:t xml:space="preserve"> had pres</w:t>
      </w:r>
      <w:r w:rsidR="00C22F6F">
        <w:t xml:space="preserve">ented 3-year data from the HOPE-B study and that </w:t>
      </w:r>
      <w:r w:rsidR="003364F6">
        <w:t>the applicant’s pre-MSAC response</w:t>
      </w:r>
      <w:r w:rsidR="000E2F86">
        <w:t xml:space="preserve"> provided </w:t>
      </w:r>
      <w:r w:rsidR="005348C7">
        <w:t xml:space="preserve">some </w:t>
      </w:r>
      <w:r w:rsidR="000E2F86">
        <w:t xml:space="preserve">4-year data </w:t>
      </w:r>
      <w:r w:rsidR="00570A4B">
        <w:t>but</w:t>
      </w:r>
      <w:r w:rsidR="005348C7">
        <w:t xml:space="preserve"> </w:t>
      </w:r>
      <w:r w:rsidR="00CB4FF4">
        <w:t xml:space="preserve">stated </w:t>
      </w:r>
      <w:r w:rsidR="00F27DB8">
        <w:t>that th</w:t>
      </w:r>
      <w:r w:rsidR="004B2A6B">
        <w:t>ese</w:t>
      </w:r>
      <w:r w:rsidR="0099418C">
        <w:t xml:space="preserve"> data were </w:t>
      </w:r>
      <w:r w:rsidR="004B2A6B">
        <w:t xml:space="preserve">not </w:t>
      </w:r>
      <w:r w:rsidR="004B5BC3">
        <w:t xml:space="preserve">yet </w:t>
      </w:r>
      <w:proofErr w:type="gramStart"/>
      <w:r w:rsidR="00C92B3B">
        <w:t>cleaned</w:t>
      </w:r>
      <w:proofErr w:type="gramEnd"/>
      <w:r w:rsidR="00C92B3B">
        <w:t xml:space="preserve"> and</w:t>
      </w:r>
      <w:r w:rsidR="0099418C">
        <w:t xml:space="preserve"> the</w:t>
      </w:r>
      <w:r w:rsidR="00C92B3B">
        <w:t xml:space="preserve"> </w:t>
      </w:r>
      <w:r w:rsidR="0099418C">
        <w:t xml:space="preserve">early analyses were unconfirmed and </w:t>
      </w:r>
      <w:r w:rsidR="00C92B3B">
        <w:t>no</w:t>
      </w:r>
      <w:r w:rsidR="00570A4B">
        <w:t xml:space="preserve"> conclusion</w:t>
      </w:r>
      <w:r w:rsidR="00C92B3B">
        <w:t>s made</w:t>
      </w:r>
      <w:r w:rsidR="00930CC1">
        <w:t>. Further</w:t>
      </w:r>
      <w:r w:rsidR="008E37AE">
        <w:t>, due to the late provision,</w:t>
      </w:r>
      <w:r w:rsidR="00930CC1">
        <w:t xml:space="preserve"> th</w:t>
      </w:r>
      <w:r w:rsidR="007B30E9">
        <w:t>e</w:t>
      </w:r>
      <w:r w:rsidR="00930CC1">
        <w:t>s</w:t>
      </w:r>
      <w:r w:rsidR="007B30E9">
        <w:t>e</w:t>
      </w:r>
      <w:r w:rsidR="00930CC1">
        <w:t xml:space="preserve"> </w:t>
      </w:r>
      <w:r w:rsidR="00C32372">
        <w:t xml:space="preserve">4-year </w:t>
      </w:r>
      <w:r w:rsidR="00930CC1">
        <w:t xml:space="preserve">data </w:t>
      </w:r>
      <w:r w:rsidR="00E646B1">
        <w:t>w</w:t>
      </w:r>
      <w:r w:rsidR="00C939DA">
        <w:t>ere</w:t>
      </w:r>
      <w:r w:rsidR="00930CC1">
        <w:t xml:space="preserve"> not evaluated as part of the MSAC </w:t>
      </w:r>
      <w:r w:rsidR="000A0642">
        <w:t xml:space="preserve">assessment </w:t>
      </w:r>
      <w:r w:rsidR="00930CC1">
        <w:t>process.</w:t>
      </w:r>
    </w:p>
    <w:p w14:paraId="733A069F" w14:textId="43EF675C" w:rsidR="00300391" w:rsidRDefault="00300391" w:rsidP="00300391">
      <w:r>
        <w:t xml:space="preserve">MSAC noted the AEs reported </w:t>
      </w:r>
      <w:r w:rsidR="00DA6F8A">
        <w:t>for Hemgenix</w:t>
      </w:r>
      <w:r w:rsidR="005D38D0">
        <w:t xml:space="preserve"> (36 month follow up data)</w:t>
      </w:r>
      <w:r w:rsidR="00DA6F8A">
        <w:t xml:space="preserve"> included </w:t>
      </w:r>
      <w:r>
        <w:t>abnormal liver function tests, infusion reactions, bleeds</w:t>
      </w:r>
      <w:r w:rsidR="00DA6F8A">
        <w:t>, the development of anti-AAV5 antibodies</w:t>
      </w:r>
      <w:r>
        <w:t xml:space="preserve"> and </w:t>
      </w:r>
      <w:r w:rsidR="007373B1">
        <w:t>neoplasms</w:t>
      </w:r>
      <w:r w:rsidRPr="00657069">
        <w:t>.</w:t>
      </w:r>
      <w:r>
        <w:t xml:space="preserve"> MSAC </w:t>
      </w:r>
      <w:r w:rsidR="00FC0224">
        <w:t>noted</w:t>
      </w:r>
      <w:r>
        <w:t xml:space="preserve"> the d</w:t>
      </w:r>
      <w:r w:rsidRPr="00CD2AE1">
        <w:t xml:space="preserve">evelopment of </w:t>
      </w:r>
      <w:proofErr w:type="spellStart"/>
      <w:r>
        <w:t>NA</w:t>
      </w:r>
      <w:r w:rsidRPr="00CD2AE1">
        <w:t>bs</w:t>
      </w:r>
      <w:proofErr w:type="spellEnd"/>
      <w:r>
        <w:t>,</w:t>
      </w:r>
      <w:r w:rsidRPr="00CD2AE1">
        <w:t xml:space="preserve"> which </w:t>
      </w:r>
      <w:r w:rsidR="005506D5">
        <w:t xml:space="preserve">would </w:t>
      </w:r>
      <w:r w:rsidRPr="00CD2AE1">
        <w:t>preclude any future treatment with</w:t>
      </w:r>
      <w:r w:rsidR="00AB053F">
        <w:t xml:space="preserve"> AAV5-</w:t>
      </w:r>
      <w:r w:rsidR="000A0642">
        <w:t xml:space="preserve"> or </w:t>
      </w:r>
      <w:r w:rsidR="006E1143">
        <w:t>of a cross-reactive AAV species</w:t>
      </w:r>
      <w:r w:rsidR="00D805ED">
        <w:t>-</w:t>
      </w:r>
      <w:r w:rsidR="00D805ED" w:rsidRPr="00D805ED">
        <w:t xml:space="preserve"> </w:t>
      </w:r>
      <w:r w:rsidR="00D805ED">
        <w:t>based</w:t>
      </w:r>
      <w:r w:rsidR="00D805ED" w:rsidRPr="00CD2AE1">
        <w:t xml:space="preserve"> gene therapy</w:t>
      </w:r>
      <w:r w:rsidR="00E10A68">
        <w:t>,</w:t>
      </w:r>
      <w:r w:rsidR="00FC0224">
        <w:t xml:space="preserve"> was </w:t>
      </w:r>
      <w:r w:rsidR="00E10A68">
        <w:t xml:space="preserve">of </w:t>
      </w:r>
      <w:r w:rsidR="00F17F10">
        <w:t xml:space="preserve">particular </w:t>
      </w:r>
      <w:r w:rsidR="005506D5">
        <w:t>concern</w:t>
      </w:r>
      <w:r w:rsidR="00E10A68">
        <w:t xml:space="preserve"> </w:t>
      </w:r>
      <w:r w:rsidR="001133B2">
        <w:t>for</w:t>
      </w:r>
      <w:r w:rsidR="003B1843">
        <w:t xml:space="preserve"> </w:t>
      </w:r>
      <w:r>
        <w:t xml:space="preserve">consumers. </w:t>
      </w:r>
      <w:r w:rsidR="00EA6582" w:rsidDel="00657B0D">
        <w:t xml:space="preserve">MSAC </w:t>
      </w:r>
      <w:r w:rsidR="00EA6582">
        <w:t xml:space="preserve">considered that </w:t>
      </w:r>
      <w:r w:rsidR="00EA6582" w:rsidDel="00657B0D">
        <w:t>as at 36 months</w:t>
      </w:r>
      <w:r w:rsidR="0033510E">
        <w:t>, the claim that</w:t>
      </w:r>
      <w:r w:rsidR="00EA6582" w:rsidDel="00657B0D">
        <w:t xml:space="preserve"> Hemgenix had </w:t>
      </w:r>
      <w:r w:rsidR="0033510E">
        <w:t xml:space="preserve">non-inferior </w:t>
      </w:r>
      <w:r w:rsidR="00EA6582" w:rsidDel="00657B0D">
        <w:t xml:space="preserve">safety </w:t>
      </w:r>
      <w:r w:rsidR="0033510E">
        <w:t xml:space="preserve">compared </w:t>
      </w:r>
      <w:r w:rsidR="00EA6582" w:rsidDel="00657B0D">
        <w:t>to standard of care</w:t>
      </w:r>
      <w:r w:rsidR="0033510E">
        <w:t xml:space="preserve"> (i.e. routine prophylaxis with FIX replacement therapy)</w:t>
      </w:r>
      <w:r w:rsidR="00BF376C">
        <w:t xml:space="preserve"> was reasonable.</w:t>
      </w:r>
      <w:r w:rsidR="00C871A7">
        <w:t xml:space="preserve"> However, </w:t>
      </w:r>
      <w:r>
        <w:t xml:space="preserve">MSAC </w:t>
      </w:r>
      <w:r w:rsidR="00EC4076">
        <w:t>agreed with ESC</w:t>
      </w:r>
      <w:r w:rsidR="00EA6582">
        <w:t xml:space="preserve"> that</w:t>
      </w:r>
      <w:r>
        <w:t xml:space="preserve"> the </w:t>
      </w:r>
      <w:r w:rsidR="0060178A">
        <w:t xml:space="preserve">comparative </w:t>
      </w:r>
      <w:r>
        <w:t>long-term safety</w:t>
      </w:r>
      <w:r w:rsidR="0060178A">
        <w:t xml:space="preserve"> of Hemgenix was unknown</w:t>
      </w:r>
      <w:r w:rsidR="00922F4C">
        <w:t xml:space="preserve"> and uncertain</w:t>
      </w:r>
      <w:r>
        <w:t xml:space="preserve">, as </w:t>
      </w:r>
      <w:r w:rsidR="006E1143">
        <w:t>the assessed</w:t>
      </w:r>
      <w:r w:rsidR="009F0C82">
        <w:t xml:space="preserve"> HOPE-B</w:t>
      </w:r>
      <w:r w:rsidR="006E1143">
        <w:t xml:space="preserve"> </w:t>
      </w:r>
      <w:r w:rsidR="0060178A">
        <w:t>study</w:t>
      </w:r>
      <w:r>
        <w:t xml:space="preserve"> data are only available for 3 years post-treatment.</w:t>
      </w:r>
    </w:p>
    <w:p w14:paraId="141CF049" w14:textId="46D86812" w:rsidR="00300391" w:rsidRDefault="00300391" w:rsidP="00300391">
      <w:r>
        <w:t xml:space="preserve">MSAC </w:t>
      </w:r>
      <w:r w:rsidR="00F15681">
        <w:t>considered</w:t>
      </w:r>
      <w:r>
        <w:t xml:space="preserve"> that</w:t>
      </w:r>
      <w:r w:rsidR="00566882">
        <w:t xml:space="preserve"> </w:t>
      </w:r>
      <w:r w:rsidR="008B28F2">
        <w:t xml:space="preserve">the </w:t>
      </w:r>
      <w:r>
        <w:t xml:space="preserve">reduction in </w:t>
      </w:r>
      <w:r w:rsidR="00D55ADE">
        <w:t xml:space="preserve">the average </w:t>
      </w:r>
      <w:r>
        <w:t xml:space="preserve">ABR </w:t>
      </w:r>
      <w:r w:rsidR="00656426">
        <w:t xml:space="preserve">for the whole patient cohort </w:t>
      </w:r>
      <w:r>
        <w:t>(</w:t>
      </w:r>
      <w:r w:rsidR="00D55ADE">
        <w:t xml:space="preserve">from </w:t>
      </w:r>
      <w:r>
        <w:t>4.19 </w:t>
      </w:r>
      <w:r w:rsidR="00D55ADE">
        <w:t xml:space="preserve">pre-treatment </w:t>
      </w:r>
      <w:r>
        <w:t>to 1.52</w:t>
      </w:r>
      <w:r w:rsidR="00D55ADE">
        <w:t xml:space="preserve"> post-treatment</w:t>
      </w:r>
      <w:r>
        <w:t>)</w:t>
      </w:r>
      <w:r w:rsidR="00DA31DD">
        <w:t xml:space="preserve"> </w:t>
      </w:r>
      <w:r w:rsidR="004A0E8B">
        <w:t xml:space="preserve">indicated </w:t>
      </w:r>
      <w:r w:rsidR="00DA31DD">
        <w:t>that Hemgenix was effective</w:t>
      </w:r>
      <w:r w:rsidR="00493E93">
        <w:t xml:space="preserve"> at 3 years follow up</w:t>
      </w:r>
      <w:r w:rsidR="00DA31DD">
        <w:t xml:space="preserve"> for a sub-group of patients</w:t>
      </w:r>
      <w:r w:rsidR="001015B9">
        <w:t xml:space="preserve">. </w:t>
      </w:r>
      <w:r w:rsidR="00F15681">
        <w:t>That is</w:t>
      </w:r>
      <w:r w:rsidR="00334242">
        <w:t xml:space="preserve">, </w:t>
      </w:r>
      <w:r w:rsidR="00F15681">
        <w:t xml:space="preserve">while MSAC noted the short-term evidence </w:t>
      </w:r>
      <w:r w:rsidR="00EE3FB9">
        <w:t xml:space="preserve">indicated a reduction in ABR post-Hemgenix for some patients, </w:t>
      </w:r>
      <w:r>
        <w:t xml:space="preserve">MSAC </w:t>
      </w:r>
      <w:r w:rsidR="005D0E93">
        <w:t>agreed with ESC</w:t>
      </w:r>
      <w:r>
        <w:t xml:space="preserve"> </w:t>
      </w:r>
      <w:r w:rsidR="00EE3FB9">
        <w:t>that there was s</w:t>
      </w:r>
      <w:r w:rsidR="0086665C">
        <w:t>ubstantial inter-</w:t>
      </w:r>
      <w:r>
        <w:t>individual variability</w:t>
      </w:r>
      <w:r w:rsidR="000C220D">
        <w:t xml:space="preserve"> in response</w:t>
      </w:r>
      <w:r>
        <w:t xml:space="preserve">. </w:t>
      </w:r>
      <w:r w:rsidR="00F47DCF">
        <w:t xml:space="preserve">MSAC noted the applicant’s pre-MSAC response argued that </w:t>
      </w:r>
      <w:r w:rsidR="00886DE6">
        <w:t xml:space="preserve">the variability in the ABR </w:t>
      </w:r>
      <w:r w:rsidR="00BA0122">
        <w:t xml:space="preserve">was not substantial and </w:t>
      </w:r>
      <w:r w:rsidR="001372FB">
        <w:t>was</w:t>
      </w:r>
      <w:r w:rsidR="00886DE6">
        <w:t xml:space="preserve"> reflective of </w:t>
      </w:r>
      <w:r w:rsidR="00AA39E5">
        <w:t xml:space="preserve">the heterogenous population that </w:t>
      </w:r>
      <w:r w:rsidR="00BA0122">
        <w:t>was</w:t>
      </w:r>
      <w:r w:rsidR="00AA39E5">
        <w:t xml:space="preserve"> evaluated</w:t>
      </w:r>
      <w:r w:rsidR="00A9152D">
        <w:t xml:space="preserve">. </w:t>
      </w:r>
      <w:r w:rsidR="00923DB4">
        <w:t>MSAC note</w:t>
      </w:r>
      <w:r w:rsidR="00C505DF">
        <w:t>d</w:t>
      </w:r>
      <w:r w:rsidR="00923DB4">
        <w:t xml:space="preserve"> the</w:t>
      </w:r>
      <w:r>
        <w:t xml:space="preserve"> </w:t>
      </w:r>
      <w:r w:rsidRPr="00A42F87">
        <w:t>tornado plot</w:t>
      </w:r>
      <w:r w:rsidR="00923DB4">
        <w:t xml:space="preserve"> depicting</w:t>
      </w:r>
      <w:r w:rsidRPr="00A42F87">
        <w:t xml:space="preserve"> the ABR for each patient highlighted the extent of the inter-individual variability</w:t>
      </w:r>
      <w:r w:rsidR="00A13EA9">
        <w:t xml:space="preserve"> (Section </w:t>
      </w:r>
      <w:r w:rsidR="00DB4BD7">
        <w:t xml:space="preserve">12, </w:t>
      </w:r>
      <w:r w:rsidR="00DB4BD7">
        <w:fldChar w:fldCharType="begin"/>
      </w:r>
      <w:r w:rsidR="00DB4BD7">
        <w:instrText xml:space="preserve"> REF _Ref164195486 \h </w:instrText>
      </w:r>
      <w:r w:rsidR="00DB4BD7">
        <w:fldChar w:fldCharType="separate"/>
      </w:r>
      <w:r w:rsidR="00DB4BD7" w:rsidRPr="00E40A38">
        <w:t>Figure </w:t>
      </w:r>
      <w:r w:rsidR="00DB4BD7">
        <w:rPr>
          <w:noProof/>
        </w:rPr>
        <w:t>1</w:t>
      </w:r>
      <w:r w:rsidR="00DB4BD7">
        <w:fldChar w:fldCharType="end"/>
      </w:r>
      <w:r w:rsidR="00DB4BD7">
        <w:t>)</w:t>
      </w:r>
      <w:r w:rsidR="002C2FC7">
        <w:t>.</w:t>
      </w:r>
      <w:r w:rsidR="003F65B0">
        <w:t xml:space="preserve"> </w:t>
      </w:r>
      <w:r w:rsidR="00A61FC7">
        <w:t>S</w:t>
      </w:r>
      <w:r w:rsidR="00B40E83">
        <w:t>ome patients</w:t>
      </w:r>
      <w:r w:rsidR="009C31EB">
        <w:t xml:space="preserve"> </w:t>
      </w:r>
      <w:r w:rsidR="00D45231">
        <w:t xml:space="preserve">not only </w:t>
      </w:r>
      <w:r w:rsidR="009C31EB">
        <w:t>had</w:t>
      </w:r>
      <w:r w:rsidR="00B40E83">
        <w:t xml:space="preserve"> more bleeds </w:t>
      </w:r>
      <w:r w:rsidR="000C3B83">
        <w:t>post-Hemgenix treatment</w:t>
      </w:r>
      <w:r w:rsidR="002C2FC7">
        <w:t xml:space="preserve"> </w:t>
      </w:r>
      <w:r w:rsidR="00D45231">
        <w:t xml:space="preserve">but </w:t>
      </w:r>
      <w:r w:rsidR="00C704D0">
        <w:t>also</w:t>
      </w:r>
      <w:r w:rsidR="00D45231">
        <w:t xml:space="preserve"> ha</w:t>
      </w:r>
      <w:r w:rsidR="00C0547C">
        <w:t xml:space="preserve">d more serious bleeds </w:t>
      </w:r>
      <w:r w:rsidR="00C564D0">
        <w:t xml:space="preserve">post-treatment </w:t>
      </w:r>
      <w:r w:rsidR="00C0547C">
        <w:t xml:space="preserve">than they did prior to </w:t>
      </w:r>
      <w:r w:rsidR="003E5A80">
        <w:t>Hemgenix</w:t>
      </w:r>
      <w:r w:rsidR="00C564D0">
        <w:t xml:space="preserve"> </w:t>
      </w:r>
      <w:r w:rsidR="00C0547C">
        <w:t>treatment</w:t>
      </w:r>
      <w:r>
        <w:t xml:space="preserve">. </w:t>
      </w:r>
      <w:r w:rsidR="00A21087">
        <w:t>In addition,</w:t>
      </w:r>
      <w:r w:rsidR="004F5A95" w:rsidRPr="004F5A95">
        <w:t xml:space="preserve"> some patients had no bleeds before or after Hemgenix</w:t>
      </w:r>
      <w:r w:rsidR="00C00587">
        <w:t xml:space="preserve">. </w:t>
      </w:r>
      <w:r w:rsidR="008760AF">
        <w:t>As such,</w:t>
      </w:r>
      <w:r w:rsidR="00A21087">
        <w:t xml:space="preserve"> MSAC considered</w:t>
      </w:r>
      <w:r w:rsidR="00A625C9">
        <w:t xml:space="preserve"> </w:t>
      </w:r>
      <w:r w:rsidR="0002005B">
        <w:t>it problematic to inter</w:t>
      </w:r>
      <w:r w:rsidR="00A625C9">
        <w:t xml:space="preserve">pret </w:t>
      </w:r>
      <w:r w:rsidR="004F5A95" w:rsidRPr="004F5A95">
        <w:t xml:space="preserve">the </w:t>
      </w:r>
      <w:r w:rsidR="1FE10788">
        <w:t>treatment effect (</w:t>
      </w:r>
      <w:r w:rsidR="00CA1295">
        <w:t>median</w:t>
      </w:r>
      <w:r w:rsidR="004F5A95" w:rsidRPr="004F5A95">
        <w:t xml:space="preserve"> ABR</w:t>
      </w:r>
      <w:r w:rsidR="68E547B5">
        <w:t>)</w:t>
      </w:r>
      <w:r w:rsidR="004F5A95" w:rsidRPr="004F5A95">
        <w:t xml:space="preserve"> </w:t>
      </w:r>
      <w:r w:rsidR="004A4CB3">
        <w:t xml:space="preserve">for </w:t>
      </w:r>
      <w:r w:rsidR="004F5A95" w:rsidRPr="004F5A95">
        <w:t xml:space="preserve">the whole </w:t>
      </w:r>
      <w:r w:rsidR="00A21087">
        <w:t>cohort.</w:t>
      </w:r>
      <w:r w:rsidR="004F5A95" w:rsidRPr="004F5A95">
        <w:t xml:space="preserve"> </w:t>
      </w:r>
      <w:r>
        <w:t xml:space="preserve">MSAC also noted that </w:t>
      </w:r>
      <w:r w:rsidR="00D505D0">
        <w:t>the</w:t>
      </w:r>
      <w:r w:rsidRPr="007618AF">
        <w:t xml:space="preserve"> tornado plot </w:t>
      </w:r>
      <w:r w:rsidR="00D505D0">
        <w:t>depicting the</w:t>
      </w:r>
      <w:r w:rsidR="00D505D0" w:rsidRPr="007618AF">
        <w:t xml:space="preserve"> </w:t>
      </w:r>
      <w:r w:rsidRPr="007618AF">
        <w:t xml:space="preserve">post-treatment FIX </w:t>
      </w:r>
      <w:r w:rsidR="00A27689">
        <w:t xml:space="preserve">replacement therapy </w:t>
      </w:r>
      <w:r w:rsidRPr="007618AF">
        <w:t>use demonstrated that</w:t>
      </w:r>
      <w:r>
        <w:t>,</w:t>
      </w:r>
      <w:r w:rsidRPr="007618AF">
        <w:t xml:space="preserve"> even though responders may </w:t>
      </w:r>
      <w:r w:rsidR="00A27689">
        <w:t xml:space="preserve">not </w:t>
      </w:r>
      <w:r w:rsidRPr="007618AF">
        <w:t xml:space="preserve">have required </w:t>
      </w:r>
      <w:r w:rsidR="00F449B6" w:rsidRPr="007618AF">
        <w:t>r</w:t>
      </w:r>
      <w:r w:rsidR="00F449B6">
        <w:t>outine</w:t>
      </w:r>
      <w:r w:rsidR="00F449B6" w:rsidRPr="007618AF">
        <w:t xml:space="preserve"> </w:t>
      </w:r>
      <w:r w:rsidRPr="007618AF">
        <w:t>prophylactic FIX</w:t>
      </w:r>
      <w:r w:rsidR="00F449B6">
        <w:t xml:space="preserve"> replacement therapy</w:t>
      </w:r>
      <w:r w:rsidRPr="007618AF">
        <w:t>, 32/54</w:t>
      </w:r>
      <w:r>
        <w:t> </w:t>
      </w:r>
      <w:r w:rsidRPr="007618AF">
        <w:t>patients still required some FIX infusions after Hemgenix</w:t>
      </w:r>
      <w:r w:rsidR="00DB4BD7">
        <w:t xml:space="preserve"> </w:t>
      </w:r>
      <w:r w:rsidR="00A04EF3">
        <w:t>so</w:t>
      </w:r>
      <w:r w:rsidR="00020FE9">
        <w:t xml:space="preserve"> it</w:t>
      </w:r>
      <w:r w:rsidR="00A04EF3">
        <w:t xml:space="preserve"> could not be considered curative</w:t>
      </w:r>
      <w:r w:rsidR="00DB4BD7">
        <w:t xml:space="preserve"> (Section 12, </w:t>
      </w:r>
      <w:r w:rsidR="00072B09">
        <w:fldChar w:fldCharType="begin"/>
      </w:r>
      <w:r w:rsidR="00072B09">
        <w:instrText xml:space="preserve"> REF _Ref164238352 \h </w:instrText>
      </w:r>
      <w:r w:rsidR="00072B09">
        <w:fldChar w:fldCharType="separate"/>
      </w:r>
      <w:r w:rsidR="00072B09" w:rsidRPr="00E40A38">
        <w:t>Figure </w:t>
      </w:r>
      <w:r w:rsidR="00072B09">
        <w:rPr>
          <w:noProof/>
        </w:rPr>
        <w:t>3</w:t>
      </w:r>
      <w:r w:rsidR="00072B09">
        <w:fldChar w:fldCharType="end"/>
      </w:r>
      <w:r w:rsidR="00072B09">
        <w:t>)</w:t>
      </w:r>
      <w:r w:rsidR="007E4452">
        <w:t xml:space="preserve">. MSAC again noted that </w:t>
      </w:r>
      <w:r w:rsidR="007A58A2">
        <w:t xml:space="preserve">while </w:t>
      </w:r>
      <w:r w:rsidR="005B3EA5">
        <w:t>the average number of FIX infusions for the whole patient cohort was red</w:t>
      </w:r>
      <w:r w:rsidR="00C42F7D">
        <w:t xml:space="preserve">uced (from an average of 44.1 to </w:t>
      </w:r>
      <w:r w:rsidRPr="007618AF">
        <w:t>1.7</w:t>
      </w:r>
      <w:r>
        <w:t> </w:t>
      </w:r>
      <w:r w:rsidRPr="007618AF">
        <w:t>FIX infusions per patient</w:t>
      </w:r>
      <w:r w:rsidR="00C42F7D">
        <w:t>)</w:t>
      </w:r>
      <w:r w:rsidRPr="007618AF">
        <w:t>)</w:t>
      </w:r>
      <w:r w:rsidR="007A58A2">
        <w:t>, there was inter-individual variability</w:t>
      </w:r>
      <w:r w:rsidRPr="007618AF">
        <w:t>.</w:t>
      </w:r>
      <w:r>
        <w:t xml:space="preserve"> </w:t>
      </w:r>
      <w:r w:rsidR="001270C8" w:rsidRPr="001270C8">
        <w:t xml:space="preserve">MSAC also </w:t>
      </w:r>
      <w:r w:rsidR="00281787">
        <w:t xml:space="preserve">noted </w:t>
      </w:r>
      <w:r w:rsidR="001270C8">
        <w:t xml:space="preserve">that </w:t>
      </w:r>
      <w:r w:rsidR="00886B18">
        <w:t>there was evidence of</w:t>
      </w:r>
      <w:r w:rsidR="00281787">
        <w:t xml:space="preserve"> </w:t>
      </w:r>
      <w:r w:rsidR="001270C8" w:rsidRPr="001270C8">
        <w:t xml:space="preserve">waning effectiveness </w:t>
      </w:r>
      <w:r w:rsidR="00886B18">
        <w:t>with</w:t>
      </w:r>
      <w:r w:rsidR="00886B18" w:rsidRPr="001270C8">
        <w:t xml:space="preserve"> </w:t>
      </w:r>
      <w:r w:rsidR="001270C8" w:rsidRPr="001270C8">
        <w:t>one of the patients</w:t>
      </w:r>
      <w:r w:rsidR="00A9152D">
        <w:t xml:space="preserve"> developing late loss of efficacy </w:t>
      </w:r>
      <w:r w:rsidR="00E7007C">
        <w:t>although</w:t>
      </w:r>
      <w:r w:rsidR="00704B2A">
        <w:t xml:space="preserve"> the applicant’s pre-MSAC response </w:t>
      </w:r>
      <w:r w:rsidR="00B17CC1" w:rsidRPr="00B17CC1">
        <w:rPr>
          <w:b/>
          <w:bCs/>
        </w:rPr>
        <w:t>redacted</w:t>
      </w:r>
      <w:r w:rsidR="001270C8" w:rsidRPr="001270C8">
        <w:t xml:space="preserve">. </w:t>
      </w:r>
      <w:r w:rsidR="00455868">
        <w:t xml:space="preserve">MSAC noted the lack of data for joint bleeding measurements and </w:t>
      </w:r>
      <w:r w:rsidR="00455868" w:rsidRPr="005B5A23">
        <w:t>use of central venous lines and line access</w:t>
      </w:r>
      <w:r w:rsidR="00455868">
        <w:t>.</w:t>
      </w:r>
    </w:p>
    <w:p w14:paraId="78FD701A" w14:textId="7F43B6AB" w:rsidR="00512176" w:rsidRDefault="00694FE7" w:rsidP="00300391">
      <w:r>
        <w:t>Regarding patient quality of life, MSAC noted that t</w:t>
      </w:r>
      <w:r w:rsidR="00300391">
        <w:t xml:space="preserve">here was no change in EQ-5D-5L, and although Haem-A-QoL scores </w:t>
      </w:r>
      <w:r w:rsidR="002A315A">
        <w:t xml:space="preserve">were </w:t>
      </w:r>
      <w:r w:rsidR="00300391">
        <w:t>improve</w:t>
      </w:r>
      <w:r w:rsidR="002A315A">
        <w:t>d</w:t>
      </w:r>
      <w:r w:rsidR="00300391">
        <w:t xml:space="preserve">, </w:t>
      </w:r>
      <w:r w:rsidR="00D11D0E">
        <w:t xml:space="preserve">it is uncertain </w:t>
      </w:r>
      <w:r w:rsidR="0097181E">
        <w:t xml:space="preserve">whether </w:t>
      </w:r>
      <w:r w:rsidR="000D64F7">
        <w:t>th</w:t>
      </w:r>
      <w:r w:rsidR="0097181E">
        <w:t>is represent</w:t>
      </w:r>
      <w:r w:rsidR="00904D6A">
        <w:t>ed</w:t>
      </w:r>
      <w:r w:rsidR="0097181E">
        <w:t xml:space="preserve"> a </w:t>
      </w:r>
      <w:r w:rsidR="00442E2B">
        <w:t>meaningful improvement</w:t>
      </w:r>
      <w:r w:rsidR="00300391">
        <w:t>.</w:t>
      </w:r>
    </w:p>
    <w:p w14:paraId="7AC8B775" w14:textId="79C7D182" w:rsidR="00300391" w:rsidRDefault="00300391" w:rsidP="00300391">
      <w:r>
        <w:t>Overall, MSAC considered that</w:t>
      </w:r>
      <w:r w:rsidR="004E00B7">
        <w:t>, in the short-term,</w:t>
      </w:r>
      <w:r>
        <w:t xml:space="preserve"> Hemgenix appear</w:t>
      </w:r>
      <w:r w:rsidR="004E00B7">
        <w:t>ed</w:t>
      </w:r>
      <w:r>
        <w:t xml:space="preserve"> to have superior effectiveness for a subgroup of </w:t>
      </w:r>
      <w:r w:rsidR="007C5D9E">
        <w:t>patients</w:t>
      </w:r>
      <w:r w:rsidR="00FC04DD">
        <w:t xml:space="preserve"> </w:t>
      </w:r>
      <w:r w:rsidR="00B5030B">
        <w:t xml:space="preserve">and </w:t>
      </w:r>
      <w:r w:rsidR="003B441C">
        <w:t xml:space="preserve">while </w:t>
      </w:r>
      <w:r w:rsidR="002417FF">
        <w:t xml:space="preserve">Hemgenix </w:t>
      </w:r>
      <w:r w:rsidR="003B441C">
        <w:t>may potentially</w:t>
      </w:r>
      <w:r w:rsidR="00D245FB">
        <w:t xml:space="preserve"> be life changing</w:t>
      </w:r>
      <w:r w:rsidR="002417FF">
        <w:t xml:space="preserve"> for this subgroup, </w:t>
      </w:r>
      <w:r w:rsidR="00E91559">
        <w:t>this</w:t>
      </w:r>
      <w:r w:rsidR="00D245FB">
        <w:t xml:space="preserve"> </w:t>
      </w:r>
      <w:r w:rsidR="00455E49">
        <w:t>wa</w:t>
      </w:r>
      <w:r w:rsidR="00D245FB">
        <w:t>s based on low certainty evidence</w:t>
      </w:r>
      <w:r>
        <w:t xml:space="preserve">. MSAC concluded that there </w:t>
      </w:r>
      <w:r w:rsidR="00904D6A">
        <w:t>wa</w:t>
      </w:r>
      <w:r>
        <w:t xml:space="preserve">s substantial variation </w:t>
      </w:r>
      <w:r w:rsidR="005C5AE7">
        <w:t xml:space="preserve">in </w:t>
      </w:r>
      <w:r>
        <w:t>patient</w:t>
      </w:r>
      <w:r w:rsidR="002E1967">
        <w:t xml:space="preserve"> response</w:t>
      </w:r>
      <w:r>
        <w:t xml:space="preserve">, with no </w:t>
      </w:r>
      <w:r w:rsidR="002E1967">
        <w:t xml:space="preserve">identifiable </w:t>
      </w:r>
      <w:r>
        <w:t>pattern</w:t>
      </w:r>
      <w:r w:rsidR="002E1967">
        <w:t xml:space="preserve"> or ability to predict</w:t>
      </w:r>
      <w:r w:rsidR="00145BC4">
        <w:t xml:space="preserve"> the subgroup of patients </w:t>
      </w:r>
      <w:r w:rsidR="00091097">
        <w:t xml:space="preserve">for whom Hemgenix </w:t>
      </w:r>
      <w:r w:rsidR="00D379FE">
        <w:t xml:space="preserve">would </w:t>
      </w:r>
      <w:r w:rsidR="00091097">
        <w:t>be effective</w:t>
      </w:r>
      <w:r w:rsidR="007E2A2D">
        <w:t xml:space="preserve">. Further, </w:t>
      </w:r>
      <w:r w:rsidR="00DC3848">
        <w:t>due to the short study follow-up, the</w:t>
      </w:r>
      <w:r w:rsidR="00420593">
        <w:t xml:space="preserve"> long-term effectiveness of Hemgenix </w:t>
      </w:r>
      <w:r w:rsidR="00D379FE">
        <w:t>wa</w:t>
      </w:r>
      <w:r w:rsidR="00420593">
        <w:t xml:space="preserve">s </w:t>
      </w:r>
      <w:r w:rsidR="007E2A2D">
        <w:t>highly uncertain</w:t>
      </w:r>
      <w:r>
        <w:t>.</w:t>
      </w:r>
      <w:r w:rsidR="00AE58BB">
        <w:t xml:space="preserve"> </w:t>
      </w:r>
      <w:r w:rsidR="008416A3">
        <w:t>T</w:t>
      </w:r>
      <w:r w:rsidR="00E27FE1">
        <w:t>he</w:t>
      </w:r>
      <w:r w:rsidR="00AE58BB">
        <w:t xml:space="preserve"> inability to predict who</w:t>
      </w:r>
      <w:r w:rsidR="00384BDF">
        <w:t xml:space="preserve"> will respond to Hemgeni</w:t>
      </w:r>
      <w:r w:rsidR="00372645">
        <w:t xml:space="preserve">x and </w:t>
      </w:r>
      <w:r w:rsidR="00384BDF">
        <w:t>the uncertainty the long-term effectiveness</w:t>
      </w:r>
      <w:r w:rsidR="00557E81">
        <w:t xml:space="preserve"> </w:t>
      </w:r>
      <w:r w:rsidR="00E555CF">
        <w:t xml:space="preserve">are </w:t>
      </w:r>
      <w:r w:rsidR="00F619FB">
        <w:t>important issues for consumers who</w:t>
      </w:r>
      <w:r w:rsidR="00B43F99">
        <w:t>, as noted earlier,</w:t>
      </w:r>
      <w:r w:rsidR="00F619FB">
        <w:t xml:space="preserve"> are </w:t>
      </w:r>
      <w:r w:rsidR="00337D68">
        <w:t xml:space="preserve">hesitant to try a gene therapy as they </w:t>
      </w:r>
      <w:r w:rsidR="00337D68" w:rsidRPr="00337D68">
        <w:t xml:space="preserve">may not be able to access any similar future therapy if </w:t>
      </w:r>
      <w:r w:rsidR="00337D68">
        <w:t>the</w:t>
      </w:r>
      <w:r w:rsidR="00337D68" w:rsidRPr="00337D68">
        <w:t xml:space="preserve"> </w:t>
      </w:r>
      <w:r w:rsidR="2DBDBEA0">
        <w:t>response to Hemgenix is suboptimal</w:t>
      </w:r>
      <w:r w:rsidR="00337D68">
        <w:t>.</w:t>
      </w:r>
    </w:p>
    <w:p w14:paraId="01330F79" w14:textId="3EEC6BE6" w:rsidR="00300391" w:rsidRPr="00A80FF6" w:rsidRDefault="00300391" w:rsidP="00300391">
      <w:r>
        <w:t xml:space="preserve">MSAC agreed with ESC’s concerns </w:t>
      </w:r>
      <w:r w:rsidR="00106182">
        <w:t xml:space="preserve">regarding </w:t>
      </w:r>
      <w:r>
        <w:t xml:space="preserve">the economic evaluation, </w:t>
      </w:r>
      <w:r w:rsidR="00B93301">
        <w:t xml:space="preserve">including </w:t>
      </w:r>
      <w:r>
        <w:t>that the model was too simplistic (two health states: alive and dead)</w:t>
      </w:r>
      <w:r w:rsidR="00E115B8">
        <w:t>, and that</w:t>
      </w:r>
      <w:r w:rsidR="0063144C">
        <w:t xml:space="preserve"> the </w:t>
      </w:r>
      <w:r w:rsidR="000A06BE">
        <w:t xml:space="preserve">method and duration of </w:t>
      </w:r>
      <w:r w:rsidR="0063144C">
        <w:t xml:space="preserve">extrapolation </w:t>
      </w:r>
      <w:r w:rsidR="00332640">
        <w:t>based on</w:t>
      </w:r>
      <w:r w:rsidR="0063144C">
        <w:t xml:space="preserve"> FIX activity created </w:t>
      </w:r>
      <w:r w:rsidR="005D7ABD">
        <w:t>high uncertainty</w:t>
      </w:r>
      <w:r w:rsidR="00690B27">
        <w:t>.</w:t>
      </w:r>
      <w:r>
        <w:t xml:space="preserve"> MSAC </w:t>
      </w:r>
      <w:r w:rsidR="00B5628E">
        <w:t>did not accept</w:t>
      </w:r>
      <w:r>
        <w:t xml:space="preserve"> the </w:t>
      </w:r>
      <w:r w:rsidR="00690B27">
        <w:t xml:space="preserve">applicant’s </w:t>
      </w:r>
      <w:r>
        <w:t>claim that a severe health state was not required because</w:t>
      </w:r>
      <w:r w:rsidR="00E2379E">
        <w:t xml:space="preserve"> younger</w:t>
      </w:r>
      <w:r>
        <w:t xml:space="preserve"> </w:t>
      </w:r>
      <w:proofErr w:type="spellStart"/>
      <w:r>
        <w:t>cHMB</w:t>
      </w:r>
      <w:proofErr w:type="spellEnd"/>
      <w:r>
        <w:t xml:space="preserve"> patients</w:t>
      </w:r>
      <w:r w:rsidR="00E2379E">
        <w:t xml:space="preserve"> are well treated with </w:t>
      </w:r>
      <w:r w:rsidR="00472002">
        <w:t xml:space="preserve">the current standard of care </w:t>
      </w:r>
      <w:r w:rsidR="00B8710A">
        <w:t xml:space="preserve">and </w:t>
      </w:r>
      <w:r w:rsidR="00332640">
        <w:t xml:space="preserve">typically </w:t>
      </w:r>
      <w:r w:rsidR="00B8710A">
        <w:t>do</w:t>
      </w:r>
      <w:r w:rsidR="00332640">
        <w:t xml:space="preserve"> </w:t>
      </w:r>
      <w:r>
        <w:t>not progress to a severe health state</w:t>
      </w:r>
      <w:r w:rsidR="00B8710A">
        <w:t xml:space="preserve">. MSAC noted that </w:t>
      </w:r>
      <w:r w:rsidR="00CA2493">
        <w:t xml:space="preserve">while this emphasised how well patients are being managed with the current standard of care (i.e. prophylactic FIX replacement therapy), </w:t>
      </w:r>
      <w:r w:rsidR="0059601F">
        <w:t xml:space="preserve">some patients are still experiencing </w:t>
      </w:r>
      <w:r w:rsidR="001A6FE7">
        <w:t>joint bleeds and damage</w:t>
      </w:r>
      <w:r w:rsidR="00496C3E">
        <w:t>, which</w:t>
      </w:r>
      <w:r w:rsidR="001A6FE7">
        <w:t xml:space="preserve"> </w:t>
      </w:r>
      <w:proofErr w:type="gramStart"/>
      <w:r w:rsidR="001A6FE7">
        <w:t>is able to</w:t>
      </w:r>
      <w:proofErr w:type="gramEnd"/>
      <w:r w:rsidR="001A6FE7">
        <w:t xml:space="preserve"> be modelled as demonstrated in other </w:t>
      </w:r>
      <w:r w:rsidR="00F62D20">
        <w:t xml:space="preserve">published </w:t>
      </w:r>
      <w:r w:rsidR="001A6FE7">
        <w:t>models</w:t>
      </w:r>
      <w:r>
        <w:t>. MSAC</w:t>
      </w:r>
      <w:r w:rsidR="00E3714F">
        <w:t xml:space="preserve"> did </w:t>
      </w:r>
      <w:r w:rsidR="00F62D20">
        <w:t xml:space="preserve">not </w:t>
      </w:r>
      <w:r w:rsidR="00E3714F">
        <w:t>consi</w:t>
      </w:r>
      <w:r w:rsidR="005372D0">
        <w:t xml:space="preserve">der it reasonable </w:t>
      </w:r>
      <w:r>
        <w:t xml:space="preserve">that the outcomes </w:t>
      </w:r>
      <w:r w:rsidR="005372D0">
        <w:t xml:space="preserve">for a novel gene therapy with </w:t>
      </w:r>
      <w:r w:rsidR="006248FA">
        <w:t xml:space="preserve">uncertain long-term safety and effectiveness to be </w:t>
      </w:r>
      <w:r>
        <w:t xml:space="preserve">extrapolated out over 25 years, based on 36 months of data. MSAC considered a shorter time horizon </w:t>
      </w:r>
      <w:r w:rsidR="000551C2">
        <w:t xml:space="preserve">would </w:t>
      </w:r>
      <w:r>
        <w:t xml:space="preserve">be more appropriate. </w:t>
      </w:r>
      <w:r w:rsidR="00825D3D">
        <w:t xml:space="preserve">MSAC also agreed with ESC that </w:t>
      </w:r>
      <w:r w:rsidR="00825D3D" w:rsidRPr="001C5246">
        <w:t>FIX activity is a surrogate outcome and the correct cutoff level</w:t>
      </w:r>
      <w:r w:rsidR="007E0FA2">
        <w:t>(s)</w:t>
      </w:r>
      <w:r w:rsidR="00825D3D" w:rsidRPr="001C5246">
        <w:t xml:space="preserve"> </w:t>
      </w:r>
      <w:r w:rsidR="007E0FA2">
        <w:t>was</w:t>
      </w:r>
      <w:r w:rsidR="00825D3D" w:rsidRPr="001C5246">
        <w:t xml:space="preserve"> uncertain</w:t>
      </w:r>
      <w:r w:rsidR="00B64D78">
        <w:t>. MSAC noted the applicant</w:t>
      </w:r>
      <w:r w:rsidR="00CF35C6">
        <w:t>’</w:t>
      </w:r>
      <w:r w:rsidR="00B64D78">
        <w:t xml:space="preserve">s pre-MSAC response </w:t>
      </w:r>
      <w:r w:rsidR="00A23F57">
        <w:t xml:space="preserve">asserted that a FIX activity of between 3-5% provides sufficient bleeding protection. </w:t>
      </w:r>
      <w:r w:rsidR="00A81308">
        <w:t xml:space="preserve">However, MSAC considered that </w:t>
      </w:r>
      <w:r w:rsidR="00834321">
        <w:t xml:space="preserve">the applicant’s response did not satisfactorily address </w:t>
      </w:r>
      <w:r w:rsidR="00A81308">
        <w:t xml:space="preserve">the uncertainty </w:t>
      </w:r>
      <w:r w:rsidR="00B65F21">
        <w:t xml:space="preserve">and validity </w:t>
      </w:r>
      <w:r w:rsidR="00A81308">
        <w:t xml:space="preserve">regarding the </w:t>
      </w:r>
      <w:r w:rsidR="00834321">
        <w:t>binary application of FIX activity using a single threshold set at 3%</w:t>
      </w:r>
      <w:r w:rsidR="00256AF8">
        <w:t xml:space="preserve">, </w:t>
      </w:r>
      <w:r w:rsidR="002A1C66">
        <w:t>which</w:t>
      </w:r>
      <w:r w:rsidR="00256AF8">
        <w:t xml:space="preserve"> was a driver of outcomes</w:t>
      </w:r>
      <w:r w:rsidR="00F26F38">
        <w:t xml:space="preserve"> (e.g. utilisation of FIX replacement therapy)</w:t>
      </w:r>
      <w:r w:rsidR="00256AF8">
        <w:t xml:space="preserve"> </w:t>
      </w:r>
      <w:r w:rsidR="002A1C66">
        <w:t>that</w:t>
      </w:r>
      <w:r w:rsidR="007E0FA2">
        <w:t xml:space="preserve"> created </w:t>
      </w:r>
      <w:r w:rsidR="001654F5">
        <w:t xml:space="preserve">high </w:t>
      </w:r>
      <w:r w:rsidR="007E0FA2">
        <w:t>uncertainty in</w:t>
      </w:r>
      <w:r w:rsidR="00825D3D">
        <w:t xml:space="preserve"> t</w:t>
      </w:r>
      <w:r w:rsidR="007E0FA2">
        <w:t>he</w:t>
      </w:r>
      <w:r w:rsidR="00825D3D">
        <w:t xml:space="preserve"> d</w:t>
      </w:r>
      <w:r w:rsidR="00825D3D" w:rsidRPr="001C5246">
        <w:t>ownstream cost savings</w:t>
      </w:r>
      <w:r w:rsidR="00825D3D" w:rsidRPr="00A80FF6">
        <w:t>.</w:t>
      </w:r>
    </w:p>
    <w:p w14:paraId="1EE55420" w14:textId="5A467E05" w:rsidR="00300391" w:rsidRPr="00A80FF6" w:rsidRDefault="00300391" w:rsidP="00300391">
      <w:r w:rsidRPr="00A80FF6">
        <w:t xml:space="preserve">MSAC noted that the incremental cost-effectiveness ratio (ICER) was </w:t>
      </w:r>
      <w:r w:rsidR="00F03426" w:rsidRPr="00A80FF6">
        <w:t xml:space="preserve">approximately </w:t>
      </w:r>
      <w:r w:rsidRPr="00A80FF6">
        <w:t>$</w:t>
      </w:r>
      <w:r w:rsidR="00150496" w:rsidRPr="00A80FF6">
        <w:rPr>
          <w:b/>
          <w:bCs/>
        </w:rPr>
        <w:t>redacted</w:t>
      </w:r>
      <w:r w:rsidRPr="00A80FF6">
        <w:t xml:space="preserve"> per quality-adjusted life-year (QALY) gained after 3 years, </w:t>
      </w:r>
      <w:r w:rsidR="00891653" w:rsidRPr="00A80FF6">
        <w:t xml:space="preserve">approximately </w:t>
      </w:r>
      <w:r w:rsidRPr="00A80FF6">
        <w:t>$</w:t>
      </w:r>
      <w:r w:rsidR="00D2089F" w:rsidRPr="00A80FF6">
        <w:rPr>
          <w:b/>
          <w:bCs/>
        </w:rPr>
        <w:t>redacted</w:t>
      </w:r>
      <w:r w:rsidRPr="00A80FF6">
        <w:t xml:space="preserve"> per QALY gained at 8 years, but dominant after 25 years. MSAC noted that when the effective prices for the </w:t>
      </w:r>
      <w:r w:rsidR="00320C37" w:rsidRPr="00A80FF6">
        <w:t xml:space="preserve">comparator </w:t>
      </w:r>
      <w:r w:rsidRPr="00A80FF6">
        <w:t>FIX replacement therapies were applied, the ICERs increased and Hemgenix was no longer dominant over the 25-year time horizon:</w:t>
      </w:r>
    </w:p>
    <w:p w14:paraId="5ED907D2" w14:textId="4B9B5360" w:rsidR="00300391" w:rsidRPr="00A80FF6" w:rsidRDefault="00300391" w:rsidP="00300391">
      <w:pPr>
        <w:pStyle w:val="Bullet"/>
        <w:numPr>
          <w:ilvl w:val="0"/>
          <w:numId w:val="25"/>
        </w:numPr>
        <w:spacing w:before="0"/>
        <w:ind w:left="720"/>
        <w:rPr>
          <w:rFonts w:ascii="Franklin Gothic Book" w:hAnsi="Franklin Gothic Book"/>
        </w:rPr>
      </w:pPr>
      <w:r w:rsidRPr="00A80FF6">
        <w:rPr>
          <w:rFonts w:ascii="Franklin Gothic Book" w:hAnsi="Franklin Gothic Book"/>
        </w:rPr>
        <w:t>Step 1 – 3-year study data–based time horizon: $</w:t>
      </w:r>
      <w:r w:rsidR="003225F1" w:rsidRPr="00A80FF6">
        <w:rPr>
          <w:rFonts w:ascii="Franklin Gothic Book" w:hAnsi="Franklin Gothic Book"/>
          <w:b/>
          <w:bCs/>
        </w:rPr>
        <w:t>redacted</w:t>
      </w:r>
      <w:r w:rsidRPr="00A80FF6">
        <w:rPr>
          <w:rFonts w:ascii="Franklin Gothic Book" w:hAnsi="Franklin Gothic Book"/>
          <w:color w:val="FF0000"/>
        </w:rPr>
        <w:t xml:space="preserve"> </w:t>
      </w:r>
      <w:r w:rsidRPr="00A80FF6">
        <w:rPr>
          <w:rFonts w:ascii="Franklin Gothic Book" w:hAnsi="Franklin Gothic Book"/>
        </w:rPr>
        <w:t xml:space="preserve">per QALY </w:t>
      </w:r>
      <w:proofErr w:type="gramStart"/>
      <w:r w:rsidRPr="00A80FF6">
        <w:rPr>
          <w:rFonts w:ascii="Franklin Gothic Book" w:hAnsi="Franklin Gothic Book"/>
        </w:rPr>
        <w:t>gained</w:t>
      </w:r>
      <w:proofErr w:type="gramEnd"/>
    </w:p>
    <w:p w14:paraId="470DF179" w14:textId="338AE369" w:rsidR="00300391" w:rsidRPr="00A80FF6" w:rsidRDefault="00300391" w:rsidP="00300391">
      <w:pPr>
        <w:pStyle w:val="Bullet"/>
        <w:numPr>
          <w:ilvl w:val="0"/>
          <w:numId w:val="25"/>
        </w:numPr>
        <w:spacing w:before="0"/>
        <w:ind w:left="720"/>
        <w:rPr>
          <w:rFonts w:ascii="Franklin Gothic Book" w:hAnsi="Franklin Gothic Book"/>
        </w:rPr>
      </w:pPr>
      <w:r w:rsidRPr="00A80FF6">
        <w:rPr>
          <w:rFonts w:ascii="Franklin Gothic Book" w:hAnsi="Franklin Gothic Book"/>
        </w:rPr>
        <w:t>Step 2 – 8-year time horizon: $</w:t>
      </w:r>
      <w:r w:rsidR="003225F1" w:rsidRPr="00A80FF6">
        <w:rPr>
          <w:rFonts w:ascii="Franklin Gothic Book" w:hAnsi="Franklin Gothic Book"/>
          <w:b/>
          <w:bCs/>
        </w:rPr>
        <w:t>redacted</w:t>
      </w:r>
      <w:r w:rsidRPr="00A80FF6">
        <w:rPr>
          <w:rFonts w:ascii="Franklin Gothic Book" w:hAnsi="Franklin Gothic Book"/>
          <w:color w:val="FF0000"/>
        </w:rPr>
        <w:t xml:space="preserve"> </w:t>
      </w:r>
      <w:r w:rsidRPr="00A80FF6">
        <w:rPr>
          <w:rFonts w:ascii="Franklin Gothic Book" w:hAnsi="Franklin Gothic Book"/>
        </w:rPr>
        <w:t xml:space="preserve">per QALY </w:t>
      </w:r>
      <w:proofErr w:type="gramStart"/>
      <w:r w:rsidRPr="00A80FF6">
        <w:rPr>
          <w:rFonts w:ascii="Franklin Gothic Book" w:hAnsi="Franklin Gothic Book"/>
        </w:rPr>
        <w:t>gained</w:t>
      </w:r>
      <w:proofErr w:type="gramEnd"/>
    </w:p>
    <w:p w14:paraId="7CF57995" w14:textId="0D1275C2" w:rsidR="00300391" w:rsidRPr="00A80FF6" w:rsidRDefault="00300391" w:rsidP="00300391">
      <w:pPr>
        <w:pStyle w:val="Bullet"/>
        <w:numPr>
          <w:ilvl w:val="0"/>
          <w:numId w:val="25"/>
        </w:numPr>
        <w:spacing w:before="0"/>
        <w:ind w:left="720"/>
        <w:rPr>
          <w:rFonts w:ascii="Franklin Gothic Book" w:hAnsi="Franklin Gothic Book"/>
        </w:rPr>
      </w:pPr>
      <w:r w:rsidRPr="00A80FF6">
        <w:rPr>
          <w:rFonts w:ascii="Franklin Gothic Book" w:hAnsi="Franklin Gothic Book"/>
        </w:rPr>
        <w:t>Step 3 – 25-year time horizon: $</w:t>
      </w:r>
      <w:r w:rsidR="003225F1" w:rsidRPr="00A80FF6">
        <w:rPr>
          <w:rFonts w:ascii="Franklin Gothic Book" w:hAnsi="Franklin Gothic Book"/>
          <w:b/>
          <w:bCs/>
        </w:rPr>
        <w:t>redacted</w:t>
      </w:r>
      <w:r w:rsidRPr="00A80FF6">
        <w:rPr>
          <w:rFonts w:ascii="Franklin Gothic Book" w:hAnsi="Franklin Gothic Book"/>
          <w:color w:val="FF0000"/>
        </w:rPr>
        <w:t xml:space="preserve"> </w:t>
      </w:r>
      <w:r w:rsidRPr="00A80FF6">
        <w:rPr>
          <w:rFonts w:ascii="Franklin Gothic Book" w:hAnsi="Franklin Gothic Book"/>
        </w:rPr>
        <w:t>per QALY gained.</w:t>
      </w:r>
    </w:p>
    <w:p w14:paraId="70464608" w14:textId="48B120BB" w:rsidR="00300391" w:rsidRPr="00A80FF6" w:rsidRDefault="00300391" w:rsidP="00300391">
      <w:r w:rsidRPr="00A80FF6">
        <w:t>MSAC noted additional sensitivity analyses</w:t>
      </w:r>
      <w:r w:rsidR="00087B9F" w:rsidRPr="00A80FF6">
        <w:t>,</w:t>
      </w:r>
      <w:r w:rsidRPr="00A80FF6">
        <w:t xml:space="preserve"> conducted by the Department using effective prices for</w:t>
      </w:r>
      <w:r w:rsidR="00B5069A" w:rsidRPr="00A80FF6">
        <w:t xml:space="preserve"> the</w:t>
      </w:r>
      <w:r w:rsidRPr="00A80FF6">
        <w:t xml:space="preserve"> comparator FIX </w:t>
      </w:r>
      <w:r w:rsidR="00B5069A" w:rsidRPr="00A80FF6">
        <w:t>replacement ther</w:t>
      </w:r>
      <w:r w:rsidR="00087B9F" w:rsidRPr="00A80FF6">
        <w:t>ap</w:t>
      </w:r>
      <w:r w:rsidR="00B5069A" w:rsidRPr="00A80FF6">
        <w:t>ies</w:t>
      </w:r>
      <w:r w:rsidR="00087B9F" w:rsidRPr="00A80FF6">
        <w:t>, indicated t</w:t>
      </w:r>
      <w:r w:rsidRPr="00A80FF6">
        <w:t xml:space="preserve">he </w:t>
      </w:r>
      <w:r w:rsidR="00087B9F" w:rsidRPr="00A80FF6">
        <w:t xml:space="preserve">approximate </w:t>
      </w:r>
      <w:r w:rsidRPr="00A80FF6">
        <w:t>prices to reach dominance were:</w:t>
      </w:r>
    </w:p>
    <w:p w14:paraId="52F99951" w14:textId="7C799172" w:rsidR="00300391" w:rsidRPr="00A80FF6" w:rsidRDefault="00300391" w:rsidP="00300391">
      <w:pPr>
        <w:pStyle w:val="Bullet"/>
        <w:numPr>
          <w:ilvl w:val="0"/>
          <w:numId w:val="25"/>
        </w:numPr>
        <w:spacing w:before="0"/>
        <w:ind w:left="720"/>
        <w:rPr>
          <w:rFonts w:ascii="Franklin Gothic Book" w:hAnsi="Franklin Gothic Book"/>
        </w:rPr>
      </w:pPr>
      <w:r w:rsidRPr="00A80FF6">
        <w:rPr>
          <w:rFonts w:ascii="Franklin Gothic Book" w:hAnsi="Franklin Gothic Book"/>
        </w:rPr>
        <w:t>$</w:t>
      </w:r>
      <w:r w:rsidR="003225F1" w:rsidRPr="00A80FF6">
        <w:rPr>
          <w:rFonts w:ascii="Franklin Gothic Book" w:hAnsi="Franklin Gothic Book"/>
          <w:b/>
          <w:bCs/>
        </w:rPr>
        <w:t>redacted</w:t>
      </w:r>
      <w:r w:rsidRPr="00A80FF6">
        <w:rPr>
          <w:rFonts w:ascii="Franklin Gothic Book" w:hAnsi="Franklin Gothic Book"/>
          <w:color w:val="FF0000"/>
        </w:rPr>
        <w:t xml:space="preserve"> </w:t>
      </w:r>
      <w:r w:rsidRPr="00A80FF6">
        <w:rPr>
          <w:rFonts w:ascii="Franklin Gothic Book" w:hAnsi="Franklin Gothic Book"/>
        </w:rPr>
        <w:t xml:space="preserve">at </w:t>
      </w:r>
      <w:r w:rsidR="00547033" w:rsidRPr="00A80FF6">
        <w:rPr>
          <w:rFonts w:ascii="Franklin Gothic Book" w:hAnsi="Franklin Gothic Book"/>
          <w:b/>
          <w:bCs/>
        </w:rPr>
        <w:t xml:space="preserve">redacted </w:t>
      </w:r>
      <w:proofErr w:type="gramStart"/>
      <w:r w:rsidRPr="00A80FF6">
        <w:rPr>
          <w:rFonts w:ascii="Franklin Gothic Book" w:hAnsi="Franklin Gothic Book"/>
        </w:rPr>
        <w:t>years</w:t>
      </w:r>
      <w:proofErr w:type="gramEnd"/>
      <w:r w:rsidRPr="00A80FF6">
        <w:rPr>
          <w:rFonts w:ascii="Franklin Gothic Book" w:hAnsi="Franklin Gothic Book"/>
        </w:rPr>
        <w:t xml:space="preserve"> </w:t>
      </w:r>
    </w:p>
    <w:p w14:paraId="4C7B8E5E" w14:textId="5ECDB98C" w:rsidR="00300391" w:rsidRPr="00A80FF6" w:rsidRDefault="00300391" w:rsidP="00300391">
      <w:pPr>
        <w:pStyle w:val="Bullet"/>
        <w:numPr>
          <w:ilvl w:val="0"/>
          <w:numId w:val="25"/>
        </w:numPr>
        <w:spacing w:before="0"/>
        <w:ind w:left="720"/>
        <w:rPr>
          <w:rFonts w:ascii="Franklin Gothic Book" w:hAnsi="Franklin Gothic Book"/>
        </w:rPr>
      </w:pPr>
      <w:r w:rsidRPr="00A80FF6">
        <w:rPr>
          <w:rFonts w:ascii="Franklin Gothic Book" w:hAnsi="Franklin Gothic Book"/>
        </w:rPr>
        <w:t>$</w:t>
      </w:r>
      <w:r w:rsidR="003225F1" w:rsidRPr="00A80FF6">
        <w:rPr>
          <w:rFonts w:ascii="Franklin Gothic Book" w:hAnsi="Franklin Gothic Book"/>
          <w:b/>
          <w:bCs/>
        </w:rPr>
        <w:t>redacted</w:t>
      </w:r>
      <w:r w:rsidRPr="00A80FF6">
        <w:rPr>
          <w:rFonts w:ascii="Franklin Gothic Book" w:hAnsi="Franklin Gothic Book"/>
          <w:color w:val="FF0000"/>
        </w:rPr>
        <w:t xml:space="preserve"> </w:t>
      </w:r>
      <w:r w:rsidRPr="00A80FF6">
        <w:rPr>
          <w:rFonts w:ascii="Franklin Gothic Book" w:hAnsi="Franklin Gothic Book"/>
        </w:rPr>
        <w:t xml:space="preserve">at </w:t>
      </w:r>
      <w:r w:rsidR="00547033" w:rsidRPr="00A80FF6">
        <w:rPr>
          <w:rFonts w:ascii="Franklin Gothic Book" w:hAnsi="Franklin Gothic Book"/>
          <w:b/>
          <w:bCs/>
        </w:rPr>
        <w:t>redacted</w:t>
      </w:r>
      <w:r w:rsidRPr="00A80FF6">
        <w:rPr>
          <w:rFonts w:ascii="Franklin Gothic Book" w:hAnsi="Franklin Gothic Book"/>
        </w:rPr>
        <w:t> </w:t>
      </w:r>
      <w:proofErr w:type="gramStart"/>
      <w:r w:rsidRPr="00A80FF6">
        <w:rPr>
          <w:rFonts w:ascii="Franklin Gothic Book" w:hAnsi="Franklin Gothic Book"/>
        </w:rPr>
        <w:t>years</w:t>
      </w:r>
      <w:proofErr w:type="gramEnd"/>
    </w:p>
    <w:p w14:paraId="3B11931A" w14:textId="58B0B3E6" w:rsidR="00300391" w:rsidRPr="00A80FF6" w:rsidRDefault="00300391" w:rsidP="00300391">
      <w:pPr>
        <w:pStyle w:val="Bullet"/>
        <w:numPr>
          <w:ilvl w:val="0"/>
          <w:numId w:val="25"/>
        </w:numPr>
        <w:spacing w:before="0"/>
        <w:ind w:left="720"/>
        <w:rPr>
          <w:rFonts w:ascii="Franklin Gothic Book" w:hAnsi="Franklin Gothic Book"/>
        </w:rPr>
      </w:pPr>
      <w:r w:rsidRPr="00A80FF6">
        <w:rPr>
          <w:rFonts w:ascii="Franklin Gothic Book" w:hAnsi="Franklin Gothic Book"/>
        </w:rPr>
        <w:t>$</w:t>
      </w:r>
      <w:r w:rsidR="003225F1" w:rsidRPr="00A80FF6">
        <w:rPr>
          <w:rFonts w:ascii="Franklin Gothic Book" w:hAnsi="Franklin Gothic Book"/>
          <w:b/>
          <w:bCs/>
        </w:rPr>
        <w:t>redacted</w:t>
      </w:r>
      <w:r w:rsidRPr="00A80FF6">
        <w:rPr>
          <w:rFonts w:ascii="Franklin Gothic Book" w:hAnsi="Franklin Gothic Book"/>
          <w:color w:val="FF0000"/>
        </w:rPr>
        <w:t xml:space="preserve"> </w:t>
      </w:r>
      <w:r w:rsidRPr="00A80FF6">
        <w:rPr>
          <w:rFonts w:ascii="Franklin Gothic Book" w:hAnsi="Franklin Gothic Book"/>
        </w:rPr>
        <w:t xml:space="preserve">at </w:t>
      </w:r>
      <w:r w:rsidR="00547033" w:rsidRPr="00A80FF6">
        <w:rPr>
          <w:rFonts w:ascii="Franklin Gothic Book" w:hAnsi="Franklin Gothic Book"/>
          <w:b/>
          <w:bCs/>
        </w:rPr>
        <w:t>redacted</w:t>
      </w:r>
      <w:r w:rsidRPr="00A80FF6">
        <w:rPr>
          <w:rFonts w:ascii="Franklin Gothic Book" w:hAnsi="Franklin Gothic Book"/>
        </w:rPr>
        <w:t xml:space="preserve"> years.</w:t>
      </w:r>
    </w:p>
    <w:p w14:paraId="2C4515F4" w14:textId="3AEDD5B7" w:rsidR="00300391" w:rsidRPr="00A80FF6" w:rsidRDefault="00300391" w:rsidP="00300391">
      <w:r w:rsidRPr="00A80FF6">
        <w:t xml:space="preserve">MSAC also noted that, to reach an ICER of $100,000 after 3 and 5 years, the </w:t>
      </w:r>
      <w:r w:rsidR="00B7242F" w:rsidRPr="00A80FF6">
        <w:t>price for Hemgenix</w:t>
      </w:r>
      <w:r w:rsidRPr="00A80FF6">
        <w:t xml:space="preserve"> would need to be</w:t>
      </w:r>
      <w:r w:rsidR="00996E31" w:rsidRPr="00A80FF6">
        <w:t xml:space="preserve"> reduced to approximately</w:t>
      </w:r>
      <w:r w:rsidRPr="00A80FF6">
        <w:t xml:space="preserve"> $</w:t>
      </w:r>
      <w:r w:rsidR="003225F1" w:rsidRPr="00A80FF6">
        <w:rPr>
          <w:b/>
          <w:bCs/>
        </w:rPr>
        <w:t>redacted</w:t>
      </w:r>
      <w:r w:rsidRPr="00A80FF6">
        <w:rPr>
          <w:color w:val="FF0000"/>
        </w:rPr>
        <w:t xml:space="preserve"> </w:t>
      </w:r>
      <w:r w:rsidRPr="00A80FF6">
        <w:t>and $</w:t>
      </w:r>
      <w:r w:rsidR="003225F1" w:rsidRPr="00A80FF6">
        <w:rPr>
          <w:b/>
          <w:bCs/>
        </w:rPr>
        <w:t>redacted</w:t>
      </w:r>
      <w:r w:rsidRPr="00A80FF6">
        <w:t>, respectively.</w:t>
      </w:r>
    </w:p>
    <w:p w14:paraId="7167EC62" w14:textId="0DF263F0" w:rsidR="00300391" w:rsidRDefault="00300391" w:rsidP="00300391">
      <w:r w:rsidRPr="00A80FF6">
        <w:t xml:space="preserve">MSAC noted that the </w:t>
      </w:r>
      <w:r w:rsidR="00CC7C1E" w:rsidRPr="00A80FF6">
        <w:t xml:space="preserve">applicant’s </w:t>
      </w:r>
      <w:r w:rsidRPr="00A80FF6">
        <w:t xml:space="preserve">pre-MSAC response </w:t>
      </w:r>
      <w:r w:rsidR="00CC7C1E" w:rsidRPr="00A80FF6">
        <w:t>state</w:t>
      </w:r>
      <w:r w:rsidR="00DA5036" w:rsidRPr="00A80FF6">
        <w:t>d</w:t>
      </w:r>
      <w:r w:rsidR="00CC7C1E" w:rsidRPr="00A80FF6">
        <w:t xml:space="preserve"> </w:t>
      </w:r>
      <w:r w:rsidRPr="00A80FF6">
        <w:t xml:space="preserve">that a lower price for Hemgenix </w:t>
      </w:r>
      <w:r w:rsidR="00BA25A6" w:rsidRPr="00A80FF6">
        <w:t>that would be required to achieve an ICER of &lt;$100,000 per QALY over a 5-year time horizon</w:t>
      </w:r>
      <w:r w:rsidRPr="00A80FF6">
        <w:t xml:space="preserve"> was not commercially feasible, but MSAC considered that the price of $</w:t>
      </w:r>
      <w:r w:rsidR="00D2089F" w:rsidRPr="00A80FF6">
        <w:rPr>
          <w:b/>
          <w:bCs/>
        </w:rPr>
        <w:t>redacted</w:t>
      </w:r>
      <w:r w:rsidRPr="00A80FF6">
        <w:t xml:space="preserve"> was not justified</w:t>
      </w:r>
      <w:r w:rsidR="003E4067" w:rsidRPr="00A80FF6">
        <w:t xml:space="preserve"> and was not cost-effective</w:t>
      </w:r>
      <w:r w:rsidRPr="00A80FF6">
        <w:t>.</w:t>
      </w:r>
    </w:p>
    <w:p w14:paraId="3AE45507" w14:textId="559F3F41" w:rsidR="00300391" w:rsidRDefault="00300391" w:rsidP="00300391">
      <w:r>
        <w:t>MSAC noted that the financial impact used a m</w:t>
      </w:r>
      <w:r w:rsidRPr="002950BD">
        <w:t>ixed epidemiology and market</w:t>
      </w:r>
      <w:r>
        <w:t>-</w:t>
      </w:r>
      <w:r w:rsidRPr="002950BD">
        <w:t>share approach</w:t>
      </w:r>
      <w:r>
        <w:t>. MSAC noted that a</w:t>
      </w:r>
      <w:r w:rsidR="00645B8F">
        <w:t>lthough a</w:t>
      </w:r>
      <w:r>
        <w:t xml:space="preserve"> </w:t>
      </w:r>
      <w:proofErr w:type="spellStart"/>
      <w:r w:rsidRPr="002950BD">
        <w:t>cHMB</w:t>
      </w:r>
      <w:proofErr w:type="spellEnd"/>
      <w:r w:rsidRPr="002950BD">
        <w:t xml:space="preserve"> register exists</w:t>
      </w:r>
      <w:r w:rsidR="00A97E16">
        <w:t xml:space="preserve"> to help inform the number of potential eligible patients</w:t>
      </w:r>
      <w:r>
        <w:t>,</w:t>
      </w:r>
      <w:r w:rsidRPr="002950BD">
        <w:t xml:space="preserve"> </w:t>
      </w:r>
      <w:r>
        <w:t xml:space="preserve">there is </w:t>
      </w:r>
      <w:r w:rsidRPr="002950BD">
        <w:t xml:space="preserve">uncertainty </w:t>
      </w:r>
      <w:r w:rsidR="00A97E16">
        <w:t xml:space="preserve">regarding </w:t>
      </w:r>
      <w:r w:rsidRPr="002950BD">
        <w:t>how many patients would have the treatment</w:t>
      </w:r>
      <w:r w:rsidR="00916B8A">
        <w:t xml:space="preserve">. MSAC noted </w:t>
      </w:r>
      <w:r>
        <w:t>the A</w:t>
      </w:r>
      <w:r w:rsidRPr="002950BD">
        <w:t xml:space="preserve">DAR </w:t>
      </w:r>
      <w:r w:rsidRPr="00D56B1F">
        <w:t xml:space="preserve">assumed </w:t>
      </w:r>
      <w:r w:rsidR="00916B8A" w:rsidRPr="00D56B1F">
        <w:t xml:space="preserve">a low uptake rate of </w:t>
      </w:r>
      <w:r w:rsidR="004C7580" w:rsidRPr="00D56B1F">
        <w:rPr>
          <w:b/>
          <w:bCs/>
        </w:rPr>
        <w:t>redacted</w:t>
      </w:r>
      <w:r w:rsidRPr="00D56B1F">
        <w:t>%</w:t>
      </w:r>
      <w:r w:rsidR="00820897" w:rsidRPr="00D56B1F">
        <w:t xml:space="preserve"> and the applicant’s pre-MSAC response reiterated the uptake would be low and that the </w:t>
      </w:r>
      <w:r w:rsidR="0097355D" w:rsidRPr="00D56B1F">
        <w:t xml:space="preserve">risk of a higher uptake is low based on </w:t>
      </w:r>
      <w:r w:rsidR="00EF51F6" w:rsidRPr="00D56B1F">
        <w:t xml:space="preserve">the uptake rate observed in </w:t>
      </w:r>
      <w:r w:rsidR="00944806" w:rsidRPr="00D56B1F">
        <w:t xml:space="preserve">France and </w:t>
      </w:r>
      <w:r w:rsidR="00C262F1" w:rsidRPr="00D56B1F">
        <w:t xml:space="preserve">United States of </w:t>
      </w:r>
      <w:r w:rsidR="00944806" w:rsidRPr="00D56B1F">
        <w:t>America</w:t>
      </w:r>
      <w:r w:rsidR="00C262F1" w:rsidRPr="00D56B1F">
        <w:t xml:space="preserve"> (USA)</w:t>
      </w:r>
      <w:r w:rsidR="00221418" w:rsidRPr="00D56B1F">
        <w:t xml:space="preserve">. MSAC acknowledged that </w:t>
      </w:r>
      <w:r w:rsidR="009623B4" w:rsidRPr="00D56B1F">
        <w:t>the uptake may be low</w:t>
      </w:r>
      <w:r w:rsidR="00777FA6" w:rsidRPr="00D56B1F">
        <w:t xml:space="preserve"> </w:t>
      </w:r>
      <w:r w:rsidR="00777FA6" w:rsidRPr="00D56B1F">
        <w:rPr>
          <w:rFonts w:eastAsia="Franklin Gothic Book"/>
        </w:rPr>
        <w:t xml:space="preserve">(noting potential system and supply capacity, patient acceptance with current alternative treatments, and other near market and emergent treatments) but </w:t>
      </w:r>
      <w:r w:rsidR="00504841" w:rsidRPr="00D56B1F">
        <w:rPr>
          <w:rFonts w:eastAsia="Franklin Gothic Book"/>
        </w:rPr>
        <w:t xml:space="preserve">whether uptake would be as low as </w:t>
      </w:r>
      <w:r w:rsidR="00980FE0" w:rsidRPr="00D56B1F">
        <w:rPr>
          <w:rFonts w:eastAsia="Franklin Gothic Book"/>
          <w:b/>
          <w:bCs/>
        </w:rPr>
        <w:t>redacted</w:t>
      </w:r>
      <w:r w:rsidR="00504841" w:rsidRPr="00D56B1F">
        <w:rPr>
          <w:rFonts w:eastAsia="Franklin Gothic Book"/>
        </w:rPr>
        <w:t xml:space="preserve">% </w:t>
      </w:r>
      <w:r w:rsidR="00777FA6" w:rsidRPr="00D56B1F">
        <w:rPr>
          <w:rFonts w:eastAsia="Franklin Gothic Book"/>
        </w:rPr>
        <w:t>was uncertain</w:t>
      </w:r>
      <w:r w:rsidR="00357703" w:rsidRPr="00D56B1F">
        <w:rPr>
          <w:rFonts w:eastAsia="Franklin Gothic Book"/>
        </w:rPr>
        <w:t>.</w:t>
      </w:r>
      <w:r w:rsidRPr="00D56B1F">
        <w:t xml:space="preserve"> </w:t>
      </w:r>
      <w:r w:rsidR="004F14C8" w:rsidRPr="00D56B1F">
        <w:t>MSAC also noted that t</w:t>
      </w:r>
      <w:r w:rsidRPr="00D56B1F">
        <w:t xml:space="preserve">he financial impact analysis </w:t>
      </w:r>
      <w:r w:rsidR="004F14C8" w:rsidRPr="00D56B1F">
        <w:t xml:space="preserve">did </w:t>
      </w:r>
      <w:r w:rsidRPr="00D56B1F">
        <w:t>not account for the</w:t>
      </w:r>
      <w:r w:rsidR="008615FC" w:rsidRPr="00D56B1F">
        <w:t xml:space="preserve"> </w:t>
      </w:r>
      <w:r w:rsidRPr="00D56B1F">
        <w:t xml:space="preserve">additional services that would be required post-treatment. </w:t>
      </w:r>
      <w:r w:rsidR="008615FC" w:rsidRPr="00D56B1F">
        <w:t xml:space="preserve">Overall, </w:t>
      </w:r>
      <w:r w:rsidRPr="00D56B1F">
        <w:t xml:space="preserve">MSAC considered the financial impact </w:t>
      </w:r>
      <w:proofErr w:type="gramStart"/>
      <w:r w:rsidR="008615FC" w:rsidRPr="00D56B1F">
        <w:t>analysis</w:t>
      </w:r>
      <w:proofErr w:type="gramEnd"/>
      <w:r w:rsidR="008615FC" w:rsidRPr="00D56B1F">
        <w:t xml:space="preserve"> </w:t>
      </w:r>
      <w:r w:rsidR="00746F9A" w:rsidRPr="00D56B1F">
        <w:t>and the claimed cost</w:t>
      </w:r>
      <w:r w:rsidR="00746F9A">
        <w:t xml:space="preserve">-savings </w:t>
      </w:r>
      <w:r w:rsidR="008615FC">
        <w:t>w</w:t>
      </w:r>
      <w:r w:rsidR="005F6A5D">
        <w:t>ere</w:t>
      </w:r>
      <w:r>
        <w:t xml:space="preserve"> </w:t>
      </w:r>
      <w:r w:rsidRPr="002950BD">
        <w:t>highly uncertain</w:t>
      </w:r>
      <w:r>
        <w:t>.</w:t>
      </w:r>
    </w:p>
    <w:p w14:paraId="37DB68BA" w14:textId="3DF2A0A2" w:rsidR="00300391" w:rsidRDefault="00300391" w:rsidP="00300391">
      <w:r>
        <w:t>MSAC noted the pre-MSAC response stated that other countries, including Canada and the U</w:t>
      </w:r>
      <w:r w:rsidR="004210D4">
        <w:t xml:space="preserve">nited </w:t>
      </w:r>
      <w:r>
        <w:t>K</w:t>
      </w:r>
      <w:r w:rsidR="004210D4">
        <w:t>ingdom (UK)</w:t>
      </w:r>
      <w:r>
        <w:t xml:space="preserve">, have </w:t>
      </w:r>
      <w:r w:rsidR="00621445">
        <w:t xml:space="preserve">supported funding for </w:t>
      </w:r>
      <w:r>
        <w:t>Hemgenix. However, MSAC noted that</w:t>
      </w:r>
      <w:r w:rsidR="00F74038">
        <w:t xml:space="preserve"> </w:t>
      </w:r>
      <w:r w:rsidR="009B6F6D">
        <w:t>the Canadian Reimbursement Recommendation</w:t>
      </w:r>
      <w:r w:rsidR="00BE52D5">
        <w:rPr>
          <w:rStyle w:val="FootnoteReference"/>
        </w:rPr>
        <w:footnoteReference w:id="3"/>
      </w:r>
      <w:r w:rsidR="00BE52D5">
        <w:t xml:space="preserve"> specified that</w:t>
      </w:r>
      <w:r w:rsidR="00B91A0F">
        <w:t xml:space="preserve"> </w:t>
      </w:r>
      <w:r w:rsidR="008A38EC">
        <w:t xml:space="preserve">a </w:t>
      </w:r>
      <w:r w:rsidR="00B91A0F">
        <w:t>significant price reduction</w:t>
      </w:r>
      <w:r w:rsidR="00AB6317">
        <w:t xml:space="preserve"> was required</w:t>
      </w:r>
      <w:r>
        <w:t xml:space="preserve">, and Hemgenix might not yet be available to patients. </w:t>
      </w:r>
      <w:r w:rsidR="00540549">
        <w:t xml:space="preserve">MSAC also noted that in </w:t>
      </w:r>
      <w:r>
        <w:t xml:space="preserve">the UK, </w:t>
      </w:r>
      <w:r w:rsidR="00540549">
        <w:t xml:space="preserve">Hemgenix </w:t>
      </w:r>
      <w:r w:rsidR="00B402F1">
        <w:t xml:space="preserve">was not recommended for routine funding through the National Health Service (NHS) but </w:t>
      </w:r>
      <w:r w:rsidR="00540549">
        <w:t>is currently</w:t>
      </w:r>
      <w:r>
        <w:t xml:space="preserve"> </w:t>
      </w:r>
      <w:r w:rsidRPr="009A647C">
        <w:t>accessible through</w:t>
      </w:r>
      <w:r w:rsidR="006210B9" w:rsidRPr="006210B9">
        <w:t xml:space="preserve"> </w:t>
      </w:r>
      <w:r w:rsidR="00647B2F">
        <w:t>the</w:t>
      </w:r>
      <w:r w:rsidR="006210B9" w:rsidRPr="006210B9">
        <w:t xml:space="preserve"> </w:t>
      </w:r>
      <w:r w:rsidR="00F1266D">
        <w:t>Innovative Medicines Fund (IMF) with</w:t>
      </w:r>
      <w:r w:rsidR="00732958">
        <w:t xml:space="preserve"> a</w:t>
      </w:r>
      <w:r w:rsidRPr="009A647C">
        <w:t xml:space="preserve"> managed access</w:t>
      </w:r>
      <w:r w:rsidR="00732958">
        <w:t xml:space="preserve"> agreement</w:t>
      </w:r>
      <w:r w:rsidR="00986F4F">
        <w:rPr>
          <w:rStyle w:val="FootnoteReference"/>
        </w:rPr>
        <w:footnoteReference w:id="4"/>
      </w:r>
      <w:r w:rsidRPr="009A647C">
        <w:t xml:space="preserve">. </w:t>
      </w:r>
      <w:r>
        <w:t>MSAC considered it important that the details of these listings be revealed before attempting to replicate international considerations, as many of them have managed access and outcome-based agreements. MSAC also noted that Hemgenix u</w:t>
      </w:r>
      <w:r w:rsidRPr="00C90696">
        <w:t xml:space="preserve">ptake has been very low due to </w:t>
      </w:r>
      <w:r w:rsidR="00D46058" w:rsidRPr="00C90696">
        <w:t>other therapies on the horizon</w:t>
      </w:r>
      <w:r w:rsidR="00D72C11">
        <w:t xml:space="preserve"> (for example</w:t>
      </w:r>
      <w:r w:rsidR="113B0C48">
        <w:t>,</w:t>
      </w:r>
      <w:r w:rsidR="08FE8246">
        <w:t xml:space="preserve"> </w:t>
      </w:r>
      <w:r w:rsidR="0B561591">
        <w:t xml:space="preserve">the </w:t>
      </w:r>
      <w:r w:rsidR="4C664CE2">
        <w:t>subcutaneously admin</w:t>
      </w:r>
      <w:r w:rsidR="14B447B7">
        <w:t>i</w:t>
      </w:r>
      <w:r w:rsidR="4C664CE2">
        <w:t xml:space="preserve">stered </w:t>
      </w:r>
      <w:r w:rsidR="0B561591" w:rsidRPr="00331A44">
        <w:t xml:space="preserve">anti-tissue factor pathway inhibitors </w:t>
      </w:r>
      <w:proofErr w:type="spellStart"/>
      <w:r w:rsidR="08FE8246">
        <w:t>Concizumab</w:t>
      </w:r>
      <w:proofErr w:type="spellEnd"/>
      <w:r w:rsidR="08FE8246">
        <w:t xml:space="preserve"> and </w:t>
      </w:r>
      <w:proofErr w:type="spellStart"/>
      <w:r w:rsidR="08FE8246">
        <w:t>Marstacimab</w:t>
      </w:r>
      <w:proofErr w:type="spellEnd"/>
      <w:r w:rsidR="00D72C11">
        <w:t>)</w:t>
      </w:r>
      <w:r w:rsidRPr="00C90696">
        <w:t>, system barriers and current comfortability with available prophylaxis options</w:t>
      </w:r>
      <w:r>
        <w:t>. Additionally, MSAC reiterated that the TGA has only listed Hemgenix provisionally.</w:t>
      </w:r>
    </w:p>
    <w:p w14:paraId="4D810363" w14:textId="117AFB0A" w:rsidR="00300391" w:rsidRDefault="00300391" w:rsidP="00300391">
      <w:r>
        <w:t xml:space="preserve">MSAC recalled that it </w:t>
      </w:r>
      <w:r w:rsidR="009F3347" w:rsidRPr="002E3A67">
        <w:t>previously supported funding for Luxturna</w:t>
      </w:r>
      <w:r>
        <w:t xml:space="preserve"> (</w:t>
      </w:r>
      <w:r w:rsidR="009F3347">
        <w:t xml:space="preserve">a </w:t>
      </w:r>
      <w:r>
        <w:t xml:space="preserve">gene therapy for patients with </w:t>
      </w:r>
      <w:r w:rsidRPr="009A29D0">
        <w:t xml:space="preserve">inherited retinal </w:t>
      </w:r>
      <w:r>
        <w:t>dystrophies) at its November 2020 meeting</w:t>
      </w:r>
      <w:r w:rsidR="00FB6EE1">
        <w:t xml:space="preserve"> (see Public Summary Document for MSAC application 1623</w:t>
      </w:r>
      <w:r w:rsidR="00FB6EE1">
        <w:rPr>
          <w:rStyle w:val="FootnoteReference"/>
        </w:rPr>
        <w:footnoteReference w:id="5"/>
      </w:r>
      <w:r w:rsidR="00FB6EE1">
        <w:t>)</w:t>
      </w:r>
      <w:r>
        <w:t xml:space="preserve">. This approval was based on data from </w:t>
      </w:r>
      <w:r w:rsidR="00C612F7">
        <w:t xml:space="preserve">a randomised </w:t>
      </w:r>
      <w:r w:rsidR="003B0CB8">
        <w:t xml:space="preserve">controlled </w:t>
      </w:r>
      <w:r w:rsidR="00C612F7">
        <w:t>trial with</w:t>
      </w:r>
      <w:r>
        <w:t xml:space="preserve"> 7</w:t>
      </w:r>
      <w:r w:rsidR="00FE0C1A">
        <w:t>-</w:t>
      </w:r>
      <w:r>
        <w:t xml:space="preserve">year follow-up. Additionally, there were no other treatment options for these patients, and </w:t>
      </w:r>
      <w:r w:rsidR="003B0CB8">
        <w:t xml:space="preserve">if left untreated, </w:t>
      </w:r>
      <w:r>
        <w:t>the outcome was blindness. MSAC also noted that its support for listing Luxturna depended on a detailed risk-sharing arrangement subject to many conditions, and a price reduction. MSAC also recalled that, at the time</w:t>
      </w:r>
      <w:r w:rsidR="00FC7FBA">
        <w:t xml:space="preserve">, it was </w:t>
      </w:r>
      <w:r w:rsidR="00FC7FBA" w:rsidRPr="008B3160">
        <w:t xml:space="preserve">advised to consider alternative ways to </w:t>
      </w:r>
      <w:r w:rsidRPr="008B3160">
        <w:t>price gene therapies</w:t>
      </w:r>
      <w:r>
        <w:t>,</w:t>
      </w:r>
      <w:r w:rsidRPr="008B3160">
        <w:t xml:space="preserve"> given </w:t>
      </w:r>
      <w:r>
        <w:t xml:space="preserve">the </w:t>
      </w:r>
      <w:r w:rsidRPr="008B3160">
        <w:t>very high requested fees</w:t>
      </w:r>
      <w:r>
        <w:t>.</w:t>
      </w:r>
    </w:p>
    <w:p w14:paraId="5D705C05" w14:textId="5A2C3BA1" w:rsidR="00DA7DC3" w:rsidRDefault="00DA7DC3" w:rsidP="00DA7DC3">
      <w:r>
        <w:t xml:space="preserve">Overall, MSAC did not support public funding for Hemgenix </w:t>
      </w:r>
      <w:r w:rsidR="00494F43" w:rsidRPr="33C498C8">
        <w:rPr>
          <w:rFonts w:eastAsia="Franklin Gothic Book"/>
        </w:rPr>
        <w:t xml:space="preserve">for the treatment of </w:t>
      </w:r>
      <w:r w:rsidR="00494F43" w:rsidRPr="6145A1D8">
        <w:rPr>
          <w:rFonts w:eastAsia="Franklin Gothic Book"/>
        </w:rPr>
        <w:t xml:space="preserve">adult </w:t>
      </w:r>
      <w:r w:rsidR="00494F43" w:rsidRPr="062C0943">
        <w:rPr>
          <w:rFonts w:eastAsia="Franklin Gothic Book"/>
        </w:rPr>
        <w:t>patients with</w:t>
      </w:r>
      <w:r w:rsidR="00494F43" w:rsidRPr="6145A1D8">
        <w:rPr>
          <w:rFonts w:eastAsia="Franklin Gothic Book"/>
        </w:rPr>
        <w:t xml:space="preserve"> </w:t>
      </w:r>
      <w:r w:rsidR="00494F43" w:rsidRPr="33C498C8">
        <w:rPr>
          <w:rFonts w:eastAsia="Franklin Gothic Book"/>
        </w:rPr>
        <w:t xml:space="preserve">moderately severe </w:t>
      </w:r>
      <w:r w:rsidR="00494F43">
        <w:rPr>
          <w:rFonts w:eastAsia="Franklin Gothic Book"/>
        </w:rPr>
        <w:t>or</w:t>
      </w:r>
      <w:r w:rsidR="00494F43" w:rsidRPr="33C498C8">
        <w:rPr>
          <w:rFonts w:eastAsia="Franklin Gothic Book"/>
        </w:rPr>
        <w:t xml:space="preserve"> severe </w:t>
      </w:r>
      <w:proofErr w:type="spellStart"/>
      <w:r w:rsidR="0019724E">
        <w:t>cHMB</w:t>
      </w:r>
      <w:proofErr w:type="spellEnd"/>
      <w:r w:rsidR="0019724E">
        <w:t xml:space="preserve"> </w:t>
      </w:r>
      <w:r>
        <w:t>on the ba</w:t>
      </w:r>
      <w:r w:rsidR="009B78D1">
        <w:t xml:space="preserve">sis that the </w:t>
      </w:r>
      <w:r w:rsidR="0013023F">
        <w:t xml:space="preserve">comparative safety, </w:t>
      </w:r>
      <w:r w:rsidR="009B78D1">
        <w:t xml:space="preserve">effectiveness, </w:t>
      </w:r>
      <w:proofErr w:type="gramStart"/>
      <w:r w:rsidR="009B78D1">
        <w:t>cost-effectiv</w:t>
      </w:r>
      <w:r w:rsidR="001A3E5F">
        <w:t>en</w:t>
      </w:r>
      <w:r w:rsidR="009B78D1">
        <w:t>ess</w:t>
      </w:r>
      <w:proofErr w:type="gramEnd"/>
      <w:r w:rsidR="009B78D1">
        <w:t xml:space="preserve"> and total cost of Hemgenix was highly uncertain</w:t>
      </w:r>
      <w:r>
        <w:t xml:space="preserve">. Although </w:t>
      </w:r>
      <w:r w:rsidR="0013023F">
        <w:t>the limited</w:t>
      </w:r>
      <w:r w:rsidR="001B6465">
        <w:t xml:space="preserve"> low certainty clinical evidence indicated that </w:t>
      </w:r>
      <w:r>
        <w:t xml:space="preserve">Hemgenix appeared to </w:t>
      </w:r>
      <w:r w:rsidR="001B6465">
        <w:t>be effective</w:t>
      </w:r>
      <w:r>
        <w:t xml:space="preserve"> for a subgroup of patients</w:t>
      </w:r>
      <w:r w:rsidR="001B6465">
        <w:t xml:space="preserve"> in the short-term</w:t>
      </w:r>
      <w:r>
        <w:t>, the</w:t>
      </w:r>
      <w:r w:rsidR="00B14EAE">
        <w:t>re was substantial</w:t>
      </w:r>
      <w:r>
        <w:t xml:space="preserve"> inter</w:t>
      </w:r>
      <w:r w:rsidR="00B14EAE">
        <w:t>-individual</w:t>
      </w:r>
      <w:r>
        <w:t xml:space="preserve"> variability</w:t>
      </w:r>
      <w:r w:rsidR="002E3A67">
        <w:t>,</w:t>
      </w:r>
      <w:r>
        <w:t xml:space="preserve"> </w:t>
      </w:r>
      <w:r w:rsidR="00B14EAE">
        <w:t>and the evidence was insufficient to substanti</w:t>
      </w:r>
      <w:r w:rsidR="00B13012">
        <w:t>ate</w:t>
      </w:r>
      <w:r w:rsidR="00B14EAE">
        <w:t xml:space="preserve"> the lo</w:t>
      </w:r>
      <w:r w:rsidR="00C92838">
        <w:t>ng-term comparative safety and effectiveness of Hemgenix</w:t>
      </w:r>
      <w:r>
        <w:t xml:space="preserve">. Further, MSAC considered anti-AAV5 </w:t>
      </w:r>
      <w:proofErr w:type="spellStart"/>
      <w:r>
        <w:t>NAb</w:t>
      </w:r>
      <w:proofErr w:type="spellEnd"/>
      <w:r>
        <w:t xml:space="preserve"> testing </w:t>
      </w:r>
      <w:r w:rsidR="002514BB" w:rsidRPr="002514BB">
        <w:t xml:space="preserve">important for determining patient eligibility to Hemgenix </w:t>
      </w:r>
      <w:r w:rsidR="002514BB">
        <w:t>but that further evidence to validate this test was required.</w:t>
      </w:r>
      <w:r w:rsidR="006212AD">
        <w:t xml:space="preserve"> MSAC considered the propose</w:t>
      </w:r>
      <w:r w:rsidR="00D55136">
        <w:t>d</w:t>
      </w:r>
      <w:r w:rsidR="006212AD">
        <w:t xml:space="preserve"> price for Hemgenix was</w:t>
      </w:r>
      <w:r w:rsidR="00D869D5">
        <w:t xml:space="preserve"> not justif</w:t>
      </w:r>
      <w:r w:rsidR="00D55136">
        <w:t xml:space="preserve">ied, in that it was too high and not found to be cost-effective. </w:t>
      </w:r>
      <w:r w:rsidR="000D3F5B">
        <w:t>MSAC also considered the estimated utilisation and financial impact to be highly uncertain.</w:t>
      </w:r>
      <w:r w:rsidR="000A790E">
        <w:t xml:space="preserve"> MSAC considered the provisional registration </w:t>
      </w:r>
      <w:r w:rsidR="0048167B">
        <w:t>of Hemgenix in Australia added further uncertainty.</w:t>
      </w:r>
      <w:r w:rsidR="006212AD">
        <w:t xml:space="preserve"> </w:t>
      </w:r>
      <w:r w:rsidR="005E5DEA">
        <w:t xml:space="preserve">MSAC noted there are emergent subcutaneously administered monoclonal antibody treatment options for people with </w:t>
      </w:r>
      <w:proofErr w:type="spellStart"/>
      <w:r w:rsidR="005E5DEA">
        <w:t>cHMB</w:t>
      </w:r>
      <w:proofErr w:type="spellEnd"/>
      <w:r w:rsidR="005E5DEA">
        <w:t xml:space="preserve">. </w:t>
      </w:r>
    </w:p>
    <w:p w14:paraId="49036917" w14:textId="24C71C75" w:rsidR="002E3A67" w:rsidRDefault="00371649" w:rsidP="002E3A67">
      <w:pPr>
        <w:rPr>
          <w:rFonts w:eastAsia="Franklin Gothic Book"/>
        </w:rPr>
      </w:pPr>
      <w:r>
        <w:rPr>
          <w:rFonts w:eastAsia="Franklin Gothic Book"/>
        </w:rPr>
        <w:t>MSAC considered any re-application would need to</w:t>
      </w:r>
      <w:r w:rsidR="006B3D3B">
        <w:rPr>
          <w:rFonts w:eastAsia="Franklin Gothic Book"/>
        </w:rPr>
        <w:t xml:space="preserve"> provide</w:t>
      </w:r>
      <w:r w:rsidR="0061440F">
        <w:rPr>
          <w:rFonts w:eastAsia="Franklin Gothic Book"/>
        </w:rPr>
        <w:t xml:space="preserve">: </w:t>
      </w:r>
      <w:r>
        <w:rPr>
          <w:rFonts w:eastAsia="Franklin Gothic Book"/>
        </w:rPr>
        <w:t xml:space="preserve"> </w:t>
      </w:r>
    </w:p>
    <w:p w14:paraId="09A00C4C" w14:textId="213E73B9" w:rsidR="00601154" w:rsidRPr="00300391" w:rsidRDefault="00601154" w:rsidP="00667D56">
      <w:pPr>
        <w:pStyle w:val="Bullet"/>
        <w:numPr>
          <w:ilvl w:val="0"/>
          <w:numId w:val="31"/>
        </w:numPr>
        <w:spacing w:before="0"/>
        <w:rPr>
          <w:rFonts w:ascii="Franklin Gothic Book" w:hAnsi="Franklin Gothic Book"/>
        </w:rPr>
      </w:pPr>
      <w:r>
        <w:rPr>
          <w:rFonts w:ascii="Franklin Gothic Book" w:hAnsi="Franklin Gothic Book"/>
        </w:rPr>
        <w:t xml:space="preserve">a significantly reduced </w:t>
      </w:r>
      <w:r w:rsidR="006B3D3B">
        <w:rPr>
          <w:rFonts w:ascii="Franklin Gothic Book" w:hAnsi="Franklin Gothic Book"/>
        </w:rPr>
        <w:t xml:space="preserve">proposed </w:t>
      </w:r>
      <w:proofErr w:type="gramStart"/>
      <w:r>
        <w:rPr>
          <w:rFonts w:ascii="Franklin Gothic Book" w:hAnsi="Franklin Gothic Book"/>
        </w:rPr>
        <w:t>price</w:t>
      </w:r>
      <w:proofErr w:type="gramEnd"/>
    </w:p>
    <w:p w14:paraId="6560ED4B" w14:textId="5B321660" w:rsidR="0061440F" w:rsidRPr="002E3A67" w:rsidRDefault="0061440F" w:rsidP="00667D56">
      <w:pPr>
        <w:pStyle w:val="ListParagraph"/>
        <w:numPr>
          <w:ilvl w:val="0"/>
          <w:numId w:val="31"/>
        </w:numPr>
      </w:pPr>
      <w:r w:rsidRPr="002E3A67">
        <w:rPr>
          <w:rFonts w:eastAsia="Franklin Gothic Book"/>
        </w:rPr>
        <w:t>additional longer-term clinical evidence</w:t>
      </w:r>
      <w:r w:rsidR="004A5BA0" w:rsidRPr="002E3A67">
        <w:rPr>
          <w:rFonts w:eastAsia="Franklin Gothic Book"/>
        </w:rPr>
        <w:t xml:space="preserve"> from HOPE-B </w:t>
      </w:r>
      <w:r w:rsidR="0084299F">
        <w:rPr>
          <w:rFonts w:eastAsia="Franklin Gothic Book"/>
        </w:rPr>
        <w:t>study</w:t>
      </w:r>
    </w:p>
    <w:p w14:paraId="387AFE4F" w14:textId="462CF070" w:rsidR="00300391" w:rsidRPr="00DF2639" w:rsidRDefault="00300391" w:rsidP="00667D56">
      <w:pPr>
        <w:pStyle w:val="Bullet"/>
        <w:numPr>
          <w:ilvl w:val="0"/>
          <w:numId w:val="31"/>
        </w:numPr>
        <w:spacing w:before="0"/>
        <w:rPr>
          <w:rFonts w:ascii="Franklin Gothic Book" w:hAnsi="Franklin Gothic Book"/>
        </w:rPr>
      </w:pPr>
      <w:r w:rsidRPr="00300391">
        <w:rPr>
          <w:rFonts w:ascii="Franklin Gothic Book" w:hAnsi="Franklin Gothic Book"/>
        </w:rPr>
        <w:t xml:space="preserve">evidence on anti-AAV5 </w:t>
      </w:r>
      <w:proofErr w:type="spellStart"/>
      <w:r w:rsidRPr="00300391">
        <w:rPr>
          <w:rFonts w:ascii="Franklin Gothic Book" w:hAnsi="Franklin Gothic Book"/>
        </w:rPr>
        <w:t>NAb</w:t>
      </w:r>
      <w:proofErr w:type="spellEnd"/>
      <w:r w:rsidRPr="00300391">
        <w:rPr>
          <w:rFonts w:ascii="Franklin Gothic Book" w:hAnsi="Franklin Gothic Book"/>
        </w:rPr>
        <w:t xml:space="preserve"> assay performance, validity, </w:t>
      </w:r>
      <w:proofErr w:type="gramStart"/>
      <w:r w:rsidRPr="00300391">
        <w:rPr>
          <w:rFonts w:ascii="Franklin Gothic Book" w:hAnsi="Franklin Gothic Book"/>
        </w:rPr>
        <w:t>reproducibility</w:t>
      </w:r>
      <w:proofErr w:type="gramEnd"/>
      <w:r w:rsidRPr="00300391">
        <w:rPr>
          <w:rFonts w:ascii="Franklin Gothic Book" w:hAnsi="Franklin Gothic Book"/>
        </w:rPr>
        <w:t xml:space="preserve"> and clinically meaningful threshold</w:t>
      </w:r>
      <w:r w:rsidR="00970AAE">
        <w:rPr>
          <w:rFonts w:ascii="Franklin Gothic Book" w:hAnsi="Franklin Gothic Book"/>
        </w:rPr>
        <w:t xml:space="preserve"> </w:t>
      </w:r>
      <w:r w:rsidR="00970AAE" w:rsidRPr="26C30B38">
        <w:rPr>
          <w:rFonts w:ascii="Franklin Gothic Book" w:eastAsia="Franklin Gothic Book" w:hAnsi="Franklin Gothic Book"/>
        </w:rPr>
        <w:t xml:space="preserve">(consistent with </w:t>
      </w:r>
      <w:r w:rsidR="00970AAE" w:rsidRPr="62994A27">
        <w:rPr>
          <w:rFonts w:ascii="Franklin Gothic Book" w:eastAsia="Franklin Gothic Book" w:hAnsi="Franklin Gothic Book"/>
        </w:rPr>
        <w:t xml:space="preserve">post-marketing </w:t>
      </w:r>
      <w:r w:rsidR="00970AAE" w:rsidRPr="280841B6">
        <w:rPr>
          <w:rFonts w:ascii="Franklin Gothic Book" w:eastAsia="Franklin Gothic Book" w:hAnsi="Franklin Gothic Book"/>
        </w:rPr>
        <w:t>registration requirements</w:t>
      </w:r>
      <w:r w:rsidR="00970AAE" w:rsidRPr="17860490">
        <w:rPr>
          <w:rFonts w:ascii="Franklin Gothic Book" w:eastAsia="Franklin Gothic Book" w:hAnsi="Franklin Gothic Book"/>
        </w:rPr>
        <w:t>)</w:t>
      </w:r>
    </w:p>
    <w:p w14:paraId="7E2A125E" w14:textId="01FB7CD0" w:rsidR="00390910" w:rsidRPr="00300391" w:rsidRDefault="00390910" w:rsidP="00667D56">
      <w:pPr>
        <w:pStyle w:val="Bullet"/>
        <w:numPr>
          <w:ilvl w:val="0"/>
          <w:numId w:val="31"/>
        </w:numPr>
        <w:spacing w:before="0"/>
        <w:rPr>
          <w:rFonts w:ascii="Franklin Gothic Book" w:hAnsi="Franklin Gothic Book"/>
        </w:rPr>
      </w:pPr>
      <w:r w:rsidRPr="00300391">
        <w:rPr>
          <w:rFonts w:ascii="Franklin Gothic Book" w:hAnsi="Franklin Gothic Book"/>
        </w:rPr>
        <w:t xml:space="preserve">evidence on FIX consumption, activity, presence/extent of </w:t>
      </w:r>
      <w:r w:rsidR="00611682">
        <w:rPr>
          <w:rFonts w:ascii="Franklin Gothic Book" w:hAnsi="Franklin Gothic Book"/>
        </w:rPr>
        <w:t xml:space="preserve">FIX </w:t>
      </w:r>
      <w:r w:rsidR="00042914">
        <w:rPr>
          <w:rFonts w:ascii="Franklin Gothic Book" w:hAnsi="Franklin Gothic Book"/>
        </w:rPr>
        <w:t>inhibitors</w:t>
      </w:r>
      <w:r w:rsidRPr="00300391">
        <w:rPr>
          <w:rFonts w:ascii="Franklin Gothic Book" w:hAnsi="Franklin Gothic Book"/>
        </w:rPr>
        <w:t xml:space="preserve"> after Hemgenix treatment for a minimum of 2 years</w:t>
      </w:r>
      <w:r w:rsidR="000546E7">
        <w:rPr>
          <w:rFonts w:ascii="Franklin Gothic Book" w:hAnsi="Franklin Gothic Book"/>
        </w:rPr>
        <w:t xml:space="preserve"> follow-up</w:t>
      </w:r>
    </w:p>
    <w:p w14:paraId="2F0F9F4E" w14:textId="27EFF827" w:rsidR="00390910" w:rsidRDefault="00390910" w:rsidP="00667D56">
      <w:pPr>
        <w:pStyle w:val="Bullet"/>
        <w:numPr>
          <w:ilvl w:val="0"/>
          <w:numId w:val="31"/>
        </w:numPr>
        <w:spacing w:before="0"/>
        <w:rPr>
          <w:rFonts w:ascii="Franklin Gothic Book" w:hAnsi="Franklin Gothic Book"/>
        </w:rPr>
      </w:pPr>
      <w:r w:rsidRPr="00300391">
        <w:rPr>
          <w:rFonts w:ascii="Franklin Gothic Book" w:hAnsi="Franklin Gothic Book"/>
        </w:rPr>
        <w:t>evidence on all healthcare use after Hemgenix treatment for a minimum of 2 years</w:t>
      </w:r>
      <w:r w:rsidR="001227AE">
        <w:rPr>
          <w:rFonts w:ascii="Franklin Gothic Book" w:hAnsi="Franklin Gothic Book"/>
        </w:rPr>
        <w:t xml:space="preserve"> </w:t>
      </w:r>
      <w:r w:rsidR="00241508">
        <w:rPr>
          <w:rFonts w:ascii="Franklin Gothic Book" w:hAnsi="Franklin Gothic Book"/>
        </w:rPr>
        <w:t>follow-up.</w:t>
      </w:r>
    </w:p>
    <w:p w14:paraId="617ADDA9" w14:textId="61AC750F" w:rsidR="00300391" w:rsidRPr="00300391" w:rsidRDefault="00300391" w:rsidP="00667D56">
      <w:pPr>
        <w:pStyle w:val="Bullet"/>
        <w:numPr>
          <w:ilvl w:val="0"/>
          <w:numId w:val="31"/>
        </w:numPr>
        <w:spacing w:before="0"/>
        <w:rPr>
          <w:rFonts w:ascii="Franklin Gothic Book" w:hAnsi="Franklin Gothic Book"/>
        </w:rPr>
      </w:pPr>
      <w:r w:rsidRPr="00300391">
        <w:rPr>
          <w:rFonts w:ascii="Franklin Gothic Book" w:hAnsi="Franklin Gothic Book"/>
        </w:rPr>
        <w:t xml:space="preserve">a codependent application </w:t>
      </w:r>
      <w:r w:rsidR="00A87986">
        <w:rPr>
          <w:rFonts w:ascii="Franklin Gothic Book" w:hAnsi="Franklin Gothic Book"/>
        </w:rPr>
        <w:t xml:space="preserve">for Hemgenix </w:t>
      </w:r>
      <w:r w:rsidRPr="00300391">
        <w:rPr>
          <w:rFonts w:ascii="Franklin Gothic Book" w:hAnsi="Franklin Gothic Book"/>
        </w:rPr>
        <w:t xml:space="preserve">with anti-AAV5 </w:t>
      </w:r>
      <w:proofErr w:type="spellStart"/>
      <w:r w:rsidRPr="00300391">
        <w:rPr>
          <w:rFonts w:ascii="Franklin Gothic Book" w:hAnsi="Franklin Gothic Book"/>
        </w:rPr>
        <w:t>NAb</w:t>
      </w:r>
      <w:proofErr w:type="spellEnd"/>
      <w:r w:rsidRPr="00300391">
        <w:rPr>
          <w:rFonts w:ascii="Franklin Gothic Book" w:hAnsi="Franklin Gothic Book"/>
        </w:rPr>
        <w:t xml:space="preserve"> testing</w:t>
      </w:r>
      <w:r w:rsidR="00DB675E">
        <w:rPr>
          <w:rFonts w:ascii="Franklin Gothic Book" w:hAnsi="Franklin Gothic Book"/>
        </w:rPr>
        <w:t>, including an updated</w:t>
      </w:r>
      <w:r w:rsidR="00DB675E">
        <w:rPr>
          <w:rFonts w:ascii="Franklin Gothic Book" w:eastAsia="Franklin Gothic Book" w:hAnsi="Franklin Gothic Book"/>
        </w:rPr>
        <w:t xml:space="preserve"> proposed population eligibility criteria that specifies </w:t>
      </w:r>
      <w:r w:rsidR="00580B38">
        <w:rPr>
          <w:rFonts w:ascii="Franklin Gothic Book" w:eastAsia="Franklin Gothic Book" w:hAnsi="Franklin Gothic Book"/>
        </w:rPr>
        <w:t>an appropriate</w:t>
      </w:r>
      <w:r w:rsidR="00DB675E">
        <w:rPr>
          <w:rFonts w:ascii="Franklin Gothic Book" w:eastAsia="Franklin Gothic Book" w:hAnsi="Franklin Gothic Book"/>
        </w:rPr>
        <w:t xml:space="preserve"> anti-AAV5 titre threshold</w:t>
      </w:r>
      <w:r w:rsidR="00580B38">
        <w:rPr>
          <w:rFonts w:ascii="Franklin Gothic Book" w:eastAsia="Franklin Gothic Book" w:hAnsi="Franklin Gothic Book"/>
        </w:rPr>
        <w:t xml:space="preserve"> (as above)</w:t>
      </w:r>
    </w:p>
    <w:p w14:paraId="419688BE" w14:textId="47190FB0" w:rsidR="00300391" w:rsidRPr="006A5098" w:rsidRDefault="006A5098" w:rsidP="00667D56">
      <w:pPr>
        <w:pStyle w:val="Bullet"/>
        <w:numPr>
          <w:ilvl w:val="0"/>
          <w:numId w:val="31"/>
        </w:numPr>
        <w:spacing w:before="0"/>
        <w:rPr>
          <w:rFonts w:ascii="Franklin Gothic Book" w:hAnsi="Franklin Gothic Book"/>
        </w:rPr>
      </w:pPr>
      <w:r w:rsidRPr="006A5098">
        <w:rPr>
          <w:rFonts w:ascii="Franklin Gothic Book" w:hAnsi="Franklin Gothic Book"/>
        </w:rPr>
        <w:t>provide a revised economic evaluation</w:t>
      </w:r>
      <w:r w:rsidR="00300391" w:rsidRPr="006A5098">
        <w:rPr>
          <w:rFonts w:ascii="Franklin Gothic Book" w:hAnsi="Franklin Gothic Book"/>
        </w:rPr>
        <w:t xml:space="preserve"> with a new structure that includes health states related to natural history</w:t>
      </w:r>
      <w:r w:rsidR="004B4440">
        <w:rPr>
          <w:rFonts w:ascii="Franklin Gothic Book" w:hAnsi="Franklin Gothic Book"/>
        </w:rPr>
        <w:t xml:space="preserve">, </w:t>
      </w:r>
      <w:r w:rsidR="007B40ED">
        <w:rPr>
          <w:rFonts w:ascii="Franklin Gothic Book" w:hAnsi="Franklin Gothic Book"/>
        </w:rPr>
        <w:t>addresses ESC concerns regarding the extrapolation and threshold for</w:t>
      </w:r>
      <w:r w:rsidR="00300391" w:rsidRPr="006A5098">
        <w:rPr>
          <w:rFonts w:ascii="Franklin Gothic Book" w:hAnsi="Franklin Gothic Book"/>
        </w:rPr>
        <w:t xml:space="preserve"> FIX % activity, and reduce the time </w:t>
      </w:r>
      <w:proofErr w:type="gramStart"/>
      <w:r w:rsidR="00300391" w:rsidRPr="006A5098">
        <w:rPr>
          <w:rFonts w:ascii="Franklin Gothic Book" w:hAnsi="Franklin Gothic Book"/>
        </w:rPr>
        <w:t>horizon</w:t>
      </w:r>
      <w:proofErr w:type="gramEnd"/>
    </w:p>
    <w:p w14:paraId="222E8F0E" w14:textId="4787BB2F" w:rsidR="007F0AB9" w:rsidRDefault="007F0AB9" w:rsidP="00667D56">
      <w:pPr>
        <w:pStyle w:val="Bullet"/>
        <w:numPr>
          <w:ilvl w:val="0"/>
          <w:numId w:val="31"/>
        </w:numPr>
        <w:spacing w:before="0"/>
        <w:rPr>
          <w:rFonts w:ascii="Franklin Gothic Book" w:hAnsi="Franklin Gothic Book"/>
        </w:rPr>
      </w:pPr>
      <w:r>
        <w:rPr>
          <w:rFonts w:ascii="Franklin Gothic Book" w:hAnsi="Franklin Gothic Book"/>
        </w:rPr>
        <w:t xml:space="preserve">provide additional evidence to support the estimated </w:t>
      </w:r>
      <w:proofErr w:type="gramStart"/>
      <w:r>
        <w:rPr>
          <w:rFonts w:ascii="Franklin Gothic Book" w:hAnsi="Franklin Gothic Book"/>
        </w:rPr>
        <w:t>utilisation</w:t>
      </w:r>
      <w:proofErr w:type="gramEnd"/>
      <w:r>
        <w:rPr>
          <w:rFonts w:ascii="Franklin Gothic Book" w:hAnsi="Franklin Gothic Book"/>
        </w:rPr>
        <w:t xml:space="preserve"> </w:t>
      </w:r>
    </w:p>
    <w:p w14:paraId="77C73894" w14:textId="36750F3B" w:rsidR="00255EA3" w:rsidRPr="00300391" w:rsidRDefault="0048612E" w:rsidP="00667D56">
      <w:pPr>
        <w:pStyle w:val="Bullet"/>
        <w:numPr>
          <w:ilvl w:val="0"/>
          <w:numId w:val="31"/>
        </w:numPr>
        <w:spacing w:before="0"/>
        <w:rPr>
          <w:rFonts w:ascii="Franklin Gothic Book" w:hAnsi="Franklin Gothic Book"/>
        </w:rPr>
      </w:pPr>
      <w:r>
        <w:rPr>
          <w:rFonts w:ascii="Franklin Gothic Book" w:hAnsi="Franklin Gothic Book"/>
        </w:rPr>
        <w:t>provide details of a</w:t>
      </w:r>
      <w:r w:rsidR="003C1740">
        <w:rPr>
          <w:rFonts w:ascii="Franklin Gothic Book" w:hAnsi="Franklin Gothic Book"/>
        </w:rPr>
        <w:t xml:space="preserve"> risk sharing arrangement as described by ESC</w:t>
      </w:r>
      <w:r w:rsidR="00300391" w:rsidRPr="00300391">
        <w:rPr>
          <w:rFonts w:ascii="Franklin Gothic Book" w:hAnsi="Franklin Gothic Book"/>
        </w:rPr>
        <w:t>.</w:t>
      </w:r>
    </w:p>
    <w:p w14:paraId="6710B69D" w14:textId="7590A753" w:rsidR="00772829" w:rsidRPr="00E40A38" w:rsidRDefault="00255EA3" w:rsidP="002A18BE">
      <w:pPr>
        <w:pStyle w:val="Heading2"/>
        <w:numPr>
          <w:ilvl w:val="0"/>
          <w:numId w:val="0"/>
        </w:numPr>
      </w:pPr>
      <w:r>
        <w:t>4</w:t>
      </w:r>
      <w:r w:rsidR="00C36633" w:rsidRPr="00E40A38">
        <w:t>.</w:t>
      </w:r>
      <w:r w:rsidR="00C36633" w:rsidRPr="00E40A38">
        <w:tab/>
      </w:r>
      <w:r w:rsidR="00772829" w:rsidRPr="00E40A38">
        <w:t>Background</w:t>
      </w:r>
      <w:bookmarkEnd w:id="1"/>
    </w:p>
    <w:p w14:paraId="3E710128" w14:textId="78E63EFC" w:rsidR="00D06A90" w:rsidRPr="00E40A38" w:rsidRDefault="00306E7A" w:rsidP="00D06A90">
      <w:bookmarkStart w:id="2" w:name="_Ref69480768"/>
      <w:bookmarkStart w:id="3" w:name="_Hlk69734557"/>
      <w:bookmarkStart w:id="4" w:name="_Hlk69734494"/>
      <w:r w:rsidRPr="00E40A38">
        <w:t>The Medical Services Advisory Committee (</w:t>
      </w:r>
      <w:r w:rsidR="00D06A90" w:rsidRPr="00E40A38">
        <w:t>MSAC</w:t>
      </w:r>
      <w:r w:rsidRPr="00E40A38">
        <w:t>)</w:t>
      </w:r>
      <w:r w:rsidR="00D06A90" w:rsidRPr="00E40A38">
        <w:t xml:space="preserve"> has not previously considered </w:t>
      </w:r>
      <w:r w:rsidR="000315B3" w:rsidRPr="00E40A38">
        <w:rPr>
          <w:iCs/>
        </w:rPr>
        <w:t>etranacogene dezaparvovec</w:t>
      </w:r>
      <w:r w:rsidR="00D06A90" w:rsidRPr="00E40A38">
        <w:t xml:space="preserve"> for the treatment of HMB.</w:t>
      </w:r>
    </w:p>
    <w:p w14:paraId="229364F8" w14:textId="2BE70CF3" w:rsidR="00A956B7" w:rsidRPr="00E40A38" w:rsidRDefault="00A956B7" w:rsidP="00D06A90">
      <w:r w:rsidRPr="00E40A38">
        <w:t>A</w:t>
      </w:r>
      <w:r w:rsidR="00D3396F" w:rsidRPr="00E40A38">
        <w:t>n</w:t>
      </w:r>
      <w:r w:rsidRPr="00E40A38">
        <w:t xml:space="preserve"> </w:t>
      </w:r>
      <w:r w:rsidR="00E51BCC" w:rsidRPr="00E40A38">
        <w:t>AAV</w:t>
      </w:r>
      <w:r w:rsidR="000F008F" w:rsidRPr="00E40A38">
        <w:t>5</w:t>
      </w:r>
      <w:r w:rsidR="00E51BCC" w:rsidRPr="00E40A38">
        <w:t xml:space="preserve">-based </w:t>
      </w:r>
      <w:r w:rsidRPr="00E40A38">
        <w:t xml:space="preserve">gene therapy product for </w:t>
      </w:r>
      <w:r w:rsidR="00313A43">
        <w:t>h</w:t>
      </w:r>
      <w:r w:rsidRPr="00E40A38">
        <w:t xml:space="preserve">aemophilia </w:t>
      </w:r>
      <w:r w:rsidR="00E51BCC" w:rsidRPr="00E40A38">
        <w:t>A</w:t>
      </w:r>
      <w:r w:rsidR="000F008F" w:rsidRPr="00E40A38">
        <w:t xml:space="preserve">, </w:t>
      </w:r>
      <w:proofErr w:type="spellStart"/>
      <w:r w:rsidR="000F008F" w:rsidRPr="00E40A38">
        <w:t>valoctocogene</w:t>
      </w:r>
      <w:proofErr w:type="spellEnd"/>
      <w:r w:rsidR="000F008F" w:rsidRPr="00E40A38">
        <w:t xml:space="preserve"> </w:t>
      </w:r>
      <w:proofErr w:type="spellStart"/>
      <w:r w:rsidR="000F008F" w:rsidRPr="00E40A38">
        <w:t>roxaparvovec</w:t>
      </w:r>
      <w:proofErr w:type="spellEnd"/>
      <w:r w:rsidR="000F008F" w:rsidRPr="00E40A38">
        <w:t>,</w:t>
      </w:r>
      <w:r w:rsidR="00E51BCC" w:rsidRPr="00E40A38">
        <w:t xml:space="preserve"> </w:t>
      </w:r>
      <w:r w:rsidR="00323580" w:rsidRPr="00E40A38">
        <w:t>wa</w:t>
      </w:r>
      <w:r w:rsidR="00E51BCC" w:rsidRPr="00E40A38">
        <w:t xml:space="preserve">s </w:t>
      </w:r>
      <w:r w:rsidR="007C0477" w:rsidRPr="00E40A38">
        <w:t xml:space="preserve">considered </w:t>
      </w:r>
      <w:r w:rsidR="00E51BCC" w:rsidRPr="00E40A38">
        <w:t>by MSAC</w:t>
      </w:r>
      <w:r w:rsidR="007C0477" w:rsidRPr="00E40A38">
        <w:t>’s PICO A</w:t>
      </w:r>
      <w:r w:rsidR="00C735DB" w:rsidRPr="00E40A38">
        <w:t xml:space="preserve">dvisory Sub-Committee (PASC) at </w:t>
      </w:r>
      <w:r w:rsidR="008E55E2" w:rsidRPr="00E40A38">
        <w:t>the</w:t>
      </w:r>
      <w:r w:rsidR="00C735DB" w:rsidRPr="00E40A38">
        <w:t xml:space="preserve"> April 2024 </w:t>
      </w:r>
      <w:r w:rsidR="008E55E2" w:rsidRPr="00E40A38">
        <w:t xml:space="preserve">PASC </w:t>
      </w:r>
      <w:r w:rsidR="00C735DB" w:rsidRPr="00E40A38">
        <w:t>meeting</w:t>
      </w:r>
      <w:r w:rsidR="00E51BCC" w:rsidRPr="00E40A38">
        <w:t xml:space="preserve"> (</w:t>
      </w:r>
      <w:r w:rsidR="00133D61" w:rsidRPr="00E40A38">
        <w:t>application 1751</w:t>
      </w:r>
      <w:r w:rsidR="00E51BCC" w:rsidRPr="00E40A38">
        <w:t>)</w:t>
      </w:r>
      <w:r w:rsidR="00133D61" w:rsidRPr="00E40A38">
        <w:rPr>
          <w:rStyle w:val="FootnoteReference"/>
        </w:rPr>
        <w:footnoteReference w:id="6"/>
      </w:r>
      <w:r w:rsidR="00E51BCC" w:rsidRPr="00E40A38">
        <w:t xml:space="preserve">. </w:t>
      </w:r>
      <w:r w:rsidR="00C44E20" w:rsidRPr="00E40A38">
        <w:t>Th</w:t>
      </w:r>
      <w:r w:rsidR="00FB25EE" w:rsidRPr="00E40A38">
        <w:t>e</w:t>
      </w:r>
      <w:r w:rsidR="00BE6F6B" w:rsidRPr="00E40A38">
        <w:t xml:space="preserve"> codependent</w:t>
      </w:r>
      <w:r w:rsidR="00FB25EE" w:rsidRPr="00E40A38">
        <w:t xml:space="preserve"> </w:t>
      </w:r>
      <w:r w:rsidR="00602C33" w:rsidRPr="00E40A38">
        <w:t xml:space="preserve">application </w:t>
      </w:r>
      <w:r w:rsidR="00FB25EE" w:rsidRPr="00E40A38">
        <w:t>include</w:t>
      </w:r>
      <w:r w:rsidR="00C007A0" w:rsidRPr="00E40A38">
        <w:t>d</w:t>
      </w:r>
      <w:r w:rsidR="00C44E20" w:rsidRPr="00E40A38">
        <w:t xml:space="preserve"> </w:t>
      </w:r>
      <w:r w:rsidR="00BE6F6B" w:rsidRPr="00E40A38">
        <w:t xml:space="preserve">a PICO Set for the </w:t>
      </w:r>
      <w:r w:rsidR="003254C1" w:rsidRPr="00E40A38">
        <w:t>companion</w:t>
      </w:r>
      <w:r w:rsidR="00C44E20" w:rsidRPr="00E40A38">
        <w:t xml:space="preserve"> anti-AAV5 titre assay</w:t>
      </w:r>
      <w:r w:rsidR="008956EC" w:rsidRPr="00E40A38">
        <w:t>;</w:t>
      </w:r>
      <w:r w:rsidR="00C44E20" w:rsidRPr="00E40A38">
        <w:t xml:space="preserve"> the </w:t>
      </w:r>
      <w:r w:rsidR="009A2CD8" w:rsidRPr="00E40A38">
        <w:t xml:space="preserve">assay is a total </w:t>
      </w:r>
      <w:r w:rsidR="006554D6" w:rsidRPr="00E40A38">
        <w:t>antibody assay</w:t>
      </w:r>
      <w:r w:rsidR="009C0F6C" w:rsidRPr="00E40A38">
        <w:t xml:space="preserve"> </w:t>
      </w:r>
      <w:r w:rsidR="00F80D37" w:rsidRPr="00E40A38">
        <w:t>and</w:t>
      </w:r>
      <w:r w:rsidR="009C0F6C" w:rsidRPr="00E40A38">
        <w:t xml:space="preserve"> is qualitative only</w:t>
      </w:r>
      <w:r w:rsidR="007257E6" w:rsidRPr="00E40A38">
        <w:t xml:space="preserve"> (positive or negative result). </w:t>
      </w:r>
    </w:p>
    <w:p w14:paraId="6F52500A" w14:textId="6B60949E" w:rsidR="00772829" w:rsidRPr="00E40A38" w:rsidRDefault="00255EA3" w:rsidP="002A18BE">
      <w:pPr>
        <w:pStyle w:val="Heading2"/>
        <w:numPr>
          <w:ilvl w:val="0"/>
          <w:numId w:val="0"/>
        </w:numPr>
      </w:pPr>
      <w:bookmarkStart w:id="5" w:name="_Toc69491417"/>
      <w:bookmarkEnd w:id="2"/>
      <w:bookmarkEnd w:id="3"/>
      <w:bookmarkEnd w:id="4"/>
      <w:r>
        <w:t>5</w:t>
      </w:r>
      <w:r w:rsidR="00C36633" w:rsidRPr="00E40A38">
        <w:t>.</w:t>
      </w:r>
      <w:r w:rsidR="00C36633" w:rsidRPr="00E40A38">
        <w:tab/>
      </w:r>
      <w:r w:rsidR="00772829" w:rsidRPr="00E40A38">
        <w:t>Prerequisites to implementation of any funding advice</w:t>
      </w:r>
      <w:bookmarkEnd w:id="5"/>
    </w:p>
    <w:p w14:paraId="4FA9BA5B" w14:textId="10654E9B" w:rsidR="00D84073" w:rsidRDefault="00152709" w:rsidP="00FB5A4B">
      <w:pPr>
        <w:spacing w:after="0"/>
      </w:pPr>
      <w:bookmarkStart w:id="6" w:name="_Toc69491418"/>
      <w:r w:rsidRPr="00E40A38">
        <w:rPr>
          <w:iCs/>
        </w:rPr>
        <w:t>Etranacogene dezaparvovec</w:t>
      </w:r>
      <w:r w:rsidR="000D0E94">
        <w:rPr>
          <w:iCs/>
        </w:rPr>
        <w:t xml:space="preserve"> (Hemgenix)</w:t>
      </w:r>
      <w:r w:rsidRPr="00E40A38">
        <w:rPr>
          <w:iCs/>
        </w:rPr>
        <w:t xml:space="preserve"> </w:t>
      </w:r>
      <w:r w:rsidRPr="00E40A38">
        <w:t xml:space="preserve">was granted provisional registration by the TGA on 15 March 2024. </w:t>
      </w:r>
      <w:r w:rsidR="00FB127C">
        <w:t xml:space="preserve">The </w:t>
      </w:r>
      <w:r w:rsidR="00914780">
        <w:t xml:space="preserve">provisionally </w:t>
      </w:r>
      <w:r w:rsidR="00FC672E">
        <w:t xml:space="preserve">registered </w:t>
      </w:r>
      <w:r w:rsidR="00FB127C">
        <w:t>indication</w:t>
      </w:r>
      <w:r w:rsidR="00CA0652">
        <w:t xml:space="preserve">, </w:t>
      </w:r>
      <w:r w:rsidR="0034490A">
        <w:t xml:space="preserve">per the </w:t>
      </w:r>
      <w:r w:rsidR="003966AD">
        <w:t xml:space="preserve">entry in the </w:t>
      </w:r>
      <w:r w:rsidR="0034490A">
        <w:t>Australian Reg</w:t>
      </w:r>
      <w:r w:rsidR="00F76B2C">
        <w:t>ister</w:t>
      </w:r>
      <w:r w:rsidR="003966AD">
        <w:t xml:space="preserve"> of Therapeutic Goods for </w:t>
      </w:r>
      <w:r w:rsidR="000D0E94">
        <w:t>H</w:t>
      </w:r>
      <w:r w:rsidR="003966AD">
        <w:t>em</w:t>
      </w:r>
      <w:r w:rsidR="00450A31">
        <w:t>genix</w:t>
      </w:r>
      <w:r w:rsidR="00FC672E">
        <w:t xml:space="preserve"> </w:t>
      </w:r>
      <w:r w:rsidR="00152463">
        <w:t xml:space="preserve">(ARTG </w:t>
      </w:r>
      <w:hyperlink r:id="rId9" w:history="1">
        <w:r w:rsidR="00152463" w:rsidRPr="00130691">
          <w:rPr>
            <w:rStyle w:val="Hyperlink"/>
          </w:rPr>
          <w:t>405360</w:t>
        </w:r>
      </w:hyperlink>
      <w:r w:rsidR="00152463">
        <w:t xml:space="preserve">) </w:t>
      </w:r>
      <w:r w:rsidR="00450A31">
        <w:t>is</w:t>
      </w:r>
      <w:r w:rsidR="00FB127C">
        <w:t>:</w:t>
      </w:r>
      <w:r w:rsidR="008C1F33">
        <w:t xml:space="preserve"> </w:t>
      </w:r>
    </w:p>
    <w:p w14:paraId="5E06E77F" w14:textId="19854AFB" w:rsidR="00FB127C" w:rsidRPr="000D0E94" w:rsidRDefault="00CA23B3" w:rsidP="00FB5A4B">
      <w:pPr>
        <w:spacing w:before="0" w:after="0"/>
        <w:ind w:left="357"/>
      </w:pPr>
      <w:r w:rsidRPr="000D0E94">
        <w:t>HEMGENIX® is an adeno-associated virus vector-based gene therapy indicated f</w:t>
      </w:r>
      <w:r w:rsidR="00FB127C" w:rsidRPr="000D0E94">
        <w:t>or treatment of adults with haemophilia B (congenital factor IX deficiency), without a history of factor IX inhibitors, who:</w:t>
      </w:r>
    </w:p>
    <w:p w14:paraId="49EBEB2C" w14:textId="2FB1FA35" w:rsidR="00FB127C" w:rsidRPr="000D0E94" w:rsidRDefault="00FB127C" w:rsidP="006779D5">
      <w:pPr>
        <w:pStyle w:val="ListParagraph"/>
        <w:numPr>
          <w:ilvl w:val="0"/>
          <w:numId w:val="21"/>
        </w:numPr>
        <w:spacing w:before="0"/>
        <w:ind w:left="714" w:hanging="357"/>
      </w:pPr>
      <w:r w:rsidRPr="000D0E94">
        <w:t>currently use factor IX prophylaxis therapy, or</w:t>
      </w:r>
    </w:p>
    <w:p w14:paraId="7668B171" w14:textId="3E473469" w:rsidR="00411646" w:rsidRPr="000D0E94" w:rsidRDefault="00FB127C" w:rsidP="00D5731A">
      <w:pPr>
        <w:pStyle w:val="ListParagraph"/>
        <w:numPr>
          <w:ilvl w:val="0"/>
          <w:numId w:val="21"/>
        </w:numPr>
        <w:spacing w:after="0"/>
        <w:ind w:left="720" w:hanging="357"/>
      </w:pPr>
      <w:r w:rsidRPr="000D0E94">
        <w:t>have current or historical life-threatening haemorrhage, or repeated, serious spontaneous bleeding episodes.</w:t>
      </w:r>
    </w:p>
    <w:p w14:paraId="15845406" w14:textId="26848026" w:rsidR="00DB10C2" w:rsidRPr="000D0E94" w:rsidRDefault="00A6671A" w:rsidP="00A6671A">
      <w:pPr>
        <w:spacing w:before="0"/>
        <w:ind w:left="363"/>
      </w:pPr>
      <w:r w:rsidRPr="000D0E94">
        <w:t xml:space="preserve">This </w:t>
      </w:r>
      <w:r w:rsidR="00DB10C2" w:rsidRPr="000D0E94">
        <w:t>decision to approve th</w:t>
      </w:r>
      <w:r w:rsidR="00941880" w:rsidRPr="000D0E94">
        <w:t>is</w:t>
      </w:r>
      <w:r w:rsidR="00DB10C2" w:rsidRPr="000D0E94">
        <w:t xml:space="preserve"> indication </w:t>
      </w:r>
      <w:r w:rsidR="002272DB" w:rsidRPr="000D0E94">
        <w:t>has been made</w:t>
      </w:r>
      <w:r w:rsidR="007C762D" w:rsidRPr="000D0E94">
        <w:t xml:space="preserve"> </w:t>
      </w:r>
      <w:proofErr w:type="gramStart"/>
      <w:r w:rsidR="007C762D" w:rsidRPr="000D0E94">
        <w:t>on the basis of</w:t>
      </w:r>
      <w:proofErr w:type="gramEnd"/>
      <w:r w:rsidR="00DB10C2" w:rsidRPr="000D0E94">
        <w:t xml:space="preserve"> short-term efficacy and safety data from the clinical trial program. Continued approval of th</w:t>
      </w:r>
      <w:r w:rsidR="00DD0558" w:rsidRPr="000D0E94">
        <w:t>is</w:t>
      </w:r>
      <w:r w:rsidR="00DB10C2" w:rsidRPr="000D0E94">
        <w:t xml:space="preserve"> indication </w:t>
      </w:r>
      <w:r w:rsidR="00C016BE" w:rsidRPr="000D0E94">
        <w:t>depends</w:t>
      </w:r>
      <w:r w:rsidR="00DB10C2" w:rsidRPr="000D0E94">
        <w:t xml:space="preserve"> on confirmation of longer-term benefit from ongoing clinical trials.</w:t>
      </w:r>
    </w:p>
    <w:p w14:paraId="16381B9B" w14:textId="299A3B47" w:rsidR="00B81E12" w:rsidRPr="00FB5A4B" w:rsidRDefault="00B81E12" w:rsidP="00FB5A4B">
      <w:pPr>
        <w:spacing w:before="0"/>
        <w:rPr>
          <w:i/>
          <w:iCs/>
        </w:rPr>
      </w:pPr>
      <w:r>
        <w:t xml:space="preserve">The current TGA-approved provisional indication does not specify severity of </w:t>
      </w:r>
      <w:proofErr w:type="spellStart"/>
      <w:r>
        <w:t>cHMB</w:t>
      </w:r>
      <w:proofErr w:type="spellEnd"/>
      <w:r>
        <w:t xml:space="preserve">. As such, patients with moderate </w:t>
      </w:r>
      <w:proofErr w:type="spellStart"/>
      <w:r>
        <w:t>cHMB</w:t>
      </w:r>
      <w:proofErr w:type="spellEnd"/>
      <w:r>
        <w:t xml:space="preserve"> (for example) could potentially receive </w:t>
      </w:r>
      <w:r w:rsidR="000D678F">
        <w:t>Hemgenix</w:t>
      </w:r>
      <w:r>
        <w:t xml:space="preserve"> per the TGA provisionally registered indication.</w:t>
      </w:r>
    </w:p>
    <w:p w14:paraId="7FD0E306" w14:textId="0A7DC1E6" w:rsidR="00152709" w:rsidRPr="00E40A38" w:rsidRDefault="00152709" w:rsidP="00152709">
      <w:r w:rsidRPr="00E40A38">
        <w:t xml:space="preserve">The Australian Haemophilia Centre Directors’ Organisation (AHCDO) has developed the Gene Therapy Roadmap </w:t>
      </w:r>
      <w:r w:rsidR="00555971" w:rsidRPr="00E40A38">
        <w:t xml:space="preserve">(2022) </w:t>
      </w:r>
      <w:r w:rsidRPr="00E40A38">
        <w:t>to provide a Clinical Implementation Plan that sets out AHCDO’s position on the preferred approach to implementation of gene therapy for haemophilia in Australia.</w:t>
      </w:r>
    </w:p>
    <w:p w14:paraId="0BA24A0E" w14:textId="20885384" w:rsidR="00152709" w:rsidRPr="00D56B1F" w:rsidRDefault="00152709" w:rsidP="00152709">
      <w:r w:rsidRPr="00E40A38">
        <w:t xml:space="preserve">Haemophilia Treatment Centres </w:t>
      </w:r>
      <w:r w:rsidR="00142629" w:rsidRPr="00E40A38">
        <w:t xml:space="preserve">(HTCs) </w:t>
      </w:r>
      <w:r w:rsidRPr="00E40A38">
        <w:t xml:space="preserve">in Australia form part of the public hospital system, thus coordination with </w:t>
      </w:r>
      <w:r w:rsidR="000600FF" w:rsidRPr="00E40A38">
        <w:t>s</w:t>
      </w:r>
      <w:r w:rsidRPr="00E40A38">
        <w:t xml:space="preserve">tate and </w:t>
      </w:r>
      <w:r w:rsidR="000600FF" w:rsidRPr="00E40A38">
        <w:t>t</w:t>
      </w:r>
      <w:r w:rsidRPr="00E40A38">
        <w:t xml:space="preserve">erritory agencies was considered an essential pre-requisite to </w:t>
      </w:r>
      <w:r w:rsidRPr="00D56B1F">
        <w:t>implementation of funding advice for this treatment.</w:t>
      </w:r>
    </w:p>
    <w:p w14:paraId="6BFFABB6" w14:textId="7B4623C1" w:rsidR="00152709" w:rsidRPr="00E40A38" w:rsidRDefault="00152709" w:rsidP="00152709">
      <w:pPr>
        <w:rPr>
          <w:iCs/>
        </w:rPr>
      </w:pPr>
      <w:r w:rsidRPr="00D56B1F">
        <w:t xml:space="preserve">The applicant </w:t>
      </w:r>
      <w:r w:rsidR="008E1EFD" w:rsidRPr="00D56B1F">
        <w:t>did</w:t>
      </w:r>
      <w:r w:rsidRPr="00D56B1F">
        <w:t xml:space="preserve"> not seek </w:t>
      </w:r>
      <w:r w:rsidR="00BF0B54" w:rsidRPr="00D56B1F">
        <w:t xml:space="preserve">public </w:t>
      </w:r>
      <w:r w:rsidRPr="00D56B1F">
        <w:t xml:space="preserve">funding for the anti-AAV5 assay. </w:t>
      </w:r>
      <w:r w:rsidRPr="00D56B1F">
        <w:rPr>
          <w:rFonts w:eastAsia="Candara" w:cstheme="minorHAnsi"/>
        </w:rPr>
        <w:t xml:space="preserve">The </w:t>
      </w:r>
      <w:r w:rsidR="007E1093" w:rsidRPr="00D56B1F">
        <w:rPr>
          <w:rFonts w:eastAsia="Candara" w:cstheme="minorHAnsi"/>
        </w:rPr>
        <w:t>applicant advised that the</w:t>
      </w:r>
      <w:r w:rsidRPr="00D56B1F">
        <w:rPr>
          <w:rFonts w:eastAsia="Candara" w:cstheme="minorHAnsi"/>
        </w:rPr>
        <w:t xml:space="preserve"> anti-AAV5 </w:t>
      </w:r>
      <w:proofErr w:type="spellStart"/>
      <w:r w:rsidRPr="00D56B1F">
        <w:rPr>
          <w:rFonts w:eastAsia="Candara" w:cstheme="minorHAnsi"/>
        </w:rPr>
        <w:t>NAb</w:t>
      </w:r>
      <w:proofErr w:type="spellEnd"/>
      <w:r w:rsidRPr="00D56B1F">
        <w:rPr>
          <w:rFonts w:eastAsia="Candara" w:cstheme="minorHAnsi"/>
        </w:rPr>
        <w:t xml:space="preserve"> test will be run </w:t>
      </w:r>
      <w:r w:rsidR="00EA135C" w:rsidRPr="00D56B1F">
        <w:rPr>
          <w:rFonts w:eastAsia="Candara" w:cstheme="minorHAnsi"/>
          <w:b/>
          <w:bCs/>
        </w:rPr>
        <w:t>redacted</w:t>
      </w:r>
      <w:r w:rsidRPr="00D56B1F">
        <w:rPr>
          <w:rFonts w:eastAsia="Candara" w:cstheme="minorHAnsi"/>
        </w:rPr>
        <w:t xml:space="preserve">. The test will not be TGA registered or </w:t>
      </w:r>
      <w:r w:rsidR="00382B04" w:rsidRPr="00D56B1F">
        <w:rPr>
          <w:rFonts w:eastAsia="Candara" w:cstheme="minorHAnsi"/>
        </w:rPr>
        <w:t>listed on the Medicare Benefits Schedule (</w:t>
      </w:r>
      <w:r w:rsidRPr="00D56B1F">
        <w:rPr>
          <w:rFonts w:eastAsia="Candara" w:cstheme="minorHAnsi"/>
        </w:rPr>
        <w:t>MBS</w:t>
      </w:r>
      <w:r w:rsidR="00382B04" w:rsidRPr="00D56B1F">
        <w:rPr>
          <w:rFonts w:eastAsia="Candara" w:cstheme="minorHAnsi"/>
        </w:rPr>
        <w:t>)</w:t>
      </w:r>
      <w:r w:rsidRPr="00D56B1F">
        <w:rPr>
          <w:rFonts w:eastAsia="Candara" w:cstheme="minorHAnsi"/>
        </w:rPr>
        <w:t xml:space="preserve">, and the cost of the test will be covered by </w:t>
      </w:r>
      <w:r w:rsidRPr="00D56B1F">
        <w:rPr>
          <w:iCs/>
        </w:rPr>
        <w:t>CSL Behring (Australia) Pty Ltd.</w:t>
      </w:r>
      <w:r w:rsidRPr="00E40A38">
        <w:rPr>
          <w:iCs/>
        </w:rPr>
        <w:t xml:space="preserve"> </w:t>
      </w:r>
    </w:p>
    <w:p w14:paraId="44C3B242" w14:textId="6C438BE8" w:rsidR="00772829" w:rsidRPr="00E40A38" w:rsidRDefault="00255EA3" w:rsidP="002A18BE">
      <w:pPr>
        <w:pStyle w:val="Heading2"/>
        <w:numPr>
          <w:ilvl w:val="0"/>
          <w:numId w:val="0"/>
        </w:numPr>
      </w:pPr>
      <w:r>
        <w:t>6</w:t>
      </w:r>
      <w:r w:rsidR="00C36633" w:rsidRPr="00E40A38">
        <w:t>.</w:t>
      </w:r>
      <w:r w:rsidR="00C36633" w:rsidRPr="00E40A38">
        <w:tab/>
      </w:r>
      <w:r w:rsidR="00772829" w:rsidRPr="00E40A38">
        <w:t>Proposal for public funding</w:t>
      </w:r>
      <w:bookmarkEnd w:id="6"/>
    </w:p>
    <w:p w14:paraId="27B411D3" w14:textId="257FD979" w:rsidR="00253DBF" w:rsidRPr="00E40A38" w:rsidRDefault="1FC54B15" w:rsidP="00253DBF">
      <w:bookmarkStart w:id="7" w:name="_Ref69481033"/>
      <w:r>
        <w:t>Under the national blood arrangements, b</w:t>
      </w:r>
      <w:r w:rsidR="000B75F7" w:rsidRPr="00E40A38">
        <w:t>lood and blood</w:t>
      </w:r>
      <w:r w:rsidR="009D5B9F">
        <w:t>-</w:t>
      </w:r>
      <w:r w:rsidR="000B75F7" w:rsidRPr="00E40A38">
        <w:t>related products and services are jointly funded by the Australian Government and state and territory governments, in accordance with the National Blood Agreement (Agreement)</w:t>
      </w:r>
      <w:r w:rsidR="003C3A66" w:rsidRPr="00E40A38">
        <w:t>, which is administered by the National Blood Authority (NBA)</w:t>
      </w:r>
      <w:r w:rsidR="000B75F7" w:rsidRPr="00E40A38">
        <w:t xml:space="preserve">. </w:t>
      </w:r>
      <w:r w:rsidR="009D344C" w:rsidRPr="00E40A38">
        <w:t xml:space="preserve">Although </w:t>
      </w:r>
      <w:r w:rsidR="000D0E94">
        <w:t>Hemgenix</w:t>
      </w:r>
      <w:r w:rsidR="00253DBF" w:rsidRPr="00E40A38">
        <w:t xml:space="preserve"> does not consist of human blood or components of human blood, nor is </w:t>
      </w:r>
      <w:r w:rsidR="00815864" w:rsidRPr="00E40A38">
        <w:t xml:space="preserve">it </w:t>
      </w:r>
      <w:r w:rsidR="00253DBF" w:rsidRPr="00E40A38">
        <w:t xml:space="preserve">derived from human blood, it </w:t>
      </w:r>
      <w:r w:rsidR="001A3F5E">
        <w:t>could</w:t>
      </w:r>
      <w:r w:rsidR="001A3F5E" w:rsidRPr="00E40A38">
        <w:t xml:space="preserve"> </w:t>
      </w:r>
      <w:r w:rsidR="00253DBF" w:rsidRPr="00E40A38">
        <w:t xml:space="preserve">be regarded as a blood-related product </w:t>
      </w:r>
      <w:r w:rsidR="000B75F7" w:rsidRPr="00E40A38">
        <w:t>as defined by the Agreement</w:t>
      </w:r>
      <w:r w:rsidR="00FA0C97" w:rsidRPr="00E40A38">
        <w:t xml:space="preserve">, as it is proposed as an alternative therapy to the use of blood products currently funded under the </w:t>
      </w:r>
      <w:r w:rsidR="3C15551D">
        <w:t>national blood arrangements</w:t>
      </w:r>
      <w:r w:rsidR="00253DBF" w:rsidRPr="00E40A38">
        <w:t xml:space="preserve">. </w:t>
      </w:r>
    </w:p>
    <w:p w14:paraId="421C9934" w14:textId="34C6B14A" w:rsidR="00253DBF" w:rsidRPr="00E40A38" w:rsidRDefault="000D0E94" w:rsidP="00253DBF">
      <w:r>
        <w:rPr>
          <w:iCs/>
        </w:rPr>
        <w:t>Hemgenix</w:t>
      </w:r>
      <w:r w:rsidR="00253DBF" w:rsidRPr="00E40A38">
        <w:t xml:space="preserve"> is </w:t>
      </w:r>
      <w:r w:rsidR="001C041F" w:rsidRPr="00E40A38">
        <w:t xml:space="preserve">infused as </w:t>
      </w:r>
      <w:r w:rsidR="00253DBF" w:rsidRPr="00E40A38">
        <w:t>a single dose of 2</w:t>
      </w:r>
      <w:r w:rsidR="00DD7960" w:rsidRPr="00E40A38">
        <w:t> </w:t>
      </w:r>
      <w:r w:rsidR="00253DBF" w:rsidRPr="00E40A38">
        <w:rPr>
          <w:rFonts w:cstheme="minorHAnsi"/>
        </w:rPr>
        <w:t>×</w:t>
      </w:r>
      <w:r w:rsidR="00DD7960" w:rsidRPr="00E40A38">
        <w:t> </w:t>
      </w:r>
      <w:r w:rsidR="00253DBF" w:rsidRPr="00E40A38">
        <w:t>10</w:t>
      </w:r>
      <w:r w:rsidR="00253DBF" w:rsidRPr="00E40A38">
        <w:rPr>
          <w:vertAlign w:val="superscript"/>
        </w:rPr>
        <w:t>13</w:t>
      </w:r>
      <w:r w:rsidR="00253DBF" w:rsidRPr="00E40A38">
        <w:t xml:space="preserve"> genome copies per kilogram of body weight. The total number of vials in each finished pack is prepared for the dosing requirement for each individual patient based on body weight. The proposed price per </w:t>
      </w:r>
      <w:r>
        <w:rPr>
          <w:iCs/>
        </w:rPr>
        <w:t>Hemgenix</w:t>
      </w:r>
      <w:r w:rsidR="00253DBF" w:rsidRPr="00E40A38">
        <w:t xml:space="preserve"> infusion is </w:t>
      </w:r>
      <w:r w:rsidR="00253DBF" w:rsidRPr="00B31BCB">
        <w:t>$</w:t>
      </w:r>
      <w:r w:rsidR="005B3991" w:rsidRPr="005B3991">
        <w:rPr>
          <w:b/>
          <w:bCs/>
        </w:rPr>
        <w:t>redacted</w:t>
      </w:r>
      <w:r w:rsidR="00253DBF" w:rsidRPr="00E40A38">
        <w:t xml:space="preserve">. </w:t>
      </w:r>
      <w:r w:rsidR="00B804B4" w:rsidRPr="00E40A38">
        <w:t xml:space="preserve">No rationale </w:t>
      </w:r>
      <w:r w:rsidR="004F6A14" w:rsidRPr="00E40A38">
        <w:t xml:space="preserve">was provided </w:t>
      </w:r>
      <w:r w:rsidR="00BA1283" w:rsidRPr="00E40A38">
        <w:t xml:space="preserve">by the </w:t>
      </w:r>
      <w:r w:rsidR="00250AFC" w:rsidRPr="00E40A38">
        <w:t>applicant</w:t>
      </w:r>
      <w:r w:rsidR="00BA1283" w:rsidRPr="00E40A38">
        <w:t xml:space="preserve"> </w:t>
      </w:r>
      <w:r w:rsidR="004F6A14" w:rsidRPr="00E40A38">
        <w:t>for this</w:t>
      </w:r>
      <w:r w:rsidR="002F6A17" w:rsidRPr="00E40A38">
        <w:t xml:space="preserve"> </w:t>
      </w:r>
      <w:r w:rsidR="00E33D73" w:rsidRPr="00E40A38">
        <w:t>price</w:t>
      </w:r>
      <w:r w:rsidR="004F6A14" w:rsidRPr="00E40A38">
        <w:t>.</w:t>
      </w:r>
    </w:p>
    <w:p w14:paraId="5E2E39A7" w14:textId="48E6A9EC" w:rsidR="00253DBF" w:rsidRPr="00E40A38" w:rsidRDefault="00253DBF" w:rsidP="00253DBF">
      <w:r w:rsidRPr="00E40A38">
        <w:t xml:space="preserve">The therapy will be delivered in existing HTCs to patients already familiar with and known to the NBA and who will be monitored through the Australian </w:t>
      </w:r>
      <w:r w:rsidR="00B706F9" w:rsidRPr="00E40A38">
        <w:t>B</w:t>
      </w:r>
      <w:r w:rsidRPr="00E40A38">
        <w:t xml:space="preserve">leeding </w:t>
      </w:r>
      <w:r w:rsidR="00B706F9" w:rsidRPr="00E40A38">
        <w:t>D</w:t>
      </w:r>
      <w:r w:rsidRPr="00E40A38">
        <w:t xml:space="preserve">isorders </w:t>
      </w:r>
      <w:r w:rsidR="00B706F9" w:rsidRPr="00E40A38">
        <w:t>R</w:t>
      </w:r>
      <w:r w:rsidRPr="00E40A38">
        <w:t xml:space="preserve">egistry (ABDR). AHCDO’s position is that gene therapy should be implemented </w:t>
      </w:r>
      <w:r w:rsidR="001142E1" w:rsidRPr="00E40A38">
        <w:t xml:space="preserve">via a </w:t>
      </w:r>
      <w:r w:rsidRPr="00E40A38">
        <w:t>‘Hub and Spoke’ model in line with emerging international best practice</w:t>
      </w:r>
      <w:r w:rsidR="00A83AF8" w:rsidRPr="00E40A38">
        <w:t>;</w:t>
      </w:r>
      <w:r w:rsidRPr="00E40A38" w:rsidDel="00A83AF8">
        <w:t xml:space="preserve"> </w:t>
      </w:r>
      <w:r w:rsidR="00A83AF8" w:rsidRPr="00E40A38">
        <w:t xml:space="preserve">five </w:t>
      </w:r>
      <w:r w:rsidRPr="00E40A38">
        <w:t xml:space="preserve">of the existing HTCs will be designated as </w:t>
      </w:r>
      <w:r w:rsidR="00F50CD8" w:rsidRPr="00E40A38">
        <w:t>h</w:t>
      </w:r>
      <w:r w:rsidRPr="00E40A38">
        <w:t>ubs and prescribe and administer haemophilia gene therapies</w:t>
      </w:r>
      <w:r w:rsidR="0021785A" w:rsidRPr="00E40A38">
        <w:t xml:space="preserve"> nationally</w:t>
      </w:r>
      <w:r w:rsidRPr="00E40A38">
        <w:t xml:space="preserve">. </w:t>
      </w:r>
    </w:p>
    <w:p w14:paraId="2E66ACBC" w14:textId="021840BB" w:rsidR="00253DBF" w:rsidRPr="00E40A38" w:rsidRDefault="00253DBF" w:rsidP="00253DBF">
      <w:r w:rsidRPr="00E40A38">
        <w:t xml:space="preserve">The TGA provisional registration states that </w:t>
      </w:r>
      <w:r w:rsidR="000D0E94">
        <w:rPr>
          <w:iCs/>
        </w:rPr>
        <w:t>Hemgenix</w:t>
      </w:r>
      <w:r w:rsidRPr="00E40A38">
        <w:t xml:space="preserve"> must be prescribed and administered in a clinical treatment centre under the supervision of a haematologist or physician with experience in the diagnosis and management of </w:t>
      </w:r>
      <w:r w:rsidR="00583720" w:rsidRPr="00E40A38">
        <w:t>HM</w:t>
      </w:r>
      <w:r w:rsidRPr="00E40A38">
        <w:t>B.</w:t>
      </w:r>
    </w:p>
    <w:p w14:paraId="33FD85CF" w14:textId="1994DC5B" w:rsidR="00253DBF" w:rsidRPr="00E40A38" w:rsidRDefault="00253DBF" w:rsidP="00253DBF">
      <w:r w:rsidRPr="00E40A38">
        <w:rPr>
          <w:iCs/>
        </w:rPr>
        <w:t xml:space="preserve">Anti-AAV5 </w:t>
      </w:r>
      <w:proofErr w:type="spellStart"/>
      <w:r w:rsidRPr="00E40A38">
        <w:rPr>
          <w:iCs/>
        </w:rPr>
        <w:t>NAb</w:t>
      </w:r>
      <w:proofErr w:type="spellEnd"/>
      <w:r w:rsidRPr="00E40A38">
        <w:rPr>
          <w:iCs/>
        </w:rPr>
        <w:t xml:space="preserve"> testing would be ordered, and interpreted, by the treating specialist in the HTC (a public hospital outpatient clinic). The expected turnaround time is 1–3 weeks. The </w:t>
      </w:r>
      <w:r w:rsidR="00F83105" w:rsidRPr="00E40A38">
        <w:rPr>
          <w:iCs/>
        </w:rPr>
        <w:t xml:space="preserve">commentary noted that the </w:t>
      </w:r>
      <w:r w:rsidR="00E6050E" w:rsidRPr="00E40A38">
        <w:rPr>
          <w:iCs/>
        </w:rPr>
        <w:t xml:space="preserve">Australian Government </w:t>
      </w:r>
      <w:r w:rsidRPr="00E40A38">
        <w:rPr>
          <w:iCs/>
        </w:rPr>
        <w:t xml:space="preserve">will not have oversight of the adequacy of the testing facility, nor will the </w:t>
      </w:r>
      <w:r w:rsidR="00261886" w:rsidRPr="00E40A38">
        <w:rPr>
          <w:iCs/>
        </w:rPr>
        <w:t>d</w:t>
      </w:r>
      <w:r w:rsidRPr="00E40A38">
        <w:rPr>
          <w:iCs/>
        </w:rPr>
        <w:t xml:space="preserve">epartment be able to require the laboratory take part in any quality assurance or accreditation programs as would usually be the case for a new pathology service. Test data from Australian patients should nonetheless be made available by CSL Behring to the </w:t>
      </w:r>
      <w:r w:rsidR="00261886" w:rsidRPr="00E40A38">
        <w:rPr>
          <w:iCs/>
        </w:rPr>
        <w:t>d</w:t>
      </w:r>
      <w:r w:rsidRPr="00E40A38">
        <w:rPr>
          <w:iCs/>
        </w:rPr>
        <w:t xml:space="preserve">epartment to enable independent assessment of testing. </w:t>
      </w:r>
    </w:p>
    <w:p w14:paraId="34E0B08F" w14:textId="6A0BF441" w:rsidR="00772829" w:rsidRPr="00E40A38" w:rsidRDefault="00255EA3" w:rsidP="002A18BE">
      <w:pPr>
        <w:pStyle w:val="Heading2"/>
        <w:numPr>
          <w:ilvl w:val="0"/>
          <w:numId w:val="0"/>
        </w:numPr>
      </w:pPr>
      <w:bookmarkStart w:id="8" w:name="_Toc69491419"/>
      <w:bookmarkEnd w:id="7"/>
      <w:r>
        <w:t>7</w:t>
      </w:r>
      <w:r w:rsidR="00C36633" w:rsidRPr="00E40A38">
        <w:t>.</w:t>
      </w:r>
      <w:r w:rsidR="00C36633" w:rsidRPr="00E40A38">
        <w:tab/>
      </w:r>
      <w:r w:rsidR="00772829" w:rsidRPr="00E40A38">
        <w:t>Population</w:t>
      </w:r>
      <w:bookmarkEnd w:id="8"/>
      <w:r w:rsidR="00772829" w:rsidRPr="00E40A38">
        <w:t xml:space="preserve"> </w:t>
      </w:r>
    </w:p>
    <w:p w14:paraId="3226A9AB" w14:textId="4A0AAF12" w:rsidR="00A068C2" w:rsidRPr="00E40A38" w:rsidRDefault="00A068C2" w:rsidP="00A068C2">
      <w:bookmarkStart w:id="9" w:name="_Toc69491420"/>
      <w:r w:rsidRPr="00E40A38">
        <w:t xml:space="preserve">The ADAR included a single PICO set for treatment with </w:t>
      </w:r>
      <w:r w:rsidR="005A7EB4">
        <w:rPr>
          <w:iCs/>
        </w:rPr>
        <w:t>He</w:t>
      </w:r>
      <w:r w:rsidR="00143D29">
        <w:rPr>
          <w:iCs/>
        </w:rPr>
        <w:t>mgenix</w:t>
      </w:r>
      <w:r w:rsidRPr="00E40A38">
        <w:rPr>
          <w:iCs/>
        </w:rPr>
        <w:t>. The proposed population</w:t>
      </w:r>
      <w:r w:rsidR="004C3B4F">
        <w:rPr>
          <w:iCs/>
        </w:rPr>
        <w:t>, as per the ratified PICO Confirmation,</w:t>
      </w:r>
      <w:r w:rsidRPr="00E40A38">
        <w:rPr>
          <w:iCs/>
        </w:rPr>
        <w:t xml:space="preserve"> was a</w:t>
      </w:r>
      <w:r w:rsidRPr="00E40A38">
        <w:t>dult patients (≥</w:t>
      </w:r>
      <w:r w:rsidR="00105C9E" w:rsidRPr="00E40A38">
        <w:t> </w:t>
      </w:r>
      <w:r w:rsidRPr="00E40A38">
        <w:t xml:space="preserve">18 years) with severe </w:t>
      </w:r>
      <w:proofErr w:type="spellStart"/>
      <w:r w:rsidRPr="00E40A38">
        <w:t>cHMB</w:t>
      </w:r>
      <w:proofErr w:type="spellEnd"/>
      <w:r w:rsidRPr="00E40A38">
        <w:t xml:space="preserve"> or moderately severe </w:t>
      </w:r>
      <w:proofErr w:type="spellStart"/>
      <w:r w:rsidRPr="00E40A38">
        <w:t>cHMB</w:t>
      </w:r>
      <w:proofErr w:type="spellEnd"/>
      <w:r w:rsidRPr="00E40A38">
        <w:t xml:space="preserve"> defined as: </w:t>
      </w:r>
    </w:p>
    <w:p w14:paraId="1047CD21" w14:textId="291B208F" w:rsidR="00A068C2" w:rsidRPr="00E40A38" w:rsidRDefault="00A068C2" w:rsidP="006779D5">
      <w:pPr>
        <w:pStyle w:val="ListParagraph"/>
        <w:numPr>
          <w:ilvl w:val="0"/>
          <w:numId w:val="10"/>
        </w:numPr>
      </w:pPr>
      <w:r w:rsidRPr="00E40A38">
        <w:t xml:space="preserve">severe </w:t>
      </w:r>
      <w:proofErr w:type="spellStart"/>
      <w:r w:rsidRPr="00E40A38">
        <w:t>cHMB</w:t>
      </w:r>
      <w:proofErr w:type="spellEnd"/>
      <w:r w:rsidRPr="00E40A38">
        <w:t xml:space="preserve">: </w:t>
      </w:r>
      <w:r w:rsidR="00394C3E">
        <w:t>f</w:t>
      </w:r>
      <w:r w:rsidRPr="00E40A38">
        <w:t>actor IX (FIX) activity &lt;</w:t>
      </w:r>
      <w:r w:rsidR="00CE108A" w:rsidRPr="00E40A38">
        <w:t> </w:t>
      </w:r>
      <w:r w:rsidRPr="00E40A38">
        <w:t>1%; FIX concentration &lt;</w:t>
      </w:r>
      <w:r w:rsidR="00CE108A" w:rsidRPr="00E40A38">
        <w:t> </w:t>
      </w:r>
      <w:r w:rsidRPr="00E40A38">
        <w:t>0.01 IU/mL</w:t>
      </w:r>
    </w:p>
    <w:p w14:paraId="2D9533D2" w14:textId="3E4ABDC6" w:rsidR="00A068C2" w:rsidRPr="00E40A38" w:rsidRDefault="00A068C2" w:rsidP="006779D5">
      <w:pPr>
        <w:pStyle w:val="ListParagraph"/>
        <w:numPr>
          <w:ilvl w:val="0"/>
          <w:numId w:val="10"/>
        </w:numPr>
      </w:pPr>
      <w:r w:rsidRPr="00E40A38">
        <w:t xml:space="preserve">subgroup of patients with moderate </w:t>
      </w:r>
      <w:proofErr w:type="spellStart"/>
      <w:r w:rsidRPr="00E40A38">
        <w:t>cHMB</w:t>
      </w:r>
      <w:proofErr w:type="spellEnd"/>
      <w:r w:rsidRPr="00E40A38">
        <w:t>, defined as moderately severe disease: FIX activity 1–≤</w:t>
      </w:r>
      <w:r w:rsidR="00CE108A" w:rsidRPr="00E40A38">
        <w:t> </w:t>
      </w:r>
      <w:r w:rsidRPr="00E40A38">
        <w:t>2%; FIX concentration &lt;</w:t>
      </w:r>
      <w:r w:rsidR="00CE108A" w:rsidRPr="00E40A38">
        <w:t> </w:t>
      </w:r>
      <w:r w:rsidRPr="00E40A38">
        <w:t>0.02 IU/</w:t>
      </w:r>
      <w:proofErr w:type="gramStart"/>
      <w:r w:rsidRPr="00E40A38">
        <w:t>mL</w:t>
      </w:r>
      <w:proofErr w:type="gramEnd"/>
    </w:p>
    <w:p w14:paraId="4FF1C80B" w14:textId="79987FC5" w:rsidR="00A068C2" w:rsidRPr="00E40A38" w:rsidRDefault="00A068C2" w:rsidP="006779D5">
      <w:pPr>
        <w:pStyle w:val="ListParagraph"/>
        <w:numPr>
          <w:ilvl w:val="0"/>
          <w:numId w:val="10"/>
        </w:numPr>
      </w:pPr>
      <w:r w:rsidRPr="00E40A38">
        <w:t xml:space="preserve">currently receiving stable </w:t>
      </w:r>
      <w:r w:rsidR="00767AA8">
        <w:t xml:space="preserve">FIX </w:t>
      </w:r>
      <w:r w:rsidRPr="00E40A38">
        <w:t>prophylactic therapy</w:t>
      </w:r>
    </w:p>
    <w:p w14:paraId="09943626" w14:textId="77777777" w:rsidR="00A068C2" w:rsidRPr="00E40A38" w:rsidRDefault="00A068C2" w:rsidP="00A068C2">
      <w:pPr>
        <w:ind w:left="360"/>
      </w:pPr>
      <w:r w:rsidRPr="00E40A38">
        <w:t>who also meet the following criteria:</w:t>
      </w:r>
    </w:p>
    <w:p w14:paraId="15EE15B7" w14:textId="7E1482D3" w:rsidR="00A068C2" w:rsidRPr="00E40A38" w:rsidRDefault="00A068C2" w:rsidP="006779D5">
      <w:pPr>
        <w:pStyle w:val="ListParagraph"/>
        <w:numPr>
          <w:ilvl w:val="0"/>
          <w:numId w:val="10"/>
        </w:numPr>
      </w:pPr>
      <w:r w:rsidRPr="00E40A38">
        <w:t xml:space="preserve">anti-AAV5 </w:t>
      </w:r>
      <w:proofErr w:type="spellStart"/>
      <w:r w:rsidR="00220C31" w:rsidRPr="00E40A38">
        <w:t>NAb</w:t>
      </w:r>
      <w:proofErr w:type="spellEnd"/>
      <w:r w:rsidRPr="00E40A38">
        <w:t xml:space="preserve"> titre &lt;</w:t>
      </w:r>
      <w:r w:rsidR="00CE108A" w:rsidRPr="00E40A38">
        <w:t> </w:t>
      </w:r>
      <w:r w:rsidRPr="00E40A38">
        <w:t>1:900 using 9-point assay</w:t>
      </w:r>
      <w:r w:rsidR="00E461E0" w:rsidRPr="00E40A38">
        <w:t xml:space="preserve"> (&lt;</w:t>
      </w:r>
      <w:r w:rsidR="00CE108A" w:rsidRPr="00E40A38">
        <w:t> </w:t>
      </w:r>
      <w:r w:rsidR="00E461E0" w:rsidRPr="00E40A38">
        <w:t>1:700 using 7-point assay)</w:t>
      </w:r>
    </w:p>
    <w:p w14:paraId="60C16CF9" w14:textId="2F532F65" w:rsidR="005C71E2" w:rsidRPr="00E40A38" w:rsidRDefault="00A068C2" w:rsidP="006779D5">
      <w:pPr>
        <w:pStyle w:val="ListParagraph"/>
        <w:numPr>
          <w:ilvl w:val="0"/>
          <w:numId w:val="10"/>
        </w:numPr>
      </w:pPr>
      <w:r w:rsidRPr="00E40A38">
        <w:t>no inhibitor formation against expressed FIX protein</w:t>
      </w:r>
      <w:r w:rsidR="009C0FEB" w:rsidRPr="00E40A38">
        <w:t>.</w:t>
      </w:r>
    </w:p>
    <w:p w14:paraId="4A2FBC76" w14:textId="16EB2573" w:rsidR="005C71E2" w:rsidRPr="00E40A38" w:rsidRDefault="00E6697F" w:rsidP="005C71E2">
      <w:r>
        <w:t xml:space="preserve">The </w:t>
      </w:r>
      <w:r w:rsidR="00213FB9">
        <w:t>Australian Product Information</w:t>
      </w:r>
      <w:r w:rsidR="000970AB">
        <w:t xml:space="preserve"> for </w:t>
      </w:r>
      <w:r w:rsidR="00143D29">
        <w:t>H</w:t>
      </w:r>
      <w:r w:rsidR="000970AB">
        <w:t>emgenix</w:t>
      </w:r>
      <w:r w:rsidR="00213FB9">
        <w:t xml:space="preserve">, approved </w:t>
      </w:r>
      <w:r w:rsidR="007D3C20">
        <w:t>as part of the</w:t>
      </w:r>
      <w:r w:rsidR="00E55696">
        <w:t xml:space="preserve"> </w:t>
      </w:r>
      <w:r w:rsidR="00F1392F" w:rsidRPr="00E40A38">
        <w:t xml:space="preserve">TGA </w:t>
      </w:r>
      <w:r w:rsidR="005C71E2" w:rsidRPr="00E40A38">
        <w:t>provisional registration list</w:t>
      </w:r>
      <w:r w:rsidR="00F1392F" w:rsidRPr="00E40A38">
        <w:t xml:space="preserve">s additional </w:t>
      </w:r>
      <w:r w:rsidR="005C71E2" w:rsidRPr="00E40A38">
        <w:t>contraindications:</w:t>
      </w:r>
    </w:p>
    <w:p w14:paraId="245DD947" w14:textId="18D2AA3E" w:rsidR="005C71E2" w:rsidRPr="00E40A38" w:rsidRDefault="00D362FC" w:rsidP="006779D5">
      <w:pPr>
        <w:pStyle w:val="ListParagraph"/>
        <w:numPr>
          <w:ilvl w:val="0"/>
          <w:numId w:val="10"/>
        </w:numPr>
      </w:pPr>
      <w:r w:rsidRPr="00E40A38">
        <w:t>a</w:t>
      </w:r>
      <w:r w:rsidR="005C71E2" w:rsidRPr="00E40A38">
        <w:t>ctive infections, either acute or uncontrolled chronic</w:t>
      </w:r>
    </w:p>
    <w:p w14:paraId="3F654D8A" w14:textId="19112886" w:rsidR="005C71E2" w:rsidRPr="00E40A38" w:rsidRDefault="005C71E2" w:rsidP="006779D5">
      <w:pPr>
        <w:pStyle w:val="ListParagraph"/>
        <w:numPr>
          <w:ilvl w:val="0"/>
          <w:numId w:val="10"/>
        </w:numPr>
      </w:pPr>
      <w:r w:rsidRPr="00E40A38">
        <w:t xml:space="preserve">known advanced hepatic fibrosis, or cirrhosis. </w:t>
      </w:r>
    </w:p>
    <w:p w14:paraId="5D6493FA" w14:textId="5608736F" w:rsidR="005C71E2" w:rsidRPr="00E40A38" w:rsidRDefault="006D5CB8" w:rsidP="005C71E2">
      <w:r w:rsidRPr="00E40A38">
        <w:t xml:space="preserve">The commentary </w:t>
      </w:r>
      <w:r w:rsidR="00265DD9" w:rsidRPr="00E40A38">
        <w:t>noted</w:t>
      </w:r>
      <w:r w:rsidR="005C71E2" w:rsidRPr="00E40A38" w:rsidDel="00343871">
        <w:t xml:space="preserve"> </w:t>
      </w:r>
      <w:r w:rsidR="00343871" w:rsidRPr="00E40A38">
        <w:t xml:space="preserve">that </w:t>
      </w:r>
      <w:r w:rsidR="00EE5401">
        <w:t xml:space="preserve">additional </w:t>
      </w:r>
      <w:r w:rsidR="00067977">
        <w:t xml:space="preserve">contraindications in the TGA </w:t>
      </w:r>
      <w:r w:rsidR="006038CD">
        <w:t>provisional registration</w:t>
      </w:r>
      <w:r w:rsidR="005C71E2" w:rsidRPr="00E40A38">
        <w:t xml:space="preserve"> </w:t>
      </w:r>
      <w:r w:rsidR="00343871" w:rsidRPr="00E40A38">
        <w:t xml:space="preserve">should also be regarded </w:t>
      </w:r>
      <w:r w:rsidR="005C71E2" w:rsidRPr="00E40A38">
        <w:t>as</w:t>
      </w:r>
      <w:r w:rsidR="0097332E" w:rsidRPr="00E40A38">
        <w:t xml:space="preserve"> further</w:t>
      </w:r>
      <w:r w:rsidR="005C71E2" w:rsidRPr="00E40A38">
        <w:t xml:space="preserve"> exclusions for the assessment of </w:t>
      </w:r>
      <w:r w:rsidR="00143D29">
        <w:rPr>
          <w:iCs/>
        </w:rPr>
        <w:t>Hemgenix</w:t>
      </w:r>
      <w:r w:rsidR="005C71E2" w:rsidRPr="00E40A38">
        <w:t>.</w:t>
      </w:r>
      <w:r w:rsidR="004325EF" w:rsidRPr="00E40A38">
        <w:t xml:space="preserve"> The AHCDO Roadmap also considers</w:t>
      </w:r>
      <w:r w:rsidR="00F710E7">
        <w:t xml:space="preserve"> patients with</w:t>
      </w:r>
      <w:r w:rsidR="004325EF" w:rsidRPr="00E40A38">
        <w:t xml:space="preserve"> severe lung disease </w:t>
      </w:r>
      <w:r w:rsidR="00F54B97" w:rsidRPr="00E40A38">
        <w:t xml:space="preserve">likely to </w:t>
      </w:r>
      <w:r w:rsidR="009A5A09" w:rsidRPr="00E40A38">
        <w:t xml:space="preserve">be </w:t>
      </w:r>
      <w:r w:rsidR="00F54B97" w:rsidRPr="00E40A38">
        <w:t>exclude</w:t>
      </w:r>
      <w:r w:rsidR="009A5A09" w:rsidRPr="00E40A38">
        <w:t>d fr</w:t>
      </w:r>
      <w:r w:rsidR="00A057A7" w:rsidRPr="00E40A38">
        <w:t>om</w:t>
      </w:r>
      <w:r w:rsidR="00986740" w:rsidRPr="00E40A38">
        <w:t xml:space="preserve"> the proposed</w:t>
      </w:r>
      <w:r w:rsidR="00F54B97" w:rsidRPr="00E40A38">
        <w:t xml:space="preserve"> treatment.</w:t>
      </w:r>
    </w:p>
    <w:p w14:paraId="20594B96" w14:textId="1D414E2E" w:rsidR="005F40AA" w:rsidRPr="00E40A38" w:rsidRDefault="005F40AA" w:rsidP="007E5853">
      <w:r w:rsidRPr="00E40A38">
        <w:t>The ratified PICO confirmation specified that</w:t>
      </w:r>
      <w:r w:rsidR="00240570" w:rsidRPr="00E40A38">
        <w:t xml:space="preserve"> the patient population for</w:t>
      </w:r>
      <w:r w:rsidRPr="00E40A38">
        <w:t xml:space="preserve"> </w:t>
      </w:r>
      <w:r w:rsidR="00143D29">
        <w:rPr>
          <w:iCs/>
        </w:rPr>
        <w:t>Hemgenix</w:t>
      </w:r>
      <w:r w:rsidRPr="00E40A38">
        <w:t xml:space="preserve"> </w:t>
      </w:r>
      <w:r w:rsidR="00F549E6" w:rsidRPr="00E40A38">
        <w:t>met the criteria of</w:t>
      </w:r>
      <w:r w:rsidRPr="00E40A38">
        <w:t xml:space="preserve"> anti-AAV5 </w:t>
      </w:r>
      <w:proofErr w:type="spellStart"/>
      <w:r w:rsidRPr="00E40A38">
        <w:t>N</w:t>
      </w:r>
      <w:r w:rsidR="008E1502" w:rsidRPr="00E40A38">
        <w:t>A</w:t>
      </w:r>
      <w:r w:rsidRPr="00E40A38">
        <w:t>b</w:t>
      </w:r>
      <w:proofErr w:type="spellEnd"/>
      <w:r w:rsidR="008E1502" w:rsidRPr="00E40A38">
        <w:t xml:space="preserve"> titre</w:t>
      </w:r>
      <w:r w:rsidRPr="00E40A38">
        <w:t xml:space="preserve"> less than 1:700. This </w:t>
      </w:r>
      <w:r w:rsidR="00001A26" w:rsidRPr="00E40A38">
        <w:t>wa</w:t>
      </w:r>
      <w:r w:rsidRPr="00E40A38">
        <w:t>s based on the 7-point assay</w:t>
      </w:r>
      <w:r w:rsidR="00042C51" w:rsidRPr="00E40A38">
        <w:t xml:space="preserve"> (used in the clinical </w:t>
      </w:r>
      <w:r w:rsidR="005061E6">
        <w:t>studie</w:t>
      </w:r>
      <w:r w:rsidR="005061E6" w:rsidRPr="00E40A38">
        <w:t xml:space="preserve">s </w:t>
      </w:r>
      <w:r w:rsidR="00042C51" w:rsidRPr="00E40A38">
        <w:t>and therefore the clinical reference standard)</w:t>
      </w:r>
      <w:r w:rsidR="00EB63C2" w:rsidRPr="00E40A38">
        <w:t>. The ADAR stated that this is</w:t>
      </w:r>
      <w:r w:rsidR="00F11096" w:rsidRPr="00E40A38">
        <w:t xml:space="preserve"> equivalent to</w:t>
      </w:r>
      <w:r w:rsidRPr="00E40A38">
        <w:t xml:space="preserve"> </w:t>
      </w:r>
      <w:r w:rsidR="009D127F" w:rsidRPr="00E40A38">
        <w:t xml:space="preserve">a titre </w:t>
      </w:r>
      <w:r w:rsidRPr="00E40A38">
        <w:t>less than 1:900 based on the 9-point assay</w:t>
      </w:r>
      <w:r w:rsidR="00553C34" w:rsidRPr="00E40A38">
        <w:t>. The 9-point assay</w:t>
      </w:r>
      <w:r w:rsidR="00042C51" w:rsidRPr="00E40A38">
        <w:t xml:space="preserve"> </w:t>
      </w:r>
      <w:r w:rsidR="00F11096" w:rsidRPr="00E40A38">
        <w:t>wa</w:t>
      </w:r>
      <w:r w:rsidR="00042C51" w:rsidRPr="00E40A38">
        <w:t>s the proposed intervention</w:t>
      </w:r>
      <w:r w:rsidR="00E15CC5" w:rsidRPr="00E40A38">
        <w:t xml:space="preserve"> for the co-dependency</w:t>
      </w:r>
      <w:r w:rsidRPr="00E40A38">
        <w:t>.</w:t>
      </w:r>
    </w:p>
    <w:p w14:paraId="66CC7AF7" w14:textId="1E8C183C" w:rsidR="00B91DA3" w:rsidRDefault="00B91DA3" w:rsidP="00B91DA3">
      <w:r>
        <w:t xml:space="preserve">However, the population proposed in the ADAR was adults ≥18 years of age with haemophilia B (congenital </w:t>
      </w:r>
      <w:r w:rsidR="00394C3E">
        <w:t>f</w:t>
      </w:r>
      <w:r>
        <w:t xml:space="preserve">actor IX deficiency) and: </w:t>
      </w:r>
    </w:p>
    <w:p w14:paraId="4D96551C" w14:textId="77777777" w:rsidR="00B91DA3" w:rsidRDefault="00B91DA3" w:rsidP="006779D5">
      <w:pPr>
        <w:pStyle w:val="ListParagraph"/>
        <w:numPr>
          <w:ilvl w:val="0"/>
          <w:numId w:val="17"/>
        </w:numPr>
      </w:pPr>
      <w:r>
        <w:t>FIX activity ≤2% of normal; and</w:t>
      </w:r>
    </w:p>
    <w:p w14:paraId="1B4BE4EC" w14:textId="77777777" w:rsidR="00B91DA3" w:rsidRDefault="00B91DA3" w:rsidP="006779D5">
      <w:pPr>
        <w:pStyle w:val="ListParagraph"/>
        <w:numPr>
          <w:ilvl w:val="0"/>
          <w:numId w:val="17"/>
        </w:numPr>
      </w:pPr>
      <w:r>
        <w:t xml:space="preserve">currently receiving prophylaxis with FIX concentrate for at least 2 months; and </w:t>
      </w:r>
    </w:p>
    <w:p w14:paraId="4999EBBB" w14:textId="77777777" w:rsidR="00B91DA3" w:rsidRDefault="00B91DA3" w:rsidP="006779D5">
      <w:pPr>
        <w:pStyle w:val="ListParagraph"/>
        <w:numPr>
          <w:ilvl w:val="0"/>
          <w:numId w:val="17"/>
        </w:numPr>
      </w:pPr>
      <w:r>
        <w:t>whom do not have inhibitors.</w:t>
      </w:r>
    </w:p>
    <w:p w14:paraId="4FAC5219" w14:textId="1A994B54" w:rsidR="00042C51" w:rsidRPr="00E40A38" w:rsidRDefault="00042C51" w:rsidP="007E5853">
      <w:r w:rsidRPr="00E40A38">
        <w:t xml:space="preserve">The </w:t>
      </w:r>
      <w:r w:rsidR="00F31057">
        <w:t>ADAR</w:t>
      </w:r>
      <w:r w:rsidR="00F31057" w:rsidRPr="00E40A38">
        <w:t xml:space="preserve"> </w:t>
      </w:r>
      <w:r w:rsidR="002D4761" w:rsidRPr="00E40A38">
        <w:t>removed</w:t>
      </w:r>
      <w:r w:rsidR="005B2691" w:rsidRPr="00E40A38">
        <w:t xml:space="preserve"> the </w:t>
      </w:r>
      <w:r w:rsidR="00BC7580" w:rsidRPr="00E40A38">
        <w:t xml:space="preserve">anti-AAV5 </w:t>
      </w:r>
      <w:proofErr w:type="spellStart"/>
      <w:r w:rsidR="00BC7580" w:rsidRPr="00E40A38">
        <w:t>NAb</w:t>
      </w:r>
      <w:proofErr w:type="spellEnd"/>
      <w:r w:rsidR="00BC7580" w:rsidRPr="00E40A38">
        <w:t xml:space="preserve"> titre reference</w:t>
      </w:r>
      <w:r w:rsidR="00D17588" w:rsidRPr="00E40A38">
        <w:t xml:space="preserve"> from the proposed population </w:t>
      </w:r>
      <w:r w:rsidR="00B77AFE" w:rsidRPr="00E40A38">
        <w:t>based on</w:t>
      </w:r>
      <w:r w:rsidR="00D17588" w:rsidRPr="00E40A38">
        <w:t xml:space="preserve"> alignment with the </w:t>
      </w:r>
      <w:r w:rsidR="00CC13D4" w:rsidRPr="00E40A38">
        <w:t xml:space="preserve">TGA indication. </w:t>
      </w:r>
      <w:r w:rsidR="0002566C" w:rsidRPr="00E40A38">
        <w:t xml:space="preserve">Provisional </w:t>
      </w:r>
      <w:r w:rsidR="00E91BC5" w:rsidRPr="00E40A38">
        <w:t xml:space="preserve">registration was obtained from the TGA during the assessment. </w:t>
      </w:r>
      <w:r w:rsidR="0024344B" w:rsidRPr="00E40A38">
        <w:t>A</w:t>
      </w:r>
      <w:r w:rsidR="00E91BC5" w:rsidRPr="00E40A38">
        <w:t xml:space="preserve"> </w:t>
      </w:r>
      <w:r w:rsidR="00654988" w:rsidRPr="00E40A38">
        <w:t xml:space="preserve">cut-off titre </w:t>
      </w:r>
      <w:r w:rsidR="0024344B" w:rsidRPr="00E40A38">
        <w:t xml:space="preserve">for </w:t>
      </w:r>
      <w:r w:rsidR="00654988" w:rsidRPr="00E40A38">
        <w:t xml:space="preserve">anti-AAV </w:t>
      </w:r>
      <w:proofErr w:type="spellStart"/>
      <w:r w:rsidR="00654988" w:rsidRPr="00E40A38">
        <w:t>NAbs</w:t>
      </w:r>
      <w:proofErr w:type="spellEnd"/>
      <w:r w:rsidR="00654988" w:rsidRPr="00E40A38">
        <w:t xml:space="preserve"> </w:t>
      </w:r>
      <w:r w:rsidR="00F11096" w:rsidRPr="00E40A38">
        <w:t>wa</w:t>
      </w:r>
      <w:r w:rsidR="00654988" w:rsidRPr="00E40A38">
        <w:t xml:space="preserve">s not included in the TGA indication but there </w:t>
      </w:r>
      <w:r w:rsidR="00F11096" w:rsidRPr="00E40A38">
        <w:t>wa</w:t>
      </w:r>
      <w:r w:rsidR="00654988" w:rsidRPr="00E40A38">
        <w:t>s a warning regarding use in patients with a titre above 1:900 (9-point assay)</w:t>
      </w:r>
      <w:r w:rsidR="00BF0858" w:rsidRPr="00E40A38">
        <w:t xml:space="preserve"> </w:t>
      </w:r>
      <w:r w:rsidR="0047435F" w:rsidRPr="00E40A38">
        <w:t>and the approval state</w:t>
      </w:r>
      <w:r w:rsidR="00F11096" w:rsidRPr="00E40A38">
        <w:t>d</w:t>
      </w:r>
      <w:r w:rsidR="0047435F" w:rsidRPr="00E40A38">
        <w:t xml:space="preserve"> that </w:t>
      </w:r>
      <w:r w:rsidR="003A53C5" w:rsidRPr="00E40A38">
        <w:t xml:space="preserve">baseline testing of pre-existing anti-AAV5 </w:t>
      </w:r>
      <w:proofErr w:type="spellStart"/>
      <w:r w:rsidR="003A4961" w:rsidRPr="00E40A38">
        <w:t>NAb</w:t>
      </w:r>
      <w:proofErr w:type="spellEnd"/>
      <w:r w:rsidR="003A53C5" w:rsidRPr="00E40A38">
        <w:t xml:space="preserve"> titre is required</w:t>
      </w:r>
      <w:r w:rsidR="00280741" w:rsidRPr="00E40A38">
        <w:t xml:space="preserve">. It </w:t>
      </w:r>
      <w:r w:rsidR="00F11096" w:rsidRPr="00E40A38">
        <w:t>wa</w:t>
      </w:r>
      <w:r w:rsidR="00280741" w:rsidRPr="00E40A38">
        <w:t>s also a condition of the provisional registration that the sponsor submit studies to validate the cut-off titre.</w:t>
      </w:r>
      <w:r w:rsidR="00A63970" w:rsidRPr="00E40A38">
        <w:t xml:space="preserve"> The TGA noted the </w:t>
      </w:r>
      <w:r w:rsidR="00F22C29" w:rsidRPr="00E40A38">
        <w:t>effectiveness data in patients with a titre greater than</w:t>
      </w:r>
      <w:r w:rsidR="00AD14D5" w:rsidRPr="00E40A38">
        <w:t xml:space="preserve"> 1:700 (7-point assay)</w:t>
      </w:r>
      <w:r w:rsidR="002710D7" w:rsidRPr="00E40A38">
        <w:t xml:space="preserve"> </w:t>
      </w:r>
      <w:r w:rsidR="00517581" w:rsidRPr="00E40A38">
        <w:t>wa</w:t>
      </w:r>
      <w:r w:rsidR="002710D7" w:rsidRPr="00E40A38">
        <w:t xml:space="preserve">s from a single patient with a titre </w:t>
      </w:r>
      <w:r w:rsidR="001A48FE" w:rsidRPr="00E40A38">
        <w:t>of 1:3212 (using the clinical trial assay)</w:t>
      </w:r>
      <w:r w:rsidR="00D67067" w:rsidRPr="00E40A38">
        <w:t>;</w:t>
      </w:r>
      <w:r w:rsidR="001A48FE" w:rsidRPr="00E40A38">
        <w:t xml:space="preserve"> </w:t>
      </w:r>
      <w:r w:rsidR="00627EFA" w:rsidRPr="00E40A38">
        <w:t>in this patient</w:t>
      </w:r>
      <w:r w:rsidR="003A4961" w:rsidRPr="00E40A38">
        <w:t>,</w:t>
      </w:r>
      <w:r w:rsidR="00627EFA" w:rsidRPr="00E40A38">
        <w:t xml:space="preserve"> </w:t>
      </w:r>
      <w:r w:rsidR="001A48FE" w:rsidRPr="00E40A38">
        <w:t xml:space="preserve">no </w:t>
      </w:r>
      <w:r w:rsidR="00774D09" w:rsidRPr="00E40A38">
        <w:t>F</w:t>
      </w:r>
      <w:r w:rsidR="001A48FE" w:rsidRPr="00E40A38">
        <w:t xml:space="preserve">IX expression was </w:t>
      </w:r>
      <w:r w:rsidR="00D67067" w:rsidRPr="00E40A38">
        <w:t>observed,</w:t>
      </w:r>
      <w:r w:rsidR="001A48FE" w:rsidRPr="00E40A38">
        <w:t xml:space="preserve"> and recommencement of prophylaxis was needed</w:t>
      </w:r>
      <w:r w:rsidR="00D67067" w:rsidRPr="00E40A38">
        <w:t>.</w:t>
      </w:r>
    </w:p>
    <w:p w14:paraId="3DDB77E1" w14:textId="289116E6" w:rsidR="00F11096" w:rsidRPr="00E40A38" w:rsidRDefault="00A63970" w:rsidP="00371BFF">
      <w:r w:rsidRPr="00E40A38">
        <w:t>The commentary noted that the</w:t>
      </w:r>
      <w:r w:rsidR="0024344B" w:rsidRPr="00E40A38">
        <w:t xml:space="preserve"> </w:t>
      </w:r>
      <w:r w:rsidR="00A164A9" w:rsidRPr="00E40A38">
        <w:t xml:space="preserve">removal of an anti-AAV5 </w:t>
      </w:r>
      <w:proofErr w:type="spellStart"/>
      <w:r w:rsidR="00A164A9" w:rsidRPr="00E40A38">
        <w:t>NAb</w:t>
      </w:r>
      <w:proofErr w:type="spellEnd"/>
      <w:r w:rsidR="00A164A9" w:rsidRPr="00E40A38">
        <w:t xml:space="preserve"> </w:t>
      </w:r>
      <w:r w:rsidR="00A46BEE" w:rsidRPr="00E40A38">
        <w:t>titre</w:t>
      </w:r>
      <w:r w:rsidR="00A164A9" w:rsidRPr="00E40A38">
        <w:t xml:space="preserve"> threshold from the population was </w:t>
      </w:r>
      <w:r w:rsidR="00A46BEE" w:rsidRPr="00E40A38">
        <w:t>inconsistent with the ratified PICO confirmation</w:t>
      </w:r>
      <w:r w:rsidR="00DA515E" w:rsidRPr="00E40A38">
        <w:t>.</w:t>
      </w:r>
      <w:r w:rsidR="00827849" w:rsidRPr="00E40A38">
        <w:t xml:space="preserve"> </w:t>
      </w:r>
    </w:p>
    <w:p w14:paraId="23AE6EAF" w14:textId="5D372F35" w:rsidR="006F5C62" w:rsidRDefault="007761E6" w:rsidP="005C71E2">
      <w:r>
        <w:t xml:space="preserve">The applicant’s pre-ESC response </w:t>
      </w:r>
      <w:r w:rsidR="00271325">
        <w:t xml:space="preserve">provided the following additional information regarding </w:t>
      </w:r>
      <w:r w:rsidR="003B1925">
        <w:t>the eligibility criteria for the proposed population for funding</w:t>
      </w:r>
      <w:r w:rsidR="006F5C62">
        <w:t>:</w:t>
      </w:r>
    </w:p>
    <w:p w14:paraId="3CAB99F0" w14:textId="0B315302" w:rsidR="001C633F" w:rsidRDefault="003F23FA" w:rsidP="006779D5">
      <w:pPr>
        <w:pStyle w:val="ListParagraph"/>
        <w:numPr>
          <w:ilvl w:val="0"/>
          <w:numId w:val="20"/>
        </w:numPr>
      </w:pPr>
      <w:r w:rsidRPr="003F23FA">
        <w:t xml:space="preserve">Due to the lack of validated age thresholds related to development stage and paucity of data amongst patients &lt;18 years, </w:t>
      </w:r>
      <w:r>
        <w:t>the applicant</w:t>
      </w:r>
      <w:r w:rsidRPr="003F23FA">
        <w:t xml:space="preserve"> consider</w:t>
      </w:r>
      <w:r>
        <w:t>ed</w:t>
      </w:r>
      <w:r w:rsidRPr="003F23FA">
        <w:t xml:space="preserve"> it appropriate to retain the proposed age threshold of ≥18 years of age. </w:t>
      </w:r>
      <w:r w:rsidR="001C633F">
        <w:t xml:space="preserve">The applicant </w:t>
      </w:r>
      <w:r w:rsidR="006E043A" w:rsidRPr="006E043A">
        <w:t>support</w:t>
      </w:r>
      <w:r w:rsidR="001C633F">
        <w:t>ed</w:t>
      </w:r>
      <w:r w:rsidR="006E043A" w:rsidRPr="006E043A">
        <w:t xml:space="preserve"> incorporating exclusion criteria “Active infections, either acute or uncontrolled chronic” and “Patients with known advanced hepatic fibrosis, or cirrhosis” as these are aligned with the </w:t>
      </w:r>
      <w:r w:rsidR="001C633F">
        <w:t xml:space="preserve">exclusion </w:t>
      </w:r>
      <w:r w:rsidR="006E043A" w:rsidRPr="006E043A">
        <w:t xml:space="preserve">criteria </w:t>
      </w:r>
      <w:r w:rsidR="001C633F">
        <w:t xml:space="preserve">for the </w:t>
      </w:r>
      <w:r w:rsidR="006E043A" w:rsidRPr="006E043A">
        <w:t>HOPE-B</w:t>
      </w:r>
      <w:r w:rsidR="001C633F">
        <w:t xml:space="preserve"> study</w:t>
      </w:r>
      <w:r w:rsidR="006E043A" w:rsidRPr="006E043A">
        <w:t xml:space="preserve"> and the approved </w:t>
      </w:r>
      <w:r w:rsidR="001C633F">
        <w:t>product information</w:t>
      </w:r>
      <w:r w:rsidR="006E043A" w:rsidRPr="006E043A">
        <w:t xml:space="preserve"> for Hemgenix. </w:t>
      </w:r>
    </w:p>
    <w:p w14:paraId="552292F6" w14:textId="4252F95E" w:rsidR="003D68D2" w:rsidRDefault="001C633F" w:rsidP="006779D5">
      <w:pPr>
        <w:pStyle w:val="ListParagraph"/>
        <w:numPr>
          <w:ilvl w:val="0"/>
          <w:numId w:val="20"/>
        </w:numPr>
      </w:pPr>
      <w:r>
        <w:t>The applicant did</w:t>
      </w:r>
      <w:r w:rsidR="006E043A" w:rsidRPr="006E043A">
        <w:t xml:space="preserve"> not support </w:t>
      </w:r>
      <w:r>
        <w:t xml:space="preserve">including </w:t>
      </w:r>
      <w:r w:rsidR="006E043A" w:rsidRPr="006E043A">
        <w:t>“N</w:t>
      </w:r>
      <w:r>
        <w:t xml:space="preserve">o </w:t>
      </w:r>
      <w:r w:rsidR="006E043A" w:rsidRPr="006E043A">
        <w:t xml:space="preserve">lung disease” </w:t>
      </w:r>
      <w:r>
        <w:t>as an</w:t>
      </w:r>
      <w:r w:rsidR="006E043A" w:rsidRPr="006E043A">
        <w:t xml:space="preserve"> exclusion </w:t>
      </w:r>
      <w:r w:rsidR="0042038F" w:rsidRPr="006E043A">
        <w:t>criteri</w:t>
      </w:r>
      <w:r w:rsidR="0042038F">
        <w:t>on</w:t>
      </w:r>
      <w:r w:rsidR="0042038F" w:rsidRPr="006E043A">
        <w:t xml:space="preserve"> </w:t>
      </w:r>
      <w:r w:rsidR="006E043A" w:rsidRPr="006E043A">
        <w:t xml:space="preserve">as this was not an exclusion </w:t>
      </w:r>
      <w:r w:rsidR="0042038F" w:rsidRPr="006E043A">
        <w:t>criteri</w:t>
      </w:r>
      <w:r w:rsidR="0042038F">
        <w:t>on</w:t>
      </w:r>
      <w:r w:rsidR="0042038F" w:rsidRPr="006E043A">
        <w:t xml:space="preserve"> </w:t>
      </w:r>
      <w:r w:rsidR="006E043A" w:rsidRPr="006E043A">
        <w:t xml:space="preserve">for the Hemgenix clinical </w:t>
      </w:r>
      <w:r w:rsidR="00D5390E">
        <w:t>studies</w:t>
      </w:r>
      <w:r w:rsidR="006E043A" w:rsidRPr="006E043A">
        <w:t xml:space="preserve">, nor was it identified as a safety signal in </w:t>
      </w:r>
      <w:r w:rsidR="00D5390E">
        <w:t>the studies</w:t>
      </w:r>
      <w:r w:rsidR="00ED1997" w:rsidRPr="00E40A38">
        <w:t>.</w:t>
      </w:r>
      <w:r w:rsidR="0004673F" w:rsidRPr="00E40A38">
        <w:t xml:space="preserve"> </w:t>
      </w:r>
    </w:p>
    <w:p w14:paraId="6C482E92" w14:textId="2A343AA6" w:rsidR="003F69DB" w:rsidRPr="00E40A38" w:rsidRDefault="008949D7" w:rsidP="003D68D2">
      <w:r w:rsidRPr="00E40A38">
        <w:t>Th</w:t>
      </w:r>
      <w:r>
        <w:t>ese issues were</w:t>
      </w:r>
      <w:r w:rsidR="0004673F" w:rsidRPr="00E40A38">
        <w:t xml:space="preserve"> not address</w:t>
      </w:r>
      <w:r w:rsidR="00154649" w:rsidRPr="00E40A38">
        <w:t>ed</w:t>
      </w:r>
      <w:r w:rsidR="0004673F" w:rsidRPr="00E40A38">
        <w:t xml:space="preserve"> in the ADAR.</w:t>
      </w:r>
      <w:r w:rsidR="00FA27D3" w:rsidRPr="00E40A38">
        <w:t xml:space="preserve"> </w:t>
      </w:r>
    </w:p>
    <w:p w14:paraId="17116DF8" w14:textId="6D6100EB" w:rsidR="00ED1997" w:rsidRPr="00E40A38" w:rsidRDefault="008207B1" w:rsidP="005C71E2">
      <w:r>
        <w:t xml:space="preserve">The commentary noted that </w:t>
      </w:r>
      <w:r w:rsidR="00FA27D3" w:rsidRPr="00E40A38">
        <w:t xml:space="preserve">PASC </w:t>
      </w:r>
      <w:r>
        <w:t>had</w:t>
      </w:r>
      <w:r w:rsidRPr="00E40A38">
        <w:t xml:space="preserve"> </w:t>
      </w:r>
      <w:r w:rsidR="00FA27D3" w:rsidRPr="00E40A38">
        <w:t>noted that there are some patients categorised as having moderate (not moderately severe) haemophilia with FIX activity between 2</w:t>
      </w:r>
      <w:r w:rsidR="00AC1EAA" w:rsidRPr="00E40A38">
        <w:t>–</w:t>
      </w:r>
      <w:r w:rsidR="00FA27D3" w:rsidRPr="00E40A38">
        <w:t xml:space="preserve">5% who require prophylaxis treatment and therefore may benefit from </w:t>
      </w:r>
      <w:r w:rsidR="00746BBB">
        <w:t>Hemgenix</w:t>
      </w:r>
      <w:r w:rsidR="00FA27D3" w:rsidRPr="00E40A38">
        <w:t xml:space="preserve"> but are not eligible under the proposed descriptor.</w:t>
      </w:r>
      <w:r w:rsidR="008B5086" w:rsidRPr="00E40A38">
        <w:t xml:space="preserve"> </w:t>
      </w:r>
      <w:r w:rsidR="00E14E60" w:rsidRPr="00E14E60">
        <w:t xml:space="preserve">The commentary noted that </w:t>
      </w:r>
      <w:r w:rsidR="00E14E60">
        <w:t>n</w:t>
      </w:r>
      <w:r w:rsidR="008B5086" w:rsidRPr="00E40A38">
        <w:t xml:space="preserve">o data </w:t>
      </w:r>
      <w:r w:rsidR="0092154F" w:rsidRPr="00E40A38">
        <w:t>w</w:t>
      </w:r>
      <w:r w:rsidR="00CD5EF5" w:rsidRPr="00E40A38">
        <w:t>ere</w:t>
      </w:r>
      <w:r w:rsidR="0092154F" w:rsidRPr="00E40A38">
        <w:t xml:space="preserve"> available in this population.</w:t>
      </w:r>
    </w:p>
    <w:p w14:paraId="7685E940" w14:textId="3D6D18C7" w:rsidR="00A068C2" w:rsidRPr="00E40A38" w:rsidRDefault="00A068C2" w:rsidP="00A068C2">
      <w:pPr>
        <w:spacing w:before="0" w:after="200" w:line="276" w:lineRule="auto"/>
        <w:jc w:val="both"/>
      </w:pPr>
      <w:r w:rsidRPr="00E40A38">
        <w:t xml:space="preserve">Treatment with the intervention was proposed as an alternative to current best supportive care, that is a stable prophylactic regimen of recombinant FIX concentrate. Treatment with </w:t>
      </w:r>
      <w:r w:rsidR="00746BBB">
        <w:rPr>
          <w:iCs/>
        </w:rPr>
        <w:t>Hemgenix</w:t>
      </w:r>
      <w:r w:rsidRPr="00E40A38">
        <w:t xml:space="preserve"> may not </w:t>
      </w:r>
      <w:proofErr w:type="gramStart"/>
      <w:r w:rsidRPr="00E40A38">
        <w:t>completely eliminate</w:t>
      </w:r>
      <w:proofErr w:type="gramEnd"/>
      <w:r w:rsidRPr="00E40A38">
        <w:t xml:space="preserve"> the need for FIX replacement therapy or change the circumstances under which it would be required, but it was proposed to significantly reduce both the extent and frequency of its use.</w:t>
      </w:r>
    </w:p>
    <w:p w14:paraId="0A5229B9" w14:textId="5E7A6285" w:rsidR="00A068C2" w:rsidRPr="00E40A38" w:rsidRDefault="00A068C2" w:rsidP="00A068C2">
      <w:r w:rsidRPr="00E40A38">
        <w:t xml:space="preserve">The </w:t>
      </w:r>
      <w:r w:rsidR="0043158A" w:rsidRPr="00E40A38">
        <w:t>ADAR</w:t>
      </w:r>
      <w:r w:rsidRPr="00E40A38">
        <w:t xml:space="preserve"> addresse</w:t>
      </w:r>
      <w:r w:rsidR="00184599" w:rsidRPr="00E40A38">
        <w:t>d</w:t>
      </w:r>
      <w:r w:rsidRPr="00E40A38">
        <w:t xml:space="preserve"> most of the PICO elements that were prespecified in the </w:t>
      </w:r>
      <w:r w:rsidR="00165D3C" w:rsidRPr="00E40A38">
        <w:t xml:space="preserve">ratified </w:t>
      </w:r>
      <w:r w:rsidRPr="00E40A38">
        <w:t>PICO confirmation. Two outcomes specified in the PICO</w:t>
      </w:r>
      <w:r w:rsidRPr="00E40A38">
        <w:rPr>
          <w:rFonts w:cstheme="minorHAnsi"/>
        </w:rPr>
        <w:t xml:space="preserve"> (related to the requirement of central venous access and related sepsis or thrombosis)</w:t>
      </w:r>
      <w:r w:rsidRPr="00E40A38">
        <w:t xml:space="preserve"> were not presented due to lack of data.</w:t>
      </w:r>
    </w:p>
    <w:p w14:paraId="0D176039" w14:textId="75967C98" w:rsidR="00A068C2" w:rsidRPr="00E40A38" w:rsidRDefault="00A068C2" w:rsidP="00A068C2">
      <w:r w:rsidRPr="00E40A38">
        <w:t>The ratified PICO confirmation did not include a PICO set for the anti-AAV</w:t>
      </w:r>
      <w:r w:rsidR="00165D3C" w:rsidRPr="00E40A38">
        <w:t>5</w:t>
      </w:r>
      <w:r w:rsidRPr="00E40A38">
        <w:t xml:space="preserve"> </w:t>
      </w:r>
      <w:proofErr w:type="spellStart"/>
      <w:r w:rsidRPr="00E40A38">
        <w:t>NAb</w:t>
      </w:r>
      <w:proofErr w:type="spellEnd"/>
      <w:r w:rsidRPr="00E40A38">
        <w:t xml:space="preserve"> assay. </w:t>
      </w:r>
    </w:p>
    <w:p w14:paraId="54D31F28" w14:textId="1D5C693B" w:rsidR="00A068C2" w:rsidRPr="00E40A38" w:rsidRDefault="00A068C2" w:rsidP="00A068C2">
      <w:r w:rsidRPr="00E40A38">
        <w:t>The test population would be adults (≥</w:t>
      </w:r>
      <w:r w:rsidR="00C1481F" w:rsidRPr="00E40A38">
        <w:t> </w:t>
      </w:r>
      <w:r w:rsidRPr="00E40A38">
        <w:t xml:space="preserve">18 years) with severe or moderately severe </w:t>
      </w:r>
      <w:proofErr w:type="spellStart"/>
      <w:r w:rsidRPr="00E40A38">
        <w:t>cHMB</w:t>
      </w:r>
      <w:proofErr w:type="spellEnd"/>
      <w:r w:rsidRPr="00E40A38">
        <w:t xml:space="preserve"> considering treatment with </w:t>
      </w:r>
      <w:r w:rsidR="00746BBB">
        <w:rPr>
          <w:iCs/>
        </w:rPr>
        <w:t>Hemgenix</w:t>
      </w:r>
      <w:r w:rsidRPr="00E40A38">
        <w:rPr>
          <w:iCs/>
        </w:rPr>
        <w:t xml:space="preserve">. </w:t>
      </w:r>
    </w:p>
    <w:p w14:paraId="66BDFCC1" w14:textId="70CA9139" w:rsidR="00772829" w:rsidRPr="00E40A38" w:rsidRDefault="00255EA3" w:rsidP="002A18BE">
      <w:pPr>
        <w:pStyle w:val="Heading2"/>
        <w:numPr>
          <w:ilvl w:val="0"/>
          <w:numId w:val="0"/>
        </w:numPr>
      </w:pPr>
      <w:r>
        <w:t>8</w:t>
      </w:r>
      <w:r w:rsidR="00C36633" w:rsidRPr="00E40A38">
        <w:t>.</w:t>
      </w:r>
      <w:r w:rsidR="00C36633" w:rsidRPr="00E40A38">
        <w:tab/>
      </w:r>
      <w:r w:rsidR="00772829" w:rsidRPr="00E40A38">
        <w:t>Comparator</w:t>
      </w:r>
      <w:bookmarkEnd w:id="9"/>
    </w:p>
    <w:p w14:paraId="674128EA" w14:textId="7288E282" w:rsidR="007218C0" w:rsidRDefault="7299D249" w:rsidP="007218C0">
      <w:bookmarkStart w:id="10" w:name="_Toc69491422"/>
      <w:r>
        <w:t xml:space="preserve">Patients not treated with gene therapy will continue to be treated with a stable prophylactic regimen of recombinant FIX concentrate. </w:t>
      </w:r>
      <w:r w:rsidRPr="0DA6443C">
        <w:rPr>
          <w:lang w:val="en-US"/>
        </w:rPr>
        <w:t xml:space="preserve">On-demand or episodic treatment </w:t>
      </w:r>
      <w:r w:rsidR="311324F9" w:rsidRPr="0DA6443C">
        <w:rPr>
          <w:lang w:val="en-US"/>
        </w:rPr>
        <w:t xml:space="preserve">with FIX </w:t>
      </w:r>
      <w:r w:rsidRPr="0DA6443C">
        <w:rPr>
          <w:lang w:val="en-US"/>
        </w:rPr>
        <w:t xml:space="preserve">is administered only at the time of a bleeding event (or event anticipated to cause bleeding). </w:t>
      </w:r>
      <w:r>
        <w:t xml:space="preserve">Under current procurement arrangements </w:t>
      </w:r>
      <w:proofErr w:type="spellStart"/>
      <w:r>
        <w:t>Alprolix</w:t>
      </w:r>
      <w:proofErr w:type="spellEnd"/>
      <w:r>
        <w:t xml:space="preserve"> (</w:t>
      </w:r>
      <w:proofErr w:type="spellStart"/>
      <w:r>
        <w:t>eftrenonacog</w:t>
      </w:r>
      <w:proofErr w:type="spellEnd"/>
      <w:r>
        <w:t xml:space="preserve"> alfa/extended half-life) and </w:t>
      </w:r>
      <w:proofErr w:type="spellStart"/>
      <w:r>
        <w:t>Benefix</w:t>
      </w:r>
      <w:proofErr w:type="spellEnd"/>
      <w:r>
        <w:t xml:space="preserve"> (</w:t>
      </w:r>
      <w:proofErr w:type="spellStart"/>
      <w:r>
        <w:t>nonacog</w:t>
      </w:r>
      <w:proofErr w:type="spellEnd"/>
      <w:r>
        <w:t xml:space="preserve"> alfa/standard half-life) recombinant FIX clotting factor concentrates are available, along with </w:t>
      </w:r>
      <w:proofErr w:type="spellStart"/>
      <w:r>
        <w:t>Monofix</w:t>
      </w:r>
      <w:proofErr w:type="spellEnd"/>
      <w:r>
        <w:t xml:space="preserve">, a plasma derived clotting factor </w:t>
      </w:r>
      <w:r w:rsidR="1830FA33">
        <w:t>with</w:t>
      </w:r>
      <w:r>
        <w:t xml:space="preserve"> minimal utilisation. All treatments for haemophilia </w:t>
      </w:r>
      <w:r w:rsidR="0320841A">
        <w:t xml:space="preserve">B </w:t>
      </w:r>
      <w:r>
        <w:t xml:space="preserve">are currently fully funded (no patient co-payment) by </w:t>
      </w:r>
      <w:r w:rsidR="720AB678">
        <w:t>all Australian governments</w:t>
      </w:r>
      <w:r>
        <w:t xml:space="preserve"> under the </w:t>
      </w:r>
      <w:r w:rsidR="01AC63F6">
        <w:t>n</w:t>
      </w:r>
      <w:r w:rsidR="70F91D7B">
        <w:t xml:space="preserve">ational </w:t>
      </w:r>
      <w:r w:rsidR="59EB016B">
        <w:t>b</w:t>
      </w:r>
      <w:r w:rsidR="70F91D7B">
        <w:t xml:space="preserve">lood </w:t>
      </w:r>
      <w:r w:rsidR="57AADDE1">
        <w:t>arrangements</w:t>
      </w:r>
      <w:r>
        <w:t>.</w:t>
      </w:r>
    </w:p>
    <w:p w14:paraId="275C2490" w14:textId="77777777" w:rsidR="00255EA3" w:rsidRPr="00CE28E3" w:rsidRDefault="00255EA3" w:rsidP="00255EA3">
      <w:pPr>
        <w:pStyle w:val="Heading2"/>
        <w:numPr>
          <w:ilvl w:val="0"/>
          <w:numId w:val="0"/>
        </w:numPr>
      </w:pPr>
      <w:bookmarkStart w:id="11" w:name="_Toc69491421"/>
      <w:r>
        <w:t>9.</w:t>
      </w:r>
      <w:r>
        <w:tab/>
      </w:r>
      <w:r w:rsidRPr="00CE28E3">
        <w:t xml:space="preserve">Summary of public consultation </w:t>
      </w:r>
      <w:r>
        <w:t>input</w:t>
      </w:r>
      <w:bookmarkEnd w:id="11"/>
    </w:p>
    <w:p w14:paraId="77D1485B" w14:textId="77777777" w:rsidR="00255EA3" w:rsidRPr="00255EA3" w:rsidRDefault="00255EA3" w:rsidP="00255EA3">
      <w:pPr>
        <w:pStyle w:val="paragraph"/>
        <w:spacing w:before="0" w:beforeAutospacing="0" w:after="0" w:afterAutospacing="0"/>
        <w:textAlignment w:val="baseline"/>
        <w:rPr>
          <w:rFonts w:ascii="Franklin Gothic Book" w:hAnsi="Franklin Gothic Book" w:cs="Segoe UI"/>
          <w:sz w:val="18"/>
          <w:szCs w:val="18"/>
        </w:rPr>
      </w:pPr>
      <w:r w:rsidRPr="00255EA3">
        <w:rPr>
          <w:rStyle w:val="normaltextrun"/>
          <w:rFonts w:ascii="Franklin Gothic Book" w:hAnsi="Franklin Gothic Book" w:cs="Calibri"/>
          <w:sz w:val="22"/>
          <w:szCs w:val="22"/>
        </w:rPr>
        <w:t>Consultation input was received from four (4) professional organisations, one (1) consumer organisation and two (2) medical professionals. The organisations that submitted input were:</w:t>
      </w:r>
      <w:r w:rsidRPr="00255EA3">
        <w:rPr>
          <w:rStyle w:val="eop"/>
          <w:rFonts w:ascii="Franklin Gothic Book" w:hAnsi="Franklin Gothic Book" w:cs="Calibri"/>
          <w:sz w:val="22"/>
          <w:szCs w:val="22"/>
        </w:rPr>
        <w:t> </w:t>
      </w:r>
    </w:p>
    <w:p w14:paraId="32D1B1B6" w14:textId="77777777" w:rsidR="00255EA3" w:rsidRPr="00255EA3" w:rsidRDefault="00255EA3" w:rsidP="006779D5">
      <w:pPr>
        <w:pStyle w:val="paragraph"/>
        <w:numPr>
          <w:ilvl w:val="0"/>
          <w:numId w:val="30"/>
        </w:numPr>
        <w:spacing w:before="0" w:beforeAutospacing="0" w:after="0" w:afterAutospacing="0"/>
        <w:textAlignment w:val="baseline"/>
        <w:rPr>
          <w:rFonts w:ascii="Franklin Gothic Book" w:hAnsi="Franklin Gothic Book" w:cs="Calibri"/>
          <w:sz w:val="22"/>
          <w:szCs w:val="22"/>
        </w:rPr>
      </w:pPr>
      <w:r w:rsidRPr="00255EA3">
        <w:rPr>
          <w:rStyle w:val="normaltextrun"/>
          <w:rFonts w:ascii="Franklin Gothic Book" w:hAnsi="Franklin Gothic Book" w:cs="Calibri"/>
          <w:sz w:val="22"/>
          <w:szCs w:val="22"/>
        </w:rPr>
        <w:t>Australian Haemophilia Centre Directors’ Organisation (AHCDO)</w:t>
      </w:r>
      <w:r w:rsidRPr="00255EA3">
        <w:rPr>
          <w:rStyle w:val="eop"/>
          <w:rFonts w:ascii="Franklin Gothic Book" w:hAnsi="Franklin Gothic Book" w:cs="Calibri"/>
          <w:sz w:val="22"/>
          <w:szCs w:val="22"/>
        </w:rPr>
        <w:t> </w:t>
      </w:r>
    </w:p>
    <w:p w14:paraId="319B6743" w14:textId="77777777" w:rsidR="00255EA3" w:rsidRPr="00255EA3" w:rsidRDefault="00255EA3" w:rsidP="006779D5">
      <w:pPr>
        <w:pStyle w:val="paragraph"/>
        <w:numPr>
          <w:ilvl w:val="0"/>
          <w:numId w:val="30"/>
        </w:numPr>
        <w:spacing w:before="0" w:beforeAutospacing="0" w:after="0" w:afterAutospacing="0"/>
        <w:textAlignment w:val="baseline"/>
        <w:rPr>
          <w:rFonts w:ascii="Franklin Gothic Book" w:hAnsi="Franklin Gothic Book" w:cs="Calibri"/>
          <w:sz w:val="22"/>
          <w:szCs w:val="22"/>
        </w:rPr>
      </w:pPr>
      <w:r w:rsidRPr="00255EA3">
        <w:rPr>
          <w:rStyle w:val="normaltextrun"/>
          <w:rFonts w:ascii="Franklin Gothic Book" w:hAnsi="Franklin Gothic Book" w:cs="Calibri"/>
          <w:sz w:val="22"/>
          <w:szCs w:val="22"/>
        </w:rPr>
        <w:t>Australian Haemophilia Nurses Group (AHNG)</w:t>
      </w:r>
      <w:r w:rsidRPr="00255EA3">
        <w:rPr>
          <w:rStyle w:val="eop"/>
          <w:rFonts w:ascii="Franklin Gothic Book" w:hAnsi="Franklin Gothic Book" w:cs="Calibri"/>
          <w:sz w:val="22"/>
          <w:szCs w:val="22"/>
        </w:rPr>
        <w:t> </w:t>
      </w:r>
    </w:p>
    <w:p w14:paraId="31D54E81" w14:textId="77777777" w:rsidR="00255EA3" w:rsidRPr="00255EA3" w:rsidRDefault="00255EA3" w:rsidP="006779D5">
      <w:pPr>
        <w:pStyle w:val="paragraph"/>
        <w:numPr>
          <w:ilvl w:val="0"/>
          <w:numId w:val="30"/>
        </w:numPr>
        <w:spacing w:before="0" w:beforeAutospacing="0" w:after="0" w:afterAutospacing="0"/>
        <w:textAlignment w:val="baseline"/>
        <w:rPr>
          <w:rFonts w:ascii="Franklin Gothic Book" w:hAnsi="Franklin Gothic Book" w:cs="Calibri"/>
          <w:sz w:val="22"/>
          <w:szCs w:val="22"/>
        </w:rPr>
      </w:pPr>
      <w:r w:rsidRPr="00255EA3">
        <w:rPr>
          <w:rStyle w:val="normaltextrun"/>
          <w:rFonts w:ascii="Franklin Gothic Book" w:hAnsi="Franklin Gothic Book" w:cs="Calibri"/>
          <w:sz w:val="22"/>
          <w:szCs w:val="22"/>
        </w:rPr>
        <w:t>Haemophilia Foundation Australia (HFA)</w:t>
      </w:r>
      <w:r w:rsidRPr="00255EA3">
        <w:rPr>
          <w:rStyle w:val="eop"/>
          <w:rFonts w:ascii="Franklin Gothic Book" w:hAnsi="Franklin Gothic Book" w:cs="Calibri"/>
          <w:sz w:val="22"/>
          <w:szCs w:val="22"/>
        </w:rPr>
        <w:t> </w:t>
      </w:r>
    </w:p>
    <w:p w14:paraId="5F318A8C" w14:textId="77777777" w:rsidR="00255EA3" w:rsidRPr="00255EA3" w:rsidRDefault="00255EA3" w:rsidP="006779D5">
      <w:pPr>
        <w:pStyle w:val="paragraph"/>
        <w:numPr>
          <w:ilvl w:val="0"/>
          <w:numId w:val="30"/>
        </w:numPr>
        <w:spacing w:before="0" w:beforeAutospacing="0" w:after="0" w:afterAutospacing="0"/>
        <w:textAlignment w:val="baseline"/>
        <w:rPr>
          <w:rFonts w:ascii="Franklin Gothic Book" w:hAnsi="Franklin Gothic Book" w:cs="Calibri"/>
          <w:sz w:val="22"/>
          <w:szCs w:val="22"/>
        </w:rPr>
      </w:pPr>
      <w:r w:rsidRPr="00255EA3">
        <w:rPr>
          <w:rStyle w:val="normaltextrun"/>
          <w:rFonts w:ascii="Franklin Gothic Book" w:hAnsi="Franklin Gothic Book" w:cs="Calibri"/>
          <w:sz w:val="22"/>
          <w:szCs w:val="22"/>
        </w:rPr>
        <w:t>Royal Brisbane and Women’s Hospital Haemophilia Treatment Centre (RBWH-HTC)</w:t>
      </w:r>
      <w:r w:rsidRPr="00255EA3">
        <w:rPr>
          <w:rStyle w:val="eop"/>
          <w:rFonts w:ascii="Franklin Gothic Book" w:hAnsi="Franklin Gothic Book" w:cs="Calibri"/>
          <w:sz w:val="22"/>
          <w:szCs w:val="22"/>
        </w:rPr>
        <w:t> </w:t>
      </w:r>
    </w:p>
    <w:p w14:paraId="0A9CF4FB" w14:textId="77777777" w:rsidR="00255EA3" w:rsidRPr="00255EA3" w:rsidRDefault="00255EA3" w:rsidP="006779D5">
      <w:pPr>
        <w:pStyle w:val="paragraph"/>
        <w:numPr>
          <w:ilvl w:val="0"/>
          <w:numId w:val="30"/>
        </w:numPr>
        <w:spacing w:before="0" w:beforeAutospacing="0" w:after="0" w:afterAutospacing="0"/>
        <w:textAlignment w:val="baseline"/>
        <w:rPr>
          <w:rFonts w:ascii="Franklin Gothic Book" w:hAnsi="Franklin Gothic Book" w:cs="Calibri"/>
          <w:sz w:val="22"/>
          <w:szCs w:val="22"/>
        </w:rPr>
      </w:pPr>
      <w:r w:rsidRPr="00255EA3">
        <w:rPr>
          <w:rStyle w:val="normaltextrun"/>
          <w:rFonts w:ascii="Franklin Gothic Book" w:hAnsi="Franklin Gothic Book" w:cs="Calibri"/>
          <w:sz w:val="22"/>
          <w:szCs w:val="22"/>
        </w:rPr>
        <w:t>Thrombosis and Haemostasis Society of Australia and New Zealand (THANZ).</w:t>
      </w:r>
      <w:r w:rsidRPr="00255EA3">
        <w:rPr>
          <w:rStyle w:val="eop"/>
          <w:rFonts w:ascii="Franklin Gothic Book" w:hAnsi="Franklin Gothic Book" w:cs="Calibri"/>
          <w:sz w:val="22"/>
          <w:szCs w:val="22"/>
        </w:rPr>
        <w:t> </w:t>
      </w:r>
    </w:p>
    <w:p w14:paraId="426EE5AD" w14:textId="77777777" w:rsidR="00255EA3" w:rsidRPr="00255EA3" w:rsidRDefault="00255EA3" w:rsidP="00255EA3">
      <w:pPr>
        <w:pStyle w:val="paragraph"/>
        <w:spacing w:before="240" w:beforeAutospacing="0" w:after="0" w:afterAutospacing="0"/>
        <w:textAlignment w:val="baseline"/>
        <w:rPr>
          <w:rFonts w:ascii="Franklin Gothic Book" w:hAnsi="Franklin Gothic Book" w:cs="Segoe UI"/>
          <w:sz w:val="18"/>
          <w:szCs w:val="18"/>
        </w:rPr>
      </w:pPr>
      <w:r w:rsidRPr="00255EA3">
        <w:rPr>
          <w:rStyle w:val="normaltextrun"/>
          <w:rFonts w:ascii="Franklin Gothic Book" w:hAnsi="Franklin Gothic Book" w:cs="Calibri"/>
          <w:sz w:val="22"/>
          <w:szCs w:val="22"/>
        </w:rPr>
        <w:t>The consultation feedback received raised some concerns but overall was supportive of Application 1728. </w:t>
      </w:r>
      <w:r w:rsidRPr="00255EA3">
        <w:rPr>
          <w:rStyle w:val="eop"/>
          <w:rFonts w:ascii="Franklin Gothic Book" w:hAnsi="Franklin Gothic Book" w:cs="Calibri"/>
          <w:sz w:val="22"/>
          <w:szCs w:val="22"/>
        </w:rPr>
        <w:t> </w:t>
      </w:r>
    </w:p>
    <w:p w14:paraId="336DE2EF" w14:textId="77777777" w:rsidR="00255EA3" w:rsidRPr="00255EA3" w:rsidRDefault="00255EA3" w:rsidP="00255EA3">
      <w:pPr>
        <w:pStyle w:val="paragraph"/>
        <w:spacing w:before="240" w:beforeAutospacing="0" w:after="0" w:afterAutospacing="0"/>
        <w:textAlignment w:val="baseline"/>
        <w:rPr>
          <w:rFonts w:ascii="Franklin Gothic Book" w:hAnsi="Franklin Gothic Book" w:cs="Segoe UI"/>
          <w:sz w:val="18"/>
          <w:szCs w:val="18"/>
        </w:rPr>
      </w:pPr>
      <w:r w:rsidRPr="00255EA3">
        <w:rPr>
          <w:rStyle w:val="normaltextrun"/>
          <w:rFonts w:ascii="Franklin Gothic Book" w:hAnsi="Franklin Gothic Book" w:cs="Calibri"/>
          <w:b/>
          <w:bCs/>
          <w:sz w:val="22"/>
          <w:szCs w:val="22"/>
        </w:rPr>
        <w:t>Benefits</w:t>
      </w:r>
      <w:r w:rsidRPr="00255EA3">
        <w:rPr>
          <w:rStyle w:val="eop"/>
          <w:rFonts w:ascii="Franklin Gothic Book" w:hAnsi="Franklin Gothic Book" w:cs="Calibri"/>
          <w:sz w:val="22"/>
          <w:szCs w:val="22"/>
        </w:rPr>
        <w:t> </w:t>
      </w:r>
    </w:p>
    <w:p w14:paraId="19A7B06F" w14:textId="77777777" w:rsidR="00255EA3" w:rsidRPr="00255EA3" w:rsidRDefault="00255EA3" w:rsidP="006779D5">
      <w:pPr>
        <w:pStyle w:val="paragraph"/>
        <w:numPr>
          <w:ilvl w:val="0"/>
          <w:numId w:val="29"/>
        </w:numPr>
        <w:spacing w:before="0" w:beforeAutospacing="0" w:after="0" w:afterAutospacing="0"/>
        <w:textAlignment w:val="baseline"/>
        <w:rPr>
          <w:rFonts w:ascii="Franklin Gothic Book" w:hAnsi="Franklin Gothic Book" w:cs="Calibri"/>
          <w:sz w:val="22"/>
          <w:szCs w:val="22"/>
        </w:rPr>
      </w:pPr>
      <w:r w:rsidRPr="00255EA3">
        <w:rPr>
          <w:rStyle w:val="normaltextrun"/>
          <w:rFonts w:ascii="Franklin Gothic Book" w:hAnsi="Franklin Gothic Book" w:cs="Calibri"/>
          <w:sz w:val="22"/>
          <w:szCs w:val="22"/>
        </w:rPr>
        <w:t xml:space="preserve">Reduced bleeding rate for </w:t>
      </w:r>
      <w:proofErr w:type="gramStart"/>
      <w:r w:rsidRPr="00255EA3">
        <w:rPr>
          <w:rStyle w:val="normaltextrun"/>
          <w:rFonts w:ascii="Franklin Gothic Book" w:hAnsi="Franklin Gothic Book" w:cs="Calibri"/>
          <w:sz w:val="22"/>
          <w:szCs w:val="22"/>
        </w:rPr>
        <w:t>a number of</w:t>
      </w:r>
      <w:proofErr w:type="gramEnd"/>
      <w:r w:rsidRPr="00255EA3">
        <w:rPr>
          <w:rStyle w:val="normaltextrun"/>
          <w:rFonts w:ascii="Franklin Gothic Book" w:hAnsi="Franklin Gothic Book" w:cs="Calibri"/>
          <w:sz w:val="22"/>
          <w:szCs w:val="22"/>
        </w:rPr>
        <w:t xml:space="preserve"> years post single infusion (depending on longevity of response) compared to factor IX (FIX) prophylaxis. </w:t>
      </w:r>
      <w:r w:rsidRPr="00255EA3">
        <w:rPr>
          <w:rStyle w:val="eop"/>
          <w:rFonts w:ascii="Franklin Gothic Book" w:hAnsi="Franklin Gothic Book" w:cs="Calibri"/>
          <w:sz w:val="22"/>
          <w:szCs w:val="22"/>
        </w:rPr>
        <w:t> </w:t>
      </w:r>
    </w:p>
    <w:p w14:paraId="51286259" w14:textId="77777777" w:rsidR="00255EA3" w:rsidRPr="00255EA3" w:rsidRDefault="00255EA3" w:rsidP="006779D5">
      <w:pPr>
        <w:pStyle w:val="paragraph"/>
        <w:numPr>
          <w:ilvl w:val="0"/>
          <w:numId w:val="29"/>
        </w:numPr>
        <w:spacing w:before="0" w:beforeAutospacing="0" w:after="0" w:afterAutospacing="0"/>
        <w:textAlignment w:val="baseline"/>
        <w:rPr>
          <w:rFonts w:ascii="Franklin Gothic Book" w:hAnsi="Franklin Gothic Book" w:cs="Calibri"/>
          <w:sz w:val="22"/>
          <w:szCs w:val="22"/>
        </w:rPr>
      </w:pPr>
      <w:r w:rsidRPr="00255EA3">
        <w:rPr>
          <w:rStyle w:val="normaltextrun"/>
          <w:rFonts w:ascii="Franklin Gothic Book" w:hAnsi="Franklin Gothic Book" w:cs="Calibri"/>
          <w:sz w:val="22"/>
          <w:szCs w:val="22"/>
        </w:rPr>
        <w:t>Reduced treatment burden for patients who no longer require regular infusions of FIX clotting factor (when Hemgenix is effective) which has a high treatment burden and requires a commitment to incorporating the treatment into a weekly routine.</w:t>
      </w:r>
      <w:r w:rsidRPr="00255EA3">
        <w:rPr>
          <w:rStyle w:val="eop"/>
          <w:rFonts w:ascii="Franklin Gothic Book" w:hAnsi="Franklin Gothic Book" w:cs="Calibri"/>
          <w:sz w:val="22"/>
          <w:szCs w:val="22"/>
        </w:rPr>
        <w:t> </w:t>
      </w:r>
    </w:p>
    <w:p w14:paraId="1551C9E0" w14:textId="77777777" w:rsidR="00255EA3" w:rsidRPr="00255EA3" w:rsidRDefault="00255EA3" w:rsidP="006779D5">
      <w:pPr>
        <w:pStyle w:val="paragraph"/>
        <w:numPr>
          <w:ilvl w:val="0"/>
          <w:numId w:val="29"/>
        </w:numPr>
        <w:spacing w:before="0" w:beforeAutospacing="0" w:after="0" w:afterAutospacing="0"/>
        <w:textAlignment w:val="baseline"/>
        <w:rPr>
          <w:rFonts w:ascii="Franklin Gothic Book" w:hAnsi="Franklin Gothic Book" w:cs="Calibri"/>
          <w:sz w:val="22"/>
          <w:szCs w:val="22"/>
        </w:rPr>
      </w:pPr>
      <w:r w:rsidRPr="00255EA3">
        <w:rPr>
          <w:rStyle w:val="normaltextrun"/>
          <w:rFonts w:ascii="Franklin Gothic Book" w:hAnsi="Franklin Gothic Book" w:cs="Calibri"/>
          <w:sz w:val="22"/>
          <w:szCs w:val="22"/>
        </w:rPr>
        <w:t>Some individuals may attain adequate FIX levels (post-Hemgenix treatment) to permit a higher level of physical activity than provided by standard FIX prophylaxis; better chance to achieve good fitness levels, build healthier joints and lead a more normal lifestyle.</w:t>
      </w:r>
      <w:r w:rsidRPr="00255EA3">
        <w:rPr>
          <w:rStyle w:val="eop"/>
          <w:rFonts w:ascii="Franklin Gothic Book" w:hAnsi="Franklin Gothic Book" w:cs="Calibri"/>
          <w:sz w:val="22"/>
          <w:szCs w:val="22"/>
        </w:rPr>
        <w:t> </w:t>
      </w:r>
    </w:p>
    <w:p w14:paraId="7DBA4C2C" w14:textId="77777777" w:rsidR="00255EA3" w:rsidRPr="00255EA3" w:rsidRDefault="00255EA3" w:rsidP="006779D5">
      <w:pPr>
        <w:pStyle w:val="paragraph"/>
        <w:numPr>
          <w:ilvl w:val="0"/>
          <w:numId w:val="29"/>
        </w:numPr>
        <w:spacing w:before="0" w:beforeAutospacing="0" w:after="0" w:afterAutospacing="0"/>
        <w:textAlignment w:val="baseline"/>
        <w:rPr>
          <w:rFonts w:ascii="Franklin Gothic Book" w:hAnsi="Franklin Gothic Book" w:cs="Calibri"/>
          <w:sz w:val="22"/>
          <w:szCs w:val="22"/>
        </w:rPr>
      </w:pPr>
      <w:r w:rsidRPr="00255EA3">
        <w:rPr>
          <w:rStyle w:val="normaltextrun"/>
          <w:rFonts w:ascii="Franklin Gothic Book" w:hAnsi="Franklin Gothic Book" w:cs="Calibri"/>
          <w:sz w:val="22"/>
          <w:szCs w:val="22"/>
        </w:rPr>
        <w:t xml:space="preserve">Improvement of quality of life for patients, </w:t>
      </w:r>
      <w:proofErr w:type="gramStart"/>
      <w:r w:rsidRPr="00255EA3">
        <w:rPr>
          <w:rStyle w:val="normaltextrun"/>
          <w:rFonts w:ascii="Franklin Gothic Book" w:hAnsi="Franklin Gothic Book" w:cs="Calibri"/>
          <w:sz w:val="22"/>
          <w:szCs w:val="22"/>
        </w:rPr>
        <w:t>carers</w:t>
      </w:r>
      <w:proofErr w:type="gramEnd"/>
      <w:r w:rsidRPr="00255EA3">
        <w:rPr>
          <w:rStyle w:val="normaltextrun"/>
          <w:rFonts w:ascii="Franklin Gothic Book" w:hAnsi="Franklin Gothic Book" w:cs="Calibri"/>
          <w:sz w:val="22"/>
          <w:szCs w:val="22"/>
        </w:rPr>
        <w:t xml:space="preserve"> and families.</w:t>
      </w:r>
      <w:r w:rsidRPr="00255EA3">
        <w:rPr>
          <w:rStyle w:val="eop"/>
          <w:rFonts w:ascii="Franklin Gothic Book" w:hAnsi="Franklin Gothic Book" w:cs="Calibri"/>
          <w:sz w:val="22"/>
          <w:szCs w:val="22"/>
        </w:rPr>
        <w:t> </w:t>
      </w:r>
    </w:p>
    <w:p w14:paraId="6F091DDB" w14:textId="77777777" w:rsidR="00255EA3" w:rsidRPr="00255EA3" w:rsidRDefault="00255EA3" w:rsidP="006779D5">
      <w:pPr>
        <w:pStyle w:val="paragraph"/>
        <w:numPr>
          <w:ilvl w:val="0"/>
          <w:numId w:val="29"/>
        </w:numPr>
        <w:spacing w:before="0" w:beforeAutospacing="0" w:after="0" w:afterAutospacing="0"/>
        <w:textAlignment w:val="baseline"/>
        <w:rPr>
          <w:rFonts w:ascii="Franklin Gothic Book" w:hAnsi="Franklin Gothic Book" w:cs="Calibri"/>
          <w:sz w:val="22"/>
          <w:szCs w:val="22"/>
        </w:rPr>
      </w:pPr>
      <w:r w:rsidRPr="00255EA3">
        <w:rPr>
          <w:rStyle w:val="normaltextrun"/>
          <w:rFonts w:ascii="Franklin Gothic Book" w:hAnsi="Franklin Gothic Book" w:cs="Calibri"/>
          <w:sz w:val="22"/>
          <w:szCs w:val="22"/>
        </w:rPr>
        <w:t>Reduced demand on health systems with fewer hospitalisations.</w:t>
      </w:r>
      <w:r w:rsidRPr="00255EA3">
        <w:rPr>
          <w:rStyle w:val="eop"/>
          <w:rFonts w:ascii="Franklin Gothic Book" w:hAnsi="Franklin Gothic Book" w:cs="Calibri"/>
          <w:sz w:val="22"/>
          <w:szCs w:val="22"/>
        </w:rPr>
        <w:t> </w:t>
      </w:r>
    </w:p>
    <w:p w14:paraId="51719317" w14:textId="3A24C9CD" w:rsidR="00255EA3" w:rsidRPr="00255EA3" w:rsidRDefault="00255EA3" w:rsidP="006779D5">
      <w:pPr>
        <w:pStyle w:val="paragraph"/>
        <w:numPr>
          <w:ilvl w:val="0"/>
          <w:numId w:val="29"/>
        </w:numPr>
        <w:spacing w:before="0" w:beforeAutospacing="0" w:after="240" w:afterAutospacing="0"/>
        <w:textAlignment w:val="baseline"/>
        <w:rPr>
          <w:rFonts w:ascii="Franklin Gothic Book" w:hAnsi="Franklin Gothic Book" w:cs="Calibri"/>
          <w:sz w:val="22"/>
          <w:szCs w:val="22"/>
        </w:rPr>
      </w:pPr>
      <w:r w:rsidRPr="00255EA3">
        <w:rPr>
          <w:rStyle w:val="normaltextrun"/>
          <w:rFonts w:ascii="Franklin Gothic Book" w:hAnsi="Franklin Gothic Book" w:cs="Calibri"/>
          <w:sz w:val="22"/>
          <w:szCs w:val="22"/>
        </w:rPr>
        <w:t>Equity of access for patients who would otherwise be unable to afford Hemgenix.</w:t>
      </w:r>
      <w:r w:rsidRPr="00255EA3">
        <w:rPr>
          <w:rStyle w:val="eop"/>
          <w:rFonts w:ascii="Franklin Gothic Book" w:hAnsi="Franklin Gothic Book" w:cs="Calibri"/>
          <w:sz w:val="22"/>
          <w:szCs w:val="22"/>
        </w:rPr>
        <w:t> </w:t>
      </w:r>
    </w:p>
    <w:p w14:paraId="0D24ADE1" w14:textId="77777777" w:rsidR="00255EA3" w:rsidRPr="00255EA3" w:rsidRDefault="00255EA3" w:rsidP="00255EA3">
      <w:pPr>
        <w:pStyle w:val="paragraph"/>
        <w:spacing w:before="0" w:beforeAutospacing="0" w:after="0" w:afterAutospacing="0"/>
        <w:textAlignment w:val="baseline"/>
        <w:rPr>
          <w:rFonts w:ascii="Franklin Gothic Book" w:hAnsi="Franklin Gothic Book" w:cs="Segoe UI"/>
          <w:sz w:val="18"/>
          <w:szCs w:val="18"/>
        </w:rPr>
      </w:pPr>
      <w:r w:rsidRPr="00255EA3">
        <w:rPr>
          <w:rStyle w:val="normaltextrun"/>
          <w:rFonts w:ascii="Franklin Gothic Book" w:hAnsi="Franklin Gothic Book" w:cs="Calibri"/>
          <w:b/>
          <w:bCs/>
          <w:sz w:val="22"/>
          <w:szCs w:val="22"/>
        </w:rPr>
        <w:t>Disadvantages </w:t>
      </w:r>
      <w:r w:rsidRPr="00255EA3">
        <w:rPr>
          <w:rStyle w:val="eop"/>
          <w:rFonts w:ascii="Franklin Gothic Book" w:hAnsi="Franklin Gothic Book" w:cs="Calibri"/>
          <w:sz w:val="22"/>
          <w:szCs w:val="22"/>
        </w:rPr>
        <w:t> </w:t>
      </w:r>
    </w:p>
    <w:p w14:paraId="532F4004" w14:textId="77777777" w:rsidR="00255EA3" w:rsidRPr="00255EA3" w:rsidRDefault="00255EA3" w:rsidP="006779D5">
      <w:pPr>
        <w:pStyle w:val="paragraph"/>
        <w:numPr>
          <w:ilvl w:val="0"/>
          <w:numId w:val="28"/>
        </w:numPr>
        <w:spacing w:before="0" w:beforeAutospacing="0" w:after="0" w:afterAutospacing="0"/>
        <w:textAlignment w:val="baseline"/>
        <w:rPr>
          <w:rFonts w:ascii="Franklin Gothic Book" w:hAnsi="Franklin Gothic Book" w:cs="Calibri"/>
          <w:sz w:val="22"/>
          <w:szCs w:val="22"/>
        </w:rPr>
      </w:pPr>
      <w:r w:rsidRPr="00255EA3">
        <w:rPr>
          <w:rStyle w:val="normaltextrun"/>
          <w:rFonts w:ascii="Franklin Gothic Book" w:hAnsi="Franklin Gothic Book" w:cs="Calibri"/>
          <w:sz w:val="22"/>
          <w:szCs w:val="22"/>
        </w:rPr>
        <w:t>The level of FIX response (post-Hemgenix treatment) each individual person will obtain is not guaranteed meaning some patients may have a modest, poor or no response. </w:t>
      </w:r>
      <w:r w:rsidRPr="00255EA3">
        <w:rPr>
          <w:rStyle w:val="eop"/>
          <w:rFonts w:ascii="Franklin Gothic Book" w:hAnsi="Franklin Gothic Book" w:cs="Calibri"/>
          <w:sz w:val="22"/>
          <w:szCs w:val="22"/>
        </w:rPr>
        <w:t> </w:t>
      </w:r>
    </w:p>
    <w:p w14:paraId="56B7CAE5" w14:textId="77777777" w:rsidR="00255EA3" w:rsidRPr="00255EA3" w:rsidRDefault="00255EA3" w:rsidP="006779D5">
      <w:pPr>
        <w:pStyle w:val="paragraph"/>
        <w:numPr>
          <w:ilvl w:val="0"/>
          <w:numId w:val="28"/>
        </w:numPr>
        <w:spacing w:before="0" w:beforeAutospacing="0" w:after="0" w:afterAutospacing="0"/>
        <w:textAlignment w:val="baseline"/>
        <w:rPr>
          <w:rFonts w:ascii="Franklin Gothic Book" w:hAnsi="Franklin Gothic Book" w:cs="Calibri"/>
          <w:sz w:val="22"/>
          <w:szCs w:val="22"/>
        </w:rPr>
      </w:pPr>
      <w:r w:rsidRPr="00255EA3">
        <w:rPr>
          <w:rStyle w:val="normaltextrun"/>
          <w:rFonts w:ascii="Franklin Gothic Book" w:hAnsi="Franklin Gothic Book" w:cs="Calibri"/>
          <w:sz w:val="22"/>
          <w:szCs w:val="22"/>
        </w:rPr>
        <w:t xml:space="preserve">Some patients may experience negative psychological impacts </w:t>
      </w:r>
      <w:proofErr w:type="gramStart"/>
      <w:r w:rsidRPr="00255EA3">
        <w:rPr>
          <w:rStyle w:val="normaltextrun"/>
          <w:rFonts w:ascii="Franklin Gothic Book" w:hAnsi="Franklin Gothic Book" w:cs="Calibri"/>
          <w:sz w:val="22"/>
          <w:szCs w:val="22"/>
        </w:rPr>
        <w:t>as a result of</w:t>
      </w:r>
      <w:proofErr w:type="gramEnd"/>
      <w:r w:rsidRPr="00255EA3">
        <w:rPr>
          <w:rStyle w:val="normaltextrun"/>
          <w:rFonts w:ascii="Franklin Gothic Book" w:hAnsi="Franklin Gothic Book" w:cs="Calibri"/>
          <w:sz w:val="22"/>
          <w:szCs w:val="22"/>
        </w:rPr>
        <w:t xml:space="preserve"> both unsuccessful treatment (disappointment) or successful treatment where patients may experience psychosocial adjustment issues, for example regarding the patient’s identity and how they interact with other members of the family who may or may not also have haemophilia.</w:t>
      </w:r>
      <w:r w:rsidRPr="00255EA3">
        <w:rPr>
          <w:rStyle w:val="eop"/>
          <w:rFonts w:ascii="Franklin Gothic Book" w:hAnsi="Franklin Gothic Book" w:cs="Calibri"/>
          <w:sz w:val="22"/>
          <w:szCs w:val="22"/>
        </w:rPr>
        <w:t> </w:t>
      </w:r>
    </w:p>
    <w:p w14:paraId="63EF8D2E" w14:textId="77777777" w:rsidR="00255EA3" w:rsidRPr="00255EA3" w:rsidRDefault="00255EA3" w:rsidP="006779D5">
      <w:pPr>
        <w:pStyle w:val="paragraph"/>
        <w:numPr>
          <w:ilvl w:val="0"/>
          <w:numId w:val="28"/>
        </w:numPr>
        <w:spacing w:before="0" w:beforeAutospacing="0" w:after="0" w:afterAutospacing="0"/>
        <w:textAlignment w:val="baseline"/>
        <w:rPr>
          <w:rFonts w:ascii="Franklin Gothic Book" w:hAnsi="Franklin Gothic Book" w:cs="Calibri"/>
          <w:sz w:val="22"/>
          <w:szCs w:val="22"/>
        </w:rPr>
      </w:pPr>
      <w:r w:rsidRPr="00255EA3">
        <w:rPr>
          <w:rStyle w:val="normaltextrun"/>
          <w:rFonts w:ascii="Franklin Gothic Book" w:hAnsi="Franklin Gothic Book" w:cs="Calibri"/>
          <w:sz w:val="22"/>
          <w:szCs w:val="22"/>
        </w:rPr>
        <w:t xml:space="preserve">Significant use of steroids to preserve the gene therapy product may be required, with associated side effects including mental health challenges, risk of diabetes and impaired glucose control, steroid-induced </w:t>
      </w:r>
      <w:proofErr w:type="gramStart"/>
      <w:r w:rsidRPr="00255EA3">
        <w:rPr>
          <w:rStyle w:val="normaltextrun"/>
          <w:rFonts w:ascii="Franklin Gothic Book" w:hAnsi="Franklin Gothic Book" w:cs="Calibri"/>
          <w:sz w:val="22"/>
          <w:szCs w:val="22"/>
        </w:rPr>
        <w:t>myopathy</w:t>
      </w:r>
      <w:proofErr w:type="gramEnd"/>
      <w:r w:rsidRPr="00255EA3">
        <w:rPr>
          <w:rStyle w:val="normaltextrun"/>
          <w:rFonts w:ascii="Franklin Gothic Book" w:hAnsi="Franklin Gothic Book" w:cs="Calibri"/>
          <w:sz w:val="22"/>
          <w:szCs w:val="22"/>
        </w:rPr>
        <w:t xml:space="preserve"> and osteoporosis.</w:t>
      </w:r>
      <w:r w:rsidRPr="00255EA3">
        <w:rPr>
          <w:rStyle w:val="eop"/>
          <w:rFonts w:ascii="Franklin Gothic Book" w:hAnsi="Franklin Gothic Book" w:cs="Calibri"/>
          <w:sz w:val="22"/>
          <w:szCs w:val="22"/>
        </w:rPr>
        <w:t> </w:t>
      </w:r>
    </w:p>
    <w:p w14:paraId="7807FD51" w14:textId="77777777" w:rsidR="00255EA3" w:rsidRPr="00255EA3" w:rsidRDefault="00255EA3" w:rsidP="006779D5">
      <w:pPr>
        <w:pStyle w:val="paragraph"/>
        <w:numPr>
          <w:ilvl w:val="0"/>
          <w:numId w:val="28"/>
        </w:numPr>
        <w:spacing w:before="0" w:beforeAutospacing="0" w:after="0" w:afterAutospacing="0"/>
        <w:textAlignment w:val="baseline"/>
        <w:rPr>
          <w:rFonts w:ascii="Franklin Gothic Book" w:hAnsi="Franklin Gothic Book" w:cs="Calibri"/>
          <w:sz w:val="22"/>
          <w:szCs w:val="22"/>
        </w:rPr>
      </w:pPr>
      <w:r w:rsidRPr="00255EA3">
        <w:rPr>
          <w:rStyle w:val="normaltextrun"/>
          <w:rFonts w:ascii="Franklin Gothic Book" w:hAnsi="Franklin Gothic Book" w:cs="Calibri"/>
          <w:sz w:val="22"/>
          <w:szCs w:val="22"/>
        </w:rPr>
        <w:t>Unknown long-term effects due to the lack of long-term data for safety and effectiveness.</w:t>
      </w:r>
      <w:r w:rsidRPr="00255EA3">
        <w:rPr>
          <w:rStyle w:val="eop"/>
          <w:rFonts w:ascii="Franklin Gothic Book" w:hAnsi="Franklin Gothic Book" w:cs="Calibri"/>
          <w:sz w:val="22"/>
          <w:szCs w:val="22"/>
        </w:rPr>
        <w:t> </w:t>
      </w:r>
    </w:p>
    <w:p w14:paraId="658E03EF" w14:textId="77777777" w:rsidR="00255EA3" w:rsidRPr="00255EA3" w:rsidRDefault="00255EA3" w:rsidP="006779D5">
      <w:pPr>
        <w:pStyle w:val="paragraph"/>
        <w:numPr>
          <w:ilvl w:val="0"/>
          <w:numId w:val="28"/>
        </w:numPr>
        <w:spacing w:before="0" w:beforeAutospacing="0" w:after="0" w:afterAutospacing="0"/>
        <w:textAlignment w:val="baseline"/>
        <w:rPr>
          <w:rFonts w:ascii="Franklin Gothic Book" w:hAnsi="Franklin Gothic Book" w:cs="Calibri"/>
          <w:sz w:val="22"/>
          <w:szCs w:val="22"/>
        </w:rPr>
      </w:pPr>
      <w:r w:rsidRPr="00255EA3">
        <w:rPr>
          <w:rStyle w:val="normaltextrun"/>
          <w:rFonts w:ascii="Franklin Gothic Book" w:hAnsi="Franklin Gothic Book" w:cs="Calibri"/>
          <w:sz w:val="22"/>
          <w:szCs w:val="22"/>
        </w:rPr>
        <w:t xml:space="preserve">Some patients may find the clinical follow up and lifestyle changes (e.g. in relation to alcohol intake, </w:t>
      </w:r>
      <w:proofErr w:type="gramStart"/>
      <w:r w:rsidRPr="00255EA3">
        <w:rPr>
          <w:rStyle w:val="normaltextrun"/>
          <w:rFonts w:ascii="Franklin Gothic Book" w:hAnsi="Franklin Gothic Book" w:cs="Calibri"/>
          <w:sz w:val="22"/>
          <w:szCs w:val="22"/>
        </w:rPr>
        <w:t>contraception</w:t>
      </w:r>
      <w:proofErr w:type="gramEnd"/>
      <w:r w:rsidRPr="00255EA3">
        <w:rPr>
          <w:rStyle w:val="normaltextrun"/>
          <w:rFonts w:ascii="Franklin Gothic Book" w:hAnsi="Franklin Gothic Book" w:cs="Calibri"/>
          <w:sz w:val="22"/>
          <w:szCs w:val="22"/>
        </w:rPr>
        <w:t xml:space="preserve"> and post infusion monitoring) required after receiving Hemgenix gene therapy challenging.</w:t>
      </w:r>
      <w:r w:rsidRPr="00255EA3">
        <w:rPr>
          <w:rStyle w:val="eop"/>
          <w:rFonts w:ascii="Franklin Gothic Book" w:hAnsi="Franklin Gothic Book" w:cs="Calibri"/>
          <w:sz w:val="22"/>
          <w:szCs w:val="22"/>
        </w:rPr>
        <w:t> </w:t>
      </w:r>
    </w:p>
    <w:p w14:paraId="1439DD3D" w14:textId="77777777" w:rsidR="00255EA3" w:rsidRPr="00255EA3" w:rsidRDefault="00255EA3" w:rsidP="006779D5">
      <w:pPr>
        <w:pStyle w:val="paragraph"/>
        <w:numPr>
          <w:ilvl w:val="0"/>
          <w:numId w:val="28"/>
        </w:numPr>
        <w:spacing w:before="0" w:beforeAutospacing="0" w:after="0" w:afterAutospacing="0"/>
        <w:textAlignment w:val="baseline"/>
        <w:rPr>
          <w:rFonts w:ascii="Franklin Gothic Book" w:hAnsi="Franklin Gothic Book" w:cs="Calibri"/>
          <w:sz w:val="22"/>
          <w:szCs w:val="22"/>
        </w:rPr>
      </w:pPr>
      <w:r w:rsidRPr="00255EA3">
        <w:rPr>
          <w:rStyle w:val="normaltextrun"/>
          <w:rFonts w:ascii="Franklin Gothic Book" w:hAnsi="Franklin Gothic Book" w:cs="Calibri"/>
          <w:sz w:val="22"/>
          <w:szCs w:val="22"/>
        </w:rPr>
        <w:t>Not all patients will be eligible, and some will be excluded based on seropositivity to the vector.</w:t>
      </w:r>
      <w:r w:rsidRPr="00255EA3">
        <w:rPr>
          <w:rStyle w:val="eop"/>
          <w:rFonts w:ascii="Franklin Gothic Book" w:hAnsi="Franklin Gothic Book" w:cs="Calibri"/>
          <w:sz w:val="22"/>
          <w:szCs w:val="22"/>
        </w:rPr>
        <w:t> </w:t>
      </w:r>
    </w:p>
    <w:p w14:paraId="0AE938D7" w14:textId="77777777" w:rsidR="00255EA3" w:rsidRPr="00255EA3" w:rsidRDefault="00255EA3" w:rsidP="006779D5">
      <w:pPr>
        <w:pStyle w:val="paragraph"/>
        <w:numPr>
          <w:ilvl w:val="0"/>
          <w:numId w:val="28"/>
        </w:numPr>
        <w:spacing w:before="0" w:beforeAutospacing="0" w:after="0" w:afterAutospacing="0"/>
        <w:textAlignment w:val="baseline"/>
        <w:rPr>
          <w:rFonts w:ascii="Franklin Gothic Book" w:hAnsi="Franklin Gothic Book" w:cs="Calibri"/>
          <w:sz w:val="22"/>
          <w:szCs w:val="22"/>
        </w:rPr>
      </w:pPr>
      <w:r w:rsidRPr="00255EA3">
        <w:rPr>
          <w:rStyle w:val="normaltextrun"/>
          <w:rFonts w:ascii="Franklin Gothic Book" w:hAnsi="Franklin Gothic Book" w:cs="Calibri"/>
          <w:sz w:val="22"/>
          <w:szCs w:val="22"/>
        </w:rPr>
        <w:t>Remote or regional patients may need to travel to a clinical site that can successfully administer this therapy.</w:t>
      </w:r>
      <w:r w:rsidRPr="00255EA3">
        <w:rPr>
          <w:rStyle w:val="eop"/>
          <w:rFonts w:ascii="Franklin Gothic Book" w:hAnsi="Franklin Gothic Book" w:cs="Calibri"/>
          <w:sz w:val="22"/>
          <w:szCs w:val="22"/>
        </w:rPr>
        <w:t> </w:t>
      </w:r>
    </w:p>
    <w:p w14:paraId="3036551E" w14:textId="77777777" w:rsidR="00255EA3" w:rsidRPr="00255EA3" w:rsidRDefault="00255EA3" w:rsidP="006779D5">
      <w:pPr>
        <w:pStyle w:val="paragraph"/>
        <w:numPr>
          <w:ilvl w:val="0"/>
          <w:numId w:val="28"/>
        </w:numPr>
        <w:spacing w:before="0" w:beforeAutospacing="0" w:after="0" w:afterAutospacing="0"/>
        <w:textAlignment w:val="baseline"/>
        <w:rPr>
          <w:rFonts w:ascii="Franklin Gothic Book" w:hAnsi="Franklin Gothic Book" w:cs="Calibri"/>
          <w:sz w:val="22"/>
          <w:szCs w:val="22"/>
        </w:rPr>
      </w:pPr>
      <w:r w:rsidRPr="00255EA3">
        <w:rPr>
          <w:rStyle w:val="normaltextrun"/>
          <w:rFonts w:ascii="Franklin Gothic Book" w:hAnsi="Franklin Gothic Book" w:cs="Calibri"/>
          <w:sz w:val="22"/>
          <w:szCs w:val="22"/>
        </w:rPr>
        <w:t>No clinical or laboratory parameters which allow the clinician to predict which patients will derive the most benefit from gene therapy.</w:t>
      </w:r>
      <w:r w:rsidRPr="00255EA3">
        <w:rPr>
          <w:rStyle w:val="eop"/>
          <w:rFonts w:ascii="Franklin Gothic Book" w:hAnsi="Franklin Gothic Book" w:cs="Calibri"/>
          <w:sz w:val="22"/>
          <w:szCs w:val="22"/>
        </w:rPr>
        <w:t> </w:t>
      </w:r>
    </w:p>
    <w:p w14:paraId="2F6C1E8A" w14:textId="77777777" w:rsidR="00255EA3" w:rsidRPr="00255EA3" w:rsidRDefault="00255EA3" w:rsidP="00255EA3">
      <w:pPr>
        <w:pStyle w:val="paragraph"/>
        <w:spacing w:before="240" w:beforeAutospacing="0" w:after="0" w:afterAutospacing="0"/>
        <w:textAlignment w:val="baseline"/>
        <w:rPr>
          <w:rFonts w:ascii="Franklin Gothic Book" w:hAnsi="Franklin Gothic Book" w:cs="Segoe UI"/>
          <w:sz w:val="18"/>
          <w:szCs w:val="18"/>
        </w:rPr>
      </w:pPr>
      <w:r w:rsidRPr="00255EA3">
        <w:rPr>
          <w:rStyle w:val="normaltextrun"/>
          <w:rFonts w:ascii="Franklin Gothic Book" w:hAnsi="Franklin Gothic Book" w:cs="Calibri"/>
          <w:b/>
          <w:bCs/>
          <w:sz w:val="22"/>
          <w:szCs w:val="22"/>
        </w:rPr>
        <w:t>Additional comments </w:t>
      </w:r>
      <w:r w:rsidRPr="00255EA3">
        <w:rPr>
          <w:rStyle w:val="eop"/>
          <w:rFonts w:ascii="Franklin Gothic Book" w:hAnsi="Franklin Gothic Book" w:cs="Calibri"/>
          <w:sz w:val="22"/>
          <w:szCs w:val="22"/>
        </w:rPr>
        <w:t> </w:t>
      </w:r>
    </w:p>
    <w:p w14:paraId="61DC6847" w14:textId="77777777" w:rsidR="00255EA3" w:rsidRPr="00255EA3" w:rsidRDefault="00255EA3" w:rsidP="00255EA3">
      <w:pPr>
        <w:pStyle w:val="paragraph"/>
        <w:spacing w:before="0" w:beforeAutospacing="0" w:after="0" w:afterAutospacing="0"/>
        <w:textAlignment w:val="baseline"/>
        <w:rPr>
          <w:rFonts w:ascii="Franklin Gothic Book" w:hAnsi="Franklin Gothic Book" w:cs="Segoe UI"/>
          <w:sz w:val="18"/>
          <w:szCs w:val="18"/>
        </w:rPr>
      </w:pPr>
      <w:r w:rsidRPr="00255EA3">
        <w:rPr>
          <w:rStyle w:val="normaltextrun"/>
          <w:rFonts w:ascii="Franklin Gothic Book" w:hAnsi="Franklin Gothic Book" w:cs="Calibri"/>
          <w:sz w:val="22"/>
          <w:szCs w:val="22"/>
        </w:rPr>
        <w:t>AHCDO noted the proposed intervention will not wholly replace the comparator (FIX replacement therapy) as even if a patient responds to the treatment, the patient’s FIX levels post-Hemgenix treatment may not be sufficient to enable management of bleeding-associated surgery or trauma. In these instances, patients may still require FIX replacement therapy.</w:t>
      </w:r>
      <w:r w:rsidRPr="00255EA3">
        <w:rPr>
          <w:rStyle w:val="eop"/>
          <w:rFonts w:ascii="Franklin Gothic Book" w:hAnsi="Franklin Gothic Book" w:cs="Calibri"/>
          <w:sz w:val="22"/>
          <w:szCs w:val="22"/>
        </w:rPr>
        <w:t> </w:t>
      </w:r>
    </w:p>
    <w:p w14:paraId="5F9944F5" w14:textId="77777777" w:rsidR="00255EA3" w:rsidRPr="00255EA3" w:rsidRDefault="00255EA3" w:rsidP="00255EA3">
      <w:pPr>
        <w:pStyle w:val="paragraph"/>
        <w:spacing w:before="240" w:beforeAutospacing="0" w:after="0" w:afterAutospacing="0"/>
        <w:textAlignment w:val="baseline"/>
        <w:rPr>
          <w:rFonts w:ascii="Franklin Gothic Book" w:hAnsi="Franklin Gothic Book" w:cs="Segoe UI"/>
          <w:sz w:val="18"/>
          <w:szCs w:val="18"/>
        </w:rPr>
      </w:pPr>
      <w:r w:rsidRPr="00255EA3">
        <w:rPr>
          <w:rStyle w:val="normaltextrun"/>
          <w:rFonts w:ascii="Franklin Gothic Book" w:hAnsi="Franklin Gothic Book" w:cs="Calibri"/>
          <w:sz w:val="22"/>
          <w:szCs w:val="22"/>
        </w:rPr>
        <w:t>The AHNG was interested in guidance on the use of steroids is part of the treatment pathway and whether a formal process of screening or consent is required. Other feedback highlighted the need for counselling regarding the risks and benefits, the nature of the intervention and the potential impact it may have on the patient’s mental health, particularly identity, steroid-related mood effects and interaction with other family members who may or may not have haemophilia and may or may not be eligible for the intervention.</w:t>
      </w:r>
      <w:r w:rsidRPr="00255EA3">
        <w:rPr>
          <w:rStyle w:val="eop"/>
          <w:rFonts w:ascii="Franklin Gothic Book" w:hAnsi="Franklin Gothic Book" w:cs="Calibri"/>
          <w:sz w:val="22"/>
          <w:szCs w:val="22"/>
        </w:rPr>
        <w:t> </w:t>
      </w:r>
    </w:p>
    <w:p w14:paraId="15F74AB1" w14:textId="77777777" w:rsidR="00255EA3" w:rsidRPr="00255EA3" w:rsidRDefault="00255EA3" w:rsidP="00255EA3">
      <w:pPr>
        <w:pStyle w:val="paragraph"/>
        <w:spacing w:before="240" w:beforeAutospacing="0" w:after="0" w:afterAutospacing="0"/>
        <w:textAlignment w:val="baseline"/>
        <w:rPr>
          <w:rFonts w:ascii="Franklin Gothic Book" w:hAnsi="Franklin Gothic Book" w:cs="Segoe UI"/>
          <w:sz w:val="18"/>
          <w:szCs w:val="18"/>
        </w:rPr>
      </w:pPr>
      <w:r w:rsidRPr="00255EA3">
        <w:rPr>
          <w:rStyle w:val="normaltextrun"/>
          <w:rFonts w:ascii="Franklin Gothic Book" w:hAnsi="Franklin Gothic Book" w:cs="Calibri"/>
          <w:sz w:val="22"/>
          <w:szCs w:val="22"/>
        </w:rPr>
        <w:t>Other services identified as being needed to be delivered before or after the intervention included adeno-associated virus (AAV) antibody testing, psychosocial support, gene therapy coordinator, national haemophilia clinicians’ group, dietician, pathology services, and education for haemophilia treatment staff. </w:t>
      </w:r>
      <w:r w:rsidRPr="00255EA3">
        <w:rPr>
          <w:rStyle w:val="eop"/>
          <w:rFonts w:ascii="Franklin Gothic Book" w:hAnsi="Franklin Gothic Book" w:cs="Calibri"/>
          <w:sz w:val="22"/>
          <w:szCs w:val="22"/>
        </w:rPr>
        <w:t> </w:t>
      </w:r>
    </w:p>
    <w:p w14:paraId="2EEBCE75" w14:textId="125F7A39" w:rsidR="00255EA3" w:rsidRPr="00255EA3" w:rsidRDefault="00255EA3" w:rsidP="00255EA3">
      <w:pPr>
        <w:pStyle w:val="paragraph"/>
        <w:spacing w:before="240" w:beforeAutospacing="0" w:after="0" w:afterAutospacing="0"/>
        <w:textAlignment w:val="baseline"/>
        <w:rPr>
          <w:rFonts w:ascii="Franklin Gothic Book" w:hAnsi="Franklin Gothic Book" w:cs="Segoe UI"/>
          <w:sz w:val="18"/>
          <w:szCs w:val="18"/>
        </w:rPr>
      </w:pPr>
      <w:r w:rsidRPr="00255EA3">
        <w:rPr>
          <w:rStyle w:val="normaltextrun"/>
          <w:rFonts w:ascii="Franklin Gothic Book" w:hAnsi="Franklin Gothic Book" w:cs="Calibri"/>
          <w:sz w:val="22"/>
          <w:szCs w:val="22"/>
        </w:rPr>
        <w:t>Multiple respondents queried the funding mechanism and whether funding would be provided by States or the Commonwealth. The AHNG raised the issue of costs for travel and accommodation for patients who travel interstate for treatment. It was suggested the therapy is better managed through the Pharmaceutical Benefits Scheme (PBS), as it is gene therapy, not a blood or blood-derived product.</w:t>
      </w:r>
    </w:p>
    <w:p w14:paraId="03C7A1F1" w14:textId="4D354E4B" w:rsidR="00772829" w:rsidRPr="00E40A38" w:rsidRDefault="00255EA3" w:rsidP="002A18BE">
      <w:pPr>
        <w:pStyle w:val="Heading2"/>
        <w:numPr>
          <w:ilvl w:val="0"/>
          <w:numId w:val="0"/>
        </w:numPr>
      </w:pPr>
      <w:r>
        <w:t>10</w:t>
      </w:r>
      <w:r w:rsidR="00C36633" w:rsidRPr="00E40A38">
        <w:t>.</w:t>
      </w:r>
      <w:r w:rsidR="00C36633" w:rsidRPr="00E40A38">
        <w:tab/>
      </w:r>
      <w:r w:rsidR="00772829" w:rsidRPr="00E40A38">
        <w:t>Characteristics of the evidence base</w:t>
      </w:r>
      <w:bookmarkEnd w:id="10"/>
    </w:p>
    <w:p w14:paraId="71DF15E5" w14:textId="31B4C4EE" w:rsidR="00CA78D8" w:rsidRPr="00E40A38" w:rsidRDefault="00CA78D8" w:rsidP="00CA78D8">
      <w:pPr>
        <w:pStyle w:val="Heading3"/>
      </w:pPr>
      <w:r w:rsidRPr="00E40A38">
        <w:t xml:space="preserve">Evidence for </w:t>
      </w:r>
      <w:r w:rsidRPr="00E40A38">
        <w:rPr>
          <w:iCs/>
        </w:rPr>
        <w:t>etranacogene dezaparvovec</w:t>
      </w:r>
      <w:r w:rsidR="004A7023">
        <w:rPr>
          <w:iCs/>
        </w:rPr>
        <w:t xml:space="preserve"> (Hemgenix)</w:t>
      </w:r>
    </w:p>
    <w:p w14:paraId="4298E3E7" w14:textId="30CEDB9D" w:rsidR="00933344" w:rsidRPr="00E40A38" w:rsidRDefault="00933344" w:rsidP="00933344">
      <w:bookmarkStart w:id="12" w:name="_Ref69725651"/>
      <w:r w:rsidRPr="00E40A38">
        <w:t>The evidence base consisted of three single arm observational studies</w:t>
      </w:r>
      <w:r w:rsidR="00BB2C52" w:rsidRPr="00E40A38">
        <w:t>:</w:t>
      </w:r>
      <w:r w:rsidR="00F62FD2" w:rsidRPr="00E40A38">
        <w:t xml:space="preserve"> two</w:t>
      </w:r>
      <w:r w:rsidRPr="00E40A38">
        <w:t xml:space="preserve"> of</w:t>
      </w:r>
      <w:bookmarkStart w:id="13" w:name="_Hlk164174412"/>
      <w:r w:rsidRPr="00E40A38">
        <w:t xml:space="preserve"> </w:t>
      </w:r>
      <w:bookmarkStart w:id="14" w:name="_Hlk164159906"/>
      <w:r w:rsidRPr="00E40A38">
        <w:t>etranacogene dezaparvovec</w:t>
      </w:r>
      <w:bookmarkEnd w:id="13"/>
      <w:bookmarkEnd w:id="14"/>
      <w:r w:rsidRPr="00E40A38">
        <w:t xml:space="preserve"> (AMT-061) and </w:t>
      </w:r>
      <w:r w:rsidR="00F62FD2" w:rsidRPr="00E40A38">
        <w:t xml:space="preserve">one of </w:t>
      </w:r>
      <w:r w:rsidRPr="00E40A38">
        <w:t xml:space="preserve">its precursor gene therapy </w:t>
      </w:r>
      <w:proofErr w:type="gramStart"/>
      <w:r w:rsidRPr="00E40A38">
        <w:t>construct</w:t>
      </w:r>
      <w:proofErr w:type="gramEnd"/>
      <w:r w:rsidRPr="00E40A38">
        <w:t xml:space="preserve"> (AMT-060). </w:t>
      </w:r>
      <w:r w:rsidR="00CD2011" w:rsidRPr="00E40A38">
        <w:t>Published indirect treatment comparisons were not used in the assessment</w:t>
      </w:r>
      <w:r w:rsidR="00CD2011" w:rsidRPr="00E40A38">
        <w:rPr>
          <w:rStyle w:val="FootnoteReference"/>
        </w:rPr>
        <w:footnoteReference w:id="7"/>
      </w:r>
      <w:r w:rsidR="00CD2011" w:rsidRPr="00E40A38">
        <w:t>.</w:t>
      </w:r>
    </w:p>
    <w:p w14:paraId="05BDC059" w14:textId="0C6747BF" w:rsidR="00C52530" w:rsidRPr="00E40A38" w:rsidRDefault="00933344" w:rsidP="00C52530">
      <w:r w:rsidRPr="00E40A38">
        <w:t xml:space="preserve">Key features of the included evidence are summarised in </w:t>
      </w:r>
      <w:r w:rsidR="008625D2" w:rsidRPr="00E40A38">
        <w:fldChar w:fldCharType="begin"/>
      </w:r>
      <w:r w:rsidR="008625D2" w:rsidRPr="00E40A38">
        <w:instrText xml:space="preserve"> REF _Ref164155032 \h </w:instrText>
      </w:r>
      <w:r w:rsidR="00474734" w:rsidRPr="00E40A38">
        <w:instrText xml:space="preserve"> \* MERGEFORMAT </w:instrText>
      </w:r>
      <w:r w:rsidR="008625D2" w:rsidRPr="00E40A38">
        <w:fldChar w:fldCharType="separate"/>
      </w:r>
      <w:r w:rsidR="007207A8" w:rsidRPr="00E40A38">
        <w:t>Table </w:t>
      </w:r>
      <w:r w:rsidR="007207A8">
        <w:t>1</w:t>
      </w:r>
      <w:r w:rsidR="008625D2" w:rsidRPr="00E40A38">
        <w:fldChar w:fldCharType="end"/>
      </w:r>
      <w:r w:rsidR="008625D2" w:rsidRPr="00E40A38">
        <w:t>.</w:t>
      </w:r>
      <w:r w:rsidR="00222734" w:rsidRPr="00E40A38">
        <w:t xml:space="preserve"> </w:t>
      </w:r>
    </w:p>
    <w:p w14:paraId="742F7085" w14:textId="76C7CBB7" w:rsidR="004A48C3" w:rsidRPr="00E40A38" w:rsidRDefault="004A48C3" w:rsidP="004A48C3">
      <w:pPr>
        <w:pStyle w:val="Caption"/>
        <w:rPr>
          <w:rFonts w:cstheme="minorHAnsi"/>
          <w:lang w:val="en-US"/>
        </w:rPr>
      </w:pPr>
      <w:bookmarkStart w:id="15" w:name="_Ref164155032"/>
      <w:bookmarkStart w:id="16" w:name="_Ref69725659"/>
      <w:bookmarkEnd w:id="12"/>
      <w:r w:rsidRPr="00E40A38">
        <w:t>Table </w:t>
      </w:r>
      <w:r w:rsidR="00CC66FD">
        <w:fldChar w:fldCharType="begin"/>
      </w:r>
      <w:r w:rsidR="00CC66FD">
        <w:instrText xml:space="preserve"> SEQ Table \* ARABIC </w:instrText>
      </w:r>
      <w:r w:rsidR="00CC66FD">
        <w:fldChar w:fldCharType="separate"/>
      </w:r>
      <w:r w:rsidR="007207A8">
        <w:rPr>
          <w:noProof/>
        </w:rPr>
        <w:t>1</w:t>
      </w:r>
      <w:r w:rsidR="00CC66FD">
        <w:rPr>
          <w:noProof/>
        </w:rPr>
        <w:fldChar w:fldCharType="end"/>
      </w:r>
      <w:bookmarkEnd w:id="15"/>
      <w:r w:rsidRPr="00E40A38">
        <w:tab/>
      </w:r>
      <w:r w:rsidRPr="00E40A38">
        <w:rPr>
          <w:rFonts w:cstheme="minorHAnsi"/>
          <w:lang w:val="en-US"/>
        </w:rPr>
        <w:t xml:space="preserve">Key features of the included evidence for </w:t>
      </w:r>
      <w:r w:rsidRPr="00E40A38">
        <w:t>etranacogene dezaparvovec</w:t>
      </w:r>
      <w:r w:rsidRPr="00E40A38">
        <w:rPr>
          <w:rFonts w:cstheme="minorHAnsi"/>
          <w:lang w:val="en-US"/>
        </w:rPr>
        <w:t xml:space="preserve"> (Hemgenix)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features of the included evidence for etranacogene dezaparvovec (Hemgenix)"/>
        <w:tblDescription w:val="This tables shows the key features of the included evidence for etranacogene dezaparvovec (Hemgenix)"/>
      </w:tblPr>
      <w:tblGrid>
        <w:gridCol w:w="1261"/>
        <w:gridCol w:w="472"/>
        <w:gridCol w:w="1522"/>
        <w:gridCol w:w="1275"/>
        <w:gridCol w:w="1562"/>
        <w:gridCol w:w="1617"/>
        <w:gridCol w:w="1307"/>
      </w:tblGrid>
      <w:tr w:rsidR="004A48C3" w:rsidRPr="00E40A38" w14:paraId="6A70192F" w14:textId="77777777" w:rsidTr="0074189E">
        <w:trPr>
          <w:tblHeader/>
        </w:trPr>
        <w:tc>
          <w:tcPr>
            <w:tcW w:w="699" w:type="pct"/>
            <w:shd w:val="clear" w:color="auto" w:fill="auto"/>
            <w:vAlign w:val="center"/>
          </w:tcPr>
          <w:p w14:paraId="5AFC9407" w14:textId="77777777" w:rsidR="004A48C3" w:rsidRPr="00E40A38" w:rsidRDefault="004A48C3" w:rsidP="0074189E">
            <w:pPr>
              <w:pStyle w:val="In-tableHeading"/>
            </w:pPr>
            <w:r w:rsidRPr="00E40A38">
              <w:t>Trial/Study</w:t>
            </w:r>
          </w:p>
        </w:tc>
        <w:tc>
          <w:tcPr>
            <w:tcW w:w="262" w:type="pct"/>
            <w:shd w:val="clear" w:color="auto" w:fill="auto"/>
            <w:vAlign w:val="center"/>
          </w:tcPr>
          <w:p w14:paraId="26C7B82C" w14:textId="77777777" w:rsidR="004A48C3" w:rsidRPr="00E40A38" w:rsidRDefault="004A48C3" w:rsidP="0074189E">
            <w:pPr>
              <w:pStyle w:val="In-tableHeading"/>
            </w:pPr>
            <w:r w:rsidRPr="00E40A38">
              <w:t>N</w:t>
            </w:r>
          </w:p>
        </w:tc>
        <w:tc>
          <w:tcPr>
            <w:tcW w:w="844" w:type="pct"/>
            <w:shd w:val="clear" w:color="auto" w:fill="auto"/>
            <w:vAlign w:val="center"/>
          </w:tcPr>
          <w:p w14:paraId="56F12B7A" w14:textId="77777777" w:rsidR="004A48C3" w:rsidRPr="00E40A38" w:rsidRDefault="004A48C3" w:rsidP="0074189E">
            <w:pPr>
              <w:pStyle w:val="In-tableHeading"/>
            </w:pPr>
            <w:r w:rsidRPr="00E40A38">
              <w:t xml:space="preserve">Study </w:t>
            </w:r>
            <w:proofErr w:type="gramStart"/>
            <w:r w:rsidRPr="00E40A38">
              <w:t>design</w:t>
            </w:r>
            <w:proofErr w:type="gramEnd"/>
          </w:p>
          <w:p w14:paraId="7D1DC9B3" w14:textId="77777777" w:rsidR="004A48C3" w:rsidRPr="00E40A38" w:rsidRDefault="004A48C3" w:rsidP="0074189E">
            <w:pPr>
              <w:pStyle w:val="In-tableHeading"/>
            </w:pPr>
            <w:r w:rsidRPr="00E40A38">
              <w:t xml:space="preserve">Risk of </w:t>
            </w:r>
            <w:proofErr w:type="spellStart"/>
            <w:r w:rsidRPr="00E40A38">
              <w:t>bias</w:t>
            </w:r>
            <w:r w:rsidRPr="00E40A38">
              <w:rPr>
                <w:vertAlign w:val="superscript"/>
              </w:rPr>
              <w:t>a</w:t>
            </w:r>
            <w:proofErr w:type="spellEnd"/>
          </w:p>
        </w:tc>
        <w:tc>
          <w:tcPr>
            <w:tcW w:w="707" w:type="pct"/>
            <w:vAlign w:val="center"/>
          </w:tcPr>
          <w:p w14:paraId="7ACFC4D2" w14:textId="77777777" w:rsidR="004A48C3" w:rsidRPr="00E40A38" w:rsidRDefault="004A48C3" w:rsidP="0074189E">
            <w:pPr>
              <w:pStyle w:val="In-tableHeading"/>
            </w:pPr>
            <w:r w:rsidRPr="00E40A38">
              <w:t>Population</w:t>
            </w:r>
          </w:p>
        </w:tc>
        <w:tc>
          <w:tcPr>
            <w:tcW w:w="866" w:type="pct"/>
            <w:vAlign w:val="center"/>
          </w:tcPr>
          <w:p w14:paraId="0FBEA29B" w14:textId="77777777" w:rsidR="004A48C3" w:rsidRPr="00E40A38" w:rsidRDefault="004A48C3" w:rsidP="0074189E">
            <w:pPr>
              <w:pStyle w:val="In-tableHeading"/>
            </w:pPr>
            <w:r w:rsidRPr="00E40A38">
              <w:t>Intervention</w:t>
            </w:r>
          </w:p>
        </w:tc>
        <w:tc>
          <w:tcPr>
            <w:tcW w:w="897" w:type="pct"/>
            <w:shd w:val="clear" w:color="auto" w:fill="auto"/>
            <w:vAlign w:val="center"/>
          </w:tcPr>
          <w:p w14:paraId="1F70C098" w14:textId="77777777" w:rsidR="004A48C3" w:rsidRPr="00E40A38" w:rsidRDefault="004A48C3" w:rsidP="0074189E">
            <w:pPr>
              <w:pStyle w:val="In-tableHeading"/>
            </w:pPr>
            <w:r w:rsidRPr="00E40A38">
              <w:t>Key outcome(s)</w:t>
            </w:r>
            <w:r w:rsidRPr="00E40A38">
              <w:rPr>
                <w:vertAlign w:val="superscript"/>
              </w:rPr>
              <w:t>b</w:t>
            </w:r>
          </w:p>
        </w:tc>
        <w:tc>
          <w:tcPr>
            <w:tcW w:w="725" w:type="pct"/>
          </w:tcPr>
          <w:p w14:paraId="4399481B" w14:textId="77777777" w:rsidR="004A48C3" w:rsidRPr="00E40A38" w:rsidRDefault="004A48C3" w:rsidP="0074189E">
            <w:pPr>
              <w:pStyle w:val="In-tableHeading"/>
            </w:pPr>
            <w:r w:rsidRPr="00E40A38">
              <w:t>Result used in economic model</w:t>
            </w:r>
          </w:p>
        </w:tc>
      </w:tr>
      <w:tr w:rsidR="004A48C3" w:rsidRPr="00E40A38" w14:paraId="106B6751" w14:textId="77777777" w:rsidTr="00FB5A4B">
        <w:trPr>
          <w:tblHeader/>
        </w:trPr>
        <w:tc>
          <w:tcPr>
            <w:tcW w:w="699" w:type="pct"/>
            <w:shd w:val="clear" w:color="auto" w:fill="auto"/>
            <w:vAlign w:val="center"/>
          </w:tcPr>
          <w:p w14:paraId="6983170F" w14:textId="518034D2" w:rsidR="004A48C3" w:rsidRPr="00E40A38" w:rsidRDefault="004A48C3" w:rsidP="007F4AFB">
            <w:pPr>
              <w:pStyle w:val="TableText"/>
            </w:pPr>
            <w:r w:rsidRPr="00E40A38">
              <w:t xml:space="preserve">Phase III </w:t>
            </w:r>
            <w:r w:rsidRPr="00E40A38">
              <w:br/>
              <w:t xml:space="preserve">AMT-061-02 </w:t>
            </w:r>
            <w:r w:rsidRPr="00E40A38">
              <w:br/>
              <w:t>(HOPE-B)</w:t>
            </w:r>
            <w:r w:rsidRPr="00E40A38">
              <w:br/>
              <w:t>NCT03569891</w:t>
            </w:r>
          </w:p>
        </w:tc>
        <w:tc>
          <w:tcPr>
            <w:tcW w:w="262" w:type="pct"/>
            <w:shd w:val="clear" w:color="auto" w:fill="auto"/>
            <w:vAlign w:val="center"/>
          </w:tcPr>
          <w:p w14:paraId="6518855F" w14:textId="77777777" w:rsidR="004A48C3" w:rsidRPr="00E40A38" w:rsidRDefault="004A48C3" w:rsidP="007F4AFB">
            <w:pPr>
              <w:pStyle w:val="TableText"/>
            </w:pPr>
            <w:r w:rsidRPr="00E40A38">
              <w:t>54</w:t>
            </w:r>
          </w:p>
        </w:tc>
        <w:tc>
          <w:tcPr>
            <w:tcW w:w="844" w:type="pct"/>
            <w:shd w:val="clear" w:color="auto" w:fill="auto"/>
            <w:vAlign w:val="center"/>
          </w:tcPr>
          <w:p w14:paraId="0C612D75" w14:textId="4D9BC50D" w:rsidR="00874CDB" w:rsidRPr="00E40A38" w:rsidRDefault="00874CDB" w:rsidP="00874CDB">
            <w:pPr>
              <w:pStyle w:val="TableText"/>
            </w:pPr>
            <w:r w:rsidRPr="00E40A38">
              <w:t>Interrupted time series (follow-up planned</w:t>
            </w:r>
            <w:r w:rsidR="003C42E9" w:rsidRPr="00E40A38">
              <w:t xml:space="preserve"> </w:t>
            </w:r>
            <w:r w:rsidRPr="00E40A38">
              <w:t xml:space="preserve">to </w:t>
            </w:r>
            <w:r w:rsidR="00C94521" w:rsidRPr="00E40A38">
              <w:t>5 </w:t>
            </w:r>
            <w:r w:rsidRPr="00E40A38">
              <w:t>y</w:t>
            </w:r>
            <w:r w:rsidR="003C42E9" w:rsidRPr="00E40A38">
              <w:t xml:space="preserve">, </w:t>
            </w:r>
            <w:r w:rsidRPr="00E40A38">
              <w:t>with extension to 15</w:t>
            </w:r>
            <w:r w:rsidR="000C4C08" w:rsidRPr="00E40A38">
              <w:t> </w:t>
            </w:r>
            <w:r w:rsidR="003C42E9" w:rsidRPr="00E40A38">
              <w:t>y</w:t>
            </w:r>
            <w:r w:rsidRPr="00E40A38">
              <w:t xml:space="preserve">) </w:t>
            </w:r>
          </w:p>
          <w:p w14:paraId="07198938" w14:textId="77777777" w:rsidR="00874CDB" w:rsidRPr="00E40A38" w:rsidRDefault="00874CDB" w:rsidP="00874CDB">
            <w:pPr>
              <w:pStyle w:val="TableText"/>
            </w:pPr>
            <w:r w:rsidRPr="00E40A38">
              <w:t xml:space="preserve">NR, MC, OL, SA </w:t>
            </w:r>
          </w:p>
          <w:p w14:paraId="2FCECC0C" w14:textId="77777777" w:rsidR="004A48C3" w:rsidRPr="00E40A38" w:rsidRDefault="004A48C3" w:rsidP="007F4AFB">
            <w:pPr>
              <w:pStyle w:val="TableText"/>
            </w:pPr>
            <w:r w:rsidRPr="00E40A38">
              <w:t>High</w:t>
            </w:r>
          </w:p>
        </w:tc>
        <w:tc>
          <w:tcPr>
            <w:tcW w:w="707" w:type="pct"/>
            <w:vAlign w:val="center"/>
          </w:tcPr>
          <w:p w14:paraId="2B76BF5A" w14:textId="77777777" w:rsidR="004A48C3" w:rsidRPr="00E40A38" w:rsidRDefault="004A48C3" w:rsidP="007F4AFB">
            <w:pPr>
              <w:pStyle w:val="TableText"/>
            </w:pPr>
            <w:r w:rsidRPr="00E40A38">
              <w:t>Adults with HMB (severe or moderate)</w:t>
            </w:r>
          </w:p>
        </w:tc>
        <w:tc>
          <w:tcPr>
            <w:tcW w:w="866" w:type="pct"/>
            <w:vAlign w:val="center"/>
          </w:tcPr>
          <w:p w14:paraId="0597B51E" w14:textId="60F6152E" w:rsidR="004A48C3" w:rsidRPr="00E40A38" w:rsidRDefault="004A48C3" w:rsidP="007F4AFB">
            <w:pPr>
              <w:pStyle w:val="TableText"/>
            </w:pPr>
            <w:r w:rsidRPr="00E40A38">
              <w:t>SOC + etranacogene dezaparvovec (2</w:t>
            </w:r>
            <w:r w:rsidR="00C94521" w:rsidRPr="00E40A38">
              <w:t> </w:t>
            </w:r>
            <w:r w:rsidRPr="00E40A38">
              <w:t>x</w:t>
            </w:r>
            <w:r w:rsidR="00C94521" w:rsidRPr="00E40A38">
              <w:t> </w:t>
            </w:r>
            <w:r w:rsidRPr="00E40A38">
              <w:t>10</w:t>
            </w:r>
            <w:r w:rsidRPr="007E5853">
              <w:rPr>
                <w:vertAlign w:val="superscript"/>
              </w:rPr>
              <w:t>13</w:t>
            </w:r>
            <w:r w:rsidRPr="00E40A38">
              <w:t xml:space="preserve"> </w:t>
            </w:r>
            <w:proofErr w:type="spellStart"/>
            <w:r w:rsidRPr="00E40A38">
              <w:t>gc</w:t>
            </w:r>
            <w:proofErr w:type="spellEnd"/>
            <w:r w:rsidRPr="00E40A38">
              <w:t>/kg)</w:t>
            </w:r>
          </w:p>
        </w:tc>
        <w:tc>
          <w:tcPr>
            <w:tcW w:w="897" w:type="pct"/>
            <w:shd w:val="clear" w:color="auto" w:fill="auto"/>
            <w:vAlign w:val="center"/>
          </w:tcPr>
          <w:p w14:paraId="280BF613" w14:textId="5C380619" w:rsidR="004A48C3" w:rsidRPr="00E40A38" w:rsidRDefault="004A48C3" w:rsidP="007F4AFB">
            <w:pPr>
              <w:pStyle w:val="TableText"/>
            </w:pPr>
            <w:r w:rsidRPr="00E40A38">
              <w:t>ABR 6</w:t>
            </w:r>
            <w:r w:rsidR="00C94521" w:rsidRPr="00E40A38">
              <w:t>–18 </w:t>
            </w:r>
            <w:proofErr w:type="spellStart"/>
            <w:r w:rsidRPr="00E40A38">
              <w:t>mo</w:t>
            </w:r>
            <w:proofErr w:type="spellEnd"/>
            <w:r w:rsidRPr="00E40A38">
              <w:t xml:space="preserve"> post-treatment</w:t>
            </w:r>
            <w:r w:rsidRPr="00E40A38">
              <w:br/>
              <w:t>Uncontaminated FIX activity</w:t>
            </w:r>
            <w:r w:rsidRPr="00E40A38">
              <w:br/>
              <w:t>FIX utilisation</w:t>
            </w:r>
            <w:r w:rsidRPr="00E40A38">
              <w:br/>
            </w:r>
            <w:r w:rsidR="005A69BB" w:rsidRPr="00E40A38">
              <w:t>AEs</w:t>
            </w:r>
            <w:r w:rsidRPr="00E40A38">
              <w:br/>
              <w:t>EQ-5D-</w:t>
            </w:r>
            <w:r w:rsidR="009A0834" w:rsidRPr="00E40A38">
              <w:t>5</w:t>
            </w:r>
            <w:r w:rsidRPr="00E40A38">
              <w:t>L</w:t>
            </w:r>
            <w:r w:rsidRPr="00E40A38">
              <w:br/>
              <w:t>Haem-A-QoL</w:t>
            </w:r>
          </w:p>
        </w:tc>
        <w:tc>
          <w:tcPr>
            <w:tcW w:w="725" w:type="pct"/>
            <w:vAlign w:val="center"/>
          </w:tcPr>
          <w:p w14:paraId="6DEBF6E3" w14:textId="6D17004A" w:rsidR="004A48C3" w:rsidRPr="00E40A38" w:rsidRDefault="004A48C3" w:rsidP="007F4AFB">
            <w:pPr>
              <w:pStyle w:val="TableText"/>
            </w:pPr>
            <w:r w:rsidRPr="00E40A38">
              <w:t xml:space="preserve">Yes </w:t>
            </w:r>
            <w:r w:rsidRPr="00E40A38">
              <w:br/>
              <w:t xml:space="preserve">(FIX activity, ABR, SAEs, </w:t>
            </w:r>
            <w:r w:rsidRPr="00E40A38">
              <w:br/>
              <w:t>EQ-5D-</w:t>
            </w:r>
            <w:r w:rsidR="009A0834" w:rsidRPr="00E40A38">
              <w:t>5</w:t>
            </w:r>
            <w:r w:rsidRPr="00E40A38">
              <w:t>L)</w:t>
            </w:r>
          </w:p>
        </w:tc>
      </w:tr>
      <w:tr w:rsidR="004A48C3" w:rsidRPr="00E40A38" w14:paraId="0D547573" w14:textId="77777777" w:rsidTr="00FB5A4B">
        <w:trPr>
          <w:tblHeader/>
        </w:trPr>
        <w:tc>
          <w:tcPr>
            <w:tcW w:w="699" w:type="pct"/>
            <w:shd w:val="clear" w:color="auto" w:fill="auto"/>
            <w:vAlign w:val="center"/>
          </w:tcPr>
          <w:p w14:paraId="036743DB" w14:textId="77777777" w:rsidR="004A48C3" w:rsidRPr="00E40A38" w:rsidRDefault="004A48C3" w:rsidP="007F4AFB">
            <w:pPr>
              <w:pStyle w:val="TableText"/>
            </w:pPr>
            <w:r w:rsidRPr="00E40A38">
              <w:t>Phase IIb</w:t>
            </w:r>
            <w:r w:rsidRPr="00E40A38">
              <w:br/>
              <w:t>AMT-061-01</w:t>
            </w:r>
            <w:r w:rsidRPr="00E40A38">
              <w:br/>
              <w:t xml:space="preserve">NCT03489291 </w:t>
            </w:r>
          </w:p>
        </w:tc>
        <w:tc>
          <w:tcPr>
            <w:tcW w:w="262" w:type="pct"/>
            <w:shd w:val="clear" w:color="auto" w:fill="auto"/>
            <w:vAlign w:val="center"/>
          </w:tcPr>
          <w:p w14:paraId="2BA2C93B" w14:textId="77777777" w:rsidR="004A48C3" w:rsidRPr="00E40A38" w:rsidRDefault="004A48C3" w:rsidP="007F4AFB">
            <w:pPr>
              <w:pStyle w:val="TableText"/>
            </w:pPr>
            <w:r w:rsidRPr="00E40A38">
              <w:t>3</w:t>
            </w:r>
          </w:p>
        </w:tc>
        <w:tc>
          <w:tcPr>
            <w:tcW w:w="844" w:type="pct"/>
            <w:shd w:val="clear" w:color="auto" w:fill="auto"/>
            <w:vAlign w:val="center"/>
          </w:tcPr>
          <w:p w14:paraId="1F0E9768" w14:textId="265A3016" w:rsidR="004A48C3" w:rsidRPr="00E40A38" w:rsidRDefault="004A48C3" w:rsidP="007F4AFB">
            <w:pPr>
              <w:pStyle w:val="TableText"/>
            </w:pPr>
            <w:r w:rsidRPr="00E40A38">
              <w:t xml:space="preserve">Case series </w:t>
            </w:r>
            <w:r w:rsidRPr="00E40A38">
              <w:br/>
              <w:t>NR, MC, OL, SA</w:t>
            </w:r>
          </w:p>
          <w:p w14:paraId="0DD32263" w14:textId="77777777" w:rsidR="004A48C3" w:rsidRPr="00E40A38" w:rsidRDefault="004A48C3" w:rsidP="007F4AFB">
            <w:pPr>
              <w:pStyle w:val="TableText"/>
            </w:pPr>
            <w:r w:rsidRPr="00E40A38">
              <w:t>Very high</w:t>
            </w:r>
          </w:p>
        </w:tc>
        <w:tc>
          <w:tcPr>
            <w:tcW w:w="707" w:type="pct"/>
            <w:vAlign w:val="center"/>
          </w:tcPr>
          <w:p w14:paraId="77DAECE1" w14:textId="77777777" w:rsidR="004A48C3" w:rsidRPr="00E40A38" w:rsidRDefault="004A48C3" w:rsidP="007F4AFB">
            <w:pPr>
              <w:pStyle w:val="TableText"/>
            </w:pPr>
            <w:r w:rsidRPr="00E40A38">
              <w:t>Adults with HMB (severe or moderate)</w:t>
            </w:r>
          </w:p>
        </w:tc>
        <w:tc>
          <w:tcPr>
            <w:tcW w:w="866" w:type="pct"/>
            <w:vAlign w:val="center"/>
          </w:tcPr>
          <w:p w14:paraId="24BE676E" w14:textId="46CD7823" w:rsidR="004A48C3" w:rsidRPr="00E40A38" w:rsidRDefault="004A48C3" w:rsidP="007F4AFB">
            <w:pPr>
              <w:pStyle w:val="TableText"/>
            </w:pPr>
            <w:r w:rsidRPr="00E40A38">
              <w:t>etranacogene dezaparvovec (2</w:t>
            </w:r>
            <w:r w:rsidR="00C94521" w:rsidRPr="00E40A38">
              <w:t> </w:t>
            </w:r>
            <w:r w:rsidRPr="00E40A38">
              <w:t>x</w:t>
            </w:r>
            <w:r w:rsidR="00C94521" w:rsidRPr="00E40A38">
              <w:t> </w:t>
            </w:r>
            <w:r w:rsidRPr="00E40A38">
              <w:t>10</w:t>
            </w:r>
            <w:r w:rsidRPr="007E5853">
              <w:rPr>
                <w:vertAlign w:val="superscript"/>
              </w:rPr>
              <w:t>13</w:t>
            </w:r>
            <w:r w:rsidRPr="00E40A38">
              <w:t xml:space="preserve"> </w:t>
            </w:r>
            <w:proofErr w:type="spellStart"/>
            <w:r w:rsidRPr="00E40A38">
              <w:t>gc</w:t>
            </w:r>
            <w:proofErr w:type="spellEnd"/>
            <w:r w:rsidRPr="00E40A38">
              <w:t>/kg)</w:t>
            </w:r>
          </w:p>
        </w:tc>
        <w:tc>
          <w:tcPr>
            <w:tcW w:w="897" w:type="pct"/>
            <w:shd w:val="clear" w:color="auto" w:fill="auto"/>
            <w:vAlign w:val="center"/>
          </w:tcPr>
          <w:p w14:paraId="3792ABD2" w14:textId="575AA2F7" w:rsidR="004A48C3" w:rsidRPr="00E40A38" w:rsidRDefault="004A48C3" w:rsidP="007F4AFB">
            <w:pPr>
              <w:pStyle w:val="TableText"/>
            </w:pPr>
            <w:r w:rsidRPr="00E40A38">
              <w:t>FIX activity at 6 </w:t>
            </w:r>
            <w:proofErr w:type="spellStart"/>
            <w:r w:rsidRPr="00E40A38">
              <w:t>wk</w:t>
            </w:r>
            <w:proofErr w:type="spellEnd"/>
            <w:r w:rsidRPr="00E40A38">
              <w:t xml:space="preserve"> post-treatment</w:t>
            </w:r>
          </w:p>
        </w:tc>
        <w:tc>
          <w:tcPr>
            <w:tcW w:w="725" w:type="pct"/>
            <w:vAlign w:val="center"/>
          </w:tcPr>
          <w:p w14:paraId="10D66E5C" w14:textId="77777777" w:rsidR="004A48C3" w:rsidRPr="00E40A38" w:rsidRDefault="004A48C3" w:rsidP="007F4AFB">
            <w:pPr>
              <w:pStyle w:val="TableText"/>
            </w:pPr>
            <w:r w:rsidRPr="00E40A38">
              <w:t xml:space="preserve">Yes </w:t>
            </w:r>
            <w:r w:rsidRPr="00E40A38">
              <w:br/>
              <w:t>(FIX activity)</w:t>
            </w:r>
          </w:p>
        </w:tc>
      </w:tr>
      <w:tr w:rsidR="004A48C3" w:rsidRPr="00E40A38" w14:paraId="5EC0E4E5" w14:textId="77777777" w:rsidTr="00FB5A4B">
        <w:trPr>
          <w:tblHeader/>
        </w:trPr>
        <w:tc>
          <w:tcPr>
            <w:tcW w:w="699" w:type="pct"/>
            <w:shd w:val="clear" w:color="auto" w:fill="auto"/>
            <w:vAlign w:val="center"/>
          </w:tcPr>
          <w:p w14:paraId="7C2A6ED3" w14:textId="77777777" w:rsidR="004A48C3" w:rsidRPr="00E40A38" w:rsidRDefault="004A48C3" w:rsidP="007F4AFB">
            <w:pPr>
              <w:pStyle w:val="TableText"/>
            </w:pPr>
            <w:r w:rsidRPr="00E40A38">
              <w:t>Phase I/II</w:t>
            </w:r>
            <w:r w:rsidRPr="00E40A38">
              <w:br/>
              <w:t>AMT-060-01</w:t>
            </w:r>
            <w:r w:rsidRPr="00E40A38">
              <w:br/>
              <w:t>NCT02396342</w:t>
            </w:r>
          </w:p>
        </w:tc>
        <w:tc>
          <w:tcPr>
            <w:tcW w:w="262" w:type="pct"/>
            <w:shd w:val="clear" w:color="auto" w:fill="auto"/>
            <w:vAlign w:val="center"/>
          </w:tcPr>
          <w:p w14:paraId="02EAA1BF" w14:textId="77777777" w:rsidR="004A48C3" w:rsidRPr="00E40A38" w:rsidRDefault="004A48C3" w:rsidP="007F4AFB">
            <w:pPr>
              <w:pStyle w:val="TableText"/>
            </w:pPr>
            <w:r w:rsidRPr="00E40A38">
              <w:t>10</w:t>
            </w:r>
          </w:p>
        </w:tc>
        <w:tc>
          <w:tcPr>
            <w:tcW w:w="844" w:type="pct"/>
            <w:shd w:val="clear" w:color="auto" w:fill="auto"/>
            <w:vAlign w:val="center"/>
          </w:tcPr>
          <w:p w14:paraId="7E4BD10F" w14:textId="4138A90E" w:rsidR="004A48C3" w:rsidRPr="00E40A38" w:rsidRDefault="004A48C3" w:rsidP="007F4AFB">
            <w:pPr>
              <w:pStyle w:val="TableText"/>
            </w:pPr>
            <w:r w:rsidRPr="00E40A38">
              <w:t xml:space="preserve">Case series </w:t>
            </w:r>
            <w:r w:rsidRPr="00E40A38">
              <w:br/>
              <w:t>NR, MC, OL, SA</w:t>
            </w:r>
          </w:p>
          <w:p w14:paraId="3DA020E4" w14:textId="77777777" w:rsidR="004A48C3" w:rsidRPr="00E40A38" w:rsidRDefault="004A48C3" w:rsidP="007F4AFB">
            <w:pPr>
              <w:pStyle w:val="TableText"/>
            </w:pPr>
            <w:r w:rsidRPr="00E40A38">
              <w:t>Very high</w:t>
            </w:r>
          </w:p>
        </w:tc>
        <w:tc>
          <w:tcPr>
            <w:tcW w:w="707" w:type="pct"/>
            <w:vAlign w:val="center"/>
          </w:tcPr>
          <w:p w14:paraId="431A9FB9" w14:textId="77777777" w:rsidR="004A48C3" w:rsidRPr="00E40A38" w:rsidRDefault="004A48C3" w:rsidP="007F4AFB">
            <w:pPr>
              <w:pStyle w:val="TableText"/>
            </w:pPr>
            <w:r w:rsidRPr="00E40A38">
              <w:t>Adults with HMB (severe or moderate)</w:t>
            </w:r>
          </w:p>
        </w:tc>
        <w:tc>
          <w:tcPr>
            <w:tcW w:w="866" w:type="pct"/>
            <w:vAlign w:val="center"/>
          </w:tcPr>
          <w:p w14:paraId="6F6E4E53" w14:textId="623B20E1" w:rsidR="004A48C3" w:rsidRPr="00E40A38" w:rsidRDefault="004A48C3" w:rsidP="007F4AFB">
            <w:pPr>
              <w:pStyle w:val="TableText"/>
            </w:pPr>
            <w:r w:rsidRPr="00E40A38">
              <w:t>AMT-060:</w:t>
            </w:r>
            <w:r w:rsidRPr="00E40A38">
              <w:br/>
              <w:t>5</w:t>
            </w:r>
            <w:r w:rsidR="00C94521" w:rsidRPr="00E40A38">
              <w:t> </w:t>
            </w:r>
            <w:r w:rsidRPr="00E40A38">
              <w:t>x</w:t>
            </w:r>
            <w:r w:rsidR="00C94521" w:rsidRPr="00E40A38">
              <w:t> </w:t>
            </w:r>
            <w:r w:rsidRPr="00E40A38">
              <w:t>10</w:t>
            </w:r>
            <w:r w:rsidRPr="007E5853">
              <w:rPr>
                <w:vertAlign w:val="superscript"/>
              </w:rPr>
              <w:t>12</w:t>
            </w:r>
            <w:r w:rsidRPr="00E40A38">
              <w:t xml:space="preserve"> </w:t>
            </w:r>
            <w:proofErr w:type="spellStart"/>
            <w:r w:rsidRPr="00E40A38">
              <w:t>gc</w:t>
            </w:r>
            <w:proofErr w:type="spellEnd"/>
            <w:r w:rsidRPr="00E40A38">
              <w:t>/kg</w:t>
            </w:r>
            <w:r w:rsidRPr="00E40A38">
              <w:br/>
              <w:t>2</w:t>
            </w:r>
            <w:r w:rsidR="00C94521" w:rsidRPr="00E40A38">
              <w:t> </w:t>
            </w:r>
            <w:r w:rsidRPr="00E40A38">
              <w:t>x</w:t>
            </w:r>
            <w:r w:rsidR="00C94521" w:rsidRPr="00E40A38">
              <w:t> </w:t>
            </w:r>
            <w:r w:rsidRPr="00E40A38">
              <w:t>10</w:t>
            </w:r>
            <w:r w:rsidRPr="007E5853">
              <w:rPr>
                <w:vertAlign w:val="superscript"/>
              </w:rPr>
              <w:t>13</w:t>
            </w:r>
            <w:r w:rsidRPr="00E40A38">
              <w:t xml:space="preserve"> </w:t>
            </w:r>
            <w:proofErr w:type="spellStart"/>
            <w:r w:rsidRPr="00E40A38">
              <w:t>gc</w:t>
            </w:r>
            <w:proofErr w:type="spellEnd"/>
            <w:r w:rsidRPr="00E40A38">
              <w:t>/kg</w:t>
            </w:r>
          </w:p>
        </w:tc>
        <w:tc>
          <w:tcPr>
            <w:tcW w:w="897" w:type="pct"/>
            <w:shd w:val="clear" w:color="auto" w:fill="auto"/>
            <w:vAlign w:val="center"/>
          </w:tcPr>
          <w:p w14:paraId="75BFC959" w14:textId="585487CD" w:rsidR="004A48C3" w:rsidRPr="00E40A38" w:rsidRDefault="004A48C3" w:rsidP="007F4AFB">
            <w:pPr>
              <w:pStyle w:val="TableText"/>
            </w:pPr>
            <w:r w:rsidRPr="00E40A38">
              <w:t xml:space="preserve">Frequency and incidence of AEs at </w:t>
            </w:r>
            <w:r w:rsidR="00C94521" w:rsidRPr="00E40A38">
              <w:t>1 </w:t>
            </w:r>
            <w:r w:rsidRPr="00E40A38">
              <w:t xml:space="preserve">y, </w:t>
            </w:r>
            <w:r w:rsidR="00C94521" w:rsidRPr="00E40A38">
              <w:t>5 </w:t>
            </w:r>
            <w:r w:rsidRPr="00E40A38">
              <w:t>y</w:t>
            </w:r>
          </w:p>
        </w:tc>
        <w:tc>
          <w:tcPr>
            <w:tcW w:w="725" w:type="pct"/>
            <w:vAlign w:val="center"/>
          </w:tcPr>
          <w:p w14:paraId="599C5DA2" w14:textId="77777777" w:rsidR="004A48C3" w:rsidRPr="00E40A38" w:rsidRDefault="004A48C3" w:rsidP="007F4AFB">
            <w:pPr>
              <w:pStyle w:val="TableText"/>
            </w:pPr>
            <w:r w:rsidRPr="00E40A38">
              <w:t>No</w:t>
            </w:r>
          </w:p>
        </w:tc>
      </w:tr>
    </w:tbl>
    <w:p w14:paraId="7CE9C919" w14:textId="51644976" w:rsidR="00BD7D92" w:rsidRPr="00E40A38" w:rsidRDefault="004A48C3" w:rsidP="00DA6680">
      <w:pPr>
        <w:pStyle w:val="CommentaryTablenotes"/>
        <w:rPr>
          <w:rStyle w:val="CommentaryTablenotesChar"/>
          <w:color w:val="auto"/>
        </w:rPr>
      </w:pPr>
      <w:r w:rsidRPr="00E40A38">
        <w:rPr>
          <w:color w:val="auto"/>
        </w:rPr>
        <w:t xml:space="preserve">ABR = annualised bleed rate; AE = adverse event; EQ-5D-5L = </w:t>
      </w:r>
      <w:proofErr w:type="spellStart"/>
      <w:r w:rsidRPr="00E40A38">
        <w:rPr>
          <w:color w:val="auto"/>
        </w:rPr>
        <w:t>EuroQol</w:t>
      </w:r>
      <w:proofErr w:type="spellEnd"/>
      <w:r w:rsidRPr="00E40A38">
        <w:rPr>
          <w:color w:val="auto"/>
        </w:rPr>
        <w:t xml:space="preserve"> 5-dimension health-related quality of life questionnaire–5 levels; </w:t>
      </w:r>
      <w:r w:rsidRPr="00E40A38">
        <w:rPr>
          <w:rStyle w:val="CommentaryTablenotesChar"/>
          <w:color w:val="auto"/>
        </w:rPr>
        <w:t xml:space="preserve">FIX= factor IX; </w:t>
      </w:r>
      <w:proofErr w:type="spellStart"/>
      <w:r w:rsidR="002F0FBD" w:rsidRPr="00E40A38">
        <w:rPr>
          <w:rStyle w:val="CommentaryTablenotesChar"/>
          <w:color w:val="auto"/>
        </w:rPr>
        <w:t>gc</w:t>
      </w:r>
      <w:proofErr w:type="spellEnd"/>
      <w:r w:rsidR="002F0FBD" w:rsidRPr="00E40A38">
        <w:rPr>
          <w:rStyle w:val="CommentaryTablenotesChar"/>
          <w:color w:val="auto"/>
        </w:rPr>
        <w:t xml:space="preserve"> = gene copies; </w:t>
      </w:r>
      <w:r w:rsidRPr="00E40A38">
        <w:rPr>
          <w:rStyle w:val="CommentaryTablenotesChar"/>
          <w:color w:val="auto"/>
        </w:rPr>
        <w:t xml:space="preserve">Haem-A-QoL = Haemophilia Specific Quality of Life Index; HMB = </w:t>
      </w:r>
      <w:r w:rsidR="006B2308" w:rsidRPr="00E40A38">
        <w:rPr>
          <w:rStyle w:val="CommentaryTablenotesChar"/>
          <w:color w:val="auto"/>
        </w:rPr>
        <w:t>h</w:t>
      </w:r>
      <w:r w:rsidRPr="00E40A38">
        <w:rPr>
          <w:rStyle w:val="CommentaryTablenotesChar"/>
          <w:color w:val="auto"/>
        </w:rPr>
        <w:t xml:space="preserve">aemophilia B; MC = multi-centre design; </w:t>
      </w:r>
      <w:proofErr w:type="spellStart"/>
      <w:r w:rsidR="00011081" w:rsidRPr="00E40A38">
        <w:rPr>
          <w:rStyle w:val="CommentaryTablenotesChar"/>
          <w:color w:val="auto"/>
        </w:rPr>
        <w:t>mo</w:t>
      </w:r>
      <w:proofErr w:type="spellEnd"/>
      <w:r w:rsidR="00011081" w:rsidRPr="00E40A38">
        <w:rPr>
          <w:rStyle w:val="CommentaryTablenotesChar"/>
          <w:color w:val="auto"/>
        </w:rPr>
        <w:t xml:space="preserve"> = month(s); </w:t>
      </w:r>
      <w:r w:rsidRPr="00E40A38">
        <w:rPr>
          <w:rStyle w:val="CommentaryTablenotesChar"/>
          <w:color w:val="auto"/>
        </w:rPr>
        <w:t>N = number of participants; N/A = not applicable; NR = non-randomised design; OL = open label design; SA = single arm design; SAE = serious adverse event; SOC = standard of care</w:t>
      </w:r>
      <w:r w:rsidR="009D347B" w:rsidRPr="00E40A38">
        <w:rPr>
          <w:rStyle w:val="CommentaryTablenotesChar"/>
          <w:color w:val="auto"/>
        </w:rPr>
        <w:t xml:space="preserve">; </w:t>
      </w:r>
      <w:proofErr w:type="spellStart"/>
      <w:r w:rsidR="00C94521" w:rsidRPr="00E40A38">
        <w:rPr>
          <w:rStyle w:val="CommentaryTablenotesChar"/>
          <w:color w:val="auto"/>
        </w:rPr>
        <w:t>wk</w:t>
      </w:r>
      <w:proofErr w:type="spellEnd"/>
      <w:r w:rsidR="00C94521" w:rsidRPr="00E40A38">
        <w:rPr>
          <w:rStyle w:val="CommentaryTablenotesChar"/>
          <w:color w:val="auto"/>
        </w:rPr>
        <w:t xml:space="preserve"> = week(s); </w:t>
      </w:r>
      <w:r w:rsidR="009D347B" w:rsidRPr="00E40A38">
        <w:rPr>
          <w:rStyle w:val="CommentaryTablenotesChar"/>
          <w:color w:val="auto"/>
        </w:rPr>
        <w:t>y = year(s)</w:t>
      </w:r>
      <w:r w:rsidRPr="00E40A38">
        <w:rPr>
          <w:rStyle w:val="CommentaryTablenotesChar"/>
          <w:color w:val="auto"/>
        </w:rPr>
        <w:t>.</w:t>
      </w:r>
      <w:r w:rsidRPr="00E40A38">
        <w:rPr>
          <w:rStyle w:val="CommentaryTablenotesChar"/>
          <w:color w:val="auto"/>
        </w:rPr>
        <w:br/>
        <w:t xml:space="preserve">a Risk of bias using the IHE Quality Appraisal Checklist for Case Series Studies (2016), Institute of Health Economics, Edmonton, Canada. </w:t>
      </w:r>
      <w:r w:rsidRPr="00E40A38">
        <w:rPr>
          <w:rStyle w:val="CommentaryTablenotesChar"/>
          <w:color w:val="auto"/>
        </w:rPr>
        <w:br/>
        <w:t xml:space="preserve">b </w:t>
      </w:r>
      <w:r w:rsidR="00B44A59" w:rsidRPr="00E40A38">
        <w:rPr>
          <w:rStyle w:val="CommentaryTablenotesChar"/>
          <w:color w:val="auto"/>
        </w:rPr>
        <w:t>O</w:t>
      </w:r>
      <w:r w:rsidRPr="00E40A38">
        <w:rPr>
          <w:rStyle w:val="CommentaryTablenotesChar"/>
          <w:color w:val="auto"/>
        </w:rPr>
        <w:t>nly primary outcomes are indicated for the earlier phase studies</w:t>
      </w:r>
      <w:r w:rsidR="00B44A59" w:rsidRPr="00E40A38">
        <w:rPr>
          <w:rStyle w:val="CommentaryTablenotesChar"/>
          <w:color w:val="auto"/>
        </w:rPr>
        <w:t>.</w:t>
      </w:r>
      <w:r w:rsidR="00BD7D92" w:rsidRPr="00E40A38">
        <w:rPr>
          <w:rStyle w:val="CommentaryTablenotesChar"/>
          <w:color w:val="auto"/>
        </w:rPr>
        <w:br/>
      </w:r>
      <w:r w:rsidRPr="00E40A38">
        <w:rPr>
          <w:rStyle w:val="CommentaryTablenotesChar"/>
          <w:color w:val="auto"/>
        </w:rPr>
        <w:t>Source: Commentary Table 1</w:t>
      </w:r>
      <w:r w:rsidR="0027131E" w:rsidRPr="00E40A38">
        <w:rPr>
          <w:rStyle w:val="CommentaryTablenotesChar"/>
          <w:color w:val="auto"/>
        </w:rPr>
        <w:t>0</w:t>
      </w:r>
      <w:r w:rsidRPr="00E40A38">
        <w:rPr>
          <w:rStyle w:val="CommentaryTablenotesChar"/>
          <w:color w:val="auto"/>
        </w:rPr>
        <w:t xml:space="preserve"> of MSAC 1728 </w:t>
      </w:r>
      <w:proofErr w:type="spellStart"/>
      <w:r w:rsidRPr="00E40A38">
        <w:rPr>
          <w:rStyle w:val="CommentaryTablenotesChar"/>
          <w:color w:val="auto"/>
        </w:rPr>
        <w:t>ADAR+in-line</w:t>
      </w:r>
      <w:proofErr w:type="spellEnd"/>
      <w:r w:rsidRPr="00E40A38">
        <w:rPr>
          <w:rStyle w:val="CommentaryTablenotesChar"/>
          <w:color w:val="auto"/>
        </w:rPr>
        <w:t xml:space="preserve"> commentary.</w:t>
      </w:r>
    </w:p>
    <w:p w14:paraId="17BCFF3F" w14:textId="6C4B9B9D" w:rsidR="00823649" w:rsidRPr="00E40A38" w:rsidRDefault="00823649" w:rsidP="00823649">
      <w:r w:rsidRPr="00E40A38">
        <w:t>The Phase III study, HOPE-B (N=54) provide</w:t>
      </w:r>
      <w:r w:rsidR="00761011" w:rsidRPr="00E40A38">
        <w:t>d</w:t>
      </w:r>
      <w:r w:rsidRPr="00E40A38">
        <w:t xml:space="preserve"> the pivotal evidence while the other studies </w:t>
      </w:r>
      <w:r w:rsidR="001A7A9A" w:rsidRPr="00E40A38">
        <w:t>we</w:t>
      </w:r>
      <w:r w:rsidRPr="00E40A38">
        <w:t xml:space="preserve">re deemed supportive by the ADAR. The very small number of patients (N=3) limited the value of the Phase IIb study. The Phase I/II study with the </w:t>
      </w:r>
      <w:r w:rsidR="0022187F" w:rsidRPr="00E40A38">
        <w:t>precursor</w:t>
      </w:r>
      <w:r w:rsidRPr="00E40A38">
        <w:t xml:space="preserve"> gene construct was a dose-ranging study that employed the target dose (2</w:t>
      </w:r>
      <w:r w:rsidR="00011081" w:rsidRPr="00E40A38">
        <w:t> </w:t>
      </w:r>
      <w:r w:rsidRPr="00E40A38">
        <w:t>x</w:t>
      </w:r>
      <w:r w:rsidR="00011081" w:rsidRPr="00E40A38">
        <w:t> </w:t>
      </w:r>
      <w:r w:rsidRPr="00E40A38">
        <w:t>10</w:t>
      </w:r>
      <w:r w:rsidRPr="00E40A38">
        <w:rPr>
          <w:vertAlign w:val="superscript"/>
        </w:rPr>
        <w:t>13</w:t>
      </w:r>
      <w:r w:rsidRPr="00E40A38">
        <w:t xml:space="preserve"> </w:t>
      </w:r>
      <w:proofErr w:type="spellStart"/>
      <w:r w:rsidRPr="00E40A38">
        <w:t>gc</w:t>
      </w:r>
      <w:proofErr w:type="spellEnd"/>
      <w:r w:rsidRPr="00E40A38">
        <w:t>/kg) in half the cohort</w:t>
      </w:r>
      <w:r w:rsidR="004B5CAD" w:rsidRPr="00E40A38">
        <w:t xml:space="preserve"> (N=5)</w:t>
      </w:r>
      <w:r w:rsidRPr="00E40A38">
        <w:t xml:space="preserve">. The ADAR did not synthesise results across the studies </w:t>
      </w:r>
      <w:r w:rsidR="008C1033" w:rsidRPr="00E40A38">
        <w:t xml:space="preserve">with </w:t>
      </w:r>
      <w:r w:rsidRPr="00E40A38">
        <w:t>either a meta-analysis or narratively.</w:t>
      </w:r>
    </w:p>
    <w:p w14:paraId="4898C8C9" w14:textId="1AD8751A" w:rsidR="00823649" w:rsidRPr="00E40A38" w:rsidRDefault="00823649" w:rsidP="00823649">
      <w:r w:rsidRPr="00E40A38">
        <w:t xml:space="preserve">HOPE-B was an open-label, single arm study with a </w:t>
      </w:r>
      <w:r w:rsidR="00011081" w:rsidRPr="00E40A38">
        <w:t>before-and-</w:t>
      </w:r>
      <w:r w:rsidRPr="00E40A38">
        <w:t>after design, designated an interrupted time series by the commentary. Eligible patients underwent a lead-in period of 6</w:t>
      </w:r>
      <w:r w:rsidR="00D37A39" w:rsidRPr="00E40A38">
        <w:t xml:space="preserve"> </w:t>
      </w:r>
      <w:r w:rsidRPr="00E40A38">
        <w:t>months prior to treatment</w:t>
      </w:r>
      <w:r w:rsidR="00E12327" w:rsidRPr="00E40A38">
        <w:t xml:space="preserve"> with </w:t>
      </w:r>
      <w:r w:rsidR="004A7023">
        <w:t>Hemgenix</w:t>
      </w:r>
      <w:r w:rsidRPr="00E40A38">
        <w:t>.</w:t>
      </w:r>
    </w:p>
    <w:p w14:paraId="285BAA00" w14:textId="7D11163F" w:rsidR="00823649" w:rsidRPr="00E40A38" w:rsidRDefault="00823649" w:rsidP="00823649">
      <w:r w:rsidRPr="00E40A38">
        <w:t xml:space="preserve">The median duration of follow-up at the time of the 3-year data </w:t>
      </w:r>
      <w:r w:rsidR="005E4C8C" w:rsidRPr="00E40A38">
        <w:t xml:space="preserve">(provided for review) </w:t>
      </w:r>
      <w:r w:rsidRPr="00E40A38">
        <w:t>was 36.2 months (range 12.1–48.0 months). For analyses specifically using data up to the 36-month visit</w:t>
      </w:r>
      <w:r w:rsidR="00E83B93" w:rsidRPr="00E40A38">
        <w:t>,</w:t>
      </w:r>
      <w:r w:rsidRPr="00E40A38">
        <w:t xml:space="preserve"> this corresponds to a median post-treatment duration of 36.1 months (range 12.1–39.0 months). The median duration of the lead-in period for the 54 patients who received </w:t>
      </w:r>
      <w:r w:rsidR="004A7023">
        <w:t>Hemgenix</w:t>
      </w:r>
      <w:r w:rsidRPr="00E40A38">
        <w:t xml:space="preserve"> was 7.1 months (range 6.0–10.6 months). </w:t>
      </w:r>
    </w:p>
    <w:p w14:paraId="476F435E" w14:textId="1DFC5867" w:rsidR="00DA1F2A" w:rsidRPr="00E40A38" w:rsidRDefault="00DA1F2A" w:rsidP="00823649">
      <w:r w:rsidRPr="00E40A38">
        <w:t xml:space="preserve">HOPE-B patients were recruited across 33 </w:t>
      </w:r>
      <w:r w:rsidR="005061E6">
        <w:t>study</w:t>
      </w:r>
      <w:r w:rsidR="005061E6" w:rsidRPr="00E40A38">
        <w:t xml:space="preserve"> </w:t>
      </w:r>
      <w:r w:rsidRPr="00E40A38">
        <w:t xml:space="preserve">sites leading to a correspondingly small number of patients per site (1.6 patients </w:t>
      </w:r>
      <w:r w:rsidR="00235FCF" w:rsidRPr="00E40A38">
        <w:t>per site</w:t>
      </w:r>
      <w:r w:rsidRPr="00E40A38">
        <w:t>). Although this is difficult to avoid for an orphan indication, it is likely to introduce further risk of bias and the potential for confounding.</w:t>
      </w:r>
    </w:p>
    <w:p w14:paraId="5F9599D0" w14:textId="39D2FE72" w:rsidR="00823649" w:rsidRPr="00E40A38" w:rsidRDefault="00823649" w:rsidP="00823649">
      <w:r w:rsidRPr="00E40A38">
        <w:t>The study was directly applicable to the clinical question</w:t>
      </w:r>
      <w:r w:rsidR="00484868" w:rsidRPr="00E40A38">
        <w:t>;</w:t>
      </w:r>
      <w:r w:rsidRPr="00E40A38">
        <w:t xml:space="preserve"> the study inclusion and exclusion criteria were aligned with the PICO population. The commentary considered the HOPE-B study was reasonably well designed but at inherently high risk of bias given the single arm, open label design. </w:t>
      </w:r>
    </w:p>
    <w:p w14:paraId="093ABC46" w14:textId="138F6ABF" w:rsidR="00823649" w:rsidRPr="00E40A38" w:rsidRDefault="00823649" w:rsidP="00823649">
      <w:r w:rsidRPr="00E40A38">
        <w:t xml:space="preserve">The commentary noted the primary objective of the HOPE-B study, when it commenced, was to demonstrate the effect of </w:t>
      </w:r>
      <w:r w:rsidR="004A7023">
        <w:t>Hemgenix</w:t>
      </w:r>
      <w:r w:rsidRPr="00E40A38">
        <w:t xml:space="preserve"> on endogenous FIX activity at 6 months post-treatment. A series of protocol amendments were implemented after study commencement, including a change to the primary endpoint to determination of </w:t>
      </w:r>
      <w:r w:rsidR="00AA3125" w:rsidRPr="00E40A38">
        <w:t>annualised bleed rate (</w:t>
      </w:r>
      <w:r w:rsidRPr="00E40A38">
        <w:t>ABR</w:t>
      </w:r>
      <w:r w:rsidR="00AA3125" w:rsidRPr="00E40A38">
        <w:t>)</w:t>
      </w:r>
      <w:r w:rsidRPr="00E40A38">
        <w:t xml:space="preserve"> at 52 weeks post-treatment. In the same protocol amendment, the timeframe the ABR analysis commenced was changed from post-treatment Day 21 to post-treatment Month 7. HOPE-B patients were dosed between January 2019 and March 2020. The protocol amendment was dated 28 June 2021, around 4 months prior to database lock for the 18-month analysis. </w:t>
      </w:r>
    </w:p>
    <w:p w14:paraId="2D5578A3" w14:textId="2F1211DD" w:rsidR="00823649" w:rsidRPr="00E40A38" w:rsidRDefault="00823649" w:rsidP="00823649">
      <w:r w:rsidRPr="00E40A38">
        <w:t xml:space="preserve">Given that investigators were not blinded to patient FIX levels and bleeds, the </w:t>
      </w:r>
      <w:r w:rsidR="00463B08" w:rsidRPr="00E40A38">
        <w:t>commentary</w:t>
      </w:r>
      <w:r w:rsidRPr="00E40A38">
        <w:t xml:space="preserve"> </w:t>
      </w:r>
      <w:r w:rsidR="00530A31" w:rsidRPr="00E40A38">
        <w:t>inferred</w:t>
      </w:r>
      <w:r w:rsidRPr="00E40A38">
        <w:t xml:space="preserve"> that these changes to the primary endpoint were made </w:t>
      </w:r>
      <w:proofErr w:type="gramStart"/>
      <w:r w:rsidRPr="00E40A38">
        <w:t>subsequent to</w:t>
      </w:r>
      <w:proofErr w:type="gramEnd"/>
      <w:r w:rsidRPr="00E40A38">
        <w:t xml:space="preserve"> post-treatment results as they emerged and therefore did not consider the primary endpoint of the study to be pre-specified. </w:t>
      </w:r>
    </w:p>
    <w:p w14:paraId="3E5D2E10" w14:textId="0AEF4A74" w:rsidR="00823649" w:rsidRPr="00E40A38" w:rsidRDefault="00823649" w:rsidP="00CF622D">
      <w:r w:rsidRPr="00E40A38">
        <w:t xml:space="preserve">Three main analyses were presented for this ongoing </w:t>
      </w:r>
      <w:r w:rsidR="005061E6">
        <w:t>study</w:t>
      </w:r>
      <w:r w:rsidRPr="00E40A38">
        <w:t>: the prespecified interim analysis for the primary efficacy endpoint (18 months) and two additional analyses (24 months pre-specified interim analysis and 36 months post-hoc analysis</w:t>
      </w:r>
      <w:r w:rsidRPr="00434980">
        <w:t xml:space="preserve">). No </w:t>
      </w:r>
      <w:r w:rsidR="00530A31" w:rsidRPr="00434980">
        <w:t>clinical study report (</w:t>
      </w:r>
      <w:r w:rsidRPr="00434980">
        <w:t>CSR</w:t>
      </w:r>
      <w:r w:rsidR="00530A31" w:rsidRPr="00434980">
        <w:t>)</w:t>
      </w:r>
      <w:r w:rsidRPr="00434980">
        <w:t xml:space="preserve"> is planned for the 3-year data. A final analysis will be performed at 5 years post treatment when the </w:t>
      </w:r>
      <w:r w:rsidR="005061E6" w:rsidRPr="00434980">
        <w:t xml:space="preserve">study </w:t>
      </w:r>
      <w:r w:rsidRPr="00434980">
        <w:t>concludes (in 2025).</w:t>
      </w:r>
    </w:p>
    <w:p w14:paraId="732B08C5" w14:textId="5388FB17" w:rsidR="00823649" w:rsidRPr="00E40A38" w:rsidRDefault="00823649" w:rsidP="00823649">
      <w:pPr>
        <w:pStyle w:val="Heading3"/>
      </w:pPr>
      <w:r w:rsidRPr="00E40A38">
        <w:t xml:space="preserve">Evidence for the anti-AAV5 </w:t>
      </w:r>
      <w:proofErr w:type="spellStart"/>
      <w:r w:rsidRPr="00E40A38">
        <w:t>NAb</w:t>
      </w:r>
      <w:proofErr w:type="spellEnd"/>
      <w:r w:rsidRPr="00E40A38">
        <w:t xml:space="preserve"> titre </w:t>
      </w:r>
      <w:proofErr w:type="gramStart"/>
      <w:r w:rsidRPr="00E40A38">
        <w:t>assay</w:t>
      </w:r>
      <w:proofErr w:type="gramEnd"/>
    </w:p>
    <w:p w14:paraId="546C13CD" w14:textId="16730695" w:rsidR="006B70FE" w:rsidRPr="00E40A38" w:rsidRDefault="006B70FE" w:rsidP="006B70FE">
      <w:r w:rsidRPr="00E40A38">
        <w:t xml:space="preserve">The HOPE-B </w:t>
      </w:r>
      <w:r w:rsidR="003F4ED8">
        <w:t>study</w:t>
      </w:r>
      <w:r w:rsidRPr="00E40A38">
        <w:t xml:space="preserve"> also provide</w:t>
      </w:r>
      <w:r w:rsidR="004B302A" w:rsidRPr="00E40A38">
        <w:t>d</w:t>
      </w:r>
      <w:r w:rsidRPr="00E40A38">
        <w:t xml:space="preserve"> direct evidence for the predictive effect of the anti-AAV5 </w:t>
      </w:r>
      <w:proofErr w:type="spellStart"/>
      <w:r w:rsidRPr="00E40A38">
        <w:t>NAb</w:t>
      </w:r>
      <w:proofErr w:type="spellEnd"/>
      <w:r w:rsidRPr="00E40A38">
        <w:t xml:space="preserve"> assay with respect to treatment outcome (</w:t>
      </w:r>
      <w:r w:rsidRPr="00E40A38">
        <w:fldChar w:fldCharType="begin"/>
      </w:r>
      <w:r w:rsidRPr="00E40A38">
        <w:instrText xml:space="preserve"> REF _Ref164196957 \h </w:instrText>
      </w:r>
      <w:r w:rsidR="00474734" w:rsidRPr="00E40A38">
        <w:instrText xml:space="preserve"> \* MERGEFORMAT </w:instrText>
      </w:r>
      <w:r w:rsidRPr="00E40A38">
        <w:fldChar w:fldCharType="separate"/>
      </w:r>
      <w:r w:rsidR="007207A8" w:rsidRPr="00E40A38">
        <w:t>Table </w:t>
      </w:r>
      <w:r w:rsidR="007207A8">
        <w:t>2</w:t>
      </w:r>
      <w:r w:rsidRPr="00E40A38">
        <w:fldChar w:fldCharType="end"/>
      </w:r>
      <w:r w:rsidRPr="00E40A38">
        <w:t xml:space="preserve">). No patients were excluded from the </w:t>
      </w:r>
      <w:r w:rsidR="005061E6">
        <w:t>study</w:t>
      </w:r>
      <w:r w:rsidR="005061E6" w:rsidRPr="00E40A38">
        <w:t xml:space="preserve"> </w:t>
      </w:r>
      <w:r w:rsidRPr="00E40A38">
        <w:t xml:space="preserve">based on pre-treatment anti-AAV5 </w:t>
      </w:r>
      <w:proofErr w:type="spellStart"/>
      <w:r w:rsidRPr="00E40A38">
        <w:t>NAb</w:t>
      </w:r>
      <w:proofErr w:type="spellEnd"/>
      <w:r w:rsidRPr="00E40A38">
        <w:t xml:space="preserve"> titre. </w:t>
      </w:r>
    </w:p>
    <w:p w14:paraId="514088BF" w14:textId="7F0508D5" w:rsidR="006B70FE" w:rsidRPr="00E40A38" w:rsidRDefault="006B70FE" w:rsidP="006B70FE">
      <w:pPr>
        <w:pStyle w:val="Caption"/>
        <w:rPr>
          <w:sz w:val="16"/>
          <w:szCs w:val="16"/>
        </w:rPr>
      </w:pPr>
      <w:bookmarkStart w:id="17" w:name="_Ref164196957"/>
      <w:r w:rsidRPr="00E40A38">
        <w:t>Table </w:t>
      </w:r>
      <w:r w:rsidR="00CC66FD">
        <w:fldChar w:fldCharType="begin"/>
      </w:r>
      <w:r w:rsidR="00CC66FD">
        <w:instrText xml:space="preserve"> SEQ Table \* ARABIC </w:instrText>
      </w:r>
      <w:r w:rsidR="00CC66FD">
        <w:fldChar w:fldCharType="separate"/>
      </w:r>
      <w:r w:rsidR="007207A8">
        <w:rPr>
          <w:noProof/>
        </w:rPr>
        <w:t>2</w:t>
      </w:r>
      <w:r w:rsidR="00CC66FD">
        <w:rPr>
          <w:noProof/>
        </w:rPr>
        <w:fldChar w:fldCharType="end"/>
      </w:r>
      <w:bookmarkEnd w:id="17"/>
      <w:r w:rsidRPr="00E40A38">
        <w:tab/>
        <w:t xml:space="preserve">Key features of the included evidence for assessing the 9-point anti-AAV5 </w:t>
      </w:r>
      <w:proofErr w:type="spellStart"/>
      <w:r w:rsidRPr="00E40A38">
        <w:t>NAb</w:t>
      </w:r>
      <w:proofErr w:type="spellEnd"/>
      <w:r w:rsidRPr="00E40A38">
        <w:t xml:space="preserve"> </w:t>
      </w:r>
      <w:proofErr w:type="gramStart"/>
      <w:r w:rsidRPr="00E40A38">
        <w:t>assay</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Key features of the included evidence for assessing the 9-point anti-AAV5 NAb assay"/>
        <w:tblDescription w:val="This table shows the key features of the included evidence for assessing the 9-point anti-AAV5 NAb assay"/>
      </w:tblPr>
      <w:tblGrid>
        <w:gridCol w:w="1816"/>
        <w:gridCol w:w="3325"/>
        <w:gridCol w:w="2084"/>
        <w:gridCol w:w="1791"/>
      </w:tblGrid>
      <w:tr w:rsidR="006B70FE" w:rsidRPr="00E40A38" w14:paraId="75CCDACA" w14:textId="77777777" w:rsidTr="00C915CD">
        <w:trPr>
          <w:tblHeader/>
        </w:trPr>
        <w:tc>
          <w:tcPr>
            <w:tcW w:w="1007" w:type="pct"/>
            <w:tcBorders>
              <w:top w:val="single" w:sz="4" w:space="0" w:color="auto"/>
              <w:left w:val="single" w:sz="4" w:space="0" w:color="auto"/>
              <w:bottom w:val="single" w:sz="4" w:space="0" w:color="auto"/>
              <w:right w:val="single" w:sz="4" w:space="0" w:color="auto"/>
            </w:tcBorders>
            <w:vAlign w:val="bottom"/>
          </w:tcPr>
          <w:p w14:paraId="33CAE918" w14:textId="77777777" w:rsidR="006B70FE" w:rsidRPr="00E40A38" w:rsidRDefault="006B70FE">
            <w:pPr>
              <w:pStyle w:val="TableText"/>
              <w:keepNext/>
              <w:rPr>
                <w:b/>
              </w:rPr>
            </w:pPr>
            <w:r w:rsidRPr="00E40A38">
              <w:rPr>
                <w:b/>
              </w:rPr>
              <w:t>Criterion</w:t>
            </w:r>
          </w:p>
        </w:tc>
        <w:tc>
          <w:tcPr>
            <w:tcW w:w="1844" w:type="pct"/>
            <w:tcBorders>
              <w:top w:val="single" w:sz="4" w:space="0" w:color="auto"/>
              <w:left w:val="single" w:sz="4" w:space="0" w:color="auto"/>
              <w:bottom w:val="single" w:sz="4" w:space="0" w:color="auto"/>
              <w:right w:val="single" w:sz="4" w:space="0" w:color="auto"/>
            </w:tcBorders>
            <w:vAlign w:val="bottom"/>
            <w:hideMark/>
          </w:tcPr>
          <w:p w14:paraId="0A5D122B" w14:textId="77777777" w:rsidR="006B70FE" w:rsidRPr="00E40A38" w:rsidRDefault="006B70FE">
            <w:pPr>
              <w:pStyle w:val="TableText"/>
              <w:keepNext/>
              <w:rPr>
                <w:b/>
              </w:rPr>
            </w:pPr>
            <w:r w:rsidRPr="00E40A38">
              <w:rPr>
                <w:b/>
              </w:rPr>
              <w:t>Type of evidence supplied</w:t>
            </w:r>
          </w:p>
        </w:tc>
        <w:tc>
          <w:tcPr>
            <w:tcW w:w="1156" w:type="pct"/>
            <w:tcBorders>
              <w:top w:val="single" w:sz="4" w:space="0" w:color="auto"/>
              <w:left w:val="single" w:sz="4" w:space="0" w:color="auto"/>
              <w:bottom w:val="single" w:sz="4" w:space="0" w:color="auto"/>
              <w:right w:val="single" w:sz="4" w:space="0" w:color="auto"/>
            </w:tcBorders>
            <w:vAlign w:val="bottom"/>
            <w:hideMark/>
          </w:tcPr>
          <w:p w14:paraId="2F8EA3EF" w14:textId="77777777" w:rsidR="006B70FE" w:rsidRPr="00E40A38" w:rsidRDefault="006B70FE">
            <w:pPr>
              <w:pStyle w:val="TableText"/>
              <w:keepNext/>
              <w:rPr>
                <w:b/>
              </w:rPr>
            </w:pPr>
            <w:r w:rsidRPr="00E40A38">
              <w:rPr>
                <w:b/>
              </w:rPr>
              <w:t>Extent of evidence supplied</w:t>
            </w:r>
          </w:p>
        </w:tc>
        <w:tc>
          <w:tcPr>
            <w:tcW w:w="993" w:type="pct"/>
            <w:tcBorders>
              <w:top w:val="single" w:sz="4" w:space="0" w:color="auto"/>
              <w:left w:val="single" w:sz="4" w:space="0" w:color="auto"/>
              <w:bottom w:val="single" w:sz="4" w:space="0" w:color="auto"/>
              <w:right w:val="single" w:sz="4" w:space="0" w:color="auto"/>
            </w:tcBorders>
            <w:vAlign w:val="bottom"/>
            <w:hideMark/>
          </w:tcPr>
          <w:p w14:paraId="0E33D707" w14:textId="77777777" w:rsidR="006B70FE" w:rsidRPr="00E40A38" w:rsidRDefault="006B70FE">
            <w:pPr>
              <w:pStyle w:val="TableText"/>
              <w:keepNext/>
              <w:rPr>
                <w:b/>
              </w:rPr>
            </w:pPr>
            <w:r w:rsidRPr="00E40A38">
              <w:rPr>
                <w:b/>
              </w:rPr>
              <w:t>Overall risk of bias in evidence base</w:t>
            </w:r>
          </w:p>
        </w:tc>
      </w:tr>
      <w:tr w:rsidR="006B70FE" w:rsidRPr="00E40A38" w14:paraId="2959EC1E" w14:textId="77777777" w:rsidTr="00C915CD">
        <w:trPr>
          <w:tblHeader/>
        </w:trPr>
        <w:tc>
          <w:tcPr>
            <w:tcW w:w="1007" w:type="pct"/>
            <w:tcBorders>
              <w:top w:val="single" w:sz="4" w:space="0" w:color="auto"/>
              <w:left w:val="single" w:sz="4" w:space="0" w:color="auto"/>
              <w:bottom w:val="single" w:sz="4" w:space="0" w:color="auto"/>
              <w:right w:val="single" w:sz="4" w:space="0" w:color="auto"/>
            </w:tcBorders>
          </w:tcPr>
          <w:p w14:paraId="4EF280E0" w14:textId="77777777" w:rsidR="006B70FE" w:rsidRPr="00E40A38" w:rsidRDefault="006B70FE" w:rsidP="00D62869">
            <w:pPr>
              <w:pStyle w:val="TableText"/>
            </w:pPr>
            <w:r w:rsidRPr="00E40A38">
              <w:t>Correlation</w:t>
            </w:r>
          </w:p>
        </w:tc>
        <w:tc>
          <w:tcPr>
            <w:tcW w:w="1844" w:type="pct"/>
            <w:tcBorders>
              <w:top w:val="single" w:sz="4" w:space="0" w:color="auto"/>
              <w:left w:val="single" w:sz="4" w:space="0" w:color="auto"/>
              <w:bottom w:val="single" w:sz="4" w:space="0" w:color="auto"/>
              <w:right w:val="single" w:sz="4" w:space="0" w:color="auto"/>
            </w:tcBorders>
            <w:vAlign w:val="bottom"/>
          </w:tcPr>
          <w:p w14:paraId="4846F734" w14:textId="77777777" w:rsidR="006B70FE" w:rsidRPr="00E40A38" w:rsidRDefault="006B70FE">
            <w:pPr>
              <w:pStyle w:val="TableText"/>
            </w:pPr>
            <w:r w:rsidRPr="00E40A38">
              <w:t>Unpublished cross-sectional comparison of index test compared to clinical utility standard</w:t>
            </w:r>
          </w:p>
        </w:tc>
        <w:tc>
          <w:tcPr>
            <w:tcW w:w="1156" w:type="pct"/>
            <w:tcBorders>
              <w:top w:val="single" w:sz="4" w:space="0" w:color="auto"/>
              <w:left w:val="single" w:sz="4" w:space="0" w:color="auto"/>
              <w:bottom w:val="single" w:sz="4" w:space="0" w:color="auto"/>
              <w:right w:val="single" w:sz="4" w:space="0" w:color="auto"/>
            </w:tcBorders>
          </w:tcPr>
          <w:p w14:paraId="658659F5" w14:textId="39FB182B" w:rsidR="006B70FE" w:rsidRPr="00E40A38" w:rsidRDefault="00AC3B18" w:rsidP="008D313C">
            <w:pPr>
              <w:pStyle w:val="TableText"/>
            </w:pPr>
            <w:sdt>
              <w:sdtPr>
                <w:id w:val="-1422487125"/>
                <w14:checkbox>
                  <w14:checked w14:val="1"/>
                  <w14:checkedState w14:val="2612" w14:font="MS Gothic"/>
                  <w14:uncheckedState w14:val="2610" w14:font="MS Gothic"/>
                </w14:checkbox>
              </w:sdtPr>
              <w:sdtEndPr/>
              <w:sdtContent>
                <w:r w:rsidR="006B70FE" w:rsidRPr="00E40A38">
                  <w:rPr>
                    <w:rFonts w:ascii="MS Gothic" w:eastAsia="MS Gothic" w:hAnsi="MS Gothic" w:hint="eastAsia"/>
                  </w:rPr>
                  <w:t>☒</w:t>
                </w:r>
              </w:sdtContent>
            </w:sdt>
            <w:r w:rsidR="006B70FE" w:rsidRPr="00E40A38">
              <w:tab/>
              <w:t>k=1</w:t>
            </w:r>
            <w:r w:rsidR="00733372" w:rsidRPr="00E40A38">
              <w:tab/>
            </w:r>
            <w:r w:rsidR="006B70FE" w:rsidRPr="00E40A38">
              <w:t>n=30</w:t>
            </w:r>
          </w:p>
        </w:tc>
        <w:tc>
          <w:tcPr>
            <w:tcW w:w="993" w:type="pct"/>
            <w:tcBorders>
              <w:top w:val="single" w:sz="4" w:space="0" w:color="auto"/>
              <w:left w:val="single" w:sz="4" w:space="0" w:color="auto"/>
              <w:bottom w:val="single" w:sz="4" w:space="0" w:color="auto"/>
              <w:right w:val="single" w:sz="4" w:space="0" w:color="auto"/>
            </w:tcBorders>
          </w:tcPr>
          <w:p w14:paraId="6E360490" w14:textId="77777777" w:rsidR="006B70FE" w:rsidRPr="00E40A38" w:rsidRDefault="006B70FE" w:rsidP="008D313C">
            <w:pPr>
              <w:pStyle w:val="TableText"/>
            </w:pPr>
            <w:r w:rsidRPr="00E40A38">
              <w:t>Not assessed</w:t>
            </w:r>
          </w:p>
        </w:tc>
      </w:tr>
      <w:tr w:rsidR="006B70FE" w:rsidRPr="00E40A38" w14:paraId="3ED96D52" w14:textId="77777777" w:rsidTr="00C915CD">
        <w:tc>
          <w:tcPr>
            <w:tcW w:w="1007" w:type="pct"/>
            <w:tcBorders>
              <w:top w:val="single" w:sz="4" w:space="0" w:color="auto"/>
              <w:left w:val="single" w:sz="4" w:space="0" w:color="auto"/>
              <w:bottom w:val="single" w:sz="4" w:space="0" w:color="auto"/>
              <w:right w:val="single" w:sz="4" w:space="0" w:color="auto"/>
            </w:tcBorders>
            <w:hideMark/>
          </w:tcPr>
          <w:p w14:paraId="79C412A3" w14:textId="77777777" w:rsidR="006B70FE" w:rsidRPr="00E40A38" w:rsidRDefault="006B70FE">
            <w:pPr>
              <w:pStyle w:val="TableText"/>
              <w:keepNext/>
            </w:pPr>
            <w:r w:rsidRPr="00E40A38">
              <w:t>Accuracy and performance of the test (cross-sectional accuracy)</w:t>
            </w:r>
          </w:p>
        </w:tc>
        <w:tc>
          <w:tcPr>
            <w:tcW w:w="1844" w:type="pct"/>
            <w:tcBorders>
              <w:top w:val="single" w:sz="4" w:space="0" w:color="auto"/>
              <w:left w:val="single" w:sz="4" w:space="0" w:color="auto"/>
              <w:bottom w:val="single" w:sz="4" w:space="0" w:color="auto"/>
              <w:right w:val="single" w:sz="4" w:space="0" w:color="auto"/>
            </w:tcBorders>
            <w:hideMark/>
          </w:tcPr>
          <w:p w14:paraId="720BEBF3" w14:textId="77777777" w:rsidR="006B70FE" w:rsidRPr="00E40A38" w:rsidRDefault="006B70FE">
            <w:pPr>
              <w:pStyle w:val="TableText"/>
              <w:keepNext/>
            </w:pPr>
            <w:r w:rsidRPr="00E40A38">
              <w:t>No studies (note there is no established reference standard)</w:t>
            </w:r>
          </w:p>
        </w:tc>
        <w:tc>
          <w:tcPr>
            <w:tcW w:w="1156" w:type="pct"/>
            <w:tcBorders>
              <w:top w:val="single" w:sz="4" w:space="0" w:color="auto"/>
              <w:left w:val="single" w:sz="4" w:space="0" w:color="auto"/>
              <w:bottom w:val="single" w:sz="4" w:space="0" w:color="auto"/>
              <w:right w:val="single" w:sz="4" w:space="0" w:color="auto"/>
            </w:tcBorders>
            <w:hideMark/>
          </w:tcPr>
          <w:p w14:paraId="4E67C97B" w14:textId="77777777" w:rsidR="006B70FE" w:rsidRPr="00E40A38" w:rsidRDefault="00AC3B18">
            <w:pPr>
              <w:pStyle w:val="TableText"/>
              <w:keepNext/>
            </w:pPr>
            <w:sdt>
              <w:sdtPr>
                <w:id w:val="-461118462"/>
                <w14:checkbox>
                  <w14:checked w14:val="0"/>
                  <w14:checkedState w14:val="2612" w14:font="MS Gothic"/>
                  <w14:uncheckedState w14:val="2610" w14:font="MS Gothic"/>
                </w14:checkbox>
              </w:sdtPr>
              <w:sdtEndPr/>
              <w:sdtContent>
                <w:r w:rsidR="006B70FE" w:rsidRPr="00E40A38">
                  <w:rPr>
                    <w:rFonts w:ascii="MS Gothic" w:eastAsia="MS Gothic" w:hAnsi="MS Gothic" w:hint="eastAsia"/>
                    <w:lang w:val="en-US"/>
                  </w:rPr>
                  <w:t>☐</w:t>
                </w:r>
              </w:sdtContent>
            </w:sdt>
            <w:r w:rsidR="006B70FE" w:rsidRPr="00E40A38">
              <w:tab/>
              <w:t>k=0</w:t>
            </w:r>
            <w:r w:rsidR="006B70FE" w:rsidRPr="00E40A38">
              <w:tab/>
              <w:t>n=0</w:t>
            </w:r>
          </w:p>
        </w:tc>
        <w:tc>
          <w:tcPr>
            <w:tcW w:w="993" w:type="pct"/>
            <w:tcBorders>
              <w:top w:val="single" w:sz="4" w:space="0" w:color="auto"/>
              <w:left w:val="single" w:sz="4" w:space="0" w:color="auto"/>
              <w:bottom w:val="single" w:sz="4" w:space="0" w:color="auto"/>
              <w:right w:val="single" w:sz="4" w:space="0" w:color="auto"/>
            </w:tcBorders>
            <w:hideMark/>
          </w:tcPr>
          <w:p w14:paraId="7EA9456D" w14:textId="77777777" w:rsidR="006B70FE" w:rsidRPr="00E40A38" w:rsidRDefault="006B70FE">
            <w:pPr>
              <w:pStyle w:val="TableText"/>
              <w:keepNext/>
            </w:pPr>
            <w:r w:rsidRPr="00E40A38">
              <w:t>NA</w:t>
            </w:r>
          </w:p>
        </w:tc>
      </w:tr>
      <w:tr w:rsidR="006B70FE" w:rsidRPr="00E40A38" w14:paraId="48771863" w14:textId="77777777" w:rsidTr="00C915CD">
        <w:tc>
          <w:tcPr>
            <w:tcW w:w="1007" w:type="pct"/>
            <w:tcBorders>
              <w:top w:val="single" w:sz="4" w:space="0" w:color="auto"/>
              <w:left w:val="single" w:sz="4" w:space="0" w:color="auto"/>
              <w:bottom w:val="single" w:sz="4" w:space="0" w:color="auto"/>
              <w:right w:val="single" w:sz="4" w:space="0" w:color="auto"/>
            </w:tcBorders>
            <w:hideMark/>
          </w:tcPr>
          <w:p w14:paraId="3643AD0B" w14:textId="77777777" w:rsidR="006B70FE" w:rsidRPr="00E40A38" w:rsidRDefault="00AC3B18">
            <w:pPr>
              <w:pStyle w:val="TableText"/>
              <w:keepNext/>
            </w:pPr>
            <w:sdt>
              <w:sdtPr>
                <w:id w:val="2101752436"/>
                <w14:checkbox>
                  <w14:checked w14:val="0"/>
                  <w14:checkedState w14:val="2612" w14:font="MS Gothic"/>
                  <w14:uncheckedState w14:val="2610" w14:font="MS Gothic"/>
                </w14:checkbox>
              </w:sdtPr>
              <w:sdtEndPr/>
              <w:sdtContent>
                <w:r w:rsidR="006B70FE" w:rsidRPr="00E40A38">
                  <w:t>C</w:t>
                </w:r>
              </w:sdtContent>
            </w:sdt>
            <w:proofErr w:type="spellStart"/>
            <w:r w:rsidR="006B70FE" w:rsidRPr="00E40A38">
              <w:t>hange</w:t>
            </w:r>
            <w:proofErr w:type="spellEnd"/>
            <w:r w:rsidR="006B70FE" w:rsidRPr="00E40A38">
              <w:t xml:space="preserve"> in patient management </w:t>
            </w:r>
          </w:p>
        </w:tc>
        <w:tc>
          <w:tcPr>
            <w:tcW w:w="1844" w:type="pct"/>
            <w:tcBorders>
              <w:top w:val="single" w:sz="4" w:space="0" w:color="auto"/>
              <w:left w:val="single" w:sz="4" w:space="0" w:color="auto"/>
              <w:bottom w:val="single" w:sz="4" w:space="0" w:color="auto"/>
              <w:right w:val="single" w:sz="4" w:space="0" w:color="auto"/>
            </w:tcBorders>
            <w:hideMark/>
          </w:tcPr>
          <w:p w14:paraId="5D52590F" w14:textId="77777777" w:rsidR="006B70FE" w:rsidRPr="00E40A38" w:rsidRDefault="006B70FE">
            <w:pPr>
              <w:pStyle w:val="TableText"/>
              <w:keepNext/>
            </w:pPr>
            <w:r w:rsidRPr="00E40A38">
              <w:t>No studies</w:t>
            </w:r>
          </w:p>
        </w:tc>
        <w:tc>
          <w:tcPr>
            <w:tcW w:w="1156" w:type="pct"/>
            <w:tcBorders>
              <w:top w:val="single" w:sz="4" w:space="0" w:color="auto"/>
              <w:left w:val="single" w:sz="4" w:space="0" w:color="auto"/>
              <w:bottom w:val="single" w:sz="4" w:space="0" w:color="auto"/>
              <w:right w:val="single" w:sz="4" w:space="0" w:color="auto"/>
            </w:tcBorders>
            <w:hideMark/>
          </w:tcPr>
          <w:p w14:paraId="3B2F7B07" w14:textId="77777777" w:rsidR="006B70FE" w:rsidRPr="00E40A38" w:rsidRDefault="00AC3B18">
            <w:pPr>
              <w:pStyle w:val="TableText"/>
              <w:keepNext/>
            </w:pPr>
            <w:sdt>
              <w:sdtPr>
                <w:id w:val="-396367467"/>
                <w14:checkbox>
                  <w14:checked w14:val="0"/>
                  <w14:checkedState w14:val="2612" w14:font="MS Gothic"/>
                  <w14:uncheckedState w14:val="2610" w14:font="MS Gothic"/>
                </w14:checkbox>
              </w:sdtPr>
              <w:sdtEndPr/>
              <w:sdtContent>
                <w:r w:rsidR="006B70FE" w:rsidRPr="00E40A38">
                  <w:rPr>
                    <w:rFonts w:ascii="MS Gothic" w:eastAsia="MS Gothic" w:hAnsi="MS Gothic" w:hint="eastAsia"/>
                    <w:lang w:val="en-US"/>
                  </w:rPr>
                  <w:t>☐</w:t>
                </w:r>
              </w:sdtContent>
            </w:sdt>
            <w:r w:rsidR="006B70FE" w:rsidRPr="00E40A38">
              <w:tab/>
              <w:t>k=0</w:t>
            </w:r>
            <w:r w:rsidR="006B70FE" w:rsidRPr="00E40A38">
              <w:tab/>
              <w:t>n=0</w:t>
            </w:r>
          </w:p>
        </w:tc>
        <w:tc>
          <w:tcPr>
            <w:tcW w:w="993" w:type="pct"/>
            <w:tcBorders>
              <w:top w:val="single" w:sz="4" w:space="0" w:color="auto"/>
              <w:left w:val="single" w:sz="4" w:space="0" w:color="auto"/>
              <w:bottom w:val="single" w:sz="4" w:space="0" w:color="auto"/>
              <w:right w:val="single" w:sz="4" w:space="0" w:color="auto"/>
            </w:tcBorders>
            <w:hideMark/>
          </w:tcPr>
          <w:p w14:paraId="278F8892" w14:textId="77777777" w:rsidR="006B70FE" w:rsidRPr="00E40A38" w:rsidRDefault="006B70FE">
            <w:pPr>
              <w:pStyle w:val="TableText"/>
              <w:keepNext/>
            </w:pPr>
            <w:r w:rsidRPr="00E40A38">
              <w:t>NA</w:t>
            </w:r>
          </w:p>
        </w:tc>
      </w:tr>
      <w:tr w:rsidR="006B70FE" w:rsidRPr="00E40A38" w14:paraId="27582ABF" w14:textId="77777777" w:rsidTr="00C915CD">
        <w:tc>
          <w:tcPr>
            <w:tcW w:w="1007" w:type="pct"/>
            <w:tcBorders>
              <w:top w:val="nil"/>
              <w:left w:val="single" w:sz="4" w:space="0" w:color="auto"/>
              <w:bottom w:val="single" w:sz="4" w:space="0" w:color="auto"/>
              <w:right w:val="single" w:sz="4" w:space="0" w:color="auto"/>
            </w:tcBorders>
          </w:tcPr>
          <w:p w14:paraId="1BEF7585" w14:textId="77777777" w:rsidR="006B70FE" w:rsidRPr="00E40A38" w:rsidRDefault="00AC3B18">
            <w:pPr>
              <w:pStyle w:val="TableText"/>
              <w:keepNext/>
            </w:pPr>
            <w:sdt>
              <w:sdtPr>
                <w:id w:val="1385912277"/>
                <w14:checkbox>
                  <w14:checked w14:val="0"/>
                  <w14:checkedState w14:val="2612" w14:font="MS Gothic"/>
                  <w14:uncheckedState w14:val="2610" w14:font="MS Gothic"/>
                </w14:checkbox>
              </w:sdtPr>
              <w:sdtEndPr/>
              <w:sdtContent>
                <w:r w:rsidR="006B70FE" w:rsidRPr="00E40A38">
                  <w:t>P</w:t>
                </w:r>
              </w:sdtContent>
            </w:sdt>
            <w:proofErr w:type="spellStart"/>
            <w:r w:rsidR="006B70FE" w:rsidRPr="00E40A38">
              <w:t>redictive</w:t>
            </w:r>
            <w:proofErr w:type="spellEnd"/>
            <w:r w:rsidR="006B70FE" w:rsidRPr="00E40A38">
              <w:t xml:space="preserve"> effect (treatment effect variation) </w:t>
            </w:r>
          </w:p>
        </w:tc>
        <w:tc>
          <w:tcPr>
            <w:tcW w:w="1844" w:type="pct"/>
            <w:tcBorders>
              <w:top w:val="nil"/>
              <w:left w:val="single" w:sz="4" w:space="0" w:color="auto"/>
              <w:bottom w:val="single" w:sz="4" w:space="0" w:color="auto"/>
              <w:right w:val="single" w:sz="4" w:space="0" w:color="auto"/>
            </w:tcBorders>
          </w:tcPr>
          <w:p w14:paraId="4C7C23D7" w14:textId="77777777" w:rsidR="006B70FE" w:rsidRPr="00E40A38" w:rsidRDefault="006B70FE">
            <w:pPr>
              <w:pStyle w:val="TableText"/>
              <w:keepNext/>
            </w:pPr>
            <w:r w:rsidRPr="00E40A38">
              <w:t xml:space="preserve">Comparison of outcomes in patients with pre-existing anti-AAV5 </w:t>
            </w:r>
            <w:proofErr w:type="spellStart"/>
            <w:r w:rsidRPr="00E40A38">
              <w:t>NAb</w:t>
            </w:r>
            <w:proofErr w:type="spellEnd"/>
            <w:r w:rsidRPr="00E40A38">
              <w:t xml:space="preserve"> and without who received etranacogene dezaparvovec</w:t>
            </w:r>
          </w:p>
        </w:tc>
        <w:tc>
          <w:tcPr>
            <w:tcW w:w="1156" w:type="pct"/>
            <w:tcBorders>
              <w:top w:val="nil"/>
              <w:left w:val="single" w:sz="4" w:space="0" w:color="auto"/>
              <w:bottom w:val="single" w:sz="4" w:space="0" w:color="auto"/>
              <w:right w:val="single" w:sz="4" w:space="0" w:color="auto"/>
            </w:tcBorders>
          </w:tcPr>
          <w:p w14:paraId="7D4A87BA" w14:textId="179D08CA" w:rsidR="006B70FE" w:rsidRPr="00E40A38" w:rsidRDefault="00AC3B18">
            <w:pPr>
              <w:pStyle w:val="TableText"/>
              <w:keepNext/>
            </w:pPr>
            <w:sdt>
              <w:sdtPr>
                <w:id w:val="-625078808"/>
                <w14:checkbox>
                  <w14:checked w14:val="1"/>
                  <w14:checkedState w14:val="2612" w14:font="MS Gothic"/>
                  <w14:uncheckedState w14:val="2610" w14:font="MS Gothic"/>
                </w14:checkbox>
              </w:sdtPr>
              <w:sdtEndPr/>
              <w:sdtContent>
                <w:r w:rsidR="006B70FE" w:rsidRPr="00E40A38">
                  <w:rPr>
                    <w:rFonts w:ascii="MS Gothic" w:eastAsia="MS Gothic" w:hAnsi="MS Gothic" w:hint="eastAsia"/>
                  </w:rPr>
                  <w:t>☒</w:t>
                </w:r>
              </w:sdtContent>
            </w:sdt>
            <w:r w:rsidR="006B70FE" w:rsidRPr="00E40A38">
              <w:tab/>
              <w:t>k=1</w:t>
            </w:r>
            <w:r w:rsidR="006B70FE" w:rsidRPr="00E40A38">
              <w:tab/>
              <w:t xml:space="preserve">n=54 (21 with pre-existing anti-AAV5 </w:t>
            </w:r>
            <w:proofErr w:type="spellStart"/>
            <w:r w:rsidR="006B70FE" w:rsidRPr="00E40A38">
              <w:t>NAbs</w:t>
            </w:r>
            <w:proofErr w:type="spellEnd"/>
            <w:r w:rsidR="006B70FE" w:rsidRPr="00E40A38">
              <w:t>)</w:t>
            </w:r>
          </w:p>
        </w:tc>
        <w:tc>
          <w:tcPr>
            <w:tcW w:w="993" w:type="pct"/>
            <w:tcBorders>
              <w:top w:val="nil"/>
              <w:left w:val="single" w:sz="4" w:space="0" w:color="auto"/>
              <w:bottom w:val="single" w:sz="4" w:space="0" w:color="auto"/>
              <w:right w:val="single" w:sz="4" w:space="0" w:color="auto"/>
            </w:tcBorders>
          </w:tcPr>
          <w:p w14:paraId="2F45E468" w14:textId="112F5D04" w:rsidR="006B70FE" w:rsidRPr="00E40A38" w:rsidRDefault="00665831">
            <w:pPr>
              <w:pStyle w:val="TableText"/>
              <w:keepNext/>
            </w:pPr>
            <w:r w:rsidRPr="00E40A38">
              <w:t>H</w:t>
            </w:r>
            <w:r w:rsidR="006B70FE" w:rsidRPr="00E40A38">
              <w:t>igh</w:t>
            </w:r>
          </w:p>
        </w:tc>
      </w:tr>
    </w:tbl>
    <w:p w14:paraId="7C6CA75E" w14:textId="2EB49129" w:rsidR="006B70FE" w:rsidRPr="00E40A38" w:rsidRDefault="006B70FE" w:rsidP="001C2586">
      <w:pPr>
        <w:pStyle w:val="CommentaryTablenotes"/>
        <w:rPr>
          <w:color w:val="auto"/>
        </w:rPr>
      </w:pPr>
      <w:r w:rsidRPr="00E40A38">
        <w:rPr>
          <w:color w:val="auto"/>
        </w:rPr>
        <w:t>AAV</w:t>
      </w:r>
      <w:r w:rsidR="00597385" w:rsidRPr="00E40A38">
        <w:rPr>
          <w:color w:val="auto"/>
        </w:rPr>
        <w:t xml:space="preserve"> </w:t>
      </w:r>
      <w:r w:rsidRPr="00E40A38">
        <w:rPr>
          <w:color w:val="auto"/>
        </w:rPr>
        <w:t>=</w:t>
      </w:r>
      <w:r w:rsidR="00597385" w:rsidRPr="00E40A38">
        <w:rPr>
          <w:color w:val="auto"/>
        </w:rPr>
        <w:t xml:space="preserve"> </w:t>
      </w:r>
      <w:r w:rsidRPr="00E40A38">
        <w:rPr>
          <w:color w:val="auto"/>
        </w:rPr>
        <w:t>adeno-associated virus; k</w:t>
      </w:r>
      <w:r w:rsidR="00597385" w:rsidRPr="00E40A38">
        <w:rPr>
          <w:color w:val="auto"/>
        </w:rPr>
        <w:t xml:space="preserve"> </w:t>
      </w:r>
      <w:r w:rsidRPr="00E40A38">
        <w:rPr>
          <w:color w:val="auto"/>
        </w:rPr>
        <w:t>=</w:t>
      </w:r>
      <w:r w:rsidR="00597385" w:rsidRPr="00E40A38">
        <w:rPr>
          <w:color w:val="auto"/>
        </w:rPr>
        <w:t xml:space="preserve"> </w:t>
      </w:r>
      <w:r w:rsidRPr="00E40A38">
        <w:rPr>
          <w:color w:val="auto"/>
        </w:rPr>
        <w:t>number of studies; n</w:t>
      </w:r>
      <w:r w:rsidR="00597385" w:rsidRPr="00E40A38">
        <w:rPr>
          <w:color w:val="auto"/>
        </w:rPr>
        <w:t xml:space="preserve"> </w:t>
      </w:r>
      <w:r w:rsidRPr="00E40A38">
        <w:rPr>
          <w:color w:val="auto"/>
        </w:rPr>
        <w:t>=</w:t>
      </w:r>
      <w:r w:rsidR="00597385" w:rsidRPr="00E40A38">
        <w:rPr>
          <w:color w:val="auto"/>
        </w:rPr>
        <w:t xml:space="preserve"> </w:t>
      </w:r>
      <w:r w:rsidRPr="00E40A38">
        <w:rPr>
          <w:color w:val="auto"/>
        </w:rPr>
        <w:t xml:space="preserve">number of patients; NA = not applicable; </w:t>
      </w:r>
      <w:proofErr w:type="spellStart"/>
      <w:r w:rsidRPr="00E40A38">
        <w:rPr>
          <w:color w:val="auto"/>
        </w:rPr>
        <w:t>NAb</w:t>
      </w:r>
      <w:proofErr w:type="spellEnd"/>
      <w:r w:rsidRPr="00E40A38">
        <w:rPr>
          <w:color w:val="auto"/>
        </w:rPr>
        <w:t xml:space="preserve"> = neutralising antibod</w:t>
      </w:r>
      <w:r w:rsidR="005C3C38" w:rsidRPr="00E40A38">
        <w:rPr>
          <w:color w:val="auto"/>
        </w:rPr>
        <w:t>y</w:t>
      </w:r>
      <w:r w:rsidR="00665831" w:rsidRPr="00E40A38">
        <w:rPr>
          <w:color w:val="auto"/>
        </w:rPr>
        <w:t>.</w:t>
      </w:r>
    </w:p>
    <w:p w14:paraId="788BD027" w14:textId="37327C87" w:rsidR="009E4C97" w:rsidRPr="00D56B1F" w:rsidRDefault="009E4C97" w:rsidP="009E4C97">
      <w:r w:rsidRPr="00E40A38">
        <w:t>The assay used in the HOPE-B study is the clinical utility standard. The proposed assay is a modification of this assay using 9 dilutions rather than 7</w:t>
      </w:r>
      <w:r w:rsidR="000E16CC" w:rsidRPr="00E40A38">
        <w:t xml:space="preserve"> to extend the reporting range</w:t>
      </w:r>
      <w:r w:rsidRPr="00E40A38">
        <w:t xml:space="preserve">. No published studies comparing the 7-point assay with the 9-point assay were presented in the ADAR. The ADAR presented data from a </w:t>
      </w:r>
      <w:r w:rsidR="00665831" w:rsidRPr="00E40A38">
        <w:t>w</w:t>
      </w:r>
      <w:r w:rsidRPr="00E40A38">
        <w:t xml:space="preserve">hitepaper </w:t>
      </w:r>
      <w:r w:rsidRPr="00D56B1F">
        <w:t>produced by Precision for Medicine</w:t>
      </w:r>
      <w:r w:rsidR="00EA0AC4" w:rsidRPr="00D56B1F">
        <w:t>,</w:t>
      </w:r>
      <w:r w:rsidR="00110244" w:rsidRPr="00D56B1F">
        <w:t xml:space="preserve"> the commercial </w:t>
      </w:r>
      <w:r w:rsidR="0076668E" w:rsidRPr="00D56B1F">
        <w:t>supplier</w:t>
      </w:r>
      <w:r w:rsidR="007C2D69" w:rsidRPr="00D56B1F">
        <w:t xml:space="preserve"> of the assay</w:t>
      </w:r>
      <w:r w:rsidRPr="00D56B1F">
        <w:t xml:space="preserve">. No attempt was made in the ADAR to undertake a critical appraisal of this evidence. The commentary noted </w:t>
      </w:r>
      <w:r w:rsidR="00B17CC1" w:rsidRPr="00D56B1F">
        <w:rPr>
          <w:b/>
          <w:bCs/>
        </w:rPr>
        <w:t>redacted</w:t>
      </w:r>
      <w:r w:rsidRPr="00D56B1F">
        <w:t xml:space="preserve"> at the relevant decision threshold (around 1 in 900 using the 9-point assay) and considered the evidence extremely limited. </w:t>
      </w:r>
    </w:p>
    <w:p w14:paraId="26BD4F7F" w14:textId="75C6D352" w:rsidR="009E4C97" w:rsidRPr="00E40A38" w:rsidRDefault="009E4C97" w:rsidP="009E4C97">
      <w:r w:rsidRPr="00D56B1F">
        <w:t xml:space="preserve">This clinical utility standard was not used in </w:t>
      </w:r>
      <w:r w:rsidRPr="00D56B1F" w:rsidDel="00035F4D">
        <w:t>AMT</w:t>
      </w:r>
      <w:r w:rsidR="00035F4D" w:rsidRPr="00D56B1F">
        <w:t>-</w:t>
      </w:r>
      <w:r w:rsidRPr="00D56B1F">
        <w:t xml:space="preserve">060-01, the only </w:t>
      </w:r>
      <w:r w:rsidR="005061E6" w:rsidRPr="00D56B1F">
        <w:t>study</w:t>
      </w:r>
      <w:r w:rsidRPr="00D56B1F">
        <w:t xml:space="preserve"> to exclude participants base</w:t>
      </w:r>
      <w:r w:rsidR="007B0B93" w:rsidRPr="00D56B1F">
        <w:t>d</w:t>
      </w:r>
      <w:r w:rsidRPr="00D56B1F">
        <w:t xml:space="preserve"> on pre-existing anti-AAV5 </w:t>
      </w:r>
      <w:proofErr w:type="spellStart"/>
      <w:r w:rsidRPr="00D56B1F">
        <w:t>NAb</w:t>
      </w:r>
      <w:proofErr w:type="spellEnd"/>
      <w:r w:rsidRPr="00D56B1F">
        <w:t xml:space="preserve"> titre. </w:t>
      </w:r>
      <w:r w:rsidR="00F85F9F" w:rsidRPr="00D56B1F">
        <w:t>AMT-060-01</w:t>
      </w:r>
      <w:r w:rsidRPr="00D56B1F">
        <w:t xml:space="preserve"> used a green fluorescent protein (GFP)</w:t>
      </w:r>
      <w:r w:rsidRPr="00E40A38">
        <w:t xml:space="preserve"> reporter</w:t>
      </w:r>
      <w:r w:rsidR="00CA077D" w:rsidRPr="00E40A38">
        <w:t>;</w:t>
      </w:r>
      <w:r w:rsidRPr="00E40A38">
        <w:t xml:space="preserve"> re-testing with a more sensitive luciferase reporter subsequently identified participant</w:t>
      </w:r>
      <w:r w:rsidR="009C5F55" w:rsidRPr="00E40A38">
        <w:t>s</w:t>
      </w:r>
      <w:r w:rsidRPr="00E40A38">
        <w:t xml:space="preserve"> with preexisting neutralising antibodies. Analysis of response in these patients was the basis for not excluding ant-AAV5 N</w:t>
      </w:r>
      <w:r w:rsidR="00271587" w:rsidRPr="00E40A38">
        <w:t>a</w:t>
      </w:r>
      <w:r w:rsidRPr="00E40A38">
        <w:t xml:space="preserve">b positive patients from HOPE-B. The assay used in each study </w:t>
      </w:r>
      <w:r w:rsidR="00DF0D6C" w:rsidRPr="00E40A38">
        <w:t>is shown</w:t>
      </w:r>
      <w:r w:rsidRPr="00E40A38">
        <w:t xml:space="preserve"> in </w:t>
      </w:r>
      <w:r w:rsidRPr="00E40A38">
        <w:fldChar w:fldCharType="begin"/>
      </w:r>
      <w:r w:rsidRPr="00E40A38">
        <w:instrText xml:space="preserve"> REF _Ref164182036 \h </w:instrText>
      </w:r>
      <w:r w:rsidR="00474734" w:rsidRPr="00E40A38">
        <w:instrText xml:space="preserve"> \* MERGEFORMAT </w:instrText>
      </w:r>
      <w:r w:rsidRPr="00E40A38">
        <w:fldChar w:fldCharType="separate"/>
      </w:r>
      <w:r w:rsidR="007207A8" w:rsidRPr="00E40A38">
        <w:t>Table </w:t>
      </w:r>
      <w:r w:rsidR="007207A8">
        <w:t>3</w:t>
      </w:r>
      <w:r w:rsidRPr="00E40A38">
        <w:fldChar w:fldCharType="end"/>
      </w:r>
      <w:r w:rsidRPr="00E40A38">
        <w:t xml:space="preserve">. </w:t>
      </w:r>
    </w:p>
    <w:p w14:paraId="479F8132" w14:textId="7F2BBE2B" w:rsidR="009E4C97" w:rsidRPr="00E40A38" w:rsidRDefault="009E4C97" w:rsidP="009E4C97">
      <w:pPr>
        <w:pStyle w:val="Caption"/>
        <w:rPr>
          <w:rFonts w:cstheme="minorHAnsi"/>
          <w:lang w:val="en-US"/>
        </w:rPr>
      </w:pPr>
      <w:bookmarkStart w:id="18" w:name="_Ref164182036"/>
      <w:bookmarkStart w:id="19" w:name="_Ref163561076"/>
      <w:r w:rsidRPr="00E40A38">
        <w:t>Table </w:t>
      </w:r>
      <w:r w:rsidR="00CC66FD">
        <w:fldChar w:fldCharType="begin"/>
      </w:r>
      <w:r w:rsidR="00CC66FD">
        <w:instrText xml:space="preserve"> SEQ Table \* ARABIC </w:instrText>
      </w:r>
      <w:r w:rsidR="00CC66FD">
        <w:fldChar w:fldCharType="separate"/>
      </w:r>
      <w:r w:rsidR="007207A8">
        <w:rPr>
          <w:noProof/>
        </w:rPr>
        <w:t>3</w:t>
      </w:r>
      <w:r w:rsidR="00CC66FD">
        <w:rPr>
          <w:noProof/>
        </w:rPr>
        <w:fldChar w:fldCharType="end"/>
      </w:r>
      <w:bookmarkEnd w:id="18"/>
      <w:r w:rsidRPr="00E40A38">
        <w:tab/>
      </w:r>
      <w:r w:rsidRPr="00E40A38">
        <w:rPr>
          <w:rFonts w:cstheme="minorHAnsi"/>
          <w:lang w:val="en-US"/>
        </w:rPr>
        <w:t>Anti-AAV5 assays and related exclusion criteria for key clinical studies</w:t>
      </w:r>
    </w:p>
    <w:tbl>
      <w:tblPr>
        <w:tblStyle w:val="TableGrid"/>
        <w:tblW w:w="5000" w:type="pct"/>
        <w:tblLook w:val="04A0" w:firstRow="1" w:lastRow="0" w:firstColumn="1" w:lastColumn="0" w:noHBand="0" w:noVBand="1"/>
        <w:tblCaption w:val="Anti-AAV5 assays and related exclusion criteria for key clinical studies"/>
        <w:tblDescription w:val="This table shows the anti-AAV5 assays and related exclusion criteria for key clinical studies"/>
      </w:tblPr>
      <w:tblGrid>
        <w:gridCol w:w="1309"/>
        <w:gridCol w:w="3807"/>
        <w:gridCol w:w="3900"/>
      </w:tblGrid>
      <w:tr w:rsidR="009E4C97" w:rsidRPr="00E40A38" w14:paraId="04EF6B63" w14:textId="77777777">
        <w:trPr>
          <w:tblHeader/>
        </w:trPr>
        <w:tc>
          <w:tcPr>
            <w:tcW w:w="726" w:type="pct"/>
          </w:tcPr>
          <w:bookmarkEnd w:id="19"/>
          <w:p w14:paraId="4D2C2EA2" w14:textId="4513F404" w:rsidR="009E4C97" w:rsidRPr="00E40A38" w:rsidRDefault="009567EB">
            <w:pPr>
              <w:pStyle w:val="TableHeading0"/>
            </w:pPr>
            <w:r>
              <w:t>Study</w:t>
            </w:r>
          </w:p>
        </w:tc>
        <w:tc>
          <w:tcPr>
            <w:tcW w:w="2111" w:type="pct"/>
          </w:tcPr>
          <w:p w14:paraId="3305E407" w14:textId="21709383" w:rsidR="009E4C97" w:rsidRPr="00E40A38" w:rsidRDefault="009E4C97">
            <w:pPr>
              <w:pStyle w:val="TableHeading0"/>
            </w:pPr>
            <w:r w:rsidRPr="00E40A38">
              <w:t xml:space="preserve">anti-AAV5 </w:t>
            </w:r>
            <w:proofErr w:type="spellStart"/>
            <w:r w:rsidRPr="00E40A38">
              <w:t>N</w:t>
            </w:r>
            <w:r w:rsidR="001637BE" w:rsidRPr="00E40A38">
              <w:t>A</w:t>
            </w:r>
            <w:r w:rsidRPr="00E40A38">
              <w:t>b</w:t>
            </w:r>
            <w:proofErr w:type="spellEnd"/>
            <w:r w:rsidRPr="00E40A38">
              <w:t xml:space="preserve"> assay</w:t>
            </w:r>
          </w:p>
        </w:tc>
        <w:tc>
          <w:tcPr>
            <w:tcW w:w="2163" w:type="pct"/>
          </w:tcPr>
          <w:p w14:paraId="0409BEF5" w14:textId="12B35179" w:rsidR="009E4C97" w:rsidRPr="00E40A38" w:rsidRDefault="009E4C97">
            <w:pPr>
              <w:pStyle w:val="TableHeading0"/>
            </w:pPr>
            <w:r w:rsidRPr="00E40A38">
              <w:t xml:space="preserve">Related </w:t>
            </w:r>
            <w:r w:rsidR="009567EB">
              <w:t>study</w:t>
            </w:r>
            <w:r w:rsidRPr="00E40A38">
              <w:t xml:space="preserve"> exclusion criteria</w:t>
            </w:r>
          </w:p>
        </w:tc>
      </w:tr>
      <w:tr w:rsidR="009E4C97" w:rsidRPr="00E40A38" w14:paraId="103A4AE6" w14:textId="77777777">
        <w:tc>
          <w:tcPr>
            <w:tcW w:w="726" w:type="pct"/>
          </w:tcPr>
          <w:p w14:paraId="6FF77926" w14:textId="13E3E9B1" w:rsidR="009E4C97" w:rsidRPr="00E40A38" w:rsidRDefault="009E4C97">
            <w:pPr>
              <w:pStyle w:val="TableText"/>
            </w:pPr>
            <w:r w:rsidRPr="00E40A38">
              <w:t xml:space="preserve">HOPE-B </w:t>
            </w:r>
            <w:r w:rsidRPr="00E40A38">
              <w:br/>
              <w:t>(AMT</w:t>
            </w:r>
            <w:r w:rsidR="00CD1DB4" w:rsidRPr="00E40A38">
              <w:t>-</w:t>
            </w:r>
            <w:r w:rsidRPr="00E40A38">
              <w:t>061-02)</w:t>
            </w:r>
          </w:p>
        </w:tc>
        <w:tc>
          <w:tcPr>
            <w:tcW w:w="2111" w:type="pct"/>
          </w:tcPr>
          <w:p w14:paraId="03EF8BE3" w14:textId="77777777" w:rsidR="009E4C97" w:rsidRPr="00E40A38" w:rsidRDefault="009E4C97">
            <w:pPr>
              <w:pStyle w:val="TableText"/>
            </w:pPr>
            <w:r w:rsidRPr="00E40A38">
              <w:t xml:space="preserve">Cell-based transduction assay with a luciferase reporter. “Point-based” titres calculated using software. 7-dilution points. </w:t>
            </w:r>
          </w:p>
        </w:tc>
        <w:tc>
          <w:tcPr>
            <w:tcW w:w="2163" w:type="pct"/>
          </w:tcPr>
          <w:p w14:paraId="17D6384B" w14:textId="51B743F1" w:rsidR="009E4C97" w:rsidRPr="00E40A38" w:rsidRDefault="009E4C97">
            <w:pPr>
              <w:pStyle w:val="TableText"/>
            </w:pPr>
            <w:r w:rsidRPr="00E40A38">
              <w:t>No exclusions based on antibody titre</w:t>
            </w:r>
            <w:r w:rsidR="00271587" w:rsidRPr="00E40A38">
              <w:t>.</w:t>
            </w:r>
          </w:p>
        </w:tc>
      </w:tr>
      <w:tr w:rsidR="009E4C97" w:rsidRPr="00E40A38" w14:paraId="5F048282" w14:textId="77777777">
        <w:tc>
          <w:tcPr>
            <w:tcW w:w="726" w:type="pct"/>
          </w:tcPr>
          <w:p w14:paraId="27580F21" w14:textId="2988F39C" w:rsidR="009E4C97" w:rsidRPr="00E40A38" w:rsidRDefault="009E4C97">
            <w:pPr>
              <w:pStyle w:val="TableText"/>
            </w:pPr>
            <w:r w:rsidRPr="00E40A38">
              <w:t>AMT</w:t>
            </w:r>
            <w:r w:rsidR="00CD1DB4" w:rsidRPr="00E40A38">
              <w:t>-</w:t>
            </w:r>
            <w:r w:rsidRPr="00E40A38">
              <w:t>061-01</w:t>
            </w:r>
          </w:p>
        </w:tc>
        <w:tc>
          <w:tcPr>
            <w:tcW w:w="2111" w:type="pct"/>
          </w:tcPr>
          <w:p w14:paraId="784939F4" w14:textId="77777777" w:rsidR="009E4C97" w:rsidRPr="00E40A38" w:rsidRDefault="009E4C97">
            <w:pPr>
              <w:pStyle w:val="TableText"/>
            </w:pPr>
            <w:r w:rsidRPr="00E40A38">
              <w:t>Cell-based transduction assay with a luciferase reporter.</w:t>
            </w:r>
          </w:p>
        </w:tc>
        <w:tc>
          <w:tcPr>
            <w:tcW w:w="2163" w:type="pct"/>
          </w:tcPr>
          <w:p w14:paraId="2C414518" w14:textId="1E45A19C" w:rsidR="009E4C97" w:rsidRPr="00E40A38" w:rsidRDefault="009E4C97">
            <w:pPr>
              <w:pStyle w:val="TableText"/>
            </w:pPr>
            <w:r w:rsidRPr="00E40A38">
              <w:t>No exclusions based on antibody titre</w:t>
            </w:r>
            <w:r w:rsidR="00271587" w:rsidRPr="00E40A38">
              <w:t>.</w:t>
            </w:r>
          </w:p>
        </w:tc>
      </w:tr>
      <w:tr w:rsidR="009E4C97" w:rsidRPr="00E40A38" w14:paraId="48867847" w14:textId="77777777">
        <w:tc>
          <w:tcPr>
            <w:tcW w:w="726" w:type="pct"/>
          </w:tcPr>
          <w:p w14:paraId="4B0F986E" w14:textId="05F66604" w:rsidR="009E4C97" w:rsidRPr="00E40A38" w:rsidRDefault="009E4C97">
            <w:pPr>
              <w:pStyle w:val="TableText"/>
            </w:pPr>
            <w:r w:rsidRPr="00E40A38">
              <w:t>AMT</w:t>
            </w:r>
            <w:r w:rsidR="00CD1DB4" w:rsidRPr="00E40A38">
              <w:t>-</w:t>
            </w:r>
            <w:r w:rsidRPr="00E40A38">
              <w:t>060-01</w:t>
            </w:r>
          </w:p>
        </w:tc>
        <w:tc>
          <w:tcPr>
            <w:tcW w:w="2111" w:type="pct"/>
          </w:tcPr>
          <w:p w14:paraId="3057A0AF" w14:textId="77777777" w:rsidR="009E4C97" w:rsidRPr="00E40A38" w:rsidRDefault="009E4C97">
            <w:pPr>
              <w:pStyle w:val="TableText"/>
            </w:pPr>
            <w:r w:rsidRPr="00E40A38">
              <w:t>Cell-based transduction assay with a GFP reporter. Pre-defined cut-point of 29%.</w:t>
            </w:r>
          </w:p>
        </w:tc>
        <w:tc>
          <w:tcPr>
            <w:tcW w:w="2163" w:type="pct"/>
          </w:tcPr>
          <w:p w14:paraId="2CBC228E" w14:textId="7AB9038A" w:rsidR="009E4C97" w:rsidRPr="00E40A38" w:rsidRDefault="009E4C97">
            <w:pPr>
              <w:pStyle w:val="TableText"/>
            </w:pPr>
            <w:r w:rsidRPr="00E40A38">
              <w:t xml:space="preserve">Negative for pre-existing anti-AAV5 </w:t>
            </w:r>
            <w:proofErr w:type="spellStart"/>
            <w:r w:rsidRPr="00E40A38">
              <w:t>N</w:t>
            </w:r>
            <w:r w:rsidR="00271587" w:rsidRPr="00E40A38">
              <w:t>A</w:t>
            </w:r>
            <w:r w:rsidRPr="00E40A38">
              <w:t>bs</w:t>
            </w:r>
            <w:proofErr w:type="spellEnd"/>
            <w:r w:rsidR="00271587" w:rsidRPr="00E40A38">
              <w:t>.</w:t>
            </w:r>
            <w:r w:rsidRPr="00E40A38">
              <w:br/>
            </w:r>
            <w:r w:rsidRPr="00E40A38">
              <w:rPr>
                <w:i/>
                <w:iCs/>
              </w:rPr>
              <w:t>Re-testing of patient samples with the cell-based assay revealed all 10 patients were positive</w:t>
            </w:r>
            <w:r w:rsidR="00271587" w:rsidRPr="00E40A38">
              <w:rPr>
                <w:i/>
                <w:iCs/>
              </w:rPr>
              <w:t>.</w:t>
            </w:r>
          </w:p>
        </w:tc>
      </w:tr>
    </w:tbl>
    <w:p w14:paraId="6B6AB40E" w14:textId="38255038" w:rsidR="009E4C97" w:rsidRPr="00E40A38" w:rsidRDefault="009E4C97" w:rsidP="004F76C4">
      <w:pPr>
        <w:pStyle w:val="CommentaryTablenotes"/>
        <w:rPr>
          <w:color w:val="auto"/>
        </w:rPr>
      </w:pPr>
      <w:r w:rsidRPr="00E40A38">
        <w:rPr>
          <w:color w:val="auto"/>
        </w:rPr>
        <w:t>AAV</w:t>
      </w:r>
      <w:r w:rsidR="00597385" w:rsidRPr="00E40A38">
        <w:rPr>
          <w:color w:val="auto"/>
        </w:rPr>
        <w:t xml:space="preserve"> </w:t>
      </w:r>
      <w:r w:rsidRPr="00E40A38">
        <w:rPr>
          <w:color w:val="auto"/>
        </w:rPr>
        <w:t>=</w:t>
      </w:r>
      <w:r w:rsidR="00597385" w:rsidRPr="00E40A38">
        <w:rPr>
          <w:color w:val="auto"/>
        </w:rPr>
        <w:t xml:space="preserve"> </w:t>
      </w:r>
      <w:r w:rsidRPr="00E40A38">
        <w:rPr>
          <w:color w:val="auto"/>
        </w:rPr>
        <w:t>adeno-associated virus; GFP</w:t>
      </w:r>
      <w:r w:rsidR="00597385" w:rsidRPr="00E40A38">
        <w:rPr>
          <w:color w:val="auto"/>
        </w:rPr>
        <w:t xml:space="preserve"> </w:t>
      </w:r>
      <w:r w:rsidRPr="00E40A38">
        <w:rPr>
          <w:color w:val="auto"/>
        </w:rPr>
        <w:t xml:space="preserve">= green fluorescent protein; </w:t>
      </w:r>
      <w:proofErr w:type="spellStart"/>
      <w:r w:rsidRPr="00E40A38">
        <w:rPr>
          <w:color w:val="auto"/>
        </w:rPr>
        <w:t>N</w:t>
      </w:r>
      <w:r w:rsidR="00271587" w:rsidRPr="00E40A38">
        <w:rPr>
          <w:color w:val="auto"/>
        </w:rPr>
        <w:t>A</w:t>
      </w:r>
      <w:r w:rsidRPr="00E40A38">
        <w:rPr>
          <w:color w:val="auto"/>
        </w:rPr>
        <w:t>b</w:t>
      </w:r>
      <w:proofErr w:type="spellEnd"/>
      <w:r w:rsidRPr="00E40A38">
        <w:rPr>
          <w:color w:val="auto"/>
        </w:rPr>
        <w:t xml:space="preserve"> = neutralising antibod</w:t>
      </w:r>
      <w:r w:rsidR="002D1EFB" w:rsidRPr="00E40A38">
        <w:rPr>
          <w:color w:val="auto"/>
        </w:rPr>
        <w:t>y</w:t>
      </w:r>
      <w:r w:rsidR="00271587" w:rsidRPr="00E40A38">
        <w:rPr>
          <w:color w:val="auto"/>
        </w:rPr>
        <w:t>.</w:t>
      </w:r>
      <w:r w:rsidR="004F76C4" w:rsidRPr="00E40A38">
        <w:rPr>
          <w:color w:val="auto"/>
        </w:rPr>
        <w:br/>
      </w:r>
      <w:r w:rsidRPr="00E40A38">
        <w:rPr>
          <w:color w:val="auto"/>
        </w:rPr>
        <w:t xml:space="preserve">Source: Adapted from </w:t>
      </w:r>
      <w:r w:rsidR="00582B79" w:rsidRPr="00E40A38">
        <w:rPr>
          <w:color w:val="auto"/>
        </w:rPr>
        <w:t>C</w:t>
      </w:r>
      <w:r w:rsidRPr="00E40A38">
        <w:rPr>
          <w:color w:val="auto"/>
        </w:rPr>
        <w:t xml:space="preserve">ommentary Table 7 of MSAC 1728 </w:t>
      </w:r>
      <w:proofErr w:type="spellStart"/>
      <w:r w:rsidRPr="00E40A38">
        <w:rPr>
          <w:color w:val="auto"/>
        </w:rPr>
        <w:t>ADAR+in-line</w:t>
      </w:r>
      <w:proofErr w:type="spellEnd"/>
      <w:r w:rsidRPr="00E40A38">
        <w:rPr>
          <w:color w:val="auto"/>
        </w:rPr>
        <w:t xml:space="preserve"> commentary.</w:t>
      </w:r>
    </w:p>
    <w:p w14:paraId="3B9FC2AD" w14:textId="0ABCE7D0" w:rsidR="00772829" w:rsidRPr="00E40A38" w:rsidRDefault="00255EA3" w:rsidP="002A18BE">
      <w:pPr>
        <w:pStyle w:val="Heading2"/>
        <w:numPr>
          <w:ilvl w:val="1"/>
          <w:numId w:val="0"/>
        </w:numPr>
      </w:pPr>
      <w:bookmarkStart w:id="20" w:name="_Toc69491423"/>
      <w:bookmarkEnd w:id="16"/>
      <w:r>
        <w:t>11</w:t>
      </w:r>
      <w:r w:rsidR="00C36633" w:rsidRPr="00E40A38">
        <w:t>.</w:t>
      </w:r>
      <w:r w:rsidR="00C36633" w:rsidRPr="00E40A38">
        <w:tab/>
      </w:r>
      <w:r w:rsidR="00772829" w:rsidRPr="00E40A38">
        <w:t>Comparative safety</w:t>
      </w:r>
      <w:bookmarkEnd w:id="20"/>
    </w:p>
    <w:p w14:paraId="12339924" w14:textId="2094C096" w:rsidR="009E4C97" w:rsidRPr="00E40A38" w:rsidRDefault="006D1ACF" w:rsidP="009E4C97">
      <w:pPr>
        <w:pStyle w:val="Heading3"/>
      </w:pPr>
      <w:r w:rsidRPr="00E40A38">
        <w:t>Etranacogene dezaparvovec</w:t>
      </w:r>
      <w:r w:rsidR="004A7023">
        <w:t xml:space="preserve"> (Hemgenix)</w:t>
      </w:r>
    </w:p>
    <w:p w14:paraId="16BCF4CD" w14:textId="77777777" w:rsidR="007B4A28" w:rsidRPr="00E40A38" w:rsidRDefault="007B4A28" w:rsidP="007B4A28">
      <w:r w:rsidRPr="00E40A38">
        <w:t xml:space="preserve">The ADAR did not report safety according to the outcomes specified in the PICO confirmation. </w:t>
      </w:r>
    </w:p>
    <w:p w14:paraId="508C153A" w14:textId="15969993" w:rsidR="006D1ACF" w:rsidRPr="00E40A38" w:rsidRDefault="00C20096" w:rsidP="007B4A28">
      <w:pPr>
        <w:pStyle w:val="Heading4"/>
      </w:pPr>
      <w:r w:rsidRPr="00E40A38">
        <w:t>Acute peri-infusion adverse effects</w:t>
      </w:r>
    </w:p>
    <w:p w14:paraId="650B9375" w14:textId="11911DDA" w:rsidR="008F0984" w:rsidRPr="00E40A38" w:rsidRDefault="008F0984" w:rsidP="008F0984">
      <w:r w:rsidRPr="00E40A38">
        <w:t xml:space="preserve">Acute peri-infusion events were common; infusion reactions occurred in 6/54 participants (11.1%). One subject prematurely discontinued treatment infusion due </w:t>
      </w:r>
      <w:r w:rsidR="00701887" w:rsidRPr="00E40A38">
        <w:t xml:space="preserve">to </w:t>
      </w:r>
      <w:r w:rsidRPr="00E40A38">
        <w:t xml:space="preserve">hypersensitivity and received only a partial dose </w:t>
      </w:r>
      <w:r w:rsidR="002368C2" w:rsidRPr="00E40A38">
        <w:t xml:space="preserve">(10%) </w:t>
      </w:r>
      <w:r w:rsidRPr="00E40A38">
        <w:t xml:space="preserve">of </w:t>
      </w:r>
      <w:r w:rsidR="004A7023">
        <w:t>Hemgenix</w:t>
      </w:r>
      <w:r w:rsidRPr="00E40A38">
        <w:t xml:space="preserve">. Three participants required a dose interruption. </w:t>
      </w:r>
    </w:p>
    <w:p w14:paraId="5CB9CA33" w14:textId="77777777" w:rsidR="009A76E5" w:rsidRPr="00E40A38" w:rsidRDefault="009A76E5" w:rsidP="009A76E5">
      <w:pPr>
        <w:pStyle w:val="Heading4"/>
      </w:pPr>
      <w:r w:rsidRPr="00E40A38">
        <w:t>Common adverse events</w:t>
      </w:r>
    </w:p>
    <w:p w14:paraId="5E8EEB74" w14:textId="0732F4A3" w:rsidR="009A76E5" w:rsidRPr="00E40A38" w:rsidRDefault="009A76E5" w:rsidP="009A76E5">
      <w:r w:rsidRPr="00E40A38">
        <w:t xml:space="preserve">Post-treatment </w:t>
      </w:r>
      <w:r w:rsidR="000C6F34" w:rsidRPr="00E40A38">
        <w:t>adverse events (</w:t>
      </w:r>
      <w:r w:rsidRPr="00E40A38">
        <w:t>AEs</w:t>
      </w:r>
      <w:r w:rsidR="000C6F34" w:rsidRPr="00E40A38">
        <w:t>)</w:t>
      </w:r>
      <w:r w:rsidRPr="00E40A38">
        <w:t xml:space="preserve"> occurring in at least 10% of patients at three years were mostly non-specific AEs suggestive of inflammatory or flu-like symptoms. Exceptions to this were enzyme elevations of alanine aminotransferase (ALT; in 13 [24.1%] patients), aspartate aminotransferase (AST; in 9 [16.7%] patients) and creatine kinase (in 8 [14.8%] patients). The liver enzyme elevations (ALT and AST) indicate a clear reaction focused on the liver</w:t>
      </w:r>
      <w:r w:rsidR="001F7C20" w:rsidRPr="00E40A38">
        <w:t>,</w:t>
      </w:r>
      <w:r w:rsidRPr="00E40A38">
        <w:t xml:space="preserve"> consistent with the </w:t>
      </w:r>
      <w:r w:rsidR="004A7023">
        <w:t>Hemgenix</w:t>
      </w:r>
      <w:r w:rsidRPr="00E40A38">
        <w:t xml:space="preserve"> mechanism of action and class effects observed with other AAV-based gene therapies. The significance of the moderately high number of patients with creatine kinase elevations was unclear. </w:t>
      </w:r>
    </w:p>
    <w:p w14:paraId="2BEBB4AE" w14:textId="40B8B03E" w:rsidR="009A76E5" w:rsidRPr="00E40A38" w:rsidRDefault="009A76E5" w:rsidP="009A76E5">
      <w:r w:rsidRPr="00E40A38">
        <w:t>There were 20 AEs of COVID</w:t>
      </w:r>
      <w:r w:rsidRPr="00E40A38">
        <w:noBreakHyphen/>
        <w:t xml:space="preserve">19 reported during the study which was underway at the height of the pandemic. This provides context for the high post-treatment incidence of nasopharyngitis (in 15 patients [28.0%]) and other AEs consistent with respiratory illness. </w:t>
      </w:r>
    </w:p>
    <w:p w14:paraId="79410B67" w14:textId="77777777" w:rsidR="004E5FAD" w:rsidRPr="00E40A38" w:rsidRDefault="004E5FAD" w:rsidP="004E5FAD">
      <w:pPr>
        <w:pStyle w:val="Heading4"/>
      </w:pPr>
      <w:r w:rsidRPr="00E40A38">
        <w:t>Serious adverse events</w:t>
      </w:r>
    </w:p>
    <w:p w14:paraId="4F5F603C" w14:textId="0162298C" w:rsidR="004E5FAD" w:rsidRPr="00D56B1F" w:rsidRDefault="004E5FAD" w:rsidP="004E5FAD">
      <w:r w:rsidRPr="00D56B1F">
        <w:t xml:space="preserve">At 36 months post-treatment, 22 serious </w:t>
      </w:r>
      <w:r w:rsidR="00F23729" w:rsidRPr="00D56B1F">
        <w:t>AE</w:t>
      </w:r>
      <w:r w:rsidRPr="00D56B1F">
        <w:t xml:space="preserve">s (SAEs) had occurred, of which </w:t>
      </w:r>
      <w:r w:rsidR="00055B24" w:rsidRPr="00D56B1F">
        <w:t>seven were bleeds or bleed-related, and a further two were arthroses or similar</w:t>
      </w:r>
      <w:r w:rsidRPr="00D56B1F">
        <w:t xml:space="preserve">. These were considered consistent with events for a moderate-to-severe HMB patient population. Two SAEs of note were a death described as not treatment related and a case of hepatocellular carcinoma (HCC) in a patient with multiple risk factors (including a history of both hepatitis B and C and fatty liver disease). The assessment that this HCC was not treatment related was plausible. In comparison, the SAEs in the lead-in period were mainly muscle and joint events consistent with a HMB patient population. </w:t>
      </w:r>
    </w:p>
    <w:p w14:paraId="4D2F3BD9" w14:textId="77777777" w:rsidR="00DA04B8" w:rsidRPr="00D56B1F" w:rsidRDefault="004E5FAD" w:rsidP="00DA04B8">
      <w:r w:rsidRPr="00D56B1F">
        <w:t xml:space="preserve">At 36 months post-treatment, 13 neoplasms were reported in 7 individuals. Three of these were reported as </w:t>
      </w:r>
      <w:r w:rsidR="00F23729" w:rsidRPr="00D56B1F">
        <w:t>AE</w:t>
      </w:r>
      <w:r w:rsidRPr="00D56B1F">
        <w:t xml:space="preserve">s of special interest (AESIs) (the HCC noted above and two basal cell carcinomas). Aside from the HCC, </w:t>
      </w:r>
      <w:r w:rsidR="00DA04B8" w:rsidRPr="00D56B1F">
        <w:t>very limited information on the neoplasms was provided in the ADAR.</w:t>
      </w:r>
    </w:p>
    <w:p w14:paraId="7D522E2F" w14:textId="77777777" w:rsidR="00F84DAD" w:rsidRPr="00D56B1F" w:rsidRDefault="00F84DAD" w:rsidP="00F84DAD">
      <w:pPr>
        <w:pStyle w:val="Heading4"/>
      </w:pPr>
      <w:r w:rsidRPr="00D56B1F">
        <w:t>Immune response</w:t>
      </w:r>
    </w:p>
    <w:p w14:paraId="54C2B224" w14:textId="113BDF39" w:rsidR="00F84DAD" w:rsidRPr="00D56B1F" w:rsidRDefault="00F84DAD" w:rsidP="00F84DAD">
      <w:r w:rsidRPr="00D56B1F">
        <w:t xml:space="preserve">Laboratory values were consistent with an initial post-infusion immune or inflammatory response, with an increase in some inflammatory markers, some evidence of adaptive (cell-based) immune mechanisms and a sustained a humoral (antibody-based) response. Where reported as AEs, these events were typically managed with oral corticosteroid use. </w:t>
      </w:r>
    </w:p>
    <w:p w14:paraId="4C38ECAA" w14:textId="296B0C53" w:rsidR="00F84DAD" w:rsidRPr="00E40A38" w:rsidRDefault="00F84DAD" w:rsidP="00F84DAD">
      <w:r w:rsidRPr="00D56B1F">
        <w:t xml:space="preserve">Data for AAV5 anti-capsid T-cell response were inadequate due to problems with the assay (testing performed by </w:t>
      </w:r>
      <w:r w:rsidR="0040008A" w:rsidRPr="00D56B1F">
        <w:rPr>
          <w:b/>
          <w:bCs/>
        </w:rPr>
        <w:t>redacted</w:t>
      </w:r>
      <w:r w:rsidRPr="00D56B1F">
        <w:t xml:space="preserve">). Data beyond 12 months were not available. It </w:t>
      </w:r>
      <w:r w:rsidR="004C7802" w:rsidRPr="00D56B1F">
        <w:t>wa</w:t>
      </w:r>
      <w:r w:rsidRPr="00D56B1F">
        <w:t xml:space="preserve">s unknown whether more data would have permitted analysis to determine whether – </w:t>
      </w:r>
      <w:proofErr w:type="gramStart"/>
      <w:r w:rsidRPr="00D56B1F">
        <w:t>similar to</w:t>
      </w:r>
      <w:proofErr w:type="gramEnd"/>
      <w:r w:rsidRPr="00D56B1F">
        <w:t xml:space="preserve"> the anti-AAV5 humoral response – adaptive immunity also play</w:t>
      </w:r>
      <w:r w:rsidR="004C7802" w:rsidRPr="00D56B1F">
        <w:t>ed</w:t>
      </w:r>
      <w:r w:rsidRPr="00D56B1F">
        <w:t xml:space="preserve"> a role in determining</w:t>
      </w:r>
      <w:r w:rsidRPr="00E40A38">
        <w:t xml:space="preserve"> the patient response to </w:t>
      </w:r>
      <w:r w:rsidR="004A7023">
        <w:t>Hemgenix</w:t>
      </w:r>
      <w:r w:rsidRPr="00E40A38">
        <w:t xml:space="preserve"> and thus durability of effect. </w:t>
      </w:r>
    </w:p>
    <w:p w14:paraId="3EDC0A94" w14:textId="49415F06" w:rsidR="00F84DAD" w:rsidRPr="00E40A38" w:rsidRDefault="00F84DAD" w:rsidP="00F84DAD">
      <w:r w:rsidRPr="00E40A38">
        <w:t>Post treatment,</w:t>
      </w:r>
      <w:r w:rsidR="001E7EF1" w:rsidRPr="00E40A38">
        <w:t xml:space="preserve"> and throughout the remaining study period,</w:t>
      </w:r>
      <w:r w:rsidRPr="00E40A38">
        <w:t xml:space="preserve"> all patients experienced anti-AAV5 </w:t>
      </w:r>
      <w:proofErr w:type="spellStart"/>
      <w:r w:rsidRPr="00E40A38">
        <w:t>NAb</w:t>
      </w:r>
      <w:proofErr w:type="spellEnd"/>
      <w:r w:rsidRPr="00E40A38">
        <w:t xml:space="preserve"> titres at the upper limits of detection. There was no relationship between these levels and treatment efficacy, however the </w:t>
      </w:r>
      <w:r w:rsidR="004E43FC" w:rsidRPr="00E40A38">
        <w:t xml:space="preserve">commentary noted </w:t>
      </w:r>
      <w:r w:rsidR="00440B14" w:rsidRPr="00E40A38">
        <w:t>th</w:t>
      </w:r>
      <w:r w:rsidR="000C5E1A" w:rsidRPr="00E40A38">
        <w:t xml:space="preserve">e </w:t>
      </w:r>
      <w:r w:rsidRPr="00E40A38">
        <w:t>very high post-treatment tires would interfere with other AAV-based gene therapies and thus preclude access to potential future HMB treatments.</w:t>
      </w:r>
    </w:p>
    <w:p w14:paraId="1358318B" w14:textId="77777777" w:rsidR="00332325" w:rsidRPr="00E40A38" w:rsidRDefault="00332325" w:rsidP="00332325">
      <w:pPr>
        <w:pStyle w:val="Heading4"/>
      </w:pPr>
      <w:r w:rsidRPr="00E40A38">
        <w:t>Lack of efficacy</w:t>
      </w:r>
    </w:p>
    <w:p w14:paraId="4E3E2CBC" w14:textId="19F716B4" w:rsidR="00332325" w:rsidRPr="00A80FF6" w:rsidRDefault="314A5E7E" w:rsidP="00332325">
      <w:r w:rsidRPr="00E40A38">
        <w:t xml:space="preserve">Criteria for how lack of efficacy was determined were not described in the ADAR. Given the </w:t>
      </w:r>
      <w:r w:rsidRPr="00A80FF6">
        <w:t>inconsistencies in how patients with lack of efficacy were identified and presented, the commentary considered it would have been preferable for an independent assessment</w:t>
      </w:r>
      <w:r w:rsidR="005354C1" w:rsidRPr="00A80FF6">
        <w:t xml:space="preserve"> to be made</w:t>
      </w:r>
      <w:r w:rsidRPr="00A80FF6">
        <w:t xml:space="preserve"> </w:t>
      </w:r>
      <w:r w:rsidR="000E3B30" w:rsidRPr="00A80FF6">
        <w:t>to determine</w:t>
      </w:r>
      <w:r w:rsidRPr="00A80FF6">
        <w:t xml:space="preserve"> </w:t>
      </w:r>
      <w:r w:rsidR="00CE3BF5" w:rsidRPr="00A80FF6">
        <w:t>which</w:t>
      </w:r>
      <w:r w:rsidRPr="00A80FF6">
        <w:t xml:space="preserve"> HOPE-B patients experienced lack of efficacy. </w:t>
      </w:r>
    </w:p>
    <w:p w14:paraId="6C01BD80" w14:textId="0AC48F5E" w:rsidR="00C844E5" w:rsidRPr="00E40A38" w:rsidRDefault="00332325" w:rsidP="00332325">
      <w:r w:rsidRPr="00A80FF6">
        <w:t>Three patients experienced confirmed lack of efficacy, or product failure, in the HOPE</w:t>
      </w:r>
      <w:r w:rsidR="000F5CDE" w:rsidRPr="00A80FF6">
        <w:t>-B</w:t>
      </w:r>
      <w:r w:rsidRPr="00A80FF6">
        <w:t xml:space="preserve"> post-treatment period. The first received only 10% of the infusion following a hypersensitivity reaction</w:t>
      </w:r>
      <w:r w:rsidR="001C3DD3" w:rsidRPr="00A80FF6">
        <w:t xml:space="preserve"> (pre-treatment anti-AAV5 titre</w:t>
      </w:r>
      <w:r w:rsidR="00B078C5" w:rsidRPr="00A80FF6">
        <w:t xml:space="preserve"> </w:t>
      </w:r>
      <w:r w:rsidR="00B17CC1" w:rsidRPr="00A80FF6">
        <w:rPr>
          <w:b/>
          <w:bCs/>
        </w:rPr>
        <w:t>redacted</w:t>
      </w:r>
      <w:r w:rsidR="00B078C5" w:rsidRPr="00A80FF6">
        <w:t>)</w:t>
      </w:r>
      <w:r w:rsidRPr="00A80FF6">
        <w:t xml:space="preserve">. </w:t>
      </w:r>
    </w:p>
    <w:p w14:paraId="1641BE39" w14:textId="44576C9A" w:rsidR="00493599" w:rsidRPr="00A80FF6" w:rsidRDefault="00332325" w:rsidP="00332325">
      <w:r w:rsidRPr="00E40A38">
        <w:t xml:space="preserve">The second patient had </w:t>
      </w:r>
      <w:r w:rsidRPr="00A80FF6">
        <w:t xml:space="preserve">a very high </w:t>
      </w:r>
      <w:r w:rsidR="002C7F37" w:rsidRPr="00A80FF6">
        <w:t xml:space="preserve">pre-treatment </w:t>
      </w:r>
      <w:r w:rsidRPr="00A80FF6">
        <w:t>anti-AAV5 titre (3212.3; lack of efficacy reported post-treatment Day 14)</w:t>
      </w:r>
      <w:r w:rsidR="00493599" w:rsidRPr="00A80FF6">
        <w:t xml:space="preserve">. This patient would not be eligible for treatment under the population defined in the PICO </w:t>
      </w:r>
      <w:r w:rsidR="00C844E5" w:rsidRPr="00A80FF6">
        <w:t>confirmation but</w:t>
      </w:r>
      <w:r w:rsidR="00F25B45" w:rsidRPr="00A80FF6">
        <w:t xml:space="preserve"> could potentially access treatment </w:t>
      </w:r>
      <w:r w:rsidR="003C5ED4" w:rsidRPr="00A80FF6">
        <w:t>under the ADAR</w:t>
      </w:r>
      <w:r w:rsidR="00C844E5" w:rsidRPr="00A80FF6">
        <w:t>’</w:t>
      </w:r>
      <w:r w:rsidR="003C5ED4" w:rsidRPr="00A80FF6">
        <w:t xml:space="preserve">s proposed funding indication where anti-AAV5 titre is </w:t>
      </w:r>
      <w:r w:rsidR="00B91076" w:rsidRPr="00A80FF6">
        <w:t>u</w:t>
      </w:r>
      <w:r w:rsidR="003C5ED4" w:rsidRPr="00A80FF6">
        <w:t>sed as a decision-making tool rather than a criteri</w:t>
      </w:r>
      <w:r w:rsidR="003F4FA5" w:rsidRPr="00A80FF6">
        <w:t>on</w:t>
      </w:r>
      <w:r w:rsidR="003C5ED4" w:rsidRPr="00A80FF6">
        <w:t xml:space="preserve"> for access. The ADAR </w:t>
      </w:r>
      <w:r w:rsidR="00C844E5" w:rsidRPr="00A80FF6">
        <w:t>proposed</w:t>
      </w:r>
      <w:r w:rsidR="003C5ED4" w:rsidRPr="00A80FF6">
        <w:t xml:space="preserve"> that </w:t>
      </w:r>
      <w:r w:rsidR="00660277" w:rsidRPr="00A80FF6">
        <w:t xml:space="preserve">patients with high titres may delay treatment until a lower titre is obtained. </w:t>
      </w:r>
    </w:p>
    <w:p w14:paraId="68711F3B" w14:textId="02064C54" w:rsidR="00332325" w:rsidRPr="00A80FF6" w:rsidRDefault="00B91076" w:rsidP="00332325">
      <w:r w:rsidRPr="00A80FF6">
        <w:t>T</w:t>
      </w:r>
      <w:r w:rsidR="00332325" w:rsidRPr="00A80FF6">
        <w:t xml:space="preserve">he third </w:t>
      </w:r>
      <w:r w:rsidRPr="00A80FF6">
        <w:t xml:space="preserve">patient </w:t>
      </w:r>
      <w:r w:rsidR="00332325" w:rsidRPr="00A80FF6">
        <w:t xml:space="preserve">experienced lack of efficacy later in the study (reported on </w:t>
      </w:r>
      <w:r w:rsidR="00446671" w:rsidRPr="00A80FF6">
        <w:t xml:space="preserve">post-treatment Day </w:t>
      </w:r>
      <w:r w:rsidR="00B17CC1" w:rsidRPr="00A80FF6">
        <w:rPr>
          <w:b/>
          <w:bCs/>
        </w:rPr>
        <w:t>redacted</w:t>
      </w:r>
      <w:r w:rsidR="00446671" w:rsidRPr="00A80FF6">
        <w:t xml:space="preserve">; pre-treatment anti-AAV5 titre </w:t>
      </w:r>
      <w:r w:rsidR="00B17CC1" w:rsidRPr="00A80FF6">
        <w:rPr>
          <w:b/>
          <w:bCs/>
        </w:rPr>
        <w:t>redacted</w:t>
      </w:r>
      <w:r w:rsidR="00446671" w:rsidRPr="00A80FF6">
        <w:t>)</w:t>
      </w:r>
      <w:r w:rsidR="00FA450E" w:rsidRPr="00A80FF6">
        <w:t>.</w:t>
      </w:r>
      <w:r w:rsidR="00332325" w:rsidRPr="00A80FF6">
        <w:t xml:space="preserve"> The third case was not described </w:t>
      </w:r>
      <w:r w:rsidR="002C7F37" w:rsidRPr="00A80FF6">
        <w:t>in the ADAR</w:t>
      </w:r>
      <w:r w:rsidR="00332325" w:rsidRPr="00A80FF6">
        <w:t xml:space="preserve"> but was extracted from the 3-year data. </w:t>
      </w:r>
      <w:r w:rsidR="00B479F9" w:rsidRPr="00A80FF6">
        <w:t>The</w:t>
      </w:r>
      <w:r w:rsidR="00CD23A9" w:rsidRPr="00A80FF6">
        <w:t xml:space="preserve"> commentary </w:t>
      </w:r>
      <w:r w:rsidR="007C10AD" w:rsidRPr="00A80FF6">
        <w:t xml:space="preserve">noted that </w:t>
      </w:r>
      <w:r w:rsidR="00D309F1" w:rsidRPr="00A80FF6">
        <w:t>data w</w:t>
      </w:r>
      <w:r w:rsidR="00872FDD" w:rsidRPr="00A80FF6">
        <w:t>ere</w:t>
      </w:r>
      <w:r w:rsidR="00D309F1" w:rsidRPr="00A80FF6">
        <w:t xml:space="preserve"> insufficiently mature to determine whether the </w:t>
      </w:r>
      <w:r w:rsidR="00332325" w:rsidRPr="00A80FF6">
        <w:t xml:space="preserve">third patient who developed lack of efficacy </w:t>
      </w:r>
      <w:r w:rsidR="00D309F1" w:rsidRPr="00A80FF6">
        <w:t>was</w:t>
      </w:r>
      <w:r w:rsidR="00332325" w:rsidRPr="00A80FF6">
        <w:t xml:space="preserve"> the last of a small number of non-</w:t>
      </w:r>
      <w:r w:rsidR="004A6EE1" w:rsidRPr="00A80FF6">
        <w:t>responders or</w:t>
      </w:r>
      <w:r w:rsidR="00332325" w:rsidRPr="00A80FF6">
        <w:t xml:space="preserve"> represents the first of a subgroup of patients </w:t>
      </w:r>
      <w:r w:rsidR="00D309F1" w:rsidRPr="00A80FF6">
        <w:t>who will go on to</w:t>
      </w:r>
      <w:r w:rsidR="00332325" w:rsidRPr="00A80FF6">
        <w:t xml:space="preserve"> show waning efficacy over the long term. </w:t>
      </w:r>
    </w:p>
    <w:p w14:paraId="56C7FF10" w14:textId="4853B96C" w:rsidR="00332325" w:rsidRDefault="00332325" w:rsidP="00332325">
      <w:r w:rsidRPr="00A80FF6">
        <w:t xml:space="preserve">Based on mean FIX activity and FIX use, </w:t>
      </w:r>
      <w:r w:rsidR="00DB3395" w:rsidRPr="00A80FF6">
        <w:t xml:space="preserve">the commentary identified </w:t>
      </w:r>
      <w:r w:rsidRPr="00A80FF6">
        <w:t xml:space="preserve">at least one further patient </w:t>
      </w:r>
      <w:r w:rsidR="00DB3395" w:rsidRPr="00A80FF6">
        <w:t xml:space="preserve">who </w:t>
      </w:r>
      <w:r w:rsidRPr="00A80FF6">
        <w:t>could be considered a potential candidate</w:t>
      </w:r>
      <w:r w:rsidR="00275B33" w:rsidRPr="00A80FF6">
        <w:t xml:space="preserve"> </w:t>
      </w:r>
      <w:r w:rsidR="005F73B5" w:rsidRPr="00A80FF6">
        <w:t>for</w:t>
      </w:r>
      <w:r w:rsidR="00082C57" w:rsidRPr="00A80FF6">
        <w:t xml:space="preserve"> </w:t>
      </w:r>
      <w:r w:rsidR="004B1076" w:rsidRPr="00A80FF6">
        <w:t>lack of efficacy</w:t>
      </w:r>
      <w:r w:rsidRPr="00A80FF6">
        <w:t>. The number</w:t>
      </w:r>
      <w:r w:rsidRPr="00E40A38">
        <w:t xml:space="preserve"> of patients reported to lack efficacy</w:t>
      </w:r>
      <w:r w:rsidR="003640F4" w:rsidRPr="00E40A38">
        <w:t xml:space="preserve">, </w:t>
      </w:r>
      <w:r w:rsidRPr="00E40A38">
        <w:t>and the frequency with which they emerge</w:t>
      </w:r>
      <w:r w:rsidR="003640F4" w:rsidRPr="00E40A38">
        <w:t>,</w:t>
      </w:r>
      <w:r w:rsidRPr="00E40A38">
        <w:t xml:space="preserve"> were key in considering the validity of the efficacy extrapolation </w:t>
      </w:r>
      <w:r w:rsidR="00DE3D92" w:rsidRPr="00E40A38">
        <w:t>used to inform</w:t>
      </w:r>
      <w:r w:rsidRPr="00E40A38">
        <w:t xml:space="preserve"> the </w:t>
      </w:r>
      <w:r w:rsidR="00DE3D92" w:rsidRPr="00E40A38">
        <w:t xml:space="preserve">economic </w:t>
      </w:r>
      <w:r w:rsidR="00BE1607" w:rsidRPr="00E40A38">
        <w:t>evaluation</w:t>
      </w:r>
      <w:r w:rsidRPr="00E40A38">
        <w:t xml:space="preserve">. </w:t>
      </w:r>
    </w:p>
    <w:p w14:paraId="563CE79F" w14:textId="693CE4A3" w:rsidR="0092680B" w:rsidRDefault="00E80B02" w:rsidP="0092680B">
      <w:r>
        <w:t>It may have been</w:t>
      </w:r>
      <w:r w:rsidR="0092680B">
        <w:t xml:space="preserve"> useful for the applicant to:</w:t>
      </w:r>
    </w:p>
    <w:p w14:paraId="5A98C64A" w14:textId="4FC8245F" w:rsidR="0092680B" w:rsidRDefault="00EB1D7E" w:rsidP="006779D5">
      <w:pPr>
        <w:pStyle w:val="ListParagraph"/>
        <w:numPr>
          <w:ilvl w:val="0"/>
          <w:numId w:val="18"/>
        </w:numPr>
      </w:pPr>
      <w:r>
        <w:t xml:space="preserve">present </w:t>
      </w:r>
      <w:r w:rsidR="00001F5B">
        <w:t>data according to t</w:t>
      </w:r>
      <w:r w:rsidR="006D6DCC">
        <w:t>he following 3 post-treat</w:t>
      </w:r>
      <w:r w:rsidR="006B07A3">
        <w:t>ment groups:</w:t>
      </w:r>
    </w:p>
    <w:p w14:paraId="0D68F227" w14:textId="3CDF0581" w:rsidR="009A6401" w:rsidRDefault="009A6401" w:rsidP="006779D5">
      <w:pPr>
        <w:pStyle w:val="ListParagraph"/>
        <w:numPr>
          <w:ilvl w:val="1"/>
          <w:numId w:val="19"/>
        </w:numPr>
      </w:pPr>
      <w:r>
        <w:t xml:space="preserve">those that ceased prophylaxis for the entire follow-up </w:t>
      </w:r>
      <w:proofErr w:type="gramStart"/>
      <w:r>
        <w:t>phase</w:t>
      </w:r>
      <w:proofErr w:type="gramEnd"/>
    </w:p>
    <w:p w14:paraId="0E1E86BB" w14:textId="6944B063" w:rsidR="009A6401" w:rsidRDefault="009A6401" w:rsidP="006779D5">
      <w:pPr>
        <w:pStyle w:val="ListParagraph"/>
        <w:numPr>
          <w:ilvl w:val="1"/>
          <w:numId w:val="19"/>
        </w:numPr>
      </w:pPr>
      <w:r>
        <w:t xml:space="preserve">those that ceased but restarted </w:t>
      </w:r>
      <w:proofErr w:type="gramStart"/>
      <w:r>
        <w:t>prophylaxis</w:t>
      </w:r>
      <w:proofErr w:type="gramEnd"/>
    </w:p>
    <w:p w14:paraId="6A391333" w14:textId="51D4A4C3" w:rsidR="006B07A3" w:rsidRDefault="009A6401" w:rsidP="006779D5">
      <w:pPr>
        <w:pStyle w:val="ListParagraph"/>
        <w:numPr>
          <w:ilvl w:val="1"/>
          <w:numId w:val="19"/>
        </w:numPr>
      </w:pPr>
      <w:r>
        <w:t>those that were unable to cease regular prophylaxis (includes at the same or a reduced dose)</w:t>
      </w:r>
      <w:r w:rsidR="001D5E1D">
        <w:t>.</w:t>
      </w:r>
    </w:p>
    <w:p w14:paraId="3598B081" w14:textId="77777777" w:rsidR="00F0505D" w:rsidRPr="00E40A38" w:rsidRDefault="00F0505D" w:rsidP="00F0505D">
      <w:pPr>
        <w:pStyle w:val="Heading4"/>
      </w:pPr>
      <w:r w:rsidRPr="00E40A38">
        <w:t>Conclusion regarding safety</w:t>
      </w:r>
    </w:p>
    <w:p w14:paraId="270B8D86" w14:textId="0C558649" w:rsidR="14409C9B" w:rsidRPr="00E40A38" w:rsidRDefault="00F0505D" w:rsidP="14409C9B">
      <w:r w:rsidRPr="00E40A38">
        <w:t>Given the HOPE-B study design, the commentary states that rare</w:t>
      </w:r>
      <w:r w:rsidR="00867DED" w:rsidRPr="00E40A38">
        <w:t xml:space="preserve"> and common</w:t>
      </w:r>
      <w:r w:rsidRPr="00E40A38">
        <w:t xml:space="preserve"> AEs </w:t>
      </w:r>
      <w:r w:rsidR="00EE791D" w:rsidRPr="00E40A38">
        <w:t xml:space="preserve">will not </w:t>
      </w:r>
      <w:r w:rsidRPr="00E40A38">
        <w:t xml:space="preserve">be detectable in the clinical data. The design </w:t>
      </w:r>
      <w:r w:rsidR="00771B06" w:rsidRPr="00E40A38">
        <w:t>wa</w:t>
      </w:r>
      <w:r w:rsidRPr="00E40A38">
        <w:t xml:space="preserve">s not comparative nor </w:t>
      </w:r>
      <w:r w:rsidR="00771B06" w:rsidRPr="00E40A38">
        <w:t>wa</w:t>
      </w:r>
      <w:r w:rsidRPr="00E40A38">
        <w:t xml:space="preserve">s the sample size large enough to detect events in either the lead-in or post-treatment phases unless they </w:t>
      </w:r>
      <w:r w:rsidR="00A25D0D" w:rsidRPr="00E40A38">
        <w:t>we</w:t>
      </w:r>
      <w:r w:rsidRPr="00E40A38">
        <w:t xml:space="preserve">re </w:t>
      </w:r>
      <w:r w:rsidR="007C5FD1" w:rsidRPr="00E40A38">
        <w:t xml:space="preserve">very </w:t>
      </w:r>
      <w:r w:rsidRPr="00E40A38">
        <w:t xml:space="preserve">common (that is, with a cumulative one-year incidence of at least </w:t>
      </w:r>
      <w:r w:rsidR="00C5359D" w:rsidRPr="00E40A38">
        <w:t>10</w:t>
      </w:r>
      <w:r w:rsidRPr="00E40A38">
        <w:t xml:space="preserve">%). While the investigators have assessed the HOPE-B AEs for treatment-relatedness, </w:t>
      </w:r>
      <w:r w:rsidR="00CC6342" w:rsidRPr="00E40A38">
        <w:t>the commentary</w:t>
      </w:r>
      <w:r w:rsidRPr="00E40A38">
        <w:t xml:space="preserve"> noted that the study design d</w:t>
      </w:r>
      <w:r w:rsidR="00E03FBA" w:rsidRPr="00E40A38">
        <w:t>id</w:t>
      </w:r>
      <w:r w:rsidRPr="00E40A38">
        <w:t xml:space="preserve"> not permit a true assessment of causality.</w:t>
      </w:r>
    </w:p>
    <w:p w14:paraId="5AEC17A8" w14:textId="2B8B3C4A" w:rsidR="00F0505D" w:rsidRPr="00E40A38" w:rsidRDefault="00F0505D" w:rsidP="00F0505D">
      <w:r w:rsidRPr="00E40A38">
        <w:t>The commentary also note</w:t>
      </w:r>
      <w:r w:rsidR="00E03FBA" w:rsidRPr="00E40A38">
        <w:t>d</w:t>
      </w:r>
      <w:r w:rsidRPr="00E40A38">
        <w:t xml:space="preserve"> that the PICO confirmation requested long-term </w:t>
      </w:r>
      <w:r w:rsidR="00CE7410" w:rsidRPr="00E40A38">
        <w:t>AEs</w:t>
      </w:r>
      <w:r w:rsidRPr="00E40A38">
        <w:t>, however the duration of follow-up for the HOPE-B patients only extend</w:t>
      </w:r>
      <w:r w:rsidR="00E03FBA" w:rsidRPr="00E40A38">
        <w:t>ed</w:t>
      </w:r>
      <w:r w:rsidRPr="00E40A38">
        <w:t xml:space="preserve"> to a median of </w:t>
      </w:r>
      <w:r w:rsidRPr="004E7999">
        <w:t>36.1</w:t>
      </w:r>
      <w:r w:rsidRPr="00E40A38">
        <w:t xml:space="preserve"> months</w:t>
      </w:r>
      <w:r w:rsidR="00E03FBA" w:rsidRPr="00E40A38">
        <w:t>.</w:t>
      </w:r>
      <w:r w:rsidRPr="00E40A38">
        <w:t xml:space="preserve"> Reported </w:t>
      </w:r>
      <w:r w:rsidR="002C3F61" w:rsidRPr="00E40A38">
        <w:t>AE</w:t>
      </w:r>
      <w:r w:rsidRPr="00E40A38">
        <w:t>s might be considered only medium-term, given the intervention is not reversible, patients will be excluded from further AAV-based gene therapies, and patients are eligible from 18 years of age.</w:t>
      </w:r>
    </w:p>
    <w:p w14:paraId="2E5473C8" w14:textId="7C805509" w:rsidR="00F0505D" w:rsidRPr="00E40A38" w:rsidRDefault="00F0505D" w:rsidP="00F0505D">
      <w:r w:rsidRPr="00E40A38">
        <w:t xml:space="preserve">In summary, clinical management of HMB in moderate or severe patients with </w:t>
      </w:r>
      <w:r w:rsidR="004A7023">
        <w:t>Hemgenix</w:t>
      </w:r>
      <w:r w:rsidRPr="00E40A38">
        <w:t xml:space="preserve"> had similar safety at three years post-treatment compared to </w:t>
      </w:r>
      <w:r w:rsidR="00BA25A5" w:rsidRPr="00E40A38">
        <w:t>standard of care</w:t>
      </w:r>
      <w:r w:rsidRPr="00E40A38">
        <w:t xml:space="preserve">. The safety profile of </w:t>
      </w:r>
      <w:r w:rsidR="004A7023">
        <w:t>Hemg</w:t>
      </w:r>
      <w:r w:rsidR="000D0E94">
        <w:t>e</w:t>
      </w:r>
      <w:r w:rsidR="004A7023">
        <w:t>nix</w:t>
      </w:r>
      <w:r w:rsidRPr="00E40A38">
        <w:t xml:space="preserve"> beyond three years</w:t>
      </w:r>
      <w:r w:rsidR="00E05A0C" w:rsidRPr="00E40A38">
        <w:t xml:space="preserve"> </w:t>
      </w:r>
      <w:r w:rsidR="00A13ADC" w:rsidRPr="00E40A38">
        <w:t>is</w:t>
      </w:r>
      <w:r w:rsidRPr="00E40A38">
        <w:t xml:space="preserve"> u</w:t>
      </w:r>
      <w:r w:rsidR="00AA0FAE" w:rsidRPr="00E40A38">
        <w:t>n</w:t>
      </w:r>
      <w:r w:rsidR="00E811A9" w:rsidRPr="00E40A38">
        <w:t>certain</w:t>
      </w:r>
      <w:r w:rsidR="00486FF0" w:rsidRPr="00E40A38">
        <w:t xml:space="preserve"> given the small number of patients </w:t>
      </w:r>
      <w:r w:rsidR="00FF3DF4" w:rsidRPr="00E40A38">
        <w:t xml:space="preserve">with </w:t>
      </w:r>
      <w:r w:rsidR="00E811A9" w:rsidRPr="00E40A38">
        <w:t>longer follow-up in the supplementary studies</w:t>
      </w:r>
      <w:r w:rsidRPr="00E40A38">
        <w:t xml:space="preserve">. </w:t>
      </w:r>
    </w:p>
    <w:p w14:paraId="16F73128" w14:textId="25F13ACB" w:rsidR="00F0505D" w:rsidRPr="00E40A38" w:rsidRDefault="001F00AD" w:rsidP="00F0505D">
      <w:pPr>
        <w:pStyle w:val="Heading3"/>
      </w:pPr>
      <w:r w:rsidRPr="00E40A38">
        <w:t xml:space="preserve">Anti-AAV5 </w:t>
      </w:r>
      <w:proofErr w:type="spellStart"/>
      <w:r w:rsidRPr="00E40A38">
        <w:t>NAb</w:t>
      </w:r>
      <w:proofErr w:type="spellEnd"/>
      <w:r w:rsidRPr="00E40A38">
        <w:t xml:space="preserve"> titre </w:t>
      </w:r>
      <w:proofErr w:type="gramStart"/>
      <w:r w:rsidRPr="00E40A38">
        <w:t>assay</w:t>
      </w:r>
      <w:proofErr w:type="gramEnd"/>
    </w:p>
    <w:p w14:paraId="0B7E8D39" w14:textId="6649E010" w:rsidR="00187767" w:rsidRPr="00E40A38" w:rsidRDefault="00187767" w:rsidP="00187767">
      <w:r w:rsidRPr="00E40A38">
        <w:t>Regarding direct harms, the assay d</w:t>
      </w:r>
      <w:r w:rsidR="00BA25A5" w:rsidRPr="00E40A38">
        <w:t>id</w:t>
      </w:r>
      <w:r w:rsidRPr="00E40A38">
        <w:t xml:space="preserve"> not pose additional harms compared to any other serology test. </w:t>
      </w:r>
    </w:p>
    <w:p w14:paraId="6D24A3EA" w14:textId="70D387A0" w:rsidR="00C20096" w:rsidRPr="00E40A38" w:rsidRDefault="00187767" w:rsidP="00C20096">
      <w:r w:rsidRPr="00E40A38">
        <w:t xml:space="preserve">Indirect harms of the test could include patients being excluded from treatment with </w:t>
      </w:r>
      <w:r w:rsidR="000D0E94">
        <w:t>Hemgenix</w:t>
      </w:r>
      <w:r w:rsidRPr="00E40A38">
        <w:t xml:space="preserve"> where it would be beneficial</w:t>
      </w:r>
      <w:r w:rsidR="007C61B6" w:rsidRPr="00E40A38">
        <w:t>,</w:t>
      </w:r>
      <w:r w:rsidRPr="00E40A38">
        <w:t xml:space="preserve"> or conversely receiving treatment where </w:t>
      </w:r>
      <w:r w:rsidR="007C61B6" w:rsidRPr="00E40A38">
        <w:t xml:space="preserve">it </w:t>
      </w:r>
      <w:r w:rsidRPr="00E40A38">
        <w:t xml:space="preserve">may not be effective or where it may be less effective. </w:t>
      </w:r>
    </w:p>
    <w:p w14:paraId="3717AA01" w14:textId="4AE1FCF5" w:rsidR="00772829" w:rsidRPr="00E40A38" w:rsidRDefault="00255EA3" w:rsidP="002A18BE">
      <w:pPr>
        <w:pStyle w:val="Heading2"/>
        <w:numPr>
          <w:ilvl w:val="0"/>
          <w:numId w:val="0"/>
        </w:numPr>
      </w:pPr>
      <w:bookmarkStart w:id="21" w:name="_Toc69491424"/>
      <w:r>
        <w:t>12</w:t>
      </w:r>
      <w:r w:rsidR="00C36633" w:rsidRPr="00E40A38">
        <w:t>.</w:t>
      </w:r>
      <w:r w:rsidR="00C36633" w:rsidRPr="00E40A38">
        <w:tab/>
      </w:r>
      <w:r w:rsidR="00772829" w:rsidRPr="00E40A38">
        <w:t>Comparative effectiveness</w:t>
      </w:r>
      <w:bookmarkEnd w:id="21"/>
    </w:p>
    <w:p w14:paraId="68306064" w14:textId="63D0721C" w:rsidR="002A6A6A" w:rsidRPr="00E40A38" w:rsidRDefault="00104133" w:rsidP="00104133">
      <w:pPr>
        <w:pStyle w:val="Heading3"/>
      </w:pPr>
      <w:r w:rsidRPr="00E40A38">
        <w:t>Etranacogene dezaparvovec</w:t>
      </w:r>
      <w:r w:rsidR="004A7023">
        <w:t xml:space="preserve"> (Hemgenix)</w:t>
      </w:r>
    </w:p>
    <w:p w14:paraId="62DCF9A8" w14:textId="77777777" w:rsidR="00FD371F" w:rsidRPr="00E40A38" w:rsidRDefault="00FD371F" w:rsidP="00FD371F">
      <w:pPr>
        <w:pStyle w:val="Heading4"/>
      </w:pPr>
      <w:r w:rsidRPr="00E40A38">
        <w:t>Bleeds and annualised bleed rate</w:t>
      </w:r>
    </w:p>
    <w:p w14:paraId="5262A022" w14:textId="44BAD46A" w:rsidR="00FD371F" w:rsidRPr="00E40A38" w:rsidRDefault="00FD371F" w:rsidP="00FD371F">
      <w:r w:rsidRPr="00E40A38">
        <w:t xml:space="preserve">Summary statistics of bleeds and ABR are presented in </w:t>
      </w:r>
      <w:r w:rsidRPr="00E40A38">
        <w:fldChar w:fldCharType="begin"/>
      </w:r>
      <w:r w:rsidRPr="00E40A38">
        <w:instrText xml:space="preserve"> REF _Ref164195858 \h </w:instrText>
      </w:r>
      <w:r w:rsidR="00474734" w:rsidRPr="00E40A38">
        <w:instrText xml:space="preserve"> \* MERGEFORMAT </w:instrText>
      </w:r>
      <w:r w:rsidRPr="00E40A38">
        <w:fldChar w:fldCharType="separate"/>
      </w:r>
      <w:r w:rsidR="007207A8" w:rsidRPr="00E40A38">
        <w:t>Table </w:t>
      </w:r>
      <w:r w:rsidR="007207A8">
        <w:t>4</w:t>
      </w:r>
      <w:r w:rsidRPr="00E40A38">
        <w:fldChar w:fldCharType="end"/>
      </w:r>
      <w:r w:rsidRPr="00E40A38">
        <w:t xml:space="preserve">, noting the statistically significant reduction in bleeds as measured by the rate ratio at 18, 24 and 36 months. At 36 months, the </w:t>
      </w:r>
      <w:r w:rsidR="00E27190" w:rsidRPr="00E40A38">
        <w:t>pooled</w:t>
      </w:r>
      <w:r w:rsidRPr="00E40A38">
        <w:t xml:space="preserve"> unadjusted ABR </w:t>
      </w:r>
      <w:r w:rsidR="008B7A5D" w:rsidRPr="00E40A38">
        <w:t xml:space="preserve">for the patient cohort </w:t>
      </w:r>
      <w:r w:rsidR="009F5D64" w:rsidRPr="00E40A38">
        <w:t>wa</w:t>
      </w:r>
      <w:r w:rsidRPr="00E40A38">
        <w:t xml:space="preserve">s 0.9 compared to 4.11 during the lead-in period. </w:t>
      </w:r>
    </w:p>
    <w:p w14:paraId="2CA62D17" w14:textId="0CD0773C" w:rsidR="00FD371F" w:rsidRPr="00E40A38" w:rsidRDefault="00FD371F" w:rsidP="00FD371F">
      <w:pPr>
        <w:pStyle w:val="Caption"/>
        <w:rPr>
          <w:rFonts w:cstheme="minorHAnsi"/>
          <w:lang w:val="en-US"/>
        </w:rPr>
      </w:pPr>
      <w:bookmarkStart w:id="22" w:name="_Ref164195858"/>
      <w:r w:rsidRPr="00E40A38">
        <w:t>Table </w:t>
      </w:r>
      <w:r w:rsidR="00CC66FD">
        <w:fldChar w:fldCharType="begin"/>
      </w:r>
      <w:r w:rsidR="00CC66FD">
        <w:instrText xml:space="preserve"> SEQ Table \* ARABIC </w:instrText>
      </w:r>
      <w:r w:rsidR="00CC66FD">
        <w:fldChar w:fldCharType="separate"/>
      </w:r>
      <w:r w:rsidR="007207A8">
        <w:rPr>
          <w:noProof/>
        </w:rPr>
        <w:t>4</w:t>
      </w:r>
      <w:r w:rsidR="00CC66FD">
        <w:rPr>
          <w:noProof/>
        </w:rPr>
        <w:fldChar w:fldCharType="end"/>
      </w:r>
      <w:bookmarkEnd w:id="22"/>
      <w:r w:rsidRPr="00E40A38">
        <w:tab/>
      </w:r>
      <w:r w:rsidRPr="00E40A38">
        <w:rPr>
          <w:rFonts w:cstheme="minorHAnsi"/>
          <w:lang w:val="en-US"/>
        </w:rPr>
        <w:t xml:space="preserve">Summary of bleeding episodes for </w:t>
      </w:r>
      <w:r w:rsidRPr="00E40A38">
        <w:t>etranacogene dezaparvovec</w:t>
      </w:r>
      <w:r w:rsidR="000D0E94">
        <w:t xml:space="preserve"> (Hemgenix)</w:t>
      </w:r>
      <w:r w:rsidRPr="00E40A38" w:rsidDel="00991F2E">
        <w:rPr>
          <w:rFonts w:cstheme="minorHAnsi"/>
          <w:lang w:val="en-US"/>
        </w:rPr>
        <w:t xml:space="preserve"> </w:t>
      </w:r>
      <w:r w:rsidRPr="00E40A38">
        <w:rPr>
          <w:rFonts w:cstheme="minorHAnsi"/>
          <w:lang w:val="en-US"/>
        </w:rPr>
        <w:t xml:space="preserve">– HOPE-B </w:t>
      </w:r>
      <w:r w:rsidR="003F4ED8">
        <w:rPr>
          <w:rFonts w:cstheme="minorHAnsi"/>
          <w:lang w:val="en-US"/>
        </w:rPr>
        <w:t>study</w:t>
      </w:r>
      <w:r w:rsidR="003F4ED8" w:rsidRPr="00E40A38">
        <w:rPr>
          <w:rFonts w:cstheme="minorHAnsi"/>
          <w:lang w:val="en-US"/>
        </w:rPr>
        <w:t xml:space="preserve"> </w:t>
      </w:r>
      <w:r w:rsidRPr="00E40A38">
        <w:rPr>
          <w:rFonts w:cstheme="minorHAnsi"/>
          <w:lang w:val="en-US"/>
        </w:rPr>
        <w:t>at 36 months</w:t>
      </w:r>
    </w:p>
    <w:tbl>
      <w:tblPr>
        <w:tblStyle w:val="TableGrid"/>
        <w:tblW w:w="5107" w:type="pct"/>
        <w:tblLook w:val="04A0" w:firstRow="1" w:lastRow="0" w:firstColumn="1" w:lastColumn="0" w:noHBand="0" w:noVBand="1"/>
        <w:tblCaption w:val="Summary of bleeding episodes for etranacogene dezaparvovec  – HOPE-B trial at 36 months"/>
        <w:tblDescription w:val="This table shows a summary of bleeding episodes for etranacogene dezaparvovec in the HOPE-B trial at 36 months"/>
      </w:tblPr>
      <w:tblGrid>
        <w:gridCol w:w="2088"/>
        <w:gridCol w:w="1805"/>
        <w:gridCol w:w="278"/>
        <w:gridCol w:w="1680"/>
        <w:gridCol w:w="1199"/>
        <w:gridCol w:w="317"/>
        <w:gridCol w:w="1842"/>
      </w:tblGrid>
      <w:tr w:rsidR="00AE51CA" w:rsidRPr="00E40A38" w14:paraId="2768E52C" w14:textId="77777777" w:rsidTr="00C36746">
        <w:trPr>
          <w:tblHeader/>
        </w:trPr>
        <w:tc>
          <w:tcPr>
            <w:tcW w:w="1134" w:type="pct"/>
            <w:tcBorders>
              <w:bottom w:val="nil"/>
            </w:tcBorders>
            <w:shd w:val="clear" w:color="auto" w:fill="auto"/>
          </w:tcPr>
          <w:p w14:paraId="7E1CA50B" w14:textId="7BB63977" w:rsidR="00FD371F" w:rsidRPr="00E40A38" w:rsidRDefault="00FD371F">
            <w:pPr>
              <w:pStyle w:val="TableHeading"/>
            </w:pPr>
            <w:r w:rsidRPr="00E40A38">
              <w:t>Any bleeding episode</w:t>
            </w:r>
          </w:p>
        </w:tc>
        <w:tc>
          <w:tcPr>
            <w:tcW w:w="1131" w:type="pct"/>
            <w:gridSpan w:val="2"/>
            <w:tcBorders>
              <w:bottom w:val="nil"/>
            </w:tcBorders>
            <w:shd w:val="clear" w:color="auto" w:fill="auto"/>
            <w:vAlign w:val="center"/>
          </w:tcPr>
          <w:p w14:paraId="2BF48119" w14:textId="77777777" w:rsidR="00FD371F" w:rsidRPr="007E5853" w:rsidRDefault="00FD371F">
            <w:pPr>
              <w:pStyle w:val="TableHeading"/>
            </w:pPr>
            <w:r w:rsidRPr="007E5853">
              <w:t>Lead-in period (N=54)</w:t>
            </w:r>
          </w:p>
        </w:tc>
        <w:tc>
          <w:tcPr>
            <w:tcW w:w="1563" w:type="pct"/>
            <w:gridSpan w:val="2"/>
            <w:tcBorders>
              <w:right w:val="nil"/>
            </w:tcBorders>
            <w:shd w:val="clear" w:color="auto" w:fill="auto"/>
          </w:tcPr>
          <w:p w14:paraId="071F8C18" w14:textId="77777777" w:rsidR="00594BA6" w:rsidRPr="007E5853" w:rsidRDefault="00594BA6">
            <w:pPr>
              <w:pStyle w:val="TableHeading"/>
            </w:pPr>
            <w:r w:rsidRPr="007E5853">
              <w:t>Post treatment period (N=54)</w:t>
            </w:r>
          </w:p>
        </w:tc>
        <w:tc>
          <w:tcPr>
            <w:tcW w:w="161" w:type="pct"/>
            <w:tcBorders>
              <w:left w:val="nil"/>
              <w:right w:val="nil"/>
            </w:tcBorders>
            <w:shd w:val="clear" w:color="auto" w:fill="auto"/>
          </w:tcPr>
          <w:p w14:paraId="604E1EE7" w14:textId="77777777" w:rsidR="00594BA6" w:rsidRPr="007E5853" w:rsidRDefault="00594BA6">
            <w:pPr>
              <w:pStyle w:val="TableHeading"/>
            </w:pPr>
          </w:p>
        </w:tc>
        <w:tc>
          <w:tcPr>
            <w:tcW w:w="1011" w:type="pct"/>
            <w:tcBorders>
              <w:left w:val="nil"/>
            </w:tcBorders>
            <w:shd w:val="clear" w:color="auto" w:fill="auto"/>
          </w:tcPr>
          <w:p w14:paraId="5E095759" w14:textId="6C90B93F" w:rsidR="00FD371F" w:rsidRPr="007E5853" w:rsidRDefault="00FD371F">
            <w:pPr>
              <w:pStyle w:val="TableHeading"/>
            </w:pPr>
          </w:p>
        </w:tc>
      </w:tr>
      <w:tr w:rsidR="00AE51CA" w:rsidRPr="00E40A38" w14:paraId="1D24D4E2" w14:textId="77777777" w:rsidTr="00C36746">
        <w:trPr>
          <w:tblHeader/>
        </w:trPr>
        <w:tc>
          <w:tcPr>
            <w:tcW w:w="1134" w:type="pct"/>
            <w:tcBorders>
              <w:top w:val="nil"/>
            </w:tcBorders>
            <w:shd w:val="clear" w:color="auto" w:fill="auto"/>
          </w:tcPr>
          <w:p w14:paraId="7E2C9BC7" w14:textId="77777777" w:rsidR="00FD371F" w:rsidRPr="00E40A38" w:rsidRDefault="00FD371F">
            <w:pPr>
              <w:pStyle w:val="Table"/>
              <w:rPr>
                <w:rFonts w:cstheme="minorHAnsi"/>
                <w:b/>
                <w:szCs w:val="20"/>
              </w:rPr>
            </w:pPr>
          </w:p>
        </w:tc>
        <w:tc>
          <w:tcPr>
            <w:tcW w:w="1131" w:type="pct"/>
            <w:gridSpan w:val="2"/>
            <w:tcBorders>
              <w:top w:val="nil"/>
            </w:tcBorders>
            <w:shd w:val="clear" w:color="auto" w:fill="auto"/>
          </w:tcPr>
          <w:p w14:paraId="1061167C" w14:textId="77777777" w:rsidR="00FD371F" w:rsidRPr="007E5853" w:rsidRDefault="00FD371F">
            <w:pPr>
              <w:pStyle w:val="TableCentre"/>
              <w:rPr>
                <w:rFonts w:ascii="Arial Narrow" w:hAnsi="Arial Narrow" w:cstheme="minorHAnsi"/>
                <w:b/>
                <w:sz w:val="20"/>
                <w:szCs w:val="20"/>
              </w:rPr>
            </w:pPr>
          </w:p>
        </w:tc>
        <w:tc>
          <w:tcPr>
            <w:tcW w:w="912" w:type="pct"/>
            <w:shd w:val="clear" w:color="auto" w:fill="auto"/>
          </w:tcPr>
          <w:p w14:paraId="77A849D1" w14:textId="77777777" w:rsidR="00FD371F" w:rsidRPr="007E5853" w:rsidRDefault="00FD371F" w:rsidP="00C43063">
            <w:pPr>
              <w:pStyle w:val="TableCentre"/>
              <w:jc w:val="left"/>
              <w:rPr>
                <w:rFonts w:ascii="Arial Narrow" w:hAnsi="Arial Narrow" w:cstheme="minorHAnsi"/>
                <w:b/>
                <w:sz w:val="20"/>
                <w:szCs w:val="20"/>
              </w:rPr>
            </w:pPr>
            <w:r w:rsidRPr="007E5853">
              <w:rPr>
                <w:rFonts w:ascii="Arial Narrow" w:hAnsi="Arial Narrow" w:cstheme="minorHAnsi"/>
                <w:b/>
                <w:sz w:val="20"/>
                <w:szCs w:val="20"/>
              </w:rPr>
              <w:t xml:space="preserve">Month 7-18 </w:t>
            </w:r>
          </w:p>
        </w:tc>
        <w:tc>
          <w:tcPr>
            <w:tcW w:w="823" w:type="pct"/>
            <w:gridSpan w:val="2"/>
            <w:shd w:val="clear" w:color="auto" w:fill="auto"/>
          </w:tcPr>
          <w:p w14:paraId="0E24CEAA" w14:textId="77777777" w:rsidR="00FD371F" w:rsidRPr="007E5853" w:rsidRDefault="00FD371F" w:rsidP="00C43063">
            <w:pPr>
              <w:pStyle w:val="TableCentre"/>
              <w:jc w:val="left"/>
              <w:rPr>
                <w:rFonts w:ascii="Arial Narrow" w:hAnsi="Arial Narrow" w:cstheme="minorHAnsi"/>
                <w:b/>
                <w:sz w:val="20"/>
                <w:szCs w:val="20"/>
              </w:rPr>
            </w:pPr>
            <w:r w:rsidRPr="007E5853">
              <w:rPr>
                <w:rFonts w:ascii="Arial Narrow" w:hAnsi="Arial Narrow" w:cstheme="minorHAnsi"/>
                <w:b/>
                <w:sz w:val="20"/>
                <w:szCs w:val="20"/>
              </w:rPr>
              <w:t xml:space="preserve">Month 7-24 </w:t>
            </w:r>
          </w:p>
        </w:tc>
        <w:tc>
          <w:tcPr>
            <w:tcW w:w="1001" w:type="pct"/>
            <w:shd w:val="clear" w:color="auto" w:fill="auto"/>
          </w:tcPr>
          <w:p w14:paraId="35190D6D" w14:textId="77777777" w:rsidR="00FD371F" w:rsidRPr="007E5853" w:rsidRDefault="00FD371F" w:rsidP="00C43063">
            <w:pPr>
              <w:pStyle w:val="TableCentre"/>
              <w:jc w:val="left"/>
              <w:rPr>
                <w:rFonts w:ascii="Arial Narrow" w:hAnsi="Arial Narrow" w:cstheme="minorHAnsi"/>
                <w:b/>
                <w:sz w:val="20"/>
                <w:szCs w:val="20"/>
              </w:rPr>
            </w:pPr>
            <w:r w:rsidRPr="007E5853">
              <w:rPr>
                <w:rFonts w:ascii="Arial Narrow" w:hAnsi="Arial Narrow" w:cstheme="minorHAnsi"/>
                <w:b/>
                <w:sz w:val="20"/>
                <w:szCs w:val="20"/>
              </w:rPr>
              <w:t>Month 7-36</w:t>
            </w:r>
          </w:p>
        </w:tc>
      </w:tr>
      <w:tr w:rsidR="00FD371F" w:rsidRPr="00E40A38" w14:paraId="4B6AB72F" w14:textId="77777777" w:rsidTr="00C36746">
        <w:tc>
          <w:tcPr>
            <w:tcW w:w="1134" w:type="pct"/>
          </w:tcPr>
          <w:p w14:paraId="42B681AA" w14:textId="4E18FC15" w:rsidR="00FD371F" w:rsidRPr="00E40A38" w:rsidRDefault="00FD371F" w:rsidP="00D20FD7">
            <w:pPr>
              <w:pStyle w:val="TableText"/>
              <w:keepNext/>
            </w:pPr>
            <w:r w:rsidRPr="00E40A38">
              <w:t>Any episode, n (%)</w:t>
            </w:r>
          </w:p>
        </w:tc>
        <w:tc>
          <w:tcPr>
            <w:tcW w:w="1131" w:type="pct"/>
            <w:gridSpan w:val="2"/>
          </w:tcPr>
          <w:p w14:paraId="6E9929A0" w14:textId="77777777" w:rsidR="00FD371F" w:rsidRPr="00E40A38" w:rsidRDefault="00FD371F" w:rsidP="00D20FD7">
            <w:pPr>
              <w:pStyle w:val="TableText"/>
              <w:keepNext/>
            </w:pPr>
            <w:r w:rsidRPr="00E40A38">
              <w:t>40 (74.1)</w:t>
            </w:r>
          </w:p>
        </w:tc>
        <w:tc>
          <w:tcPr>
            <w:tcW w:w="912" w:type="pct"/>
          </w:tcPr>
          <w:p w14:paraId="04DEDB49" w14:textId="77777777" w:rsidR="00FD371F" w:rsidRPr="00E40A38" w:rsidRDefault="00FD371F" w:rsidP="00D20FD7">
            <w:pPr>
              <w:pStyle w:val="TableText"/>
              <w:keepNext/>
            </w:pPr>
            <w:r w:rsidRPr="00E40A38">
              <w:t>20 (37.0)</w:t>
            </w:r>
          </w:p>
        </w:tc>
        <w:tc>
          <w:tcPr>
            <w:tcW w:w="823" w:type="pct"/>
            <w:gridSpan w:val="2"/>
          </w:tcPr>
          <w:p w14:paraId="748F323E" w14:textId="77777777" w:rsidR="00FD371F" w:rsidRPr="00E40A38" w:rsidRDefault="00FD371F" w:rsidP="00D20FD7">
            <w:pPr>
              <w:pStyle w:val="TableText"/>
              <w:keepNext/>
            </w:pPr>
            <w:r w:rsidRPr="00E40A38">
              <w:t>27 (50.0)</w:t>
            </w:r>
          </w:p>
        </w:tc>
        <w:tc>
          <w:tcPr>
            <w:tcW w:w="1001" w:type="pct"/>
          </w:tcPr>
          <w:p w14:paraId="3487739A" w14:textId="77777777" w:rsidR="00FD371F" w:rsidRPr="00E40A38" w:rsidRDefault="00FD371F" w:rsidP="00D20FD7">
            <w:pPr>
              <w:pStyle w:val="TableText"/>
              <w:keepNext/>
            </w:pPr>
            <w:r w:rsidRPr="00E40A38">
              <w:t>31 (57.4)</w:t>
            </w:r>
          </w:p>
        </w:tc>
      </w:tr>
      <w:tr w:rsidR="00FD371F" w:rsidRPr="00E40A38" w14:paraId="6EF0A66F" w14:textId="77777777" w:rsidTr="00C36746">
        <w:tc>
          <w:tcPr>
            <w:tcW w:w="1134" w:type="pct"/>
          </w:tcPr>
          <w:p w14:paraId="5802508D" w14:textId="2F8B99EF" w:rsidR="00FD371F" w:rsidRPr="00E40A38" w:rsidRDefault="00FD371F" w:rsidP="00D20FD7">
            <w:pPr>
              <w:pStyle w:val="TableText"/>
              <w:keepNext/>
            </w:pPr>
            <w:r w:rsidRPr="00E40A38">
              <w:t>Zero episodes, n (%)</w:t>
            </w:r>
          </w:p>
        </w:tc>
        <w:tc>
          <w:tcPr>
            <w:tcW w:w="1131" w:type="pct"/>
            <w:gridSpan w:val="2"/>
          </w:tcPr>
          <w:p w14:paraId="6BD92030" w14:textId="77777777" w:rsidR="00FD371F" w:rsidRPr="00E40A38" w:rsidRDefault="00FD371F" w:rsidP="00D20FD7">
            <w:pPr>
              <w:pStyle w:val="TableText"/>
              <w:keepNext/>
            </w:pPr>
            <w:r w:rsidRPr="00E40A38">
              <w:t>14 (25.9)</w:t>
            </w:r>
          </w:p>
        </w:tc>
        <w:tc>
          <w:tcPr>
            <w:tcW w:w="912" w:type="pct"/>
          </w:tcPr>
          <w:p w14:paraId="03B4D205" w14:textId="77777777" w:rsidR="00FD371F" w:rsidRPr="00E40A38" w:rsidRDefault="00FD371F" w:rsidP="00D20FD7">
            <w:pPr>
              <w:pStyle w:val="TableText"/>
              <w:keepNext/>
            </w:pPr>
            <w:r w:rsidRPr="00E40A38">
              <w:t>34 (63.0)</w:t>
            </w:r>
          </w:p>
        </w:tc>
        <w:tc>
          <w:tcPr>
            <w:tcW w:w="823" w:type="pct"/>
            <w:gridSpan w:val="2"/>
          </w:tcPr>
          <w:p w14:paraId="4AE9B19A" w14:textId="77777777" w:rsidR="00FD371F" w:rsidRPr="00E40A38" w:rsidRDefault="00FD371F" w:rsidP="00D20FD7">
            <w:pPr>
              <w:pStyle w:val="TableText"/>
              <w:keepNext/>
            </w:pPr>
            <w:r w:rsidRPr="00E40A38">
              <w:t>27 (50.0)</w:t>
            </w:r>
          </w:p>
        </w:tc>
        <w:tc>
          <w:tcPr>
            <w:tcW w:w="1001" w:type="pct"/>
          </w:tcPr>
          <w:p w14:paraId="024F4C19" w14:textId="77777777" w:rsidR="00FD371F" w:rsidRPr="00E40A38" w:rsidRDefault="00FD371F" w:rsidP="00D20FD7">
            <w:pPr>
              <w:pStyle w:val="TableText"/>
              <w:keepNext/>
            </w:pPr>
            <w:r w:rsidRPr="00E40A38">
              <w:t>After 21 d: 20 (37.0)</w:t>
            </w:r>
          </w:p>
          <w:p w14:paraId="372704D1" w14:textId="522103E1" w:rsidR="00FD371F" w:rsidRPr="00E40A38" w:rsidRDefault="00FD371F" w:rsidP="00D20FD7">
            <w:pPr>
              <w:pStyle w:val="TableText"/>
              <w:keepNext/>
            </w:pPr>
            <w:r w:rsidRPr="00E40A38">
              <w:t>After 6</w:t>
            </w:r>
            <w:r w:rsidR="008E54B4" w:rsidRPr="00E40A38">
              <w:t xml:space="preserve"> </w:t>
            </w:r>
            <w:proofErr w:type="spellStart"/>
            <w:r w:rsidRPr="00E40A38">
              <w:t>mo</w:t>
            </w:r>
            <w:proofErr w:type="spellEnd"/>
            <w:r w:rsidRPr="00E40A38">
              <w:t>: 23 (42.6)</w:t>
            </w:r>
          </w:p>
        </w:tc>
      </w:tr>
      <w:tr w:rsidR="00FD371F" w:rsidRPr="00E40A38" w14:paraId="3A9D6EEE" w14:textId="77777777" w:rsidTr="00C36746">
        <w:tc>
          <w:tcPr>
            <w:tcW w:w="1134" w:type="pct"/>
          </w:tcPr>
          <w:p w14:paraId="212DDF5F" w14:textId="30BA9A4B" w:rsidR="00FD371F" w:rsidRPr="00E40A38" w:rsidRDefault="00FD371F" w:rsidP="00D62869">
            <w:pPr>
              <w:pStyle w:val="TableText"/>
            </w:pPr>
            <w:r w:rsidRPr="00E40A38">
              <w:t xml:space="preserve">Unadjusted </w:t>
            </w:r>
            <w:proofErr w:type="spellStart"/>
            <w:r w:rsidRPr="00E40A38">
              <w:t>ABR</w:t>
            </w:r>
            <w:r w:rsidR="00071729" w:rsidRPr="00E40A38">
              <w:rPr>
                <w:vertAlign w:val="superscript"/>
              </w:rPr>
              <w:t>a</w:t>
            </w:r>
            <w:proofErr w:type="spellEnd"/>
          </w:p>
        </w:tc>
        <w:tc>
          <w:tcPr>
            <w:tcW w:w="1131" w:type="pct"/>
            <w:gridSpan w:val="2"/>
          </w:tcPr>
          <w:p w14:paraId="77DEFA7A" w14:textId="77777777" w:rsidR="00FD371F" w:rsidRPr="00E40A38" w:rsidRDefault="00FD371F">
            <w:pPr>
              <w:pStyle w:val="TableText"/>
            </w:pPr>
            <w:r w:rsidRPr="00E40A38">
              <w:t>4.11</w:t>
            </w:r>
          </w:p>
        </w:tc>
        <w:tc>
          <w:tcPr>
            <w:tcW w:w="912" w:type="pct"/>
          </w:tcPr>
          <w:p w14:paraId="403C18A6" w14:textId="77777777" w:rsidR="00FD371F" w:rsidRPr="00E40A38" w:rsidRDefault="00FD371F">
            <w:pPr>
              <w:pStyle w:val="TableText"/>
            </w:pPr>
            <w:r w:rsidRPr="00E40A38">
              <w:t>1.08</w:t>
            </w:r>
          </w:p>
        </w:tc>
        <w:tc>
          <w:tcPr>
            <w:tcW w:w="823" w:type="pct"/>
            <w:gridSpan w:val="2"/>
          </w:tcPr>
          <w:p w14:paraId="5C8A7BBC" w14:textId="77777777" w:rsidR="00FD371F" w:rsidRPr="00E40A38" w:rsidRDefault="00FD371F">
            <w:pPr>
              <w:pStyle w:val="TableText"/>
            </w:pPr>
            <w:r w:rsidRPr="00E40A38">
              <w:t>0.99</w:t>
            </w:r>
          </w:p>
        </w:tc>
        <w:tc>
          <w:tcPr>
            <w:tcW w:w="1001" w:type="pct"/>
          </w:tcPr>
          <w:p w14:paraId="47B9B68F" w14:textId="43763479" w:rsidR="00FD371F" w:rsidRPr="00E40A38" w:rsidRDefault="00FD371F">
            <w:pPr>
              <w:pStyle w:val="TableText"/>
            </w:pPr>
            <w:r w:rsidRPr="00E40A38">
              <w:t>0.90</w:t>
            </w:r>
          </w:p>
        </w:tc>
      </w:tr>
      <w:tr w:rsidR="00FD371F" w:rsidRPr="00E40A38" w14:paraId="4B737807" w14:textId="77777777" w:rsidTr="00C36746">
        <w:tc>
          <w:tcPr>
            <w:tcW w:w="1134" w:type="pct"/>
            <w:tcBorders>
              <w:bottom w:val="single" w:sz="4" w:space="0" w:color="auto"/>
            </w:tcBorders>
          </w:tcPr>
          <w:p w14:paraId="44B57847" w14:textId="6B0973B6" w:rsidR="00FD371F" w:rsidRPr="00E40A38" w:rsidRDefault="00FD371F">
            <w:pPr>
              <w:pStyle w:val="TableText"/>
            </w:pPr>
            <w:r w:rsidRPr="00E40A38">
              <w:t>Adjusted ABR (95%</w:t>
            </w:r>
            <w:r w:rsidR="0079161F" w:rsidRPr="00E40A38">
              <w:t xml:space="preserve"> </w:t>
            </w:r>
            <w:r w:rsidRPr="00E40A38">
              <w:t>CI)</w:t>
            </w:r>
          </w:p>
        </w:tc>
        <w:tc>
          <w:tcPr>
            <w:tcW w:w="1131" w:type="pct"/>
            <w:gridSpan w:val="2"/>
            <w:tcBorders>
              <w:bottom w:val="single" w:sz="4" w:space="0" w:color="auto"/>
            </w:tcBorders>
          </w:tcPr>
          <w:p w14:paraId="00D41124" w14:textId="77777777" w:rsidR="00FD371F" w:rsidRPr="00E40A38" w:rsidRDefault="00FD371F">
            <w:pPr>
              <w:pStyle w:val="TableText"/>
            </w:pPr>
            <w:r w:rsidRPr="00E40A38">
              <w:t>4.19 (3.22, 5.45)</w:t>
            </w:r>
          </w:p>
        </w:tc>
        <w:tc>
          <w:tcPr>
            <w:tcW w:w="912" w:type="pct"/>
          </w:tcPr>
          <w:p w14:paraId="62A24148" w14:textId="77777777" w:rsidR="00FD371F" w:rsidRPr="00E40A38" w:rsidRDefault="00FD371F">
            <w:pPr>
              <w:pStyle w:val="TableText"/>
            </w:pPr>
            <w:r w:rsidRPr="00E40A38">
              <w:t>1.51 (0.81, 2.82)</w:t>
            </w:r>
          </w:p>
        </w:tc>
        <w:tc>
          <w:tcPr>
            <w:tcW w:w="823" w:type="pct"/>
            <w:gridSpan w:val="2"/>
          </w:tcPr>
          <w:p w14:paraId="05AF51A2" w14:textId="77777777" w:rsidR="00FD371F" w:rsidRPr="00E40A38" w:rsidRDefault="00FD371F">
            <w:pPr>
              <w:pStyle w:val="TableText"/>
            </w:pPr>
            <w:r w:rsidRPr="00E40A38">
              <w:t>1.51 (0.83, 2.76)</w:t>
            </w:r>
          </w:p>
        </w:tc>
        <w:tc>
          <w:tcPr>
            <w:tcW w:w="1001" w:type="pct"/>
          </w:tcPr>
          <w:p w14:paraId="31DB7710" w14:textId="77777777" w:rsidR="00FD371F" w:rsidRPr="00E40A38" w:rsidRDefault="00FD371F">
            <w:pPr>
              <w:pStyle w:val="TableText"/>
            </w:pPr>
            <w:r w:rsidRPr="00E40A38">
              <w:t>1.52 (0.81, 2.85)</w:t>
            </w:r>
          </w:p>
        </w:tc>
      </w:tr>
      <w:tr w:rsidR="00FD371F" w:rsidRPr="00E40A38" w14:paraId="20B46B95" w14:textId="77777777" w:rsidTr="00C36746">
        <w:tc>
          <w:tcPr>
            <w:tcW w:w="2114" w:type="pct"/>
            <w:gridSpan w:val="2"/>
            <w:tcBorders>
              <w:right w:val="nil"/>
            </w:tcBorders>
          </w:tcPr>
          <w:p w14:paraId="70508886" w14:textId="44380B46" w:rsidR="00E66219" w:rsidRPr="00E40A38" w:rsidRDefault="00594BA6">
            <w:pPr>
              <w:pStyle w:val="TableText"/>
            </w:pPr>
            <w:r w:rsidRPr="00E40A38">
              <w:t>Rate ratio (post-treatment / lead-in) (95% CI)</w:t>
            </w:r>
          </w:p>
          <w:p w14:paraId="7463389A" w14:textId="199D2A50" w:rsidR="00594BA6" w:rsidRPr="00E40A38" w:rsidRDefault="00594BA6">
            <w:pPr>
              <w:pStyle w:val="TableText"/>
            </w:pPr>
            <w:r w:rsidRPr="00E40A38">
              <w:t>p-value</w:t>
            </w:r>
          </w:p>
        </w:tc>
        <w:tc>
          <w:tcPr>
            <w:tcW w:w="151" w:type="pct"/>
            <w:tcBorders>
              <w:left w:val="nil"/>
            </w:tcBorders>
          </w:tcPr>
          <w:p w14:paraId="0705AAD3" w14:textId="34933AE2" w:rsidR="00FD371F" w:rsidRPr="00E40A38" w:rsidRDefault="00FD371F">
            <w:pPr>
              <w:pStyle w:val="TableText"/>
            </w:pPr>
          </w:p>
        </w:tc>
        <w:tc>
          <w:tcPr>
            <w:tcW w:w="912" w:type="pct"/>
          </w:tcPr>
          <w:p w14:paraId="7F7721C3" w14:textId="77777777" w:rsidR="00FD371F" w:rsidRPr="00E40A38" w:rsidRDefault="00FD371F">
            <w:pPr>
              <w:pStyle w:val="TableText"/>
              <w:rPr>
                <w:b/>
                <w:bCs/>
              </w:rPr>
            </w:pPr>
            <w:r w:rsidRPr="00E40A38">
              <w:rPr>
                <w:b/>
                <w:bCs/>
              </w:rPr>
              <w:t>0.36 (0.20, 0.64)</w:t>
            </w:r>
          </w:p>
          <w:p w14:paraId="18573020" w14:textId="77777777" w:rsidR="00FD371F" w:rsidRPr="00E40A38" w:rsidRDefault="00FD371F">
            <w:pPr>
              <w:pStyle w:val="TableText"/>
              <w:rPr>
                <w:b/>
                <w:bCs/>
              </w:rPr>
            </w:pPr>
            <w:r w:rsidRPr="00E40A38">
              <w:rPr>
                <w:b/>
                <w:bCs/>
              </w:rPr>
              <w:t>p=0.0002</w:t>
            </w:r>
          </w:p>
        </w:tc>
        <w:tc>
          <w:tcPr>
            <w:tcW w:w="823" w:type="pct"/>
            <w:gridSpan w:val="2"/>
          </w:tcPr>
          <w:p w14:paraId="63DDFFE2" w14:textId="77777777" w:rsidR="00FD371F" w:rsidRPr="00E40A38" w:rsidRDefault="00FD371F">
            <w:pPr>
              <w:pStyle w:val="TableText"/>
              <w:rPr>
                <w:b/>
                <w:bCs/>
              </w:rPr>
            </w:pPr>
            <w:r w:rsidRPr="00E40A38">
              <w:rPr>
                <w:b/>
                <w:bCs/>
              </w:rPr>
              <w:t>0.36 (0.21, 0.63)</w:t>
            </w:r>
          </w:p>
          <w:p w14:paraId="56AE6D26" w14:textId="77777777" w:rsidR="00FD371F" w:rsidRPr="00E40A38" w:rsidRDefault="00FD371F">
            <w:pPr>
              <w:pStyle w:val="TableText"/>
              <w:rPr>
                <w:b/>
                <w:bCs/>
              </w:rPr>
            </w:pPr>
            <w:r w:rsidRPr="00E40A38">
              <w:rPr>
                <w:b/>
                <w:bCs/>
              </w:rPr>
              <w:t>p=0.0002</w:t>
            </w:r>
          </w:p>
        </w:tc>
        <w:tc>
          <w:tcPr>
            <w:tcW w:w="1001" w:type="pct"/>
          </w:tcPr>
          <w:p w14:paraId="7C9E21CB" w14:textId="77777777" w:rsidR="00FD371F" w:rsidRPr="00E40A38" w:rsidRDefault="00FD371F">
            <w:pPr>
              <w:pStyle w:val="TableText"/>
              <w:rPr>
                <w:b/>
                <w:bCs/>
              </w:rPr>
            </w:pPr>
            <w:r w:rsidRPr="00E40A38">
              <w:rPr>
                <w:b/>
                <w:bCs/>
              </w:rPr>
              <w:t>0.36 (0.20, 0.66)</w:t>
            </w:r>
          </w:p>
          <w:p w14:paraId="59836487" w14:textId="77777777" w:rsidR="00FD371F" w:rsidRPr="00E40A38" w:rsidRDefault="00FD371F">
            <w:pPr>
              <w:pStyle w:val="TableText"/>
              <w:rPr>
                <w:b/>
                <w:bCs/>
              </w:rPr>
            </w:pPr>
            <w:r w:rsidRPr="00E40A38">
              <w:rPr>
                <w:b/>
                <w:bCs/>
              </w:rPr>
              <w:t>p=0.0004</w:t>
            </w:r>
          </w:p>
        </w:tc>
      </w:tr>
    </w:tbl>
    <w:p w14:paraId="616EA462" w14:textId="70B5EE7D" w:rsidR="00FD371F" w:rsidRPr="00E40A38" w:rsidRDefault="00FD371F" w:rsidP="00C25368">
      <w:pPr>
        <w:pStyle w:val="CommentaryTablenotes"/>
        <w:rPr>
          <w:color w:val="auto"/>
        </w:rPr>
      </w:pPr>
      <w:r w:rsidRPr="00E40A38">
        <w:rPr>
          <w:color w:val="auto"/>
        </w:rPr>
        <w:t>ABR = annualised bleeding rate; CI = confidence interval;</w:t>
      </w:r>
      <w:r w:rsidR="00F17629" w:rsidRPr="00E40A38">
        <w:rPr>
          <w:color w:val="auto"/>
        </w:rPr>
        <w:t xml:space="preserve"> d = days;</w:t>
      </w:r>
      <w:r w:rsidRPr="00E40A38">
        <w:rPr>
          <w:color w:val="auto"/>
        </w:rPr>
        <w:t xml:space="preserve"> FIX = </w:t>
      </w:r>
      <w:r w:rsidR="00394C3E">
        <w:rPr>
          <w:color w:val="auto"/>
        </w:rPr>
        <w:t>f</w:t>
      </w:r>
      <w:r w:rsidRPr="00E40A38">
        <w:rPr>
          <w:color w:val="auto"/>
        </w:rPr>
        <w:t>actor IX</w:t>
      </w:r>
      <w:r w:rsidR="00F17629" w:rsidRPr="00E40A38">
        <w:rPr>
          <w:color w:val="auto"/>
        </w:rPr>
        <w:t xml:space="preserve">; </w:t>
      </w:r>
      <w:proofErr w:type="spellStart"/>
      <w:r w:rsidR="00F17629" w:rsidRPr="00E40A38">
        <w:rPr>
          <w:color w:val="auto"/>
        </w:rPr>
        <w:t>mo</w:t>
      </w:r>
      <w:proofErr w:type="spellEnd"/>
      <w:r w:rsidR="00F17629" w:rsidRPr="00E40A38">
        <w:rPr>
          <w:color w:val="auto"/>
        </w:rPr>
        <w:t xml:space="preserve"> = months</w:t>
      </w:r>
      <w:r w:rsidRPr="00E40A38">
        <w:rPr>
          <w:color w:val="auto"/>
        </w:rPr>
        <w:t>.</w:t>
      </w:r>
      <w:r w:rsidRPr="00E40A38">
        <w:rPr>
          <w:color w:val="auto"/>
        </w:rPr>
        <w:br/>
        <w:t>Note: One-sided p-value ≤</w:t>
      </w:r>
      <w:r w:rsidR="00465AB0" w:rsidRPr="00E40A38">
        <w:rPr>
          <w:color w:val="auto"/>
        </w:rPr>
        <w:t> </w:t>
      </w:r>
      <w:r w:rsidRPr="00E40A38">
        <w:rPr>
          <w:color w:val="auto"/>
        </w:rPr>
        <w:t>0.025 for Post-treatment/Lead-In &lt;</w:t>
      </w:r>
      <w:r w:rsidR="00465AB0" w:rsidRPr="00E40A38">
        <w:rPr>
          <w:color w:val="auto"/>
        </w:rPr>
        <w:t> </w:t>
      </w:r>
      <w:r w:rsidRPr="00E40A38">
        <w:rPr>
          <w:color w:val="auto"/>
        </w:rPr>
        <w:t>1 is regarded as statistically significant.</w:t>
      </w:r>
      <w:r w:rsidR="00E02128" w:rsidRPr="00E40A38">
        <w:rPr>
          <w:color w:val="auto"/>
        </w:rPr>
        <w:br/>
      </w:r>
      <w:bookmarkStart w:id="23" w:name="_Hlk164251119"/>
      <w:r w:rsidR="00E02128" w:rsidRPr="00E40A38">
        <w:rPr>
          <w:color w:val="auto"/>
        </w:rPr>
        <w:t xml:space="preserve">a </w:t>
      </w:r>
      <w:r w:rsidR="00210BED" w:rsidRPr="00E40A38">
        <w:rPr>
          <w:color w:val="auto"/>
        </w:rPr>
        <w:t xml:space="preserve">Unadjusted ABR is calculated as the ratio of the total </w:t>
      </w:r>
      <w:r w:rsidR="000E30AB" w:rsidRPr="00E40A38">
        <w:rPr>
          <w:color w:val="auto"/>
        </w:rPr>
        <w:t xml:space="preserve">(pooled) </w:t>
      </w:r>
      <w:r w:rsidR="00210BED" w:rsidRPr="00E40A38">
        <w:rPr>
          <w:color w:val="auto"/>
        </w:rPr>
        <w:t xml:space="preserve">patient number of bleeds to the total </w:t>
      </w:r>
      <w:r w:rsidR="000E30AB" w:rsidRPr="00E40A38">
        <w:rPr>
          <w:color w:val="auto"/>
        </w:rPr>
        <w:t xml:space="preserve">(pooled) </w:t>
      </w:r>
      <w:r w:rsidR="00210BED" w:rsidRPr="00E40A38">
        <w:rPr>
          <w:color w:val="auto"/>
        </w:rPr>
        <w:t>patient time of observation (in years)</w:t>
      </w:r>
      <w:bookmarkEnd w:id="23"/>
      <w:r w:rsidR="007E3CBA" w:rsidRPr="00E40A38">
        <w:rPr>
          <w:color w:val="auto"/>
        </w:rPr>
        <w:br/>
      </w:r>
      <w:r w:rsidRPr="00E40A38">
        <w:rPr>
          <w:color w:val="auto"/>
        </w:rPr>
        <w:t xml:space="preserve">Source: Table 2-20 of MSAC 1728 </w:t>
      </w:r>
      <w:proofErr w:type="spellStart"/>
      <w:r w:rsidRPr="00E40A38">
        <w:rPr>
          <w:color w:val="auto"/>
        </w:rPr>
        <w:t>ADAR+in-line</w:t>
      </w:r>
      <w:proofErr w:type="spellEnd"/>
      <w:r w:rsidRPr="00E40A38">
        <w:rPr>
          <w:color w:val="auto"/>
        </w:rPr>
        <w:t xml:space="preserve"> commentary.</w:t>
      </w:r>
    </w:p>
    <w:p w14:paraId="6CA51F50" w14:textId="17BE2884" w:rsidR="00FD371F" w:rsidRPr="00E40A38" w:rsidRDefault="00FD371F" w:rsidP="00FD371F">
      <w:r w:rsidRPr="00E40A38">
        <w:t xml:space="preserve">The aim of the </w:t>
      </w:r>
      <w:r w:rsidR="00605083" w:rsidRPr="00E40A38">
        <w:t>HOPE-B study’s</w:t>
      </w:r>
      <w:r w:rsidRPr="00E40A38">
        <w:t xml:space="preserve"> primary efficacy endpoint was to compare the adjusted ABR f</w:t>
      </w:r>
      <w:r w:rsidR="00A02EE6" w:rsidRPr="00E40A38">
        <w:t>or</w:t>
      </w:r>
      <w:r w:rsidRPr="00E40A38">
        <w:t xml:space="preserve"> the 12 months post stable FIX expression (</w:t>
      </w:r>
      <w:r w:rsidR="00A02EE6" w:rsidRPr="00E40A38">
        <w:t xml:space="preserve">i.e. </w:t>
      </w:r>
      <w:r w:rsidRPr="00E40A38">
        <w:t>months 7-18</w:t>
      </w:r>
      <w:r w:rsidR="00A02EE6" w:rsidRPr="00E40A38">
        <w:t xml:space="preserve"> post-treatment</w:t>
      </w:r>
      <w:r w:rsidRPr="00E40A38">
        <w:t>) to that from the 6-month lead</w:t>
      </w:r>
      <w:r w:rsidR="00A45664" w:rsidRPr="00E40A38">
        <w:t>-</w:t>
      </w:r>
      <w:r w:rsidRPr="00E40A38">
        <w:t>in period. The upper bound of the 95% confidence interval for the rate ratio (0.64) was less than the prespecified margin (1.8). Thus, the HOPE-B study met the non-inferiority criterion. A secondary inferential analysis of this endpoint subsequently established superiority, while the estimated reduction in the ABR between periods was 64% (RR</w:t>
      </w:r>
      <w:r w:rsidR="00F579C3" w:rsidRPr="00E40A38">
        <w:t> </w:t>
      </w:r>
      <w:r w:rsidRPr="00E40A38">
        <w:t>=</w:t>
      </w:r>
      <w:r w:rsidR="00F579C3" w:rsidRPr="00E40A38">
        <w:t> </w:t>
      </w:r>
      <w:r w:rsidRPr="00E40A38">
        <w:t>0.36).</w:t>
      </w:r>
    </w:p>
    <w:p w14:paraId="48BC8376" w14:textId="7F6802B5" w:rsidR="00C25368" w:rsidRPr="00A80FF6" w:rsidRDefault="00530F1B" w:rsidP="00530F1B">
      <w:r w:rsidRPr="00E40A38">
        <w:t xml:space="preserve">The </w:t>
      </w:r>
      <w:r w:rsidR="00896C8E" w:rsidRPr="00E40A38">
        <w:t>c</w:t>
      </w:r>
      <w:r w:rsidRPr="00E40A38">
        <w:t>ommentary presented bleeds as a tornado plot of bleeds per month (</w:t>
      </w:r>
      <w:r w:rsidRPr="00E40A38">
        <w:fldChar w:fldCharType="begin"/>
      </w:r>
      <w:r w:rsidRPr="00E40A38">
        <w:instrText xml:space="preserve"> REF _Ref164195486 \h </w:instrText>
      </w:r>
      <w:r w:rsidR="00474734" w:rsidRPr="00E40A38">
        <w:instrText xml:space="preserve"> \* MERGEFORMAT </w:instrText>
      </w:r>
      <w:r w:rsidRPr="00E40A38">
        <w:fldChar w:fldCharType="separate"/>
      </w:r>
      <w:r w:rsidR="007207A8" w:rsidRPr="00E40A38">
        <w:t>Figure </w:t>
      </w:r>
      <w:r w:rsidR="007207A8">
        <w:t>1</w:t>
      </w:r>
      <w:r w:rsidRPr="00E40A38">
        <w:fldChar w:fldCharType="end"/>
      </w:r>
      <w:r w:rsidRPr="00E40A38">
        <w:t xml:space="preserve">) to visualise </w:t>
      </w:r>
      <w:r w:rsidRPr="00A80FF6">
        <w:t xml:space="preserve">the comparison between lead-in and post-treatment periods. </w:t>
      </w:r>
    </w:p>
    <w:p w14:paraId="65F92296" w14:textId="75250021" w:rsidR="00CD30D0" w:rsidRPr="00A80FF6" w:rsidRDefault="00CD30D0" w:rsidP="00CD30D0">
      <w:pPr>
        <w:keepNext/>
      </w:pPr>
      <w:r w:rsidRPr="00A80FF6">
        <w:t xml:space="preserve">The commentary noted </w:t>
      </w:r>
      <w:r w:rsidR="00841E2C" w:rsidRPr="00A80FF6">
        <w:t>the following</w:t>
      </w:r>
      <w:r w:rsidRPr="00A80FF6">
        <w:t>:</w:t>
      </w:r>
    </w:p>
    <w:p w14:paraId="21B0D1ED" w14:textId="72610668" w:rsidR="00CD30D0" w:rsidRPr="00A80FF6" w:rsidRDefault="00EB514F" w:rsidP="006779D5">
      <w:pPr>
        <w:pStyle w:val="ListParagraph"/>
        <w:numPr>
          <w:ilvl w:val="0"/>
          <w:numId w:val="11"/>
        </w:numPr>
      </w:pPr>
      <w:r w:rsidRPr="00A80FF6">
        <w:t>Nine</w:t>
      </w:r>
      <w:r w:rsidR="00CD30D0" w:rsidRPr="00A80FF6">
        <w:t xml:space="preserve"> patients had more bleeds</w:t>
      </w:r>
      <w:r w:rsidR="006D2F96" w:rsidRPr="00A80FF6">
        <w:t xml:space="preserve"> per month</w:t>
      </w:r>
      <w:r w:rsidR="00CD30D0" w:rsidRPr="00A80FF6">
        <w:t xml:space="preserve"> in the post-treatment phase compared to the lead-in phase. Aside from the patient with confirmed lack of efficacy (</w:t>
      </w:r>
      <w:r w:rsidR="0096293C" w:rsidRPr="00A80FF6">
        <w:rPr>
          <w:b/>
          <w:bCs/>
        </w:rPr>
        <w:t>redacted</w:t>
      </w:r>
      <w:r w:rsidR="00CD30D0" w:rsidRPr="00A80FF6">
        <w:t xml:space="preserve">), this may have been due to the marked difference in duration between the phases (6 months versus 36 months). </w:t>
      </w:r>
    </w:p>
    <w:p w14:paraId="17722720" w14:textId="60FF7285" w:rsidR="00CD30D0" w:rsidRPr="00A80FF6" w:rsidRDefault="00CD30D0" w:rsidP="006779D5">
      <w:pPr>
        <w:pStyle w:val="ListParagraph"/>
        <w:numPr>
          <w:ilvl w:val="0"/>
          <w:numId w:val="11"/>
        </w:numPr>
      </w:pPr>
      <w:r w:rsidRPr="00A80FF6">
        <w:t xml:space="preserve">Patient </w:t>
      </w:r>
      <w:r w:rsidR="0096293C" w:rsidRPr="00A80FF6">
        <w:rPr>
          <w:b/>
          <w:bCs/>
        </w:rPr>
        <w:t>redacted</w:t>
      </w:r>
      <w:r w:rsidRPr="00A80FF6">
        <w:t xml:space="preserve"> may have been an outlier, showing high bleeds in both the lead-in and post-treatment phases. Perplexingly, neither FIX activity nor FIX replacement use corresponded to the high number of post-treatment bleeds in this patient. Nevertheless, this patient’s unadjusted ABR over the post-treatment period (</w:t>
      </w:r>
      <w:r w:rsidR="00B17CC1" w:rsidRPr="00A80FF6">
        <w:rPr>
          <w:b/>
          <w:bCs/>
        </w:rPr>
        <w:t>redacted</w:t>
      </w:r>
      <w:r w:rsidRPr="00A80FF6">
        <w:t xml:space="preserve"> after Day 21 or </w:t>
      </w:r>
      <w:r w:rsidR="00B17CC1" w:rsidRPr="00A80FF6">
        <w:rPr>
          <w:b/>
          <w:bCs/>
        </w:rPr>
        <w:t>redacted</w:t>
      </w:r>
      <w:r w:rsidRPr="00A80FF6">
        <w:t xml:space="preserve"> after Month 7) was still reduced compared to the lead-in period ABR of </w:t>
      </w:r>
      <w:r w:rsidR="00B17CC1" w:rsidRPr="00A80FF6">
        <w:rPr>
          <w:b/>
          <w:bCs/>
        </w:rPr>
        <w:t>redacted</w:t>
      </w:r>
      <w:r w:rsidRPr="00A80FF6">
        <w:t xml:space="preserve">. </w:t>
      </w:r>
    </w:p>
    <w:p w14:paraId="394EF204" w14:textId="037D60B4" w:rsidR="00CD30D0" w:rsidRPr="00A80FF6" w:rsidRDefault="00CD30D0" w:rsidP="006779D5">
      <w:pPr>
        <w:pStyle w:val="ListParagraph"/>
        <w:numPr>
          <w:ilvl w:val="0"/>
          <w:numId w:val="11"/>
        </w:numPr>
      </w:pPr>
      <w:r w:rsidRPr="00A80FF6">
        <w:t xml:space="preserve">At least three patients </w:t>
      </w:r>
      <w:r w:rsidR="004B5B45" w:rsidRPr="00A80FF6">
        <w:t>(</w:t>
      </w:r>
      <w:r w:rsidR="0096293C" w:rsidRPr="00A80FF6">
        <w:rPr>
          <w:b/>
          <w:bCs/>
        </w:rPr>
        <w:t>redacted</w:t>
      </w:r>
      <w:r w:rsidR="004B5B45" w:rsidRPr="00A80FF6">
        <w:t xml:space="preserve">, </w:t>
      </w:r>
      <w:r w:rsidR="0096293C" w:rsidRPr="00A80FF6">
        <w:rPr>
          <w:b/>
          <w:bCs/>
        </w:rPr>
        <w:t>redacted</w:t>
      </w:r>
      <w:r w:rsidR="004B5B45" w:rsidRPr="00A80FF6">
        <w:t xml:space="preserve">, </w:t>
      </w:r>
      <w:r w:rsidR="0096293C" w:rsidRPr="00A80FF6">
        <w:rPr>
          <w:b/>
          <w:bCs/>
        </w:rPr>
        <w:t>redacted</w:t>
      </w:r>
      <w:r w:rsidR="004B5B45" w:rsidRPr="00A80FF6">
        <w:t xml:space="preserve">) </w:t>
      </w:r>
      <w:r w:rsidR="00203626" w:rsidRPr="00A80FF6">
        <w:t xml:space="preserve">experienced </w:t>
      </w:r>
      <w:r w:rsidR="001B7C29" w:rsidRPr="00A80FF6">
        <w:t xml:space="preserve">at least 10 bleeds in the </w:t>
      </w:r>
      <w:r w:rsidRPr="00A80FF6">
        <w:t>post-treatment</w:t>
      </w:r>
      <w:r w:rsidR="008A62B7" w:rsidRPr="00A80FF6">
        <w:t xml:space="preserve"> period</w:t>
      </w:r>
      <w:r w:rsidR="00586866" w:rsidRPr="00A80FF6">
        <w:t xml:space="preserve"> along with</w:t>
      </w:r>
      <w:r w:rsidR="007A50AB" w:rsidRPr="00A80FF6">
        <w:t xml:space="preserve"> </w:t>
      </w:r>
      <w:r w:rsidR="00B16C9B" w:rsidRPr="00A80FF6">
        <w:t xml:space="preserve">&lt;12% </w:t>
      </w:r>
      <w:r w:rsidR="00CA0D6B" w:rsidRPr="00A80FF6">
        <w:t>mean</w:t>
      </w:r>
      <w:r w:rsidR="00DE0EA1" w:rsidRPr="00A80FF6">
        <w:t xml:space="preserve"> FIX activity </w:t>
      </w:r>
      <w:r w:rsidR="00021CA3" w:rsidRPr="00A80FF6">
        <w:t>(</w:t>
      </w:r>
      <w:r w:rsidRPr="00A80FF6">
        <w:t xml:space="preserve">or </w:t>
      </w:r>
      <w:r w:rsidR="00ED750C" w:rsidRPr="00A80FF6">
        <w:t>‘</w:t>
      </w:r>
      <w:r w:rsidRPr="00A80FF6">
        <w:t>contaminated</w:t>
      </w:r>
      <w:r w:rsidR="00ED750C" w:rsidRPr="00A80FF6">
        <w:t>’</w:t>
      </w:r>
      <w:r w:rsidRPr="00A80FF6">
        <w:t xml:space="preserve"> FIX activity</w:t>
      </w:r>
      <w:r w:rsidR="00EE6E3D" w:rsidRPr="00A80FF6">
        <w:t xml:space="preserve"> due to </w:t>
      </w:r>
      <w:r w:rsidR="001C1C58" w:rsidRPr="00A80FF6">
        <w:t>FIX infusion use</w:t>
      </w:r>
      <w:r w:rsidR="0067036A" w:rsidRPr="00A80FF6">
        <w:t>)</w:t>
      </w:r>
      <w:r w:rsidRPr="00A80FF6">
        <w:t xml:space="preserve"> and moderate FIX consumption</w:t>
      </w:r>
      <w:r w:rsidR="00233AE9" w:rsidRPr="00A80FF6">
        <w:t xml:space="preserve"> of at least 0.5</w:t>
      </w:r>
      <w:r w:rsidR="00ED750C" w:rsidRPr="00A80FF6">
        <w:t>–</w:t>
      </w:r>
      <w:r w:rsidR="00233AE9" w:rsidRPr="00A80FF6">
        <w:t>1.0 infusions per month</w:t>
      </w:r>
      <w:r w:rsidR="00A165CB" w:rsidRPr="00A80FF6">
        <w:t xml:space="preserve"> over the three</w:t>
      </w:r>
      <w:r w:rsidR="00013FE3" w:rsidRPr="00A80FF6">
        <w:t xml:space="preserve"> years</w:t>
      </w:r>
      <w:r w:rsidRPr="00A80FF6">
        <w:t>. It was not possible to distinguish between these cases and those with confirmed lack of efficacy based on the bleed data alone. All these patients were anti-AAV5 titre positive pre-treatment</w:t>
      </w:r>
      <w:r w:rsidR="007A4A66" w:rsidRPr="00A80FF6">
        <w:t xml:space="preserve"> (</w:t>
      </w:r>
      <w:r w:rsidR="00207E00" w:rsidRPr="00A80FF6">
        <w:t xml:space="preserve">titres of </w:t>
      </w:r>
      <w:r w:rsidR="00B17CC1" w:rsidRPr="00A80FF6">
        <w:rPr>
          <w:b/>
          <w:bCs/>
        </w:rPr>
        <w:t>redacted</w:t>
      </w:r>
      <w:r w:rsidR="00957D6A" w:rsidRPr="00A80FF6">
        <w:t xml:space="preserve">, </w:t>
      </w:r>
      <w:r w:rsidR="00B17CC1" w:rsidRPr="00A80FF6">
        <w:rPr>
          <w:b/>
          <w:bCs/>
        </w:rPr>
        <w:t>redacted</w:t>
      </w:r>
      <w:r w:rsidR="007A4A66" w:rsidRPr="00A80FF6">
        <w:t xml:space="preserve">, </w:t>
      </w:r>
      <w:r w:rsidR="00B17CC1" w:rsidRPr="00A80FF6">
        <w:rPr>
          <w:b/>
          <w:bCs/>
        </w:rPr>
        <w:t>redacted</w:t>
      </w:r>
      <w:r w:rsidR="00207E00" w:rsidRPr="00A80FF6">
        <w:t>, respectively</w:t>
      </w:r>
      <w:r w:rsidR="007A4A66" w:rsidRPr="00A80FF6">
        <w:t>)</w:t>
      </w:r>
      <w:r w:rsidRPr="00A80FF6">
        <w:t xml:space="preserve">. </w:t>
      </w:r>
    </w:p>
    <w:p w14:paraId="6C6F1E4B" w14:textId="7817C1CE" w:rsidR="00530F1B" w:rsidRPr="00A80FF6" w:rsidRDefault="003E76E0" w:rsidP="00530F1B">
      <w:pPr>
        <w:pStyle w:val="Caption"/>
      </w:pPr>
      <w:bookmarkStart w:id="24" w:name="_Ref164195486"/>
      <w:bookmarkStart w:id="25" w:name="_Ref163684674"/>
      <w:r w:rsidRPr="00A80FF6">
        <w:rPr>
          <w:b w:val="0"/>
          <w:bCs w:val="0"/>
          <w:noProof/>
        </w:rPr>
        <mc:AlternateContent>
          <mc:Choice Requires="wps">
            <w:drawing>
              <wp:anchor distT="45720" distB="45720" distL="114300" distR="114300" simplePos="0" relativeHeight="251658240" behindDoc="0" locked="0" layoutInCell="1" allowOverlap="1" wp14:anchorId="3EB183CE" wp14:editId="33DDC096">
                <wp:simplePos x="0" y="0"/>
                <wp:positionH relativeFrom="column">
                  <wp:posOffset>-10160</wp:posOffset>
                </wp:positionH>
                <wp:positionV relativeFrom="paragraph">
                  <wp:posOffset>381635</wp:posOffset>
                </wp:positionV>
                <wp:extent cx="5699760" cy="270510"/>
                <wp:effectExtent l="0" t="0" r="15240" b="1524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270510"/>
                        </a:xfrm>
                        <a:prstGeom prst="rect">
                          <a:avLst/>
                        </a:prstGeom>
                        <a:solidFill>
                          <a:srgbClr val="FFFFFF"/>
                        </a:solidFill>
                        <a:ln w="9525">
                          <a:solidFill>
                            <a:srgbClr val="000000"/>
                          </a:solidFill>
                          <a:miter lim="800000"/>
                          <a:headEnd/>
                          <a:tailEnd/>
                        </a:ln>
                      </wps:spPr>
                      <wps:txbx>
                        <w:txbxContent>
                          <w:p w14:paraId="344B1BF8" w14:textId="77777777" w:rsidR="009F4C98" w:rsidRPr="00A80FF6" w:rsidRDefault="009F4C98" w:rsidP="009F4C98">
                            <w:pPr>
                              <w:pStyle w:val="CommentaryTablenotes"/>
                              <w:rPr>
                                <w:b/>
                                <w:bCs/>
                                <w:color w:val="auto"/>
                                <w:sz w:val="20"/>
                              </w:rPr>
                            </w:pPr>
                            <w:r w:rsidRPr="00A80FF6">
                              <w:rPr>
                                <w:b/>
                                <w:bCs/>
                                <w:color w:val="auto"/>
                                <w:sz w:val="20"/>
                              </w:rPr>
                              <w:t xml:space="preserve">Figure </w:t>
                            </w:r>
                            <w:proofErr w:type="gramStart"/>
                            <w:r w:rsidRPr="00A80FF6">
                              <w:rPr>
                                <w:b/>
                                <w:bCs/>
                                <w:color w:val="auto"/>
                                <w:sz w:val="20"/>
                              </w:rPr>
                              <w:t>redacted</w:t>
                            </w:r>
                            <w:proofErr w:type="gramEnd"/>
                          </w:p>
                          <w:p w14:paraId="762DE53D" w14:textId="760EE3EE" w:rsidR="003E76E0" w:rsidRDefault="003E76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B183CE" id="_x0000_t202" coordsize="21600,21600" o:spt="202" path="m,l,21600r21600,l21600,xe">
                <v:stroke joinstyle="miter"/>
                <v:path gradientshapeok="t" o:connecttype="rect"/>
              </v:shapetype>
              <v:shape id="Text Box 2" o:spid="_x0000_s1026" type="#_x0000_t202" alt="&quot;&quot;" style="position:absolute;left:0;text-align:left;margin-left:-.8pt;margin-top:30.05pt;width:448.8pt;height:21.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">
                <v:textbox>
                  <w:txbxContent>
                    <w:p w14:paraId="344B1BF8" w14:textId="77777777" w:rsidR="009F4C98" w:rsidRPr="00A80FF6" w:rsidRDefault="009F4C98" w:rsidP="009F4C98">
                      <w:pPr>
                        <w:pStyle w:val="CommentaryTablenotes"/>
                        <w:rPr>
                          <w:b/>
                          <w:bCs/>
                          <w:color w:val="auto"/>
                          <w:sz w:val="20"/>
                        </w:rPr>
                      </w:pPr>
                      <w:r w:rsidRPr="00A80FF6">
                        <w:rPr>
                          <w:b/>
                          <w:bCs/>
                          <w:color w:val="auto"/>
                          <w:sz w:val="20"/>
                        </w:rPr>
                        <w:t xml:space="preserve">Figure </w:t>
                      </w:r>
                      <w:proofErr w:type="gramStart"/>
                      <w:r w:rsidRPr="00A80FF6">
                        <w:rPr>
                          <w:b/>
                          <w:bCs/>
                          <w:color w:val="auto"/>
                          <w:sz w:val="20"/>
                        </w:rPr>
                        <w:t>redacted</w:t>
                      </w:r>
                      <w:proofErr w:type="gramEnd"/>
                    </w:p>
                    <w:p w14:paraId="762DE53D" w14:textId="760EE3EE" w:rsidR="003E76E0" w:rsidRDefault="003E76E0"/>
                  </w:txbxContent>
                </v:textbox>
                <w10:wrap type="square"/>
              </v:shape>
            </w:pict>
          </mc:Fallback>
        </mc:AlternateContent>
      </w:r>
      <w:r w:rsidR="00530F1B" w:rsidRPr="00A80FF6">
        <w:t>Figure </w:t>
      </w:r>
      <w:r w:rsidR="00CC66FD" w:rsidRPr="00A80FF6">
        <w:fldChar w:fldCharType="begin"/>
      </w:r>
      <w:r w:rsidR="00CC66FD" w:rsidRPr="00A80FF6">
        <w:instrText xml:space="preserve"> SEQ Figure \* ARABIC </w:instrText>
      </w:r>
      <w:r w:rsidR="00CC66FD" w:rsidRPr="00A80FF6">
        <w:fldChar w:fldCharType="separate"/>
      </w:r>
      <w:r w:rsidR="007207A8" w:rsidRPr="00A80FF6">
        <w:t>1</w:t>
      </w:r>
      <w:r w:rsidR="00CC66FD" w:rsidRPr="00A80FF6">
        <w:fldChar w:fldCharType="end"/>
      </w:r>
      <w:bookmarkEnd w:id="24"/>
      <w:r w:rsidR="00530F1B" w:rsidRPr="00A80FF6">
        <w:tab/>
        <w:t>Tornado plot of HOPE-B lead-in bleeds per month vs. post-treatment bleeds per month (0-36 months)</w:t>
      </w:r>
    </w:p>
    <w:bookmarkEnd w:id="25"/>
    <w:p w14:paraId="36FEE618" w14:textId="22C6F4C5" w:rsidR="00530F1B" w:rsidRPr="00A80FF6" w:rsidRDefault="00530F1B" w:rsidP="00A56CCC">
      <w:pPr>
        <w:pStyle w:val="CommentaryTablenotes"/>
        <w:rPr>
          <w:color w:val="auto"/>
        </w:rPr>
      </w:pPr>
      <w:r w:rsidRPr="00A80FF6">
        <w:rPr>
          <w:color w:val="auto"/>
        </w:rPr>
        <w:t xml:space="preserve">FIX = factor IX. </w:t>
      </w:r>
      <w:r w:rsidRPr="00A80FF6">
        <w:rPr>
          <w:color w:val="auto"/>
        </w:rPr>
        <w:br/>
        <w:t xml:space="preserve">Note: </w:t>
      </w:r>
      <w:r w:rsidR="00B93CAB" w:rsidRPr="00A80FF6">
        <w:rPr>
          <w:b/>
          <w:bCs/>
          <w:color w:val="auto"/>
        </w:rPr>
        <w:t>Redacted</w:t>
      </w:r>
      <w:r w:rsidR="00B93CAB" w:rsidRPr="00A80FF6">
        <w:rPr>
          <w:color w:val="auto"/>
        </w:rPr>
        <w:t xml:space="preserve"> </w:t>
      </w:r>
      <w:r w:rsidRPr="00A80FF6">
        <w:rPr>
          <w:color w:val="auto"/>
        </w:rPr>
        <w:t xml:space="preserve">The median lead-in for the N=54 population was 7.1 months (range 6.0 – 10.6 months). Cumulative bleeds at 36 months (not including the first 21 post-treatment days) were used, which correlated to a median post-treatment duration of 36.1 months (range12.1 – 39.0 months). </w:t>
      </w:r>
      <w:r w:rsidR="00A56CCC" w:rsidRPr="00A80FF6">
        <w:rPr>
          <w:color w:val="auto"/>
        </w:rPr>
        <w:br/>
      </w:r>
      <w:r w:rsidRPr="00A80FF6">
        <w:rPr>
          <w:color w:val="auto"/>
        </w:rPr>
        <w:t xml:space="preserve">Source: </w:t>
      </w:r>
      <w:r w:rsidR="00241566" w:rsidRPr="00A80FF6">
        <w:rPr>
          <w:color w:val="auto"/>
        </w:rPr>
        <w:t xml:space="preserve">Developed by the </w:t>
      </w:r>
      <w:r w:rsidRPr="00A80FF6">
        <w:rPr>
          <w:color w:val="auto"/>
        </w:rPr>
        <w:t>Commentary</w:t>
      </w:r>
      <w:r w:rsidR="00241566" w:rsidRPr="00A80FF6">
        <w:rPr>
          <w:color w:val="auto"/>
        </w:rPr>
        <w:t>,</w:t>
      </w:r>
      <w:r w:rsidRPr="00A80FF6">
        <w:rPr>
          <w:color w:val="auto"/>
        </w:rPr>
        <w:t xml:space="preserve"> Figure 4 of MSAC 1728 </w:t>
      </w:r>
      <w:proofErr w:type="spellStart"/>
      <w:r w:rsidRPr="00A80FF6">
        <w:rPr>
          <w:color w:val="auto"/>
        </w:rPr>
        <w:t>ADAR+in-line</w:t>
      </w:r>
      <w:proofErr w:type="spellEnd"/>
      <w:r w:rsidRPr="00A80FF6">
        <w:rPr>
          <w:color w:val="auto"/>
        </w:rPr>
        <w:t xml:space="preserve"> commentary.</w:t>
      </w:r>
    </w:p>
    <w:p w14:paraId="0913AFEE" w14:textId="77777777" w:rsidR="00D05AE1" w:rsidRPr="00E40A38" w:rsidRDefault="00D05AE1" w:rsidP="00D05AE1">
      <w:pPr>
        <w:pStyle w:val="Heading4"/>
      </w:pPr>
      <w:r w:rsidRPr="00A80FF6">
        <w:t xml:space="preserve">FIX activity </w:t>
      </w:r>
      <w:proofErr w:type="gramStart"/>
      <w:r w:rsidRPr="00A80FF6">
        <w:t>levels</w:t>
      </w:r>
      <w:proofErr w:type="gramEnd"/>
    </w:p>
    <w:p w14:paraId="5350FBE0" w14:textId="7E06F67D" w:rsidR="00D05AE1" w:rsidRPr="00E40A38" w:rsidRDefault="00D05AE1" w:rsidP="00D05AE1">
      <w:r w:rsidRPr="00E40A38">
        <w:t xml:space="preserve">The applicant presented FIX activity as mean values. However, the </w:t>
      </w:r>
      <w:r w:rsidR="00524756" w:rsidRPr="00E40A38">
        <w:t>c</w:t>
      </w:r>
      <w:r w:rsidRPr="00E40A38">
        <w:t xml:space="preserve">ommentary noted that FIX activity values represented </w:t>
      </w:r>
      <w:r w:rsidR="0068435D" w:rsidRPr="00E40A38">
        <w:t>‘</w:t>
      </w:r>
      <w:r w:rsidRPr="00E40A38">
        <w:t>uncontaminated FIX activity</w:t>
      </w:r>
      <w:r w:rsidR="0068435D" w:rsidRPr="00E40A38">
        <w:t>’</w:t>
      </w:r>
      <w:r w:rsidR="006C6469" w:rsidRPr="00E40A38">
        <w:t>,</w:t>
      </w:r>
      <w:r w:rsidRPr="00E40A38">
        <w:t xml:space="preserve"> which biased this outcome towards patients who responded well to </w:t>
      </w:r>
      <w:r w:rsidR="004A7023">
        <w:t>Hemgenix</w:t>
      </w:r>
      <w:r w:rsidRPr="00E40A38">
        <w:t xml:space="preserve">. Patients who required frequent FIX replacement use had fewer uncontaminated values. Data representing patients with lack of efficacy was essentially absent from the FIX activity data. </w:t>
      </w:r>
    </w:p>
    <w:p w14:paraId="5E4A7889" w14:textId="133B8E63" w:rsidR="00770DC6" w:rsidRDefault="00D05AE1" w:rsidP="00D05AE1">
      <w:r w:rsidRPr="00E40A38">
        <w:t xml:space="preserve">The </w:t>
      </w:r>
      <w:r w:rsidR="00C856C7" w:rsidRPr="00E40A38">
        <w:t>c</w:t>
      </w:r>
      <w:r w:rsidRPr="00E40A38">
        <w:t>ommentary summarised changes in putative disease severity in HOPE-B patients over time based on FIX activity</w:t>
      </w:r>
      <w:r w:rsidR="00E15684" w:rsidRPr="00E40A38">
        <w:t xml:space="preserve"> (</w:t>
      </w:r>
      <w:r w:rsidR="00E15684" w:rsidRPr="00E40A38">
        <w:fldChar w:fldCharType="begin"/>
      </w:r>
      <w:r w:rsidR="00E15684" w:rsidRPr="00E40A38">
        <w:instrText xml:space="preserve"> REF _Ref164192744 \h </w:instrText>
      </w:r>
      <w:r w:rsidR="00474734" w:rsidRPr="00E40A38">
        <w:instrText xml:space="preserve"> \* MERGEFORMAT </w:instrText>
      </w:r>
      <w:r w:rsidR="00E15684" w:rsidRPr="00E40A38">
        <w:fldChar w:fldCharType="separate"/>
      </w:r>
      <w:r w:rsidR="007207A8" w:rsidRPr="00E40A38">
        <w:t>Table </w:t>
      </w:r>
      <w:r w:rsidR="007207A8">
        <w:t>5</w:t>
      </w:r>
      <w:r w:rsidR="00E15684" w:rsidRPr="00E40A38">
        <w:fldChar w:fldCharType="end"/>
      </w:r>
      <w:r w:rsidRPr="00E40A38">
        <w:t xml:space="preserve">). </w:t>
      </w:r>
    </w:p>
    <w:p w14:paraId="73C692B6" w14:textId="23F73BF1" w:rsidR="00B31BCB" w:rsidRPr="00B31BCB" w:rsidRDefault="005440D0" w:rsidP="00B31BCB">
      <w:r>
        <w:t>It may have been</w:t>
      </w:r>
      <w:r w:rsidR="00770DC6">
        <w:t xml:space="preserve"> useful for the applicant to</w:t>
      </w:r>
      <w:r w:rsidR="002B6CC2">
        <w:t xml:space="preserve"> report </w:t>
      </w:r>
      <w:r w:rsidR="00D635E0">
        <w:t xml:space="preserve">the </w:t>
      </w:r>
      <w:r w:rsidR="00543B86" w:rsidRPr="00543B86">
        <w:t>transition for the severe and mod-severe population over time separately (ideally a tabular and graphical transition plot)</w:t>
      </w:r>
      <w:r w:rsidR="00543B86">
        <w:t>.</w:t>
      </w:r>
      <w:r w:rsidR="00770DC6">
        <w:t xml:space="preserve"> </w:t>
      </w:r>
      <w:bookmarkStart w:id="26" w:name="_Ref164192744"/>
      <w:bookmarkStart w:id="27" w:name="_Ref164085255"/>
      <w:r w:rsidR="00B31BCB">
        <w:br w:type="page"/>
      </w:r>
    </w:p>
    <w:p w14:paraId="597B4D59" w14:textId="7782E636" w:rsidR="00D05AE1" w:rsidRPr="00E40A38" w:rsidRDefault="00D05AE1" w:rsidP="14409C9B">
      <w:pPr>
        <w:pStyle w:val="Caption"/>
        <w:rPr>
          <w:rFonts w:cstheme="minorBidi"/>
          <w:lang w:val="en-US"/>
        </w:rPr>
      </w:pPr>
      <w:r w:rsidRPr="00E40A38">
        <w:t>Table </w:t>
      </w:r>
      <w:r w:rsidR="00CC66FD">
        <w:fldChar w:fldCharType="begin"/>
      </w:r>
      <w:r w:rsidR="00CC66FD">
        <w:instrText xml:space="preserve"> SEQ Table \* ARABIC </w:instrText>
      </w:r>
      <w:r w:rsidR="00CC66FD">
        <w:fldChar w:fldCharType="separate"/>
      </w:r>
      <w:r w:rsidR="007207A8">
        <w:rPr>
          <w:noProof/>
        </w:rPr>
        <w:t>5</w:t>
      </w:r>
      <w:r w:rsidR="00CC66FD">
        <w:rPr>
          <w:noProof/>
        </w:rPr>
        <w:fldChar w:fldCharType="end"/>
      </w:r>
      <w:bookmarkEnd w:id="26"/>
      <w:r w:rsidRPr="00E40A38">
        <w:tab/>
      </w:r>
      <w:r w:rsidRPr="00E40A38">
        <w:rPr>
          <w:rFonts w:cstheme="minorBidi"/>
          <w:lang w:val="en-US"/>
        </w:rPr>
        <w:t xml:space="preserve">Patient status over time – HMB severity </w:t>
      </w:r>
      <w:bookmarkStart w:id="28" w:name="_Hlk164193063"/>
      <w:r w:rsidR="00F642CC" w:rsidRPr="00E40A38">
        <w:rPr>
          <w:rFonts w:cstheme="minorBidi"/>
          <w:lang w:val="en-US"/>
        </w:rPr>
        <w:t xml:space="preserve">after </w:t>
      </w:r>
      <w:r w:rsidRPr="00E40A38">
        <w:t>etranacogene dezaparvovec</w:t>
      </w:r>
      <w:bookmarkEnd w:id="28"/>
      <w:r w:rsidRPr="00E40A38">
        <w:rPr>
          <w:rFonts w:cstheme="minorBidi"/>
          <w:lang w:val="en-US"/>
        </w:rPr>
        <w:t xml:space="preserve"> </w:t>
      </w:r>
      <w:r w:rsidR="00770DC6" w:rsidRPr="00E40A38">
        <w:rPr>
          <w:rFonts w:cstheme="minorBidi"/>
          <w:lang w:val="en-US"/>
        </w:rPr>
        <w:t>(Hemgenix)</w:t>
      </w:r>
    </w:p>
    <w:tbl>
      <w:tblPr>
        <w:tblStyle w:val="LashStyleTable1"/>
        <w:tblW w:w="5000" w:type="pct"/>
        <w:tblLayout w:type="fixed"/>
        <w:tblLook w:val="0420" w:firstRow="1" w:lastRow="0" w:firstColumn="0" w:lastColumn="0" w:noHBand="0" w:noVBand="1"/>
        <w:tblCaption w:val="Patient status over time – HMB severity after etranacogene dezaparvovec (Hemgenix)"/>
        <w:tblDescription w:val="This table shows patient status over time – HMB severity after etranacogene dezaparvovec (Hemgenix)"/>
      </w:tblPr>
      <w:tblGrid>
        <w:gridCol w:w="1930"/>
        <w:gridCol w:w="1409"/>
        <w:gridCol w:w="1420"/>
        <w:gridCol w:w="1419"/>
        <w:gridCol w:w="1419"/>
        <w:gridCol w:w="1419"/>
      </w:tblGrid>
      <w:tr w:rsidR="00D05AE1" w:rsidRPr="00E40A38" w14:paraId="4BA3812A" w14:textId="77777777" w:rsidTr="00BF02DB">
        <w:trPr>
          <w:tblHeader/>
        </w:trPr>
        <w:tc>
          <w:tcPr>
            <w:tcW w:w="1070" w:type="pct"/>
            <w:shd w:val="clear" w:color="auto" w:fill="auto"/>
          </w:tcPr>
          <w:bookmarkEnd w:id="27"/>
          <w:p w14:paraId="6A532DE4" w14:textId="77777777" w:rsidR="00D05AE1" w:rsidRPr="00E40A38" w:rsidRDefault="00D05AE1">
            <w:pPr>
              <w:pStyle w:val="TableHeading"/>
            </w:pPr>
            <w:r w:rsidRPr="00E40A38">
              <w:t xml:space="preserve">Status / severity of HMB </w:t>
            </w:r>
          </w:p>
        </w:tc>
        <w:tc>
          <w:tcPr>
            <w:tcW w:w="781" w:type="pct"/>
          </w:tcPr>
          <w:p w14:paraId="14146683" w14:textId="77777777" w:rsidR="00D05AE1" w:rsidRPr="00E40A38" w:rsidRDefault="00D05AE1">
            <w:pPr>
              <w:pStyle w:val="TableHeading"/>
            </w:pPr>
            <w:r w:rsidRPr="00E40A38">
              <w:t>Definition of severity</w:t>
            </w:r>
          </w:p>
        </w:tc>
        <w:tc>
          <w:tcPr>
            <w:tcW w:w="787" w:type="pct"/>
          </w:tcPr>
          <w:p w14:paraId="6DAD6B88" w14:textId="5888B140" w:rsidR="00D05AE1" w:rsidRPr="00E40A38" w:rsidRDefault="00D05AE1">
            <w:pPr>
              <w:pStyle w:val="TableHeading"/>
            </w:pPr>
            <w:r w:rsidRPr="00E40A38">
              <w:t>Patients, n (%) at baseline</w:t>
            </w:r>
          </w:p>
        </w:tc>
        <w:tc>
          <w:tcPr>
            <w:tcW w:w="787" w:type="pct"/>
          </w:tcPr>
          <w:p w14:paraId="3103263C" w14:textId="77777777" w:rsidR="00D05AE1" w:rsidRPr="00E40A38" w:rsidRDefault="00D05AE1">
            <w:pPr>
              <w:pStyle w:val="TableHeading"/>
            </w:pPr>
            <w:r w:rsidRPr="00E40A38">
              <w:t xml:space="preserve">Patients, n (%) at 18 </w:t>
            </w:r>
            <w:proofErr w:type="spellStart"/>
            <w:r w:rsidRPr="00E40A38">
              <w:t>mo</w:t>
            </w:r>
            <w:proofErr w:type="spellEnd"/>
          </w:p>
        </w:tc>
        <w:tc>
          <w:tcPr>
            <w:tcW w:w="787" w:type="pct"/>
          </w:tcPr>
          <w:p w14:paraId="60DE9FF1" w14:textId="77777777" w:rsidR="00D05AE1" w:rsidRPr="00E40A38" w:rsidRDefault="00D05AE1">
            <w:pPr>
              <w:pStyle w:val="TableHeading"/>
            </w:pPr>
            <w:r w:rsidRPr="00E40A38">
              <w:t xml:space="preserve">Patients, n (%) at 24 </w:t>
            </w:r>
            <w:proofErr w:type="spellStart"/>
            <w:r w:rsidRPr="00E40A38">
              <w:t>mo</w:t>
            </w:r>
            <w:proofErr w:type="spellEnd"/>
          </w:p>
        </w:tc>
        <w:tc>
          <w:tcPr>
            <w:tcW w:w="787" w:type="pct"/>
          </w:tcPr>
          <w:p w14:paraId="57AAB9B7" w14:textId="77777777" w:rsidR="00D05AE1" w:rsidRPr="00E40A38" w:rsidRDefault="00D05AE1">
            <w:pPr>
              <w:pStyle w:val="TableHeading"/>
            </w:pPr>
            <w:r w:rsidRPr="00E40A38">
              <w:t xml:space="preserve">Patients, n (%) at 36 </w:t>
            </w:r>
            <w:proofErr w:type="spellStart"/>
            <w:r w:rsidRPr="00E40A38">
              <w:t>mo</w:t>
            </w:r>
            <w:proofErr w:type="spellEnd"/>
          </w:p>
        </w:tc>
      </w:tr>
      <w:tr w:rsidR="00D05AE1" w:rsidRPr="00E40A38" w14:paraId="2B2E4923" w14:textId="77777777" w:rsidTr="00BF02DB">
        <w:tc>
          <w:tcPr>
            <w:tcW w:w="1070" w:type="pct"/>
            <w:shd w:val="clear" w:color="auto" w:fill="auto"/>
          </w:tcPr>
          <w:p w14:paraId="5A9F005F" w14:textId="77777777" w:rsidR="00D05AE1" w:rsidRPr="00E40A38" w:rsidRDefault="00D05AE1">
            <w:pPr>
              <w:pStyle w:val="TableText"/>
              <w:rPr>
                <w:sz w:val="19"/>
                <w:szCs w:val="19"/>
              </w:rPr>
            </w:pPr>
            <w:r w:rsidRPr="00E40A38">
              <w:rPr>
                <w:sz w:val="19"/>
                <w:szCs w:val="19"/>
              </w:rPr>
              <w:t xml:space="preserve">Severe </w:t>
            </w:r>
          </w:p>
        </w:tc>
        <w:tc>
          <w:tcPr>
            <w:tcW w:w="781" w:type="pct"/>
          </w:tcPr>
          <w:p w14:paraId="20DE2DBB" w14:textId="77777777" w:rsidR="00D05AE1" w:rsidRPr="00E40A38" w:rsidRDefault="00D05AE1">
            <w:pPr>
              <w:pStyle w:val="TableText"/>
              <w:rPr>
                <w:sz w:val="19"/>
                <w:szCs w:val="19"/>
              </w:rPr>
            </w:pPr>
            <w:r w:rsidRPr="00E40A38">
              <w:rPr>
                <w:sz w:val="19"/>
                <w:szCs w:val="19"/>
              </w:rPr>
              <w:t>FIX &lt;1%</w:t>
            </w:r>
          </w:p>
        </w:tc>
        <w:tc>
          <w:tcPr>
            <w:tcW w:w="787" w:type="pct"/>
          </w:tcPr>
          <w:p w14:paraId="068D2405" w14:textId="77777777" w:rsidR="00D05AE1" w:rsidRPr="00E40A38" w:rsidRDefault="00D05AE1">
            <w:pPr>
              <w:pStyle w:val="TableText"/>
              <w:rPr>
                <w:sz w:val="19"/>
                <w:szCs w:val="19"/>
              </w:rPr>
            </w:pPr>
            <w:r w:rsidRPr="00E40A38">
              <w:rPr>
                <w:sz w:val="19"/>
                <w:szCs w:val="19"/>
              </w:rPr>
              <w:t>44 (81)</w:t>
            </w:r>
          </w:p>
        </w:tc>
        <w:tc>
          <w:tcPr>
            <w:tcW w:w="787" w:type="pct"/>
          </w:tcPr>
          <w:p w14:paraId="6FAB996C" w14:textId="44B8219F" w:rsidR="00D05AE1" w:rsidRPr="00E40A38" w:rsidRDefault="00907E29">
            <w:pPr>
              <w:pStyle w:val="TableText"/>
              <w:rPr>
                <w:sz w:val="19"/>
                <w:szCs w:val="19"/>
              </w:rPr>
            </w:pPr>
            <w:r w:rsidRPr="00E40A38">
              <w:rPr>
                <w:sz w:val="19"/>
                <w:szCs w:val="19"/>
              </w:rPr>
              <w:t>0</w:t>
            </w:r>
            <w:r w:rsidRPr="00E40A38">
              <w:rPr>
                <w:sz w:val="19"/>
                <w:szCs w:val="19"/>
                <w:vertAlign w:val="superscript"/>
              </w:rPr>
              <w:t>a</w:t>
            </w:r>
          </w:p>
        </w:tc>
        <w:tc>
          <w:tcPr>
            <w:tcW w:w="787" w:type="pct"/>
          </w:tcPr>
          <w:p w14:paraId="2529BA9F" w14:textId="6D1C473A" w:rsidR="00D05AE1" w:rsidRPr="00E40A38" w:rsidRDefault="00D05AE1">
            <w:pPr>
              <w:pStyle w:val="TableText"/>
              <w:rPr>
                <w:sz w:val="19"/>
                <w:szCs w:val="19"/>
              </w:rPr>
            </w:pPr>
            <w:r w:rsidRPr="00E40A38">
              <w:rPr>
                <w:sz w:val="19"/>
                <w:szCs w:val="19"/>
              </w:rPr>
              <w:t>0</w:t>
            </w:r>
            <w:r w:rsidR="00907E29" w:rsidRPr="00E40A38">
              <w:rPr>
                <w:sz w:val="19"/>
                <w:szCs w:val="19"/>
                <w:vertAlign w:val="superscript"/>
              </w:rPr>
              <w:t>a</w:t>
            </w:r>
          </w:p>
        </w:tc>
        <w:tc>
          <w:tcPr>
            <w:tcW w:w="787" w:type="pct"/>
          </w:tcPr>
          <w:p w14:paraId="4CE93F4D" w14:textId="2CF1D138" w:rsidR="00D05AE1" w:rsidRPr="00E40A38" w:rsidRDefault="00D05AE1">
            <w:pPr>
              <w:pStyle w:val="TableText"/>
              <w:rPr>
                <w:sz w:val="19"/>
                <w:szCs w:val="19"/>
              </w:rPr>
            </w:pPr>
            <w:r w:rsidRPr="00E40A38">
              <w:rPr>
                <w:sz w:val="19"/>
                <w:szCs w:val="19"/>
              </w:rPr>
              <w:t>0</w:t>
            </w:r>
            <w:r w:rsidR="00907E29" w:rsidRPr="00E40A38">
              <w:rPr>
                <w:sz w:val="19"/>
                <w:szCs w:val="19"/>
                <w:vertAlign w:val="superscript"/>
              </w:rPr>
              <w:t>a</w:t>
            </w:r>
          </w:p>
        </w:tc>
      </w:tr>
      <w:tr w:rsidR="00D05AE1" w:rsidRPr="00E40A38" w14:paraId="7B7C1D15" w14:textId="77777777" w:rsidTr="00BF02DB">
        <w:tc>
          <w:tcPr>
            <w:tcW w:w="1070" w:type="pct"/>
            <w:shd w:val="clear" w:color="auto" w:fill="auto"/>
          </w:tcPr>
          <w:p w14:paraId="29B8873A" w14:textId="77777777" w:rsidR="00D05AE1" w:rsidRPr="00E40A38" w:rsidRDefault="00D05AE1">
            <w:pPr>
              <w:pStyle w:val="TableText"/>
              <w:rPr>
                <w:sz w:val="19"/>
                <w:szCs w:val="19"/>
              </w:rPr>
            </w:pPr>
            <w:r w:rsidRPr="00E40A38">
              <w:rPr>
                <w:rFonts w:cstheme="minorHAnsi"/>
                <w:sz w:val="19"/>
                <w:szCs w:val="19"/>
              </w:rPr>
              <w:t>Moderate</w:t>
            </w:r>
            <w:r w:rsidRPr="00E40A38">
              <w:rPr>
                <w:sz w:val="19"/>
                <w:szCs w:val="19"/>
              </w:rPr>
              <w:br/>
              <w:t xml:space="preserve">    Moderately severe </w:t>
            </w:r>
            <w:r w:rsidRPr="00E40A38">
              <w:rPr>
                <w:sz w:val="19"/>
                <w:szCs w:val="19"/>
              </w:rPr>
              <w:br/>
              <w:t xml:space="preserve">    Moderate only</w:t>
            </w:r>
          </w:p>
        </w:tc>
        <w:tc>
          <w:tcPr>
            <w:tcW w:w="781" w:type="pct"/>
          </w:tcPr>
          <w:p w14:paraId="272888CC" w14:textId="77777777" w:rsidR="00D05AE1" w:rsidRPr="00E40A38" w:rsidRDefault="00D05AE1">
            <w:pPr>
              <w:pStyle w:val="TableText"/>
              <w:rPr>
                <w:sz w:val="19"/>
                <w:szCs w:val="19"/>
              </w:rPr>
            </w:pPr>
            <w:r w:rsidRPr="00E40A38">
              <w:rPr>
                <w:rFonts w:cstheme="minorHAnsi"/>
                <w:sz w:val="19"/>
                <w:szCs w:val="19"/>
              </w:rPr>
              <w:t xml:space="preserve">FIX 1% to &lt;5% </w:t>
            </w:r>
            <w:r w:rsidRPr="00E40A38">
              <w:rPr>
                <w:sz w:val="19"/>
                <w:szCs w:val="19"/>
              </w:rPr>
              <w:br/>
              <w:t xml:space="preserve">    1% to &lt;2%</w:t>
            </w:r>
            <w:r w:rsidRPr="00E40A38">
              <w:rPr>
                <w:sz w:val="19"/>
                <w:szCs w:val="19"/>
              </w:rPr>
              <w:br/>
              <w:t xml:space="preserve">    2% to &lt;5%</w:t>
            </w:r>
          </w:p>
        </w:tc>
        <w:tc>
          <w:tcPr>
            <w:tcW w:w="787" w:type="pct"/>
          </w:tcPr>
          <w:p w14:paraId="5914D3F2" w14:textId="77777777" w:rsidR="00D05AE1" w:rsidRPr="00E40A38" w:rsidRDefault="00D05AE1">
            <w:pPr>
              <w:pStyle w:val="TableText"/>
              <w:rPr>
                <w:sz w:val="19"/>
                <w:szCs w:val="19"/>
              </w:rPr>
            </w:pPr>
            <w:r w:rsidRPr="00E40A38">
              <w:rPr>
                <w:sz w:val="19"/>
                <w:szCs w:val="19"/>
              </w:rPr>
              <w:t>10 (19)</w:t>
            </w:r>
            <w:r w:rsidRPr="00E40A38">
              <w:rPr>
                <w:sz w:val="19"/>
                <w:szCs w:val="19"/>
              </w:rPr>
              <w:br/>
              <w:t xml:space="preserve">    10 (19)</w:t>
            </w:r>
            <w:r w:rsidRPr="00E40A38">
              <w:rPr>
                <w:sz w:val="19"/>
                <w:szCs w:val="19"/>
              </w:rPr>
              <w:br/>
              <w:t xml:space="preserve">    0</w:t>
            </w:r>
          </w:p>
        </w:tc>
        <w:tc>
          <w:tcPr>
            <w:tcW w:w="787" w:type="pct"/>
          </w:tcPr>
          <w:p w14:paraId="0F13E2F4" w14:textId="580C3929" w:rsidR="00D05AE1" w:rsidRPr="00E40A38" w:rsidRDefault="00D05AE1">
            <w:pPr>
              <w:pStyle w:val="TableText"/>
              <w:rPr>
                <w:sz w:val="19"/>
                <w:szCs w:val="19"/>
              </w:rPr>
            </w:pPr>
            <w:r w:rsidRPr="00E40A38">
              <w:rPr>
                <w:rFonts w:cstheme="minorHAnsi"/>
                <w:sz w:val="19"/>
                <w:szCs w:val="19"/>
              </w:rPr>
              <w:t>1 (1.9%)</w:t>
            </w:r>
            <w:r w:rsidRPr="00E40A38">
              <w:rPr>
                <w:rFonts w:cstheme="minorHAnsi"/>
                <w:sz w:val="19"/>
                <w:szCs w:val="19"/>
              </w:rPr>
              <w:br/>
              <w:t xml:space="preserve">    0</w:t>
            </w:r>
            <w:r w:rsidR="00DD0AEC" w:rsidRPr="00E40A38">
              <w:rPr>
                <w:sz w:val="19"/>
                <w:szCs w:val="19"/>
                <w:vertAlign w:val="superscript"/>
              </w:rPr>
              <w:t>a</w:t>
            </w:r>
            <w:r w:rsidRPr="00E40A38">
              <w:rPr>
                <w:rFonts w:cstheme="minorHAnsi"/>
                <w:sz w:val="19"/>
                <w:szCs w:val="19"/>
              </w:rPr>
              <w:br/>
              <w:t xml:space="preserve">    1 (1.9%)</w:t>
            </w:r>
          </w:p>
        </w:tc>
        <w:tc>
          <w:tcPr>
            <w:tcW w:w="787" w:type="pct"/>
          </w:tcPr>
          <w:p w14:paraId="08F65DAC" w14:textId="67F9C9C3" w:rsidR="00D05AE1" w:rsidRPr="00E40A38" w:rsidRDefault="00D05AE1">
            <w:pPr>
              <w:pStyle w:val="TableText"/>
              <w:rPr>
                <w:sz w:val="19"/>
                <w:szCs w:val="19"/>
              </w:rPr>
            </w:pPr>
            <w:r w:rsidRPr="00E40A38">
              <w:rPr>
                <w:rFonts w:cstheme="minorHAnsi"/>
                <w:sz w:val="19"/>
                <w:szCs w:val="19"/>
              </w:rPr>
              <w:t>1 (1.9%)</w:t>
            </w:r>
            <w:r w:rsidRPr="00E40A38">
              <w:rPr>
                <w:rFonts w:cstheme="minorHAnsi"/>
                <w:sz w:val="19"/>
                <w:szCs w:val="19"/>
              </w:rPr>
              <w:br/>
              <w:t xml:space="preserve">    0</w:t>
            </w:r>
            <w:r w:rsidR="00DD0AEC" w:rsidRPr="00E40A38">
              <w:rPr>
                <w:sz w:val="19"/>
                <w:szCs w:val="19"/>
                <w:vertAlign w:val="superscript"/>
              </w:rPr>
              <w:t>a</w:t>
            </w:r>
            <w:r w:rsidRPr="00E40A38">
              <w:rPr>
                <w:rFonts w:cstheme="minorHAnsi"/>
                <w:sz w:val="19"/>
                <w:szCs w:val="19"/>
              </w:rPr>
              <w:br/>
              <w:t xml:space="preserve">    1 (1.9%)</w:t>
            </w:r>
          </w:p>
        </w:tc>
        <w:tc>
          <w:tcPr>
            <w:tcW w:w="787" w:type="pct"/>
          </w:tcPr>
          <w:p w14:paraId="6E743758" w14:textId="74BE1EF2" w:rsidR="00D05AE1" w:rsidRPr="00E40A38" w:rsidRDefault="00D05AE1">
            <w:pPr>
              <w:pStyle w:val="TableText"/>
              <w:rPr>
                <w:sz w:val="19"/>
                <w:szCs w:val="19"/>
              </w:rPr>
            </w:pPr>
            <w:r w:rsidRPr="00E40A38">
              <w:rPr>
                <w:rFonts w:cstheme="minorHAnsi"/>
                <w:sz w:val="19"/>
                <w:szCs w:val="19"/>
              </w:rPr>
              <w:t>1 (1.9%)</w:t>
            </w:r>
            <w:r w:rsidRPr="00E40A38">
              <w:rPr>
                <w:rFonts w:cstheme="minorHAnsi"/>
                <w:sz w:val="19"/>
                <w:szCs w:val="19"/>
              </w:rPr>
              <w:br/>
              <w:t xml:space="preserve">    0</w:t>
            </w:r>
            <w:r w:rsidR="00DD0AEC" w:rsidRPr="00E40A38">
              <w:rPr>
                <w:sz w:val="19"/>
                <w:szCs w:val="19"/>
                <w:vertAlign w:val="superscript"/>
              </w:rPr>
              <w:t>a</w:t>
            </w:r>
            <w:r w:rsidRPr="00E40A38">
              <w:rPr>
                <w:rFonts w:cstheme="minorHAnsi"/>
                <w:sz w:val="19"/>
                <w:szCs w:val="19"/>
              </w:rPr>
              <w:br/>
              <w:t xml:space="preserve">    1 (1.9%)</w:t>
            </w:r>
          </w:p>
        </w:tc>
      </w:tr>
      <w:tr w:rsidR="00D05AE1" w:rsidRPr="00E40A38" w14:paraId="126A5189" w14:textId="77777777" w:rsidTr="00BF02DB">
        <w:tc>
          <w:tcPr>
            <w:tcW w:w="1070" w:type="pct"/>
            <w:tcBorders>
              <w:bottom w:val="single" w:sz="4" w:space="0" w:color="auto"/>
            </w:tcBorders>
            <w:shd w:val="clear" w:color="auto" w:fill="auto"/>
          </w:tcPr>
          <w:p w14:paraId="6374A10B" w14:textId="77777777" w:rsidR="00D05AE1" w:rsidRPr="00E40A38" w:rsidRDefault="00D05AE1">
            <w:pPr>
              <w:pStyle w:val="TableText"/>
              <w:rPr>
                <w:sz w:val="19"/>
                <w:szCs w:val="19"/>
              </w:rPr>
            </w:pPr>
            <w:r w:rsidRPr="00E40A38">
              <w:rPr>
                <w:rFonts w:cstheme="minorHAnsi"/>
                <w:sz w:val="19"/>
                <w:szCs w:val="19"/>
              </w:rPr>
              <w:t>Mild</w:t>
            </w:r>
          </w:p>
        </w:tc>
        <w:tc>
          <w:tcPr>
            <w:tcW w:w="781" w:type="pct"/>
            <w:tcBorders>
              <w:bottom w:val="single" w:sz="4" w:space="0" w:color="auto"/>
            </w:tcBorders>
          </w:tcPr>
          <w:p w14:paraId="0C530AED" w14:textId="77777777" w:rsidR="00D05AE1" w:rsidRPr="00E40A38" w:rsidRDefault="00D05AE1">
            <w:pPr>
              <w:pStyle w:val="TableText"/>
              <w:rPr>
                <w:sz w:val="19"/>
                <w:szCs w:val="19"/>
              </w:rPr>
            </w:pPr>
            <w:r w:rsidRPr="00E40A38">
              <w:rPr>
                <w:rFonts w:cstheme="minorHAnsi"/>
                <w:sz w:val="19"/>
                <w:szCs w:val="19"/>
              </w:rPr>
              <w:t>FIX 5% to &lt;40%:</w:t>
            </w:r>
            <w:r w:rsidRPr="00E40A38">
              <w:rPr>
                <w:rFonts w:cstheme="minorHAnsi"/>
                <w:sz w:val="19"/>
                <w:szCs w:val="19"/>
              </w:rPr>
              <w:br/>
            </w:r>
            <w:r w:rsidRPr="00E40A38">
              <w:rPr>
                <w:sz w:val="19"/>
                <w:szCs w:val="19"/>
              </w:rPr>
              <w:t xml:space="preserve">    5% to &lt;12%</w:t>
            </w:r>
            <w:r w:rsidRPr="00E40A38">
              <w:rPr>
                <w:sz w:val="19"/>
                <w:szCs w:val="19"/>
              </w:rPr>
              <w:br/>
              <w:t xml:space="preserve">    12% to &lt;40%</w:t>
            </w:r>
          </w:p>
        </w:tc>
        <w:tc>
          <w:tcPr>
            <w:tcW w:w="787" w:type="pct"/>
            <w:tcBorders>
              <w:bottom w:val="single" w:sz="4" w:space="0" w:color="auto"/>
            </w:tcBorders>
          </w:tcPr>
          <w:p w14:paraId="68D6D719" w14:textId="77777777" w:rsidR="00D05AE1" w:rsidRPr="00E40A38" w:rsidRDefault="00D05AE1">
            <w:pPr>
              <w:pStyle w:val="TableText"/>
              <w:rPr>
                <w:sz w:val="19"/>
                <w:szCs w:val="19"/>
              </w:rPr>
            </w:pPr>
            <w:r w:rsidRPr="00E40A38">
              <w:rPr>
                <w:sz w:val="19"/>
                <w:szCs w:val="19"/>
              </w:rPr>
              <w:t>0</w:t>
            </w:r>
          </w:p>
        </w:tc>
        <w:tc>
          <w:tcPr>
            <w:tcW w:w="787" w:type="pct"/>
            <w:tcBorders>
              <w:bottom w:val="single" w:sz="4" w:space="0" w:color="auto"/>
            </w:tcBorders>
          </w:tcPr>
          <w:p w14:paraId="1506D258" w14:textId="77777777" w:rsidR="00D05AE1" w:rsidRPr="00E40A38" w:rsidRDefault="00D05AE1">
            <w:pPr>
              <w:pStyle w:val="TableText"/>
              <w:rPr>
                <w:sz w:val="19"/>
                <w:szCs w:val="19"/>
              </w:rPr>
            </w:pPr>
            <w:r w:rsidRPr="00E40A38">
              <w:rPr>
                <w:sz w:val="19"/>
                <w:szCs w:val="19"/>
              </w:rPr>
              <w:t>32 (59.3%)</w:t>
            </w:r>
            <w:r w:rsidRPr="00E40A38">
              <w:rPr>
                <w:sz w:val="19"/>
                <w:szCs w:val="19"/>
              </w:rPr>
              <w:br/>
              <w:t xml:space="preserve">    2 (3.7%) </w:t>
            </w:r>
            <w:r w:rsidRPr="00E40A38">
              <w:rPr>
                <w:sz w:val="19"/>
                <w:szCs w:val="19"/>
              </w:rPr>
              <w:br/>
              <w:t xml:space="preserve">    30 (55.6%)</w:t>
            </w:r>
          </w:p>
        </w:tc>
        <w:tc>
          <w:tcPr>
            <w:tcW w:w="787" w:type="pct"/>
            <w:tcBorders>
              <w:bottom w:val="single" w:sz="4" w:space="0" w:color="auto"/>
            </w:tcBorders>
          </w:tcPr>
          <w:p w14:paraId="41C041E6" w14:textId="77777777" w:rsidR="00D05AE1" w:rsidRPr="00E40A38" w:rsidRDefault="00D05AE1">
            <w:pPr>
              <w:pStyle w:val="TableText"/>
              <w:rPr>
                <w:sz w:val="19"/>
                <w:szCs w:val="19"/>
              </w:rPr>
            </w:pPr>
            <w:r w:rsidRPr="00E40A38">
              <w:rPr>
                <w:sz w:val="19"/>
                <w:szCs w:val="19"/>
              </w:rPr>
              <w:t>31 (57.4%)</w:t>
            </w:r>
            <w:r w:rsidRPr="00E40A38">
              <w:rPr>
                <w:sz w:val="19"/>
                <w:szCs w:val="19"/>
              </w:rPr>
              <w:br/>
              <w:t xml:space="preserve">    4 (7.4%)</w:t>
            </w:r>
            <w:r w:rsidRPr="00E40A38">
              <w:rPr>
                <w:sz w:val="19"/>
                <w:szCs w:val="19"/>
              </w:rPr>
              <w:br/>
              <w:t xml:space="preserve">    27 (50.0%)</w:t>
            </w:r>
          </w:p>
        </w:tc>
        <w:tc>
          <w:tcPr>
            <w:tcW w:w="787" w:type="pct"/>
            <w:tcBorders>
              <w:bottom w:val="single" w:sz="4" w:space="0" w:color="auto"/>
            </w:tcBorders>
          </w:tcPr>
          <w:p w14:paraId="07ACFCC9" w14:textId="77777777" w:rsidR="00D05AE1" w:rsidRPr="00E40A38" w:rsidRDefault="00D05AE1">
            <w:pPr>
              <w:pStyle w:val="TableText"/>
              <w:rPr>
                <w:sz w:val="19"/>
                <w:szCs w:val="19"/>
              </w:rPr>
            </w:pPr>
            <w:r w:rsidRPr="00E40A38">
              <w:rPr>
                <w:sz w:val="19"/>
                <w:szCs w:val="19"/>
              </w:rPr>
              <w:t xml:space="preserve">29 (53.7%) </w:t>
            </w:r>
            <w:r w:rsidRPr="00E40A38">
              <w:rPr>
                <w:sz w:val="19"/>
                <w:szCs w:val="19"/>
              </w:rPr>
              <w:br/>
              <w:t xml:space="preserve">    3 (5.6%) </w:t>
            </w:r>
            <w:r w:rsidRPr="00E40A38">
              <w:rPr>
                <w:sz w:val="19"/>
                <w:szCs w:val="19"/>
              </w:rPr>
              <w:br/>
              <w:t xml:space="preserve">    26 (48.1%)</w:t>
            </w:r>
          </w:p>
        </w:tc>
      </w:tr>
      <w:tr w:rsidR="00D05AE1" w:rsidRPr="00E40A38" w14:paraId="0CBE2300" w14:textId="77777777" w:rsidTr="00BF02DB">
        <w:tc>
          <w:tcPr>
            <w:tcW w:w="1070" w:type="pct"/>
            <w:tcBorders>
              <w:bottom w:val="single" w:sz="8" w:space="0" w:color="auto"/>
            </w:tcBorders>
            <w:shd w:val="clear" w:color="auto" w:fill="auto"/>
          </w:tcPr>
          <w:p w14:paraId="13C6B62F" w14:textId="77777777" w:rsidR="00D05AE1" w:rsidRPr="00E40A38" w:rsidRDefault="00D05AE1">
            <w:pPr>
              <w:pStyle w:val="TableText"/>
              <w:rPr>
                <w:rFonts w:cstheme="minorHAnsi"/>
                <w:sz w:val="19"/>
                <w:szCs w:val="19"/>
              </w:rPr>
            </w:pPr>
            <w:r w:rsidRPr="00E40A38">
              <w:rPr>
                <w:rFonts w:cstheme="minorHAnsi"/>
                <w:sz w:val="19"/>
                <w:szCs w:val="19"/>
              </w:rPr>
              <w:t>Non-haemophilic</w:t>
            </w:r>
          </w:p>
        </w:tc>
        <w:tc>
          <w:tcPr>
            <w:tcW w:w="781" w:type="pct"/>
            <w:tcBorders>
              <w:bottom w:val="single" w:sz="8" w:space="0" w:color="auto"/>
            </w:tcBorders>
            <w:shd w:val="clear" w:color="auto" w:fill="auto"/>
          </w:tcPr>
          <w:p w14:paraId="4947F281" w14:textId="77777777" w:rsidR="00D05AE1" w:rsidRPr="00E40A38" w:rsidRDefault="00D05AE1">
            <w:pPr>
              <w:pStyle w:val="TableText"/>
              <w:rPr>
                <w:rFonts w:cstheme="minorHAnsi"/>
                <w:sz w:val="19"/>
                <w:szCs w:val="19"/>
              </w:rPr>
            </w:pPr>
            <w:r w:rsidRPr="00E40A38">
              <w:rPr>
                <w:rFonts w:cstheme="minorHAnsi"/>
                <w:sz w:val="19"/>
                <w:szCs w:val="19"/>
              </w:rPr>
              <w:t>FIX 40% to 100%</w:t>
            </w:r>
          </w:p>
        </w:tc>
        <w:tc>
          <w:tcPr>
            <w:tcW w:w="787" w:type="pct"/>
            <w:tcBorders>
              <w:bottom w:val="single" w:sz="8" w:space="0" w:color="auto"/>
            </w:tcBorders>
            <w:shd w:val="clear" w:color="auto" w:fill="auto"/>
          </w:tcPr>
          <w:p w14:paraId="682F1900" w14:textId="77777777" w:rsidR="00D05AE1" w:rsidRPr="00E40A38" w:rsidRDefault="00D05AE1">
            <w:pPr>
              <w:pStyle w:val="TableText"/>
              <w:rPr>
                <w:sz w:val="19"/>
                <w:szCs w:val="19"/>
              </w:rPr>
            </w:pPr>
            <w:r w:rsidRPr="00E40A38">
              <w:rPr>
                <w:sz w:val="19"/>
                <w:szCs w:val="19"/>
              </w:rPr>
              <w:t>0</w:t>
            </w:r>
          </w:p>
        </w:tc>
        <w:tc>
          <w:tcPr>
            <w:tcW w:w="787" w:type="pct"/>
            <w:tcBorders>
              <w:bottom w:val="single" w:sz="8" w:space="0" w:color="auto"/>
            </w:tcBorders>
            <w:shd w:val="clear" w:color="auto" w:fill="auto"/>
          </w:tcPr>
          <w:p w14:paraId="71DF028B" w14:textId="77777777" w:rsidR="00D05AE1" w:rsidRPr="00E40A38" w:rsidRDefault="00D05AE1">
            <w:pPr>
              <w:pStyle w:val="TableText"/>
              <w:rPr>
                <w:sz w:val="19"/>
                <w:szCs w:val="19"/>
              </w:rPr>
            </w:pPr>
            <w:r w:rsidRPr="00E40A38">
              <w:rPr>
                <w:sz w:val="19"/>
                <w:szCs w:val="19"/>
              </w:rPr>
              <w:t>17 (31.5%)</w:t>
            </w:r>
          </w:p>
        </w:tc>
        <w:tc>
          <w:tcPr>
            <w:tcW w:w="787" w:type="pct"/>
            <w:tcBorders>
              <w:bottom w:val="single" w:sz="8" w:space="0" w:color="auto"/>
            </w:tcBorders>
            <w:shd w:val="clear" w:color="auto" w:fill="auto"/>
          </w:tcPr>
          <w:p w14:paraId="13717DC5" w14:textId="77777777" w:rsidR="00D05AE1" w:rsidRPr="00E40A38" w:rsidRDefault="00D05AE1">
            <w:pPr>
              <w:pStyle w:val="TableText"/>
              <w:rPr>
                <w:sz w:val="19"/>
                <w:szCs w:val="19"/>
              </w:rPr>
            </w:pPr>
            <w:r w:rsidRPr="00E40A38">
              <w:rPr>
                <w:sz w:val="19"/>
                <w:szCs w:val="19"/>
              </w:rPr>
              <w:t>18 (33.3%)</w:t>
            </w:r>
          </w:p>
        </w:tc>
        <w:tc>
          <w:tcPr>
            <w:tcW w:w="787" w:type="pct"/>
            <w:tcBorders>
              <w:bottom w:val="single" w:sz="8" w:space="0" w:color="auto"/>
            </w:tcBorders>
            <w:shd w:val="clear" w:color="auto" w:fill="auto"/>
          </w:tcPr>
          <w:p w14:paraId="03F29801" w14:textId="77777777" w:rsidR="00D05AE1" w:rsidRPr="00E40A38" w:rsidRDefault="00D05AE1">
            <w:pPr>
              <w:pStyle w:val="TableText"/>
              <w:rPr>
                <w:sz w:val="19"/>
                <w:szCs w:val="19"/>
              </w:rPr>
            </w:pPr>
            <w:r w:rsidRPr="00E40A38">
              <w:rPr>
                <w:sz w:val="19"/>
                <w:szCs w:val="19"/>
              </w:rPr>
              <w:t>18 (33.3%)</w:t>
            </w:r>
          </w:p>
        </w:tc>
      </w:tr>
      <w:tr w:rsidR="00D05AE1" w:rsidRPr="00E40A38" w14:paraId="19D05B2D" w14:textId="77777777" w:rsidTr="00BF02DB">
        <w:tc>
          <w:tcPr>
            <w:tcW w:w="1070" w:type="pct"/>
            <w:tcBorders>
              <w:top w:val="single" w:sz="8" w:space="0" w:color="auto"/>
              <w:bottom w:val="single" w:sz="4" w:space="0" w:color="auto"/>
            </w:tcBorders>
            <w:shd w:val="clear" w:color="auto" w:fill="auto"/>
          </w:tcPr>
          <w:p w14:paraId="75517929" w14:textId="77777777" w:rsidR="00D05AE1" w:rsidRPr="00E40A38" w:rsidRDefault="00D05AE1">
            <w:pPr>
              <w:pStyle w:val="TableText"/>
              <w:rPr>
                <w:rFonts w:cstheme="minorHAnsi"/>
                <w:sz w:val="19"/>
                <w:szCs w:val="19"/>
              </w:rPr>
            </w:pPr>
            <w:r w:rsidRPr="00E40A38">
              <w:rPr>
                <w:rFonts w:cstheme="minorHAnsi"/>
                <w:sz w:val="19"/>
                <w:szCs w:val="19"/>
              </w:rPr>
              <w:t>Death</w:t>
            </w:r>
          </w:p>
        </w:tc>
        <w:tc>
          <w:tcPr>
            <w:tcW w:w="781" w:type="pct"/>
            <w:tcBorders>
              <w:top w:val="single" w:sz="8" w:space="0" w:color="auto"/>
              <w:bottom w:val="single" w:sz="4" w:space="0" w:color="auto"/>
            </w:tcBorders>
          </w:tcPr>
          <w:p w14:paraId="51A202A5" w14:textId="77777777" w:rsidR="00D05AE1" w:rsidRPr="00E40A38" w:rsidRDefault="00D05AE1">
            <w:pPr>
              <w:pStyle w:val="TableText"/>
              <w:rPr>
                <w:rFonts w:cstheme="minorHAnsi"/>
                <w:sz w:val="19"/>
                <w:szCs w:val="19"/>
              </w:rPr>
            </w:pPr>
            <w:r w:rsidRPr="00E40A38">
              <w:rPr>
                <w:rFonts w:cstheme="minorHAnsi"/>
                <w:sz w:val="19"/>
                <w:szCs w:val="19"/>
              </w:rPr>
              <w:t>–</w:t>
            </w:r>
          </w:p>
        </w:tc>
        <w:tc>
          <w:tcPr>
            <w:tcW w:w="787" w:type="pct"/>
            <w:tcBorders>
              <w:top w:val="single" w:sz="8" w:space="0" w:color="auto"/>
            </w:tcBorders>
          </w:tcPr>
          <w:p w14:paraId="4F4C4B62" w14:textId="77777777" w:rsidR="00D05AE1" w:rsidRPr="00E40A38" w:rsidRDefault="00D05AE1">
            <w:pPr>
              <w:pStyle w:val="TableText"/>
              <w:rPr>
                <w:sz w:val="19"/>
                <w:szCs w:val="19"/>
              </w:rPr>
            </w:pPr>
            <w:r w:rsidRPr="00E40A38">
              <w:rPr>
                <w:sz w:val="19"/>
                <w:szCs w:val="19"/>
              </w:rPr>
              <w:t>–</w:t>
            </w:r>
          </w:p>
        </w:tc>
        <w:tc>
          <w:tcPr>
            <w:tcW w:w="787" w:type="pct"/>
            <w:tcBorders>
              <w:top w:val="single" w:sz="8" w:space="0" w:color="auto"/>
            </w:tcBorders>
          </w:tcPr>
          <w:p w14:paraId="3CF4C778" w14:textId="77777777" w:rsidR="00D05AE1" w:rsidRPr="00E40A38" w:rsidRDefault="00D05AE1">
            <w:pPr>
              <w:pStyle w:val="TableText"/>
              <w:rPr>
                <w:sz w:val="19"/>
                <w:szCs w:val="19"/>
              </w:rPr>
            </w:pPr>
            <w:r w:rsidRPr="00E40A38">
              <w:rPr>
                <w:sz w:val="19"/>
                <w:szCs w:val="19"/>
              </w:rPr>
              <w:t>1 (1.9%)</w:t>
            </w:r>
          </w:p>
        </w:tc>
        <w:tc>
          <w:tcPr>
            <w:tcW w:w="787" w:type="pct"/>
            <w:tcBorders>
              <w:top w:val="single" w:sz="8" w:space="0" w:color="auto"/>
            </w:tcBorders>
          </w:tcPr>
          <w:p w14:paraId="15950A68" w14:textId="77777777" w:rsidR="00D05AE1" w:rsidRPr="00E40A38" w:rsidRDefault="00D05AE1">
            <w:pPr>
              <w:pStyle w:val="TableText"/>
              <w:rPr>
                <w:sz w:val="19"/>
                <w:szCs w:val="19"/>
              </w:rPr>
            </w:pPr>
            <w:r w:rsidRPr="00E40A38">
              <w:rPr>
                <w:sz w:val="19"/>
                <w:szCs w:val="19"/>
              </w:rPr>
              <w:t>1 (1.9%)</w:t>
            </w:r>
          </w:p>
        </w:tc>
        <w:tc>
          <w:tcPr>
            <w:tcW w:w="787" w:type="pct"/>
            <w:tcBorders>
              <w:top w:val="single" w:sz="8" w:space="0" w:color="auto"/>
            </w:tcBorders>
          </w:tcPr>
          <w:p w14:paraId="11BCFA05" w14:textId="77777777" w:rsidR="00D05AE1" w:rsidRPr="00E40A38" w:rsidRDefault="00D05AE1">
            <w:pPr>
              <w:pStyle w:val="TableText"/>
              <w:rPr>
                <w:sz w:val="19"/>
                <w:szCs w:val="19"/>
              </w:rPr>
            </w:pPr>
            <w:r w:rsidRPr="00E40A38">
              <w:rPr>
                <w:sz w:val="19"/>
                <w:szCs w:val="19"/>
              </w:rPr>
              <w:t>1 (1.9%)</w:t>
            </w:r>
          </w:p>
        </w:tc>
      </w:tr>
      <w:tr w:rsidR="00D05AE1" w:rsidRPr="00E40A38" w14:paraId="720FA924" w14:textId="77777777" w:rsidTr="00BF02DB">
        <w:tc>
          <w:tcPr>
            <w:tcW w:w="1070" w:type="pct"/>
            <w:tcBorders>
              <w:top w:val="single" w:sz="4" w:space="0" w:color="auto"/>
              <w:bottom w:val="single" w:sz="4" w:space="0" w:color="auto"/>
            </w:tcBorders>
            <w:shd w:val="clear" w:color="auto" w:fill="auto"/>
          </w:tcPr>
          <w:p w14:paraId="69467A27" w14:textId="6C0E7F44" w:rsidR="00D05AE1" w:rsidRPr="00E40A38" w:rsidRDefault="00D05AE1">
            <w:pPr>
              <w:pStyle w:val="TableText"/>
              <w:rPr>
                <w:rFonts w:cstheme="minorHAnsi"/>
                <w:sz w:val="19"/>
                <w:szCs w:val="19"/>
              </w:rPr>
            </w:pPr>
            <w:r w:rsidRPr="00E40A38">
              <w:rPr>
                <w:rFonts w:cstheme="minorHAnsi"/>
                <w:sz w:val="19"/>
                <w:szCs w:val="19"/>
              </w:rPr>
              <w:t xml:space="preserve">Data missing / </w:t>
            </w:r>
            <w:proofErr w:type="spellStart"/>
            <w:proofErr w:type="gramStart"/>
            <w:r w:rsidRPr="00E40A38">
              <w:rPr>
                <w:rFonts w:cstheme="minorHAnsi"/>
                <w:sz w:val="19"/>
                <w:szCs w:val="19"/>
              </w:rPr>
              <w:t>uninterp.</w:t>
            </w:r>
            <w:r w:rsidR="001C3A01" w:rsidRPr="007E5853">
              <w:rPr>
                <w:rFonts w:cstheme="minorHAnsi"/>
                <w:sz w:val="19"/>
                <w:szCs w:val="19"/>
                <w:vertAlign w:val="superscript"/>
              </w:rPr>
              <w:t>b</w:t>
            </w:r>
            <w:proofErr w:type="spellEnd"/>
            <w:proofErr w:type="gramEnd"/>
          </w:p>
        </w:tc>
        <w:tc>
          <w:tcPr>
            <w:tcW w:w="781" w:type="pct"/>
            <w:tcBorders>
              <w:top w:val="single" w:sz="4" w:space="0" w:color="auto"/>
              <w:bottom w:val="single" w:sz="4" w:space="0" w:color="auto"/>
            </w:tcBorders>
          </w:tcPr>
          <w:p w14:paraId="4FC91BD5" w14:textId="77777777" w:rsidR="00D05AE1" w:rsidRPr="00E40A38" w:rsidRDefault="00D05AE1">
            <w:pPr>
              <w:pStyle w:val="TableText"/>
              <w:rPr>
                <w:rFonts w:cstheme="minorHAnsi"/>
                <w:sz w:val="19"/>
                <w:szCs w:val="19"/>
              </w:rPr>
            </w:pPr>
            <w:r w:rsidRPr="00E40A38">
              <w:rPr>
                <w:rFonts w:cstheme="minorHAnsi"/>
                <w:sz w:val="19"/>
                <w:szCs w:val="19"/>
              </w:rPr>
              <w:t>–</w:t>
            </w:r>
          </w:p>
        </w:tc>
        <w:tc>
          <w:tcPr>
            <w:tcW w:w="787" w:type="pct"/>
            <w:tcBorders>
              <w:top w:val="single" w:sz="4" w:space="0" w:color="auto"/>
            </w:tcBorders>
          </w:tcPr>
          <w:p w14:paraId="713DA945" w14:textId="77777777" w:rsidR="00D05AE1" w:rsidRPr="00E40A38" w:rsidRDefault="00D05AE1">
            <w:pPr>
              <w:pStyle w:val="TableText"/>
              <w:rPr>
                <w:sz w:val="19"/>
                <w:szCs w:val="19"/>
              </w:rPr>
            </w:pPr>
            <w:r w:rsidRPr="00E40A38">
              <w:rPr>
                <w:sz w:val="19"/>
                <w:szCs w:val="19"/>
              </w:rPr>
              <w:t>–</w:t>
            </w:r>
          </w:p>
        </w:tc>
        <w:tc>
          <w:tcPr>
            <w:tcW w:w="787" w:type="pct"/>
            <w:tcBorders>
              <w:top w:val="single" w:sz="4" w:space="0" w:color="auto"/>
            </w:tcBorders>
          </w:tcPr>
          <w:p w14:paraId="6593B5AC" w14:textId="77777777" w:rsidR="00D05AE1" w:rsidRPr="00E40A38" w:rsidRDefault="00D05AE1">
            <w:pPr>
              <w:pStyle w:val="TableText"/>
              <w:rPr>
                <w:sz w:val="19"/>
                <w:szCs w:val="19"/>
              </w:rPr>
            </w:pPr>
            <w:r w:rsidRPr="00E40A38">
              <w:rPr>
                <w:sz w:val="19"/>
                <w:szCs w:val="19"/>
              </w:rPr>
              <w:t>1 (1.9%)</w:t>
            </w:r>
          </w:p>
        </w:tc>
        <w:tc>
          <w:tcPr>
            <w:tcW w:w="787" w:type="pct"/>
            <w:tcBorders>
              <w:top w:val="single" w:sz="4" w:space="0" w:color="auto"/>
            </w:tcBorders>
          </w:tcPr>
          <w:p w14:paraId="6EAD8031" w14:textId="77777777" w:rsidR="00D05AE1" w:rsidRPr="00E40A38" w:rsidRDefault="00D05AE1">
            <w:pPr>
              <w:pStyle w:val="TableText"/>
              <w:rPr>
                <w:sz w:val="19"/>
                <w:szCs w:val="19"/>
              </w:rPr>
            </w:pPr>
            <w:r w:rsidRPr="00E40A38">
              <w:rPr>
                <w:sz w:val="19"/>
                <w:szCs w:val="19"/>
              </w:rPr>
              <w:t>1 (1.9%)</w:t>
            </w:r>
          </w:p>
        </w:tc>
        <w:tc>
          <w:tcPr>
            <w:tcW w:w="787" w:type="pct"/>
            <w:tcBorders>
              <w:top w:val="single" w:sz="4" w:space="0" w:color="auto"/>
            </w:tcBorders>
          </w:tcPr>
          <w:p w14:paraId="111BC98C" w14:textId="166A2363" w:rsidR="00D05AE1" w:rsidRPr="00E40A38" w:rsidRDefault="00D05AE1">
            <w:pPr>
              <w:pStyle w:val="TableText"/>
              <w:rPr>
                <w:sz w:val="19"/>
                <w:szCs w:val="19"/>
              </w:rPr>
            </w:pPr>
            <w:r w:rsidRPr="00E40A38">
              <w:rPr>
                <w:sz w:val="19"/>
                <w:szCs w:val="19"/>
              </w:rPr>
              <w:t>2 (3.7%)</w:t>
            </w:r>
          </w:p>
        </w:tc>
      </w:tr>
      <w:tr w:rsidR="00D05AE1" w:rsidRPr="00E40A38" w14:paraId="1D507FA0" w14:textId="77777777" w:rsidTr="00BF02DB">
        <w:tc>
          <w:tcPr>
            <w:tcW w:w="1070" w:type="pct"/>
            <w:tcBorders>
              <w:bottom w:val="single" w:sz="4" w:space="0" w:color="auto"/>
            </w:tcBorders>
            <w:shd w:val="clear" w:color="auto" w:fill="auto"/>
          </w:tcPr>
          <w:p w14:paraId="5DD8CD80" w14:textId="77777777" w:rsidR="00D05AE1" w:rsidRPr="00E40A38" w:rsidRDefault="00D05AE1">
            <w:pPr>
              <w:pStyle w:val="TableText"/>
              <w:rPr>
                <w:rFonts w:cstheme="minorHAnsi"/>
                <w:sz w:val="19"/>
                <w:szCs w:val="19"/>
              </w:rPr>
            </w:pPr>
            <w:r w:rsidRPr="00E40A38">
              <w:rPr>
                <w:rFonts w:cstheme="minorHAnsi"/>
                <w:sz w:val="19"/>
                <w:szCs w:val="19"/>
              </w:rPr>
              <w:t>Lack of efficacy</w:t>
            </w:r>
          </w:p>
        </w:tc>
        <w:tc>
          <w:tcPr>
            <w:tcW w:w="781" w:type="pct"/>
            <w:tcBorders>
              <w:bottom w:val="single" w:sz="4" w:space="0" w:color="auto"/>
            </w:tcBorders>
          </w:tcPr>
          <w:p w14:paraId="6150986A" w14:textId="77777777" w:rsidR="00D05AE1" w:rsidRPr="00E40A38" w:rsidRDefault="00D05AE1">
            <w:pPr>
              <w:pStyle w:val="TableText"/>
              <w:rPr>
                <w:rFonts w:cstheme="minorHAnsi"/>
                <w:sz w:val="19"/>
                <w:szCs w:val="19"/>
              </w:rPr>
            </w:pPr>
            <w:r w:rsidRPr="00E40A38">
              <w:rPr>
                <w:rFonts w:cstheme="minorHAnsi"/>
                <w:sz w:val="19"/>
                <w:szCs w:val="19"/>
              </w:rPr>
              <w:t>–</w:t>
            </w:r>
          </w:p>
        </w:tc>
        <w:tc>
          <w:tcPr>
            <w:tcW w:w="787" w:type="pct"/>
          </w:tcPr>
          <w:p w14:paraId="6BF41071" w14:textId="77777777" w:rsidR="00D05AE1" w:rsidRPr="00E40A38" w:rsidRDefault="00D05AE1">
            <w:pPr>
              <w:pStyle w:val="TableText"/>
              <w:rPr>
                <w:sz w:val="19"/>
                <w:szCs w:val="19"/>
              </w:rPr>
            </w:pPr>
            <w:r w:rsidRPr="00E40A38">
              <w:rPr>
                <w:sz w:val="19"/>
                <w:szCs w:val="19"/>
              </w:rPr>
              <w:t>–</w:t>
            </w:r>
          </w:p>
        </w:tc>
        <w:tc>
          <w:tcPr>
            <w:tcW w:w="787" w:type="pct"/>
          </w:tcPr>
          <w:p w14:paraId="0D27BB83" w14:textId="77777777" w:rsidR="00D05AE1" w:rsidRPr="00E40A38" w:rsidRDefault="00D05AE1">
            <w:pPr>
              <w:pStyle w:val="TableText"/>
              <w:rPr>
                <w:sz w:val="19"/>
                <w:szCs w:val="19"/>
              </w:rPr>
            </w:pPr>
            <w:r w:rsidRPr="00E40A38">
              <w:rPr>
                <w:sz w:val="19"/>
                <w:szCs w:val="19"/>
              </w:rPr>
              <w:t>2 (3.7%)</w:t>
            </w:r>
          </w:p>
        </w:tc>
        <w:tc>
          <w:tcPr>
            <w:tcW w:w="787" w:type="pct"/>
          </w:tcPr>
          <w:p w14:paraId="485138D3" w14:textId="77777777" w:rsidR="00D05AE1" w:rsidRPr="00E40A38" w:rsidRDefault="00D05AE1">
            <w:pPr>
              <w:pStyle w:val="TableText"/>
              <w:rPr>
                <w:sz w:val="19"/>
                <w:szCs w:val="19"/>
              </w:rPr>
            </w:pPr>
            <w:r w:rsidRPr="00E40A38">
              <w:rPr>
                <w:sz w:val="19"/>
                <w:szCs w:val="19"/>
              </w:rPr>
              <w:t>2 (3.7%)</w:t>
            </w:r>
          </w:p>
        </w:tc>
        <w:tc>
          <w:tcPr>
            <w:tcW w:w="787" w:type="pct"/>
          </w:tcPr>
          <w:p w14:paraId="6EFDE53E" w14:textId="77777777" w:rsidR="00D05AE1" w:rsidRPr="00E40A38" w:rsidRDefault="00D05AE1">
            <w:pPr>
              <w:pStyle w:val="TableText"/>
              <w:rPr>
                <w:sz w:val="19"/>
                <w:szCs w:val="19"/>
              </w:rPr>
            </w:pPr>
            <w:r w:rsidRPr="00E40A38">
              <w:rPr>
                <w:sz w:val="19"/>
                <w:szCs w:val="19"/>
              </w:rPr>
              <w:t>3 (5.6%)</w:t>
            </w:r>
          </w:p>
        </w:tc>
      </w:tr>
      <w:tr w:rsidR="00D05AE1" w:rsidRPr="00E40A38" w14:paraId="78FC99D1" w14:textId="77777777" w:rsidTr="00BF02DB">
        <w:tc>
          <w:tcPr>
            <w:tcW w:w="1070" w:type="pct"/>
            <w:tcBorders>
              <w:right w:val="nil"/>
            </w:tcBorders>
            <w:shd w:val="clear" w:color="auto" w:fill="auto"/>
          </w:tcPr>
          <w:p w14:paraId="343CD998" w14:textId="77777777" w:rsidR="00D05AE1" w:rsidRPr="00E40A38" w:rsidRDefault="00D05AE1">
            <w:pPr>
              <w:pStyle w:val="TableText"/>
              <w:rPr>
                <w:rFonts w:cstheme="minorHAnsi"/>
                <w:sz w:val="19"/>
                <w:szCs w:val="19"/>
              </w:rPr>
            </w:pPr>
          </w:p>
        </w:tc>
        <w:tc>
          <w:tcPr>
            <w:tcW w:w="781" w:type="pct"/>
            <w:tcBorders>
              <w:left w:val="nil"/>
            </w:tcBorders>
          </w:tcPr>
          <w:p w14:paraId="1D74661A" w14:textId="77777777" w:rsidR="00D05AE1" w:rsidRPr="00E40A38" w:rsidRDefault="00D05AE1">
            <w:pPr>
              <w:pStyle w:val="TableText"/>
              <w:rPr>
                <w:rFonts w:cstheme="minorHAnsi"/>
                <w:sz w:val="19"/>
                <w:szCs w:val="19"/>
              </w:rPr>
            </w:pPr>
            <w:r w:rsidRPr="00E40A38">
              <w:rPr>
                <w:rFonts w:cstheme="minorHAnsi"/>
                <w:sz w:val="19"/>
                <w:szCs w:val="19"/>
              </w:rPr>
              <w:t>Total:</w:t>
            </w:r>
          </w:p>
        </w:tc>
        <w:tc>
          <w:tcPr>
            <w:tcW w:w="787" w:type="pct"/>
          </w:tcPr>
          <w:p w14:paraId="157DAAAC" w14:textId="77777777" w:rsidR="00D05AE1" w:rsidRPr="00E40A38" w:rsidRDefault="00D05AE1">
            <w:pPr>
              <w:pStyle w:val="TableText"/>
              <w:rPr>
                <w:rFonts w:cstheme="minorHAnsi"/>
                <w:sz w:val="19"/>
                <w:szCs w:val="19"/>
              </w:rPr>
            </w:pPr>
            <w:r w:rsidRPr="00E40A38">
              <w:rPr>
                <w:rFonts w:cstheme="minorHAnsi"/>
                <w:sz w:val="19"/>
                <w:szCs w:val="19"/>
              </w:rPr>
              <w:t>54 (100%)</w:t>
            </w:r>
          </w:p>
        </w:tc>
        <w:tc>
          <w:tcPr>
            <w:tcW w:w="787" w:type="pct"/>
          </w:tcPr>
          <w:p w14:paraId="110936F1" w14:textId="77777777" w:rsidR="00D05AE1" w:rsidRPr="00E40A38" w:rsidRDefault="00D05AE1">
            <w:pPr>
              <w:pStyle w:val="TableText"/>
              <w:rPr>
                <w:rFonts w:cstheme="minorHAnsi"/>
                <w:sz w:val="19"/>
                <w:szCs w:val="19"/>
              </w:rPr>
            </w:pPr>
            <w:r w:rsidRPr="00E40A38">
              <w:rPr>
                <w:rFonts w:cstheme="minorHAnsi"/>
                <w:sz w:val="19"/>
                <w:szCs w:val="19"/>
              </w:rPr>
              <w:t>54 (100%)</w:t>
            </w:r>
          </w:p>
        </w:tc>
        <w:tc>
          <w:tcPr>
            <w:tcW w:w="787" w:type="pct"/>
          </w:tcPr>
          <w:p w14:paraId="298D86B5" w14:textId="77777777" w:rsidR="00D05AE1" w:rsidRPr="00E40A38" w:rsidRDefault="00D05AE1">
            <w:pPr>
              <w:pStyle w:val="TableText"/>
              <w:rPr>
                <w:rFonts w:cstheme="minorHAnsi"/>
                <w:sz w:val="19"/>
                <w:szCs w:val="19"/>
              </w:rPr>
            </w:pPr>
            <w:r w:rsidRPr="00E40A38">
              <w:rPr>
                <w:rFonts w:cstheme="minorHAnsi"/>
                <w:sz w:val="19"/>
                <w:szCs w:val="19"/>
              </w:rPr>
              <w:t>54 (100%)</w:t>
            </w:r>
          </w:p>
        </w:tc>
        <w:tc>
          <w:tcPr>
            <w:tcW w:w="787" w:type="pct"/>
          </w:tcPr>
          <w:p w14:paraId="35758859" w14:textId="77777777" w:rsidR="00D05AE1" w:rsidRPr="00E40A38" w:rsidRDefault="00D05AE1">
            <w:pPr>
              <w:pStyle w:val="TableText"/>
              <w:rPr>
                <w:rFonts w:cstheme="minorHAnsi"/>
                <w:sz w:val="19"/>
                <w:szCs w:val="19"/>
              </w:rPr>
            </w:pPr>
            <w:r w:rsidRPr="00E40A38">
              <w:rPr>
                <w:rFonts w:cstheme="minorHAnsi"/>
                <w:sz w:val="19"/>
                <w:szCs w:val="19"/>
              </w:rPr>
              <w:t>54 (100%)</w:t>
            </w:r>
          </w:p>
        </w:tc>
      </w:tr>
    </w:tbl>
    <w:p w14:paraId="1F1664EB" w14:textId="07C5350F" w:rsidR="001C3A01" w:rsidRPr="00E40A38" w:rsidRDefault="00D05AE1" w:rsidP="005072D8">
      <w:pPr>
        <w:pStyle w:val="CommentaryTablenotes"/>
        <w:rPr>
          <w:color w:val="auto"/>
        </w:rPr>
      </w:pPr>
      <w:r w:rsidRPr="00E40A38">
        <w:rPr>
          <w:color w:val="auto"/>
        </w:rPr>
        <w:t xml:space="preserve">aPPT = Activated Partial Thromboplastin Time; FIX = factor IX; HMB = haemophilia B; </w:t>
      </w:r>
      <w:proofErr w:type="spellStart"/>
      <w:r w:rsidRPr="00E40A38">
        <w:rPr>
          <w:color w:val="auto"/>
        </w:rPr>
        <w:t>mo</w:t>
      </w:r>
      <w:proofErr w:type="spellEnd"/>
      <w:r w:rsidRPr="00E40A38">
        <w:rPr>
          <w:color w:val="auto"/>
        </w:rPr>
        <w:t xml:space="preserve"> = months; </w:t>
      </w:r>
      <w:proofErr w:type="spellStart"/>
      <w:r w:rsidRPr="00E40A38">
        <w:rPr>
          <w:color w:val="auto"/>
        </w:rPr>
        <w:t>uninterp</w:t>
      </w:r>
      <w:proofErr w:type="spellEnd"/>
      <w:r w:rsidRPr="00E40A38">
        <w:rPr>
          <w:color w:val="auto"/>
        </w:rPr>
        <w:t>. = uninterpretable.</w:t>
      </w:r>
      <w:r w:rsidRPr="00E40A38">
        <w:rPr>
          <w:color w:val="auto"/>
        </w:rPr>
        <w:br/>
      </w:r>
      <w:r w:rsidR="00907E29" w:rsidRPr="00E40A38">
        <w:rPr>
          <w:bCs/>
          <w:color w:val="auto"/>
        </w:rPr>
        <w:t>a</w:t>
      </w:r>
      <w:r w:rsidRPr="00E40A38">
        <w:rPr>
          <w:color w:val="auto"/>
        </w:rPr>
        <w:t xml:space="preserve"> Although FIX activity values indicate zero patients with severe or moderately severe HMB, it is unknown whether the patients with lack of efficacy ought to have been shown in these categories (noting all FIX activity values for those patients were contaminated).</w:t>
      </w:r>
      <w:r w:rsidR="001535A6" w:rsidRPr="00E40A38" w:rsidDel="001535A6">
        <w:rPr>
          <w:color w:val="auto"/>
        </w:rPr>
        <w:t xml:space="preserve"> </w:t>
      </w:r>
      <w:r w:rsidR="00DA3FE9" w:rsidRPr="00E40A38">
        <w:rPr>
          <w:color w:val="auto"/>
        </w:rPr>
        <w:br/>
      </w:r>
      <w:r w:rsidR="001C3A01" w:rsidRPr="00E40A38">
        <w:rPr>
          <w:color w:val="auto"/>
        </w:rPr>
        <w:t xml:space="preserve">b </w:t>
      </w:r>
      <w:r w:rsidR="009D5462" w:rsidRPr="00E40A38">
        <w:rPr>
          <w:color w:val="auto"/>
        </w:rPr>
        <w:t>Missing due to a missed visit</w:t>
      </w:r>
      <w:r w:rsidR="00E025C9" w:rsidRPr="00E40A38">
        <w:rPr>
          <w:color w:val="auto"/>
        </w:rPr>
        <w:t>. Uninterpretable due to an unusually high value outside the upper limit of normal.</w:t>
      </w:r>
    </w:p>
    <w:p w14:paraId="3E0B144D" w14:textId="623B7C24" w:rsidR="00DA36B1" w:rsidRPr="00E40A38" w:rsidRDefault="00DA36B1" w:rsidP="005072D8">
      <w:pPr>
        <w:pStyle w:val="CommentaryTablenotes"/>
        <w:rPr>
          <w:color w:val="auto"/>
        </w:rPr>
      </w:pPr>
      <w:r w:rsidRPr="00E40A38">
        <w:rPr>
          <w:color w:val="auto"/>
        </w:rPr>
        <w:t xml:space="preserve">Source: Commentary Table </w:t>
      </w:r>
      <w:r w:rsidR="008E6B80" w:rsidRPr="00E40A38">
        <w:rPr>
          <w:color w:val="auto"/>
        </w:rPr>
        <w:t>23</w:t>
      </w:r>
      <w:r w:rsidRPr="00E40A38">
        <w:rPr>
          <w:color w:val="auto"/>
        </w:rPr>
        <w:t xml:space="preserve"> of MSAC 1728 </w:t>
      </w:r>
      <w:proofErr w:type="spellStart"/>
      <w:r w:rsidRPr="00E40A38">
        <w:rPr>
          <w:color w:val="auto"/>
        </w:rPr>
        <w:t>ADAR+in-line</w:t>
      </w:r>
      <w:proofErr w:type="spellEnd"/>
      <w:r w:rsidRPr="00E40A38">
        <w:rPr>
          <w:color w:val="auto"/>
        </w:rPr>
        <w:t xml:space="preserve"> commentary.</w:t>
      </w:r>
    </w:p>
    <w:p w14:paraId="01DFA8A0" w14:textId="7DF937ED" w:rsidR="00026120" w:rsidRPr="00E40A38" w:rsidRDefault="00026120" w:rsidP="00026120">
      <w:r w:rsidRPr="00E40A38">
        <w:t xml:space="preserve">The </w:t>
      </w:r>
      <w:r w:rsidR="001E241B" w:rsidRPr="00E40A38">
        <w:t>c</w:t>
      </w:r>
      <w:r w:rsidRPr="00E40A38">
        <w:t xml:space="preserve">ommentary noted that the FIX activity values at baseline were imputed </w:t>
      </w:r>
      <w:r w:rsidR="00CA4AB1" w:rsidRPr="00E40A38">
        <w:t xml:space="preserve">based on patients known disease categorisation </w:t>
      </w:r>
      <w:r w:rsidRPr="00E40A38">
        <w:t xml:space="preserve">and </w:t>
      </w:r>
      <w:r w:rsidR="00CA4AB1" w:rsidRPr="00E40A38">
        <w:t>may</w:t>
      </w:r>
      <w:r w:rsidRPr="00E40A38">
        <w:t xml:space="preserve"> have been underestimates compared with actual patient values prior to </w:t>
      </w:r>
      <w:r w:rsidR="004A7023">
        <w:t>Hemgenix</w:t>
      </w:r>
      <w:r w:rsidRPr="00E40A38">
        <w:t xml:space="preserve"> treatment. </w:t>
      </w:r>
    </w:p>
    <w:p w14:paraId="7C54C316" w14:textId="3010B9F6" w:rsidR="00026120" w:rsidRPr="00E40A38" w:rsidRDefault="00026120" w:rsidP="00026120">
      <w:r w:rsidRPr="00E40A38">
        <w:t>Around one</w:t>
      </w:r>
      <w:r w:rsidR="00607702" w:rsidRPr="00E40A38">
        <w:t>-</w:t>
      </w:r>
      <w:r w:rsidRPr="00E40A38">
        <w:t xml:space="preserve">third of patients could be regarded as non-haemophilic based on FIX activity </w:t>
      </w:r>
      <w:r w:rsidR="009035C2" w:rsidRPr="00E40A38">
        <w:t>(&gt; </w:t>
      </w:r>
      <w:r w:rsidR="003B78B6" w:rsidRPr="00E40A38">
        <w:t>40%</w:t>
      </w:r>
      <w:r w:rsidR="009035C2" w:rsidRPr="00E40A38">
        <w:t>)</w:t>
      </w:r>
      <w:r w:rsidR="003B78B6" w:rsidRPr="00E40A38">
        <w:t xml:space="preserve"> </w:t>
      </w:r>
      <w:r w:rsidRPr="00E40A38">
        <w:t>over the 36 months. Between 50</w:t>
      </w:r>
      <w:r w:rsidR="00FB5520" w:rsidRPr="00E40A38">
        <w:t>–</w:t>
      </w:r>
      <w:r w:rsidRPr="00E40A38">
        <w:t xml:space="preserve">60% of patients were in the mild HMB category. Fourteen patients (25.9%) were consistently above 40% FIX activity at all three timepoints. </w:t>
      </w:r>
    </w:p>
    <w:p w14:paraId="5ACD0F57" w14:textId="459C353C" w:rsidR="00026120" w:rsidRPr="00E40A38" w:rsidRDefault="00026120" w:rsidP="00026120">
      <w:r w:rsidRPr="00E40A38">
        <w:t xml:space="preserve">A visualisation of the changes in patient severity over the course of the study was plotted in the </w:t>
      </w:r>
      <w:r w:rsidR="00A7538F" w:rsidRPr="00E40A38">
        <w:t>c</w:t>
      </w:r>
      <w:r w:rsidRPr="00E40A38">
        <w:t>ommentary (</w:t>
      </w:r>
      <w:r w:rsidRPr="00E40A38">
        <w:fldChar w:fldCharType="begin"/>
      </w:r>
      <w:r w:rsidRPr="00E40A38">
        <w:instrText xml:space="preserve"> REF _Ref164191861 \h </w:instrText>
      </w:r>
      <w:r w:rsidR="00474734" w:rsidRPr="00E40A38">
        <w:instrText xml:space="preserve"> \* MERGEFORMAT </w:instrText>
      </w:r>
      <w:r w:rsidRPr="00E40A38">
        <w:fldChar w:fldCharType="separate"/>
      </w:r>
      <w:r w:rsidR="007207A8" w:rsidRPr="00E40A38">
        <w:t>Figure </w:t>
      </w:r>
      <w:r w:rsidR="007207A8">
        <w:t>2</w:t>
      </w:r>
      <w:r w:rsidRPr="00E40A38">
        <w:fldChar w:fldCharType="end"/>
      </w:r>
      <w:r w:rsidRPr="00E40A38">
        <w:t>) to show the categories as proportions of the whole cohort</w:t>
      </w:r>
      <w:r w:rsidR="00F642CC" w:rsidRPr="00E40A38">
        <w:t xml:space="preserve"> (N=54)</w:t>
      </w:r>
      <w:r w:rsidRPr="00E40A38">
        <w:t xml:space="preserve">, including the patients that were under-represented by the FIX activity mean values. </w:t>
      </w:r>
    </w:p>
    <w:p w14:paraId="07D26030" w14:textId="41F5C8BD" w:rsidR="00026120" w:rsidRPr="00E40A38" w:rsidRDefault="00026120" w:rsidP="00026120">
      <w:pPr>
        <w:pStyle w:val="Caption"/>
      </w:pPr>
      <w:bookmarkStart w:id="29" w:name="_Ref164191861"/>
      <w:r w:rsidRPr="00E40A38">
        <w:t>Figure </w:t>
      </w:r>
      <w:r w:rsidR="00CC66FD">
        <w:fldChar w:fldCharType="begin"/>
      </w:r>
      <w:r w:rsidR="00CC66FD">
        <w:instrText xml:space="preserve"> SEQ Figure \* ARABIC </w:instrText>
      </w:r>
      <w:r w:rsidR="00CC66FD">
        <w:fldChar w:fldCharType="separate"/>
      </w:r>
      <w:r w:rsidR="007207A8">
        <w:rPr>
          <w:noProof/>
        </w:rPr>
        <w:t>2</w:t>
      </w:r>
      <w:r w:rsidR="00CC66FD">
        <w:rPr>
          <w:noProof/>
        </w:rPr>
        <w:fldChar w:fldCharType="end"/>
      </w:r>
      <w:bookmarkEnd w:id="29"/>
      <w:r w:rsidRPr="00E40A38">
        <w:tab/>
        <w:t xml:space="preserve">Visualisation of HOPE-B patient disposition according to severity of FIX activity at 36 </w:t>
      </w:r>
      <w:proofErr w:type="gramStart"/>
      <w:r w:rsidRPr="00E40A38">
        <w:t>months</w:t>
      </w:r>
      <w:proofErr w:type="gramEnd"/>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026120" w:rsidRPr="00E40A38" w14:paraId="7C9C5C2A" w14:textId="77777777" w:rsidTr="006F4046">
        <w:trPr>
          <w:trHeight w:val="5453"/>
        </w:trPr>
        <w:tc>
          <w:tcPr>
            <w:tcW w:w="9736" w:type="dxa"/>
          </w:tcPr>
          <w:p w14:paraId="2CC0D446" w14:textId="77777777" w:rsidR="00026120" w:rsidRPr="00E40A38" w:rsidRDefault="00026120">
            <w:pPr>
              <w:spacing w:before="100" w:beforeAutospacing="1" w:after="100" w:afterAutospacing="1"/>
              <w:jc w:val="center"/>
              <w:rPr>
                <w:rFonts w:ascii="Times New Roman" w:eastAsia="Times New Roman" w:hAnsi="Times New Roman" w:cs="Times New Roman"/>
                <w:sz w:val="24"/>
                <w:szCs w:val="24"/>
                <w:lang w:eastAsia="en-AU"/>
              </w:rPr>
            </w:pPr>
            <w:r w:rsidRPr="00E40A38">
              <w:rPr>
                <w:rFonts w:ascii="Times New Roman" w:eastAsia="Times New Roman" w:hAnsi="Times New Roman" w:cs="Times New Roman"/>
                <w:noProof/>
                <w:sz w:val="24"/>
                <w:szCs w:val="24"/>
                <w:lang w:eastAsia="en-AU"/>
              </w:rPr>
              <w:drawing>
                <wp:inline distT="0" distB="0" distL="0" distR="0" wp14:anchorId="0A016E20" wp14:editId="37D3FF02">
                  <wp:extent cx="5010150" cy="3392555"/>
                  <wp:effectExtent l="0" t="0" r="0" b="0"/>
                  <wp:docPr id="1072404416" name="Picture 1072404416" descr="This figure is a visualisation of HOPE-B patient disposition according to severity of FIX activity at 36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404416" name="Picture 1072404416" descr="This figure is a visualisation of HOPE-B patient disposition according to severity of FIX activity at 36 months"/>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5010150" cy="339255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8C21DE3" w14:textId="0DB97A47" w:rsidR="00026120" w:rsidRPr="00E40A38" w:rsidRDefault="00026120" w:rsidP="00026120">
      <w:pPr>
        <w:pStyle w:val="CommentaryTablenotes"/>
        <w:rPr>
          <w:color w:val="auto"/>
        </w:rPr>
      </w:pPr>
      <w:r w:rsidRPr="00E40A38">
        <w:rPr>
          <w:color w:val="auto"/>
        </w:rPr>
        <w:t>FIX</w:t>
      </w:r>
      <w:r w:rsidR="00D61864" w:rsidRPr="00E40A38">
        <w:rPr>
          <w:color w:val="auto"/>
        </w:rPr>
        <w:t xml:space="preserve"> =</w:t>
      </w:r>
      <w:r w:rsidRPr="00E40A38">
        <w:rPr>
          <w:color w:val="auto"/>
        </w:rPr>
        <w:t xml:space="preserve"> </w:t>
      </w:r>
      <w:r w:rsidR="00394C3E">
        <w:rPr>
          <w:color w:val="auto"/>
        </w:rPr>
        <w:t>f</w:t>
      </w:r>
      <w:r w:rsidRPr="00E40A38">
        <w:rPr>
          <w:color w:val="auto"/>
        </w:rPr>
        <w:t>actor IX; HMB = haemophilia B</w:t>
      </w:r>
      <w:r w:rsidR="000F1129" w:rsidRPr="00E40A38">
        <w:rPr>
          <w:color w:val="auto"/>
        </w:rPr>
        <w:t>.</w:t>
      </w:r>
      <w:r w:rsidR="005072D8" w:rsidRPr="00E40A38">
        <w:rPr>
          <w:color w:val="auto"/>
        </w:rPr>
        <w:br/>
      </w:r>
      <w:r w:rsidRPr="00E40A38">
        <w:rPr>
          <w:color w:val="auto"/>
        </w:rPr>
        <w:t xml:space="preserve">Source: </w:t>
      </w:r>
      <w:r w:rsidR="00241566">
        <w:rPr>
          <w:color w:val="auto"/>
        </w:rPr>
        <w:t xml:space="preserve">Developed by the </w:t>
      </w:r>
      <w:r w:rsidRPr="00E40A38">
        <w:rPr>
          <w:color w:val="auto"/>
        </w:rPr>
        <w:t>Commentary</w:t>
      </w:r>
      <w:r w:rsidR="00241566">
        <w:rPr>
          <w:color w:val="auto"/>
        </w:rPr>
        <w:t>,</w:t>
      </w:r>
      <w:r w:rsidRPr="00E40A38">
        <w:rPr>
          <w:color w:val="auto"/>
        </w:rPr>
        <w:t xml:space="preserve"> </w:t>
      </w:r>
      <w:r w:rsidR="00EE268E" w:rsidRPr="00E40A38">
        <w:rPr>
          <w:color w:val="auto"/>
        </w:rPr>
        <w:t xml:space="preserve">Figure 5 of MSAC 1728 </w:t>
      </w:r>
      <w:proofErr w:type="spellStart"/>
      <w:r w:rsidR="00EE268E" w:rsidRPr="00E40A38">
        <w:rPr>
          <w:color w:val="auto"/>
        </w:rPr>
        <w:t>ADAR+in-line</w:t>
      </w:r>
      <w:proofErr w:type="spellEnd"/>
      <w:r w:rsidR="00EE268E" w:rsidRPr="00E40A38">
        <w:rPr>
          <w:color w:val="auto"/>
        </w:rPr>
        <w:t xml:space="preserve"> commentary</w:t>
      </w:r>
      <w:r w:rsidRPr="00E40A38">
        <w:rPr>
          <w:color w:val="auto"/>
        </w:rPr>
        <w:t>.</w:t>
      </w:r>
    </w:p>
    <w:p w14:paraId="726EC898" w14:textId="77777777" w:rsidR="00E72137" w:rsidRPr="00E40A38" w:rsidRDefault="00E72137" w:rsidP="00E72137">
      <w:pPr>
        <w:pStyle w:val="Heading4"/>
      </w:pPr>
      <w:r w:rsidRPr="00E40A38">
        <w:t xml:space="preserve">FIX replacement </w:t>
      </w:r>
      <w:proofErr w:type="gramStart"/>
      <w:r w:rsidRPr="00E40A38">
        <w:t>use</w:t>
      </w:r>
      <w:proofErr w:type="gramEnd"/>
      <w:r w:rsidRPr="00E40A38">
        <w:t xml:space="preserve"> and prophylaxis</w:t>
      </w:r>
    </w:p>
    <w:p w14:paraId="1F125D24" w14:textId="10A2BEB5" w:rsidR="00E72137" w:rsidRDefault="00AB749C" w:rsidP="00E72137">
      <w:r w:rsidRPr="00E40A38">
        <w:t>P</w:t>
      </w:r>
      <w:r w:rsidR="00E72137" w:rsidRPr="00E40A38">
        <w:t xml:space="preserve">ost-treatment FIX replacement therapy </w:t>
      </w:r>
      <w:r w:rsidR="002F6DB4" w:rsidRPr="00E40A38">
        <w:t xml:space="preserve">consumption </w:t>
      </w:r>
      <w:r w:rsidR="00E72137" w:rsidRPr="00E40A38">
        <w:t xml:space="preserve">decreased significantly from the </w:t>
      </w:r>
      <w:r w:rsidR="004D4683" w:rsidRPr="00E40A38">
        <w:t xml:space="preserve">pre-treatment </w:t>
      </w:r>
      <w:r w:rsidR="00E72137" w:rsidRPr="00E40A38">
        <w:t>lead-in period (</w:t>
      </w:r>
      <w:r w:rsidR="00870F81" w:rsidRPr="00E40A38">
        <w:fldChar w:fldCharType="begin"/>
      </w:r>
      <w:r w:rsidR="00870F81" w:rsidRPr="00E40A38">
        <w:instrText xml:space="preserve"> REF _Ref164242364 \h </w:instrText>
      </w:r>
      <w:r w:rsidR="00474734" w:rsidRPr="00E40A38">
        <w:instrText xml:space="preserve"> \* MERGEFORMAT </w:instrText>
      </w:r>
      <w:r w:rsidR="00870F81" w:rsidRPr="00E40A38">
        <w:fldChar w:fldCharType="separate"/>
      </w:r>
      <w:r w:rsidR="007207A8" w:rsidRPr="00E40A38">
        <w:t>Table </w:t>
      </w:r>
      <w:r w:rsidR="007207A8">
        <w:t>6</w:t>
      </w:r>
      <w:r w:rsidR="00870F81" w:rsidRPr="00E40A38">
        <w:fldChar w:fldCharType="end"/>
      </w:r>
      <w:r w:rsidR="00E72137" w:rsidRPr="00E40A38">
        <w:t xml:space="preserve">), with a percentage reduction of at least 95% at all timepoints. </w:t>
      </w:r>
    </w:p>
    <w:p w14:paraId="0A609285" w14:textId="3DA778FE" w:rsidR="00EF1C29" w:rsidRPr="00EF1C29" w:rsidRDefault="005440D0" w:rsidP="00EF1C29">
      <w:r>
        <w:t>I</w:t>
      </w:r>
      <w:r w:rsidR="00115DB6">
        <w:t xml:space="preserve">t </w:t>
      </w:r>
      <w:r w:rsidR="00207544">
        <w:t xml:space="preserve">may have been </w:t>
      </w:r>
      <w:r w:rsidR="00115DB6">
        <w:t xml:space="preserve">useful for the applicant to report </w:t>
      </w:r>
      <w:r w:rsidR="00AE2990">
        <w:t>the proportion of patients who were on and off prophylaxis at each post-treatment timepoint, and</w:t>
      </w:r>
      <w:r w:rsidR="00A706DA" w:rsidRPr="00A706DA">
        <w:t xml:space="preserve"> separately any that ceased then returned to prophylaxis, according to pre-treatment disease severity</w:t>
      </w:r>
      <w:r w:rsidR="00115DB6">
        <w:t xml:space="preserve">. </w:t>
      </w:r>
      <w:r w:rsidR="044C8036">
        <w:t>This description of trajectory of patient response may be informative in the development of the risk share-arrangements.</w:t>
      </w:r>
      <w:bookmarkStart w:id="30" w:name="_Ref164242364"/>
      <w:bookmarkStart w:id="31" w:name="_Ref157973652"/>
      <w:bookmarkStart w:id="32" w:name="_Toc157771044"/>
      <w:bookmarkStart w:id="33" w:name="_Toc164191296"/>
      <w:r w:rsidR="00EF1C29">
        <w:br w:type="page"/>
      </w:r>
    </w:p>
    <w:p w14:paraId="1E8BF38A" w14:textId="01A3F7A8" w:rsidR="00E72137" w:rsidRPr="00E40A38" w:rsidRDefault="00E72137" w:rsidP="00EF1C29">
      <w:pPr>
        <w:pStyle w:val="Caption"/>
        <w:keepLines/>
        <w:rPr>
          <w:rFonts w:cstheme="minorBidi"/>
          <w:lang w:val="en-US"/>
        </w:rPr>
      </w:pPr>
      <w:r w:rsidRPr="00E40A38">
        <w:t>Table </w:t>
      </w:r>
      <w:r w:rsidR="00CC66FD">
        <w:fldChar w:fldCharType="begin"/>
      </w:r>
      <w:r w:rsidR="00CC66FD">
        <w:instrText xml:space="preserve"> SEQ Table \* ARABIC </w:instrText>
      </w:r>
      <w:r w:rsidR="00CC66FD">
        <w:fldChar w:fldCharType="separate"/>
      </w:r>
      <w:r w:rsidR="007207A8">
        <w:rPr>
          <w:noProof/>
        </w:rPr>
        <w:t>6</w:t>
      </w:r>
      <w:r w:rsidR="00CC66FD">
        <w:rPr>
          <w:noProof/>
        </w:rPr>
        <w:fldChar w:fldCharType="end"/>
      </w:r>
      <w:bookmarkEnd w:id="30"/>
      <w:r w:rsidRPr="00E40A38">
        <w:tab/>
      </w:r>
      <w:proofErr w:type="spellStart"/>
      <w:r w:rsidRPr="00E40A38">
        <w:rPr>
          <w:rFonts w:cstheme="minorBidi"/>
          <w:lang w:val="en-US"/>
        </w:rPr>
        <w:t>Annualised</w:t>
      </w:r>
      <w:proofErr w:type="spellEnd"/>
      <w:r w:rsidRPr="00E40A38">
        <w:rPr>
          <w:rFonts w:cstheme="minorBidi"/>
          <w:lang w:val="en-US"/>
        </w:rPr>
        <w:t xml:space="preserve"> exogenous FIX replacement therapy consumption up to 36 months </w:t>
      </w:r>
      <w:r w:rsidR="00115DB6" w:rsidRPr="00E40A38">
        <w:rPr>
          <w:rFonts w:cstheme="minorBidi"/>
          <w:lang w:val="en-US"/>
        </w:rPr>
        <w:t>(HOPE-B)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00" w:firstRow="0" w:lastRow="0" w:firstColumn="0" w:lastColumn="0" w:noHBand="0" w:noVBand="1"/>
        <w:tblCaption w:val="Annualised exogenous FIX replacement therapy consumption up to 36 months (HOPE-B)"/>
        <w:tblDescription w:val="This table shows annualised exogenous FIX replacement therapy consumption up to 36 months (HOPE-B)"/>
      </w:tblPr>
      <w:tblGrid>
        <w:gridCol w:w="1837"/>
        <w:gridCol w:w="727"/>
        <w:gridCol w:w="408"/>
        <w:gridCol w:w="1208"/>
        <w:gridCol w:w="1208"/>
        <w:gridCol w:w="628"/>
        <w:gridCol w:w="581"/>
        <w:gridCol w:w="710"/>
        <w:gridCol w:w="310"/>
        <w:gridCol w:w="63"/>
        <w:gridCol w:w="124"/>
        <w:gridCol w:w="1212"/>
      </w:tblGrid>
      <w:tr w:rsidR="00302AC7" w:rsidRPr="00E40A38" w14:paraId="57D45E0E" w14:textId="77777777" w:rsidTr="00302AC7">
        <w:trPr>
          <w:trHeight w:val="55"/>
          <w:tblHeader/>
        </w:trPr>
        <w:tc>
          <w:tcPr>
            <w:tcW w:w="1019" w:type="pct"/>
            <w:tcBorders>
              <w:bottom w:val="nil"/>
            </w:tcBorders>
            <w:shd w:val="clear" w:color="auto" w:fill="auto"/>
            <w:tcMar>
              <w:top w:w="15" w:type="dxa"/>
              <w:left w:w="54" w:type="dxa"/>
              <w:bottom w:w="0" w:type="dxa"/>
              <w:right w:w="54" w:type="dxa"/>
            </w:tcMar>
            <w:vAlign w:val="center"/>
            <w:hideMark/>
          </w:tcPr>
          <w:bookmarkEnd w:id="31"/>
          <w:bookmarkEnd w:id="32"/>
          <w:bookmarkEnd w:id="33"/>
          <w:p w14:paraId="7A0AB737" w14:textId="77777777" w:rsidR="00E72137" w:rsidRPr="00E40A38" w:rsidRDefault="00E72137" w:rsidP="00EF1C29">
            <w:pPr>
              <w:pStyle w:val="TableHeading0"/>
              <w:keepLines/>
              <w:rPr>
                <w:lang w:eastAsia="en-AU"/>
              </w:rPr>
            </w:pPr>
            <w:r w:rsidRPr="00E40A38">
              <w:rPr>
                <w:lang w:eastAsia="en-AU"/>
              </w:rPr>
              <w:t xml:space="preserve">Consumption </w:t>
            </w:r>
            <w:r w:rsidRPr="00E40A38">
              <w:rPr>
                <w:lang w:val="en-US" w:eastAsia="en-AU"/>
              </w:rPr>
              <w:t>IU/year</w:t>
            </w:r>
          </w:p>
        </w:tc>
        <w:tc>
          <w:tcPr>
            <w:tcW w:w="629" w:type="pct"/>
            <w:gridSpan w:val="2"/>
            <w:tcBorders>
              <w:bottom w:val="nil"/>
            </w:tcBorders>
            <w:shd w:val="clear" w:color="auto" w:fill="auto"/>
            <w:tcMar>
              <w:top w:w="15" w:type="dxa"/>
              <w:left w:w="54" w:type="dxa"/>
              <w:bottom w:w="0" w:type="dxa"/>
              <w:right w:w="54" w:type="dxa"/>
            </w:tcMar>
            <w:vAlign w:val="center"/>
            <w:hideMark/>
          </w:tcPr>
          <w:p w14:paraId="0823C121" w14:textId="0337DA3F" w:rsidR="00E72137" w:rsidRPr="00E40A38" w:rsidRDefault="00E72137" w:rsidP="00EF1C29">
            <w:pPr>
              <w:pStyle w:val="TableHeading0"/>
              <w:keepLines/>
              <w:rPr>
                <w:lang w:eastAsia="en-AU"/>
              </w:rPr>
            </w:pPr>
            <w:r w:rsidRPr="00E40A38">
              <w:rPr>
                <w:lang w:val="en-US" w:eastAsia="en-AU"/>
              </w:rPr>
              <w:t>Lead</w:t>
            </w:r>
            <w:r w:rsidR="006D22E4" w:rsidRPr="00E40A38">
              <w:rPr>
                <w:lang w:val="en-US" w:eastAsia="en-AU"/>
              </w:rPr>
              <w:t>-</w:t>
            </w:r>
            <w:r w:rsidRPr="00E40A38">
              <w:rPr>
                <w:lang w:val="en-US" w:eastAsia="en-AU"/>
              </w:rPr>
              <w:t>in</w:t>
            </w:r>
            <w:r w:rsidRPr="00E40A38">
              <w:rPr>
                <w:lang w:val="en-US" w:eastAsia="en-AU"/>
              </w:rPr>
              <w:br/>
              <w:t>(N = 54)</w:t>
            </w:r>
          </w:p>
        </w:tc>
        <w:tc>
          <w:tcPr>
            <w:tcW w:w="1688" w:type="pct"/>
            <w:gridSpan w:val="3"/>
            <w:tcBorders>
              <w:right w:val="nil"/>
            </w:tcBorders>
            <w:shd w:val="clear" w:color="auto" w:fill="auto"/>
            <w:tcMar>
              <w:top w:w="15" w:type="dxa"/>
              <w:left w:w="54" w:type="dxa"/>
              <w:bottom w:w="0" w:type="dxa"/>
              <w:right w:w="54" w:type="dxa"/>
            </w:tcMar>
            <w:vAlign w:val="center"/>
            <w:hideMark/>
          </w:tcPr>
          <w:p w14:paraId="607CA42D" w14:textId="77777777" w:rsidR="009630C9" w:rsidRPr="00E40A38" w:rsidRDefault="009630C9" w:rsidP="00EF1C29">
            <w:pPr>
              <w:pStyle w:val="TableHeading0"/>
              <w:keepLines/>
              <w:rPr>
                <w:lang w:val="en-US" w:eastAsia="en-AU"/>
              </w:rPr>
            </w:pPr>
            <w:r w:rsidRPr="00E40A38">
              <w:rPr>
                <w:lang w:val="en-US" w:eastAsia="en-AU"/>
              </w:rPr>
              <w:t xml:space="preserve">Post-treatment period (N = </w:t>
            </w:r>
            <w:proofErr w:type="gramStart"/>
            <w:r w:rsidRPr="00E40A38">
              <w:rPr>
                <w:lang w:val="en-US" w:eastAsia="en-AU"/>
              </w:rPr>
              <w:t>54)</w:t>
            </w:r>
            <w:r w:rsidRPr="00E40A38">
              <w:rPr>
                <w:vertAlign w:val="superscript"/>
                <w:lang w:val="en-US" w:eastAsia="en-AU"/>
              </w:rPr>
              <w:t>a</w:t>
            </w:r>
            <w:proofErr w:type="gramEnd"/>
          </w:p>
        </w:tc>
        <w:tc>
          <w:tcPr>
            <w:tcW w:w="716" w:type="pct"/>
            <w:gridSpan w:val="2"/>
            <w:tcBorders>
              <w:left w:val="nil"/>
              <w:right w:val="nil"/>
            </w:tcBorders>
            <w:shd w:val="clear" w:color="auto" w:fill="auto"/>
            <w:vAlign w:val="center"/>
          </w:tcPr>
          <w:p w14:paraId="28B34D02" w14:textId="77777777" w:rsidR="009630C9" w:rsidRPr="00E40A38" w:rsidRDefault="009630C9" w:rsidP="00EF1C29">
            <w:pPr>
              <w:pStyle w:val="TableHeading0"/>
              <w:keepLines/>
              <w:rPr>
                <w:lang w:eastAsia="en-AU"/>
              </w:rPr>
            </w:pPr>
          </w:p>
        </w:tc>
        <w:tc>
          <w:tcPr>
            <w:tcW w:w="172" w:type="pct"/>
            <w:tcBorders>
              <w:left w:val="nil"/>
              <w:right w:val="nil"/>
            </w:tcBorders>
            <w:shd w:val="clear" w:color="auto" w:fill="auto"/>
            <w:vAlign w:val="center"/>
          </w:tcPr>
          <w:p w14:paraId="019E0678" w14:textId="77777777" w:rsidR="009630C9" w:rsidRPr="00E40A38" w:rsidRDefault="009630C9" w:rsidP="00EF1C29">
            <w:pPr>
              <w:pStyle w:val="TableHeading0"/>
              <w:keepLines/>
              <w:rPr>
                <w:lang w:eastAsia="en-AU"/>
              </w:rPr>
            </w:pPr>
          </w:p>
        </w:tc>
        <w:tc>
          <w:tcPr>
            <w:tcW w:w="35" w:type="pct"/>
            <w:tcBorders>
              <w:left w:val="nil"/>
              <w:right w:val="nil"/>
            </w:tcBorders>
            <w:shd w:val="clear" w:color="auto" w:fill="auto"/>
            <w:vAlign w:val="center"/>
          </w:tcPr>
          <w:p w14:paraId="266ADAAC" w14:textId="77777777" w:rsidR="009630C9" w:rsidRPr="00E40A38" w:rsidRDefault="009630C9" w:rsidP="00EF1C29">
            <w:pPr>
              <w:pStyle w:val="TableHeading0"/>
              <w:keepLines/>
              <w:rPr>
                <w:lang w:eastAsia="en-AU"/>
              </w:rPr>
            </w:pPr>
          </w:p>
        </w:tc>
        <w:tc>
          <w:tcPr>
            <w:tcW w:w="741" w:type="pct"/>
            <w:gridSpan w:val="2"/>
            <w:tcBorders>
              <w:left w:val="nil"/>
            </w:tcBorders>
            <w:shd w:val="clear" w:color="auto" w:fill="auto"/>
            <w:vAlign w:val="center"/>
          </w:tcPr>
          <w:p w14:paraId="5EB4C41C" w14:textId="4FDCB0EF" w:rsidR="00E72137" w:rsidRPr="00E40A38" w:rsidRDefault="00E72137" w:rsidP="00EF1C29">
            <w:pPr>
              <w:pStyle w:val="TableHeading0"/>
              <w:keepLines/>
              <w:rPr>
                <w:lang w:eastAsia="en-AU"/>
              </w:rPr>
            </w:pPr>
          </w:p>
        </w:tc>
      </w:tr>
      <w:tr w:rsidR="00302AC7" w:rsidRPr="00E40A38" w14:paraId="0818833E" w14:textId="77777777" w:rsidTr="00302AC7">
        <w:trPr>
          <w:trHeight w:val="55"/>
          <w:tblHeader/>
        </w:trPr>
        <w:tc>
          <w:tcPr>
            <w:tcW w:w="1019" w:type="pct"/>
            <w:tcBorders>
              <w:top w:val="nil"/>
            </w:tcBorders>
            <w:shd w:val="clear" w:color="auto" w:fill="auto"/>
            <w:vAlign w:val="center"/>
            <w:hideMark/>
          </w:tcPr>
          <w:p w14:paraId="092930E8" w14:textId="77777777" w:rsidR="00E72137" w:rsidRPr="00E40A38" w:rsidRDefault="00E72137" w:rsidP="00EF1C29">
            <w:pPr>
              <w:pStyle w:val="TableText"/>
              <w:keepLines/>
              <w:rPr>
                <w:lang w:eastAsia="en-AU"/>
              </w:rPr>
            </w:pPr>
          </w:p>
        </w:tc>
        <w:tc>
          <w:tcPr>
            <w:tcW w:w="629" w:type="pct"/>
            <w:gridSpan w:val="2"/>
            <w:tcBorders>
              <w:top w:val="nil"/>
            </w:tcBorders>
            <w:shd w:val="clear" w:color="auto" w:fill="auto"/>
            <w:vAlign w:val="center"/>
            <w:hideMark/>
          </w:tcPr>
          <w:p w14:paraId="0C45E464" w14:textId="77777777" w:rsidR="00E72137" w:rsidRPr="00E40A38" w:rsidRDefault="00E72137" w:rsidP="00EF1C29">
            <w:pPr>
              <w:pStyle w:val="TableText"/>
              <w:keepLines/>
              <w:rPr>
                <w:lang w:eastAsia="en-AU"/>
              </w:rPr>
            </w:pPr>
          </w:p>
        </w:tc>
        <w:tc>
          <w:tcPr>
            <w:tcW w:w="670" w:type="pct"/>
            <w:shd w:val="clear" w:color="auto" w:fill="auto"/>
            <w:tcMar>
              <w:top w:w="15" w:type="dxa"/>
              <w:left w:w="54" w:type="dxa"/>
              <w:bottom w:w="0" w:type="dxa"/>
              <w:right w:w="54" w:type="dxa"/>
            </w:tcMar>
            <w:vAlign w:val="center"/>
            <w:hideMark/>
          </w:tcPr>
          <w:p w14:paraId="705774F7" w14:textId="77777777" w:rsidR="00E72137" w:rsidRPr="00E40A38" w:rsidRDefault="00E72137" w:rsidP="00EF1C29">
            <w:pPr>
              <w:pStyle w:val="TableText"/>
              <w:keepLines/>
              <w:rPr>
                <w:b/>
                <w:lang w:eastAsia="en-AU"/>
              </w:rPr>
            </w:pPr>
            <w:r w:rsidRPr="00E40A38">
              <w:rPr>
                <w:b/>
                <w:lang w:eastAsia="en-AU"/>
              </w:rPr>
              <w:t>Month 0-6</w:t>
            </w:r>
          </w:p>
        </w:tc>
        <w:tc>
          <w:tcPr>
            <w:tcW w:w="670" w:type="pct"/>
            <w:shd w:val="clear" w:color="auto" w:fill="auto"/>
            <w:tcMar>
              <w:top w:w="15" w:type="dxa"/>
              <w:left w:w="54" w:type="dxa"/>
              <w:bottom w:w="0" w:type="dxa"/>
              <w:right w:w="54" w:type="dxa"/>
            </w:tcMar>
            <w:vAlign w:val="center"/>
            <w:hideMark/>
          </w:tcPr>
          <w:p w14:paraId="662F211D" w14:textId="77777777" w:rsidR="00E72137" w:rsidRPr="00E40A38" w:rsidRDefault="00E72137" w:rsidP="00EF1C29">
            <w:pPr>
              <w:pStyle w:val="TableText"/>
              <w:keepLines/>
              <w:rPr>
                <w:b/>
                <w:lang w:eastAsia="en-AU"/>
              </w:rPr>
            </w:pPr>
            <w:r w:rsidRPr="00E40A38">
              <w:rPr>
                <w:b/>
                <w:lang w:val="en-US" w:eastAsia="en-AU"/>
              </w:rPr>
              <w:t>Month 7-12</w:t>
            </w:r>
          </w:p>
        </w:tc>
        <w:tc>
          <w:tcPr>
            <w:tcW w:w="670" w:type="pct"/>
            <w:gridSpan w:val="2"/>
            <w:shd w:val="clear" w:color="auto" w:fill="auto"/>
            <w:tcMar>
              <w:top w:w="15" w:type="dxa"/>
              <w:left w:w="54" w:type="dxa"/>
              <w:bottom w:w="0" w:type="dxa"/>
              <w:right w:w="54" w:type="dxa"/>
            </w:tcMar>
            <w:vAlign w:val="center"/>
            <w:hideMark/>
          </w:tcPr>
          <w:p w14:paraId="39163944" w14:textId="77777777" w:rsidR="00E72137" w:rsidRPr="00E40A38" w:rsidRDefault="00E72137" w:rsidP="00EF1C29">
            <w:pPr>
              <w:pStyle w:val="TableText"/>
              <w:keepLines/>
              <w:rPr>
                <w:b/>
                <w:lang w:eastAsia="en-AU"/>
              </w:rPr>
            </w:pPr>
            <w:r w:rsidRPr="00E40A38">
              <w:rPr>
                <w:b/>
                <w:lang w:eastAsia="en-AU"/>
              </w:rPr>
              <w:t>Month 13-18</w:t>
            </w:r>
          </w:p>
        </w:tc>
        <w:tc>
          <w:tcPr>
            <w:tcW w:w="670" w:type="pct"/>
            <w:gridSpan w:val="4"/>
            <w:shd w:val="clear" w:color="auto" w:fill="auto"/>
            <w:tcMar>
              <w:top w:w="15" w:type="dxa"/>
              <w:left w:w="54" w:type="dxa"/>
              <w:bottom w:w="0" w:type="dxa"/>
              <w:right w:w="54" w:type="dxa"/>
            </w:tcMar>
            <w:vAlign w:val="center"/>
            <w:hideMark/>
          </w:tcPr>
          <w:p w14:paraId="249FB67A" w14:textId="77777777" w:rsidR="00E72137" w:rsidRPr="00E40A38" w:rsidRDefault="00E72137" w:rsidP="00EF1C29">
            <w:pPr>
              <w:pStyle w:val="TableText"/>
              <w:keepLines/>
              <w:rPr>
                <w:b/>
                <w:lang w:eastAsia="en-AU"/>
              </w:rPr>
            </w:pPr>
            <w:r w:rsidRPr="00E40A38">
              <w:rPr>
                <w:b/>
                <w:lang w:val="en-US" w:eastAsia="en-AU"/>
              </w:rPr>
              <w:t xml:space="preserve">Month 19-24 </w:t>
            </w:r>
          </w:p>
        </w:tc>
        <w:tc>
          <w:tcPr>
            <w:tcW w:w="670" w:type="pct"/>
            <w:shd w:val="clear" w:color="auto" w:fill="auto"/>
            <w:tcMar>
              <w:top w:w="15" w:type="dxa"/>
              <w:left w:w="54" w:type="dxa"/>
              <w:bottom w:w="0" w:type="dxa"/>
              <w:right w:w="54" w:type="dxa"/>
            </w:tcMar>
            <w:vAlign w:val="center"/>
          </w:tcPr>
          <w:p w14:paraId="1E2838D2" w14:textId="1029287B" w:rsidR="00E72137" w:rsidRPr="00E40A38" w:rsidRDefault="00E72137" w:rsidP="00EF1C29">
            <w:pPr>
              <w:pStyle w:val="TableText"/>
              <w:keepLines/>
              <w:rPr>
                <w:b/>
                <w:lang w:eastAsia="en-AU"/>
              </w:rPr>
            </w:pPr>
            <w:r w:rsidRPr="00E40A38">
              <w:rPr>
                <w:b/>
                <w:lang w:val="en-GB" w:eastAsia="en-AU"/>
              </w:rPr>
              <w:t>Month 25-36</w:t>
            </w:r>
          </w:p>
        </w:tc>
      </w:tr>
      <w:tr w:rsidR="00302AC7" w:rsidRPr="00E40A38" w14:paraId="153CBA1C" w14:textId="77777777" w:rsidTr="00302AC7">
        <w:trPr>
          <w:trHeight w:val="202"/>
        </w:trPr>
        <w:tc>
          <w:tcPr>
            <w:tcW w:w="1019" w:type="pct"/>
            <w:tcBorders>
              <w:bottom w:val="single" w:sz="4" w:space="0" w:color="auto"/>
            </w:tcBorders>
            <w:shd w:val="clear" w:color="auto" w:fill="auto"/>
            <w:tcMar>
              <w:top w:w="15" w:type="dxa"/>
              <w:left w:w="54" w:type="dxa"/>
              <w:bottom w:w="0" w:type="dxa"/>
              <w:right w:w="54" w:type="dxa"/>
            </w:tcMar>
            <w:vAlign w:val="center"/>
            <w:hideMark/>
          </w:tcPr>
          <w:p w14:paraId="2F6FA8C8" w14:textId="77777777" w:rsidR="00E72137" w:rsidRPr="00E40A38" w:rsidRDefault="00E72137" w:rsidP="00EF1C29">
            <w:pPr>
              <w:pStyle w:val="TableText"/>
              <w:keepLines/>
              <w:rPr>
                <w:lang w:eastAsia="en-AU"/>
              </w:rPr>
            </w:pPr>
            <w:r w:rsidRPr="00E40A38">
              <w:rPr>
                <w:lang w:val="en-US" w:eastAsia="en-AU"/>
              </w:rPr>
              <w:t xml:space="preserve">Unadjusted mean (SD) </w:t>
            </w:r>
          </w:p>
        </w:tc>
        <w:tc>
          <w:tcPr>
            <w:tcW w:w="629" w:type="pct"/>
            <w:gridSpan w:val="2"/>
            <w:tcBorders>
              <w:bottom w:val="single" w:sz="4" w:space="0" w:color="auto"/>
            </w:tcBorders>
            <w:shd w:val="clear" w:color="auto" w:fill="auto"/>
            <w:tcMar>
              <w:top w:w="15" w:type="dxa"/>
              <w:left w:w="54" w:type="dxa"/>
              <w:bottom w:w="0" w:type="dxa"/>
              <w:right w:w="54" w:type="dxa"/>
            </w:tcMar>
            <w:vAlign w:val="center"/>
            <w:hideMark/>
          </w:tcPr>
          <w:p w14:paraId="69AAD087" w14:textId="77777777" w:rsidR="00E72137" w:rsidRPr="00E40A38" w:rsidRDefault="00E72137" w:rsidP="00EF1C29">
            <w:pPr>
              <w:pStyle w:val="TableText"/>
              <w:keepLines/>
              <w:rPr>
                <w:lang w:eastAsia="en-AU"/>
              </w:rPr>
            </w:pPr>
            <w:r w:rsidRPr="00E40A38">
              <w:rPr>
                <w:lang w:val="en-US" w:eastAsia="en-AU"/>
              </w:rPr>
              <w:t>257,338.8</w:t>
            </w:r>
            <w:r w:rsidRPr="00E40A38">
              <w:rPr>
                <w:lang w:val="en-US" w:eastAsia="en-AU"/>
              </w:rPr>
              <w:br/>
              <w:t>(149,013)</w:t>
            </w:r>
          </w:p>
        </w:tc>
        <w:tc>
          <w:tcPr>
            <w:tcW w:w="670" w:type="pct"/>
            <w:shd w:val="clear" w:color="auto" w:fill="auto"/>
            <w:tcMar>
              <w:top w:w="15" w:type="dxa"/>
              <w:left w:w="54" w:type="dxa"/>
              <w:bottom w:w="0" w:type="dxa"/>
              <w:right w:w="54" w:type="dxa"/>
            </w:tcMar>
            <w:vAlign w:val="center"/>
            <w:hideMark/>
          </w:tcPr>
          <w:p w14:paraId="590EBD02" w14:textId="28AD864D" w:rsidR="00E72137" w:rsidRPr="00E40A38" w:rsidRDefault="00E72137" w:rsidP="00EF1C29">
            <w:pPr>
              <w:pStyle w:val="TableText"/>
              <w:keepLines/>
              <w:rPr>
                <w:lang w:eastAsia="en-AU"/>
              </w:rPr>
            </w:pPr>
            <w:r w:rsidRPr="00E40A38">
              <w:rPr>
                <w:lang w:val="en-US" w:eastAsia="en-AU"/>
              </w:rPr>
              <w:t>12,912.9</w:t>
            </w:r>
            <w:r w:rsidR="00191CB4" w:rsidRPr="00E40A38">
              <w:rPr>
                <w:lang w:val="en-US" w:eastAsia="en-AU"/>
              </w:rPr>
              <w:br/>
            </w:r>
            <w:r w:rsidRPr="00E40A38">
              <w:rPr>
                <w:lang w:val="en-US" w:eastAsia="en-AU"/>
              </w:rPr>
              <w:t>(37,093)</w:t>
            </w:r>
          </w:p>
        </w:tc>
        <w:tc>
          <w:tcPr>
            <w:tcW w:w="670" w:type="pct"/>
            <w:shd w:val="clear" w:color="auto" w:fill="auto"/>
            <w:tcMar>
              <w:top w:w="15" w:type="dxa"/>
              <w:left w:w="54" w:type="dxa"/>
              <w:bottom w:w="0" w:type="dxa"/>
              <w:right w:w="54" w:type="dxa"/>
            </w:tcMar>
            <w:vAlign w:val="center"/>
            <w:hideMark/>
          </w:tcPr>
          <w:p w14:paraId="2575DA22" w14:textId="77777777" w:rsidR="00E72137" w:rsidRPr="00E40A38" w:rsidRDefault="00E72137" w:rsidP="00EF1C29">
            <w:pPr>
              <w:pStyle w:val="TableText"/>
              <w:keepLines/>
              <w:rPr>
                <w:lang w:eastAsia="en-AU"/>
              </w:rPr>
            </w:pPr>
            <w:r w:rsidRPr="00E40A38">
              <w:rPr>
                <w:lang w:val="en-US" w:eastAsia="en-AU"/>
              </w:rPr>
              <w:t>8399.1</w:t>
            </w:r>
            <w:r w:rsidRPr="00E40A38">
              <w:rPr>
                <w:lang w:val="en-US" w:eastAsia="en-AU"/>
              </w:rPr>
              <w:br/>
              <w:t>(29,721)</w:t>
            </w:r>
          </w:p>
        </w:tc>
        <w:tc>
          <w:tcPr>
            <w:tcW w:w="670" w:type="pct"/>
            <w:gridSpan w:val="2"/>
            <w:shd w:val="clear" w:color="auto" w:fill="auto"/>
            <w:tcMar>
              <w:top w:w="15" w:type="dxa"/>
              <w:left w:w="54" w:type="dxa"/>
              <w:bottom w:w="0" w:type="dxa"/>
              <w:right w:w="54" w:type="dxa"/>
            </w:tcMar>
            <w:vAlign w:val="center"/>
          </w:tcPr>
          <w:p w14:paraId="353E0D1D" w14:textId="7C224047" w:rsidR="00E72137" w:rsidRPr="00E40A38" w:rsidRDefault="00E72137" w:rsidP="00EF1C29">
            <w:pPr>
              <w:pStyle w:val="TableText"/>
              <w:keepLines/>
              <w:rPr>
                <w:lang w:eastAsia="en-AU"/>
              </w:rPr>
            </w:pPr>
            <w:r w:rsidRPr="00E40A38">
              <w:rPr>
                <w:lang w:eastAsia="en-AU"/>
              </w:rPr>
              <w:t>8473.4</w:t>
            </w:r>
            <w:r w:rsidR="00191CB4" w:rsidRPr="00E40A38">
              <w:rPr>
                <w:lang w:eastAsia="en-AU"/>
              </w:rPr>
              <w:br/>
            </w:r>
            <w:r w:rsidRPr="00E40A38">
              <w:rPr>
                <w:lang w:eastAsia="en-AU"/>
              </w:rPr>
              <w:t>(28,761)</w:t>
            </w:r>
          </w:p>
        </w:tc>
        <w:tc>
          <w:tcPr>
            <w:tcW w:w="670" w:type="pct"/>
            <w:gridSpan w:val="4"/>
            <w:shd w:val="clear" w:color="auto" w:fill="auto"/>
            <w:tcMar>
              <w:top w:w="15" w:type="dxa"/>
              <w:left w:w="54" w:type="dxa"/>
              <w:bottom w:w="0" w:type="dxa"/>
              <w:right w:w="54" w:type="dxa"/>
            </w:tcMar>
            <w:vAlign w:val="center"/>
          </w:tcPr>
          <w:p w14:paraId="2889E54F" w14:textId="65C10382" w:rsidR="00E72137" w:rsidRPr="00E40A38" w:rsidRDefault="00E72137" w:rsidP="00EF1C29">
            <w:pPr>
              <w:pStyle w:val="TableText"/>
              <w:keepLines/>
              <w:rPr>
                <w:lang w:eastAsia="en-AU"/>
              </w:rPr>
            </w:pPr>
            <w:r w:rsidRPr="00E40A38">
              <w:rPr>
                <w:lang w:eastAsia="en-AU"/>
              </w:rPr>
              <w:t>9589.6</w:t>
            </w:r>
            <w:r w:rsidR="00191CB4" w:rsidRPr="00E40A38">
              <w:rPr>
                <w:lang w:eastAsia="en-AU"/>
              </w:rPr>
              <w:br/>
            </w:r>
            <w:r w:rsidRPr="00E40A38">
              <w:rPr>
                <w:lang w:eastAsia="en-AU"/>
              </w:rPr>
              <w:t>(29,127)</w:t>
            </w:r>
          </w:p>
        </w:tc>
        <w:tc>
          <w:tcPr>
            <w:tcW w:w="670" w:type="pct"/>
            <w:shd w:val="clear" w:color="auto" w:fill="auto"/>
            <w:tcMar>
              <w:top w:w="15" w:type="dxa"/>
              <w:left w:w="54" w:type="dxa"/>
              <w:bottom w:w="0" w:type="dxa"/>
              <w:right w:w="54" w:type="dxa"/>
            </w:tcMar>
            <w:vAlign w:val="center"/>
          </w:tcPr>
          <w:p w14:paraId="4D2EBE06" w14:textId="0DD551B6" w:rsidR="00E72137" w:rsidRPr="00E40A38" w:rsidRDefault="00E72137" w:rsidP="00EF1C29">
            <w:pPr>
              <w:pStyle w:val="TableText"/>
              <w:keepLines/>
              <w:rPr>
                <w:lang w:eastAsia="en-AU"/>
              </w:rPr>
            </w:pPr>
            <w:r w:rsidRPr="00E40A38">
              <w:rPr>
                <w:lang w:eastAsia="en-AU"/>
              </w:rPr>
              <w:t>10,529.8</w:t>
            </w:r>
            <w:r w:rsidR="00191CB4" w:rsidRPr="00E40A38">
              <w:rPr>
                <w:lang w:eastAsia="en-AU"/>
              </w:rPr>
              <w:br/>
            </w:r>
            <w:r w:rsidRPr="00E40A38">
              <w:rPr>
                <w:lang w:eastAsia="en-AU"/>
              </w:rPr>
              <w:t>(36,940)</w:t>
            </w:r>
          </w:p>
        </w:tc>
      </w:tr>
      <w:tr w:rsidR="00302AC7" w:rsidRPr="00E40A38" w14:paraId="47723FC7" w14:textId="77777777" w:rsidTr="00302AC7">
        <w:trPr>
          <w:trHeight w:val="55"/>
        </w:trPr>
        <w:tc>
          <w:tcPr>
            <w:tcW w:w="1422" w:type="pct"/>
            <w:gridSpan w:val="2"/>
            <w:tcBorders>
              <w:right w:val="nil"/>
            </w:tcBorders>
            <w:shd w:val="clear" w:color="auto" w:fill="auto"/>
            <w:tcMar>
              <w:top w:w="15" w:type="dxa"/>
              <w:left w:w="54" w:type="dxa"/>
              <w:bottom w:w="0" w:type="dxa"/>
              <w:right w:w="54" w:type="dxa"/>
            </w:tcMar>
            <w:vAlign w:val="center"/>
          </w:tcPr>
          <w:p w14:paraId="0DB103FF" w14:textId="77777777" w:rsidR="00251C48" w:rsidRPr="00E40A38" w:rsidRDefault="00251C48" w:rsidP="00EF1C29">
            <w:pPr>
              <w:pStyle w:val="TableText"/>
              <w:keepLines/>
              <w:rPr>
                <w:lang w:val="en-US" w:eastAsia="en-AU"/>
              </w:rPr>
            </w:pPr>
            <w:r w:rsidRPr="00E40A38">
              <w:rPr>
                <w:lang w:val="en-US" w:eastAsia="en-AU"/>
              </w:rPr>
              <w:t>Difference, Post-treatment – Lead</w:t>
            </w:r>
            <w:r w:rsidRPr="00E40A38">
              <w:rPr>
                <w:lang w:val="en-US" w:eastAsia="en-AU"/>
              </w:rPr>
              <w:noBreakHyphen/>
              <w:t>in period</w:t>
            </w:r>
          </w:p>
        </w:tc>
        <w:tc>
          <w:tcPr>
            <w:tcW w:w="226" w:type="pct"/>
            <w:tcBorders>
              <w:left w:val="nil"/>
            </w:tcBorders>
            <w:shd w:val="clear" w:color="auto" w:fill="auto"/>
            <w:vAlign w:val="center"/>
          </w:tcPr>
          <w:p w14:paraId="0CED6583" w14:textId="6C9E3DAD" w:rsidR="00E72137" w:rsidRPr="00E40A38" w:rsidRDefault="00E72137" w:rsidP="00EF1C29">
            <w:pPr>
              <w:pStyle w:val="TableText"/>
              <w:keepLines/>
              <w:rPr>
                <w:lang w:val="en-US" w:eastAsia="en-AU"/>
              </w:rPr>
            </w:pPr>
          </w:p>
        </w:tc>
        <w:tc>
          <w:tcPr>
            <w:tcW w:w="670" w:type="pct"/>
            <w:shd w:val="clear" w:color="auto" w:fill="auto"/>
            <w:tcMar>
              <w:top w:w="15" w:type="dxa"/>
              <w:left w:w="54" w:type="dxa"/>
              <w:bottom w:w="0" w:type="dxa"/>
              <w:right w:w="54" w:type="dxa"/>
            </w:tcMar>
            <w:vAlign w:val="center"/>
          </w:tcPr>
          <w:p w14:paraId="0A5C162E" w14:textId="77777777" w:rsidR="00E72137" w:rsidRPr="00E40A38" w:rsidRDefault="00E72137" w:rsidP="00EF1C29">
            <w:pPr>
              <w:pStyle w:val="TableText"/>
              <w:keepLines/>
              <w:rPr>
                <w:b/>
                <w:lang w:val="en-US" w:eastAsia="en-AU"/>
              </w:rPr>
            </w:pPr>
            <w:r w:rsidRPr="00E40A38">
              <w:rPr>
                <w:b/>
                <w:lang w:val="en-US" w:eastAsia="en-AU"/>
              </w:rPr>
              <w:t>Month 0-6</w:t>
            </w:r>
          </w:p>
        </w:tc>
        <w:tc>
          <w:tcPr>
            <w:tcW w:w="670" w:type="pct"/>
            <w:shd w:val="clear" w:color="auto" w:fill="auto"/>
            <w:tcMar>
              <w:top w:w="15" w:type="dxa"/>
              <w:left w:w="54" w:type="dxa"/>
              <w:bottom w:w="0" w:type="dxa"/>
              <w:right w:w="54" w:type="dxa"/>
            </w:tcMar>
            <w:vAlign w:val="center"/>
          </w:tcPr>
          <w:p w14:paraId="09CB900C" w14:textId="77777777" w:rsidR="00E72137" w:rsidRPr="00E40A38" w:rsidRDefault="00E72137" w:rsidP="00EF1C29">
            <w:pPr>
              <w:pStyle w:val="TableText"/>
              <w:keepLines/>
              <w:rPr>
                <w:b/>
                <w:lang w:val="en-US" w:eastAsia="en-AU"/>
              </w:rPr>
            </w:pPr>
            <w:r w:rsidRPr="00E40A38">
              <w:rPr>
                <w:b/>
                <w:lang w:val="en-US" w:eastAsia="en-AU"/>
              </w:rPr>
              <w:t>Month 7-18</w:t>
            </w:r>
          </w:p>
        </w:tc>
        <w:tc>
          <w:tcPr>
            <w:tcW w:w="670" w:type="pct"/>
            <w:gridSpan w:val="2"/>
            <w:shd w:val="clear" w:color="auto" w:fill="auto"/>
            <w:tcMar>
              <w:top w:w="15" w:type="dxa"/>
              <w:left w:w="54" w:type="dxa"/>
              <w:bottom w:w="0" w:type="dxa"/>
              <w:right w:w="54" w:type="dxa"/>
            </w:tcMar>
            <w:vAlign w:val="center"/>
          </w:tcPr>
          <w:p w14:paraId="6161CBB6" w14:textId="77777777" w:rsidR="00E72137" w:rsidRPr="00E40A38" w:rsidRDefault="00E72137" w:rsidP="00EF1C29">
            <w:pPr>
              <w:pStyle w:val="TableText"/>
              <w:keepLines/>
              <w:rPr>
                <w:b/>
                <w:lang w:val="en-US" w:eastAsia="en-AU"/>
              </w:rPr>
            </w:pPr>
            <w:r w:rsidRPr="00E40A38">
              <w:rPr>
                <w:b/>
                <w:lang w:val="en-US" w:eastAsia="en-AU"/>
              </w:rPr>
              <w:t>Month 7-24</w:t>
            </w:r>
          </w:p>
        </w:tc>
        <w:tc>
          <w:tcPr>
            <w:tcW w:w="670" w:type="pct"/>
            <w:gridSpan w:val="4"/>
            <w:shd w:val="clear" w:color="auto" w:fill="auto"/>
            <w:tcMar>
              <w:top w:w="15" w:type="dxa"/>
              <w:left w:w="54" w:type="dxa"/>
              <w:bottom w:w="0" w:type="dxa"/>
              <w:right w:w="54" w:type="dxa"/>
            </w:tcMar>
            <w:vAlign w:val="center"/>
          </w:tcPr>
          <w:p w14:paraId="7FD0FD86" w14:textId="77777777" w:rsidR="00E72137" w:rsidRPr="00E40A38" w:rsidRDefault="00E72137" w:rsidP="00EF1C29">
            <w:pPr>
              <w:pStyle w:val="TableText"/>
              <w:keepLines/>
              <w:rPr>
                <w:b/>
                <w:lang w:eastAsia="en-AU"/>
              </w:rPr>
            </w:pPr>
            <w:r w:rsidRPr="00E40A38">
              <w:rPr>
                <w:b/>
                <w:lang w:eastAsia="en-AU"/>
              </w:rPr>
              <w:t>Month 7-36</w:t>
            </w:r>
          </w:p>
        </w:tc>
        <w:tc>
          <w:tcPr>
            <w:tcW w:w="670" w:type="pct"/>
            <w:shd w:val="clear" w:color="auto" w:fill="auto"/>
            <w:tcMar>
              <w:top w:w="15" w:type="dxa"/>
              <w:left w:w="54" w:type="dxa"/>
              <w:bottom w:w="0" w:type="dxa"/>
              <w:right w:w="54" w:type="dxa"/>
            </w:tcMar>
            <w:vAlign w:val="center"/>
          </w:tcPr>
          <w:p w14:paraId="0F9AF9EA" w14:textId="77777777" w:rsidR="00E72137" w:rsidRPr="00E40A38" w:rsidRDefault="00E72137" w:rsidP="00EF1C29">
            <w:pPr>
              <w:pStyle w:val="TableText"/>
              <w:keepLines/>
              <w:rPr>
                <w:b/>
                <w:lang w:eastAsia="en-AU"/>
              </w:rPr>
            </w:pPr>
            <w:r w:rsidRPr="00E40A38">
              <w:rPr>
                <w:b/>
                <w:lang w:eastAsia="en-AU"/>
              </w:rPr>
              <w:t>Year 0-3</w:t>
            </w:r>
          </w:p>
        </w:tc>
      </w:tr>
      <w:tr w:rsidR="00302AC7" w:rsidRPr="00E40A38" w14:paraId="58791E28" w14:textId="77777777" w:rsidTr="00302AC7">
        <w:trPr>
          <w:trHeight w:val="544"/>
        </w:trPr>
        <w:tc>
          <w:tcPr>
            <w:tcW w:w="1019" w:type="pct"/>
            <w:shd w:val="clear" w:color="auto" w:fill="auto"/>
            <w:tcMar>
              <w:top w:w="15" w:type="dxa"/>
              <w:left w:w="54" w:type="dxa"/>
              <w:bottom w:w="0" w:type="dxa"/>
              <w:right w:w="54" w:type="dxa"/>
            </w:tcMar>
            <w:vAlign w:val="center"/>
            <w:hideMark/>
          </w:tcPr>
          <w:p w14:paraId="050590DC" w14:textId="77777777" w:rsidR="00E72137" w:rsidRPr="00E40A38" w:rsidRDefault="00E72137" w:rsidP="00EF1C29">
            <w:pPr>
              <w:pStyle w:val="TableText"/>
              <w:keepLines/>
              <w:rPr>
                <w:lang w:eastAsia="en-AU"/>
              </w:rPr>
            </w:pPr>
            <w:r w:rsidRPr="00E40A38">
              <w:rPr>
                <w:lang w:val="en-US" w:eastAsia="en-AU"/>
              </w:rPr>
              <w:t>Unadjusted mean (SD)</w:t>
            </w:r>
          </w:p>
        </w:tc>
        <w:tc>
          <w:tcPr>
            <w:tcW w:w="629" w:type="pct"/>
            <w:gridSpan w:val="2"/>
            <w:shd w:val="clear" w:color="auto" w:fill="auto"/>
            <w:tcMar>
              <w:top w:w="15" w:type="dxa"/>
              <w:left w:w="54" w:type="dxa"/>
              <w:bottom w:w="0" w:type="dxa"/>
              <w:right w:w="54" w:type="dxa"/>
            </w:tcMar>
            <w:vAlign w:val="center"/>
            <w:hideMark/>
          </w:tcPr>
          <w:p w14:paraId="4192FA0D" w14:textId="77777777" w:rsidR="00E72137" w:rsidRPr="00E40A38" w:rsidRDefault="00E72137" w:rsidP="00EF1C29">
            <w:pPr>
              <w:pStyle w:val="TableText"/>
              <w:keepLines/>
              <w:rPr>
                <w:lang w:eastAsia="en-AU"/>
              </w:rPr>
            </w:pPr>
            <w:r w:rsidRPr="00E40A38">
              <w:rPr>
                <w:lang w:val="en-US" w:eastAsia="en-AU"/>
              </w:rPr>
              <w:t>-</w:t>
            </w:r>
          </w:p>
        </w:tc>
        <w:tc>
          <w:tcPr>
            <w:tcW w:w="670" w:type="pct"/>
            <w:shd w:val="clear" w:color="auto" w:fill="auto"/>
            <w:tcMar>
              <w:top w:w="15" w:type="dxa"/>
              <w:left w:w="54" w:type="dxa"/>
              <w:bottom w:w="0" w:type="dxa"/>
              <w:right w:w="54" w:type="dxa"/>
            </w:tcMar>
            <w:vAlign w:val="center"/>
            <w:hideMark/>
          </w:tcPr>
          <w:p w14:paraId="3E8F8C0E" w14:textId="3AB2E890" w:rsidR="00E72137" w:rsidRPr="00E40A38" w:rsidRDefault="00E72137" w:rsidP="00EF1C29">
            <w:pPr>
              <w:pStyle w:val="TableText"/>
              <w:keepLines/>
              <w:rPr>
                <w:lang w:eastAsia="en-AU"/>
              </w:rPr>
            </w:pPr>
            <w:r w:rsidRPr="00E40A38">
              <w:rPr>
                <w:lang w:val="en-US" w:eastAsia="en-AU"/>
              </w:rPr>
              <w:t>-244,425.8</w:t>
            </w:r>
            <w:r w:rsidR="00191CB4" w:rsidRPr="00E40A38">
              <w:rPr>
                <w:lang w:val="en-US" w:eastAsia="en-AU"/>
              </w:rPr>
              <w:br/>
            </w:r>
            <w:r w:rsidRPr="00E40A38">
              <w:rPr>
                <w:lang w:val="en-US" w:eastAsia="en-AU"/>
              </w:rPr>
              <w:t>(143,457)</w:t>
            </w:r>
          </w:p>
        </w:tc>
        <w:tc>
          <w:tcPr>
            <w:tcW w:w="670" w:type="pct"/>
            <w:shd w:val="clear" w:color="auto" w:fill="auto"/>
            <w:tcMar>
              <w:top w:w="15" w:type="dxa"/>
              <w:left w:w="54" w:type="dxa"/>
              <w:bottom w:w="0" w:type="dxa"/>
              <w:right w:w="54" w:type="dxa"/>
            </w:tcMar>
            <w:vAlign w:val="center"/>
            <w:hideMark/>
          </w:tcPr>
          <w:p w14:paraId="23FCCBEE" w14:textId="16FA8FA4" w:rsidR="00E72137" w:rsidRPr="00E40A38" w:rsidRDefault="00E72137" w:rsidP="00EF1C29">
            <w:pPr>
              <w:pStyle w:val="TableText"/>
              <w:keepLines/>
              <w:rPr>
                <w:lang w:eastAsia="en-AU"/>
              </w:rPr>
            </w:pPr>
            <w:r w:rsidRPr="00E40A38">
              <w:rPr>
                <w:lang w:val="en-US" w:eastAsia="en-AU"/>
              </w:rPr>
              <w:t>-248,831.4</w:t>
            </w:r>
            <w:r w:rsidR="00191CB4" w:rsidRPr="00E40A38">
              <w:rPr>
                <w:lang w:val="en-US" w:eastAsia="en-AU"/>
              </w:rPr>
              <w:br/>
            </w:r>
            <w:r w:rsidRPr="00E40A38">
              <w:rPr>
                <w:lang w:val="en-US" w:eastAsia="en-AU"/>
              </w:rPr>
              <w:t>(155,063)</w:t>
            </w:r>
          </w:p>
        </w:tc>
        <w:tc>
          <w:tcPr>
            <w:tcW w:w="670" w:type="pct"/>
            <w:gridSpan w:val="2"/>
            <w:shd w:val="clear" w:color="auto" w:fill="auto"/>
            <w:tcMar>
              <w:top w:w="15" w:type="dxa"/>
              <w:left w:w="54" w:type="dxa"/>
              <w:bottom w:w="0" w:type="dxa"/>
              <w:right w:w="54" w:type="dxa"/>
            </w:tcMar>
            <w:vAlign w:val="center"/>
            <w:hideMark/>
          </w:tcPr>
          <w:p w14:paraId="342830F2" w14:textId="0BDDC134" w:rsidR="00E72137" w:rsidRPr="00E40A38" w:rsidRDefault="00E72137" w:rsidP="00EF1C29">
            <w:pPr>
              <w:pStyle w:val="TableText"/>
              <w:keepLines/>
              <w:rPr>
                <w:lang w:eastAsia="en-AU"/>
              </w:rPr>
            </w:pPr>
            <w:r w:rsidRPr="00E40A38">
              <w:rPr>
                <w:lang w:val="en-US" w:eastAsia="en-AU"/>
              </w:rPr>
              <w:t xml:space="preserve">-248,446.5 </w:t>
            </w:r>
            <w:r w:rsidR="00191CB4" w:rsidRPr="00E40A38">
              <w:rPr>
                <w:lang w:val="en-US" w:eastAsia="en-AU"/>
              </w:rPr>
              <w:br/>
            </w:r>
            <w:r w:rsidRPr="00E40A38">
              <w:rPr>
                <w:lang w:val="en-US" w:eastAsia="en-AU"/>
              </w:rPr>
              <w:t>(154,659)</w:t>
            </w:r>
          </w:p>
        </w:tc>
        <w:tc>
          <w:tcPr>
            <w:tcW w:w="670" w:type="pct"/>
            <w:gridSpan w:val="4"/>
            <w:shd w:val="clear" w:color="auto" w:fill="auto"/>
            <w:tcMar>
              <w:top w:w="15" w:type="dxa"/>
              <w:left w:w="54" w:type="dxa"/>
              <w:bottom w:w="0" w:type="dxa"/>
              <w:right w:w="54" w:type="dxa"/>
            </w:tcMar>
            <w:vAlign w:val="center"/>
          </w:tcPr>
          <w:p w14:paraId="04EA7255" w14:textId="63EEE8FA" w:rsidR="00E72137" w:rsidRPr="00E40A38" w:rsidRDefault="00E72137" w:rsidP="00EF1C29">
            <w:pPr>
              <w:pStyle w:val="TableText"/>
              <w:keepLines/>
              <w:rPr>
                <w:lang w:eastAsia="en-AU"/>
              </w:rPr>
            </w:pPr>
            <w:r w:rsidRPr="00E40A38">
              <w:rPr>
                <w:lang w:eastAsia="en-AU"/>
              </w:rPr>
              <w:t>-246,969.1</w:t>
            </w:r>
            <w:r w:rsidR="00191CB4" w:rsidRPr="00E40A38">
              <w:rPr>
                <w:lang w:eastAsia="en-AU"/>
              </w:rPr>
              <w:br/>
            </w:r>
            <w:r w:rsidRPr="00E40A38">
              <w:rPr>
                <w:lang w:eastAsia="en-AU"/>
              </w:rPr>
              <w:t>(152,205)</w:t>
            </w:r>
          </w:p>
        </w:tc>
        <w:tc>
          <w:tcPr>
            <w:tcW w:w="670" w:type="pct"/>
            <w:shd w:val="clear" w:color="auto" w:fill="auto"/>
            <w:tcMar>
              <w:top w:w="15" w:type="dxa"/>
              <w:left w:w="54" w:type="dxa"/>
              <w:bottom w:w="0" w:type="dxa"/>
              <w:right w:w="54" w:type="dxa"/>
            </w:tcMar>
            <w:vAlign w:val="center"/>
          </w:tcPr>
          <w:p w14:paraId="3BF8F26D" w14:textId="29B85E6A" w:rsidR="00E72137" w:rsidRPr="00E40A38" w:rsidRDefault="00E72137" w:rsidP="00EF1C29">
            <w:pPr>
              <w:pStyle w:val="TableText"/>
              <w:keepLines/>
              <w:rPr>
                <w:lang w:eastAsia="en-AU"/>
              </w:rPr>
            </w:pPr>
            <w:r w:rsidRPr="00E40A38">
              <w:rPr>
                <w:lang w:eastAsia="en-AU"/>
              </w:rPr>
              <w:t>-246,763.4</w:t>
            </w:r>
            <w:r w:rsidR="00191CB4" w:rsidRPr="00E40A38">
              <w:rPr>
                <w:lang w:eastAsia="en-AU"/>
              </w:rPr>
              <w:br/>
            </w:r>
            <w:r w:rsidRPr="00E40A38">
              <w:rPr>
                <w:lang w:eastAsia="en-AU"/>
              </w:rPr>
              <w:t>(150,421)</w:t>
            </w:r>
          </w:p>
        </w:tc>
      </w:tr>
      <w:tr w:rsidR="00302AC7" w:rsidRPr="00E40A38" w14:paraId="1AFAFF87" w14:textId="77777777" w:rsidTr="00302AC7">
        <w:trPr>
          <w:trHeight w:val="544"/>
        </w:trPr>
        <w:tc>
          <w:tcPr>
            <w:tcW w:w="1019" w:type="pct"/>
            <w:shd w:val="clear" w:color="auto" w:fill="auto"/>
            <w:tcMar>
              <w:top w:w="15" w:type="dxa"/>
              <w:left w:w="54" w:type="dxa"/>
              <w:bottom w:w="0" w:type="dxa"/>
              <w:right w:w="54" w:type="dxa"/>
            </w:tcMar>
            <w:vAlign w:val="center"/>
            <w:hideMark/>
          </w:tcPr>
          <w:p w14:paraId="3986C736" w14:textId="77777777" w:rsidR="00E72137" w:rsidRPr="00E40A38" w:rsidRDefault="00E72137" w:rsidP="00EF1C29">
            <w:pPr>
              <w:pStyle w:val="TableText"/>
              <w:keepLines/>
              <w:rPr>
                <w:lang w:eastAsia="en-AU"/>
              </w:rPr>
            </w:pPr>
            <w:r w:rsidRPr="00E40A38">
              <w:rPr>
                <w:lang w:val="en-US" w:eastAsia="en-AU"/>
              </w:rPr>
              <w:t>Adjusted mean (SE)</w:t>
            </w:r>
          </w:p>
        </w:tc>
        <w:tc>
          <w:tcPr>
            <w:tcW w:w="629" w:type="pct"/>
            <w:gridSpan w:val="2"/>
            <w:shd w:val="clear" w:color="auto" w:fill="auto"/>
            <w:tcMar>
              <w:top w:w="15" w:type="dxa"/>
              <w:left w:w="54" w:type="dxa"/>
              <w:bottom w:w="0" w:type="dxa"/>
              <w:right w:w="54" w:type="dxa"/>
            </w:tcMar>
            <w:vAlign w:val="center"/>
            <w:hideMark/>
          </w:tcPr>
          <w:p w14:paraId="029544ED" w14:textId="77777777" w:rsidR="00E72137" w:rsidRPr="00E40A38" w:rsidRDefault="00E72137" w:rsidP="00EF1C29">
            <w:pPr>
              <w:pStyle w:val="TableText"/>
              <w:keepLines/>
              <w:rPr>
                <w:lang w:eastAsia="en-AU"/>
              </w:rPr>
            </w:pPr>
            <w:r w:rsidRPr="00E40A38">
              <w:rPr>
                <w:lang w:val="en-US" w:eastAsia="en-AU"/>
              </w:rPr>
              <w:t>-</w:t>
            </w:r>
          </w:p>
        </w:tc>
        <w:tc>
          <w:tcPr>
            <w:tcW w:w="670" w:type="pct"/>
            <w:shd w:val="clear" w:color="auto" w:fill="auto"/>
            <w:tcMar>
              <w:top w:w="15" w:type="dxa"/>
              <w:left w:w="54" w:type="dxa"/>
              <w:bottom w:w="0" w:type="dxa"/>
              <w:right w:w="54" w:type="dxa"/>
            </w:tcMar>
            <w:vAlign w:val="center"/>
            <w:hideMark/>
          </w:tcPr>
          <w:p w14:paraId="3381F790" w14:textId="68FD42FE" w:rsidR="00E72137" w:rsidRPr="00E40A38" w:rsidRDefault="00E72137" w:rsidP="00EF1C29">
            <w:pPr>
              <w:pStyle w:val="TableText"/>
              <w:keepLines/>
              <w:rPr>
                <w:lang w:eastAsia="en-AU"/>
              </w:rPr>
            </w:pPr>
            <w:r w:rsidRPr="00E40A38">
              <w:rPr>
                <w:lang w:val="en-US" w:eastAsia="en-AU"/>
              </w:rPr>
              <w:t>-244,425.8</w:t>
            </w:r>
            <w:r w:rsidR="00191CB4" w:rsidRPr="00E40A38">
              <w:rPr>
                <w:lang w:val="en-US" w:eastAsia="en-AU"/>
              </w:rPr>
              <w:br/>
            </w:r>
            <w:r w:rsidRPr="00E40A38">
              <w:rPr>
                <w:lang w:val="en-US" w:eastAsia="en-AU"/>
              </w:rPr>
              <w:t>(19,522)</w:t>
            </w:r>
          </w:p>
        </w:tc>
        <w:tc>
          <w:tcPr>
            <w:tcW w:w="670" w:type="pct"/>
            <w:shd w:val="clear" w:color="auto" w:fill="auto"/>
            <w:tcMar>
              <w:top w:w="15" w:type="dxa"/>
              <w:left w:w="54" w:type="dxa"/>
              <w:bottom w:w="0" w:type="dxa"/>
              <w:right w:w="54" w:type="dxa"/>
            </w:tcMar>
            <w:vAlign w:val="center"/>
            <w:hideMark/>
          </w:tcPr>
          <w:p w14:paraId="1C032363" w14:textId="39B5AA9C" w:rsidR="00E72137" w:rsidRPr="00E40A38" w:rsidRDefault="00E72137" w:rsidP="00EF1C29">
            <w:pPr>
              <w:pStyle w:val="TableText"/>
              <w:keepLines/>
              <w:rPr>
                <w:lang w:eastAsia="en-AU"/>
              </w:rPr>
            </w:pPr>
            <w:r w:rsidRPr="00E40A38">
              <w:rPr>
                <w:lang w:val="en-US" w:eastAsia="en-AU"/>
              </w:rPr>
              <w:t>-248,831.4</w:t>
            </w:r>
            <w:r w:rsidR="00191CB4" w:rsidRPr="00E40A38">
              <w:rPr>
                <w:lang w:val="en-US" w:eastAsia="en-AU"/>
              </w:rPr>
              <w:br/>
            </w:r>
            <w:r w:rsidRPr="00E40A38">
              <w:rPr>
                <w:lang w:val="en-US" w:eastAsia="en-AU"/>
              </w:rPr>
              <w:t>(21,101)</w:t>
            </w:r>
          </w:p>
        </w:tc>
        <w:tc>
          <w:tcPr>
            <w:tcW w:w="670" w:type="pct"/>
            <w:gridSpan w:val="2"/>
            <w:shd w:val="clear" w:color="auto" w:fill="auto"/>
            <w:tcMar>
              <w:top w:w="15" w:type="dxa"/>
              <w:left w:w="54" w:type="dxa"/>
              <w:bottom w:w="0" w:type="dxa"/>
              <w:right w:w="54" w:type="dxa"/>
            </w:tcMar>
            <w:vAlign w:val="center"/>
            <w:hideMark/>
          </w:tcPr>
          <w:p w14:paraId="3F714FCD" w14:textId="7DA325CA" w:rsidR="00E72137" w:rsidRPr="00E40A38" w:rsidRDefault="00E72137" w:rsidP="00EF1C29">
            <w:pPr>
              <w:pStyle w:val="TableText"/>
              <w:keepLines/>
              <w:rPr>
                <w:lang w:eastAsia="en-AU"/>
              </w:rPr>
            </w:pPr>
            <w:r w:rsidRPr="00E40A38">
              <w:rPr>
                <w:lang w:val="en-US" w:eastAsia="en-AU"/>
              </w:rPr>
              <w:t>-248,446.5</w:t>
            </w:r>
            <w:r w:rsidR="00191CB4" w:rsidRPr="00E40A38">
              <w:rPr>
                <w:lang w:val="en-US" w:eastAsia="en-AU"/>
              </w:rPr>
              <w:br/>
            </w:r>
            <w:r w:rsidRPr="00E40A38">
              <w:rPr>
                <w:lang w:val="en-US" w:eastAsia="en-AU"/>
              </w:rPr>
              <w:t>(21,046)</w:t>
            </w:r>
          </w:p>
        </w:tc>
        <w:tc>
          <w:tcPr>
            <w:tcW w:w="670" w:type="pct"/>
            <w:gridSpan w:val="4"/>
            <w:shd w:val="clear" w:color="auto" w:fill="auto"/>
            <w:tcMar>
              <w:top w:w="15" w:type="dxa"/>
              <w:left w:w="54" w:type="dxa"/>
              <w:bottom w:w="0" w:type="dxa"/>
              <w:right w:w="54" w:type="dxa"/>
            </w:tcMar>
            <w:vAlign w:val="center"/>
          </w:tcPr>
          <w:p w14:paraId="790F4635" w14:textId="7EBD4BE2" w:rsidR="00E72137" w:rsidRPr="00E40A38" w:rsidRDefault="00E72137" w:rsidP="00EF1C29">
            <w:pPr>
              <w:pStyle w:val="TableText"/>
              <w:keepLines/>
              <w:rPr>
                <w:lang w:eastAsia="en-AU"/>
              </w:rPr>
            </w:pPr>
            <w:r w:rsidRPr="00E40A38">
              <w:rPr>
                <w:lang w:eastAsia="en-AU"/>
              </w:rPr>
              <w:t>-246,969.1</w:t>
            </w:r>
            <w:r w:rsidR="00191CB4" w:rsidRPr="00E40A38">
              <w:rPr>
                <w:lang w:eastAsia="en-AU"/>
              </w:rPr>
              <w:br/>
            </w:r>
            <w:r w:rsidRPr="00E40A38">
              <w:rPr>
                <w:lang w:eastAsia="en-AU"/>
              </w:rPr>
              <w:t>(20,712)</w:t>
            </w:r>
          </w:p>
        </w:tc>
        <w:tc>
          <w:tcPr>
            <w:tcW w:w="670" w:type="pct"/>
            <w:shd w:val="clear" w:color="auto" w:fill="auto"/>
            <w:tcMar>
              <w:top w:w="15" w:type="dxa"/>
              <w:left w:w="54" w:type="dxa"/>
              <w:bottom w:w="0" w:type="dxa"/>
              <w:right w:w="54" w:type="dxa"/>
            </w:tcMar>
            <w:vAlign w:val="center"/>
          </w:tcPr>
          <w:p w14:paraId="5A055E2E" w14:textId="7E97885D" w:rsidR="00E72137" w:rsidRPr="00E40A38" w:rsidRDefault="00E72137" w:rsidP="00EF1C29">
            <w:pPr>
              <w:pStyle w:val="TableText"/>
              <w:keepLines/>
              <w:rPr>
                <w:lang w:eastAsia="en-AU"/>
              </w:rPr>
            </w:pPr>
            <w:r w:rsidRPr="00E40A38">
              <w:rPr>
                <w:lang w:eastAsia="en-AU"/>
              </w:rPr>
              <w:t>-246,763.4</w:t>
            </w:r>
            <w:r w:rsidR="00191CB4" w:rsidRPr="00E40A38">
              <w:rPr>
                <w:lang w:eastAsia="en-AU"/>
              </w:rPr>
              <w:br/>
            </w:r>
            <w:r w:rsidRPr="00E40A38">
              <w:rPr>
                <w:lang w:eastAsia="en-AU"/>
              </w:rPr>
              <w:t>(20,470)</w:t>
            </w:r>
          </w:p>
        </w:tc>
      </w:tr>
      <w:tr w:rsidR="00302AC7" w:rsidRPr="00E40A38" w14:paraId="52E65A69" w14:textId="77777777" w:rsidTr="00302AC7">
        <w:trPr>
          <w:trHeight w:val="55"/>
        </w:trPr>
        <w:tc>
          <w:tcPr>
            <w:tcW w:w="1019" w:type="pct"/>
            <w:shd w:val="clear" w:color="auto" w:fill="auto"/>
            <w:tcMar>
              <w:top w:w="15" w:type="dxa"/>
              <w:left w:w="54" w:type="dxa"/>
              <w:bottom w:w="0" w:type="dxa"/>
              <w:right w:w="54" w:type="dxa"/>
            </w:tcMar>
            <w:vAlign w:val="center"/>
            <w:hideMark/>
          </w:tcPr>
          <w:p w14:paraId="2A299857" w14:textId="77777777" w:rsidR="00E72137" w:rsidRPr="00E40A38" w:rsidRDefault="00E72137" w:rsidP="00EF1C29">
            <w:pPr>
              <w:pStyle w:val="TableText"/>
              <w:keepLines/>
              <w:rPr>
                <w:lang w:eastAsia="en-AU"/>
              </w:rPr>
            </w:pPr>
            <w:r w:rsidRPr="00E40A38">
              <w:rPr>
                <w:lang w:val="en-GB" w:eastAsia="en-AU"/>
              </w:rPr>
              <w:t>Mean reduction</w:t>
            </w:r>
          </w:p>
        </w:tc>
        <w:tc>
          <w:tcPr>
            <w:tcW w:w="629" w:type="pct"/>
            <w:gridSpan w:val="2"/>
            <w:shd w:val="clear" w:color="auto" w:fill="auto"/>
            <w:tcMar>
              <w:top w:w="15" w:type="dxa"/>
              <w:left w:w="54" w:type="dxa"/>
              <w:bottom w:w="0" w:type="dxa"/>
              <w:right w:w="54" w:type="dxa"/>
            </w:tcMar>
            <w:vAlign w:val="center"/>
            <w:hideMark/>
          </w:tcPr>
          <w:p w14:paraId="18C60139" w14:textId="77777777" w:rsidR="00E72137" w:rsidRPr="00E40A38" w:rsidRDefault="00E72137" w:rsidP="00EF1C29">
            <w:pPr>
              <w:pStyle w:val="TableText"/>
              <w:keepLines/>
              <w:rPr>
                <w:lang w:eastAsia="en-AU"/>
              </w:rPr>
            </w:pPr>
            <w:r w:rsidRPr="00E40A38">
              <w:rPr>
                <w:lang w:val="en-GB" w:eastAsia="en-AU"/>
              </w:rPr>
              <w:t>-</w:t>
            </w:r>
          </w:p>
        </w:tc>
        <w:tc>
          <w:tcPr>
            <w:tcW w:w="670" w:type="pct"/>
            <w:shd w:val="clear" w:color="auto" w:fill="auto"/>
            <w:tcMar>
              <w:top w:w="15" w:type="dxa"/>
              <w:left w:w="54" w:type="dxa"/>
              <w:bottom w:w="0" w:type="dxa"/>
              <w:right w:w="54" w:type="dxa"/>
            </w:tcMar>
            <w:vAlign w:val="center"/>
            <w:hideMark/>
          </w:tcPr>
          <w:p w14:paraId="7F29A359" w14:textId="77777777" w:rsidR="00E72137" w:rsidRPr="00E40A38" w:rsidRDefault="00E72137" w:rsidP="00EF1C29">
            <w:pPr>
              <w:pStyle w:val="TableText"/>
              <w:keepLines/>
              <w:rPr>
                <w:lang w:eastAsia="en-AU"/>
              </w:rPr>
            </w:pPr>
            <w:r w:rsidRPr="00E40A38">
              <w:rPr>
                <w:lang w:val="en-GB" w:eastAsia="en-AU"/>
              </w:rPr>
              <w:t>95%</w:t>
            </w:r>
          </w:p>
        </w:tc>
        <w:tc>
          <w:tcPr>
            <w:tcW w:w="670" w:type="pct"/>
            <w:shd w:val="clear" w:color="auto" w:fill="auto"/>
            <w:tcMar>
              <w:top w:w="15" w:type="dxa"/>
              <w:left w:w="54" w:type="dxa"/>
              <w:bottom w:w="0" w:type="dxa"/>
              <w:right w:w="54" w:type="dxa"/>
            </w:tcMar>
            <w:vAlign w:val="center"/>
            <w:hideMark/>
          </w:tcPr>
          <w:p w14:paraId="7B6C7DA5" w14:textId="77777777" w:rsidR="00E72137" w:rsidRPr="00E40A38" w:rsidRDefault="00E72137" w:rsidP="00EF1C29">
            <w:pPr>
              <w:pStyle w:val="TableText"/>
              <w:keepLines/>
              <w:rPr>
                <w:lang w:eastAsia="en-AU"/>
              </w:rPr>
            </w:pPr>
            <w:r w:rsidRPr="00E40A38">
              <w:rPr>
                <w:lang w:val="en-GB" w:eastAsia="en-AU"/>
              </w:rPr>
              <w:t>97%</w:t>
            </w:r>
          </w:p>
        </w:tc>
        <w:tc>
          <w:tcPr>
            <w:tcW w:w="670" w:type="pct"/>
            <w:gridSpan w:val="2"/>
            <w:shd w:val="clear" w:color="auto" w:fill="auto"/>
            <w:tcMar>
              <w:top w:w="15" w:type="dxa"/>
              <w:left w:w="54" w:type="dxa"/>
              <w:bottom w:w="0" w:type="dxa"/>
              <w:right w:w="54" w:type="dxa"/>
            </w:tcMar>
            <w:vAlign w:val="center"/>
            <w:hideMark/>
          </w:tcPr>
          <w:p w14:paraId="0C1D2DF0" w14:textId="77777777" w:rsidR="00E72137" w:rsidRPr="00E40A38" w:rsidRDefault="00E72137" w:rsidP="00EF1C29">
            <w:pPr>
              <w:pStyle w:val="TableText"/>
              <w:keepLines/>
              <w:rPr>
                <w:lang w:eastAsia="en-AU"/>
              </w:rPr>
            </w:pPr>
            <w:r w:rsidRPr="00E40A38">
              <w:rPr>
                <w:lang w:val="en-GB" w:eastAsia="en-AU"/>
              </w:rPr>
              <w:t>97%</w:t>
            </w:r>
          </w:p>
        </w:tc>
        <w:tc>
          <w:tcPr>
            <w:tcW w:w="670" w:type="pct"/>
            <w:gridSpan w:val="4"/>
            <w:shd w:val="clear" w:color="auto" w:fill="auto"/>
            <w:tcMar>
              <w:top w:w="15" w:type="dxa"/>
              <w:left w:w="54" w:type="dxa"/>
              <w:bottom w:w="0" w:type="dxa"/>
              <w:right w:w="54" w:type="dxa"/>
            </w:tcMar>
            <w:vAlign w:val="center"/>
          </w:tcPr>
          <w:p w14:paraId="56780190" w14:textId="77777777" w:rsidR="00E72137" w:rsidRPr="00E40A38" w:rsidRDefault="00E72137" w:rsidP="00EF1C29">
            <w:pPr>
              <w:pStyle w:val="TableText"/>
              <w:keepLines/>
              <w:rPr>
                <w:lang w:eastAsia="en-AU"/>
              </w:rPr>
            </w:pPr>
            <w:r w:rsidRPr="00E40A38">
              <w:rPr>
                <w:lang w:eastAsia="en-AU"/>
              </w:rPr>
              <w:t>96%</w:t>
            </w:r>
          </w:p>
        </w:tc>
        <w:tc>
          <w:tcPr>
            <w:tcW w:w="670" w:type="pct"/>
            <w:shd w:val="clear" w:color="auto" w:fill="auto"/>
            <w:tcMar>
              <w:top w:w="15" w:type="dxa"/>
              <w:left w:w="54" w:type="dxa"/>
              <w:bottom w:w="0" w:type="dxa"/>
              <w:right w:w="54" w:type="dxa"/>
            </w:tcMar>
            <w:vAlign w:val="center"/>
          </w:tcPr>
          <w:p w14:paraId="54E0E60D" w14:textId="77777777" w:rsidR="00E72137" w:rsidRPr="00E40A38" w:rsidRDefault="00E72137" w:rsidP="00EF1C29">
            <w:pPr>
              <w:pStyle w:val="TableText"/>
              <w:keepLines/>
              <w:rPr>
                <w:lang w:eastAsia="en-AU"/>
              </w:rPr>
            </w:pPr>
            <w:r w:rsidRPr="00E40A38">
              <w:rPr>
                <w:lang w:eastAsia="en-AU"/>
              </w:rPr>
              <w:t>96%</w:t>
            </w:r>
          </w:p>
        </w:tc>
      </w:tr>
      <w:tr w:rsidR="00302AC7" w:rsidRPr="00E40A38" w14:paraId="3ED0AA2A" w14:textId="77777777" w:rsidTr="00302AC7">
        <w:trPr>
          <w:trHeight w:val="544"/>
        </w:trPr>
        <w:tc>
          <w:tcPr>
            <w:tcW w:w="1019" w:type="pct"/>
            <w:shd w:val="clear" w:color="auto" w:fill="auto"/>
            <w:tcMar>
              <w:top w:w="15" w:type="dxa"/>
              <w:left w:w="54" w:type="dxa"/>
              <w:bottom w:w="0" w:type="dxa"/>
              <w:right w:w="54" w:type="dxa"/>
            </w:tcMar>
            <w:vAlign w:val="center"/>
            <w:hideMark/>
          </w:tcPr>
          <w:p w14:paraId="6A27583E" w14:textId="77777777" w:rsidR="00E72137" w:rsidRPr="00E40A38" w:rsidRDefault="00E72137" w:rsidP="00EF1C29">
            <w:pPr>
              <w:pStyle w:val="TableText"/>
              <w:keepLines/>
              <w:rPr>
                <w:lang w:eastAsia="en-AU"/>
              </w:rPr>
            </w:pPr>
            <w:r w:rsidRPr="00E40A38">
              <w:rPr>
                <w:lang w:val="en-US" w:eastAsia="en-AU"/>
              </w:rPr>
              <w:t>95% CI</w:t>
            </w:r>
          </w:p>
        </w:tc>
        <w:tc>
          <w:tcPr>
            <w:tcW w:w="629" w:type="pct"/>
            <w:gridSpan w:val="2"/>
            <w:shd w:val="clear" w:color="auto" w:fill="auto"/>
            <w:tcMar>
              <w:top w:w="15" w:type="dxa"/>
              <w:left w:w="54" w:type="dxa"/>
              <w:bottom w:w="0" w:type="dxa"/>
              <w:right w:w="54" w:type="dxa"/>
            </w:tcMar>
            <w:vAlign w:val="center"/>
            <w:hideMark/>
          </w:tcPr>
          <w:p w14:paraId="02712429" w14:textId="77777777" w:rsidR="00E72137" w:rsidRPr="00E40A38" w:rsidRDefault="00E72137" w:rsidP="00EF1C29">
            <w:pPr>
              <w:pStyle w:val="TableText"/>
              <w:keepLines/>
              <w:rPr>
                <w:lang w:eastAsia="en-AU"/>
              </w:rPr>
            </w:pPr>
            <w:r w:rsidRPr="00E40A38">
              <w:rPr>
                <w:lang w:val="en-US" w:eastAsia="en-AU"/>
              </w:rPr>
              <w:t>-</w:t>
            </w:r>
          </w:p>
        </w:tc>
        <w:tc>
          <w:tcPr>
            <w:tcW w:w="670" w:type="pct"/>
            <w:shd w:val="clear" w:color="auto" w:fill="auto"/>
            <w:tcMar>
              <w:top w:w="15" w:type="dxa"/>
              <w:left w:w="54" w:type="dxa"/>
              <w:bottom w:w="0" w:type="dxa"/>
              <w:right w:w="54" w:type="dxa"/>
            </w:tcMar>
            <w:vAlign w:val="center"/>
            <w:hideMark/>
          </w:tcPr>
          <w:p w14:paraId="4984E002" w14:textId="77777777" w:rsidR="00E72137" w:rsidRPr="00E40A38" w:rsidRDefault="00E72137" w:rsidP="00EF1C29">
            <w:pPr>
              <w:pStyle w:val="TableText"/>
              <w:keepLines/>
              <w:rPr>
                <w:lang w:eastAsia="en-AU"/>
              </w:rPr>
            </w:pPr>
            <w:r w:rsidRPr="00E40A38">
              <w:rPr>
                <w:lang w:val="en-US" w:eastAsia="en-AU"/>
              </w:rPr>
              <w:t>-283,582,</w:t>
            </w:r>
            <w:r w:rsidRPr="00E40A38">
              <w:rPr>
                <w:lang w:val="en-US" w:eastAsia="en-AU"/>
              </w:rPr>
              <w:br/>
              <w:t>-205,270</w:t>
            </w:r>
          </w:p>
        </w:tc>
        <w:tc>
          <w:tcPr>
            <w:tcW w:w="670" w:type="pct"/>
            <w:shd w:val="clear" w:color="auto" w:fill="auto"/>
            <w:tcMar>
              <w:top w:w="15" w:type="dxa"/>
              <w:left w:w="54" w:type="dxa"/>
              <w:bottom w:w="0" w:type="dxa"/>
              <w:right w:w="54" w:type="dxa"/>
            </w:tcMar>
            <w:vAlign w:val="center"/>
            <w:hideMark/>
          </w:tcPr>
          <w:p w14:paraId="09927F87" w14:textId="77777777" w:rsidR="00E72137" w:rsidRPr="00E40A38" w:rsidRDefault="00E72137" w:rsidP="00EF1C29">
            <w:pPr>
              <w:pStyle w:val="TableText"/>
              <w:keepLines/>
              <w:rPr>
                <w:lang w:eastAsia="en-AU"/>
              </w:rPr>
            </w:pPr>
            <w:r w:rsidRPr="00E40A38">
              <w:rPr>
                <w:lang w:val="en-US" w:eastAsia="en-AU"/>
              </w:rPr>
              <w:t>-291,155,</w:t>
            </w:r>
            <w:r w:rsidRPr="00E40A38">
              <w:rPr>
                <w:lang w:val="en-US" w:eastAsia="en-AU"/>
              </w:rPr>
              <w:br/>
              <w:t>-206,507</w:t>
            </w:r>
          </w:p>
        </w:tc>
        <w:tc>
          <w:tcPr>
            <w:tcW w:w="670" w:type="pct"/>
            <w:gridSpan w:val="2"/>
            <w:shd w:val="clear" w:color="auto" w:fill="auto"/>
            <w:tcMar>
              <w:top w:w="15" w:type="dxa"/>
              <w:left w:w="54" w:type="dxa"/>
              <w:bottom w:w="0" w:type="dxa"/>
              <w:right w:w="54" w:type="dxa"/>
            </w:tcMar>
            <w:vAlign w:val="center"/>
            <w:hideMark/>
          </w:tcPr>
          <w:p w14:paraId="54331D82" w14:textId="77777777" w:rsidR="00E72137" w:rsidRPr="00E40A38" w:rsidRDefault="00E72137" w:rsidP="00EF1C29">
            <w:pPr>
              <w:pStyle w:val="TableText"/>
              <w:keepLines/>
              <w:rPr>
                <w:lang w:eastAsia="en-AU"/>
              </w:rPr>
            </w:pPr>
            <w:r w:rsidRPr="00E40A38">
              <w:rPr>
                <w:lang w:val="en-US" w:eastAsia="en-AU"/>
              </w:rPr>
              <w:t>-290,660,</w:t>
            </w:r>
            <w:r w:rsidRPr="00E40A38">
              <w:rPr>
                <w:lang w:val="en-US" w:eastAsia="en-AU"/>
              </w:rPr>
              <w:br/>
              <w:t>-206,233</w:t>
            </w:r>
          </w:p>
        </w:tc>
        <w:tc>
          <w:tcPr>
            <w:tcW w:w="670" w:type="pct"/>
            <w:gridSpan w:val="4"/>
            <w:shd w:val="clear" w:color="auto" w:fill="auto"/>
            <w:tcMar>
              <w:top w:w="15" w:type="dxa"/>
              <w:left w:w="54" w:type="dxa"/>
              <w:bottom w:w="0" w:type="dxa"/>
              <w:right w:w="54" w:type="dxa"/>
            </w:tcMar>
            <w:vAlign w:val="center"/>
          </w:tcPr>
          <w:p w14:paraId="3D19ADCE" w14:textId="0EC63529" w:rsidR="00E72137" w:rsidRPr="00E40A38" w:rsidRDefault="00E72137" w:rsidP="00EF1C29">
            <w:pPr>
              <w:pStyle w:val="TableText"/>
              <w:keepLines/>
              <w:rPr>
                <w:lang w:eastAsia="en-AU"/>
              </w:rPr>
            </w:pPr>
            <w:r w:rsidRPr="00E40A38">
              <w:rPr>
                <w:lang w:eastAsia="en-AU"/>
              </w:rPr>
              <w:t>-288,997,</w:t>
            </w:r>
            <w:r w:rsidR="00191CB4" w:rsidRPr="00E40A38">
              <w:rPr>
                <w:lang w:eastAsia="en-AU"/>
              </w:rPr>
              <w:br/>
            </w:r>
            <w:r w:rsidRPr="00E40A38">
              <w:rPr>
                <w:lang w:eastAsia="en-AU"/>
              </w:rPr>
              <w:t>-206,250</w:t>
            </w:r>
          </w:p>
        </w:tc>
        <w:tc>
          <w:tcPr>
            <w:tcW w:w="670" w:type="pct"/>
            <w:shd w:val="clear" w:color="auto" w:fill="auto"/>
            <w:tcMar>
              <w:top w:w="15" w:type="dxa"/>
              <w:left w:w="54" w:type="dxa"/>
              <w:bottom w:w="0" w:type="dxa"/>
              <w:right w:w="54" w:type="dxa"/>
            </w:tcMar>
            <w:vAlign w:val="center"/>
          </w:tcPr>
          <w:p w14:paraId="79B8BA51" w14:textId="2B7A2AB3" w:rsidR="00E72137" w:rsidRPr="00E40A38" w:rsidRDefault="00E72137" w:rsidP="00EF1C29">
            <w:pPr>
              <w:pStyle w:val="TableText"/>
              <w:keepLines/>
              <w:rPr>
                <w:lang w:eastAsia="en-AU"/>
              </w:rPr>
            </w:pPr>
            <w:r w:rsidRPr="00E40A38">
              <w:rPr>
                <w:lang w:eastAsia="en-AU"/>
              </w:rPr>
              <w:t xml:space="preserve">-287,820, </w:t>
            </w:r>
            <w:r w:rsidR="00191CB4" w:rsidRPr="00E40A38">
              <w:rPr>
                <w:lang w:eastAsia="en-AU"/>
              </w:rPr>
              <w:br/>
            </w:r>
            <w:r w:rsidRPr="00E40A38">
              <w:rPr>
                <w:lang w:eastAsia="en-AU"/>
              </w:rPr>
              <w:t>-205,706</w:t>
            </w:r>
          </w:p>
        </w:tc>
      </w:tr>
      <w:tr w:rsidR="00302AC7" w:rsidRPr="00E40A38" w14:paraId="39C0B0FA" w14:textId="77777777" w:rsidTr="00302AC7">
        <w:trPr>
          <w:trHeight w:val="55"/>
        </w:trPr>
        <w:tc>
          <w:tcPr>
            <w:tcW w:w="1019" w:type="pct"/>
            <w:shd w:val="clear" w:color="auto" w:fill="auto"/>
            <w:tcMar>
              <w:top w:w="15" w:type="dxa"/>
              <w:left w:w="54" w:type="dxa"/>
              <w:bottom w:w="0" w:type="dxa"/>
              <w:right w:w="54" w:type="dxa"/>
            </w:tcMar>
            <w:vAlign w:val="center"/>
            <w:hideMark/>
          </w:tcPr>
          <w:p w14:paraId="661CE718" w14:textId="77777777" w:rsidR="00E72137" w:rsidRPr="00E40A38" w:rsidRDefault="00E72137" w:rsidP="00EF1C29">
            <w:pPr>
              <w:pStyle w:val="TableText"/>
              <w:keepLines/>
              <w:rPr>
                <w:lang w:eastAsia="en-AU"/>
              </w:rPr>
            </w:pPr>
            <w:r w:rsidRPr="00E40A38">
              <w:rPr>
                <w:lang w:val="en-US" w:eastAsia="en-AU"/>
              </w:rPr>
              <w:t>p-value</w:t>
            </w:r>
          </w:p>
        </w:tc>
        <w:tc>
          <w:tcPr>
            <w:tcW w:w="629" w:type="pct"/>
            <w:gridSpan w:val="2"/>
            <w:shd w:val="clear" w:color="auto" w:fill="auto"/>
            <w:tcMar>
              <w:top w:w="15" w:type="dxa"/>
              <w:left w:w="54" w:type="dxa"/>
              <w:bottom w:w="0" w:type="dxa"/>
              <w:right w:w="54" w:type="dxa"/>
            </w:tcMar>
            <w:vAlign w:val="center"/>
            <w:hideMark/>
          </w:tcPr>
          <w:p w14:paraId="7DDA7BC0" w14:textId="77777777" w:rsidR="00E72137" w:rsidRPr="00E40A38" w:rsidRDefault="00E72137" w:rsidP="00EF1C29">
            <w:pPr>
              <w:pStyle w:val="TableText"/>
              <w:keepLines/>
              <w:rPr>
                <w:lang w:eastAsia="en-AU"/>
              </w:rPr>
            </w:pPr>
            <w:r w:rsidRPr="00E40A38">
              <w:rPr>
                <w:lang w:val="en-US" w:eastAsia="en-AU"/>
              </w:rPr>
              <w:t>-</w:t>
            </w:r>
          </w:p>
        </w:tc>
        <w:tc>
          <w:tcPr>
            <w:tcW w:w="670" w:type="pct"/>
            <w:shd w:val="clear" w:color="auto" w:fill="auto"/>
            <w:tcMar>
              <w:top w:w="15" w:type="dxa"/>
              <w:left w:w="54" w:type="dxa"/>
              <w:bottom w:w="0" w:type="dxa"/>
              <w:right w:w="54" w:type="dxa"/>
            </w:tcMar>
            <w:vAlign w:val="center"/>
            <w:hideMark/>
          </w:tcPr>
          <w:p w14:paraId="41CA7481" w14:textId="77777777" w:rsidR="00E72137" w:rsidRPr="00E40A38" w:rsidRDefault="00E72137" w:rsidP="00EF1C29">
            <w:pPr>
              <w:pStyle w:val="TableText"/>
              <w:keepLines/>
              <w:rPr>
                <w:lang w:eastAsia="en-AU"/>
              </w:rPr>
            </w:pPr>
            <w:r w:rsidRPr="00E40A38">
              <w:rPr>
                <w:lang w:val="en-US" w:eastAsia="en-AU"/>
              </w:rPr>
              <w:t>&lt; 0.0001</w:t>
            </w:r>
          </w:p>
        </w:tc>
        <w:tc>
          <w:tcPr>
            <w:tcW w:w="670" w:type="pct"/>
            <w:shd w:val="clear" w:color="auto" w:fill="auto"/>
            <w:tcMar>
              <w:top w:w="15" w:type="dxa"/>
              <w:left w:w="54" w:type="dxa"/>
              <w:bottom w:w="0" w:type="dxa"/>
              <w:right w:w="54" w:type="dxa"/>
            </w:tcMar>
            <w:vAlign w:val="center"/>
            <w:hideMark/>
          </w:tcPr>
          <w:p w14:paraId="0EE4472B" w14:textId="77777777" w:rsidR="00E72137" w:rsidRPr="00E40A38" w:rsidRDefault="00E72137" w:rsidP="00EF1C29">
            <w:pPr>
              <w:pStyle w:val="TableText"/>
              <w:keepLines/>
              <w:rPr>
                <w:lang w:eastAsia="en-AU"/>
              </w:rPr>
            </w:pPr>
            <w:r w:rsidRPr="00E40A38">
              <w:rPr>
                <w:lang w:val="en-US" w:eastAsia="en-AU"/>
              </w:rPr>
              <w:t>&lt; 0.0001</w:t>
            </w:r>
          </w:p>
        </w:tc>
        <w:tc>
          <w:tcPr>
            <w:tcW w:w="670" w:type="pct"/>
            <w:gridSpan w:val="2"/>
            <w:shd w:val="clear" w:color="auto" w:fill="auto"/>
            <w:tcMar>
              <w:top w:w="15" w:type="dxa"/>
              <w:left w:w="54" w:type="dxa"/>
              <w:bottom w:w="0" w:type="dxa"/>
              <w:right w:w="54" w:type="dxa"/>
            </w:tcMar>
            <w:vAlign w:val="center"/>
            <w:hideMark/>
          </w:tcPr>
          <w:p w14:paraId="668AE8FA" w14:textId="77777777" w:rsidR="00E72137" w:rsidRPr="00E40A38" w:rsidRDefault="00E72137" w:rsidP="00EF1C29">
            <w:pPr>
              <w:pStyle w:val="TableText"/>
              <w:keepLines/>
              <w:rPr>
                <w:lang w:eastAsia="en-AU"/>
              </w:rPr>
            </w:pPr>
            <w:r w:rsidRPr="00E40A38">
              <w:rPr>
                <w:lang w:val="en-US" w:eastAsia="en-AU"/>
              </w:rPr>
              <w:t>&lt; 0.0001</w:t>
            </w:r>
          </w:p>
        </w:tc>
        <w:tc>
          <w:tcPr>
            <w:tcW w:w="670" w:type="pct"/>
            <w:gridSpan w:val="4"/>
            <w:shd w:val="clear" w:color="auto" w:fill="auto"/>
            <w:tcMar>
              <w:top w:w="15" w:type="dxa"/>
              <w:left w:w="54" w:type="dxa"/>
              <w:bottom w:w="0" w:type="dxa"/>
              <w:right w:w="54" w:type="dxa"/>
            </w:tcMar>
            <w:vAlign w:val="center"/>
            <w:hideMark/>
          </w:tcPr>
          <w:p w14:paraId="7A18AD09" w14:textId="3A48FBF7" w:rsidR="00E72137" w:rsidRPr="00E40A38" w:rsidRDefault="00E72137" w:rsidP="00EF1C29">
            <w:pPr>
              <w:pStyle w:val="TableText"/>
              <w:keepLines/>
              <w:rPr>
                <w:lang w:eastAsia="en-AU"/>
              </w:rPr>
            </w:pPr>
            <w:r w:rsidRPr="00E40A38">
              <w:rPr>
                <w:lang w:val="en-GB" w:eastAsia="en-AU"/>
              </w:rPr>
              <w:t>&lt;</w:t>
            </w:r>
            <w:r w:rsidR="005D5063" w:rsidRPr="00E40A38">
              <w:rPr>
                <w:lang w:val="en-GB" w:eastAsia="en-AU"/>
              </w:rPr>
              <w:t> </w:t>
            </w:r>
            <w:r w:rsidRPr="00E40A38">
              <w:rPr>
                <w:lang w:val="en-GB" w:eastAsia="en-AU"/>
              </w:rPr>
              <w:t>0.0001</w:t>
            </w:r>
          </w:p>
        </w:tc>
        <w:tc>
          <w:tcPr>
            <w:tcW w:w="670" w:type="pct"/>
            <w:shd w:val="clear" w:color="auto" w:fill="auto"/>
            <w:tcMar>
              <w:top w:w="15" w:type="dxa"/>
              <w:left w:w="54" w:type="dxa"/>
              <w:bottom w:w="0" w:type="dxa"/>
              <w:right w:w="54" w:type="dxa"/>
            </w:tcMar>
            <w:vAlign w:val="center"/>
          </w:tcPr>
          <w:p w14:paraId="1FB339E4" w14:textId="0BFBCE7E" w:rsidR="00E72137" w:rsidRPr="00E40A38" w:rsidRDefault="00E72137" w:rsidP="00EF1C29">
            <w:pPr>
              <w:pStyle w:val="TableText"/>
              <w:keepLines/>
              <w:rPr>
                <w:lang w:eastAsia="en-AU"/>
              </w:rPr>
            </w:pPr>
            <w:r w:rsidRPr="00E40A38">
              <w:rPr>
                <w:lang w:val="en-GB" w:eastAsia="en-AU"/>
              </w:rPr>
              <w:t>&lt;</w:t>
            </w:r>
            <w:r w:rsidR="005D5063" w:rsidRPr="00E40A38">
              <w:rPr>
                <w:lang w:val="en-GB" w:eastAsia="en-AU"/>
              </w:rPr>
              <w:t> </w:t>
            </w:r>
            <w:r w:rsidRPr="00E40A38">
              <w:rPr>
                <w:lang w:val="en-GB" w:eastAsia="en-AU"/>
              </w:rPr>
              <w:t>0.0001</w:t>
            </w:r>
          </w:p>
        </w:tc>
      </w:tr>
    </w:tbl>
    <w:p w14:paraId="4DE68556" w14:textId="7535F87A" w:rsidR="00EE0028" w:rsidRPr="00E40A38" w:rsidRDefault="00686319" w:rsidP="00EF1C29">
      <w:pPr>
        <w:pStyle w:val="CommentaryTablenotes"/>
        <w:keepLines/>
        <w:rPr>
          <w:color w:val="auto"/>
        </w:rPr>
      </w:pPr>
      <w:r w:rsidRPr="00E40A38">
        <w:rPr>
          <w:color w:val="auto"/>
        </w:rPr>
        <w:t xml:space="preserve">CI = confidence interval; </w:t>
      </w:r>
      <w:r w:rsidR="00EE0028" w:rsidRPr="00E40A38">
        <w:rPr>
          <w:color w:val="auto"/>
        </w:rPr>
        <w:t xml:space="preserve">FIX = </w:t>
      </w:r>
      <w:r w:rsidR="00212302">
        <w:rPr>
          <w:color w:val="auto"/>
        </w:rPr>
        <w:t>f</w:t>
      </w:r>
      <w:r w:rsidR="00EE0028" w:rsidRPr="00E40A38">
        <w:rPr>
          <w:color w:val="auto"/>
        </w:rPr>
        <w:t>actor IX</w:t>
      </w:r>
      <w:r w:rsidR="0047330A" w:rsidRPr="00E40A38">
        <w:rPr>
          <w:color w:val="auto"/>
        </w:rPr>
        <w:t xml:space="preserve">; </w:t>
      </w:r>
      <w:r w:rsidR="00772C0C" w:rsidRPr="00E40A38">
        <w:rPr>
          <w:color w:val="auto"/>
        </w:rPr>
        <w:t xml:space="preserve">IU= international units; </w:t>
      </w:r>
      <w:r w:rsidR="00AE5607" w:rsidRPr="00E40A38">
        <w:rPr>
          <w:color w:val="auto"/>
        </w:rPr>
        <w:t>SD = standard deviation; SE = standard error</w:t>
      </w:r>
      <w:r w:rsidR="000F1129" w:rsidRPr="00E40A38">
        <w:rPr>
          <w:color w:val="auto"/>
        </w:rPr>
        <w:t>.</w:t>
      </w:r>
    </w:p>
    <w:p w14:paraId="305235CC" w14:textId="0380B975" w:rsidR="00E72137" w:rsidRPr="00E40A38" w:rsidRDefault="00EE0028" w:rsidP="00EF1C29">
      <w:pPr>
        <w:pStyle w:val="CommentaryTablenotes"/>
        <w:keepLines/>
        <w:rPr>
          <w:color w:val="auto"/>
        </w:rPr>
      </w:pPr>
      <w:r w:rsidRPr="00E40A38">
        <w:rPr>
          <w:color w:val="auto"/>
        </w:rPr>
        <w:t xml:space="preserve">a </w:t>
      </w:r>
      <w:r w:rsidR="00E72137" w:rsidRPr="00E40A38">
        <w:rPr>
          <w:color w:val="auto"/>
        </w:rPr>
        <w:t xml:space="preserve">One subject died prior to </w:t>
      </w:r>
      <w:r w:rsidR="000F1129" w:rsidRPr="00E40A38">
        <w:rPr>
          <w:color w:val="auto"/>
        </w:rPr>
        <w:t>M</w:t>
      </w:r>
      <w:r w:rsidR="00E72137" w:rsidRPr="00E40A38">
        <w:rPr>
          <w:color w:val="auto"/>
        </w:rPr>
        <w:t>onth 19</w:t>
      </w:r>
      <w:r w:rsidR="0047330A" w:rsidRPr="00E40A38">
        <w:rPr>
          <w:color w:val="auto"/>
        </w:rPr>
        <w:t>.</w:t>
      </w:r>
    </w:p>
    <w:p w14:paraId="4841D3A5" w14:textId="77D2E81F" w:rsidR="00104133" w:rsidRPr="00E40A38" w:rsidRDefault="00E72137" w:rsidP="000B1EB0">
      <w:pPr>
        <w:pStyle w:val="CommentaryTablenotes"/>
        <w:rPr>
          <w:color w:val="auto"/>
        </w:rPr>
      </w:pPr>
      <w:r w:rsidRPr="00E40A38">
        <w:rPr>
          <w:color w:val="auto"/>
        </w:rPr>
        <w:t xml:space="preserve">Source: </w:t>
      </w:r>
      <w:r w:rsidRPr="00E40A38" w:rsidDel="00AE2DBF">
        <w:rPr>
          <w:color w:val="auto"/>
        </w:rPr>
        <w:t xml:space="preserve">Table </w:t>
      </w:r>
      <w:r w:rsidR="00AE2DBF" w:rsidRPr="00E40A38">
        <w:rPr>
          <w:color w:val="auto"/>
        </w:rPr>
        <w:t>2-24 of MSAC 1728 ADAR</w:t>
      </w:r>
      <w:r w:rsidR="00933B56" w:rsidRPr="00E40A38">
        <w:rPr>
          <w:color w:val="auto"/>
        </w:rPr>
        <w:t>.</w:t>
      </w:r>
    </w:p>
    <w:p w14:paraId="7D71B7CC" w14:textId="753C9548" w:rsidR="00161BC7" w:rsidRPr="0045541D" w:rsidRDefault="00161BC7" w:rsidP="00161BC7">
      <w:r w:rsidRPr="0045541D">
        <w:t xml:space="preserve">Examination of the HOPE-B patient-level data </w:t>
      </w:r>
      <w:r w:rsidR="00574ACE" w:rsidRPr="0045541D">
        <w:t>showed</w:t>
      </w:r>
      <w:r w:rsidRPr="0045541D">
        <w:t xml:space="preserve"> the mean value masked variability in patient response (</w:t>
      </w:r>
      <w:r w:rsidR="00A92105" w:rsidRPr="0045541D">
        <w:fldChar w:fldCharType="begin"/>
      </w:r>
      <w:r w:rsidR="00A92105" w:rsidRPr="0045541D">
        <w:instrText xml:space="preserve"> REF _Ref164238352 \h </w:instrText>
      </w:r>
      <w:r w:rsidR="00474734" w:rsidRPr="0045541D">
        <w:instrText xml:space="preserve"> \* MERGEFORMAT </w:instrText>
      </w:r>
      <w:r w:rsidR="00A92105" w:rsidRPr="0045541D">
        <w:fldChar w:fldCharType="separate"/>
      </w:r>
      <w:r w:rsidR="007207A8" w:rsidRPr="0045541D">
        <w:t>Figure 3</w:t>
      </w:r>
      <w:r w:rsidR="00A92105" w:rsidRPr="0045541D">
        <w:fldChar w:fldCharType="end"/>
      </w:r>
      <w:r w:rsidRPr="0045541D">
        <w:t xml:space="preserve">). </w:t>
      </w:r>
    </w:p>
    <w:p w14:paraId="041D4FF9" w14:textId="321DF0AC" w:rsidR="00406EE0" w:rsidRPr="0045541D" w:rsidRDefault="00F70D85" w:rsidP="00406EE0">
      <w:pPr>
        <w:pStyle w:val="Caption"/>
      </w:pPr>
      <w:bookmarkStart w:id="34" w:name="_Ref164238352"/>
      <w:bookmarkStart w:id="35" w:name="_Ref162969196"/>
      <w:r w:rsidRPr="0045541D">
        <w:rPr>
          <w:b w:val="0"/>
          <w:bCs w:val="0"/>
          <w:noProof/>
        </w:rPr>
        <mc:AlternateContent>
          <mc:Choice Requires="wps">
            <w:drawing>
              <wp:anchor distT="45720" distB="45720" distL="114300" distR="114300" simplePos="0" relativeHeight="251658241" behindDoc="0" locked="0" layoutInCell="1" allowOverlap="1" wp14:anchorId="6800FDE6" wp14:editId="5A8D2D37">
                <wp:simplePos x="0" y="0"/>
                <wp:positionH relativeFrom="column">
                  <wp:posOffset>0</wp:posOffset>
                </wp:positionH>
                <wp:positionV relativeFrom="paragraph">
                  <wp:posOffset>479839</wp:posOffset>
                </wp:positionV>
                <wp:extent cx="5699760" cy="270510"/>
                <wp:effectExtent l="0" t="0" r="15240" b="15240"/>
                <wp:wrapSquare wrapText="bothSides"/>
                <wp:docPr id="91223840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270510"/>
                        </a:xfrm>
                        <a:prstGeom prst="rect">
                          <a:avLst/>
                        </a:prstGeom>
                        <a:solidFill>
                          <a:srgbClr val="FFFFFF"/>
                        </a:solidFill>
                        <a:ln w="9525">
                          <a:solidFill>
                            <a:srgbClr val="000000"/>
                          </a:solidFill>
                          <a:miter lim="800000"/>
                          <a:headEnd/>
                          <a:tailEnd/>
                        </a:ln>
                      </wps:spPr>
                      <wps:txbx>
                        <w:txbxContent>
                          <w:p w14:paraId="06E7B5AE" w14:textId="77777777" w:rsidR="00F70D85" w:rsidRPr="0045541D" w:rsidRDefault="00F70D85" w:rsidP="00F70D85">
                            <w:pPr>
                              <w:pStyle w:val="CommentaryTablenotes"/>
                              <w:rPr>
                                <w:b/>
                                <w:bCs/>
                                <w:color w:val="auto"/>
                                <w:sz w:val="20"/>
                              </w:rPr>
                            </w:pPr>
                            <w:r w:rsidRPr="0045541D">
                              <w:rPr>
                                <w:b/>
                                <w:bCs/>
                                <w:color w:val="auto"/>
                                <w:sz w:val="20"/>
                              </w:rPr>
                              <w:t xml:space="preserve">Figure </w:t>
                            </w:r>
                            <w:proofErr w:type="gramStart"/>
                            <w:r w:rsidRPr="0045541D">
                              <w:rPr>
                                <w:b/>
                                <w:bCs/>
                                <w:color w:val="auto"/>
                                <w:sz w:val="20"/>
                              </w:rPr>
                              <w:t>redacted</w:t>
                            </w:r>
                            <w:proofErr w:type="gramEnd"/>
                          </w:p>
                          <w:p w14:paraId="5B618D5B" w14:textId="77777777" w:rsidR="004A7809" w:rsidRDefault="004A7809" w:rsidP="004A78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00FDE6" id="_x0000_s1027" type="#_x0000_t202" alt="&quot;&quot;" style="position:absolute;left:0;text-align:left;margin-left:0;margin-top:37.8pt;width:448.8pt;height:21.3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">
                <v:textbox>
                  <w:txbxContent>
                    <w:p w14:paraId="06E7B5AE" w14:textId="77777777" w:rsidR="00F70D85" w:rsidRPr="0045541D" w:rsidRDefault="00F70D85" w:rsidP="00F70D85">
                      <w:pPr>
                        <w:pStyle w:val="CommentaryTablenotes"/>
                        <w:rPr>
                          <w:b/>
                          <w:bCs/>
                          <w:color w:val="auto"/>
                          <w:sz w:val="20"/>
                        </w:rPr>
                      </w:pPr>
                      <w:r w:rsidRPr="0045541D">
                        <w:rPr>
                          <w:b/>
                          <w:bCs/>
                          <w:color w:val="auto"/>
                          <w:sz w:val="20"/>
                        </w:rPr>
                        <w:t xml:space="preserve">Figure </w:t>
                      </w:r>
                      <w:proofErr w:type="gramStart"/>
                      <w:r w:rsidRPr="0045541D">
                        <w:rPr>
                          <w:b/>
                          <w:bCs/>
                          <w:color w:val="auto"/>
                          <w:sz w:val="20"/>
                        </w:rPr>
                        <w:t>redacted</w:t>
                      </w:r>
                      <w:proofErr w:type="gramEnd"/>
                    </w:p>
                    <w:p w14:paraId="5B618D5B" w14:textId="77777777" w:rsidR="004A7809" w:rsidRDefault="004A7809" w:rsidP="004A7809"/>
                  </w:txbxContent>
                </v:textbox>
                <w10:wrap type="square"/>
              </v:shape>
            </w:pict>
          </mc:Fallback>
        </mc:AlternateContent>
      </w:r>
      <w:r w:rsidR="00406EE0" w:rsidRPr="0045541D">
        <w:t>Figure </w:t>
      </w:r>
      <w:r w:rsidR="00CC66FD" w:rsidRPr="0045541D">
        <w:fldChar w:fldCharType="begin"/>
      </w:r>
      <w:r w:rsidR="00CC66FD" w:rsidRPr="0045541D">
        <w:instrText xml:space="preserve"> SEQ Figure \* ARABIC </w:instrText>
      </w:r>
      <w:r w:rsidR="00CC66FD" w:rsidRPr="0045541D">
        <w:fldChar w:fldCharType="separate"/>
      </w:r>
      <w:r w:rsidR="007207A8" w:rsidRPr="0045541D">
        <w:t>3</w:t>
      </w:r>
      <w:r w:rsidR="00CC66FD" w:rsidRPr="0045541D">
        <w:fldChar w:fldCharType="end"/>
      </w:r>
      <w:bookmarkEnd w:id="34"/>
      <w:r w:rsidR="00406EE0" w:rsidRPr="0045541D">
        <w:tab/>
        <w:t>Total FIX replacement use (total number of injections per patient) at 36 months – HOPE-B, excluding first 21 days post-treatment infusion (actual use; n=54)</w:t>
      </w:r>
      <w:bookmarkEnd w:id="35"/>
    </w:p>
    <w:p w14:paraId="5E50369D" w14:textId="40C28549" w:rsidR="00406EE0" w:rsidRPr="0045541D" w:rsidRDefault="00406EE0" w:rsidP="000B1EB0">
      <w:pPr>
        <w:pStyle w:val="CommentaryTablenotes"/>
        <w:rPr>
          <w:color w:val="auto"/>
        </w:rPr>
      </w:pPr>
      <w:r w:rsidRPr="0045541D">
        <w:rPr>
          <w:color w:val="auto"/>
        </w:rPr>
        <w:t xml:space="preserve">FIX = </w:t>
      </w:r>
      <w:r w:rsidR="00212302" w:rsidRPr="0045541D">
        <w:rPr>
          <w:color w:val="auto"/>
        </w:rPr>
        <w:t>f</w:t>
      </w:r>
      <w:r w:rsidRPr="0045541D">
        <w:rPr>
          <w:color w:val="auto"/>
        </w:rPr>
        <w:t xml:space="preserve">actor IX. </w:t>
      </w:r>
      <w:r w:rsidRPr="0045541D">
        <w:rPr>
          <w:color w:val="auto"/>
        </w:rPr>
        <w:br/>
        <w:t xml:space="preserve">Source: </w:t>
      </w:r>
      <w:r w:rsidR="00241566" w:rsidRPr="0045541D">
        <w:rPr>
          <w:color w:val="auto"/>
        </w:rPr>
        <w:t xml:space="preserve">Developed by the </w:t>
      </w:r>
      <w:r w:rsidR="009A633C" w:rsidRPr="0045541D">
        <w:rPr>
          <w:color w:val="auto"/>
        </w:rPr>
        <w:t>Commentary</w:t>
      </w:r>
      <w:r w:rsidR="00241566" w:rsidRPr="0045541D">
        <w:rPr>
          <w:color w:val="auto"/>
        </w:rPr>
        <w:t>,</w:t>
      </w:r>
      <w:r w:rsidR="009A633C" w:rsidRPr="0045541D">
        <w:rPr>
          <w:color w:val="auto"/>
        </w:rPr>
        <w:t xml:space="preserve"> Figure 6 of MSAC 1728 </w:t>
      </w:r>
      <w:proofErr w:type="spellStart"/>
      <w:r w:rsidR="009A633C" w:rsidRPr="0045541D">
        <w:rPr>
          <w:color w:val="auto"/>
        </w:rPr>
        <w:t>ADAR+in-line</w:t>
      </w:r>
      <w:proofErr w:type="spellEnd"/>
      <w:r w:rsidR="009A633C" w:rsidRPr="0045541D">
        <w:rPr>
          <w:color w:val="auto"/>
        </w:rPr>
        <w:t xml:space="preserve"> commentary.</w:t>
      </w:r>
    </w:p>
    <w:p w14:paraId="744C937F" w14:textId="64FD113D" w:rsidR="00A9633A" w:rsidRPr="0045541D" w:rsidRDefault="00A9633A" w:rsidP="00A9633A">
      <w:r w:rsidRPr="0045541D">
        <w:t xml:space="preserve">The commentary visualisation of total FIX replacement </w:t>
      </w:r>
      <w:proofErr w:type="gramStart"/>
      <w:r w:rsidRPr="0045541D">
        <w:t>use</w:t>
      </w:r>
      <w:proofErr w:type="gramEnd"/>
      <w:r w:rsidRPr="0045541D">
        <w:t xml:space="preserve"> at 36 months (</w:t>
      </w:r>
      <w:r w:rsidRPr="0045541D">
        <w:fldChar w:fldCharType="begin"/>
      </w:r>
      <w:r w:rsidRPr="0045541D">
        <w:instrText xml:space="preserve"> REF _Ref164238352 \h </w:instrText>
      </w:r>
      <w:r w:rsidR="00474734" w:rsidRPr="0045541D">
        <w:instrText xml:space="preserve"> \* MERGEFORMAT </w:instrText>
      </w:r>
      <w:r w:rsidRPr="0045541D">
        <w:fldChar w:fldCharType="separate"/>
      </w:r>
      <w:r w:rsidR="007207A8" w:rsidRPr="0045541D">
        <w:t>Figure 3</w:t>
      </w:r>
      <w:r w:rsidRPr="0045541D">
        <w:fldChar w:fldCharType="end"/>
      </w:r>
      <w:r w:rsidRPr="0045541D">
        <w:t>) showed the three patients with confirmed lack of efficacy at the top of the chart. The late emergent case (</w:t>
      </w:r>
      <w:r w:rsidR="00C332B9" w:rsidRPr="0045541D">
        <w:rPr>
          <w:b/>
          <w:bCs/>
        </w:rPr>
        <w:t>redacted</w:t>
      </w:r>
      <w:r w:rsidRPr="0045541D">
        <w:t>) was not so different from other patients with slightly lower FIX use (likely given the more recent onset resumption of prophylaxis). The patient fourth highest on the chart (</w:t>
      </w:r>
      <w:r w:rsidR="00C332B9" w:rsidRPr="0045541D">
        <w:rPr>
          <w:b/>
          <w:bCs/>
        </w:rPr>
        <w:t>redacted</w:t>
      </w:r>
      <w:r w:rsidRPr="0045541D">
        <w:t xml:space="preserve">), </w:t>
      </w:r>
      <w:r w:rsidR="00D4472D" w:rsidRPr="0045541D">
        <w:rPr>
          <w:b/>
          <w:bCs/>
        </w:rPr>
        <w:t>redacted</w:t>
      </w:r>
      <w:r w:rsidRPr="0045541D">
        <w:t xml:space="preserve"> and an average dose across the post-treatment period of </w:t>
      </w:r>
      <w:r w:rsidR="00D4472D" w:rsidRPr="0045541D">
        <w:rPr>
          <w:b/>
          <w:bCs/>
        </w:rPr>
        <w:t xml:space="preserve">redacted </w:t>
      </w:r>
      <w:r w:rsidRPr="0045541D">
        <w:t>IU/kg (</w:t>
      </w:r>
      <w:r w:rsidR="00D4472D" w:rsidRPr="0045541D">
        <w:rPr>
          <w:b/>
          <w:bCs/>
        </w:rPr>
        <w:t>redacted</w:t>
      </w:r>
      <w:r w:rsidRPr="0045541D">
        <w:t xml:space="preserve">). This patient shared most of the features in terms of bleeds and FIX use with patient </w:t>
      </w:r>
      <w:r w:rsidR="00C332B9" w:rsidRPr="0045541D">
        <w:rPr>
          <w:b/>
          <w:bCs/>
        </w:rPr>
        <w:t>redacted</w:t>
      </w:r>
      <w:r w:rsidRPr="0045541D">
        <w:t xml:space="preserve"> who had confirmed lack of efficacy.</w:t>
      </w:r>
    </w:p>
    <w:p w14:paraId="38C36A9F" w14:textId="03C19959" w:rsidR="00A9633A" w:rsidRPr="00E40A38" w:rsidRDefault="00A9633A" w:rsidP="00A9633A">
      <w:r w:rsidRPr="0045541D">
        <w:t xml:space="preserve">The applicant stated that after </w:t>
      </w:r>
      <w:r w:rsidR="004A7023" w:rsidRPr="0045541D">
        <w:t>Hemgenix</w:t>
      </w:r>
      <w:r w:rsidRPr="0045541D">
        <w:t xml:space="preserve"> treatment, 51/54 (94.4%) subjects in the HOPE-B patient cohort discontinued and remained free of standard of care continuous FIX prophylaxis from Day 21 to Month 36 post dose. The commentary noted that data</w:t>
      </w:r>
      <w:r w:rsidRPr="0045541D">
        <w:rPr>
          <w:rStyle w:val="CommentarytextChar"/>
          <w:color w:val="auto"/>
        </w:rPr>
        <w:t xml:space="preserve"> were not available in a format that allowed this claim to be confirmed, but aside from the</w:t>
      </w:r>
      <w:r w:rsidRPr="00E40A38">
        <w:rPr>
          <w:rStyle w:val="CommentarytextChar"/>
          <w:color w:val="auto"/>
        </w:rPr>
        <w:t xml:space="preserve"> three individuals confirmed to have lack of efficacy, this appears to be supported by the post-treatment FIX use data.</w:t>
      </w:r>
      <w:r w:rsidRPr="00E40A38">
        <w:rPr>
          <w:rStyle w:val="Commentarytextitalics-AGvoiceChar"/>
          <w:color w:val="auto"/>
        </w:rPr>
        <w:t xml:space="preserve"> </w:t>
      </w:r>
    </w:p>
    <w:p w14:paraId="7E18B8B4" w14:textId="74E79BFD" w:rsidR="00A40CA4" w:rsidRPr="00E40A38" w:rsidRDefault="00A40CA4" w:rsidP="00A40CA4">
      <w:pPr>
        <w:pStyle w:val="Heading4"/>
        <w:rPr>
          <w:rStyle w:val="Commentarytextitalics-AGvoiceChar"/>
          <w:i/>
          <w:iCs/>
          <w:color w:val="auto"/>
        </w:rPr>
      </w:pPr>
      <w:r w:rsidRPr="00E40A38">
        <w:rPr>
          <w:rStyle w:val="Commentarytextitalics-AGvoiceChar"/>
          <w:i/>
          <w:iCs/>
          <w:color w:val="auto"/>
        </w:rPr>
        <w:t>Health</w:t>
      </w:r>
      <w:r w:rsidR="00F561EE" w:rsidRPr="00E40A38">
        <w:rPr>
          <w:rStyle w:val="Commentarytextitalics-AGvoiceChar"/>
          <w:i/>
          <w:iCs/>
          <w:color w:val="auto"/>
        </w:rPr>
        <w:t>-</w:t>
      </w:r>
      <w:r w:rsidRPr="00E40A38">
        <w:rPr>
          <w:rStyle w:val="Commentarytextitalics-AGvoiceChar"/>
          <w:i/>
          <w:iCs/>
          <w:color w:val="auto"/>
        </w:rPr>
        <w:t>related quality of life</w:t>
      </w:r>
      <w:r w:rsidR="00420528" w:rsidRPr="00E40A38">
        <w:rPr>
          <w:rStyle w:val="Commentarytextitalics-AGvoiceChar"/>
          <w:i/>
          <w:iCs/>
          <w:color w:val="auto"/>
        </w:rPr>
        <w:t xml:space="preserve"> (</w:t>
      </w:r>
      <w:proofErr w:type="spellStart"/>
      <w:r w:rsidR="00420528" w:rsidRPr="00E40A38">
        <w:rPr>
          <w:rStyle w:val="Commentarytextitalics-AGvoiceChar"/>
          <w:i/>
          <w:iCs/>
          <w:color w:val="auto"/>
        </w:rPr>
        <w:t>HRQoL</w:t>
      </w:r>
      <w:proofErr w:type="spellEnd"/>
      <w:r w:rsidR="00420528" w:rsidRPr="00E40A38">
        <w:rPr>
          <w:rStyle w:val="Commentarytextitalics-AGvoiceChar"/>
          <w:i/>
          <w:iCs/>
          <w:color w:val="auto"/>
        </w:rPr>
        <w:t>)</w:t>
      </w:r>
    </w:p>
    <w:p w14:paraId="16C667A5" w14:textId="2485E873" w:rsidR="00671606" w:rsidRPr="00E40A38" w:rsidRDefault="00AA396D" w:rsidP="00671606">
      <w:r w:rsidRPr="00E40A38">
        <w:t>Pre- and post-treatment</w:t>
      </w:r>
      <w:r w:rsidR="00671606" w:rsidRPr="00E40A38">
        <w:t xml:space="preserve"> </w:t>
      </w:r>
      <w:proofErr w:type="spellStart"/>
      <w:r w:rsidR="000B74B8" w:rsidRPr="00E40A38">
        <w:t>EuroQol</w:t>
      </w:r>
      <w:proofErr w:type="spellEnd"/>
      <w:r w:rsidR="000B74B8" w:rsidRPr="00E40A38">
        <w:t xml:space="preserve"> </w:t>
      </w:r>
      <w:r w:rsidR="00BE6E2F" w:rsidRPr="00E40A38">
        <w:t xml:space="preserve">5-dimension </w:t>
      </w:r>
      <w:r w:rsidR="00B84C99" w:rsidRPr="00E40A38">
        <w:t>5</w:t>
      </w:r>
      <w:r w:rsidR="000B74B8" w:rsidRPr="00E40A38">
        <w:t xml:space="preserve"> level</w:t>
      </w:r>
      <w:r w:rsidR="00BE6E2F" w:rsidRPr="00E40A38">
        <w:t xml:space="preserve"> questionnaire </w:t>
      </w:r>
      <w:r w:rsidR="00B84C99" w:rsidRPr="00E40A38">
        <w:t>(</w:t>
      </w:r>
      <w:r w:rsidR="00671606" w:rsidRPr="00E40A38">
        <w:t>EQ-5D-5L</w:t>
      </w:r>
      <w:r w:rsidR="00B84C99" w:rsidRPr="00E40A38">
        <w:t>)</w:t>
      </w:r>
      <w:r w:rsidR="00671606" w:rsidRPr="00E40A38">
        <w:t xml:space="preserve"> results </w:t>
      </w:r>
      <w:r w:rsidRPr="00E40A38">
        <w:t xml:space="preserve">are presented </w:t>
      </w:r>
      <w:r w:rsidR="00671606" w:rsidRPr="00E40A38">
        <w:t xml:space="preserve">in </w:t>
      </w:r>
      <w:r w:rsidR="00745137" w:rsidRPr="00E40A38">
        <w:fldChar w:fldCharType="begin"/>
      </w:r>
      <w:r w:rsidR="00745137" w:rsidRPr="00E40A38">
        <w:instrText xml:space="preserve"> REF _Ref164253177 \h </w:instrText>
      </w:r>
      <w:r w:rsidR="00474734" w:rsidRPr="00E40A38">
        <w:instrText xml:space="preserve"> \* MERGEFORMAT </w:instrText>
      </w:r>
      <w:r w:rsidR="00745137" w:rsidRPr="00E40A38">
        <w:fldChar w:fldCharType="separate"/>
      </w:r>
      <w:r w:rsidR="007207A8" w:rsidRPr="00E40A38">
        <w:t>Table </w:t>
      </w:r>
      <w:r w:rsidR="007207A8">
        <w:t>7</w:t>
      </w:r>
      <w:r w:rsidR="00745137" w:rsidRPr="00E40A38">
        <w:fldChar w:fldCharType="end"/>
      </w:r>
      <w:r w:rsidR="00671606" w:rsidRPr="00E40A38">
        <w:t xml:space="preserve">. The </w:t>
      </w:r>
      <w:r w:rsidRPr="00E40A38">
        <w:t>c</w:t>
      </w:r>
      <w:r w:rsidR="00671606" w:rsidRPr="00E40A38">
        <w:t>ommentary noted a statistically significant difference was reported at the 24-month timepoint for the EQ-5D-5L (</w:t>
      </w:r>
      <w:r w:rsidR="00714542" w:rsidRPr="00E40A38">
        <w:t>least squares [</w:t>
      </w:r>
      <w:r w:rsidR="00671606" w:rsidRPr="00E40A38">
        <w:t>LS</w:t>
      </w:r>
      <w:r w:rsidR="00714542" w:rsidRPr="00E40A38">
        <w:t>]</w:t>
      </w:r>
      <w:r w:rsidR="00671606" w:rsidRPr="00E40A38">
        <w:t xml:space="preserve"> mean difference 0.0439 (</w:t>
      </w:r>
      <w:r w:rsidR="0096007A" w:rsidRPr="00E40A38">
        <w:t xml:space="preserve">standard error </w:t>
      </w:r>
      <w:r w:rsidR="003C3320" w:rsidRPr="00E40A38">
        <w:t>[</w:t>
      </w:r>
      <w:r w:rsidR="0096007A" w:rsidRPr="00E40A38">
        <w:t>SE</w:t>
      </w:r>
      <w:r w:rsidR="003C3320" w:rsidRPr="00E40A38">
        <w:t>]</w:t>
      </w:r>
      <w:r w:rsidR="0096007A" w:rsidRPr="00E40A38">
        <w:t xml:space="preserve"> </w:t>
      </w:r>
      <w:r w:rsidR="00671606" w:rsidRPr="00E40A38">
        <w:t>0.01919; 95% CI: 0.0054, 0.0823; p</w:t>
      </w:r>
      <w:r w:rsidR="0038443D" w:rsidRPr="00E40A38">
        <w:t>-</w:t>
      </w:r>
      <w:r w:rsidR="00671606" w:rsidRPr="00E40A38">
        <w:t xml:space="preserve">value 0.0132) (2-year CSR) but at no other timepoint. The ADAR </w:t>
      </w:r>
      <w:r w:rsidRPr="00E40A38">
        <w:t>did</w:t>
      </w:r>
      <w:r w:rsidR="00671606" w:rsidRPr="00E40A38">
        <w:t xml:space="preserve"> not specif</w:t>
      </w:r>
      <w:r w:rsidRPr="00E40A38">
        <w:t>y</w:t>
      </w:r>
      <w:r w:rsidR="00671606" w:rsidRPr="00E40A38">
        <w:t xml:space="preserve"> a minimally clinically important difference, however a value of 0.07 is reported in the literature </w:t>
      </w:r>
      <w:r w:rsidR="0023066C" w:rsidRPr="00E40A38">
        <w:t>and</w:t>
      </w:r>
      <w:r w:rsidR="00671606" w:rsidRPr="00E40A38">
        <w:t xml:space="preserve"> at no time point </w:t>
      </w:r>
      <w:r w:rsidR="0023066C" w:rsidRPr="00E40A38">
        <w:t>wa</w:t>
      </w:r>
      <w:r w:rsidR="00671606" w:rsidRPr="00E40A38">
        <w:t xml:space="preserve">s the difference in score greater than this value. </w:t>
      </w:r>
    </w:p>
    <w:p w14:paraId="5482E6BA" w14:textId="5335651A" w:rsidR="00671606" w:rsidRPr="00E40A38" w:rsidRDefault="00671606" w:rsidP="00671606">
      <w:pPr>
        <w:pStyle w:val="Caption"/>
        <w:rPr>
          <w:rFonts w:cstheme="minorHAnsi"/>
          <w:lang w:val="en-US"/>
        </w:rPr>
      </w:pPr>
      <w:bookmarkStart w:id="36" w:name="_Ref164253177"/>
      <w:r w:rsidRPr="00E40A38">
        <w:t>Table </w:t>
      </w:r>
      <w:r w:rsidR="00CC66FD">
        <w:fldChar w:fldCharType="begin"/>
      </w:r>
      <w:r w:rsidR="00CC66FD">
        <w:instrText xml:space="preserve"> SEQ Table \* ARABIC </w:instrText>
      </w:r>
      <w:r w:rsidR="00CC66FD">
        <w:fldChar w:fldCharType="separate"/>
      </w:r>
      <w:r w:rsidR="007207A8">
        <w:rPr>
          <w:noProof/>
        </w:rPr>
        <w:t>7</w:t>
      </w:r>
      <w:r w:rsidR="00CC66FD">
        <w:rPr>
          <w:noProof/>
        </w:rPr>
        <w:fldChar w:fldCharType="end"/>
      </w:r>
      <w:bookmarkEnd w:id="36"/>
      <w:r w:rsidRPr="00E40A38">
        <w:tab/>
        <w:t xml:space="preserve">EQ-5D-5L Index scores </w:t>
      </w:r>
      <w:r w:rsidRPr="00E40A38">
        <w:rPr>
          <w:rFonts w:cstheme="minorHAnsi"/>
          <w:lang w:val="en-US"/>
        </w:rPr>
        <w:t>(HOPE-B)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Caption w:val="EQ-5D-5L Index scores (HOPE-B)"/>
        <w:tblDescription w:val="Table showing the EQ-5D-5L Index scores (HOPE-B)"/>
      </w:tblPr>
      <w:tblGrid>
        <w:gridCol w:w="847"/>
        <w:gridCol w:w="1415"/>
        <w:gridCol w:w="1351"/>
        <w:gridCol w:w="1351"/>
        <w:gridCol w:w="278"/>
        <w:gridCol w:w="427"/>
        <w:gridCol w:w="426"/>
        <w:gridCol w:w="220"/>
        <w:gridCol w:w="1354"/>
        <w:gridCol w:w="1347"/>
      </w:tblGrid>
      <w:tr w:rsidR="0003521A" w:rsidRPr="00E40A38" w14:paraId="44837833" w14:textId="77777777" w:rsidTr="00BD614C">
        <w:trPr>
          <w:trHeight w:val="55"/>
        </w:trPr>
        <w:tc>
          <w:tcPr>
            <w:tcW w:w="470" w:type="pct"/>
            <w:tcBorders>
              <w:bottom w:val="nil"/>
            </w:tcBorders>
            <w:shd w:val="clear" w:color="auto" w:fill="auto"/>
            <w:tcMar>
              <w:top w:w="15" w:type="dxa"/>
              <w:left w:w="85" w:type="dxa"/>
              <w:bottom w:w="0" w:type="dxa"/>
              <w:right w:w="85" w:type="dxa"/>
            </w:tcMar>
            <w:vAlign w:val="center"/>
          </w:tcPr>
          <w:p w14:paraId="3CDA59D8" w14:textId="77777777" w:rsidR="00671606" w:rsidRPr="00E40A38" w:rsidRDefault="00671606">
            <w:pPr>
              <w:pStyle w:val="TableHeading0"/>
              <w:rPr>
                <w:lang w:val="en-US" w:eastAsia="en-AU"/>
              </w:rPr>
            </w:pPr>
          </w:p>
        </w:tc>
        <w:tc>
          <w:tcPr>
            <w:tcW w:w="785" w:type="pct"/>
            <w:tcBorders>
              <w:bottom w:val="nil"/>
            </w:tcBorders>
            <w:shd w:val="clear" w:color="auto" w:fill="auto"/>
            <w:tcMar>
              <w:left w:w="85" w:type="dxa"/>
              <w:right w:w="85" w:type="dxa"/>
            </w:tcMar>
            <w:vAlign w:val="center"/>
          </w:tcPr>
          <w:p w14:paraId="0FEFE46C" w14:textId="68A83EB7" w:rsidR="00671606" w:rsidRPr="00E40A38" w:rsidRDefault="00671606">
            <w:pPr>
              <w:pStyle w:val="TableHeading0"/>
            </w:pPr>
            <w:r w:rsidRPr="00E40A38">
              <w:t xml:space="preserve">Lead-in </w:t>
            </w:r>
            <w:r w:rsidR="0003521A" w:rsidRPr="00E40A38">
              <w:t>(N=54)</w:t>
            </w:r>
          </w:p>
        </w:tc>
        <w:tc>
          <w:tcPr>
            <w:tcW w:w="1652" w:type="pct"/>
            <w:gridSpan w:val="3"/>
            <w:tcBorders>
              <w:right w:val="nil"/>
            </w:tcBorders>
            <w:shd w:val="clear" w:color="auto" w:fill="auto"/>
            <w:tcMar>
              <w:top w:w="15" w:type="dxa"/>
              <w:left w:w="85" w:type="dxa"/>
              <w:bottom w:w="0" w:type="dxa"/>
              <w:right w:w="85" w:type="dxa"/>
            </w:tcMar>
            <w:vAlign w:val="center"/>
          </w:tcPr>
          <w:p w14:paraId="3B696EE7" w14:textId="77777777" w:rsidR="00D5677D" w:rsidRPr="00E40A38" w:rsidRDefault="00D5677D">
            <w:pPr>
              <w:pStyle w:val="TableHeading0"/>
              <w:rPr>
                <w:lang w:val="en-US" w:eastAsia="en-AU"/>
              </w:rPr>
            </w:pPr>
            <w:r w:rsidRPr="00E40A38">
              <w:rPr>
                <w:lang w:val="en-US" w:eastAsia="en-AU"/>
              </w:rPr>
              <w:t>Post-treatment period (N=</w:t>
            </w:r>
            <w:proofErr w:type="gramStart"/>
            <w:r w:rsidRPr="00E40A38">
              <w:rPr>
                <w:lang w:val="en-US" w:eastAsia="en-AU"/>
              </w:rPr>
              <w:t>54)</w:t>
            </w:r>
            <w:r w:rsidRPr="00E40A38">
              <w:rPr>
                <w:vertAlign w:val="superscript"/>
                <w:lang w:val="en-US" w:eastAsia="en-AU"/>
              </w:rPr>
              <w:t>a</w:t>
            </w:r>
            <w:proofErr w:type="gramEnd"/>
          </w:p>
        </w:tc>
        <w:tc>
          <w:tcPr>
            <w:tcW w:w="237" w:type="pct"/>
            <w:tcBorders>
              <w:left w:val="nil"/>
              <w:right w:val="nil"/>
            </w:tcBorders>
            <w:shd w:val="clear" w:color="auto" w:fill="auto"/>
            <w:tcMar>
              <w:left w:w="85" w:type="dxa"/>
              <w:right w:w="85" w:type="dxa"/>
            </w:tcMar>
            <w:vAlign w:val="center"/>
          </w:tcPr>
          <w:p w14:paraId="56D062AB" w14:textId="77777777" w:rsidR="00D5677D" w:rsidRPr="00E40A38" w:rsidRDefault="00D5677D">
            <w:pPr>
              <w:pStyle w:val="TableHeading0"/>
              <w:rPr>
                <w:lang w:val="en-US" w:eastAsia="en-AU"/>
              </w:rPr>
            </w:pPr>
          </w:p>
        </w:tc>
        <w:tc>
          <w:tcPr>
            <w:tcW w:w="236" w:type="pct"/>
            <w:tcBorders>
              <w:left w:val="nil"/>
              <w:right w:val="nil"/>
            </w:tcBorders>
            <w:shd w:val="clear" w:color="auto" w:fill="auto"/>
            <w:tcMar>
              <w:left w:w="85" w:type="dxa"/>
              <w:right w:w="85" w:type="dxa"/>
            </w:tcMar>
            <w:vAlign w:val="center"/>
          </w:tcPr>
          <w:p w14:paraId="1366104B" w14:textId="77777777" w:rsidR="00D5677D" w:rsidRPr="00E40A38" w:rsidRDefault="00D5677D">
            <w:pPr>
              <w:pStyle w:val="TableHeading0"/>
              <w:rPr>
                <w:lang w:val="en-US" w:eastAsia="en-AU"/>
              </w:rPr>
            </w:pPr>
          </w:p>
        </w:tc>
        <w:tc>
          <w:tcPr>
            <w:tcW w:w="873" w:type="pct"/>
            <w:gridSpan w:val="2"/>
            <w:tcBorders>
              <w:left w:val="nil"/>
            </w:tcBorders>
            <w:shd w:val="clear" w:color="auto" w:fill="auto"/>
            <w:tcMar>
              <w:left w:w="85" w:type="dxa"/>
              <w:right w:w="85" w:type="dxa"/>
            </w:tcMar>
            <w:vAlign w:val="center"/>
          </w:tcPr>
          <w:p w14:paraId="011ABA89" w14:textId="76A1E209" w:rsidR="00671606" w:rsidRPr="00E40A38" w:rsidRDefault="00671606">
            <w:pPr>
              <w:pStyle w:val="TableHeading0"/>
              <w:rPr>
                <w:lang w:val="en-US" w:eastAsia="en-AU"/>
              </w:rPr>
            </w:pPr>
          </w:p>
        </w:tc>
        <w:tc>
          <w:tcPr>
            <w:tcW w:w="748" w:type="pct"/>
            <w:shd w:val="clear" w:color="auto" w:fill="auto"/>
            <w:tcMar>
              <w:left w:w="85" w:type="dxa"/>
              <w:right w:w="85" w:type="dxa"/>
            </w:tcMar>
            <w:vAlign w:val="center"/>
          </w:tcPr>
          <w:p w14:paraId="7972CF31" w14:textId="2CF96BA1" w:rsidR="00671606" w:rsidRPr="00E40A38" w:rsidRDefault="00671606">
            <w:pPr>
              <w:pStyle w:val="TableHeading0"/>
              <w:rPr>
                <w:lang w:val="en-US" w:eastAsia="en-AU"/>
              </w:rPr>
            </w:pPr>
            <w:r w:rsidRPr="00E40A38">
              <w:rPr>
                <w:lang w:val="en-US" w:eastAsia="en-AU"/>
              </w:rPr>
              <w:t>Difference vs. Lead</w:t>
            </w:r>
            <w:r w:rsidR="006D22E4" w:rsidRPr="00E40A38">
              <w:rPr>
                <w:lang w:val="en-US" w:eastAsia="en-AU"/>
              </w:rPr>
              <w:t>-</w:t>
            </w:r>
            <w:r w:rsidRPr="00E40A38">
              <w:rPr>
                <w:lang w:val="en-US" w:eastAsia="en-AU"/>
              </w:rPr>
              <w:t>in</w:t>
            </w:r>
          </w:p>
        </w:tc>
      </w:tr>
      <w:tr w:rsidR="0003521A" w:rsidRPr="00E40A38" w14:paraId="2BA2053D" w14:textId="77777777" w:rsidTr="00BD614C">
        <w:trPr>
          <w:trHeight w:val="55"/>
        </w:trPr>
        <w:tc>
          <w:tcPr>
            <w:tcW w:w="470" w:type="pct"/>
            <w:tcBorders>
              <w:top w:val="nil"/>
            </w:tcBorders>
            <w:shd w:val="clear" w:color="auto" w:fill="auto"/>
            <w:tcMar>
              <w:top w:w="15" w:type="dxa"/>
              <w:left w:w="85" w:type="dxa"/>
              <w:bottom w:w="0" w:type="dxa"/>
              <w:right w:w="85" w:type="dxa"/>
            </w:tcMar>
            <w:vAlign w:val="center"/>
            <w:hideMark/>
          </w:tcPr>
          <w:p w14:paraId="02A7030A" w14:textId="77777777" w:rsidR="00671606" w:rsidRPr="00E40A38" w:rsidRDefault="00671606">
            <w:pPr>
              <w:pStyle w:val="TableText"/>
              <w:rPr>
                <w:lang w:eastAsia="en-AU"/>
              </w:rPr>
            </w:pPr>
          </w:p>
        </w:tc>
        <w:tc>
          <w:tcPr>
            <w:tcW w:w="785" w:type="pct"/>
            <w:tcBorders>
              <w:top w:val="nil"/>
            </w:tcBorders>
            <w:shd w:val="clear" w:color="auto" w:fill="auto"/>
            <w:tcMar>
              <w:left w:w="85" w:type="dxa"/>
              <w:right w:w="85" w:type="dxa"/>
            </w:tcMar>
            <w:vAlign w:val="center"/>
          </w:tcPr>
          <w:p w14:paraId="5C2C472F" w14:textId="7EF6A62B" w:rsidR="00671606" w:rsidRPr="00E40A38" w:rsidRDefault="00671606">
            <w:pPr>
              <w:pStyle w:val="TableText"/>
              <w:rPr>
                <w:b/>
                <w:lang w:eastAsia="en-AU"/>
              </w:rPr>
            </w:pPr>
          </w:p>
        </w:tc>
        <w:tc>
          <w:tcPr>
            <w:tcW w:w="749" w:type="pct"/>
            <w:shd w:val="clear" w:color="auto" w:fill="auto"/>
            <w:tcMar>
              <w:top w:w="15" w:type="dxa"/>
              <w:left w:w="85" w:type="dxa"/>
              <w:bottom w:w="0" w:type="dxa"/>
              <w:right w:w="85" w:type="dxa"/>
            </w:tcMar>
            <w:vAlign w:val="center"/>
            <w:hideMark/>
          </w:tcPr>
          <w:p w14:paraId="29B3CAE4" w14:textId="77777777" w:rsidR="00671606" w:rsidRPr="00E40A38" w:rsidRDefault="00671606" w:rsidP="000E1090">
            <w:pPr>
              <w:pStyle w:val="TableText"/>
              <w:rPr>
                <w:b/>
                <w:lang w:eastAsia="en-AU"/>
              </w:rPr>
            </w:pPr>
            <w:r w:rsidRPr="00E40A38">
              <w:rPr>
                <w:b/>
                <w:lang w:val="en-US" w:eastAsia="en-AU"/>
              </w:rPr>
              <w:t>Month 12</w:t>
            </w:r>
          </w:p>
        </w:tc>
        <w:tc>
          <w:tcPr>
            <w:tcW w:w="749" w:type="pct"/>
            <w:shd w:val="clear" w:color="auto" w:fill="auto"/>
            <w:tcMar>
              <w:top w:w="15" w:type="dxa"/>
              <w:left w:w="85" w:type="dxa"/>
              <w:bottom w:w="0" w:type="dxa"/>
              <w:right w:w="85" w:type="dxa"/>
            </w:tcMar>
            <w:vAlign w:val="center"/>
            <w:hideMark/>
          </w:tcPr>
          <w:p w14:paraId="717B5E1F" w14:textId="77777777" w:rsidR="00671606" w:rsidRPr="00E40A38" w:rsidRDefault="00671606" w:rsidP="000E1090">
            <w:pPr>
              <w:pStyle w:val="TableText"/>
              <w:rPr>
                <w:b/>
                <w:lang w:eastAsia="en-AU"/>
              </w:rPr>
            </w:pPr>
            <w:r w:rsidRPr="00E40A38">
              <w:rPr>
                <w:b/>
                <w:lang w:val="en-US" w:eastAsia="en-AU"/>
              </w:rPr>
              <w:t xml:space="preserve">Month 24 </w:t>
            </w:r>
          </w:p>
        </w:tc>
        <w:tc>
          <w:tcPr>
            <w:tcW w:w="749" w:type="pct"/>
            <w:gridSpan w:val="4"/>
            <w:shd w:val="clear" w:color="auto" w:fill="auto"/>
            <w:tcMar>
              <w:top w:w="15" w:type="dxa"/>
              <w:left w:w="85" w:type="dxa"/>
              <w:bottom w:w="0" w:type="dxa"/>
              <w:right w:w="85" w:type="dxa"/>
            </w:tcMar>
            <w:vAlign w:val="center"/>
            <w:hideMark/>
          </w:tcPr>
          <w:p w14:paraId="24D6CE8A" w14:textId="6EE5BD71" w:rsidR="00671606" w:rsidRPr="00EB73DB" w:rsidRDefault="00671606" w:rsidP="000E1090">
            <w:pPr>
              <w:pStyle w:val="TableText"/>
              <w:rPr>
                <w:b/>
                <w:lang w:eastAsia="en-AU"/>
              </w:rPr>
            </w:pPr>
            <w:r w:rsidRPr="00EB73DB">
              <w:rPr>
                <w:b/>
                <w:lang w:val="en-US" w:eastAsia="en-AU"/>
              </w:rPr>
              <w:t xml:space="preserve">Month 36 </w:t>
            </w:r>
          </w:p>
        </w:tc>
        <w:tc>
          <w:tcPr>
            <w:tcW w:w="750" w:type="pct"/>
            <w:shd w:val="clear" w:color="auto" w:fill="auto"/>
            <w:tcMar>
              <w:top w:w="15" w:type="dxa"/>
              <w:left w:w="85" w:type="dxa"/>
              <w:bottom w:w="0" w:type="dxa"/>
              <w:right w:w="85" w:type="dxa"/>
            </w:tcMar>
            <w:vAlign w:val="center"/>
            <w:hideMark/>
          </w:tcPr>
          <w:p w14:paraId="5FBE4099" w14:textId="77777777" w:rsidR="00671606" w:rsidRPr="00EB73DB" w:rsidRDefault="00671606" w:rsidP="000E1090">
            <w:pPr>
              <w:pStyle w:val="TableText"/>
              <w:rPr>
                <w:b/>
                <w:lang w:eastAsia="en-AU"/>
              </w:rPr>
            </w:pPr>
            <w:r w:rsidRPr="00EB73DB">
              <w:rPr>
                <w:b/>
                <w:lang w:val="en-US" w:eastAsia="en-AU"/>
              </w:rPr>
              <w:t>Month 12-36</w:t>
            </w:r>
          </w:p>
        </w:tc>
        <w:tc>
          <w:tcPr>
            <w:tcW w:w="748" w:type="pct"/>
            <w:shd w:val="clear" w:color="auto" w:fill="auto"/>
            <w:tcMar>
              <w:top w:w="15" w:type="dxa"/>
              <w:left w:w="85" w:type="dxa"/>
              <w:bottom w:w="0" w:type="dxa"/>
              <w:right w:w="85" w:type="dxa"/>
            </w:tcMar>
            <w:vAlign w:val="center"/>
            <w:hideMark/>
          </w:tcPr>
          <w:p w14:paraId="20C11DD4" w14:textId="77777777" w:rsidR="00671606" w:rsidRPr="00EB73DB" w:rsidRDefault="00671606" w:rsidP="000E1090">
            <w:pPr>
              <w:pStyle w:val="TableText"/>
              <w:rPr>
                <w:b/>
                <w:lang w:eastAsia="en-AU"/>
              </w:rPr>
            </w:pPr>
            <w:r w:rsidRPr="00EB73DB">
              <w:rPr>
                <w:b/>
                <w:lang w:val="en-US" w:eastAsia="en-AU"/>
              </w:rPr>
              <w:t xml:space="preserve">Month 12-36 </w:t>
            </w:r>
          </w:p>
        </w:tc>
      </w:tr>
      <w:tr w:rsidR="0003521A" w:rsidRPr="00E40A38" w14:paraId="46DE0A8E" w14:textId="77777777" w:rsidTr="00BD614C">
        <w:trPr>
          <w:trHeight w:val="522"/>
        </w:trPr>
        <w:tc>
          <w:tcPr>
            <w:tcW w:w="470" w:type="pct"/>
            <w:shd w:val="clear" w:color="auto" w:fill="auto"/>
            <w:tcMar>
              <w:top w:w="15" w:type="dxa"/>
              <w:left w:w="85" w:type="dxa"/>
              <w:bottom w:w="0" w:type="dxa"/>
              <w:right w:w="85" w:type="dxa"/>
            </w:tcMar>
            <w:vAlign w:val="center"/>
            <w:hideMark/>
          </w:tcPr>
          <w:p w14:paraId="09435D35" w14:textId="77777777" w:rsidR="00671606" w:rsidRPr="00E40A38" w:rsidRDefault="00671606">
            <w:pPr>
              <w:pStyle w:val="TableText"/>
              <w:rPr>
                <w:lang w:eastAsia="en-AU"/>
              </w:rPr>
            </w:pPr>
            <w:r w:rsidRPr="00E40A38">
              <w:rPr>
                <w:lang w:val="en-US" w:eastAsia="en-AU"/>
              </w:rPr>
              <w:t>LS mean (SE)</w:t>
            </w:r>
          </w:p>
        </w:tc>
        <w:tc>
          <w:tcPr>
            <w:tcW w:w="785" w:type="pct"/>
            <w:shd w:val="clear" w:color="auto" w:fill="auto"/>
            <w:tcMar>
              <w:top w:w="15" w:type="dxa"/>
              <w:left w:w="85" w:type="dxa"/>
              <w:bottom w:w="0" w:type="dxa"/>
              <w:right w:w="85" w:type="dxa"/>
            </w:tcMar>
            <w:vAlign w:val="center"/>
            <w:hideMark/>
          </w:tcPr>
          <w:p w14:paraId="785B6004" w14:textId="77777777" w:rsidR="00671606" w:rsidRPr="00E40A38" w:rsidRDefault="00671606">
            <w:pPr>
              <w:pStyle w:val="TableText"/>
              <w:rPr>
                <w:lang w:eastAsia="en-AU"/>
              </w:rPr>
            </w:pPr>
            <w:r w:rsidRPr="00E40A38">
              <w:rPr>
                <w:lang w:val="en-GB" w:eastAsia="en-AU"/>
              </w:rPr>
              <w:t>0.7857 (0.04088)</w:t>
            </w:r>
          </w:p>
        </w:tc>
        <w:tc>
          <w:tcPr>
            <w:tcW w:w="749" w:type="pct"/>
            <w:shd w:val="clear" w:color="auto" w:fill="auto"/>
            <w:tcMar>
              <w:top w:w="15" w:type="dxa"/>
              <w:left w:w="85" w:type="dxa"/>
              <w:bottom w:w="0" w:type="dxa"/>
              <w:right w:w="85" w:type="dxa"/>
            </w:tcMar>
            <w:vAlign w:val="center"/>
            <w:hideMark/>
          </w:tcPr>
          <w:p w14:paraId="647F6845" w14:textId="77777777" w:rsidR="00671606" w:rsidRPr="00E40A38" w:rsidRDefault="00671606">
            <w:pPr>
              <w:pStyle w:val="TableText"/>
              <w:rPr>
                <w:lang w:eastAsia="en-AU"/>
              </w:rPr>
            </w:pPr>
            <w:r w:rsidRPr="00E40A38">
              <w:rPr>
                <w:lang w:val="en-US" w:eastAsia="en-AU"/>
              </w:rPr>
              <w:t>0.8334 (0.02581)</w:t>
            </w:r>
          </w:p>
        </w:tc>
        <w:tc>
          <w:tcPr>
            <w:tcW w:w="749" w:type="pct"/>
            <w:shd w:val="clear" w:color="auto" w:fill="auto"/>
            <w:tcMar>
              <w:top w:w="15" w:type="dxa"/>
              <w:left w:w="85" w:type="dxa"/>
              <w:bottom w:w="0" w:type="dxa"/>
              <w:right w:w="85" w:type="dxa"/>
            </w:tcMar>
            <w:vAlign w:val="center"/>
            <w:hideMark/>
          </w:tcPr>
          <w:p w14:paraId="06D011C9" w14:textId="77777777" w:rsidR="00671606" w:rsidRPr="00E40A38" w:rsidRDefault="00671606">
            <w:pPr>
              <w:pStyle w:val="TableText"/>
              <w:rPr>
                <w:lang w:eastAsia="en-AU"/>
              </w:rPr>
            </w:pPr>
            <w:r w:rsidRPr="00E40A38">
              <w:rPr>
                <w:lang w:val="en-US" w:eastAsia="en-AU"/>
              </w:rPr>
              <w:t>0.8417 (0.01976)</w:t>
            </w:r>
          </w:p>
        </w:tc>
        <w:tc>
          <w:tcPr>
            <w:tcW w:w="749" w:type="pct"/>
            <w:gridSpan w:val="4"/>
            <w:shd w:val="clear" w:color="auto" w:fill="auto"/>
            <w:tcMar>
              <w:top w:w="15" w:type="dxa"/>
              <w:left w:w="85" w:type="dxa"/>
              <w:bottom w:w="0" w:type="dxa"/>
              <w:right w:w="85" w:type="dxa"/>
            </w:tcMar>
            <w:vAlign w:val="center"/>
            <w:hideMark/>
          </w:tcPr>
          <w:p w14:paraId="77470304" w14:textId="77777777" w:rsidR="00671606" w:rsidRPr="00EB73DB" w:rsidRDefault="00671606">
            <w:pPr>
              <w:pStyle w:val="TableText"/>
              <w:rPr>
                <w:lang w:eastAsia="en-AU"/>
              </w:rPr>
            </w:pPr>
            <w:r w:rsidRPr="00EB73DB">
              <w:rPr>
                <w:lang w:val="en-GB" w:eastAsia="en-AU"/>
              </w:rPr>
              <w:t>0.8230 (0.02726)</w:t>
            </w:r>
          </w:p>
        </w:tc>
        <w:tc>
          <w:tcPr>
            <w:tcW w:w="750" w:type="pct"/>
            <w:shd w:val="clear" w:color="auto" w:fill="auto"/>
            <w:tcMar>
              <w:top w:w="15" w:type="dxa"/>
              <w:left w:w="85" w:type="dxa"/>
              <w:bottom w:w="0" w:type="dxa"/>
              <w:right w:w="85" w:type="dxa"/>
            </w:tcMar>
            <w:vAlign w:val="center"/>
            <w:hideMark/>
          </w:tcPr>
          <w:p w14:paraId="7A4B96BA" w14:textId="77777777" w:rsidR="00671606" w:rsidRPr="00EB73DB" w:rsidRDefault="00671606">
            <w:pPr>
              <w:pStyle w:val="TableText"/>
              <w:rPr>
                <w:lang w:eastAsia="en-AU"/>
              </w:rPr>
            </w:pPr>
            <w:r w:rsidRPr="00EB73DB">
              <w:rPr>
                <w:lang w:val="en-GB" w:eastAsia="en-AU"/>
              </w:rPr>
              <w:t>0.8327 (0.02160)</w:t>
            </w:r>
          </w:p>
        </w:tc>
        <w:tc>
          <w:tcPr>
            <w:tcW w:w="748" w:type="pct"/>
            <w:shd w:val="clear" w:color="auto" w:fill="auto"/>
            <w:tcMar>
              <w:top w:w="15" w:type="dxa"/>
              <w:left w:w="85" w:type="dxa"/>
              <w:bottom w:w="0" w:type="dxa"/>
              <w:right w:w="85" w:type="dxa"/>
            </w:tcMar>
            <w:vAlign w:val="center"/>
            <w:hideMark/>
          </w:tcPr>
          <w:p w14:paraId="40E25B86" w14:textId="77777777" w:rsidR="00671606" w:rsidRPr="00EB73DB" w:rsidRDefault="00671606">
            <w:pPr>
              <w:pStyle w:val="TableText"/>
              <w:rPr>
                <w:lang w:eastAsia="en-AU"/>
              </w:rPr>
            </w:pPr>
            <w:r w:rsidRPr="00EB73DB">
              <w:rPr>
                <w:lang w:val="en-US" w:eastAsia="en-AU"/>
              </w:rPr>
              <w:t>0.0373 (0.02084)</w:t>
            </w:r>
          </w:p>
        </w:tc>
      </w:tr>
      <w:tr w:rsidR="0003521A" w:rsidRPr="00E40A38" w14:paraId="1AF09DE5" w14:textId="77777777" w:rsidTr="00BD614C">
        <w:trPr>
          <w:trHeight w:val="522"/>
        </w:trPr>
        <w:tc>
          <w:tcPr>
            <w:tcW w:w="470" w:type="pct"/>
            <w:shd w:val="clear" w:color="auto" w:fill="auto"/>
            <w:tcMar>
              <w:top w:w="15" w:type="dxa"/>
              <w:left w:w="85" w:type="dxa"/>
              <w:bottom w:w="0" w:type="dxa"/>
              <w:right w:w="85" w:type="dxa"/>
            </w:tcMar>
            <w:vAlign w:val="center"/>
            <w:hideMark/>
          </w:tcPr>
          <w:p w14:paraId="4F47D27C" w14:textId="77777777" w:rsidR="00671606" w:rsidRPr="00E40A38" w:rsidRDefault="00671606">
            <w:pPr>
              <w:pStyle w:val="TableText"/>
              <w:rPr>
                <w:lang w:eastAsia="en-AU"/>
              </w:rPr>
            </w:pPr>
            <w:r w:rsidRPr="00E40A38">
              <w:rPr>
                <w:lang w:val="en-US" w:eastAsia="en-AU"/>
              </w:rPr>
              <w:t>95% CI</w:t>
            </w:r>
          </w:p>
        </w:tc>
        <w:tc>
          <w:tcPr>
            <w:tcW w:w="785" w:type="pct"/>
            <w:shd w:val="clear" w:color="auto" w:fill="auto"/>
            <w:tcMar>
              <w:top w:w="15" w:type="dxa"/>
              <w:left w:w="85" w:type="dxa"/>
              <w:bottom w:w="0" w:type="dxa"/>
              <w:right w:w="85" w:type="dxa"/>
            </w:tcMar>
            <w:vAlign w:val="center"/>
            <w:hideMark/>
          </w:tcPr>
          <w:p w14:paraId="1162C447" w14:textId="77777777" w:rsidR="00671606" w:rsidRPr="00E40A38" w:rsidRDefault="00671606">
            <w:pPr>
              <w:pStyle w:val="TableText"/>
              <w:rPr>
                <w:lang w:eastAsia="en-AU"/>
              </w:rPr>
            </w:pPr>
            <w:r w:rsidRPr="00E40A38">
              <w:rPr>
                <w:lang w:val="en-GB" w:eastAsia="en-AU"/>
              </w:rPr>
              <w:t>0.7037, 0.8677</w:t>
            </w:r>
          </w:p>
        </w:tc>
        <w:tc>
          <w:tcPr>
            <w:tcW w:w="749" w:type="pct"/>
            <w:shd w:val="clear" w:color="auto" w:fill="auto"/>
            <w:tcMar>
              <w:top w:w="15" w:type="dxa"/>
              <w:left w:w="85" w:type="dxa"/>
              <w:bottom w:w="0" w:type="dxa"/>
              <w:right w:w="85" w:type="dxa"/>
            </w:tcMar>
            <w:vAlign w:val="center"/>
            <w:hideMark/>
          </w:tcPr>
          <w:p w14:paraId="15109A7B" w14:textId="77777777" w:rsidR="00671606" w:rsidRPr="00E40A38" w:rsidRDefault="00671606">
            <w:pPr>
              <w:pStyle w:val="TableText"/>
              <w:rPr>
                <w:lang w:eastAsia="en-AU"/>
              </w:rPr>
            </w:pPr>
            <w:r w:rsidRPr="00E40A38">
              <w:rPr>
                <w:lang w:val="en-US" w:eastAsia="en-AU"/>
              </w:rPr>
              <w:t>0.7817, 0.8852</w:t>
            </w:r>
          </w:p>
        </w:tc>
        <w:tc>
          <w:tcPr>
            <w:tcW w:w="749" w:type="pct"/>
            <w:shd w:val="clear" w:color="auto" w:fill="auto"/>
            <w:tcMar>
              <w:top w:w="15" w:type="dxa"/>
              <w:left w:w="85" w:type="dxa"/>
              <w:bottom w:w="0" w:type="dxa"/>
              <w:right w:w="85" w:type="dxa"/>
            </w:tcMar>
            <w:vAlign w:val="center"/>
            <w:hideMark/>
          </w:tcPr>
          <w:p w14:paraId="39032D7C" w14:textId="77777777" w:rsidR="00671606" w:rsidRPr="00E40A38" w:rsidRDefault="00671606">
            <w:pPr>
              <w:pStyle w:val="TableText"/>
              <w:rPr>
                <w:lang w:eastAsia="en-AU"/>
              </w:rPr>
            </w:pPr>
            <w:r w:rsidRPr="00E40A38">
              <w:rPr>
                <w:lang w:val="en-US" w:eastAsia="en-AU"/>
              </w:rPr>
              <w:t>0.8021, 0.8814</w:t>
            </w:r>
          </w:p>
        </w:tc>
        <w:tc>
          <w:tcPr>
            <w:tcW w:w="749" w:type="pct"/>
            <w:gridSpan w:val="4"/>
            <w:shd w:val="clear" w:color="auto" w:fill="auto"/>
            <w:tcMar>
              <w:top w:w="15" w:type="dxa"/>
              <w:left w:w="85" w:type="dxa"/>
              <w:bottom w:w="0" w:type="dxa"/>
              <w:right w:w="85" w:type="dxa"/>
            </w:tcMar>
            <w:vAlign w:val="center"/>
            <w:hideMark/>
          </w:tcPr>
          <w:p w14:paraId="49F4CEDB" w14:textId="77777777" w:rsidR="00671606" w:rsidRPr="00EB73DB" w:rsidRDefault="00671606">
            <w:pPr>
              <w:pStyle w:val="TableText"/>
              <w:rPr>
                <w:lang w:eastAsia="en-AU"/>
              </w:rPr>
            </w:pPr>
            <w:r w:rsidRPr="00EB73DB">
              <w:rPr>
                <w:lang w:val="en-GB" w:eastAsia="en-AU"/>
              </w:rPr>
              <w:t>0.7683, 0.8776</w:t>
            </w:r>
          </w:p>
        </w:tc>
        <w:tc>
          <w:tcPr>
            <w:tcW w:w="750" w:type="pct"/>
            <w:shd w:val="clear" w:color="auto" w:fill="auto"/>
            <w:tcMar>
              <w:top w:w="15" w:type="dxa"/>
              <w:left w:w="85" w:type="dxa"/>
              <w:bottom w:w="0" w:type="dxa"/>
              <w:right w:w="85" w:type="dxa"/>
            </w:tcMar>
            <w:vAlign w:val="center"/>
            <w:hideMark/>
          </w:tcPr>
          <w:p w14:paraId="4FB0751C" w14:textId="77777777" w:rsidR="00671606" w:rsidRPr="00EB73DB" w:rsidRDefault="00671606">
            <w:pPr>
              <w:pStyle w:val="TableText"/>
              <w:rPr>
                <w:lang w:eastAsia="en-AU"/>
              </w:rPr>
            </w:pPr>
            <w:r w:rsidRPr="00EB73DB">
              <w:rPr>
                <w:lang w:val="en-GB" w:eastAsia="en-AU"/>
              </w:rPr>
              <w:t>0.7894, 0.8760</w:t>
            </w:r>
          </w:p>
        </w:tc>
        <w:tc>
          <w:tcPr>
            <w:tcW w:w="748" w:type="pct"/>
            <w:shd w:val="clear" w:color="auto" w:fill="auto"/>
            <w:tcMar>
              <w:top w:w="15" w:type="dxa"/>
              <w:left w:w="85" w:type="dxa"/>
              <w:bottom w:w="0" w:type="dxa"/>
              <w:right w:w="85" w:type="dxa"/>
            </w:tcMar>
            <w:vAlign w:val="center"/>
            <w:hideMark/>
          </w:tcPr>
          <w:p w14:paraId="3F898CF0" w14:textId="77777777" w:rsidR="00671606" w:rsidRPr="00EB73DB" w:rsidRDefault="00671606">
            <w:pPr>
              <w:pStyle w:val="TableText"/>
              <w:rPr>
                <w:lang w:eastAsia="en-AU"/>
              </w:rPr>
            </w:pPr>
            <w:r w:rsidRPr="00EB73DB">
              <w:rPr>
                <w:lang w:val="en-US" w:eastAsia="en-AU"/>
              </w:rPr>
              <w:t>-0.0045, 0.0791</w:t>
            </w:r>
          </w:p>
        </w:tc>
      </w:tr>
      <w:tr w:rsidR="0003521A" w:rsidRPr="00E40A38" w14:paraId="38872AAB" w14:textId="77777777" w:rsidTr="00BD614C">
        <w:trPr>
          <w:trHeight w:val="75"/>
        </w:trPr>
        <w:tc>
          <w:tcPr>
            <w:tcW w:w="470" w:type="pct"/>
            <w:shd w:val="clear" w:color="auto" w:fill="auto"/>
            <w:tcMar>
              <w:top w:w="15" w:type="dxa"/>
              <w:left w:w="85" w:type="dxa"/>
              <w:bottom w:w="0" w:type="dxa"/>
              <w:right w:w="85" w:type="dxa"/>
            </w:tcMar>
            <w:vAlign w:val="center"/>
            <w:hideMark/>
          </w:tcPr>
          <w:p w14:paraId="1BE61157" w14:textId="77777777" w:rsidR="00671606" w:rsidRPr="00E40A38" w:rsidRDefault="00671606">
            <w:pPr>
              <w:pStyle w:val="TableText"/>
              <w:rPr>
                <w:lang w:eastAsia="en-AU"/>
              </w:rPr>
            </w:pPr>
            <w:r w:rsidRPr="00E40A38">
              <w:rPr>
                <w:lang w:val="en-US" w:eastAsia="en-AU"/>
              </w:rPr>
              <w:t>p-value</w:t>
            </w:r>
          </w:p>
        </w:tc>
        <w:tc>
          <w:tcPr>
            <w:tcW w:w="785" w:type="pct"/>
            <w:shd w:val="clear" w:color="auto" w:fill="auto"/>
            <w:tcMar>
              <w:top w:w="15" w:type="dxa"/>
              <w:left w:w="85" w:type="dxa"/>
              <w:bottom w:w="0" w:type="dxa"/>
              <w:right w:w="85" w:type="dxa"/>
            </w:tcMar>
            <w:vAlign w:val="center"/>
            <w:hideMark/>
          </w:tcPr>
          <w:p w14:paraId="64340474" w14:textId="77777777" w:rsidR="00671606" w:rsidRPr="00E40A38" w:rsidRDefault="00671606">
            <w:pPr>
              <w:pStyle w:val="TableText"/>
              <w:rPr>
                <w:lang w:eastAsia="en-AU"/>
              </w:rPr>
            </w:pPr>
            <w:r w:rsidRPr="00E40A38">
              <w:rPr>
                <w:lang w:val="en-GB" w:eastAsia="en-AU"/>
              </w:rPr>
              <w:t>-</w:t>
            </w:r>
          </w:p>
        </w:tc>
        <w:tc>
          <w:tcPr>
            <w:tcW w:w="749" w:type="pct"/>
            <w:shd w:val="clear" w:color="auto" w:fill="auto"/>
            <w:tcMar>
              <w:top w:w="15" w:type="dxa"/>
              <w:left w:w="85" w:type="dxa"/>
              <w:bottom w:w="0" w:type="dxa"/>
              <w:right w:w="85" w:type="dxa"/>
            </w:tcMar>
            <w:vAlign w:val="center"/>
            <w:hideMark/>
          </w:tcPr>
          <w:p w14:paraId="3A9BCBC7" w14:textId="77777777" w:rsidR="00671606" w:rsidRPr="00E40A38" w:rsidRDefault="00671606">
            <w:pPr>
              <w:pStyle w:val="TableText"/>
              <w:rPr>
                <w:lang w:eastAsia="en-AU"/>
              </w:rPr>
            </w:pPr>
            <w:r w:rsidRPr="00E40A38">
              <w:rPr>
                <w:lang w:val="en-US" w:eastAsia="en-AU"/>
              </w:rPr>
              <w:t>-</w:t>
            </w:r>
          </w:p>
        </w:tc>
        <w:tc>
          <w:tcPr>
            <w:tcW w:w="749" w:type="pct"/>
            <w:shd w:val="clear" w:color="auto" w:fill="auto"/>
            <w:tcMar>
              <w:top w:w="15" w:type="dxa"/>
              <w:left w:w="85" w:type="dxa"/>
              <w:bottom w:w="0" w:type="dxa"/>
              <w:right w:w="85" w:type="dxa"/>
            </w:tcMar>
            <w:vAlign w:val="center"/>
            <w:hideMark/>
          </w:tcPr>
          <w:p w14:paraId="05E571E1" w14:textId="77777777" w:rsidR="00671606" w:rsidRPr="00E40A38" w:rsidRDefault="00671606">
            <w:pPr>
              <w:pStyle w:val="TableText"/>
              <w:rPr>
                <w:lang w:eastAsia="en-AU"/>
              </w:rPr>
            </w:pPr>
            <w:r w:rsidRPr="00E40A38">
              <w:rPr>
                <w:lang w:val="en-US" w:eastAsia="en-AU"/>
              </w:rPr>
              <w:t>-</w:t>
            </w:r>
          </w:p>
        </w:tc>
        <w:tc>
          <w:tcPr>
            <w:tcW w:w="749" w:type="pct"/>
            <w:gridSpan w:val="4"/>
            <w:shd w:val="clear" w:color="auto" w:fill="auto"/>
            <w:tcMar>
              <w:top w:w="15" w:type="dxa"/>
              <w:left w:w="85" w:type="dxa"/>
              <w:bottom w:w="0" w:type="dxa"/>
              <w:right w:w="85" w:type="dxa"/>
            </w:tcMar>
            <w:vAlign w:val="center"/>
            <w:hideMark/>
          </w:tcPr>
          <w:p w14:paraId="4E4E7D62" w14:textId="77777777" w:rsidR="00671606" w:rsidRPr="00EB73DB" w:rsidRDefault="00671606">
            <w:pPr>
              <w:pStyle w:val="TableText"/>
              <w:rPr>
                <w:lang w:eastAsia="en-AU"/>
              </w:rPr>
            </w:pPr>
            <w:r w:rsidRPr="00EB73DB">
              <w:rPr>
                <w:lang w:val="en-GB" w:eastAsia="en-AU"/>
              </w:rPr>
              <w:t>-</w:t>
            </w:r>
          </w:p>
        </w:tc>
        <w:tc>
          <w:tcPr>
            <w:tcW w:w="750" w:type="pct"/>
            <w:shd w:val="clear" w:color="auto" w:fill="auto"/>
            <w:tcMar>
              <w:top w:w="15" w:type="dxa"/>
              <w:left w:w="85" w:type="dxa"/>
              <w:bottom w:w="0" w:type="dxa"/>
              <w:right w:w="85" w:type="dxa"/>
            </w:tcMar>
            <w:vAlign w:val="center"/>
            <w:hideMark/>
          </w:tcPr>
          <w:p w14:paraId="342CFEBB" w14:textId="77777777" w:rsidR="00671606" w:rsidRPr="00EB73DB" w:rsidRDefault="00671606">
            <w:pPr>
              <w:pStyle w:val="TableText"/>
              <w:rPr>
                <w:lang w:eastAsia="en-AU"/>
              </w:rPr>
            </w:pPr>
            <w:r w:rsidRPr="00EB73DB">
              <w:rPr>
                <w:lang w:val="en-GB" w:eastAsia="en-AU"/>
              </w:rPr>
              <w:t>-</w:t>
            </w:r>
          </w:p>
        </w:tc>
        <w:tc>
          <w:tcPr>
            <w:tcW w:w="748" w:type="pct"/>
            <w:shd w:val="clear" w:color="auto" w:fill="auto"/>
            <w:tcMar>
              <w:top w:w="15" w:type="dxa"/>
              <w:left w:w="85" w:type="dxa"/>
              <w:bottom w:w="0" w:type="dxa"/>
              <w:right w:w="85" w:type="dxa"/>
            </w:tcMar>
            <w:vAlign w:val="center"/>
            <w:hideMark/>
          </w:tcPr>
          <w:p w14:paraId="3D351584" w14:textId="77777777" w:rsidR="00671606" w:rsidRPr="00EB73DB" w:rsidRDefault="00671606">
            <w:pPr>
              <w:pStyle w:val="TableText"/>
              <w:rPr>
                <w:lang w:eastAsia="en-AU"/>
              </w:rPr>
            </w:pPr>
            <w:r w:rsidRPr="00EB73DB">
              <w:rPr>
                <w:lang w:val="en-US" w:eastAsia="en-AU"/>
              </w:rPr>
              <w:t>0.0395</w:t>
            </w:r>
          </w:p>
        </w:tc>
      </w:tr>
    </w:tbl>
    <w:p w14:paraId="5548AD16" w14:textId="5BA42703" w:rsidR="00DE2035" w:rsidRPr="00E40A38" w:rsidRDefault="00922158" w:rsidP="00671606">
      <w:pPr>
        <w:pStyle w:val="CommentaryTablenotes"/>
        <w:rPr>
          <w:color w:val="auto"/>
        </w:rPr>
      </w:pPr>
      <w:r w:rsidRPr="00E40A38">
        <w:rPr>
          <w:color w:val="auto"/>
        </w:rPr>
        <w:t xml:space="preserve">CI = confidence interval; </w:t>
      </w:r>
      <w:r w:rsidR="00BE6E2F" w:rsidRPr="00E40A38">
        <w:rPr>
          <w:color w:val="auto"/>
        </w:rPr>
        <w:t xml:space="preserve">EQ-5D-5L = </w:t>
      </w:r>
      <w:proofErr w:type="spellStart"/>
      <w:r w:rsidR="00BE6E2F" w:rsidRPr="00E40A38">
        <w:rPr>
          <w:color w:val="auto"/>
        </w:rPr>
        <w:t>EuroQol</w:t>
      </w:r>
      <w:proofErr w:type="spellEnd"/>
      <w:r w:rsidR="00BE6E2F" w:rsidRPr="00E40A38">
        <w:rPr>
          <w:color w:val="auto"/>
        </w:rPr>
        <w:t xml:space="preserve"> 5-dimension 5-level questionnaire; </w:t>
      </w:r>
      <w:r w:rsidR="00004242" w:rsidRPr="00E40A38">
        <w:rPr>
          <w:color w:val="auto"/>
        </w:rPr>
        <w:t xml:space="preserve">LS = least squares; </w:t>
      </w:r>
      <w:r w:rsidR="00E56EE8" w:rsidRPr="00E40A38">
        <w:rPr>
          <w:color w:val="auto"/>
        </w:rPr>
        <w:t>SE = standard error</w:t>
      </w:r>
      <w:r w:rsidR="003228EC" w:rsidRPr="00E40A38">
        <w:rPr>
          <w:color w:val="auto"/>
        </w:rPr>
        <w:t>.</w:t>
      </w:r>
    </w:p>
    <w:p w14:paraId="6552063E" w14:textId="4F938EE4" w:rsidR="00671606" w:rsidRPr="00E40A38" w:rsidRDefault="00BA7DB4" w:rsidP="00671606">
      <w:pPr>
        <w:pStyle w:val="CommentaryTablenotes"/>
        <w:rPr>
          <w:color w:val="auto"/>
        </w:rPr>
      </w:pPr>
      <w:r w:rsidRPr="00E40A38">
        <w:rPr>
          <w:color w:val="auto"/>
        </w:rPr>
        <w:t xml:space="preserve">a </w:t>
      </w:r>
      <w:r w:rsidR="00671606" w:rsidRPr="00E40A38">
        <w:rPr>
          <w:color w:val="auto"/>
          <w:lang w:val="en-GB"/>
        </w:rPr>
        <w:t>One subject died before Month 19.</w:t>
      </w:r>
    </w:p>
    <w:p w14:paraId="22ACD835" w14:textId="5F21BB46" w:rsidR="00004242" w:rsidRPr="00E40A38" w:rsidRDefault="00004242" w:rsidP="00671606">
      <w:pPr>
        <w:pStyle w:val="CommentaryTablenotes"/>
        <w:rPr>
          <w:color w:val="auto"/>
        </w:rPr>
      </w:pPr>
      <w:r w:rsidRPr="00E40A38">
        <w:rPr>
          <w:color w:val="auto"/>
        </w:rPr>
        <w:t xml:space="preserve">Source: Table 2-26 of MSAC 1728 </w:t>
      </w:r>
      <w:proofErr w:type="spellStart"/>
      <w:r w:rsidRPr="00E40A38">
        <w:rPr>
          <w:color w:val="auto"/>
        </w:rPr>
        <w:t>ADAR+in-line</w:t>
      </w:r>
      <w:proofErr w:type="spellEnd"/>
      <w:r w:rsidRPr="00E40A38">
        <w:rPr>
          <w:color w:val="auto"/>
        </w:rPr>
        <w:t xml:space="preserve"> commentary.</w:t>
      </w:r>
    </w:p>
    <w:p w14:paraId="7FAD4EBC" w14:textId="72D2FB6F" w:rsidR="00A40CA4" w:rsidRPr="00E40A38" w:rsidRDefault="002745FF" w:rsidP="0023066C">
      <w:r w:rsidRPr="00E40A38">
        <w:t>Change in</w:t>
      </w:r>
      <w:r w:rsidR="0023066C" w:rsidRPr="00E40A38">
        <w:t xml:space="preserve"> </w:t>
      </w:r>
      <w:r w:rsidR="00A40CA4" w:rsidRPr="00E40A38">
        <w:t xml:space="preserve">HAEM-A-QoL results </w:t>
      </w:r>
      <w:r w:rsidR="0023066C" w:rsidRPr="00E40A38">
        <w:t>are presented</w:t>
      </w:r>
      <w:r w:rsidR="00A40CA4" w:rsidRPr="00E40A38">
        <w:t xml:space="preserve"> in </w:t>
      </w:r>
      <w:r w:rsidR="0023066C" w:rsidRPr="00E40A38">
        <w:fldChar w:fldCharType="begin"/>
      </w:r>
      <w:r w:rsidR="0023066C" w:rsidRPr="00E40A38">
        <w:instrText xml:space="preserve"> REF _Ref164242865 \h </w:instrText>
      </w:r>
      <w:r w:rsidR="00474734" w:rsidRPr="00E40A38">
        <w:instrText xml:space="preserve"> \* MERGEFORMAT </w:instrText>
      </w:r>
      <w:r w:rsidR="0023066C" w:rsidRPr="00E40A38">
        <w:fldChar w:fldCharType="separate"/>
      </w:r>
      <w:r w:rsidR="007207A8" w:rsidRPr="00E40A38">
        <w:t xml:space="preserve">Table </w:t>
      </w:r>
      <w:r w:rsidR="007207A8">
        <w:rPr>
          <w:noProof/>
        </w:rPr>
        <w:t>8</w:t>
      </w:r>
      <w:r w:rsidR="0023066C" w:rsidRPr="00E40A38">
        <w:fldChar w:fldCharType="end"/>
      </w:r>
      <w:r w:rsidR="00A40CA4" w:rsidRPr="00E40A38">
        <w:t xml:space="preserve">. At 36 months, HOPE-B patients showed a mean reduction in HAEM-A-QoL scores. The ADAR did not report a minimal clinically important difference for this instrument. </w:t>
      </w:r>
      <w:r w:rsidR="00241A18" w:rsidRPr="00E40A38">
        <w:t xml:space="preserve">The </w:t>
      </w:r>
      <w:r w:rsidR="00B5006B" w:rsidRPr="00E40A38">
        <w:t>change in treatment domain m</w:t>
      </w:r>
      <w:r w:rsidR="009D10DF" w:rsidRPr="00E40A38">
        <w:t xml:space="preserve">ay reflect a </w:t>
      </w:r>
      <w:r w:rsidR="00A40CA4" w:rsidRPr="00E40A38">
        <w:t>clinically meaningful reduced treatment burden</w:t>
      </w:r>
      <w:r w:rsidR="009D10DF" w:rsidRPr="00E40A38">
        <w:t xml:space="preserve"> of </w:t>
      </w:r>
      <w:r w:rsidR="004A7023">
        <w:t>Hemgenix</w:t>
      </w:r>
      <w:r w:rsidR="00A40CA4" w:rsidRPr="00E40A38">
        <w:t xml:space="preserve">. </w:t>
      </w:r>
    </w:p>
    <w:p w14:paraId="423ED904" w14:textId="31823E37" w:rsidR="0023066C" w:rsidRPr="00E40A38" w:rsidRDefault="0023066C" w:rsidP="00874C71">
      <w:pPr>
        <w:pStyle w:val="Caption"/>
        <w:keepLines/>
        <w:rPr>
          <w:rFonts w:cstheme="minorHAnsi"/>
          <w:lang w:val="en-US"/>
        </w:rPr>
      </w:pPr>
      <w:bookmarkStart w:id="37" w:name="_Ref164242865"/>
      <w:r w:rsidRPr="00E40A38">
        <w:t xml:space="preserve">Table </w:t>
      </w:r>
      <w:r w:rsidR="00CC66FD">
        <w:fldChar w:fldCharType="begin"/>
      </w:r>
      <w:r w:rsidR="00CC66FD">
        <w:instrText xml:space="preserve"> SEQ Table \* ARABIC </w:instrText>
      </w:r>
      <w:r w:rsidR="00CC66FD">
        <w:fldChar w:fldCharType="separate"/>
      </w:r>
      <w:r w:rsidR="007207A8">
        <w:rPr>
          <w:noProof/>
        </w:rPr>
        <w:t>8</w:t>
      </w:r>
      <w:r w:rsidR="00CC66FD">
        <w:rPr>
          <w:noProof/>
        </w:rPr>
        <w:fldChar w:fldCharType="end"/>
      </w:r>
      <w:bookmarkEnd w:id="37"/>
      <w:r w:rsidRPr="00E40A38">
        <w:tab/>
      </w:r>
      <w:r w:rsidRPr="00E40A38">
        <w:rPr>
          <w:rFonts w:cstheme="minorHAnsi"/>
          <w:lang w:val="en-US"/>
        </w:rPr>
        <w:t>Change from the Lead-In period in H</w:t>
      </w:r>
      <w:r w:rsidR="00C63D91" w:rsidRPr="00E40A38">
        <w:rPr>
          <w:rFonts w:cstheme="minorHAnsi"/>
          <w:lang w:val="en-US"/>
        </w:rPr>
        <w:t>AEM</w:t>
      </w:r>
      <w:r w:rsidRPr="00E40A38">
        <w:rPr>
          <w:rFonts w:cstheme="minorHAnsi"/>
          <w:lang w:val="en-US"/>
        </w:rPr>
        <w:t>-A-QoL Index Scores (HOPE-B)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Caption w:val="Change from the Lead-In period in HAEM-A-QoL Index Scores (HOPE-B)"/>
        <w:tblDescription w:val="This table shows the change from the Lead-In period in HAEM-A-QoL Index Scores (HOPE-B)"/>
      </w:tblPr>
      <w:tblGrid>
        <w:gridCol w:w="2638"/>
        <w:gridCol w:w="13"/>
        <w:gridCol w:w="2122"/>
        <w:gridCol w:w="2122"/>
        <w:gridCol w:w="2121"/>
      </w:tblGrid>
      <w:tr w:rsidR="00027166" w:rsidRPr="00E40A38" w14:paraId="1F505833" w14:textId="77777777" w:rsidTr="00F309BD">
        <w:trPr>
          <w:trHeight w:val="151"/>
          <w:tblHeader/>
        </w:trPr>
        <w:tc>
          <w:tcPr>
            <w:tcW w:w="1469" w:type="pct"/>
            <w:gridSpan w:val="2"/>
            <w:tcBorders>
              <w:bottom w:val="single" w:sz="4" w:space="0" w:color="auto"/>
            </w:tcBorders>
            <w:shd w:val="clear" w:color="auto" w:fill="auto"/>
            <w:tcMar>
              <w:top w:w="15" w:type="dxa"/>
              <w:left w:w="108" w:type="dxa"/>
              <w:bottom w:w="0" w:type="dxa"/>
              <w:right w:w="108" w:type="dxa"/>
            </w:tcMar>
            <w:vAlign w:val="center"/>
          </w:tcPr>
          <w:p w14:paraId="36B27550" w14:textId="77777777" w:rsidR="00A40CA4" w:rsidRPr="00E40A38" w:rsidRDefault="00A40CA4" w:rsidP="00874C71">
            <w:pPr>
              <w:pStyle w:val="TableHeading0"/>
              <w:keepNext/>
              <w:keepLines/>
              <w:rPr>
                <w:lang w:val="en-US" w:eastAsia="en-AU"/>
              </w:rPr>
            </w:pPr>
            <w:r w:rsidRPr="00E40A38">
              <w:rPr>
                <w:lang w:val="en-US" w:eastAsia="en-AU"/>
              </w:rPr>
              <w:t>Domain, statistic</w:t>
            </w:r>
          </w:p>
        </w:tc>
        <w:tc>
          <w:tcPr>
            <w:tcW w:w="1177" w:type="pct"/>
            <w:tcBorders>
              <w:bottom w:val="single" w:sz="4" w:space="0" w:color="auto"/>
            </w:tcBorders>
            <w:shd w:val="clear" w:color="auto" w:fill="auto"/>
            <w:tcMar>
              <w:top w:w="15" w:type="dxa"/>
              <w:left w:w="108" w:type="dxa"/>
              <w:bottom w:w="0" w:type="dxa"/>
              <w:right w:w="108" w:type="dxa"/>
            </w:tcMar>
            <w:vAlign w:val="center"/>
          </w:tcPr>
          <w:p w14:paraId="774B5101" w14:textId="77777777" w:rsidR="00A40CA4" w:rsidRPr="00E40A38" w:rsidRDefault="00A40CA4" w:rsidP="00874C71">
            <w:pPr>
              <w:pStyle w:val="TableHeading0"/>
              <w:keepNext/>
              <w:keepLines/>
              <w:rPr>
                <w:lang w:val="en-US" w:eastAsia="en-AU"/>
              </w:rPr>
            </w:pPr>
            <w:r w:rsidRPr="00E40A38">
              <w:rPr>
                <w:lang w:val="en-US" w:eastAsia="en-AU"/>
              </w:rPr>
              <w:t>Month 12</w:t>
            </w:r>
          </w:p>
        </w:tc>
        <w:tc>
          <w:tcPr>
            <w:tcW w:w="1177" w:type="pct"/>
            <w:tcBorders>
              <w:bottom w:val="single" w:sz="4" w:space="0" w:color="auto"/>
            </w:tcBorders>
            <w:shd w:val="clear" w:color="auto" w:fill="auto"/>
            <w:tcMar>
              <w:top w:w="15" w:type="dxa"/>
              <w:left w:w="108" w:type="dxa"/>
              <w:bottom w:w="0" w:type="dxa"/>
              <w:right w:w="108" w:type="dxa"/>
            </w:tcMar>
            <w:vAlign w:val="center"/>
          </w:tcPr>
          <w:p w14:paraId="1F6F967D" w14:textId="77777777" w:rsidR="00A40CA4" w:rsidRPr="00E40A38" w:rsidRDefault="00A40CA4" w:rsidP="00874C71">
            <w:pPr>
              <w:pStyle w:val="TableHeading0"/>
              <w:keepNext/>
              <w:keepLines/>
              <w:rPr>
                <w:lang w:val="en-US" w:eastAsia="en-AU"/>
              </w:rPr>
            </w:pPr>
            <w:r w:rsidRPr="00E40A38">
              <w:rPr>
                <w:lang w:val="en-US" w:eastAsia="en-AU"/>
              </w:rPr>
              <w:t>Month 24</w:t>
            </w:r>
          </w:p>
        </w:tc>
        <w:tc>
          <w:tcPr>
            <w:tcW w:w="1177" w:type="pct"/>
            <w:tcBorders>
              <w:bottom w:val="single" w:sz="4" w:space="0" w:color="auto"/>
            </w:tcBorders>
            <w:shd w:val="clear" w:color="auto" w:fill="auto"/>
            <w:tcMar>
              <w:top w:w="15" w:type="dxa"/>
              <w:left w:w="108" w:type="dxa"/>
              <w:bottom w:w="0" w:type="dxa"/>
              <w:right w:w="108" w:type="dxa"/>
            </w:tcMar>
            <w:vAlign w:val="center"/>
          </w:tcPr>
          <w:p w14:paraId="16ED0E75" w14:textId="77777777" w:rsidR="00A40CA4" w:rsidRPr="00E40A38" w:rsidRDefault="00A40CA4" w:rsidP="00874C71">
            <w:pPr>
              <w:pStyle w:val="TableHeading0"/>
              <w:keepNext/>
              <w:keepLines/>
              <w:rPr>
                <w:lang w:val="en-US" w:eastAsia="en-AU"/>
              </w:rPr>
            </w:pPr>
            <w:r w:rsidRPr="00E40A38">
              <w:rPr>
                <w:lang w:val="en-US" w:eastAsia="en-AU"/>
              </w:rPr>
              <w:t>Month 36</w:t>
            </w:r>
          </w:p>
        </w:tc>
      </w:tr>
      <w:tr w:rsidR="00A40CA4" w:rsidRPr="00E40A38" w14:paraId="0A848EE0" w14:textId="77777777" w:rsidTr="00F309BD">
        <w:trPr>
          <w:trHeight w:val="132"/>
        </w:trPr>
        <w:tc>
          <w:tcPr>
            <w:tcW w:w="1463" w:type="pct"/>
            <w:tcBorders>
              <w:right w:val="nil"/>
            </w:tcBorders>
            <w:shd w:val="clear" w:color="auto" w:fill="auto"/>
            <w:tcMar>
              <w:top w:w="15" w:type="dxa"/>
              <w:left w:w="108" w:type="dxa"/>
              <w:bottom w:w="0" w:type="dxa"/>
              <w:right w:w="108" w:type="dxa"/>
            </w:tcMar>
            <w:vAlign w:val="center"/>
          </w:tcPr>
          <w:p w14:paraId="59765BD3" w14:textId="6ED75B72" w:rsidR="00334B09" w:rsidRPr="00E40A38" w:rsidRDefault="00334B09" w:rsidP="00874C71">
            <w:pPr>
              <w:pStyle w:val="TableText"/>
              <w:keepNext/>
              <w:keepLines/>
              <w:rPr>
                <w:b/>
                <w:lang w:val="en-US" w:eastAsia="en-AU"/>
              </w:rPr>
            </w:pPr>
            <w:r w:rsidRPr="00E40A38">
              <w:rPr>
                <w:b/>
                <w:lang w:val="en-US" w:eastAsia="en-AU"/>
              </w:rPr>
              <w:t>Total</w:t>
            </w:r>
          </w:p>
        </w:tc>
        <w:tc>
          <w:tcPr>
            <w:tcW w:w="7" w:type="pct"/>
            <w:tcBorders>
              <w:left w:val="nil"/>
              <w:right w:val="nil"/>
            </w:tcBorders>
            <w:shd w:val="clear" w:color="auto" w:fill="auto"/>
            <w:vAlign w:val="center"/>
          </w:tcPr>
          <w:p w14:paraId="2CAD8339" w14:textId="77777777" w:rsidR="00334B09" w:rsidRPr="00E40A38" w:rsidRDefault="00334B09" w:rsidP="00874C71">
            <w:pPr>
              <w:pStyle w:val="TableText"/>
              <w:keepNext/>
              <w:keepLines/>
              <w:rPr>
                <w:rFonts w:eastAsia="Times New Roman"/>
                <w:b/>
                <w:lang w:val="en-GB" w:eastAsia="en-AU"/>
              </w:rPr>
            </w:pPr>
          </w:p>
        </w:tc>
        <w:tc>
          <w:tcPr>
            <w:tcW w:w="1177" w:type="pct"/>
            <w:tcBorders>
              <w:left w:val="nil"/>
              <w:right w:val="nil"/>
            </w:tcBorders>
            <w:shd w:val="clear" w:color="auto" w:fill="auto"/>
            <w:vAlign w:val="center"/>
          </w:tcPr>
          <w:p w14:paraId="178FE5D2" w14:textId="77777777" w:rsidR="00334B09" w:rsidRPr="00E40A38" w:rsidRDefault="00334B09" w:rsidP="00874C71">
            <w:pPr>
              <w:pStyle w:val="TableText"/>
              <w:keepNext/>
              <w:keepLines/>
              <w:rPr>
                <w:rFonts w:eastAsia="Times New Roman"/>
                <w:b/>
                <w:lang w:val="en-GB" w:eastAsia="en-AU"/>
              </w:rPr>
            </w:pPr>
          </w:p>
        </w:tc>
        <w:tc>
          <w:tcPr>
            <w:tcW w:w="2354" w:type="pct"/>
            <w:gridSpan w:val="2"/>
            <w:tcBorders>
              <w:left w:val="nil"/>
            </w:tcBorders>
            <w:shd w:val="clear" w:color="auto" w:fill="auto"/>
            <w:vAlign w:val="center"/>
          </w:tcPr>
          <w:p w14:paraId="6854711F" w14:textId="6730E2B6" w:rsidR="00A40CA4" w:rsidRPr="0045541D" w:rsidRDefault="00A40CA4" w:rsidP="00874C71">
            <w:pPr>
              <w:pStyle w:val="TableText"/>
              <w:keepNext/>
              <w:keepLines/>
              <w:rPr>
                <w:rFonts w:eastAsia="Times New Roman"/>
                <w:b/>
                <w:lang w:val="en-GB" w:eastAsia="en-AU"/>
              </w:rPr>
            </w:pPr>
          </w:p>
        </w:tc>
      </w:tr>
      <w:tr w:rsidR="00122559" w:rsidRPr="00E40A38" w14:paraId="3B6B4C7C" w14:textId="77777777" w:rsidTr="00F309BD">
        <w:trPr>
          <w:trHeight w:val="180"/>
        </w:trPr>
        <w:tc>
          <w:tcPr>
            <w:tcW w:w="1469" w:type="pct"/>
            <w:gridSpan w:val="2"/>
            <w:shd w:val="clear" w:color="auto" w:fill="auto"/>
            <w:tcMar>
              <w:top w:w="15" w:type="dxa"/>
              <w:left w:w="108" w:type="dxa"/>
              <w:bottom w:w="0" w:type="dxa"/>
              <w:right w:w="108" w:type="dxa"/>
            </w:tcMar>
            <w:vAlign w:val="center"/>
            <w:hideMark/>
          </w:tcPr>
          <w:p w14:paraId="1A69EE56" w14:textId="77777777" w:rsidR="00A40CA4" w:rsidRPr="00E40A38" w:rsidRDefault="00A40CA4" w:rsidP="00874C71">
            <w:pPr>
              <w:pStyle w:val="TableText"/>
              <w:keepNext/>
              <w:keepLines/>
              <w:rPr>
                <w:rFonts w:ascii="Arial" w:eastAsia="Times New Roman" w:hAnsi="Arial"/>
                <w:lang w:eastAsia="en-AU"/>
              </w:rPr>
            </w:pPr>
            <w:r w:rsidRPr="00E40A38">
              <w:rPr>
                <w:lang w:val="en-US" w:eastAsia="en-AU"/>
              </w:rPr>
              <w:t>LS mean (SE)</w:t>
            </w:r>
          </w:p>
        </w:tc>
        <w:tc>
          <w:tcPr>
            <w:tcW w:w="1177" w:type="pct"/>
            <w:shd w:val="clear" w:color="auto" w:fill="auto"/>
            <w:tcMar>
              <w:top w:w="15" w:type="dxa"/>
              <w:left w:w="108" w:type="dxa"/>
              <w:bottom w:w="0" w:type="dxa"/>
              <w:right w:w="108" w:type="dxa"/>
            </w:tcMar>
            <w:vAlign w:val="center"/>
            <w:hideMark/>
          </w:tcPr>
          <w:p w14:paraId="6CE90D3D" w14:textId="77777777" w:rsidR="00A40CA4" w:rsidRPr="00E40A38" w:rsidRDefault="00A40CA4" w:rsidP="00874C71">
            <w:pPr>
              <w:pStyle w:val="TableText"/>
              <w:keepNext/>
              <w:keepLines/>
              <w:rPr>
                <w:rFonts w:ascii="Arial" w:eastAsia="Times New Roman" w:hAnsi="Arial"/>
                <w:lang w:eastAsia="en-AU"/>
              </w:rPr>
            </w:pPr>
            <w:r w:rsidRPr="00E40A38">
              <w:rPr>
                <w:rFonts w:eastAsia="Times New Roman"/>
                <w:lang w:val="en-US" w:eastAsia="en-AU"/>
              </w:rPr>
              <w:t>-5.50 (0.97)</w:t>
            </w:r>
          </w:p>
        </w:tc>
        <w:tc>
          <w:tcPr>
            <w:tcW w:w="1177" w:type="pct"/>
            <w:shd w:val="clear" w:color="auto" w:fill="auto"/>
            <w:tcMar>
              <w:top w:w="15" w:type="dxa"/>
              <w:left w:w="108" w:type="dxa"/>
              <w:bottom w:w="0" w:type="dxa"/>
              <w:right w:w="108" w:type="dxa"/>
            </w:tcMar>
            <w:vAlign w:val="center"/>
            <w:hideMark/>
          </w:tcPr>
          <w:p w14:paraId="43ADDF9C" w14:textId="77777777" w:rsidR="00A40CA4" w:rsidRPr="0045541D" w:rsidRDefault="00A40CA4" w:rsidP="00874C71">
            <w:pPr>
              <w:pStyle w:val="TableText"/>
              <w:keepNext/>
              <w:keepLines/>
              <w:rPr>
                <w:rFonts w:ascii="Arial" w:eastAsia="Times New Roman" w:hAnsi="Arial"/>
                <w:lang w:eastAsia="en-AU"/>
              </w:rPr>
            </w:pPr>
            <w:r w:rsidRPr="0045541D">
              <w:rPr>
                <w:rFonts w:eastAsia="Times New Roman"/>
                <w:lang w:val="en-US" w:eastAsia="en-AU"/>
              </w:rPr>
              <w:t>-6.2 (1.19)</w:t>
            </w:r>
          </w:p>
        </w:tc>
        <w:tc>
          <w:tcPr>
            <w:tcW w:w="1177" w:type="pct"/>
            <w:shd w:val="clear" w:color="auto" w:fill="auto"/>
            <w:tcMar>
              <w:top w:w="15" w:type="dxa"/>
              <w:left w:w="108" w:type="dxa"/>
              <w:bottom w:w="0" w:type="dxa"/>
              <w:right w:w="108" w:type="dxa"/>
            </w:tcMar>
            <w:vAlign w:val="center"/>
            <w:hideMark/>
          </w:tcPr>
          <w:p w14:paraId="006846A8" w14:textId="77777777" w:rsidR="00A40CA4" w:rsidRPr="0045541D" w:rsidRDefault="00A40CA4" w:rsidP="00874C71">
            <w:pPr>
              <w:pStyle w:val="TableText"/>
              <w:keepNext/>
              <w:keepLines/>
              <w:rPr>
                <w:rFonts w:ascii="Arial" w:eastAsia="Times New Roman" w:hAnsi="Arial"/>
                <w:lang w:eastAsia="en-AU"/>
              </w:rPr>
            </w:pPr>
            <w:r w:rsidRPr="0045541D">
              <w:rPr>
                <w:rFonts w:eastAsia="Times New Roman"/>
                <w:lang w:val="en-GB" w:eastAsia="en-AU"/>
              </w:rPr>
              <w:t>-6.1 (1.28)</w:t>
            </w:r>
          </w:p>
        </w:tc>
      </w:tr>
      <w:tr w:rsidR="00122559" w:rsidRPr="00E40A38" w14:paraId="622A33D0" w14:textId="77777777" w:rsidTr="00F309BD">
        <w:trPr>
          <w:trHeight w:val="243"/>
        </w:trPr>
        <w:tc>
          <w:tcPr>
            <w:tcW w:w="1469" w:type="pct"/>
            <w:gridSpan w:val="2"/>
            <w:shd w:val="clear" w:color="auto" w:fill="auto"/>
            <w:tcMar>
              <w:top w:w="15" w:type="dxa"/>
              <w:left w:w="108" w:type="dxa"/>
              <w:bottom w:w="0" w:type="dxa"/>
              <w:right w:w="108" w:type="dxa"/>
            </w:tcMar>
            <w:vAlign w:val="center"/>
            <w:hideMark/>
          </w:tcPr>
          <w:p w14:paraId="1E620665" w14:textId="77777777" w:rsidR="00A40CA4" w:rsidRPr="00E40A38" w:rsidRDefault="00A40CA4" w:rsidP="00874C71">
            <w:pPr>
              <w:pStyle w:val="TableText"/>
              <w:keepNext/>
              <w:keepLines/>
              <w:rPr>
                <w:rFonts w:ascii="Arial" w:eastAsia="Times New Roman" w:hAnsi="Arial"/>
                <w:lang w:eastAsia="en-AU"/>
              </w:rPr>
            </w:pPr>
            <w:r w:rsidRPr="00E40A38">
              <w:rPr>
                <w:lang w:val="en-US" w:eastAsia="en-AU"/>
              </w:rPr>
              <w:t>95% CI</w:t>
            </w:r>
          </w:p>
        </w:tc>
        <w:tc>
          <w:tcPr>
            <w:tcW w:w="1177" w:type="pct"/>
            <w:shd w:val="clear" w:color="auto" w:fill="auto"/>
            <w:tcMar>
              <w:top w:w="15" w:type="dxa"/>
              <w:left w:w="108" w:type="dxa"/>
              <w:bottom w:w="0" w:type="dxa"/>
              <w:right w:w="108" w:type="dxa"/>
            </w:tcMar>
            <w:vAlign w:val="center"/>
            <w:hideMark/>
          </w:tcPr>
          <w:p w14:paraId="319C0E49" w14:textId="77777777" w:rsidR="00A40CA4" w:rsidRPr="00E40A38" w:rsidRDefault="00A40CA4" w:rsidP="00874C71">
            <w:pPr>
              <w:pStyle w:val="TableText"/>
              <w:keepNext/>
              <w:keepLines/>
              <w:rPr>
                <w:rFonts w:ascii="Arial" w:eastAsia="Times New Roman" w:hAnsi="Arial"/>
                <w:lang w:eastAsia="en-AU"/>
              </w:rPr>
            </w:pPr>
            <w:r w:rsidRPr="00E40A38">
              <w:rPr>
                <w:rFonts w:eastAsia="Times New Roman"/>
                <w:lang w:val="en-US" w:eastAsia="en-AU"/>
              </w:rPr>
              <w:t>-7.42, -3.58</w:t>
            </w:r>
          </w:p>
        </w:tc>
        <w:tc>
          <w:tcPr>
            <w:tcW w:w="1177" w:type="pct"/>
            <w:shd w:val="clear" w:color="auto" w:fill="auto"/>
            <w:tcMar>
              <w:top w:w="15" w:type="dxa"/>
              <w:left w:w="108" w:type="dxa"/>
              <w:bottom w:w="0" w:type="dxa"/>
              <w:right w:w="108" w:type="dxa"/>
            </w:tcMar>
            <w:vAlign w:val="center"/>
            <w:hideMark/>
          </w:tcPr>
          <w:p w14:paraId="4ADCC5D5" w14:textId="77777777" w:rsidR="00A40CA4" w:rsidRPr="0045541D" w:rsidRDefault="00A40CA4" w:rsidP="00874C71">
            <w:pPr>
              <w:pStyle w:val="TableText"/>
              <w:keepNext/>
              <w:keepLines/>
              <w:rPr>
                <w:rFonts w:ascii="Arial" w:eastAsia="Times New Roman" w:hAnsi="Arial"/>
                <w:lang w:eastAsia="en-AU"/>
              </w:rPr>
            </w:pPr>
            <w:r w:rsidRPr="0045541D">
              <w:rPr>
                <w:rFonts w:eastAsia="Times New Roman"/>
                <w:lang w:val="en-US" w:eastAsia="en-AU"/>
              </w:rPr>
              <w:t>-8.6, -3.8</w:t>
            </w:r>
          </w:p>
        </w:tc>
        <w:tc>
          <w:tcPr>
            <w:tcW w:w="1177" w:type="pct"/>
            <w:shd w:val="clear" w:color="auto" w:fill="auto"/>
            <w:tcMar>
              <w:top w:w="15" w:type="dxa"/>
              <w:left w:w="108" w:type="dxa"/>
              <w:bottom w:w="0" w:type="dxa"/>
              <w:right w:w="108" w:type="dxa"/>
            </w:tcMar>
            <w:vAlign w:val="center"/>
            <w:hideMark/>
          </w:tcPr>
          <w:p w14:paraId="129E68E1" w14:textId="77777777" w:rsidR="00A40CA4" w:rsidRPr="0045541D" w:rsidRDefault="00A40CA4" w:rsidP="00874C71">
            <w:pPr>
              <w:pStyle w:val="TableText"/>
              <w:keepNext/>
              <w:keepLines/>
              <w:rPr>
                <w:rFonts w:ascii="Arial" w:eastAsia="Times New Roman" w:hAnsi="Arial"/>
                <w:lang w:eastAsia="en-AU"/>
              </w:rPr>
            </w:pPr>
            <w:r w:rsidRPr="0045541D">
              <w:rPr>
                <w:rFonts w:eastAsia="Times New Roman"/>
                <w:lang w:val="en-GB" w:eastAsia="en-AU"/>
              </w:rPr>
              <w:t>-8.7, -3.6</w:t>
            </w:r>
          </w:p>
        </w:tc>
      </w:tr>
      <w:tr w:rsidR="00122559" w:rsidRPr="00E40A38" w14:paraId="459DDA2D" w14:textId="77777777" w:rsidTr="00F309BD">
        <w:trPr>
          <w:trHeight w:val="262"/>
        </w:trPr>
        <w:tc>
          <w:tcPr>
            <w:tcW w:w="1469" w:type="pct"/>
            <w:gridSpan w:val="2"/>
            <w:tcBorders>
              <w:bottom w:val="single" w:sz="4" w:space="0" w:color="auto"/>
            </w:tcBorders>
            <w:shd w:val="clear" w:color="auto" w:fill="auto"/>
            <w:tcMar>
              <w:top w:w="15" w:type="dxa"/>
              <w:left w:w="108" w:type="dxa"/>
              <w:bottom w:w="0" w:type="dxa"/>
              <w:right w:w="108" w:type="dxa"/>
            </w:tcMar>
            <w:vAlign w:val="center"/>
            <w:hideMark/>
          </w:tcPr>
          <w:p w14:paraId="0812959F" w14:textId="77777777" w:rsidR="00A40CA4" w:rsidRPr="00E40A38" w:rsidRDefault="00A40CA4" w:rsidP="00874C71">
            <w:pPr>
              <w:pStyle w:val="TableText"/>
              <w:keepNext/>
              <w:keepLines/>
              <w:rPr>
                <w:rFonts w:ascii="Arial" w:eastAsia="Times New Roman" w:hAnsi="Arial"/>
                <w:lang w:eastAsia="en-AU"/>
              </w:rPr>
            </w:pPr>
            <w:r w:rsidRPr="00E40A38">
              <w:rPr>
                <w:lang w:val="en-US" w:eastAsia="en-AU"/>
              </w:rPr>
              <w:t>One-sided p-value</w:t>
            </w:r>
          </w:p>
        </w:tc>
        <w:tc>
          <w:tcPr>
            <w:tcW w:w="1177" w:type="pct"/>
            <w:tcBorders>
              <w:bottom w:val="single" w:sz="4" w:space="0" w:color="auto"/>
            </w:tcBorders>
            <w:shd w:val="clear" w:color="auto" w:fill="auto"/>
            <w:tcMar>
              <w:top w:w="15" w:type="dxa"/>
              <w:left w:w="108" w:type="dxa"/>
              <w:bottom w:w="0" w:type="dxa"/>
              <w:right w:w="108" w:type="dxa"/>
            </w:tcMar>
            <w:vAlign w:val="center"/>
            <w:hideMark/>
          </w:tcPr>
          <w:p w14:paraId="4C02AD2F" w14:textId="77777777" w:rsidR="00A40CA4" w:rsidRPr="00E40A38" w:rsidRDefault="00A40CA4" w:rsidP="00874C71">
            <w:pPr>
              <w:pStyle w:val="TableText"/>
              <w:keepNext/>
              <w:keepLines/>
              <w:rPr>
                <w:rFonts w:ascii="Arial" w:eastAsia="Times New Roman" w:hAnsi="Arial"/>
                <w:lang w:eastAsia="en-AU"/>
              </w:rPr>
            </w:pPr>
            <w:r w:rsidRPr="00E40A38">
              <w:rPr>
                <w:rFonts w:eastAsia="Times New Roman"/>
                <w:lang w:val="en-US" w:eastAsia="en-AU"/>
              </w:rPr>
              <w:t>&lt; 0.0001</w:t>
            </w:r>
          </w:p>
        </w:tc>
        <w:tc>
          <w:tcPr>
            <w:tcW w:w="1177" w:type="pct"/>
            <w:tcBorders>
              <w:bottom w:val="single" w:sz="4" w:space="0" w:color="auto"/>
            </w:tcBorders>
            <w:shd w:val="clear" w:color="auto" w:fill="auto"/>
            <w:tcMar>
              <w:top w:w="15" w:type="dxa"/>
              <w:left w:w="108" w:type="dxa"/>
              <w:bottom w:w="0" w:type="dxa"/>
              <w:right w:w="108" w:type="dxa"/>
            </w:tcMar>
            <w:vAlign w:val="center"/>
            <w:hideMark/>
          </w:tcPr>
          <w:p w14:paraId="1DBAB54D" w14:textId="77777777" w:rsidR="00A40CA4" w:rsidRPr="0045541D" w:rsidRDefault="00A40CA4" w:rsidP="00874C71">
            <w:pPr>
              <w:pStyle w:val="TableText"/>
              <w:keepNext/>
              <w:keepLines/>
              <w:rPr>
                <w:rFonts w:ascii="Arial" w:eastAsia="Times New Roman" w:hAnsi="Arial"/>
                <w:lang w:eastAsia="en-AU"/>
              </w:rPr>
            </w:pPr>
            <w:r w:rsidRPr="0045541D">
              <w:rPr>
                <w:rFonts w:eastAsia="Times New Roman"/>
                <w:lang w:val="en-US" w:eastAsia="en-AU"/>
              </w:rPr>
              <w:t>&lt; 0.0001</w:t>
            </w:r>
          </w:p>
        </w:tc>
        <w:tc>
          <w:tcPr>
            <w:tcW w:w="1177" w:type="pct"/>
            <w:tcBorders>
              <w:bottom w:val="single" w:sz="4" w:space="0" w:color="auto"/>
            </w:tcBorders>
            <w:shd w:val="clear" w:color="auto" w:fill="auto"/>
            <w:tcMar>
              <w:top w:w="15" w:type="dxa"/>
              <w:left w:w="108" w:type="dxa"/>
              <w:bottom w:w="0" w:type="dxa"/>
              <w:right w:w="108" w:type="dxa"/>
            </w:tcMar>
            <w:vAlign w:val="center"/>
            <w:hideMark/>
          </w:tcPr>
          <w:p w14:paraId="1EC9FA8E" w14:textId="62807CA5" w:rsidR="00A40CA4" w:rsidRPr="0045541D" w:rsidRDefault="00A40CA4" w:rsidP="00874C71">
            <w:pPr>
              <w:pStyle w:val="TableText"/>
              <w:keepNext/>
              <w:keepLines/>
              <w:rPr>
                <w:rFonts w:ascii="Arial" w:eastAsia="Times New Roman" w:hAnsi="Arial"/>
                <w:lang w:eastAsia="en-AU"/>
              </w:rPr>
            </w:pPr>
            <w:r w:rsidRPr="0045541D">
              <w:rPr>
                <w:rFonts w:eastAsia="Times New Roman"/>
                <w:lang w:val="en-GB" w:eastAsia="en-AU"/>
              </w:rPr>
              <w:t>&lt; 0.0001</w:t>
            </w:r>
          </w:p>
        </w:tc>
      </w:tr>
      <w:tr w:rsidR="00A40CA4" w:rsidRPr="00E40A38" w14:paraId="3031C14E" w14:textId="77777777" w:rsidTr="00F309BD">
        <w:trPr>
          <w:trHeight w:val="193"/>
        </w:trPr>
        <w:tc>
          <w:tcPr>
            <w:tcW w:w="1463" w:type="pct"/>
            <w:tcBorders>
              <w:right w:val="nil"/>
            </w:tcBorders>
            <w:shd w:val="clear" w:color="auto" w:fill="auto"/>
            <w:tcMar>
              <w:top w:w="15" w:type="dxa"/>
              <w:left w:w="108" w:type="dxa"/>
              <w:bottom w:w="0" w:type="dxa"/>
              <w:right w:w="108" w:type="dxa"/>
            </w:tcMar>
            <w:vAlign w:val="center"/>
          </w:tcPr>
          <w:p w14:paraId="372856C1" w14:textId="77777777" w:rsidR="00334B09" w:rsidRPr="00E40A38" w:rsidRDefault="00334B09" w:rsidP="00874C71">
            <w:pPr>
              <w:pStyle w:val="TableText"/>
              <w:keepNext/>
              <w:keepLines/>
              <w:rPr>
                <w:b/>
                <w:lang w:val="en-US" w:eastAsia="en-AU"/>
              </w:rPr>
            </w:pPr>
            <w:r w:rsidRPr="00E40A38">
              <w:rPr>
                <w:b/>
                <w:lang w:val="en-US" w:eastAsia="en-AU"/>
              </w:rPr>
              <w:t>Feelings</w:t>
            </w:r>
          </w:p>
        </w:tc>
        <w:tc>
          <w:tcPr>
            <w:tcW w:w="7" w:type="pct"/>
            <w:tcBorders>
              <w:left w:val="nil"/>
              <w:right w:val="nil"/>
            </w:tcBorders>
            <w:shd w:val="clear" w:color="auto" w:fill="auto"/>
            <w:vAlign w:val="center"/>
          </w:tcPr>
          <w:p w14:paraId="2194F81E" w14:textId="77777777" w:rsidR="00334B09" w:rsidRPr="00E40A38" w:rsidRDefault="00334B09" w:rsidP="00874C71">
            <w:pPr>
              <w:pStyle w:val="TableText"/>
              <w:keepNext/>
              <w:keepLines/>
              <w:rPr>
                <w:rFonts w:eastAsia="Times New Roman"/>
                <w:b/>
                <w:lang w:val="en-GB" w:eastAsia="en-AU"/>
              </w:rPr>
            </w:pPr>
          </w:p>
        </w:tc>
        <w:tc>
          <w:tcPr>
            <w:tcW w:w="1177" w:type="pct"/>
            <w:tcBorders>
              <w:left w:val="nil"/>
              <w:right w:val="nil"/>
            </w:tcBorders>
            <w:shd w:val="clear" w:color="auto" w:fill="auto"/>
            <w:vAlign w:val="center"/>
          </w:tcPr>
          <w:p w14:paraId="6AFF4DBE" w14:textId="77777777" w:rsidR="00334B09" w:rsidRPr="00E40A38" w:rsidRDefault="00334B09" w:rsidP="00874C71">
            <w:pPr>
              <w:pStyle w:val="TableText"/>
              <w:keepNext/>
              <w:keepLines/>
              <w:rPr>
                <w:rFonts w:eastAsia="Times New Roman"/>
                <w:b/>
                <w:lang w:val="en-GB" w:eastAsia="en-AU"/>
              </w:rPr>
            </w:pPr>
          </w:p>
        </w:tc>
        <w:tc>
          <w:tcPr>
            <w:tcW w:w="2354" w:type="pct"/>
            <w:gridSpan w:val="2"/>
            <w:tcBorders>
              <w:left w:val="nil"/>
            </w:tcBorders>
            <w:shd w:val="clear" w:color="auto" w:fill="auto"/>
            <w:vAlign w:val="center"/>
          </w:tcPr>
          <w:p w14:paraId="53C7B9DA" w14:textId="0DC77035" w:rsidR="00A40CA4" w:rsidRPr="0045541D" w:rsidRDefault="00A40CA4" w:rsidP="00874C71">
            <w:pPr>
              <w:pStyle w:val="TableText"/>
              <w:keepNext/>
              <w:keepLines/>
              <w:rPr>
                <w:rFonts w:eastAsia="Times New Roman"/>
                <w:b/>
                <w:lang w:val="en-GB" w:eastAsia="en-AU"/>
              </w:rPr>
            </w:pPr>
          </w:p>
        </w:tc>
      </w:tr>
      <w:tr w:rsidR="00122559" w:rsidRPr="00E40A38" w14:paraId="066DF90C" w14:textId="77777777" w:rsidTr="00F309BD">
        <w:trPr>
          <w:trHeight w:val="210"/>
        </w:trPr>
        <w:tc>
          <w:tcPr>
            <w:tcW w:w="1469" w:type="pct"/>
            <w:gridSpan w:val="2"/>
            <w:shd w:val="clear" w:color="auto" w:fill="auto"/>
            <w:tcMar>
              <w:top w:w="15" w:type="dxa"/>
              <w:left w:w="108" w:type="dxa"/>
              <w:bottom w:w="0" w:type="dxa"/>
              <w:right w:w="108" w:type="dxa"/>
            </w:tcMar>
            <w:vAlign w:val="center"/>
            <w:hideMark/>
          </w:tcPr>
          <w:p w14:paraId="7FD19065" w14:textId="77777777" w:rsidR="00A40CA4" w:rsidRPr="00E40A38" w:rsidRDefault="00A40CA4" w:rsidP="00874C71">
            <w:pPr>
              <w:pStyle w:val="TableText"/>
              <w:keepNext/>
              <w:keepLines/>
              <w:rPr>
                <w:rFonts w:ascii="Arial" w:eastAsia="Times New Roman" w:hAnsi="Arial"/>
                <w:lang w:eastAsia="en-AU"/>
              </w:rPr>
            </w:pPr>
            <w:r w:rsidRPr="00E40A38">
              <w:rPr>
                <w:lang w:val="en-US" w:eastAsia="en-AU"/>
              </w:rPr>
              <w:t>LS mean (SE)</w:t>
            </w:r>
          </w:p>
        </w:tc>
        <w:tc>
          <w:tcPr>
            <w:tcW w:w="1177" w:type="pct"/>
            <w:shd w:val="clear" w:color="auto" w:fill="auto"/>
            <w:tcMar>
              <w:top w:w="15" w:type="dxa"/>
              <w:left w:w="108" w:type="dxa"/>
              <w:bottom w:w="0" w:type="dxa"/>
              <w:right w:w="108" w:type="dxa"/>
            </w:tcMar>
            <w:vAlign w:val="center"/>
            <w:hideMark/>
          </w:tcPr>
          <w:p w14:paraId="259D6256" w14:textId="77777777" w:rsidR="00A40CA4" w:rsidRPr="00E40A38" w:rsidRDefault="00A40CA4" w:rsidP="00874C71">
            <w:pPr>
              <w:pStyle w:val="TableText"/>
              <w:keepNext/>
              <w:keepLines/>
              <w:rPr>
                <w:rFonts w:ascii="Arial" w:eastAsia="Times New Roman" w:hAnsi="Arial"/>
                <w:lang w:eastAsia="en-AU"/>
              </w:rPr>
            </w:pPr>
            <w:r w:rsidRPr="00E40A38">
              <w:rPr>
                <w:rFonts w:eastAsia="Times New Roman"/>
                <w:lang w:val="en-US" w:eastAsia="en-AU"/>
              </w:rPr>
              <w:t>-9.42 (1.938)</w:t>
            </w:r>
          </w:p>
        </w:tc>
        <w:tc>
          <w:tcPr>
            <w:tcW w:w="1177" w:type="pct"/>
            <w:shd w:val="clear" w:color="auto" w:fill="auto"/>
            <w:tcMar>
              <w:top w:w="15" w:type="dxa"/>
              <w:left w:w="108" w:type="dxa"/>
              <w:bottom w:w="0" w:type="dxa"/>
              <w:right w:w="108" w:type="dxa"/>
            </w:tcMar>
            <w:vAlign w:val="center"/>
            <w:hideMark/>
          </w:tcPr>
          <w:p w14:paraId="21D24999" w14:textId="77777777" w:rsidR="00A40CA4" w:rsidRPr="0045541D" w:rsidRDefault="00A40CA4" w:rsidP="00874C71">
            <w:pPr>
              <w:pStyle w:val="TableText"/>
              <w:keepNext/>
              <w:keepLines/>
              <w:rPr>
                <w:rFonts w:ascii="Arial" w:eastAsia="Times New Roman" w:hAnsi="Arial"/>
                <w:lang w:eastAsia="en-AU"/>
              </w:rPr>
            </w:pPr>
            <w:r w:rsidRPr="0045541D">
              <w:rPr>
                <w:rFonts w:eastAsia="Times New Roman"/>
                <w:lang w:val="en-US" w:eastAsia="en-AU"/>
              </w:rPr>
              <w:t>-9.10 (1.957)</w:t>
            </w:r>
          </w:p>
        </w:tc>
        <w:tc>
          <w:tcPr>
            <w:tcW w:w="1177" w:type="pct"/>
            <w:shd w:val="clear" w:color="auto" w:fill="auto"/>
            <w:tcMar>
              <w:top w:w="15" w:type="dxa"/>
              <w:left w:w="108" w:type="dxa"/>
              <w:bottom w:w="0" w:type="dxa"/>
              <w:right w:w="108" w:type="dxa"/>
            </w:tcMar>
            <w:vAlign w:val="center"/>
            <w:hideMark/>
          </w:tcPr>
          <w:p w14:paraId="1B5E2995" w14:textId="77777777" w:rsidR="00A40CA4" w:rsidRPr="0045541D" w:rsidRDefault="00A40CA4" w:rsidP="00874C71">
            <w:pPr>
              <w:pStyle w:val="TableText"/>
              <w:keepNext/>
              <w:keepLines/>
              <w:rPr>
                <w:rFonts w:ascii="Arial" w:eastAsia="Times New Roman" w:hAnsi="Arial"/>
                <w:lang w:eastAsia="en-AU"/>
              </w:rPr>
            </w:pPr>
            <w:r w:rsidRPr="0045541D">
              <w:rPr>
                <w:rFonts w:eastAsia="Times New Roman"/>
                <w:lang w:val="en-GB" w:eastAsia="en-AU"/>
              </w:rPr>
              <w:t>-9.50 (2.242)</w:t>
            </w:r>
          </w:p>
        </w:tc>
      </w:tr>
      <w:tr w:rsidR="00122559" w:rsidRPr="00E40A38" w14:paraId="298B36F9" w14:textId="77777777" w:rsidTr="00F309BD">
        <w:trPr>
          <w:trHeight w:val="229"/>
        </w:trPr>
        <w:tc>
          <w:tcPr>
            <w:tcW w:w="1469" w:type="pct"/>
            <w:gridSpan w:val="2"/>
            <w:shd w:val="clear" w:color="auto" w:fill="auto"/>
            <w:tcMar>
              <w:top w:w="15" w:type="dxa"/>
              <w:left w:w="108" w:type="dxa"/>
              <w:bottom w:w="0" w:type="dxa"/>
              <w:right w:w="108" w:type="dxa"/>
            </w:tcMar>
            <w:vAlign w:val="center"/>
            <w:hideMark/>
          </w:tcPr>
          <w:p w14:paraId="43F7F283" w14:textId="77777777" w:rsidR="00A40CA4" w:rsidRPr="00E40A38" w:rsidRDefault="00A40CA4" w:rsidP="00874C71">
            <w:pPr>
              <w:pStyle w:val="TableText"/>
              <w:keepNext/>
              <w:keepLines/>
              <w:rPr>
                <w:rFonts w:ascii="Arial" w:eastAsia="Times New Roman" w:hAnsi="Arial"/>
                <w:lang w:eastAsia="en-AU"/>
              </w:rPr>
            </w:pPr>
            <w:r w:rsidRPr="00E40A38">
              <w:rPr>
                <w:lang w:val="en-US" w:eastAsia="en-AU"/>
              </w:rPr>
              <w:t>95% CI</w:t>
            </w:r>
          </w:p>
        </w:tc>
        <w:tc>
          <w:tcPr>
            <w:tcW w:w="1177" w:type="pct"/>
            <w:shd w:val="clear" w:color="auto" w:fill="auto"/>
            <w:tcMar>
              <w:top w:w="15" w:type="dxa"/>
              <w:left w:w="108" w:type="dxa"/>
              <w:bottom w:w="0" w:type="dxa"/>
              <w:right w:w="108" w:type="dxa"/>
            </w:tcMar>
            <w:vAlign w:val="center"/>
            <w:hideMark/>
          </w:tcPr>
          <w:p w14:paraId="1A1F6B6D" w14:textId="77777777" w:rsidR="00A40CA4" w:rsidRPr="00E40A38" w:rsidRDefault="00A40CA4" w:rsidP="00874C71">
            <w:pPr>
              <w:pStyle w:val="TableText"/>
              <w:keepNext/>
              <w:keepLines/>
              <w:rPr>
                <w:rFonts w:ascii="Arial" w:eastAsia="Times New Roman" w:hAnsi="Arial"/>
                <w:lang w:eastAsia="en-AU"/>
              </w:rPr>
            </w:pPr>
            <w:r w:rsidRPr="00E40A38">
              <w:rPr>
                <w:rFonts w:eastAsia="Times New Roman"/>
                <w:lang w:val="en-US" w:eastAsia="en-AU"/>
              </w:rPr>
              <w:t>-13.26, -5.59</w:t>
            </w:r>
          </w:p>
        </w:tc>
        <w:tc>
          <w:tcPr>
            <w:tcW w:w="1177" w:type="pct"/>
            <w:shd w:val="clear" w:color="auto" w:fill="auto"/>
            <w:tcMar>
              <w:top w:w="15" w:type="dxa"/>
              <w:left w:w="108" w:type="dxa"/>
              <w:bottom w:w="0" w:type="dxa"/>
              <w:right w:w="108" w:type="dxa"/>
            </w:tcMar>
            <w:vAlign w:val="center"/>
            <w:hideMark/>
          </w:tcPr>
          <w:p w14:paraId="4268F449" w14:textId="77777777" w:rsidR="00A40CA4" w:rsidRPr="0045541D" w:rsidRDefault="00A40CA4" w:rsidP="00874C71">
            <w:pPr>
              <w:pStyle w:val="TableText"/>
              <w:keepNext/>
              <w:keepLines/>
              <w:rPr>
                <w:rFonts w:ascii="Arial" w:eastAsia="Times New Roman" w:hAnsi="Arial"/>
                <w:lang w:eastAsia="en-AU"/>
              </w:rPr>
            </w:pPr>
            <w:r w:rsidRPr="0045541D">
              <w:rPr>
                <w:rFonts w:eastAsia="Times New Roman"/>
                <w:lang w:val="en-US" w:eastAsia="en-AU"/>
              </w:rPr>
              <w:t>-13.02, -5.17</w:t>
            </w:r>
          </w:p>
        </w:tc>
        <w:tc>
          <w:tcPr>
            <w:tcW w:w="1177" w:type="pct"/>
            <w:shd w:val="clear" w:color="auto" w:fill="auto"/>
            <w:tcMar>
              <w:top w:w="15" w:type="dxa"/>
              <w:left w:w="108" w:type="dxa"/>
              <w:bottom w:w="0" w:type="dxa"/>
              <w:right w:w="108" w:type="dxa"/>
            </w:tcMar>
            <w:vAlign w:val="center"/>
            <w:hideMark/>
          </w:tcPr>
          <w:p w14:paraId="4F707D7E" w14:textId="77777777" w:rsidR="00A40CA4" w:rsidRPr="0045541D" w:rsidRDefault="00A40CA4" w:rsidP="00874C71">
            <w:pPr>
              <w:pStyle w:val="TableText"/>
              <w:keepNext/>
              <w:keepLines/>
              <w:rPr>
                <w:rFonts w:ascii="Arial" w:eastAsia="Times New Roman" w:hAnsi="Arial"/>
                <w:lang w:eastAsia="en-AU"/>
              </w:rPr>
            </w:pPr>
            <w:r w:rsidRPr="0045541D">
              <w:rPr>
                <w:rFonts w:eastAsia="Times New Roman"/>
                <w:lang w:val="en-GB" w:eastAsia="en-AU"/>
              </w:rPr>
              <w:t>-14.00, -5.01</w:t>
            </w:r>
          </w:p>
        </w:tc>
      </w:tr>
      <w:tr w:rsidR="00122559" w:rsidRPr="00E40A38" w14:paraId="0BA42E6F" w14:textId="77777777" w:rsidTr="00F309BD">
        <w:trPr>
          <w:trHeight w:val="232"/>
        </w:trPr>
        <w:tc>
          <w:tcPr>
            <w:tcW w:w="1469" w:type="pct"/>
            <w:gridSpan w:val="2"/>
            <w:tcBorders>
              <w:bottom w:val="single" w:sz="4" w:space="0" w:color="auto"/>
            </w:tcBorders>
            <w:shd w:val="clear" w:color="auto" w:fill="auto"/>
            <w:tcMar>
              <w:top w:w="15" w:type="dxa"/>
              <w:left w:w="108" w:type="dxa"/>
              <w:bottom w:w="0" w:type="dxa"/>
              <w:right w:w="108" w:type="dxa"/>
            </w:tcMar>
            <w:vAlign w:val="center"/>
            <w:hideMark/>
          </w:tcPr>
          <w:p w14:paraId="5CC8AD05" w14:textId="77777777" w:rsidR="00A40CA4" w:rsidRPr="00E40A38" w:rsidRDefault="00A40CA4" w:rsidP="00874C71">
            <w:pPr>
              <w:pStyle w:val="TableText"/>
              <w:keepNext/>
              <w:keepLines/>
              <w:rPr>
                <w:rFonts w:ascii="Arial" w:eastAsia="Times New Roman" w:hAnsi="Arial"/>
                <w:lang w:eastAsia="en-AU"/>
              </w:rPr>
            </w:pPr>
            <w:r w:rsidRPr="00E40A38">
              <w:rPr>
                <w:lang w:val="en-US" w:eastAsia="en-AU"/>
              </w:rPr>
              <w:t>One-sided p-value</w:t>
            </w:r>
          </w:p>
        </w:tc>
        <w:tc>
          <w:tcPr>
            <w:tcW w:w="1177" w:type="pct"/>
            <w:tcBorders>
              <w:bottom w:val="single" w:sz="4" w:space="0" w:color="auto"/>
            </w:tcBorders>
            <w:shd w:val="clear" w:color="auto" w:fill="auto"/>
            <w:tcMar>
              <w:top w:w="15" w:type="dxa"/>
              <w:left w:w="108" w:type="dxa"/>
              <w:bottom w:w="0" w:type="dxa"/>
              <w:right w:w="108" w:type="dxa"/>
            </w:tcMar>
            <w:vAlign w:val="center"/>
            <w:hideMark/>
          </w:tcPr>
          <w:p w14:paraId="19A28C5C" w14:textId="77777777" w:rsidR="00A40CA4" w:rsidRPr="00E40A38" w:rsidRDefault="00A40CA4" w:rsidP="00874C71">
            <w:pPr>
              <w:pStyle w:val="TableText"/>
              <w:keepNext/>
              <w:keepLines/>
              <w:rPr>
                <w:rFonts w:ascii="Arial" w:eastAsia="Times New Roman" w:hAnsi="Arial"/>
                <w:lang w:eastAsia="en-AU"/>
              </w:rPr>
            </w:pPr>
            <w:r w:rsidRPr="00E40A38">
              <w:rPr>
                <w:rFonts w:eastAsia="Times New Roman"/>
                <w:lang w:val="en-US" w:eastAsia="en-AU"/>
              </w:rPr>
              <w:t>&lt; 0.0001</w:t>
            </w:r>
          </w:p>
        </w:tc>
        <w:tc>
          <w:tcPr>
            <w:tcW w:w="1177" w:type="pct"/>
            <w:tcBorders>
              <w:bottom w:val="single" w:sz="4" w:space="0" w:color="auto"/>
            </w:tcBorders>
            <w:shd w:val="clear" w:color="auto" w:fill="auto"/>
            <w:tcMar>
              <w:top w:w="15" w:type="dxa"/>
              <w:left w:w="108" w:type="dxa"/>
              <w:bottom w:w="0" w:type="dxa"/>
              <w:right w:w="108" w:type="dxa"/>
            </w:tcMar>
            <w:vAlign w:val="center"/>
            <w:hideMark/>
          </w:tcPr>
          <w:p w14:paraId="0BEF5C59" w14:textId="77777777" w:rsidR="00A40CA4" w:rsidRPr="0045541D" w:rsidRDefault="00A40CA4" w:rsidP="00874C71">
            <w:pPr>
              <w:pStyle w:val="TableText"/>
              <w:keepNext/>
              <w:keepLines/>
              <w:rPr>
                <w:rFonts w:ascii="Arial" w:eastAsia="Times New Roman" w:hAnsi="Arial"/>
                <w:lang w:eastAsia="en-AU"/>
              </w:rPr>
            </w:pPr>
            <w:r w:rsidRPr="0045541D">
              <w:rPr>
                <w:rFonts w:eastAsia="Times New Roman"/>
                <w:lang w:val="en-US" w:eastAsia="en-AU"/>
              </w:rPr>
              <w:t>&lt; 0.0001</w:t>
            </w:r>
          </w:p>
        </w:tc>
        <w:tc>
          <w:tcPr>
            <w:tcW w:w="1177" w:type="pct"/>
            <w:tcBorders>
              <w:bottom w:val="single" w:sz="4" w:space="0" w:color="auto"/>
            </w:tcBorders>
            <w:shd w:val="clear" w:color="auto" w:fill="auto"/>
            <w:tcMar>
              <w:top w:w="15" w:type="dxa"/>
              <w:left w:w="108" w:type="dxa"/>
              <w:bottom w:w="0" w:type="dxa"/>
              <w:right w:w="108" w:type="dxa"/>
            </w:tcMar>
            <w:vAlign w:val="center"/>
            <w:hideMark/>
          </w:tcPr>
          <w:p w14:paraId="78B67B46" w14:textId="77777777" w:rsidR="00A40CA4" w:rsidRPr="0045541D" w:rsidRDefault="00A40CA4" w:rsidP="00874C71">
            <w:pPr>
              <w:pStyle w:val="TableText"/>
              <w:keepNext/>
              <w:keepLines/>
              <w:rPr>
                <w:rFonts w:ascii="Arial" w:eastAsia="Times New Roman" w:hAnsi="Arial"/>
                <w:lang w:eastAsia="en-AU"/>
              </w:rPr>
            </w:pPr>
            <w:r w:rsidRPr="0045541D">
              <w:rPr>
                <w:rFonts w:eastAsia="Times New Roman"/>
                <w:lang w:val="en-GB" w:eastAsia="en-AU"/>
              </w:rPr>
              <w:t>&lt; 0.0001</w:t>
            </w:r>
          </w:p>
        </w:tc>
      </w:tr>
      <w:tr w:rsidR="00A40CA4" w:rsidRPr="00E40A38" w14:paraId="7C29FF50" w14:textId="77777777" w:rsidTr="00F309BD">
        <w:trPr>
          <w:trHeight w:val="251"/>
        </w:trPr>
        <w:tc>
          <w:tcPr>
            <w:tcW w:w="1463" w:type="pct"/>
            <w:tcBorders>
              <w:right w:val="nil"/>
            </w:tcBorders>
            <w:shd w:val="clear" w:color="auto" w:fill="auto"/>
            <w:tcMar>
              <w:top w:w="15" w:type="dxa"/>
              <w:left w:w="108" w:type="dxa"/>
              <w:bottom w:w="0" w:type="dxa"/>
              <w:right w:w="108" w:type="dxa"/>
            </w:tcMar>
            <w:vAlign w:val="center"/>
          </w:tcPr>
          <w:p w14:paraId="7737A65B" w14:textId="77777777" w:rsidR="00334B09" w:rsidRPr="00E40A38" w:rsidRDefault="00334B09" w:rsidP="00874C71">
            <w:pPr>
              <w:pStyle w:val="TableText"/>
              <w:keepNext/>
              <w:keepLines/>
              <w:rPr>
                <w:b/>
                <w:lang w:val="en-US" w:eastAsia="en-AU"/>
              </w:rPr>
            </w:pPr>
            <w:r w:rsidRPr="00E40A38">
              <w:rPr>
                <w:b/>
                <w:lang w:val="en-US" w:eastAsia="en-AU"/>
              </w:rPr>
              <w:t>Treatment</w:t>
            </w:r>
          </w:p>
        </w:tc>
        <w:tc>
          <w:tcPr>
            <w:tcW w:w="7" w:type="pct"/>
            <w:tcBorders>
              <w:left w:val="nil"/>
              <w:right w:val="nil"/>
            </w:tcBorders>
            <w:shd w:val="clear" w:color="auto" w:fill="auto"/>
            <w:vAlign w:val="center"/>
          </w:tcPr>
          <w:p w14:paraId="2CF5DBFC" w14:textId="77777777" w:rsidR="00334B09" w:rsidRPr="00E40A38" w:rsidRDefault="00334B09" w:rsidP="00874C71">
            <w:pPr>
              <w:pStyle w:val="TableText"/>
              <w:keepNext/>
              <w:keepLines/>
              <w:rPr>
                <w:rFonts w:eastAsia="Times New Roman"/>
                <w:b/>
                <w:lang w:val="en-GB" w:eastAsia="en-AU"/>
              </w:rPr>
            </w:pPr>
          </w:p>
        </w:tc>
        <w:tc>
          <w:tcPr>
            <w:tcW w:w="1177" w:type="pct"/>
            <w:tcBorders>
              <w:left w:val="nil"/>
              <w:right w:val="nil"/>
            </w:tcBorders>
            <w:shd w:val="clear" w:color="auto" w:fill="auto"/>
            <w:vAlign w:val="center"/>
          </w:tcPr>
          <w:p w14:paraId="6F050DD0" w14:textId="77777777" w:rsidR="00334B09" w:rsidRPr="00E40A38" w:rsidRDefault="00334B09" w:rsidP="00874C71">
            <w:pPr>
              <w:pStyle w:val="TableText"/>
              <w:keepNext/>
              <w:keepLines/>
              <w:rPr>
                <w:rFonts w:eastAsia="Times New Roman"/>
                <w:b/>
                <w:lang w:val="en-GB" w:eastAsia="en-AU"/>
              </w:rPr>
            </w:pPr>
          </w:p>
        </w:tc>
        <w:tc>
          <w:tcPr>
            <w:tcW w:w="2354" w:type="pct"/>
            <w:gridSpan w:val="2"/>
            <w:tcBorders>
              <w:left w:val="nil"/>
            </w:tcBorders>
            <w:shd w:val="clear" w:color="auto" w:fill="auto"/>
            <w:vAlign w:val="center"/>
          </w:tcPr>
          <w:p w14:paraId="3496117F" w14:textId="7DBDD8EB" w:rsidR="00A40CA4" w:rsidRPr="0045541D" w:rsidRDefault="00A40CA4" w:rsidP="00874C71">
            <w:pPr>
              <w:pStyle w:val="TableText"/>
              <w:keepNext/>
              <w:keepLines/>
              <w:rPr>
                <w:rFonts w:eastAsia="Times New Roman"/>
                <w:b/>
                <w:lang w:val="en-GB" w:eastAsia="en-AU"/>
              </w:rPr>
            </w:pPr>
          </w:p>
        </w:tc>
      </w:tr>
      <w:tr w:rsidR="00122559" w:rsidRPr="00E40A38" w14:paraId="314D8519" w14:textId="77777777" w:rsidTr="00F309BD">
        <w:trPr>
          <w:trHeight w:val="269"/>
        </w:trPr>
        <w:tc>
          <w:tcPr>
            <w:tcW w:w="1469" w:type="pct"/>
            <w:gridSpan w:val="2"/>
            <w:shd w:val="clear" w:color="auto" w:fill="auto"/>
            <w:tcMar>
              <w:top w:w="15" w:type="dxa"/>
              <w:left w:w="108" w:type="dxa"/>
              <w:bottom w:w="0" w:type="dxa"/>
              <w:right w:w="108" w:type="dxa"/>
            </w:tcMar>
            <w:vAlign w:val="center"/>
            <w:hideMark/>
          </w:tcPr>
          <w:p w14:paraId="72349985" w14:textId="77777777" w:rsidR="00A40CA4" w:rsidRPr="00E40A38" w:rsidRDefault="00A40CA4" w:rsidP="00874C71">
            <w:pPr>
              <w:pStyle w:val="TableText"/>
              <w:keepNext/>
              <w:keepLines/>
              <w:rPr>
                <w:rFonts w:ascii="Arial" w:eastAsia="Times New Roman" w:hAnsi="Arial"/>
                <w:lang w:eastAsia="en-AU"/>
              </w:rPr>
            </w:pPr>
            <w:r w:rsidRPr="00E40A38">
              <w:rPr>
                <w:lang w:val="en-US" w:eastAsia="en-AU"/>
              </w:rPr>
              <w:t>LS mean (SE)</w:t>
            </w:r>
          </w:p>
        </w:tc>
        <w:tc>
          <w:tcPr>
            <w:tcW w:w="1177" w:type="pct"/>
            <w:shd w:val="clear" w:color="auto" w:fill="auto"/>
            <w:tcMar>
              <w:top w:w="15" w:type="dxa"/>
              <w:left w:w="108" w:type="dxa"/>
              <w:bottom w:w="0" w:type="dxa"/>
              <w:right w:w="108" w:type="dxa"/>
            </w:tcMar>
            <w:vAlign w:val="center"/>
            <w:hideMark/>
          </w:tcPr>
          <w:p w14:paraId="66F26E16" w14:textId="77777777" w:rsidR="00A40CA4" w:rsidRPr="00E40A38" w:rsidRDefault="00A40CA4" w:rsidP="00874C71">
            <w:pPr>
              <w:pStyle w:val="TableText"/>
              <w:keepNext/>
              <w:keepLines/>
              <w:rPr>
                <w:rFonts w:ascii="Arial" w:eastAsia="Times New Roman" w:hAnsi="Arial"/>
                <w:lang w:eastAsia="en-AU"/>
              </w:rPr>
            </w:pPr>
            <w:r w:rsidRPr="00E40A38">
              <w:rPr>
                <w:rFonts w:eastAsia="Times New Roman"/>
                <w:lang w:val="en-US" w:eastAsia="en-AU"/>
              </w:rPr>
              <w:t>-14.88 (1.789)</w:t>
            </w:r>
          </w:p>
        </w:tc>
        <w:tc>
          <w:tcPr>
            <w:tcW w:w="1177" w:type="pct"/>
            <w:shd w:val="clear" w:color="auto" w:fill="auto"/>
            <w:tcMar>
              <w:top w:w="15" w:type="dxa"/>
              <w:left w:w="108" w:type="dxa"/>
              <w:bottom w:w="0" w:type="dxa"/>
              <w:right w:w="108" w:type="dxa"/>
            </w:tcMar>
            <w:vAlign w:val="center"/>
            <w:hideMark/>
          </w:tcPr>
          <w:p w14:paraId="7D763C0C" w14:textId="77777777" w:rsidR="00A40CA4" w:rsidRPr="0045541D" w:rsidRDefault="00A40CA4" w:rsidP="00874C71">
            <w:pPr>
              <w:pStyle w:val="TableText"/>
              <w:keepNext/>
              <w:keepLines/>
              <w:rPr>
                <w:rFonts w:ascii="Arial" w:eastAsia="Times New Roman" w:hAnsi="Arial"/>
                <w:lang w:eastAsia="en-AU"/>
              </w:rPr>
            </w:pPr>
            <w:r w:rsidRPr="0045541D">
              <w:rPr>
                <w:rFonts w:eastAsia="Times New Roman"/>
                <w:lang w:val="en-US" w:eastAsia="en-AU"/>
              </w:rPr>
              <w:t>-14.24 (2.103)</w:t>
            </w:r>
          </w:p>
        </w:tc>
        <w:tc>
          <w:tcPr>
            <w:tcW w:w="1177" w:type="pct"/>
            <w:shd w:val="clear" w:color="auto" w:fill="auto"/>
            <w:tcMar>
              <w:top w:w="15" w:type="dxa"/>
              <w:left w:w="108" w:type="dxa"/>
              <w:bottom w:w="0" w:type="dxa"/>
              <w:right w:w="108" w:type="dxa"/>
            </w:tcMar>
            <w:vAlign w:val="center"/>
            <w:hideMark/>
          </w:tcPr>
          <w:p w14:paraId="3BEA9471" w14:textId="77777777" w:rsidR="00A40CA4" w:rsidRPr="0045541D" w:rsidRDefault="00A40CA4" w:rsidP="00874C71">
            <w:pPr>
              <w:pStyle w:val="TableText"/>
              <w:keepNext/>
              <w:keepLines/>
              <w:rPr>
                <w:rFonts w:ascii="Arial" w:eastAsia="Times New Roman" w:hAnsi="Arial"/>
                <w:lang w:eastAsia="en-AU"/>
              </w:rPr>
            </w:pPr>
            <w:r w:rsidRPr="0045541D">
              <w:rPr>
                <w:rFonts w:eastAsia="Times New Roman"/>
                <w:lang w:val="en-GB" w:eastAsia="en-AU"/>
              </w:rPr>
              <w:t>-13.40 (2.224)</w:t>
            </w:r>
          </w:p>
        </w:tc>
      </w:tr>
      <w:tr w:rsidR="00122559" w:rsidRPr="00E40A38" w14:paraId="330BA5D0" w14:textId="77777777" w:rsidTr="00F309BD">
        <w:trPr>
          <w:trHeight w:val="245"/>
        </w:trPr>
        <w:tc>
          <w:tcPr>
            <w:tcW w:w="1469" w:type="pct"/>
            <w:gridSpan w:val="2"/>
            <w:shd w:val="clear" w:color="auto" w:fill="auto"/>
            <w:tcMar>
              <w:top w:w="15" w:type="dxa"/>
              <w:left w:w="108" w:type="dxa"/>
              <w:bottom w:w="0" w:type="dxa"/>
              <w:right w:w="108" w:type="dxa"/>
            </w:tcMar>
            <w:vAlign w:val="center"/>
            <w:hideMark/>
          </w:tcPr>
          <w:p w14:paraId="05F7E5F4" w14:textId="77777777" w:rsidR="00A40CA4" w:rsidRPr="00E40A38" w:rsidRDefault="00A40CA4" w:rsidP="00874C71">
            <w:pPr>
              <w:pStyle w:val="TableText"/>
              <w:keepNext/>
              <w:keepLines/>
              <w:rPr>
                <w:rFonts w:ascii="Arial" w:eastAsia="Times New Roman" w:hAnsi="Arial"/>
                <w:lang w:eastAsia="en-AU"/>
              </w:rPr>
            </w:pPr>
            <w:r w:rsidRPr="00E40A38">
              <w:rPr>
                <w:lang w:val="en-US" w:eastAsia="en-AU"/>
              </w:rPr>
              <w:t>95% CI</w:t>
            </w:r>
          </w:p>
        </w:tc>
        <w:tc>
          <w:tcPr>
            <w:tcW w:w="1177" w:type="pct"/>
            <w:shd w:val="clear" w:color="auto" w:fill="auto"/>
            <w:tcMar>
              <w:top w:w="15" w:type="dxa"/>
              <w:left w:w="108" w:type="dxa"/>
              <w:bottom w:w="0" w:type="dxa"/>
              <w:right w:w="108" w:type="dxa"/>
            </w:tcMar>
            <w:vAlign w:val="center"/>
            <w:hideMark/>
          </w:tcPr>
          <w:p w14:paraId="123D7B43" w14:textId="77777777" w:rsidR="00A40CA4" w:rsidRPr="00E40A38" w:rsidRDefault="00A40CA4" w:rsidP="00874C71">
            <w:pPr>
              <w:pStyle w:val="TableText"/>
              <w:keepNext/>
              <w:keepLines/>
              <w:rPr>
                <w:rFonts w:ascii="Arial" w:eastAsia="Times New Roman" w:hAnsi="Arial"/>
                <w:lang w:eastAsia="en-AU"/>
              </w:rPr>
            </w:pPr>
            <w:r w:rsidRPr="00E40A38">
              <w:rPr>
                <w:rFonts w:eastAsia="Times New Roman"/>
                <w:lang w:val="en-US" w:eastAsia="en-AU"/>
              </w:rPr>
              <w:t>-18.42, -11.34</w:t>
            </w:r>
          </w:p>
        </w:tc>
        <w:tc>
          <w:tcPr>
            <w:tcW w:w="1177" w:type="pct"/>
            <w:shd w:val="clear" w:color="auto" w:fill="auto"/>
            <w:tcMar>
              <w:top w:w="15" w:type="dxa"/>
              <w:left w:w="108" w:type="dxa"/>
              <w:bottom w:w="0" w:type="dxa"/>
              <w:right w:w="108" w:type="dxa"/>
            </w:tcMar>
            <w:vAlign w:val="center"/>
            <w:hideMark/>
          </w:tcPr>
          <w:p w14:paraId="5BAE86F7" w14:textId="77777777" w:rsidR="00A40CA4" w:rsidRPr="0045541D" w:rsidRDefault="00A40CA4" w:rsidP="00874C71">
            <w:pPr>
              <w:pStyle w:val="TableText"/>
              <w:keepNext/>
              <w:keepLines/>
              <w:rPr>
                <w:rFonts w:ascii="Arial" w:eastAsia="Times New Roman" w:hAnsi="Arial"/>
                <w:lang w:eastAsia="en-AU"/>
              </w:rPr>
            </w:pPr>
            <w:r w:rsidRPr="0045541D">
              <w:rPr>
                <w:rFonts w:eastAsia="Times New Roman"/>
                <w:lang w:val="en-US" w:eastAsia="en-AU"/>
              </w:rPr>
              <w:t>-18.46, -10.02</w:t>
            </w:r>
          </w:p>
        </w:tc>
        <w:tc>
          <w:tcPr>
            <w:tcW w:w="1177" w:type="pct"/>
            <w:shd w:val="clear" w:color="auto" w:fill="auto"/>
            <w:tcMar>
              <w:top w:w="15" w:type="dxa"/>
              <w:left w:w="108" w:type="dxa"/>
              <w:bottom w:w="0" w:type="dxa"/>
              <w:right w:w="108" w:type="dxa"/>
            </w:tcMar>
            <w:vAlign w:val="center"/>
            <w:hideMark/>
          </w:tcPr>
          <w:p w14:paraId="517C9276" w14:textId="77777777" w:rsidR="00A40CA4" w:rsidRPr="0045541D" w:rsidRDefault="00A40CA4" w:rsidP="00874C71">
            <w:pPr>
              <w:pStyle w:val="TableText"/>
              <w:keepNext/>
              <w:keepLines/>
              <w:rPr>
                <w:rFonts w:ascii="Arial" w:eastAsia="Times New Roman" w:hAnsi="Arial"/>
                <w:lang w:eastAsia="en-AU"/>
              </w:rPr>
            </w:pPr>
            <w:r w:rsidRPr="0045541D">
              <w:rPr>
                <w:rFonts w:eastAsia="Times New Roman"/>
                <w:lang w:val="en-GB" w:eastAsia="en-AU"/>
              </w:rPr>
              <w:t>-17.86, -8.94</w:t>
            </w:r>
          </w:p>
        </w:tc>
      </w:tr>
      <w:tr w:rsidR="00122559" w:rsidRPr="00E40A38" w14:paraId="68B257B6" w14:textId="77777777" w:rsidTr="00F309BD">
        <w:trPr>
          <w:trHeight w:val="121"/>
        </w:trPr>
        <w:tc>
          <w:tcPr>
            <w:tcW w:w="1469" w:type="pct"/>
            <w:gridSpan w:val="2"/>
            <w:tcBorders>
              <w:bottom w:val="single" w:sz="4" w:space="0" w:color="auto"/>
            </w:tcBorders>
            <w:shd w:val="clear" w:color="auto" w:fill="auto"/>
            <w:tcMar>
              <w:top w:w="15" w:type="dxa"/>
              <w:left w:w="108" w:type="dxa"/>
              <w:bottom w:w="0" w:type="dxa"/>
              <w:right w:w="108" w:type="dxa"/>
            </w:tcMar>
            <w:vAlign w:val="center"/>
            <w:hideMark/>
          </w:tcPr>
          <w:p w14:paraId="60E4FA72" w14:textId="77777777" w:rsidR="00A40CA4" w:rsidRPr="00E40A38" w:rsidRDefault="00A40CA4" w:rsidP="00874C71">
            <w:pPr>
              <w:pStyle w:val="TableText"/>
              <w:keepNext/>
              <w:keepLines/>
              <w:rPr>
                <w:rFonts w:ascii="Arial" w:eastAsia="Times New Roman" w:hAnsi="Arial"/>
                <w:lang w:eastAsia="en-AU"/>
              </w:rPr>
            </w:pPr>
            <w:r w:rsidRPr="00E40A38">
              <w:rPr>
                <w:lang w:val="en-US" w:eastAsia="en-AU"/>
              </w:rPr>
              <w:t>One-sided p-value</w:t>
            </w:r>
          </w:p>
        </w:tc>
        <w:tc>
          <w:tcPr>
            <w:tcW w:w="1177" w:type="pct"/>
            <w:tcBorders>
              <w:bottom w:val="single" w:sz="4" w:space="0" w:color="auto"/>
            </w:tcBorders>
            <w:shd w:val="clear" w:color="auto" w:fill="auto"/>
            <w:tcMar>
              <w:top w:w="15" w:type="dxa"/>
              <w:left w:w="108" w:type="dxa"/>
              <w:bottom w:w="0" w:type="dxa"/>
              <w:right w:w="108" w:type="dxa"/>
            </w:tcMar>
            <w:vAlign w:val="center"/>
            <w:hideMark/>
          </w:tcPr>
          <w:p w14:paraId="4B68D81B" w14:textId="77777777" w:rsidR="00A40CA4" w:rsidRPr="00E40A38" w:rsidRDefault="00A40CA4" w:rsidP="00874C71">
            <w:pPr>
              <w:pStyle w:val="TableText"/>
              <w:keepNext/>
              <w:keepLines/>
              <w:rPr>
                <w:rFonts w:ascii="Arial" w:eastAsia="Times New Roman" w:hAnsi="Arial"/>
                <w:lang w:eastAsia="en-AU"/>
              </w:rPr>
            </w:pPr>
            <w:r w:rsidRPr="00E40A38">
              <w:rPr>
                <w:rFonts w:eastAsia="Times New Roman"/>
                <w:lang w:val="en-US" w:eastAsia="en-AU"/>
              </w:rPr>
              <w:t>&lt; 0.0001</w:t>
            </w:r>
          </w:p>
        </w:tc>
        <w:tc>
          <w:tcPr>
            <w:tcW w:w="1177" w:type="pct"/>
            <w:tcBorders>
              <w:bottom w:val="single" w:sz="4" w:space="0" w:color="auto"/>
            </w:tcBorders>
            <w:shd w:val="clear" w:color="auto" w:fill="auto"/>
            <w:tcMar>
              <w:top w:w="15" w:type="dxa"/>
              <w:left w:w="108" w:type="dxa"/>
              <w:bottom w:w="0" w:type="dxa"/>
              <w:right w:w="108" w:type="dxa"/>
            </w:tcMar>
            <w:vAlign w:val="center"/>
            <w:hideMark/>
          </w:tcPr>
          <w:p w14:paraId="103764D8" w14:textId="77777777" w:rsidR="00A40CA4" w:rsidRPr="0045541D" w:rsidRDefault="00A40CA4" w:rsidP="00874C71">
            <w:pPr>
              <w:pStyle w:val="TableText"/>
              <w:keepNext/>
              <w:keepLines/>
              <w:rPr>
                <w:rFonts w:ascii="Arial" w:eastAsia="Times New Roman" w:hAnsi="Arial"/>
                <w:lang w:eastAsia="en-AU"/>
              </w:rPr>
            </w:pPr>
            <w:r w:rsidRPr="0045541D">
              <w:rPr>
                <w:rFonts w:eastAsia="Times New Roman"/>
                <w:lang w:val="en-US" w:eastAsia="en-AU"/>
              </w:rPr>
              <w:t>&lt; 0.0001</w:t>
            </w:r>
          </w:p>
        </w:tc>
        <w:tc>
          <w:tcPr>
            <w:tcW w:w="1177" w:type="pct"/>
            <w:tcBorders>
              <w:bottom w:val="single" w:sz="4" w:space="0" w:color="auto"/>
            </w:tcBorders>
            <w:shd w:val="clear" w:color="auto" w:fill="auto"/>
            <w:tcMar>
              <w:top w:w="15" w:type="dxa"/>
              <w:left w:w="108" w:type="dxa"/>
              <w:bottom w:w="0" w:type="dxa"/>
              <w:right w:w="108" w:type="dxa"/>
            </w:tcMar>
            <w:vAlign w:val="center"/>
            <w:hideMark/>
          </w:tcPr>
          <w:p w14:paraId="38246E90" w14:textId="77777777" w:rsidR="00A40CA4" w:rsidRPr="0045541D" w:rsidRDefault="00A40CA4" w:rsidP="00874C71">
            <w:pPr>
              <w:pStyle w:val="TableText"/>
              <w:keepNext/>
              <w:keepLines/>
              <w:rPr>
                <w:rFonts w:ascii="Arial" w:eastAsia="Times New Roman" w:hAnsi="Arial"/>
                <w:lang w:eastAsia="en-AU"/>
              </w:rPr>
            </w:pPr>
            <w:r w:rsidRPr="0045541D">
              <w:rPr>
                <w:rFonts w:eastAsia="Times New Roman"/>
                <w:lang w:val="en-GB" w:eastAsia="en-AU"/>
              </w:rPr>
              <w:t>&lt; 0.0001</w:t>
            </w:r>
          </w:p>
        </w:tc>
      </w:tr>
      <w:tr w:rsidR="00A40CA4" w:rsidRPr="00E40A38" w14:paraId="384650A5" w14:textId="77777777" w:rsidTr="00F309BD">
        <w:trPr>
          <w:trHeight w:val="251"/>
        </w:trPr>
        <w:tc>
          <w:tcPr>
            <w:tcW w:w="1463" w:type="pct"/>
            <w:tcBorders>
              <w:right w:val="nil"/>
            </w:tcBorders>
            <w:shd w:val="clear" w:color="auto" w:fill="auto"/>
            <w:tcMar>
              <w:top w:w="15" w:type="dxa"/>
              <w:left w:w="108" w:type="dxa"/>
              <w:bottom w:w="0" w:type="dxa"/>
              <w:right w:w="108" w:type="dxa"/>
            </w:tcMar>
            <w:vAlign w:val="center"/>
          </w:tcPr>
          <w:p w14:paraId="453DEF35" w14:textId="77777777" w:rsidR="00334B09" w:rsidRPr="00E40A38" w:rsidRDefault="00334B09" w:rsidP="00874C71">
            <w:pPr>
              <w:pStyle w:val="TableText"/>
              <w:keepNext/>
              <w:keepLines/>
              <w:rPr>
                <w:b/>
                <w:lang w:val="en-US" w:eastAsia="en-AU"/>
              </w:rPr>
            </w:pPr>
            <w:r w:rsidRPr="00E40A38">
              <w:rPr>
                <w:b/>
                <w:lang w:val="en-US" w:eastAsia="en-AU"/>
              </w:rPr>
              <w:t>Work / School</w:t>
            </w:r>
          </w:p>
        </w:tc>
        <w:tc>
          <w:tcPr>
            <w:tcW w:w="7" w:type="pct"/>
            <w:tcBorders>
              <w:left w:val="nil"/>
              <w:right w:val="nil"/>
            </w:tcBorders>
            <w:shd w:val="clear" w:color="auto" w:fill="auto"/>
            <w:vAlign w:val="center"/>
          </w:tcPr>
          <w:p w14:paraId="740E8E6E" w14:textId="77777777" w:rsidR="00334B09" w:rsidRPr="00E40A38" w:rsidRDefault="00334B09" w:rsidP="00874C71">
            <w:pPr>
              <w:pStyle w:val="TableText"/>
              <w:keepNext/>
              <w:keepLines/>
              <w:rPr>
                <w:rFonts w:eastAsia="Times New Roman"/>
                <w:b/>
                <w:lang w:val="en-GB" w:eastAsia="en-AU"/>
              </w:rPr>
            </w:pPr>
          </w:p>
        </w:tc>
        <w:tc>
          <w:tcPr>
            <w:tcW w:w="1177" w:type="pct"/>
            <w:tcBorders>
              <w:left w:val="nil"/>
              <w:right w:val="nil"/>
            </w:tcBorders>
            <w:shd w:val="clear" w:color="auto" w:fill="auto"/>
            <w:vAlign w:val="center"/>
          </w:tcPr>
          <w:p w14:paraId="6D7B0B6B" w14:textId="77777777" w:rsidR="00334B09" w:rsidRPr="00E40A38" w:rsidRDefault="00334B09" w:rsidP="00874C71">
            <w:pPr>
              <w:pStyle w:val="TableText"/>
              <w:keepNext/>
              <w:keepLines/>
              <w:rPr>
                <w:rFonts w:eastAsia="Times New Roman"/>
                <w:b/>
                <w:lang w:val="en-GB" w:eastAsia="en-AU"/>
              </w:rPr>
            </w:pPr>
          </w:p>
        </w:tc>
        <w:tc>
          <w:tcPr>
            <w:tcW w:w="2354" w:type="pct"/>
            <w:gridSpan w:val="2"/>
            <w:tcBorders>
              <w:left w:val="nil"/>
            </w:tcBorders>
            <w:shd w:val="clear" w:color="auto" w:fill="auto"/>
            <w:vAlign w:val="center"/>
          </w:tcPr>
          <w:p w14:paraId="1CDBD34F" w14:textId="45A77B9C" w:rsidR="00A40CA4" w:rsidRPr="0045541D" w:rsidRDefault="00A40CA4" w:rsidP="00874C71">
            <w:pPr>
              <w:pStyle w:val="TableText"/>
              <w:keepNext/>
              <w:keepLines/>
              <w:rPr>
                <w:rFonts w:eastAsia="Times New Roman"/>
                <w:b/>
                <w:lang w:val="en-GB" w:eastAsia="en-AU"/>
              </w:rPr>
            </w:pPr>
          </w:p>
        </w:tc>
      </w:tr>
      <w:tr w:rsidR="00122559" w:rsidRPr="00E40A38" w14:paraId="1216B644" w14:textId="77777777" w:rsidTr="00F309BD">
        <w:trPr>
          <w:trHeight w:val="269"/>
        </w:trPr>
        <w:tc>
          <w:tcPr>
            <w:tcW w:w="1469" w:type="pct"/>
            <w:gridSpan w:val="2"/>
            <w:shd w:val="clear" w:color="auto" w:fill="auto"/>
            <w:tcMar>
              <w:top w:w="15" w:type="dxa"/>
              <w:left w:w="108" w:type="dxa"/>
              <w:bottom w:w="0" w:type="dxa"/>
              <w:right w:w="108" w:type="dxa"/>
            </w:tcMar>
            <w:vAlign w:val="center"/>
            <w:hideMark/>
          </w:tcPr>
          <w:p w14:paraId="7C90A6B3" w14:textId="77777777" w:rsidR="00A40CA4" w:rsidRPr="00E40A38" w:rsidRDefault="00A40CA4" w:rsidP="00874C71">
            <w:pPr>
              <w:pStyle w:val="TableText"/>
              <w:keepNext/>
              <w:keepLines/>
              <w:rPr>
                <w:lang w:val="en-US" w:eastAsia="en-AU"/>
              </w:rPr>
            </w:pPr>
            <w:r w:rsidRPr="00E40A38">
              <w:rPr>
                <w:lang w:val="en-US" w:eastAsia="en-AU"/>
              </w:rPr>
              <w:t>LS mean (SE)</w:t>
            </w:r>
          </w:p>
        </w:tc>
        <w:tc>
          <w:tcPr>
            <w:tcW w:w="1177" w:type="pct"/>
            <w:shd w:val="clear" w:color="auto" w:fill="auto"/>
            <w:tcMar>
              <w:top w:w="15" w:type="dxa"/>
              <w:left w:w="108" w:type="dxa"/>
              <w:bottom w:w="0" w:type="dxa"/>
              <w:right w:w="108" w:type="dxa"/>
            </w:tcMar>
            <w:vAlign w:val="center"/>
          </w:tcPr>
          <w:p w14:paraId="54581C49" w14:textId="77777777" w:rsidR="00A40CA4" w:rsidRPr="00E40A38" w:rsidRDefault="00A40CA4" w:rsidP="00874C71">
            <w:pPr>
              <w:pStyle w:val="TableText"/>
              <w:keepNext/>
              <w:keepLines/>
              <w:rPr>
                <w:lang w:val="en-US" w:eastAsia="en-AU"/>
              </w:rPr>
            </w:pPr>
            <w:r w:rsidRPr="00E40A38">
              <w:rPr>
                <w:lang w:val="en-US" w:eastAsia="en-AU"/>
              </w:rPr>
              <w:t>-4.99 (1.825)</w:t>
            </w:r>
          </w:p>
        </w:tc>
        <w:tc>
          <w:tcPr>
            <w:tcW w:w="1177" w:type="pct"/>
            <w:shd w:val="clear" w:color="auto" w:fill="auto"/>
            <w:tcMar>
              <w:top w:w="15" w:type="dxa"/>
              <w:left w:w="108" w:type="dxa"/>
              <w:bottom w:w="0" w:type="dxa"/>
              <w:right w:w="108" w:type="dxa"/>
            </w:tcMar>
            <w:vAlign w:val="center"/>
          </w:tcPr>
          <w:p w14:paraId="5341EEB7" w14:textId="77777777" w:rsidR="00A40CA4" w:rsidRPr="0045541D" w:rsidRDefault="00A40CA4" w:rsidP="00874C71">
            <w:pPr>
              <w:pStyle w:val="TableText"/>
              <w:keepNext/>
              <w:keepLines/>
              <w:rPr>
                <w:lang w:val="en-US" w:eastAsia="en-AU"/>
              </w:rPr>
            </w:pPr>
            <w:r w:rsidRPr="0045541D">
              <w:rPr>
                <w:lang w:val="en-US" w:eastAsia="en-AU"/>
              </w:rPr>
              <w:t>-5.24 (2.192)</w:t>
            </w:r>
          </w:p>
        </w:tc>
        <w:tc>
          <w:tcPr>
            <w:tcW w:w="1177" w:type="pct"/>
            <w:shd w:val="clear" w:color="auto" w:fill="auto"/>
            <w:tcMar>
              <w:top w:w="15" w:type="dxa"/>
              <w:left w:w="108" w:type="dxa"/>
              <w:bottom w:w="0" w:type="dxa"/>
              <w:right w:w="108" w:type="dxa"/>
            </w:tcMar>
            <w:vAlign w:val="center"/>
          </w:tcPr>
          <w:p w14:paraId="236FC649" w14:textId="77777777" w:rsidR="00A40CA4" w:rsidRPr="0045541D" w:rsidRDefault="00A40CA4" w:rsidP="00874C71">
            <w:pPr>
              <w:pStyle w:val="TableText"/>
              <w:keepNext/>
              <w:keepLines/>
              <w:rPr>
                <w:lang w:val="en-US" w:eastAsia="en-AU"/>
              </w:rPr>
            </w:pPr>
            <w:r w:rsidRPr="0045541D">
              <w:rPr>
                <w:lang w:val="en-US" w:eastAsia="en-AU"/>
              </w:rPr>
              <w:t>-5.68 (1.979)</w:t>
            </w:r>
          </w:p>
        </w:tc>
      </w:tr>
      <w:tr w:rsidR="00122559" w:rsidRPr="00E40A38" w14:paraId="0B20E0CD" w14:textId="77777777" w:rsidTr="00F309BD">
        <w:trPr>
          <w:trHeight w:val="245"/>
        </w:trPr>
        <w:tc>
          <w:tcPr>
            <w:tcW w:w="1469" w:type="pct"/>
            <w:gridSpan w:val="2"/>
            <w:shd w:val="clear" w:color="auto" w:fill="auto"/>
            <w:tcMar>
              <w:top w:w="15" w:type="dxa"/>
              <w:left w:w="108" w:type="dxa"/>
              <w:bottom w:w="0" w:type="dxa"/>
              <w:right w:w="108" w:type="dxa"/>
            </w:tcMar>
            <w:vAlign w:val="center"/>
            <w:hideMark/>
          </w:tcPr>
          <w:p w14:paraId="0C5AF6B8" w14:textId="77777777" w:rsidR="00A40CA4" w:rsidRPr="00E40A38" w:rsidRDefault="00A40CA4" w:rsidP="00874C71">
            <w:pPr>
              <w:pStyle w:val="TableText"/>
              <w:keepNext/>
              <w:keepLines/>
              <w:rPr>
                <w:lang w:val="en-US" w:eastAsia="en-AU"/>
              </w:rPr>
            </w:pPr>
            <w:r w:rsidRPr="00E40A38">
              <w:rPr>
                <w:lang w:val="en-US" w:eastAsia="en-AU"/>
              </w:rPr>
              <w:t>95% CI</w:t>
            </w:r>
          </w:p>
        </w:tc>
        <w:tc>
          <w:tcPr>
            <w:tcW w:w="1177" w:type="pct"/>
            <w:shd w:val="clear" w:color="auto" w:fill="auto"/>
            <w:tcMar>
              <w:top w:w="15" w:type="dxa"/>
              <w:left w:w="108" w:type="dxa"/>
              <w:bottom w:w="0" w:type="dxa"/>
              <w:right w:w="108" w:type="dxa"/>
            </w:tcMar>
            <w:vAlign w:val="center"/>
          </w:tcPr>
          <w:p w14:paraId="18B7A42C" w14:textId="77777777" w:rsidR="00A40CA4" w:rsidRPr="00E40A38" w:rsidRDefault="00A40CA4" w:rsidP="00874C71">
            <w:pPr>
              <w:pStyle w:val="TableText"/>
              <w:keepNext/>
              <w:keepLines/>
              <w:rPr>
                <w:lang w:val="en-US" w:eastAsia="en-AU"/>
              </w:rPr>
            </w:pPr>
          </w:p>
        </w:tc>
        <w:tc>
          <w:tcPr>
            <w:tcW w:w="1177" w:type="pct"/>
            <w:shd w:val="clear" w:color="auto" w:fill="auto"/>
            <w:tcMar>
              <w:top w:w="15" w:type="dxa"/>
              <w:left w:w="108" w:type="dxa"/>
              <w:bottom w:w="0" w:type="dxa"/>
              <w:right w:w="108" w:type="dxa"/>
            </w:tcMar>
            <w:vAlign w:val="center"/>
          </w:tcPr>
          <w:p w14:paraId="5821EFB8" w14:textId="77777777" w:rsidR="00A40CA4" w:rsidRPr="0045541D" w:rsidRDefault="00A40CA4" w:rsidP="00874C71">
            <w:pPr>
              <w:pStyle w:val="TableText"/>
              <w:keepNext/>
              <w:keepLines/>
              <w:rPr>
                <w:lang w:val="en-US" w:eastAsia="en-AU"/>
              </w:rPr>
            </w:pPr>
            <w:r w:rsidRPr="0045541D">
              <w:rPr>
                <w:lang w:val="en-US" w:eastAsia="en-AU"/>
              </w:rPr>
              <w:t>-9.64, -0.85</w:t>
            </w:r>
          </w:p>
        </w:tc>
        <w:tc>
          <w:tcPr>
            <w:tcW w:w="1177" w:type="pct"/>
            <w:shd w:val="clear" w:color="auto" w:fill="auto"/>
            <w:tcMar>
              <w:top w:w="15" w:type="dxa"/>
              <w:left w:w="108" w:type="dxa"/>
              <w:bottom w:w="0" w:type="dxa"/>
              <w:right w:w="108" w:type="dxa"/>
            </w:tcMar>
            <w:vAlign w:val="center"/>
          </w:tcPr>
          <w:p w14:paraId="28F6477A" w14:textId="77777777" w:rsidR="00A40CA4" w:rsidRPr="0045541D" w:rsidRDefault="00A40CA4" w:rsidP="00874C71">
            <w:pPr>
              <w:pStyle w:val="TableText"/>
              <w:keepNext/>
              <w:keepLines/>
              <w:rPr>
                <w:lang w:val="en-US" w:eastAsia="en-AU"/>
              </w:rPr>
            </w:pPr>
            <w:r w:rsidRPr="0045541D">
              <w:rPr>
                <w:lang w:val="en-US" w:eastAsia="en-AU"/>
              </w:rPr>
              <w:t>-9.65, -1.71</w:t>
            </w:r>
          </w:p>
        </w:tc>
      </w:tr>
      <w:tr w:rsidR="00122559" w:rsidRPr="00E40A38" w14:paraId="49F68066" w14:textId="77777777" w:rsidTr="00F309BD">
        <w:trPr>
          <w:trHeight w:val="121"/>
        </w:trPr>
        <w:tc>
          <w:tcPr>
            <w:tcW w:w="1469" w:type="pct"/>
            <w:gridSpan w:val="2"/>
            <w:tcBorders>
              <w:bottom w:val="single" w:sz="4" w:space="0" w:color="auto"/>
            </w:tcBorders>
            <w:shd w:val="clear" w:color="auto" w:fill="auto"/>
            <w:tcMar>
              <w:top w:w="15" w:type="dxa"/>
              <w:left w:w="108" w:type="dxa"/>
              <w:bottom w:w="0" w:type="dxa"/>
              <w:right w:w="108" w:type="dxa"/>
            </w:tcMar>
            <w:vAlign w:val="center"/>
            <w:hideMark/>
          </w:tcPr>
          <w:p w14:paraId="075CC4E9" w14:textId="77777777" w:rsidR="00A40CA4" w:rsidRPr="00E40A38" w:rsidRDefault="00A40CA4" w:rsidP="00874C71">
            <w:pPr>
              <w:pStyle w:val="TableText"/>
              <w:keepNext/>
              <w:keepLines/>
              <w:rPr>
                <w:lang w:val="en-US" w:eastAsia="en-AU"/>
              </w:rPr>
            </w:pPr>
            <w:r w:rsidRPr="00E40A38">
              <w:rPr>
                <w:lang w:val="en-US" w:eastAsia="en-AU"/>
              </w:rPr>
              <w:t>One-sided p-value</w:t>
            </w:r>
          </w:p>
        </w:tc>
        <w:tc>
          <w:tcPr>
            <w:tcW w:w="1177" w:type="pct"/>
            <w:tcBorders>
              <w:bottom w:val="single" w:sz="4" w:space="0" w:color="auto"/>
            </w:tcBorders>
            <w:shd w:val="clear" w:color="auto" w:fill="auto"/>
            <w:tcMar>
              <w:top w:w="15" w:type="dxa"/>
              <w:left w:w="108" w:type="dxa"/>
              <w:bottom w:w="0" w:type="dxa"/>
              <w:right w:w="108" w:type="dxa"/>
            </w:tcMar>
            <w:vAlign w:val="center"/>
          </w:tcPr>
          <w:p w14:paraId="0CFAC71C" w14:textId="77777777" w:rsidR="00A40CA4" w:rsidRPr="00E40A38" w:rsidRDefault="00A40CA4" w:rsidP="00874C71">
            <w:pPr>
              <w:pStyle w:val="TableText"/>
              <w:keepNext/>
              <w:keepLines/>
              <w:rPr>
                <w:lang w:val="en-US" w:eastAsia="en-AU"/>
              </w:rPr>
            </w:pPr>
          </w:p>
        </w:tc>
        <w:tc>
          <w:tcPr>
            <w:tcW w:w="1177" w:type="pct"/>
            <w:tcBorders>
              <w:bottom w:val="single" w:sz="4" w:space="0" w:color="auto"/>
            </w:tcBorders>
            <w:shd w:val="clear" w:color="auto" w:fill="auto"/>
            <w:tcMar>
              <w:top w:w="15" w:type="dxa"/>
              <w:left w:w="108" w:type="dxa"/>
              <w:bottom w:w="0" w:type="dxa"/>
              <w:right w:w="108" w:type="dxa"/>
            </w:tcMar>
            <w:vAlign w:val="center"/>
          </w:tcPr>
          <w:p w14:paraId="0BB533F3" w14:textId="77777777" w:rsidR="00A40CA4" w:rsidRPr="0045541D" w:rsidRDefault="00A40CA4" w:rsidP="00874C71">
            <w:pPr>
              <w:pStyle w:val="TableText"/>
              <w:keepNext/>
              <w:keepLines/>
              <w:rPr>
                <w:lang w:val="en-US" w:eastAsia="en-AU"/>
              </w:rPr>
            </w:pPr>
            <w:r w:rsidRPr="0045541D">
              <w:rPr>
                <w:lang w:val="en-US" w:eastAsia="en-AU"/>
              </w:rPr>
              <w:t>0.0102</w:t>
            </w:r>
          </w:p>
        </w:tc>
        <w:tc>
          <w:tcPr>
            <w:tcW w:w="1177" w:type="pct"/>
            <w:tcBorders>
              <w:bottom w:val="single" w:sz="4" w:space="0" w:color="auto"/>
            </w:tcBorders>
            <w:shd w:val="clear" w:color="auto" w:fill="auto"/>
            <w:tcMar>
              <w:top w:w="15" w:type="dxa"/>
              <w:left w:w="108" w:type="dxa"/>
              <w:bottom w:w="0" w:type="dxa"/>
              <w:right w:w="108" w:type="dxa"/>
            </w:tcMar>
            <w:vAlign w:val="center"/>
          </w:tcPr>
          <w:p w14:paraId="41969C49" w14:textId="77777777" w:rsidR="00A40CA4" w:rsidRPr="0045541D" w:rsidRDefault="00A40CA4" w:rsidP="00874C71">
            <w:pPr>
              <w:pStyle w:val="TableText"/>
              <w:keepNext/>
              <w:keepLines/>
              <w:rPr>
                <w:lang w:val="en-US" w:eastAsia="en-AU"/>
              </w:rPr>
            </w:pPr>
            <w:r w:rsidRPr="0045541D">
              <w:rPr>
                <w:lang w:val="en-US" w:eastAsia="en-AU"/>
              </w:rPr>
              <w:t>0.0029</w:t>
            </w:r>
          </w:p>
        </w:tc>
      </w:tr>
      <w:tr w:rsidR="00A40CA4" w:rsidRPr="00E40A38" w14:paraId="3138D475" w14:textId="77777777" w:rsidTr="00F309BD">
        <w:trPr>
          <w:trHeight w:val="251"/>
        </w:trPr>
        <w:tc>
          <w:tcPr>
            <w:tcW w:w="1463" w:type="pct"/>
            <w:tcBorders>
              <w:right w:val="nil"/>
            </w:tcBorders>
            <w:shd w:val="clear" w:color="auto" w:fill="auto"/>
            <w:tcMar>
              <w:top w:w="15" w:type="dxa"/>
              <w:left w:w="108" w:type="dxa"/>
              <w:bottom w:w="0" w:type="dxa"/>
              <w:right w:w="108" w:type="dxa"/>
            </w:tcMar>
            <w:vAlign w:val="center"/>
          </w:tcPr>
          <w:p w14:paraId="7554B514" w14:textId="77777777" w:rsidR="00334B09" w:rsidRPr="00E40A38" w:rsidRDefault="00334B09" w:rsidP="00874C71">
            <w:pPr>
              <w:pStyle w:val="TableText"/>
              <w:keepNext/>
              <w:keepLines/>
              <w:rPr>
                <w:b/>
                <w:lang w:val="en-US" w:eastAsia="en-AU"/>
              </w:rPr>
            </w:pPr>
            <w:r w:rsidRPr="00E40A38">
              <w:rPr>
                <w:b/>
                <w:lang w:val="en-US" w:eastAsia="en-AU"/>
              </w:rPr>
              <w:t>Future</w:t>
            </w:r>
          </w:p>
        </w:tc>
        <w:tc>
          <w:tcPr>
            <w:tcW w:w="7" w:type="pct"/>
            <w:tcBorders>
              <w:left w:val="nil"/>
              <w:right w:val="nil"/>
            </w:tcBorders>
            <w:shd w:val="clear" w:color="auto" w:fill="auto"/>
            <w:vAlign w:val="center"/>
          </w:tcPr>
          <w:p w14:paraId="4DB3C736" w14:textId="77777777" w:rsidR="00334B09" w:rsidRPr="00E40A38" w:rsidRDefault="00334B09" w:rsidP="00874C71">
            <w:pPr>
              <w:pStyle w:val="TableText"/>
              <w:keepNext/>
              <w:keepLines/>
              <w:rPr>
                <w:b/>
                <w:lang w:val="en-US" w:eastAsia="en-AU"/>
              </w:rPr>
            </w:pPr>
          </w:p>
        </w:tc>
        <w:tc>
          <w:tcPr>
            <w:tcW w:w="1177" w:type="pct"/>
            <w:tcBorders>
              <w:left w:val="nil"/>
              <w:right w:val="nil"/>
            </w:tcBorders>
            <w:shd w:val="clear" w:color="auto" w:fill="auto"/>
            <w:vAlign w:val="center"/>
          </w:tcPr>
          <w:p w14:paraId="04EE41B5" w14:textId="77777777" w:rsidR="00334B09" w:rsidRPr="00E40A38" w:rsidRDefault="00334B09" w:rsidP="00874C71">
            <w:pPr>
              <w:pStyle w:val="TableText"/>
              <w:keepNext/>
              <w:keepLines/>
              <w:rPr>
                <w:b/>
                <w:lang w:val="en-US" w:eastAsia="en-AU"/>
              </w:rPr>
            </w:pPr>
          </w:p>
        </w:tc>
        <w:tc>
          <w:tcPr>
            <w:tcW w:w="2354" w:type="pct"/>
            <w:gridSpan w:val="2"/>
            <w:tcBorders>
              <w:left w:val="nil"/>
            </w:tcBorders>
            <w:shd w:val="clear" w:color="auto" w:fill="auto"/>
            <w:vAlign w:val="center"/>
          </w:tcPr>
          <w:p w14:paraId="10A8A7C4" w14:textId="6CF7B12B" w:rsidR="00A40CA4" w:rsidRPr="0045541D" w:rsidRDefault="00A40CA4" w:rsidP="00874C71">
            <w:pPr>
              <w:pStyle w:val="TableText"/>
              <w:keepNext/>
              <w:keepLines/>
              <w:rPr>
                <w:b/>
                <w:lang w:val="en-US" w:eastAsia="en-AU"/>
              </w:rPr>
            </w:pPr>
          </w:p>
        </w:tc>
      </w:tr>
      <w:tr w:rsidR="00122559" w:rsidRPr="00E40A38" w14:paraId="1C29348B" w14:textId="77777777" w:rsidTr="00F309BD">
        <w:trPr>
          <w:trHeight w:val="269"/>
        </w:trPr>
        <w:tc>
          <w:tcPr>
            <w:tcW w:w="1469" w:type="pct"/>
            <w:gridSpan w:val="2"/>
            <w:shd w:val="clear" w:color="auto" w:fill="auto"/>
            <w:tcMar>
              <w:top w:w="15" w:type="dxa"/>
              <w:left w:w="108" w:type="dxa"/>
              <w:bottom w:w="0" w:type="dxa"/>
              <w:right w:w="108" w:type="dxa"/>
            </w:tcMar>
            <w:vAlign w:val="center"/>
            <w:hideMark/>
          </w:tcPr>
          <w:p w14:paraId="6C3B6691" w14:textId="77777777" w:rsidR="00A40CA4" w:rsidRPr="00E40A38" w:rsidRDefault="00A40CA4" w:rsidP="00874C71">
            <w:pPr>
              <w:pStyle w:val="TableText"/>
              <w:keepNext/>
              <w:keepLines/>
              <w:rPr>
                <w:lang w:val="en-US" w:eastAsia="en-AU"/>
              </w:rPr>
            </w:pPr>
            <w:r w:rsidRPr="00E40A38">
              <w:rPr>
                <w:lang w:val="en-US" w:eastAsia="en-AU"/>
              </w:rPr>
              <w:t>LS mean (SE)</w:t>
            </w:r>
          </w:p>
        </w:tc>
        <w:tc>
          <w:tcPr>
            <w:tcW w:w="1177" w:type="pct"/>
            <w:shd w:val="clear" w:color="auto" w:fill="auto"/>
            <w:tcMar>
              <w:top w:w="15" w:type="dxa"/>
              <w:left w:w="108" w:type="dxa"/>
              <w:bottom w:w="0" w:type="dxa"/>
              <w:right w:w="108" w:type="dxa"/>
            </w:tcMar>
            <w:vAlign w:val="center"/>
          </w:tcPr>
          <w:p w14:paraId="3DDAAF41" w14:textId="77777777" w:rsidR="00A40CA4" w:rsidRPr="00E40A38" w:rsidRDefault="00A40CA4" w:rsidP="00874C71">
            <w:pPr>
              <w:pStyle w:val="TableText"/>
              <w:keepNext/>
              <w:keepLines/>
              <w:rPr>
                <w:lang w:val="en-US" w:eastAsia="en-AU"/>
              </w:rPr>
            </w:pPr>
            <w:r w:rsidRPr="00E40A38">
              <w:rPr>
                <w:lang w:val="en-US" w:eastAsia="en-AU"/>
              </w:rPr>
              <w:t>-5.02 (1.736)</w:t>
            </w:r>
          </w:p>
        </w:tc>
        <w:tc>
          <w:tcPr>
            <w:tcW w:w="1177" w:type="pct"/>
            <w:shd w:val="clear" w:color="auto" w:fill="auto"/>
            <w:tcMar>
              <w:top w:w="15" w:type="dxa"/>
              <w:left w:w="108" w:type="dxa"/>
              <w:bottom w:w="0" w:type="dxa"/>
              <w:right w:w="108" w:type="dxa"/>
            </w:tcMar>
            <w:vAlign w:val="center"/>
          </w:tcPr>
          <w:p w14:paraId="09821DB8" w14:textId="77777777" w:rsidR="00A40CA4" w:rsidRPr="0045541D" w:rsidRDefault="00A40CA4" w:rsidP="00874C71">
            <w:pPr>
              <w:pStyle w:val="TableText"/>
              <w:keepNext/>
              <w:keepLines/>
              <w:rPr>
                <w:lang w:val="en-US" w:eastAsia="en-AU"/>
              </w:rPr>
            </w:pPr>
            <w:r w:rsidRPr="0045541D">
              <w:rPr>
                <w:lang w:val="en-US" w:eastAsia="en-AU"/>
              </w:rPr>
              <w:t>-6.57 (1.828)</w:t>
            </w:r>
          </w:p>
        </w:tc>
        <w:tc>
          <w:tcPr>
            <w:tcW w:w="1177" w:type="pct"/>
            <w:shd w:val="clear" w:color="auto" w:fill="auto"/>
            <w:tcMar>
              <w:top w:w="15" w:type="dxa"/>
              <w:left w:w="108" w:type="dxa"/>
              <w:bottom w:w="0" w:type="dxa"/>
              <w:right w:w="108" w:type="dxa"/>
            </w:tcMar>
            <w:vAlign w:val="center"/>
          </w:tcPr>
          <w:p w14:paraId="5FBACBCC" w14:textId="77777777" w:rsidR="00A40CA4" w:rsidRPr="0045541D" w:rsidRDefault="00A40CA4" w:rsidP="00874C71">
            <w:pPr>
              <w:pStyle w:val="TableText"/>
              <w:keepNext/>
              <w:keepLines/>
              <w:rPr>
                <w:lang w:val="en-US" w:eastAsia="en-AU"/>
              </w:rPr>
            </w:pPr>
            <w:r w:rsidRPr="0045541D">
              <w:rPr>
                <w:lang w:val="en-US" w:eastAsia="en-AU"/>
              </w:rPr>
              <w:t>-5.75 (2.094)</w:t>
            </w:r>
          </w:p>
        </w:tc>
      </w:tr>
      <w:tr w:rsidR="00122559" w:rsidRPr="00E40A38" w14:paraId="309509E3" w14:textId="77777777" w:rsidTr="00F309BD">
        <w:trPr>
          <w:trHeight w:val="245"/>
        </w:trPr>
        <w:tc>
          <w:tcPr>
            <w:tcW w:w="1469" w:type="pct"/>
            <w:gridSpan w:val="2"/>
            <w:shd w:val="clear" w:color="auto" w:fill="auto"/>
            <w:tcMar>
              <w:top w:w="15" w:type="dxa"/>
              <w:left w:w="108" w:type="dxa"/>
              <w:bottom w:w="0" w:type="dxa"/>
              <w:right w:w="108" w:type="dxa"/>
            </w:tcMar>
            <w:vAlign w:val="center"/>
            <w:hideMark/>
          </w:tcPr>
          <w:p w14:paraId="73D16D65" w14:textId="77777777" w:rsidR="00A40CA4" w:rsidRPr="00E40A38" w:rsidRDefault="00A40CA4" w:rsidP="00874C71">
            <w:pPr>
              <w:pStyle w:val="TableText"/>
              <w:keepNext/>
              <w:keepLines/>
              <w:rPr>
                <w:lang w:val="en-US" w:eastAsia="en-AU"/>
              </w:rPr>
            </w:pPr>
            <w:r w:rsidRPr="00E40A38">
              <w:rPr>
                <w:lang w:val="en-US" w:eastAsia="en-AU"/>
              </w:rPr>
              <w:t>95% CI</w:t>
            </w:r>
          </w:p>
        </w:tc>
        <w:tc>
          <w:tcPr>
            <w:tcW w:w="1177" w:type="pct"/>
            <w:shd w:val="clear" w:color="auto" w:fill="auto"/>
            <w:tcMar>
              <w:top w:w="15" w:type="dxa"/>
              <w:left w:w="108" w:type="dxa"/>
              <w:bottom w:w="0" w:type="dxa"/>
              <w:right w:w="108" w:type="dxa"/>
            </w:tcMar>
            <w:vAlign w:val="center"/>
          </w:tcPr>
          <w:p w14:paraId="445E9EAC" w14:textId="77777777" w:rsidR="00A40CA4" w:rsidRPr="00E40A38" w:rsidRDefault="00A40CA4" w:rsidP="00874C71">
            <w:pPr>
              <w:pStyle w:val="TableText"/>
              <w:keepNext/>
              <w:keepLines/>
              <w:rPr>
                <w:lang w:val="en-US" w:eastAsia="en-AU"/>
              </w:rPr>
            </w:pPr>
            <w:r w:rsidRPr="00E40A38">
              <w:rPr>
                <w:lang w:val="en-US" w:eastAsia="en-AU"/>
              </w:rPr>
              <w:t>-8.45, -1.58</w:t>
            </w:r>
          </w:p>
        </w:tc>
        <w:tc>
          <w:tcPr>
            <w:tcW w:w="1177" w:type="pct"/>
            <w:shd w:val="clear" w:color="auto" w:fill="auto"/>
            <w:tcMar>
              <w:top w:w="15" w:type="dxa"/>
              <w:left w:w="108" w:type="dxa"/>
              <w:bottom w:w="0" w:type="dxa"/>
              <w:right w:w="108" w:type="dxa"/>
            </w:tcMar>
            <w:vAlign w:val="center"/>
          </w:tcPr>
          <w:p w14:paraId="7CFA045F" w14:textId="77777777" w:rsidR="00A40CA4" w:rsidRPr="0045541D" w:rsidRDefault="00A40CA4" w:rsidP="00874C71">
            <w:pPr>
              <w:pStyle w:val="TableText"/>
              <w:keepNext/>
              <w:keepLines/>
              <w:rPr>
                <w:lang w:val="en-US" w:eastAsia="en-AU"/>
              </w:rPr>
            </w:pPr>
            <w:r w:rsidRPr="0045541D">
              <w:rPr>
                <w:lang w:val="en-US" w:eastAsia="en-AU"/>
              </w:rPr>
              <w:t>-10.24, -2.90</w:t>
            </w:r>
          </w:p>
        </w:tc>
        <w:tc>
          <w:tcPr>
            <w:tcW w:w="1177" w:type="pct"/>
            <w:shd w:val="clear" w:color="auto" w:fill="auto"/>
            <w:tcMar>
              <w:top w:w="15" w:type="dxa"/>
              <w:left w:w="108" w:type="dxa"/>
              <w:bottom w:w="0" w:type="dxa"/>
              <w:right w:w="108" w:type="dxa"/>
            </w:tcMar>
            <w:vAlign w:val="center"/>
          </w:tcPr>
          <w:p w14:paraId="1E86B330" w14:textId="77777777" w:rsidR="00A40CA4" w:rsidRPr="0045541D" w:rsidRDefault="00A40CA4" w:rsidP="00874C71">
            <w:pPr>
              <w:pStyle w:val="TableText"/>
              <w:keepNext/>
              <w:keepLines/>
              <w:rPr>
                <w:lang w:val="en-US" w:eastAsia="en-AU"/>
              </w:rPr>
            </w:pPr>
            <w:r w:rsidRPr="0045541D">
              <w:rPr>
                <w:lang w:val="en-US" w:eastAsia="en-AU"/>
              </w:rPr>
              <w:t>-9.95, -1.55</w:t>
            </w:r>
          </w:p>
        </w:tc>
      </w:tr>
      <w:tr w:rsidR="00122559" w:rsidRPr="00E40A38" w14:paraId="174EBF37" w14:textId="77777777" w:rsidTr="00F309BD">
        <w:trPr>
          <w:trHeight w:val="121"/>
        </w:trPr>
        <w:tc>
          <w:tcPr>
            <w:tcW w:w="1469" w:type="pct"/>
            <w:gridSpan w:val="2"/>
            <w:shd w:val="clear" w:color="auto" w:fill="auto"/>
            <w:tcMar>
              <w:top w:w="15" w:type="dxa"/>
              <w:left w:w="108" w:type="dxa"/>
              <w:bottom w:w="0" w:type="dxa"/>
              <w:right w:w="108" w:type="dxa"/>
            </w:tcMar>
            <w:vAlign w:val="center"/>
            <w:hideMark/>
          </w:tcPr>
          <w:p w14:paraId="60A90DF3" w14:textId="77777777" w:rsidR="00A40CA4" w:rsidRPr="00E40A38" w:rsidRDefault="00A40CA4" w:rsidP="00874C71">
            <w:pPr>
              <w:pStyle w:val="TableText"/>
              <w:keepNext/>
              <w:keepLines/>
              <w:rPr>
                <w:lang w:val="en-US" w:eastAsia="en-AU"/>
              </w:rPr>
            </w:pPr>
            <w:r w:rsidRPr="00E40A38">
              <w:rPr>
                <w:lang w:val="en-US" w:eastAsia="en-AU"/>
              </w:rPr>
              <w:t>One-sided p-value</w:t>
            </w:r>
          </w:p>
        </w:tc>
        <w:tc>
          <w:tcPr>
            <w:tcW w:w="1177" w:type="pct"/>
            <w:shd w:val="clear" w:color="auto" w:fill="auto"/>
            <w:tcMar>
              <w:top w:w="15" w:type="dxa"/>
              <w:left w:w="108" w:type="dxa"/>
              <w:bottom w:w="0" w:type="dxa"/>
              <w:right w:w="108" w:type="dxa"/>
            </w:tcMar>
            <w:vAlign w:val="center"/>
          </w:tcPr>
          <w:p w14:paraId="5088FDDD" w14:textId="77777777" w:rsidR="00A40CA4" w:rsidRPr="00E40A38" w:rsidRDefault="00A40CA4" w:rsidP="00874C71">
            <w:pPr>
              <w:pStyle w:val="TableText"/>
              <w:keepNext/>
              <w:keepLines/>
              <w:rPr>
                <w:lang w:val="en-US" w:eastAsia="en-AU"/>
              </w:rPr>
            </w:pPr>
            <w:r w:rsidRPr="00E40A38">
              <w:rPr>
                <w:lang w:val="en-US" w:eastAsia="en-AU"/>
              </w:rPr>
              <w:t>0.0023</w:t>
            </w:r>
          </w:p>
        </w:tc>
        <w:tc>
          <w:tcPr>
            <w:tcW w:w="1177" w:type="pct"/>
            <w:shd w:val="clear" w:color="auto" w:fill="auto"/>
            <w:tcMar>
              <w:top w:w="15" w:type="dxa"/>
              <w:left w:w="108" w:type="dxa"/>
              <w:bottom w:w="0" w:type="dxa"/>
              <w:right w:w="108" w:type="dxa"/>
            </w:tcMar>
            <w:vAlign w:val="center"/>
          </w:tcPr>
          <w:p w14:paraId="327FF847" w14:textId="77777777" w:rsidR="00A40CA4" w:rsidRPr="0045541D" w:rsidRDefault="00A40CA4" w:rsidP="00874C71">
            <w:pPr>
              <w:pStyle w:val="TableText"/>
              <w:keepNext/>
              <w:keepLines/>
              <w:rPr>
                <w:lang w:val="en-US" w:eastAsia="en-AU"/>
              </w:rPr>
            </w:pPr>
            <w:r w:rsidRPr="0045541D">
              <w:rPr>
                <w:lang w:val="en-US" w:eastAsia="en-AU"/>
              </w:rPr>
              <w:t>0.0004</w:t>
            </w:r>
          </w:p>
        </w:tc>
        <w:tc>
          <w:tcPr>
            <w:tcW w:w="1177" w:type="pct"/>
            <w:shd w:val="clear" w:color="auto" w:fill="auto"/>
            <w:tcMar>
              <w:top w:w="15" w:type="dxa"/>
              <w:left w:w="108" w:type="dxa"/>
              <w:bottom w:w="0" w:type="dxa"/>
              <w:right w:w="108" w:type="dxa"/>
            </w:tcMar>
            <w:vAlign w:val="center"/>
          </w:tcPr>
          <w:p w14:paraId="72649255" w14:textId="77777777" w:rsidR="00A40CA4" w:rsidRPr="0045541D" w:rsidRDefault="00A40CA4" w:rsidP="00874C71">
            <w:pPr>
              <w:pStyle w:val="TableText"/>
              <w:keepNext/>
              <w:keepLines/>
              <w:rPr>
                <w:lang w:val="en-US" w:eastAsia="en-AU"/>
              </w:rPr>
            </w:pPr>
            <w:r w:rsidRPr="0045541D">
              <w:rPr>
                <w:lang w:val="en-US" w:eastAsia="en-AU"/>
              </w:rPr>
              <w:t>0.0041</w:t>
            </w:r>
          </w:p>
        </w:tc>
      </w:tr>
    </w:tbl>
    <w:p w14:paraId="3C48313C" w14:textId="6DF15CFC" w:rsidR="002C6259" w:rsidRPr="00E40A38" w:rsidRDefault="008818CB" w:rsidP="00874C71">
      <w:pPr>
        <w:pStyle w:val="CommentaryTablenotes"/>
        <w:keepNext/>
        <w:keepLines/>
        <w:rPr>
          <w:color w:val="auto"/>
        </w:rPr>
      </w:pPr>
      <w:r w:rsidRPr="00E40A38">
        <w:rPr>
          <w:color w:val="auto"/>
        </w:rPr>
        <w:t>LS = least squares; SE = standard error</w:t>
      </w:r>
      <w:r w:rsidR="0096007A" w:rsidRPr="00E40A38">
        <w:rPr>
          <w:color w:val="auto"/>
        </w:rPr>
        <w:t>.</w:t>
      </w:r>
    </w:p>
    <w:p w14:paraId="430A7008" w14:textId="79CA59B3" w:rsidR="00A40CA4" w:rsidRPr="00E40A38" w:rsidRDefault="00A40CA4" w:rsidP="00874C71">
      <w:pPr>
        <w:pStyle w:val="CommentaryTablenotes"/>
        <w:keepNext/>
        <w:keepLines/>
        <w:rPr>
          <w:color w:val="auto"/>
        </w:rPr>
      </w:pPr>
      <w:r w:rsidRPr="00E40A38">
        <w:rPr>
          <w:color w:val="auto"/>
        </w:rPr>
        <w:t>Source:</w:t>
      </w:r>
      <w:r w:rsidRPr="00E40A38" w:rsidDel="008818CB">
        <w:rPr>
          <w:color w:val="auto"/>
        </w:rPr>
        <w:t xml:space="preserve"> Table</w:t>
      </w:r>
      <w:r w:rsidR="008818CB" w:rsidRPr="00E40A38">
        <w:rPr>
          <w:color w:val="auto"/>
        </w:rPr>
        <w:t xml:space="preserve"> 2-27 of MSAC 1728 </w:t>
      </w:r>
      <w:proofErr w:type="spellStart"/>
      <w:r w:rsidR="008818CB" w:rsidRPr="00E40A38">
        <w:rPr>
          <w:color w:val="auto"/>
        </w:rPr>
        <w:t>ADAR+in-line</w:t>
      </w:r>
      <w:proofErr w:type="spellEnd"/>
      <w:r w:rsidR="008818CB" w:rsidRPr="00E40A38">
        <w:rPr>
          <w:color w:val="auto"/>
        </w:rPr>
        <w:t xml:space="preserve"> commentary.</w:t>
      </w:r>
      <w:r w:rsidRPr="00E40A38">
        <w:rPr>
          <w:color w:val="auto"/>
        </w:rPr>
        <w:t xml:space="preserve"> </w:t>
      </w:r>
    </w:p>
    <w:p w14:paraId="307C5F0E" w14:textId="77777777" w:rsidR="00BD3F8E" w:rsidRPr="00E40A38" w:rsidRDefault="00BD3F8E" w:rsidP="00BD3F8E">
      <w:pPr>
        <w:pStyle w:val="Heading4"/>
      </w:pPr>
      <w:r w:rsidRPr="00E40A38">
        <w:t>Other outcomes</w:t>
      </w:r>
    </w:p>
    <w:p w14:paraId="2E577554" w14:textId="627C7B55" w:rsidR="00BD3F8E" w:rsidRPr="00E40A38" w:rsidRDefault="00BD3F8E" w:rsidP="00BD3F8E">
      <w:r w:rsidRPr="00E40A38">
        <w:t xml:space="preserve">Data on target joints presented </w:t>
      </w:r>
      <w:r w:rsidR="00C23551" w:rsidRPr="00E40A38">
        <w:t>in</w:t>
      </w:r>
      <w:r w:rsidRPr="00E40A38">
        <w:t xml:space="preserve"> the </w:t>
      </w:r>
      <w:r w:rsidR="00C23551" w:rsidRPr="00E40A38">
        <w:t>ADAR</w:t>
      </w:r>
      <w:r w:rsidRPr="00E40A38">
        <w:t xml:space="preserve"> were </w:t>
      </w:r>
      <w:r w:rsidR="00AD641A" w:rsidRPr="00E40A38">
        <w:t>limited</w:t>
      </w:r>
      <w:r w:rsidRPr="00E40A38">
        <w:t xml:space="preserve">. </w:t>
      </w:r>
    </w:p>
    <w:p w14:paraId="6C3CD7CD" w14:textId="5C4FF151" w:rsidR="00BD3F8E" w:rsidRPr="00E40A38" w:rsidRDefault="00BD3F8E" w:rsidP="00BD3F8E">
      <w:r w:rsidRPr="00E40A38">
        <w:t xml:space="preserve">Haemophilia </w:t>
      </w:r>
      <w:r w:rsidR="00042426" w:rsidRPr="00E40A38">
        <w:t>J</w:t>
      </w:r>
      <w:r w:rsidRPr="00E40A38">
        <w:t xml:space="preserve">oint </w:t>
      </w:r>
      <w:r w:rsidR="00042426" w:rsidRPr="00E40A38">
        <w:t>H</w:t>
      </w:r>
      <w:r w:rsidRPr="00E40A38">
        <w:t xml:space="preserve">ealth </w:t>
      </w:r>
      <w:r w:rsidR="00042426" w:rsidRPr="00E40A38">
        <w:t>S</w:t>
      </w:r>
      <w:r w:rsidRPr="00E40A38">
        <w:t xml:space="preserve">core (HJHS) </w:t>
      </w:r>
      <w:r w:rsidR="00042426" w:rsidRPr="00E40A38">
        <w:t xml:space="preserve">was </w:t>
      </w:r>
      <w:r w:rsidRPr="00E40A38">
        <w:t xml:space="preserve">not </w:t>
      </w:r>
      <w:r w:rsidR="00042426" w:rsidRPr="00E40A38">
        <w:t xml:space="preserve">a </w:t>
      </w:r>
      <w:r w:rsidRPr="00E40A38">
        <w:t xml:space="preserve">specified </w:t>
      </w:r>
      <w:r w:rsidR="003E6D06" w:rsidRPr="00E40A38">
        <w:t>outcome</w:t>
      </w:r>
      <w:r w:rsidR="00042426" w:rsidRPr="00E40A38">
        <w:t xml:space="preserve"> </w:t>
      </w:r>
      <w:r w:rsidRPr="00E40A38">
        <w:t xml:space="preserve">in the ratified PICO confirmation, but the </w:t>
      </w:r>
      <w:r w:rsidR="00AD641A" w:rsidRPr="00E40A38">
        <w:t>c</w:t>
      </w:r>
      <w:r w:rsidRPr="00E40A38">
        <w:t xml:space="preserve">ommentary noted a measurable improvement was reported using this </w:t>
      </w:r>
      <w:r w:rsidR="003E6D06" w:rsidRPr="00E40A38">
        <w:t>instrument</w:t>
      </w:r>
      <w:r w:rsidRPr="00E40A38">
        <w:t xml:space="preserve">. The 3-year data reported the largest improvement thus far (following statistically significant improvements at 18 and 24 months), which suggested joint health was continuing to improve at 36 months. </w:t>
      </w:r>
    </w:p>
    <w:p w14:paraId="752FCDD4" w14:textId="6ADFF688" w:rsidR="00BD3F8E" w:rsidRPr="00E40A38" w:rsidRDefault="00BD3F8E" w:rsidP="00BD3F8E">
      <w:pPr>
        <w:pStyle w:val="Heading4"/>
      </w:pPr>
      <w:r w:rsidRPr="00E40A38">
        <w:t xml:space="preserve">Conclusion regarding </w:t>
      </w:r>
      <w:r w:rsidR="0086094F" w:rsidRPr="00E40A38">
        <w:t>effectiveness</w:t>
      </w:r>
    </w:p>
    <w:p w14:paraId="45F82FAF" w14:textId="3B4EE24A" w:rsidR="00BD3F8E" w:rsidRPr="00D56B1F" w:rsidRDefault="00BD3F8E" w:rsidP="00BD3F8E">
      <w:r w:rsidRPr="00E40A38">
        <w:t>The HOPE-B study show</w:t>
      </w:r>
      <w:r w:rsidR="00126CF7" w:rsidRPr="00E40A38">
        <w:t>ed</w:t>
      </w:r>
      <w:r w:rsidRPr="00E40A38">
        <w:t xml:space="preserve"> a significant benefit over 36 months follow-up in terms of bleeds, FIX activity and FIX use, and to a lesser extent in terms of joint health and quality of life, although there </w:t>
      </w:r>
      <w:r w:rsidR="009C005B" w:rsidRPr="00E40A38">
        <w:t>we</w:t>
      </w:r>
      <w:r w:rsidRPr="00E40A38">
        <w:t xml:space="preserve">re variations in response across the cohort. The size of the effect </w:t>
      </w:r>
      <w:r w:rsidR="009C005B" w:rsidRPr="00E40A38">
        <w:t>wa</w:t>
      </w:r>
      <w:r w:rsidRPr="00E40A38">
        <w:t>s substantial and suggest</w:t>
      </w:r>
      <w:r w:rsidR="009C005B" w:rsidRPr="00E40A38">
        <w:t>ed</w:t>
      </w:r>
      <w:r w:rsidRPr="00E40A38">
        <w:t xml:space="preserve"> that despite the low-level evidence - lacking in a parallel control group - treatment </w:t>
      </w:r>
      <w:r w:rsidRPr="00D56B1F">
        <w:t xml:space="preserve">efficacy </w:t>
      </w:r>
      <w:r w:rsidR="009C005B" w:rsidRPr="00D56B1F">
        <w:t>wa</w:t>
      </w:r>
      <w:r w:rsidRPr="00D56B1F">
        <w:t xml:space="preserve">s supported. However, the magnitude of this benefit compared to best standard of care and the durability of these effects </w:t>
      </w:r>
      <w:r w:rsidR="009C005B" w:rsidRPr="00D56B1F" w:rsidDel="00DF682A">
        <w:t>wa</w:t>
      </w:r>
      <w:r w:rsidRPr="00D56B1F" w:rsidDel="00DF682A">
        <w:t xml:space="preserve">s </w:t>
      </w:r>
      <w:r w:rsidRPr="00D56B1F">
        <w:t>uncertain.</w:t>
      </w:r>
    </w:p>
    <w:p w14:paraId="5D4A152E" w14:textId="08812832" w:rsidR="00BD3F8E" w:rsidRPr="00E40A38" w:rsidRDefault="00BD3F8E" w:rsidP="00BD3F8E">
      <w:r w:rsidRPr="00D56B1F">
        <w:t>Based on the data cut</w:t>
      </w:r>
      <w:r w:rsidR="00360049" w:rsidRPr="00D56B1F">
        <w:t>-</w:t>
      </w:r>
      <w:r w:rsidRPr="00D56B1F">
        <w:t xml:space="preserve">offs from the HOPE-B 3-year data, results of visits up to 4 years should be available from </w:t>
      </w:r>
      <w:r w:rsidR="0040008A" w:rsidRPr="00D56B1F">
        <w:rPr>
          <w:b/>
          <w:bCs/>
        </w:rPr>
        <w:t>redacted</w:t>
      </w:r>
      <w:r w:rsidRPr="00D56B1F">
        <w:t>.</w:t>
      </w:r>
      <w:r w:rsidRPr="00E40A38">
        <w:t xml:space="preserve"> </w:t>
      </w:r>
    </w:p>
    <w:p w14:paraId="383FAA36" w14:textId="44467F8C" w:rsidR="00161BC7" w:rsidRPr="00E40A38" w:rsidRDefault="00633BFA" w:rsidP="00633BFA">
      <w:pPr>
        <w:pStyle w:val="Heading3"/>
      </w:pPr>
      <w:r w:rsidRPr="00E40A38">
        <w:t xml:space="preserve">Anti-AAV5 </w:t>
      </w:r>
      <w:proofErr w:type="spellStart"/>
      <w:r w:rsidRPr="00E40A38">
        <w:t>NAb</w:t>
      </w:r>
      <w:proofErr w:type="spellEnd"/>
      <w:r w:rsidRPr="00E40A38">
        <w:t xml:space="preserve"> titre </w:t>
      </w:r>
      <w:proofErr w:type="gramStart"/>
      <w:r w:rsidRPr="00E40A38">
        <w:t>assay</w:t>
      </w:r>
      <w:proofErr w:type="gramEnd"/>
    </w:p>
    <w:p w14:paraId="0F035444" w14:textId="43F89820" w:rsidR="00354EDD" w:rsidRPr="00E40A38" w:rsidRDefault="00354EDD" w:rsidP="00354EDD">
      <w:pPr>
        <w:pStyle w:val="Heading4"/>
      </w:pPr>
      <w:r w:rsidRPr="00E40A38">
        <w:t>Direct evidence</w:t>
      </w:r>
    </w:p>
    <w:p w14:paraId="0DC4718C" w14:textId="345F5D93" w:rsidR="00354EDD" w:rsidRPr="00E40A38" w:rsidRDefault="00354EDD" w:rsidP="00354EDD">
      <w:r w:rsidRPr="00E40A38">
        <w:t>During the HOPE-B</w:t>
      </w:r>
      <w:r w:rsidRPr="00E40A38" w:rsidDel="00412BE2">
        <w:t xml:space="preserve"> </w:t>
      </w:r>
      <w:r w:rsidRPr="00E40A38">
        <w:t xml:space="preserve">study, patients were tested for anti-AAV5 titre at screening and then at each of the monthly visits prior to </w:t>
      </w:r>
      <w:r w:rsidR="004A7023">
        <w:t>Hem</w:t>
      </w:r>
      <w:r w:rsidR="00B05CF7">
        <w:t>g</w:t>
      </w:r>
      <w:r w:rsidR="004A7023">
        <w:t>enix</w:t>
      </w:r>
      <w:r w:rsidRPr="00E40A38">
        <w:t xml:space="preserve"> infusion. The pre-treatment value on the day of infusion was reported as the patient’s titre</w:t>
      </w:r>
      <w:r w:rsidRPr="00E40A38">
        <w:rPr>
          <w:rStyle w:val="Commentarytextitalics-AGvoiceChar"/>
          <w:iCs/>
          <w:color w:val="auto"/>
        </w:rPr>
        <w:t xml:space="preserve">. </w:t>
      </w:r>
      <w:r w:rsidRPr="00E40A38">
        <w:t xml:space="preserve">Of the 54 treated participants, 21 were positive for anti-AAV5 </w:t>
      </w:r>
      <w:proofErr w:type="spellStart"/>
      <w:r w:rsidRPr="00E40A38">
        <w:t>NAbs</w:t>
      </w:r>
      <w:proofErr w:type="spellEnd"/>
      <w:r w:rsidRPr="00E40A38">
        <w:t xml:space="preserve">. There was limited variability in the pre-treatment titre recorded at each visit. Where variability was observed, it is unknown if this was due to natural variability in the patient or due to the nature of the AAV5 </w:t>
      </w:r>
      <w:proofErr w:type="spellStart"/>
      <w:r w:rsidRPr="00E40A38">
        <w:t>NAb</w:t>
      </w:r>
      <w:proofErr w:type="spellEnd"/>
      <w:r w:rsidRPr="00E40A38">
        <w:t xml:space="preserve"> test. </w:t>
      </w:r>
    </w:p>
    <w:p w14:paraId="4444CE38" w14:textId="03DD44A6" w:rsidR="00354EDD" w:rsidRPr="0045541D" w:rsidRDefault="00354EDD" w:rsidP="00354EDD">
      <w:r w:rsidRPr="00E40A38">
        <w:t>Levels of endogenous FIX were numerically lower in the AAV positive titre group at all time points</w:t>
      </w:r>
      <w:r w:rsidR="00D5575B" w:rsidRPr="00E40A38">
        <w:t>,</w:t>
      </w:r>
      <w:r w:rsidRPr="00E40A38">
        <w:t xml:space="preserve"> but the difference was not statistically significant (</w:t>
      </w:r>
      <w:r w:rsidRPr="00E40A38">
        <w:fldChar w:fldCharType="begin"/>
      </w:r>
      <w:r w:rsidRPr="00E40A38">
        <w:instrText xml:space="preserve"> REF _Ref69731485 \h  \* MERGEFORMAT </w:instrText>
      </w:r>
      <w:r w:rsidRPr="00E40A38">
        <w:fldChar w:fldCharType="separate"/>
      </w:r>
      <w:r w:rsidR="007207A8" w:rsidRPr="00E40A38">
        <w:t>Figure </w:t>
      </w:r>
      <w:r w:rsidR="007207A8">
        <w:t>4</w:t>
      </w:r>
      <w:r w:rsidRPr="00E40A38">
        <w:fldChar w:fldCharType="end"/>
      </w:r>
      <w:r w:rsidRPr="00E40A38">
        <w:t>)</w:t>
      </w:r>
      <w:r w:rsidR="00A24148" w:rsidRPr="00E40A38">
        <w:t>.</w:t>
      </w:r>
      <w:r w:rsidRPr="00E40A38">
        <w:t xml:space="preserve"> </w:t>
      </w:r>
      <w:r w:rsidR="00A24148" w:rsidRPr="00E40A38">
        <w:t>A</w:t>
      </w:r>
      <w:r w:rsidRPr="00E40A38">
        <w:t xml:space="preserve">lthough linear regression indicated a trend to lower mean FIX activity in patients with higher anti-AAV5 </w:t>
      </w:r>
      <w:proofErr w:type="spellStart"/>
      <w:r w:rsidRPr="00E40A38">
        <w:t>NAb</w:t>
      </w:r>
      <w:proofErr w:type="spellEnd"/>
      <w:r w:rsidRPr="00E40A38">
        <w:t xml:space="preserve"> titres at baseline, this was also non-significant. Data were not available for a subgroup analysis of patients above versus </w:t>
      </w:r>
      <w:r w:rsidRPr="0045541D">
        <w:t xml:space="preserve">those below an AAV5 titre threshold (such as 1:100 or 1:300), which may have been informative. </w:t>
      </w:r>
    </w:p>
    <w:p w14:paraId="1EA80354" w14:textId="47F83024" w:rsidR="00354EDD" w:rsidRPr="0045541D" w:rsidRDefault="00354EDD" w:rsidP="00354EDD">
      <w:pPr>
        <w:pStyle w:val="Caption"/>
      </w:pPr>
      <w:bookmarkStart w:id="38" w:name="_Ref69731485"/>
      <w:bookmarkStart w:id="39" w:name="_Ref162350662"/>
      <w:r w:rsidRPr="0045541D">
        <w:t>Figure </w:t>
      </w:r>
      <w:r w:rsidR="00CC66FD" w:rsidRPr="0045541D">
        <w:fldChar w:fldCharType="begin"/>
      </w:r>
      <w:r w:rsidR="00CC66FD" w:rsidRPr="0045541D">
        <w:instrText xml:space="preserve"> SEQ Figure \* ARABIC </w:instrText>
      </w:r>
      <w:r w:rsidR="00CC66FD" w:rsidRPr="0045541D">
        <w:fldChar w:fldCharType="separate"/>
      </w:r>
      <w:r w:rsidR="007207A8" w:rsidRPr="0045541D">
        <w:rPr>
          <w:noProof/>
        </w:rPr>
        <w:t>4</w:t>
      </w:r>
      <w:r w:rsidR="00CC66FD" w:rsidRPr="0045541D">
        <w:rPr>
          <w:noProof/>
        </w:rPr>
        <w:fldChar w:fldCharType="end"/>
      </w:r>
      <w:bookmarkEnd w:id="38"/>
      <w:r w:rsidRPr="0045541D">
        <w:tab/>
        <w:t>FIX activity, AAV5 titre positive vs</w:t>
      </w:r>
      <w:r w:rsidR="00CB023F" w:rsidRPr="0045541D">
        <w:t>.</w:t>
      </w:r>
      <w:r w:rsidRPr="0045541D">
        <w:t xml:space="preserve"> negative (change from baseline, LS mean % over time, with 95%</w:t>
      </w:r>
      <w:r w:rsidR="00CB023F" w:rsidRPr="0045541D">
        <w:t xml:space="preserve"> </w:t>
      </w:r>
      <w:r w:rsidRPr="0045541D">
        <w:t>CI)</w:t>
      </w:r>
    </w:p>
    <w:tbl>
      <w:tblPr>
        <w:tblStyle w:val="LashStyleTable1"/>
        <w:tblW w:w="2864" w:type="pct"/>
        <w:tblLook w:val="0420" w:firstRow="1" w:lastRow="0" w:firstColumn="0" w:lastColumn="0" w:noHBand="0" w:noVBand="1"/>
      </w:tblPr>
      <w:tblGrid>
        <w:gridCol w:w="9016"/>
      </w:tblGrid>
      <w:tr w:rsidR="00354EDD" w:rsidRPr="0045541D" w14:paraId="0CE10761" w14:textId="77777777">
        <w:trPr>
          <w:trHeight w:val="5123"/>
        </w:trPr>
        <w:tc>
          <w:tcPr>
            <w:tcW w:w="5000" w:type="pct"/>
            <w:shd w:val="clear" w:color="auto" w:fill="auto"/>
          </w:tcPr>
          <w:bookmarkEnd w:id="39"/>
          <w:p w14:paraId="2E945DD9" w14:textId="77777777" w:rsidR="00354EDD" w:rsidRPr="0045541D" w:rsidRDefault="00354EDD">
            <w:pPr>
              <w:pStyle w:val="CommentaryTabletextleft"/>
            </w:pPr>
            <w:r w:rsidRPr="0045541D">
              <w:rPr>
                <w:noProof/>
              </w:rPr>
              <w:drawing>
                <wp:inline distT="0" distB="0" distL="0" distR="0" wp14:anchorId="63674EE5" wp14:editId="2E28267E">
                  <wp:extent cx="5974715" cy="3492500"/>
                  <wp:effectExtent l="0" t="0" r="6985" b="0"/>
                  <wp:docPr id="51" name="Picture 51" descr="Figure showing FIX activity, AAV5 titre positive vs negative (change from baseline, LS mean % over time, with 95%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Figure showing FIX activity, AAV5 titre positive vs negative (change from baseline, LS mean % over time, with 95%C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6024569" cy="3521642"/>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FE4DAE6" w14:textId="745F03E9" w:rsidR="00354EDD" w:rsidRPr="0045541D" w:rsidRDefault="00354EDD" w:rsidP="00354EDD">
      <w:pPr>
        <w:pStyle w:val="CommentaryTablenotes"/>
        <w:rPr>
          <w:color w:val="auto"/>
        </w:rPr>
      </w:pPr>
      <w:r w:rsidRPr="0045541D">
        <w:rPr>
          <w:color w:val="auto"/>
        </w:rPr>
        <w:t>AAV5</w:t>
      </w:r>
      <w:r w:rsidR="00D05BBD" w:rsidRPr="0045541D">
        <w:rPr>
          <w:color w:val="auto"/>
        </w:rPr>
        <w:t xml:space="preserve"> =</w:t>
      </w:r>
      <w:r w:rsidRPr="0045541D">
        <w:rPr>
          <w:color w:val="auto"/>
        </w:rPr>
        <w:t xml:space="preserve"> adeno-associated virus type 5; CI</w:t>
      </w:r>
      <w:r w:rsidR="00D05BBD" w:rsidRPr="0045541D">
        <w:rPr>
          <w:color w:val="auto"/>
        </w:rPr>
        <w:t xml:space="preserve"> =</w:t>
      </w:r>
      <w:r w:rsidRPr="0045541D">
        <w:rPr>
          <w:color w:val="auto"/>
        </w:rPr>
        <w:t xml:space="preserve"> confidence interval; FIX</w:t>
      </w:r>
      <w:r w:rsidR="00D05BBD" w:rsidRPr="0045541D">
        <w:rPr>
          <w:color w:val="auto"/>
        </w:rPr>
        <w:t xml:space="preserve"> =</w:t>
      </w:r>
      <w:r w:rsidRPr="0045541D">
        <w:rPr>
          <w:color w:val="auto"/>
        </w:rPr>
        <w:t xml:space="preserve"> </w:t>
      </w:r>
      <w:r w:rsidR="00212302" w:rsidRPr="0045541D">
        <w:rPr>
          <w:color w:val="auto"/>
        </w:rPr>
        <w:t>f</w:t>
      </w:r>
      <w:r w:rsidRPr="0045541D">
        <w:rPr>
          <w:color w:val="auto"/>
        </w:rPr>
        <w:t>actor IX; LS</w:t>
      </w:r>
      <w:r w:rsidR="00D05BBD" w:rsidRPr="0045541D">
        <w:rPr>
          <w:color w:val="auto"/>
        </w:rPr>
        <w:t xml:space="preserve"> =</w:t>
      </w:r>
      <w:r w:rsidRPr="0045541D">
        <w:rPr>
          <w:color w:val="auto"/>
        </w:rPr>
        <w:t xml:space="preserve"> least squares</w:t>
      </w:r>
      <w:r w:rsidR="00714542" w:rsidRPr="0045541D">
        <w:rPr>
          <w:color w:val="auto"/>
        </w:rPr>
        <w:t>.</w:t>
      </w:r>
      <w:r w:rsidRPr="0045541D">
        <w:rPr>
          <w:color w:val="auto"/>
        </w:rPr>
        <w:br/>
        <w:t xml:space="preserve">Source: </w:t>
      </w:r>
      <w:r w:rsidR="00241566" w:rsidRPr="0045541D">
        <w:rPr>
          <w:color w:val="auto"/>
        </w:rPr>
        <w:t xml:space="preserve">Developed by the </w:t>
      </w:r>
      <w:r w:rsidRPr="0045541D">
        <w:rPr>
          <w:color w:val="auto"/>
        </w:rPr>
        <w:t>Commentary</w:t>
      </w:r>
      <w:r w:rsidR="00241566" w:rsidRPr="0045541D">
        <w:rPr>
          <w:color w:val="auto"/>
        </w:rPr>
        <w:t>,</w:t>
      </w:r>
      <w:r w:rsidRPr="0045541D">
        <w:rPr>
          <w:color w:val="auto"/>
        </w:rPr>
        <w:t xml:space="preserve"> Figure </w:t>
      </w:r>
      <w:r w:rsidR="00160171" w:rsidRPr="0045541D">
        <w:rPr>
          <w:color w:val="auto"/>
        </w:rPr>
        <w:t xml:space="preserve">1 </w:t>
      </w:r>
      <w:r w:rsidRPr="0045541D">
        <w:rPr>
          <w:color w:val="auto"/>
        </w:rPr>
        <w:t xml:space="preserve">of MSAC 1728 </w:t>
      </w:r>
      <w:proofErr w:type="spellStart"/>
      <w:r w:rsidRPr="0045541D">
        <w:rPr>
          <w:color w:val="auto"/>
        </w:rPr>
        <w:t>ADAR+in-line</w:t>
      </w:r>
      <w:proofErr w:type="spellEnd"/>
      <w:r w:rsidRPr="0045541D">
        <w:rPr>
          <w:color w:val="auto"/>
        </w:rPr>
        <w:t xml:space="preserve"> commentary</w:t>
      </w:r>
      <w:r w:rsidRPr="0045541D">
        <w:t>.</w:t>
      </w:r>
    </w:p>
    <w:p w14:paraId="79AE680B" w14:textId="5EDB66CC" w:rsidR="00354EDD" w:rsidRPr="00E40A38" w:rsidRDefault="00354EDD" w:rsidP="00354EDD">
      <w:r w:rsidRPr="0045541D">
        <w:t xml:space="preserve">The HOPE-B study pre-specified a subgroup analysis reporting ABR change from baseline based on AAV5 </w:t>
      </w:r>
      <w:proofErr w:type="spellStart"/>
      <w:r w:rsidR="00926338" w:rsidRPr="0045541D">
        <w:t>NAb</w:t>
      </w:r>
      <w:proofErr w:type="spellEnd"/>
      <w:r w:rsidRPr="0045541D">
        <w:t xml:space="preserve"> titre status</w:t>
      </w:r>
      <w:r w:rsidR="00914EA6" w:rsidRPr="0045541D">
        <w:t>.</w:t>
      </w:r>
      <w:r w:rsidRPr="0045541D">
        <w:t xml:space="preserve"> The unadjusted ABR for the titre negative group at 36 months was 0.63, whereas for the titre positive group it was 1.42</w:t>
      </w:r>
      <w:r w:rsidR="003242A1" w:rsidRPr="0045541D">
        <w:t xml:space="preserve"> (</w:t>
      </w:r>
      <w:r w:rsidR="003242A1" w:rsidRPr="0045541D">
        <w:fldChar w:fldCharType="begin"/>
      </w:r>
      <w:r w:rsidR="003242A1" w:rsidRPr="0045541D">
        <w:instrText xml:space="preserve"> REF _Ref164243587 \h </w:instrText>
      </w:r>
      <w:r w:rsidR="00474734" w:rsidRPr="0045541D">
        <w:instrText xml:space="preserve"> \* MERGEFORMAT </w:instrText>
      </w:r>
      <w:r w:rsidR="003242A1" w:rsidRPr="0045541D">
        <w:fldChar w:fldCharType="separate"/>
      </w:r>
      <w:r w:rsidR="007207A8" w:rsidRPr="0045541D">
        <w:t xml:space="preserve">Table </w:t>
      </w:r>
      <w:r w:rsidR="007207A8" w:rsidRPr="0045541D">
        <w:rPr>
          <w:noProof/>
        </w:rPr>
        <w:t>9</w:t>
      </w:r>
      <w:r w:rsidR="003242A1" w:rsidRPr="0045541D">
        <w:fldChar w:fldCharType="end"/>
      </w:r>
      <w:r w:rsidR="003242A1" w:rsidRPr="0045541D">
        <w:t>)</w:t>
      </w:r>
      <w:r w:rsidRPr="0045541D">
        <w:t xml:space="preserve">. In the adjusted analyses, the rate ratio for the titre negative group was </w:t>
      </w:r>
      <w:r w:rsidR="003D4702" w:rsidRPr="0045541D">
        <w:t>considerably lower than that</w:t>
      </w:r>
      <w:r w:rsidRPr="0045541D">
        <w:t xml:space="preserve"> for the titre positive group </w:t>
      </w:r>
      <w:r w:rsidR="003D4702" w:rsidRPr="0045541D">
        <w:t>(</w:t>
      </w:r>
      <w:r w:rsidR="000B197F" w:rsidRPr="0045541D">
        <w:t xml:space="preserve">and </w:t>
      </w:r>
      <w:r w:rsidR="003D4702" w:rsidRPr="0045541D">
        <w:t xml:space="preserve">the latter </w:t>
      </w:r>
      <w:r w:rsidRPr="0045541D">
        <w:t>did not reach significance). Excluding the patients with a very high pre-treatment titre, who would be excluded under the proposed indication, this rate ratio remains</w:t>
      </w:r>
      <w:r w:rsidRPr="00E40A38">
        <w:t xml:space="preserve"> non-significant</w:t>
      </w:r>
      <w:r w:rsidRPr="00E40A38" w:rsidDel="00A613B5">
        <w:t>.</w:t>
      </w:r>
      <w:r w:rsidRPr="00E40A38">
        <w:t xml:space="preserve"> This may partly be a function of the statistical approach to adjustment where all bleeds were included but only time within 5 half-lives of FIX treatment was included. </w:t>
      </w:r>
    </w:p>
    <w:p w14:paraId="32DA5A91" w14:textId="3972C210" w:rsidR="00354EDD" w:rsidRPr="00E40A38" w:rsidRDefault="00354EDD" w:rsidP="00354EDD">
      <w:pPr>
        <w:pStyle w:val="Caption"/>
      </w:pPr>
      <w:bookmarkStart w:id="40" w:name="_Ref164243569"/>
      <w:bookmarkStart w:id="41" w:name="_Ref164243587"/>
      <w:r w:rsidRPr="00E40A38">
        <w:t>Table</w:t>
      </w:r>
      <w:bookmarkEnd w:id="40"/>
      <w:r w:rsidRPr="00E40A38">
        <w:t xml:space="preserve"> </w:t>
      </w:r>
      <w:r w:rsidR="00CC66FD">
        <w:fldChar w:fldCharType="begin"/>
      </w:r>
      <w:r w:rsidR="00CC66FD">
        <w:instrText xml:space="preserve"> SEQ Table \* ARABIC </w:instrText>
      </w:r>
      <w:r w:rsidR="00CC66FD">
        <w:fldChar w:fldCharType="separate"/>
      </w:r>
      <w:r w:rsidR="007207A8">
        <w:rPr>
          <w:noProof/>
        </w:rPr>
        <w:t>9</w:t>
      </w:r>
      <w:r w:rsidR="00CC66FD">
        <w:rPr>
          <w:noProof/>
        </w:rPr>
        <w:fldChar w:fldCharType="end"/>
      </w:r>
      <w:bookmarkEnd w:id="41"/>
      <w:r w:rsidRPr="00E40A38">
        <w:tab/>
        <w:t xml:space="preserve">Annualised bleed rate in AAV5 titre negative versus AAV5 titre </w:t>
      </w:r>
      <w:proofErr w:type="spellStart"/>
      <w:r w:rsidRPr="00E40A38">
        <w:t>positive</w:t>
      </w:r>
      <w:r w:rsidRPr="00E40A38">
        <w:rPr>
          <w:vertAlign w:val="superscript"/>
        </w:rPr>
        <w:t>a</w:t>
      </w:r>
      <w:proofErr w:type="spellEnd"/>
      <w:r w:rsidRPr="00E40A38">
        <w:rPr>
          <w:vertAlign w:val="superscript"/>
        </w:rPr>
        <w:t xml:space="preserve"> </w:t>
      </w:r>
      <w:r w:rsidRPr="00E40A38">
        <w:t xml:space="preserve">participants </w:t>
      </w:r>
      <w:r w:rsidR="0028031A" w:rsidRPr="00E40A38">
        <w:t>(</w:t>
      </w:r>
      <w:r w:rsidRPr="00E40A38">
        <w:t>HOPE-B</w:t>
      </w:r>
      <w:r w:rsidR="0028031A" w:rsidRPr="00E40A38">
        <w:t>)</w:t>
      </w:r>
    </w:p>
    <w:tbl>
      <w:tblPr>
        <w:tblStyle w:val="TableGrid"/>
        <w:tblW w:w="0" w:type="auto"/>
        <w:tblLook w:val="04A0" w:firstRow="1" w:lastRow="0" w:firstColumn="1" w:lastColumn="0" w:noHBand="0" w:noVBand="1"/>
        <w:tblCaption w:val="Annualised bleed rate in AAV5 titre negative versus AAV5 titre positivea participants, HOPE-B"/>
        <w:tblDescription w:val="This table shows the annualised bleed rate in AAV5 titre negative versus AAV5 titre positivea participants, HOPE-B"/>
      </w:tblPr>
      <w:tblGrid>
        <w:gridCol w:w="2547"/>
        <w:gridCol w:w="1559"/>
        <w:gridCol w:w="1227"/>
        <w:gridCol w:w="409"/>
        <w:gridCol w:w="819"/>
        <w:gridCol w:w="818"/>
        <w:gridCol w:w="409"/>
        <w:gridCol w:w="287"/>
        <w:gridCol w:w="567"/>
        <w:gridCol w:w="374"/>
      </w:tblGrid>
      <w:tr w:rsidR="00122559" w:rsidRPr="00E40A38" w14:paraId="698EB0DC" w14:textId="77777777" w:rsidTr="00D174F5">
        <w:trPr>
          <w:tblHeader/>
        </w:trPr>
        <w:tc>
          <w:tcPr>
            <w:tcW w:w="2547" w:type="dxa"/>
            <w:tcBorders>
              <w:bottom w:val="nil"/>
            </w:tcBorders>
            <w:shd w:val="clear" w:color="auto" w:fill="auto"/>
          </w:tcPr>
          <w:p w14:paraId="7DD14E27" w14:textId="77777777" w:rsidR="00354EDD" w:rsidRPr="0045541D" w:rsidRDefault="00354EDD" w:rsidP="00D4616B">
            <w:pPr>
              <w:pStyle w:val="TableHeading0"/>
            </w:pPr>
            <w:r w:rsidRPr="0045541D">
              <w:t>Any bleeding episode</w:t>
            </w:r>
          </w:p>
        </w:tc>
        <w:tc>
          <w:tcPr>
            <w:tcW w:w="1559" w:type="dxa"/>
            <w:tcBorders>
              <w:bottom w:val="nil"/>
            </w:tcBorders>
            <w:shd w:val="clear" w:color="auto" w:fill="auto"/>
            <w:vAlign w:val="center"/>
          </w:tcPr>
          <w:p w14:paraId="61B03A6F" w14:textId="0CD32658" w:rsidR="00354EDD" w:rsidRPr="0045541D" w:rsidRDefault="00354EDD" w:rsidP="00D4616B">
            <w:pPr>
              <w:pStyle w:val="TableHeading0"/>
            </w:pPr>
            <w:r w:rsidRPr="0045541D">
              <w:t>Lead-in period</w:t>
            </w:r>
          </w:p>
        </w:tc>
        <w:tc>
          <w:tcPr>
            <w:tcW w:w="3969" w:type="dxa"/>
            <w:gridSpan w:val="6"/>
            <w:tcBorders>
              <w:right w:val="nil"/>
            </w:tcBorders>
            <w:shd w:val="clear" w:color="auto" w:fill="auto"/>
          </w:tcPr>
          <w:p w14:paraId="14EC8C0F" w14:textId="77777777" w:rsidR="002A65A0" w:rsidRPr="0045541D" w:rsidRDefault="002A65A0" w:rsidP="00D4616B">
            <w:pPr>
              <w:pStyle w:val="TableHeading0"/>
            </w:pPr>
            <w:r w:rsidRPr="0045541D">
              <w:t>Post treatment period (N=54)</w:t>
            </w:r>
          </w:p>
        </w:tc>
        <w:tc>
          <w:tcPr>
            <w:tcW w:w="567" w:type="dxa"/>
            <w:tcBorders>
              <w:left w:val="nil"/>
              <w:right w:val="nil"/>
            </w:tcBorders>
            <w:shd w:val="clear" w:color="auto" w:fill="auto"/>
          </w:tcPr>
          <w:p w14:paraId="51C5D824" w14:textId="77777777" w:rsidR="002A65A0" w:rsidRPr="0045541D" w:rsidRDefault="002A65A0" w:rsidP="00D4616B">
            <w:pPr>
              <w:pStyle w:val="TableHeading0"/>
            </w:pPr>
          </w:p>
        </w:tc>
        <w:tc>
          <w:tcPr>
            <w:tcW w:w="374" w:type="dxa"/>
            <w:tcBorders>
              <w:left w:val="nil"/>
            </w:tcBorders>
            <w:shd w:val="clear" w:color="auto" w:fill="auto"/>
          </w:tcPr>
          <w:p w14:paraId="40BE8F5D" w14:textId="15486237" w:rsidR="00354EDD" w:rsidRPr="0045541D" w:rsidRDefault="00354EDD" w:rsidP="00D4616B">
            <w:pPr>
              <w:pStyle w:val="TableHeading0"/>
            </w:pPr>
          </w:p>
        </w:tc>
      </w:tr>
      <w:tr w:rsidR="00183B9B" w:rsidRPr="00E40A38" w14:paraId="776B9B9E" w14:textId="77777777" w:rsidTr="00D174F5">
        <w:trPr>
          <w:tblHeader/>
        </w:trPr>
        <w:tc>
          <w:tcPr>
            <w:tcW w:w="2547" w:type="dxa"/>
            <w:tcBorders>
              <w:top w:val="nil"/>
            </w:tcBorders>
            <w:shd w:val="clear" w:color="auto" w:fill="auto"/>
          </w:tcPr>
          <w:p w14:paraId="2223CC1A" w14:textId="77777777" w:rsidR="00354EDD" w:rsidRPr="0045541D" w:rsidRDefault="00354EDD">
            <w:pPr>
              <w:pStyle w:val="TableText"/>
            </w:pPr>
          </w:p>
        </w:tc>
        <w:tc>
          <w:tcPr>
            <w:tcW w:w="1559" w:type="dxa"/>
            <w:tcBorders>
              <w:top w:val="nil"/>
            </w:tcBorders>
            <w:shd w:val="clear" w:color="auto" w:fill="auto"/>
          </w:tcPr>
          <w:p w14:paraId="5259D5AA" w14:textId="46A12C1F" w:rsidR="00354EDD" w:rsidRPr="0045541D" w:rsidRDefault="00D65F99">
            <w:pPr>
              <w:pStyle w:val="TableText"/>
              <w:rPr>
                <w:b/>
                <w:bCs/>
              </w:rPr>
            </w:pPr>
            <w:r w:rsidRPr="0045541D">
              <w:rPr>
                <w:b/>
                <w:bCs/>
              </w:rPr>
              <w:t>(N=54)</w:t>
            </w:r>
          </w:p>
        </w:tc>
        <w:tc>
          <w:tcPr>
            <w:tcW w:w="1636" w:type="dxa"/>
            <w:gridSpan w:val="2"/>
            <w:tcBorders>
              <w:bottom w:val="single" w:sz="4" w:space="0" w:color="000000" w:themeColor="text1"/>
            </w:tcBorders>
            <w:shd w:val="clear" w:color="auto" w:fill="auto"/>
          </w:tcPr>
          <w:p w14:paraId="5B66BAE4" w14:textId="77777777" w:rsidR="00354EDD" w:rsidRPr="0045541D" w:rsidRDefault="00354EDD">
            <w:pPr>
              <w:pStyle w:val="TableText"/>
              <w:rPr>
                <w:b/>
              </w:rPr>
            </w:pPr>
            <w:r w:rsidRPr="0045541D">
              <w:rPr>
                <w:b/>
              </w:rPr>
              <w:t xml:space="preserve">Month 7-18 </w:t>
            </w:r>
          </w:p>
        </w:tc>
        <w:tc>
          <w:tcPr>
            <w:tcW w:w="1637" w:type="dxa"/>
            <w:gridSpan w:val="2"/>
            <w:tcBorders>
              <w:bottom w:val="single" w:sz="4" w:space="0" w:color="000000" w:themeColor="text1"/>
            </w:tcBorders>
            <w:shd w:val="clear" w:color="auto" w:fill="auto"/>
          </w:tcPr>
          <w:p w14:paraId="0F1C9865" w14:textId="77777777" w:rsidR="00354EDD" w:rsidRPr="0045541D" w:rsidRDefault="00354EDD">
            <w:pPr>
              <w:pStyle w:val="TableText"/>
              <w:rPr>
                <w:b/>
              </w:rPr>
            </w:pPr>
            <w:r w:rsidRPr="0045541D">
              <w:rPr>
                <w:b/>
              </w:rPr>
              <w:t xml:space="preserve">Month 7-24 </w:t>
            </w:r>
          </w:p>
        </w:tc>
        <w:tc>
          <w:tcPr>
            <w:tcW w:w="1637" w:type="dxa"/>
            <w:gridSpan w:val="4"/>
            <w:shd w:val="clear" w:color="auto" w:fill="auto"/>
          </w:tcPr>
          <w:p w14:paraId="570F0CD1" w14:textId="77777777" w:rsidR="00354EDD" w:rsidRPr="0045541D" w:rsidRDefault="00354EDD">
            <w:pPr>
              <w:pStyle w:val="TableText"/>
              <w:rPr>
                <w:b/>
              </w:rPr>
            </w:pPr>
            <w:r w:rsidRPr="0045541D">
              <w:rPr>
                <w:b/>
              </w:rPr>
              <w:t>Month 7-36</w:t>
            </w:r>
          </w:p>
        </w:tc>
      </w:tr>
      <w:tr w:rsidR="00183B9B" w:rsidRPr="00E40A38" w14:paraId="5EDE9AE3" w14:textId="77777777" w:rsidTr="00D174F5">
        <w:tc>
          <w:tcPr>
            <w:tcW w:w="2547" w:type="dxa"/>
            <w:tcBorders>
              <w:right w:val="nil"/>
            </w:tcBorders>
            <w:shd w:val="clear" w:color="auto" w:fill="auto"/>
          </w:tcPr>
          <w:p w14:paraId="763DF99A" w14:textId="77777777" w:rsidR="00354EDD" w:rsidRPr="0045541D" w:rsidRDefault="00354EDD" w:rsidP="009A26D6">
            <w:pPr>
              <w:pStyle w:val="TableText"/>
              <w:keepNext/>
              <w:rPr>
                <w:b/>
              </w:rPr>
            </w:pPr>
            <w:r w:rsidRPr="0045541D">
              <w:rPr>
                <w:b/>
              </w:rPr>
              <w:t>AAV5 titre negative (n=33)</w:t>
            </w:r>
          </w:p>
        </w:tc>
        <w:tc>
          <w:tcPr>
            <w:tcW w:w="1559" w:type="dxa"/>
            <w:tcBorders>
              <w:left w:val="nil"/>
              <w:right w:val="nil"/>
            </w:tcBorders>
            <w:shd w:val="clear" w:color="auto" w:fill="auto"/>
          </w:tcPr>
          <w:p w14:paraId="429D76DE" w14:textId="77777777" w:rsidR="00354EDD" w:rsidRPr="0045541D" w:rsidRDefault="00354EDD">
            <w:pPr>
              <w:pStyle w:val="TableText"/>
            </w:pPr>
          </w:p>
        </w:tc>
        <w:tc>
          <w:tcPr>
            <w:tcW w:w="1636" w:type="dxa"/>
            <w:gridSpan w:val="2"/>
            <w:tcBorders>
              <w:left w:val="nil"/>
              <w:right w:val="nil"/>
            </w:tcBorders>
            <w:shd w:val="clear" w:color="auto" w:fill="auto"/>
          </w:tcPr>
          <w:p w14:paraId="2DE5E81C" w14:textId="77777777" w:rsidR="00354EDD" w:rsidRPr="0045541D" w:rsidRDefault="00354EDD">
            <w:pPr>
              <w:pStyle w:val="TableText"/>
            </w:pPr>
          </w:p>
        </w:tc>
        <w:tc>
          <w:tcPr>
            <w:tcW w:w="1637" w:type="dxa"/>
            <w:gridSpan w:val="2"/>
            <w:tcBorders>
              <w:left w:val="nil"/>
              <w:right w:val="nil"/>
            </w:tcBorders>
            <w:shd w:val="clear" w:color="auto" w:fill="auto"/>
          </w:tcPr>
          <w:p w14:paraId="68063C42" w14:textId="77777777" w:rsidR="00354EDD" w:rsidRPr="0045541D" w:rsidRDefault="00354EDD">
            <w:pPr>
              <w:pStyle w:val="TableText"/>
            </w:pPr>
          </w:p>
        </w:tc>
        <w:tc>
          <w:tcPr>
            <w:tcW w:w="1637" w:type="dxa"/>
            <w:gridSpan w:val="4"/>
            <w:tcBorders>
              <w:left w:val="nil"/>
            </w:tcBorders>
            <w:shd w:val="clear" w:color="auto" w:fill="auto"/>
          </w:tcPr>
          <w:p w14:paraId="524291C2" w14:textId="77777777" w:rsidR="00354EDD" w:rsidRPr="0045541D" w:rsidRDefault="00354EDD">
            <w:pPr>
              <w:pStyle w:val="TableText"/>
            </w:pPr>
          </w:p>
        </w:tc>
      </w:tr>
      <w:tr w:rsidR="00354EDD" w:rsidRPr="00E40A38" w14:paraId="17EA9467" w14:textId="77777777" w:rsidTr="00D174F5">
        <w:tc>
          <w:tcPr>
            <w:tcW w:w="2547" w:type="dxa"/>
            <w:shd w:val="clear" w:color="auto" w:fill="auto"/>
          </w:tcPr>
          <w:p w14:paraId="1CE8E762" w14:textId="4BD99F81" w:rsidR="00354EDD" w:rsidRPr="0045541D" w:rsidRDefault="00354EDD" w:rsidP="00D65F99">
            <w:pPr>
              <w:pStyle w:val="TableText"/>
              <w:keepNext/>
            </w:pPr>
            <w:r w:rsidRPr="0045541D">
              <w:t xml:space="preserve">Unadjusted </w:t>
            </w:r>
            <w:proofErr w:type="spellStart"/>
            <w:r w:rsidRPr="0045541D">
              <w:t>ABR</w:t>
            </w:r>
            <w:r w:rsidR="003347F0" w:rsidRPr="0045541D">
              <w:rPr>
                <w:vertAlign w:val="superscript"/>
              </w:rPr>
              <w:t>b</w:t>
            </w:r>
            <w:proofErr w:type="spellEnd"/>
          </w:p>
        </w:tc>
        <w:tc>
          <w:tcPr>
            <w:tcW w:w="1559" w:type="dxa"/>
            <w:shd w:val="clear" w:color="auto" w:fill="auto"/>
          </w:tcPr>
          <w:p w14:paraId="2E016A2D" w14:textId="77777777" w:rsidR="00354EDD" w:rsidRPr="0045541D" w:rsidRDefault="00354EDD">
            <w:pPr>
              <w:pStyle w:val="TableText"/>
            </w:pPr>
            <w:r w:rsidRPr="0045541D">
              <w:t xml:space="preserve">3.76 </w:t>
            </w:r>
          </w:p>
        </w:tc>
        <w:tc>
          <w:tcPr>
            <w:tcW w:w="1636" w:type="dxa"/>
            <w:gridSpan w:val="2"/>
            <w:shd w:val="clear" w:color="auto" w:fill="auto"/>
          </w:tcPr>
          <w:p w14:paraId="07531672" w14:textId="77777777" w:rsidR="00354EDD" w:rsidRPr="0045541D" w:rsidRDefault="00354EDD">
            <w:pPr>
              <w:pStyle w:val="TableText"/>
            </w:pPr>
            <w:r w:rsidRPr="0045541D">
              <w:t xml:space="preserve">0.90 </w:t>
            </w:r>
          </w:p>
        </w:tc>
        <w:tc>
          <w:tcPr>
            <w:tcW w:w="1637" w:type="dxa"/>
            <w:gridSpan w:val="2"/>
            <w:shd w:val="clear" w:color="auto" w:fill="auto"/>
          </w:tcPr>
          <w:p w14:paraId="1990BB94" w14:textId="77777777" w:rsidR="00354EDD" w:rsidRPr="0045541D" w:rsidRDefault="00354EDD">
            <w:pPr>
              <w:pStyle w:val="TableText"/>
            </w:pPr>
            <w:r w:rsidRPr="0045541D">
              <w:t xml:space="preserve">0.79 </w:t>
            </w:r>
          </w:p>
        </w:tc>
        <w:tc>
          <w:tcPr>
            <w:tcW w:w="1637" w:type="dxa"/>
            <w:gridSpan w:val="4"/>
            <w:shd w:val="clear" w:color="auto" w:fill="auto"/>
          </w:tcPr>
          <w:p w14:paraId="6078DE07" w14:textId="77777777" w:rsidR="00354EDD" w:rsidRPr="0045541D" w:rsidRDefault="00354EDD">
            <w:pPr>
              <w:pStyle w:val="TableText"/>
            </w:pPr>
            <w:r w:rsidRPr="0045541D">
              <w:t>0.63</w:t>
            </w:r>
          </w:p>
        </w:tc>
      </w:tr>
      <w:tr w:rsidR="00354EDD" w:rsidRPr="00E40A38" w14:paraId="740D3637" w14:textId="77777777" w:rsidTr="00D174F5">
        <w:tc>
          <w:tcPr>
            <w:tcW w:w="2547" w:type="dxa"/>
            <w:shd w:val="clear" w:color="auto" w:fill="auto"/>
          </w:tcPr>
          <w:p w14:paraId="1D4BEF70" w14:textId="4209A57B" w:rsidR="00354EDD" w:rsidRPr="0045541D" w:rsidRDefault="00354EDD">
            <w:pPr>
              <w:pStyle w:val="TableText"/>
            </w:pPr>
            <w:r w:rsidRPr="0045541D">
              <w:t>Adjusted ABR (95%</w:t>
            </w:r>
            <w:r w:rsidR="00A83D4C" w:rsidRPr="0045541D">
              <w:t xml:space="preserve"> </w:t>
            </w:r>
            <w:r w:rsidRPr="0045541D">
              <w:t>CI)</w:t>
            </w:r>
          </w:p>
          <w:p w14:paraId="052D6220" w14:textId="77777777" w:rsidR="00354EDD" w:rsidRPr="0045541D" w:rsidRDefault="00354EDD">
            <w:pPr>
              <w:pStyle w:val="TableText"/>
            </w:pPr>
            <w:r w:rsidRPr="0045541D">
              <w:t>Primary endpoint definition</w:t>
            </w:r>
          </w:p>
        </w:tc>
        <w:tc>
          <w:tcPr>
            <w:tcW w:w="1559" w:type="dxa"/>
            <w:shd w:val="clear" w:color="auto" w:fill="auto"/>
          </w:tcPr>
          <w:p w14:paraId="391A0F36" w14:textId="77777777" w:rsidR="00354EDD" w:rsidRPr="0045541D" w:rsidRDefault="00354EDD">
            <w:pPr>
              <w:pStyle w:val="TableText"/>
            </w:pPr>
            <w:r w:rsidRPr="0045541D">
              <w:t>3.79 (2.55, 5.63)</w:t>
            </w:r>
          </w:p>
        </w:tc>
        <w:tc>
          <w:tcPr>
            <w:tcW w:w="1636" w:type="dxa"/>
            <w:gridSpan w:val="2"/>
            <w:shd w:val="clear" w:color="auto" w:fill="auto"/>
          </w:tcPr>
          <w:p w14:paraId="37C65D30" w14:textId="77777777" w:rsidR="00354EDD" w:rsidRPr="0045541D" w:rsidRDefault="00354EDD">
            <w:pPr>
              <w:pStyle w:val="TableText"/>
            </w:pPr>
            <w:r w:rsidRPr="0045541D">
              <w:t>0.93 (0.44, 1.98)</w:t>
            </w:r>
          </w:p>
        </w:tc>
        <w:tc>
          <w:tcPr>
            <w:tcW w:w="1637" w:type="dxa"/>
            <w:gridSpan w:val="2"/>
            <w:shd w:val="clear" w:color="auto" w:fill="auto"/>
          </w:tcPr>
          <w:p w14:paraId="4FF1DAB8" w14:textId="77777777" w:rsidR="00354EDD" w:rsidRPr="0045541D" w:rsidRDefault="00354EDD">
            <w:pPr>
              <w:pStyle w:val="TableText"/>
            </w:pPr>
            <w:r w:rsidRPr="0045541D">
              <w:t>0.80 (0.39, 1.67)</w:t>
            </w:r>
          </w:p>
        </w:tc>
        <w:tc>
          <w:tcPr>
            <w:tcW w:w="1637" w:type="dxa"/>
            <w:gridSpan w:val="4"/>
            <w:shd w:val="clear" w:color="auto" w:fill="auto"/>
          </w:tcPr>
          <w:p w14:paraId="0C60AE59" w14:textId="77777777" w:rsidR="00354EDD" w:rsidRPr="0045541D" w:rsidRDefault="00354EDD">
            <w:pPr>
              <w:pStyle w:val="TableText"/>
            </w:pPr>
            <w:r w:rsidRPr="0045541D">
              <w:t>0.64 (0.33, 1.24)</w:t>
            </w:r>
          </w:p>
        </w:tc>
      </w:tr>
      <w:tr w:rsidR="00354EDD" w:rsidRPr="00E40A38" w14:paraId="0D2D5A0C" w14:textId="77777777" w:rsidTr="00D174F5">
        <w:tc>
          <w:tcPr>
            <w:tcW w:w="2547" w:type="dxa"/>
            <w:shd w:val="clear" w:color="auto" w:fill="auto"/>
          </w:tcPr>
          <w:p w14:paraId="39E5CA6D" w14:textId="77777777" w:rsidR="00354EDD" w:rsidRPr="0045541D" w:rsidRDefault="00354EDD">
            <w:pPr>
              <w:pStyle w:val="TableText"/>
            </w:pPr>
            <w:r w:rsidRPr="0045541D">
              <w:t>Rate ratio (adjusted ABR post-treatment / lead-in)</w:t>
            </w:r>
          </w:p>
          <w:p w14:paraId="3F93878C" w14:textId="77777777" w:rsidR="00354EDD" w:rsidRPr="0045541D" w:rsidRDefault="00354EDD">
            <w:pPr>
              <w:pStyle w:val="TableText"/>
            </w:pPr>
            <w:r w:rsidRPr="0045541D">
              <w:t>(2-sided Wald 95% CI), p-value</w:t>
            </w:r>
          </w:p>
        </w:tc>
        <w:tc>
          <w:tcPr>
            <w:tcW w:w="1559" w:type="dxa"/>
            <w:shd w:val="clear" w:color="auto" w:fill="auto"/>
          </w:tcPr>
          <w:p w14:paraId="19C3D86F" w14:textId="77777777" w:rsidR="00354EDD" w:rsidRPr="0045541D" w:rsidRDefault="00354EDD">
            <w:pPr>
              <w:pStyle w:val="TableText"/>
            </w:pPr>
            <w:r w:rsidRPr="0045541D">
              <w:t>-</w:t>
            </w:r>
          </w:p>
        </w:tc>
        <w:tc>
          <w:tcPr>
            <w:tcW w:w="1636" w:type="dxa"/>
            <w:gridSpan w:val="2"/>
            <w:shd w:val="clear" w:color="auto" w:fill="auto"/>
          </w:tcPr>
          <w:p w14:paraId="0952D43F" w14:textId="77777777" w:rsidR="00354EDD" w:rsidRPr="0045541D" w:rsidRDefault="00354EDD">
            <w:pPr>
              <w:pStyle w:val="TableText"/>
              <w:rPr>
                <w:b/>
              </w:rPr>
            </w:pPr>
            <w:r w:rsidRPr="0045541D">
              <w:rPr>
                <w:b/>
              </w:rPr>
              <w:t>0.25 (0.14, 0.43) p&lt;0.0001</w:t>
            </w:r>
          </w:p>
        </w:tc>
        <w:tc>
          <w:tcPr>
            <w:tcW w:w="1637" w:type="dxa"/>
            <w:gridSpan w:val="2"/>
            <w:shd w:val="clear" w:color="auto" w:fill="auto"/>
          </w:tcPr>
          <w:p w14:paraId="49A53806" w14:textId="77777777" w:rsidR="00354EDD" w:rsidRPr="0045541D" w:rsidRDefault="00354EDD">
            <w:pPr>
              <w:pStyle w:val="TableText"/>
              <w:rPr>
                <w:b/>
              </w:rPr>
            </w:pPr>
            <w:r w:rsidRPr="0045541D">
              <w:rPr>
                <w:b/>
              </w:rPr>
              <w:t xml:space="preserve">0.21 (0.12, 0.37) p&lt;0.0001 </w:t>
            </w:r>
          </w:p>
        </w:tc>
        <w:tc>
          <w:tcPr>
            <w:tcW w:w="1637" w:type="dxa"/>
            <w:gridSpan w:val="4"/>
            <w:shd w:val="clear" w:color="auto" w:fill="auto"/>
          </w:tcPr>
          <w:p w14:paraId="62630E6D" w14:textId="77777777" w:rsidR="00354EDD" w:rsidRPr="0045541D" w:rsidRDefault="00354EDD">
            <w:pPr>
              <w:pStyle w:val="TableText"/>
              <w:rPr>
                <w:b/>
              </w:rPr>
            </w:pPr>
            <w:r w:rsidRPr="0045541D">
              <w:rPr>
                <w:b/>
              </w:rPr>
              <w:t>0.17 (0.10, 0.28) p&lt;0.0001</w:t>
            </w:r>
          </w:p>
        </w:tc>
      </w:tr>
      <w:tr w:rsidR="00183B9B" w:rsidRPr="00E40A38" w14:paraId="0EE2C719" w14:textId="77777777" w:rsidTr="00D174F5">
        <w:tc>
          <w:tcPr>
            <w:tcW w:w="2547" w:type="dxa"/>
            <w:tcBorders>
              <w:right w:val="nil"/>
            </w:tcBorders>
            <w:shd w:val="clear" w:color="auto" w:fill="auto"/>
          </w:tcPr>
          <w:p w14:paraId="4829FA66" w14:textId="0B8B7C37" w:rsidR="00354EDD" w:rsidRPr="0045541D" w:rsidRDefault="00354EDD">
            <w:pPr>
              <w:pStyle w:val="TableText"/>
              <w:rPr>
                <w:b/>
                <w:vertAlign w:val="superscript"/>
              </w:rPr>
            </w:pPr>
            <w:r w:rsidRPr="0045541D">
              <w:rPr>
                <w:b/>
              </w:rPr>
              <w:t>AAV5 titre all positive (n=</w:t>
            </w:r>
            <w:proofErr w:type="gramStart"/>
            <w:r w:rsidRPr="0045541D">
              <w:rPr>
                <w:b/>
              </w:rPr>
              <w:t>21)</w:t>
            </w:r>
            <w:r w:rsidRPr="0045541D">
              <w:rPr>
                <w:vertAlign w:val="superscript"/>
              </w:rPr>
              <w:t>a</w:t>
            </w:r>
            <w:proofErr w:type="gramEnd"/>
          </w:p>
        </w:tc>
        <w:tc>
          <w:tcPr>
            <w:tcW w:w="1559" w:type="dxa"/>
            <w:tcBorders>
              <w:left w:val="nil"/>
              <w:right w:val="nil"/>
            </w:tcBorders>
            <w:shd w:val="clear" w:color="auto" w:fill="auto"/>
          </w:tcPr>
          <w:p w14:paraId="0D78053B" w14:textId="77777777" w:rsidR="00354EDD" w:rsidRPr="0045541D" w:rsidRDefault="00354EDD">
            <w:pPr>
              <w:pStyle w:val="TableText"/>
            </w:pPr>
          </w:p>
        </w:tc>
        <w:tc>
          <w:tcPr>
            <w:tcW w:w="1636" w:type="dxa"/>
            <w:gridSpan w:val="2"/>
            <w:tcBorders>
              <w:left w:val="nil"/>
              <w:right w:val="nil"/>
            </w:tcBorders>
            <w:shd w:val="clear" w:color="auto" w:fill="auto"/>
          </w:tcPr>
          <w:p w14:paraId="506D6AAB" w14:textId="77777777" w:rsidR="00354EDD" w:rsidRPr="0045541D" w:rsidRDefault="00354EDD">
            <w:pPr>
              <w:pStyle w:val="TableText"/>
            </w:pPr>
          </w:p>
        </w:tc>
        <w:tc>
          <w:tcPr>
            <w:tcW w:w="1637" w:type="dxa"/>
            <w:gridSpan w:val="2"/>
            <w:tcBorders>
              <w:left w:val="nil"/>
              <w:right w:val="nil"/>
            </w:tcBorders>
            <w:shd w:val="clear" w:color="auto" w:fill="auto"/>
          </w:tcPr>
          <w:p w14:paraId="10A211D8" w14:textId="77777777" w:rsidR="00354EDD" w:rsidRPr="0045541D" w:rsidRDefault="00354EDD">
            <w:pPr>
              <w:pStyle w:val="TableText"/>
            </w:pPr>
          </w:p>
        </w:tc>
        <w:tc>
          <w:tcPr>
            <w:tcW w:w="1637" w:type="dxa"/>
            <w:gridSpan w:val="4"/>
            <w:tcBorders>
              <w:left w:val="nil"/>
            </w:tcBorders>
            <w:shd w:val="clear" w:color="auto" w:fill="auto"/>
          </w:tcPr>
          <w:p w14:paraId="34933847" w14:textId="77777777" w:rsidR="00354EDD" w:rsidRPr="0045541D" w:rsidRDefault="00354EDD">
            <w:pPr>
              <w:pStyle w:val="TableText"/>
            </w:pPr>
          </w:p>
        </w:tc>
      </w:tr>
      <w:tr w:rsidR="00354EDD" w:rsidRPr="00E40A38" w14:paraId="198ABAE3" w14:textId="77777777" w:rsidTr="00D174F5">
        <w:tc>
          <w:tcPr>
            <w:tcW w:w="2547" w:type="dxa"/>
            <w:shd w:val="clear" w:color="auto" w:fill="auto"/>
          </w:tcPr>
          <w:p w14:paraId="2CFCD29D" w14:textId="5597F0E9" w:rsidR="00354EDD" w:rsidRPr="0045541D" w:rsidRDefault="00354EDD">
            <w:pPr>
              <w:pStyle w:val="TableText"/>
            </w:pPr>
            <w:r w:rsidRPr="0045541D">
              <w:t xml:space="preserve">Unadjusted </w:t>
            </w:r>
            <w:proofErr w:type="spellStart"/>
            <w:r w:rsidRPr="0045541D">
              <w:t>ABR</w:t>
            </w:r>
            <w:r w:rsidR="00EC3905" w:rsidRPr="0045541D">
              <w:rPr>
                <w:vertAlign w:val="superscript"/>
              </w:rPr>
              <w:t>b</w:t>
            </w:r>
            <w:proofErr w:type="spellEnd"/>
          </w:p>
        </w:tc>
        <w:tc>
          <w:tcPr>
            <w:tcW w:w="1559" w:type="dxa"/>
            <w:shd w:val="clear" w:color="auto" w:fill="auto"/>
          </w:tcPr>
          <w:p w14:paraId="7A28A447" w14:textId="77777777" w:rsidR="00354EDD" w:rsidRPr="0045541D" w:rsidRDefault="00354EDD">
            <w:pPr>
              <w:pStyle w:val="TableText"/>
            </w:pPr>
            <w:r w:rsidRPr="0045541D">
              <w:t xml:space="preserve">4.64 </w:t>
            </w:r>
          </w:p>
        </w:tc>
        <w:tc>
          <w:tcPr>
            <w:tcW w:w="1636" w:type="dxa"/>
            <w:gridSpan w:val="2"/>
            <w:shd w:val="clear" w:color="auto" w:fill="auto"/>
          </w:tcPr>
          <w:p w14:paraId="0433306E" w14:textId="77777777" w:rsidR="00354EDD" w:rsidRPr="0045541D" w:rsidRDefault="00354EDD">
            <w:pPr>
              <w:pStyle w:val="TableText"/>
            </w:pPr>
            <w:r w:rsidRPr="0045541D">
              <w:t>1.40</w:t>
            </w:r>
          </w:p>
        </w:tc>
        <w:tc>
          <w:tcPr>
            <w:tcW w:w="1637" w:type="dxa"/>
            <w:gridSpan w:val="2"/>
            <w:shd w:val="clear" w:color="auto" w:fill="auto"/>
          </w:tcPr>
          <w:p w14:paraId="3AD5B085" w14:textId="77777777" w:rsidR="00354EDD" w:rsidRPr="0045541D" w:rsidRDefault="00354EDD">
            <w:pPr>
              <w:pStyle w:val="TableText"/>
            </w:pPr>
            <w:r w:rsidRPr="0045541D">
              <w:t>1.37</w:t>
            </w:r>
          </w:p>
        </w:tc>
        <w:tc>
          <w:tcPr>
            <w:tcW w:w="1637" w:type="dxa"/>
            <w:gridSpan w:val="4"/>
            <w:shd w:val="clear" w:color="auto" w:fill="auto"/>
          </w:tcPr>
          <w:p w14:paraId="32E1BFE0" w14:textId="77777777" w:rsidR="00354EDD" w:rsidRPr="0045541D" w:rsidRDefault="00354EDD">
            <w:pPr>
              <w:pStyle w:val="TableText"/>
            </w:pPr>
            <w:r w:rsidRPr="0045541D">
              <w:t>1.42</w:t>
            </w:r>
          </w:p>
        </w:tc>
      </w:tr>
      <w:tr w:rsidR="00354EDD" w:rsidRPr="00E40A38" w14:paraId="6FD775E8" w14:textId="77777777" w:rsidTr="00D174F5">
        <w:tc>
          <w:tcPr>
            <w:tcW w:w="2547" w:type="dxa"/>
            <w:shd w:val="clear" w:color="auto" w:fill="auto"/>
          </w:tcPr>
          <w:p w14:paraId="7A304704" w14:textId="1A85B7FF" w:rsidR="00354EDD" w:rsidRPr="0045541D" w:rsidRDefault="00354EDD">
            <w:pPr>
              <w:pStyle w:val="TableText"/>
            </w:pPr>
            <w:r w:rsidRPr="0045541D">
              <w:t>Adjusted ABR (95%</w:t>
            </w:r>
            <w:r w:rsidR="00A83D4C" w:rsidRPr="0045541D">
              <w:t xml:space="preserve"> </w:t>
            </w:r>
            <w:r w:rsidRPr="0045541D">
              <w:t>CI)</w:t>
            </w:r>
          </w:p>
          <w:p w14:paraId="29215945" w14:textId="77777777" w:rsidR="00354EDD" w:rsidRPr="0045541D" w:rsidRDefault="00354EDD">
            <w:pPr>
              <w:pStyle w:val="TableText"/>
            </w:pPr>
            <w:r w:rsidRPr="0045541D">
              <w:t>Primary endpoint definition</w:t>
            </w:r>
          </w:p>
        </w:tc>
        <w:tc>
          <w:tcPr>
            <w:tcW w:w="1559" w:type="dxa"/>
            <w:shd w:val="clear" w:color="auto" w:fill="auto"/>
          </w:tcPr>
          <w:p w14:paraId="7F6A666F" w14:textId="77777777" w:rsidR="00354EDD" w:rsidRPr="0045541D" w:rsidRDefault="00354EDD">
            <w:pPr>
              <w:pStyle w:val="TableText"/>
            </w:pPr>
            <w:r w:rsidRPr="0045541D">
              <w:t>4.97 (3.66, 6.75)</w:t>
            </w:r>
          </w:p>
        </w:tc>
        <w:tc>
          <w:tcPr>
            <w:tcW w:w="1636" w:type="dxa"/>
            <w:gridSpan w:val="2"/>
            <w:shd w:val="clear" w:color="auto" w:fill="auto"/>
          </w:tcPr>
          <w:p w14:paraId="2FE89D45" w14:textId="77777777" w:rsidR="00354EDD" w:rsidRPr="0045541D" w:rsidRDefault="00354EDD">
            <w:pPr>
              <w:pStyle w:val="TableText"/>
            </w:pPr>
            <w:r w:rsidRPr="0045541D">
              <w:t>8.77 (1.97, 39.06)</w:t>
            </w:r>
          </w:p>
        </w:tc>
        <w:tc>
          <w:tcPr>
            <w:tcW w:w="1637" w:type="dxa"/>
            <w:gridSpan w:val="2"/>
            <w:shd w:val="clear" w:color="auto" w:fill="auto"/>
          </w:tcPr>
          <w:p w14:paraId="09E63E1B" w14:textId="77777777" w:rsidR="00354EDD" w:rsidRPr="0045541D" w:rsidRDefault="00354EDD">
            <w:pPr>
              <w:pStyle w:val="TableText"/>
            </w:pPr>
            <w:r w:rsidRPr="0045541D">
              <w:t>12.59 (2.95, 53.66)</w:t>
            </w:r>
          </w:p>
        </w:tc>
        <w:tc>
          <w:tcPr>
            <w:tcW w:w="1637" w:type="dxa"/>
            <w:gridSpan w:val="4"/>
            <w:shd w:val="clear" w:color="auto" w:fill="auto"/>
          </w:tcPr>
          <w:p w14:paraId="60E943B6" w14:textId="77777777" w:rsidR="00354EDD" w:rsidRPr="0045541D" w:rsidRDefault="00354EDD">
            <w:pPr>
              <w:pStyle w:val="TableText"/>
            </w:pPr>
            <w:r w:rsidRPr="0045541D">
              <w:t>17.71 (3.98, 78.72)</w:t>
            </w:r>
          </w:p>
        </w:tc>
      </w:tr>
      <w:tr w:rsidR="00354EDD" w:rsidRPr="00E40A38" w14:paraId="20F71595" w14:textId="77777777" w:rsidTr="00D174F5">
        <w:tc>
          <w:tcPr>
            <w:tcW w:w="2547" w:type="dxa"/>
            <w:shd w:val="clear" w:color="auto" w:fill="auto"/>
          </w:tcPr>
          <w:p w14:paraId="37D3287D" w14:textId="0DCBB846" w:rsidR="00354EDD" w:rsidRPr="0045541D" w:rsidRDefault="00354EDD">
            <w:pPr>
              <w:pStyle w:val="TableText"/>
            </w:pPr>
            <w:r w:rsidRPr="0045541D">
              <w:t>Rate ratio (</w:t>
            </w:r>
            <w:r w:rsidR="00646B4D" w:rsidRPr="0045541D">
              <w:t>a</w:t>
            </w:r>
            <w:r w:rsidRPr="0045541D">
              <w:t>djusted ABR post-treatment / lead-in)</w:t>
            </w:r>
          </w:p>
          <w:p w14:paraId="3AC509C5" w14:textId="77777777" w:rsidR="00354EDD" w:rsidRPr="0045541D" w:rsidRDefault="00354EDD">
            <w:pPr>
              <w:pStyle w:val="TableText"/>
            </w:pPr>
            <w:r w:rsidRPr="0045541D">
              <w:t>(2-sided Wald 95% CI), p-value</w:t>
            </w:r>
          </w:p>
        </w:tc>
        <w:tc>
          <w:tcPr>
            <w:tcW w:w="1559" w:type="dxa"/>
            <w:shd w:val="clear" w:color="auto" w:fill="auto"/>
          </w:tcPr>
          <w:p w14:paraId="3414938C" w14:textId="77777777" w:rsidR="00354EDD" w:rsidRPr="0045541D" w:rsidRDefault="00354EDD">
            <w:pPr>
              <w:pStyle w:val="TableText"/>
            </w:pPr>
            <w:r w:rsidRPr="0045541D">
              <w:t>-</w:t>
            </w:r>
          </w:p>
        </w:tc>
        <w:tc>
          <w:tcPr>
            <w:tcW w:w="1636" w:type="dxa"/>
            <w:gridSpan w:val="2"/>
            <w:shd w:val="clear" w:color="auto" w:fill="auto"/>
          </w:tcPr>
          <w:p w14:paraId="146D388E" w14:textId="77777777" w:rsidR="00354EDD" w:rsidRPr="0045541D" w:rsidRDefault="00354EDD">
            <w:pPr>
              <w:pStyle w:val="TableText"/>
            </w:pPr>
            <w:r w:rsidRPr="0045541D">
              <w:t xml:space="preserve">1.77 (0.41, 7.62) p=0.2232 </w:t>
            </w:r>
          </w:p>
        </w:tc>
        <w:tc>
          <w:tcPr>
            <w:tcW w:w="1637" w:type="dxa"/>
            <w:gridSpan w:val="2"/>
            <w:shd w:val="clear" w:color="auto" w:fill="auto"/>
          </w:tcPr>
          <w:p w14:paraId="3D1F5922" w14:textId="77777777" w:rsidR="00354EDD" w:rsidRPr="0045541D" w:rsidRDefault="00354EDD">
            <w:pPr>
              <w:pStyle w:val="TableText"/>
            </w:pPr>
            <w:r w:rsidRPr="0045541D">
              <w:t xml:space="preserve">2.56 (0.61, 10.66) p=0.0986 </w:t>
            </w:r>
          </w:p>
        </w:tc>
        <w:tc>
          <w:tcPr>
            <w:tcW w:w="1637" w:type="dxa"/>
            <w:gridSpan w:val="4"/>
            <w:shd w:val="clear" w:color="auto" w:fill="auto"/>
          </w:tcPr>
          <w:p w14:paraId="76AB3402" w14:textId="77777777" w:rsidR="00354EDD" w:rsidRPr="0045541D" w:rsidRDefault="00354EDD">
            <w:pPr>
              <w:pStyle w:val="TableText"/>
            </w:pPr>
            <w:r w:rsidRPr="0045541D">
              <w:t>3.62 (0.82, 15.98) p=0.9556</w:t>
            </w:r>
          </w:p>
        </w:tc>
      </w:tr>
      <w:tr w:rsidR="00183B9B" w:rsidRPr="00E40A38" w14:paraId="6394BCFF" w14:textId="77777777" w:rsidTr="00D174F5">
        <w:tc>
          <w:tcPr>
            <w:tcW w:w="4106" w:type="dxa"/>
            <w:gridSpan w:val="2"/>
            <w:tcBorders>
              <w:right w:val="nil"/>
            </w:tcBorders>
            <w:shd w:val="clear" w:color="auto" w:fill="auto"/>
          </w:tcPr>
          <w:p w14:paraId="4203BB7D" w14:textId="6859EBAE" w:rsidR="00354EDD" w:rsidRPr="0045541D" w:rsidRDefault="00354EDD">
            <w:pPr>
              <w:pStyle w:val="TableText"/>
              <w:rPr>
                <w:b/>
                <w:vertAlign w:val="superscript"/>
              </w:rPr>
            </w:pPr>
            <w:r w:rsidRPr="0045541D">
              <w:rPr>
                <w:b/>
              </w:rPr>
              <w:t>AAV5 titre &lt;3000 (n=</w:t>
            </w:r>
            <w:proofErr w:type="gramStart"/>
            <w:r w:rsidRPr="0045541D">
              <w:rPr>
                <w:b/>
              </w:rPr>
              <w:t>20)</w:t>
            </w:r>
            <w:r w:rsidRPr="0045541D">
              <w:rPr>
                <w:vertAlign w:val="superscript"/>
              </w:rPr>
              <w:t>a</w:t>
            </w:r>
            <w:proofErr w:type="gramEnd"/>
          </w:p>
        </w:tc>
        <w:tc>
          <w:tcPr>
            <w:tcW w:w="1227" w:type="dxa"/>
            <w:tcBorders>
              <w:left w:val="nil"/>
              <w:right w:val="nil"/>
            </w:tcBorders>
            <w:shd w:val="clear" w:color="auto" w:fill="auto"/>
          </w:tcPr>
          <w:p w14:paraId="243C7364" w14:textId="77777777" w:rsidR="00354EDD" w:rsidRPr="0045541D" w:rsidRDefault="00354EDD">
            <w:pPr>
              <w:pStyle w:val="TableText"/>
            </w:pPr>
          </w:p>
        </w:tc>
        <w:tc>
          <w:tcPr>
            <w:tcW w:w="1228" w:type="dxa"/>
            <w:gridSpan w:val="2"/>
            <w:tcBorders>
              <w:left w:val="nil"/>
              <w:right w:val="nil"/>
            </w:tcBorders>
            <w:shd w:val="clear" w:color="auto" w:fill="auto"/>
          </w:tcPr>
          <w:p w14:paraId="3E239A05" w14:textId="77777777" w:rsidR="00354EDD" w:rsidRPr="0045541D" w:rsidRDefault="00354EDD">
            <w:pPr>
              <w:pStyle w:val="TableText"/>
            </w:pPr>
          </w:p>
        </w:tc>
        <w:tc>
          <w:tcPr>
            <w:tcW w:w="1227" w:type="dxa"/>
            <w:gridSpan w:val="2"/>
            <w:tcBorders>
              <w:left w:val="nil"/>
              <w:right w:val="nil"/>
            </w:tcBorders>
            <w:shd w:val="clear" w:color="auto" w:fill="auto"/>
          </w:tcPr>
          <w:p w14:paraId="76D891B9" w14:textId="77777777" w:rsidR="00354EDD" w:rsidRPr="0045541D" w:rsidRDefault="00354EDD">
            <w:pPr>
              <w:pStyle w:val="TableText"/>
            </w:pPr>
          </w:p>
        </w:tc>
        <w:tc>
          <w:tcPr>
            <w:tcW w:w="1228" w:type="dxa"/>
            <w:gridSpan w:val="3"/>
            <w:tcBorders>
              <w:left w:val="nil"/>
            </w:tcBorders>
            <w:shd w:val="clear" w:color="auto" w:fill="auto"/>
          </w:tcPr>
          <w:p w14:paraId="6D5B533A" w14:textId="77777777" w:rsidR="00354EDD" w:rsidRPr="0045541D" w:rsidRDefault="00354EDD">
            <w:pPr>
              <w:pStyle w:val="TableText"/>
            </w:pPr>
          </w:p>
        </w:tc>
      </w:tr>
      <w:tr w:rsidR="00354EDD" w:rsidRPr="00E40A38" w14:paraId="405811C4" w14:textId="77777777" w:rsidTr="00D174F5">
        <w:tc>
          <w:tcPr>
            <w:tcW w:w="2547" w:type="dxa"/>
            <w:shd w:val="clear" w:color="auto" w:fill="auto"/>
          </w:tcPr>
          <w:p w14:paraId="5C237640" w14:textId="30F06B5F" w:rsidR="00354EDD" w:rsidRPr="0045541D" w:rsidRDefault="00354EDD">
            <w:pPr>
              <w:pStyle w:val="TableText"/>
            </w:pPr>
            <w:r w:rsidRPr="0045541D">
              <w:t xml:space="preserve">Unadjusted </w:t>
            </w:r>
            <w:proofErr w:type="spellStart"/>
            <w:r w:rsidRPr="0045541D">
              <w:t>ABR</w:t>
            </w:r>
            <w:r w:rsidR="00EC3905" w:rsidRPr="0045541D">
              <w:rPr>
                <w:vertAlign w:val="superscript"/>
              </w:rPr>
              <w:t>b</w:t>
            </w:r>
            <w:proofErr w:type="spellEnd"/>
          </w:p>
        </w:tc>
        <w:tc>
          <w:tcPr>
            <w:tcW w:w="1559" w:type="dxa"/>
            <w:shd w:val="clear" w:color="auto" w:fill="auto"/>
          </w:tcPr>
          <w:p w14:paraId="577C5981" w14:textId="77777777" w:rsidR="00354EDD" w:rsidRPr="0045541D" w:rsidRDefault="00354EDD">
            <w:pPr>
              <w:pStyle w:val="TableText"/>
            </w:pPr>
            <w:r w:rsidRPr="0045541D">
              <w:t>4.84</w:t>
            </w:r>
          </w:p>
        </w:tc>
        <w:tc>
          <w:tcPr>
            <w:tcW w:w="1636" w:type="dxa"/>
            <w:gridSpan w:val="2"/>
            <w:shd w:val="clear" w:color="auto" w:fill="auto"/>
          </w:tcPr>
          <w:p w14:paraId="5882850D" w14:textId="77777777" w:rsidR="00354EDD" w:rsidRPr="0045541D" w:rsidRDefault="00354EDD">
            <w:pPr>
              <w:pStyle w:val="TableText"/>
            </w:pPr>
            <w:r w:rsidRPr="0045541D">
              <w:t>1.13</w:t>
            </w:r>
          </w:p>
        </w:tc>
        <w:tc>
          <w:tcPr>
            <w:tcW w:w="1637" w:type="dxa"/>
            <w:gridSpan w:val="2"/>
            <w:shd w:val="clear" w:color="auto" w:fill="auto"/>
          </w:tcPr>
          <w:p w14:paraId="22371FBD" w14:textId="77777777" w:rsidR="00354EDD" w:rsidRPr="0045541D" w:rsidRDefault="00354EDD">
            <w:pPr>
              <w:pStyle w:val="TableText"/>
            </w:pPr>
            <w:r w:rsidRPr="0045541D">
              <w:t>1.18</w:t>
            </w:r>
          </w:p>
        </w:tc>
        <w:tc>
          <w:tcPr>
            <w:tcW w:w="1637" w:type="dxa"/>
            <w:gridSpan w:val="4"/>
            <w:shd w:val="clear" w:color="auto" w:fill="auto"/>
          </w:tcPr>
          <w:p w14:paraId="37C94B3C" w14:textId="77777777" w:rsidR="00354EDD" w:rsidRPr="0045541D" w:rsidRDefault="00354EDD">
            <w:pPr>
              <w:pStyle w:val="TableText"/>
            </w:pPr>
            <w:r w:rsidRPr="0045541D">
              <w:t>1.30</w:t>
            </w:r>
          </w:p>
        </w:tc>
      </w:tr>
      <w:tr w:rsidR="00354EDD" w:rsidRPr="00E40A38" w14:paraId="30F7BDFB" w14:textId="77777777" w:rsidTr="00D174F5">
        <w:tc>
          <w:tcPr>
            <w:tcW w:w="2547" w:type="dxa"/>
            <w:shd w:val="clear" w:color="auto" w:fill="auto"/>
          </w:tcPr>
          <w:p w14:paraId="0DAE654C" w14:textId="31BED539" w:rsidR="00354EDD" w:rsidRPr="0045541D" w:rsidRDefault="00354EDD">
            <w:pPr>
              <w:pStyle w:val="TableText"/>
            </w:pPr>
            <w:r w:rsidRPr="0045541D">
              <w:t>Adjusted ABR (95%</w:t>
            </w:r>
            <w:r w:rsidR="00A83D4C" w:rsidRPr="0045541D">
              <w:t xml:space="preserve"> </w:t>
            </w:r>
            <w:r w:rsidRPr="0045541D">
              <w:t>CI)</w:t>
            </w:r>
          </w:p>
          <w:p w14:paraId="7670C6F5" w14:textId="77777777" w:rsidR="00354EDD" w:rsidRPr="0045541D" w:rsidRDefault="00354EDD">
            <w:pPr>
              <w:pStyle w:val="TableText"/>
            </w:pPr>
            <w:r w:rsidRPr="0045541D">
              <w:t>Primary endpoint definition</w:t>
            </w:r>
          </w:p>
        </w:tc>
        <w:tc>
          <w:tcPr>
            <w:tcW w:w="1559" w:type="dxa"/>
            <w:shd w:val="clear" w:color="auto" w:fill="auto"/>
          </w:tcPr>
          <w:p w14:paraId="5F8DA79A" w14:textId="77777777" w:rsidR="00354EDD" w:rsidRPr="0045541D" w:rsidRDefault="00354EDD">
            <w:pPr>
              <w:pStyle w:val="TableText"/>
            </w:pPr>
            <w:r w:rsidRPr="0045541D">
              <w:t>4.30 (3.08, 6.00)</w:t>
            </w:r>
          </w:p>
        </w:tc>
        <w:tc>
          <w:tcPr>
            <w:tcW w:w="1636" w:type="dxa"/>
            <w:gridSpan w:val="2"/>
            <w:shd w:val="clear" w:color="auto" w:fill="auto"/>
          </w:tcPr>
          <w:p w14:paraId="5863AFDC" w14:textId="77777777" w:rsidR="00354EDD" w:rsidRPr="0045541D" w:rsidRDefault="00354EDD">
            <w:pPr>
              <w:pStyle w:val="TableText"/>
            </w:pPr>
            <w:r w:rsidRPr="0045541D">
              <w:t>1.30 (0.63, 2.71)</w:t>
            </w:r>
          </w:p>
        </w:tc>
        <w:tc>
          <w:tcPr>
            <w:tcW w:w="1637" w:type="dxa"/>
            <w:gridSpan w:val="2"/>
            <w:shd w:val="clear" w:color="auto" w:fill="auto"/>
          </w:tcPr>
          <w:p w14:paraId="035E80DD" w14:textId="77777777" w:rsidR="00354EDD" w:rsidRPr="0045541D" w:rsidRDefault="00354EDD">
            <w:pPr>
              <w:pStyle w:val="TableText"/>
            </w:pPr>
            <w:r w:rsidRPr="0045541D">
              <w:t>1.65 (0.84, 3.26)</w:t>
            </w:r>
          </w:p>
        </w:tc>
        <w:tc>
          <w:tcPr>
            <w:tcW w:w="1637" w:type="dxa"/>
            <w:gridSpan w:val="4"/>
            <w:shd w:val="clear" w:color="auto" w:fill="auto"/>
          </w:tcPr>
          <w:p w14:paraId="5B824E03" w14:textId="77777777" w:rsidR="00354EDD" w:rsidRPr="0045541D" w:rsidRDefault="00354EDD">
            <w:pPr>
              <w:pStyle w:val="TableText"/>
            </w:pPr>
            <w:r w:rsidRPr="0045541D">
              <w:t xml:space="preserve">2.14 (0.96, 4.77) </w:t>
            </w:r>
          </w:p>
        </w:tc>
      </w:tr>
      <w:tr w:rsidR="00354EDD" w:rsidRPr="00E40A38" w14:paraId="7CFF191E" w14:textId="77777777" w:rsidTr="00D174F5">
        <w:tc>
          <w:tcPr>
            <w:tcW w:w="2547" w:type="dxa"/>
            <w:shd w:val="clear" w:color="auto" w:fill="auto"/>
          </w:tcPr>
          <w:p w14:paraId="2B400773" w14:textId="0C7843C1" w:rsidR="00354EDD" w:rsidRPr="0045541D" w:rsidRDefault="00354EDD">
            <w:pPr>
              <w:pStyle w:val="TableText"/>
            </w:pPr>
            <w:r w:rsidRPr="0045541D">
              <w:t>Rate ratio (</w:t>
            </w:r>
            <w:r w:rsidR="000473E9" w:rsidRPr="0045541D">
              <w:t>a</w:t>
            </w:r>
            <w:r w:rsidRPr="0045541D">
              <w:t>djusted ABR</w:t>
            </w:r>
          </w:p>
          <w:p w14:paraId="526A8245" w14:textId="77777777" w:rsidR="00354EDD" w:rsidRPr="0045541D" w:rsidRDefault="00354EDD">
            <w:pPr>
              <w:pStyle w:val="TableText"/>
            </w:pPr>
            <w:r w:rsidRPr="0045541D">
              <w:t>post-treatment / lead-in)</w:t>
            </w:r>
          </w:p>
          <w:p w14:paraId="5B147372" w14:textId="77777777" w:rsidR="00354EDD" w:rsidRPr="0045541D" w:rsidRDefault="00354EDD">
            <w:pPr>
              <w:pStyle w:val="TableText"/>
            </w:pPr>
            <w:r w:rsidRPr="0045541D">
              <w:t>(2-sided Wald 95% CI), p-value</w:t>
            </w:r>
          </w:p>
        </w:tc>
        <w:tc>
          <w:tcPr>
            <w:tcW w:w="1559" w:type="dxa"/>
            <w:shd w:val="clear" w:color="auto" w:fill="auto"/>
          </w:tcPr>
          <w:p w14:paraId="3A9DC936" w14:textId="77777777" w:rsidR="00354EDD" w:rsidRPr="0045541D" w:rsidRDefault="00354EDD">
            <w:pPr>
              <w:pStyle w:val="TableText"/>
            </w:pPr>
            <w:r w:rsidRPr="0045541D">
              <w:t>-</w:t>
            </w:r>
          </w:p>
        </w:tc>
        <w:tc>
          <w:tcPr>
            <w:tcW w:w="1636" w:type="dxa"/>
            <w:gridSpan w:val="2"/>
            <w:shd w:val="clear" w:color="auto" w:fill="auto"/>
          </w:tcPr>
          <w:p w14:paraId="523CEC91" w14:textId="77777777" w:rsidR="00354EDD" w:rsidRPr="0045541D" w:rsidRDefault="00354EDD">
            <w:pPr>
              <w:pStyle w:val="TableText"/>
              <w:rPr>
                <w:b/>
                <w:bCs/>
              </w:rPr>
            </w:pPr>
            <w:r w:rsidRPr="0045541D">
              <w:rPr>
                <w:b/>
                <w:bCs/>
              </w:rPr>
              <w:t>0.30 (0.15, 0.62) p=0.0005</w:t>
            </w:r>
          </w:p>
        </w:tc>
        <w:tc>
          <w:tcPr>
            <w:tcW w:w="1637" w:type="dxa"/>
            <w:gridSpan w:val="2"/>
            <w:shd w:val="clear" w:color="auto" w:fill="auto"/>
          </w:tcPr>
          <w:p w14:paraId="064C4940" w14:textId="77777777" w:rsidR="00354EDD" w:rsidRPr="0045541D" w:rsidRDefault="00354EDD">
            <w:pPr>
              <w:pStyle w:val="TableText"/>
              <w:rPr>
                <w:b/>
                <w:bCs/>
              </w:rPr>
            </w:pPr>
            <w:r w:rsidRPr="0045541D">
              <w:rPr>
                <w:b/>
                <w:bCs/>
              </w:rPr>
              <w:t xml:space="preserve">0.39 (0.18, 0.82) p=0.0065 </w:t>
            </w:r>
          </w:p>
        </w:tc>
        <w:tc>
          <w:tcPr>
            <w:tcW w:w="1637" w:type="dxa"/>
            <w:gridSpan w:val="4"/>
            <w:shd w:val="clear" w:color="auto" w:fill="auto"/>
          </w:tcPr>
          <w:p w14:paraId="37A2D62C" w14:textId="77777777" w:rsidR="00354EDD" w:rsidRPr="0045541D" w:rsidRDefault="00354EDD">
            <w:pPr>
              <w:pStyle w:val="TableText"/>
            </w:pPr>
            <w:r w:rsidRPr="0045541D">
              <w:t>0.49 (0.21, 1.16) p=0.0532</w:t>
            </w:r>
          </w:p>
        </w:tc>
      </w:tr>
    </w:tbl>
    <w:p w14:paraId="28958BBF" w14:textId="52CB2211" w:rsidR="00354EDD" w:rsidRPr="00E40A38" w:rsidRDefault="00354EDD" w:rsidP="000B1EB0">
      <w:pPr>
        <w:pStyle w:val="CommentaryTablenotes"/>
        <w:rPr>
          <w:color w:val="auto"/>
        </w:rPr>
      </w:pPr>
      <w:r w:rsidRPr="00E40A38">
        <w:rPr>
          <w:color w:val="auto"/>
        </w:rPr>
        <w:t>AAV5</w:t>
      </w:r>
      <w:r w:rsidR="00937852" w:rsidRPr="00E40A38">
        <w:rPr>
          <w:color w:val="auto"/>
        </w:rPr>
        <w:t xml:space="preserve"> =</w:t>
      </w:r>
      <w:r w:rsidRPr="00E40A38">
        <w:rPr>
          <w:color w:val="auto"/>
        </w:rPr>
        <w:t xml:space="preserve"> adeno-associated virus type 5; ABR</w:t>
      </w:r>
      <w:r w:rsidR="00937852" w:rsidRPr="00E40A38">
        <w:rPr>
          <w:color w:val="auto"/>
        </w:rPr>
        <w:t xml:space="preserve"> =</w:t>
      </w:r>
      <w:r w:rsidRPr="00E40A38">
        <w:rPr>
          <w:color w:val="auto"/>
        </w:rPr>
        <w:t xml:space="preserve"> annualised bleed rate; CI</w:t>
      </w:r>
      <w:r w:rsidR="00937852" w:rsidRPr="00E40A38">
        <w:rPr>
          <w:color w:val="auto"/>
        </w:rPr>
        <w:t xml:space="preserve"> =</w:t>
      </w:r>
      <w:r w:rsidRPr="00E40A38">
        <w:rPr>
          <w:color w:val="auto"/>
        </w:rPr>
        <w:t xml:space="preserve"> confidence interval.</w:t>
      </w:r>
      <w:r w:rsidRPr="00E40A38">
        <w:rPr>
          <w:color w:val="auto"/>
        </w:rPr>
        <w:br/>
        <w:t>Note: values in bold met criteria for statistical significance</w:t>
      </w:r>
      <w:r w:rsidR="00706A60" w:rsidRPr="00E40A38">
        <w:rPr>
          <w:color w:val="auto"/>
        </w:rPr>
        <w:t>.</w:t>
      </w:r>
      <w:r w:rsidRPr="00E40A38">
        <w:rPr>
          <w:color w:val="auto"/>
        </w:rPr>
        <w:t xml:space="preserve"> </w:t>
      </w:r>
      <w:r w:rsidRPr="00E40A38">
        <w:rPr>
          <w:color w:val="auto"/>
        </w:rPr>
        <w:br/>
        <w:t xml:space="preserve">a </w:t>
      </w:r>
      <w:r w:rsidR="00012C5C" w:rsidRPr="0045541D">
        <w:rPr>
          <w:color w:val="auto"/>
        </w:rPr>
        <w:t>T</w:t>
      </w:r>
      <w:r w:rsidRPr="0045541D">
        <w:rPr>
          <w:color w:val="auto"/>
        </w:rPr>
        <w:t>wo AAV5 titre positive analysis sets are shown, all titre positive (n=21) and titre &lt;3000 (n=20) which excludes the high antibody titre individual [</w:t>
      </w:r>
      <w:r w:rsidR="003B7324" w:rsidRPr="0045541D">
        <w:rPr>
          <w:b/>
          <w:bCs/>
          <w:color w:val="auto"/>
        </w:rPr>
        <w:t>redacted</w:t>
      </w:r>
      <w:r w:rsidRPr="0045541D">
        <w:rPr>
          <w:color w:val="auto"/>
        </w:rPr>
        <w:t>].</w:t>
      </w:r>
      <w:r w:rsidR="001F2E10" w:rsidRPr="0045541D">
        <w:rPr>
          <w:color w:val="auto"/>
        </w:rPr>
        <w:t xml:space="preserve"> The highest titre</w:t>
      </w:r>
      <w:r w:rsidR="004C6B51" w:rsidRPr="0045541D">
        <w:rPr>
          <w:color w:val="auto"/>
        </w:rPr>
        <w:t xml:space="preserve"> in the &lt;</w:t>
      </w:r>
      <w:r w:rsidR="002A2A96" w:rsidRPr="0045541D">
        <w:rPr>
          <w:color w:val="auto"/>
        </w:rPr>
        <w:t>3000 analysis</w:t>
      </w:r>
      <w:r w:rsidR="001F2E10" w:rsidRPr="0045541D">
        <w:rPr>
          <w:color w:val="auto"/>
        </w:rPr>
        <w:t xml:space="preserve"> was 678 (7-point assay)</w:t>
      </w:r>
      <w:r w:rsidR="002A2A96" w:rsidRPr="0045541D">
        <w:rPr>
          <w:color w:val="auto"/>
        </w:rPr>
        <w:t>.</w:t>
      </w:r>
      <w:r w:rsidR="003347F0" w:rsidRPr="0045541D">
        <w:rPr>
          <w:color w:val="auto"/>
        </w:rPr>
        <w:br/>
        <w:t>b</w:t>
      </w:r>
      <w:r w:rsidR="003347F0" w:rsidRPr="0045541D">
        <w:rPr>
          <w:b/>
          <w:bCs/>
          <w:color w:val="auto"/>
        </w:rPr>
        <w:t xml:space="preserve"> </w:t>
      </w:r>
      <w:r w:rsidR="003347F0" w:rsidRPr="0045541D">
        <w:rPr>
          <w:color w:val="auto"/>
        </w:rPr>
        <w:t>Unadjusted ABR is calculated</w:t>
      </w:r>
      <w:r w:rsidR="003347F0" w:rsidRPr="00E40A38">
        <w:rPr>
          <w:color w:val="auto"/>
        </w:rPr>
        <w:t xml:space="preserve"> as the ratio of the total </w:t>
      </w:r>
      <w:r w:rsidR="003876F6" w:rsidRPr="00E40A38">
        <w:rPr>
          <w:color w:val="auto"/>
        </w:rPr>
        <w:t xml:space="preserve">(pooled) </w:t>
      </w:r>
      <w:r w:rsidR="003347F0" w:rsidRPr="00E40A38">
        <w:rPr>
          <w:color w:val="auto"/>
        </w:rPr>
        <w:t xml:space="preserve">patient number of bleeds to the total </w:t>
      </w:r>
      <w:r w:rsidR="00697849" w:rsidRPr="00E40A38">
        <w:rPr>
          <w:color w:val="auto"/>
        </w:rPr>
        <w:t xml:space="preserve">(pooled) </w:t>
      </w:r>
      <w:r w:rsidR="003347F0" w:rsidRPr="00E40A38">
        <w:rPr>
          <w:color w:val="auto"/>
        </w:rPr>
        <w:t>patient time of observation (in years)</w:t>
      </w:r>
      <w:r w:rsidR="00A50C3E" w:rsidRPr="00E40A38">
        <w:rPr>
          <w:color w:val="auto"/>
        </w:rPr>
        <w:t>.</w:t>
      </w:r>
      <w:r w:rsidR="003347F0" w:rsidRPr="00E40A38">
        <w:rPr>
          <w:color w:val="auto"/>
        </w:rPr>
        <w:br/>
      </w:r>
      <w:r w:rsidRPr="00E40A38">
        <w:rPr>
          <w:color w:val="auto"/>
        </w:rPr>
        <w:t xml:space="preserve">Source: adapted from Commentary Table 6 of MSAC 1728 </w:t>
      </w:r>
      <w:proofErr w:type="spellStart"/>
      <w:r w:rsidRPr="00E40A38">
        <w:rPr>
          <w:color w:val="auto"/>
        </w:rPr>
        <w:t>ADAR+in-line</w:t>
      </w:r>
      <w:proofErr w:type="spellEnd"/>
      <w:r w:rsidRPr="00E40A38">
        <w:rPr>
          <w:color w:val="auto"/>
        </w:rPr>
        <w:t xml:space="preserve"> commentary.</w:t>
      </w:r>
    </w:p>
    <w:p w14:paraId="0C1EF528" w14:textId="77777777" w:rsidR="00354EDD" w:rsidRPr="00E40A38" w:rsidRDefault="00354EDD" w:rsidP="00354EDD">
      <w:pPr>
        <w:pStyle w:val="Heading4"/>
      </w:pPr>
      <w:r w:rsidRPr="00E40A38">
        <w:t>Correlation of clinical utility standard against proposed test</w:t>
      </w:r>
    </w:p>
    <w:p w14:paraId="6C9DFB4A" w14:textId="1919C436" w:rsidR="00F83C66" w:rsidRPr="00E40A38" w:rsidRDefault="00354EDD" w:rsidP="00F83C66">
      <w:pPr>
        <w:rPr>
          <w:iCs/>
        </w:rPr>
      </w:pPr>
      <w:r w:rsidRPr="00E40A38">
        <w:t xml:space="preserve">The assay used in the HOPE-B </w:t>
      </w:r>
      <w:r w:rsidR="00792477">
        <w:t>study</w:t>
      </w:r>
      <w:r w:rsidR="00792477" w:rsidRPr="00E40A38">
        <w:t xml:space="preserve"> </w:t>
      </w:r>
      <w:r w:rsidR="00A6184F" w:rsidRPr="00E40A38">
        <w:t>–</w:t>
      </w:r>
      <w:r w:rsidRPr="00E40A38">
        <w:t xml:space="preserve"> the clinical reference standard</w:t>
      </w:r>
      <w:r w:rsidR="00A6184F" w:rsidRPr="00E40A38">
        <w:t xml:space="preserve"> – </w:t>
      </w:r>
      <w:r w:rsidRPr="00E40A38">
        <w:t>was a 7-point assay. The proposed test is a 9-point assay. The tests are undertaken in the same laboratory and use the same technical approach, differing only in the number of dilutions undertaken to extend the range. The data provided suggest that they are sufficiently well correlated, however the data are limited in size and range.</w:t>
      </w:r>
      <w:r w:rsidRPr="00E40A38">
        <w:rPr>
          <w:iCs/>
        </w:rPr>
        <w:t xml:space="preserve"> </w:t>
      </w:r>
    </w:p>
    <w:p w14:paraId="4208A3D8" w14:textId="08043B1B" w:rsidR="00F83C66" w:rsidRPr="00E40A38" w:rsidRDefault="00354EDD" w:rsidP="00F83C66">
      <w:r w:rsidRPr="00E40A38">
        <w:rPr>
          <w:iCs/>
        </w:rPr>
        <w:t xml:space="preserve">The clinical reference standard was not considered sufficiently valid or reliable by the </w:t>
      </w:r>
      <w:r w:rsidR="00AF3F0D" w:rsidRPr="00E40A38">
        <w:rPr>
          <w:iCs/>
        </w:rPr>
        <w:t>United States Food and Drug Administration (</w:t>
      </w:r>
      <w:r w:rsidRPr="00E40A38">
        <w:rPr>
          <w:iCs/>
        </w:rPr>
        <w:t>FDA</w:t>
      </w:r>
      <w:r w:rsidR="00AF3F0D" w:rsidRPr="00E40A38">
        <w:rPr>
          <w:iCs/>
        </w:rPr>
        <w:t>)</w:t>
      </w:r>
      <w:r w:rsidRPr="00E40A38">
        <w:rPr>
          <w:iCs/>
        </w:rPr>
        <w:t xml:space="preserve"> for its purpose as a companion diagnostic.</w:t>
      </w:r>
      <w:r w:rsidR="00F83C66" w:rsidRPr="00E40A38">
        <w:rPr>
          <w:iCs/>
        </w:rPr>
        <w:t xml:space="preserve"> </w:t>
      </w:r>
      <w:r w:rsidR="00BB57AF" w:rsidRPr="00E40A38">
        <w:rPr>
          <w:iCs/>
        </w:rPr>
        <w:t xml:space="preserve">FDA’s </w:t>
      </w:r>
      <w:r w:rsidR="00D97FC0" w:rsidRPr="00E40A38">
        <w:rPr>
          <w:iCs/>
        </w:rPr>
        <w:t>clinical review</w:t>
      </w:r>
      <w:r w:rsidR="00515A43" w:rsidRPr="00E40A38">
        <w:rPr>
          <w:rStyle w:val="FootnoteReference"/>
          <w:iCs/>
        </w:rPr>
        <w:footnoteReference w:id="8"/>
      </w:r>
      <w:r w:rsidR="00D97FC0" w:rsidRPr="00E40A38">
        <w:rPr>
          <w:iCs/>
        </w:rPr>
        <w:t xml:space="preserve"> of </w:t>
      </w:r>
      <w:r w:rsidR="000D0E94">
        <w:t>Hemgenix</w:t>
      </w:r>
      <w:r w:rsidR="00D97FC0" w:rsidRPr="00E40A38">
        <w:t xml:space="preserve"> </w:t>
      </w:r>
      <w:r w:rsidR="00E461CB" w:rsidRPr="00E40A38">
        <w:t>commented regarding</w:t>
      </w:r>
      <w:r w:rsidR="00A37E1F" w:rsidRPr="00E40A38">
        <w:t xml:space="preserve"> the assay</w:t>
      </w:r>
      <w:r w:rsidR="00D97FC0" w:rsidRPr="00E40A38">
        <w:t>:</w:t>
      </w:r>
    </w:p>
    <w:p w14:paraId="2ED33E3E" w14:textId="5B7CB9CA" w:rsidR="007710B2" w:rsidRPr="00E40A38" w:rsidRDefault="00D97FC0" w:rsidP="00951BEC">
      <w:pPr>
        <w:ind w:left="284" w:right="379"/>
        <w:rPr>
          <w:iCs/>
        </w:rPr>
      </w:pPr>
      <w:r w:rsidRPr="00E40A38">
        <w:t>“</w:t>
      </w:r>
      <w:r w:rsidR="00A37E1F" w:rsidRPr="00E40A38">
        <w:t xml:space="preserve">Assay validation for the neutralizing antibodies to AAV was performed by </w:t>
      </w:r>
      <w:r w:rsidR="008B0A92" w:rsidRPr="00E40A38">
        <w:t>[</w:t>
      </w:r>
      <w:r w:rsidR="001D1E57" w:rsidRPr="00E40A38">
        <w:t xml:space="preserve">the </w:t>
      </w:r>
      <w:proofErr w:type="spellStart"/>
      <w:r w:rsidR="001D1E57" w:rsidRPr="00E40A38">
        <w:t>Center</w:t>
      </w:r>
      <w:proofErr w:type="spellEnd"/>
      <w:r w:rsidR="001D1E57" w:rsidRPr="00E40A38">
        <w:t xml:space="preserve"> for Devices and Radiological Health (</w:t>
      </w:r>
      <w:r w:rsidR="00A37E1F" w:rsidRPr="00E40A38">
        <w:t>CDRH</w:t>
      </w:r>
      <w:r w:rsidR="001D1E57" w:rsidRPr="00E40A38">
        <w:t>)</w:t>
      </w:r>
      <w:r w:rsidR="008B0A92" w:rsidRPr="00E40A38">
        <w:t>]</w:t>
      </w:r>
      <w:r w:rsidR="00A37E1F" w:rsidRPr="00E40A38">
        <w:t>. CDRH determined that the data provided to support the assay utilized in the clinical trials and for the modified assay submitted as a companion diagnostic in a Premarket Application (PMA) were not sufficient to support assay validation. The reported results from the assay utilized in the clinical trial should be interpreted with caution as they are not considered validated or reliable.</w:t>
      </w:r>
      <w:r w:rsidRPr="00E40A38">
        <w:t>”</w:t>
      </w:r>
    </w:p>
    <w:p w14:paraId="5F87AF80" w14:textId="79FC9CD0" w:rsidR="001D1E57" w:rsidRPr="00E40A38" w:rsidRDefault="0060736D" w:rsidP="00A37E1F">
      <w:pPr>
        <w:rPr>
          <w:iCs/>
        </w:rPr>
      </w:pPr>
      <w:r w:rsidRPr="00E40A38">
        <w:t>No</w:t>
      </w:r>
      <w:r w:rsidR="001D1E57" w:rsidRPr="00E40A38">
        <w:t xml:space="preserve"> </w:t>
      </w:r>
      <w:r w:rsidR="008107E3" w:rsidRPr="00E40A38">
        <w:t>pre-market authorisation</w:t>
      </w:r>
      <w:r w:rsidR="004537D9" w:rsidRPr="00E40A38">
        <w:t xml:space="preserve"> </w:t>
      </w:r>
      <w:r w:rsidRPr="00E40A38">
        <w:t xml:space="preserve">was approved </w:t>
      </w:r>
      <w:r w:rsidR="004537D9" w:rsidRPr="00E40A38">
        <w:t xml:space="preserve">for this </w:t>
      </w:r>
      <w:proofErr w:type="gramStart"/>
      <w:r w:rsidRPr="00E40A38">
        <w:t>assay</w:t>
      </w:r>
      <w:proofErr w:type="gramEnd"/>
      <w:r w:rsidRPr="00E40A38">
        <w:t xml:space="preserve"> and it remai</w:t>
      </w:r>
      <w:r w:rsidR="008107E3" w:rsidRPr="00E40A38">
        <w:t>ned</w:t>
      </w:r>
      <w:r w:rsidRPr="00E40A38">
        <w:t xml:space="preserve"> unapproved for the </w:t>
      </w:r>
      <w:r w:rsidR="00253F7F" w:rsidRPr="00E40A38">
        <w:t>United States</w:t>
      </w:r>
      <w:r w:rsidRPr="00E40A38">
        <w:t xml:space="preserve"> market. </w:t>
      </w:r>
    </w:p>
    <w:p w14:paraId="640C1F70" w14:textId="67B872B6" w:rsidR="00633BFA" w:rsidRPr="00E40A38" w:rsidRDefault="00684258" w:rsidP="00684258">
      <w:pPr>
        <w:pStyle w:val="Heading3"/>
      </w:pPr>
      <w:r w:rsidRPr="00E40A38">
        <w:t>Clinical claim</w:t>
      </w:r>
    </w:p>
    <w:p w14:paraId="76D06250" w14:textId="255C2CB6" w:rsidR="00997501" w:rsidRPr="00E40A38" w:rsidRDefault="00997501" w:rsidP="00997501">
      <w:r w:rsidRPr="00E40A38">
        <w:t xml:space="preserve">The ADAR concluded that, in comparison to continued standard care for HMB with no gene therapy, </w:t>
      </w:r>
      <w:r w:rsidR="00ED4205">
        <w:t>Hemgenix</w:t>
      </w:r>
      <w:r w:rsidRPr="00E40A38">
        <w:t xml:space="preserve"> will provide a significant and clinically important improvement in effectiveness, with an acceptable and overall non-inferior safety profile.</w:t>
      </w:r>
    </w:p>
    <w:p w14:paraId="335886DB" w14:textId="6BBF986C" w:rsidR="00997501" w:rsidRPr="00E40A38" w:rsidRDefault="00997501" w:rsidP="00997501">
      <w:r w:rsidRPr="00E40A38">
        <w:t>The commentary separated out the clinical claims by outcome and concluded</w:t>
      </w:r>
      <w:r w:rsidRPr="00E40A38" w:rsidDel="00F12932">
        <w:t xml:space="preserve"> </w:t>
      </w:r>
      <w:r w:rsidR="00C2548D" w:rsidRPr="00E40A38">
        <w:t>the following</w:t>
      </w:r>
      <w:r w:rsidR="00676887" w:rsidRPr="00E40A38">
        <w:t>.</w:t>
      </w:r>
    </w:p>
    <w:p w14:paraId="12822B89" w14:textId="77777777" w:rsidR="00A82B85" w:rsidRPr="00E40A38" w:rsidRDefault="00A82B85" w:rsidP="00A82B85">
      <w:r w:rsidRPr="00E40A38">
        <w:t>Safety:</w:t>
      </w:r>
    </w:p>
    <w:p w14:paraId="26CCEEC7" w14:textId="5C2C1AE8" w:rsidR="00A82B85" w:rsidRPr="00E40A38" w:rsidRDefault="00A82B85" w:rsidP="006779D5">
      <w:pPr>
        <w:pStyle w:val="ListParagraph"/>
        <w:numPr>
          <w:ilvl w:val="0"/>
          <w:numId w:val="12"/>
        </w:numPr>
      </w:pPr>
      <w:r w:rsidRPr="00E40A38">
        <w:t xml:space="preserve">The use of </w:t>
      </w:r>
      <w:r w:rsidR="00ED4205">
        <w:t>Hemgenix</w:t>
      </w:r>
      <w:r w:rsidRPr="00E40A38">
        <w:t xml:space="preserve"> resulted in inferior safety compared with standard of care for the outcomes of peri-infusion </w:t>
      </w:r>
      <w:r w:rsidR="00C9136E" w:rsidRPr="00E40A38">
        <w:t>AE</w:t>
      </w:r>
      <w:r w:rsidRPr="00E40A38">
        <w:t xml:space="preserve">s and laboratory indicators of safety. </w:t>
      </w:r>
    </w:p>
    <w:p w14:paraId="1EF11120" w14:textId="3F3D882F" w:rsidR="00A82B85" w:rsidRPr="00E40A38" w:rsidRDefault="00A82B85" w:rsidP="006779D5">
      <w:pPr>
        <w:pStyle w:val="ListParagraph"/>
        <w:numPr>
          <w:ilvl w:val="0"/>
          <w:numId w:val="12"/>
        </w:numPr>
      </w:pPr>
      <w:r w:rsidRPr="00E40A38">
        <w:t xml:space="preserve">The use of </w:t>
      </w:r>
      <w:r w:rsidR="00ED4205">
        <w:t>Hemgenix</w:t>
      </w:r>
      <w:r w:rsidRPr="00E40A38">
        <w:t xml:space="preserve"> resulted in non-inferior safety compared with standard of care for the outcomes of medium-term </w:t>
      </w:r>
      <w:r w:rsidR="00C9136E" w:rsidRPr="00E40A38">
        <w:t>AE</w:t>
      </w:r>
      <w:r w:rsidRPr="00E40A38">
        <w:t xml:space="preserve">s (up to 36 months post-infusion). </w:t>
      </w:r>
    </w:p>
    <w:p w14:paraId="1DA6329D" w14:textId="5558F924" w:rsidR="00A82B85" w:rsidRPr="00E40A38" w:rsidRDefault="00A82B85" w:rsidP="006779D5">
      <w:pPr>
        <w:pStyle w:val="ListParagraph"/>
        <w:numPr>
          <w:ilvl w:val="0"/>
          <w:numId w:val="12"/>
        </w:numPr>
      </w:pPr>
      <w:r w:rsidRPr="00E40A38">
        <w:t>There were patients with lack of efficacy and reduced efficacy. The sample size was too small for the factors contributing to this to be established.</w:t>
      </w:r>
    </w:p>
    <w:p w14:paraId="212AC162" w14:textId="369E4B31" w:rsidR="00A82B85" w:rsidRPr="00E40A38" w:rsidRDefault="00A82B85" w:rsidP="006779D5">
      <w:pPr>
        <w:pStyle w:val="ListParagraph"/>
        <w:numPr>
          <w:ilvl w:val="0"/>
          <w:numId w:val="12"/>
        </w:numPr>
      </w:pPr>
      <w:r w:rsidRPr="00E40A38">
        <w:t xml:space="preserve">Overall, the use of </w:t>
      </w:r>
      <w:r w:rsidR="00ED4205">
        <w:t>Hemgenix</w:t>
      </w:r>
      <w:r w:rsidRPr="00E40A38">
        <w:t xml:space="preserve"> had non-inferior safety over the period of the clinical study.</w:t>
      </w:r>
    </w:p>
    <w:p w14:paraId="57A71532" w14:textId="4508A686" w:rsidR="00C2548D" w:rsidRPr="00E40A38" w:rsidRDefault="00C2548D" w:rsidP="00997501">
      <w:r w:rsidRPr="00E40A38">
        <w:t>Effectiveness</w:t>
      </w:r>
      <w:r w:rsidR="00676887" w:rsidRPr="00E40A38">
        <w:t>:</w:t>
      </w:r>
    </w:p>
    <w:p w14:paraId="663A59B2" w14:textId="71B761A7" w:rsidR="00997501" w:rsidRPr="00E40A38" w:rsidRDefault="00997501" w:rsidP="006779D5">
      <w:pPr>
        <w:pStyle w:val="ListParagraph"/>
        <w:numPr>
          <w:ilvl w:val="0"/>
          <w:numId w:val="12"/>
        </w:numPr>
      </w:pPr>
      <w:r w:rsidRPr="00E40A38">
        <w:t xml:space="preserve">The use of </w:t>
      </w:r>
      <w:r w:rsidR="00ED4205">
        <w:t>Hemgenix</w:t>
      </w:r>
      <w:r w:rsidRPr="00E40A38">
        <w:t xml:space="preserve"> resulted in superior effectiveness compared with standard of care for annualised bleed rates, endogenous FIX activity, change in patient disease categorisation and FIX utilisation. </w:t>
      </w:r>
    </w:p>
    <w:p w14:paraId="678FEF35" w14:textId="232A2F1E" w:rsidR="00997501" w:rsidRPr="00E40A38" w:rsidRDefault="00997501" w:rsidP="006779D5">
      <w:pPr>
        <w:pStyle w:val="ListParagraph"/>
        <w:numPr>
          <w:ilvl w:val="0"/>
          <w:numId w:val="12"/>
        </w:numPr>
      </w:pPr>
      <w:r w:rsidRPr="00E40A38">
        <w:t xml:space="preserve">The use of </w:t>
      </w:r>
      <w:r w:rsidR="00ED4205">
        <w:t>Hemgenix</w:t>
      </w:r>
      <w:r w:rsidRPr="00E40A38">
        <w:t xml:space="preserve"> resulted in non-inferior effectiveness compared with standard of care over 36 months for </w:t>
      </w:r>
      <w:proofErr w:type="spellStart"/>
      <w:r w:rsidR="00420528" w:rsidRPr="00E40A38">
        <w:t>HRQoL</w:t>
      </w:r>
      <w:proofErr w:type="spellEnd"/>
      <w:r w:rsidRPr="00E40A38">
        <w:t xml:space="preserve"> outcomes. The small sample size of the key </w:t>
      </w:r>
      <w:r w:rsidR="009567EB">
        <w:t>study</w:t>
      </w:r>
      <w:r w:rsidR="009567EB" w:rsidRPr="00E40A38">
        <w:t xml:space="preserve"> </w:t>
      </w:r>
      <w:r w:rsidRPr="00E40A38">
        <w:t xml:space="preserve">was likely to be a limitation for establishing superiority for these outcomes. </w:t>
      </w:r>
    </w:p>
    <w:p w14:paraId="17D8B386" w14:textId="245E57A9" w:rsidR="00997501" w:rsidRPr="00E40A38" w:rsidRDefault="00997501" w:rsidP="006779D5">
      <w:pPr>
        <w:pStyle w:val="ListParagraph"/>
        <w:numPr>
          <w:ilvl w:val="0"/>
          <w:numId w:val="12"/>
        </w:numPr>
      </w:pPr>
      <w:r w:rsidRPr="00E40A38">
        <w:t>There w</w:t>
      </w:r>
      <w:r w:rsidR="004378A6" w:rsidRPr="00E40A38">
        <w:t>ere</w:t>
      </w:r>
      <w:r w:rsidRPr="00E40A38">
        <w:t xml:space="preserve"> insufficient data available to establish the effectiveness of </w:t>
      </w:r>
      <w:r w:rsidR="00ED4205">
        <w:t>Hemgenix</w:t>
      </w:r>
      <w:r w:rsidRPr="00E40A38">
        <w:t xml:space="preserve"> compared with standard of care for the outcome of occurrence and resolution of target joint bleeding. </w:t>
      </w:r>
    </w:p>
    <w:p w14:paraId="6F6BEB67" w14:textId="5255A5FE" w:rsidR="00997501" w:rsidRPr="00E40A38" w:rsidRDefault="00997501" w:rsidP="006779D5">
      <w:pPr>
        <w:pStyle w:val="ListParagraph"/>
        <w:numPr>
          <w:ilvl w:val="0"/>
          <w:numId w:val="12"/>
        </w:numPr>
      </w:pPr>
      <w:r w:rsidRPr="00E40A38">
        <w:t>There w</w:t>
      </w:r>
      <w:r w:rsidR="00415920" w:rsidRPr="00E40A38">
        <w:t>ere</w:t>
      </w:r>
      <w:r w:rsidRPr="00E40A38">
        <w:t xml:space="preserve"> no data available to establish the effectiveness of </w:t>
      </w:r>
      <w:r w:rsidR="00ED4205">
        <w:t>Hemgenix</w:t>
      </w:r>
      <w:r w:rsidRPr="00E40A38">
        <w:t xml:space="preserve"> compared with standard of care for the outcomes of central venous access no longer required and events of central venous access-related sepsis or thrombosis.</w:t>
      </w:r>
    </w:p>
    <w:p w14:paraId="6C118143" w14:textId="3ACDD292" w:rsidR="005B4E80" w:rsidRPr="00E40A38" w:rsidRDefault="005B4E80" w:rsidP="006779D5">
      <w:pPr>
        <w:pStyle w:val="ListParagraph"/>
        <w:numPr>
          <w:ilvl w:val="0"/>
          <w:numId w:val="12"/>
        </w:numPr>
      </w:pPr>
      <w:r w:rsidRPr="00E40A38">
        <w:t xml:space="preserve">The use of </w:t>
      </w:r>
      <w:r w:rsidR="00ED4205">
        <w:t>Hemgenix</w:t>
      </w:r>
      <w:r w:rsidRPr="00E40A38">
        <w:t xml:space="preserve"> in patients who were AAV5 </w:t>
      </w:r>
      <w:proofErr w:type="spellStart"/>
      <w:r w:rsidRPr="00E40A38">
        <w:t>NAb</w:t>
      </w:r>
      <w:proofErr w:type="spellEnd"/>
      <w:r w:rsidRPr="00E40A38">
        <w:t xml:space="preserve"> positive trended towards inferior effectiveness compared to patients who were AAV5 </w:t>
      </w:r>
      <w:proofErr w:type="spellStart"/>
      <w:r w:rsidRPr="00E40A38">
        <w:t>NAb</w:t>
      </w:r>
      <w:proofErr w:type="spellEnd"/>
      <w:r w:rsidRPr="00E40A38">
        <w:t xml:space="preserve"> negative, however there were insufficient data to establish the clinical relevance of this. Further patient factors may complicate this analysis.</w:t>
      </w:r>
    </w:p>
    <w:p w14:paraId="45D71307" w14:textId="6C81D81B" w:rsidR="00613628" w:rsidRPr="00E40A38" w:rsidRDefault="00997501" w:rsidP="006B73BB">
      <w:proofErr w:type="gramStart"/>
      <w:r w:rsidRPr="00E40A38">
        <w:t>All of</w:t>
      </w:r>
      <w:proofErr w:type="gramEnd"/>
      <w:r w:rsidRPr="00E40A38">
        <w:t xml:space="preserve"> the clinical conclusions were limited to a follow-up period of 36 months. </w:t>
      </w:r>
      <w:r w:rsidR="00F3229E" w:rsidRPr="00E40A38">
        <w:t xml:space="preserve">The commentary noted that </w:t>
      </w:r>
      <w:r w:rsidR="00ED4205">
        <w:t>Hemgenix</w:t>
      </w:r>
      <w:r w:rsidRPr="00E40A38">
        <w:t xml:space="preserve"> is intended for life-time treatment, is irreversible and likely precludes patients from accessing treatments in the future. </w:t>
      </w:r>
      <w:r w:rsidRPr="0045541D">
        <w:t>Treatments for HMB (gene therapies and non-gene therapies) are likely to evolve rapidly.</w:t>
      </w:r>
    </w:p>
    <w:p w14:paraId="0D09C9E4" w14:textId="7ED852D3" w:rsidR="00772829" w:rsidRPr="00E40A38" w:rsidRDefault="00B27795" w:rsidP="002A18BE">
      <w:pPr>
        <w:pStyle w:val="Heading2"/>
        <w:numPr>
          <w:ilvl w:val="0"/>
          <w:numId w:val="0"/>
        </w:numPr>
      </w:pPr>
      <w:bookmarkStart w:id="42" w:name="_Toc69491425"/>
      <w:r w:rsidRPr="00E40A38">
        <w:t>1</w:t>
      </w:r>
      <w:r w:rsidR="00255EA3">
        <w:t>3</w:t>
      </w:r>
      <w:r w:rsidR="00C36633" w:rsidRPr="00E40A38">
        <w:t>.</w:t>
      </w:r>
      <w:r w:rsidR="00C36633" w:rsidRPr="00E40A38">
        <w:tab/>
      </w:r>
      <w:r w:rsidR="00772829" w:rsidRPr="00E40A38">
        <w:t>Economic evaluation</w:t>
      </w:r>
      <w:bookmarkEnd w:id="42"/>
    </w:p>
    <w:p w14:paraId="23589B13" w14:textId="76B7BFCC" w:rsidR="009173FC" w:rsidRPr="00E40A38" w:rsidRDefault="009173FC" w:rsidP="009173FC">
      <w:r w:rsidRPr="00E40A38">
        <w:t xml:space="preserve">A cost-utility analysis (CUA) was presented in the ADAR. The model </w:t>
      </w:r>
      <w:r w:rsidR="0094788F" w:rsidRPr="00E40A38">
        <w:t>wa</w:t>
      </w:r>
      <w:r w:rsidRPr="00E40A38">
        <w:t xml:space="preserve">s composed of two phases: </w:t>
      </w:r>
    </w:p>
    <w:p w14:paraId="1941F35C" w14:textId="1EF32033" w:rsidR="009173FC" w:rsidRPr="00E40A38" w:rsidRDefault="009173FC" w:rsidP="006779D5">
      <w:pPr>
        <w:pStyle w:val="ListParagraph"/>
        <w:numPr>
          <w:ilvl w:val="0"/>
          <w:numId w:val="13"/>
        </w:numPr>
        <w:tabs>
          <w:tab w:val="left" w:pos="4060"/>
        </w:tabs>
      </w:pPr>
      <w:r w:rsidRPr="00E40A38">
        <w:t xml:space="preserve">A short-term decision tree describing the results of a modified </w:t>
      </w:r>
      <w:proofErr w:type="spellStart"/>
      <w:r w:rsidRPr="00E40A38">
        <w:t>NAb</w:t>
      </w:r>
      <w:proofErr w:type="spellEnd"/>
      <w:r w:rsidRPr="00E40A38">
        <w:t xml:space="preserve"> assay with 9-point luciferase anti-AAV5 </w:t>
      </w:r>
      <w:proofErr w:type="spellStart"/>
      <w:r w:rsidRPr="00E40A38">
        <w:t>NAb</w:t>
      </w:r>
      <w:proofErr w:type="spellEnd"/>
      <w:r w:rsidRPr="00E40A38">
        <w:t xml:space="preserve"> assay to classify patients as suitable for genetic treatment with an AAV carrier. </w:t>
      </w:r>
    </w:p>
    <w:p w14:paraId="1221C087" w14:textId="7412FD02" w:rsidR="009173FC" w:rsidRPr="00E40A38" w:rsidRDefault="009173FC" w:rsidP="006779D5">
      <w:pPr>
        <w:pStyle w:val="ListParagraph"/>
        <w:numPr>
          <w:ilvl w:val="0"/>
          <w:numId w:val="13"/>
        </w:numPr>
      </w:pPr>
      <w:r w:rsidRPr="00E40A38">
        <w:t xml:space="preserve">Long-term (25 years) Markov model with two health states (alive and dead). Transition probabilities </w:t>
      </w:r>
      <w:r w:rsidR="000C48EE" w:rsidRPr="00E40A38">
        <w:t>we</w:t>
      </w:r>
      <w:r w:rsidRPr="00E40A38">
        <w:t xml:space="preserve">re informed by general Australian population mortality rates adjusted by a standardised mortality ratio (SMR) in HMB patients, and the outcomes reported in the HOPE-B </w:t>
      </w:r>
      <w:r w:rsidR="00792477">
        <w:t>study</w:t>
      </w:r>
      <w:r w:rsidR="00792477" w:rsidRPr="00E40A38">
        <w:t xml:space="preserve"> </w:t>
      </w:r>
      <w:r w:rsidRPr="00E40A38">
        <w:t xml:space="preserve">(FIX activity levels, annualised bleeding rates, annualised FIX consumption, </w:t>
      </w:r>
      <w:proofErr w:type="spellStart"/>
      <w:r w:rsidR="00420528" w:rsidRPr="00E40A38">
        <w:t>HRQoL</w:t>
      </w:r>
      <w:proofErr w:type="spellEnd"/>
      <w:r w:rsidRPr="00E40A38">
        <w:t xml:space="preserve"> and incidence</w:t>
      </w:r>
      <w:r w:rsidR="00A344E0" w:rsidRPr="00E40A38">
        <w:t xml:space="preserve"> of SAEs</w:t>
      </w:r>
      <w:r w:rsidR="00FC4CD5">
        <w:t>)</w:t>
      </w:r>
      <w:r w:rsidRPr="00E40A38">
        <w:t xml:space="preserve">. </w:t>
      </w:r>
    </w:p>
    <w:p w14:paraId="33E3C60C" w14:textId="46804B1C" w:rsidR="009173FC" w:rsidRPr="00E40A38" w:rsidRDefault="009173FC" w:rsidP="009173FC">
      <w:r w:rsidRPr="00E40A38">
        <w:t xml:space="preserve">An overview of the economic model is provided in </w:t>
      </w:r>
      <w:r w:rsidR="006A5CD7" w:rsidRPr="00E40A38">
        <w:fldChar w:fldCharType="begin"/>
      </w:r>
      <w:r w:rsidR="006A5CD7" w:rsidRPr="00E40A38">
        <w:instrText xml:space="preserve"> REF _Ref164255120 \h </w:instrText>
      </w:r>
      <w:r w:rsidR="00474734" w:rsidRPr="00E40A38">
        <w:instrText xml:space="preserve"> \* MERGEFORMAT </w:instrText>
      </w:r>
      <w:r w:rsidR="006A5CD7" w:rsidRPr="00E40A38">
        <w:fldChar w:fldCharType="separate"/>
      </w:r>
      <w:r w:rsidR="007207A8" w:rsidRPr="00E40A38">
        <w:t xml:space="preserve">Table </w:t>
      </w:r>
      <w:r w:rsidR="007207A8">
        <w:rPr>
          <w:noProof/>
        </w:rPr>
        <w:t>10</w:t>
      </w:r>
      <w:r w:rsidR="006A5CD7" w:rsidRPr="00E40A38">
        <w:fldChar w:fldCharType="end"/>
      </w:r>
      <w:r w:rsidR="00243951" w:rsidRPr="00E40A38">
        <w:rPr>
          <w:b/>
          <w:bCs/>
          <w:lang w:val="en-US"/>
        </w:rPr>
        <w:t>.</w:t>
      </w:r>
    </w:p>
    <w:p w14:paraId="44318D61" w14:textId="37B0CE5D" w:rsidR="009173FC" w:rsidRPr="00E40A38" w:rsidRDefault="009173FC" w:rsidP="00230BB4">
      <w:pPr>
        <w:pStyle w:val="Caption"/>
      </w:pPr>
      <w:bookmarkStart w:id="43" w:name="_Ref164255120"/>
      <w:r w:rsidRPr="00E40A38">
        <w:t>Table</w:t>
      </w:r>
      <w:r w:rsidR="00230BB4" w:rsidRPr="00E40A38">
        <w:t xml:space="preserve"> </w:t>
      </w:r>
      <w:r w:rsidRPr="00E40A38">
        <w:rPr>
          <w:noProof/>
        </w:rPr>
        <w:fldChar w:fldCharType="begin"/>
      </w:r>
      <w:r w:rsidRPr="00E40A38">
        <w:rPr>
          <w:noProof/>
        </w:rPr>
        <w:instrText xml:space="preserve"> SEQ Table \* ARABIC </w:instrText>
      </w:r>
      <w:r w:rsidRPr="00E40A38">
        <w:rPr>
          <w:noProof/>
        </w:rPr>
        <w:fldChar w:fldCharType="separate"/>
      </w:r>
      <w:r w:rsidR="007207A8">
        <w:rPr>
          <w:noProof/>
        </w:rPr>
        <w:t>10</w:t>
      </w:r>
      <w:r w:rsidRPr="00E40A38">
        <w:rPr>
          <w:noProof/>
        </w:rPr>
        <w:fldChar w:fldCharType="end"/>
      </w:r>
      <w:bookmarkEnd w:id="43"/>
      <w:r w:rsidR="006A5CD7" w:rsidRPr="00E40A38">
        <w:tab/>
      </w:r>
      <w:r w:rsidRPr="00E40A38">
        <w:t xml:space="preserve">Summary of the economic evaluation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the economic evaluation "/>
        <w:tblDescription w:val="This table describes the key constructs of the economic evaluation that is provided in the assessment report."/>
      </w:tblPr>
      <w:tblGrid>
        <w:gridCol w:w="2003"/>
        <w:gridCol w:w="6781"/>
      </w:tblGrid>
      <w:tr w:rsidR="009173FC" w:rsidRPr="00E40A38" w14:paraId="44D57625" w14:textId="77777777">
        <w:trPr>
          <w:tblHeader/>
        </w:trPr>
        <w:tc>
          <w:tcPr>
            <w:tcW w:w="2003" w:type="dxa"/>
          </w:tcPr>
          <w:p w14:paraId="3C09A5F8" w14:textId="22A897D1" w:rsidR="009173FC" w:rsidRPr="00E40A38" w:rsidRDefault="009173FC">
            <w:pPr>
              <w:pStyle w:val="TableHeadingCA"/>
            </w:pPr>
            <w:r w:rsidRPr="00E40A38">
              <w:t>Component</w:t>
            </w:r>
          </w:p>
        </w:tc>
        <w:tc>
          <w:tcPr>
            <w:tcW w:w="6781" w:type="dxa"/>
          </w:tcPr>
          <w:p w14:paraId="5930EBDE" w14:textId="77777777" w:rsidR="009173FC" w:rsidRPr="00E40A38" w:rsidRDefault="009173FC">
            <w:pPr>
              <w:pStyle w:val="TableHeadingCA"/>
            </w:pPr>
            <w:r w:rsidRPr="00E40A38">
              <w:t>Description</w:t>
            </w:r>
          </w:p>
        </w:tc>
      </w:tr>
      <w:tr w:rsidR="009173FC" w:rsidRPr="00E40A38" w14:paraId="7F32A32B" w14:textId="77777777">
        <w:tc>
          <w:tcPr>
            <w:tcW w:w="2003" w:type="dxa"/>
          </w:tcPr>
          <w:p w14:paraId="4C2242C1" w14:textId="77777777" w:rsidR="009173FC" w:rsidRPr="00E40A38" w:rsidRDefault="009173FC">
            <w:pPr>
              <w:pStyle w:val="Tabletext0"/>
            </w:pPr>
            <w:r w:rsidRPr="00E40A38">
              <w:t>Perspective</w:t>
            </w:r>
          </w:p>
        </w:tc>
        <w:tc>
          <w:tcPr>
            <w:tcW w:w="6781" w:type="dxa"/>
          </w:tcPr>
          <w:p w14:paraId="5967D3BB" w14:textId="77777777" w:rsidR="009173FC" w:rsidRPr="00E40A38" w:rsidRDefault="009173FC">
            <w:pPr>
              <w:pStyle w:val="Tabletext0"/>
            </w:pPr>
            <w:r w:rsidRPr="00E40A38">
              <w:rPr>
                <w:rFonts w:cstheme="minorHAnsi"/>
              </w:rPr>
              <w:t xml:space="preserve">Healthcare perspective </w:t>
            </w:r>
          </w:p>
        </w:tc>
      </w:tr>
      <w:tr w:rsidR="009173FC" w:rsidRPr="00E40A38" w14:paraId="0AA42A31" w14:textId="77777777">
        <w:trPr>
          <w:tblHeader/>
        </w:trPr>
        <w:tc>
          <w:tcPr>
            <w:tcW w:w="2003" w:type="dxa"/>
          </w:tcPr>
          <w:p w14:paraId="54AA9A96" w14:textId="77777777" w:rsidR="009173FC" w:rsidRPr="00E40A38" w:rsidRDefault="009173FC">
            <w:pPr>
              <w:pStyle w:val="Tabletext0"/>
            </w:pPr>
            <w:r w:rsidRPr="00E40A38">
              <w:t>Population</w:t>
            </w:r>
          </w:p>
        </w:tc>
        <w:tc>
          <w:tcPr>
            <w:tcW w:w="6781" w:type="dxa"/>
          </w:tcPr>
          <w:p w14:paraId="2FF950F9" w14:textId="0521D939" w:rsidR="009173FC" w:rsidRPr="00E40A38" w:rsidRDefault="009173FC">
            <w:pPr>
              <w:pStyle w:val="Tabletext0"/>
            </w:pPr>
            <w:r w:rsidRPr="00E40A38">
              <w:rPr>
                <w:rFonts w:cstheme="minorHAnsi"/>
              </w:rPr>
              <w:t>Adult patients (≥</w:t>
            </w:r>
            <w:r w:rsidR="00046B1D" w:rsidRPr="00E40A38">
              <w:rPr>
                <w:rFonts w:cstheme="minorHAnsi"/>
              </w:rPr>
              <w:t> </w:t>
            </w:r>
            <w:r w:rsidRPr="00E40A38">
              <w:rPr>
                <w:rFonts w:cstheme="minorHAnsi"/>
              </w:rPr>
              <w:t>18 years) with severe or moderately severe HMB (FIX activity ≤</w:t>
            </w:r>
            <w:r w:rsidR="0012299D" w:rsidRPr="00E40A38">
              <w:rPr>
                <w:rFonts w:cstheme="minorHAnsi"/>
              </w:rPr>
              <w:t> </w:t>
            </w:r>
            <w:r w:rsidRPr="00E40A38">
              <w:rPr>
                <w:rFonts w:cstheme="minorHAnsi"/>
              </w:rPr>
              <w:t>2%) without inhibitors, who are receiving regular prophylaxis using FIX concentrate</w:t>
            </w:r>
          </w:p>
        </w:tc>
      </w:tr>
      <w:tr w:rsidR="009173FC" w:rsidRPr="00E40A38" w14:paraId="62479A69" w14:textId="77777777">
        <w:tc>
          <w:tcPr>
            <w:tcW w:w="2003" w:type="dxa"/>
          </w:tcPr>
          <w:p w14:paraId="56F34316" w14:textId="77777777" w:rsidR="009173FC" w:rsidRPr="00E40A38" w:rsidRDefault="009173FC">
            <w:pPr>
              <w:pStyle w:val="Tabletext0"/>
            </w:pPr>
            <w:r w:rsidRPr="00E40A38">
              <w:t>Prior testing</w:t>
            </w:r>
          </w:p>
        </w:tc>
        <w:tc>
          <w:tcPr>
            <w:tcW w:w="6781" w:type="dxa"/>
          </w:tcPr>
          <w:p w14:paraId="4D61800D" w14:textId="6D027503" w:rsidR="009173FC" w:rsidRPr="00E40A38" w:rsidRDefault="009173FC">
            <w:pPr>
              <w:pStyle w:val="Tabletext0"/>
            </w:pPr>
            <w:r w:rsidRPr="00E40A38">
              <w:t xml:space="preserve">FIX inhibitor titre </w:t>
            </w:r>
            <w:proofErr w:type="gramStart"/>
            <w:r w:rsidRPr="00E40A38">
              <w:t>testing</w:t>
            </w:r>
            <w:proofErr w:type="gramEnd"/>
          </w:p>
          <w:p w14:paraId="307A637E" w14:textId="77777777" w:rsidR="009173FC" w:rsidRPr="00E40A38" w:rsidRDefault="009173FC">
            <w:pPr>
              <w:pStyle w:val="Tabletext0"/>
            </w:pPr>
            <w:r w:rsidRPr="00E40A38">
              <w:t>Liver health assessments (enzyme testing, hepatic ultrasound and elastography)</w:t>
            </w:r>
          </w:p>
        </w:tc>
      </w:tr>
      <w:tr w:rsidR="00430C7D" w:rsidRPr="00E40A38" w14:paraId="1F6CC0C7" w14:textId="77777777">
        <w:tc>
          <w:tcPr>
            <w:tcW w:w="2003" w:type="dxa"/>
          </w:tcPr>
          <w:p w14:paraId="51781CD3" w14:textId="2EC09EBB" w:rsidR="00430C7D" w:rsidRPr="00E40A38" w:rsidRDefault="00351CA2">
            <w:pPr>
              <w:pStyle w:val="Tabletext0"/>
            </w:pPr>
            <w:r w:rsidRPr="00E40A38">
              <w:t>Intervention</w:t>
            </w:r>
          </w:p>
        </w:tc>
        <w:tc>
          <w:tcPr>
            <w:tcW w:w="6781" w:type="dxa"/>
          </w:tcPr>
          <w:p w14:paraId="0248A44D" w14:textId="071D1C38" w:rsidR="00351CA2" w:rsidRPr="00E40A38" w:rsidRDefault="00351CA2" w:rsidP="00351CA2">
            <w:pPr>
              <w:pStyle w:val="Tabletext0"/>
            </w:pPr>
            <w:r w:rsidRPr="00E40A38">
              <w:t xml:space="preserve">Test: Improved Precision for Medicine </w:t>
            </w:r>
            <w:r w:rsidR="005E5164" w:rsidRPr="00E40A38">
              <w:t>(</w:t>
            </w:r>
            <w:proofErr w:type="spellStart"/>
            <w:r w:rsidR="005E5164" w:rsidRPr="00E40A38">
              <w:t>PfM</w:t>
            </w:r>
            <w:proofErr w:type="spellEnd"/>
            <w:r w:rsidR="005E5164" w:rsidRPr="00E40A38">
              <w:t xml:space="preserve">) </w:t>
            </w:r>
            <w:r w:rsidRPr="00E40A38">
              <w:t>9-point luciferase assay</w:t>
            </w:r>
          </w:p>
          <w:p w14:paraId="07F6BAE6" w14:textId="124FF74B" w:rsidR="00430C7D" w:rsidRPr="00E40A38" w:rsidRDefault="00582503">
            <w:pPr>
              <w:pStyle w:val="Tabletext0"/>
            </w:pPr>
            <w:r w:rsidRPr="00E40A38">
              <w:t xml:space="preserve">Treatment: Single IV infusion of </w:t>
            </w:r>
            <w:r w:rsidR="00884455" w:rsidRPr="00E40A38">
              <w:t>etranacogene dezaparvovec</w:t>
            </w:r>
            <w:r w:rsidRPr="00E40A38">
              <w:t xml:space="preserve"> at a dose of 2</w:t>
            </w:r>
            <w:r w:rsidR="0070407F" w:rsidRPr="00E40A38">
              <w:t> </w:t>
            </w:r>
            <w:r w:rsidRPr="00E40A38">
              <w:t>×</w:t>
            </w:r>
            <w:r w:rsidR="0070407F" w:rsidRPr="00E40A38">
              <w:t> </w:t>
            </w:r>
            <w:r w:rsidRPr="00E40A38">
              <w:t>10</w:t>
            </w:r>
            <w:r w:rsidRPr="00E40A38">
              <w:rPr>
                <w:vertAlign w:val="superscript"/>
              </w:rPr>
              <w:t>13</w:t>
            </w:r>
            <w:r w:rsidRPr="00E40A38">
              <w:t xml:space="preserve"> </w:t>
            </w:r>
            <w:proofErr w:type="spellStart"/>
            <w:r w:rsidRPr="00E40A38">
              <w:t>gc</w:t>
            </w:r>
            <w:proofErr w:type="spellEnd"/>
            <w:r w:rsidRPr="00E40A38">
              <w:t>/kg</w:t>
            </w:r>
          </w:p>
        </w:tc>
      </w:tr>
      <w:tr w:rsidR="009173FC" w:rsidRPr="00E40A38" w14:paraId="2F3C2F53" w14:textId="77777777">
        <w:tc>
          <w:tcPr>
            <w:tcW w:w="2003" w:type="dxa"/>
          </w:tcPr>
          <w:p w14:paraId="6FFB8C7A" w14:textId="77777777" w:rsidR="009173FC" w:rsidRPr="00E40A38" w:rsidRDefault="009173FC">
            <w:pPr>
              <w:pStyle w:val="Tabletext0"/>
            </w:pPr>
            <w:r w:rsidRPr="00E40A38">
              <w:t>Comparator</w:t>
            </w:r>
          </w:p>
        </w:tc>
        <w:tc>
          <w:tcPr>
            <w:tcW w:w="6781" w:type="dxa"/>
          </w:tcPr>
          <w:p w14:paraId="20491876" w14:textId="77777777" w:rsidR="009173FC" w:rsidRPr="00E40A38" w:rsidRDefault="009173FC">
            <w:pPr>
              <w:pStyle w:val="Tabletext0"/>
            </w:pPr>
            <w:r w:rsidRPr="00E40A38">
              <w:t>Continuous prophylaxis with FIX replacement therapy</w:t>
            </w:r>
          </w:p>
        </w:tc>
      </w:tr>
      <w:tr w:rsidR="009173FC" w:rsidRPr="00E40A38" w14:paraId="28EE3818" w14:textId="77777777">
        <w:tc>
          <w:tcPr>
            <w:tcW w:w="2003" w:type="dxa"/>
          </w:tcPr>
          <w:p w14:paraId="32F04F6E" w14:textId="77777777" w:rsidR="009173FC" w:rsidRPr="00E40A38" w:rsidRDefault="009173FC">
            <w:pPr>
              <w:pStyle w:val="Tabletext0"/>
            </w:pPr>
            <w:r w:rsidRPr="00E40A38">
              <w:t>Type(s) of analysis</w:t>
            </w:r>
          </w:p>
        </w:tc>
        <w:tc>
          <w:tcPr>
            <w:tcW w:w="6781" w:type="dxa"/>
          </w:tcPr>
          <w:p w14:paraId="4824055A" w14:textId="77777777" w:rsidR="009173FC" w:rsidRPr="00E40A38" w:rsidRDefault="009173FC">
            <w:pPr>
              <w:pStyle w:val="Tabletext0"/>
            </w:pPr>
            <w:r w:rsidRPr="00E40A38">
              <w:t>Cost utility analysis</w:t>
            </w:r>
          </w:p>
        </w:tc>
      </w:tr>
      <w:tr w:rsidR="009173FC" w:rsidRPr="00E40A38" w14:paraId="0C834617" w14:textId="77777777">
        <w:tc>
          <w:tcPr>
            <w:tcW w:w="2003" w:type="dxa"/>
          </w:tcPr>
          <w:p w14:paraId="55EAC7DC" w14:textId="77777777" w:rsidR="009173FC" w:rsidRPr="00E40A38" w:rsidRDefault="009173FC">
            <w:pPr>
              <w:pStyle w:val="Tabletext0"/>
            </w:pPr>
            <w:r w:rsidRPr="00E40A38">
              <w:t>Outcomes</w:t>
            </w:r>
          </w:p>
        </w:tc>
        <w:tc>
          <w:tcPr>
            <w:tcW w:w="6781" w:type="dxa"/>
          </w:tcPr>
          <w:p w14:paraId="2B022647" w14:textId="20CEADD2" w:rsidR="009173FC" w:rsidRPr="00E40A38" w:rsidRDefault="009173FC">
            <w:pPr>
              <w:pStyle w:val="Tabletext0"/>
            </w:pPr>
            <w:r w:rsidRPr="00E40A38">
              <w:rPr>
                <w:rFonts w:cstheme="minorHAnsi"/>
              </w:rPr>
              <w:t>Quality</w:t>
            </w:r>
            <w:r w:rsidR="00A429D3" w:rsidRPr="00E40A38">
              <w:rPr>
                <w:rFonts w:cstheme="minorHAnsi"/>
              </w:rPr>
              <w:t>-</w:t>
            </w:r>
            <w:r w:rsidRPr="00E40A38">
              <w:rPr>
                <w:rFonts w:cstheme="minorHAnsi"/>
              </w:rPr>
              <w:t>adjusted life years gained</w:t>
            </w:r>
          </w:p>
        </w:tc>
      </w:tr>
      <w:tr w:rsidR="009173FC" w:rsidRPr="00E40A38" w14:paraId="224B16C3" w14:textId="77777777">
        <w:tc>
          <w:tcPr>
            <w:tcW w:w="2003" w:type="dxa"/>
          </w:tcPr>
          <w:p w14:paraId="2324A118" w14:textId="77777777" w:rsidR="009173FC" w:rsidRPr="00E40A38" w:rsidRDefault="009173FC">
            <w:pPr>
              <w:pStyle w:val="Tabletext0"/>
            </w:pPr>
            <w:r w:rsidRPr="00E40A38">
              <w:t>Time horizon</w:t>
            </w:r>
          </w:p>
        </w:tc>
        <w:tc>
          <w:tcPr>
            <w:tcW w:w="6781" w:type="dxa"/>
          </w:tcPr>
          <w:p w14:paraId="4F44ED29" w14:textId="64F0BDD1" w:rsidR="009173FC" w:rsidRPr="00E40A38" w:rsidRDefault="009173FC">
            <w:pPr>
              <w:pStyle w:val="Tabletext0"/>
            </w:pPr>
            <w:r w:rsidRPr="001C2CA8">
              <w:rPr>
                <w:rFonts w:cstheme="minorHAnsi"/>
              </w:rPr>
              <w:t>25 years</w:t>
            </w:r>
            <w:r w:rsidRPr="00E40A38">
              <w:rPr>
                <w:rFonts w:cstheme="minorHAnsi"/>
              </w:rPr>
              <w:t xml:space="preserve"> in the model base case (v</w:t>
            </w:r>
            <w:r w:rsidR="00801925" w:rsidRPr="00E40A38">
              <w:rPr>
                <w:rFonts w:cstheme="minorHAnsi"/>
              </w:rPr>
              <w:t>ersu</w:t>
            </w:r>
            <w:r w:rsidRPr="00E40A38">
              <w:rPr>
                <w:rFonts w:cstheme="minorHAnsi"/>
              </w:rPr>
              <w:t xml:space="preserve">s 3 years in the HOPE-B </w:t>
            </w:r>
            <w:r w:rsidR="00792477">
              <w:rPr>
                <w:rFonts w:cstheme="minorHAnsi"/>
              </w:rPr>
              <w:t>stud</w:t>
            </w:r>
            <w:r w:rsidR="007819E0">
              <w:rPr>
                <w:rFonts w:cstheme="minorHAnsi"/>
              </w:rPr>
              <w:t>y</w:t>
            </w:r>
            <w:r w:rsidRPr="00E40A38">
              <w:rPr>
                <w:rFonts w:cstheme="minorHAnsi"/>
              </w:rPr>
              <w:t>)</w:t>
            </w:r>
          </w:p>
        </w:tc>
      </w:tr>
      <w:tr w:rsidR="009173FC" w:rsidRPr="00E40A38" w14:paraId="61437FA2" w14:textId="77777777">
        <w:tc>
          <w:tcPr>
            <w:tcW w:w="2003" w:type="dxa"/>
          </w:tcPr>
          <w:p w14:paraId="35B4FAA7" w14:textId="77777777" w:rsidR="009173FC" w:rsidRPr="00E40A38" w:rsidRDefault="009173FC">
            <w:pPr>
              <w:pStyle w:val="Tabletext0"/>
            </w:pPr>
            <w:r w:rsidRPr="00E40A38">
              <w:t>Computational method</w:t>
            </w:r>
          </w:p>
        </w:tc>
        <w:tc>
          <w:tcPr>
            <w:tcW w:w="6781" w:type="dxa"/>
          </w:tcPr>
          <w:p w14:paraId="7B009AE7" w14:textId="44A5678D" w:rsidR="009173FC" w:rsidRPr="00E40A38" w:rsidRDefault="009173FC">
            <w:pPr>
              <w:pStyle w:val="Tabletext0"/>
            </w:pPr>
            <w:r w:rsidRPr="00E40A38">
              <w:t xml:space="preserve">Initial decision tree for the anti-AAV5 </w:t>
            </w:r>
            <w:proofErr w:type="spellStart"/>
            <w:r w:rsidRPr="00E40A38">
              <w:t>NAb</w:t>
            </w:r>
            <w:proofErr w:type="spellEnd"/>
            <w:r w:rsidRPr="00E40A38">
              <w:t xml:space="preserve"> test followed by a Markov, modelling treatment outcomes</w:t>
            </w:r>
          </w:p>
        </w:tc>
      </w:tr>
      <w:tr w:rsidR="009173FC" w:rsidRPr="00E40A38" w14:paraId="06203150" w14:textId="77777777">
        <w:tc>
          <w:tcPr>
            <w:tcW w:w="2003" w:type="dxa"/>
          </w:tcPr>
          <w:p w14:paraId="75846375" w14:textId="77777777" w:rsidR="009173FC" w:rsidRPr="00E40A38" w:rsidRDefault="009173FC">
            <w:pPr>
              <w:pStyle w:val="Tabletext0"/>
            </w:pPr>
            <w:r w:rsidRPr="00E40A38">
              <w:t>Generation of the base case</w:t>
            </w:r>
          </w:p>
        </w:tc>
        <w:tc>
          <w:tcPr>
            <w:tcW w:w="6781" w:type="dxa"/>
          </w:tcPr>
          <w:p w14:paraId="03F26BDA" w14:textId="3B4C138F" w:rsidR="009173FC" w:rsidRPr="00E40A38" w:rsidRDefault="009173FC">
            <w:pPr>
              <w:pStyle w:val="Tabletext0"/>
            </w:pPr>
            <w:r w:rsidRPr="00E40A38">
              <w:t>Modelled analysis using</w:t>
            </w:r>
            <w:r w:rsidR="00E5798D" w:rsidRPr="00E40A38">
              <w:t xml:space="preserve"> </w:t>
            </w:r>
            <w:r w:rsidRPr="00E40A38">
              <w:t>3</w:t>
            </w:r>
            <w:r w:rsidR="00E5798D" w:rsidRPr="00E40A38">
              <w:t>-</w:t>
            </w:r>
            <w:r w:rsidRPr="00E40A38">
              <w:t xml:space="preserve">year data from the HOPE-B </w:t>
            </w:r>
            <w:r w:rsidR="007819E0">
              <w:t>study</w:t>
            </w:r>
            <w:r w:rsidR="009754C4" w:rsidRPr="00E40A38">
              <w:t>,</w:t>
            </w:r>
            <w:r w:rsidRPr="00E40A38">
              <w:t xml:space="preserve"> and 22 years </w:t>
            </w:r>
            <w:r w:rsidR="00A46B14" w:rsidRPr="00E40A38">
              <w:t xml:space="preserve">of </w:t>
            </w:r>
            <w:r w:rsidRPr="00E40A38">
              <w:t>extrapolation of FIX activity level</w:t>
            </w:r>
          </w:p>
        </w:tc>
      </w:tr>
      <w:tr w:rsidR="009173FC" w:rsidRPr="00E40A38" w14:paraId="69911E80" w14:textId="77777777">
        <w:tc>
          <w:tcPr>
            <w:tcW w:w="2003" w:type="dxa"/>
          </w:tcPr>
          <w:p w14:paraId="1C10767F" w14:textId="77777777" w:rsidR="009173FC" w:rsidRPr="00E40A38" w:rsidRDefault="009173FC">
            <w:pPr>
              <w:pStyle w:val="Tabletext0"/>
            </w:pPr>
            <w:r w:rsidRPr="00E40A38">
              <w:t>Health states</w:t>
            </w:r>
          </w:p>
        </w:tc>
        <w:tc>
          <w:tcPr>
            <w:tcW w:w="6781" w:type="dxa"/>
          </w:tcPr>
          <w:p w14:paraId="3E9EB4F6" w14:textId="77777777" w:rsidR="009173FC" w:rsidRPr="00E40A38" w:rsidRDefault="009173FC">
            <w:pPr>
              <w:pStyle w:val="Tabletext0"/>
            </w:pPr>
            <w:r w:rsidRPr="00E40A38">
              <w:t>Alive and dead</w:t>
            </w:r>
          </w:p>
        </w:tc>
      </w:tr>
      <w:tr w:rsidR="009173FC" w:rsidRPr="00E40A38" w14:paraId="3D10F4A2" w14:textId="77777777">
        <w:tc>
          <w:tcPr>
            <w:tcW w:w="2003" w:type="dxa"/>
          </w:tcPr>
          <w:p w14:paraId="7F4C0C3B" w14:textId="77777777" w:rsidR="009173FC" w:rsidRPr="00E40A38" w:rsidRDefault="009173FC">
            <w:pPr>
              <w:pStyle w:val="Tabletext0"/>
            </w:pPr>
            <w:r w:rsidRPr="00E40A38">
              <w:t>Cycle length</w:t>
            </w:r>
          </w:p>
        </w:tc>
        <w:tc>
          <w:tcPr>
            <w:tcW w:w="6781" w:type="dxa"/>
          </w:tcPr>
          <w:p w14:paraId="237E3DAE" w14:textId="77777777" w:rsidR="009173FC" w:rsidRPr="00E40A38" w:rsidRDefault="009173FC">
            <w:pPr>
              <w:pStyle w:val="Tabletext0"/>
            </w:pPr>
            <w:r w:rsidRPr="00E40A38">
              <w:t>6 months</w:t>
            </w:r>
          </w:p>
        </w:tc>
      </w:tr>
      <w:tr w:rsidR="009173FC" w:rsidRPr="00E40A38" w14:paraId="6238A6B8" w14:textId="77777777">
        <w:tc>
          <w:tcPr>
            <w:tcW w:w="2003" w:type="dxa"/>
          </w:tcPr>
          <w:p w14:paraId="4E85BC13" w14:textId="77777777" w:rsidR="009173FC" w:rsidRPr="00E40A38" w:rsidRDefault="009173FC">
            <w:pPr>
              <w:pStyle w:val="Tabletext0"/>
            </w:pPr>
            <w:r w:rsidRPr="00E40A38">
              <w:t>Transition probabilities</w:t>
            </w:r>
          </w:p>
        </w:tc>
        <w:tc>
          <w:tcPr>
            <w:tcW w:w="6781" w:type="dxa"/>
          </w:tcPr>
          <w:p w14:paraId="7B8CFAD7" w14:textId="77777777" w:rsidR="009173FC" w:rsidRPr="00E40A38" w:rsidRDefault="009173FC">
            <w:pPr>
              <w:pStyle w:val="Tabletext0"/>
            </w:pPr>
            <w:r w:rsidRPr="00E40A38">
              <w:t>Decision tree:</w:t>
            </w:r>
          </w:p>
          <w:p w14:paraId="6A80176B" w14:textId="66C6CDEC" w:rsidR="009173FC" w:rsidRPr="00E40A38" w:rsidRDefault="009173FC" w:rsidP="006779D5">
            <w:pPr>
              <w:pStyle w:val="Tabletext0"/>
              <w:numPr>
                <w:ilvl w:val="0"/>
                <w:numId w:val="14"/>
              </w:numPr>
              <w:ind w:left="568" w:hanging="284"/>
            </w:pPr>
            <w:r w:rsidRPr="00E40A38">
              <w:t>Point prevalence of anti-AAV</w:t>
            </w:r>
            <w:r w:rsidR="00D4035E" w:rsidRPr="00E40A38">
              <w:t>5</w:t>
            </w:r>
            <w:r w:rsidRPr="00E40A38">
              <w:t xml:space="preserve"> </w:t>
            </w:r>
            <w:proofErr w:type="spellStart"/>
            <w:r w:rsidRPr="00E40A38">
              <w:t>NAb</w:t>
            </w:r>
            <w:proofErr w:type="spellEnd"/>
            <w:r w:rsidRPr="00E40A38">
              <w:t xml:space="preserve"> &gt;1:900 (9-point assay)</w:t>
            </w:r>
          </w:p>
          <w:p w14:paraId="4F0F53E3" w14:textId="77777777" w:rsidR="009173FC" w:rsidRPr="00E40A38" w:rsidRDefault="009173FC" w:rsidP="006779D5">
            <w:pPr>
              <w:pStyle w:val="Tabletext0"/>
              <w:numPr>
                <w:ilvl w:val="0"/>
                <w:numId w:val="14"/>
              </w:numPr>
              <w:ind w:left="568" w:hanging="284"/>
            </w:pPr>
            <w:r w:rsidRPr="00E40A38">
              <w:t>Probability of a false negative result using proposed assay</w:t>
            </w:r>
          </w:p>
          <w:p w14:paraId="1A121A83" w14:textId="77777777" w:rsidR="009173FC" w:rsidRPr="00E40A38" w:rsidRDefault="009173FC">
            <w:pPr>
              <w:pStyle w:val="Tabletext0"/>
            </w:pPr>
            <w:r w:rsidRPr="00E40A38">
              <w:t xml:space="preserve">Markov model: </w:t>
            </w:r>
          </w:p>
          <w:p w14:paraId="438FCE69" w14:textId="77777777" w:rsidR="009173FC" w:rsidRPr="00E40A38" w:rsidRDefault="009173FC" w:rsidP="006779D5">
            <w:pPr>
              <w:pStyle w:val="Tabletext0"/>
              <w:numPr>
                <w:ilvl w:val="0"/>
                <w:numId w:val="15"/>
              </w:numPr>
              <w:ind w:left="568" w:hanging="284"/>
            </w:pPr>
            <w:r w:rsidRPr="00E40A38">
              <w:t>General population mortality</w:t>
            </w:r>
          </w:p>
          <w:p w14:paraId="7EEE5C2C" w14:textId="77777777" w:rsidR="009173FC" w:rsidRPr="00E40A38" w:rsidRDefault="009173FC" w:rsidP="006779D5">
            <w:pPr>
              <w:pStyle w:val="Tabletext0"/>
              <w:numPr>
                <w:ilvl w:val="0"/>
                <w:numId w:val="15"/>
              </w:numPr>
              <w:ind w:left="568" w:hanging="284"/>
            </w:pPr>
            <w:r w:rsidRPr="00E40A38">
              <w:t>Standardised mortality ratio for HMB</w:t>
            </w:r>
          </w:p>
          <w:p w14:paraId="1952EF82" w14:textId="6DEB15EF" w:rsidR="009173FC" w:rsidRPr="00E40A38" w:rsidRDefault="009173FC" w:rsidP="006779D5">
            <w:pPr>
              <w:pStyle w:val="Tabletext0"/>
              <w:numPr>
                <w:ilvl w:val="0"/>
                <w:numId w:val="15"/>
              </w:numPr>
              <w:ind w:left="568" w:hanging="284"/>
            </w:pPr>
            <w:r w:rsidRPr="00E40A38">
              <w:t xml:space="preserve">HR for death following treatment with </w:t>
            </w:r>
            <w:r w:rsidR="00F003FF" w:rsidRPr="00E40A38">
              <w:t xml:space="preserve">etranacogene </w:t>
            </w:r>
            <w:proofErr w:type="gramStart"/>
            <w:r w:rsidR="00F003FF" w:rsidRPr="00E40A38">
              <w:t>dezaparvovec</w:t>
            </w:r>
            <w:proofErr w:type="gramEnd"/>
          </w:p>
          <w:p w14:paraId="1DBB1AE1" w14:textId="77777777" w:rsidR="009173FC" w:rsidRPr="00E40A38" w:rsidRDefault="009173FC">
            <w:pPr>
              <w:pStyle w:val="Tabletext0"/>
            </w:pPr>
            <w:r w:rsidRPr="00E40A38">
              <w:t>Health indicators:</w:t>
            </w:r>
          </w:p>
          <w:p w14:paraId="2E02FC9C" w14:textId="77777777" w:rsidR="009173FC" w:rsidRPr="00E40A38" w:rsidRDefault="009173FC" w:rsidP="006779D5">
            <w:pPr>
              <w:pStyle w:val="Tabletext0"/>
              <w:numPr>
                <w:ilvl w:val="0"/>
                <w:numId w:val="15"/>
              </w:numPr>
              <w:ind w:left="568" w:hanging="284"/>
            </w:pPr>
            <w:r w:rsidRPr="00E40A38">
              <w:t>Annualised bleeding rate (events/cycle)</w:t>
            </w:r>
          </w:p>
          <w:p w14:paraId="43A1C277" w14:textId="77777777" w:rsidR="009173FC" w:rsidRPr="00E40A38" w:rsidRDefault="009173FC" w:rsidP="006779D5">
            <w:pPr>
              <w:pStyle w:val="Tabletext0"/>
              <w:numPr>
                <w:ilvl w:val="0"/>
                <w:numId w:val="15"/>
              </w:numPr>
              <w:ind w:left="568" w:hanging="284"/>
            </w:pPr>
            <w:r w:rsidRPr="00E40A38">
              <w:t>FIX prophylaxis proportion (% of patients)</w:t>
            </w:r>
          </w:p>
          <w:p w14:paraId="2FAE283F" w14:textId="77777777" w:rsidR="009173FC" w:rsidRPr="00E40A38" w:rsidRDefault="009173FC" w:rsidP="006779D5">
            <w:pPr>
              <w:pStyle w:val="Tabletext0"/>
              <w:numPr>
                <w:ilvl w:val="0"/>
                <w:numId w:val="15"/>
              </w:numPr>
              <w:ind w:left="568" w:hanging="284"/>
            </w:pPr>
            <w:bookmarkStart w:id="44" w:name="_Hlk161994733"/>
            <w:r w:rsidRPr="00E40A38">
              <w:t xml:space="preserve">Annualised FIX consumption (IU/cycle) </w:t>
            </w:r>
          </w:p>
          <w:p w14:paraId="474ACAA2" w14:textId="77777777" w:rsidR="009173FC" w:rsidRPr="00E40A38" w:rsidRDefault="009173FC" w:rsidP="006779D5">
            <w:pPr>
              <w:pStyle w:val="Tabletext0"/>
              <w:numPr>
                <w:ilvl w:val="0"/>
                <w:numId w:val="15"/>
              </w:numPr>
              <w:ind w:left="568" w:hanging="284"/>
            </w:pPr>
            <w:r w:rsidRPr="00E40A38">
              <w:t xml:space="preserve">Health utilities (EQ-5D Index Score) </w:t>
            </w:r>
          </w:p>
          <w:p w14:paraId="1B4C8936" w14:textId="139DD69C" w:rsidR="009173FC" w:rsidRPr="00E40A38" w:rsidRDefault="00B66956" w:rsidP="006779D5">
            <w:pPr>
              <w:pStyle w:val="Tabletext0"/>
              <w:numPr>
                <w:ilvl w:val="0"/>
                <w:numId w:val="15"/>
              </w:numPr>
              <w:ind w:left="568" w:hanging="284"/>
            </w:pPr>
            <w:r w:rsidRPr="00E40A38">
              <w:t>SAE</w:t>
            </w:r>
            <w:r w:rsidR="009173FC" w:rsidRPr="00E40A38">
              <w:t xml:space="preserve"> incidence (events/cycle</w:t>
            </w:r>
            <w:bookmarkEnd w:id="44"/>
            <w:r w:rsidR="009173FC" w:rsidRPr="00E40A38">
              <w:t>)</w:t>
            </w:r>
          </w:p>
        </w:tc>
      </w:tr>
      <w:tr w:rsidR="009173FC" w:rsidRPr="00E40A38" w14:paraId="39A9694E" w14:textId="77777777">
        <w:tc>
          <w:tcPr>
            <w:tcW w:w="2003" w:type="dxa"/>
          </w:tcPr>
          <w:p w14:paraId="3260D356" w14:textId="77777777" w:rsidR="009173FC" w:rsidRPr="00E40A38" w:rsidRDefault="009173FC">
            <w:pPr>
              <w:pStyle w:val="Tabletext0"/>
            </w:pPr>
            <w:r w:rsidRPr="00E40A38">
              <w:t>Discount rate</w:t>
            </w:r>
          </w:p>
        </w:tc>
        <w:tc>
          <w:tcPr>
            <w:tcW w:w="6781" w:type="dxa"/>
          </w:tcPr>
          <w:p w14:paraId="479852B3" w14:textId="77777777" w:rsidR="009173FC" w:rsidRPr="00E40A38" w:rsidRDefault="009173FC">
            <w:pPr>
              <w:pStyle w:val="Tabletext0"/>
            </w:pPr>
            <w:r w:rsidRPr="00E40A38">
              <w:rPr>
                <w:rFonts w:cstheme="minorHAnsi"/>
              </w:rPr>
              <w:t>Annual rate of 5% for both costs and outcomes</w:t>
            </w:r>
          </w:p>
        </w:tc>
      </w:tr>
      <w:tr w:rsidR="009173FC" w:rsidRPr="00E40A38" w14:paraId="675F493C" w14:textId="77777777">
        <w:tc>
          <w:tcPr>
            <w:tcW w:w="2003" w:type="dxa"/>
          </w:tcPr>
          <w:p w14:paraId="3339ABBB" w14:textId="77777777" w:rsidR="009173FC" w:rsidRPr="00E40A38" w:rsidRDefault="009173FC">
            <w:pPr>
              <w:pStyle w:val="Tabletext0"/>
            </w:pPr>
            <w:r w:rsidRPr="00E40A38">
              <w:t>Software</w:t>
            </w:r>
          </w:p>
        </w:tc>
        <w:tc>
          <w:tcPr>
            <w:tcW w:w="6781" w:type="dxa"/>
          </w:tcPr>
          <w:p w14:paraId="467DE8F8" w14:textId="77777777" w:rsidR="009173FC" w:rsidRPr="00E40A38" w:rsidRDefault="009173FC">
            <w:pPr>
              <w:pStyle w:val="Tabletext0"/>
            </w:pPr>
            <w:r w:rsidRPr="00E40A38">
              <w:t>Microsoft Excel</w:t>
            </w:r>
          </w:p>
        </w:tc>
      </w:tr>
    </w:tbl>
    <w:p w14:paraId="4D896627" w14:textId="06BF78CC" w:rsidR="009173FC" w:rsidRPr="00E40A38" w:rsidRDefault="009173FC" w:rsidP="003F182E">
      <w:pPr>
        <w:pStyle w:val="CommentaryTablenotes"/>
        <w:rPr>
          <w:color w:val="auto"/>
        </w:rPr>
      </w:pPr>
      <w:r w:rsidRPr="00E40A38">
        <w:rPr>
          <w:color w:val="auto"/>
        </w:rPr>
        <w:t>AAV</w:t>
      </w:r>
      <w:r w:rsidR="00707F99" w:rsidRPr="00E40A38">
        <w:rPr>
          <w:color w:val="auto"/>
        </w:rPr>
        <w:t xml:space="preserve"> </w:t>
      </w:r>
      <w:r w:rsidRPr="00E40A38">
        <w:rPr>
          <w:color w:val="auto"/>
        </w:rPr>
        <w:t>= adeno-associated virus; EQ-5D</w:t>
      </w:r>
      <w:r w:rsidR="00707F99" w:rsidRPr="00E40A38">
        <w:rPr>
          <w:color w:val="auto"/>
        </w:rPr>
        <w:t xml:space="preserve"> </w:t>
      </w:r>
      <w:r w:rsidRPr="00E40A38">
        <w:rPr>
          <w:color w:val="auto"/>
        </w:rPr>
        <w:t xml:space="preserve">= </w:t>
      </w:r>
      <w:proofErr w:type="spellStart"/>
      <w:r w:rsidR="00C8625D" w:rsidRPr="00E40A38">
        <w:rPr>
          <w:color w:val="auto"/>
        </w:rPr>
        <w:t>EuroQol</w:t>
      </w:r>
      <w:proofErr w:type="spellEnd"/>
      <w:r w:rsidRPr="00E40A38">
        <w:rPr>
          <w:color w:val="auto"/>
        </w:rPr>
        <w:t xml:space="preserve"> five-dimension </w:t>
      </w:r>
      <w:r w:rsidR="00D54BED" w:rsidRPr="00E40A38">
        <w:rPr>
          <w:color w:val="auto"/>
        </w:rPr>
        <w:t>questionnaire</w:t>
      </w:r>
      <w:r w:rsidRPr="00E40A38">
        <w:rPr>
          <w:color w:val="auto"/>
        </w:rPr>
        <w:t>; FIX</w:t>
      </w:r>
      <w:r w:rsidR="00707F99" w:rsidRPr="00E40A38">
        <w:rPr>
          <w:color w:val="auto"/>
        </w:rPr>
        <w:t xml:space="preserve"> </w:t>
      </w:r>
      <w:r w:rsidRPr="00E40A38">
        <w:rPr>
          <w:color w:val="auto"/>
        </w:rPr>
        <w:t xml:space="preserve">= </w:t>
      </w:r>
      <w:r w:rsidR="00212302">
        <w:rPr>
          <w:color w:val="auto"/>
        </w:rPr>
        <w:t>f</w:t>
      </w:r>
      <w:r w:rsidRPr="00E40A38">
        <w:rPr>
          <w:color w:val="auto"/>
        </w:rPr>
        <w:t xml:space="preserve">actor IX; </w:t>
      </w:r>
      <w:proofErr w:type="spellStart"/>
      <w:r w:rsidR="00F5503E" w:rsidRPr="00E40A38">
        <w:rPr>
          <w:color w:val="auto"/>
        </w:rPr>
        <w:t>gc</w:t>
      </w:r>
      <w:proofErr w:type="spellEnd"/>
      <w:r w:rsidR="00F5503E" w:rsidRPr="00E40A38">
        <w:rPr>
          <w:color w:val="auto"/>
        </w:rPr>
        <w:t xml:space="preserve">/kg = gene copies per kilogram; </w:t>
      </w:r>
      <w:r w:rsidRPr="00E40A38">
        <w:rPr>
          <w:color w:val="auto"/>
        </w:rPr>
        <w:t>HMB</w:t>
      </w:r>
      <w:r w:rsidR="00707F99" w:rsidRPr="00E40A38">
        <w:rPr>
          <w:color w:val="auto"/>
        </w:rPr>
        <w:t xml:space="preserve"> </w:t>
      </w:r>
      <w:r w:rsidRPr="00E40A38">
        <w:rPr>
          <w:color w:val="auto"/>
        </w:rPr>
        <w:t>= haemophilia B; HR</w:t>
      </w:r>
      <w:r w:rsidR="00707F99" w:rsidRPr="00E40A38">
        <w:rPr>
          <w:color w:val="auto"/>
        </w:rPr>
        <w:t xml:space="preserve"> </w:t>
      </w:r>
      <w:r w:rsidRPr="00E40A38">
        <w:rPr>
          <w:color w:val="auto"/>
        </w:rPr>
        <w:t>= hazard ratio; IU</w:t>
      </w:r>
      <w:r w:rsidR="00707F99" w:rsidRPr="00E40A38">
        <w:rPr>
          <w:color w:val="auto"/>
        </w:rPr>
        <w:t xml:space="preserve"> </w:t>
      </w:r>
      <w:r w:rsidRPr="00E40A38">
        <w:rPr>
          <w:color w:val="auto"/>
        </w:rPr>
        <w:t>= internation</w:t>
      </w:r>
      <w:r w:rsidR="00D0503B" w:rsidRPr="00E40A38">
        <w:rPr>
          <w:color w:val="auto"/>
        </w:rPr>
        <w:t>al</w:t>
      </w:r>
      <w:r w:rsidRPr="00E40A38">
        <w:rPr>
          <w:color w:val="auto"/>
        </w:rPr>
        <w:t xml:space="preserve"> units; </w:t>
      </w:r>
      <w:r w:rsidR="0045014F" w:rsidRPr="00E40A38">
        <w:rPr>
          <w:color w:val="auto"/>
        </w:rPr>
        <w:t xml:space="preserve">IV = intravenous; </w:t>
      </w:r>
      <w:proofErr w:type="spellStart"/>
      <w:r w:rsidRPr="00E40A38">
        <w:rPr>
          <w:color w:val="auto"/>
        </w:rPr>
        <w:t>N</w:t>
      </w:r>
      <w:r w:rsidR="0045014F" w:rsidRPr="00E40A38">
        <w:rPr>
          <w:color w:val="auto"/>
        </w:rPr>
        <w:t>A</w:t>
      </w:r>
      <w:r w:rsidRPr="00E40A38">
        <w:rPr>
          <w:color w:val="auto"/>
        </w:rPr>
        <w:t>b</w:t>
      </w:r>
      <w:proofErr w:type="spellEnd"/>
      <w:r w:rsidR="00707F99" w:rsidRPr="00E40A38">
        <w:rPr>
          <w:color w:val="auto"/>
        </w:rPr>
        <w:t xml:space="preserve"> </w:t>
      </w:r>
      <w:r w:rsidRPr="00E40A38">
        <w:rPr>
          <w:color w:val="auto"/>
        </w:rPr>
        <w:t>= neutralising antibodies</w:t>
      </w:r>
      <w:r w:rsidR="00B66956" w:rsidRPr="00E40A38">
        <w:rPr>
          <w:color w:val="auto"/>
        </w:rPr>
        <w:t>; SAE = serious adverse event</w:t>
      </w:r>
      <w:r w:rsidRPr="00E40A38">
        <w:rPr>
          <w:color w:val="auto"/>
        </w:rPr>
        <w:t xml:space="preserve">. </w:t>
      </w:r>
    </w:p>
    <w:p w14:paraId="2B20BA77" w14:textId="60E9EF39" w:rsidR="009173FC" w:rsidRPr="00E40A38" w:rsidRDefault="009173FC" w:rsidP="003F182E">
      <w:pPr>
        <w:pStyle w:val="CommentaryTablenotes"/>
        <w:rPr>
          <w:color w:val="auto"/>
        </w:rPr>
      </w:pPr>
      <w:r w:rsidRPr="00E40A38">
        <w:rPr>
          <w:color w:val="auto"/>
        </w:rPr>
        <w:t>Source: Table 3</w:t>
      </w:r>
      <w:r w:rsidR="00332794" w:rsidRPr="00E40A38">
        <w:rPr>
          <w:color w:val="auto"/>
        </w:rPr>
        <w:t>-</w:t>
      </w:r>
      <w:r w:rsidRPr="00E40A38">
        <w:rPr>
          <w:color w:val="auto"/>
        </w:rPr>
        <w:t xml:space="preserve">1 of MSAC 1728 </w:t>
      </w:r>
      <w:proofErr w:type="spellStart"/>
      <w:r w:rsidRPr="00E40A38">
        <w:rPr>
          <w:color w:val="auto"/>
        </w:rPr>
        <w:t>ADAR+in-line</w:t>
      </w:r>
      <w:proofErr w:type="spellEnd"/>
      <w:r w:rsidRPr="00E40A38">
        <w:rPr>
          <w:color w:val="auto"/>
        </w:rPr>
        <w:t xml:space="preserve"> commentary.</w:t>
      </w:r>
    </w:p>
    <w:p w14:paraId="219E27F8" w14:textId="036BDDCF" w:rsidR="009173FC" w:rsidRPr="00E40A38" w:rsidRDefault="009173FC" w:rsidP="009173FC">
      <w:r w:rsidRPr="00E40A38">
        <w:t>The commentary considered the two-health state Markov structure an oversimplification of the natural history of the disease as it did not capture the long-term consequences of HMB. For example, recurrent joint bleeding events have been shown to commonly lead to joint damage and deterioration of functional status over time that can progress to requiring joint replacement surgeries and reduced quality of life. An alternative could have been a model with health states defined by bleeding severity</w:t>
      </w:r>
      <w:r w:rsidR="00834561" w:rsidRPr="00E40A38">
        <w:t>,</w:t>
      </w:r>
      <w:r w:rsidRPr="00E40A38">
        <w:t xml:space="preserve"> which was prospectively assessed in the HOPE-B </w:t>
      </w:r>
      <w:r w:rsidR="007819E0">
        <w:t>study</w:t>
      </w:r>
      <w:r w:rsidRPr="00E40A38">
        <w:t xml:space="preserve">. </w:t>
      </w:r>
      <w:r w:rsidR="00A3316D" w:rsidRPr="00E40A38">
        <w:t xml:space="preserve">Published economic analyses and those considered by other </w:t>
      </w:r>
      <w:r w:rsidR="005C03BE" w:rsidRPr="00E40A38">
        <w:t>health technology assessment (</w:t>
      </w:r>
      <w:r w:rsidR="00A3316D" w:rsidRPr="00E40A38">
        <w:t>HTA</w:t>
      </w:r>
      <w:r w:rsidR="005C03BE" w:rsidRPr="00E40A38">
        <w:t>)</w:t>
      </w:r>
      <w:r w:rsidR="00A3316D" w:rsidRPr="00E40A38">
        <w:t xml:space="preserve"> agencies used more complex</w:t>
      </w:r>
      <w:r w:rsidR="00881930" w:rsidRPr="00E40A38">
        <w:t xml:space="preserve"> models that include</w:t>
      </w:r>
      <w:r w:rsidR="005A6A21" w:rsidRPr="00E40A38">
        <w:t>d</w:t>
      </w:r>
      <w:r w:rsidR="00881930" w:rsidRPr="00E40A38">
        <w:t xml:space="preserve"> health states for joint bleeds and non-joint bleeds</w:t>
      </w:r>
      <w:r w:rsidR="00056E65" w:rsidRPr="00E40A38">
        <w:t xml:space="preserve"> or for joint damage</w:t>
      </w:r>
      <w:r w:rsidR="00881930" w:rsidRPr="00E40A38">
        <w:t>.</w:t>
      </w:r>
    </w:p>
    <w:p w14:paraId="4B702C89" w14:textId="203395B9" w:rsidR="009173FC" w:rsidRPr="00E40A38" w:rsidRDefault="009173FC" w:rsidP="009173FC">
      <w:r w:rsidRPr="00E40A38">
        <w:t xml:space="preserve">In the model, a patient with a FIX activity level closer to the lower limit had the same quality of life and incurred the same costs as a patient with high FIX activity. Likewise, transitions related to potential treatment failures were not incorporated in the model, which assumed uniform patient trajectories where the full consequences of expression loss were not captured. The commentary asserted that a more informative economic evaluation incorporating severity-specific and failure-specific health states directly informed by the HOPE-B </w:t>
      </w:r>
      <w:r w:rsidR="007819E0">
        <w:t>study</w:t>
      </w:r>
      <w:r w:rsidRPr="00E40A38">
        <w:t xml:space="preserve"> could have produced more accurate and meaningful results.</w:t>
      </w:r>
    </w:p>
    <w:p w14:paraId="7B0A6403" w14:textId="2C0CF476" w:rsidR="000F6106" w:rsidRPr="00E40A38" w:rsidRDefault="000F6106" w:rsidP="009173FC">
      <w:r w:rsidRPr="00E40A38">
        <w:t>The healthcare resources and costs considered in the model</w:t>
      </w:r>
      <w:r w:rsidR="0070657A" w:rsidRPr="00E40A38">
        <w:t xml:space="preserve"> were the</w:t>
      </w:r>
      <w:r w:rsidR="001D5FD1" w:rsidRPr="00E40A38">
        <w:t xml:space="preserve"> cost of serum collection to the MBS for </w:t>
      </w:r>
      <w:r w:rsidR="000908D5" w:rsidRPr="00E40A38">
        <w:t xml:space="preserve">anti-AAV5 </w:t>
      </w:r>
      <w:proofErr w:type="spellStart"/>
      <w:r w:rsidR="000908D5" w:rsidRPr="00E40A38">
        <w:t>NAb</w:t>
      </w:r>
      <w:proofErr w:type="spellEnd"/>
      <w:r w:rsidR="000908D5" w:rsidRPr="00E40A38">
        <w:t xml:space="preserve"> testing,</w:t>
      </w:r>
      <w:r w:rsidR="0070657A" w:rsidRPr="00E40A38">
        <w:t xml:space="preserve"> cost of </w:t>
      </w:r>
      <w:r w:rsidR="00ED4205">
        <w:t>Hemgenix</w:t>
      </w:r>
      <w:r w:rsidR="000908D5" w:rsidRPr="00E40A38">
        <w:t>, cost</w:t>
      </w:r>
      <w:r w:rsidR="004B5A14" w:rsidRPr="00E40A38">
        <w:t xml:space="preserve"> of FIX replacement therapy</w:t>
      </w:r>
      <w:r w:rsidR="000908D5" w:rsidRPr="00E40A38">
        <w:t xml:space="preserve">, </w:t>
      </w:r>
      <w:r w:rsidR="00FE025C" w:rsidRPr="00E40A38">
        <w:t xml:space="preserve">cost of bleeds and cost of unspecified </w:t>
      </w:r>
      <w:r w:rsidR="00B41699" w:rsidRPr="00E40A38">
        <w:t>SAE</w:t>
      </w:r>
      <w:r w:rsidR="00FE025C" w:rsidRPr="00E40A38">
        <w:t>s</w:t>
      </w:r>
      <w:r w:rsidR="004B5A14" w:rsidRPr="00E40A38">
        <w:t xml:space="preserve">. </w:t>
      </w:r>
      <w:r w:rsidR="00732644" w:rsidRPr="00E40A38">
        <w:t>The model did not consider the cost</w:t>
      </w:r>
      <w:r w:rsidR="00B41699" w:rsidRPr="00E40A38">
        <w:t>s</w:t>
      </w:r>
      <w:r w:rsidR="00732644" w:rsidRPr="00E40A38">
        <w:t xml:space="preserve"> associated with determining eligibility for </w:t>
      </w:r>
      <w:r w:rsidR="00ED4205">
        <w:t>Hemgenix</w:t>
      </w:r>
      <w:r w:rsidR="00732644" w:rsidRPr="00E40A38">
        <w:t xml:space="preserve"> (</w:t>
      </w:r>
      <w:proofErr w:type="gramStart"/>
      <w:r w:rsidR="00732644" w:rsidRPr="00E40A38">
        <w:t>with the exception of</w:t>
      </w:r>
      <w:proofErr w:type="gramEnd"/>
      <w:r w:rsidR="00732644" w:rsidRPr="00E40A38">
        <w:t xml:space="preserve"> the cost of the anti-AAV</w:t>
      </w:r>
      <w:r w:rsidR="00DD693A" w:rsidRPr="00E40A38">
        <w:t xml:space="preserve">5 </w:t>
      </w:r>
      <w:proofErr w:type="spellStart"/>
      <w:r w:rsidR="00DD693A" w:rsidRPr="00E40A38">
        <w:t>NAb</w:t>
      </w:r>
      <w:proofErr w:type="spellEnd"/>
      <w:r w:rsidR="00DD693A" w:rsidRPr="00E40A38">
        <w:t xml:space="preserve"> assay)</w:t>
      </w:r>
      <w:r w:rsidR="00A84FAA" w:rsidRPr="00E40A38">
        <w:t>,</w:t>
      </w:r>
      <w:r w:rsidR="00DD693A" w:rsidRPr="00E40A38">
        <w:t xml:space="preserve"> the costs associated with post-treatment monitoring</w:t>
      </w:r>
      <w:r w:rsidR="00A84FAA" w:rsidRPr="00E40A38">
        <w:t xml:space="preserve"> or additional costs associated with delivering the comparator</w:t>
      </w:r>
      <w:r w:rsidR="00DD693A" w:rsidRPr="00E40A38">
        <w:t>.</w:t>
      </w:r>
    </w:p>
    <w:p w14:paraId="1BB2ECDF" w14:textId="073D2AB2" w:rsidR="00667657" w:rsidRPr="00E40A38" w:rsidRDefault="00667657" w:rsidP="00667657">
      <w:pPr>
        <w:pStyle w:val="Heading3"/>
      </w:pPr>
      <w:r w:rsidRPr="00E40A38">
        <w:t>Time horizon and extrapolation of trial results</w:t>
      </w:r>
    </w:p>
    <w:p w14:paraId="66006BF0" w14:textId="080B0F43" w:rsidR="004B26FD" w:rsidRPr="001C2CA8" w:rsidRDefault="004B26FD" w:rsidP="004B26FD">
      <w:r w:rsidRPr="00E40A38">
        <w:t xml:space="preserve">The base case assumed a </w:t>
      </w:r>
      <w:r w:rsidRPr="001C2CA8">
        <w:t>25-year time horizon based on a published analysis</w:t>
      </w:r>
      <w:r w:rsidRPr="001C2CA8">
        <w:rPr>
          <w:rStyle w:val="FootnoteReference"/>
        </w:rPr>
        <w:footnoteReference w:id="9"/>
      </w:r>
      <w:r w:rsidRPr="001C2CA8">
        <w:t xml:space="preserve"> that aimed to estimate the long-term durability of FIX activity levels after receiving </w:t>
      </w:r>
      <w:r w:rsidR="000D0E94" w:rsidRPr="001C2CA8">
        <w:t>Hemgenix</w:t>
      </w:r>
      <w:r w:rsidRPr="001C2CA8">
        <w:t xml:space="preserve"> using data from the HOPE-B </w:t>
      </w:r>
      <w:r w:rsidR="007819E0" w:rsidRPr="001C2CA8">
        <w:t>study</w:t>
      </w:r>
      <w:r w:rsidRPr="001C2CA8">
        <w:t>. The published analysis was updated to include 36-month follow-up from the HOPE-B</w:t>
      </w:r>
      <w:r w:rsidR="009567EB" w:rsidRPr="001C2CA8">
        <w:t xml:space="preserve"> study</w:t>
      </w:r>
      <w:r w:rsidRPr="001C2CA8">
        <w:t xml:space="preserve">. The extrapolation included data from 50 patients with 30 months follow-up, dropping to 10 </w:t>
      </w:r>
      <w:r w:rsidR="00F57A43" w:rsidRPr="001C2CA8">
        <w:t xml:space="preserve">patients </w:t>
      </w:r>
      <w:r w:rsidRPr="001C2CA8">
        <w:t xml:space="preserve">with 36 months and 4 </w:t>
      </w:r>
      <w:r w:rsidR="00A128C6" w:rsidRPr="001C2CA8">
        <w:t xml:space="preserve">patients </w:t>
      </w:r>
      <w:r w:rsidRPr="001C2CA8">
        <w:t>with 42 months.</w:t>
      </w:r>
    </w:p>
    <w:p w14:paraId="3939CB3A" w14:textId="2B554041" w:rsidR="004B26FD" w:rsidRPr="001C2CA8" w:rsidRDefault="004B26FD" w:rsidP="004B26FD">
      <w:r w:rsidRPr="001C2CA8">
        <w:t xml:space="preserve">The long-term FIX activity levels in the model were estimated using a mixed linear model with data from the HOPE-B </w:t>
      </w:r>
      <w:r w:rsidR="007819E0" w:rsidRPr="001C2CA8">
        <w:t>study</w:t>
      </w:r>
      <w:r w:rsidRPr="001C2CA8">
        <w:t xml:space="preserve"> and AMT-061-01 study considering covariates: (1) pre-existing AAV5 </w:t>
      </w:r>
      <w:proofErr w:type="spellStart"/>
      <w:r w:rsidRPr="001C2CA8">
        <w:t>NAb</w:t>
      </w:r>
      <w:proofErr w:type="spellEnd"/>
      <w:r w:rsidRPr="001C2CA8">
        <w:t xml:space="preserve"> titr</w:t>
      </w:r>
      <w:r w:rsidR="0081604E" w:rsidRPr="001C2CA8">
        <w:t>e</w:t>
      </w:r>
      <w:r w:rsidRPr="001C2CA8">
        <w:t>s</w:t>
      </w:r>
      <w:r w:rsidR="00FC6DB8" w:rsidRPr="001C2CA8">
        <w:t>;</w:t>
      </w:r>
      <w:r w:rsidRPr="001C2CA8">
        <w:t xml:space="preserve"> and (2) post-infusion ALT elevations within 90 days. The extrapolation analysis excluded </w:t>
      </w:r>
      <w:r w:rsidR="00833614" w:rsidRPr="001C2CA8">
        <w:t>two</w:t>
      </w:r>
      <w:r w:rsidRPr="001C2CA8">
        <w:t xml:space="preserve"> patients who did not respond to </w:t>
      </w:r>
      <w:r w:rsidR="000D0E94" w:rsidRPr="001C2CA8">
        <w:t>Hemgenix</w:t>
      </w:r>
      <w:r w:rsidRPr="001C2CA8">
        <w:t xml:space="preserve">. </w:t>
      </w:r>
    </w:p>
    <w:p w14:paraId="312613AF" w14:textId="298BE1C6" w:rsidR="004B26FD" w:rsidRPr="00E40A38" w:rsidRDefault="004B26FD" w:rsidP="004B26FD">
      <w:r w:rsidRPr="001C2CA8">
        <w:t xml:space="preserve">A third patient experienced lack of efficacy at 857 days post-treatment. The extrapolation truncated the last FIX activity level for this patient, and thus assumed a decline of FIX activity level to around 2.5%, representing an increase from baseline. Using this </w:t>
      </w:r>
      <w:r w:rsidRPr="0045541D">
        <w:t>analysis</w:t>
      </w:r>
      <w:r w:rsidR="000110DC" w:rsidRPr="0045541D">
        <w:t>,</w:t>
      </w:r>
      <w:r w:rsidRPr="0045541D">
        <w:t xml:space="preserve"> 10.5% of patients fall below the 3% FIX activity threshold at 25 years.</w:t>
      </w:r>
      <w:r w:rsidR="00174FAE" w:rsidRPr="0045541D">
        <w:t xml:space="preserve"> </w:t>
      </w:r>
      <w:r w:rsidRPr="0045541D">
        <w:t>When the long-term durability analysis assumed return to baseline for this patient, the extrapolation analysis predicted 24.2% of patients fall below the 3% FIX activity threshold at 25 years.</w:t>
      </w:r>
      <w:r w:rsidRPr="00E40A38">
        <w:t xml:space="preserve"> </w:t>
      </w:r>
    </w:p>
    <w:p w14:paraId="1CCDDD58" w14:textId="008EB8F6" w:rsidR="004B26FD" w:rsidRPr="00E40A38" w:rsidRDefault="004B26FD" w:rsidP="004B26FD">
      <w:r w:rsidRPr="00E40A38">
        <w:t xml:space="preserve">The commentary </w:t>
      </w:r>
      <w:r w:rsidR="00093332" w:rsidRPr="00E40A38">
        <w:t>noted</w:t>
      </w:r>
      <w:r w:rsidRPr="00E40A38">
        <w:t xml:space="preserve"> that the extrapolation analysis had some important limitations. Patients requiring external FIX after treatment </w:t>
      </w:r>
      <w:r w:rsidR="00920C3D" w:rsidRPr="00E40A38">
        <w:t xml:space="preserve">with </w:t>
      </w:r>
      <w:r w:rsidR="000D0E94">
        <w:t>Hemgenix</w:t>
      </w:r>
      <w:r w:rsidR="00920C3D" w:rsidRPr="00E40A38">
        <w:t xml:space="preserve"> </w:t>
      </w:r>
      <w:r w:rsidRPr="00E40A38">
        <w:t xml:space="preserve">likely had FIX activity levels contaminated and those records were excluded from the analysis. This might lead to selective omission of data from patients responding poorly to the intervention. </w:t>
      </w:r>
      <w:proofErr w:type="gramStart"/>
      <w:r w:rsidRPr="00E40A38">
        <w:t xml:space="preserve">As a </w:t>
      </w:r>
      <w:r w:rsidR="003C1471" w:rsidRPr="00E40A38">
        <w:t>consequence</w:t>
      </w:r>
      <w:proofErr w:type="gramEnd"/>
      <w:r w:rsidRPr="00E40A38">
        <w:t>:</w:t>
      </w:r>
    </w:p>
    <w:p w14:paraId="20B1385C" w14:textId="082544DA" w:rsidR="004B26FD" w:rsidRPr="00E40A38" w:rsidRDefault="004B26FD" w:rsidP="006779D5">
      <w:pPr>
        <w:pStyle w:val="ListParagraph"/>
        <w:numPr>
          <w:ilvl w:val="0"/>
          <w:numId w:val="15"/>
        </w:numPr>
      </w:pPr>
      <w:r w:rsidRPr="00E40A38">
        <w:t xml:space="preserve">patients with poorer responses may have been underrepresented, overstating treatment </w:t>
      </w:r>
      <w:proofErr w:type="gramStart"/>
      <w:r w:rsidRPr="00E40A38">
        <w:t>effectiveness</w:t>
      </w:r>
      <w:proofErr w:type="gramEnd"/>
    </w:p>
    <w:p w14:paraId="49CBEE86" w14:textId="77777777" w:rsidR="004B26FD" w:rsidRPr="00E40A38" w:rsidRDefault="004B26FD" w:rsidP="006779D5">
      <w:pPr>
        <w:pStyle w:val="ListParagraph"/>
        <w:numPr>
          <w:ilvl w:val="0"/>
          <w:numId w:val="15"/>
        </w:numPr>
      </w:pPr>
      <w:r w:rsidRPr="00E40A38">
        <w:t>variability in responses for these patients could also have been underestimated if measurements during periods of poor response were excluded.</w:t>
      </w:r>
    </w:p>
    <w:p w14:paraId="2F8A6100" w14:textId="09433429" w:rsidR="004B26FD" w:rsidRPr="00E40A38" w:rsidRDefault="004B26FD" w:rsidP="004B26FD">
      <w:r w:rsidRPr="00E40A38">
        <w:t>Additionally, the model assumed data were missing at random</w:t>
      </w:r>
      <w:r w:rsidR="00385E79" w:rsidRPr="00E40A38">
        <w:t>, while the commentary</w:t>
      </w:r>
      <w:r w:rsidRPr="00E40A38">
        <w:t xml:space="preserve"> </w:t>
      </w:r>
      <w:r w:rsidR="00080F59" w:rsidRPr="00E40A38">
        <w:t xml:space="preserve">noted that </w:t>
      </w:r>
      <w:r w:rsidRPr="00E40A38">
        <w:t xml:space="preserve">missingness was probably related to treatment response, since FIX activity level records for patients requiring FIX replacement were excluded. The small number of patients and limited follow-up available in the clinical studies </w:t>
      </w:r>
      <w:r w:rsidR="008D6623" w:rsidRPr="00E40A38">
        <w:t>increased</w:t>
      </w:r>
      <w:r w:rsidRPr="00E40A38">
        <w:t xml:space="preserve"> uncertainties about durability of treatment that are not accounted for in the extrapolation analysis. </w:t>
      </w:r>
    </w:p>
    <w:p w14:paraId="7EDBA2E9" w14:textId="2EA17E72" w:rsidR="00667657" w:rsidRPr="00E40A38" w:rsidRDefault="000C4161" w:rsidP="000C4161">
      <w:pPr>
        <w:pStyle w:val="Heading3"/>
      </w:pPr>
      <w:r w:rsidRPr="00E40A38">
        <w:t>Results</w:t>
      </w:r>
    </w:p>
    <w:p w14:paraId="019EE87F" w14:textId="02B92B98" w:rsidR="00D11F7F" w:rsidRPr="00E40A38" w:rsidRDefault="00D11F7F" w:rsidP="00D11F7F">
      <w:r w:rsidRPr="00E40A38">
        <w:t xml:space="preserve">The results </w:t>
      </w:r>
      <w:r w:rsidR="008C455E" w:rsidRPr="00E40A38">
        <w:t xml:space="preserve">of the CUA </w:t>
      </w:r>
      <w:r w:rsidR="004104A7" w:rsidRPr="00E40A38">
        <w:t>we</w:t>
      </w:r>
      <w:r w:rsidRPr="00E40A38">
        <w:t xml:space="preserve">re driven by differences in costs between the arms. During the </w:t>
      </w:r>
      <w:r w:rsidR="009567EB">
        <w:t xml:space="preserve">study </w:t>
      </w:r>
      <w:r w:rsidRPr="00E40A38">
        <w:t xml:space="preserve">period, the intervention arm's costs </w:t>
      </w:r>
      <w:r w:rsidR="000142D1" w:rsidRPr="00E40A38">
        <w:t>we</w:t>
      </w:r>
      <w:r w:rsidRPr="00E40A38">
        <w:t xml:space="preserve">re dominated by the higher upfront cost of </w:t>
      </w:r>
      <w:r w:rsidR="000D0E94">
        <w:t>Hemgenix</w:t>
      </w:r>
      <w:r w:rsidRPr="00E40A38">
        <w:t xml:space="preserve"> in the first cycle, compared to the more gradual accrual of costs for FIX prophylaxis over 3 years in the comparator arm. Conversely, over the longer-term extrapolation period, the total costs </w:t>
      </w:r>
      <w:r w:rsidR="000142D1" w:rsidRPr="00E40A38">
        <w:t>we</w:t>
      </w:r>
      <w:r w:rsidRPr="00E40A38">
        <w:t xml:space="preserve">re lower for the </w:t>
      </w:r>
      <w:r w:rsidRPr="0045541D">
        <w:t xml:space="preserve">intervention arm since </w:t>
      </w:r>
      <w:r w:rsidR="000D0E94" w:rsidRPr="0045541D">
        <w:t>Hemgenix</w:t>
      </w:r>
      <w:r w:rsidRPr="0045541D">
        <w:t xml:space="preserve"> </w:t>
      </w:r>
      <w:r w:rsidR="000142D1" w:rsidRPr="0045541D">
        <w:t>wa</w:t>
      </w:r>
      <w:r w:rsidRPr="0045541D">
        <w:t>s assumed to be administered only once per patient in their lifetime</w:t>
      </w:r>
      <w:r w:rsidR="00795803" w:rsidRPr="0045541D">
        <w:t xml:space="preserve"> </w:t>
      </w:r>
      <w:r w:rsidR="00A128DB" w:rsidRPr="0045541D">
        <w:t>and annualised</w:t>
      </w:r>
      <w:r w:rsidR="00795803" w:rsidRPr="0045541D">
        <w:t xml:space="preserve"> FIX</w:t>
      </w:r>
      <w:r w:rsidR="00805DB1" w:rsidRPr="0045541D">
        <w:t xml:space="preserve"> consumption was greatly reduced (</w:t>
      </w:r>
      <w:r w:rsidR="00A128DB" w:rsidRPr="0045541D">
        <w:t>9</w:t>
      </w:r>
      <w:r w:rsidR="00F0597A" w:rsidRPr="0045541D">
        <w:t>,590 IU/year)</w:t>
      </w:r>
      <w:r w:rsidRPr="0045541D">
        <w:t>. In contrast, the comparator arm continue</w:t>
      </w:r>
      <w:r w:rsidR="000142D1" w:rsidRPr="0045541D">
        <w:t>d</w:t>
      </w:r>
      <w:r w:rsidRPr="0045541D">
        <w:t xml:space="preserve"> to accumulate costs associated with lifelong FIX prophylaxis over the 25-year time horizon</w:t>
      </w:r>
      <w:r w:rsidR="00683897" w:rsidRPr="0045541D">
        <w:t xml:space="preserve"> (257,339 IU/year)</w:t>
      </w:r>
      <w:r w:rsidRPr="0045541D">
        <w:t xml:space="preserve">. As a result of these differences in cost accumulation, the intervention </w:t>
      </w:r>
      <w:r w:rsidR="000142D1" w:rsidRPr="0045541D">
        <w:t>wa</w:t>
      </w:r>
      <w:r w:rsidRPr="0045541D">
        <w:t xml:space="preserve">s dominant over a lifetime horizon. </w:t>
      </w:r>
      <w:r w:rsidRPr="0045541D">
        <w:fldChar w:fldCharType="begin"/>
      </w:r>
      <w:r w:rsidRPr="0045541D">
        <w:instrText xml:space="preserve"> REF _Ref162124152 \h </w:instrText>
      </w:r>
      <w:r w:rsidR="00474734" w:rsidRPr="0045541D">
        <w:instrText xml:space="preserve"> \* MERGEFORMAT </w:instrText>
      </w:r>
      <w:r w:rsidRPr="0045541D">
        <w:fldChar w:fldCharType="separate"/>
      </w:r>
      <w:r w:rsidR="007207A8" w:rsidRPr="0045541D">
        <w:t>Table 11</w:t>
      </w:r>
      <w:r w:rsidRPr="0045541D">
        <w:fldChar w:fldCharType="end"/>
      </w:r>
      <w:r w:rsidRPr="0045541D">
        <w:t xml:space="preserve"> show</w:t>
      </w:r>
      <w:r w:rsidR="000142D1" w:rsidRPr="0045541D">
        <w:t>ed</w:t>
      </w:r>
      <w:r w:rsidRPr="0045541D">
        <w:t xml:space="preserve"> the total discounted average cost and QALYs per patient at different time horizons. Time horizon </w:t>
      </w:r>
      <w:r w:rsidR="000142D1" w:rsidRPr="0045541D">
        <w:t>wa</w:t>
      </w:r>
      <w:r w:rsidRPr="0045541D">
        <w:t xml:space="preserve">s a key driver of the model. </w:t>
      </w:r>
      <w:r w:rsidR="00A03663" w:rsidRPr="0045541D">
        <w:t xml:space="preserve">In </w:t>
      </w:r>
      <w:r w:rsidRPr="0045541D">
        <w:t xml:space="preserve">the base case analysis, the treatment effect of </w:t>
      </w:r>
      <w:r w:rsidR="000D0E94" w:rsidRPr="0045541D">
        <w:t>Hemgenix</w:t>
      </w:r>
      <w:r w:rsidRPr="0045541D">
        <w:t xml:space="preserve"> </w:t>
      </w:r>
      <w:r w:rsidR="00121CAD" w:rsidRPr="0045541D">
        <w:t xml:space="preserve">would </w:t>
      </w:r>
      <w:r w:rsidRPr="0045541D">
        <w:t xml:space="preserve">need to last at least </w:t>
      </w:r>
      <w:r w:rsidR="00467C46" w:rsidRPr="0045541D">
        <w:rPr>
          <w:b/>
          <w:bCs/>
        </w:rPr>
        <w:t>redacted</w:t>
      </w:r>
      <w:r w:rsidRPr="0045541D">
        <w:t xml:space="preserve"> years to become the dominant strategy compared to continuous prophylaxis.</w:t>
      </w:r>
    </w:p>
    <w:p w14:paraId="4849F81C" w14:textId="498CEAD8" w:rsidR="00D11F7F" w:rsidRPr="0045541D" w:rsidRDefault="00D11F7F" w:rsidP="00D11F7F">
      <w:pPr>
        <w:pStyle w:val="Caption"/>
      </w:pPr>
      <w:bookmarkStart w:id="45" w:name="_Ref162124152"/>
      <w:r w:rsidRPr="0045541D">
        <w:t>Table </w:t>
      </w:r>
      <w:r w:rsidRPr="0045541D">
        <w:rPr>
          <w:noProof/>
        </w:rPr>
        <w:fldChar w:fldCharType="begin"/>
      </w:r>
      <w:r w:rsidRPr="0045541D">
        <w:rPr>
          <w:noProof/>
        </w:rPr>
        <w:instrText xml:space="preserve"> SEQ Table \* ARABIC </w:instrText>
      </w:r>
      <w:r w:rsidRPr="0045541D">
        <w:rPr>
          <w:noProof/>
        </w:rPr>
        <w:fldChar w:fldCharType="separate"/>
      </w:r>
      <w:r w:rsidR="007207A8" w:rsidRPr="0045541D">
        <w:rPr>
          <w:noProof/>
        </w:rPr>
        <w:t>11</w:t>
      </w:r>
      <w:r w:rsidRPr="0045541D">
        <w:rPr>
          <w:noProof/>
        </w:rPr>
        <w:fldChar w:fldCharType="end"/>
      </w:r>
      <w:bookmarkEnd w:id="45"/>
      <w:r w:rsidRPr="0045541D">
        <w:t xml:space="preserve"> </w:t>
      </w:r>
      <w:r w:rsidRPr="0045541D">
        <w:tab/>
        <w:t>Results of the stepped economic analysis</w:t>
      </w:r>
    </w:p>
    <w:tbl>
      <w:tblPr>
        <w:tblStyle w:val="TableGrid1"/>
        <w:tblW w:w="5000" w:type="pct"/>
        <w:tblLayout w:type="fixed"/>
        <w:tblLook w:val="04A0" w:firstRow="1" w:lastRow="0" w:firstColumn="1" w:lastColumn="0" w:noHBand="0" w:noVBand="1"/>
        <w:tblCaption w:val="Results of the stepped economic analysis"/>
        <w:tblDescription w:val="This table shows the results of the stepped economic analysis"/>
      </w:tblPr>
      <w:tblGrid>
        <w:gridCol w:w="1425"/>
        <w:gridCol w:w="2481"/>
        <w:gridCol w:w="2171"/>
        <w:gridCol w:w="1446"/>
        <w:gridCol w:w="1493"/>
      </w:tblGrid>
      <w:tr w:rsidR="00F2220C" w:rsidRPr="0045541D" w14:paraId="3A0ADABA" w14:textId="77777777" w:rsidTr="003F5F74">
        <w:trPr>
          <w:cnfStyle w:val="100000000000" w:firstRow="1" w:lastRow="0" w:firstColumn="0" w:lastColumn="0" w:oddVBand="0" w:evenVBand="0" w:oddHBand="0" w:evenHBand="0" w:firstRowFirstColumn="0" w:firstRowLastColumn="0" w:lastRowFirstColumn="0" w:lastRowLastColumn="0"/>
          <w:trHeight w:val="300"/>
          <w:tblHeader/>
        </w:trPr>
        <w:tc>
          <w:tcPr>
            <w:tcW w:w="790" w:type="pct"/>
            <w:tcBorders>
              <w:bottom w:val="single" w:sz="4" w:space="0" w:color="auto"/>
            </w:tcBorders>
            <w:noWrap/>
            <w:vAlign w:val="center"/>
            <w:hideMark/>
          </w:tcPr>
          <w:p w14:paraId="58C0338F" w14:textId="77777777" w:rsidR="00D11F7F" w:rsidRPr="0045541D" w:rsidRDefault="00D11F7F" w:rsidP="00990C22">
            <w:pPr>
              <w:pStyle w:val="TableHeading0"/>
            </w:pPr>
            <w:r w:rsidRPr="0045541D">
              <w:t>Step</w:t>
            </w:r>
          </w:p>
        </w:tc>
        <w:tc>
          <w:tcPr>
            <w:tcW w:w="1376" w:type="pct"/>
            <w:tcBorders>
              <w:bottom w:val="single" w:sz="4" w:space="0" w:color="auto"/>
            </w:tcBorders>
            <w:noWrap/>
            <w:vAlign w:val="center"/>
            <w:hideMark/>
          </w:tcPr>
          <w:p w14:paraId="6086D96D" w14:textId="65A86613" w:rsidR="00D11F7F" w:rsidRPr="0045541D" w:rsidRDefault="00F003FF" w:rsidP="003F5F74">
            <w:pPr>
              <w:pStyle w:val="TableHeading0"/>
              <w:jc w:val="center"/>
            </w:pPr>
            <w:r w:rsidRPr="0045541D">
              <w:t>Etranacogene dezaparvovec</w:t>
            </w:r>
            <w:r w:rsidR="000D0E94" w:rsidRPr="0045541D">
              <w:t xml:space="preserve"> (Hemgenix)</w:t>
            </w:r>
          </w:p>
        </w:tc>
        <w:tc>
          <w:tcPr>
            <w:tcW w:w="1204" w:type="pct"/>
            <w:tcBorders>
              <w:bottom w:val="single" w:sz="4" w:space="0" w:color="auto"/>
            </w:tcBorders>
            <w:noWrap/>
            <w:vAlign w:val="center"/>
            <w:hideMark/>
          </w:tcPr>
          <w:p w14:paraId="30501AB1" w14:textId="49976948" w:rsidR="00D11F7F" w:rsidRPr="0045541D" w:rsidRDefault="00D11F7F" w:rsidP="003F5F74">
            <w:pPr>
              <w:pStyle w:val="TableHeading0"/>
              <w:jc w:val="center"/>
            </w:pPr>
            <w:r w:rsidRPr="0045541D">
              <w:t>Continuous prophylaxis</w:t>
            </w:r>
          </w:p>
        </w:tc>
        <w:tc>
          <w:tcPr>
            <w:tcW w:w="802" w:type="pct"/>
            <w:tcBorders>
              <w:bottom w:val="single" w:sz="4" w:space="0" w:color="auto"/>
            </w:tcBorders>
            <w:noWrap/>
            <w:vAlign w:val="center"/>
            <w:hideMark/>
          </w:tcPr>
          <w:p w14:paraId="0C1CC7F4" w14:textId="77777777" w:rsidR="00D11F7F" w:rsidRPr="0045541D" w:rsidRDefault="00D11F7F" w:rsidP="003F5F74">
            <w:pPr>
              <w:pStyle w:val="TableHeading0"/>
              <w:jc w:val="center"/>
            </w:pPr>
            <w:r w:rsidRPr="0045541D">
              <w:t>Increment</w:t>
            </w:r>
          </w:p>
        </w:tc>
        <w:tc>
          <w:tcPr>
            <w:tcW w:w="828" w:type="pct"/>
            <w:tcBorders>
              <w:bottom w:val="single" w:sz="4" w:space="0" w:color="auto"/>
            </w:tcBorders>
            <w:vAlign w:val="center"/>
          </w:tcPr>
          <w:p w14:paraId="070DDE03" w14:textId="08FB0A1B" w:rsidR="00D11F7F" w:rsidRPr="0045541D" w:rsidRDefault="00D11F7F" w:rsidP="003F5F74">
            <w:pPr>
              <w:pStyle w:val="TableHeading0"/>
              <w:jc w:val="center"/>
            </w:pPr>
            <w:r w:rsidRPr="0045541D">
              <w:t>ICER</w:t>
            </w:r>
            <w:r w:rsidR="002E300A" w:rsidRPr="0045541D">
              <w:t xml:space="preserve"> ($/QALY)</w:t>
            </w:r>
          </w:p>
        </w:tc>
      </w:tr>
      <w:tr w:rsidR="00F2220C" w:rsidRPr="0045541D" w14:paraId="4081650F" w14:textId="77777777" w:rsidTr="002F044B">
        <w:trPr>
          <w:cnfStyle w:val="100000000000" w:firstRow="1" w:lastRow="0" w:firstColumn="0" w:lastColumn="0" w:oddVBand="0" w:evenVBand="0" w:oddHBand="0" w:evenHBand="0" w:firstRowFirstColumn="0" w:firstRowLastColumn="0" w:lastRowFirstColumn="0" w:lastRowLastColumn="0"/>
          <w:trHeight w:val="300"/>
          <w:tblHeader/>
        </w:trPr>
        <w:tc>
          <w:tcPr>
            <w:tcW w:w="5000" w:type="pct"/>
            <w:gridSpan w:val="5"/>
            <w:tcBorders>
              <w:bottom w:val="single" w:sz="4" w:space="0" w:color="auto"/>
            </w:tcBorders>
            <w:noWrap/>
            <w:hideMark/>
          </w:tcPr>
          <w:p w14:paraId="4D75EFE8" w14:textId="17A4893E" w:rsidR="00F2220C" w:rsidRPr="0045541D" w:rsidRDefault="00F2220C">
            <w:pPr>
              <w:pStyle w:val="Tabletext0"/>
            </w:pPr>
            <w:r w:rsidRPr="0045541D">
              <w:t>Step 1 – Comparative study data; Trial based; Time horizon: 3 years</w:t>
            </w:r>
          </w:p>
        </w:tc>
      </w:tr>
      <w:tr w:rsidR="00F2220C" w:rsidRPr="0045541D" w14:paraId="356E6B68" w14:textId="77777777" w:rsidTr="003F5F74">
        <w:trPr>
          <w:cnfStyle w:val="100000000000" w:firstRow="1" w:lastRow="0" w:firstColumn="0" w:lastColumn="0" w:oddVBand="0" w:evenVBand="0" w:oddHBand="0" w:evenHBand="0" w:firstRowFirstColumn="0" w:firstRowLastColumn="0" w:lastRowFirstColumn="0" w:lastRowLastColumn="0"/>
          <w:trHeight w:val="300"/>
          <w:tblHeader/>
        </w:trPr>
        <w:tc>
          <w:tcPr>
            <w:tcW w:w="790" w:type="pct"/>
            <w:tcBorders>
              <w:bottom w:val="nil"/>
            </w:tcBorders>
            <w:noWrap/>
          </w:tcPr>
          <w:p w14:paraId="3F0EB8C1" w14:textId="77777777" w:rsidR="00D11F7F" w:rsidRPr="0045541D" w:rsidRDefault="00D11F7F">
            <w:pPr>
              <w:pStyle w:val="Tabletext0"/>
            </w:pPr>
            <w:r w:rsidRPr="0045541D">
              <w:t>Costs</w:t>
            </w:r>
          </w:p>
        </w:tc>
        <w:tc>
          <w:tcPr>
            <w:tcW w:w="1376" w:type="pct"/>
            <w:tcBorders>
              <w:bottom w:val="nil"/>
            </w:tcBorders>
            <w:noWrap/>
            <w:vAlign w:val="center"/>
          </w:tcPr>
          <w:p w14:paraId="32D2A8D1" w14:textId="14CA2157" w:rsidR="00D11F7F" w:rsidRPr="0045541D" w:rsidRDefault="00D11F7F" w:rsidP="003F5F74">
            <w:pPr>
              <w:pStyle w:val="Tabletext0"/>
              <w:jc w:val="center"/>
            </w:pPr>
            <w:r w:rsidRPr="0045541D">
              <w:t>$</w:t>
            </w:r>
            <w:r w:rsidR="001966BB" w:rsidRPr="0045541D">
              <w:rPr>
                <w:b/>
                <w:bCs/>
              </w:rPr>
              <w:t>redacted</w:t>
            </w:r>
          </w:p>
        </w:tc>
        <w:tc>
          <w:tcPr>
            <w:tcW w:w="1204" w:type="pct"/>
            <w:tcBorders>
              <w:bottom w:val="nil"/>
            </w:tcBorders>
            <w:noWrap/>
          </w:tcPr>
          <w:p w14:paraId="56A3388F" w14:textId="77777777" w:rsidR="00D11F7F" w:rsidRPr="0045541D" w:rsidRDefault="00D11F7F" w:rsidP="003F5F74">
            <w:pPr>
              <w:pStyle w:val="Tabletext0"/>
              <w:jc w:val="center"/>
            </w:pPr>
            <w:r w:rsidRPr="0045541D">
              <w:t>$986,306</w:t>
            </w:r>
          </w:p>
        </w:tc>
        <w:tc>
          <w:tcPr>
            <w:tcW w:w="802" w:type="pct"/>
            <w:tcBorders>
              <w:bottom w:val="nil"/>
            </w:tcBorders>
            <w:noWrap/>
          </w:tcPr>
          <w:p w14:paraId="4EBDAF99" w14:textId="296DC626" w:rsidR="00D11F7F" w:rsidRPr="0045541D" w:rsidRDefault="00D11F7F" w:rsidP="003F5F74">
            <w:pPr>
              <w:pStyle w:val="Tabletext0"/>
              <w:jc w:val="center"/>
            </w:pPr>
            <w:r w:rsidRPr="0045541D">
              <w:t>$</w:t>
            </w:r>
            <w:r w:rsidR="001966BB" w:rsidRPr="0045541D">
              <w:rPr>
                <w:b/>
                <w:bCs/>
              </w:rPr>
              <w:t>redacted</w:t>
            </w:r>
          </w:p>
        </w:tc>
        <w:tc>
          <w:tcPr>
            <w:tcW w:w="828" w:type="pct"/>
            <w:tcBorders>
              <w:bottom w:val="nil"/>
            </w:tcBorders>
          </w:tcPr>
          <w:p w14:paraId="5E065EC4" w14:textId="73576B7B" w:rsidR="00D11F7F" w:rsidRPr="0045541D" w:rsidRDefault="00D11F7F" w:rsidP="003F5F74">
            <w:pPr>
              <w:pStyle w:val="Tabletext0"/>
              <w:jc w:val="center"/>
            </w:pPr>
            <w:r w:rsidRPr="0045541D">
              <w:t>$</w:t>
            </w:r>
            <w:r w:rsidR="001966BB" w:rsidRPr="0045541D">
              <w:rPr>
                <w:b/>
                <w:bCs/>
              </w:rPr>
              <w:t>redacted</w:t>
            </w:r>
          </w:p>
        </w:tc>
      </w:tr>
      <w:tr w:rsidR="00F2220C" w:rsidRPr="0045541D" w14:paraId="783083B1" w14:textId="77777777" w:rsidTr="003F5F74">
        <w:trPr>
          <w:cnfStyle w:val="100000000000" w:firstRow="1" w:lastRow="0" w:firstColumn="0" w:lastColumn="0" w:oddVBand="0" w:evenVBand="0" w:oddHBand="0" w:evenHBand="0" w:firstRowFirstColumn="0" w:firstRowLastColumn="0" w:lastRowFirstColumn="0" w:lastRowLastColumn="0"/>
          <w:trHeight w:val="300"/>
          <w:tblHeader/>
        </w:trPr>
        <w:tc>
          <w:tcPr>
            <w:tcW w:w="790" w:type="pct"/>
            <w:tcBorders>
              <w:top w:val="nil"/>
              <w:bottom w:val="single" w:sz="4" w:space="0" w:color="auto"/>
            </w:tcBorders>
            <w:noWrap/>
          </w:tcPr>
          <w:p w14:paraId="681B4554" w14:textId="77777777" w:rsidR="00D11F7F" w:rsidRPr="0045541D" w:rsidRDefault="00D11F7F">
            <w:pPr>
              <w:pStyle w:val="Tabletext0"/>
            </w:pPr>
            <w:r w:rsidRPr="0045541D">
              <w:t>QALY</w:t>
            </w:r>
          </w:p>
        </w:tc>
        <w:tc>
          <w:tcPr>
            <w:tcW w:w="1376" w:type="pct"/>
            <w:tcBorders>
              <w:top w:val="nil"/>
              <w:bottom w:val="single" w:sz="4" w:space="0" w:color="auto"/>
            </w:tcBorders>
            <w:noWrap/>
          </w:tcPr>
          <w:p w14:paraId="793F8B78" w14:textId="77777777" w:rsidR="00D11F7F" w:rsidRPr="0045541D" w:rsidRDefault="00D11F7F" w:rsidP="003F5F74">
            <w:pPr>
              <w:pStyle w:val="Tabletext0"/>
              <w:jc w:val="center"/>
            </w:pPr>
            <w:r w:rsidRPr="0045541D">
              <w:t>2.33</w:t>
            </w:r>
          </w:p>
        </w:tc>
        <w:tc>
          <w:tcPr>
            <w:tcW w:w="1204" w:type="pct"/>
            <w:tcBorders>
              <w:top w:val="nil"/>
              <w:bottom w:val="single" w:sz="4" w:space="0" w:color="auto"/>
            </w:tcBorders>
            <w:noWrap/>
          </w:tcPr>
          <w:p w14:paraId="15D66046" w14:textId="77777777" w:rsidR="00D11F7F" w:rsidRPr="0045541D" w:rsidRDefault="00D11F7F" w:rsidP="003F5F74">
            <w:pPr>
              <w:pStyle w:val="Tabletext0"/>
              <w:jc w:val="center"/>
            </w:pPr>
            <w:r w:rsidRPr="0045541D">
              <w:t>2.23</w:t>
            </w:r>
          </w:p>
        </w:tc>
        <w:tc>
          <w:tcPr>
            <w:tcW w:w="802" w:type="pct"/>
            <w:tcBorders>
              <w:top w:val="nil"/>
              <w:bottom w:val="single" w:sz="4" w:space="0" w:color="auto"/>
            </w:tcBorders>
            <w:noWrap/>
          </w:tcPr>
          <w:p w14:paraId="5C3823A3" w14:textId="77777777" w:rsidR="00D11F7F" w:rsidRPr="0045541D" w:rsidRDefault="00D11F7F" w:rsidP="003F5F74">
            <w:pPr>
              <w:pStyle w:val="Tabletext0"/>
              <w:jc w:val="center"/>
            </w:pPr>
            <w:r w:rsidRPr="0045541D">
              <w:t>0.10</w:t>
            </w:r>
          </w:p>
        </w:tc>
        <w:tc>
          <w:tcPr>
            <w:tcW w:w="828" w:type="pct"/>
            <w:tcBorders>
              <w:top w:val="nil"/>
              <w:bottom w:val="single" w:sz="4" w:space="0" w:color="auto"/>
            </w:tcBorders>
          </w:tcPr>
          <w:p w14:paraId="70BC059E" w14:textId="77777777" w:rsidR="00D11F7F" w:rsidRPr="0045541D" w:rsidRDefault="00D11F7F" w:rsidP="003F5F74">
            <w:pPr>
              <w:pStyle w:val="Tabletext0"/>
              <w:jc w:val="center"/>
            </w:pPr>
          </w:p>
        </w:tc>
      </w:tr>
      <w:tr w:rsidR="00F2220C" w:rsidRPr="0045541D" w14:paraId="42FCA64C" w14:textId="77777777" w:rsidTr="002F044B">
        <w:trPr>
          <w:cnfStyle w:val="100000000000" w:firstRow="1" w:lastRow="0" w:firstColumn="0" w:lastColumn="0" w:oddVBand="0" w:evenVBand="0" w:oddHBand="0" w:evenHBand="0" w:firstRowFirstColumn="0" w:firstRowLastColumn="0" w:lastRowFirstColumn="0" w:lastRowLastColumn="0"/>
          <w:trHeight w:val="300"/>
          <w:tblHeader/>
        </w:trPr>
        <w:tc>
          <w:tcPr>
            <w:tcW w:w="5000" w:type="pct"/>
            <w:gridSpan w:val="5"/>
            <w:tcBorders>
              <w:bottom w:val="single" w:sz="4" w:space="0" w:color="auto"/>
            </w:tcBorders>
            <w:noWrap/>
          </w:tcPr>
          <w:p w14:paraId="783922E5" w14:textId="49C75358" w:rsidR="00F2220C" w:rsidRPr="0045541D" w:rsidRDefault="00F2220C">
            <w:pPr>
              <w:pStyle w:val="Tabletext0"/>
            </w:pPr>
            <w:r w:rsidRPr="0045541D">
              <w:t>Step 2 – Study evidence extrapolated; Time horizon: 8 years</w:t>
            </w:r>
          </w:p>
        </w:tc>
      </w:tr>
      <w:tr w:rsidR="00F2220C" w:rsidRPr="0045541D" w14:paraId="26B6ADEB" w14:textId="77777777" w:rsidTr="003F5F74">
        <w:trPr>
          <w:cnfStyle w:val="100000000000" w:firstRow="1" w:lastRow="0" w:firstColumn="0" w:lastColumn="0" w:oddVBand="0" w:evenVBand="0" w:oddHBand="0" w:evenHBand="0" w:firstRowFirstColumn="0" w:firstRowLastColumn="0" w:lastRowFirstColumn="0" w:lastRowLastColumn="0"/>
          <w:trHeight w:val="300"/>
          <w:tblHeader/>
        </w:trPr>
        <w:tc>
          <w:tcPr>
            <w:tcW w:w="790" w:type="pct"/>
            <w:tcBorders>
              <w:bottom w:val="nil"/>
            </w:tcBorders>
            <w:noWrap/>
          </w:tcPr>
          <w:p w14:paraId="71849C3B" w14:textId="77777777" w:rsidR="00D11F7F" w:rsidRPr="0045541D" w:rsidRDefault="00D11F7F">
            <w:pPr>
              <w:pStyle w:val="Tabletext0"/>
            </w:pPr>
            <w:r w:rsidRPr="0045541D">
              <w:t>Costs</w:t>
            </w:r>
          </w:p>
        </w:tc>
        <w:tc>
          <w:tcPr>
            <w:tcW w:w="1376" w:type="pct"/>
            <w:tcBorders>
              <w:bottom w:val="nil"/>
            </w:tcBorders>
            <w:noWrap/>
            <w:vAlign w:val="center"/>
          </w:tcPr>
          <w:p w14:paraId="076A6F7C" w14:textId="7BC3390D" w:rsidR="00D11F7F" w:rsidRPr="0045541D" w:rsidRDefault="00D11F7F" w:rsidP="003F5F74">
            <w:pPr>
              <w:pStyle w:val="Tabletext0"/>
              <w:jc w:val="center"/>
            </w:pPr>
            <w:r w:rsidRPr="0045541D" w:rsidDel="00011D71">
              <w:t>$</w:t>
            </w:r>
            <w:r w:rsidR="001966BB" w:rsidRPr="0045541D">
              <w:rPr>
                <w:b/>
                <w:bCs/>
              </w:rPr>
              <w:t>redacted</w:t>
            </w:r>
          </w:p>
        </w:tc>
        <w:tc>
          <w:tcPr>
            <w:tcW w:w="1204" w:type="pct"/>
            <w:tcBorders>
              <w:bottom w:val="nil"/>
            </w:tcBorders>
            <w:noWrap/>
            <w:vAlign w:val="center"/>
          </w:tcPr>
          <w:p w14:paraId="194398D4" w14:textId="77777777" w:rsidR="00D11F7F" w:rsidRPr="0045541D" w:rsidRDefault="00D11F7F" w:rsidP="003F5F74">
            <w:pPr>
              <w:pStyle w:val="Tabletext0"/>
              <w:jc w:val="center"/>
            </w:pPr>
            <w:r w:rsidRPr="0045541D" w:rsidDel="00011D71">
              <w:t>$2,309,627</w:t>
            </w:r>
          </w:p>
        </w:tc>
        <w:tc>
          <w:tcPr>
            <w:tcW w:w="802" w:type="pct"/>
            <w:tcBorders>
              <w:bottom w:val="nil"/>
            </w:tcBorders>
            <w:noWrap/>
          </w:tcPr>
          <w:p w14:paraId="514ABA02" w14:textId="0B70B32B" w:rsidR="00D11F7F" w:rsidRPr="0045541D" w:rsidRDefault="00D11F7F" w:rsidP="003F5F74">
            <w:pPr>
              <w:pStyle w:val="Tabletext0"/>
              <w:jc w:val="center"/>
            </w:pPr>
            <w:r w:rsidRPr="0045541D" w:rsidDel="00011D71">
              <w:t>$</w:t>
            </w:r>
            <w:r w:rsidR="001966BB" w:rsidRPr="0045541D">
              <w:rPr>
                <w:b/>
                <w:bCs/>
              </w:rPr>
              <w:t>redacted</w:t>
            </w:r>
          </w:p>
        </w:tc>
        <w:tc>
          <w:tcPr>
            <w:tcW w:w="828" w:type="pct"/>
            <w:tcBorders>
              <w:bottom w:val="nil"/>
            </w:tcBorders>
            <w:vAlign w:val="center"/>
          </w:tcPr>
          <w:p w14:paraId="3ACEB306" w14:textId="7D962D71" w:rsidR="00D11F7F" w:rsidRPr="0045541D" w:rsidRDefault="00D11F7F" w:rsidP="003F5F74">
            <w:pPr>
              <w:pStyle w:val="Tabletext0"/>
              <w:jc w:val="center"/>
            </w:pPr>
            <w:r w:rsidRPr="0045541D" w:rsidDel="00011D71">
              <w:t>$</w:t>
            </w:r>
            <w:r w:rsidR="001966BB" w:rsidRPr="0045541D">
              <w:rPr>
                <w:b/>
                <w:bCs/>
              </w:rPr>
              <w:t>redacted</w:t>
            </w:r>
          </w:p>
        </w:tc>
      </w:tr>
      <w:tr w:rsidR="00F2220C" w:rsidRPr="0045541D" w14:paraId="35187DE2" w14:textId="77777777" w:rsidTr="003F5F74">
        <w:trPr>
          <w:cnfStyle w:val="100000000000" w:firstRow="1" w:lastRow="0" w:firstColumn="0" w:lastColumn="0" w:oddVBand="0" w:evenVBand="0" w:oddHBand="0" w:evenHBand="0" w:firstRowFirstColumn="0" w:firstRowLastColumn="0" w:lastRowFirstColumn="0" w:lastRowLastColumn="0"/>
          <w:trHeight w:val="300"/>
          <w:tblHeader/>
        </w:trPr>
        <w:tc>
          <w:tcPr>
            <w:tcW w:w="790" w:type="pct"/>
            <w:tcBorders>
              <w:top w:val="nil"/>
              <w:bottom w:val="single" w:sz="4" w:space="0" w:color="auto"/>
            </w:tcBorders>
            <w:noWrap/>
          </w:tcPr>
          <w:p w14:paraId="493AE7D0" w14:textId="77777777" w:rsidR="00D11F7F" w:rsidRPr="0045541D" w:rsidRDefault="00D11F7F">
            <w:pPr>
              <w:pStyle w:val="Tabletext0"/>
            </w:pPr>
            <w:r w:rsidRPr="0045541D">
              <w:t>QALYs</w:t>
            </w:r>
          </w:p>
        </w:tc>
        <w:tc>
          <w:tcPr>
            <w:tcW w:w="1376" w:type="pct"/>
            <w:tcBorders>
              <w:top w:val="nil"/>
              <w:bottom w:val="single" w:sz="4" w:space="0" w:color="auto"/>
            </w:tcBorders>
            <w:noWrap/>
          </w:tcPr>
          <w:p w14:paraId="73DBEF6D" w14:textId="77777777" w:rsidR="00D11F7F" w:rsidRPr="0045541D" w:rsidRDefault="00D11F7F" w:rsidP="003F5F74">
            <w:pPr>
              <w:pStyle w:val="Tabletext0"/>
              <w:jc w:val="center"/>
            </w:pPr>
            <w:r w:rsidRPr="0045541D" w:rsidDel="00011D71">
              <w:t>5.50</w:t>
            </w:r>
          </w:p>
        </w:tc>
        <w:tc>
          <w:tcPr>
            <w:tcW w:w="1204" w:type="pct"/>
            <w:tcBorders>
              <w:top w:val="nil"/>
              <w:bottom w:val="single" w:sz="4" w:space="0" w:color="auto"/>
            </w:tcBorders>
            <w:noWrap/>
            <w:vAlign w:val="center"/>
          </w:tcPr>
          <w:p w14:paraId="577D12C5" w14:textId="77777777" w:rsidR="00D11F7F" w:rsidRPr="0045541D" w:rsidRDefault="00D11F7F" w:rsidP="003F5F74">
            <w:pPr>
              <w:pStyle w:val="Tabletext0"/>
              <w:jc w:val="center"/>
            </w:pPr>
            <w:r w:rsidRPr="0045541D" w:rsidDel="00011D71">
              <w:t>5.23</w:t>
            </w:r>
          </w:p>
        </w:tc>
        <w:tc>
          <w:tcPr>
            <w:tcW w:w="802" w:type="pct"/>
            <w:tcBorders>
              <w:top w:val="nil"/>
              <w:bottom w:val="single" w:sz="4" w:space="0" w:color="auto"/>
            </w:tcBorders>
            <w:noWrap/>
          </w:tcPr>
          <w:p w14:paraId="7445F83D" w14:textId="4E067B9D" w:rsidR="00D11F7F" w:rsidRPr="0045541D" w:rsidRDefault="00D11F7F" w:rsidP="003F5F74">
            <w:pPr>
              <w:pStyle w:val="Tabletext0"/>
              <w:jc w:val="center"/>
            </w:pPr>
            <w:r w:rsidRPr="0045541D" w:rsidDel="00011D71">
              <w:t>0.27</w:t>
            </w:r>
          </w:p>
        </w:tc>
        <w:tc>
          <w:tcPr>
            <w:tcW w:w="828" w:type="pct"/>
            <w:tcBorders>
              <w:top w:val="nil"/>
              <w:bottom w:val="single" w:sz="4" w:space="0" w:color="auto"/>
            </w:tcBorders>
            <w:vAlign w:val="center"/>
          </w:tcPr>
          <w:p w14:paraId="3B5132D9" w14:textId="77777777" w:rsidR="00D11F7F" w:rsidRPr="0045541D" w:rsidRDefault="00D11F7F" w:rsidP="003F5F74">
            <w:pPr>
              <w:pStyle w:val="Tabletext0"/>
              <w:jc w:val="center"/>
            </w:pPr>
          </w:p>
        </w:tc>
      </w:tr>
      <w:tr w:rsidR="00F2220C" w:rsidRPr="0045541D" w14:paraId="6FB747AA" w14:textId="77777777" w:rsidTr="002F044B">
        <w:trPr>
          <w:cnfStyle w:val="100000000000" w:firstRow="1" w:lastRow="0" w:firstColumn="0" w:lastColumn="0" w:oddVBand="0" w:evenVBand="0" w:oddHBand="0" w:evenHBand="0" w:firstRowFirstColumn="0" w:firstRowLastColumn="0" w:lastRowFirstColumn="0" w:lastRowLastColumn="0"/>
          <w:trHeight w:val="300"/>
          <w:tblHeader/>
        </w:trPr>
        <w:tc>
          <w:tcPr>
            <w:tcW w:w="5000" w:type="pct"/>
            <w:gridSpan w:val="5"/>
            <w:tcBorders>
              <w:bottom w:val="single" w:sz="4" w:space="0" w:color="auto"/>
            </w:tcBorders>
            <w:noWrap/>
            <w:hideMark/>
          </w:tcPr>
          <w:p w14:paraId="07A212C8" w14:textId="5BDB9643" w:rsidR="00F2220C" w:rsidRPr="0045541D" w:rsidRDefault="00F2220C">
            <w:pPr>
              <w:pStyle w:val="Tabletext0"/>
            </w:pPr>
            <w:r w:rsidRPr="0045541D">
              <w:t>Step 3 – Study evidence extrapolated; Time horizon: 25 years</w:t>
            </w:r>
          </w:p>
        </w:tc>
      </w:tr>
      <w:tr w:rsidR="00F2220C" w:rsidRPr="0045541D" w14:paraId="295495B6" w14:textId="77777777" w:rsidTr="003F5F74">
        <w:trPr>
          <w:cnfStyle w:val="100000000000" w:firstRow="1" w:lastRow="0" w:firstColumn="0" w:lastColumn="0" w:oddVBand="0" w:evenVBand="0" w:oddHBand="0" w:evenHBand="0" w:firstRowFirstColumn="0" w:firstRowLastColumn="0" w:lastRowFirstColumn="0" w:lastRowLastColumn="0"/>
          <w:trHeight w:val="300"/>
          <w:tblHeader/>
        </w:trPr>
        <w:tc>
          <w:tcPr>
            <w:tcW w:w="790" w:type="pct"/>
            <w:tcBorders>
              <w:bottom w:val="nil"/>
            </w:tcBorders>
            <w:noWrap/>
          </w:tcPr>
          <w:p w14:paraId="654529C2" w14:textId="77777777" w:rsidR="00D11F7F" w:rsidRPr="0045541D" w:rsidRDefault="00D11F7F">
            <w:pPr>
              <w:pStyle w:val="Tabletext0"/>
            </w:pPr>
            <w:r w:rsidRPr="0045541D">
              <w:t>Costs</w:t>
            </w:r>
          </w:p>
        </w:tc>
        <w:tc>
          <w:tcPr>
            <w:tcW w:w="1376" w:type="pct"/>
            <w:tcBorders>
              <w:bottom w:val="nil"/>
            </w:tcBorders>
            <w:noWrap/>
            <w:vAlign w:val="center"/>
          </w:tcPr>
          <w:p w14:paraId="295FF1FC" w14:textId="055A4A6E" w:rsidR="00D11F7F" w:rsidRPr="0045541D" w:rsidRDefault="00D11F7F" w:rsidP="003F5F74">
            <w:pPr>
              <w:pStyle w:val="Tabletext0"/>
              <w:jc w:val="center"/>
            </w:pPr>
            <w:r w:rsidRPr="0045541D">
              <w:t>$</w:t>
            </w:r>
            <w:r w:rsidR="001966BB" w:rsidRPr="0045541D">
              <w:rPr>
                <w:b/>
                <w:bCs/>
              </w:rPr>
              <w:t>redacted</w:t>
            </w:r>
          </w:p>
        </w:tc>
        <w:tc>
          <w:tcPr>
            <w:tcW w:w="1204" w:type="pct"/>
            <w:tcBorders>
              <w:bottom w:val="nil"/>
            </w:tcBorders>
            <w:noWrap/>
            <w:vAlign w:val="center"/>
          </w:tcPr>
          <w:p w14:paraId="60D329B6" w14:textId="77777777" w:rsidR="00D11F7F" w:rsidRPr="0045541D" w:rsidRDefault="00D11F7F" w:rsidP="003F5F74">
            <w:pPr>
              <w:pStyle w:val="Tabletext0"/>
              <w:jc w:val="center"/>
            </w:pPr>
            <w:r w:rsidRPr="0045541D">
              <w:t>$4,714,853</w:t>
            </w:r>
          </w:p>
        </w:tc>
        <w:tc>
          <w:tcPr>
            <w:tcW w:w="802" w:type="pct"/>
            <w:tcBorders>
              <w:bottom w:val="nil"/>
            </w:tcBorders>
            <w:noWrap/>
          </w:tcPr>
          <w:p w14:paraId="1FF40ACE" w14:textId="73E61388" w:rsidR="00D11F7F" w:rsidRPr="0045541D" w:rsidRDefault="00D11F7F" w:rsidP="003F5F74">
            <w:pPr>
              <w:pStyle w:val="Tabletext0"/>
              <w:jc w:val="center"/>
            </w:pPr>
            <w:r w:rsidRPr="0045541D">
              <w:t>-$</w:t>
            </w:r>
            <w:r w:rsidR="001966BB" w:rsidRPr="0045541D">
              <w:rPr>
                <w:b/>
                <w:bCs/>
              </w:rPr>
              <w:t>redacted</w:t>
            </w:r>
          </w:p>
        </w:tc>
        <w:tc>
          <w:tcPr>
            <w:tcW w:w="828" w:type="pct"/>
            <w:tcBorders>
              <w:bottom w:val="nil"/>
            </w:tcBorders>
            <w:vAlign w:val="center"/>
          </w:tcPr>
          <w:p w14:paraId="704F3296" w14:textId="77777777" w:rsidR="00D11F7F" w:rsidRPr="0045541D" w:rsidRDefault="00D11F7F" w:rsidP="003F5F74">
            <w:pPr>
              <w:pStyle w:val="Tabletext0"/>
              <w:jc w:val="center"/>
            </w:pPr>
            <w:r w:rsidRPr="0045541D">
              <w:t>Dominant</w:t>
            </w:r>
          </w:p>
        </w:tc>
      </w:tr>
      <w:tr w:rsidR="00F2220C" w:rsidRPr="0045541D" w14:paraId="71D84B88" w14:textId="77777777" w:rsidTr="003F5F74">
        <w:trPr>
          <w:cnfStyle w:val="100000000000" w:firstRow="1" w:lastRow="0" w:firstColumn="0" w:lastColumn="0" w:oddVBand="0" w:evenVBand="0" w:oddHBand="0" w:evenHBand="0" w:firstRowFirstColumn="0" w:firstRowLastColumn="0" w:lastRowFirstColumn="0" w:lastRowLastColumn="0"/>
          <w:trHeight w:val="300"/>
          <w:tblHeader/>
        </w:trPr>
        <w:tc>
          <w:tcPr>
            <w:tcW w:w="790" w:type="pct"/>
            <w:tcBorders>
              <w:top w:val="nil"/>
            </w:tcBorders>
            <w:noWrap/>
          </w:tcPr>
          <w:p w14:paraId="2D002C47" w14:textId="77777777" w:rsidR="00D11F7F" w:rsidRPr="0045541D" w:rsidRDefault="00D11F7F">
            <w:pPr>
              <w:pStyle w:val="Tabletext0"/>
            </w:pPr>
            <w:r w:rsidRPr="0045541D">
              <w:t>QALYs</w:t>
            </w:r>
          </w:p>
        </w:tc>
        <w:tc>
          <w:tcPr>
            <w:tcW w:w="1376" w:type="pct"/>
            <w:tcBorders>
              <w:top w:val="nil"/>
            </w:tcBorders>
            <w:noWrap/>
          </w:tcPr>
          <w:p w14:paraId="7AAF6C5E" w14:textId="009C984E" w:rsidR="00D11F7F" w:rsidRPr="0045541D" w:rsidRDefault="00D11F7F" w:rsidP="003F5F74">
            <w:pPr>
              <w:pStyle w:val="Tabletext0"/>
              <w:jc w:val="center"/>
            </w:pPr>
            <w:r w:rsidRPr="0045541D">
              <w:t>11.2</w:t>
            </w:r>
            <w:r w:rsidR="00A56021" w:rsidRPr="0045541D">
              <w:t>3</w:t>
            </w:r>
          </w:p>
        </w:tc>
        <w:tc>
          <w:tcPr>
            <w:tcW w:w="1204" w:type="pct"/>
            <w:tcBorders>
              <w:top w:val="nil"/>
            </w:tcBorders>
            <w:noWrap/>
            <w:vAlign w:val="center"/>
          </w:tcPr>
          <w:p w14:paraId="36DD446A" w14:textId="12F05F9D" w:rsidR="00D11F7F" w:rsidRPr="0045541D" w:rsidRDefault="00D11F7F" w:rsidP="003F5F74">
            <w:pPr>
              <w:pStyle w:val="Tabletext0"/>
              <w:jc w:val="center"/>
            </w:pPr>
            <w:r w:rsidRPr="0045541D">
              <w:t>10.</w:t>
            </w:r>
            <w:r w:rsidR="00AA56F7" w:rsidRPr="0045541D">
              <w:t>68</w:t>
            </w:r>
          </w:p>
        </w:tc>
        <w:tc>
          <w:tcPr>
            <w:tcW w:w="802" w:type="pct"/>
            <w:tcBorders>
              <w:top w:val="nil"/>
            </w:tcBorders>
            <w:noWrap/>
          </w:tcPr>
          <w:p w14:paraId="6196707F" w14:textId="77777777" w:rsidR="00D11F7F" w:rsidRPr="0045541D" w:rsidRDefault="00D11F7F" w:rsidP="003F5F74">
            <w:pPr>
              <w:pStyle w:val="Tabletext0"/>
              <w:jc w:val="center"/>
            </w:pPr>
            <w:r w:rsidRPr="0045541D">
              <w:t>0.56</w:t>
            </w:r>
          </w:p>
        </w:tc>
        <w:tc>
          <w:tcPr>
            <w:tcW w:w="828" w:type="pct"/>
            <w:tcBorders>
              <w:top w:val="nil"/>
            </w:tcBorders>
          </w:tcPr>
          <w:p w14:paraId="636697BE" w14:textId="77777777" w:rsidR="00D11F7F" w:rsidRPr="0045541D" w:rsidRDefault="00D11F7F" w:rsidP="003F5F74">
            <w:pPr>
              <w:pStyle w:val="Tabletext0"/>
              <w:jc w:val="center"/>
            </w:pPr>
          </w:p>
        </w:tc>
      </w:tr>
    </w:tbl>
    <w:p w14:paraId="11D695BF" w14:textId="77777777" w:rsidR="00D11F7F" w:rsidRPr="0045541D" w:rsidRDefault="00D11F7F" w:rsidP="003F182E">
      <w:pPr>
        <w:pStyle w:val="CommentaryTablenotes"/>
        <w:rPr>
          <w:color w:val="auto"/>
        </w:rPr>
      </w:pPr>
      <w:r w:rsidRPr="0045541D">
        <w:rPr>
          <w:color w:val="auto"/>
        </w:rPr>
        <w:t>ICER = incremental cost-effectiveness ratio; QALY = quality-adjusted life year.</w:t>
      </w:r>
    </w:p>
    <w:p w14:paraId="703B853E" w14:textId="47FD64F4" w:rsidR="00D11F7F" w:rsidRPr="00E40A38" w:rsidRDefault="00D11F7F" w:rsidP="003F182E">
      <w:pPr>
        <w:pStyle w:val="CommentaryTablenotes"/>
        <w:rPr>
          <w:color w:val="auto"/>
        </w:rPr>
      </w:pPr>
      <w:r w:rsidRPr="0045541D">
        <w:rPr>
          <w:color w:val="auto"/>
        </w:rPr>
        <w:t xml:space="preserve">Source: </w:t>
      </w:r>
      <w:r w:rsidR="002E054C" w:rsidRPr="0045541D">
        <w:rPr>
          <w:color w:val="auto"/>
        </w:rPr>
        <w:t xml:space="preserve">Table 3-9 and </w:t>
      </w:r>
      <w:r w:rsidRPr="0045541D">
        <w:rPr>
          <w:color w:val="auto"/>
        </w:rPr>
        <w:t xml:space="preserve">Commentary Table </w:t>
      </w:r>
      <w:r w:rsidR="009E4309" w:rsidRPr="0045541D">
        <w:rPr>
          <w:color w:val="auto"/>
        </w:rPr>
        <w:t>28</w:t>
      </w:r>
      <w:r w:rsidRPr="0045541D">
        <w:rPr>
          <w:color w:val="auto"/>
        </w:rPr>
        <w:t xml:space="preserve"> of MSAC 1728 </w:t>
      </w:r>
      <w:proofErr w:type="spellStart"/>
      <w:r w:rsidRPr="0045541D">
        <w:rPr>
          <w:color w:val="auto"/>
        </w:rPr>
        <w:t>ADAR+in-line</w:t>
      </w:r>
      <w:proofErr w:type="spellEnd"/>
      <w:r w:rsidRPr="0045541D">
        <w:rPr>
          <w:color w:val="auto"/>
        </w:rPr>
        <w:t xml:space="preserve"> commentary.</w:t>
      </w:r>
    </w:p>
    <w:p w14:paraId="4955C926" w14:textId="2E6CBB83" w:rsidR="0061544D" w:rsidRPr="00E40A38" w:rsidRDefault="0061544D" w:rsidP="0061544D">
      <w:r w:rsidRPr="00E40A38">
        <w:t xml:space="preserve">The model results </w:t>
      </w:r>
      <w:r w:rsidR="00F91EF7" w:rsidRPr="00E40A38">
        <w:t>we</w:t>
      </w:r>
      <w:r w:rsidRPr="00E40A38">
        <w:t>re sensitive to assumptions around costs, particularly the price of FIX therapy (</w:t>
      </w:r>
      <w:r w:rsidRPr="00E40A38">
        <w:fldChar w:fldCharType="begin"/>
      </w:r>
      <w:r w:rsidRPr="00E40A38">
        <w:instrText xml:space="preserve"> REF _Ref164241024 \h </w:instrText>
      </w:r>
      <w:r w:rsidR="00474734" w:rsidRPr="00E40A38">
        <w:instrText xml:space="preserve"> \* MERGEFORMAT </w:instrText>
      </w:r>
      <w:r w:rsidRPr="00E40A38">
        <w:fldChar w:fldCharType="separate"/>
      </w:r>
      <w:r w:rsidR="007207A8" w:rsidRPr="00E40A38">
        <w:t>Table </w:t>
      </w:r>
      <w:r w:rsidR="007207A8">
        <w:t>12</w:t>
      </w:r>
      <w:r w:rsidRPr="00E40A38">
        <w:fldChar w:fldCharType="end"/>
      </w:r>
      <w:r w:rsidRPr="00E40A38">
        <w:t xml:space="preserve">). </w:t>
      </w:r>
    </w:p>
    <w:p w14:paraId="367398F4" w14:textId="5BC29966" w:rsidR="00D11F7F" w:rsidRPr="0045541D" w:rsidRDefault="00D11F7F" w:rsidP="00D11F7F">
      <w:pPr>
        <w:pStyle w:val="Caption"/>
      </w:pPr>
      <w:bookmarkStart w:id="46" w:name="_Ref164241024"/>
      <w:r w:rsidRPr="0045541D">
        <w:t>Table </w:t>
      </w:r>
      <w:r w:rsidR="00CC66FD" w:rsidRPr="0045541D">
        <w:fldChar w:fldCharType="begin"/>
      </w:r>
      <w:r w:rsidR="00CC66FD" w:rsidRPr="0045541D">
        <w:instrText xml:space="preserve"> SEQ Table \* ARABIC </w:instrText>
      </w:r>
      <w:r w:rsidR="00CC66FD" w:rsidRPr="0045541D">
        <w:fldChar w:fldCharType="separate"/>
      </w:r>
      <w:r w:rsidR="007207A8" w:rsidRPr="0045541D">
        <w:rPr>
          <w:noProof/>
        </w:rPr>
        <w:t>12</w:t>
      </w:r>
      <w:r w:rsidR="00CC66FD" w:rsidRPr="0045541D">
        <w:rPr>
          <w:noProof/>
        </w:rPr>
        <w:fldChar w:fldCharType="end"/>
      </w:r>
      <w:bookmarkEnd w:id="46"/>
      <w:r w:rsidRPr="0045541D">
        <w:tab/>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Key drivers of the model"/>
        <w:tblDescription w:val="This table shows the key drivers of the economic model"/>
      </w:tblPr>
      <w:tblGrid>
        <w:gridCol w:w="1129"/>
        <w:gridCol w:w="3969"/>
        <w:gridCol w:w="3918"/>
      </w:tblGrid>
      <w:tr w:rsidR="00D11F7F" w:rsidRPr="0045541D" w14:paraId="55A5BB66" w14:textId="77777777" w:rsidTr="00BF177F">
        <w:trPr>
          <w:trHeight w:val="365"/>
          <w:tblHeader/>
        </w:trPr>
        <w:tc>
          <w:tcPr>
            <w:tcW w:w="626" w:type="pct"/>
            <w:shd w:val="clear" w:color="auto" w:fill="auto"/>
            <w:tcMar>
              <w:top w:w="108" w:type="dxa"/>
              <w:left w:w="108" w:type="dxa"/>
              <w:bottom w:w="108" w:type="dxa"/>
              <w:right w:w="108" w:type="dxa"/>
            </w:tcMar>
            <w:vAlign w:val="center"/>
          </w:tcPr>
          <w:p w14:paraId="0BBFA52E" w14:textId="77777777" w:rsidR="00D11F7F" w:rsidRPr="0045541D" w:rsidRDefault="00D11F7F">
            <w:pPr>
              <w:pStyle w:val="In-tableHeading"/>
              <w:jc w:val="center"/>
              <w:rPr>
                <w:lang w:val="en-AU"/>
              </w:rPr>
            </w:pPr>
            <w:r w:rsidRPr="0045541D">
              <w:rPr>
                <w:lang w:val="en-AU"/>
              </w:rPr>
              <w:t>Description</w:t>
            </w:r>
          </w:p>
        </w:tc>
        <w:tc>
          <w:tcPr>
            <w:tcW w:w="2201" w:type="pct"/>
            <w:shd w:val="clear" w:color="auto" w:fill="auto"/>
            <w:tcMar>
              <w:top w:w="108" w:type="dxa"/>
              <w:left w:w="108" w:type="dxa"/>
              <w:bottom w:w="108" w:type="dxa"/>
              <w:right w:w="108" w:type="dxa"/>
            </w:tcMar>
            <w:vAlign w:val="center"/>
          </w:tcPr>
          <w:p w14:paraId="523095B3" w14:textId="77777777" w:rsidR="00D11F7F" w:rsidRPr="0045541D" w:rsidRDefault="00D11F7F">
            <w:pPr>
              <w:pStyle w:val="In-tableHeading"/>
              <w:jc w:val="center"/>
              <w:rPr>
                <w:lang w:val="en-AU"/>
              </w:rPr>
            </w:pPr>
            <w:r w:rsidRPr="0045541D">
              <w:rPr>
                <w:lang w:val="en-AU"/>
              </w:rPr>
              <w:t>Method/Value</w:t>
            </w:r>
          </w:p>
        </w:tc>
        <w:tc>
          <w:tcPr>
            <w:tcW w:w="2173" w:type="pct"/>
            <w:shd w:val="clear" w:color="auto" w:fill="auto"/>
            <w:tcMar>
              <w:top w:w="108" w:type="dxa"/>
              <w:left w:w="108" w:type="dxa"/>
              <w:bottom w:w="108" w:type="dxa"/>
              <w:right w:w="108" w:type="dxa"/>
            </w:tcMar>
            <w:vAlign w:val="center"/>
          </w:tcPr>
          <w:p w14:paraId="2CEBD283" w14:textId="77777777" w:rsidR="00D11F7F" w:rsidRPr="0045541D" w:rsidRDefault="00D11F7F">
            <w:pPr>
              <w:pStyle w:val="In-tableHeading"/>
              <w:jc w:val="center"/>
              <w:rPr>
                <w:lang w:val="en-AU"/>
              </w:rPr>
            </w:pPr>
            <w:r w:rsidRPr="0045541D">
              <w:rPr>
                <w:lang w:val="en-AU"/>
              </w:rPr>
              <w:t>Impact</w:t>
            </w:r>
          </w:p>
          <w:p w14:paraId="6DF7C74D" w14:textId="77777777" w:rsidR="00D11F7F" w:rsidRPr="0045541D" w:rsidRDefault="00D11F7F">
            <w:pPr>
              <w:pStyle w:val="In-tableHeading"/>
              <w:spacing w:after="160"/>
              <w:jc w:val="center"/>
              <w:rPr>
                <w:lang w:val="en-AU"/>
              </w:rPr>
            </w:pPr>
            <w:r w:rsidRPr="0045541D">
              <w:rPr>
                <w:rFonts w:cs="Arial"/>
                <w:szCs w:val="20"/>
                <w:lang w:val="en-AU"/>
              </w:rPr>
              <w:t>Base case: ICER dominant</w:t>
            </w:r>
          </w:p>
        </w:tc>
      </w:tr>
      <w:tr w:rsidR="00D11F7F" w:rsidRPr="0045541D" w14:paraId="7F3C4B37" w14:textId="77777777" w:rsidTr="00BF177F">
        <w:trPr>
          <w:trHeight w:val="802"/>
        </w:trPr>
        <w:tc>
          <w:tcPr>
            <w:tcW w:w="626" w:type="pct"/>
            <w:shd w:val="clear" w:color="auto" w:fill="auto"/>
            <w:tcMar>
              <w:top w:w="57" w:type="dxa"/>
              <w:left w:w="108" w:type="dxa"/>
              <w:bottom w:w="57" w:type="dxa"/>
              <w:right w:w="108" w:type="dxa"/>
            </w:tcMar>
            <w:vAlign w:val="center"/>
          </w:tcPr>
          <w:p w14:paraId="52131D95" w14:textId="77777777" w:rsidR="00D11F7F" w:rsidRPr="0045541D" w:rsidRDefault="00D11F7F" w:rsidP="003F5F74">
            <w:pPr>
              <w:pStyle w:val="TableText"/>
            </w:pPr>
            <w:r w:rsidRPr="0045541D">
              <w:t>Time horizon</w:t>
            </w:r>
          </w:p>
        </w:tc>
        <w:tc>
          <w:tcPr>
            <w:tcW w:w="2201" w:type="pct"/>
            <w:shd w:val="clear" w:color="auto" w:fill="auto"/>
            <w:tcMar>
              <w:top w:w="57" w:type="dxa"/>
              <w:left w:w="108" w:type="dxa"/>
              <w:bottom w:w="57" w:type="dxa"/>
              <w:right w:w="108" w:type="dxa"/>
            </w:tcMar>
            <w:vAlign w:val="center"/>
          </w:tcPr>
          <w:p w14:paraId="4262BBB0" w14:textId="5094A601" w:rsidR="00D11F7F" w:rsidRPr="0045541D" w:rsidRDefault="00D11F7F">
            <w:pPr>
              <w:pStyle w:val="TableText"/>
            </w:pPr>
            <w:r w:rsidRPr="0045541D">
              <w:t xml:space="preserve">Treatment effect continued beyond 3-year </w:t>
            </w:r>
            <w:r w:rsidR="005567D6" w:rsidRPr="0045541D">
              <w:t xml:space="preserve">study </w:t>
            </w:r>
            <w:r w:rsidRPr="0045541D">
              <w:t xml:space="preserve">period for up to 25 years. Waning of FIX activity level extrapolated from </w:t>
            </w:r>
            <w:r w:rsidR="00FD3718" w:rsidRPr="0045541D">
              <w:t xml:space="preserve">study </w:t>
            </w:r>
            <w:r w:rsidRPr="0045541D">
              <w:t>data.</w:t>
            </w:r>
          </w:p>
        </w:tc>
        <w:tc>
          <w:tcPr>
            <w:tcW w:w="2173" w:type="pct"/>
            <w:shd w:val="clear" w:color="auto" w:fill="auto"/>
            <w:tcMar>
              <w:top w:w="57" w:type="dxa"/>
              <w:left w:w="108" w:type="dxa"/>
              <w:bottom w:w="57" w:type="dxa"/>
              <w:right w:w="108" w:type="dxa"/>
            </w:tcMar>
            <w:vAlign w:val="center"/>
          </w:tcPr>
          <w:p w14:paraId="52E781C8" w14:textId="77777777" w:rsidR="00D11F7F" w:rsidRPr="0045541D" w:rsidRDefault="00D11F7F" w:rsidP="005A241B">
            <w:pPr>
              <w:pStyle w:val="TableText"/>
              <w:rPr>
                <w:i/>
              </w:rPr>
            </w:pPr>
            <w:r w:rsidRPr="0045541D">
              <w:rPr>
                <w:i/>
              </w:rPr>
              <w:t>High, favours intervention</w:t>
            </w:r>
          </w:p>
          <w:p w14:paraId="54C75CB4" w14:textId="35681F2E" w:rsidR="00D11F7F" w:rsidRPr="0045541D" w:rsidRDefault="008D6C2F" w:rsidP="005A241B">
            <w:pPr>
              <w:pStyle w:val="TableText"/>
              <w:rPr>
                <w:i/>
              </w:rPr>
            </w:pPr>
            <w:r w:rsidRPr="0045541D">
              <w:rPr>
                <w:i/>
              </w:rPr>
              <w:t>R</w:t>
            </w:r>
            <w:r w:rsidR="002A4B61" w:rsidRPr="0045541D">
              <w:rPr>
                <w:i/>
              </w:rPr>
              <w:t xml:space="preserve">educing the time horizon from 25 years to 3 years </w:t>
            </w:r>
            <w:r w:rsidR="00EC6ABA" w:rsidRPr="0045541D">
              <w:rPr>
                <w:i/>
              </w:rPr>
              <w:t xml:space="preserve">resulted </w:t>
            </w:r>
            <w:r w:rsidR="00685035" w:rsidRPr="0045541D">
              <w:rPr>
                <w:i/>
              </w:rPr>
              <w:t xml:space="preserve">in </w:t>
            </w:r>
            <w:r w:rsidR="00657F68" w:rsidRPr="0045541D">
              <w:rPr>
                <w:i/>
              </w:rPr>
              <w:t>change of comparative cost-effective</w:t>
            </w:r>
            <w:r w:rsidR="00F517D1" w:rsidRPr="0045541D">
              <w:rPr>
                <w:i/>
              </w:rPr>
              <w:t>ness from</w:t>
            </w:r>
            <w:r w:rsidR="004D0331" w:rsidRPr="0045541D">
              <w:rPr>
                <w:i/>
              </w:rPr>
              <w:t xml:space="preserve"> dominance (</w:t>
            </w:r>
            <w:r w:rsidR="009E1DDF" w:rsidRPr="0045541D">
              <w:rPr>
                <w:i/>
              </w:rPr>
              <w:t>-$</w:t>
            </w:r>
            <w:r w:rsidR="00EF1DCD" w:rsidRPr="0045541D">
              <w:rPr>
                <w:b/>
                <w:bCs/>
                <w:i/>
              </w:rPr>
              <w:t>redacted</w:t>
            </w:r>
            <w:r w:rsidR="00333930" w:rsidRPr="0045541D">
              <w:rPr>
                <w:i/>
              </w:rPr>
              <w:t xml:space="preserve"> per QALY</w:t>
            </w:r>
            <w:r w:rsidR="004D0331" w:rsidRPr="0045541D">
              <w:rPr>
                <w:i/>
              </w:rPr>
              <w:t>)</w:t>
            </w:r>
            <w:r w:rsidR="009E1DDF" w:rsidRPr="0045541D">
              <w:rPr>
                <w:i/>
              </w:rPr>
              <w:t xml:space="preserve"> </w:t>
            </w:r>
            <w:r w:rsidR="003C3BB1" w:rsidRPr="0045541D">
              <w:rPr>
                <w:i/>
              </w:rPr>
              <w:t>to</w:t>
            </w:r>
            <w:r w:rsidR="00476861" w:rsidRPr="0045541D">
              <w:rPr>
                <w:i/>
              </w:rPr>
              <w:t xml:space="preserve"> $</w:t>
            </w:r>
            <w:r w:rsidR="00EF1DCD" w:rsidRPr="0045541D">
              <w:rPr>
                <w:b/>
                <w:bCs/>
                <w:i/>
              </w:rPr>
              <w:t>redacted</w:t>
            </w:r>
            <w:r w:rsidR="00476861" w:rsidRPr="0045541D">
              <w:rPr>
                <w:i/>
              </w:rPr>
              <w:t xml:space="preserve"> per QALY.</w:t>
            </w:r>
          </w:p>
        </w:tc>
      </w:tr>
      <w:tr w:rsidR="00D11F7F" w:rsidRPr="0045541D" w14:paraId="223403CE" w14:textId="77777777" w:rsidTr="00BF177F">
        <w:tc>
          <w:tcPr>
            <w:tcW w:w="626" w:type="pct"/>
            <w:shd w:val="clear" w:color="auto" w:fill="auto"/>
            <w:tcMar>
              <w:top w:w="57" w:type="dxa"/>
              <w:left w:w="108" w:type="dxa"/>
              <w:bottom w:w="57" w:type="dxa"/>
              <w:right w:w="108" w:type="dxa"/>
            </w:tcMar>
            <w:vAlign w:val="center"/>
          </w:tcPr>
          <w:p w14:paraId="471E776A" w14:textId="77777777" w:rsidR="00D11F7F" w:rsidRPr="0045541D" w:rsidRDefault="00D11F7F" w:rsidP="003F5F74">
            <w:pPr>
              <w:pStyle w:val="TableText"/>
            </w:pPr>
            <w:r w:rsidRPr="0045541D">
              <w:t>Annualised FIX use</w:t>
            </w:r>
          </w:p>
        </w:tc>
        <w:tc>
          <w:tcPr>
            <w:tcW w:w="2201" w:type="pct"/>
            <w:shd w:val="clear" w:color="auto" w:fill="auto"/>
            <w:tcMar>
              <w:top w:w="57" w:type="dxa"/>
              <w:left w:w="108" w:type="dxa"/>
              <w:bottom w:w="57" w:type="dxa"/>
              <w:right w:w="108" w:type="dxa"/>
            </w:tcMar>
            <w:vAlign w:val="center"/>
          </w:tcPr>
          <w:p w14:paraId="76D7EFDA" w14:textId="3ABB3FE7" w:rsidR="00D11F7F" w:rsidRPr="0045541D" w:rsidRDefault="00D11F7F">
            <w:pPr>
              <w:pStyle w:val="TableText"/>
            </w:pPr>
            <w:r w:rsidRPr="0045541D">
              <w:t>FIX use in the comparator arm (257,339 IU/</w:t>
            </w:r>
            <w:r w:rsidR="00F446E3" w:rsidRPr="0045541D">
              <w:t xml:space="preserve"> </w:t>
            </w:r>
            <w:r w:rsidRPr="0045541D">
              <w:t>patient/</w:t>
            </w:r>
            <w:r w:rsidR="00F446E3" w:rsidRPr="0045541D">
              <w:t xml:space="preserve"> </w:t>
            </w:r>
            <w:r w:rsidRPr="0045541D">
              <w:t xml:space="preserve">year) was informed by the </w:t>
            </w:r>
            <w:r w:rsidR="006B3A9B" w:rsidRPr="0045541D">
              <w:t>study</w:t>
            </w:r>
            <w:r w:rsidRPr="0045541D">
              <w:t xml:space="preserve"> and not tested in a sensitivity analysis nor adjusted by FIX consumption in the Australian cohort of HMB patients. </w:t>
            </w:r>
          </w:p>
        </w:tc>
        <w:tc>
          <w:tcPr>
            <w:tcW w:w="2173" w:type="pct"/>
            <w:shd w:val="clear" w:color="auto" w:fill="auto"/>
            <w:tcMar>
              <w:top w:w="57" w:type="dxa"/>
              <w:left w:w="108" w:type="dxa"/>
              <w:bottom w:w="57" w:type="dxa"/>
              <w:right w:w="108" w:type="dxa"/>
            </w:tcMar>
            <w:vAlign w:val="center"/>
          </w:tcPr>
          <w:p w14:paraId="55196FEF" w14:textId="77777777" w:rsidR="00D11F7F" w:rsidRPr="0045541D" w:rsidRDefault="00D11F7F">
            <w:pPr>
              <w:pStyle w:val="TableText"/>
              <w:rPr>
                <w:i/>
              </w:rPr>
            </w:pPr>
            <w:r w:rsidRPr="0045541D">
              <w:rPr>
                <w:i/>
              </w:rPr>
              <w:t>High, favours intervention</w:t>
            </w:r>
          </w:p>
          <w:p w14:paraId="4BE819D6" w14:textId="40B31061" w:rsidR="00D11F7F" w:rsidRPr="0045541D" w:rsidRDefault="00D11F7F">
            <w:pPr>
              <w:pStyle w:val="TableText"/>
              <w:spacing w:after="160"/>
              <w:rPr>
                <w:i/>
              </w:rPr>
            </w:pPr>
            <w:r w:rsidRPr="0045541D">
              <w:rPr>
                <w:i/>
              </w:rPr>
              <w:t xml:space="preserve">A 15% reduction of FIX use in the comparator arm increased the ICER by </w:t>
            </w:r>
            <w:r w:rsidRPr="0045541D" w:rsidDel="00EF1DCD">
              <w:rPr>
                <w:i/>
              </w:rPr>
              <w:t>47</w:t>
            </w:r>
            <w:r w:rsidRPr="0045541D">
              <w:rPr>
                <w:i/>
              </w:rPr>
              <w:t>% (but still dominant).</w:t>
            </w:r>
          </w:p>
        </w:tc>
      </w:tr>
      <w:tr w:rsidR="00D11F7F" w:rsidRPr="0045541D" w14:paraId="678BD77A" w14:textId="77777777" w:rsidTr="00BF177F">
        <w:trPr>
          <w:trHeight w:val="786"/>
        </w:trPr>
        <w:tc>
          <w:tcPr>
            <w:tcW w:w="626" w:type="pct"/>
            <w:shd w:val="clear" w:color="auto" w:fill="auto"/>
            <w:tcMar>
              <w:top w:w="57" w:type="dxa"/>
              <w:left w:w="108" w:type="dxa"/>
              <w:bottom w:w="57" w:type="dxa"/>
              <w:right w:w="108" w:type="dxa"/>
            </w:tcMar>
            <w:vAlign w:val="center"/>
          </w:tcPr>
          <w:p w14:paraId="4082C03D" w14:textId="121DA96F" w:rsidR="00D11F7F" w:rsidRPr="0045541D" w:rsidRDefault="00D11F7F" w:rsidP="003F5F74">
            <w:pPr>
              <w:pStyle w:val="TableText"/>
            </w:pPr>
            <w:r w:rsidRPr="0045541D">
              <w:t xml:space="preserve">Cost of the comparator </w:t>
            </w:r>
          </w:p>
        </w:tc>
        <w:tc>
          <w:tcPr>
            <w:tcW w:w="2201" w:type="pct"/>
            <w:shd w:val="clear" w:color="auto" w:fill="auto"/>
            <w:tcMar>
              <w:top w:w="57" w:type="dxa"/>
              <w:left w:w="108" w:type="dxa"/>
              <w:bottom w:w="57" w:type="dxa"/>
              <w:right w:w="108" w:type="dxa"/>
            </w:tcMar>
            <w:vAlign w:val="center"/>
          </w:tcPr>
          <w:p w14:paraId="7315CC28" w14:textId="77777777" w:rsidR="00D11F7F" w:rsidRPr="0045541D" w:rsidRDefault="00D11F7F">
            <w:pPr>
              <w:pStyle w:val="TableText"/>
            </w:pPr>
            <w:r w:rsidRPr="0045541D">
              <w:t>Extended half-life FIX listed price of $1.42 per IU.</w:t>
            </w:r>
          </w:p>
          <w:p w14:paraId="26461F3B" w14:textId="77777777" w:rsidR="00D11F7F" w:rsidRPr="0045541D" w:rsidRDefault="00D11F7F">
            <w:pPr>
              <w:pStyle w:val="TableText"/>
            </w:pPr>
            <w:r w:rsidRPr="0045541D">
              <w:t>Short half-life FIX listed price of $0.79 per IU.</w:t>
            </w:r>
          </w:p>
        </w:tc>
        <w:tc>
          <w:tcPr>
            <w:tcW w:w="2173" w:type="pct"/>
            <w:shd w:val="clear" w:color="auto" w:fill="auto"/>
            <w:tcMar>
              <w:top w:w="57" w:type="dxa"/>
              <w:left w:w="108" w:type="dxa"/>
              <w:bottom w:w="57" w:type="dxa"/>
              <w:right w:w="108" w:type="dxa"/>
            </w:tcMar>
            <w:vAlign w:val="center"/>
          </w:tcPr>
          <w:p w14:paraId="6B28E848" w14:textId="77777777" w:rsidR="00D11F7F" w:rsidRPr="0045541D" w:rsidRDefault="00D11F7F">
            <w:pPr>
              <w:pStyle w:val="TableText"/>
              <w:rPr>
                <w:i/>
              </w:rPr>
            </w:pPr>
            <w:r w:rsidRPr="0045541D">
              <w:rPr>
                <w:i/>
              </w:rPr>
              <w:t>High, favours intervention</w:t>
            </w:r>
          </w:p>
          <w:p w14:paraId="1B6407CC" w14:textId="6DB60B6D" w:rsidR="00D11F7F" w:rsidRPr="0045541D" w:rsidRDefault="00D11F7F">
            <w:pPr>
              <w:pStyle w:val="TableText"/>
              <w:rPr>
                <w:i/>
              </w:rPr>
            </w:pPr>
            <w:r w:rsidRPr="0045541D">
              <w:rPr>
                <w:i/>
              </w:rPr>
              <w:t xml:space="preserve">A price reduction of extended half-life FIX of </w:t>
            </w:r>
            <w:r w:rsidR="00D56258" w:rsidRPr="0045541D">
              <w:rPr>
                <w:i/>
              </w:rPr>
              <w:t>25</w:t>
            </w:r>
            <w:r w:rsidRPr="0045541D">
              <w:rPr>
                <w:i/>
              </w:rPr>
              <w:t xml:space="preserve">% </w:t>
            </w:r>
            <w:r w:rsidR="005628D8" w:rsidRPr="0045541D">
              <w:rPr>
                <w:i/>
              </w:rPr>
              <w:t>increase</w:t>
            </w:r>
            <w:r w:rsidR="002A4523" w:rsidRPr="0045541D">
              <w:rPr>
                <w:i/>
              </w:rPr>
              <w:t>d</w:t>
            </w:r>
            <w:r w:rsidR="005628D8" w:rsidRPr="0045541D">
              <w:rPr>
                <w:i/>
              </w:rPr>
              <w:t xml:space="preserve"> the ICER </w:t>
            </w:r>
            <w:r w:rsidR="00AD27ED" w:rsidRPr="0045541D">
              <w:rPr>
                <w:i/>
              </w:rPr>
              <w:t>by</w:t>
            </w:r>
            <w:r w:rsidR="006D7BCD" w:rsidRPr="0045541D">
              <w:rPr>
                <w:i/>
              </w:rPr>
              <w:t xml:space="preserve"> </w:t>
            </w:r>
            <w:r w:rsidR="00AD27ED" w:rsidRPr="0045541D" w:rsidDel="00EF1DCD">
              <w:rPr>
                <w:i/>
              </w:rPr>
              <w:t>70</w:t>
            </w:r>
            <w:r w:rsidR="00AD27ED" w:rsidRPr="0045541D">
              <w:rPr>
                <w:i/>
              </w:rPr>
              <w:t>%</w:t>
            </w:r>
            <w:r w:rsidR="007B0955" w:rsidRPr="0045541D">
              <w:rPr>
                <w:i/>
              </w:rPr>
              <w:t xml:space="preserve"> (but still dominant)</w:t>
            </w:r>
            <w:r w:rsidRPr="0045541D">
              <w:rPr>
                <w:i/>
              </w:rPr>
              <w:t>.</w:t>
            </w:r>
          </w:p>
        </w:tc>
      </w:tr>
    </w:tbl>
    <w:p w14:paraId="7AD65043" w14:textId="645A846B" w:rsidR="00D11F7F" w:rsidRPr="0045541D" w:rsidRDefault="00A574CE" w:rsidP="003F182E">
      <w:pPr>
        <w:pStyle w:val="CommentaryTablenotes"/>
        <w:rPr>
          <w:color w:val="auto"/>
        </w:rPr>
      </w:pPr>
      <w:r w:rsidRPr="0045541D">
        <w:rPr>
          <w:color w:val="auto"/>
        </w:rPr>
        <w:t xml:space="preserve">FIX = </w:t>
      </w:r>
      <w:r w:rsidR="00212302" w:rsidRPr="0045541D">
        <w:rPr>
          <w:color w:val="auto"/>
        </w:rPr>
        <w:t>f</w:t>
      </w:r>
      <w:r w:rsidRPr="0045541D">
        <w:rPr>
          <w:color w:val="auto"/>
        </w:rPr>
        <w:t xml:space="preserve">actor IX; </w:t>
      </w:r>
      <w:r w:rsidR="00D11F7F" w:rsidRPr="0045541D">
        <w:rPr>
          <w:color w:val="auto"/>
        </w:rPr>
        <w:t xml:space="preserve">ICER = incremental cost-effectiveness ratio; </w:t>
      </w:r>
      <w:r w:rsidRPr="0045541D">
        <w:rPr>
          <w:color w:val="auto"/>
        </w:rPr>
        <w:t xml:space="preserve">IU = international unit; </w:t>
      </w:r>
      <w:r w:rsidR="00D11F7F" w:rsidRPr="0045541D">
        <w:rPr>
          <w:color w:val="auto"/>
        </w:rPr>
        <w:t xml:space="preserve">QALY = quality-adjusted life year. </w:t>
      </w:r>
    </w:p>
    <w:p w14:paraId="0AD21E98" w14:textId="77777777" w:rsidR="00D11F7F" w:rsidRPr="0045541D" w:rsidRDefault="00D11F7F" w:rsidP="003F182E">
      <w:pPr>
        <w:pStyle w:val="CommentaryTablenotes"/>
        <w:rPr>
          <w:color w:val="auto"/>
        </w:rPr>
      </w:pPr>
      <w:r w:rsidRPr="0045541D">
        <w:rPr>
          <w:color w:val="auto"/>
        </w:rPr>
        <w:t>Source: compiled for the executive summary.</w:t>
      </w:r>
    </w:p>
    <w:p w14:paraId="3F0BB2BE" w14:textId="3E1CB1AF" w:rsidR="000C4161" w:rsidRPr="0045541D" w:rsidRDefault="00D11F7F" w:rsidP="00D11F7F">
      <w:pPr>
        <w:pStyle w:val="Heading3"/>
      </w:pPr>
      <w:r w:rsidRPr="0045541D">
        <w:t>Sensitivity analys</w:t>
      </w:r>
      <w:r w:rsidR="000B30DC" w:rsidRPr="0045541D">
        <w:t>i</w:t>
      </w:r>
      <w:r w:rsidRPr="0045541D">
        <w:t>s</w:t>
      </w:r>
    </w:p>
    <w:p w14:paraId="2E686E7D" w14:textId="3B00BBBE" w:rsidR="00D844EE" w:rsidRPr="0045541D" w:rsidRDefault="00D844EE" w:rsidP="00D844EE">
      <w:r w:rsidRPr="0045541D">
        <w:t xml:space="preserve">The results of key </w:t>
      </w:r>
      <w:r w:rsidRPr="0045541D">
        <w:rPr>
          <w:rStyle w:val="InstructionaltextChar"/>
          <w:color w:val="auto"/>
        </w:rPr>
        <w:t>univariate</w:t>
      </w:r>
      <w:r w:rsidRPr="0045541D">
        <w:rPr>
          <w:color w:val="538135" w:themeColor="accent6" w:themeShade="BF"/>
        </w:rPr>
        <w:t xml:space="preserve"> </w:t>
      </w:r>
      <w:r w:rsidRPr="0045541D">
        <w:t>sensitivity analyses are summarised below (</w:t>
      </w:r>
      <w:r w:rsidR="00C4422E" w:rsidRPr="0045541D">
        <w:fldChar w:fldCharType="begin"/>
      </w:r>
      <w:r w:rsidR="00C4422E" w:rsidRPr="0045541D">
        <w:instrText xml:space="preserve"> REF _Ref166017397 \h </w:instrText>
      </w:r>
      <w:r w:rsidR="0045541D">
        <w:instrText xml:space="preserve"> \* MERGEFORMAT </w:instrText>
      </w:r>
      <w:r w:rsidR="00C4422E" w:rsidRPr="0045541D">
        <w:fldChar w:fldCharType="separate"/>
      </w:r>
      <w:r w:rsidR="007207A8" w:rsidRPr="0045541D">
        <w:t>Table </w:t>
      </w:r>
      <w:r w:rsidR="007207A8" w:rsidRPr="0045541D">
        <w:rPr>
          <w:noProof/>
        </w:rPr>
        <w:t>13</w:t>
      </w:r>
      <w:r w:rsidR="00C4422E" w:rsidRPr="0045541D">
        <w:fldChar w:fldCharType="end"/>
      </w:r>
      <w:r w:rsidRPr="0045541D">
        <w:t>).</w:t>
      </w:r>
    </w:p>
    <w:p w14:paraId="7763846D" w14:textId="55967495" w:rsidR="00D844EE" w:rsidRPr="0045541D" w:rsidRDefault="00D844EE" w:rsidP="00D844EE">
      <w:r w:rsidRPr="0045541D">
        <w:t xml:space="preserve">The model was highly sensitive to the time horizon employed, with an average of </w:t>
      </w:r>
      <w:r w:rsidR="00EF1DCD" w:rsidRPr="0045541D">
        <w:rPr>
          <w:b/>
          <w:bCs/>
        </w:rPr>
        <w:t>redacted</w:t>
      </w:r>
      <w:r w:rsidRPr="0045541D">
        <w:t xml:space="preserve">-fold increase in the ICER for each additional year modelled in the first 10 years. An alternative time horizon of 8 years was used in the sensitivity analysis, aligning with the available long-term data from the AMT-060-01 </w:t>
      </w:r>
      <w:r w:rsidR="006B3A9B" w:rsidRPr="0045541D">
        <w:t>study</w:t>
      </w:r>
      <w:r w:rsidRPr="0045541D">
        <w:t xml:space="preserve"> (precursor intervention, </w:t>
      </w:r>
      <w:r w:rsidR="003D07D8" w:rsidRPr="0045541D">
        <w:t>N</w:t>
      </w:r>
      <w:r w:rsidRPr="0045541D">
        <w:t>=10).</w:t>
      </w:r>
    </w:p>
    <w:p w14:paraId="3FDC53B1" w14:textId="34CD9A1B" w:rsidR="00D844EE" w:rsidRPr="0045541D" w:rsidRDefault="00D844EE" w:rsidP="00D844EE">
      <w:r w:rsidRPr="0045541D">
        <w:t>The model was also sensitive to assumptions around average FIX replacement consumption during the lead-in period. FIX consumption in the lead</w:t>
      </w:r>
      <w:r w:rsidR="006D22E4" w:rsidRPr="0045541D">
        <w:t>-</w:t>
      </w:r>
      <w:r w:rsidRPr="0045541D">
        <w:t xml:space="preserve">in period informed by ABDR data for moderate patients of 196,031 IU/year/patient was tested in </w:t>
      </w:r>
      <w:r w:rsidR="009D3F6C" w:rsidRPr="0045541D">
        <w:t xml:space="preserve">a </w:t>
      </w:r>
      <w:r w:rsidRPr="0045541D">
        <w:t xml:space="preserve">sensitivity analysis </w:t>
      </w:r>
      <w:r w:rsidR="008D517E" w:rsidRPr="0045541D">
        <w:t>performed</w:t>
      </w:r>
      <w:r w:rsidR="008F437B" w:rsidRPr="0045541D">
        <w:t xml:space="preserve"> for the commentary </w:t>
      </w:r>
      <w:r w:rsidRPr="0045541D">
        <w:t>(the FIX consumption modelled in the base case was 257,339</w:t>
      </w:r>
      <w:r w:rsidR="003D07D8" w:rsidRPr="0045541D">
        <w:t xml:space="preserve"> </w:t>
      </w:r>
      <w:r w:rsidRPr="0045541D">
        <w:t xml:space="preserve">IU/year/patient). When accounting for the lower FIX consumption of moderate HMB patients compared to severe HMB patients, the model predicted it would take </w:t>
      </w:r>
      <w:r w:rsidR="00467C46" w:rsidRPr="0045541D">
        <w:rPr>
          <w:b/>
          <w:bCs/>
        </w:rPr>
        <w:t>redacted</w:t>
      </w:r>
      <w:r w:rsidR="00467C46" w:rsidRPr="0045541D">
        <w:t xml:space="preserve"> </w:t>
      </w:r>
      <w:r w:rsidRPr="0045541D">
        <w:t xml:space="preserve">years for </w:t>
      </w:r>
      <w:r w:rsidR="000D0E94" w:rsidRPr="0045541D">
        <w:t>Hemgenix</w:t>
      </w:r>
      <w:r w:rsidRPr="0045541D">
        <w:t xml:space="preserve"> to be considered dominant.</w:t>
      </w:r>
    </w:p>
    <w:p w14:paraId="02837E27" w14:textId="4E9DDCD1" w:rsidR="00D844EE" w:rsidRPr="0045541D" w:rsidRDefault="00D844EE" w:rsidP="007E5853">
      <w:r w:rsidRPr="0045541D">
        <w:t xml:space="preserve">In a sensitivity analysis </w:t>
      </w:r>
      <w:r w:rsidR="000F0169" w:rsidRPr="0045541D">
        <w:t xml:space="preserve">performed for the commentary </w:t>
      </w:r>
      <w:r w:rsidRPr="0045541D">
        <w:t xml:space="preserve">where the extrapolation analysis </w:t>
      </w:r>
      <w:r w:rsidR="002147F5" w:rsidRPr="0045541D">
        <w:t xml:space="preserve">was </w:t>
      </w:r>
      <w:r w:rsidRPr="0045541D">
        <w:t xml:space="preserve">informed by the last activity level from the patient who failed </w:t>
      </w:r>
      <w:r w:rsidR="000D0E94" w:rsidRPr="0045541D">
        <w:t>Hemgenix</w:t>
      </w:r>
      <w:r w:rsidRPr="0045541D">
        <w:t xml:space="preserve"> after 24 months</w:t>
      </w:r>
      <w:r w:rsidR="00960A2A" w:rsidRPr="0045541D">
        <w:t xml:space="preserve"> (</w:t>
      </w:r>
      <w:r w:rsidRPr="0045541D">
        <w:t>resulting in 24.2% of patients with FIX activity below 3% at 25 years</w:t>
      </w:r>
      <w:r w:rsidR="00960A2A" w:rsidRPr="0045541D">
        <w:t>)</w:t>
      </w:r>
      <w:r w:rsidRPr="0045541D">
        <w:t xml:space="preserve">, the resulting ICER was still dominant at </w:t>
      </w:r>
      <w:r w:rsidR="00CE1283" w:rsidRPr="0045541D">
        <w:t>-</w:t>
      </w:r>
      <w:r w:rsidRPr="0045541D">
        <w:t>$</w:t>
      </w:r>
      <w:r w:rsidR="00194F54" w:rsidRPr="0045541D">
        <w:rPr>
          <w:b/>
          <w:bCs/>
        </w:rPr>
        <w:t>redacted</w:t>
      </w:r>
      <w:r w:rsidRPr="0045541D">
        <w:t xml:space="preserve">. </w:t>
      </w:r>
    </w:p>
    <w:p w14:paraId="098B5146" w14:textId="720F33C1" w:rsidR="00D844EE" w:rsidRPr="00E40A38" w:rsidRDefault="00D844EE" w:rsidP="007E5853">
      <w:r w:rsidRPr="0045541D">
        <w:t xml:space="preserve">The </w:t>
      </w:r>
      <w:r w:rsidR="00FA007C" w:rsidRPr="0045541D">
        <w:t xml:space="preserve">commentary noted that the </w:t>
      </w:r>
      <w:r w:rsidRPr="0045541D">
        <w:t>model fail</w:t>
      </w:r>
      <w:r w:rsidR="00465C77" w:rsidRPr="0045541D">
        <w:t>ed</w:t>
      </w:r>
      <w:r w:rsidRPr="0045541D">
        <w:t xml:space="preserve"> to consider the full life expectancy of younger patients, as the time horizon </w:t>
      </w:r>
      <w:r w:rsidR="00465C77" w:rsidRPr="0045541D">
        <w:t>wa</w:t>
      </w:r>
      <w:r w:rsidRPr="0045541D">
        <w:t xml:space="preserve">s 25 years in the base case and </w:t>
      </w:r>
      <w:r w:rsidR="0089571B" w:rsidRPr="0045541D">
        <w:t>extended to 79 cycles (39</w:t>
      </w:r>
      <w:r w:rsidR="00640955" w:rsidRPr="0045541D">
        <w:t>.5</w:t>
      </w:r>
      <w:r w:rsidRPr="0045541D" w:rsidDel="00FB4279">
        <w:t xml:space="preserve"> years</w:t>
      </w:r>
      <w:r w:rsidR="00640955" w:rsidRPr="0045541D">
        <w:t>)</w:t>
      </w:r>
      <w:r w:rsidRPr="0045541D">
        <w:t xml:space="preserve"> </w:t>
      </w:r>
      <w:r w:rsidR="00640955" w:rsidRPr="0045541D">
        <w:t>in</w:t>
      </w:r>
      <w:r w:rsidRPr="0045541D" w:rsidDel="00FB4279">
        <w:t xml:space="preserve"> sensitivity analysis</w:t>
      </w:r>
      <w:r w:rsidRPr="0045541D">
        <w:t>. A cohort starting at 18 years of age results in a dominant ICER (</w:t>
      </w:r>
      <w:r w:rsidR="00DD3C65" w:rsidRPr="0045541D">
        <w:t>- </w:t>
      </w:r>
      <w:r w:rsidRPr="0045541D">
        <w:t>$</w:t>
      </w:r>
      <w:r w:rsidR="00194F54" w:rsidRPr="0045541D">
        <w:rPr>
          <w:b/>
          <w:bCs/>
        </w:rPr>
        <w:t>redacted</w:t>
      </w:r>
      <w:r w:rsidRPr="0045541D">
        <w:t xml:space="preserve">) with </w:t>
      </w:r>
      <w:r w:rsidR="00467C46" w:rsidRPr="0045541D">
        <w:rPr>
          <w:b/>
          <w:bCs/>
        </w:rPr>
        <w:t>redacted</w:t>
      </w:r>
      <w:r w:rsidR="00467C46" w:rsidRPr="0045541D">
        <w:t xml:space="preserve"> </w:t>
      </w:r>
      <w:r w:rsidRPr="0045541D">
        <w:t>years of efficacy needed to reach dominance. However, this sensitivity analysis d</w:t>
      </w:r>
      <w:r w:rsidR="006C58AE" w:rsidRPr="0045541D">
        <w:t>id</w:t>
      </w:r>
      <w:r w:rsidRPr="0045541D">
        <w:t xml:space="preserve"> not consider the possibility of younger patients requiring resumption of FIX prophylaxis as they age due to structural limitations of the model provided</w:t>
      </w:r>
      <w:r w:rsidR="00C14973" w:rsidRPr="0045541D">
        <w:t>,</w:t>
      </w:r>
      <w:r w:rsidRPr="0045541D">
        <w:t xml:space="preserve"> </w:t>
      </w:r>
      <w:r w:rsidR="00C14973" w:rsidRPr="0045541D">
        <w:t>n</w:t>
      </w:r>
      <w:r w:rsidRPr="0045541D">
        <w:t>or th</w:t>
      </w:r>
      <w:r w:rsidR="00F9453B" w:rsidRPr="0045541D">
        <w:t>eir</w:t>
      </w:r>
      <w:r w:rsidRPr="0045541D">
        <w:t xml:space="preserve"> </w:t>
      </w:r>
      <w:r w:rsidR="00F9453B" w:rsidRPr="0045541D">
        <w:t>in</w:t>
      </w:r>
      <w:r w:rsidRPr="0045541D">
        <w:t>eligib</w:t>
      </w:r>
      <w:r w:rsidR="00F9453B" w:rsidRPr="0045541D">
        <w:t>ility</w:t>
      </w:r>
      <w:r w:rsidRPr="0045541D">
        <w:t xml:space="preserve"> for future treatments.</w:t>
      </w:r>
    </w:p>
    <w:p w14:paraId="40B99943" w14:textId="29DD0323" w:rsidR="00D844EE" w:rsidRPr="0045541D" w:rsidRDefault="00D844EE" w:rsidP="00D844EE">
      <w:pPr>
        <w:pStyle w:val="Caption"/>
      </w:pPr>
      <w:bookmarkStart w:id="47" w:name="_Ref166017397"/>
      <w:r w:rsidRPr="0045541D">
        <w:t>Table </w:t>
      </w:r>
      <w:r w:rsidR="00CC66FD" w:rsidRPr="0045541D">
        <w:fldChar w:fldCharType="begin"/>
      </w:r>
      <w:r w:rsidR="00CC66FD" w:rsidRPr="0045541D">
        <w:instrText xml:space="preserve"> SEQ Table \* ARABIC </w:instrText>
      </w:r>
      <w:r w:rsidR="00CC66FD" w:rsidRPr="0045541D">
        <w:fldChar w:fldCharType="separate"/>
      </w:r>
      <w:r w:rsidR="007207A8" w:rsidRPr="0045541D">
        <w:rPr>
          <w:noProof/>
        </w:rPr>
        <w:t>13</w:t>
      </w:r>
      <w:r w:rsidR="00CC66FD" w:rsidRPr="0045541D">
        <w:rPr>
          <w:noProof/>
        </w:rPr>
        <w:fldChar w:fldCharType="end"/>
      </w:r>
      <w:bookmarkEnd w:id="47"/>
      <w:r w:rsidRPr="0045541D">
        <w:tab/>
        <w:t>Selected sensitivity analyses</w:t>
      </w:r>
    </w:p>
    <w:tbl>
      <w:tblPr>
        <w:tblStyle w:val="TableGrid"/>
        <w:tblW w:w="0" w:type="auto"/>
        <w:tblLayout w:type="fixed"/>
        <w:tblLook w:val="04A0" w:firstRow="1" w:lastRow="0" w:firstColumn="1" w:lastColumn="0" w:noHBand="0" w:noVBand="1"/>
        <w:tblCaption w:val="Selected sensitivity analyses"/>
        <w:tblDescription w:val="Table showing the selected sensitivity analyses"/>
      </w:tblPr>
      <w:tblGrid>
        <w:gridCol w:w="3166"/>
        <w:gridCol w:w="1791"/>
        <w:gridCol w:w="1417"/>
        <w:gridCol w:w="1418"/>
        <w:gridCol w:w="1224"/>
      </w:tblGrid>
      <w:tr w:rsidR="00D844EE" w:rsidRPr="0045541D" w14:paraId="6FDA8D8C" w14:textId="77777777" w:rsidTr="007E5853">
        <w:trPr>
          <w:trHeight w:val="576"/>
          <w:tblHeader/>
        </w:trPr>
        <w:tc>
          <w:tcPr>
            <w:tcW w:w="3166" w:type="dxa"/>
            <w:hideMark/>
          </w:tcPr>
          <w:p w14:paraId="2B397DF7" w14:textId="77777777" w:rsidR="00D844EE" w:rsidRPr="0045541D" w:rsidRDefault="00D844EE">
            <w:pPr>
              <w:pStyle w:val="TableHeading0"/>
              <w:rPr>
                <w:rFonts w:eastAsiaTheme="minorEastAsia"/>
              </w:rPr>
            </w:pPr>
            <w:r w:rsidRPr="0045541D">
              <w:rPr>
                <w:rFonts w:eastAsiaTheme="minorEastAsia"/>
              </w:rPr>
              <w:t xml:space="preserve">Analysis </w:t>
            </w:r>
          </w:p>
        </w:tc>
        <w:tc>
          <w:tcPr>
            <w:tcW w:w="1791" w:type="dxa"/>
            <w:vAlign w:val="center"/>
            <w:hideMark/>
          </w:tcPr>
          <w:p w14:paraId="57A24718" w14:textId="77777777" w:rsidR="00D844EE" w:rsidRPr="0045541D" w:rsidRDefault="00D844EE" w:rsidP="00164B29">
            <w:pPr>
              <w:pStyle w:val="TableHeading0"/>
              <w:jc w:val="center"/>
              <w:rPr>
                <w:rFonts w:eastAsiaTheme="minorEastAsia"/>
              </w:rPr>
            </w:pPr>
            <w:r w:rsidRPr="0045541D">
              <w:t>Incremental cost</w:t>
            </w:r>
          </w:p>
        </w:tc>
        <w:tc>
          <w:tcPr>
            <w:tcW w:w="1417" w:type="dxa"/>
            <w:vAlign w:val="center"/>
            <w:hideMark/>
          </w:tcPr>
          <w:p w14:paraId="078E3FCF" w14:textId="77777777" w:rsidR="00D844EE" w:rsidRPr="0045541D" w:rsidRDefault="00D844EE" w:rsidP="00164B29">
            <w:pPr>
              <w:pStyle w:val="TableHeading0"/>
              <w:jc w:val="center"/>
              <w:rPr>
                <w:rFonts w:eastAsiaTheme="minorEastAsia"/>
              </w:rPr>
            </w:pPr>
            <w:r w:rsidRPr="0045541D">
              <w:t>Incremental QALY</w:t>
            </w:r>
          </w:p>
        </w:tc>
        <w:tc>
          <w:tcPr>
            <w:tcW w:w="1418" w:type="dxa"/>
            <w:vAlign w:val="center"/>
            <w:hideMark/>
          </w:tcPr>
          <w:p w14:paraId="7732A4BD" w14:textId="6FF1A331" w:rsidR="00D844EE" w:rsidRPr="0045541D" w:rsidRDefault="00D844EE" w:rsidP="00164B29">
            <w:pPr>
              <w:pStyle w:val="TableHeading0"/>
              <w:jc w:val="center"/>
              <w:rPr>
                <w:rFonts w:eastAsiaTheme="minorEastAsia"/>
              </w:rPr>
            </w:pPr>
            <w:r w:rsidRPr="0045541D">
              <w:rPr>
                <w:rFonts w:eastAsiaTheme="minorEastAsia"/>
              </w:rPr>
              <w:t>ICER ($/QALY</w:t>
            </w:r>
            <w:r w:rsidR="00E73086" w:rsidRPr="0045541D">
              <w:rPr>
                <w:rFonts w:eastAsiaTheme="minorEastAsia"/>
              </w:rPr>
              <w:t xml:space="preserve"> gained</w:t>
            </w:r>
            <w:r w:rsidRPr="0045541D">
              <w:rPr>
                <w:rFonts w:eastAsiaTheme="minorEastAsia"/>
              </w:rPr>
              <w:t>)</w:t>
            </w:r>
          </w:p>
        </w:tc>
        <w:tc>
          <w:tcPr>
            <w:tcW w:w="1224" w:type="dxa"/>
            <w:vAlign w:val="center"/>
            <w:hideMark/>
          </w:tcPr>
          <w:p w14:paraId="6CE6DDDE" w14:textId="77777777" w:rsidR="00D844EE" w:rsidRPr="0045541D" w:rsidRDefault="00D844EE" w:rsidP="00164B29">
            <w:pPr>
              <w:pStyle w:val="TableHeading0"/>
              <w:jc w:val="center"/>
              <w:rPr>
                <w:rFonts w:eastAsiaTheme="minorEastAsia"/>
              </w:rPr>
            </w:pPr>
            <w:r w:rsidRPr="0045541D">
              <w:rPr>
                <w:rFonts w:eastAsiaTheme="minorEastAsia"/>
              </w:rPr>
              <w:t>Time to dominance</w:t>
            </w:r>
          </w:p>
        </w:tc>
      </w:tr>
      <w:tr w:rsidR="00D844EE" w:rsidRPr="0045541D" w14:paraId="78621C30" w14:textId="77777777" w:rsidTr="007E5853">
        <w:trPr>
          <w:trHeight w:val="330"/>
          <w:tblHeader/>
        </w:trPr>
        <w:tc>
          <w:tcPr>
            <w:tcW w:w="3166" w:type="dxa"/>
          </w:tcPr>
          <w:p w14:paraId="2E753676" w14:textId="77777777" w:rsidR="00D844EE" w:rsidRPr="0045541D" w:rsidRDefault="00D844EE">
            <w:pPr>
              <w:pStyle w:val="Tabletext0"/>
              <w:rPr>
                <w:b/>
              </w:rPr>
            </w:pPr>
            <w:r w:rsidRPr="0045541D">
              <w:rPr>
                <w:b/>
              </w:rPr>
              <w:t>Base case</w:t>
            </w:r>
          </w:p>
        </w:tc>
        <w:tc>
          <w:tcPr>
            <w:tcW w:w="1791" w:type="dxa"/>
            <w:vAlign w:val="center"/>
          </w:tcPr>
          <w:p w14:paraId="61B7176B" w14:textId="04902C02" w:rsidR="00D844EE" w:rsidRPr="0045541D" w:rsidRDefault="00D844EE" w:rsidP="00164B29">
            <w:pPr>
              <w:pStyle w:val="Tabletext0"/>
              <w:jc w:val="center"/>
              <w:rPr>
                <w:b/>
              </w:rPr>
            </w:pPr>
            <w:r w:rsidRPr="0045541D">
              <w:rPr>
                <w:b/>
              </w:rPr>
              <w:t>-$</w:t>
            </w:r>
            <w:r w:rsidR="00641F51" w:rsidRPr="0045541D">
              <w:rPr>
                <w:b/>
                <w:bCs/>
              </w:rPr>
              <w:t>redacted</w:t>
            </w:r>
          </w:p>
        </w:tc>
        <w:tc>
          <w:tcPr>
            <w:tcW w:w="1417" w:type="dxa"/>
            <w:vAlign w:val="center"/>
          </w:tcPr>
          <w:p w14:paraId="480A59CF" w14:textId="4B71767F" w:rsidR="00D844EE" w:rsidRPr="0045541D" w:rsidRDefault="00D844EE" w:rsidP="00164B29">
            <w:pPr>
              <w:pStyle w:val="Tabletext0"/>
              <w:jc w:val="center"/>
              <w:rPr>
                <w:b/>
              </w:rPr>
            </w:pPr>
            <w:r w:rsidRPr="0045541D">
              <w:rPr>
                <w:b/>
              </w:rPr>
              <w:t>0.56</w:t>
            </w:r>
          </w:p>
        </w:tc>
        <w:tc>
          <w:tcPr>
            <w:tcW w:w="1418" w:type="dxa"/>
            <w:vAlign w:val="center"/>
          </w:tcPr>
          <w:p w14:paraId="5024304B" w14:textId="77777777" w:rsidR="00D844EE" w:rsidRPr="0045541D" w:rsidRDefault="00D844EE" w:rsidP="00164B29">
            <w:pPr>
              <w:pStyle w:val="Tabletext0"/>
              <w:jc w:val="center"/>
              <w:rPr>
                <w:b/>
              </w:rPr>
            </w:pPr>
            <w:r w:rsidRPr="0045541D">
              <w:rPr>
                <w:b/>
              </w:rPr>
              <w:t>Dominant</w:t>
            </w:r>
          </w:p>
        </w:tc>
        <w:tc>
          <w:tcPr>
            <w:tcW w:w="1224" w:type="dxa"/>
            <w:vAlign w:val="center"/>
          </w:tcPr>
          <w:p w14:paraId="175D7BC6" w14:textId="29F503EC" w:rsidR="00D844EE" w:rsidRPr="0045541D" w:rsidRDefault="00467C46" w:rsidP="00164B29">
            <w:pPr>
              <w:pStyle w:val="Tabletext0"/>
              <w:jc w:val="center"/>
              <w:rPr>
                <w:b/>
              </w:rPr>
            </w:pPr>
            <w:r w:rsidRPr="0045541D">
              <w:rPr>
                <w:b/>
              </w:rPr>
              <w:t xml:space="preserve">redacted </w:t>
            </w:r>
            <w:r w:rsidR="00D844EE" w:rsidRPr="0045541D">
              <w:rPr>
                <w:b/>
              </w:rPr>
              <w:t>years</w:t>
            </w:r>
          </w:p>
        </w:tc>
      </w:tr>
      <w:tr w:rsidR="00D844EE" w:rsidRPr="0045541D" w14:paraId="794EBB8F" w14:textId="77777777" w:rsidTr="007E5853">
        <w:trPr>
          <w:trHeight w:val="278"/>
          <w:tblHeader/>
        </w:trPr>
        <w:tc>
          <w:tcPr>
            <w:tcW w:w="3166" w:type="dxa"/>
            <w:hideMark/>
          </w:tcPr>
          <w:p w14:paraId="66E065A8" w14:textId="2BEC0D5E" w:rsidR="00D844EE" w:rsidRPr="0045541D" w:rsidRDefault="00D844EE">
            <w:pPr>
              <w:pStyle w:val="Tabletext0"/>
              <w:rPr>
                <w:rFonts w:eastAsiaTheme="minorEastAsia"/>
              </w:rPr>
            </w:pPr>
            <w:r w:rsidRPr="0045541D">
              <w:t xml:space="preserve">Time horizon: 8 years </w:t>
            </w:r>
          </w:p>
        </w:tc>
        <w:tc>
          <w:tcPr>
            <w:tcW w:w="1791" w:type="dxa"/>
            <w:vAlign w:val="center"/>
          </w:tcPr>
          <w:p w14:paraId="49A8C090" w14:textId="37A43B3E" w:rsidR="00D844EE" w:rsidRPr="0045541D" w:rsidRDefault="00D844EE" w:rsidP="00164B29">
            <w:pPr>
              <w:pStyle w:val="Tabletext0"/>
              <w:jc w:val="center"/>
              <w:rPr>
                <w:rFonts w:eastAsiaTheme="minorEastAsia"/>
              </w:rPr>
            </w:pPr>
            <w:r w:rsidRPr="0045541D">
              <w:t>$</w:t>
            </w:r>
            <w:r w:rsidR="00641F51" w:rsidRPr="0045541D">
              <w:rPr>
                <w:b/>
                <w:bCs/>
              </w:rPr>
              <w:t>redacted</w:t>
            </w:r>
          </w:p>
        </w:tc>
        <w:tc>
          <w:tcPr>
            <w:tcW w:w="1417" w:type="dxa"/>
            <w:vAlign w:val="center"/>
            <w:hideMark/>
          </w:tcPr>
          <w:p w14:paraId="69F028AE" w14:textId="5ADBBBEE" w:rsidR="00D844EE" w:rsidRPr="0045541D" w:rsidRDefault="00D844EE" w:rsidP="00164B29">
            <w:pPr>
              <w:pStyle w:val="Tabletext0"/>
              <w:jc w:val="center"/>
              <w:rPr>
                <w:rFonts w:eastAsiaTheme="minorEastAsia"/>
              </w:rPr>
            </w:pPr>
            <w:r w:rsidRPr="0045541D">
              <w:t>0.27</w:t>
            </w:r>
          </w:p>
        </w:tc>
        <w:tc>
          <w:tcPr>
            <w:tcW w:w="1418" w:type="dxa"/>
            <w:vAlign w:val="center"/>
            <w:hideMark/>
          </w:tcPr>
          <w:p w14:paraId="3D558948" w14:textId="32819071" w:rsidR="00D844EE" w:rsidRPr="0045541D" w:rsidRDefault="00D844EE" w:rsidP="00164B29">
            <w:pPr>
              <w:pStyle w:val="Tabletext0"/>
              <w:jc w:val="center"/>
              <w:rPr>
                <w:rFonts w:eastAsiaTheme="minorEastAsia"/>
              </w:rPr>
            </w:pPr>
            <w:r w:rsidRPr="0045541D">
              <w:t>$</w:t>
            </w:r>
            <w:r w:rsidR="00641F51" w:rsidRPr="0045541D">
              <w:rPr>
                <w:b/>
                <w:bCs/>
              </w:rPr>
              <w:t>redacted</w:t>
            </w:r>
          </w:p>
        </w:tc>
        <w:tc>
          <w:tcPr>
            <w:tcW w:w="1224" w:type="dxa"/>
            <w:vAlign w:val="center"/>
            <w:hideMark/>
          </w:tcPr>
          <w:p w14:paraId="1580627B" w14:textId="50E7A459" w:rsidR="00D844EE" w:rsidRPr="0045541D" w:rsidRDefault="00401FF8" w:rsidP="00164B29">
            <w:pPr>
              <w:pStyle w:val="Tabletext0"/>
              <w:jc w:val="center"/>
              <w:rPr>
                <w:rFonts w:eastAsiaTheme="minorEastAsia"/>
              </w:rPr>
            </w:pPr>
            <w:r w:rsidRPr="0045541D">
              <w:t>NA</w:t>
            </w:r>
          </w:p>
        </w:tc>
      </w:tr>
      <w:tr w:rsidR="00377DB3" w:rsidRPr="0045541D" w14:paraId="0A397F08" w14:textId="77777777" w:rsidTr="007E5853">
        <w:trPr>
          <w:trHeight w:val="278"/>
          <w:tblHeader/>
        </w:trPr>
        <w:tc>
          <w:tcPr>
            <w:tcW w:w="3166" w:type="dxa"/>
          </w:tcPr>
          <w:p w14:paraId="3E8248F1" w14:textId="2CFFB844" w:rsidR="00B53F54" w:rsidRPr="0045541D" w:rsidRDefault="00B53F54">
            <w:pPr>
              <w:pStyle w:val="Tabletext0"/>
            </w:pPr>
            <w:r w:rsidRPr="0045541D">
              <w:t>Discount rate</w:t>
            </w:r>
            <w:r w:rsidR="00205940" w:rsidRPr="0045541D">
              <w:t>: 0%</w:t>
            </w:r>
          </w:p>
        </w:tc>
        <w:tc>
          <w:tcPr>
            <w:tcW w:w="1791" w:type="dxa"/>
            <w:vAlign w:val="center"/>
          </w:tcPr>
          <w:p w14:paraId="27352DDA" w14:textId="2F8F0D81" w:rsidR="00B53F54" w:rsidRPr="0045541D" w:rsidRDefault="007737C0">
            <w:pPr>
              <w:pStyle w:val="Tabletext0"/>
              <w:jc w:val="center"/>
            </w:pPr>
            <w:r w:rsidRPr="0045541D">
              <w:t>-$</w:t>
            </w:r>
            <w:r w:rsidR="00641F51" w:rsidRPr="0045541D">
              <w:rPr>
                <w:b/>
                <w:bCs/>
              </w:rPr>
              <w:t>redacted</w:t>
            </w:r>
            <w:r w:rsidR="00641F51" w:rsidRPr="0045541D" w:rsidDel="00641F51">
              <w:t xml:space="preserve"> </w:t>
            </w:r>
          </w:p>
        </w:tc>
        <w:tc>
          <w:tcPr>
            <w:tcW w:w="1417" w:type="dxa"/>
            <w:vAlign w:val="center"/>
          </w:tcPr>
          <w:p w14:paraId="3E2CD80A" w14:textId="2961D424" w:rsidR="00B53F54" w:rsidRPr="0045541D" w:rsidRDefault="00D1685E">
            <w:pPr>
              <w:pStyle w:val="Tabletext0"/>
              <w:jc w:val="center"/>
            </w:pPr>
            <w:r w:rsidRPr="0045541D">
              <w:t>0.916</w:t>
            </w:r>
          </w:p>
        </w:tc>
        <w:tc>
          <w:tcPr>
            <w:tcW w:w="1418" w:type="dxa"/>
            <w:vAlign w:val="center"/>
          </w:tcPr>
          <w:p w14:paraId="5968DB49" w14:textId="1E05C829" w:rsidR="00B53F54" w:rsidRPr="0045541D" w:rsidRDefault="00D1685E">
            <w:pPr>
              <w:pStyle w:val="Tabletext0"/>
              <w:jc w:val="center"/>
            </w:pPr>
            <w:r w:rsidRPr="0045541D">
              <w:t>-$</w:t>
            </w:r>
            <w:r w:rsidR="00641F51" w:rsidRPr="0045541D">
              <w:rPr>
                <w:b/>
                <w:bCs/>
              </w:rPr>
              <w:t>redacted</w:t>
            </w:r>
          </w:p>
        </w:tc>
        <w:tc>
          <w:tcPr>
            <w:tcW w:w="1224" w:type="dxa"/>
            <w:vAlign w:val="center"/>
          </w:tcPr>
          <w:p w14:paraId="26B16FB0" w14:textId="5EDC8C82" w:rsidR="00B53F54" w:rsidRPr="0045541D" w:rsidRDefault="00467C46">
            <w:pPr>
              <w:pStyle w:val="Tabletext0"/>
              <w:jc w:val="center"/>
            </w:pPr>
            <w:r w:rsidRPr="0045541D">
              <w:rPr>
                <w:b/>
              </w:rPr>
              <w:t>redacted</w:t>
            </w:r>
            <w:r w:rsidR="007164E8" w:rsidRPr="0045541D">
              <w:t xml:space="preserve"> years</w:t>
            </w:r>
          </w:p>
        </w:tc>
      </w:tr>
      <w:tr w:rsidR="00D844EE" w:rsidRPr="0045541D" w14:paraId="7BDA39AE" w14:textId="77777777" w:rsidTr="007E5853">
        <w:trPr>
          <w:trHeight w:val="539"/>
          <w:tblHeader/>
        </w:trPr>
        <w:tc>
          <w:tcPr>
            <w:tcW w:w="3166" w:type="dxa"/>
            <w:hideMark/>
          </w:tcPr>
          <w:p w14:paraId="5C7E4399" w14:textId="667E57BB" w:rsidR="00D844EE" w:rsidRPr="0045541D" w:rsidRDefault="00D844EE">
            <w:pPr>
              <w:pStyle w:val="Tabletext0"/>
              <w:rPr>
                <w:rFonts w:eastAsiaTheme="minorEastAsia"/>
              </w:rPr>
            </w:pPr>
            <w:r w:rsidRPr="0045541D">
              <w:t>AFC in the lead</w:t>
            </w:r>
            <w:r w:rsidR="006D22E4" w:rsidRPr="0045541D">
              <w:t>-</w:t>
            </w:r>
            <w:r w:rsidRPr="0045541D">
              <w:t xml:space="preserve">in period for moderate patients = 196,031 IU/year/patient </w:t>
            </w:r>
          </w:p>
        </w:tc>
        <w:tc>
          <w:tcPr>
            <w:tcW w:w="1791" w:type="dxa"/>
            <w:vAlign w:val="center"/>
            <w:hideMark/>
          </w:tcPr>
          <w:p w14:paraId="72F43F16" w14:textId="4E07393B" w:rsidR="00D844EE" w:rsidRPr="0045541D" w:rsidRDefault="00363391" w:rsidP="00164B29">
            <w:pPr>
              <w:pStyle w:val="Tabletext0"/>
              <w:jc w:val="center"/>
              <w:rPr>
                <w:rFonts w:eastAsiaTheme="minorEastAsia"/>
              </w:rPr>
            </w:pPr>
            <w:r w:rsidRPr="0045541D">
              <w:t>-$</w:t>
            </w:r>
            <w:r w:rsidR="00641F51" w:rsidRPr="0045541D">
              <w:rPr>
                <w:b/>
                <w:bCs/>
              </w:rPr>
              <w:t>redacted</w:t>
            </w:r>
          </w:p>
        </w:tc>
        <w:tc>
          <w:tcPr>
            <w:tcW w:w="1417" w:type="dxa"/>
            <w:vAlign w:val="center"/>
            <w:hideMark/>
          </w:tcPr>
          <w:p w14:paraId="1F252E86" w14:textId="3E4C31E0" w:rsidR="00D844EE" w:rsidRPr="0045541D" w:rsidRDefault="00D844EE" w:rsidP="00164B29">
            <w:pPr>
              <w:pStyle w:val="Tabletext0"/>
              <w:jc w:val="center"/>
              <w:rPr>
                <w:rFonts w:eastAsiaTheme="minorEastAsia"/>
              </w:rPr>
            </w:pPr>
            <w:r w:rsidRPr="0045541D">
              <w:t>0.56</w:t>
            </w:r>
          </w:p>
        </w:tc>
        <w:tc>
          <w:tcPr>
            <w:tcW w:w="1418" w:type="dxa"/>
            <w:vAlign w:val="center"/>
            <w:hideMark/>
          </w:tcPr>
          <w:p w14:paraId="70768426" w14:textId="4E0CE7CC" w:rsidR="00D844EE" w:rsidRPr="0045541D" w:rsidRDefault="00FE5DCD" w:rsidP="00164B29">
            <w:pPr>
              <w:pStyle w:val="Tabletext0"/>
              <w:jc w:val="center"/>
              <w:rPr>
                <w:rFonts w:eastAsiaTheme="minorEastAsia"/>
              </w:rPr>
            </w:pPr>
            <w:r w:rsidRPr="0045541D">
              <w:t>-$</w:t>
            </w:r>
            <w:r w:rsidR="00641F51" w:rsidRPr="0045541D">
              <w:rPr>
                <w:b/>
                <w:bCs/>
              </w:rPr>
              <w:t>redacted</w:t>
            </w:r>
          </w:p>
        </w:tc>
        <w:tc>
          <w:tcPr>
            <w:tcW w:w="1224" w:type="dxa"/>
            <w:vAlign w:val="center"/>
            <w:hideMark/>
          </w:tcPr>
          <w:p w14:paraId="0DB88BDC" w14:textId="60255A8B" w:rsidR="00D844EE" w:rsidRPr="0045541D" w:rsidRDefault="00467C46" w:rsidP="00164B29">
            <w:pPr>
              <w:pStyle w:val="Tabletext0"/>
              <w:jc w:val="center"/>
              <w:rPr>
                <w:rFonts w:eastAsiaTheme="minorEastAsia"/>
              </w:rPr>
            </w:pPr>
            <w:r w:rsidRPr="0045541D">
              <w:rPr>
                <w:b/>
              </w:rPr>
              <w:t>redacted</w:t>
            </w:r>
            <w:r w:rsidR="00D844EE" w:rsidRPr="0045541D">
              <w:t xml:space="preserve"> years</w:t>
            </w:r>
          </w:p>
        </w:tc>
      </w:tr>
      <w:tr w:rsidR="00D844EE" w:rsidRPr="0045541D" w14:paraId="7AA92AA7" w14:textId="77777777" w:rsidTr="007E5853">
        <w:trPr>
          <w:trHeight w:val="569"/>
          <w:tblHeader/>
        </w:trPr>
        <w:tc>
          <w:tcPr>
            <w:tcW w:w="3166" w:type="dxa"/>
          </w:tcPr>
          <w:p w14:paraId="7DE3C257" w14:textId="77777777" w:rsidR="00D844EE" w:rsidRPr="0045541D" w:rsidRDefault="00D844EE">
            <w:pPr>
              <w:pStyle w:val="Tabletext0"/>
            </w:pPr>
            <w:r w:rsidRPr="0045541D">
              <w:t>Rate of FIX activity level decline: 24.2% &lt;3% at 25 years in the extrapolation</w:t>
            </w:r>
          </w:p>
        </w:tc>
        <w:tc>
          <w:tcPr>
            <w:tcW w:w="1791" w:type="dxa"/>
            <w:vAlign w:val="center"/>
          </w:tcPr>
          <w:p w14:paraId="25A386CF" w14:textId="140F73BF" w:rsidR="00D844EE" w:rsidRPr="0045541D" w:rsidRDefault="00D844EE" w:rsidP="00164B29">
            <w:pPr>
              <w:pStyle w:val="Tabletext0"/>
              <w:jc w:val="center"/>
            </w:pPr>
            <w:r w:rsidRPr="0045541D">
              <w:t>-$</w:t>
            </w:r>
            <w:r w:rsidR="00641F51" w:rsidRPr="0045541D">
              <w:rPr>
                <w:b/>
                <w:bCs/>
              </w:rPr>
              <w:t>redacted</w:t>
            </w:r>
          </w:p>
        </w:tc>
        <w:tc>
          <w:tcPr>
            <w:tcW w:w="1417" w:type="dxa"/>
            <w:vAlign w:val="center"/>
          </w:tcPr>
          <w:p w14:paraId="0D7768C7" w14:textId="15C55F52" w:rsidR="00D844EE" w:rsidRPr="0045541D" w:rsidRDefault="00D844EE" w:rsidP="00164B29">
            <w:pPr>
              <w:pStyle w:val="Tabletext0"/>
              <w:jc w:val="center"/>
            </w:pPr>
            <w:r w:rsidRPr="0045541D">
              <w:t>0.</w:t>
            </w:r>
            <w:r w:rsidR="006B2198" w:rsidRPr="0045541D">
              <w:t>5</w:t>
            </w:r>
            <w:r w:rsidRPr="0045541D">
              <w:t>3</w:t>
            </w:r>
          </w:p>
        </w:tc>
        <w:tc>
          <w:tcPr>
            <w:tcW w:w="1418" w:type="dxa"/>
            <w:vAlign w:val="center"/>
          </w:tcPr>
          <w:p w14:paraId="38FB48E6" w14:textId="2FD8136C" w:rsidR="00D844EE" w:rsidRPr="0045541D" w:rsidRDefault="00D844EE" w:rsidP="00164B29">
            <w:pPr>
              <w:pStyle w:val="Tabletext0"/>
              <w:jc w:val="center"/>
            </w:pPr>
            <w:r w:rsidRPr="0045541D">
              <w:t>-$</w:t>
            </w:r>
            <w:r w:rsidR="00641F51" w:rsidRPr="0045541D">
              <w:rPr>
                <w:b/>
                <w:bCs/>
              </w:rPr>
              <w:t>redacted</w:t>
            </w:r>
          </w:p>
        </w:tc>
        <w:tc>
          <w:tcPr>
            <w:tcW w:w="1224" w:type="dxa"/>
            <w:vAlign w:val="center"/>
          </w:tcPr>
          <w:p w14:paraId="1B2878A6" w14:textId="0F6DD015" w:rsidR="00D844EE" w:rsidRPr="0045541D" w:rsidRDefault="00467C46" w:rsidP="00164B29">
            <w:pPr>
              <w:pStyle w:val="Tabletext0"/>
              <w:jc w:val="center"/>
            </w:pPr>
            <w:r w:rsidRPr="0045541D">
              <w:rPr>
                <w:b/>
              </w:rPr>
              <w:t>redacted</w:t>
            </w:r>
            <w:r w:rsidR="00D844EE" w:rsidRPr="0045541D">
              <w:t xml:space="preserve"> years</w:t>
            </w:r>
          </w:p>
        </w:tc>
      </w:tr>
      <w:tr w:rsidR="0056171E" w:rsidRPr="0045541D" w14:paraId="093C63D5" w14:textId="77777777" w:rsidTr="007E5853">
        <w:trPr>
          <w:trHeight w:val="241"/>
          <w:tblHeader/>
        </w:trPr>
        <w:tc>
          <w:tcPr>
            <w:tcW w:w="3166" w:type="dxa"/>
          </w:tcPr>
          <w:p w14:paraId="46D64B45" w14:textId="77777777" w:rsidR="0056171E" w:rsidRPr="0045541D" w:rsidRDefault="0056171E" w:rsidP="0056171E">
            <w:pPr>
              <w:pStyle w:val="Tabletext0"/>
            </w:pPr>
            <w:r w:rsidRPr="0045541D">
              <w:t>Starting age of the cohort: 18 years</w:t>
            </w:r>
          </w:p>
        </w:tc>
        <w:tc>
          <w:tcPr>
            <w:tcW w:w="1791" w:type="dxa"/>
            <w:vAlign w:val="center"/>
          </w:tcPr>
          <w:p w14:paraId="2612609F" w14:textId="2B1E737B" w:rsidR="0056171E" w:rsidRPr="0045541D" w:rsidRDefault="0056171E" w:rsidP="00164B29">
            <w:pPr>
              <w:pStyle w:val="Tabletext0"/>
              <w:jc w:val="center"/>
            </w:pPr>
            <w:r w:rsidRPr="0045541D">
              <w:t>-$</w:t>
            </w:r>
            <w:r w:rsidR="00641F51" w:rsidRPr="0045541D">
              <w:rPr>
                <w:b/>
                <w:bCs/>
              </w:rPr>
              <w:t>redacted</w:t>
            </w:r>
          </w:p>
        </w:tc>
        <w:tc>
          <w:tcPr>
            <w:tcW w:w="1417" w:type="dxa"/>
            <w:vAlign w:val="center"/>
          </w:tcPr>
          <w:p w14:paraId="2A118356" w14:textId="74462FC9" w:rsidR="0056171E" w:rsidRPr="0045541D" w:rsidRDefault="0056171E" w:rsidP="00164B29">
            <w:pPr>
              <w:pStyle w:val="Tabletext0"/>
              <w:jc w:val="center"/>
            </w:pPr>
            <w:r w:rsidRPr="0045541D">
              <w:t>0.5</w:t>
            </w:r>
            <w:r w:rsidR="00661F9A" w:rsidRPr="0045541D">
              <w:t>9</w:t>
            </w:r>
          </w:p>
        </w:tc>
        <w:tc>
          <w:tcPr>
            <w:tcW w:w="1418" w:type="dxa"/>
            <w:vAlign w:val="center"/>
          </w:tcPr>
          <w:p w14:paraId="7CE85055" w14:textId="4A40FD64" w:rsidR="0056171E" w:rsidRPr="0045541D" w:rsidRDefault="0056171E" w:rsidP="00164B29">
            <w:pPr>
              <w:pStyle w:val="Tabletext0"/>
              <w:jc w:val="center"/>
            </w:pPr>
            <w:r w:rsidRPr="0045541D">
              <w:t>-$</w:t>
            </w:r>
            <w:r w:rsidR="00641F51" w:rsidRPr="0045541D">
              <w:rPr>
                <w:b/>
                <w:bCs/>
              </w:rPr>
              <w:t>redacted</w:t>
            </w:r>
          </w:p>
        </w:tc>
        <w:tc>
          <w:tcPr>
            <w:tcW w:w="1224" w:type="dxa"/>
            <w:vAlign w:val="center"/>
          </w:tcPr>
          <w:p w14:paraId="775EC1C4" w14:textId="3A45CFA7" w:rsidR="0056171E" w:rsidRPr="0045541D" w:rsidRDefault="00467C46" w:rsidP="00164B29">
            <w:pPr>
              <w:pStyle w:val="Tabletext0"/>
              <w:jc w:val="center"/>
            </w:pPr>
            <w:r w:rsidRPr="0045541D">
              <w:rPr>
                <w:b/>
              </w:rPr>
              <w:t>redacted</w:t>
            </w:r>
            <w:r w:rsidR="0056171E" w:rsidRPr="0045541D">
              <w:t xml:space="preserve"> years</w:t>
            </w:r>
          </w:p>
        </w:tc>
      </w:tr>
    </w:tbl>
    <w:p w14:paraId="6CCE9DF2" w14:textId="3B923EDD" w:rsidR="00D844EE" w:rsidRPr="0045541D" w:rsidRDefault="00D844EE" w:rsidP="003F182E">
      <w:pPr>
        <w:pStyle w:val="CommentaryTablenotes"/>
        <w:rPr>
          <w:color w:val="auto"/>
        </w:rPr>
      </w:pPr>
      <w:r w:rsidRPr="0045541D">
        <w:rPr>
          <w:color w:val="auto"/>
        </w:rPr>
        <w:t>AFC</w:t>
      </w:r>
      <w:r w:rsidR="000B5BE4" w:rsidRPr="0045541D">
        <w:rPr>
          <w:color w:val="auto"/>
        </w:rPr>
        <w:t xml:space="preserve"> </w:t>
      </w:r>
      <w:r w:rsidRPr="0045541D">
        <w:rPr>
          <w:color w:val="auto"/>
        </w:rPr>
        <w:t>= annualised FIX consumption; FIX</w:t>
      </w:r>
      <w:r w:rsidR="000B5BE4" w:rsidRPr="0045541D">
        <w:rPr>
          <w:color w:val="auto"/>
        </w:rPr>
        <w:t xml:space="preserve"> </w:t>
      </w:r>
      <w:r w:rsidRPr="0045541D">
        <w:rPr>
          <w:color w:val="auto"/>
        </w:rPr>
        <w:t xml:space="preserve">= </w:t>
      </w:r>
      <w:r w:rsidR="00212302" w:rsidRPr="0045541D">
        <w:rPr>
          <w:color w:val="auto"/>
        </w:rPr>
        <w:t>f</w:t>
      </w:r>
      <w:r w:rsidRPr="0045541D">
        <w:rPr>
          <w:color w:val="auto"/>
        </w:rPr>
        <w:t>actor IX; ICER = incremental cost-effectiveness ratio; IU</w:t>
      </w:r>
      <w:r w:rsidR="000B5BE4" w:rsidRPr="0045541D">
        <w:rPr>
          <w:color w:val="auto"/>
        </w:rPr>
        <w:t xml:space="preserve"> </w:t>
      </w:r>
      <w:r w:rsidRPr="0045541D">
        <w:rPr>
          <w:color w:val="auto"/>
        </w:rPr>
        <w:t xml:space="preserve">= international units; </w:t>
      </w:r>
      <w:r w:rsidR="00401FF8" w:rsidRPr="0045541D">
        <w:rPr>
          <w:color w:val="auto"/>
        </w:rPr>
        <w:t>NA</w:t>
      </w:r>
      <w:r w:rsidR="00071AE2" w:rsidRPr="0045541D">
        <w:rPr>
          <w:color w:val="auto"/>
        </w:rPr>
        <w:t xml:space="preserve"> = not applicable; </w:t>
      </w:r>
      <w:r w:rsidRPr="0045541D">
        <w:rPr>
          <w:color w:val="auto"/>
        </w:rPr>
        <w:t>QALY = quality adjusted life year.</w:t>
      </w:r>
    </w:p>
    <w:p w14:paraId="488A2938" w14:textId="249BC3D7" w:rsidR="00EF73F3" w:rsidRPr="0045541D" w:rsidRDefault="00D844EE" w:rsidP="003F182E">
      <w:pPr>
        <w:pStyle w:val="CommentaryTablenotes"/>
        <w:rPr>
          <w:color w:val="auto"/>
        </w:rPr>
      </w:pPr>
      <w:r w:rsidRPr="0045541D">
        <w:rPr>
          <w:color w:val="auto"/>
        </w:rPr>
        <w:t xml:space="preserve">Source: Commentary </w:t>
      </w:r>
      <w:bookmarkStart w:id="48" w:name="_Hlk164169320"/>
      <w:r w:rsidRPr="0045541D">
        <w:rPr>
          <w:color w:val="auto"/>
        </w:rPr>
        <w:t xml:space="preserve">Table </w:t>
      </w:r>
      <w:r w:rsidR="00D80B94" w:rsidRPr="0045541D">
        <w:rPr>
          <w:color w:val="auto"/>
        </w:rPr>
        <w:t>29</w:t>
      </w:r>
      <w:r w:rsidRPr="0045541D">
        <w:rPr>
          <w:color w:val="auto"/>
        </w:rPr>
        <w:t xml:space="preserve"> of MSAC 1728 </w:t>
      </w:r>
      <w:proofErr w:type="spellStart"/>
      <w:r w:rsidRPr="0045541D">
        <w:rPr>
          <w:color w:val="auto"/>
        </w:rPr>
        <w:t>ADAR+in-line</w:t>
      </w:r>
      <w:proofErr w:type="spellEnd"/>
      <w:r w:rsidRPr="0045541D">
        <w:rPr>
          <w:color w:val="auto"/>
        </w:rPr>
        <w:t xml:space="preserve"> commentary.</w:t>
      </w:r>
    </w:p>
    <w:p w14:paraId="5FFBF4C4" w14:textId="335335F0" w:rsidR="00B2042A" w:rsidRPr="0045541D" w:rsidRDefault="00B2042A" w:rsidP="00B2042A">
      <w:pPr>
        <w:pStyle w:val="CommentaryTableheading"/>
        <w:rPr>
          <w:color w:val="auto"/>
        </w:rPr>
      </w:pPr>
      <w:r w:rsidRPr="0045541D">
        <w:rPr>
          <w:color w:val="auto"/>
        </w:rPr>
        <w:t>Table </w:t>
      </w:r>
      <w:r w:rsidRPr="0045541D">
        <w:rPr>
          <w:color w:val="auto"/>
        </w:rPr>
        <w:fldChar w:fldCharType="begin"/>
      </w:r>
      <w:r w:rsidRPr="0045541D">
        <w:rPr>
          <w:color w:val="auto"/>
        </w:rPr>
        <w:instrText xml:space="preserve"> SEQ Table \* ARABIC </w:instrText>
      </w:r>
      <w:r w:rsidRPr="0045541D">
        <w:rPr>
          <w:color w:val="auto"/>
        </w:rPr>
        <w:fldChar w:fldCharType="separate"/>
      </w:r>
      <w:r w:rsidR="007207A8" w:rsidRPr="0045541D">
        <w:rPr>
          <w:noProof/>
          <w:color w:val="auto"/>
        </w:rPr>
        <w:t>14</w:t>
      </w:r>
      <w:r w:rsidRPr="0045541D">
        <w:rPr>
          <w:noProof/>
          <w:color w:val="auto"/>
        </w:rPr>
        <w:fldChar w:fldCharType="end"/>
      </w:r>
      <w:r w:rsidRPr="0045541D">
        <w:rPr>
          <w:noProof/>
          <w:color w:val="auto"/>
        </w:rPr>
        <w:t xml:space="preserve"> </w:t>
      </w:r>
      <w:r w:rsidRPr="0045541D">
        <w:rPr>
          <w:color w:val="auto"/>
        </w:rPr>
        <w:t xml:space="preserve">Additional sensitivity analysis provided in the applicant’s pre-ESC </w:t>
      </w:r>
      <w:proofErr w:type="gramStart"/>
      <w:r w:rsidRPr="0045541D">
        <w:rPr>
          <w:color w:val="auto"/>
        </w:rPr>
        <w:t>response</w:t>
      </w:r>
      <w:proofErr w:type="gramEnd"/>
      <w:r w:rsidRPr="0045541D">
        <w:rPr>
          <w:color w:val="auto"/>
        </w:rPr>
        <w:t xml:space="preserve"> </w:t>
      </w:r>
    </w:p>
    <w:tbl>
      <w:tblPr>
        <w:tblStyle w:val="TableGrid"/>
        <w:tblW w:w="9067" w:type="dxa"/>
        <w:tblLook w:val="04A0" w:firstRow="1" w:lastRow="0" w:firstColumn="1" w:lastColumn="0" w:noHBand="0" w:noVBand="1"/>
      </w:tblPr>
      <w:tblGrid>
        <w:gridCol w:w="2122"/>
        <w:gridCol w:w="1275"/>
        <w:gridCol w:w="3260"/>
        <w:gridCol w:w="1276"/>
        <w:gridCol w:w="1134"/>
      </w:tblGrid>
      <w:tr w:rsidR="00C50DED" w:rsidRPr="0045541D" w14:paraId="22A0C247" w14:textId="77777777" w:rsidTr="00412098">
        <w:trPr>
          <w:trHeight w:val="370"/>
          <w:tblHeader/>
        </w:trPr>
        <w:tc>
          <w:tcPr>
            <w:tcW w:w="2122" w:type="dxa"/>
            <w:shd w:val="clear" w:color="auto" w:fill="auto"/>
            <w:hideMark/>
          </w:tcPr>
          <w:p w14:paraId="5FE9FE9C" w14:textId="77777777" w:rsidR="00B2042A" w:rsidRPr="0045541D" w:rsidRDefault="00B2042A" w:rsidP="00412098">
            <w:pPr>
              <w:pStyle w:val="TableHeading0"/>
              <w:rPr>
                <w:rFonts w:eastAsiaTheme="minorEastAsia"/>
              </w:rPr>
            </w:pPr>
            <w:r w:rsidRPr="0045541D">
              <w:rPr>
                <w:rFonts w:eastAsiaTheme="minorEastAsia"/>
              </w:rPr>
              <w:t xml:space="preserve">Analysis </w:t>
            </w:r>
          </w:p>
        </w:tc>
        <w:tc>
          <w:tcPr>
            <w:tcW w:w="1275" w:type="dxa"/>
            <w:shd w:val="clear" w:color="auto" w:fill="auto"/>
            <w:hideMark/>
          </w:tcPr>
          <w:p w14:paraId="2ED986BB" w14:textId="77777777" w:rsidR="00B2042A" w:rsidRPr="0045541D" w:rsidRDefault="00B2042A" w:rsidP="00412098">
            <w:pPr>
              <w:pStyle w:val="TableHeading0"/>
              <w:rPr>
                <w:rFonts w:eastAsiaTheme="minorEastAsia"/>
              </w:rPr>
            </w:pPr>
            <w:r w:rsidRPr="0045541D">
              <w:rPr>
                <w:rFonts w:eastAsiaTheme="minorEastAsia"/>
              </w:rPr>
              <w:t>Value used in the model</w:t>
            </w:r>
          </w:p>
        </w:tc>
        <w:tc>
          <w:tcPr>
            <w:tcW w:w="3260" w:type="dxa"/>
            <w:shd w:val="clear" w:color="auto" w:fill="auto"/>
            <w:hideMark/>
          </w:tcPr>
          <w:p w14:paraId="6A128887" w14:textId="77777777" w:rsidR="00B2042A" w:rsidRPr="0045541D" w:rsidRDefault="00B2042A" w:rsidP="00412098">
            <w:pPr>
              <w:pStyle w:val="TableHeading0"/>
              <w:rPr>
                <w:rFonts w:eastAsiaTheme="minorEastAsia"/>
              </w:rPr>
            </w:pPr>
            <w:r w:rsidRPr="0045541D">
              <w:rPr>
                <w:rFonts w:eastAsiaTheme="minorEastAsia"/>
              </w:rPr>
              <w:t>Description</w:t>
            </w:r>
          </w:p>
        </w:tc>
        <w:tc>
          <w:tcPr>
            <w:tcW w:w="1276" w:type="dxa"/>
            <w:shd w:val="clear" w:color="auto" w:fill="auto"/>
          </w:tcPr>
          <w:p w14:paraId="640C7FA7" w14:textId="77777777" w:rsidR="00B2042A" w:rsidRPr="0045541D" w:rsidRDefault="00B2042A" w:rsidP="00412098">
            <w:pPr>
              <w:pStyle w:val="TableHeading0"/>
              <w:rPr>
                <w:rFonts w:eastAsiaTheme="minorEastAsia"/>
              </w:rPr>
            </w:pPr>
            <w:r w:rsidRPr="0045541D">
              <w:rPr>
                <w:rFonts w:eastAsiaTheme="minorEastAsia"/>
              </w:rPr>
              <w:t>Time horizon</w:t>
            </w:r>
          </w:p>
        </w:tc>
        <w:tc>
          <w:tcPr>
            <w:tcW w:w="1128" w:type="dxa"/>
            <w:shd w:val="clear" w:color="auto" w:fill="auto"/>
            <w:hideMark/>
          </w:tcPr>
          <w:p w14:paraId="4E8A16FD" w14:textId="77777777" w:rsidR="00B2042A" w:rsidRPr="0045541D" w:rsidRDefault="00B2042A" w:rsidP="00412098">
            <w:pPr>
              <w:pStyle w:val="TableHeading0"/>
              <w:rPr>
                <w:rFonts w:eastAsiaTheme="minorEastAsia"/>
              </w:rPr>
            </w:pPr>
            <w:r w:rsidRPr="0045541D">
              <w:rPr>
                <w:rFonts w:eastAsiaTheme="minorEastAsia"/>
              </w:rPr>
              <w:t>ICER</w:t>
            </w:r>
          </w:p>
        </w:tc>
      </w:tr>
      <w:tr w:rsidR="0062215B" w:rsidRPr="0045541D" w14:paraId="59ECA008" w14:textId="77777777" w:rsidTr="0062215B">
        <w:trPr>
          <w:trHeight w:val="384"/>
        </w:trPr>
        <w:tc>
          <w:tcPr>
            <w:tcW w:w="6657" w:type="dxa"/>
            <w:gridSpan w:val="3"/>
          </w:tcPr>
          <w:p w14:paraId="0C49D385" w14:textId="77777777" w:rsidR="00B2042A" w:rsidRPr="0045541D" w:rsidRDefault="00B2042A" w:rsidP="00412098">
            <w:pPr>
              <w:pStyle w:val="Tabletext0"/>
            </w:pPr>
            <w:r w:rsidRPr="0045541D">
              <w:t>Base case</w:t>
            </w:r>
          </w:p>
        </w:tc>
        <w:tc>
          <w:tcPr>
            <w:tcW w:w="1276" w:type="dxa"/>
          </w:tcPr>
          <w:p w14:paraId="074451DD" w14:textId="77777777" w:rsidR="00B2042A" w:rsidRPr="0045541D" w:rsidRDefault="00B2042A" w:rsidP="00412098">
            <w:pPr>
              <w:pStyle w:val="Tabletext0"/>
            </w:pPr>
            <w:r w:rsidRPr="0045541D">
              <w:t>25 years</w:t>
            </w:r>
          </w:p>
        </w:tc>
        <w:tc>
          <w:tcPr>
            <w:tcW w:w="1134" w:type="dxa"/>
          </w:tcPr>
          <w:p w14:paraId="630535C5" w14:textId="6223B152" w:rsidR="00B2042A" w:rsidRPr="0045541D" w:rsidRDefault="00B2042A" w:rsidP="00412098">
            <w:pPr>
              <w:pStyle w:val="Tabletext0"/>
            </w:pPr>
            <w:r w:rsidRPr="0045541D">
              <w:t>-$</w:t>
            </w:r>
            <w:r w:rsidR="00AE73C8" w:rsidRPr="0045541D">
              <w:rPr>
                <w:b/>
                <w:bCs/>
              </w:rPr>
              <w:t>redacted</w:t>
            </w:r>
          </w:p>
        </w:tc>
      </w:tr>
      <w:tr w:rsidR="004865C3" w:rsidRPr="0045541D" w14:paraId="04E93160" w14:textId="77777777" w:rsidTr="00412098">
        <w:trPr>
          <w:trHeight w:val="560"/>
        </w:trPr>
        <w:tc>
          <w:tcPr>
            <w:tcW w:w="2122" w:type="dxa"/>
            <w:hideMark/>
          </w:tcPr>
          <w:p w14:paraId="65C42819" w14:textId="77777777" w:rsidR="00B2042A" w:rsidRPr="0045541D" w:rsidRDefault="00B2042A" w:rsidP="00412098">
            <w:pPr>
              <w:pStyle w:val="Tabletext0"/>
              <w:jc w:val="left"/>
            </w:pPr>
            <w:r w:rsidRPr="0045541D">
              <w:t>Starting age of the cohort</w:t>
            </w:r>
          </w:p>
        </w:tc>
        <w:tc>
          <w:tcPr>
            <w:tcW w:w="1275" w:type="dxa"/>
            <w:hideMark/>
          </w:tcPr>
          <w:p w14:paraId="31433514" w14:textId="77777777" w:rsidR="00B2042A" w:rsidRPr="0045541D" w:rsidRDefault="00B2042A" w:rsidP="00412098">
            <w:pPr>
              <w:pStyle w:val="Tabletext0"/>
              <w:jc w:val="left"/>
            </w:pPr>
            <w:r w:rsidRPr="0045541D">
              <w:t>18 years</w:t>
            </w:r>
          </w:p>
        </w:tc>
        <w:tc>
          <w:tcPr>
            <w:tcW w:w="3260" w:type="dxa"/>
            <w:hideMark/>
          </w:tcPr>
          <w:p w14:paraId="7A580C9D" w14:textId="77777777" w:rsidR="00B2042A" w:rsidRPr="0045541D" w:rsidRDefault="00B2042A" w:rsidP="00412098">
            <w:pPr>
              <w:pStyle w:val="Tabletext0"/>
              <w:jc w:val="left"/>
            </w:pPr>
            <w:r w:rsidRPr="0045541D">
              <w:t>Sensitivity analysis conducted by the evaluators</w:t>
            </w:r>
          </w:p>
        </w:tc>
        <w:tc>
          <w:tcPr>
            <w:tcW w:w="1276" w:type="dxa"/>
          </w:tcPr>
          <w:p w14:paraId="1EE8E6C3" w14:textId="77777777" w:rsidR="00B2042A" w:rsidRPr="0045541D" w:rsidRDefault="00B2042A" w:rsidP="00412098">
            <w:pPr>
              <w:pStyle w:val="Tabletext0"/>
            </w:pPr>
            <w:r w:rsidRPr="0045541D">
              <w:t>25 years</w:t>
            </w:r>
          </w:p>
        </w:tc>
        <w:tc>
          <w:tcPr>
            <w:tcW w:w="1128" w:type="dxa"/>
            <w:hideMark/>
          </w:tcPr>
          <w:p w14:paraId="67E986E7" w14:textId="0E5694BF" w:rsidR="00B2042A" w:rsidRPr="0045541D" w:rsidRDefault="00B2042A" w:rsidP="00412098">
            <w:pPr>
              <w:pStyle w:val="Tabletext0"/>
            </w:pPr>
            <w:r w:rsidRPr="0045541D">
              <w:t>-$</w:t>
            </w:r>
            <w:r w:rsidR="00AE73C8" w:rsidRPr="0045541D">
              <w:rPr>
                <w:b/>
                <w:bCs/>
              </w:rPr>
              <w:t>redacted</w:t>
            </w:r>
          </w:p>
        </w:tc>
      </w:tr>
      <w:tr w:rsidR="004865C3" w:rsidRPr="0045541D" w14:paraId="6FD6BE69" w14:textId="77777777" w:rsidTr="00412098">
        <w:trPr>
          <w:trHeight w:val="560"/>
        </w:trPr>
        <w:tc>
          <w:tcPr>
            <w:tcW w:w="2122" w:type="dxa"/>
          </w:tcPr>
          <w:p w14:paraId="0117E11B" w14:textId="77777777" w:rsidR="00B2042A" w:rsidRPr="0045541D" w:rsidRDefault="00B2042A" w:rsidP="00412098">
            <w:pPr>
              <w:pStyle w:val="Tabletext0"/>
              <w:jc w:val="left"/>
            </w:pPr>
            <w:r w:rsidRPr="0045541D">
              <w:t>Starting age of the cohort</w:t>
            </w:r>
          </w:p>
        </w:tc>
        <w:tc>
          <w:tcPr>
            <w:tcW w:w="1275" w:type="dxa"/>
          </w:tcPr>
          <w:p w14:paraId="0C238940" w14:textId="77777777" w:rsidR="00B2042A" w:rsidRPr="0045541D" w:rsidRDefault="00B2042A" w:rsidP="00412098">
            <w:pPr>
              <w:pStyle w:val="Tabletext0"/>
              <w:jc w:val="left"/>
            </w:pPr>
            <w:r w:rsidRPr="0045541D">
              <w:t>18 years</w:t>
            </w:r>
          </w:p>
        </w:tc>
        <w:tc>
          <w:tcPr>
            <w:tcW w:w="3260" w:type="dxa"/>
          </w:tcPr>
          <w:p w14:paraId="4A5517D2" w14:textId="77777777" w:rsidR="00B2042A" w:rsidRPr="0045541D" w:rsidRDefault="00B2042A" w:rsidP="00412098">
            <w:pPr>
              <w:pStyle w:val="Tabletext0"/>
              <w:jc w:val="left"/>
            </w:pPr>
            <w:r w:rsidRPr="0045541D">
              <w:t>Additional sensitivity conducted in response to Commentary by CSL Behring</w:t>
            </w:r>
          </w:p>
        </w:tc>
        <w:tc>
          <w:tcPr>
            <w:tcW w:w="1276" w:type="dxa"/>
          </w:tcPr>
          <w:p w14:paraId="3D7FA1C7" w14:textId="77777777" w:rsidR="00B2042A" w:rsidRPr="0045541D" w:rsidRDefault="00B2042A" w:rsidP="00412098">
            <w:pPr>
              <w:pStyle w:val="Tabletext0"/>
            </w:pPr>
            <w:r w:rsidRPr="0045541D">
              <w:t>40 years</w:t>
            </w:r>
          </w:p>
        </w:tc>
        <w:tc>
          <w:tcPr>
            <w:tcW w:w="1128" w:type="dxa"/>
          </w:tcPr>
          <w:p w14:paraId="646E2037" w14:textId="2A9523D4" w:rsidR="00B2042A" w:rsidRPr="0045541D" w:rsidRDefault="00B2042A" w:rsidP="00412098">
            <w:pPr>
              <w:pStyle w:val="Tabletext0"/>
            </w:pPr>
            <w:r w:rsidRPr="0045541D">
              <w:t>-$</w:t>
            </w:r>
            <w:r w:rsidR="00AE73C8" w:rsidRPr="0045541D">
              <w:rPr>
                <w:b/>
                <w:bCs/>
              </w:rPr>
              <w:t>redacted</w:t>
            </w:r>
            <w:r w:rsidR="00AE73C8" w:rsidRPr="0045541D" w:rsidDel="00AE73C8">
              <w:t xml:space="preserve"> </w:t>
            </w:r>
          </w:p>
        </w:tc>
      </w:tr>
      <w:tr w:rsidR="004865C3" w:rsidRPr="0045541D" w14:paraId="41A35815" w14:textId="77777777" w:rsidTr="00412098">
        <w:trPr>
          <w:trHeight w:val="560"/>
        </w:trPr>
        <w:tc>
          <w:tcPr>
            <w:tcW w:w="2122" w:type="dxa"/>
          </w:tcPr>
          <w:p w14:paraId="1C53B995" w14:textId="77777777" w:rsidR="00B2042A" w:rsidRPr="0045541D" w:rsidRDefault="00B2042A" w:rsidP="00412098">
            <w:pPr>
              <w:pStyle w:val="Tabletext0"/>
              <w:jc w:val="left"/>
            </w:pPr>
            <w:r w:rsidRPr="0045541D">
              <w:t>Starting age of the cohort</w:t>
            </w:r>
          </w:p>
        </w:tc>
        <w:tc>
          <w:tcPr>
            <w:tcW w:w="1275" w:type="dxa"/>
          </w:tcPr>
          <w:p w14:paraId="53035149" w14:textId="77777777" w:rsidR="00B2042A" w:rsidRPr="0045541D" w:rsidRDefault="00B2042A" w:rsidP="00412098">
            <w:pPr>
              <w:pStyle w:val="Tabletext0"/>
              <w:jc w:val="left"/>
            </w:pPr>
            <w:r w:rsidRPr="0045541D">
              <w:t>18 years</w:t>
            </w:r>
          </w:p>
        </w:tc>
        <w:tc>
          <w:tcPr>
            <w:tcW w:w="3260" w:type="dxa"/>
          </w:tcPr>
          <w:p w14:paraId="41523449" w14:textId="77777777" w:rsidR="00B2042A" w:rsidRPr="0045541D" w:rsidRDefault="00B2042A" w:rsidP="00412098">
            <w:pPr>
              <w:pStyle w:val="Tabletext0"/>
              <w:jc w:val="left"/>
            </w:pPr>
            <w:r w:rsidRPr="0045541D">
              <w:t>Additional sensitivity conducted in response to Commentary by CSL Behring*</w:t>
            </w:r>
          </w:p>
        </w:tc>
        <w:tc>
          <w:tcPr>
            <w:tcW w:w="1276" w:type="dxa"/>
          </w:tcPr>
          <w:p w14:paraId="09ACBB66" w14:textId="38C4060A" w:rsidR="00B2042A" w:rsidRPr="0045541D" w:rsidRDefault="00B2042A" w:rsidP="00412098">
            <w:pPr>
              <w:pStyle w:val="Tabletext0"/>
            </w:pPr>
            <w:r w:rsidRPr="0045541D">
              <w:t>82 years</w:t>
            </w:r>
          </w:p>
        </w:tc>
        <w:tc>
          <w:tcPr>
            <w:tcW w:w="1128" w:type="dxa"/>
          </w:tcPr>
          <w:p w14:paraId="429DFA97" w14:textId="3C3D387B" w:rsidR="00B2042A" w:rsidRPr="0045541D" w:rsidRDefault="00B2042A" w:rsidP="00412098">
            <w:pPr>
              <w:pStyle w:val="Tabletext0"/>
            </w:pPr>
            <w:r w:rsidRPr="0045541D">
              <w:t>-$</w:t>
            </w:r>
            <w:r w:rsidR="00AE73C8" w:rsidRPr="0045541D">
              <w:rPr>
                <w:b/>
                <w:bCs/>
              </w:rPr>
              <w:t>redacted</w:t>
            </w:r>
          </w:p>
        </w:tc>
      </w:tr>
    </w:tbl>
    <w:p w14:paraId="327706AE" w14:textId="555AB932" w:rsidR="00B2042A" w:rsidRPr="0045541D" w:rsidRDefault="00B2042A" w:rsidP="00B2042A">
      <w:pPr>
        <w:pStyle w:val="CommentaryTablenotes"/>
        <w:rPr>
          <w:color w:val="auto"/>
        </w:rPr>
      </w:pPr>
      <w:r w:rsidRPr="0045541D">
        <w:rPr>
          <w:color w:val="auto"/>
        </w:rPr>
        <w:t>*For this sensitivity the analysis, the model continues to assume a 1% per annum loss of response up to a time horizon of 82 years.</w:t>
      </w:r>
    </w:p>
    <w:p w14:paraId="32F63660" w14:textId="4BEE7298" w:rsidR="00EF73F3" w:rsidRPr="0045541D" w:rsidRDefault="00B2042A" w:rsidP="003F182E">
      <w:pPr>
        <w:pStyle w:val="CommentaryTablenotes"/>
        <w:rPr>
          <w:color w:val="auto"/>
        </w:rPr>
      </w:pPr>
      <w:r w:rsidRPr="0045541D">
        <w:rPr>
          <w:color w:val="auto"/>
        </w:rPr>
        <w:t>Source: Tab</w:t>
      </w:r>
      <w:r w:rsidR="00C50DED" w:rsidRPr="0045541D">
        <w:rPr>
          <w:color w:val="auto"/>
        </w:rPr>
        <w:t>le 3 of MSAC 1728 Applicant’s Pre-ESC Response</w:t>
      </w:r>
    </w:p>
    <w:p w14:paraId="25AE2BAC" w14:textId="7998357A" w:rsidR="00772829" w:rsidRPr="0045541D" w:rsidRDefault="00B27795" w:rsidP="002A18BE">
      <w:pPr>
        <w:pStyle w:val="Heading2"/>
        <w:numPr>
          <w:ilvl w:val="0"/>
          <w:numId w:val="0"/>
        </w:numPr>
      </w:pPr>
      <w:bookmarkStart w:id="49" w:name="_Toc69491426"/>
      <w:bookmarkEnd w:id="48"/>
      <w:r w:rsidRPr="0045541D">
        <w:t>1</w:t>
      </w:r>
      <w:r w:rsidR="00255EA3" w:rsidRPr="0045541D">
        <w:t>4</w:t>
      </w:r>
      <w:r w:rsidR="00C36633" w:rsidRPr="0045541D">
        <w:t>.</w:t>
      </w:r>
      <w:r w:rsidR="00C36633" w:rsidRPr="0045541D">
        <w:tab/>
      </w:r>
      <w:r w:rsidR="00772829" w:rsidRPr="0045541D">
        <w:t>Financial/budgetary impacts</w:t>
      </w:r>
      <w:bookmarkEnd w:id="49"/>
    </w:p>
    <w:p w14:paraId="27B2892D" w14:textId="64497CD3" w:rsidR="006965F6" w:rsidRPr="0045541D" w:rsidRDefault="000A07AD" w:rsidP="006965F6">
      <w:r w:rsidRPr="0045541D">
        <w:t>The ADAR used a</w:t>
      </w:r>
      <w:r w:rsidR="006965F6" w:rsidRPr="0045541D">
        <w:t xml:space="preserve"> mixed epidemiology and market-based approach to estimate the uptake and financial implications for the </w:t>
      </w:r>
      <w:r w:rsidRPr="0045541D">
        <w:t xml:space="preserve">proposed </w:t>
      </w:r>
      <w:r w:rsidR="006965F6" w:rsidRPr="0045541D">
        <w:t xml:space="preserve">introduction of </w:t>
      </w:r>
      <w:r w:rsidR="000D0E94" w:rsidRPr="0045541D">
        <w:t>Hemgenix</w:t>
      </w:r>
      <w:r w:rsidR="006965F6" w:rsidRPr="0045541D">
        <w:t xml:space="preserve"> for the treatment of </w:t>
      </w:r>
      <w:r w:rsidR="0014608F" w:rsidRPr="0045541D">
        <w:t>HM</w:t>
      </w:r>
      <w:r w:rsidR="006965F6" w:rsidRPr="0045541D">
        <w:t>B.</w:t>
      </w:r>
    </w:p>
    <w:p w14:paraId="07455C24" w14:textId="02F67A0F" w:rsidR="006965F6" w:rsidRPr="0045541D" w:rsidRDefault="006965F6" w:rsidP="006965F6">
      <w:r w:rsidRPr="0045541D">
        <w:t xml:space="preserve">The eligible patient population was estimated from ABDR data and assumed to have a stable growth rate. The ADAR </w:t>
      </w:r>
      <w:r w:rsidR="000A2158" w:rsidRPr="0045541D">
        <w:t xml:space="preserve">anticipated </w:t>
      </w:r>
      <w:r w:rsidR="00272B9E" w:rsidRPr="0045541D">
        <w:t>the</w:t>
      </w:r>
      <w:r w:rsidRPr="0045541D">
        <w:t xml:space="preserve"> uptake in Australia to be low with the base case being a rate of </w:t>
      </w:r>
      <w:r w:rsidR="00641F51" w:rsidRPr="0045541D">
        <w:rPr>
          <w:b/>
        </w:rPr>
        <w:t>redacted</w:t>
      </w:r>
      <w:r w:rsidRPr="0045541D">
        <w:t xml:space="preserve">% in </w:t>
      </w:r>
      <w:r w:rsidR="00060727" w:rsidRPr="0045541D">
        <w:t>Y</w:t>
      </w:r>
      <w:r w:rsidRPr="0045541D">
        <w:t xml:space="preserve">ear 1, </w:t>
      </w:r>
      <w:r w:rsidR="00641F51" w:rsidRPr="0045541D">
        <w:rPr>
          <w:b/>
          <w:bCs/>
        </w:rPr>
        <w:t>redacted</w:t>
      </w:r>
      <w:r w:rsidRPr="0045541D">
        <w:t xml:space="preserve">% in </w:t>
      </w:r>
      <w:r w:rsidR="00060727" w:rsidRPr="0045541D">
        <w:t>Y</w:t>
      </w:r>
      <w:r w:rsidRPr="0045541D">
        <w:t xml:space="preserve">ear 3 and </w:t>
      </w:r>
      <w:r w:rsidR="00641F51" w:rsidRPr="0045541D">
        <w:rPr>
          <w:b/>
          <w:bCs/>
        </w:rPr>
        <w:t>redacted</w:t>
      </w:r>
      <w:r w:rsidRPr="0045541D">
        <w:t>% in all other years. The ADAR and commentary acknowledge</w:t>
      </w:r>
      <w:r w:rsidR="00272B9E" w:rsidRPr="0045541D">
        <w:t>d</w:t>
      </w:r>
      <w:r w:rsidRPr="0045541D">
        <w:t xml:space="preserve"> uncertainty in these estimates. </w:t>
      </w:r>
    </w:p>
    <w:p w14:paraId="0AEC8DEC" w14:textId="5B80648E" w:rsidR="006965F6" w:rsidRPr="00E40A38" w:rsidRDefault="006965F6" w:rsidP="006965F6">
      <w:r w:rsidRPr="0045541D">
        <w:t>The AHCDO Gene Therapy Roadmap consider</w:t>
      </w:r>
      <w:r w:rsidR="000F1AD9" w:rsidRPr="0045541D">
        <w:t>ed</w:t>
      </w:r>
      <w:r w:rsidRPr="0045541D">
        <w:t xml:space="preserve"> the capacity of hub sites to deliver gene therapy a medium level risk to implementation and propose</w:t>
      </w:r>
      <w:r w:rsidR="009524C9" w:rsidRPr="0045541D">
        <w:t>d</w:t>
      </w:r>
      <w:r w:rsidRPr="0045541D">
        <w:t xml:space="preserve"> to model expected patient volume to inform resourcing decisions. It estimate</w:t>
      </w:r>
      <w:r w:rsidR="009524C9" w:rsidRPr="0045541D">
        <w:t>d</w:t>
      </w:r>
      <w:r w:rsidRPr="0045541D">
        <w:t xml:space="preserve"> that hubs could support a throughput of around 1 to 2 patients receiving gene therapy per week. The modelling by</w:t>
      </w:r>
      <w:r w:rsidRPr="0045541D" w:rsidDel="00BF787E">
        <w:t xml:space="preserve"> </w:t>
      </w:r>
      <w:r w:rsidRPr="0045541D">
        <w:t>AHCDO was proposed to be</w:t>
      </w:r>
      <w:r w:rsidRPr="00E40A38">
        <w:t xml:space="preserve"> undertaken in the short term and would be useful to inform the estimated uptake rate.</w:t>
      </w:r>
    </w:p>
    <w:p w14:paraId="300D5D18" w14:textId="7246993E" w:rsidR="006965F6" w:rsidRPr="0045541D" w:rsidRDefault="006965F6" w:rsidP="006965F6">
      <w:r w:rsidRPr="00E40A38">
        <w:t xml:space="preserve">Only the costs of </w:t>
      </w:r>
      <w:r w:rsidR="000D0E94">
        <w:t>Hemgenix</w:t>
      </w:r>
      <w:r w:rsidRPr="00E40A38">
        <w:t xml:space="preserve"> and of the comparator FIX products were included in the </w:t>
      </w:r>
      <w:r w:rsidR="002F5B3E" w:rsidRPr="00E40A38">
        <w:t xml:space="preserve">financial </w:t>
      </w:r>
      <w:r w:rsidRPr="00E40A38">
        <w:t>analysis. The commentary note</w:t>
      </w:r>
      <w:r w:rsidR="002F5B3E" w:rsidRPr="00E40A38">
        <w:t>d</w:t>
      </w:r>
      <w:r w:rsidRPr="00E40A38">
        <w:t xml:space="preserve"> that the TGA</w:t>
      </w:r>
      <w:r w:rsidR="0095750C" w:rsidRPr="00E40A38">
        <w:t xml:space="preserve"> and</w:t>
      </w:r>
      <w:r w:rsidRPr="00E40A38">
        <w:t xml:space="preserve"> the AHCDO Roadmap both specif</w:t>
      </w:r>
      <w:r w:rsidR="006E036B" w:rsidRPr="00E40A38">
        <w:t>ied</w:t>
      </w:r>
      <w:r w:rsidRPr="00E40A38">
        <w:t xml:space="preserve"> pre-</w:t>
      </w:r>
      <w:r w:rsidRPr="0045541D">
        <w:t>treatment testing and screening and post-treatment monitoring</w:t>
      </w:r>
      <w:r w:rsidR="00E26FEA" w:rsidRPr="0045541D">
        <w:t>.</w:t>
      </w:r>
      <w:r w:rsidRPr="0045541D">
        <w:t xml:space="preserve"> </w:t>
      </w:r>
      <w:r w:rsidR="00E26FEA" w:rsidRPr="0045541D">
        <w:t>These costs</w:t>
      </w:r>
      <w:r w:rsidRPr="0045541D">
        <w:t xml:space="preserve"> were not modelled</w:t>
      </w:r>
      <w:r w:rsidR="00E26FEA" w:rsidRPr="0045541D">
        <w:t>,</w:t>
      </w:r>
      <w:r w:rsidRPr="0045541D">
        <w:t xml:space="preserve"> </w:t>
      </w:r>
      <w:r w:rsidR="00E26FEA" w:rsidRPr="0045541D">
        <w:t>n</w:t>
      </w:r>
      <w:r w:rsidRPr="0045541D">
        <w:t>or were costs of</w:t>
      </w:r>
      <w:r w:rsidR="00AD500A" w:rsidRPr="0045541D">
        <w:t xml:space="preserve"> managing</w:t>
      </w:r>
      <w:r w:rsidRPr="0045541D">
        <w:t xml:space="preserve"> </w:t>
      </w:r>
      <w:r w:rsidR="00AD500A" w:rsidRPr="0045541D">
        <w:t>AE</w:t>
      </w:r>
      <w:r w:rsidRPr="0045541D">
        <w:t>s</w:t>
      </w:r>
      <w:r w:rsidR="00AD500A" w:rsidRPr="0045541D">
        <w:t>,</w:t>
      </w:r>
      <w:r w:rsidRPr="0045541D">
        <w:t xml:space="preserve"> including corticosteroids for treating infusion</w:t>
      </w:r>
      <w:r w:rsidR="00F72D49" w:rsidRPr="0045541D">
        <w:t>-</w:t>
      </w:r>
      <w:r w:rsidRPr="0045541D">
        <w:t xml:space="preserve">related immune response. </w:t>
      </w:r>
      <w:r w:rsidR="00047EA4" w:rsidRPr="0045541D">
        <w:t>These costs</w:t>
      </w:r>
      <w:r w:rsidR="000034FE" w:rsidRPr="0045541D">
        <w:t xml:space="preserve"> </w:t>
      </w:r>
      <w:r w:rsidR="00030768" w:rsidRPr="0045541D">
        <w:t xml:space="preserve">are </w:t>
      </w:r>
      <w:r w:rsidR="00A60541" w:rsidRPr="0045541D">
        <w:t xml:space="preserve">much smaller than the treatment costs and </w:t>
      </w:r>
      <w:r w:rsidR="004F2C2D" w:rsidRPr="0045541D">
        <w:t xml:space="preserve">funding </w:t>
      </w:r>
      <w:r w:rsidR="003D0C6E" w:rsidRPr="0045541D">
        <w:t>may be a mix of MBS and public hospital</w:t>
      </w:r>
      <w:r w:rsidR="004F2C2D" w:rsidRPr="0045541D">
        <w:t xml:space="preserve">, however their exclusion does not reflect the ongoing </w:t>
      </w:r>
      <w:r w:rsidR="006622B9" w:rsidRPr="0045541D">
        <w:t>resources required to deliver the intervention.</w:t>
      </w:r>
    </w:p>
    <w:p w14:paraId="0BB92AB4" w14:textId="41362D98" w:rsidR="006965F6" w:rsidRPr="0045541D" w:rsidRDefault="006965F6" w:rsidP="006965F6">
      <w:r w:rsidRPr="0045541D">
        <w:t xml:space="preserve">The financial implications to the </w:t>
      </w:r>
      <w:r w:rsidR="7767B8CC" w:rsidRPr="0045541D">
        <w:t>n</w:t>
      </w:r>
      <w:r w:rsidR="00AF42DC" w:rsidRPr="0045541D">
        <w:t xml:space="preserve">ational </w:t>
      </w:r>
      <w:r w:rsidR="368B82B2" w:rsidRPr="0045541D">
        <w:t>b</w:t>
      </w:r>
      <w:r w:rsidR="00AF42DC" w:rsidRPr="0045541D">
        <w:t xml:space="preserve">lood </w:t>
      </w:r>
      <w:r w:rsidR="51F7D267" w:rsidRPr="0045541D">
        <w:t>a</w:t>
      </w:r>
      <w:r w:rsidR="40758DA6" w:rsidRPr="0045541D">
        <w:t>rrangements</w:t>
      </w:r>
      <w:r w:rsidRPr="0045541D">
        <w:t xml:space="preserve"> resulting from the proposed listing of </w:t>
      </w:r>
      <w:r w:rsidR="000D0E94" w:rsidRPr="0045541D">
        <w:t>Hemgenix</w:t>
      </w:r>
      <w:r w:rsidRPr="0045541D">
        <w:t xml:space="preserve"> are summarised in </w:t>
      </w:r>
      <w:r w:rsidR="00DB06A7" w:rsidRPr="0045541D">
        <w:fldChar w:fldCharType="begin"/>
      </w:r>
      <w:r w:rsidR="00DB06A7" w:rsidRPr="0045541D">
        <w:instrText xml:space="preserve"> REF _Ref164266405 \h  \* MERGEFORMAT </w:instrText>
      </w:r>
      <w:r w:rsidR="00DB06A7" w:rsidRPr="0045541D">
        <w:fldChar w:fldCharType="separate"/>
      </w:r>
      <w:r w:rsidR="007207A8" w:rsidRPr="0045541D">
        <w:t>Table 15</w:t>
      </w:r>
      <w:r w:rsidR="00DB06A7" w:rsidRPr="0045541D">
        <w:fldChar w:fldCharType="end"/>
      </w:r>
      <w:r w:rsidRPr="0045541D">
        <w:t xml:space="preserve">. In this analysis, </w:t>
      </w:r>
      <w:r w:rsidR="000D0E94" w:rsidRPr="0045541D">
        <w:t>Hemgenix</w:t>
      </w:r>
      <w:r w:rsidRPr="0045541D">
        <w:t xml:space="preserve"> </w:t>
      </w:r>
      <w:r w:rsidR="00F72D49" w:rsidRPr="0045541D">
        <w:t>wa</w:t>
      </w:r>
      <w:r w:rsidRPr="0045541D">
        <w:t xml:space="preserve">s cost-saving to the </w:t>
      </w:r>
      <w:r w:rsidR="0B06073D" w:rsidRPr="0045541D">
        <w:t>national blood arrangements</w:t>
      </w:r>
      <w:r w:rsidR="00AF42DC" w:rsidRPr="0045541D">
        <w:t xml:space="preserve"> </w:t>
      </w:r>
      <w:r w:rsidRPr="0045541D">
        <w:t xml:space="preserve">by </w:t>
      </w:r>
      <w:r w:rsidR="00AD500A" w:rsidRPr="0045541D">
        <w:t>Y</w:t>
      </w:r>
      <w:r w:rsidRPr="0045541D">
        <w:t>ear 9</w:t>
      </w:r>
      <w:r w:rsidR="00C62EB5" w:rsidRPr="0045541D">
        <w:t xml:space="preserve"> (not shown</w:t>
      </w:r>
      <w:r w:rsidR="00D70271" w:rsidRPr="0045541D">
        <w:t>)</w:t>
      </w:r>
      <w:r w:rsidRPr="0045541D">
        <w:t>.</w:t>
      </w:r>
    </w:p>
    <w:p w14:paraId="59A7EBB8" w14:textId="567FEA19" w:rsidR="006965F6" w:rsidRPr="0045541D" w:rsidRDefault="006965F6" w:rsidP="006965F6">
      <w:pPr>
        <w:pStyle w:val="Caption"/>
      </w:pPr>
      <w:bookmarkStart w:id="50" w:name="_Ref164266405"/>
      <w:r w:rsidRPr="0045541D">
        <w:t>Table </w:t>
      </w:r>
      <w:r w:rsidR="00CC66FD" w:rsidRPr="0045541D">
        <w:fldChar w:fldCharType="begin"/>
      </w:r>
      <w:r w:rsidR="00CC66FD" w:rsidRPr="0045541D">
        <w:instrText xml:space="preserve"> SEQ Table \* ARABIC </w:instrText>
      </w:r>
      <w:r w:rsidR="00CC66FD" w:rsidRPr="0045541D">
        <w:fldChar w:fldCharType="separate"/>
      </w:r>
      <w:r w:rsidR="007207A8" w:rsidRPr="0045541D">
        <w:rPr>
          <w:noProof/>
        </w:rPr>
        <w:t>15</w:t>
      </w:r>
      <w:r w:rsidR="00CC66FD" w:rsidRPr="0045541D">
        <w:rPr>
          <w:noProof/>
        </w:rPr>
        <w:fldChar w:fldCharType="end"/>
      </w:r>
      <w:bookmarkEnd w:id="50"/>
      <w:r w:rsidRPr="0045541D">
        <w:tab/>
        <w:t>Net financial implications of etranacogene dezaparvovec</w:t>
      </w:r>
      <w:r w:rsidR="000D0E94" w:rsidRPr="0045541D">
        <w:t xml:space="preserve"> (Hemgenix)</w:t>
      </w:r>
      <w:r w:rsidRPr="0045541D">
        <w:t xml:space="preserve"> to the </w:t>
      </w:r>
      <w:r w:rsidR="49E37B40" w:rsidRPr="0045541D">
        <w:t>n</w:t>
      </w:r>
      <w:r w:rsidR="00AF42DC" w:rsidRPr="0045541D">
        <w:t xml:space="preserve">ational </w:t>
      </w:r>
      <w:r w:rsidR="000D0E94" w:rsidRPr="0045541D">
        <w:t>b</w:t>
      </w:r>
      <w:r w:rsidR="00AF42DC" w:rsidRPr="0045541D">
        <w:t xml:space="preserve">lood </w:t>
      </w:r>
      <w:r w:rsidR="3D6C224D" w:rsidRPr="0045541D">
        <w:t>arrangements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Net financial implications of etranacogene dezaparvovec to the NBA"/>
        <w:tblDescription w:val="Table showing the net financial implications of etranacogene dezaparvovec to the NBA"/>
      </w:tblPr>
      <w:tblGrid>
        <w:gridCol w:w="2122"/>
        <w:gridCol w:w="1175"/>
        <w:gridCol w:w="1234"/>
        <w:gridCol w:w="1134"/>
        <w:gridCol w:w="1134"/>
        <w:gridCol w:w="1134"/>
        <w:gridCol w:w="1073"/>
      </w:tblGrid>
      <w:tr w:rsidR="006965F6" w:rsidRPr="0045541D" w14:paraId="70239A88" w14:textId="77777777" w:rsidTr="00702A5D">
        <w:trPr>
          <w:tblHeader/>
        </w:trPr>
        <w:tc>
          <w:tcPr>
            <w:tcW w:w="2122" w:type="dxa"/>
            <w:tcMar>
              <w:top w:w="0" w:type="dxa"/>
              <w:left w:w="108" w:type="dxa"/>
              <w:bottom w:w="0" w:type="dxa"/>
              <w:right w:w="108" w:type="dxa"/>
            </w:tcMar>
          </w:tcPr>
          <w:p w14:paraId="1A0AD1C1" w14:textId="77777777" w:rsidR="006965F6" w:rsidRPr="0045541D" w:rsidRDefault="006965F6">
            <w:pPr>
              <w:pStyle w:val="TableText"/>
              <w:keepNext/>
              <w:rPr>
                <w:b/>
                <w:bCs/>
              </w:rPr>
            </w:pPr>
            <w:r w:rsidRPr="0045541D">
              <w:rPr>
                <w:b/>
                <w:bCs/>
              </w:rPr>
              <w:t xml:space="preserve">Parameter </w:t>
            </w:r>
          </w:p>
        </w:tc>
        <w:tc>
          <w:tcPr>
            <w:tcW w:w="1175" w:type="dxa"/>
            <w:tcMar>
              <w:top w:w="0" w:type="dxa"/>
              <w:left w:w="108" w:type="dxa"/>
              <w:bottom w:w="0" w:type="dxa"/>
              <w:right w:w="108" w:type="dxa"/>
            </w:tcMar>
            <w:vAlign w:val="center"/>
            <w:hideMark/>
          </w:tcPr>
          <w:p w14:paraId="2C1D9FC6" w14:textId="432B7BC3" w:rsidR="006965F6" w:rsidRPr="0045541D" w:rsidRDefault="006965F6" w:rsidP="00702A5D">
            <w:pPr>
              <w:pStyle w:val="TableText"/>
              <w:keepNext/>
              <w:jc w:val="center"/>
              <w:rPr>
                <w:b/>
                <w:bCs/>
              </w:rPr>
            </w:pPr>
            <w:r w:rsidRPr="0045541D">
              <w:rPr>
                <w:b/>
                <w:bCs/>
              </w:rPr>
              <w:t>2025</w:t>
            </w:r>
          </w:p>
        </w:tc>
        <w:tc>
          <w:tcPr>
            <w:tcW w:w="1234" w:type="dxa"/>
            <w:tcMar>
              <w:top w:w="0" w:type="dxa"/>
              <w:left w:w="108" w:type="dxa"/>
              <w:bottom w:w="0" w:type="dxa"/>
              <w:right w:w="108" w:type="dxa"/>
            </w:tcMar>
            <w:vAlign w:val="center"/>
            <w:hideMark/>
          </w:tcPr>
          <w:p w14:paraId="07872D6C" w14:textId="7F6B1E5F" w:rsidR="006965F6" w:rsidRPr="0045541D" w:rsidRDefault="006965F6" w:rsidP="00702A5D">
            <w:pPr>
              <w:pStyle w:val="TableText"/>
              <w:keepNext/>
              <w:jc w:val="center"/>
              <w:rPr>
                <w:b/>
                <w:bCs/>
              </w:rPr>
            </w:pPr>
            <w:r w:rsidRPr="0045541D">
              <w:rPr>
                <w:b/>
                <w:bCs/>
              </w:rPr>
              <w:t>2026</w:t>
            </w:r>
          </w:p>
        </w:tc>
        <w:tc>
          <w:tcPr>
            <w:tcW w:w="1134" w:type="dxa"/>
            <w:tcMar>
              <w:top w:w="0" w:type="dxa"/>
              <w:left w:w="108" w:type="dxa"/>
              <w:bottom w:w="0" w:type="dxa"/>
              <w:right w:w="108" w:type="dxa"/>
            </w:tcMar>
            <w:vAlign w:val="center"/>
            <w:hideMark/>
          </w:tcPr>
          <w:p w14:paraId="67E64E71" w14:textId="6CE96059" w:rsidR="006965F6" w:rsidRPr="0045541D" w:rsidRDefault="006965F6" w:rsidP="00702A5D">
            <w:pPr>
              <w:pStyle w:val="TableText"/>
              <w:keepNext/>
              <w:jc w:val="center"/>
              <w:rPr>
                <w:b/>
                <w:bCs/>
              </w:rPr>
            </w:pPr>
            <w:r w:rsidRPr="0045541D">
              <w:rPr>
                <w:b/>
                <w:bCs/>
              </w:rPr>
              <w:t>2027</w:t>
            </w:r>
          </w:p>
        </w:tc>
        <w:tc>
          <w:tcPr>
            <w:tcW w:w="1134" w:type="dxa"/>
            <w:tcMar>
              <w:top w:w="0" w:type="dxa"/>
              <w:left w:w="108" w:type="dxa"/>
              <w:bottom w:w="0" w:type="dxa"/>
              <w:right w:w="108" w:type="dxa"/>
            </w:tcMar>
            <w:vAlign w:val="center"/>
            <w:hideMark/>
          </w:tcPr>
          <w:p w14:paraId="095C2676" w14:textId="3B3D0E2A" w:rsidR="006965F6" w:rsidRPr="0045541D" w:rsidRDefault="006965F6" w:rsidP="00702A5D">
            <w:pPr>
              <w:pStyle w:val="TableText"/>
              <w:keepNext/>
              <w:jc w:val="center"/>
              <w:rPr>
                <w:b/>
                <w:bCs/>
              </w:rPr>
            </w:pPr>
            <w:r w:rsidRPr="0045541D">
              <w:rPr>
                <w:b/>
                <w:bCs/>
              </w:rPr>
              <w:t>2028</w:t>
            </w:r>
          </w:p>
        </w:tc>
        <w:tc>
          <w:tcPr>
            <w:tcW w:w="1134" w:type="dxa"/>
            <w:tcMar>
              <w:top w:w="0" w:type="dxa"/>
              <w:left w:w="108" w:type="dxa"/>
              <w:bottom w:w="0" w:type="dxa"/>
              <w:right w:w="108" w:type="dxa"/>
            </w:tcMar>
            <w:vAlign w:val="center"/>
            <w:hideMark/>
          </w:tcPr>
          <w:p w14:paraId="2F3C3570" w14:textId="57E4EDE0" w:rsidR="006965F6" w:rsidRPr="0045541D" w:rsidRDefault="006965F6" w:rsidP="00702A5D">
            <w:pPr>
              <w:pStyle w:val="TableText"/>
              <w:keepNext/>
              <w:jc w:val="center"/>
              <w:rPr>
                <w:b/>
                <w:bCs/>
              </w:rPr>
            </w:pPr>
            <w:r w:rsidRPr="0045541D">
              <w:rPr>
                <w:b/>
                <w:bCs/>
              </w:rPr>
              <w:t>2029</w:t>
            </w:r>
          </w:p>
        </w:tc>
        <w:tc>
          <w:tcPr>
            <w:tcW w:w="1073" w:type="dxa"/>
            <w:tcMar>
              <w:top w:w="0" w:type="dxa"/>
              <w:left w:w="108" w:type="dxa"/>
              <w:bottom w:w="0" w:type="dxa"/>
              <w:right w:w="108" w:type="dxa"/>
            </w:tcMar>
            <w:vAlign w:val="center"/>
            <w:hideMark/>
          </w:tcPr>
          <w:p w14:paraId="33DAE8D9" w14:textId="62BFCB07" w:rsidR="006965F6" w:rsidRPr="0045541D" w:rsidRDefault="006965F6" w:rsidP="00702A5D">
            <w:pPr>
              <w:pStyle w:val="TableText"/>
              <w:keepNext/>
              <w:jc w:val="center"/>
              <w:rPr>
                <w:b/>
                <w:bCs/>
              </w:rPr>
            </w:pPr>
            <w:r w:rsidRPr="0045541D">
              <w:rPr>
                <w:b/>
                <w:bCs/>
              </w:rPr>
              <w:t>2030</w:t>
            </w:r>
          </w:p>
        </w:tc>
      </w:tr>
      <w:tr w:rsidR="00F72D49" w:rsidRPr="0045541D" w14:paraId="21A463A3" w14:textId="77777777" w:rsidTr="00702A5D">
        <w:tc>
          <w:tcPr>
            <w:tcW w:w="9006" w:type="dxa"/>
            <w:gridSpan w:val="7"/>
            <w:tcMar>
              <w:top w:w="0" w:type="dxa"/>
              <w:left w:w="108" w:type="dxa"/>
              <w:bottom w:w="0" w:type="dxa"/>
              <w:right w:w="108" w:type="dxa"/>
            </w:tcMar>
            <w:vAlign w:val="center"/>
            <w:hideMark/>
          </w:tcPr>
          <w:p w14:paraId="20EC3B1C" w14:textId="049856AD" w:rsidR="00F72D49" w:rsidRPr="0045541D" w:rsidRDefault="00F72D49" w:rsidP="00F72D49">
            <w:pPr>
              <w:pStyle w:val="TableText"/>
              <w:keepNext/>
              <w:rPr>
                <w:b/>
                <w:bCs/>
              </w:rPr>
            </w:pPr>
            <w:r w:rsidRPr="0045541D">
              <w:rPr>
                <w:b/>
                <w:bCs/>
              </w:rPr>
              <w:t>Estimated use and cost of the proposed health technology</w:t>
            </w:r>
          </w:p>
        </w:tc>
      </w:tr>
      <w:tr w:rsidR="006965F6" w:rsidRPr="0045541D" w14:paraId="3634A167" w14:textId="77777777" w:rsidTr="00702A5D">
        <w:tc>
          <w:tcPr>
            <w:tcW w:w="2122" w:type="dxa"/>
            <w:tcMar>
              <w:top w:w="0" w:type="dxa"/>
              <w:left w:w="108" w:type="dxa"/>
              <w:bottom w:w="0" w:type="dxa"/>
              <w:right w:w="108" w:type="dxa"/>
            </w:tcMar>
            <w:hideMark/>
          </w:tcPr>
          <w:p w14:paraId="3A8F1C1D" w14:textId="77777777" w:rsidR="006965F6" w:rsidRPr="0045541D" w:rsidRDefault="006965F6">
            <w:pPr>
              <w:pStyle w:val="TableText"/>
              <w:keepNext/>
            </w:pPr>
            <w:r w:rsidRPr="0045541D">
              <w:t>Number of people eligible for etranacogene dezaparvovec</w:t>
            </w:r>
          </w:p>
        </w:tc>
        <w:tc>
          <w:tcPr>
            <w:tcW w:w="1175" w:type="dxa"/>
            <w:tcMar>
              <w:top w:w="0" w:type="dxa"/>
              <w:left w:w="108" w:type="dxa"/>
              <w:bottom w:w="0" w:type="dxa"/>
              <w:right w:w="108" w:type="dxa"/>
            </w:tcMar>
            <w:vAlign w:val="center"/>
          </w:tcPr>
          <w:p w14:paraId="1F364B58" w14:textId="44B54620" w:rsidR="006965F6" w:rsidRPr="0045541D" w:rsidRDefault="00E62B92" w:rsidP="00702A5D">
            <w:pPr>
              <w:pStyle w:val="TableText"/>
              <w:keepNext/>
              <w:jc w:val="center"/>
              <w:rPr>
                <w:b/>
              </w:rPr>
            </w:pPr>
            <w:r w:rsidRPr="0045541D">
              <w:rPr>
                <w:b/>
                <w:bCs/>
              </w:rPr>
              <w:t>redacted</w:t>
            </w:r>
          </w:p>
        </w:tc>
        <w:tc>
          <w:tcPr>
            <w:tcW w:w="1234" w:type="dxa"/>
            <w:tcMar>
              <w:top w:w="0" w:type="dxa"/>
              <w:left w:w="108" w:type="dxa"/>
              <w:bottom w:w="0" w:type="dxa"/>
              <w:right w:w="108" w:type="dxa"/>
            </w:tcMar>
            <w:vAlign w:val="center"/>
          </w:tcPr>
          <w:p w14:paraId="00F53B66" w14:textId="795007B3" w:rsidR="006965F6" w:rsidRPr="0045541D" w:rsidRDefault="00E62B92" w:rsidP="00702A5D">
            <w:pPr>
              <w:pStyle w:val="TableText"/>
              <w:keepNext/>
              <w:jc w:val="center"/>
            </w:pPr>
            <w:r w:rsidRPr="0045541D">
              <w:rPr>
                <w:b/>
                <w:bCs/>
              </w:rPr>
              <w:t>redacted</w:t>
            </w:r>
          </w:p>
        </w:tc>
        <w:tc>
          <w:tcPr>
            <w:tcW w:w="1134" w:type="dxa"/>
            <w:tcMar>
              <w:top w:w="0" w:type="dxa"/>
              <w:left w:w="108" w:type="dxa"/>
              <w:bottom w:w="0" w:type="dxa"/>
              <w:right w:w="108" w:type="dxa"/>
            </w:tcMar>
            <w:vAlign w:val="center"/>
          </w:tcPr>
          <w:p w14:paraId="5AF47605" w14:textId="0E445936" w:rsidR="006965F6" w:rsidRPr="0045541D" w:rsidRDefault="00E62B92" w:rsidP="00702A5D">
            <w:pPr>
              <w:pStyle w:val="TableText"/>
              <w:keepNext/>
              <w:jc w:val="center"/>
            </w:pPr>
            <w:r w:rsidRPr="0045541D">
              <w:rPr>
                <w:b/>
                <w:bCs/>
              </w:rPr>
              <w:t>redacted</w:t>
            </w:r>
          </w:p>
        </w:tc>
        <w:tc>
          <w:tcPr>
            <w:tcW w:w="1134" w:type="dxa"/>
            <w:tcMar>
              <w:top w:w="0" w:type="dxa"/>
              <w:left w:w="108" w:type="dxa"/>
              <w:bottom w:w="0" w:type="dxa"/>
              <w:right w:w="108" w:type="dxa"/>
            </w:tcMar>
            <w:vAlign w:val="center"/>
          </w:tcPr>
          <w:p w14:paraId="6F607FF9" w14:textId="6F1F37C5" w:rsidR="006965F6" w:rsidRPr="0045541D" w:rsidRDefault="00E62B92" w:rsidP="00702A5D">
            <w:pPr>
              <w:pStyle w:val="TableText"/>
              <w:keepNext/>
              <w:jc w:val="center"/>
            </w:pPr>
            <w:r w:rsidRPr="0045541D">
              <w:rPr>
                <w:b/>
                <w:bCs/>
              </w:rPr>
              <w:t>redacted</w:t>
            </w:r>
          </w:p>
        </w:tc>
        <w:tc>
          <w:tcPr>
            <w:tcW w:w="1134" w:type="dxa"/>
            <w:tcMar>
              <w:top w:w="0" w:type="dxa"/>
              <w:left w:w="108" w:type="dxa"/>
              <w:bottom w:w="0" w:type="dxa"/>
              <w:right w:w="108" w:type="dxa"/>
            </w:tcMar>
            <w:vAlign w:val="center"/>
          </w:tcPr>
          <w:p w14:paraId="641A56CF" w14:textId="1BAB6187" w:rsidR="006965F6" w:rsidRPr="0045541D" w:rsidRDefault="00E62B92" w:rsidP="00702A5D">
            <w:pPr>
              <w:pStyle w:val="TableText"/>
              <w:keepNext/>
              <w:jc w:val="center"/>
            </w:pPr>
            <w:r w:rsidRPr="0045541D">
              <w:rPr>
                <w:b/>
                <w:bCs/>
              </w:rPr>
              <w:t>redacted</w:t>
            </w:r>
          </w:p>
        </w:tc>
        <w:tc>
          <w:tcPr>
            <w:tcW w:w="1073" w:type="dxa"/>
            <w:tcMar>
              <w:top w:w="0" w:type="dxa"/>
              <w:left w:w="108" w:type="dxa"/>
              <w:bottom w:w="0" w:type="dxa"/>
              <w:right w:w="108" w:type="dxa"/>
            </w:tcMar>
            <w:vAlign w:val="center"/>
          </w:tcPr>
          <w:p w14:paraId="61813E01" w14:textId="18C92D52" w:rsidR="006965F6" w:rsidRPr="0045541D" w:rsidRDefault="00E62B92" w:rsidP="00702A5D">
            <w:pPr>
              <w:pStyle w:val="TableText"/>
              <w:keepNext/>
              <w:jc w:val="center"/>
            </w:pPr>
            <w:r w:rsidRPr="0045541D">
              <w:rPr>
                <w:b/>
                <w:bCs/>
              </w:rPr>
              <w:t>redacted</w:t>
            </w:r>
          </w:p>
        </w:tc>
      </w:tr>
      <w:tr w:rsidR="006965F6" w:rsidRPr="0045541D" w14:paraId="561CE3BD" w14:textId="77777777" w:rsidTr="00702A5D">
        <w:tc>
          <w:tcPr>
            <w:tcW w:w="2122" w:type="dxa"/>
            <w:tcMar>
              <w:top w:w="0" w:type="dxa"/>
              <w:left w:w="108" w:type="dxa"/>
              <w:bottom w:w="0" w:type="dxa"/>
              <w:right w:w="108" w:type="dxa"/>
            </w:tcMar>
            <w:hideMark/>
          </w:tcPr>
          <w:p w14:paraId="1C20BB9F" w14:textId="77777777" w:rsidR="006965F6" w:rsidRPr="0045541D" w:rsidRDefault="006965F6">
            <w:pPr>
              <w:pStyle w:val="TableText"/>
              <w:keepNext/>
            </w:pPr>
            <w:r w:rsidRPr="0045541D">
              <w:t>Number of people who receive etranacogene dezaparvovec</w:t>
            </w:r>
          </w:p>
        </w:tc>
        <w:tc>
          <w:tcPr>
            <w:tcW w:w="1175" w:type="dxa"/>
            <w:tcMar>
              <w:top w:w="0" w:type="dxa"/>
              <w:left w:w="108" w:type="dxa"/>
              <w:bottom w:w="0" w:type="dxa"/>
              <w:right w:w="108" w:type="dxa"/>
            </w:tcMar>
            <w:vAlign w:val="center"/>
          </w:tcPr>
          <w:p w14:paraId="2ECA7604" w14:textId="78DC5BE2" w:rsidR="006965F6" w:rsidRPr="0045541D" w:rsidRDefault="00E62B92" w:rsidP="00702A5D">
            <w:pPr>
              <w:pStyle w:val="TableText"/>
              <w:keepNext/>
              <w:jc w:val="center"/>
            </w:pPr>
            <w:r w:rsidRPr="0045541D">
              <w:rPr>
                <w:b/>
                <w:bCs/>
              </w:rPr>
              <w:t>redacted</w:t>
            </w:r>
          </w:p>
        </w:tc>
        <w:tc>
          <w:tcPr>
            <w:tcW w:w="1234" w:type="dxa"/>
            <w:tcMar>
              <w:top w:w="0" w:type="dxa"/>
              <w:left w:w="108" w:type="dxa"/>
              <w:bottom w:w="0" w:type="dxa"/>
              <w:right w:w="108" w:type="dxa"/>
            </w:tcMar>
            <w:vAlign w:val="center"/>
          </w:tcPr>
          <w:p w14:paraId="281E3439" w14:textId="38BDD6AD" w:rsidR="006965F6" w:rsidRPr="0045541D" w:rsidRDefault="00E62B92" w:rsidP="00702A5D">
            <w:pPr>
              <w:pStyle w:val="TableText"/>
              <w:keepNext/>
              <w:jc w:val="center"/>
            </w:pPr>
            <w:r w:rsidRPr="0045541D">
              <w:rPr>
                <w:b/>
                <w:bCs/>
              </w:rPr>
              <w:t>redacted</w:t>
            </w:r>
          </w:p>
        </w:tc>
        <w:tc>
          <w:tcPr>
            <w:tcW w:w="1134" w:type="dxa"/>
            <w:tcMar>
              <w:top w:w="0" w:type="dxa"/>
              <w:left w:w="108" w:type="dxa"/>
              <w:bottom w:w="0" w:type="dxa"/>
              <w:right w:w="108" w:type="dxa"/>
            </w:tcMar>
            <w:vAlign w:val="center"/>
          </w:tcPr>
          <w:p w14:paraId="29C62E19" w14:textId="65E18223" w:rsidR="006965F6" w:rsidRPr="0045541D" w:rsidRDefault="00E62B92" w:rsidP="00702A5D">
            <w:pPr>
              <w:pStyle w:val="TableText"/>
              <w:keepNext/>
              <w:jc w:val="center"/>
            </w:pPr>
            <w:r w:rsidRPr="0045541D">
              <w:rPr>
                <w:b/>
                <w:bCs/>
              </w:rPr>
              <w:t>redacted</w:t>
            </w:r>
          </w:p>
        </w:tc>
        <w:tc>
          <w:tcPr>
            <w:tcW w:w="1134" w:type="dxa"/>
            <w:tcMar>
              <w:top w:w="0" w:type="dxa"/>
              <w:left w:w="108" w:type="dxa"/>
              <w:bottom w:w="0" w:type="dxa"/>
              <w:right w:w="108" w:type="dxa"/>
            </w:tcMar>
            <w:vAlign w:val="center"/>
          </w:tcPr>
          <w:p w14:paraId="32E3422F" w14:textId="174A6A02" w:rsidR="006965F6" w:rsidRPr="0045541D" w:rsidRDefault="00E62B92" w:rsidP="00702A5D">
            <w:pPr>
              <w:pStyle w:val="TableText"/>
              <w:keepNext/>
              <w:jc w:val="center"/>
            </w:pPr>
            <w:r w:rsidRPr="0045541D">
              <w:rPr>
                <w:b/>
                <w:bCs/>
              </w:rPr>
              <w:t>redacted</w:t>
            </w:r>
          </w:p>
        </w:tc>
        <w:tc>
          <w:tcPr>
            <w:tcW w:w="1134" w:type="dxa"/>
            <w:tcMar>
              <w:top w:w="0" w:type="dxa"/>
              <w:left w:w="108" w:type="dxa"/>
              <w:bottom w:w="0" w:type="dxa"/>
              <w:right w:w="108" w:type="dxa"/>
            </w:tcMar>
            <w:vAlign w:val="center"/>
          </w:tcPr>
          <w:p w14:paraId="536EDB64" w14:textId="1CD19AC8" w:rsidR="006965F6" w:rsidRPr="0045541D" w:rsidRDefault="00E62B92" w:rsidP="00702A5D">
            <w:pPr>
              <w:pStyle w:val="TableText"/>
              <w:keepNext/>
              <w:jc w:val="center"/>
            </w:pPr>
            <w:r w:rsidRPr="0045541D">
              <w:rPr>
                <w:b/>
                <w:bCs/>
              </w:rPr>
              <w:t>redacted</w:t>
            </w:r>
          </w:p>
        </w:tc>
        <w:tc>
          <w:tcPr>
            <w:tcW w:w="1073" w:type="dxa"/>
            <w:tcMar>
              <w:top w:w="0" w:type="dxa"/>
              <w:left w:w="108" w:type="dxa"/>
              <w:bottom w:w="0" w:type="dxa"/>
              <w:right w:w="108" w:type="dxa"/>
            </w:tcMar>
            <w:vAlign w:val="center"/>
          </w:tcPr>
          <w:p w14:paraId="5EE36EC2" w14:textId="302BAC25" w:rsidR="006965F6" w:rsidRPr="0045541D" w:rsidRDefault="00E62B92" w:rsidP="00702A5D">
            <w:pPr>
              <w:pStyle w:val="TableText"/>
              <w:keepNext/>
              <w:jc w:val="center"/>
            </w:pPr>
            <w:r w:rsidRPr="0045541D">
              <w:rPr>
                <w:b/>
                <w:bCs/>
              </w:rPr>
              <w:t>redacted</w:t>
            </w:r>
          </w:p>
        </w:tc>
      </w:tr>
      <w:tr w:rsidR="006965F6" w:rsidRPr="0045541D" w14:paraId="41377F86" w14:textId="77777777" w:rsidTr="00702A5D">
        <w:tc>
          <w:tcPr>
            <w:tcW w:w="2122" w:type="dxa"/>
            <w:tcMar>
              <w:top w:w="0" w:type="dxa"/>
              <w:left w:w="108" w:type="dxa"/>
              <w:bottom w:w="0" w:type="dxa"/>
              <w:right w:w="108" w:type="dxa"/>
            </w:tcMar>
            <w:hideMark/>
          </w:tcPr>
          <w:p w14:paraId="2D59ACA4" w14:textId="409D9658" w:rsidR="006965F6" w:rsidRPr="0045541D" w:rsidRDefault="006965F6">
            <w:pPr>
              <w:pStyle w:val="TableText"/>
              <w:keepNext/>
            </w:pPr>
            <w:r w:rsidRPr="0045541D">
              <w:t xml:space="preserve">Cost to </w:t>
            </w:r>
            <w:r w:rsidR="54D65D7F" w:rsidRPr="0045541D">
              <w:t>n</w:t>
            </w:r>
            <w:r w:rsidR="36324063" w:rsidRPr="0045541D">
              <w:t xml:space="preserve">ational </w:t>
            </w:r>
            <w:r w:rsidR="36FA4DCF" w:rsidRPr="0045541D">
              <w:t>b</w:t>
            </w:r>
            <w:r w:rsidR="36324063" w:rsidRPr="0045541D">
              <w:t xml:space="preserve">lood </w:t>
            </w:r>
            <w:r w:rsidR="446E3F29" w:rsidRPr="0045541D">
              <w:t>arrangements</w:t>
            </w:r>
          </w:p>
        </w:tc>
        <w:tc>
          <w:tcPr>
            <w:tcW w:w="1175" w:type="dxa"/>
            <w:tcMar>
              <w:top w:w="0" w:type="dxa"/>
              <w:left w:w="108" w:type="dxa"/>
              <w:bottom w:w="0" w:type="dxa"/>
              <w:right w:w="108" w:type="dxa"/>
            </w:tcMar>
            <w:vAlign w:val="center"/>
          </w:tcPr>
          <w:p w14:paraId="6440E764" w14:textId="1677D7D8" w:rsidR="006965F6" w:rsidRPr="0045541D" w:rsidRDefault="006965F6" w:rsidP="00702A5D">
            <w:pPr>
              <w:pStyle w:val="TableText"/>
              <w:keepNext/>
              <w:jc w:val="right"/>
            </w:pPr>
            <w:r w:rsidRPr="0045541D">
              <w:t>$</w:t>
            </w:r>
            <w:r w:rsidR="00E62B92" w:rsidRPr="0045541D">
              <w:rPr>
                <w:b/>
                <w:bCs/>
              </w:rPr>
              <w:t>redacted</w:t>
            </w:r>
          </w:p>
        </w:tc>
        <w:tc>
          <w:tcPr>
            <w:tcW w:w="1234" w:type="dxa"/>
            <w:tcMar>
              <w:top w:w="0" w:type="dxa"/>
              <w:left w:w="108" w:type="dxa"/>
              <w:bottom w:w="0" w:type="dxa"/>
              <w:right w:w="108" w:type="dxa"/>
            </w:tcMar>
            <w:vAlign w:val="center"/>
          </w:tcPr>
          <w:p w14:paraId="28F9E309" w14:textId="0EA02920" w:rsidR="006965F6" w:rsidRPr="0045541D" w:rsidRDefault="006965F6" w:rsidP="00702A5D">
            <w:pPr>
              <w:pStyle w:val="TableText"/>
              <w:keepNext/>
              <w:jc w:val="right"/>
            </w:pPr>
            <w:r w:rsidRPr="0045541D">
              <w:t>$</w:t>
            </w:r>
            <w:r w:rsidR="00E62B92" w:rsidRPr="0045541D">
              <w:rPr>
                <w:b/>
                <w:bCs/>
              </w:rPr>
              <w:t>redacted</w:t>
            </w:r>
          </w:p>
        </w:tc>
        <w:tc>
          <w:tcPr>
            <w:tcW w:w="1134" w:type="dxa"/>
            <w:tcMar>
              <w:top w:w="0" w:type="dxa"/>
              <w:left w:w="108" w:type="dxa"/>
              <w:bottom w:w="0" w:type="dxa"/>
              <w:right w:w="108" w:type="dxa"/>
            </w:tcMar>
            <w:vAlign w:val="center"/>
          </w:tcPr>
          <w:p w14:paraId="1587A5D7" w14:textId="3156782F" w:rsidR="006965F6" w:rsidRPr="0045541D" w:rsidRDefault="006965F6" w:rsidP="00702A5D">
            <w:pPr>
              <w:pStyle w:val="TableText"/>
              <w:keepNext/>
              <w:jc w:val="right"/>
            </w:pPr>
            <w:r w:rsidRPr="0045541D">
              <w:t>$</w:t>
            </w:r>
            <w:r w:rsidR="00E62B92" w:rsidRPr="0045541D">
              <w:rPr>
                <w:b/>
                <w:bCs/>
              </w:rPr>
              <w:t>redacted</w:t>
            </w:r>
          </w:p>
        </w:tc>
        <w:tc>
          <w:tcPr>
            <w:tcW w:w="1134" w:type="dxa"/>
            <w:tcMar>
              <w:top w:w="0" w:type="dxa"/>
              <w:left w:w="108" w:type="dxa"/>
              <w:bottom w:w="0" w:type="dxa"/>
              <w:right w:w="108" w:type="dxa"/>
            </w:tcMar>
            <w:vAlign w:val="center"/>
          </w:tcPr>
          <w:p w14:paraId="0FF1ED38" w14:textId="5D4D6875" w:rsidR="006965F6" w:rsidRPr="0045541D" w:rsidRDefault="006965F6" w:rsidP="00702A5D">
            <w:pPr>
              <w:pStyle w:val="TableText"/>
              <w:keepNext/>
              <w:jc w:val="right"/>
            </w:pPr>
            <w:r w:rsidRPr="0045541D">
              <w:t>$</w:t>
            </w:r>
            <w:r w:rsidR="00E62B92" w:rsidRPr="0045541D">
              <w:rPr>
                <w:b/>
                <w:bCs/>
              </w:rPr>
              <w:t>redacted</w:t>
            </w:r>
          </w:p>
        </w:tc>
        <w:tc>
          <w:tcPr>
            <w:tcW w:w="1134" w:type="dxa"/>
            <w:tcMar>
              <w:top w:w="0" w:type="dxa"/>
              <w:left w:w="108" w:type="dxa"/>
              <w:bottom w:w="0" w:type="dxa"/>
              <w:right w:w="108" w:type="dxa"/>
            </w:tcMar>
            <w:vAlign w:val="center"/>
          </w:tcPr>
          <w:p w14:paraId="4F263517" w14:textId="7DAD31FB" w:rsidR="006965F6" w:rsidRPr="0045541D" w:rsidRDefault="006965F6" w:rsidP="00702A5D">
            <w:pPr>
              <w:pStyle w:val="TableText"/>
              <w:keepNext/>
              <w:jc w:val="right"/>
            </w:pPr>
            <w:r w:rsidRPr="0045541D">
              <w:t>$</w:t>
            </w:r>
            <w:r w:rsidR="00E62B92" w:rsidRPr="0045541D">
              <w:rPr>
                <w:b/>
                <w:bCs/>
              </w:rPr>
              <w:t>redacted</w:t>
            </w:r>
          </w:p>
        </w:tc>
        <w:tc>
          <w:tcPr>
            <w:tcW w:w="1073" w:type="dxa"/>
            <w:tcMar>
              <w:top w:w="0" w:type="dxa"/>
              <w:left w:w="108" w:type="dxa"/>
              <w:bottom w:w="0" w:type="dxa"/>
              <w:right w:w="108" w:type="dxa"/>
            </w:tcMar>
            <w:vAlign w:val="center"/>
          </w:tcPr>
          <w:p w14:paraId="07CF9298" w14:textId="78637672" w:rsidR="006965F6" w:rsidRPr="0045541D" w:rsidRDefault="006965F6" w:rsidP="00702A5D">
            <w:pPr>
              <w:pStyle w:val="TableText"/>
              <w:keepNext/>
              <w:jc w:val="right"/>
            </w:pPr>
            <w:r w:rsidRPr="0045541D">
              <w:t>$</w:t>
            </w:r>
            <w:r w:rsidR="00E62B92" w:rsidRPr="0045541D">
              <w:rPr>
                <w:b/>
                <w:bCs/>
              </w:rPr>
              <w:t>redacted</w:t>
            </w:r>
          </w:p>
        </w:tc>
      </w:tr>
      <w:tr w:rsidR="00F72D49" w:rsidRPr="0045541D" w14:paraId="49369C2D" w14:textId="77777777" w:rsidTr="00702A5D">
        <w:tc>
          <w:tcPr>
            <w:tcW w:w="9006" w:type="dxa"/>
            <w:gridSpan w:val="7"/>
            <w:tcMar>
              <w:top w:w="0" w:type="dxa"/>
              <w:left w:w="108" w:type="dxa"/>
              <w:bottom w:w="0" w:type="dxa"/>
              <w:right w:w="108" w:type="dxa"/>
            </w:tcMar>
            <w:vAlign w:val="center"/>
            <w:hideMark/>
          </w:tcPr>
          <w:p w14:paraId="09241B43" w14:textId="2C3334C5" w:rsidR="00F72D49" w:rsidRPr="0045541D" w:rsidRDefault="00F72D49" w:rsidP="00F72D49">
            <w:pPr>
              <w:pStyle w:val="TableText"/>
              <w:keepNext/>
              <w:rPr>
                <w:b/>
                <w:bCs/>
              </w:rPr>
            </w:pPr>
            <w:r w:rsidRPr="0045541D">
              <w:rPr>
                <w:b/>
                <w:bCs/>
              </w:rPr>
              <w:t>Change in use and cost of other health technologies</w:t>
            </w:r>
          </w:p>
        </w:tc>
      </w:tr>
      <w:tr w:rsidR="006965F6" w:rsidRPr="0045541D" w14:paraId="463C7029" w14:textId="77777777" w:rsidTr="00702A5D">
        <w:tc>
          <w:tcPr>
            <w:tcW w:w="2122" w:type="dxa"/>
            <w:tcMar>
              <w:top w:w="0" w:type="dxa"/>
              <w:left w:w="108" w:type="dxa"/>
              <w:bottom w:w="0" w:type="dxa"/>
              <w:right w:w="108" w:type="dxa"/>
            </w:tcMar>
            <w:hideMark/>
          </w:tcPr>
          <w:p w14:paraId="4F124516" w14:textId="77777777" w:rsidR="006965F6" w:rsidRPr="0045541D" w:rsidRDefault="006965F6">
            <w:pPr>
              <w:pStyle w:val="TableText"/>
              <w:keepNext/>
            </w:pPr>
            <w:r w:rsidRPr="0045541D">
              <w:t>Total FIX cost-offsets</w:t>
            </w:r>
          </w:p>
        </w:tc>
        <w:tc>
          <w:tcPr>
            <w:tcW w:w="1175" w:type="dxa"/>
            <w:tcMar>
              <w:top w:w="0" w:type="dxa"/>
              <w:left w:w="108" w:type="dxa"/>
              <w:bottom w:w="0" w:type="dxa"/>
              <w:right w:w="108" w:type="dxa"/>
            </w:tcMar>
            <w:vAlign w:val="center"/>
          </w:tcPr>
          <w:p w14:paraId="0AF13590" w14:textId="1AC3F4D1" w:rsidR="006965F6" w:rsidRPr="0045541D" w:rsidRDefault="006965F6" w:rsidP="00702A5D">
            <w:pPr>
              <w:pStyle w:val="TableText"/>
              <w:keepNext/>
              <w:jc w:val="right"/>
            </w:pPr>
            <w:r w:rsidRPr="0045541D">
              <w:t>$</w:t>
            </w:r>
            <w:r w:rsidR="00E62B92" w:rsidRPr="0045541D">
              <w:rPr>
                <w:b/>
                <w:bCs/>
              </w:rPr>
              <w:t>redacted</w:t>
            </w:r>
          </w:p>
        </w:tc>
        <w:tc>
          <w:tcPr>
            <w:tcW w:w="1234" w:type="dxa"/>
            <w:tcMar>
              <w:top w:w="0" w:type="dxa"/>
              <w:left w:w="108" w:type="dxa"/>
              <w:bottom w:w="0" w:type="dxa"/>
              <w:right w:w="108" w:type="dxa"/>
            </w:tcMar>
            <w:vAlign w:val="center"/>
          </w:tcPr>
          <w:p w14:paraId="62A07D3F" w14:textId="6A93C413" w:rsidR="006965F6" w:rsidRPr="0045541D" w:rsidRDefault="006965F6" w:rsidP="00702A5D">
            <w:pPr>
              <w:pStyle w:val="TableText"/>
              <w:keepNext/>
              <w:jc w:val="right"/>
            </w:pPr>
            <w:r w:rsidRPr="0045541D">
              <w:t>$</w:t>
            </w:r>
            <w:r w:rsidR="00E62B92" w:rsidRPr="0045541D">
              <w:rPr>
                <w:b/>
                <w:bCs/>
              </w:rPr>
              <w:t>redacted</w:t>
            </w:r>
          </w:p>
        </w:tc>
        <w:tc>
          <w:tcPr>
            <w:tcW w:w="1134" w:type="dxa"/>
            <w:tcMar>
              <w:top w:w="0" w:type="dxa"/>
              <w:left w:w="108" w:type="dxa"/>
              <w:bottom w:w="0" w:type="dxa"/>
              <w:right w:w="108" w:type="dxa"/>
            </w:tcMar>
            <w:vAlign w:val="center"/>
          </w:tcPr>
          <w:p w14:paraId="41F1D2F9" w14:textId="41D5F80D" w:rsidR="006965F6" w:rsidRPr="0045541D" w:rsidRDefault="006965F6" w:rsidP="00702A5D">
            <w:pPr>
              <w:pStyle w:val="TableText"/>
              <w:keepNext/>
              <w:jc w:val="right"/>
            </w:pPr>
            <w:r w:rsidRPr="0045541D">
              <w:t>$</w:t>
            </w:r>
            <w:r w:rsidR="00E62B92" w:rsidRPr="0045541D">
              <w:rPr>
                <w:b/>
                <w:bCs/>
              </w:rPr>
              <w:t>redacted</w:t>
            </w:r>
          </w:p>
        </w:tc>
        <w:tc>
          <w:tcPr>
            <w:tcW w:w="1134" w:type="dxa"/>
            <w:tcMar>
              <w:top w:w="0" w:type="dxa"/>
              <w:left w:w="108" w:type="dxa"/>
              <w:bottom w:w="0" w:type="dxa"/>
              <w:right w:w="108" w:type="dxa"/>
            </w:tcMar>
            <w:vAlign w:val="center"/>
          </w:tcPr>
          <w:p w14:paraId="7537624F" w14:textId="4899DAD2" w:rsidR="006965F6" w:rsidRPr="0045541D" w:rsidRDefault="006965F6" w:rsidP="00702A5D">
            <w:pPr>
              <w:pStyle w:val="TableText"/>
              <w:keepNext/>
              <w:jc w:val="right"/>
            </w:pPr>
            <w:r w:rsidRPr="0045541D">
              <w:t>$</w:t>
            </w:r>
            <w:r w:rsidR="00E62B92" w:rsidRPr="0045541D">
              <w:rPr>
                <w:b/>
                <w:bCs/>
              </w:rPr>
              <w:t>redacted</w:t>
            </w:r>
          </w:p>
        </w:tc>
        <w:tc>
          <w:tcPr>
            <w:tcW w:w="1134" w:type="dxa"/>
            <w:tcMar>
              <w:top w:w="0" w:type="dxa"/>
              <w:left w:w="108" w:type="dxa"/>
              <w:bottom w:w="0" w:type="dxa"/>
              <w:right w:w="108" w:type="dxa"/>
            </w:tcMar>
            <w:vAlign w:val="center"/>
          </w:tcPr>
          <w:p w14:paraId="68C37851" w14:textId="516C8ACC" w:rsidR="006965F6" w:rsidRPr="0045541D" w:rsidRDefault="006965F6" w:rsidP="00702A5D">
            <w:pPr>
              <w:pStyle w:val="TableText"/>
              <w:keepNext/>
              <w:jc w:val="right"/>
            </w:pPr>
            <w:r w:rsidRPr="0045541D">
              <w:t>$</w:t>
            </w:r>
            <w:r w:rsidR="00E62B92" w:rsidRPr="0045541D">
              <w:rPr>
                <w:b/>
                <w:bCs/>
              </w:rPr>
              <w:t>redacted</w:t>
            </w:r>
          </w:p>
        </w:tc>
        <w:tc>
          <w:tcPr>
            <w:tcW w:w="1073" w:type="dxa"/>
            <w:tcMar>
              <w:top w:w="0" w:type="dxa"/>
              <w:left w:w="108" w:type="dxa"/>
              <w:bottom w:w="0" w:type="dxa"/>
              <w:right w:w="108" w:type="dxa"/>
            </w:tcMar>
            <w:vAlign w:val="center"/>
          </w:tcPr>
          <w:p w14:paraId="2DEBB2F0" w14:textId="4C158C26" w:rsidR="006965F6" w:rsidRPr="0045541D" w:rsidRDefault="006965F6" w:rsidP="00702A5D">
            <w:pPr>
              <w:pStyle w:val="TableText"/>
              <w:keepNext/>
              <w:jc w:val="right"/>
            </w:pPr>
            <w:r w:rsidRPr="0045541D">
              <w:t>$</w:t>
            </w:r>
            <w:r w:rsidR="00E62B92" w:rsidRPr="0045541D">
              <w:rPr>
                <w:b/>
                <w:bCs/>
              </w:rPr>
              <w:t>redacted</w:t>
            </w:r>
          </w:p>
        </w:tc>
      </w:tr>
      <w:tr w:rsidR="006965F6" w:rsidRPr="0045541D" w14:paraId="73B2E337" w14:textId="77777777" w:rsidTr="00702A5D">
        <w:tc>
          <w:tcPr>
            <w:tcW w:w="2122" w:type="dxa"/>
            <w:tcMar>
              <w:top w:w="0" w:type="dxa"/>
              <w:left w:w="108" w:type="dxa"/>
              <w:bottom w:w="0" w:type="dxa"/>
              <w:right w:w="108" w:type="dxa"/>
            </w:tcMar>
            <w:hideMark/>
          </w:tcPr>
          <w:p w14:paraId="17A7BFF8" w14:textId="35DF90DA" w:rsidR="006965F6" w:rsidRPr="0045541D" w:rsidRDefault="006965F6">
            <w:pPr>
              <w:pStyle w:val="TableText"/>
              <w:keepNext/>
              <w:rPr>
                <w:b/>
                <w:bCs/>
              </w:rPr>
            </w:pPr>
            <w:r w:rsidRPr="0045541D">
              <w:rPr>
                <w:b/>
                <w:bCs/>
              </w:rPr>
              <w:t xml:space="preserve">Net financial impact to </w:t>
            </w:r>
            <w:r w:rsidR="4EE8BB89" w:rsidRPr="0045541D">
              <w:rPr>
                <w:b/>
                <w:bCs/>
              </w:rPr>
              <w:t>n</w:t>
            </w:r>
            <w:r w:rsidR="36324063" w:rsidRPr="0045541D">
              <w:rPr>
                <w:b/>
                <w:bCs/>
              </w:rPr>
              <w:t xml:space="preserve">ational </w:t>
            </w:r>
            <w:r w:rsidR="2E295B4B" w:rsidRPr="0045541D">
              <w:rPr>
                <w:b/>
                <w:bCs/>
              </w:rPr>
              <w:t>b</w:t>
            </w:r>
            <w:r w:rsidR="36324063" w:rsidRPr="0045541D">
              <w:rPr>
                <w:b/>
                <w:bCs/>
              </w:rPr>
              <w:t xml:space="preserve">lood </w:t>
            </w:r>
            <w:r w:rsidR="0AB15421" w:rsidRPr="0045541D">
              <w:rPr>
                <w:b/>
                <w:bCs/>
              </w:rPr>
              <w:t>arrang</w:t>
            </w:r>
            <w:r w:rsidR="00B05CF7" w:rsidRPr="0045541D">
              <w:rPr>
                <w:b/>
                <w:bCs/>
              </w:rPr>
              <w:t>e</w:t>
            </w:r>
            <w:r w:rsidR="0AB15421" w:rsidRPr="0045541D">
              <w:rPr>
                <w:b/>
                <w:bCs/>
              </w:rPr>
              <w:t>ments</w:t>
            </w:r>
          </w:p>
        </w:tc>
        <w:tc>
          <w:tcPr>
            <w:tcW w:w="1175" w:type="dxa"/>
            <w:tcMar>
              <w:top w:w="0" w:type="dxa"/>
              <w:left w:w="108" w:type="dxa"/>
              <w:bottom w:w="0" w:type="dxa"/>
              <w:right w:w="108" w:type="dxa"/>
            </w:tcMar>
            <w:vAlign w:val="center"/>
          </w:tcPr>
          <w:p w14:paraId="197C563A" w14:textId="71AE780D" w:rsidR="006965F6" w:rsidRPr="0045541D" w:rsidRDefault="006965F6" w:rsidP="00702A5D">
            <w:pPr>
              <w:pStyle w:val="TableText"/>
              <w:keepNext/>
              <w:jc w:val="right"/>
              <w:rPr>
                <w:b/>
                <w:bCs/>
              </w:rPr>
            </w:pPr>
            <w:r w:rsidRPr="0045541D">
              <w:rPr>
                <w:b/>
              </w:rPr>
              <w:t>$</w:t>
            </w:r>
            <w:r w:rsidR="00E62B92" w:rsidRPr="0045541D">
              <w:rPr>
                <w:b/>
                <w:bCs/>
              </w:rPr>
              <w:t>redacted</w:t>
            </w:r>
          </w:p>
        </w:tc>
        <w:tc>
          <w:tcPr>
            <w:tcW w:w="1234" w:type="dxa"/>
            <w:tcMar>
              <w:top w:w="0" w:type="dxa"/>
              <w:left w:w="108" w:type="dxa"/>
              <w:bottom w:w="0" w:type="dxa"/>
              <w:right w:w="108" w:type="dxa"/>
            </w:tcMar>
            <w:vAlign w:val="center"/>
          </w:tcPr>
          <w:p w14:paraId="5204AD56" w14:textId="4D407A4A" w:rsidR="006965F6" w:rsidRPr="0045541D" w:rsidRDefault="006965F6" w:rsidP="00702A5D">
            <w:pPr>
              <w:pStyle w:val="TableText"/>
              <w:keepNext/>
              <w:jc w:val="right"/>
              <w:rPr>
                <w:b/>
                <w:bCs/>
              </w:rPr>
            </w:pPr>
            <w:r w:rsidRPr="0045541D">
              <w:rPr>
                <w:b/>
              </w:rPr>
              <w:t>$</w:t>
            </w:r>
            <w:r w:rsidR="00E62B92" w:rsidRPr="0045541D">
              <w:rPr>
                <w:b/>
                <w:bCs/>
              </w:rPr>
              <w:t>redacted</w:t>
            </w:r>
          </w:p>
        </w:tc>
        <w:tc>
          <w:tcPr>
            <w:tcW w:w="1134" w:type="dxa"/>
            <w:tcMar>
              <w:top w:w="0" w:type="dxa"/>
              <w:left w:w="108" w:type="dxa"/>
              <w:bottom w:w="0" w:type="dxa"/>
              <w:right w:w="108" w:type="dxa"/>
            </w:tcMar>
            <w:vAlign w:val="center"/>
          </w:tcPr>
          <w:p w14:paraId="187A93E9" w14:textId="3DA0548E" w:rsidR="006965F6" w:rsidRPr="0045541D" w:rsidRDefault="006965F6" w:rsidP="00702A5D">
            <w:pPr>
              <w:pStyle w:val="TableText"/>
              <w:keepNext/>
              <w:jc w:val="right"/>
              <w:rPr>
                <w:b/>
                <w:bCs/>
              </w:rPr>
            </w:pPr>
            <w:r w:rsidRPr="0045541D">
              <w:rPr>
                <w:b/>
              </w:rPr>
              <w:t>$</w:t>
            </w:r>
            <w:r w:rsidR="00E62B92" w:rsidRPr="0045541D">
              <w:rPr>
                <w:b/>
                <w:bCs/>
              </w:rPr>
              <w:t>redacted</w:t>
            </w:r>
          </w:p>
        </w:tc>
        <w:tc>
          <w:tcPr>
            <w:tcW w:w="1134" w:type="dxa"/>
            <w:tcMar>
              <w:top w:w="0" w:type="dxa"/>
              <w:left w:w="108" w:type="dxa"/>
              <w:bottom w:w="0" w:type="dxa"/>
              <w:right w:w="108" w:type="dxa"/>
            </w:tcMar>
            <w:vAlign w:val="center"/>
          </w:tcPr>
          <w:p w14:paraId="3189190D" w14:textId="4AD8A619" w:rsidR="006965F6" w:rsidRPr="0045541D" w:rsidRDefault="006965F6" w:rsidP="00702A5D">
            <w:pPr>
              <w:pStyle w:val="TableText"/>
              <w:keepNext/>
              <w:jc w:val="right"/>
              <w:rPr>
                <w:b/>
                <w:bCs/>
              </w:rPr>
            </w:pPr>
            <w:r w:rsidRPr="0045541D">
              <w:rPr>
                <w:b/>
              </w:rPr>
              <w:t>$</w:t>
            </w:r>
            <w:r w:rsidR="00E62B92" w:rsidRPr="0045541D">
              <w:rPr>
                <w:b/>
                <w:bCs/>
              </w:rPr>
              <w:t>redacted</w:t>
            </w:r>
          </w:p>
        </w:tc>
        <w:tc>
          <w:tcPr>
            <w:tcW w:w="1134" w:type="dxa"/>
            <w:tcMar>
              <w:top w:w="0" w:type="dxa"/>
              <w:left w:w="108" w:type="dxa"/>
              <w:bottom w:w="0" w:type="dxa"/>
              <w:right w:w="108" w:type="dxa"/>
            </w:tcMar>
            <w:vAlign w:val="center"/>
          </w:tcPr>
          <w:p w14:paraId="7392E588" w14:textId="7468F71A" w:rsidR="006965F6" w:rsidRPr="0045541D" w:rsidRDefault="006965F6" w:rsidP="00702A5D">
            <w:pPr>
              <w:pStyle w:val="TableText"/>
              <w:keepNext/>
              <w:jc w:val="right"/>
              <w:rPr>
                <w:b/>
                <w:bCs/>
              </w:rPr>
            </w:pPr>
            <w:r w:rsidRPr="0045541D">
              <w:rPr>
                <w:b/>
              </w:rPr>
              <w:t>$</w:t>
            </w:r>
            <w:r w:rsidR="00E62B92" w:rsidRPr="0045541D">
              <w:rPr>
                <w:b/>
                <w:bCs/>
              </w:rPr>
              <w:t>redacted</w:t>
            </w:r>
          </w:p>
        </w:tc>
        <w:tc>
          <w:tcPr>
            <w:tcW w:w="1073" w:type="dxa"/>
            <w:tcMar>
              <w:top w:w="0" w:type="dxa"/>
              <w:left w:w="108" w:type="dxa"/>
              <w:bottom w:w="0" w:type="dxa"/>
              <w:right w:w="108" w:type="dxa"/>
            </w:tcMar>
            <w:vAlign w:val="center"/>
          </w:tcPr>
          <w:p w14:paraId="657C7C21" w14:textId="3D8F89D3" w:rsidR="006965F6" w:rsidRPr="0045541D" w:rsidRDefault="006965F6" w:rsidP="00702A5D">
            <w:pPr>
              <w:pStyle w:val="TableText"/>
              <w:keepNext/>
              <w:jc w:val="right"/>
              <w:rPr>
                <w:b/>
                <w:bCs/>
              </w:rPr>
            </w:pPr>
            <w:r w:rsidRPr="0045541D">
              <w:rPr>
                <w:b/>
              </w:rPr>
              <w:t>$</w:t>
            </w:r>
            <w:r w:rsidR="00E62B92" w:rsidRPr="0045541D">
              <w:rPr>
                <w:b/>
                <w:bCs/>
              </w:rPr>
              <w:t>redacted</w:t>
            </w:r>
          </w:p>
        </w:tc>
      </w:tr>
    </w:tbl>
    <w:p w14:paraId="4D8B26A7" w14:textId="7CB0771E" w:rsidR="00C66051" w:rsidRPr="0045541D" w:rsidRDefault="006965F6" w:rsidP="006768A4">
      <w:pPr>
        <w:pStyle w:val="CommentaryTablenotes"/>
        <w:rPr>
          <w:color w:val="auto"/>
        </w:rPr>
      </w:pPr>
      <w:r w:rsidRPr="0045541D">
        <w:rPr>
          <w:color w:val="auto"/>
        </w:rPr>
        <w:t xml:space="preserve">FIX = </w:t>
      </w:r>
      <w:r w:rsidR="00212302" w:rsidRPr="0045541D">
        <w:rPr>
          <w:color w:val="auto"/>
        </w:rPr>
        <w:t>f</w:t>
      </w:r>
      <w:r w:rsidRPr="0045541D">
        <w:rPr>
          <w:color w:val="auto"/>
        </w:rPr>
        <w:t>actor IX</w:t>
      </w:r>
      <w:r w:rsidR="00AF42DC" w:rsidRPr="0045541D">
        <w:rPr>
          <w:color w:val="auto"/>
        </w:rPr>
        <w:t>.</w:t>
      </w:r>
    </w:p>
    <w:p w14:paraId="5B9265DB" w14:textId="01A8971B" w:rsidR="006965F6" w:rsidRPr="0045541D" w:rsidRDefault="006965F6" w:rsidP="006768A4">
      <w:pPr>
        <w:pStyle w:val="CommentaryTablenotes"/>
        <w:rPr>
          <w:color w:val="auto"/>
        </w:rPr>
      </w:pPr>
      <w:r w:rsidRPr="0045541D">
        <w:rPr>
          <w:color w:val="auto"/>
        </w:rPr>
        <w:t xml:space="preserve">Source: Table 4-4, Table </w:t>
      </w:r>
      <w:proofErr w:type="gramStart"/>
      <w:r w:rsidRPr="0045541D">
        <w:rPr>
          <w:color w:val="auto"/>
        </w:rPr>
        <w:t>4-5</w:t>
      </w:r>
      <w:proofErr w:type="gramEnd"/>
      <w:r w:rsidRPr="0045541D">
        <w:rPr>
          <w:color w:val="auto"/>
        </w:rPr>
        <w:t xml:space="preserve"> and Table 4-9 of MSAC 1728 </w:t>
      </w:r>
      <w:proofErr w:type="spellStart"/>
      <w:r w:rsidRPr="0045541D">
        <w:rPr>
          <w:color w:val="auto"/>
        </w:rPr>
        <w:t>ADAR+in-line</w:t>
      </w:r>
      <w:proofErr w:type="spellEnd"/>
      <w:r w:rsidRPr="0045541D">
        <w:rPr>
          <w:color w:val="auto"/>
        </w:rPr>
        <w:t xml:space="preserve"> commentary.</w:t>
      </w:r>
    </w:p>
    <w:p w14:paraId="1A5A714E" w14:textId="38273C47" w:rsidR="006965F6" w:rsidRPr="0045541D" w:rsidRDefault="006965F6" w:rsidP="006965F6">
      <w:r w:rsidRPr="0045541D">
        <w:t>Given the uncertainty regarding uptake, and the different assumptions in the ADAR compared to the AHCDO</w:t>
      </w:r>
      <w:r w:rsidR="00C35A34" w:rsidRPr="0045541D">
        <w:t xml:space="preserve"> Gene Therapy Roadmap</w:t>
      </w:r>
      <w:r w:rsidRPr="0045541D">
        <w:t xml:space="preserve">, </w:t>
      </w:r>
      <w:r w:rsidR="00546643" w:rsidRPr="0045541D">
        <w:t xml:space="preserve">the commentary performed </w:t>
      </w:r>
      <w:r w:rsidRPr="0045541D">
        <w:t xml:space="preserve">a sensitivity analysis with a </w:t>
      </w:r>
      <w:r w:rsidR="00D3057C" w:rsidRPr="0045541D">
        <w:t xml:space="preserve">constant </w:t>
      </w:r>
      <w:r w:rsidRPr="0045541D">
        <w:t>10%</w:t>
      </w:r>
      <w:r w:rsidR="009F1CD6" w:rsidRPr="0045541D">
        <w:t xml:space="preserve"> uptake rate </w:t>
      </w:r>
      <w:r w:rsidRPr="0045541D">
        <w:t>(</w:t>
      </w:r>
      <w:r w:rsidR="00020F89" w:rsidRPr="0045541D">
        <w:t>not shown</w:t>
      </w:r>
      <w:r w:rsidRPr="0045541D">
        <w:t xml:space="preserve">) and </w:t>
      </w:r>
      <w:r w:rsidR="00D3057C" w:rsidRPr="0045541D">
        <w:t xml:space="preserve">constant </w:t>
      </w:r>
      <w:r w:rsidRPr="0045541D">
        <w:t>20% (</w:t>
      </w:r>
      <w:r w:rsidRPr="0045541D">
        <w:fldChar w:fldCharType="begin"/>
      </w:r>
      <w:r w:rsidRPr="0045541D">
        <w:instrText xml:space="preserve"> REF _Ref164170728 \h </w:instrText>
      </w:r>
      <w:r w:rsidR="00FA69A9" w:rsidRPr="0045541D">
        <w:instrText xml:space="preserve"> \* MERGEFORMAT </w:instrText>
      </w:r>
      <w:r w:rsidRPr="0045541D">
        <w:fldChar w:fldCharType="separate"/>
      </w:r>
      <w:r w:rsidR="007207A8" w:rsidRPr="0045541D">
        <w:t xml:space="preserve">Table </w:t>
      </w:r>
      <w:r w:rsidR="007207A8" w:rsidRPr="0045541D">
        <w:rPr>
          <w:noProof/>
        </w:rPr>
        <w:t>16</w:t>
      </w:r>
      <w:r w:rsidRPr="0045541D">
        <w:fldChar w:fldCharType="end"/>
      </w:r>
      <w:r w:rsidRPr="0045541D">
        <w:t>) uptake rate, noting that as patients are treated</w:t>
      </w:r>
      <w:r w:rsidR="00174706" w:rsidRPr="0045541D">
        <w:t>,</w:t>
      </w:r>
      <w:r w:rsidRPr="0045541D">
        <w:t xml:space="preserve"> the eligible (prevalent) population declines so the number of patients accessing treatment each year declines. </w:t>
      </w:r>
    </w:p>
    <w:p w14:paraId="1AB982A6" w14:textId="7CF6F5DB" w:rsidR="006965F6" w:rsidRPr="00E40A38" w:rsidRDefault="29CAF0ED" w:rsidP="006965F6">
      <w:r w:rsidRPr="0045541D">
        <w:t xml:space="preserve">Under the 10% scenario, the initial net cost to the </w:t>
      </w:r>
      <w:r w:rsidR="4E349331" w:rsidRPr="0045541D">
        <w:t>national blood arrangements</w:t>
      </w:r>
      <w:r w:rsidRPr="0045541D">
        <w:t xml:space="preserve"> is higher </w:t>
      </w:r>
      <w:r w:rsidR="0E4763A5" w:rsidRPr="0045541D">
        <w:t>(</w:t>
      </w:r>
      <w:r w:rsidRPr="0045541D">
        <w:t>$</w:t>
      </w:r>
      <w:r w:rsidR="00E62B92" w:rsidRPr="0045541D">
        <w:rPr>
          <w:b/>
          <w:bCs/>
        </w:rPr>
        <w:t>redacted</w:t>
      </w:r>
      <w:r w:rsidRPr="0045541D">
        <w:t xml:space="preserve"> in </w:t>
      </w:r>
      <w:r w:rsidR="0E4763A5" w:rsidRPr="0045541D">
        <w:t>Y</w:t>
      </w:r>
      <w:r w:rsidRPr="0045541D">
        <w:t>ear 1</w:t>
      </w:r>
      <w:r w:rsidR="0E4763A5" w:rsidRPr="0045541D">
        <w:t xml:space="preserve">, with </w:t>
      </w:r>
      <w:r w:rsidR="00E62B92" w:rsidRPr="0045541D">
        <w:rPr>
          <w:b/>
          <w:bCs/>
        </w:rPr>
        <w:t>redacted</w:t>
      </w:r>
      <w:r w:rsidR="00E62B92" w:rsidRPr="0045541D">
        <w:t xml:space="preserve"> </w:t>
      </w:r>
      <w:r w:rsidRPr="0045541D">
        <w:t xml:space="preserve">patients treated) but declines thereafter due to the declining prevalent population and the accumulated offsets due to reduced FIX treatment. The scenario is cost saving in </w:t>
      </w:r>
      <w:r w:rsidR="54D627D1" w:rsidRPr="0045541D">
        <w:t>Y</w:t>
      </w:r>
      <w:r w:rsidRPr="0045541D">
        <w:t>ear 8. With a higher uptake rate of 20%</w:t>
      </w:r>
      <w:r w:rsidR="7C992585" w:rsidRPr="0045541D">
        <w:t xml:space="preserve"> (</w:t>
      </w:r>
      <w:r w:rsidR="006965F6" w:rsidRPr="0045541D">
        <w:fldChar w:fldCharType="begin"/>
      </w:r>
      <w:r w:rsidR="006965F6" w:rsidRPr="0045541D">
        <w:instrText xml:space="preserve"> REF _Ref164170728 \h  \* MERGEFORMAT </w:instrText>
      </w:r>
      <w:r w:rsidR="006965F6" w:rsidRPr="0045541D">
        <w:fldChar w:fldCharType="separate"/>
      </w:r>
      <w:r w:rsidR="37DFC773" w:rsidRPr="0045541D">
        <w:t xml:space="preserve">Table </w:t>
      </w:r>
      <w:r w:rsidR="37DFC773" w:rsidRPr="0045541D">
        <w:rPr>
          <w:noProof/>
        </w:rPr>
        <w:t>16</w:t>
      </w:r>
      <w:r w:rsidR="006965F6" w:rsidRPr="0045541D">
        <w:fldChar w:fldCharType="end"/>
      </w:r>
      <w:r w:rsidR="7C992585" w:rsidRPr="0045541D">
        <w:t>)</w:t>
      </w:r>
      <w:r w:rsidRPr="0045541D">
        <w:t>, the initial net costs are higher again at $</w:t>
      </w:r>
      <w:r w:rsidR="00E62B92" w:rsidRPr="0045541D">
        <w:rPr>
          <w:b/>
          <w:bCs/>
        </w:rPr>
        <w:t>redacted</w:t>
      </w:r>
      <w:r w:rsidRPr="0045541D">
        <w:t xml:space="preserve"> in </w:t>
      </w:r>
      <w:r w:rsidR="534D869B" w:rsidRPr="0045541D">
        <w:t>Y</w:t>
      </w:r>
      <w:r w:rsidRPr="0045541D">
        <w:t>ear 1</w:t>
      </w:r>
      <w:r w:rsidR="534D869B" w:rsidRPr="0045541D">
        <w:t xml:space="preserve"> </w:t>
      </w:r>
      <w:r w:rsidRPr="0045541D">
        <w:t>(</w:t>
      </w:r>
      <w:r w:rsidR="00E62B92" w:rsidRPr="0045541D">
        <w:rPr>
          <w:b/>
          <w:bCs/>
        </w:rPr>
        <w:t>redacted</w:t>
      </w:r>
      <w:r w:rsidR="00E62B92" w:rsidRPr="0045541D">
        <w:t xml:space="preserve"> </w:t>
      </w:r>
      <w:r w:rsidRPr="0045541D">
        <w:t>patients treated); however, the offsets accumulate more rapidly and therefore the intervention becomes cost-saving more quickly.</w:t>
      </w:r>
    </w:p>
    <w:p w14:paraId="664E1B90" w14:textId="004CA633" w:rsidR="006965F6" w:rsidRPr="0045541D" w:rsidRDefault="29CAF0ED" w:rsidP="00874C71">
      <w:pPr>
        <w:pStyle w:val="Caption"/>
        <w:keepLines/>
      </w:pPr>
      <w:bookmarkStart w:id="51" w:name="_Ref164170728"/>
      <w:r w:rsidRPr="0045541D">
        <w:t xml:space="preserve">Table </w:t>
      </w:r>
      <w:r w:rsidR="006965F6" w:rsidRPr="0045541D">
        <w:fldChar w:fldCharType="begin"/>
      </w:r>
      <w:r w:rsidR="006965F6" w:rsidRPr="0045541D">
        <w:instrText xml:space="preserve"> SEQ Table \* ARABIC </w:instrText>
      </w:r>
      <w:r w:rsidR="006965F6" w:rsidRPr="0045541D">
        <w:fldChar w:fldCharType="separate"/>
      </w:r>
      <w:r w:rsidR="37DFC773" w:rsidRPr="0045541D">
        <w:rPr>
          <w:noProof/>
        </w:rPr>
        <w:t>16</w:t>
      </w:r>
      <w:r w:rsidR="006965F6" w:rsidRPr="0045541D">
        <w:rPr>
          <w:noProof/>
        </w:rPr>
        <w:fldChar w:fldCharType="end"/>
      </w:r>
      <w:bookmarkEnd w:id="51"/>
      <w:r w:rsidR="006965F6" w:rsidRPr="0045541D">
        <w:tab/>
      </w:r>
      <w:r w:rsidRPr="0045541D">
        <w:t>Net financial implications of etranacogene dezaparvovec</w:t>
      </w:r>
      <w:r w:rsidR="000D0E94" w:rsidRPr="0045541D">
        <w:t xml:space="preserve"> (Hemgenix)</w:t>
      </w:r>
      <w:r w:rsidRPr="0045541D">
        <w:t xml:space="preserve"> to the </w:t>
      </w:r>
      <w:r w:rsidR="154CCC14" w:rsidRPr="0045541D">
        <w:t>national blood arrangements</w:t>
      </w:r>
      <w:r w:rsidR="000D0E94" w:rsidRPr="0045541D">
        <w:t xml:space="preserve"> </w:t>
      </w:r>
      <w:r w:rsidRPr="0045541D">
        <w:t xml:space="preserve">with </w:t>
      </w:r>
      <w:r w:rsidR="35312208" w:rsidRPr="0045541D">
        <w:t>2</w:t>
      </w:r>
      <w:r w:rsidRPr="0045541D">
        <w:t xml:space="preserve">0% uptake </w:t>
      </w:r>
      <w:proofErr w:type="gramStart"/>
      <w:r w:rsidRPr="0045541D">
        <w:t>rate</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Net financial implications of etranacogene dezaparvovec to the NBA with 20% uptake rate"/>
        <w:tblDescription w:val="Table showing the net financial implications of etranacogene dezaparvovec to the NBA with 20% uptake rate"/>
      </w:tblPr>
      <w:tblGrid>
        <w:gridCol w:w="2266"/>
        <w:gridCol w:w="1125"/>
        <w:gridCol w:w="1125"/>
        <w:gridCol w:w="1125"/>
        <w:gridCol w:w="1125"/>
        <w:gridCol w:w="1125"/>
        <w:gridCol w:w="1125"/>
      </w:tblGrid>
      <w:tr w:rsidR="008441EA" w:rsidRPr="0045541D" w14:paraId="043E57E6" w14:textId="77777777" w:rsidTr="006F50A7">
        <w:trPr>
          <w:tblHeader/>
        </w:trPr>
        <w:tc>
          <w:tcPr>
            <w:tcW w:w="1256" w:type="pct"/>
            <w:tcMar>
              <w:top w:w="0" w:type="dxa"/>
              <w:left w:w="57" w:type="dxa"/>
              <w:bottom w:w="0" w:type="dxa"/>
              <w:right w:w="57" w:type="dxa"/>
            </w:tcMar>
            <w:vAlign w:val="center"/>
          </w:tcPr>
          <w:p w14:paraId="5D8456ED" w14:textId="77777777" w:rsidR="006965F6" w:rsidRPr="0045541D" w:rsidRDefault="006965F6" w:rsidP="00874C71">
            <w:pPr>
              <w:pStyle w:val="TableHeading0"/>
              <w:keepNext/>
              <w:keepLines/>
            </w:pPr>
            <w:r w:rsidRPr="0045541D">
              <w:t xml:space="preserve">Parameter </w:t>
            </w:r>
          </w:p>
        </w:tc>
        <w:tc>
          <w:tcPr>
            <w:tcW w:w="624" w:type="pct"/>
            <w:tcMar>
              <w:top w:w="0" w:type="dxa"/>
              <w:left w:w="57" w:type="dxa"/>
              <w:bottom w:w="0" w:type="dxa"/>
              <w:right w:w="57" w:type="dxa"/>
            </w:tcMar>
            <w:vAlign w:val="center"/>
            <w:hideMark/>
          </w:tcPr>
          <w:p w14:paraId="3907A65A" w14:textId="38C67E4A" w:rsidR="006965F6" w:rsidRPr="0045541D" w:rsidRDefault="006965F6" w:rsidP="00874C71">
            <w:pPr>
              <w:pStyle w:val="TableHeading0"/>
              <w:keepNext/>
              <w:keepLines/>
              <w:jc w:val="center"/>
            </w:pPr>
            <w:r w:rsidRPr="0045541D">
              <w:t>2025</w:t>
            </w:r>
          </w:p>
        </w:tc>
        <w:tc>
          <w:tcPr>
            <w:tcW w:w="624" w:type="pct"/>
            <w:tcMar>
              <w:top w:w="0" w:type="dxa"/>
              <w:left w:w="57" w:type="dxa"/>
              <w:bottom w:w="0" w:type="dxa"/>
              <w:right w:w="57" w:type="dxa"/>
            </w:tcMar>
            <w:vAlign w:val="center"/>
            <w:hideMark/>
          </w:tcPr>
          <w:p w14:paraId="7585A5E1" w14:textId="5EFA1AEC" w:rsidR="006965F6" w:rsidRPr="0045541D" w:rsidRDefault="006965F6" w:rsidP="00874C71">
            <w:pPr>
              <w:pStyle w:val="TableHeading0"/>
              <w:keepNext/>
              <w:keepLines/>
              <w:jc w:val="center"/>
            </w:pPr>
            <w:r w:rsidRPr="0045541D">
              <w:t>2026</w:t>
            </w:r>
          </w:p>
        </w:tc>
        <w:tc>
          <w:tcPr>
            <w:tcW w:w="624" w:type="pct"/>
            <w:tcMar>
              <w:top w:w="0" w:type="dxa"/>
              <w:left w:w="57" w:type="dxa"/>
              <w:bottom w:w="0" w:type="dxa"/>
              <w:right w:w="57" w:type="dxa"/>
            </w:tcMar>
            <w:vAlign w:val="center"/>
            <w:hideMark/>
          </w:tcPr>
          <w:p w14:paraId="2339AB1E" w14:textId="5217A2CB" w:rsidR="006965F6" w:rsidRPr="0045541D" w:rsidRDefault="006965F6" w:rsidP="00874C71">
            <w:pPr>
              <w:pStyle w:val="TableHeading0"/>
              <w:keepNext/>
              <w:keepLines/>
              <w:jc w:val="center"/>
            </w:pPr>
            <w:r w:rsidRPr="0045541D">
              <w:t>2027</w:t>
            </w:r>
          </w:p>
        </w:tc>
        <w:tc>
          <w:tcPr>
            <w:tcW w:w="624" w:type="pct"/>
            <w:tcMar>
              <w:top w:w="0" w:type="dxa"/>
              <w:left w:w="57" w:type="dxa"/>
              <w:bottom w:w="0" w:type="dxa"/>
              <w:right w:w="57" w:type="dxa"/>
            </w:tcMar>
            <w:vAlign w:val="center"/>
            <w:hideMark/>
          </w:tcPr>
          <w:p w14:paraId="76665378" w14:textId="298C593D" w:rsidR="006965F6" w:rsidRPr="0045541D" w:rsidRDefault="006965F6" w:rsidP="00874C71">
            <w:pPr>
              <w:pStyle w:val="TableHeading0"/>
              <w:keepNext/>
              <w:keepLines/>
              <w:jc w:val="center"/>
            </w:pPr>
            <w:r w:rsidRPr="0045541D">
              <w:t>2028</w:t>
            </w:r>
          </w:p>
        </w:tc>
        <w:tc>
          <w:tcPr>
            <w:tcW w:w="624" w:type="pct"/>
            <w:tcMar>
              <w:top w:w="0" w:type="dxa"/>
              <w:left w:w="57" w:type="dxa"/>
              <w:bottom w:w="0" w:type="dxa"/>
              <w:right w:w="57" w:type="dxa"/>
            </w:tcMar>
            <w:vAlign w:val="center"/>
            <w:hideMark/>
          </w:tcPr>
          <w:p w14:paraId="4E9D1DED" w14:textId="2D7D9750" w:rsidR="006965F6" w:rsidRPr="0045541D" w:rsidRDefault="006965F6" w:rsidP="00874C71">
            <w:pPr>
              <w:pStyle w:val="TableHeading0"/>
              <w:keepNext/>
              <w:keepLines/>
              <w:jc w:val="center"/>
            </w:pPr>
            <w:r w:rsidRPr="0045541D">
              <w:t>2029</w:t>
            </w:r>
          </w:p>
        </w:tc>
        <w:tc>
          <w:tcPr>
            <w:tcW w:w="624" w:type="pct"/>
            <w:tcMar>
              <w:top w:w="0" w:type="dxa"/>
              <w:left w:w="57" w:type="dxa"/>
              <w:bottom w:w="0" w:type="dxa"/>
              <w:right w:w="57" w:type="dxa"/>
            </w:tcMar>
            <w:vAlign w:val="center"/>
            <w:hideMark/>
          </w:tcPr>
          <w:p w14:paraId="7C91E655" w14:textId="3D04F0D1" w:rsidR="006965F6" w:rsidRPr="0045541D" w:rsidRDefault="006965F6" w:rsidP="00874C71">
            <w:pPr>
              <w:pStyle w:val="TableHeading0"/>
              <w:keepNext/>
              <w:keepLines/>
              <w:jc w:val="center"/>
            </w:pPr>
            <w:r w:rsidRPr="0045541D">
              <w:t>2030</w:t>
            </w:r>
          </w:p>
        </w:tc>
      </w:tr>
      <w:tr w:rsidR="008441EA" w:rsidRPr="0045541D" w14:paraId="082F18C5" w14:textId="77777777" w:rsidTr="006F50A7">
        <w:tc>
          <w:tcPr>
            <w:tcW w:w="1256" w:type="pct"/>
            <w:tcMar>
              <w:top w:w="0" w:type="dxa"/>
              <w:left w:w="57" w:type="dxa"/>
              <w:bottom w:w="0" w:type="dxa"/>
              <w:right w:w="57" w:type="dxa"/>
            </w:tcMar>
            <w:vAlign w:val="center"/>
            <w:hideMark/>
          </w:tcPr>
          <w:p w14:paraId="0065202C" w14:textId="77777777" w:rsidR="006965F6" w:rsidRPr="0045541D" w:rsidRDefault="006965F6" w:rsidP="00874C71">
            <w:pPr>
              <w:pStyle w:val="TableText"/>
              <w:keepNext/>
              <w:keepLines/>
              <w:rPr>
                <w:b/>
              </w:rPr>
            </w:pPr>
            <w:r w:rsidRPr="0045541D">
              <w:t>Number of people eligible for etranacogene dezaparvovec</w:t>
            </w:r>
          </w:p>
        </w:tc>
        <w:tc>
          <w:tcPr>
            <w:tcW w:w="624" w:type="pct"/>
            <w:tcMar>
              <w:top w:w="0" w:type="dxa"/>
              <w:left w:w="57" w:type="dxa"/>
              <w:bottom w:w="0" w:type="dxa"/>
              <w:right w:w="57" w:type="dxa"/>
            </w:tcMar>
            <w:vAlign w:val="center"/>
          </w:tcPr>
          <w:p w14:paraId="428FE158" w14:textId="2942CD11" w:rsidR="006965F6" w:rsidRPr="0045541D" w:rsidRDefault="00723A12" w:rsidP="00874C71">
            <w:pPr>
              <w:pStyle w:val="TableText"/>
              <w:keepNext/>
              <w:keepLines/>
              <w:jc w:val="center"/>
              <w:rPr>
                <w:b/>
              </w:rPr>
            </w:pPr>
            <w:r w:rsidRPr="0045541D">
              <w:rPr>
                <w:b/>
                <w:bCs/>
              </w:rPr>
              <w:t>redacted</w:t>
            </w:r>
          </w:p>
        </w:tc>
        <w:tc>
          <w:tcPr>
            <w:tcW w:w="624" w:type="pct"/>
            <w:tcMar>
              <w:top w:w="0" w:type="dxa"/>
              <w:left w:w="57" w:type="dxa"/>
              <w:bottom w:w="0" w:type="dxa"/>
              <w:right w:w="57" w:type="dxa"/>
            </w:tcMar>
            <w:vAlign w:val="center"/>
          </w:tcPr>
          <w:p w14:paraId="24C4D100" w14:textId="02C1DE6B" w:rsidR="006965F6" w:rsidRPr="0045541D" w:rsidRDefault="00723A12" w:rsidP="00874C71">
            <w:pPr>
              <w:pStyle w:val="TableText"/>
              <w:keepNext/>
              <w:keepLines/>
              <w:jc w:val="center"/>
            </w:pPr>
            <w:r w:rsidRPr="0045541D">
              <w:rPr>
                <w:b/>
                <w:bCs/>
              </w:rPr>
              <w:t>redacted</w:t>
            </w:r>
          </w:p>
        </w:tc>
        <w:tc>
          <w:tcPr>
            <w:tcW w:w="624" w:type="pct"/>
            <w:tcMar>
              <w:top w:w="0" w:type="dxa"/>
              <w:left w:w="57" w:type="dxa"/>
              <w:bottom w:w="0" w:type="dxa"/>
              <w:right w:w="57" w:type="dxa"/>
            </w:tcMar>
            <w:vAlign w:val="center"/>
          </w:tcPr>
          <w:p w14:paraId="2D92C1AC" w14:textId="627E6F28" w:rsidR="006965F6" w:rsidRPr="0045541D" w:rsidRDefault="00723A12" w:rsidP="00874C71">
            <w:pPr>
              <w:pStyle w:val="TableText"/>
              <w:keepNext/>
              <w:keepLines/>
              <w:jc w:val="center"/>
            </w:pPr>
            <w:r w:rsidRPr="0045541D">
              <w:rPr>
                <w:b/>
                <w:bCs/>
              </w:rPr>
              <w:t>redacted</w:t>
            </w:r>
          </w:p>
        </w:tc>
        <w:tc>
          <w:tcPr>
            <w:tcW w:w="624" w:type="pct"/>
            <w:tcMar>
              <w:top w:w="0" w:type="dxa"/>
              <w:left w:w="57" w:type="dxa"/>
              <w:bottom w:w="0" w:type="dxa"/>
              <w:right w:w="57" w:type="dxa"/>
            </w:tcMar>
            <w:vAlign w:val="center"/>
          </w:tcPr>
          <w:p w14:paraId="721CA0B3" w14:textId="277B4BE5" w:rsidR="006965F6" w:rsidRPr="0045541D" w:rsidRDefault="00723A12" w:rsidP="00874C71">
            <w:pPr>
              <w:pStyle w:val="TableText"/>
              <w:keepNext/>
              <w:keepLines/>
              <w:jc w:val="center"/>
            </w:pPr>
            <w:r w:rsidRPr="0045541D">
              <w:rPr>
                <w:b/>
                <w:bCs/>
              </w:rPr>
              <w:t>redacted</w:t>
            </w:r>
          </w:p>
        </w:tc>
        <w:tc>
          <w:tcPr>
            <w:tcW w:w="624" w:type="pct"/>
            <w:tcMar>
              <w:top w:w="0" w:type="dxa"/>
              <w:left w:w="57" w:type="dxa"/>
              <w:bottom w:w="0" w:type="dxa"/>
              <w:right w:w="57" w:type="dxa"/>
            </w:tcMar>
            <w:vAlign w:val="center"/>
          </w:tcPr>
          <w:p w14:paraId="4F4DDC3A" w14:textId="401B4C0F" w:rsidR="006965F6" w:rsidRPr="0045541D" w:rsidRDefault="00723A12" w:rsidP="00874C71">
            <w:pPr>
              <w:pStyle w:val="TableText"/>
              <w:keepNext/>
              <w:keepLines/>
              <w:jc w:val="center"/>
            </w:pPr>
            <w:r w:rsidRPr="0045541D">
              <w:rPr>
                <w:b/>
                <w:bCs/>
              </w:rPr>
              <w:t>redacted</w:t>
            </w:r>
          </w:p>
        </w:tc>
        <w:tc>
          <w:tcPr>
            <w:tcW w:w="624" w:type="pct"/>
            <w:tcMar>
              <w:top w:w="0" w:type="dxa"/>
              <w:left w:w="57" w:type="dxa"/>
              <w:bottom w:w="0" w:type="dxa"/>
              <w:right w:w="57" w:type="dxa"/>
            </w:tcMar>
            <w:vAlign w:val="center"/>
          </w:tcPr>
          <w:p w14:paraId="790677CE" w14:textId="7241BA4E" w:rsidR="006965F6" w:rsidRPr="0045541D" w:rsidRDefault="00723A12" w:rsidP="00874C71">
            <w:pPr>
              <w:pStyle w:val="TableText"/>
              <w:keepNext/>
              <w:keepLines/>
              <w:jc w:val="center"/>
            </w:pPr>
            <w:r w:rsidRPr="0045541D">
              <w:rPr>
                <w:b/>
                <w:bCs/>
              </w:rPr>
              <w:t>redacted</w:t>
            </w:r>
          </w:p>
        </w:tc>
      </w:tr>
      <w:tr w:rsidR="008441EA" w:rsidRPr="0045541D" w14:paraId="0D10AC00" w14:textId="77777777" w:rsidTr="006F50A7">
        <w:tc>
          <w:tcPr>
            <w:tcW w:w="1256" w:type="pct"/>
            <w:tcMar>
              <w:top w:w="0" w:type="dxa"/>
              <w:left w:w="57" w:type="dxa"/>
              <w:bottom w:w="0" w:type="dxa"/>
              <w:right w:w="57" w:type="dxa"/>
            </w:tcMar>
            <w:vAlign w:val="center"/>
          </w:tcPr>
          <w:p w14:paraId="11D5E5A8" w14:textId="77777777" w:rsidR="006965F6" w:rsidRPr="0045541D" w:rsidRDefault="006965F6" w:rsidP="00874C71">
            <w:pPr>
              <w:pStyle w:val="TableText"/>
              <w:keepNext/>
              <w:keepLines/>
              <w:rPr>
                <w:b/>
              </w:rPr>
            </w:pPr>
            <w:r w:rsidRPr="0045541D">
              <w:t>Number of people eligible excluding those already treated</w:t>
            </w:r>
          </w:p>
        </w:tc>
        <w:tc>
          <w:tcPr>
            <w:tcW w:w="624" w:type="pct"/>
            <w:tcMar>
              <w:top w:w="0" w:type="dxa"/>
              <w:left w:w="57" w:type="dxa"/>
              <w:bottom w:w="0" w:type="dxa"/>
              <w:right w:w="57" w:type="dxa"/>
            </w:tcMar>
            <w:vAlign w:val="center"/>
          </w:tcPr>
          <w:p w14:paraId="55D81853" w14:textId="5E9540E3" w:rsidR="006965F6" w:rsidRPr="0045541D" w:rsidRDefault="00723A12" w:rsidP="00874C71">
            <w:pPr>
              <w:pStyle w:val="TableText"/>
              <w:keepNext/>
              <w:keepLines/>
              <w:jc w:val="center"/>
            </w:pPr>
            <w:r w:rsidRPr="0045541D">
              <w:rPr>
                <w:b/>
                <w:bCs/>
              </w:rPr>
              <w:t>redacted</w:t>
            </w:r>
          </w:p>
        </w:tc>
        <w:tc>
          <w:tcPr>
            <w:tcW w:w="624" w:type="pct"/>
            <w:tcMar>
              <w:top w:w="0" w:type="dxa"/>
              <w:left w:w="57" w:type="dxa"/>
              <w:bottom w:w="0" w:type="dxa"/>
              <w:right w:w="57" w:type="dxa"/>
            </w:tcMar>
            <w:vAlign w:val="center"/>
          </w:tcPr>
          <w:p w14:paraId="5E2A0E21" w14:textId="1EE73CBA" w:rsidR="006965F6" w:rsidRPr="0045541D" w:rsidRDefault="00723A12" w:rsidP="00874C71">
            <w:pPr>
              <w:pStyle w:val="TableText"/>
              <w:keepNext/>
              <w:keepLines/>
              <w:jc w:val="center"/>
            </w:pPr>
            <w:r w:rsidRPr="0045541D">
              <w:rPr>
                <w:b/>
                <w:bCs/>
              </w:rPr>
              <w:t>redacted</w:t>
            </w:r>
          </w:p>
        </w:tc>
        <w:tc>
          <w:tcPr>
            <w:tcW w:w="624" w:type="pct"/>
            <w:tcMar>
              <w:top w:w="0" w:type="dxa"/>
              <w:left w:w="57" w:type="dxa"/>
              <w:bottom w:w="0" w:type="dxa"/>
              <w:right w:w="57" w:type="dxa"/>
            </w:tcMar>
            <w:vAlign w:val="center"/>
          </w:tcPr>
          <w:p w14:paraId="0E6CE9FF" w14:textId="28117381" w:rsidR="006965F6" w:rsidRPr="0045541D" w:rsidRDefault="00723A12" w:rsidP="00874C71">
            <w:pPr>
              <w:pStyle w:val="TableText"/>
              <w:keepNext/>
              <w:keepLines/>
              <w:jc w:val="center"/>
            </w:pPr>
            <w:r w:rsidRPr="0045541D">
              <w:rPr>
                <w:b/>
                <w:bCs/>
              </w:rPr>
              <w:t>redacted</w:t>
            </w:r>
          </w:p>
        </w:tc>
        <w:tc>
          <w:tcPr>
            <w:tcW w:w="624" w:type="pct"/>
            <w:tcMar>
              <w:top w:w="0" w:type="dxa"/>
              <w:left w:w="57" w:type="dxa"/>
              <w:bottom w:w="0" w:type="dxa"/>
              <w:right w:w="57" w:type="dxa"/>
            </w:tcMar>
            <w:vAlign w:val="center"/>
          </w:tcPr>
          <w:p w14:paraId="0359A598" w14:textId="4088DDBA" w:rsidR="006965F6" w:rsidRPr="0045541D" w:rsidRDefault="00723A12" w:rsidP="00874C71">
            <w:pPr>
              <w:pStyle w:val="TableText"/>
              <w:keepNext/>
              <w:keepLines/>
              <w:jc w:val="center"/>
            </w:pPr>
            <w:r w:rsidRPr="0045541D">
              <w:rPr>
                <w:b/>
                <w:bCs/>
              </w:rPr>
              <w:t>redacted</w:t>
            </w:r>
          </w:p>
        </w:tc>
        <w:tc>
          <w:tcPr>
            <w:tcW w:w="624" w:type="pct"/>
            <w:tcMar>
              <w:top w:w="0" w:type="dxa"/>
              <w:left w:w="57" w:type="dxa"/>
              <w:bottom w:w="0" w:type="dxa"/>
              <w:right w:w="57" w:type="dxa"/>
            </w:tcMar>
            <w:vAlign w:val="center"/>
          </w:tcPr>
          <w:p w14:paraId="21327669" w14:textId="5DAEF572" w:rsidR="006965F6" w:rsidRPr="0045541D" w:rsidRDefault="00723A12" w:rsidP="00874C71">
            <w:pPr>
              <w:pStyle w:val="TableText"/>
              <w:keepNext/>
              <w:keepLines/>
              <w:jc w:val="center"/>
            </w:pPr>
            <w:r w:rsidRPr="0045541D">
              <w:rPr>
                <w:b/>
                <w:bCs/>
              </w:rPr>
              <w:t>redacted</w:t>
            </w:r>
          </w:p>
        </w:tc>
        <w:tc>
          <w:tcPr>
            <w:tcW w:w="624" w:type="pct"/>
            <w:tcMar>
              <w:top w:w="0" w:type="dxa"/>
              <w:left w:w="57" w:type="dxa"/>
              <w:bottom w:w="0" w:type="dxa"/>
              <w:right w:w="57" w:type="dxa"/>
            </w:tcMar>
            <w:vAlign w:val="center"/>
          </w:tcPr>
          <w:p w14:paraId="27F56AD8" w14:textId="1C0AFE31" w:rsidR="006965F6" w:rsidRPr="0045541D" w:rsidRDefault="00723A12" w:rsidP="00874C71">
            <w:pPr>
              <w:pStyle w:val="TableText"/>
              <w:keepNext/>
              <w:keepLines/>
              <w:jc w:val="center"/>
            </w:pPr>
            <w:r w:rsidRPr="0045541D">
              <w:rPr>
                <w:b/>
                <w:bCs/>
              </w:rPr>
              <w:t>redacted</w:t>
            </w:r>
          </w:p>
        </w:tc>
      </w:tr>
      <w:tr w:rsidR="008441EA" w:rsidRPr="0045541D" w14:paraId="7A167F90" w14:textId="77777777" w:rsidTr="006F50A7">
        <w:tc>
          <w:tcPr>
            <w:tcW w:w="1256" w:type="pct"/>
            <w:tcMar>
              <w:top w:w="0" w:type="dxa"/>
              <w:left w:w="57" w:type="dxa"/>
              <w:bottom w:w="0" w:type="dxa"/>
              <w:right w:w="57" w:type="dxa"/>
            </w:tcMar>
            <w:vAlign w:val="center"/>
            <w:hideMark/>
          </w:tcPr>
          <w:p w14:paraId="0225406A" w14:textId="77777777" w:rsidR="006965F6" w:rsidRPr="0045541D" w:rsidRDefault="006965F6" w:rsidP="00874C71">
            <w:pPr>
              <w:pStyle w:val="TableText"/>
              <w:keepNext/>
              <w:keepLines/>
              <w:rPr>
                <w:b/>
              </w:rPr>
            </w:pPr>
            <w:r w:rsidRPr="0045541D">
              <w:t>Number of people who receive etranacogene dezaparvovec</w:t>
            </w:r>
          </w:p>
        </w:tc>
        <w:tc>
          <w:tcPr>
            <w:tcW w:w="624" w:type="pct"/>
            <w:tcMar>
              <w:top w:w="0" w:type="dxa"/>
              <w:left w:w="57" w:type="dxa"/>
              <w:bottom w:w="0" w:type="dxa"/>
              <w:right w:w="57" w:type="dxa"/>
            </w:tcMar>
            <w:vAlign w:val="center"/>
          </w:tcPr>
          <w:p w14:paraId="6A24DB87" w14:textId="6CC6673A" w:rsidR="006965F6" w:rsidRPr="0045541D" w:rsidRDefault="00723A12" w:rsidP="00874C71">
            <w:pPr>
              <w:pStyle w:val="TableText"/>
              <w:keepNext/>
              <w:keepLines/>
              <w:jc w:val="center"/>
            </w:pPr>
            <w:r w:rsidRPr="0045541D">
              <w:rPr>
                <w:b/>
                <w:bCs/>
              </w:rPr>
              <w:t>redacted</w:t>
            </w:r>
          </w:p>
        </w:tc>
        <w:tc>
          <w:tcPr>
            <w:tcW w:w="624" w:type="pct"/>
            <w:tcMar>
              <w:top w:w="0" w:type="dxa"/>
              <w:left w:w="57" w:type="dxa"/>
              <w:bottom w:w="0" w:type="dxa"/>
              <w:right w:w="57" w:type="dxa"/>
            </w:tcMar>
            <w:vAlign w:val="center"/>
          </w:tcPr>
          <w:p w14:paraId="2306ACA7" w14:textId="12731C93" w:rsidR="006965F6" w:rsidRPr="0045541D" w:rsidRDefault="00723A12" w:rsidP="00874C71">
            <w:pPr>
              <w:pStyle w:val="TableText"/>
              <w:keepNext/>
              <w:keepLines/>
              <w:jc w:val="center"/>
            </w:pPr>
            <w:r w:rsidRPr="0045541D">
              <w:rPr>
                <w:b/>
                <w:bCs/>
              </w:rPr>
              <w:t>redacted</w:t>
            </w:r>
          </w:p>
        </w:tc>
        <w:tc>
          <w:tcPr>
            <w:tcW w:w="624" w:type="pct"/>
            <w:tcMar>
              <w:top w:w="0" w:type="dxa"/>
              <w:left w:w="57" w:type="dxa"/>
              <w:bottom w:w="0" w:type="dxa"/>
              <w:right w:w="57" w:type="dxa"/>
            </w:tcMar>
            <w:vAlign w:val="center"/>
          </w:tcPr>
          <w:p w14:paraId="521A4EA5" w14:textId="651BFAA8" w:rsidR="006965F6" w:rsidRPr="0045541D" w:rsidRDefault="00723A12" w:rsidP="00874C71">
            <w:pPr>
              <w:pStyle w:val="TableText"/>
              <w:keepNext/>
              <w:keepLines/>
              <w:jc w:val="center"/>
            </w:pPr>
            <w:r w:rsidRPr="0045541D">
              <w:rPr>
                <w:b/>
                <w:bCs/>
              </w:rPr>
              <w:t>redacted</w:t>
            </w:r>
          </w:p>
        </w:tc>
        <w:tc>
          <w:tcPr>
            <w:tcW w:w="624" w:type="pct"/>
            <w:tcMar>
              <w:top w:w="0" w:type="dxa"/>
              <w:left w:w="57" w:type="dxa"/>
              <w:bottom w:w="0" w:type="dxa"/>
              <w:right w:w="57" w:type="dxa"/>
            </w:tcMar>
            <w:vAlign w:val="center"/>
          </w:tcPr>
          <w:p w14:paraId="5647F0D3" w14:textId="7D6BF544" w:rsidR="006965F6" w:rsidRPr="0045541D" w:rsidRDefault="00723A12" w:rsidP="00874C71">
            <w:pPr>
              <w:pStyle w:val="TableText"/>
              <w:keepNext/>
              <w:keepLines/>
              <w:jc w:val="center"/>
            </w:pPr>
            <w:r w:rsidRPr="0045541D">
              <w:rPr>
                <w:b/>
                <w:bCs/>
              </w:rPr>
              <w:t>redacted</w:t>
            </w:r>
          </w:p>
        </w:tc>
        <w:tc>
          <w:tcPr>
            <w:tcW w:w="624" w:type="pct"/>
            <w:tcMar>
              <w:top w:w="0" w:type="dxa"/>
              <w:left w:w="57" w:type="dxa"/>
              <w:bottom w:w="0" w:type="dxa"/>
              <w:right w:w="57" w:type="dxa"/>
            </w:tcMar>
            <w:vAlign w:val="center"/>
          </w:tcPr>
          <w:p w14:paraId="20EEA32C" w14:textId="31AD23AC" w:rsidR="006965F6" w:rsidRPr="0045541D" w:rsidRDefault="00723A12" w:rsidP="00874C71">
            <w:pPr>
              <w:pStyle w:val="TableText"/>
              <w:keepNext/>
              <w:keepLines/>
              <w:jc w:val="center"/>
            </w:pPr>
            <w:r w:rsidRPr="0045541D">
              <w:rPr>
                <w:b/>
                <w:bCs/>
              </w:rPr>
              <w:t>redacted</w:t>
            </w:r>
          </w:p>
        </w:tc>
        <w:tc>
          <w:tcPr>
            <w:tcW w:w="624" w:type="pct"/>
            <w:tcMar>
              <w:top w:w="0" w:type="dxa"/>
              <w:left w:w="57" w:type="dxa"/>
              <w:bottom w:w="0" w:type="dxa"/>
              <w:right w:w="57" w:type="dxa"/>
            </w:tcMar>
            <w:vAlign w:val="center"/>
          </w:tcPr>
          <w:p w14:paraId="7DF6A4A0" w14:textId="5A3E3B99" w:rsidR="006965F6" w:rsidRPr="0045541D" w:rsidRDefault="00723A12" w:rsidP="00874C71">
            <w:pPr>
              <w:pStyle w:val="TableText"/>
              <w:keepNext/>
              <w:keepLines/>
              <w:jc w:val="center"/>
            </w:pPr>
            <w:r w:rsidRPr="0045541D">
              <w:rPr>
                <w:b/>
                <w:bCs/>
              </w:rPr>
              <w:t>redacted</w:t>
            </w:r>
          </w:p>
        </w:tc>
      </w:tr>
      <w:tr w:rsidR="008441EA" w:rsidRPr="0045541D" w14:paraId="373C6B15" w14:textId="77777777" w:rsidTr="006F50A7">
        <w:tc>
          <w:tcPr>
            <w:tcW w:w="1256" w:type="pct"/>
            <w:tcMar>
              <w:top w:w="0" w:type="dxa"/>
              <w:left w:w="57" w:type="dxa"/>
              <w:bottom w:w="0" w:type="dxa"/>
              <w:right w:w="57" w:type="dxa"/>
            </w:tcMar>
            <w:vAlign w:val="center"/>
            <w:hideMark/>
          </w:tcPr>
          <w:p w14:paraId="4C28B7D0" w14:textId="4CDFA0A5" w:rsidR="006965F6" w:rsidRPr="0045541D" w:rsidRDefault="006965F6" w:rsidP="00874C71">
            <w:pPr>
              <w:pStyle w:val="TableText"/>
              <w:keepNext/>
              <w:keepLines/>
              <w:rPr>
                <w:b/>
              </w:rPr>
            </w:pPr>
            <w:r w:rsidRPr="0045541D">
              <w:t xml:space="preserve">Cost to </w:t>
            </w:r>
            <w:r w:rsidR="4B156200" w:rsidRPr="0045541D">
              <w:t>n</w:t>
            </w:r>
            <w:r w:rsidR="00360C10" w:rsidRPr="0045541D">
              <w:t xml:space="preserve">ational </w:t>
            </w:r>
            <w:r w:rsidR="41E61416" w:rsidRPr="0045541D">
              <w:t>b</w:t>
            </w:r>
            <w:r w:rsidR="00360C10" w:rsidRPr="0045541D">
              <w:t xml:space="preserve">lood </w:t>
            </w:r>
            <w:proofErr w:type="gramStart"/>
            <w:r w:rsidR="7DBFD2CF" w:rsidRPr="0045541D">
              <w:t>arrangements</w:t>
            </w:r>
            <w:r w:rsidRPr="0045541D">
              <w:t>(</w:t>
            </w:r>
            <w:proofErr w:type="gramEnd"/>
            <w:r w:rsidRPr="0045541D">
              <w:t>etranacogene dezaparvovec treatment)</w:t>
            </w:r>
          </w:p>
        </w:tc>
        <w:tc>
          <w:tcPr>
            <w:tcW w:w="624" w:type="pct"/>
            <w:tcMar>
              <w:top w:w="0" w:type="dxa"/>
              <w:left w:w="57" w:type="dxa"/>
              <w:bottom w:w="0" w:type="dxa"/>
              <w:right w:w="57" w:type="dxa"/>
            </w:tcMar>
            <w:vAlign w:val="center"/>
          </w:tcPr>
          <w:p w14:paraId="5120942F" w14:textId="20814CAD" w:rsidR="006965F6" w:rsidRPr="0045541D" w:rsidRDefault="006965F6" w:rsidP="00874C71">
            <w:pPr>
              <w:pStyle w:val="TableText"/>
              <w:keepNext/>
              <w:keepLines/>
              <w:jc w:val="right"/>
            </w:pPr>
            <w:r w:rsidRPr="0045541D">
              <w:t>$</w:t>
            </w:r>
            <w:r w:rsidR="00723A12" w:rsidRPr="0045541D">
              <w:rPr>
                <w:b/>
                <w:bCs/>
              </w:rPr>
              <w:t>redacted</w:t>
            </w:r>
          </w:p>
        </w:tc>
        <w:tc>
          <w:tcPr>
            <w:tcW w:w="624" w:type="pct"/>
            <w:tcMar>
              <w:top w:w="0" w:type="dxa"/>
              <w:left w:w="57" w:type="dxa"/>
              <w:bottom w:w="0" w:type="dxa"/>
              <w:right w:w="57" w:type="dxa"/>
            </w:tcMar>
            <w:vAlign w:val="center"/>
          </w:tcPr>
          <w:p w14:paraId="69E19EF2" w14:textId="1B675880" w:rsidR="006965F6" w:rsidRPr="0045541D" w:rsidRDefault="006965F6" w:rsidP="00874C71">
            <w:pPr>
              <w:pStyle w:val="TableText"/>
              <w:keepNext/>
              <w:keepLines/>
              <w:jc w:val="right"/>
            </w:pPr>
            <w:r w:rsidRPr="0045541D">
              <w:t>$</w:t>
            </w:r>
            <w:r w:rsidR="00723A12" w:rsidRPr="0045541D">
              <w:rPr>
                <w:b/>
                <w:bCs/>
              </w:rPr>
              <w:t>redacted</w:t>
            </w:r>
          </w:p>
        </w:tc>
        <w:tc>
          <w:tcPr>
            <w:tcW w:w="624" w:type="pct"/>
            <w:tcMar>
              <w:top w:w="0" w:type="dxa"/>
              <w:left w:w="57" w:type="dxa"/>
              <w:bottom w:w="0" w:type="dxa"/>
              <w:right w:w="57" w:type="dxa"/>
            </w:tcMar>
            <w:vAlign w:val="center"/>
          </w:tcPr>
          <w:p w14:paraId="0F9B9BE2" w14:textId="66BADD32" w:rsidR="006965F6" w:rsidRPr="0045541D" w:rsidRDefault="006965F6" w:rsidP="00874C71">
            <w:pPr>
              <w:pStyle w:val="TableText"/>
              <w:keepNext/>
              <w:keepLines/>
              <w:jc w:val="right"/>
            </w:pPr>
            <w:r w:rsidRPr="0045541D">
              <w:t>$</w:t>
            </w:r>
            <w:r w:rsidR="00723A12" w:rsidRPr="0045541D">
              <w:rPr>
                <w:b/>
                <w:bCs/>
              </w:rPr>
              <w:t>redacted</w:t>
            </w:r>
          </w:p>
        </w:tc>
        <w:tc>
          <w:tcPr>
            <w:tcW w:w="624" w:type="pct"/>
            <w:tcMar>
              <w:top w:w="0" w:type="dxa"/>
              <w:left w:w="57" w:type="dxa"/>
              <w:bottom w:w="0" w:type="dxa"/>
              <w:right w:w="57" w:type="dxa"/>
            </w:tcMar>
            <w:vAlign w:val="center"/>
          </w:tcPr>
          <w:p w14:paraId="5FB7EB24" w14:textId="29C4B7EF" w:rsidR="006965F6" w:rsidRPr="0045541D" w:rsidRDefault="006965F6" w:rsidP="00874C71">
            <w:pPr>
              <w:pStyle w:val="TableText"/>
              <w:keepNext/>
              <w:keepLines/>
              <w:jc w:val="right"/>
            </w:pPr>
            <w:r w:rsidRPr="0045541D">
              <w:t>$</w:t>
            </w:r>
            <w:r w:rsidR="00723A12" w:rsidRPr="0045541D">
              <w:rPr>
                <w:b/>
                <w:bCs/>
              </w:rPr>
              <w:t>redacted</w:t>
            </w:r>
          </w:p>
        </w:tc>
        <w:tc>
          <w:tcPr>
            <w:tcW w:w="624" w:type="pct"/>
            <w:tcMar>
              <w:top w:w="0" w:type="dxa"/>
              <w:left w:w="57" w:type="dxa"/>
              <w:bottom w:w="0" w:type="dxa"/>
              <w:right w:w="57" w:type="dxa"/>
            </w:tcMar>
            <w:vAlign w:val="center"/>
          </w:tcPr>
          <w:p w14:paraId="2DC4AD34" w14:textId="7AD10D75" w:rsidR="006965F6" w:rsidRPr="0045541D" w:rsidRDefault="006965F6" w:rsidP="00874C71">
            <w:pPr>
              <w:pStyle w:val="TableText"/>
              <w:keepNext/>
              <w:keepLines/>
              <w:jc w:val="right"/>
            </w:pPr>
            <w:r w:rsidRPr="0045541D">
              <w:t>$</w:t>
            </w:r>
            <w:r w:rsidR="00723A12" w:rsidRPr="0045541D">
              <w:rPr>
                <w:b/>
                <w:bCs/>
              </w:rPr>
              <w:t>redacted</w:t>
            </w:r>
          </w:p>
        </w:tc>
        <w:tc>
          <w:tcPr>
            <w:tcW w:w="624" w:type="pct"/>
            <w:tcMar>
              <w:top w:w="0" w:type="dxa"/>
              <w:left w:w="57" w:type="dxa"/>
              <w:bottom w:w="0" w:type="dxa"/>
              <w:right w:w="57" w:type="dxa"/>
            </w:tcMar>
            <w:vAlign w:val="center"/>
          </w:tcPr>
          <w:p w14:paraId="6D3577A8" w14:textId="40FE4634" w:rsidR="006965F6" w:rsidRPr="0045541D" w:rsidRDefault="006965F6" w:rsidP="00874C71">
            <w:pPr>
              <w:pStyle w:val="TableText"/>
              <w:keepNext/>
              <w:keepLines/>
              <w:jc w:val="right"/>
            </w:pPr>
            <w:r w:rsidRPr="0045541D">
              <w:t>$</w:t>
            </w:r>
            <w:r w:rsidR="00723A12" w:rsidRPr="0045541D">
              <w:rPr>
                <w:b/>
                <w:bCs/>
              </w:rPr>
              <w:t>redacted</w:t>
            </w:r>
          </w:p>
        </w:tc>
      </w:tr>
      <w:tr w:rsidR="008441EA" w:rsidRPr="0045541D" w14:paraId="42960570" w14:textId="77777777" w:rsidTr="006F50A7">
        <w:tc>
          <w:tcPr>
            <w:tcW w:w="1256" w:type="pct"/>
            <w:tcMar>
              <w:top w:w="0" w:type="dxa"/>
              <w:left w:w="57" w:type="dxa"/>
              <w:bottom w:w="0" w:type="dxa"/>
              <w:right w:w="57" w:type="dxa"/>
            </w:tcMar>
            <w:vAlign w:val="center"/>
            <w:hideMark/>
          </w:tcPr>
          <w:p w14:paraId="731219D5" w14:textId="77777777" w:rsidR="006965F6" w:rsidRPr="0045541D" w:rsidRDefault="006965F6" w:rsidP="00874C71">
            <w:pPr>
              <w:pStyle w:val="TableText"/>
              <w:keepNext/>
              <w:keepLines/>
              <w:rPr>
                <w:b/>
              </w:rPr>
            </w:pPr>
            <w:r w:rsidRPr="0045541D">
              <w:t>Change in use of FIX</w:t>
            </w:r>
          </w:p>
        </w:tc>
        <w:tc>
          <w:tcPr>
            <w:tcW w:w="624" w:type="pct"/>
            <w:tcMar>
              <w:top w:w="0" w:type="dxa"/>
              <w:left w:w="57" w:type="dxa"/>
              <w:bottom w:w="0" w:type="dxa"/>
              <w:right w:w="57" w:type="dxa"/>
            </w:tcMar>
            <w:vAlign w:val="center"/>
          </w:tcPr>
          <w:p w14:paraId="18760228" w14:textId="75D806BD" w:rsidR="006965F6" w:rsidRPr="0045541D" w:rsidRDefault="006965F6" w:rsidP="00874C71">
            <w:pPr>
              <w:pStyle w:val="TableText"/>
              <w:keepNext/>
              <w:keepLines/>
              <w:jc w:val="right"/>
            </w:pPr>
            <w:r w:rsidRPr="0045541D">
              <w:t>-$</w:t>
            </w:r>
            <w:r w:rsidR="00723A12" w:rsidRPr="0045541D">
              <w:rPr>
                <w:b/>
                <w:bCs/>
              </w:rPr>
              <w:t>redacted</w:t>
            </w:r>
          </w:p>
        </w:tc>
        <w:tc>
          <w:tcPr>
            <w:tcW w:w="624" w:type="pct"/>
            <w:tcMar>
              <w:top w:w="0" w:type="dxa"/>
              <w:left w:w="57" w:type="dxa"/>
              <w:bottom w:w="0" w:type="dxa"/>
              <w:right w:w="57" w:type="dxa"/>
            </w:tcMar>
            <w:vAlign w:val="center"/>
          </w:tcPr>
          <w:p w14:paraId="023D8317" w14:textId="7B87764B" w:rsidR="006965F6" w:rsidRPr="0045541D" w:rsidRDefault="006965F6" w:rsidP="00874C71">
            <w:pPr>
              <w:pStyle w:val="TableText"/>
              <w:keepNext/>
              <w:keepLines/>
              <w:jc w:val="right"/>
            </w:pPr>
            <w:r w:rsidRPr="0045541D">
              <w:t>-$</w:t>
            </w:r>
            <w:r w:rsidR="00723A12" w:rsidRPr="0045541D">
              <w:rPr>
                <w:b/>
                <w:bCs/>
              </w:rPr>
              <w:t>redacted</w:t>
            </w:r>
          </w:p>
        </w:tc>
        <w:tc>
          <w:tcPr>
            <w:tcW w:w="624" w:type="pct"/>
            <w:tcMar>
              <w:top w:w="0" w:type="dxa"/>
              <w:left w:w="57" w:type="dxa"/>
              <w:bottom w:w="0" w:type="dxa"/>
              <w:right w:w="57" w:type="dxa"/>
            </w:tcMar>
            <w:vAlign w:val="center"/>
          </w:tcPr>
          <w:p w14:paraId="0CDAB292" w14:textId="16D22258" w:rsidR="006965F6" w:rsidRPr="0045541D" w:rsidRDefault="006965F6" w:rsidP="00874C71">
            <w:pPr>
              <w:pStyle w:val="TableText"/>
              <w:keepNext/>
              <w:keepLines/>
              <w:jc w:val="right"/>
            </w:pPr>
            <w:r w:rsidRPr="0045541D">
              <w:t>-$</w:t>
            </w:r>
            <w:r w:rsidR="00723A12" w:rsidRPr="0045541D">
              <w:rPr>
                <w:b/>
                <w:bCs/>
              </w:rPr>
              <w:t>redacted</w:t>
            </w:r>
          </w:p>
        </w:tc>
        <w:tc>
          <w:tcPr>
            <w:tcW w:w="624" w:type="pct"/>
            <w:tcMar>
              <w:top w:w="0" w:type="dxa"/>
              <w:left w:w="57" w:type="dxa"/>
              <w:bottom w:w="0" w:type="dxa"/>
              <w:right w:w="57" w:type="dxa"/>
            </w:tcMar>
            <w:vAlign w:val="center"/>
          </w:tcPr>
          <w:p w14:paraId="3D013AC5" w14:textId="167C50A1" w:rsidR="006965F6" w:rsidRPr="0045541D" w:rsidRDefault="006965F6" w:rsidP="00874C71">
            <w:pPr>
              <w:pStyle w:val="TableText"/>
              <w:keepNext/>
              <w:keepLines/>
              <w:jc w:val="right"/>
            </w:pPr>
            <w:r w:rsidRPr="0045541D">
              <w:t>-$</w:t>
            </w:r>
            <w:r w:rsidR="00723A12" w:rsidRPr="0045541D">
              <w:rPr>
                <w:b/>
                <w:bCs/>
              </w:rPr>
              <w:t>redacted</w:t>
            </w:r>
          </w:p>
        </w:tc>
        <w:tc>
          <w:tcPr>
            <w:tcW w:w="624" w:type="pct"/>
            <w:tcMar>
              <w:top w:w="0" w:type="dxa"/>
              <w:left w:w="57" w:type="dxa"/>
              <w:bottom w:w="0" w:type="dxa"/>
              <w:right w:w="57" w:type="dxa"/>
            </w:tcMar>
            <w:vAlign w:val="center"/>
          </w:tcPr>
          <w:p w14:paraId="73387D15" w14:textId="3A2DEEFB" w:rsidR="006965F6" w:rsidRPr="0045541D" w:rsidRDefault="006965F6" w:rsidP="00874C71">
            <w:pPr>
              <w:pStyle w:val="TableText"/>
              <w:keepNext/>
              <w:keepLines/>
              <w:jc w:val="right"/>
            </w:pPr>
            <w:r w:rsidRPr="0045541D">
              <w:t>-$</w:t>
            </w:r>
            <w:r w:rsidR="00723A12" w:rsidRPr="0045541D">
              <w:rPr>
                <w:b/>
                <w:bCs/>
              </w:rPr>
              <w:t>redacted</w:t>
            </w:r>
          </w:p>
        </w:tc>
        <w:tc>
          <w:tcPr>
            <w:tcW w:w="624" w:type="pct"/>
            <w:tcMar>
              <w:top w:w="0" w:type="dxa"/>
              <w:left w:w="57" w:type="dxa"/>
              <w:bottom w:w="0" w:type="dxa"/>
              <w:right w:w="57" w:type="dxa"/>
            </w:tcMar>
            <w:vAlign w:val="center"/>
          </w:tcPr>
          <w:p w14:paraId="59238444" w14:textId="0F35D965" w:rsidR="006965F6" w:rsidRPr="0045541D" w:rsidRDefault="006965F6" w:rsidP="00874C71">
            <w:pPr>
              <w:pStyle w:val="TableText"/>
              <w:keepNext/>
              <w:keepLines/>
              <w:jc w:val="right"/>
            </w:pPr>
            <w:r w:rsidRPr="0045541D">
              <w:t>-$</w:t>
            </w:r>
            <w:r w:rsidR="00723A12" w:rsidRPr="0045541D">
              <w:rPr>
                <w:b/>
                <w:bCs/>
              </w:rPr>
              <w:t>redacted</w:t>
            </w:r>
          </w:p>
        </w:tc>
      </w:tr>
      <w:tr w:rsidR="008441EA" w:rsidRPr="0045541D" w14:paraId="71DD971C" w14:textId="77777777" w:rsidTr="006F50A7">
        <w:tc>
          <w:tcPr>
            <w:tcW w:w="1256" w:type="pct"/>
            <w:tcMar>
              <w:top w:w="0" w:type="dxa"/>
              <w:left w:w="57" w:type="dxa"/>
              <w:bottom w:w="0" w:type="dxa"/>
              <w:right w:w="57" w:type="dxa"/>
            </w:tcMar>
            <w:vAlign w:val="center"/>
            <w:hideMark/>
          </w:tcPr>
          <w:p w14:paraId="105B6046" w14:textId="7FF4C36D" w:rsidR="006965F6" w:rsidRPr="0045541D" w:rsidRDefault="006965F6" w:rsidP="00874C71">
            <w:pPr>
              <w:pStyle w:val="TableText"/>
              <w:keepNext/>
              <w:keepLines/>
              <w:rPr>
                <w:b/>
              </w:rPr>
            </w:pPr>
            <w:r w:rsidRPr="0045541D">
              <w:t xml:space="preserve">Net financial impact to </w:t>
            </w:r>
            <w:r w:rsidR="2FDD5F6A" w:rsidRPr="0045541D">
              <w:t>n</w:t>
            </w:r>
            <w:r w:rsidR="00360C10" w:rsidRPr="0045541D">
              <w:t xml:space="preserve">ational </w:t>
            </w:r>
            <w:r w:rsidR="387B907C" w:rsidRPr="0045541D">
              <w:t>b</w:t>
            </w:r>
            <w:r w:rsidR="00360C10" w:rsidRPr="0045541D">
              <w:t xml:space="preserve">lood </w:t>
            </w:r>
            <w:r w:rsidR="2116020E" w:rsidRPr="0045541D">
              <w:t>arrangements</w:t>
            </w:r>
          </w:p>
        </w:tc>
        <w:tc>
          <w:tcPr>
            <w:tcW w:w="624" w:type="pct"/>
            <w:tcMar>
              <w:top w:w="0" w:type="dxa"/>
              <w:left w:w="57" w:type="dxa"/>
              <w:bottom w:w="0" w:type="dxa"/>
              <w:right w:w="57" w:type="dxa"/>
            </w:tcMar>
            <w:vAlign w:val="center"/>
          </w:tcPr>
          <w:p w14:paraId="1C8914F4" w14:textId="1FE1B2BD" w:rsidR="006965F6" w:rsidRPr="0045541D" w:rsidRDefault="006965F6" w:rsidP="00874C71">
            <w:pPr>
              <w:pStyle w:val="TableText"/>
              <w:keepNext/>
              <w:keepLines/>
              <w:jc w:val="right"/>
            </w:pPr>
            <w:r w:rsidRPr="0045541D">
              <w:t>$</w:t>
            </w:r>
            <w:r w:rsidR="00723A12" w:rsidRPr="0045541D">
              <w:rPr>
                <w:b/>
                <w:bCs/>
              </w:rPr>
              <w:t>redacted</w:t>
            </w:r>
          </w:p>
        </w:tc>
        <w:tc>
          <w:tcPr>
            <w:tcW w:w="624" w:type="pct"/>
            <w:tcMar>
              <w:top w:w="0" w:type="dxa"/>
              <w:left w:w="57" w:type="dxa"/>
              <w:bottom w:w="0" w:type="dxa"/>
              <w:right w:w="57" w:type="dxa"/>
            </w:tcMar>
            <w:vAlign w:val="center"/>
          </w:tcPr>
          <w:p w14:paraId="51F59EF8" w14:textId="3092B53B" w:rsidR="006965F6" w:rsidRPr="0045541D" w:rsidRDefault="006965F6" w:rsidP="00874C71">
            <w:pPr>
              <w:pStyle w:val="TableText"/>
              <w:keepNext/>
              <w:keepLines/>
              <w:jc w:val="right"/>
            </w:pPr>
            <w:r w:rsidRPr="0045541D">
              <w:t>$</w:t>
            </w:r>
            <w:r w:rsidR="00723A12" w:rsidRPr="0045541D">
              <w:rPr>
                <w:b/>
                <w:bCs/>
              </w:rPr>
              <w:t>redacted</w:t>
            </w:r>
          </w:p>
        </w:tc>
        <w:tc>
          <w:tcPr>
            <w:tcW w:w="624" w:type="pct"/>
            <w:tcMar>
              <w:top w:w="0" w:type="dxa"/>
              <w:left w:w="57" w:type="dxa"/>
              <w:bottom w:w="0" w:type="dxa"/>
              <w:right w:w="57" w:type="dxa"/>
            </w:tcMar>
            <w:vAlign w:val="center"/>
          </w:tcPr>
          <w:p w14:paraId="56E07120" w14:textId="073F7799" w:rsidR="006965F6" w:rsidRPr="0045541D" w:rsidRDefault="006965F6" w:rsidP="00874C71">
            <w:pPr>
              <w:pStyle w:val="TableText"/>
              <w:keepNext/>
              <w:keepLines/>
              <w:jc w:val="right"/>
            </w:pPr>
            <w:r w:rsidRPr="0045541D">
              <w:t>$</w:t>
            </w:r>
            <w:r w:rsidR="00723A12" w:rsidRPr="0045541D">
              <w:rPr>
                <w:b/>
                <w:bCs/>
              </w:rPr>
              <w:t>redacted</w:t>
            </w:r>
          </w:p>
        </w:tc>
        <w:tc>
          <w:tcPr>
            <w:tcW w:w="624" w:type="pct"/>
            <w:tcMar>
              <w:top w:w="0" w:type="dxa"/>
              <w:left w:w="57" w:type="dxa"/>
              <w:bottom w:w="0" w:type="dxa"/>
              <w:right w:w="57" w:type="dxa"/>
            </w:tcMar>
            <w:vAlign w:val="center"/>
          </w:tcPr>
          <w:p w14:paraId="7B60BB14" w14:textId="28DBCFEC" w:rsidR="006965F6" w:rsidRPr="0045541D" w:rsidRDefault="006965F6" w:rsidP="00874C71">
            <w:pPr>
              <w:pStyle w:val="TableText"/>
              <w:keepNext/>
              <w:keepLines/>
              <w:jc w:val="right"/>
            </w:pPr>
            <w:r w:rsidRPr="0045541D">
              <w:t>$</w:t>
            </w:r>
            <w:r w:rsidR="00723A12" w:rsidRPr="0045541D">
              <w:rPr>
                <w:b/>
                <w:bCs/>
              </w:rPr>
              <w:t>redacted</w:t>
            </w:r>
          </w:p>
        </w:tc>
        <w:tc>
          <w:tcPr>
            <w:tcW w:w="624" w:type="pct"/>
            <w:tcMar>
              <w:top w:w="0" w:type="dxa"/>
              <w:left w:w="57" w:type="dxa"/>
              <w:bottom w:w="0" w:type="dxa"/>
              <w:right w:w="57" w:type="dxa"/>
            </w:tcMar>
            <w:vAlign w:val="center"/>
          </w:tcPr>
          <w:p w14:paraId="48F5E208" w14:textId="13C45213" w:rsidR="006965F6" w:rsidRPr="0045541D" w:rsidRDefault="006965F6" w:rsidP="00874C71">
            <w:pPr>
              <w:pStyle w:val="TableText"/>
              <w:keepNext/>
              <w:keepLines/>
              <w:jc w:val="right"/>
            </w:pPr>
            <w:r w:rsidRPr="0045541D">
              <w:t>$</w:t>
            </w:r>
            <w:r w:rsidR="00723A12" w:rsidRPr="0045541D">
              <w:rPr>
                <w:b/>
                <w:bCs/>
              </w:rPr>
              <w:t>redacted</w:t>
            </w:r>
          </w:p>
        </w:tc>
        <w:tc>
          <w:tcPr>
            <w:tcW w:w="624" w:type="pct"/>
            <w:tcMar>
              <w:top w:w="0" w:type="dxa"/>
              <w:left w:w="57" w:type="dxa"/>
              <w:bottom w:w="0" w:type="dxa"/>
              <w:right w:w="57" w:type="dxa"/>
            </w:tcMar>
            <w:vAlign w:val="center"/>
          </w:tcPr>
          <w:p w14:paraId="1BED18D0" w14:textId="64767F0B" w:rsidR="006965F6" w:rsidRPr="0045541D" w:rsidRDefault="006965F6" w:rsidP="00874C71">
            <w:pPr>
              <w:pStyle w:val="TableText"/>
              <w:keepNext/>
              <w:keepLines/>
              <w:jc w:val="right"/>
            </w:pPr>
            <w:r w:rsidRPr="0045541D">
              <w:t>$</w:t>
            </w:r>
            <w:r w:rsidR="00723A12" w:rsidRPr="0045541D">
              <w:rPr>
                <w:b/>
                <w:bCs/>
              </w:rPr>
              <w:t>redacted</w:t>
            </w:r>
          </w:p>
        </w:tc>
      </w:tr>
    </w:tbl>
    <w:p w14:paraId="5CFB0C2D" w14:textId="6999BA31" w:rsidR="006965F6" w:rsidRPr="0045541D" w:rsidRDefault="006965F6" w:rsidP="00874C71">
      <w:pPr>
        <w:pStyle w:val="CommentaryTablenotes"/>
        <w:keepNext/>
        <w:keepLines/>
        <w:rPr>
          <w:color w:val="auto"/>
        </w:rPr>
      </w:pPr>
      <w:r w:rsidRPr="0045541D">
        <w:rPr>
          <w:color w:val="auto"/>
        </w:rPr>
        <w:t xml:space="preserve">FIX = </w:t>
      </w:r>
      <w:r w:rsidR="00212302" w:rsidRPr="0045541D">
        <w:rPr>
          <w:color w:val="auto"/>
        </w:rPr>
        <w:t>f</w:t>
      </w:r>
      <w:r w:rsidRPr="0045541D">
        <w:rPr>
          <w:color w:val="auto"/>
        </w:rPr>
        <w:t>actor IX</w:t>
      </w:r>
      <w:r w:rsidR="00360C10" w:rsidRPr="0045541D">
        <w:rPr>
          <w:color w:val="auto"/>
        </w:rPr>
        <w:t>.</w:t>
      </w:r>
    </w:p>
    <w:p w14:paraId="260EEFB1" w14:textId="337E7764" w:rsidR="006965F6" w:rsidRPr="0045541D" w:rsidRDefault="006965F6" w:rsidP="00874C71">
      <w:pPr>
        <w:pStyle w:val="CommentaryTablenotes"/>
        <w:keepNext/>
        <w:keepLines/>
        <w:rPr>
          <w:color w:val="auto"/>
        </w:rPr>
      </w:pPr>
      <w:r w:rsidRPr="0045541D">
        <w:rPr>
          <w:color w:val="auto"/>
        </w:rPr>
        <w:t xml:space="preserve">Source: Commentary Table </w:t>
      </w:r>
      <w:r w:rsidR="00EB4050" w:rsidRPr="0045541D">
        <w:rPr>
          <w:color w:val="auto"/>
        </w:rPr>
        <w:t>33</w:t>
      </w:r>
      <w:r w:rsidRPr="0045541D">
        <w:rPr>
          <w:color w:val="auto"/>
        </w:rPr>
        <w:t xml:space="preserve"> of MSAC 1728 </w:t>
      </w:r>
      <w:proofErr w:type="spellStart"/>
      <w:r w:rsidRPr="0045541D">
        <w:rPr>
          <w:color w:val="auto"/>
        </w:rPr>
        <w:t>ADAR+in-line</w:t>
      </w:r>
      <w:proofErr w:type="spellEnd"/>
      <w:r w:rsidRPr="0045541D">
        <w:rPr>
          <w:color w:val="auto"/>
        </w:rPr>
        <w:t xml:space="preserve"> commentary.</w:t>
      </w:r>
    </w:p>
    <w:p w14:paraId="7838A9FF" w14:textId="7C01B4BC" w:rsidR="00772829" w:rsidRPr="0045541D" w:rsidRDefault="00B27795" w:rsidP="002A18BE">
      <w:pPr>
        <w:pStyle w:val="Heading2"/>
        <w:numPr>
          <w:ilvl w:val="0"/>
          <w:numId w:val="0"/>
        </w:numPr>
      </w:pPr>
      <w:bookmarkStart w:id="52" w:name="_Toc69491427"/>
      <w:r w:rsidRPr="0045541D">
        <w:t>1</w:t>
      </w:r>
      <w:r w:rsidR="00255EA3" w:rsidRPr="0045541D">
        <w:t>5</w:t>
      </w:r>
      <w:r w:rsidR="00C36633" w:rsidRPr="0045541D">
        <w:t>.</w:t>
      </w:r>
      <w:r w:rsidR="00C36633" w:rsidRPr="0045541D">
        <w:tab/>
      </w:r>
      <w:r w:rsidR="00772829" w:rsidRPr="0045541D">
        <w:t xml:space="preserve">Other relevant </w:t>
      </w:r>
      <w:bookmarkEnd w:id="52"/>
      <w:r w:rsidR="00FA5766" w:rsidRPr="0045541D">
        <w:t>information</w:t>
      </w:r>
    </w:p>
    <w:p w14:paraId="05E56E5C" w14:textId="3A2380AE" w:rsidR="006965F6" w:rsidRPr="0045541D" w:rsidRDefault="006965F6" w:rsidP="006965F6">
      <w:pPr>
        <w:pStyle w:val="Heading3"/>
      </w:pPr>
      <w:r w:rsidRPr="0045541D">
        <w:t xml:space="preserve">Risk share </w:t>
      </w:r>
      <w:proofErr w:type="gramStart"/>
      <w:r w:rsidRPr="0045541D">
        <w:t>proposal</w:t>
      </w:r>
      <w:proofErr w:type="gramEnd"/>
    </w:p>
    <w:p w14:paraId="4892E528" w14:textId="04449EAC" w:rsidR="00773836" w:rsidRPr="0045541D" w:rsidRDefault="00773836" w:rsidP="00773836">
      <w:r w:rsidRPr="0045541D">
        <w:t>The TGA</w:t>
      </w:r>
      <w:r w:rsidR="00261C2B" w:rsidRPr="0045541D">
        <w:t xml:space="preserve"> </w:t>
      </w:r>
      <w:r w:rsidR="00E25A9D" w:rsidRPr="0045541D">
        <w:t xml:space="preserve">has given </w:t>
      </w:r>
      <w:r w:rsidR="000D0E94" w:rsidRPr="0045541D">
        <w:t>Hemgenix</w:t>
      </w:r>
      <w:r w:rsidRPr="0045541D">
        <w:t xml:space="preserve"> provisional registration, with the Product Information stating that “</w:t>
      </w:r>
      <w:r w:rsidR="0057796A" w:rsidRPr="0045541D">
        <w:t>c</w:t>
      </w:r>
      <w:r w:rsidRPr="0045541D">
        <w:t xml:space="preserve">ontinued approval of this indication depends on confirmation of longer-term benefit from ongoing clinical trials.” A medicine with evidence sufficient for provisional registration only would be appropriate for funding </w:t>
      </w:r>
      <w:proofErr w:type="gramStart"/>
      <w:r w:rsidRPr="0045541D">
        <w:t>on the basis of</w:t>
      </w:r>
      <w:proofErr w:type="gramEnd"/>
      <w:r w:rsidRPr="0045541D">
        <w:t xml:space="preserve"> managed access (or other similar measures depending on the funding pathway). The extent of any uncertainty associated with immature evidence would typically be reflected in the price for such a treatment or in rebates to the </w:t>
      </w:r>
      <w:r w:rsidR="00E6050E" w:rsidRPr="0045541D">
        <w:t xml:space="preserve">Australian Government </w:t>
      </w:r>
      <w:r w:rsidRPr="0045541D">
        <w:t xml:space="preserve">negotiated as part of a risk sharing agreement. </w:t>
      </w:r>
    </w:p>
    <w:p w14:paraId="56725079" w14:textId="37D25FB4" w:rsidR="00B65FB1" w:rsidRPr="0045541D" w:rsidRDefault="006B3A83" w:rsidP="00773836">
      <w:r w:rsidRPr="0045541D">
        <w:t>The applicant proposed a risk sharing agreement</w:t>
      </w:r>
      <w:r w:rsidR="00F71A89" w:rsidRPr="0045541D">
        <w:t xml:space="preserve"> </w:t>
      </w:r>
      <w:r w:rsidR="002547AB" w:rsidRPr="0045541D">
        <w:t xml:space="preserve">summarised in </w:t>
      </w:r>
      <w:r w:rsidR="00B73254" w:rsidRPr="0045541D">
        <w:fldChar w:fldCharType="begin"/>
      </w:r>
      <w:r w:rsidR="00B73254" w:rsidRPr="0045541D">
        <w:instrText xml:space="preserve"> REF _Ref165978626 \h </w:instrText>
      </w:r>
      <w:r w:rsidR="00474734" w:rsidRPr="0045541D">
        <w:instrText xml:space="preserve"> \* MERGEFORMAT </w:instrText>
      </w:r>
      <w:r w:rsidR="00B73254" w:rsidRPr="0045541D">
        <w:fldChar w:fldCharType="separate"/>
      </w:r>
      <w:r w:rsidR="007207A8" w:rsidRPr="0045541D">
        <w:t xml:space="preserve">Table </w:t>
      </w:r>
      <w:r w:rsidR="007207A8" w:rsidRPr="0045541D">
        <w:rPr>
          <w:noProof/>
        </w:rPr>
        <w:t>17</w:t>
      </w:r>
      <w:r w:rsidR="00B73254" w:rsidRPr="0045541D">
        <w:fldChar w:fldCharType="end"/>
      </w:r>
      <w:r w:rsidR="00B73254" w:rsidRPr="0045541D">
        <w:t>.</w:t>
      </w:r>
    </w:p>
    <w:p w14:paraId="4591B619" w14:textId="344FA0BE" w:rsidR="00F71A89" w:rsidRPr="0045541D" w:rsidRDefault="00F71A89" w:rsidP="007E5853">
      <w:pPr>
        <w:pStyle w:val="Caption"/>
      </w:pPr>
      <w:bookmarkStart w:id="53" w:name="_Ref165978626"/>
      <w:r w:rsidRPr="0045541D">
        <w:t xml:space="preserve">Table </w:t>
      </w:r>
      <w:r w:rsidR="00CC66FD" w:rsidRPr="0045541D">
        <w:fldChar w:fldCharType="begin"/>
      </w:r>
      <w:r w:rsidR="00CC66FD" w:rsidRPr="0045541D">
        <w:instrText xml:space="preserve"> SEQ Table \* ARABIC </w:instrText>
      </w:r>
      <w:r w:rsidR="00CC66FD" w:rsidRPr="0045541D">
        <w:fldChar w:fldCharType="separate"/>
      </w:r>
      <w:r w:rsidR="007207A8" w:rsidRPr="0045541D">
        <w:rPr>
          <w:noProof/>
        </w:rPr>
        <w:t>17</w:t>
      </w:r>
      <w:r w:rsidR="00CC66FD" w:rsidRPr="0045541D">
        <w:rPr>
          <w:noProof/>
        </w:rPr>
        <w:fldChar w:fldCharType="end"/>
      </w:r>
      <w:bookmarkEnd w:id="53"/>
      <w:r w:rsidRPr="0045541D">
        <w:tab/>
      </w:r>
      <w:r w:rsidR="00D2666E" w:rsidRPr="0045541D">
        <w:t xml:space="preserve">Applicant’s </w:t>
      </w:r>
      <w:r w:rsidR="00B73254" w:rsidRPr="0045541D">
        <w:t>p</w:t>
      </w:r>
      <w:r w:rsidR="00670599" w:rsidRPr="0045541D">
        <w:t>roposed risk-share agreement</w:t>
      </w:r>
    </w:p>
    <w:tbl>
      <w:tblPr>
        <w:tblStyle w:val="TableGrid"/>
        <w:tblW w:w="0" w:type="auto"/>
        <w:tblLook w:val="04A0" w:firstRow="1" w:lastRow="0" w:firstColumn="1" w:lastColumn="0" w:noHBand="0" w:noVBand="1"/>
      </w:tblPr>
      <w:tblGrid>
        <w:gridCol w:w="4390"/>
        <w:gridCol w:w="4626"/>
      </w:tblGrid>
      <w:tr w:rsidR="00DF1ADD" w:rsidRPr="0045541D" w14:paraId="0560A7C8" w14:textId="77777777" w:rsidTr="00A6030F">
        <w:tc>
          <w:tcPr>
            <w:tcW w:w="4390" w:type="dxa"/>
          </w:tcPr>
          <w:p w14:paraId="7BECFA27" w14:textId="63B4B9B1" w:rsidR="00DF1ADD" w:rsidRPr="0045541D" w:rsidRDefault="00DF1ADD" w:rsidP="007E5853">
            <w:pPr>
              <w:pStyle w:val="TableHeading0"/>
            </w:pPr>
            <w:r w:rsidRPr="0045541D">
              <w:t>Component</w:t>
            </w:r>
          </w:p>
        </w:tc>
        <w:tc>
          <w:tcPr>
            <w:tcW w:w="4626" w:type="dxa"/>
          </w:tcPr>
          <w:p w14:paraId="4D45AF3D" w14:textId="2744A267" w:rsidR="00DF1ADD" w:rsidRPr="0045541D" w:rsidRDefault="00DF1ADD" w:rsidP="007E5853">
            <w:pPr>
              <w:pStyle w:val="TableHeading0"/>
            </w:pPr>
            <w:r w:rsidRPr="0045541D">
              <w:t>Description</w:t>
            </w:r>
          </w:p>
        </w:tc>
      </w:tr>
      <w:tr w:rsidR="00DF1ADD" w:rsidRPr="0045541D" w14:paraId="4FF74E3E" w14:textId="77777777" w:rsidTr="00A6030F">
        <w:tc>
          <w:tcPr>
            <w:tcW w:w="4390" w:type="dxa"/>
          </w:tcPr>
          <w:p w14:paraId="6811575B" w14:textId="17ECCA75" w:rsidR="00DF1ADD" w:rsidRPr="0045541D" w:rsidRDefault="00BB6064" w:rsidP="007E5853">
            <w:pPr>
              <w:pStyle w:val="TableText"/>
            </w:pPr>
            <w:r w:rsidRPr="0045541D">
              <w:rPr>
                <w:b/>
                <w:bCs/>
              </w:rPr>
              <w:t>redacted</w:t>
            </w:r>
          </w:p>
        </w:tc>
        <w:tc>
          <w:tcPr>
            <w:tcW w:w="4626" w:type="dxa"/>
          </w:tcPr>
          <w:p w14:paraId="7C5124A2" w14:textId="721FB521" w:rsidR="00DF1ADD" w:rsidRPr="0045541D" w:rsidRDefault="00BB6064" w:rsidP="007E5853">
            <w:pPr>
              <w:pStyle w:val="TableText"/>
            </w:pPr>
            <w:r w:rsidRPr="0045541D">
              <w:rPr>
                <w:b/>
                <w:bCs/>
              </w:rPr>
              <w:t>redacted</w:t>
            </w:r>
            <w:r w:rsidR="00DF1ADD" w:rsidRPr="0045541D">
              <w:t xml:space="preserve"> </w:t>
            </w:r>
          </w:p>
        </w:tc>
      </w:tr>
      <w:tr w:rsidR="00DF1ADD" w:rsidRPr="0045541D" w14:paraId="25B56034" w14:textId="77777777" w:rsidTr="00A6030F">
        <w:tc>
          <w:tcPr>
            <w:tcW w:w="4390" w:type="dxa"/>
          </w:tcPr>
          <w:p w14:paraId="5D816FDF" w14:textId="4574AFE5" w:rsidR="00DF1ADD" w:rsidRPr="0045541D" w:rsidRDefault="00BB6064" w:rsidP="007E5853">
            <w:pPr>
              <w:pStyle w:val="TableText"/>
            </w:pPr>
            <w:r w:rsidRPr="0045541D">
              <w:rPr>
                <w:b/>
                <w:bCs/>
              </w:rPr>
              <w:t>redacted</w:t>
            </w:r>
          </w:p>
        </w:tc>
        <w:tc>
          <w:tcPr>
            <w:tcW w:w="4626" w:type="dxa"/>
          </w:tcPr>
          <w:p w14:paraId="49ADA590" w14:textId="288CB63D" w:rsidR="00DF1ADD" w:rsidRPr="0045541D" w:rsidRDefault="00BB6064" w:rsidP="007E5853">
            <w:pPr>
              <w:pStyle w:val="TableText"/>
            </w:pPr>
            <w:r w:rsidRPr="0045541D">
              <w:rPr>
                <w:b/>
                <w:bCs/>
              </w:rPr>
              <w:t>redacted</w:t>
            </w:r>
          </w:p>
        </w:tc>
      </w:tr>
      <w:tr w:rsidR="00DF1ADD" w:rsidRPr="0045541D" w14:paraId="345FF234" w14:textId="77777777" w:rsidTr="00A6030F">
        <w:tc>
          <w:tcPr>
            <w:tcW w:w="4390" w:type="dxa"/>
          </w:tcPr>
          <w:p w14:paraId="3A386B08" w14:textId="15B206F7" w:rsidR="00DF1ADD" w:rsidRPr="0045541D" w:rsidRDefault="00BB6064" w:rsidP="007E5853">
            <w:pPr>
              <w:pStyle w:val="TableText"/>
            </w:pPr>
            <w:r w:rsidRPr="0045541D">
              <w:rPr>
                <w:b/>
                <w:bCs/>
              </w:rPr>
              <w:t>redacted</w:t>
            </w:r>
          </w:p>
        </w:tc>
        <w:tc>
          <w:tcPr>
            <w:tcW w:w="4626" w:type="dxa"/>
          </w:tcPr>
          <w:p w14:paraId="216ED7F7" w14:textId="36A2AB7B" w:rsidR="00DF1ADD" w:rsidRPr="0045541D" w:rsidRDefault="00BB6064" w:rsidP="007E5853">
            <w:pPr>
              <w:pStyle w:val="TableText"/>
            </w:pPr>
            <w:r w:rsidRPr="0045541D">
              <w:rPr>
                <w:b/>
                <w:bCs/>
              </w:rPr>
              <w:t>redacted</w:t>
            </w:r>
          </w:p>
        </w:tc>
      </w:tr>
      <w:tr w:rsidR="00DF1ADD" w:rsidRPr="0045541D" w14:paraId="763E8537" w14:textId="77777777" w:rsidTr="00A6030F">
        <w:tc>
          <w:tcPr>
            <w:tcW w:w="4390" w:type="dxa"/>
          </w:tcPr>
          <w:p w14:paraId="5FDB75B4" w14:textId="6C85D36B" w:rsidR="00DF1ADD" w:rsidRPr="0045541D" w:rsidRDefault="00BB6064" w:rsidP="007E5853">
            <w:pPr>
              <w:pStyle w:val="TableText"/>
            </w:pPr>
            <w:r w:rsidRPr="0045541D">
              <w:rPr>
                <w:b/>
                <w:bCs/>
              </w:rPr>
              <w:t>redacted</w:t>
            </w:r>
          </w:p>
        </w:tc>
        <w:tc>
          <w:tcPr>
            <w:tcW w:w="4626" w:type="dxa"/>
          </w:tcPr>
          <w:p w14:paraId="013F58CE" w14:textId="321C429D" w:rsidR="00DF1ADD" w:rsidRPr="0045541D" w:rsidRDefault="00BB6064" w:rsidP="007E5853">
            <w:pPr>
              <w:pStyle w:val="TableText"/>
            </w:pPr>
            <w:r w:rsidRPr="0045541D">
              <w:rPr>
                <w:b/>
                <w:bCs/>
              </w:rPr>
              <w:t>redacted</w:t>
            </w:r>
          </w:p>
        </w:tc>
      </w:tr>
      <w:tr w:rsidR="00CA3ACF" w:rsidRPr="0045541D" w14:paraId="582DD174" w14:textId="77777777" w:rsidTr="00A6030F">
        <w:tc>
          <w:tcPr>
            <w:tcW w:w="4390" w:type="dxa"/>
          </w:tcPr>
          <w:p w14:paraId="197E6E5D" w14:textId="01345735" w:rsidR="00CA3ACF" w:rsidRPr="0045541D" w:rsidRDefault="00BB6064" w:rsidP="00CA3ACF">
            <w:pPr>
              <w:pStyle w:val="TableText"/>
            </w:pPr>
            <w:r w:rsidRPr="0045541D">
              <w:rPr>
                <w:b/>
                <w:bCs/>
              </w:rPr>
              <w:t>redacted</w:t>
            </w:r>
          </w:p>
        </w:tc>
        <w:tc>
          <w:tcPr>
            <w:tcW w:w="4626" w:type="dxa"/>
          </w:tcPr>
          <w:p w14:paraId="225CAB8C" w14:textId="0836B382" w:rsidR="00CA3ACF" w:rsidRPr="0045541D" w:rsidRDefault="00BB6064" w:rsidP="00CA3ACF">
            <w:pPr>
              <w:pStyle w:val="TableText"/>
            </w:pPr>
            <w:r w:rsidRPr="0045541D">
              <w:rPr>
                <w:b/>
                <w:bCs/>
              </w:rPr>
              <w:t>redacted</w:t>
            </w:r>
          </w:p>
        </w:tc>
      </w:tr>
    </w:tbl>
    <w:p w14:paraId="6D95C191" w14:textId="074311FA" w:rsidR="006B3A83" w:rsidRPr="0045541D" w:rsidRDefault="00A95CFE" w:rsidP="007E5853">
      <w:pPr>
        <w:pStyle w:val="CommentaryTablenotes"/>
      </w:pPr>
      <w:r w:rsidRPr="0045541D">
        <w:rPr>
          <w:color w:val="auto"/>
        </w:rPr>
        <w:t>Source: MSAC 1728 ADAR Table 5-1</w:t>
      </w:r>
      <w:r w:rsidR="00A6030F" w:rsidRPr="0045541D">
        <w:rPr>
          <w:color w:val="auto"/>
        </w:rPr>
        <w:t>.</w:t>
      </w:r>
    </w:p>
    <w:p w14:paraId="172E113A" w14:textId="32F9CE25" w:rsidR="00773836" w:rsidRPr="0045541D" w:rsidRDefault="00773836" w:rsidP="00773836">
      <w:r w:rsidRPr="0045541D">
        <w:t xml:space="preserve">The </w:t>
      </w:r>
      <w:r w:rsidR="00A55837" w:rsidRPr="0045541D">
        <w:t xml:space="preserve">applicant’s </w:t>
      </w:r>
      <w:r w:rsidRPr="0045541D">
        <w:t xml:space="preserve">assumption of an initial </w:t>
      </w:r>
      <w:r w:rsidR="003D04AC" w:rsidRPr="0045541D">
        <w:rPr>
          <w:b/>
          <w:bCs/>
        </w:rPr>
        <w:t>redacted</w:t>
      </w:r>
      <w:r w:rsidRPr="0045541D">
        <w:t xml:space="preserve">% </w:t>
      </w:r>
      <w:r w:rsidR="0052131D" w:rsidRPr="0045541D">
        <w:t xml:space="preserve">uptake </w:t>
      </w:r>
      <w:r w:rsidRPr="0045541D">
        <w:t>rate result</w:t>
      </w:r>
      <w:r w:rsidR="00A55837" w:rsidRPr="0045541D">
        <w:t>ed</w:t>
      </w:r>
      <w:r w:rsidRPr="0045541D">
        <w:t xml:space="preserve"> in a very low number of patients being treated each year from the prevalent pool of patients (</w:t>
      </w:r>
      <w:r w:rsidR="003D04AC" w:rsidRPr="0045541D">
        <w:rPr>
          <w:b/>
          <w:bCs/>
        </w:rPr>
        <w:t>redacted</w:t>
      </w:r>
      <w:r w:rsidRPr="0045541D">
        <w:t xml:space="preserve">, </w:t>
      </w:r>
      <w:r w:rsidR="003D04AC" w:rsidRPr="0045541D">
        <w:rPr>
          <w:b/>
          <w:bCs/>
        </w:rPr>
        <w:t>redacted</w:t>
      </w:r>
      <w:r w:rsidRPr="0045541D">
        <w:t xml:space="preserve"> and </w:t>
      </w:r>
      <w:r w:rsidR="003D04AC" w:rsidRPr="0045541D">
        <w:rPr>
          <w:b/>
          <w:bCs/>
        </w:rPr>
        <w:t>redacted</w:t>
      </w:r>
      <w:r w:rsidRPr="0045541D">
        <w:t xml:space="preserve"> patients from a population of </w:t>
      </w:r>
      <w:r w:rsidR="003D04AC" w:rsidRPr="0045541D">
        <w:rPr>
          <w:b/>
          <w:bCs/>
        </w:rPr>
        <w:t>redacted</w:t>
      </w:r>
      <w:r w:rsidRPr="0045541D">
        <w:t xml:space="preserve"> in the </w:t>
      </w:r>
      <w:r w:rsidR="008458F7" w:rsidRPr="0045541D">
        <w:t xml:space="preserve">first </w:t>
      </w:r>
      <w:r w:rsidRPr="0045541D">
        <w:t>three years</w:t>
      </w:r>
      <w:r w:rsidR="00654E5C" w:rsidRPr="0045541D">
        <w:t>,</w:t>
      </w:r>
      <w:r w:rsidRPr="0045541D">
        <w:t xml:space="preserve"> see </w:t>
      </w:r>
      <w:r w:rsidR="00AA52A8" w:rsidRPr="0045541D">
        <w:fldChar w:fldCharType="begin"/>
      </w:r>
      <w:r w:rsidR="00AA52A8" w:rsidRPr="0045541D">
        <w:instrText xml:space="preserve"> REF _Ref164266405 \h </w:instrText>
      </w:r>
      <w:r w:rsidR="00474734" w:rsidRPr="0045541D">
        <w:instrText xml:space="preserve"> \* MERGEFORMAT </w:instrText>
      </w:r>
      <w:r w:rsidR="00AA52A8" w:rsidRPr="0045541D">
        <w:fldChar w:fldCharType="separate"/>
      </w:r>
      <w:r w:rsidR="007207A8" w:rsidRPr="0045541D">
        <w:t>Table 15</w:t>
      </w:r>
      <w:r w:rsidR="00AA52A8" w:rsidRPr="0045541D">
        <w:fldChar w:fldCharType="end"/>
      </w:r>
      <w:r w:rsidRPr="0045541D">
        <w:t xml:space="preserve">). If the uptake was much higher, </w:t>
      </w:r>
      <w:r w:rsidR="00A35062" w:rsidRPr="0045541D">
        <w:t>for example</w:t>
      </w:r>
      <w:r w:rsidRPr="0045541D">
        <w:t xml:space="preserve"> 20%, this would have sizeable up-front implications to budgets (both </w:t>
      </w:r>
      <w:r w:rsidR="00EF420B" w:rsidRPr="0045541D">
        <w:t xml:space="preserve">the </w:t>
      </w:r>
      <w:r w:rsidR="00E6050E" w:rsidRPr="0045541D">
        <w:t xml:space="preserve">Australian Government </w:t>
      </w:r>
      <w:r w:rsidRPr="0045541D">
        <w:t xml:space="preserve">and </w:t>
      </w:r>
      <w:r w:rsidR="00EF420B" w:rsidRPr="0045541D">
        <w:t>the s</w:t>
      </w:r>
      <w:r w:rsidRPr="0045541D">
        <w:t>tate</w:t>
      </w:r>
      <w:r w:rsidR="00EF420B" w:rsidRPr="0045541D">
        <w:t>s</w:t>
      </w:r>
      <w:r w:rsidRPr="0045541D">
        <w:t>/</w:t>
      </w:r>
      <w:r w:rsidR="00EF420B" w:rsidRPr="0045541D">
        <w:t>t</w:t>
      </w:r>
      <w:r w:rsidRPr="0045541D">
        <w:t xml:space="preserve">erritories). This is a substantial risk that </w:t>
      </w:r>
      <w:r w:rsidR="008458F7" w:rsidRPr="0045541D">
        <w:t xml:space="preserve">may </w:t>
      </w:r>
      <w:r w:rsidR="001649B2" w:rsidRPr="0045541D">
        <w:t>require</w:t>
      </w:r>
      <w:r w:rsidR="009C5AAD" w:rsidRPr="0045541D">
        <w:t xml:space="preserve"> management</w:t>
      </w:r>
      <w:r w:rsidRPr="0045541D">
        <w:t xml:space="preserve"> under the terms of the </w:t>
      </w:r>
      <w:r w:rsidR="49A7B8B9" w:rsidRPr="0045541D">
        <w:t>risk sharing</w:t>
      </w:r>
      <w:r w:rsidRPr="0045541D">
        <w:t xml:space="preserve"> agreement. </w:t>
      </w:r>
    </w:p>
    <w:p w14:paraId="1E5D6514" w14:textId="27F8928F" w:rsidR="00773836" w:rsidRPr="0045541D" w:rsidRDefault="00773836" w:rsidP="00773836">
      <w:r w:rsidRPr="0045541D">
        <w:t xml:space="preserve">The </w:t>
      </w:r>
      <w:r w:rsidR="009C5AAD" w:rsidRPr="0045541D">
        <w:t xml:space="preserve">commentary considered that the </w:t>
      </w:r>
      <w:r w:rsidRPr="0045541D">
        <w:t xml:space="preserve">risk sharing agreement should include an option for renegotiation </w:t>
      </w:r>
      <w:proofErr w:type="gramStart"/>
      <w:r w:rsidRPr="0045541D">
        <w:t>in the event that</w:t>
      </w:r>
      <w:proofErr w:type="gramEnd"/>
      <w:r w:rsidRPr="0045541D">
        <w:t xml:space="preserve"> significant new information emerges regarding either safety or efficacy, especially if this results in a modification of the TGA approved indication or contraindications. The </w:t>
      </w:r>
      <w:r w:rsidR="00560D96" w:rsidRPr="0045541D">
        <w:t>c</w:t>
      </w:r>
      <w:r w:rsidRPr="0045541D">
        <w:t xml:space="preserve">ommentary suggested a list of clinical events as the potential basis for this as well as a list of </w:t>
      </w:r>
      <w:r w:rsidR="0030572D" w:rsidRPr="0045541D">
        <w:t>outcomes</w:t>
      </w:r>
      <w:r w:rsidRPr="0045541D">
        <w:t xml:space="preserve"> that could be considered as the basis for full or partial rebate.</w:t>
      </w:r>
    </w:p>
    <w:p w14:paraId="12FDF237" w14:textId="1BDEB0F7" w:rsidR="0039692A" w:rsidRPr="0045541D" w:rsidRDefault="00862799" w:rsidP="00987ED3">
      <w:r w:rsidRPr="0045541D">
        <w:rPr>
          <w:b/>
          <w:bCs/>
        </w:rPr>
        <w:t>Redacted</w:t>
      </w:r>
      <w:r w:rsidR="00650F92" w:rsidRPr="0045541D">
        <w:rPr>
          <w:rFonts w:eastAsiaTheme="minorEastAsia"/>
        </w:rPr>
        <w:t>.</w:t>
      </w:r>
      <w:r w:rsidR="006B0AD9" w:rsidRPr="0045541D">
        <w:t xml:space="preserve"> </w:t>
      </w:r>
      <w:r w:rsidR="00593AAF" w:rsidRPr="0045541D">
        <w:t>T</w:t>
      </w:r>
      <w:r w:rsidR="006B0AD9" w:rsidRPr="0045541D">
        <w:t>he comme</w:t>
      </w:r>
      <w:r w:rsidR="00593AAF" w:rsidRPr="0045541D">
        <w:t>ntary</w:t>
      </w:r>
      <w:r w:rsidR="0039692A" w:rsidRPr="0045541D">
        <w:t xml:space="preserve"> noted that</w:t>
      </w:r>
      <w:r w:rsidR="00E8088B" w:rsidRPr="0045541D">
        <w:t>,</w:t>
      </w:r>
      <w:r w:rsidR="0039692A" w:rsidRPr="0045541D">
        <w:t xml:space="preserve"> </w:t>
      </w:r>
      <w:r w:rsidR="00E8088B" w:rsidRPr="0045541D">
        <w:t>according to</w:t>
      </w:r>
      <w:r w:rsidR="0039692A" w:rsidRPr="0045541D">
        <w:t xml:space="preserve"> the HOPE-B study</w:t>
      </w:r>
      <w:r w:rsidR="00E8088B" w:rsidRPr="0045541D">
        <w:t>,</w:t>
      </w:r>
      <w:r w:rsidR="0039692A" w:rsidRPr="0045541D">
        <w:t xml:space="preserve"> stable FIX expression </w:t>
      </w:r>
      <w:r w:rsidR="00F84AD6" w:rsidRPr="0045541D">
        <w:t>wa</w:t>
      </w:r>
      <w:r w:rsidR="0039692A" w:rsidRPr="0045541D">
        <w:t xml:space="preserve">s not achieved until Month 7 post-infusion </w:t>
      </w:r>
      <w:r w:rsidRPr="0045541D">
        <w:rPr>
          <w:b/>
          <w:bCs/>
        </w:rPr>
        <w:t>redacted</w:t>
      </w:r>
      <w:r w:rsidR="0039692A" w:rsidRPr="0045541D">
        <w:t xml:space="preserve">. </w:t>
      </w:r>
      <w:r w:rsidR="00485FDD" w:rsidRPr="0045541D">
        <w:t xml:space="preserve">In the event </w:t>
      </w:r>
      <w:r w:rsidR="0073771A" w:rsidRPr="0045541D">
        <w:t xml:space="preserve">lack of efficacy is included </w:t>
      </w:r>
      <w:r w:rsidR="00942086" w:rsidRPr="0045541D">
        <w:t xml:space="preserve">as an event for rebate </w:t>
      </w:r>
      <w:r w:rsidR="0073771A" w:rsidRPr="0045541D">
        <w:t xml:space="preserve">in a risk sharing agreement, </w:t>
      </w:r>
      <w:r w:rsidR="00F34CE3" w:rsidRPr="0045541D">
        <w:t xml:space="preserve">the commentary considered that </w:t>
      </w:r>
      <w:r w:rsidR="0024633D" w:rsidRPr="0045541D">
        <w:t>a</w:t>
      </w:r>
      <w:r w:rsidR="0039692A" w:rsidRPr="0045541D">
        <w:t xml:space="preserve"> </w:t>
      </w:r>
      <w:r w:rsidR="19F0B991" w:rsidRPr="0045541D">
        <w:t>risk sharing</w:t>
      </w:r>
      <w:r w:rsidR="0039692A" w:rsidRPr="0045541D">
        <w:t xml:space="preserve"> agreement should differentiate between product failure (minimal clinical benefit across the post-treatment period) and waning efficacy (decreasing benefit after an initial response)</w:t>
      </w:r>
      <w:r w:rsidR="00BC1D92" w:rsidRPr="0045541D">
        <w:t xml:space="preserve"> and that</w:t>
      </w:r>
      <w:r w:rsidR="0088219B" w:rsidRPr="0045541D">
        <w:t xml:space="preserve"> </w:t>
      </w:r>
      <w:r w:rsidR="00BC1D92" w:rsidRPr="0045541D">
        <w:t>i</w:t>
      </w:r>
      <w:r w:rsidR="00EF5784" w:rsidRPr="0045541D">
        <w:t xml:space="preserve">t may be necessary to evaluate the two types of events at different timepoints post-treatment and </w:t>
      </w:r>
      <w:r w:rsidR="0032741A" w:rsidRPr="0045541D">
        <w:t>potentially using different criteria</w:t>
      </w:r>
      <w:r w:rsidR="00EB4790" w:rsidRPr="0045541D">
        <w:t xml:space="preserve">. </w:t>
      </w:r>
    </w:p>
    <w:p w14:paraId="6DA34F50" w14:textId="2F4714D2" w:rsidR="0032423A" w:rsidRPr="0045541D" w:rsidRDefault="00B164AB" w:rsidP="00987ED3">
      <w:r w:rsidRPr="0045541D">
        <w:t xml:space="preserve">The commentary stated that </w:t>
      </w:r>
      <w:r w:rsidR="009421B2" w:rsidRPr="0045541D">
        <w:t>a</w:t>
      </w:r>
      <w:r w:rsidR="0032423A" w:rsidRPr="0045541D">
        <w:t xml:space="preserve">ny registry should be managed by an independent party, it should be subject to mandatory reporting requirements and the </w:t>
      </w:r>
      <w:r w:rsidR="00EF420B" w:rsidRPr="0045541D">
        <w:t xml:space="preserve">Australian Government </w:t>
      </w:r>
      <w:r w:rsidR="0032423A" w:rsidRPr="0045541D">
        <w:t xml:space="preserve">should have access to registry data. The AHCDO </w:t>
      </w:r>
      <w:r w:rsidR="009018ED" w:rsidRPr="0045541D">
        <w:t xml:space="preserve">Gene Therapy </w:t>
      </w:r>
      <w:r w:rsidR="0032423A" w:rsidRPr="0045541D">
        <w:t>Road</w:t>
      </w:r>
      <w:r w:rsidR="009018ED" w:rsidRPr="0045541D">
        <w:t>m</w:t>
      </w:r>
      <w:r w:rsidR="0032423A" w:rsidRPr="0045541D">
        <w:t>ap (2022) provides a model for this.</w:t>
      </w:r>
    </w:p>
    <w:p w14:paraId="4511F092" w14:textId="67D13E42" w:rsidR="00987ED3" w:rsidRPr="0045541D" w:rsidRDefault="00862799" w:rsidP="00987ED3">
      <w:r w:rsidRPr="0045541D">
        <w:rPr>
          <w:b/>
          <w:bCs/>
        </w:rPr>
        <w:t>Redacted</w:t>
      </w:r>
      <w:r w:rsidR="009F23F3" w:rsidRPr="0045541D">
        <w:t>,</w:t>
      </w:r>
      <w:r w:rsidR="00987ED3" w:rsidRPr="0045541D">
        <w:t xml:space="preserve"> it is noted that pre-treatment testing may require multiple repeat test</w:t>
      </w:r>
      <w:r w:rsidR="00777440" w:rsidRPr="0045541D">
        <w:t>s</w:t>
      </w:r>
      <w:r w:rsidR="00987ED3" w:rsidRPr="0045541D">
        <w:t xml:space="preserve"> in patients who show either high or variable anti-AAV5 </w:t>
      </w:r>
      <w:proofErr w:type="spellStart"/>
      <w:r w:rsidR="00987ED3" w:rsidRPr="0045541D">
        <w:t>NAb</w:t>
      </w:r>
      <w:proofErr w:type="spellEnd"/>
      <w:r w:rsidR="00987ED3" w:rsidRPr="0045541D">
        <w:t xml:space="preserve"> titre values. Since the test is currently an unapproved companion diagnostic provided by a commercial laboratory in the United States, the </w:t>
      </w:r>
      <w:r w:rsidR="00A17643" w:rsidRPr="0045541D">
        <w:t xml:space="preserve">commentary suggests the </w:t>
      </w:r>
      <w:r w:rsidR="00EF420B" w:rsidRPr="0045541D">
        <w:t xml:space="preserve">Australian Government </w:t>
      </w:r>
      <w:r w:rsidR="00987ED3" w:rsidRPr="0045541D">
        <w:t xml:space="preserve">consider including provisions in the risk share agreement to ensure adequate and timely access to testing for Australian patients. </w:t>
      </w:r>
    </w:p>
    <w:p w14:paraId="5C46DA9E" w14:textId="5787DAF0" w:rsidR="00987ED3" w:rsidRPr="0045541D" w:rsidRDefault="00987ED3" w:rsidP="00987ED3">
      <w:r w:rsidRPr="0045541D">
        <w:t xml:space="preserve">Ongoing monitoring will be required to evaluate the treatment response in individual patients. The </w:t>
      </w:r>
      <w:r w:rsidR="00401CE5" w:rsidRPr="0045541D">
        <w:t xml:space="preserve">TGA </w:t>
      </w:r>
      <w:r w:rsidR="005440AF" w:rsidRPr="0045541D">
        <w:t xml:space="preserve">provisional </w:t>
      </w:r>
      <w:r w:rsidR="00401CE5" w:rsidRPr="0045541D">
        <w:t>approval specified</w:t>
      </w:r>
      <w:r w:rsidR="00976620" w:rsidRPr="0045541D">
        <w:t xml:space="preserve"> </w:t>
      </w:r>
      <w:r w:rsidRPr="0045541D">
        <w:t xml:space="preserve">that </w:t>
      </w:r>
      <w:r w:rsidR="000D0E94" w:rsidRPr="0045541D">
        <w:t>Hemgenix</w:t>
      </w:r>
      <w:r w:rsidRPr="0045541D">
        <w:t xml:space="preserve"> recipients with pre-existing risk factors for HCC receive abdominal ultrasound screenings and alpha fetoprotein (AFP) monitoring </w:t>
      </w:r>
      <w:r w:rsidR="007C5BE8" w:rsidRPr="0045541D">
        <w:t xml:space="preserve">annually </w:t>
      </w:r>
      <w:r w:rsidRPr="0045541D">
        <w:t>for five years post-infusion</w:t>
      </w:r>
      <w:r w:rsidR="007C5BE8" w:rsidRPr="0045541D">
        <w:t xml:space="preserve"> and all patients </w:t>
      </w:r>
      <w:r w:rsidR="005440AF" w:rsidRPr="0045541D">
        <w:t>receive</w:t>
      </w:r>
      <w:r w:rsidRPr="0045541D">
        <w:t xml:space="preserve"> weekly liver function testing for the first three months post-treatment. The</w:t>
      </w:r>
      <w:r w:rsidR="007D5BEE" w:rsidRPr="0045541D">
        <w:t xml:space="preserve"> commentary suggest</w:t>
      </w:r>
      <w:r w:rsidR="005A2558" w:rsidRPr="0045541D">
        <w:t>ed</w:t>
      </w:r>
      <w:r w:rsidR="007D5BEE" w:rsidRPr="0045541D">
        <w:t xml:space="preserve"> the</w:t>
      </w:r>
      <w:r w:rsidRPr="0045541D">
        <w:t xml:space="preserve">se will need to be considered as part of any implementation plan included in the risk sharing agreement. </w:t>
      </w:r>
    </w:p>
    <w:p w14:paraId="1745457D" w14:textId="4DAE6BD8" w:rsidR="006965F6" w:rsidRPr="0045541D" w:rsidRDefault="00441EF5" w:rsidP="00E91799">
      <w:pPr>
        <w:pStyle w:val="Heading3"/>
      </w:pPr>
      <w:r w:rsidRPr="0045541D">
        <w:t>Organisational, legal, social, equity and ethical issues</w:t>
      </w:r>
    </w:p>
    <w:p w14:paraId="147313E1" w14:textId="376C277E" w:rsidR="00553066" w:rsidRPr="0045541D" w:rsidRDefault="003D227E" w:rsidP="003D227E">
      <w:r w:rsidRPr="0045541D">
        <w:t xml:space="preserve">The ADAR did not address any organisational, legal, social, equity or ethical issues. The AHCDO Gene Therapy Roadmap </w:t>
      </w:r>
      <w:r w:rsidR="00EA7111" w:rsidRPr="0045541D">
        <w:t xml:space="preserve">laid </w:t>
      </w:r>
      <w:r w:rsidRPr="0045541D">
        <w:t>out risks to implementation</w:t>
      </w:r>
      <w:r w:rsidR="00D20661" w:rsidRPr="0045541D">
        <w:t xml:space="preserve">, </w:t>
      </w:r>
      <w:r w:rsidR="002316EB" w:rsidRPr="0045541D">
        <w:t>particularly</w:t>
      </w:r>
      <w:r w:rsidR="00553066" w:rsidRPr="0045541D">
        <w:t>:</w:t>
      </w:r>
    </w:p>
    <w:p w14:paraId="0813650E" w14:textId="4B33E770" w:rsidR="00553066" w:rsidRPr="0045541D" w:rsidRDefault="006129B2" w:rsidP="006779D5">
      <w:pPr>
        <w:pStyle w:val="ListParagraph"/>
        <w:numPr>
          <w:ilvl w:val="0"/>
          <w:numId w:val="16"/>
        </w:numPr>
      </w:pPr>
      <w:r w:rsidRPr="0045541D">
        <w:t>delays to</w:t>
      </w:r>
      <w:r w:rsidR="00D20661" w:rsidRPr="0045541D">
        <w:t xml:space="preserve"> </w:t>
      </w:r>
      <w:r w:rsidR="00EF420B" w:rsidRPr="0045541D">
        <w:t>Australian Government</w:t>
      </w:r>
      <w:r w:rsidR="002316EB" w:rsidRPr="0045541D">
        <w:t xml:space="preserve"> </w:t>
      </w:r>
      <w:r w:rsidR="00CB65E4" w:rsidRPr="0045541D">
        <w:t>funding approval</w:t>
      </w:r>
    </w:p>
    <w:p w14:paraId="0D5DACEE" w14:textId="480430D5" w:rsidR="00553066" w:rsidRPr="00E40A38" w:rsidRDefault="002316EB" w:rsidP="006779D5">
      <w:pPr>
        <w:pStyle w:val="ListParagraph"/>
        <w:numPr>
          <w:ilvl w:val="0"/>
          <w:numId w:val="16"/>
        </w:numPr>
      </w:pPr>
      <w:r w:rsidRPr="00E40A38">
        <w:t xml:space="preserve">real world </w:t>
      </w:r>
      <w:r w:rsidR="00CB65E4" w:rsidRPr="00E40A38">
        <w:t>efficacy over the long term</w:t>
      </w:r>
      <w:r w:rsidR="002519F0" w:rsidRPr="00E40A38">
        <w:t xml:space="preserve"> fails to meet </w:t>
      </w:r>
      <w:proofErr w:type="gramStart"/>
      <w:r w:rsidR="002519F0" w:rsidRPr="00E40A38">
        <w:t>expectations</w:t>
      </w:r>
      <w:proofErr w:type="gramEnd"/>
      <w:r w:rsidR="00CB65E4" w:rsidRPr="00E40A38">
        <w:t xml:space="preserve"> </w:t>
      </w:r>
    </w:p>
    <w:p w14:paraId="31F4DC8C" w14:textId="100013F2" w:rsidR="00553066" w:rsidRPr="00E40A38" w:rsidRDefault="00CB65E4" w:rsidP="006779D5">
      <w:pPr>
        <w:pStyle w:val="ListParagraph"/>
        <w:numPr>
          <w:ilvl w:val="0"/>
          <w:numId w:val="16"/>
        </w:numPr>
      </w:pPr>
      <w:r w:rsidRPr="00E40A38">
        <w:t xml:space="preserve">costs borne by the </w:t>
      </w:r>
      <w:r w:rsidR="00001119" w:rsidRPr="00E40A38">
        <w:t>s</w:t>
      </w:r>
      <w:r w:rsidRPr="00E40A38">
        <w:t xml:space="preserve">tates and </w:t>
      </w:r>
      <w:r w:rsidR="00001119" w:rsidRPr="00E40A38">
        <w:t>t</w:t>
      </w:r>
      <w:r w:rsidRPr="00E40A38">
        <w:t xml:space="preserve">erritories </w:t>
      </w:r>
      <w:r w:rsidR="002519F0" w:rsidRPr="00E40A38">
        <w:t>hinder</w:t>
      </w:r>
      <w:r w:rsidRPr="00E40A38">
        <w:t xml:space="preserve"> </w:t>
      </w:r>
      <w:proofErr w:type="gramStart"/>
      <w:r w:rsidRPr="00E40A38">
        <w:t>implement</w:t>
      </w:r>
      <w:r w:rsidR="0000082C" w:rsidRPr="00E40A38">
        <w:t>ation</w:t>
      </w:r>
      <w:proofErr w:type="gramEnd"/>
    </w:p>
    <w:p w14:paraId="35B462DB" w14:textId="53EB2168" w:rsidR="003D227E" w:rsidRPr="00E40A38" w:rsidRDefault="002316EB" w:rsidP="006779D5">
      <w:pPr>
        <w:pStyle w:val="ListParagraph"/>
        <w:numPr>
          <w:ilvl w:val="0"/>
          <w:numId w:val="16"/>
        </w:numPr>
      </w:pPr>
      <w:r w:rsidRPr="00E40A38">
        <w:t>resource</w:t>
      </w:r>
      <w:r w:rsidR="00553066" w:rsidRPr="00E40A38">
        <w:t>/staffing</w:t>
      </w:r>
      <w:r w:rsidRPr="00E40A38">
        <w:t xml:space="preserve"> constraints </w:t>
      </w:r>
      <w:r w:rsidR="0032247C" w:rsidRPr="00E40A38">
        <w:t>at individual sites</w:t>
      </w:r>
      <w:r w:rsidR="002519F0" w:rsidRPr="00E40A38">
        <w:t xml:space="preserve"> impact </w:t>
      </w:r>
      <w:r w:rsidR="001B154E" w:rsidRPr="00E40A38">
        <w:t>treatment of patients</w:t>
      </w:r>
      <w:r w:rsidR="003D227E" w:rsidRPr="00E40A38">
        <w:t xml:space="preserve">. </w:t>
      </w:r>
    </w:p>
    <w:p w14:paraId="6E40E8F2" w14:textId="5234E59A" w:rsidR="00037302" w:rsidRDefault="00B27795" w:rsidP="00487C85">
      <w:pPr>
        <w:pStyle w:val="Heading2"/>
        <w:numPr>
          <w:ilvl w:val="0"/>
          <w:numId w:val="0"/>
        </w:numPr>
      </w:pPr>
      <w:bookmarkStart w:id="54" w:name="_Toc69491428"/>
      <w:r w:rsidRPr="00E40A38">
        <w:t>1</w:t>
      </w:r>
      <w:r w:rsidR="006779D5">
        <w:t>6</w:t>
      </w:r>
      <w:r w:rsidR="00487C85" w:rsidRPr="00E40A38">
        <w:t>.</w:t>
      </w:r>
      <w:r w:rsidR="00487C85" w:rsidRPr="00E40A38">
        <w:tab/>
      </w:r>
      <w:r w:rsidR="00037302" w:rsidRPr="00E40A38">
        <w:t>Committee-</w:t>
      </w:r>
      <w:r w:rsidR="00487C85" w:rsidRPr="00E40A38">
        <w:t>i</w:t>
      </w:r>
      <w:r w:rsidR="00037302" w:rsidRPr="00E40A38">
        <w:t>n-</w:t>
      </w:r>
      <w:r w:rsidR="00487C85" w:rsidRPr="00E40A38">
        <w:t>c</w:t>
      </w:r>
      <w:r w:rsidR="00037302" w:rsidRPr="00E40A38">
        <w:t>onfidence information</w:t>
      </w:r>
      <w:bookmarkEnd w:id="54"/>
    </w:p>
    <w:p w14:paraId="2744100A" w14:textId="373D76DF" w:rsidR="00E4630F" w:rsidRPr="00E4630F" w:rsidRDefault="00E4630F" w:rsidP="00E4630F">
      <w:pPr>
        <w:rPr>
          <w:b/>
          <w:bCs/>
        </w:rPr>
      </w:pPr>
      <w:r>
        <w:rPr>
          <w:b/>
          <w:bCs/>
        </w:rPr>
        <w:t>Redacted</w:t>
      </w:r>
    </w:p>
    <w:p w14:paraId="3FE4F7DB" w14:textId="317A924A" w:rsidR="006779D5" w:rsidRDefault="006779D5" w:rsidP="006779D5">
      <w:pPr>
        <w:pStyle w:val="Heading2"/>
        <w:numPr>
          <w:ilvl w:val="0"/>
          <w:numId w:val="0"/>
        </w:numPr>
      </w:pPr>
      <w:bookmarkStart w:id="55" w:name="_Toc145678765"/>
      <w:bookmarkStart w:id="56" w:name="_Toc150172410"/>
      <w:bookmarkStart w:id="57" w:name="_Toc153462785"/>
      <w:r>
        <w:t>17.</w:t>
      </w:r>
      <w:r>
        <w:tab/>
        <w:t>Key issues from ESC to MSAC</w:t>
      </w:r>
    </w:p>
    <w:bookmarkEnd w:id="55"/>
    <w:bookmarkEnd w:id="56"/>
    <w:bookmarkEnd w:id="57"/>
    <w:p w14:paraId="2D0B8509" w14:textId="77777777" w:rsidR="00255EA3" w:rsidRDefault="00255EA3" w:rsidP="00255EA3">
      <w:pPr>
        <w:pStyle w:val="BoxName0"/>
      </w:pPr>
      <w:r>
        <w:t xml:space="preserve">Main </w:t>
      </w:r>
      <w:r w:rsidRPr="00C749CB">
        <w:t>issues for MSAC consideration</w:t>
      </w:r>
    </w:p>
    <w:p w14:paraId="2DFB6D08" w14:textId="77777777" w:rsidR="00255EA3" w:rsidRDefault="00255EA3" w:rsidP="00255EA3">
      <w:pPr>
        <w:pStyle w:val="BoxName0"/>
      </w:pPr>
      <w:r>
        <w:t>Clinical issues:</w:t>
      </w:r>
    </w:p>
    <w:p w14:paraId="21929FAE" w14:textId="77777777" w:rsidR="00255EA3" w:rsidRPr="00412098" w:rsidRDefault="00255EA3" w:rsidP="00255EA3">
      <w:pPr>
        <w:pStyle w:val="BoxBullet"/>
        <w:rPr>
          <w:b/>
        </w:rPr>
      </w:pPr>
      <w:r>
        <w:t>There is no evidence to support the use of Hemgenix® in patients with anti-</w:t>
      </w:r>
      <w:r w:rsidRPr="00C76F79">
        <w:t xml:space="preserve">adeno-associated virus type 5 </w:t>
      </w:r>
      <w:r>
        <w:t>(anti-</w:t>
      </w:r>
      <w:r w:rsidRPr="00191709">
        <w:t>AAV5</w:t>
      </w:r>
      <w:r>
        <w:t>)</w:t>
      </w:r>
      <w:r w:rsidRPr="00191709">
        <w:t xml:space="preserve"> </w:t>
      </w:r>
      <w:r>
        <w:t>neutralising antibody (</w:t>
      </w:r>
      <w:proofErr w:type="spellStart"/>
      <w:r>
        <w:t>NAb</w:t>
      </w:r>
      <w:proofErr w:type="spellEnd"/>
      <w:r>
        <w:t>) titre of ≥</w:t>
      </w:r>
      <w:r w:rsidRPr="73B4DBA0">
        <w:rPr>
          <w:rFonts w:ascii="Calibri" w:eastAsia="Calibri" w:hAnsi="Calibri" w:cs="Calibri"/>
          <w:sz w:val="24"/>
          <w:szCs w:val="24"/>
        </w:rPr>
        <w:t>:900</w:t>
      </w:r>
      <w:r w:rsidRPr="7C78CABC">
        <w:rPr>
          <w:rFonts w:ascii="Calibri" w:eastAsia="Calibri" w:hAnsi="Calibri" w:cs="Calibri"/>
          <w:sz w:val="24"/>
          <w:szCs w:val="24"/>
        </w:rPr>
        <w:t xml:space="preserve"> on a </w:t>
      </w:r>
      <w:r>
        <w:t xml:space="preserve">9-point </w:t>
      </w:r>
      <w:proofErr w:type="spellStart"/>
      <w:r>
        <w:t>NAbs</w:t>
      </w:r>
      <w:proofErr w:type="spellEnd"/>
      <w:r>
        <w:t xml:space="preserve"> assay (equivalent to the clinical reference standard, &lt;1:700 on a 7-point assay). The Applicant Developed Assessment Report (ADAR) noted that the use of Hemgenix in patients who were positive for anti-AAV5 </w:t>
      </w:r>
      <w:proofErr w:type="spellStart"/>
      <w:r>
        <w:t>NAbs</w:t>
      </w:r>
      <w:proofErr w:type="spellEnd"/>
      <w:r>
        <w:t xml:space="preserve"> trended towards inferior effectiveness based on endogenous factor IX (FIX) activity compared to patients who were negative for anti-AAV5 </w:t>
      </w:r>
      <w:proofErr w:type="spellStart"/>
      <w:r>
        <w:t>NAbs</w:t>
      </w:r>
      <w:proofErr w:type="spellEnd"/>
      <w:r>
        <w:t xml:space="preserve">. </w:t>
      </w:r>
    </w:p>
    <w:p w14:paraId="11048C8A" w14:textId="77777777" w:rsidR="00255EA3" w:rsidRPr="0045541D" w:rsidRDefault="00255EA3" w:rsidP="00255EA3">
      <w:pPr>
        <w:pStyle w:val="BoxBullet"/>
        <w:rPr>
          <w:b/>
        </w:rPr>
      </w:pPr>
      <w:r>
        <w:t>ESC considered the determination of pre-treatment anti-AAV5 antibody concentration to be an obligatory codependent test, given it is critical in determining patient eligibility to Hemgenix, notwithstanding the test is not validated. ESC noted the United States Food and Drug Administration (US FDA) has mandated two post-</w:t>
      </w:r>
      <w:r w:rsidRPr="0045541D">
        <w:t>marketing studies to validate an assay for detecting anti-AAV5 antibodies, and to categorise the post-treatment bleeding risk according to pre-treatment anti-AAV5 antibody concentration.</w:t>
      </w:r>
    </w:p>
    <w:p w14:paraId="769031B1" w14:textId="77777777" w:rsidR="00255EA3" w:rsidRPr="0045541D" w:rsidRDefault="00255EA3" w:rsidP="00255EA3">
      <w:pPr>
        <w:pStyle w:val="BoxBullet"/>
        <w:rPr>
          <w:b/>
          <w:bCs/>
        </w:rPr>
      </w:pPr>
      <w:r w:rsidRPr="0045541D">
        <w:rPr>
          <w:color w:val="auto"/>
        </w:rPr>
        <w:t xml:space="preserve">There is uncertainty in long term safety and effectiveness of Hemgenix therapy due to the HOPE-B study design </w:t>
      </w:r>
      <w:r w:rsidRPr="0045541D">
        <w:t xml:space="preserve">which given the limited treatment population can only detect very common adverse events (AEs); the unrandomized study design does not allow a true assessment of causality. Furthermore, despite the claim that Hemgenix therapy offers a potential lifetime benefit, the current follow-up period from the pivotal clinical study is 3 years. </w:t>
      </w:r>
    </w:p>
    <w:p w14:paraId="14CF4FE9" w14:textId="77777777" w:rsidR="00255EA3" w:rsidRPr="0045541D" w:rsidRDefault="00255EA3" w:rsidP="00255EA3">
      <w:pPr>
        <w:pStyle w:val="BoxBullet"/>
        <w:rPr>
          <w:b/>
        </w:rPr>
      </w:pPr>
      <w:r w:rsidRPr="0045541D">
        <w:t xml:space="preserve">The transition of patients from their baseline disease category to different category at each post-infusion time-point is not sufficiently well described to show the inter- and intra-individual variability in treatment response. Similarly, average measures of annualised bleeding rate </w:t>
      </w:r>
      <w:proofErr w:type="gramStart"/>
      <w:r w:rsidRPr="0045541D">
        <w:t>obfuscates</w:t>
      </w:r>
      <w:proofErr w:type="gramEnd"/>
      <w:r w:rsidRPr="0045541D">
        <w:t xml:space="preserve"> the substantial inter-individual variability in treatment response.</w:t>
      </w:r>
    </w:p>
    <w:p w14:paraId="703953D1" w14:textId="77777777" w:rsidR="00255EA3" w:rsidRPr="0045541D" w:rsidRDefault="00255EA3" w:rsidP="00255EA3">
      <w:pPr>
        <w:pStyle w:val="BoxBullet"/>
        <w:rPr>
          <w:b/>
          <w:bCs/>
        </w:rPr>
      </w:pPr>
      <w:r w:rsidRPr="0045541D">
        <w:t>Post-treatment ABR was worse among nine patients (17%) of the HOPE-B cohort.</w:t>
      </w:r>
    </w:p>
    <w:p w14:paraId="62515F47" w14:textId="77777777" w:rsidR="00255EA3" w:rsidRPr="0045541D" w:rsidRDefault="00255EA3" w:rsidP="00255EA3">
      <w:pPr>
        <w:pStyle w:val="BoxBullet"/>
      </w:pPr>
      <w:r w:rsidRPr="0045541D">
        <w:t xml:space="preserve">There is reasonable evidence of short-term efficacy with large interindividual variability. The duration of response is unknown. HOPE-B 3-year data was </w:t>
      </w:r>
      <w:proofErr w:type="gramStart"/>
      <w:r w:rsidRPr="0045541D">
        <w:t>provided</w:t>
      </w:r>
      <w:proofErr w:type="gramEnd"/>
      <w:r w:rsidRPr="0045541D">
        <w:t xml:space="preserve"> and 4-year data should also now be available. There is also a planned analysis at 5 years. MSAC may wish to consider whether to request this data before </w:t>
      </w:r>
      <w:proofErr w:type="gramStart"/>
      <w:r w:rsidRPr="0045541D">
        <w:t>making a decision</w:t>
      </w:r>
      <w:proofErr w:type="gramEnd"/>
      <w:r w:rsidRPr="0045541D">
        <w:t xml:space="preserve"> or alternatively, if MSAC supports funding of Hemgenix, the extension study data should be provided and reviewed.</w:t>
      </w:r>
    </w:p>
    <w:p w14:paraId="66C1056D" w14:textId="77777777" w:rsidR="00255EA3" w:rsidRPr="0045541D" w:rsidRDefault="00255EA3" w:rsidP="00255EA3">
      <w:pPr>
        <w:pStyle w:val="BoxBullet"/>
      </w:pPr>
      <w:r w:rsidRPr="0045541D">
        <w:t>Reporting of post-infusion FIX concentration is limited to only subjects who had received no recent FIX replacement.</w:t>
      </w:r>
    </w:p>
    <w:p w14:paraId="15FA1040" w14:textId="614E659B" w:rsidR="00255EA3" w:rsidRPr="0045541D" w:rsidRDefault="00255EA3" w:rsidP="00255EA3">
      <w:pPr>
        <w:pStyle w:val="BoxBullet"/>
      </w:pPr>
      <w:r w:rsidRPr="0045541D">
        <w:t xml:space="preserve">Patient-level data on the 13 </w:t>
      </w:r>
      <w:r w:rsidR="007373B1" w:rsidRPr="0045541D">
        <w:t xml:space="preserve">neoplasms </w:t>
      </w:r>
      <w:r w:rsidRPr="0045541D">
        <w:t>observed on-study was not submitted for ESC consideration.</w:t>
      </w:r>
    </w:p>
    <w:p w14:paraId="354E1F13" w14:textId="77777777" w:rsidR="00255EA3" w:rsidRPr="0045541D" w:rsidRDefault="00255EA3" w:rsidP="00255EA3">
      <w:pPr>
        <w:pStyle w:val="BoxBullet"/>
      </w:pPr>
      <w:r w:rsidRPr="0045541D">
        <w:t>A 15-year follow-up study of safety has been committed to by the sponsor. The Australian Bleeding Disorders Registry may be used to monitor the long-term safety of Hemgenix of all recipients.</w:t>
      </w:r>
    </w:p>
    <w:p w14:paraId="110ADBBF" w14:textId="77777777" w:rsidR="00255EA3" w:rsidRPr="0045541D" w:rsidRDefault="00255EA3" w:rsidP="00255EA3">
      <w:pPr>
        <w:pStyle w:val="BoxHeading"/>
      </w:pPr>
      <w:r w:rsidRPr="0045541D">
        <w:t>Economic issues:</w:t>
      </w:r>
    </w:p>
    <w:p w14:paraId="689CD892" w14:textId="352D7EB4" w:rsidR="00255EA3" w:rsidRDefault="00255EA3" w:rsidP="00255EA3">
      <w:pPr>
        <w:pStyle w:val="BoxBullet"/>
      </w:pPr>
      <w:r w:rsidRPr="0045541D">
        <w:t>ESC was concerned that the ADAR’s two-state economic model (alive, dead) might not have sufficiently captured important patient-relevant events over a 25-year time horizon. Noting that relevant published economic models represented a range of approaches, ESC observed</w:t>
      </w:r>
      <w:r>
        <w:t xml:space="preserve"> that the published models incorporated health states that more closely approximated the natural history of disease than the ADAR model. </w:t>
      </w:r>
    </w:p>
    <w:p w14:paraId="642D3CFE" w14:textId="77777777" w:rsidR="00255EA3" w:rsidRDefault="00255EA3" w:rsidP="00255EA3">
      <w:pPr>
        <w:pStyle w:val="BoxBullet"/>
      </w:pPr>
      <w:r>
        <w:t xml:space="preserve">There are </w:t>
      </w:r>
      <w:proofErr w:type="gramStart"/>
      <w:r>
        <w:t>a number of</w:t>
      </w:r>
      <w:proofErr w:type="gramEnd"/>
      <w:r>
        <w:t xml:space="preserve"> uncertainties and limitations with the model including that how FIX activity levels were extrapolated and the validity of using FIX activity in a binary way as a driver of patient relevant outcomes (the annualised bleeding rate) and healthcare utilisation outcomes (FIX consumption). ESC noted that while the above outcomes were modelled as a function of FIX activity levels, other outcomes (health-related quality of life and serious adverse events) were modelled independently of the FIX activity levels, which raised questions about the logic and consistency of the model.</w:t>
      </w:r>
    </w:p>
    <w:p w14:paraId="3689C1F4" w14:textId="77777777" w:rsidR="00255EA3" w:rsidRPr="0045541D" w:rsidRDefault="00255EA3" w:rsidP="00255EA3">
      <w:pPr>
        <w:pStyle w:val="BoxBullet"/>
      </w:pPr>
      <w:r>
        <w:t xml:space="preserve">Considering the model structure, data sources, and extrapolation methods, ESC was not confident that the health </w:t>
      </w:r>
      <w:r w:rsidRPr="0045541D">
        <w:t xml:space="preserve">indicators and extrapolation used in the model were reasonable, </w:t>
      </w:r>
      <w:proofErr w:type="gramStart"/>
      <w:r w:rsidRPr="0045541D">
        <w:t>unbiased</w:t>
      </w:r>
      <w:proofErr w:type="gramEnd"/>
      <w:r w:rsidRPr="0045541D">
        <w:t xml:space="preserve"> and realistic for the Australian setting.</w:t>
      </w:r>
    </w:p>
    <w:p w14:paraId="5DE273C6" w14:textId="367E2ED2" w:rsidR="00255EA3" w:rsidRPr="0045541D" w:rsidRDefault="00255EA3" w:rsidP="00255EA3">
      <w:pPr>
        <w:pStyle w:val="BoxBullet"/>
      </w:pPr>
      <w:r w:rsidRPr="0045541D">
        <w:t>The incremental cost effectiveness ratio (ICER) reported for the study based 3-year time horizon was prohibitively high ($</w:t>
      </w:r>
      <w:r w:rsidR="00C1785B" w:rsidRPr="0045541D">
        <w:rPr>
          <w:b/>
          <w:bCs/>
        </w:rPr>
        <w:t>redacted</w:t>
      </w:r>
      <w:r w:rsidRPr="0045541D">
        <w:t xml:space="preserve"> per quality adjusted life year [QALY] gained). The ICER reduced and was dominant when the model was extrapolated out to a 25-year time horizon, with dominance reached after </w:t>
      </w:r>
      <w:r w:rsidR="00467C46" w:rsidRPr="0045541D">
        <w:rPr>
          <w:b/>
          <w:bCs/>
        </w:rPr>
        <w:t>redacted</w:t>
      </w:r>
      <w:r w:rsidR="00467C46" w:rsidRPr="0045541D">
        <w:t xml:space="preserve"> </w:t>
      </w:r>
      <w:r w:rsidRPr="0045541D">
        <w:t xml:space="preserve">years in the base case. ESC noted that the long-term treatment benefit was assumed and had yet to be demonstrated in clinical trials. </w:t>
      </w:r>
    </w:p>
    <w:p w14:paraId="53804D5E" w14:textId="57C45151" w:rsidR="00255EA3" w:rsidRPr="0045541D" w:rsidRDefault="00255EA3" w:rsidP="00255EA3">
      <w:pPr>
        <w:pStyle w:val="BoxBullet"/>
        <w:rPr>
          <w:color w:val="auto"/>
        </w:rPr>
      </w:pPr>
      <w:r w:rsidRPr="0045541D">
        <w:rPr>
          <w:color w:val="auto"/>
        </w:rPr>
        <w:t>However, the ICERs increased when the effective prices for the FIX replacement therapies were used, such that Hemgenix was no longer dominant when the model was extrapolated out to a 25-year time horizon (ICER was $</w:t>
      </w:r>
      <w:r w:rsidR="00DB2D12" w:rsidRPr="0045541D">
        <w:rPr>
          <w:b/>
          <w:bCs/>
          <w:color w:val="auto"/>
        </w:rPr>
        <w:t>redacted</w:t>
      </w:r>
      <w:r w:rsidRPr="0045541D">
        <w:rPr>
          <w:color w:val="auto"/>
        </w:rPr>
        <w:t xml:space="preserve"> per QALY gain).</w:t>
      </w:r>
    </w:p>
    <w:p w14:paraId="7C24F233" w14:textId="77777777" w:rsidR="00255EA3" w:rsidRPr="0045541D" w:rsidRDefault="00255EA3" w:rsidP="00255EA3">
      <w:pPr>
        <w:pStyle w:val="BoxHeading"/>
      </w:pPr>
      <w:r w:rsidRPr="0045541D">
        <w:t>Financial issues:</w:t>
      </w:r>
    </w:p>
    <w:p w14:paraId="306C93AD" w14:textId="1DB33113" w:rsidR="00255EA3" w:rsidRPr="0045541D" w:rsidRDefault="00255EA3" w:rsidP="00255EA3">
      <w:pPr>
        <w:pStyle w:val="BoxBullet"/>
      </w:pPr>
      <w:r w:rsidRPr="0045541D">
        <w:t xml:space="preserve">The rate of uptake was uncertain (ADAR assumed an uptake rate of </w:t>
      </w:r>
      <w:r w:rsidR="00C1785B" w:rsidRPr="0045541D">
        <w:rPr>
          <w:b/>
          <w:bCs/>
        </w:rPr>
        <w:t>redacted</w:t>
      </w:r>
      <w:r w:rsidRPr="0045541D">
        <w:t xml:space="preserve">%). Increasing the estimated uptake rate significantly increases the year 1 financial impact but the costs savings from less ongoing FIX replacement therapy results in significantly lower costs at year 6. </w:t>
      </w:r>
    </w:p>
    <w:p w14:paraId="506A2525" w14:textId="77777777" w:rsidR="00255EA3" w:rsidRPr="0045541D" w:rsidRDefault="00255EA3" w:rsidP="00255EA3">
      <w:pPr>
        <w:pStyle w:val="BoxBullet"/>
      </w:pPr>
      <w:r w:rsidRPr="0045541D">
        <w:t>More generally, higher initial uptake rates would be advantageous in terms of reducing the overall (i.e. cumulative) net impact, due to the avoidance of the costs of ongoing FIX replacement therapy.</w:t>
      </w:r>
    </w:p>
    <w:p w14:paraId="131FD95B" w14:textId="77777777" w:rsidR="00255EA3" w:rsidRPr="0045541D" w:rsidRDefault="00255EA3" w:rsidP="00255EA3">
      <w:pPr>
        <w:pStyle w:val="BoxBullet"/>
      </w:pPr>
      <w:r w:rsidRPr="0045541D">
        <w:t>In addition to the uncertainty of the uptake rate, the supply-side constraints (possible global manufacturing constraints and the system’s capacity to deliver the treatments) were important determinants of the adoption of Hemgenix and associated financial impacts.</w:t>
      </w:r>
    </w:p>
    <w:p w14:paraId="47E23487" w14:textId="77777777" w:rsidR="00255EA3" w:rsidRPr="0045541D" w:rsidRDefault="00255EA3" w:rsidP="00255EA3">
      <w:pPr>
        <w:pStyle w:val="BoxBullet"/>
      </w:pPr>
      <w:r w:rsidRPr="0045541D">
        <w:t>Uncertainty of the estimated financial impact was further increased due to questions regarding treatment eligibility, FIX cost offsets and additional costs not being included.</w:t>
      </w:r>
    </w:p>
    <w:p w14:paraId="4C05E8EC" w14:textId="77777777" w:rsidR="00255EA3" w:rsidRDefault="00255EA3" w:rsidP="00255EA3">
      <w:pPr>
        <w:pStyle w:val="BoxBullet"/>
      </w:pPr>
      <w:r w:rsidRPr="0045541D">
        <w:t xml:space="preserve">There may be a differential lifetime reduction in FIX use following Hemgenix administration among the youngest eligible individuals (i.e. for the incident population of children with </w:t>
      </w:r>
      <w:proofErr w:type="spellStart"/>
      <w:r w:rsidRPr="0045541D">
        <w:t>cHMB</w:t>
      </w:r>
      <w:proofErr w:type="spellEnd"/>
      <w:r w:rsidRPr="0045541D">
        <w:t xml:space="preserve"> who transition to adults each year), as compared to use in the prevalent pool of </w:t>
      </w:r>
      <w:proofErr w:type="gramStart"/>
      <w:r w:rsidRPr="0045541D">
        <w:t>older  Hemgenix</w:t>
      </w:r>
      <w:proofErr w:type="gramEnd"/>
      <w:r w:rsidRPr="0045541D">
        <w:t>-eligible individuals, but earlier use is associated with greatest uncertainty</w:t>
      </w:r>
      <w:r>
        <w:t xml:space="preserve"> of duration of effect.</w:t>
      </w:r>
    </w:p>
    <w:p w14:paraId="19C58353" w14:textId="77777777" w:rsidR="00255EA3" w:rsidRDefault="00255EA3" w:rsidP="00255EA3">
      <w:pPr>
        <w:pStyle w:val="BoxHeading"/>
      </w:pPr>
      <w:r>
        <w:t>Other relevant information:</w:t>
      </w:r>
    </w:p>
    <w:p w14:paraId="494BB59C" w14:textId="2B694597" w:rsidR="00255EA3" w:rsidRDefault="00255EA3" w:rsidP="00255EA3">
      <w:pPr>
        <w:pStyle w:val="BoxBullet"/>
      </w:pPr>
      <w:r>
        <w:t>Although Hemgenix was claimed to offer lifetime benefit, there is no evidence to support the safety and effectiveness beyond three years (HOPE-B study), and among 10 patients with five-year follow-up data (Study AMT-060-01). Furthermore, the TGA only granted provisional approval which may be extended to a maximum of six years before either full registration is granted, or de-registration occurs.  The uncertainty regarding long-term outcomes, and durability of response may be addressed using a combination of price and payment structures where a long-term pay-for-performance (</w:t>
      </w:r>
      <w:proofErr w:type="spellStart"/>
      <w:r>
        <w:t>PfP</w:t>
      </w:r>
      <w:proofErr w:type="spellEnd"/>
      <w:r>
        <w:t xml:space="preserve">) arrangement might need to be put in place by the </w:t>
      </w:r>
      <w:r w:rsidR="002E4D8F">
        <w:t>NBA</w:t>
      </w:r>
      <w:r>
        <w:t xml:space="preserve">. However, it is important to note that the duration of the </w:t>
      </w:r>
      <w:proofErr w:type="spellStart"/>
      <w:r>
        <w:t>PfP</w:t>
      </w:r>
      <w:proofErr w:type="spellEnd"/>
      <w:r>
        <w:t xml:space="preserve"> structure may exceed the maximum period of TGA’s provisional registration, and there may need to be reconsideration of the </w:t>
      </w:r>
      <w:proofErr w:type="spellStart"/>
      <w:r>
        <w:t>PfP</w:t>
      </w:r>
      <w:proofErr w:type="spellEnd"/>
      <w:r>
        <w:t xml:space="preserve"> arrangement once full registration is granted. </w:t>
      </w:r>
    </w:p>
    <w:p w14:paraId="7882ECD2" w14:textId="77777777" w:rsidR="00255EA3" w:rsidRDefault="00255EA3" w:rsidP="00255EA3">
      <w:pPr>
        <w:pStyle w:val="BoxBullet"/>
      </w:pPr>
      <w:r>
        <w:t xml:space="preserve">Initial infusion success and long-term efficacy are two separate risks that need addressing. Regarding long-term efficacy, the cohort-based and individual-based </w:t>
      </w:r>
      <w:proofErr w:type="spellStart"/>
      <w:r>
        <w:t>PfP</w:t>
      </w:r>
      <w:proofErr w:type="spellEnd"/>
      <w:r>
        <w:t xml:space="preserve"> options represent different implementation challenges. In particular, ESC noted the difficulty of long-term individual data collection to inform </w:t>
      </w:r>
      <w:proofErr w:type="spellStart"/>
      <w:r>
        <w:t>PfP</w:t>
      </w:r>
      <w:proofErr w:type="spellEnd"/>
      <w:r>
        <w:t xml:space="preserve"> </w:t>
      </w:r>
      <w:proofErr w:type="gramStart"/>
      <w:r>
        <w:t>payments, and</w:t>
      </w:r>
      <w:proofErr w:type="gramEnd"/>
      <w:r>
        <w:t xml:space="preserve"> questioned the feasibility of retrospective adjustments based on cohort-level outcomes.</w:t>
      </w:r>
    </w:p>
    <w:p w14:paraId="51C43B9C" w14:textId="77777777" w:rsidR="00255EA3" w:rsidRDefault="00255EA3" w:rsidP="00255EA3">
      <w:pPr>
        <w:pStyle w:val="BoxBullet"/>
      </w:pPr>
      <w:r>
        <w:t>ESC considered that moving forward would require:</w:t>
      </w:r>
    </w:p>
    <w:p w14:paraId="702FAB4E" w14:textId="77777777" w:rsidR="00255EA3" w:rsidRDefault="00255EA3" w:rsidP="00255EA3">
      <w:pPr>
        <w:pStyle w:val="BoxDash"/>
      </w:pPr>
      <w:r>
        <w:t>consideration of</w:t>
      </w:r>
      <w:r w:rsidRPr="00314A19">
        <w:t xml:space="preserve"> the strength of</w:t>
      </w:r>
      <w:r>
        <w:t xml:space="preserve"> existing</w:t>
      </w:r>
      <w:r w:rsidRPr="00314A19">
        <w:t xml:space="preserve"> short-term evidence</w:t>
      </w:r>
    </w:p>
    <w:p w14:paraId="6FCBD528" w14:textId="77777777" w:rsidR="00255EA3" w:rsidRDefault="00255EA3" w:rsidP="00255EA3">
      <w:pPr>
        <w:pStyle w:val="BoxDash"/>
      </w:pPr>
      <w:r>
        <w:t xml:space="preserve">a </w:t>
      </w:r>
      <w:r w:rsidRPr="00314A19">
        <w:t>deci</w:t>
      </w:r>
      <w:r>
        <w:t>sion</w:t>
      </w:r>
      <w:r w:rsidRPr="00314A19">
        <w:t xml:space="preserve"> on the acceptable level of risk </w:t>
      </w:r>
      <w:r>
        <w:t xml:space="preserve">regarding the extrapolation of the short-term data to inform </w:t>
      </w:r>
      <w:r w:rsidRPr="00314A19">
        <w:t>long-term efficacy</w:t>
      </w:r>
      <w:r>
        <w:t xml:space="preserve"> and related </w:t>
      </w:r>
      <w:proofErr w:type="gramStart"/>
      <w:r>
        <w:t>assumptions</w:t>
      </w:r>
      <w:proofErr w:type="gramEnd"/>
    </w:p>
    <w:p w14:paraId="79BD4940" w14:textId="77777777" w:rsidR="00255EA3" w:rsidRDefault="00255EA3" w:rsidP="00255EA3">
      <w:pPr>
        <w:pStyle w:val="BoxDash"/>
      </w:pPr>
      <w:r>
        <w:t>view of an acceptable economic model structure recognising existing limitations of data and evidence to inform the model.</w:t>
      </w:r>
    </w:p>
    <w:p w14:paraId="6DB027D7" w14:textId="77777777" w:rsidR="00255EA3" w:rsidRDefault="00255EA3" w:rsidP="00255EA3">
      <w:pPr>
        <w:pStyle w:val="BoxText"/>
      </w:pPr>
      <w:r w:rsidRPr="00314A19">
        <w:t xml:space="preserve">This </w:t>
      </w:r>
      <w:r>
        <w:t xml:space="preserve">above information </w:t>
      </w:r>
      <w:r w:rsidRPr="00314A19">
        <w:t xml:space="preserve">can then be used to make a recommendation and determine the appropriate price and </w:t>
      </w:r>
      <w:proofErr w:type="spellStart"/>
      <w:r w:rsidRPr="00314A19">
        <w:t>PfP</w:t>
      </w:r>
      <w:proofErr w:type="spellEnd"/>
      <w:r w:rsidRPr="00314A19">
        <w:t xml:space="preserve"> payment structure. </w:t>
      </w:r>
      <w:r>
        <w:t>Several</w:t>
      </w:r>
      <w:r w:rsidRPr="00314A19">
        <w:t xml:space="preserve"> practical implementation risks would have to be considered</w:t>
      </w:r>
      <w:r>
        <w:t>,</w:t>
      </w:r>
      <w:r w:rsidRPr="00314A19">
        <w:t xml:space="preserve"> including the anti-AAV5 </w:t>
      </w:r>
      <w:proofErr w:type="spellStart"/>
      <w:r w:rsidRPr="00314A19">
        <w:t>NAb</w:t>
      </w:r>
      <w:proofErr w:type="spellEnd"/>
      <w:r w:rsidRPr="00314A19">
        <w:t xml:space="preserve"> titre test status, clinical </w:t>
      </w:r>
      <w:proofErr w:type="gramStart"/>
      <w:r w:rsidRPr="00314A19">
        <w:t>monitoring</w:t>
      </w:r>
      <w:proofErr w:type="gramEnd"/>
      <w:r w:rsidRPr="00314A19">
        <w:t xml:space="preserve"> and access to registry data.</w:t>
      </w:r>
    </w:p>
    <w:p w14:paraId="727A4747" w14:textId="77777777" w:rsidR="00255EA3" w:rsidRPr="006B4E4A" w:rsidRDefault="00255EA3" w:rsidP="00255EA3">
      <w:pPr>
        <w:keepNext/>
        <w:spacing w:before="240"/>
        <w:outlineLvl w:val="1"/>
        <w:rPr>
          <w:rFonts w:cs="Arial"/>
          <w:b/>
          <w:bCs/>
          <w:iCs/>
          <w:sz w:val="24"/>
          <w:szCs w:val="28"/>
          <w:lang w:eastAsia="en-AU"/>
        </w:rPr>
      </w:pPr>
      <w:r w:rsidRPr="006B4E4A">
        <w:rPr>
          <w:rFonts w:cs="Arial"/>
          <w:b/>
          <w:bCs/>
          <w:iCs/>
          <w:sz w:val="24"/>
          <w:szCs w:val="28"/>
          <w:lang w:eastAsia="en-AU"/>
        </w:rPr>
        <w:t>ESC discussion</w:t>
      </w:r>
    </w:p>
    <w:p w14:paraId="580D5272" w14:textId="41278EAC" w:rsidR="00255EA3" w:rsidRDefault="00255EA3" w:rsidP="00255EA3">
      <w:r>
        <w:t>ESC noted that this application from CSL Behring requested public funding through the national blood arrangements for etranacogene dezaparvovec (Hemgenix®) infusion, a gene therapy for the treatment of moderately severe and severe congenital haemophilia B (</w:t>
      </w:r>
      <w:proofErr w:type="spellStart"/>
      <w:r>
        <w:t>cHMB</w:t>
      </w:r>
      <w:proofErr w:type="spellEnd"/>
      <w:r>
        <w:t xml:space="preserve">). </w:t>
      </w:r>
      <w:proofErr w:type="spellStart"/>
      <w:r>
        <w:t>cHMB</w:t>
      </w:r>
      <w:proofErr w:type="spellEnd"/>
      <w:r>
        <w:t xml:space="preserve"> is a rare, X-linked recessive bleeding disorder that results in reduced levels of factor IX (FIX). </w:t>
      </w:r>
    </w:p>
    <w:p w14:paraId="1220CFBC" w14:textId="77777777" w:rsidR="00255EA3" w:rsidRDefault="00255EA3" w:rsidP="00255EA3">
      <w:r>
        <w:t>Hemgenix is a s</w:t>
      </w:r>
      <w:r w:rsidRPr="00C33D14">
        <w:t>omatic gene therapy where an</w:t>
      </w:r>
      <w:r>
        <w:t xml:space="preserve"> inactive</w:t>
      </w:r>
      <w:r w:rsidRPr="00C33D14">
        <w:t xml:space="preserve"> adeno</w:t>
      </w:r>
      <w:r>
        <w:t>-associated virus type 5</w:t>
      </w:r>
      <w:r w:rsidRPr="00C33D14">
        <w:t xml:space="preserve"> (AAV5)</w:t>
      </w:r>
      <w:r>
        <w:t xml:space="preserve"> vector</w:t>
      </w:r>
      <w:r w:rsidRPr="00C33D14">
        <w:t xml:space="preserve"> </w:t>
      </w:r>
      <w:r>
        <w:t xml:space="preserve">is used to introduce </w:t>
      </w:r>
      <w:r w:rsidRPr="00EA483E">
        <w:t xml:space="preserve">a copy of the </w:t>
      </w:r>
      <w:r>
        <w:t>F</w:t>
      </w:r>
      <w:r w:rsidRPr="00EA483E">
        <w:t xml:space="preserve">IX gene into liver cells, which then </w:t>
      </w:r>
      <w:r w:rsidRPr="00C33D14">
        <w:t xml:space="preserve">produce </w:t>
      </w:r>
      <w:r>
        <w:t xml:space="preserve">functional </w:t>
      </w:r>
      <w:r w:rsidRPr="00C33D14">
        <w:t>FIX</w:t>
      </w:r>
      <w:r>
        <w:t xml:space="preserve"> (of the Padua variant). The therapy is proposed to be a one-off, once-per-lifetime treatment however, patients </w:t>
      </w:r>
      <w:r w:rsidRPr="00803211">
        <w:t xml:space="preserve">may still require on-demand </w:t>
      </w:r>
      <w:r>
        <w:t>and/or procedural FIX prophylaxis after Hemgenix treatment</w:t>
      </w:r>
      <w:r w:rsidRPr="00C33D14">
        <w:t>.</w:t>
      </w:r>
      <w:r>
        <w:t xml:space="preserve"> </w:t>
      </w:r>
    </w:p>
    <w:p w14:paraId="0FCE1D7E" w14:textId="77777777" w:rsidR="00255EA3" w:rsidRDefault="00255EA3" w:rsidP="00255EA3">
      <w:r w:rsidRPr="005623E4">
        <w:rPr>
          <w:rFonts w:cs="Calibri"/>
        </w:rPr>
        <w:t xml:space="preserve">ESC noted and welcomed consultation input from </w:t>
      </w:r>
      <w:r>
        <w:rPr>
          <w:rFonts w:cs="Calibri"/>
        </w:rPr>
        <w:t xml:space="preserve">3 </w:t>
      </w:r>
      <w:r w:rsidRPr="005623E4">
        <w:rPr>
          <w:rFonts w:cs="Calibri"/>
        </w:rPr>
        <w:t xml:space="preserve">professional organisations, </w:t>
      </w:r>
      <w:r>
        <w:rPr>
          <w:rFonts w:cs="Calibri"/>
        </w:rPr>
        <w:t xml:space="preserve">1 </w:t>
      </w:r>
      <w:r w:rsidRPr="005623E4">
        <w:rPr>
          <w:rFonts w:cs="Calibri"/>
        </w:rPr>
        <w:t xml:space="preserve">consumer organisation and </w:t>
      </w:r>
      <w:r>
        <w:rPr>
          <w:rFonts w:cs="Calibri"/>
        </w:rPr>
        <w:t>2</w:t>
      </w:r>
      <w:r w:rsidRPr="005623E4">
        <w:rPr>
          <w:rFonts w:cs="Calibri"/>
        </w:rPr>
        <w:t xml:space="preserve"> individuals</w:t>
      </w:r>
      <w:r>
        <w:rPr>
          <w:rFonts w:cs="Calibri"/>
        </w:rPr>
        <w:t xml:space="preserve"> (both of whom</w:t>
      </w:r>
      <w:r w:rsidRPr="005623E4">
        <w:rPr>
          <w:rFonts w:cs="Calibri"/>
        </w:rPr>
        <w:t xml:space="preserve"> were </w:t>
      </w:r>
      <w:r>
        <w:rPr>
          <w:rFonts w:cs="Calibri"/>
        </w:rPr>
        <w:t xml:space="preserve">specialists). </w:t>
      </w:r>
      <w:r>
        <w:t xml:space="preserve">ESC noted from the consultation feedback that there is strong support for publicly funding Hemgenix. However, none of the feedback addressed the anti-AAV5 </w:t>
      </w:r>
      <w:proofErr w:type="spellStart"/>
      <w:r>
        <w:t>NAb</w:t>
      </w:r>
      <w:proofErr w:type="spellEnd"/>
      <w:r>
        <w:t xml:space="preserve"> test and its effectiveness. Consultation feedback noted several possible advantages for the gene therapy, such as no ongoing injections for up to 7 years and avoiding any adverse events (AEs) associated with bleeding incidents, resulting in an improved quality of life (QoL) for the patient and their family. Feedback also identified disadvantages of the therapy such as not all patients were eligible, the need for pathology and dietitian interventions, and avoidance of alcohol, before and after Hemgenix treatment. Consultation feedback also noted the importance of genetic counselling before patients undergo such a treatment, and the importance of a robust informed consent process, to which ESC agreed. ESC specifically noted the importance of patients understanding that if they receive Hemgenix, they will develop high level of anti-AAV5 </w:t>
      </w:r>
      <w:proofErr w:type="spellStart"/>
      <w:r>
        <w:t>NAb</w:t>
      </w:r>
      <w:proofErr w:type="spellEnd"/>
      <w:r>
        <w:t xml:space="preserve"> post-treatment and therefore, would likely be precluded from receiving any future </w:t>
      </w:r>
      <w:r w:rsidRPr="00F0101B">
        <w:t>AAV-based</w:t>
      </w:r>
      <w:r>
        <w:t xml:space="preserve"> gene therapies based on AAV5 (or other cross-reactive AAV species), even if Hemgenix fails or becomes ineffective. ESC also noted that the b</w:t>
      </w:r>
      <w:r w:rsidRPr="00125581">
        <w:t>urden of treatment, patient productivity</w:t>
      </w:r>
      <w:r>
        <w:t xml:space="preserve"> and the</w:t>
      </w:r>
      <w:r w:rsidRPr="00125581">
        <w:t xml:space="preserve"> impact on carers</w:t>
      </w:r>
      <w:r>
        <w:t xml:space="preserve"> were all important factors that cannot be adequately considered in a health technology assessment.</w:t>
      </w:r>
    </w:p>
    <w:p w14:paraId="714E151B" w14:textId="77777777" w:rsidR="00255EA3" w:rsidRDefault="00255EA3" w:rsidP="00255EA3">
      <w:r>
        <w:t xml:space="preserve">ESC noted that Hemgenix received provisional (time-limited) approval for use in Australia by the Therapeutic Goods Administration (TGA) for adults with </w:t>
      </w:r>
      <w:proofErr w:type="spellStart"/>
      <w:r>
        <w:t>cHMB</w:t>
      </w:r>
      <w:proofErr w:type="spellEnd"/>
      <w:r>
        <w:t xml:space="preserve"> without a history of FIX inhibitors. Continued approval (i.e. beyond the initial 2-year provisional approval period) depends on confirmation of longer-term benefit from ongoing clinical trials. Provisional registration can be granted for up to six years before transition to either full registration or de-registration.</w:t>
      </w:r>
    </w:p>
    <w:p w14:paraId="5B8C9EB3" w14:textId="77777777" w:rsidR="00255EA3" w:rsidRDefault="00255EA3" w:rsidP="00255EA3">
      <w:r>
        <w:t xml:space="preserve">ESC noted that the TGA provisionally approved indication for Hemgenix does not restrict use based on severity of </w:t>
      </w:r>
      <w:proofErr w:type="spellStart"/>
      <w:r>
        <w:t>cHMB</w:t>
      </w:r>
      <w:proofErr w:type="spellEnd"/>
      <w:r>
        <w:t xml:space="preserve"> but that in the Applicant Developed Assessment Report (ADAR), the population proposed for funding was restricted to patients with severe </w:t>
      </w:r>
      <w:proofErr w:type="spellStart"/>
      <w:r>
        <w:t>cHMB</w:t>
      </w:r>
      <w:proofErr w:type="spellEnd"/>
      <w:r>
        <w:t xml:space="preserve"> or a subgroup of patients with moderately severe </w:t>
      </w:r>
      <w:proofErr w:type="spellStart"/>
      <w:r>
        <w:t>cHMB</w:t>
      </w:r>
      <w:proofErr w:type="spellEnd"/>
      <w:r>
        <w:t xml:space="preserve"> based on FIX activity (i.e.</w:t>
      </w:r>
      <w:r w:rsidRPr="00841891">
        <w:t xml:space="preserve"> FIX activity</w:t>
      </w:r>
      <w:r>
        <w:t xml:space="preserve"> </w:t>
      </w:r>
      <w:r w:rsidRPr="005B52AE">
        <w:t>≤2%</w:t>
      </w:r>
      <w:r>
        <w:t xml:space="preserve">). </w:t>
      </w:r>
    </w:p>
    <w:p w14:paraId="3CB11677" w14:textId="77777777" w:rsidR="00255EA3" w:rsidRDefault="00255EA3" w:rsidP="00255EA3">
      <w:r>
        <w:t>ESC also noted that, t</w:t>
      </w:r>
      <w:r w:rsidRPr="008C5ECC">
        <w:t xml:space="preserve">o determine </w:t>
      </w:r>
      <w:r>
        <w:t xml:space="preserve">a patient’s </w:t>
      </w:r>
      <w:r w:rsidRPr="008C5ECC">
        <w:t>eligibility</w:t>
      </w:r>
      <w:r>
        <w:t xml:space="preserve"> for Hemgenix</w:t>
      </w:r>
      <w:r w:rsidRPr="008C5ECC">
        <w:t xml:space="preserve">, patients </w:t>
      </w:r>
      <w:r>
        <w:t>are</w:t>
      </w:r>
      <w:r w:rsidRPr="008C5ECC">
        <w:t xml:space="preserve"> tested for anti-AAV5 </w:t>
      </w:r>
      <w:r>
        <w:t>neutralising antibodies (</w:t>
      </w:r>
      <w:proofErr w:type="spellStart"/>
      <w:r w:rsidRPr="008C5ECC">
        <w:t>N</w:t>
      </w:r>
      <w:r>
        <w:t>A</w:t>
      </w:r>
      <w:r w:rsidRPr="008C5ECC">
        <w:t>b</w:t>
      </w:r>
      <w:r>
        <w:t>s</w:t>
      </w:r>
      <w:proofErr w:type="spellEnd"/>
      <w:r>
        <w:t xml:space="preserve">), </w:t>
      </w:r>
      <w:r w:rsidRPr="008C5ECC">
        <w:t xml:space="preserve">as </w:t>
      </w:r>
      <w:r>
        <w:t xml:space="preserve">it biologically plausible that </w:t>
      </w:r>
      <w:r w:rsidRPr="008C5ECC">
        <w:t xml:space="preserve">high levels of </w:t>
      </w:r>
      <w:r>
        <w:t xml:space="preserve">anti-AAV5 </w:t>
      </w:r>
      <w:proofErr w:type="spellStart"/>
      <w:r>
        <w:t>NAbs</w:t>
      </w:r>
      <w:proofErr w:type="spellEnd"/>
      <w:r>
        <w:t xml:space="preserve"> </w:t>
      </w:r>
      <w:r w:rsidRPr="008C5ECC">
        <w:t xml:space="preserve">may render the treatment ineffective. </w:t>
      </w:r>
      <w:r>
        <w:t xml:space="preserve">ESC noted that the anti-AAV5 </w:t>
      </w:r>
      <w:proofErr w:type="spellStart"/>
      <w:r>
        <w:t>NAb</w:t>
      </w:r>
      <w:proofErr w:type="spellEnd"/>
      <w:r>
        <w:t xml:space="preserve"> assay would be performed in the United States </w:t>
      </w:r>
      <w:r w:rsidRPr="00D368E6">
        <w:t>with CSL Behring covering all related costs</w:t>
      </w:r>
      <w:r>
        <w:t xml:space="preserve">, but that this meant the anti-AAV5 </w:t>
      </w:r>
      <w:proofErr w:type="spellStart"/>
      <w:r>
        <w:t>NAb</w:t>
      </w:r>
      <w:proofErr w:type="spellEnd"/>
      <w:r>
        <w:t xml:space="preserve"> assay would not be subjected to Australian regulatory requirements, quality assurance program or laboratory accreditation. ESC queried if the cost of the anti-AAV5 </w:t>
      </w:r>
      <w:proofErr w:type="spellStart"/>
      <w:r>
        <w:t>NAb</w:t>
      </w:r>
      <w:proofErr w:type="spellEnd"/>
      <w:r>
        <w:t xml:space="preserve"> assay is covered if the test finds the patient to be ineligible for Hemgenix infusion. </w:t>
      </w:r>
    </w:p>
    <w:p w14:paraId="70B79A1C" w14:textId="77777777" w:rsidR="00255EA3" w:rsidRDefault="00255EA3" w:rsidP="00255EA3">
      <w:r>
        <w:t xml:space="preserve">Although the TGA provisionally approved indication for Hemgenix does not specify an anti-AAV5 </w:t>
      </w:r>
      <w:proofErr w:type="spellStart"/>
      <w:r>
        <w:t>NAb</w:t>
      </w:r>
      <w:proofErr w:type="spellEnd"/>
      <w:r>
        <w:t xml:space="preserve"> titre threshold, ESC noted the requirement to assess a patient’s anti-AAV5 </w:t>
      </w:r>
      <w:proofErr w:type="spellStart"/>
      <w:r>
        <w:t>NAb</w:t>
      </w:r>
      <w:proofErr w:type="spellEnd"/>
      <w:r>
        <w:t xml:space="preserve"> titre is stated in the Australian Product Information for Hemgenix. ESC noted the ADAR asserted that the anti-AAV5 </w:t>
      </w:r>
      <w:proofErr w:type="spellStart"/>
      <w:r>
        <w:t>NAb</w:t>
      </w:r>
      <w:proofErr w:type="spellEnd"/>
      <w:r>
        <w:t xml:space="preserve"> assay was considered a ‘complementary diagnostic’ by the TGA and had removed the anti-AAV5 </w:t>
      </w:r>
      <w:proofErr w:type="spellStart"/>
      <w:r>
        <w:t>NAb</w:t>
      </w:r>
      <w:proofErr w:type="spellEnd"/>
      <w:r>
        <w:t xml:space="preserve"> titre threshold from the eligibility criteria for the population proposed for funding. However, ESC considered the anti-AAV5 </w:t>
      </w:r>
      <w:proofErr w:type="spellStart"/>
      <w:r>
        <w:t>NAb</w:t>
      </w:r>
      <w:proofErr w:type="spellEnd"/>
      <w:r>
        <w:t xml:space="preserve"> assay provided </w:t>
      </w:r>
      <w:r w:rsidRPr="003F671C">
        <w:t xml:space="preserve">information that is </w:t>
      </w:r>
      <w:r w:rsidRPr="0027104B">
        <w:t>essential</w:t>
      </w:r>
      <w:r w:rsidRPr="003F671C">
        <w:t> </w:t>
      </w:r>
      <w:r>
        <w:t>for determining the patient population</w:t>
      </w:r>
      <w:r w:rsidRPr="003F671C">
        <w:t xml:space="preserve"> </w:t>
      </w:r>
      <w:r>
        <w:t xml:space="preserve">for public funding for which there is evidence on the safety and effectiveness of Hemgenix. </w:t>
      </w:r>
      <w:r w:rsidRPr="00942A00">
        <w:t xml:space="preserve">ESC </w:t>
      </w:r>
      <w:r>
        <w:t>considered that, as proposed in the ratified PICO Confirmation,</w:t>
      </w:r>
      <w:r w:rsidRPr="00942A00">
        <w:t xml:space="preserve"> a </w:t>
      </w:r>
      <w:proofErr w:type="spellStart"/>
      <w:r w:rsidRPr="00942A00">
        <w:t>NAb</w:t>
      </w:r>
      <w:proofErr w:type="spellEnd"/>
      <w:r w:rsidRPr="00942A00">
        <w:t xml:space="preserve"> titre of </w:t>
      </w:r>
      <w:r w:rsidRPr="00B776D8">
        <w:t xml:space="preserve">&lt;1:700 </w:t>
      </w:r>
      <w:r>
        <w:t xml:space="preserve">on a seven-point assay </w:t>
      </w:r>
      <w:r w:rsidRPr="00B776D8">
        <w:t xml:space="preserve">(or &lt;1:900 on a </w:t>
      </w:r>
      <w:r>
        <w:t>nine-</w:t>
      </w:r>
      <w:r w:rsidRPr="00B776D8">
        <w:t>point assay)</w:t>
      </w:r>
      <w:r>
        <w:t xml:space="preserve"> </w:t>
      </w:r>
      <w:r w:rsidRPr="00942A00">
        <w:t xml:space="preserve">should be </w:t>
      </w:r>
      <w:r>
        <w:t>retained as one of the eligibility criteria for accessing publicly funded Hemgenix (if supported by MSAC).</w:t>
      </w:r>
      <w:r w:rsidRPr="00C75B75">
        <w:t xml:space="preserve"> </w:t>
      </w:r>
    </w:p>
    <w:p w14:paraId="4EA01DEE" w14:textId="77777777" w:rsidR="00255EA3" w:rsidRDefault="00255EA3" w:rsidP="00255EA3">
      <w:r>
        <w:t xml:space="preserve">ESC also noted the proposed population for funding was </w:t>
      </w:r>
      <w:r w:rsidRPr="00942A00">
        <w:t>restrict</w:t>
      </w:r>
      <w:r>
        <w:t>ed</w:t>
      </w:r>
      <w:r w:rsidRPr="00942A00">
        <w:t xml:space="preserve"> to adult patients </w:t>
      </w:r>
      <w:r w:rsidRPr="00973663">
        <w:t>≥</w:t>
      </w:r>
      <w:r w:rsidRPr="00942A00">
        <w:t>18 years old</w:t>
      </w:r>
      <w:r>
        <w:t xml:space="preserve"> and who have</w:t>
      </w:r>
      <w:r w:rsidRPr="00942A00">
        <w:t xml:space="preserve"> no inhibitor formation against expressed FIX protein.</w:t>
      </w:r>
      <w:r>
        <w:t xml:space="preserve"> ESC considered the restriction to patients </w:t>
      </w:r>
      <w:r w:rsidRPr="00A00F0E">
        <w:t>≥18 years</w:t>
      </w:r>
      <w:r>
        <w:t xml:space="preserve"> old appropriate given current evidence but highlighted that treatment for patients &lt;</w:t>
      </w:r>
      <w:r w:rsidRPr="00316B85">
        <w:t>18 years</w:t>
      </w:r>
      <w:r>
        <w:t xml:space="preserve"> old would be of interest to prevent future morbidity in this population. As such, future data generation (and submission) for this population was encouraged.</w:t>
      </w:r>
    </w:p>
    <w:p w14:paraId="6FA913BE" w14:textId="77777777" w:rsidR="00255EA3" w:rsidRDefault="00255EA3" w:rsidP="00255EA3">
      <w:r>
        <w:t xml:space="preserve">ESC noted the clinical evidence base consisted of three single arm observational studies, however the phase III HOPE-B study (n=54 patients with moderate to severe </w:t>
      </w:r>
      <w:proofErr w:type="spellStart"/>
      <w:r>
        <w:t>cHMB</w:t>
      </w:r>
      <w:proofErr w:type="spellEnd"/>
      <w:r>
        <w:t xml:space="preserve"> treated with Hemgenix) provided the pivotal evidence. The outcomes considered were annualised bleeding rate (</w:t>
      </w:r>
      <w:r w:rsidRPr="00A7671B">
        <w:t>ABR</w:t>
      </w:r>
      <w:r>
        <w:t>)</w:t>
      </w:r>
      <w:r w:rsidRPr="00A7671B">
        <w:t xml:space="preserve"> 6–36 mo</w:t>
      </w:r>
      <w:r>
        <w:t>nths</w:t>
      </w:r>
      <w:r w:rsidRPr="00A7671B">
        <w:t xml:space="preserve"> post-treatment</w:t>
      </w:r>
      <w:r>
        <w:t>, u</w:t>
      </w:r>
      <w:r w:rsidRPr="00A7671B">
        <w:t>ncontaminated FIX activity</w:t>
      </w:r>
      <w:r>
        <w:t xml:space="preserve">, </w:t>
      </w:r>
      <w:r w:rsidRPr="00A7671B">
        <w:t>FIX</w:t>
      </w:r>
      <w:r>
        <w:t xml:space="preserve"> </w:t>
      </w:r>
      <w:r w:rsidRPr="00A7671B">
        <w:t>utilisation</w:t>
      </w:r>
      <w:r>
        <w:t>, adverse events (</w:t>
      </w:r>
      <w:r w:rsidRPr="00A7671B">
        <w:t>AEs</w:t>
      </w:r>
      <w:r>
        <w:t xml:space="preserve">), and </w:t>
      </w:r>
      <w:r w:rsidRPr="00A7671B">
        <w:t>EQ-5D-5L</w:t>
      </w:r>
      <w:r>
        <w:t xml:space="preserve"> and </w:t>
      </w:r>
      <w:r w:rsidRPr="00A7671B">
        <w:t>Haem-A-QoL</w:t>
      </w:r>
      <w:r>
        <w:t xml:space="preserve"> scores. The two other case studies where phase I/II and phase IIb studies that included very small patient numbers (n = 3 and n = 10, respectively) provided supporting evidence.</w:t>
      </w:r>
    </w:p>
    <w:p w14:paraId="44674986" w14:textId="77777777" w:rsidR="00255EA3" w:rsidRDefault="00255EA3" w:rsidP="00255EA3">
      <w:r w:rsidRPr="002D1EB3">
        <w:t>ESC noted that the trial protocol for the HOPE-B study changed over time. The primary endpoint was initially FIX activity level, then changed to ABR after trial commencement. In addition, the timeframe for the primary endpoint also changed from day 21 to month 7.</w:t>
      </w:r>
      <w:r>
        <w:t xml:space="preserve"> However, ESC noted the applicant’s pre-ESC response clarified that these amendments were based on input and support from the United States Food and Drug Administration (FDA) and considered the applicant’s claim that these changes did not affect the validity of the trial results was reasonable. ESC further noted that both endpoints were published</w:t>
      </w:r>
      <w:r w:rsidRPr="007563D3">
        <w:t>.</w:t>
      </w:r>
      <w:r>
        <w:t xml:space="preserve"> ESC also noted that it was unclear as to how patients were initially screened for the trial and noted that the trial had more exclusion criteria (any </w:t>
      </w:r>
      <w:r w:rsidRPr="002B76EF">
        <w:t xml:space="preserve">active or history of inhibitors, abnormal </w:t>
      </w:r>
      <w:r>
        <w:t>liver function test results</w:t>
      </w:r>
      <w:r w:rsidRPr="002B76EF">
        <w:t xml:space="preserve">, </w:t>
      </w:r>
      <w:r>
        <w:t xml:space="preserve">advanced liver fibrosis [i.e. based on a high </w:t>
      </w:r>
      <w:proofErr w:type="spellStart"/>
      <w:r>
        <w:t>fibroscan</w:t>
      </w:r>
      <w:proofErr w:type="spellEnd"/>
      <w:r>
        <w:t xml:space="preserve"> score], </w:t>
      </w:r>
      <w:r w:rsidRPr="002B76EF">
        <w:t>HIV with CD4 &lt;200/</w:t>
      </w:r>
      <w:proofErr w:type="spellStart"/>
      <w:r w:rsidRPr="002B76EF">
        <w:t>uL</w:t>
      </w:r>
      <w:proofErr w:type="spellEnd"/>
      <w:r>
        <w:t>,</w:t>
      </w:r>
      <w:r w:rsidRPr="002B76EF">
        <w:t xml:space="preserve"> </w:t>
      </w:r>
      <w:r>
        <w:t>hepatitis B or C infection</w:t>
      </w:r>
      <w:r w:rsidRPr="002B76EF">
        <w:t xml:space="preserve">, </w:t>
      </w:r>
      <w:r>
        <w:t xml:space="preserve">any </w:t>
      </w:r>
      <w:r w:rsidRPr="002B76EF">
        <w:t>comorbidities and previous gene therapy</w:t>
      </w:r>
      <w:r>
        <w:t>) than the population proposed for funding in the ADAR.</w:t>
      </w:r>
    </w:p>
    <w:p w14:paraId="497C69ED" w14:textId="3E1ADA25" w:rsidR="00255EA3" w:rsidRPr="0045541D" w:rsidRDefault="00255EA3" w:rsidP="00255EA3">
      <w:r>
        <w:t xml:space="preserve">Regarding comparative safety of Hemgenix, ESC noted that there were several AEs in the HOPE-B study, </w:t>
      </w:r>
      <w:r w:rsidRPr="0045541D">
        <w:t xml:space="preserve">including liver function test abnormalities, an infusion reaction and all patients developed anti-AAV5 </w:t>
      </w:r>
      <w:proofErr w:type="spellStart"/>
      <w:r w:rsidRPr="0045541D">
        <w:t>NAbs</w:t>
      </w:r>
      <w:proofErr w:type="spellEnd"/>
      <w:r w:rsidRPr="0045541D">
        <w:t xml:space="preserve">. There were also 22 serious AEs; of note, 9 were in the form of bleeds, one was a death, and one was a hepatocellular carcinoma (although the ADAR reported there was no </w:t>
      </w:r>
      <w:r w:rsidRPr="0045541D">
        <w:rPr>
          <w:lang w:val="en-US"/>
        </w:rPr>
        <w:t xml:space="preserve">evidence of vector-related insertional mutagenesis as the </w:t>
      </w:r>
      <w:proofErr w:type="spellStart"/>
      <w:r w:rsidRPr="0045541D">
        <w:rPr>
          <w:lang w:val="en-US"/>
        </w:rPr>
        <w:t>aetiology</w:t>
      </w:r>
      <w:proofErr w:type="spellEnd"/>
      <w:r w:rsidRPr="0045541D">
        <w:rPr>
          <w:lang w:val="en-US"/>
        </w:rPr>
        <w:t>)</w:t>
      </w:r>
      <w:r w:rsidRPr="0045541D">
        <w:t>. ESC also noted there were 13 </w:t>
      </w:r>
      <w:r w:rsidR="00827E7E" w:rsidRPr="0045541D">
        <w:t xml:space="preserve">neoplasms </w:t>
      </w:r>
      <w:r w:rsidRPr="0045541D">
        <w:t xml:space="preserve">reported in 7 people. ESC noted the applicant’s pre-ESC response stated all </w:t>
      </w:r>
      <w:r w:rsidR="00827E7E" w:rsidRPr="0045541D">
        <w:t xml:space="preserve">neoplasms </w:t>
      </w:r>
      <w:r w:rsidRPr="0045541D">
        <w:t xml:space="preserve">were not treatment related and there is no known oncological risk. While ESC considered the </w:t>
      </w:r>
      <w:r w:rsidR="005029DC" w:rsidRPr="0045541D">
        <w:t>neoplasms</w:t>
      </w:r>
      <w:r w:rsidRPr="0045541D">
        <w:t xml:space="preserve"> were likely unrelated to Hemgenix, further details are still required.</w:t>
      </w:r>
    </w:p>
    <w:p w14:paraId="44F8978B" w14:textId="77777777" w:rsidR="00255EA3" w:rsidRDefault="00255EA3" w:rsidP="00255EA3">
      <w:pPr>
        <w:pStyle w:val="NormalBeforeBullet0"/>
      </w:pPr>
      <w:r w:rsidRPr="0045541D">
        <w:t>Regarding comparative effectiveness of Hemgenix, ESC noted that for patients in the HOPE-B study, the adjusted ABRs decreased from an average of 4.19 before treatment to 1.52 post-treatment (measured throughout 7–36 months post-treatment). ESC noted that the reduction in adjusted ABR, when reported as an average for the whole cohort, appeared to demonstrate Hemgenix effectiveness. However, presenting the average for the whole</w:t>
      </w:r>
      <w:r>
        <w:t xml:space="preserve"> cohort obfuscated the substantial inter-individual variability in ABR following Hemgenix. ESC noted that a tornado plot of the ABR for each patient highlighted the extent of the inter-individual variability and </w:t>
      </w:r>
      <w:proofErr w:type="gramStart"/>
      <w:r>
        <w:t>in particular noted</w:t>
      </w:r>
      <w:proofErr w:type="gramEnd"/>
      <w:r>
        <w:t>:</w:t>
      </w:r>
    </w:p>
    <w:p w14:paraId="0FDA7F4C" w14:textId="66C8C277" w:rsidR="00255EA3" w:rsidRPr="00925071" w:rsidRDefault="00255EA3" w:rsidP="006779D5">
      <w:pPr>
        <w:pStyle w:val="Bullet"/>
        <w:numPr>
          <w:ilvl w:val="0"/>
          <w:numId w:val="25"/>
        </w:numPr>
        <w:spacing w:before="0"/>
        <w:rPr>
          <w:rFonts w:ascii="Franklin Gothic Book" w:hAnsi="Franklin Gothic Book"/>
        </w:rPr>
      </w:pPr>
      <w:r>
        <w:rPr>
          <w:rFonts w:ascii="Franklin Gothic Book" w:hAnsi="Franklin Gothic Book"/>
        </w:rPr>
        <w:t>the pre- and post-treatment ABR for the 3</w:t>
      </w:r>
      <w:r w:rsidRPr="00925071">
        <w:rPr>
          <w:rFonts w:ascii="Franklin Gothic Book" w:hAnsi="Franklin Gothic Book"/>
        </w:rPr>
        <w:t xml:space="preserve"> patients </w:t>
      </w:r>
      <w:r>
        <w:rPr>
          <w:rFonts w:ascii="Franklin Gothic Book" w:hAnsi="Franklin Gothic Book"/>
        </w:rPr>
        <w:t>that the ADAR reported to have confirmed</w:t>
      </w:r>
      <w:r w:rsidRPr="00925071">
        <w:rPr>
          <w:rFonts w:ascii="Franklin Gothic Book" w:hAnsi="Franklin Gothic Book"/>
        </w:rPr>
        <w:t xml:space="preserve"> lack of efficacy</w:t>
      </w:r>
      <w:r>
        <w:rPr>
          <w:rFonts w:ascii="Franklin Gothic Book" w:hAnsi="Franklin Gothic Book"/>
        </w:rPr>
        <w:t>.</w:t>
      </w:r>
      <w:r w:rsidRPr="00925071">
        <w:rPr>
          <w:rFonts w:ascii="Franklin Gothic Book" w:hAnsi="Franklin Gothic Book"/>
        </w:rPr>
        <w:t xml:space="preserve"> </w:t>
      </w:r>
      <w:r>
        <w:rPr>
          <w:rFonts w:ascii="Franklin Gothic Book" w:hAnsi="Franklin Gothic Book"/>
        </w:rPr>
        <w:t>O</w:t>
      </w:r>
      <w:r w:rsidRPr="00925071">
        <w:rPr>
          <w:rFonts w:ascii="Franklin Gothic Book" w:hAnsi="Franklin Gothic Book"/>
        </w:rPr>
        <w:t xml:space="preserve">ne </w:t>
      </w:r>
      <w:r>
        <w:rPr>
          <w:rFonts w:ascii="Franklin Gothic Book" w:hAnsi="Franklin Gothic Book"/>
        </w:rPr>
        <w:t>patient</w:t>
      </w:r>
      <w:r w:rsidRPr="00925071">
        <w:rPr>
          <w:rFonts w:ascii="Franklin Gothic Book" w:hAnsi="Franklin Gothic Book"/>
        </w:rPr>
        <w:t xml:space="preserve"> had an infusion reaction</w:t>
      </w:r>
      <w:r>
        <w:rPr>
          <w:rFonts w:ascii="Franklin Gothic Book" w:hAnsi="Franklin Gothic Book"/>
        </w:rPr>
        <w:t xml:space="preserve"> (and didn’t receive the full infusion)</w:t>
      </w:r>
      <w:r w:rsidRPr="00925071">
        <w:rPr>
          <w:rFonts w:ascii="Franklin Gothic Book" w:hAnsi="Franklin Gothic Book"/>
        </w:rPr>
        <w:t xml:space="preserve">, one </w:t>
      </w:r>
      <w:r>
        <w:rPr>
          <w:rFonts w:ascii="Franklin Gothic Book" w:hAnsi="Franklin Gothic Book"/>
        </w:rPr>
        <w:t>patient</w:t>
      </w:r>
      <w:r w:rsidRPr="00925071">
        <w:rPr>
          <w:rFonts w:ascii="Franklin Gothic Book" w:hAnsi="Franklin Gothic Book"/>
        </w:rPr>
        <w:t xml:space="preserve"> </w:t>
      </w:r>
      <w:r w:rsidRPr="009C3FF7">
        <w:rPr>
          <w:rFonts w:ascii="Franklin Gothic Book" w:hAnsi="Franklin Gothic Book"/>
        </w:rPr>
        <w:t xml:space="preserve">experienced lack of efficacy </w:t>
      </w:r>
      <w:r w:rsidRPr="00925071">
        <w:rPr>
          <w:rFonts w:ascii="Franklin Gothic Book" w:hAnsi="Franklin Gothic Book"/>
        </w:rPr>
        <w:t xml:space="preserve">at day </w:t>
      </w:r>
      <w:r w:rsidR="001252C6" w:rsidRPr="001252C6">
        <w:rPr>
          <w:rFonts w:ascii="Franklin Gothic Book" w:hAnsi="Franklin Gothic Book"/>
          <w:b/>
          <w:bCs/>
        </w:rPr>
        <w:t>redacted</w:t>
      </w:r>
      <w:r>
        <w:rPr>
          <w:rFonts w:ascii="Franklin Gothic Book" w:hAnsi="Franklin Gothic Book"/>
        </w:rPr>
        <w:t>,</w:t>
      </w:r>
      <w:r w:rsidRPr="00925071">
        <w:rPr>
          <w:rFonts w:ascii="Franklin Gothic Book" w:hAnsi="Franklin Gothic Book"/>
        </w:rPr>
        <w:t xml:space="preserve"> and one </w:t>
      </w:r>
      <w:r>
        <w:rPr>
          <w:rFonts w:ascii="Franklin Gothic Book" w:hAnsi="Franklin Gothic Book"/>
        </w:rPr>
        <w:t>patient</w:t>
      </w:r>
      <w:r w:rsidRPr="00925071">
        <w:rPr>
          <w:rFonts w:ascii="Franklin Gothic Book" w:hAnsi="Franklin Gothic Book"/>
        </w:rPr>
        <w:t xml:space="preserve"> had </w:t>
      </w:r>
      <w:r>
        <w:rPr>
          <w:rFonts w:ascii="Franklin Gothic Book" w:hAnsi="Franklin Gothic Book"/>
        </w:rPr>
        <w:t xml:space="preserve">a </w:t>
      </w:r>
      <w:r w:rsidRPr="00925071">
        <w:rPr>
          <w:rFonts w:ascii="Franklin Gothic Book" w:hAnsi="Franklin Gothic Book"/>
        </w:rPr>
        <w:t xml:space="preserve">high </w:t>
      </w:r>
      <w:r>
        <w:rPr>
          <w:rFonts w:ascii="Franklin Gothic Book" w:hAnsi="Franklin Gothic Book"/>
        </w:rPr>
        <w:t xml:space="preserve">anti-AAV5 </w:t>
      </w:r>
      <w:proofErr w:type="spellStart"/>
      <w:r>
        <w:rPr>
          <w:rFonts w:ascii="Franklin Gothic Book" w:hAnsi="Franklin Gothic Book"/>
        </w:rPr>
        <w:t>NAb</w:t>
      </w:r>
      <w:proofErr w:type="spellEnd"/>
      <w:r>
        <w:rPr>
          <w:rFonts w:ascii="Franklin Gothic Book" w:hAnsi="Franklin Gothic Book"/>
        </w:rPr>
        <w:t xml:space="preserve"> </w:t>
      </w:r>
      <w:r w:rsidRPr="00925071">
        <w:rPr>
          <w:rFonts w:ascii="Franklin Gothic Book" w:hAnsi="Franklin Gothic Book"/>
        </w:rPr>
        <w:t xml:space="preserve">titre </w:t>
      </w:r>
      <w:r>
        <w:rPr>
          <w:rFonts w:ascii="Franklin Gothic Book" w:hAnsi="Franklin Gothic Book"/>
        </w:rPr>
        <w:t>(pretreatment) and had no response.</w:t>
      </w:r>
    </w:p>
    <w:p w14:paraId="4C524B3E" w14:textId="2FCF3DC2" w:rsidR="00255EA3" w:rsidRDefault="00255EA3" w:rsidP="006779D5">
      <w:pPr>
        <w:pStyle w:val="BulletLast"/>
        <w:numPr>
          <w:ilvl w:val="0"/>
          <w:numId w:val="25"/>
        </w:numPr>
      </w:pPr>
      <w:r>
        <w:t xml:space="preserve">the patient that </w:t>
      </w:r>
      <w:r w:rsidRPr="009C3FF7">
        <w:t xml:space="preserve">experienced lack of efficacy </w:t>
      </w:r>
      <w:r>
        <w:t xml:space="preserve">at day </w:t>
      </w:r>
      <w:r w:rsidR="001252C6" w:rsidRPr="001252C6">
        <w:rPr>
          <w:b/>
          <w:bCs/>
        </w:rPr>
        <w:t>redacted</w:t>
      </w:r>
      <w:r>
        <w:t xml:space="preserve"> was important as it is unclear if the patient was </w:t>
      </w:r>
      <w:r w:rsidRPr="009E03A1">
        <w:t>a late non</w:t>
      </w:r>
      <w:r>
        <w:t>-</w:t>
      </w:r>
      <w:r w:rsidRPr="009E03A1">
        <w:t xml:space="preserve">responder or the first of a cohort of </w:t>
      </w:r>
      <w:r>
        <w:t xml:space="preserve">patients with </w:t>
      </w:r>
      <w:r w:rsidRPr="009E03A1">
        <w:t xml:space="preserve">waning </w:t>
      </w:r>
      <w:proofErr w:type="gramStart"/>
      <w:r w:rsidRPr="009E03A1">
        <w:t>efficacy</w:t>
      </w:r>
      <w:proofErr w:type="gramEnd"/>
    </w:p>
    <w:p w14:paraId="0C1D720D" w14:textId="77777777" w:rsidR="00255EA3" w:rsidRPr="00925071" w:rsidRDefault="00255EA3" w:rsidP="006779D5">
      <w:pPr>
        <w:pStyle w:val="Bullet"/>
        <w:numPr>
          <w:ilvl w:val="0"/>
          <w:numId w:val="25"/>
        </w:numPr>
        <w:spacing w:before="0"/>
        <w:rPr>
          <w:rFonts w:ascii="Franklin Gothic Book" w:hAnsi="Franklin Gothic Book"/>
        </w:rPr>
      </w:pPr>
      <w:r>
        <w:rPr>
          <w:rFonts w:ascii="Franklin Gothic Book" w:hAnsi="Franklin Gothic Book"/>
        </w:rPr>
        <w:t>9</w:t>
      </w:r>
      <w:r w:rsidRPr="00925071">
        <w:rPr>
          <w:rFonts w:ascii="Franklin Gothic Book" w:hAnsi="Franklin Gothic Book"/>
        </w:rPr>
        <w:t xml:space="preserve"> patients had more bleeds per month post-treatment than before </w:t>
      </w:r>
      <w:proofErr w:type="gramStart"/>
      <w:r w:rsidRPr="00925071">
        <w:rPr>
          <w:rFonts w:ascii="Franklin Gothic Book" w:hAnsi="Franklin Gothic Book"/>
        </w:rPr>
        <w:t>treatment</w:t>
      </w:r>
      <w:proofErr w:type="gramEnd"/>
    </w:p>
    <w:p w14:paraId="60AD1F1C" w14:textId="77777777" w:rsidR="00255EA3" w:rsidRPr="0045541D" w:rsidRDefault="00255EA3" w:rsidP="006779D5">
      <w:pPr>
        <w:pStyle w:val="Bullet"/>
        <w:numPr>
          <w:ilvl w:val="0"/>
          <w:numId w:val="25"/>
        </w:numPr>
        <w:spacing w:before="0"/>
        <w:rPr>
          <w:rFonts w:ascii="Franklin Gothic Book" w:hAnsi="Franklin Gothic Book"/>
        </w:rPr>
      </w:pPr>
      <w:r>
        <w:rPr>
          <w:rFonts w:ascii="Franklin Gothic Book" w:hAnsi="Franklin Gothic Book"/>
        </w:rPr>
        <w:t>3</w:t>
      </w:r>
      <w:r w:rsidRPr="00925071">
        <w:rPr>
          <w:rFonts w:ascii="Franklin Gothic Book" w:hAnsi="Franklin Gothic Book"/>
        </w:rPr>
        <w:t xml:space="preserve"> patients had 10 bleeds post-treatment, needing one infusion per month for 3 years, but </w:t>
      </w:r>
      <w:r w:rsidRPr="0045541D">
        <w:rPr>
          <w:rFonts w:ascii="Franklin Gothic Book" w:hAnsi="Franklin Gothic Book"/>
        </w:rPr>
        <w:t xml:space="preserve">were considered to be responders as per the study </w:t>
      </w:r>
      <w:proofErr w:type="gramStart"/>
      <w:r w:rsidRPr="0045541D">
        <w:rPr>
          <w:rFonts w:ascii="Franklin Gothic Book" w:hAnsi="Franklin Gothic Book"/>
        </w:rPr>
        <w:t>definition</w:t>
      </w:r>
      <w:proofErr w:type="gramEnd"/>
    </w:p>
    <w:p w14:paraId="6C8F4C76" w14:textId="77777777" w:rsidR="00255EA3" w:rsidRPr="0045541D" w:rsidRDefault="00255EA3" w:rsidP="006779D5">
      <w:pPr>
        <w:pStyle w:val="Bullet"/>
        <w:numPr>
          <w:ilvl w:val="0"/>
          <w:numId w:val="25"/>
        </w:numPr>
        <w:spacing w:before="0"/>
        <w:rPr>
          <w:rFonts w:ascii="Franklin Gothic Book" w:hAnsi="Franklin Gothic Book"/>
        </w:rPr>
      </w:pPr>
      <w:r w:rsidRPr="0045541D">
        <w:rPr>
          <w:rFonts w:ascii="Franklin Gothic Book" w:hAnsi="Franklin Gothic Book"/>
        </w:rPr>
        <w:t xml:space="preserve">one patient had high bleeds both pre- and post-treatment (18 and 7 bleeds, respectively); ESC acknowledged that this may be an </w:t>
      </w:r>
      <w:proofErr w:type="gramStart"/>
      <w:r w:rsidRPr="0045541D">
        <w:rPr>
          <w:rFonts w:ascii="Franklin Gothic Book" w:hAnsi="Franklin Gothic Book"/>
        </w:rPr>
        <w:t>outlier</w:t>
      </w:r>
      <w:proofErr w:type="gramEnd"/>
    </w:p>
    <w:p w14:paraId="50753C28" w14:textId="77777777" w:rsidR="00255EA3" w:rsidRPr="0045541D" w:rsidRDefault="00255EA3" w:rsidP="006779D5">
      <w:pPr>
        <w:pStyle w:val="Bullet"/>
        <w:numPr>
          <w:ilvl w:val="0"/>
          <w:numId w:val="25"/>
        </w:numPr>
        <w:spacing w:before="0"/>
        <w:rPr>
          <w:rFonts w:ascii="Franklin Gothic Book" w:hAnsi="Franklin Gothic Book"/>
        </w:rPr>
      </w:pPr>
      <w:r w:rsidRPr="0045541D">
        <w:rPr>
          <w:rFonts w:ascii="Franklin Gothic Book" w:hAnsi="Franklin Gothic Book"/>
        </w:rPr>
        <w:t>one patient died, but was considered a responder, even though they were in the upper quartile for bleeds before they died.</w:t>
      </w:r>
    </w:p>
    <w:p w14:paraId="3C91BCF3" w14:textId="0904033D" w:rsidR="00255EA3" w:rsidRPr="0045541D" w:rsidRDefault="00255EA3" w:rsidP="00255EA3">
      <w:r w:rsidRPr="0045541D">
        <w:t xml:space="preserve">Further, ESC noted that a tornado plot of post-treatment FIX use demonstrated that even though responders may have not required regular prophylactic FIX, 32/54 patients still required some FIX infusions after Hemgenix, with an average of 1.7 FIX infusions per patient over 3 years on-demand treatment of bleeding (reduced from an average of 44.1 infusions before Hemgenix treatment). Again, ESC noted the inter-patient variability, </w:t>
      </w:r>
      <w:r w:rsidR="001252C6" w:rsidRPr="0045541D">
        <w:rPr>
          <w:b/>
          <w:bCs/>
        </w:rPr>
        <w:t>redacted</w:t>
      </w:r>
      <w:r w:rsidRPr="0045541D">
        <w:t xml:space="preserve">.  </w:t>
      </w:r>
    </w:p>
    <w:p w14:paraId="3E0A77C4" w14:textId="77777777" w:rsidR="00255EA3" w:rsidRDefault="00255EA3" w:rsidP="00255EA3">
      <w:r w:rsidRPr="0045541D">
        <w:t xml:space="preserve">ESC noted the applicant’s pre-ESC response had not adequately addressed </w:t>
      </w:r>
      <w:proofErr w:type="gramStart"/>
      <w:r w:rsidRPr="0045541D">
        <w:t>all of</w:t>
      </w:r>
      <w:proofErr w:type="gramEnd"/>
      <w:r w:rsidRPr="0045541D">
        <w:t xml:space="preserve"> the data requests in the commentary and considered that it would be useful for MSAC decision-making for the applicant address these in their pre-MSAC response. ESC considered this information, such as the description of patient response trajectory would be informative for MSAC to understand when contextualising any uncertainties in the effectiveness of Hemgenix and</w:t>
      </w:r>
      <w:r>
        <w:t xml:space="preserve"> whether the uncertainties require mitigation through a</w:t>
      </w:r>
      <w:r w:rsidRPr="00FD2C8F">
        <w:t xml:space="preserve"> risk share</w:t>
      </w:r>
      <w:r>
        <w:t xml:space="preserve"> </w:t>
      </w:r>
      <w:r w:rsidRPr="00FD2C8F">
        <w:t>arrangement</w:t>
      </w:r>
      <w:r>
        <w:t xml:space="preserve"> (RSA)</w:t>
      </w:r>
      <w:r w:rsidRPr="00FD2C8F">
        <w:t>.</w:t>
      </w:r>
    </w:p>
    <w:p w14:paraId="32A16A9A" w14:textId="77777777" w:rsidR="00255EA3" w:rsidRDefault="00255EA3" w:rsidP="00255EA3">
      <w:r>
        <w:t>ESC noted that the HOPE-B study also reported FIX activity levels (</w:t>
      </w:r>
      <w:r w:rsidRPr="00CD65EB">
        <w:t>uncontaminated</w:t>
      </w:r>
      <w:r>
        <w:t>) which ESC considered a surrogate outcome but noted was a key input for the economic evaluation. ESC noted that u</w:t>
      </w:r>
      <w:r w:rsidRPr="00450856">
        <w:t>ncontaminated FIX activity mean</w:t>
      </w:r>
      <w:r>
        <w:t>t</w:t>
      </w:r>
      <w:r w:rsidRPr="00450856">
        <w:t xml:space="preserve"> that any</w:t>
      </w:r>
      <w:r>
        <w:t xml:space="preserve"> patient</w:t>
      </w:r>
      <w:r w:rsidRPr="00450856">
        <w:t xml:space="preserve"> who received </w:t>
      </w:r>
      <w:r>
        <w:t>a FIX</w:t>
      </w:r>
      <w:r w:rsidRPr="00450856">
        <w:t xml:space="preserve"> </w:t>
      </w:r>
      <w:r>
        <w:t xml:space="preserve">infusion </w:t>
      </w:r>
      <w:r w:rsidRPr="00450856">
        <w:t xml:space="preserve">within </w:t>
      </w:r>
      <w:r>
        <w:t>five</w:t>
      </w:r>
      <w:r w:rsidRPr="00450856">
        <w:t xml:space="preserve"> half-lives </w:t>
      </w:r>
      <w:r>
        <w:t xml:space="preserve">(of the measurement timepoint) </w:t>
      </w:r>
      <w:r w:rsidRPr="00450856">
        <w:t>was not included at that data point</w:t>
      </w:r>
      <w:r>
        <w:t xml:space="preserve">, this was to </w:t>
      </w:r>
      <w:r w:rsidRPr="00AC3951">
        <w:t>ens</w:t>
      </w:r>
      <w:r>
        <w:t>ure</w:t>
      </w:r>
      <w:r w:rsidRPr="00AC3951">
        <w:t xml:space="preserve"> the FIX activity level was not confounded by recent FIX infusion</w:t>
      </w:r>
      <w:r>
        <w:t>. The three patients classified as</w:t>
      </w:r>
      <w:r w:rsidRPr="00450856">
        <w:t xml:space="preserve"> non-responders</w:t>
      </w:r>
      <w:r>
        <w:t xml:space="preserve"> were also excluded. However, ESC considered the selective nature of FIX activity observation to be biased towards the patient group who were responding well to Hemgenix. ESC also noted that for the calculation of pre- and post-treatment FIX activity, </w:t>
      </w:r>
      <w:r w:rsidRPr="00450856">
        <w:t xml:space="preserve">the </w:t>
      </w:r>
      <w:r>
        <w:t>actual</w:t>
      </w:r>
      <w:r w:rsidRPr="00450856">
        <w:t xml:space="preserve"> baseline </w:t>
      </w:r>
      <w:r>
        <w:t xml:space="preserve">(pre-treatment) </w:t>
      </w:r>
      <w:r w:rsidRPr="00450856">
        <w:t>values were not used</w:t>
      </w:r>
      <w:r>
        <w:t>; rather, the baseline values were imputed</w:t>
      </w:r>
      <w:r w:rsidRPr="00450856">
        <w:t xml:space="preserve"> based on</w:t>
      </w:r>
      <w:r>
        <w:t xml:space="preserve"> patients’ disease</w:t>
      </w:r>
      <w:r w:rsidRPr="00450856">
        <w:t xml:space="preserve"> </w:t>
      </w:r>
      <w:r>
        <w:t>categorisation.</w:t>
      </w:r>
      <w:r w:rsidRPr="00450856">
        <w:t xml:space="preserve"> </w:t>
      </w:r>
      <w:r>
        <w:t>Th</w:t>
      </w:r>
      <w:r w:rsidRPr="00450856">
        <w:t>us</w:t>
      </w:r>
      <w:r>
        <w:t>, it is</w:t>
      </w:r>
      <w:r w:rsidRPr="00450856">
        <w:t xml:space="preserve"> unknown if </w:t>
      </w:r>
      <w:r>
        <w:t xml:space="preserve">FIX activity was </w:t>
      </w:r>
      <w:proofErr w:type="gramStart"/>
      <w:r w:rsidRPr="00450856">
        <w:t>actually higher</w:t>
      </w:r>
      <w:proofErr w:type="gramEnd"/>
      <w:r w:rsidRPr="00450856">
        <w:t xml:space="preserve"> at baseline </w:t>
      </w:r>
      <w:r>
        <w:t xml:space="preserve">and, therefore, the accuracy in the reported </w:t>
      </w:r>
      <w:r w:rsidRPr="00450856">
        <w:t xml:space="preserve">median improvement </w:t>
      </w:r>
      <w:r>
        <w:t>in FIX activity may be uncertain.</w:t>
      </w:r>
    </w:p>
    <w:p w14:paraId="75836BF6" w14:textId="77777777" w:rsidR="00255EA3" w:rsidRDefault="00255EA3" w:rsidP="00255EA3">
      <w:r>
        <w:t xml:space="preserve">Regarding QoL outcomes, ESC noted that the HOPE-B study reported </w:t>
      </w:r>
      <w:proofErr w:type="gramStart"/>
      <w:r>
        <w:t>no</w:t>
      </w:r>
      <w:proofErr w:type="gramEnd"/>
      <w:r>
        <w:t xml:space="preserve"> overall clinically meaningful change in the </w:t>
      </w:r>
      <w:r w:rsidRPr="00B309B7">
        <w:t>EQ</w:t>
      </w:r>
      <w:r>
        <w:t>-</w:t>
      </w:r>
      <w:r w:rsidRPr="00B309B7">
        <w:t>5D</w:t>
      </w:r>
      <w:r>
        <w:t>-</w:t>
      </w:r>
      <w:r w:rsidRPr="00B309B7">
        <w:t>5L</w:t>
      </w:r>
      <w:r>
        <w:t xml:space="preserve"> after 3 years. For the </w:t>
      </w:r>
      <w:r w:rsidRPr="00A7671B">
        <w:t>Haem-A-QoL</w:t>
      </w:r>
      <w:r>
        <w:t xml:space="preserve"> outcome (a haemophilia-specific QoL score), </w:t>
      </w:r>
      <w:r w:rsidRPr="005E345C">
        <w:t>a statistically significant difference</w:t>
      </w:r>
      <w:r>
        <w:t xml:space="preserve"> (reduction) was reported,</w:t>
      </w:r>
      <w:r w:rsidRPr="005E345C">
        <w:t xml:space="preserve"> but </w:t>
      </w:r>
      <w:r>
        <w:t xml:space="preserve">interpretation of whether this change reflects a meaningful reduction in treatment burden is uncertain because </w:t>
      </w:r>
      <w:r w:rsidRPr="005E345C">
        <w:t xml:space="preserve">there is no </w:t>
      </w:r>
      <w:r w:rsidRPr="00CA2C58">
        <w:t xml:space="preserve">minimal clinically important difference </w:t>
      </w:r>
      <w:r>
        <w:t>(</w:t>
      </w:r>
      <w:r w:rsidRPr="005E345C">
        <w:t>MCID</w:t>
      </w:r>
      <w:r>
        <w:t>)</w:t>
      </w:r>
      <w:r w:rsidRPr="005E345C">
        <w:t xml:space="preserve"> published</w:t>
      </w:r>
      <w:r>
        <w:t>. ESC also noted that</w:t>
      </w:r>
      <w:r w:rsidRPr="0062596B">
        <w:t xml:space="preserve"> </w:t>
      </w:r>
      <w:r>
        <w:t>the study did not compare</w:t>
      </w:r>
      <w:r w:rsidRPr="0062596B">
        <w:t xml:space="preserve"> QoL in those who did not have any further </w:t>
      </w:r>
      <w:r>
        <w:t>FIX therapy</w:t>
      </w:r>
      <w:r w:rsidRPr="0062596B">
        <w:t xml:space="preserve"> </w:t>
      </w:r>
      <w:r>
        <w:t xml:space="preserve">to </w:t>
      </w:r>
      <w:r w:rsidRPr="0062596B">
        <w:t>those who ha</w:t>
      </w:r>
      <w:r>
        <w:t>d</w:t>
      </w:r>
      <w:r w:rsidRPr="0062596B">
        <w:t xml:space="preserve"> intermittent or regular </w:t>
      </w:r>
      <w:r>
        <w:t xml:space="preserve">FIX </w:t>
      </w:r>
      <w:r w:rsidRPr="0062596B">
        <w:t>prophylaxis</w:t>
      </w:r>
      <w:r>
        <w:t>.</w:t>
      </w:r>
    </w:p>
    <w:p w14:paraId="4DD1AA49" w14:textId="77777777" w:rsidR="00255EA3" w:rsidRDefault="00255EA3" w:rsidP="00255EA3">
      <w:r>
        <w:t xml:space="preserve">Regarding the anti-AAV5 </w:t>
      </w:r>
      <w:proofErr w:type="spellStart"/>
      <w:r>
        <w:t>NAb</w:t>
      </w:r>
      <w:proofErr w:type="spellEnd"/>
      <w:r>
        <w:t xml:space="preserve"> assay, ESC noted that</w:t>
      </w:r>
      <w:r w:rsidRPr="00CD249E">
        <w:t xml:space="preserve"> </w:t>
      </w:r>
      <w:r>
        <w:t>the ADAR</w:t>
      </w:r>
      <w:r w:rsidRPr="00C959CC">
        <w:t xml:space="preserve"> </w:t>
      </w:r>
      <w:r>
        <w:t xml:space="preserve">claimed it </w:t>
      </w:r>
      <w:r w:rsidRPr="00C959CC">
        <w:t>attempted to fulfill the additional data requirements of a codependent application</w:t>
      </w:r>
      <w:r>
        <w:t>,</w:t>
      </w:r>
      <w:r w:rsidRPr="00C959CC">
        <w:t xml:space="preserve"> but</w:t>
      </w:r>
      <w:r>
        <w:t xml:space="preserve"> the ADAR also asserted that</w:t>
      </w:r>
      <w:r w:rsidRPr="00C959CC">
        <w:t xml:space="preserve"> the anti-AAV5 </w:t>
      </w:r>
      <w:proofErr w:type="spellStart"/>
      <w:r w:rsidRPr="00C959CC">
        <w:t>NAb</w:t>
      </w:r>
      <w:proofErr w:type="spellEnd"/>
      <w:r w:rsidRPr="00C959CC">
        <w:t xml:space="preserve"> assay was not developed as a companion diagnostic</w:t>
      </w:r>
      <w:r>
        <w:t xml:space="preserve"> (TGA term)</w:t>
      </w:r>
      <w:r w:rsidRPr="00C959CC">
        <w:t>, and no traditional clinical performance</w:t>
      </w:r>
      <w:r>
        <w:t>,</w:t>
      </w:r>
      <w:r w:rsidRPr="00C959CC">
        <w:t xml:space="preserve"> sensitivity or specificity studies were conducted to interrogate this.</w:t>
      </w:r>
      <w:r>
        <w:t xml:space="preserve"> As such, ESC noted there was no information regarding diagnostic accuracy of the anti-AAV5 </w:t>
      </w:r>
      <w:proofErr w:type="spellStart"/>
      <w:r>
        <w:t>NAb</w:t>
      </w:r>
      <w:proofErr w:type="spellEnd"/>
      <w:r>
        <w:t xml:space="preserve"> assay (e.g. false-positive or false-negative rates, etc).</w:t>
      </w:r>
    </w:p>
    <w:p w14:paraId="7F7E9E56" w14:textId="200E5A0D" w:rsidR="00255EA3" w:rsidRPr="0045541D" w:rsidRDefault="00255EA3" w:rsidP="00255EA3">
      <w:pPr>
        <w:pStyle w:val="NormalBeforeBullet0"/>
      </w:pPr>
      <w:r>
        <w:t xml:space="preserve">ESC noted that in the HOPE-B study, no patient was excluded from treatment based on anti-AAV5 </w:t>
      </w:r>
      <w:proofErr w:type="spellStart"/>
      <w:r>
        <w:t>NAb</w:t>
      </w:r>
      <w:proofErr w:type="spellEnd"/>
      <w:r>
        <w:t xml:space="preserve"> titre and that </w:t>
      </w:r>
      <w:r w:rsidRPr="009C0027">
        <w:t xml:space="preserve">21/54 (39%) </w:t>
      </w:r>
      <w:r>
        <w:t xml:space="preserve">patients </w:t>
      </w:r>
      <w:r w:rsidRPr="009C0027">
        <w:t>were positive</w:t>
      </w:r>
      <w:r>
        <w:t xml:space="preserve"> for anti-AAV5 </w:t>
      </w:r>
      <w:proofErr w:type="spellStart"/>
      <w:r>
        <w:t>NAb</w:t>
      </w:r>
      <w:proofErr w:type="spellEnd"/>
      <w:r>
        <w:t xml:space="preserve"> at baseline. ESC noted the patient with the</w:t>
      </w:r>
      <w:r w:rsidRPr="009C0027">
        <w:t xml:space="preserve"> highest titre </w:t>
      </w:r>
      <w:r>
        <w:t>(</w:t>
      </w:r>
      <w:r w:rsidRPr="009C0027">
        <w:t>1:3212</w:t>
      </w:r>
      <w:r>
        <w:t>)</w:t>
      </w:r>
      <w:r w:rsidRPr="009C0027">
        <w:t xml:space="preserve"> </w:t>
      </w:r>
      <w:r>
        <w:t xml:space="preserve">did not respond to </w:t>
      </w:r>
      <w:r w:rsidRPr="009C0027">
        <w:t>Hemgenix</w:t>
      </w:r>
      <w:r>
        <w:t>. ESC considered it i</w:t>
      </w:r>
      <w:r w:rsidRPr="00BF5DF9">
        <w:t xml:space="preserve">mportant to note that </w:t>
      </w:r>
      <w:r>
        <w:t xml:space="preserve">post-treatment </w:t>
      </w:r>
      <w:r w:rsidRPr="00BF5DF9">
        <w:t xml:space="preserve">FIX </w:t>
      </w:r>
      <w:r>
        <w:t xml:space="preserve">activity </w:t>
      </w:r>
      <w:r w:rsidRPr="00BF5DF9">
        <w:t xml:space="preserve">levels </w:t>
      </w:r>
      <w:r>
        <w:t xml:space="preserve">(at all </w:t>
      </w:r>
      <w:r w:rsidRPr="0045541D">
        <w:t xml:space="preserve">time points) were lower in patients who were positive for anti-AAV5 </w:t>
      </w:r>
      <w:proofErr w:type="spellStart"/>
      <w:r w:rsidRPr="0045541D">
        <w:t>NAbs</w:t>
      </w:r>
      <w:proofErr w:type="spellEnd"/>
      <w:r w:rsidRPr="0045541D">
        <w:t xml:space="preserve"> at baseline. The post-treatment adjusted ABR was also higher for the subgroup of patients who were positive for anti-AAV5 </w:t>
      </w:r>
      <w:proofErr w:type="spellStart"/>
      <w:r w:rsidRPr="0045541D">
        <w:t>NAb</w:t>
      </w:r>
      <w:proofErr w:type="spellEnd"/>
      <w:r w:rsidRPr="0045541D">
        <w:t xml:space="preserve"> (at baseline) compared to subgroup of patients who were negative for anti-AAV5 </w:t>
      </w:r>
      <w:proofErr w:type="spellStart"/>
      <w:r w:rsidRPr="0045541D">
        <w:t>NAb</w:t>
      </w:r>
      <w:proofErr w:type="spellEnd"/>
      <w:r w:rsidRPr="0045541D">
        <w:t xml:space="preserve"> at baseline (adjusted ABR = 17.71 and 0.64, respectively). ESC noted this was not statistically significant, but this is possibly underpowered and may be clinically important. </w:t>
      </w:r>
    </w:p>
    <w:p w14:paraId="378D580E" w14:textId="77777777" w:rsidR="00255EA3" w:rsidRPr="005035BE" w:rsidRDefault="00255EA3" w:rsidP="00255EA3">
      <w:pPr>
        <w:pStyle w:val="NormalBeforeBullet0"/>
      </w:pPr>
      <w:r w:rsidRPr="0045541D">
        <w:t>ESC also noted that the US Food and Drug Administration (FDA) has mandated two pivotal post-marketing requirement studies</w:t>
      </w:r>
      <w:r w:rsidRPr="0045541D">
        <w:rPr>
          <w:rStyle w:val="FootnoteReference"/>
        </w:rPr>
        <w:footnoteReference w:id="10"/>
      </w:r>
      <w:r w:rsidRPr="0045541D">
        <w:t xml:space="preserve"> to assess decreased therapeutic efficacy in the presence of pre-existing anti-AAV5 </w:t>
      </w:r>
      <w:proofErr w:type="spellStart"/>
      <w:r w:rsidRPr="0045541D">
        <w:t>NAbs</w:t>
      </w:r>
      <w:proofErr w:type="spellEnd"/>
      <w:r w:rsidRPr="0045541D">
        <w:t>:</w:t>
      </w:r>
    </w:p>
    <w:p w14:paraId="4477F304" w14:textId="77777777" w:rsidR="00255EA3" w:rsidRPr="002F3F31" w:rsidRDefault="00255EA3" w:rsidP="006779D5">
      <w:pPr>
        <w:pStyle w:val="Bullet"/>
        <w:numPr>
          <w:ilvl w:val="0"/>
          <w:numId w:val="25"/>
        </w:numPr>
        <w:spacing w:before="0"/>
        <w:rPr>
          <w:rFonts w:ascii="Franklin Gothic Book" w:hAnsi="Franklin Gothic Book"/>
        </w:rPr>
      </w:pPr>
      <w:r w:rsidRPr="002F3F31">
        <w:rPr>
          <w:rFonts w:ascii="Franklin Gothic Book" w:hAnsi="Franklin Gothic Book"/>
        </w:rPr>
        <w:t xml:space="preserve">The first study is to validate a sensitive assay for detecting anti-AAV5 </w:t>
      </w:r>
      <w:proofErr w:type="spellStart"/>
      <w:r w:rsidRPr="002F3F31">
        <w:rPr>
          <w:rFonts w:ascii="Franklin Gothic Book" w:hAnsi="Franklin Gothic Book"/>
        </w:rPr>
        <w:t>NAbs</w:t>
      </w:r>
      <w:proofErr w:type="spellEnd"/>
      <w:r w:rsidRPr="002F3F31">
        <w:rPr>
          <w:rFonts w:ascii="Franklin Gothic Book" w:hAnsi="Franklin Gothic Book"/>
        </w:rPr>
        <w:t xml:space="preserve">. </w:t>
      </w:r>
    </w:p>
    <w:p w14:paraId="48B2C9CD" w14:textId="26BF7364" w:rsidR="00255EA3" w:rsidRDefault="00255EA3" w:rsidP="006779D5">
      <w:pPr>
        <w:pStyle w:val="BulletLast"/>
        <w:numPr>
          <w:ilvl w:val="0"/>
          <w:numId w:val="25"/>
        </w:numPr>
      </w:pPr>
      <w:r w:rsidRPr="005035BE">
        <w:t>The second study will enrol 35</w:t>
      </w:r>
      <w:r>
        <w:t> </w:t>
      </w:r>
      <w:r w:rsidRPr="005035BE">
        <w:t>patients with haemophilia B, at least 10 of whom have pre</w:t>
      </w:r>
      <w:r>
        <w:t>-</w:t>
      </w:r>
      <w:r w:rsidRPr="005035BE">
        <w:t xml:space="preserve">existing </w:t>
      </w:r>
      <w:proofErr w:type="spellStart"/>
      <w:r w:rsidRPr="005035BE">
        <w:t>NAb</w:t>
      </w:r>
      <w:proofErr w:type="spellEnd"/>
      <w:r w:rsidRPr="005035BE">
        <w:t xml:space="preserve"> titr</w:t>
      </w:r>
      <w:r>
        <w:t>e</w:t>
      </w:r>
      <w:r w:rsidRPr="005035BE">
        <w:t>s ≥1:1400, to receive Hemgenix to examine the association between bleeding risk and pre</w:t>
      </w:r>
      <w:r>
        <w:t>-</w:t>
      </w:r>
      <w:r w:rsidRPr="005035BE">
        <w:t xml:space="preserve">existing anti-AAV5 </w:t>
      </w:r>
      <w:proofErr w:type="spellStart"/>
      <w:r w:rsidRPr="005035BE">
        <w:t>NAbs</w:t>
      </w:r>
      <w:proofErr w:type="spellEnd"/>
      <w:r w:rsidRPr="005035BE">
        <w:t>, once a validated assay is available.</w:t>
      </w:r>
    </w:p>
    <w:p w14:paraId="0DF4A627" w14:textId="77777777" w:rsidR="00255EA3" w:rsidRDefault="00255EA3" w:rsidP="00255EA3">
      <w:r>
        <w:t xml:space="preserve">Thus, ESC considered that the anti-AAV5 testing may serve two purposes: to assess patient eligibility for the treatment (as noted earlier) and as a prognostic marker to guide any future funding arrangements given the: </w:t>
      </w:r>
    </w:p>
    <w:p w14:paraId="7D96D020" w14:textId="77777777" w:rsidR="00255EA3" w:rsidRDefault="00255EA3" w:rsidP="006779D5">
      <w:pPr>
        <w:pStyle w:val="ListParagraph"/>
        <w:numPr>
          <w:ilvl w:val="0"/>
          <w:numId w:val="26"/>
        </w:numPr>
      </w:pPr>
      <w:r>
        <w:t xml:space="preserve">observed trend toward lower FIX activity and higher ABR in patients with a positive anti-AAV5 </w:t>
      </w:r>
      <w:proofErr w:type="spellStart"/>
      <w:r>
        <w:t>NAb</w:t>
      </w:r>
      <w:proofErr w:type="spellEnd"/>
      <w:r>
        <w:t xml:space="preserve"> titre at </w:t>
      </w:r>
      <w:proofErr w:type="gramStart"/>
      <w:r>
        <w:t>baseline</w:t>
      </w:r>
      <w:proofErr w:type="gramEnd"/>
      <w:r>
        <w:t xml:space="preserve"> </w:t>
      </w:r>
    </w:p>
    <w:p w14:paraId="1DBB510A" w14:textId="77777777" w:rsidR="00255EA3" w:rsidRDefault="00255EA3" w:rsidP="006779D5">
      <w:pPr>
        <w:pStyle w:val="ListParagraph"/>
        <w:numPr>
          <w:ilvl w:val="0"/>
          <w:numId w:val="26"/>
        </w:numPr>
      </w:pPr>
      <w:r>
        <w:t xml:space="preserve">the lack of effectiveness associated with an anti-AAV5 </w:t>
      </w:r>
      <w:proofErr w:type="spellStart"/>
      <w:r>
        <w:t>NAb</w:t>
      </w:r>
      <w:proofErr w:type="spellEnd"/>
      <w:r>
        <w:t xml:space="preserve"> titre of 1:</w:t>
      </w:r>
      <w:proofErr w:type="gramStart"/>
      <w:r>
        <w:t>3212</w:t>
      </w:r>
      <w:proofErr w:type="gramEnd"/>
      <w:r>
        <w:t xml:space="preserve"> </w:t>
      </w:r>
    </w:p>
    <w:p w14:paraId="3620B863" w14:textId="77777777" w:rsidR="00255EA3" w:rsidRDefault="00255EA3" w:rsidP="006779D5">
      <w:pPr>
        <w:pStyle w:val="ListParagraph"/>
        <w:numPr>
          <w:ilvl w:val="0"/>
          <w:numId w:val="26"/>
        </w:numPr>
      </w:pPr>
      <w:r>
        <w:t xml:space="preserve">the absence of evidence for the effectiveness of Hemgenix in patients with an anti-AAV5 </w:t>
      </w:r>
      <w:proofErr w:type="spellStart"/>
      <w:r>
        <w:t>NAb</w:t>
      </w:r>
      <w:proofErr w:type="spellEnd"/>
      <w:r>
        <w:t xml:space="preserve"> titre &gt;1:900 (equivalent to 1:700 in the clinical trial assay).</w:t>
      </w:r>
    </w:p>
    <w:p w14:paraId="204E79F2" w14:textId="77777777" w:rsidR="00255EA3" w:rsidRPr="0045541D" w:rsidRDefault="00255EA3" w:rsidP="00255EA3">
      <w:pPr>
        <w:pStyle w:val="NormalBeforeBullet0"/>
      </w:pPr>
      <w:r>
        <w:t>ESC noted the economic evaluation was a cost-utility analysis that used a Markov model with two health states: alive and dead. ESC noted that other</w:t>
      </w:r>
      <w:r w:rsidRPr="009D7A36">
        <w:t xml:space="preserve"> consequences such as joint damage were not modelled</w:t>
      </w:r>
      <w:r>
        <w:t xml:space="preserve">, and agreed with the commentary that using only two health states might have oversimplified the natural history of the condition. ESC disagreed with the applicant’s pre-ESC </w:t>
      </w:r>
      <w:r w:rsidRPr="0045541D">
        <w:t>response, which argued that a single “alive” state was appropriate because it was heterogeneous. ESC noted that published models on gene therapies for haemophilia all attempted to better represent the natural history of haemophilia and none used a two-state model. ESC was unable to confirm whether a more complex model would substantially alter the results of the economic evaluation. However, ESC considered that a more informed model could:</w:t>
      </w:r>
    </w:p>
    <w:p w14:paraId="7DA8F36E" w14:textId="77777777" w:rsidR="00255EA3" w:rsidRPr="0045541D" w:rsidRDefault="00255EA3" w:rsidP="006779D5">
      <w:pPr>
        <w:pStyle w:val="Bullet"/>
        <w:numPr>
          <w:ilvl w:val="0"/>
          <w:numId w:val="25"/>
        </w:numPr>
        <w:spacing w:before="0"/>
        <w:rPr>
          <w:rFonts w:ascii="Franklin Gothic Book" w:hAnsi="Franklin Gothic Book"/>
        </w:rPr>
      </w:pPr>
      <w:r w:rsidRPr="0045541D">
        <w:rPr>
          <w:rFonts w:ascii="Franklin Gothic Book" w:hAnsi="Franklin Gothic Book"/>
        </w:rPr>
        <w:t xml:space="preserve">potentially impact the incremental cost-effectiveness ratio (ICER) </w:t>
      </w:r>
    </w:p>
    <w:p w14:paraId="558FBDD8" w14:textId="77777777" w:rsidR="00255EA3" w:rsidRPr="0045541D" w:rsidRDefault="00255EA3" w:rsidP="006779D5">
      <w:pPr>
        <w:pStyle w:val="Bullet"/>
        <w:numPr>
          <w:ilvl w:val="0"/>
          <w:numId w:val="25"/>
        </w:numPr>
        <w:spacing w:before="0"/>
        <w:rPr>
          <w:rFonts w:ascii="Franklin Gothic Book" w:hAnsi="Franklin Gothic Book"/>
        </w:rPr>
      </w:pPr>
      <w:r w:rsidRPr="0045541D">
        <w:rPr>
          <w:rFonts w:ascii="Franklin Gothic Book" w:hAnsi="Franklin Gothic Book"/>
        </w:rPr>
        <w:t xml:space="preserve">represent a more appropriate natural history of </w:t>
      </w:r>
      <w:proofErr w:type="spellStart"/>
      <w:proofErr w:type="gramStart"/>
      <w:r w:rsidRPr="0045541D">
        <w:rPr>
          <w:rFonts w:ascii="Franklin Gothic Book" w:hAnsi="Franklin Gothic Book"/>
        </w:rPr>
        <w:t>cHMB</w:t>
      </w:r>
      <w:proofErr w:type="spellEnd"/>
      <w:proofErr w:type="gramEnd"/>
    </w:p>
    <w:p w14:paraId="0672DD1E" w14:textId="77777777" w:rsidR="00255EA3" w:rsidRPr="0045541D" w:rsidRDefault="00255EA3" w:rsidP="006779D5">
      <w:pPr>
        <w:pStyle w:val="Bullet"/>
        <w:numPr>
          <w:ilvl w:val="0"/>
          <w:numId w:val="25"/>
        </w:numPr>
        <w:spacing w:before="0"/>
        <w:rPr>
          <w:rFonts w:ascii="Franklin Gothic Book" w:hAnsi="Franklin Gothic Book"/>
        </w:rPr>
      </w:pPr>
      <w:r w:rsidRPr="0045541D">
        <w:rPr>
          <w:rFonts w:ascii="Franklin Gothic Book" w:hAnsi="Franklin Gothic Book"/>
        </w:rPr>
        <w:t>ensure consistency of modelled consequences</w:t>
      </w:r>
    </w:p>
    <w:p w14:paraId="7F996C9C" w14:textId="77777777" w:rsidR="00255EA3" w:rsidRPr="0045541D" w:rsidRDefault="00255EA3" w:rsidP="006779D5">
      <w:pPr>
        <w:pStyle w:val="BulletLast"/>
        <w:numPr>
          <w:ilvl w:val="0"/>
          <w:numId w:val="25"/>
        </w:numPr>
      </w:pPr>
      <w:r w:rsidRPr="0045541D">
        <w:t>allow more opportunity for isolating or testing input sensitivity.</w:t>
      </w:r>
    </w:p>
    <w:p w14:paraId="3BE89D06" w14:textId="77777777" w:rsidR="00255EA3" w:rsidRPr="0045541D" w:rsidRDefault="00255EA3" w:rsidP="00255EA3">
      <w:r w:rsidRPr="0045541D">
        <w:t>Further, ESC noted that there appear to be data available to support the development of a more appropriate model structure.</w:t>
      </w:r>
    </w:p>
    <w:p w14:paraId="65DCCEDC" w14:textId="31EDF154" w:rsidR="00255EA3" w:rsidRPr="0045541D" w:rsidRDefault="00255EA3" w:rsidP="00255EA3">
      <w:r w:rsidRPr="0045541D">
        <w:t xml:space="preserve">ESC noted the ADAR’s base case was generated using 3-year data from the HOPE-B study extrapolated out to 25 years of FIX activity level. ESC noted that FIX activity level was not applied as the driver of all consequences. The health outcome parameters were individually extrapolated and varied over time, which ESC considered was problematic. ESC noted that usually the consequences follow a key variable representing health status, such as typical healthcare cost and QoL per disease stage. The ADAR’s model however, assumed that the estimated extrapolated proportion of patients with FIX &lt;3% would return to the observed ABR of 4.11 from the lead-in period, while those remaining above this threshold would maintain an improved ABR of approximately 1.0. ESC considered that it would have been clearer had the model employed 3 health states, e.g., FIX activity &gt;3%, FIX activity ≤3% and dead. ESC noted that such a model, while more transparent, could still be inappropriate due to FIX activity being an intermediate rather than patient-relevant outcome that forms the basis of the model. ESC considered the extrapolated FIX activity levels to estimate long-term treatment durability to be highly uncertain due to methodological issues such as potential bias that stems from the uncontaminated FIX activity data selection and how data for non-responders were accounted for. ESC noted that inclusion of data for the late non-responder altered the proportion of patients that fall below the 3% FIX activity threshold (from 10.5% in the base case to 24.2% in the commentary sensitivity analysis). Further, ESC questioned the validity of using the FIX activity level as a driver of patient relevant outcomes. While ESC noted there may be some correlation of FIX activity with disease severity, it is a surrogate outcome, was used in binary way and it was unclear whether the 3% threshold was appropriate. That is, whether the threshold should have been higher or lower. Further, the selected 3% FIX activity threshold did not align with how FIX activity is used to categorise disease severity in the guidelines.   </w:t>
      </w:r>
    </w:p>
    <w:p w14:paraId="62F8CC66" w14:textId="77777777" w:rsidR="00255EA3" w:rsidRPr="0045541D" w:rsidRDefault="00255EA3" w:rsidP="00255EA3">
      <w:r w:rsidRPr="0045541D">
        <w:t xml:space="preserve">Overall, ESC was not confident that the health indicators and extrapolation used in the model were reasonable, </w:t>
      </w:r>
      <w:proofErr w:type="gramStart"/>
      <w:r w:rsidRPr="0045541D">
        <w:t>unbiased</w:t>
      </w:r>
      <w:proofErr w:type="gramEnd"/>
      <w:r w:rsidRPr="0045541D">
        <w:t xml:space="preserve"> and realistic for the Australian setting. </w:t>
      </w:r>
    </w:p>
    <w:p w14:paraId="7DC65645" w14:textId="77777777" w:rsidR="00255EA3" w:rsidRPr="0045541D" w:rsidRDefault="00255EA3" w:rsidP="00255EA3">
      <w:r w:rsidRPr="0045541D">
        <w:t xml:space="preserve">As such, ESC viewed the economic evaluation as using a simplistic model that applied mortality and a constant (comparator) or adjusted for efficacy loss (intervention) outcomes post-trial to generate costs and quality-adjusted life years (QALYs). Costs included in the model were intervention delivery, FIX replacement therapy, on-demand FIX infusions and treating serious AEs. However, ESC noted that costs were not included for: prior testing (other than anti-AAV5 </w:t>
      </w:r>
      <w:proofErr w:type="spellStart"/>
      <w:r w:rsidRPr="0045541D">
        <w:t>NAb</w:t>
      </w:r>
      <w:proofErr w:type="spellEnd"/>
      <w:r w:rsidRPr="0045541D">
        <w:t xml:space="preserve"> testing), post-treatment monitoring, or deteriorating joints. </w:t>
      </w:r>
    </w:p>
    <w:p w14:paraId="3CE88084" w14:textId="5EC34EB6" w:rsidR="00255EA3" w:rsidRPr="00D56B1F" w:rsidRDefault="00255EA3" w:rsidP="00255EA3">
      <w:pPr>
        <w:pStyle w:val="NormalBeforeBullet0"/>
      </w:pPr>
      <w:r w:rsidRPr="0045541D">
        <w:t>ESC noted the stepped economic analysis reported an ICER of $</w:t>
      </w:r>
      <w:r w:rsidR="002E61C7" w:rsidRPr="0045541D">
        <w:rPr>
          <w:b/>
          <w:bCs/>
        </w:rPr>
        <w:t>redacted</w:t>
      </w:r>
      <w:r w:rsidRPr="0045541D">
        <w:t xml:space="preserve"> per QALY gained when using a 3-year (study data based) time horizon. The ICER reduced to $</w:t>
      </w:r>
      <w:r w:rsidR="002E61C7" w:rsidRPr="0045541D">
        <w:rPr>
          <w:b/>
          <w:bCs/>
        </w:rPr>
        <w:t>redacted</w:t>
      </w:r>
      <w:r w:rsidR="002E61C7" w:rsidRPr="0045541D" w:rsidDel="002E61C7">
        <w:t xml:space="preserve"> </w:t>
      </w:r>
      <w:r w:rsidRPr="0045541D">
        <w:t>per QALY gained</w:t>
      </w:r>
      <w:r w:rsidRPr="009F7C1D">
        <w:t xml:space="preserve"> </w:t>
      </w:r>
      <w:r w:rsidRPr="00D56B1F">
        <w:t xml:space="preserve">when extrapolated to an 8-year time horizon and was dominant when extrapolated to a 25-year time-horizon. ESC noted the ICER became dominant at approximately </w:t>
      </w:r>
      <w:r w:rsidR="00F140BB" w:rsidRPr="00D56B1F">
        <w:rPr>
          <w:b/>
          <w:bCs/>
        </w:rPr>
        <w:t>redacted</w:t>
      </w:r>
      <w:r w:rsidR="00F140BB" w:rsidRPr="00D56B1F">
        <w:t xml:space="preserve"> </w:t>
      </w:r>
      <w:r w:rsidRPr="00D56B1F">
        <w:t>years.</w:t>
      </w:r>
    </w:p>
    <w:p w14:paraId="3E970DB6" w14:textId="77777777" w:rsidR="00255EA3" w:rsidRPr="00D56B1F" w:rsidRDefault="00255EA3" w:rsidP="00255EA3">
      <w:r w:rsidRPr="00D56B1F">
        <w:t xml:space="preserve">ESC noted the key drivers of the model were the time horizon, cost of the comparator (short half-life and extended half-life FIX replacement therapy) and the annualised FIX consumption (AFC). ESC noted the applicant’s pre-ESC response asserted that the appropriate time horizon should be the patient’s lifetime, but the ADAR base case instead used a more conservative time horizon of 25 years. ESC considered that the duration of effect was assumed, not demonstrated. </w:t>
      </w:r>
    </w:p>
    <w:p w14:paraId="43F5DD14" w14:textId="541F8407" w:rsidR="00255EA3" w:rsidRPr="00D56B1F" w:rsidRDefault="00255EA3" w:rsidP="00255EA3">
      <w:r w:rsidRPr="00D56B1F">
        <w:t xml:space="preserve">ESC noted that when the effective prices for the FIX replacement therapies were applied, the ICERs increased and Hemgenix was no longer dominant over the 25-year time horizon: </w:t>
      </w:r>
    </w:p>
    <w:p w14:paraId="4A2F1990" w14:textId="2A11E5DF" w:rsidR="00255EA3" w:rsidRPr="00D56B1F" w:rsidRDefault="00255EA3" w:rsidP="006779D5">
      <w:pPr>
        <w:pStyle w:val="ListParagraph"/>
        <w:numPr>
          <w:ilvl w:val="0"/>
          <w:numId w:val="27"/>
        </w:numPr>
      </w:pPr>
      <w:r w:rsidRPr="00D56B1F">
        <w:t xml:space="preserve">Step 1 – 3-year study </w:t>
      </w:r>
      <w:proofErr w:type="gramStart"/>
      <w:r w:rsidRPr="00D56B1F">
        <w:t>data based</w:t>
      </w:r>
      <w:proofErr w:type="gramEnd"/>
      <w:r w:rsidRPr="00D56B1F">
        <w:t xml:space="preserve"> time horizon: $</w:t>
      </w:r>
      <w:r w:rsidR="00DB2D12" w:rsidRPr="00D56B1F">
        <w:rPr>
          <w:b/>
          <w:bCs/>
        </w:rPr>
        <w:t>redacted</w:t>
      </w:r>
      <w:r w:rsidRPr="00D56B1F">
        <w:t xml:space="preserve"> per QALY gained</w:t>
      </w:r>
    </w:p>
    <w:p w14:paraId="0BF4863A" w14:textId="236C947C" w:rsidR="00255EA3" w:rsidRPr="00D56B1F" w:rsidRDefault="00255EA3" w:rsidP="006779D5">
      <w:pPr>
        <w:pStyle w:val="ListParagraph"/>
        <w:numPr>
          <w:ilvl w:val="0"/>
          <w:numId w:val="27"/>
        </w:numPr>
      </w:pPr>
      <w:r w:rsidRPr="00D56B1F">
        <w:t>Step 2 – 8-year time horizon: $</w:t>
      </w:r>
      <w:r w:rsidR="00DB2D12" w:rsidRPr="00D56B1F">
        <w:rPr>
          <w:b/>
          <w:bCs/>
        </w:rPr>
        <w:t>redacted</w:t>
      </w:r>
      <w:r w:rsidRPr="00D56B1F">
        <w:t xml:space="preserve"> per QALY </w:t>
      </w:r>
      <w:proofErr w:type="gramStart"/>
      <w:r w:rsidRPr="00D56B1F">
        <w:t>gained</w:t>
      </w:r>
      <w:proofErr w:type="gramEnd"/>
    </w:p>
    <w:p w14:paraId="3ECE1B8A" w14:textId="1C2CC8C1" w:rsidR="00255EA3" w:rsidRPr="00D56B1F" w:rsidRDefault="00255EA3" w:rsidP="006779D5">
      <w:pPr>
        <w:pStyle w:val="ListParagraph"/>
        <w:numPr>
          <w:ilvl w:val="0"/>
          <w:numId w:val="27"/>
        </w:numPr>
      </w:pPr>
      <w:r w:rsidRPr="00D56B1F">
        <w:t>Step 3 – 25-year time horizon: $</w:t>
      </w:r>
      <w:r w:rsidR="00DB2D12" w:rsidRPr="00D56B1F">
        <w:rPr>
          <w:b/>
          <w:bCs/>
        </w:rPr>
        <w:t xml:space="preserve">redacted </w:t>
      </w:r>
      <w:r w:rsidRPr="00D56B1F">
        <w:t>per QALY gained.</w:t>
      </w:r>
    </w:p>
    <w:p w14:paraId="04034704" w14:textId="2BF21D99" w:rsidR="00255EA3" w:rsidRPr="00D56B1F" w:rsidRDefault="00255EA3" w:rsidP="00255EA3">
      <w:r w:rsidRPr="00D56B1F">
        <w:t>ESC noted that, when using the effective prices for FIX replacement therapies, the price of Hemgenix would need to be reduced to $</w:t>
      </w:r>
      <w:r w:rsidR="00DB2D12" w:rsidRPr="00D56B1F">
        <w:rPr>
          <w:b/>
          <w:bCs/>
        </w:rPr>
        <w:t xml:space="preserve">redacted </w:t>
      </w:r>
      <w:r w:rsidRPr="00D56B1F">
        <w:t xml:space="preserve">to reach dominance over a </w:t>
      </w:r>
      <w:r w:rsidR="00F140BB" w:rsidRPr="00D56B1F">
        <w:rPr>
          <w:b/>
          <w:bCs/>
        </w:rPr>
        <w:t>redacted</w:t>
      </w:r>
      <w:r w:rsidRPr="00D56B1F">
        <w:t>-year time horizon, approximately $</w:t>
      </w:r>
      <w:r w:rsidR="00DB2D12" w:rsidRPr="00D56B1F">
        <w:rPr>
          <w:b/>
          <w:bCs/>
        </w:rPr>
        <w:t xml:space="preserve">redacted </w:t>
      </w:r>
      <w:r w:rsidRPr="00D56B1F">
        <w:t xml:space="preserve">to reach dominance in </w:t>
      </w:r>
      <w:r w:rsidR="00F140BB" w:rsidRPr="00D56B1F">
        <w:rPr>
          <w:b/>
          <w:bCs/>
        </w:rPr>
        <w:t>redacted</w:t>
      </w:r>
      <w:r w:rsidRPr="00D56B1F">
        <w:t xml:space="preserve"> years (corresponding to the base case) or $</w:t>
      </w:r>
      <w:r w:rsidR="001B4A5A" w:rsidRPr="00D56B1F">
        <w:rPr>
          <w:b/>
          <w:bCs/>
        </w:rPr>
        <w:t>redacted</w:t>
      </w:r>
      <w:r w:rsidRPr="00D56B1F">
        <w:t xml:space="preserve"> to reach dominance over </w:t>
      </w:r>
      <w:proofErr w:type="gramStart"/>
      <w:r w:rsidRPr="00D56B1F">
        <w:t>an</w:t>
      </w:r>
      <w:proofErr w:type="gramEnd"/>
      <w:r w:rsidRPr="00D56B1F">
        <w:t xml:space="preserve"> </w:t>
      </w:r>
      <w:r w:rsidR="00F140BB" w:rsidRPr="00D56B1F">
        <w:rPr>
          <w:b/>
          <w:bCs/>
        </w:rPr>
        <w:t>redacted</w:t>
      </w:r>
      <w:r w:rsidRPr="00D56B1F">
        <w:t xml:space="preserve">-year time horizon. </w:t>
      </w:r>
    </w:p>
    <w:p w14:paraId="0CC81BAE" w14:textId="422AF227" w:rsidR="00255EA3" w:rsidRPr="00D56B1F" w:rsidRDefault="00255EA3" w:rsidP="00255EA3">
      <w:pPr>
        <w:rPr>
          <w:color w:val="FF0000"/>
        </w:rPr>
      </w:pPr>
      <w:r w:rsidRPr="00D56B1F">
        <w:rPr>
          <w:color w:val="0D0D0D" w:themeColor="text1" w:themeTint="F2"/>
        </w:rPr>
        <w:t xml:space="preserve">ESC considered that it would be useful to present MSAC with additional sensitivity analyses exploring the price (reduction) required to achieve a dominant ICER at 3 years and 5 years. In addition, sensitivity analyses exploring the price (reduction) required to achieve a lower ICER (e.g. $100,000 per QALY gained) using a 3 year and </w:t>
      </w:r>
      <w:proofErr w:type="gramStart"/>
      <w:r w:rsidRPr="00D56B1F">
        <w:rPr>
          <w:color w:val="0D0D0D" w:themeColor="text1" w:themeTint="F2"/>
        </w:rPr>
        <w:t>5 year</w:t>
      </w:r>
      <w:proofErr w:type="gramEnd"/>
      <w:r w:rsidRPr="00D56B1F">
        <w:rPr>
          <w:color w:val="0D0D0D" w:themeColor="text1" w:themeTint="F2"/>
        </w:rPr>
        <w:t xml:space="preserve"> time horizon may also be informative for MSAC.</w:t>
      </w:r>
    </w:p>
    <w:p w14:paraId="73DA90AA" w14:textId="77777777" w:rsidR="00255EA3" w:rsidRPr="00D56B1F" w:rsidRDefault="00255EA3" w:rsidP="00255EA3">
      <w:r w:rsidRPr="00D56B1F">
        <w:t xml:space="preserve">ESC also noted that the Canadian Agency for Drugs and Technologies in Health (CADTH) recommended reimbursement of Hemgenix for treatment of patients with moderately severe to severe </w:t>
      </w:r>
      <w:proofErr w:type="spellStart"/>
      <w:r w:rsidRPr="00D56B1F">
        <w:t>cHMB</w:t>
      </w:r>
      <w:proofErr w:type="spellEnd"/>
      <w:r w:rsidRPr="00D56B1F">
        <w:t xml:space="preserve"> (with an anti-AAV% titre &lt;1:900) but this was contingent on a price reduction</w:t>
      </w:r>
      <w:r w:rsidRPr="00D56B1F">
        <w:rPr>
          <w:rStyle w:val="FootnoteReference"/>
        </w:rPr>
        <w:footnoteReference w:id="11"/>
      </w:r>
      <w:r w:rsidRPr="00D56B1F">
        <w:t>. However, the National Institute of Health and Care Excellence (NICE) did not recommend funding Hemgenix, citing uncertain effectiveness and high costs as the reasons.</w:t>
      </w:r>
    </w:p>
    <w:p w14:paraId="22ECBB47" w14:textId="026635C0" w:rsidR="00255EA3" w:rsidRPr="00D56B1F" w:rsidRDefault="00255EA3" w:rsidP="00255EA3">
      <w:r w:rsidRPr="00D56B1F">
        <w:t xml:space="preserve">ESC noted that the financial impact estimates used a mixed epidemiology and market-share approach, but only considered the cost of Hemgenix and the comparator FIX products. ESC noted that while the prevalence of </w:t>
      </w:r>
      <w:proofErr w:type="spellStart"/>
      <w:r w:rsidRPr="00D56B1F">
        <w:t>cHMB</w:t>
      </w:r>
      <w:proofErr w:type="spellEnd"/>
      <w:r w:rsidRPr="00D56B1F">
        <w:t xml:space="preserve"> in Australia is reliably informed based on data from the Australian Bleeding Disorders Registry (ABDR), there is uncertainty regarding how many of the 253 patients that currently have </w:t>
      </w:r>
      <w:proofErr w:type="spellStart"/>
      <w:r w:rsidRPr="00D56B1F">
        <w:t>cHMB</w:t>
      </w:r>
      <w:proofErr w:type="spellEnd"/>
      <w:r w:rsidRPr="00D56B1F">
        <w:t xml:space="preserve"> would be eligible for the gene therapy. Further, ESC considered a major uncertainty was how many eligible patients would choose this therapy and noted that the uptake rate assumed in the ADAR was low (</w:t>
      </w:r>
      <w:r w:rsidR="002E61C7" w:rsidRPr="00D56B1F">
        <w:rPr>
          <w:b/>
          <w:bCs/>
        </w:rPr>
        <w:t>redacted</w:t>
      </w:r>
      <w:r w:rsidRPr="00D56B1F">
        <w:t xml:space="preserve">%). </w:t>
      </w:r>
    </w:p>
    <w:p w14:paraId="6ED94D76" w14:textId="77777777" w:rsidR="00255EA3" w:rsidRPr="00D56B1F" w:rsidRDefault="00255EA3" w:rsidP="00255EA3">
      <w:pPr>
        <w:pStyle w:val="NormalBeforeBullet0"/>
      </w:pPr>
      <w:r w:rsidRPr="00D56B1F">
        <w:t xml:space="preserve">ESC noted that the financial analysis only considered the cost of Hemgenix or the comparator FIX replacement therapies. While ESC noted that the costs of pre-treatment testing, screening, post-treatment monitoring and managing AEs may be less material, ESC considered that these costs should have been included as they are important for understanding the overall impacts on specific healthcare budgets. The financial analysis also considered system readiness (hub-and-spoke model) as per the Australian Haemophilia Centre Directors’ Organisation Gene Therapy Roadmap, which describes: </w:t>
      </w:r>
    </w:p>
    <w:p w14:paraId="217D8A53" w14:textId="77777777" w:rsidR="00255EA3" w:rsidRPr="00D56B1F" w:rsidRDefault="00255EA3" w:rsidP="006779D5">
      <w:pPr>
        <w:pStyle w:val="Bullet"/>
        <w:numPr>
          <w:ilvl w:val="0"/>
          <w:numId w:val="25"/>
        </w:numPr>
        <w:spacing w:before="0"/>
        <w:rPr>
          <w:rFonts w:ascii="Franklin Gothic Book" w:hAnsi="Franklin Gothic Book"/>
        </w:rPr>
      </w:pPr>
      <w:r w:rsidRPr="00D56B1F">
        <w:rPr>
          <w:rFonts w:ascii="Franklin Gothic Book" w:hAnsi="Franklin Gothic Book"/>
        </w:rPr>
        <w:t xml:space="preserve">the capacity of hub sites to deliver gene therapy (a medium level risk to implementation) </w:t>
      </w:r>
    </w:p>
    <w:p w14:paraId="68305FB3" w14:textId="63FFFE1B" w:rsidR="00255EA3" w:rsidRPr="00D2201A" w:rsidRDefault="00255EA3" w:rsidP="006779D5">
      <w:pPr>
        <w:pStyle w:val="Bullet"/>
        <w:numPr>
          <w:ilvl w:val="0"/>
          <w:numId w:val="25"/>
        </w:numPr>
        <w:spacing w:before="0"/>
        <w:rPr>
          <w:rFonts w:ascii="Franklin Gothic Book" w:hAnsi="Franklin Gothic Book"/>
        </w:rPr>
      </w:pPr>
      <w:r w:rsidRPr="00D56B1F">
        <w:rPr>
          <w:rFonts w:ascii="Franklin Gothic Book" w:hAnsi="Franklin Gothic Book"/>
        </w:rPr>
        <w:t>hubs that could support a throughput of around 1</w:t>
      </w:r>
      <w:r w:rsidRPr="004966E7">
        <w:rPr>
          <w:rFonts w:ascii="Franklin Gothic Book" w:hAnsi="Franklin Gothic Book"/>
        </w:rPr>
        <w:t>–2 patients per</w:t>
      </w:r>
      <w:r w:rsidRPr="00D2201A">
        <w:rPr>
          <w:rFonts w:ascii="Franklin Gothic Book" w:hAnsi="Franklin Gothic Book"/>
        </w:rPr>
        <w:t xml:space="preserve"> </w:t>
      </w:r>
      <w:proofErr w:type="gramStart"/>
      <w:r w:rsidRPr="00D2201A">
        <w:rPr>
          <w:rFonts w:ascii="Franklin Gothic Book" w:hAnsi="Franklin Gothic Book"/>
        </w:rPr>
        <w:t>week</w:t>
      </w:r>
      <w:proofErr w:type="gramEnd"/>
      <w:r w:rsidRPr="00D2201A">
        <w:rPr>
          <w:rFonts w:ascii="Franklin Gothic Book" w:hAnsi="Franklin Gothic Book"/>
        </w:rPr>
        <w:t xml:space="preserve"> </w:t>
      </w:r>
    </w:p>
    <w:p w14:paraId="22D45628" w14:textId="77777777" w:rsidR="00255EA3" w:rsidRPr="0045541D" w:rsidRDefault="00255EA3" w:rsidP="006779D5">
      <w:pPr>
        <w:pStyle w:val="BulletLast"/>
        <w:numPr>
          <w:ilvl w:val="0"/>
          <w:numId w:val="25"/>
        </w:numPr>
      </w:pPr>
      <w:r w:rsidRPr="0045541D">
        <w:t>a proposal to model expected patient volumes to inform resourcing decisions.</w:t>
      </w:r>
    </w:p>
    <w:p w14:paraId="46FA073C" w14:textId="77777777" w:rsidR="00255EA3" w:rsidRPr="0045541D" w:rsidRDefault="00255EA3" w:rsidP="00255EA3">
      <w:pPr>
        <w:pStyle w:val="BulletBeforeDash"/>
        <w:numPr>
          <w:ilvl w:val="0"/>
          <w:numId w:val="0"/>
        </w:numPr>
      </w:pPr>
      <w:r w:rsidRPr="0045541D">
        <w:t>ESC also questioned whether, in addition to the uptake rate and system readiness, global manufacturing constraints could impact on the ability to deliver the treatment to Australian patients.</w:t>
      </w:r>
    </w:p>
    <w:p w14:paraId="00F46650" w14:textId="00FD5980" w:rsidR="00255EA3" w:rsidRPr="0045541D" w:rsidRDefault="00255EA3" w:rsidP="00255EA3">
      <w:r w:rsidRPr="0045541D">
        <w:t>ESC noted that the total financial impact to the national blood arrangements would be $</w:t>
      </w:r>
      <w:r w:rsidR="002E61C7" w:rsidRPr="0045541D">
        <w:rPr>
          <w:b/>
          <w:bCs/>
        </w:rPr>
        <w:t>redacted</w:t>
      </w:r>
      <w:r w:rsidRPr="0045541D">
        <w:t xml:space="preserve"> in year 1, decreasing to $</w:t>
      </w:r>
      <w:r w:rsidR="002E61C7" w:rsidRPr="0045541D">
        <w:rPr>
          <w:b/>
          <w:bCs/>
        </w:rPr>
        <w:t>redacted</w:t>
      </w:r>
      <w:r w:rsidR="002E61C7" w:rsidRPr="0045541D" w:rsidDel="002E61C7">
        <w:t xml:space="preserve"> </w:t>
      </w:r>
      <w:r w:rsidRPr="0045541D">
        <w:t xml:space="preserve">by year 6 using the commentary’s corrected FIX cost offsets. However, this depends on an uptake rate of </w:t>
      </w:r>
      <w:r w:rsidR="002E61C7" w:rsidRPr="0045541D">
        <w:rPr>
          <w:b/>
          <w:bCs/>
        </w:rPr>
        <w:t>redacted</w:t>
      </w:r>
      <w:r w:rsidRPr="0045541D">
        <w:t>% of all eligible patients, which ESC considered to be uncertain. ESC noted that if a higher uptake was assumed, for example, 20% of eligible patients received Hemgenix, the initial cost to the national blood arrangements would increase to $</w:t>
      </w:r>
      <w:r w:rsidR="002E61C7" w:rsidRPr="0045541D">
        <w:rPr>
          <w:b/>
          <w:bCs/>
        </w:rPr>
        <w:t>redacted</w:t>
      </w:r>
      <w:r w:rsidRPr="0045541D">
        <w:t xml:space="preserve"> in year 1 but would become cost-neutral faster due to less ongoing FIX replacement therapy (cost of $</w:t>
      </w:r>
      <w:r w:rsidR="006B4663" w:rsidRPr="0045541D">
        <w:rPr>
          <w:b/>
          <w:bCs/>
        </w:rPr>
        <w:t>redacted</w:t>
      </w:r>
      <w:r w:rsidRPr="0045541D">
        <w:t xml:space="preserve"> in year 6).</w:t>
      </w:r>
    </w:p>
    <w:p w14:paraId="3B05B28D" w14:textId="77777777" w:rsidR="00255EA3" w:rsidRPr="0045541D" w:rsidRDefault="00255EA3" w:rsidP="00255EA3">
      <w:r w:rsidRPr="0045541D">
        <w:t xml:space="preserve">ESC noted several uncertainties and limitations with the financial impact, including eligibility and uptake, system capacity to deliver the treatment, FIX cost offsets, additional costs not included and possible global manufacturing constraints. Additionally, when ESC noted the effective prices for the FIX replacement therapies were applied, cost savings were lower, the net cost was higher, and it would take longer for cost offsets to be fully realised. </w:t>
      </w:r>
    </w:p>
    <w:p w14:paraId="649F9A7F" w14:textId="125F2BAA" w:rsidR="00255EA3" w:rsidRPr="0045541D" w:rsidRDefault="00255EA3" w:rsidP="00255EA3">
      <w:pPr>
        <w:pStyle w:val="NormalBeforeBullet0"/>
      </w:pPr>
      <w:r w:rsidRPr="0045541D">
        <w:t>ESC noted the ADAR had proposed a risk sharing arrangement. ESC considered the high proposed cost of $</w:t>
      </w:r>
      <w:r w:rsidR="002E61C7" w:rsidRPr="0045541D">
        <w:rPr>
          <w:b/>
          <w:bCs/>
        </w:rPr>
        <w:t>redacted</w:t>
      </w:r>
      <w:r w:rsidR="002E61C7" w:rsidRPr="0045541D" w:rsidDel="002E61C7">
        <w:t xml:space="preserve"> </w:t>
      </w:r>
      <w:r w:rsidRPr="0045541D">
        <w:t xml:space="preserve">per infused patient, coupled with the uncertain treatment success rate and uncertain durability of the effect, posed a high risk to government budgets. ESC considered </w:t>
      </w:r>
      <w:r w:rsidR="0040641F" w:rsidRPr="0045541D">
        <w:rPr>
          <w:b/>
          <w:bCs/>
        </w:rPr>
        <w:t>redacted</w:t>
      </w:r>
      <w:r w:rsidRPr="0045541D">
        <w:t xml:space="preserve"> was not evidence based as the primary outcome in the HOPE-B study was measured at 7 months post-infusion. ESC also considered that the RSA would need to:</w:t>
      </w:r>
    </w:p>
    <w:p w14:paraId="59F6E62F" w14:textId="77777777" w:rsidR="00255EA3" w:rsidRPr="0045541D" w:rsidRDefault="00255EA3" w:rsidP="006779D5">
      <w:pPr>
        <w:pStyle w:val="Bullet"/>
        <w:numPr>
          <w:ilvl w:val="0"/>
          <w:numId w:val="25"/>
        </w:numPr>
        <w:spacing w:before="0"/>
        <w:rPr>
          <w:rFonts w:ascii="Franklin Gothic Book" w:hAnsi="Franklin Gothic Book"/>
        </w:rPr>
      </w:pPr>
      <w:r w:rsidRPr="0045541D">
        <w:rPr>
          <w:rFonts w:ascii="Franklin Gothic Book" w:hAnsi="Franklin Gothic Book"/>
        </w:rPr>
        <w:t xml:space="preserve">mitigate uncertainty regarding the durability of effect, which is assumed, not known – for example, include a pay-for-performance arrangement. ESC considered long-term individual-based multiple payment pay-for-performance would be the preferred mechanism but noted there maybe challenges with this, but if a cohort-based mechanism was used then the ability to implement an appropriate mechanism for retrospective cost adjustment would essential.   </w:t>
      </w:r>
    </w:p>
    <w:p w14:paraId="6FE97010" w14:textId="77777777" w:rsidR="00255EA3" w:rsidRPr="0045541D" w:rsidRDefault="00255EA3" w:rsidP="006779D5">
      <w:pPr>
        <w:pStyle w:val="Bullet"/>
        <w:numPr>
          <w:ilvl w:val="0"/>
          <w:numId w:val="25"/>
        </w:numPr>
        <w:spacing w:before="0"/>
        <w:rPr>
          <w:rFonts w:ascii="Franklin Gothic Book" w:hAnsi="Franklin Gothic Book"/>
        </w:rPr>
      </w:pPr>
      <w:r w:rsidRPr="0045541D">
        <w:rPr>
          <w:rFonts w:ascii="Franklin Gothic Book" w:hAnsi="Franklin Gothic Book"/>
        </w:rPr>
        <w:t xml:space="preserve">mitigate the long-term economic and financial uncertainty, potentially through a price </w:t>
      </w:r>
      <w:proofErr w:type="gramStart"/>
      <w:r w:rsidRPr="0045541D">
        <w:rPr>
          <w:rFonts w:ascii="Franklin Gothic Book" w:hAnsi="Franklin Gothic Book"/>
        </w:rPr>
        <w:t>reduction</w:t>
      </w:r>
      <w:proofErr w:type="gramEnd"/>
    </w:p>
    <w:p w14:paraId="697D1198" w14:textId="77777777" w:rsidR="00255EA3" w:rsidRPr="0045541D" w:rsidRDefault="00255EA3" w:rsidP="006779D5">
      <w:pPr>
        <w:pStyle w:val="Bullet"/>
        <w:numPr>
          <w:ilvl w:val="0"/>
          <w:numId w:val="25"/>
        </w:numPr>
        <w:spacing w:before="0"/>
      </w:pPr>
      <w:r w:rsidRPr="0045541D">
        <w:rPr>
          <w:rFonts w:ascii="Franklin Gothic Book" w:hAnsi="Franklin Gothic Book"/>
        </w:rPr>
        <w:t xml:space="preserve">take into consideration that the TGA provisional approval for Hemgenix is time-limited (initial 2 years, up to 6 years) and continued TGA approval depends on confirmation of longer-term benefit from ongoing clinical </w:t>
      </w:r>
      <w:proofErr w:type="gramStart"/>
      <w:r w:rsidRPr="0045541D">
        <w:rPr>
          <w:rFonts w:ascii="Franklin Gothic Book" w:hAnsi="Franklin Gothic Book"/>
        </w:rPr>
        <w:t>trials</w:t>
      </w:r>
      <w:proofErr w:type="gramEnd"/>
    </w:p>
    <w:p w14:paraId="7E18D0C0" w14:textId="77777777" w:rsidR="00255EA3" w:rsidRPr="0045541D" w:rsidRDefault="00255EA3" w:rsidP="006779D5">
      <w:pPr>
        <w:pStyle w:val="Bullet"/>
        <w:numPr>
          <w:ilvl w:val="0"/>
          <w:numId w:val="25"/>
        </w:numPr>
        <w:spacing w:before="0"/>
        <w:rPr>
          <w:rFonts w:ascii="Franklin Gothic Book" w:hAnsi="Franklin Gothic Book"/>
        </w:rPr>
      </w:pPr>
      <w:r w:rsidRPr="0045541D">
        <w:rPr>
          <w:rFonts w:ascii="Franklin Gothic Book" w:hAnsi="Franklin Gothic Book"/>
        </w:rPr>
        <w:t xml:space="preserve">include annual review of safety and effectiveness which ESC considered currently warranted, in particular as one patient demonstrated late loss of efficacy (just after 2 years) and is unclear if this is the last of the non-responders or the first of a cohort of patients with waning </w:t>
      </w:r>
      <w:proofErr w:type="gramStart"/>
      <w:r w:rsidRPr="0045541D">
        <w:rPr>
          <w:rFonts w:ascii="Franklin Gothic Book" w:hAnsi="Franklin Gothic Book"/>
        </w:rPr>
        <w:t>efficacy</w:t>
      </w:r>
      <w:proofErr w:type="gramEnd"/>
    </w:p>
    <w:p w14:paraId="190D6278" w14:textId="77777777" w:rsidR="00255EA3" w:rsidRPr="0045541D" w:rsidRDefault="00255EA3" w:rsidP="006779D5">
      <w:pPr>
        <w:pStyle w:val="Bullet"/>
        <w:numPr>
          <w:ilvl w:val="0"/>
          <w:numId w:val="25"/>
        </w:numPr>
        <w:spacing w:before="0"/>
        <w:rPr>
          <w:rFonts w:ascii="Franklin Gothic Book" w:hAnsi="Franklin Gothic Book"/>
        </w:rPr>
      </w:pPr>
      <w:r w:rsidRPr="0045541D">
        <w:rPr>
          <w:rFonts w:ascii="Franklin Gothic Book" w:hAnsi="Franklin Gothic Book"/>
        </w:rPr>
        <w:t xml:space="preserve">consider the </w:t>
      </w:r>
      <w:proofErr w:type="spellStart"/>
      <w:r w:rsidRPr="0045541D">
        <w:rPr>
          <w:rFonts w:ascii="Franklin Gothic Book" w:hAnsi="Franklin Gothic Book"/>
        </w:rPr>
        <w:t>codependency</w:t>
      </w:r>
      <w:proofErr w:type="spellEnd"/>
      <w:r w:rsidRPr="0045541D">
        <w:rPr>
          <w:rFonts w:ascii="Franklin Gothic Book" w:hAnsi="Franklin Gothic Book"/>
        </w:rPr>
        <w:t xml:space="preserve"> issues raised, that the available data show a non-statistical trend of decreased efficacy in patients with anti-AAV5 </w:t>
      </w:r>
      <w:proofErr w:type="spellStart"/>
      <w:r w:rsidRPr="0045541D">
        <w:rPr>
          <w:rFonts w:ascii="Franklin Gothic Book" w:hAnsi="Franklin Gothic Book"/>
        </w:rPr>
        <w:t>NAbs</w:t>
      </w:r>
      <w:proofErr w:type="spellEnd"/>
      <w:r w:rsidRPr="0045541D">
        <w:rPr>
          <w:rFonts w:ascii="Franklin Gothic Book" w:hAnsi="Franklin Gothic Book"/>
        </w:rPr>
        <w:t xml:space="preserve">, and the anti-AAV5 </w:t>
      </w:r>
      <w:proofErr w:type="spellStart"/>
      <w:r w:rsidRPr="0045541D">
        <w:rPr>
          <w:rFonts w:ascii="Franklin Gothic Book" w:hAnsi="Franklin Gothic Book"/>
        </w:rPr>
        <w:t>NAb</w:t>
      </w:r>
      <w:proofErr w:type="spellEnd"/>
      <w:r w:rsidRPr="0045541D">
        <w:rPr>
          <w:rFonts w:ascii="Franklin Gothic Book" w:hAnsi="Franklin Gothic Book"/>
        </w:rPr>
        <w:t xml:space="preserve"> threshold needs to be better understood for the purposes of appropriately setting the eligibility criteria for defining the population for public funding in which Hemgenix is safe, </w:t>
      </w:r>
      <w:proofErr w:type="gramStart"/>
      <w:r w:rsidRPr="0045541D">
        <w:rPr>
          <w:rFonts w:ascii="Franklin Gothic Book" w:hAnsi="Franklin Gothic Book"/>
        </w:rPr>
        <w:t>effective</w:t>
      </w:r>
      <w:proofErr w:type="gramEnd"/>
      <w:r w:rsidRPr="0045541D">
        <w:rPr>
          <w:rFonts w:ascii="Franklin Gothic Book" w:hAnsi="Franklin Gothic Book"/>
        </w:rPr>
        <w:t xml:space="preserve"> and cost-effective.</w:t>
      </w:r>
    </w:p>
    <w:p w14:paraId="31874DDE" w14:textId="77777777" w:rsidR="00255EA3" w:rsidRPr="0045541D" w:rsidRDefault="00255EA3" w:rsidP="006779D5">
      <w:pPr>
        <w:pStyle w:val="BulletLast"/>
        <w:numPr>
          <w:ilvl w:val="0"/>
          <w:numId w:val="25"/>
        </w:numPr>
      </w:pPr>
      <w:r w:rsidRPr="0045541D">
        <w:t xml:space="preserve">note that 2% of patients had an infusion reaction and could not complete the infusion, so a part payment or no payment option for these patients should be </w:t>
      </w:r>
      <w:proofErr w:type="gramStart"/>
      <w:r w:rsidRPr="0045541D">
        <w:t>considered</w:t>
      </w:r>
      <w:proofErr w:type="gramEnd"/>
      <w:r w:rsidRPr="0045541D">
        <w:t xml:space="preserve"> </w:t>
      </w:r>
    </w:p>
    <w:p w14:paraId="2EC300EF" w14:textId="77777777" w:rsidR="00255EA3" w:rsidRPr="0045541D" w:rsidRDefault="00255EA3" w:rsidP="006779D5">
      <w:pPr>
        <w:pStyle w:val="BulletLast"/>
        <w:numPr>
          <w:ilvl w:val="0"/>
          <w:numId w:val="25"/>
        </w:numPr>
      </w:pPr>
      <w:r w:rsidRPr="0045541D">
        <w:t xml:space="preserve">stipulate that registry data collection and provision is required, which should be independent of industry, have no restrictions on access for defined stakeholders and have mandatory reporting embedded in any agreement. </w:t>
      </w:r>
    </w:p>
    <w:p w14:paraId="0A07AF03" w14:textId="6C1224D3" w:rsidR="00255EA3" w:rsidRPr="0045541D" w:rsidRDefault="00255EA3" w:rsidP="00255EA3">
      <w:pPr>
        <w:pStyle w:val="NormalBeforeBullet0"/>
      </w:pPr>
      <w:r w:rsidRPr="0045541D">
        <w:t xml:space="preserve">ESC noted that the applicant has committed to a 15-year follow-up study, </w:t>
      </w:r>
      <w:r w:rsidR="006B4663" w:rsidRPr="0045541D">
        <w:rPr>
          <w:b/>
          <w:bCs/>
        </w:rPr>
        <w:t>redacted</w:t>
      </w:r>
      <w:r w:rsidRPr="0045541D">
        <w:t>. ESC advised that the following information from this study should be required for any RSA:</w:t>
      </w:r>
    </w:p>
    <w:p w14:paraId="63D1C5ED" w14:textId="77777777" w:rsidR="00255EA3" w:rsidRPr="0045541D" w:rsidRDefault="00255EA3" w:rsidP="006779D5">
      <w:pPr>
        <w:pStyle w:val="Bullet"/>
        <w:numPr>
          <w:ilvl w:val="0"/>
          <w:numId w:val="25"/>
        </w:numPr>
        <w:spacing w:before="0"/>
        <w:rPr>
          <w:rFonts w:ascii="Franklin Gothic Book" w:hAnsi="Franklin Gothic Book"/>
        </w:rPr>
      </w:pPr>
      <w:r w:rsidRPr="0045541D">
        <w:rPr>
          <w:rFonts w:ascii="Franklin Gothic Book" w:hAnsi="Franklin Gothic Book"/>
        </w:rPr>
        <w:t>individualised and total use of FIX replacement for both prophylaxis and on-demand needs</w:t>
      </w:r>
    </w:p>
    <w:p w14:paraId="01A30C03" w14:textId="77777777" w:rsidR="00255EA3" w:rsidRPr="0045541D" w:rsidRDefault="00255EA3" w:rsidP="006779D5">
      <w:pPr>
        <w:pStyle w:val="Bullet"/>
        <w:numPr>
          <w:ilvl w:val="0"/>
          <w:numId w:val="25"/>
        </w:numPr>
        <w:spacing w:before="0"/>
        <w:rPr>
          <w:rFonts w:ascii="Franklin Gothic Book" w:hAnsi="Franklin Gothic Book"/>
        </w:rPr>
      </w:pPr>
      <w:r w:rsidRPr="0045541D">
        <w:rPr>
          <w:rFonts w:ascii="Franklin Gothic Book" w:hAnsi="Franklin Gothic Book"/>
        </w:rPr>
        <w:t xml:space="preserve">the proportion who are free of prophylaxis use each </w:t>
      </w:r>
      <w:proofErr w:type="gramStart"/>
      <w:r w:rsidRPr="0045541D">
        <w:rPr>
          <w:rFonts w:ascii="Franklin Gothic Book" w:hAnsi="Franklin Gothic Book"/>
        </w:rPr>
        <w:t>year</w:t>
      </w:r>
      <w:proofErr w:type="gramEnd"/>
    </w:p>
    <w:p w14:paraId="67108CAE" w14:textId="77777777" w:rsidR="00255EA3" w:rsidRPr="0045541D" w:rsidRDefault="00255EA3" w:rsidP="006779D5">
      <w:pPr>
        <w:pStyle w:val="Bullet"/>
        <w:numPr>
          <w:ilvl w:val="0"/>
          <w:numId w:val="25"/>
        </w:numPr>
        <w:spacing w:before="0"/>
        <w:rPr>
          <w:rFonts w:ascii="Franklin Gothic Book" w:hAnsi="Franklin Gothic Book"/>
        </w:rPr>
      </w:pPr>
      <w:r w:rsidRPr="0045541D">
        <w:rPr>
          <w:rFonts w:ascii="Franklin Gothic Book" w:hAnsi="Franklin Gothic Book"/>
        </w:rPr>
        <w:t>ABR</w:t>
      </w:r>
    </w:p>
    <w:p w14:paraId="00F1D4E5" w14:textId="77777777" w:rsidR="00255EA3" w:rsidRPr="0045541D" w:rsidRDefault="00255EA3" w:rsidP="006779D5">
      <w:pPr>
        <w:pStyle w:val="Bullet"/>
        <w:numPr>
          <w:ilvl w:val="0"/>
          <w:numId w:val="25"/>
        </w:numPr>
        <w:spacing w:before="0"/>
        <w:rPr>
          <w:rFonts w:ascii="Franklin Gothic Book" w:hAnsi="Franklin Gothic Book"/>
        </w:rPr>
      </w:pPr>
      <w:r w:rsidRPr="0045541D">
        <w:rPr>
          <w:rFonts w:ascii="Franklin Gothic Book" w:hAnsi="Franklin Gothic Book"/>
        </w:rPr>
        <w:t>QoL</w:t>
      </w:r>
    </w:p>
    <w:p w14:paraId="5881006D" w14:textId="77777777" w:rsidR="00255EA3" w:rsidRPr="0045541D" w:rsidRDefault="00255EA3" w:rsidP="006779D5">
      <w:pPr>
        <w:pStyle w:val="Bullet"/>
        <w:numPr>
          <w:ilvl w:val="0"/>
          <w:numId w:val="25"/>
        </w:numPr>
        <w:spacing w:before="0"/>
        <w:rPr>
          <w:rFonts w:ascii="Franklin Gothic Book" w:hAnsi="Franklin Gothic Book"/>
        </w:rPr>
      </w:pPr>
      <w:r w:rsidRPr="0045541D">
        <w:rPr>
          <w:rFonts w:ascii="Franklin Gothic Book" w:hAnsi="Franklin Gothic Book"/>
        </w:rPr>
        <w:t>safety</w:t>
      </w:r>
    </w:p>
    <w:p w14:paraId="67FA2805" w14:textId="77777777" w:rsidR="00255EA3" w:rsidRPr="0045541D" w:rsidRDefault="00255EA3" w:rsidP="006779D5">
      <w:pPr>
        <w:pStyle w:val="Bullet"/>
        <w:numPr>
          <w:ilvl w:val="0"/>
          <w:numId w:val="25"/>
        </w:numPr>
        <w:spacing w:before="0"/>
        <w:rPr>
          <w:rFonts w:ascii="Franklin Gothic Book" w:hAnsi="Franklin Gothic Book"/>
        </w:rPr>
      </w:pPr>
      <w:r w:rsidRPr="0045541D">
        <w:rPr>
          <w:rFonts w:ascii="Franklin Gothic Book" w:hAnsi="Franklin Gothic Book"/>
        </w:rPr>
        <w:t>anti-AAV5 antibody titre with FIX activity levels and AFC.</w:t>
      </w:r>
    </w:p>
    <w:p w14:paraId="5AC24414" w14:textId="435119F0" w:rsidR="006779D5" w:rsidRDefault="006779D5" w:rsidP="006779D5">
      <w:pPr>
        <w:pStyle w:val="Heading2"/>
        <w:numPr>
          <w:ilvl w:val="0"/>
          <w:numId w:val="0"/>
        </w:numPr>
      </w:pPr>
      <w:r>
        <w:t>18.</w:t>
      </w:r>
      <w:r>
        <w:tab/>
        <w:t>Applicant comments on MSAC’s Public Summary Document</w:t>
      </w:r>
    </w:p>
    <w:p w14:paraId="7C05662C" w14:textId="681ADA05" w:rsidR="00095498" w:rsidRPr="001A459E" w:rsidRDefault="00E76130" w:rsidP="006779D5">
      <w:pPr>
        <w:spacing w:after="240"/>
      </w:pPr>
      <w:r w:rsidRPr="00D56B1F">
        <w:t xml:space="preserve">While CSL Behring is disappointed that Hemgenix has not been supported for public funding at the first opportunity, we are pleased that there is a clear path forward for resubmission to MSAC. We are confident in the transformative impact of Hemgenix and its long-term value to eligible patients, </w:t>
      </w:r>
      <w:proofErr w:type="gramStart"/>
      <w:r w:rsidRPr="00D56B1F">
        <w:t>families</w:t>
      </w:r>
      <w:proofErr w:type="gramEnd"/>
      <w:r w:rsidRPr="00D56B1F">
        <w:t xml:space="preserve"> and the Australian healthcare system. Hemgenix has been publicly funded already in </w:t>
      </w:r>
      <w:proofErr w:type="gramStart"/>
      <w:r w:rsidRPr="00D56B1F">
        <w:t>a number of</w:t>
      </w:r>
      <w:proofErr w:type="gramEnd"/>
      <w:r w:rsidRPr="00D56B1F">
        <w:t xml:space="preserve"> countries and as an Australian company, we are keen to support timely funded access for Australian Haemophilia B patients. We are optimistic and committed to working with MSAC and all other relevant stakeholders to help achieve this shared goal.</w:t>
      </w:r>
      <w:r w:rsidRPr="00E76130">
        <w:t xml:space="preserve">  </w:t>
      </w:r>
    </w:p>
    <w:p w14:paraId="35598FC2" w14:textId="1E9224F5" w:rsidR="006779D5" w:rsidRDefault="006779D5" w:rsidP="006779D5">
      <w:pPr>
        <w:pStyle w:val="Heading2"/>
        <w:numPr>
          <w:ilvl w:val="0"/>
          <w:numId w:val="0"/>
        </w:numPr>
      </w:pPr>
      <w:r>
        <w:t>19.</w:t>
      </w:r>
      <w:r>
        <w:tab/>
        <w:t>Further information on MSAC</w:t>
      </w:r>
    </w:p>
    <w:p w14:paraId="69DBB715" w14:textId="67A09614" w:rsidR="00255EA3" w:rsidRPr="006779D5" w:rsidRDefault="006779D5" w:rsidP="006779D5">
      <w:pPr>
        <w:pStyle w:val="BodyText"/>
        <w:rPr>
          <w:rFonts w:ascii="Franklin Gothic Book" w:hAnsi="Franklin Gothic Book" w:cstheme="minorBidi"/>
          <w:b/>
          <w:bCs/>
          <w:i/>
          <w:iCs/>
          <w:sz w:val="22"/>
        </w:rPr>
      </w:pPr>
      <w:r w:rsidRPr="00F309FA">
        <w:rPr>
          <w:rFonts w:ascii="Franklin Gothic Book" w:hAnsi="Franklin Gothic Book"/>
          <w:bCs/>
          <w:iCs/>
          <w:sz w:val="22"/>
        </w:rPr>
        <w:t xml:space="preserve">MSAC Terms of Reference and other information are available on the MSAC Website: </w:t>
      </w:r>
      <w:hyperlink r:id="rId12" w:tooltip="Link to the MSAC website" w:history="1">
        <w:r w:rsidRPr="00F309FA">
          <w:rPr>
            <w:rStyle w:val="Hyperlink"/>
            <w:rFonts w:ascii="Franklin Gothic Book" w:hAnsi="Franklin Gothic Book"/>
            <w:iCs/>
            <w:sz w:val="22"/>
          </w:rPr>
          <w:t>visit the MSAC website</w:t>
        </w:r>
      </w:hyperlink>
    </w:p>
    <w:sectPr w:rsidR="00255EA3" w:rsidRPr="006779D5" w:rsidSect="0068789C">
      <w:headerReference w:type="even" r:id="rId13"/>
      <w:headerReference w:type="default" r:id="rId14"/>
      <w:footerReference w:type="even" r:id="rId15"/>
      <w:footerReference w:type="default" r:id="rId16"/>
      <w:headerReference w:type="first" r:id="rId17"/>
      <w:footerReference w:type="first" r:id="rId18"/>
      <w:type w:val="oddPag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729CA" w14:textId="77777777" w:rsidR="00E22268" w:rsidRDefault="00E22268" w:rsidP="00B62DF2">
      <w:pPr>
        <w:spacing w:after="0" w:line="240" w:lineRule="auto"/>
      </w:pPr>
      <w:r>
        <w:separator/>
      </w:r>
    </w:p>
  </w:endnote>
  <w:endnote w:type="continuationSeparator" w:id="0">
    <w:p w14:paraId="658BAD33" w14:textId="77777777" w:rsidR="00E22268" w:rsidRDefault="00E22268" w:rsidP="00B62DF2">
      <w:pPr>
        <w:spacing w:after="0" w:line="240" w:lineRule="auto"/>
      </w:pPr>
      <w:r>
        <w:continuationSeparator/>
      </w:r>
    </w:p>
  </w:endnote>
  <w:endnote w:type="continuationNotice" w:id="1">
    <w:p w14:paraId="6D16CF9B" w14:textId="77777777" w:rsidR="00E22268" w:rsidRDefault="00E2226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Sabon">
    <w:altName w:val="Cambria"/>
    <w:charset w:val="00"/>
    <w:family w:val="roman"/>
    <w:pitch w:val="variable"/>
    <w:sig w:usb0="00000001"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460831"/>
      <w:docPartObj>
        <w:docPartGallery w:val="Page Numbers (Bottom of Page)"/>
        <w:docPartUnique/>
      </w:docPartObj>
    </w:sdtPr>
    <w:sdtEndPr>
      <w:rPr>
        <w:noProof/>
      </w:rPr>
    </w:sdtEndPr>
    <w:sdtContent>
      <w:p w14:paraId="7C4FDCC7" w14:textId="07C80AFD" w:rsidR="00D70CD4" w:rsidRDefault="00D70CD4" w:rsidP="00255EA3">
        <w:pPr>
          <w:pStyle w:val="Footer"/>
          <w:tabs>
            <w:tab w:val="left" w:pos="3119"/>
            <w:tab w:val="center" w:pos="6237"/>
          </w:tabs>
          <w:jc w:val="right"/>
        </w:pPr>
        <w:r>
          <w:fldChar w:fldCharType="begin"/>
        </w:r>
        <w:r>
          <w:instrText xml:space="preserve"> PAGE   \* MERGEFORMAT </w:instrText>
        </w:r>
        <w:r>
          <w:fldChar w:fldCharType="separate"/>
        </w:r>
        <w: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847"/>
      <w:docPartObj>
        <w:docPartGallery w:val="Page Numbers (Bottom of Page)"/>
        <w:docPartUnique/>
      </w:docPartObj>
    </w:sdtPr>
    <w:sdtEndPr>
      <w:rPr>
        <w:noProof/>
      </w:rPr>
    </w:sdtEndPr>
    <w:sdtContent>
      <w:p w14:paraId="6BE9385A" w14:textId="765B334C" w:rsidR="00D70CD4" w:rsidRDefault="00D70CD4" w:rsidP="00052DD3">
        <w:pPr>
          <w:pStyle w:val="Footer"/>
          <w:jc w:val="right"/>
        </w:pPr>
        <w:r>
          <w:fldChar w:fldCharType="begin"/>
        </w:r>
        <w:r>
          <w:instrText xml:space="preserve"> PAGE   \* MERGEFORMAT </w:instrText>
        </w:r>
        <w:r>
          <w:fldChar w:fldCharType="separate"/>
        </w:r>
        <w:r>
          <w:rPr>
            <w:noProof/>
          </w:rPr>
          <w:t>21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EB4B8" w14:textId="77777777" w:rsidR="0044458A" w:rsidRDefault="00444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53F29" w14:textId="77777777" w:rsidR="00E22268" w:rsidRDefault="00E22268" w:rsidP="00B62DF2">
      <w:pPr>
        <w:spacing w:after="0" w:line="240" w:lineRule="auto"/>
      </w:pPr>
      <w:r>
        <w:separator/>
      </w:r>
    </w:p>
  </w:footnote>
  <w:footnote w:type="continuationSeparator" w:id="0">
    <w:p w14:paraId="487AAC5F" w14:textId="77777777" w:rsidR="00E22268" w:rsidRDefault="00E22268" w:rsidP="00B62DF2">
      <w:pPr>
        <w:spacing w:after="0" w:line="240" w:lineRule="auto"/>
      </w:pPr>
      <w:r>
        <w:continuationSeparator/>
      </w:r>
    </w:p>
  </w:footnote>
  <w:footnote w:type="continuationNotice" w:id="1">
    <w:p w14:paraId="46A4D6D1" w14:textId="77777777" w:rsidR="00E22268" w:rsidRDefault="00E22268">
      <w:pPr>
        <w:spacing w:before="0" w:after="0" w:line="240" w:lineRule="auto"/>
      </w:pPr>
    </w:p>
  </w:footnote>
  <w:footnote w:id="2">
    <w:p w14:paraId="318FB1F6" w14:textId="4DFABBBA" w:rsidR="00D70CD4" w:rsidRDefault="00D70CD4">
      <w:pPr>
        <w:pStyle w:val="FootnoteText"/>
      </w:pPr>
      <w:r>
        <w:rPr>
          <w:rStyle w:val="FootnoteReference"/>
        </w:rPr>
        <w:footnoteRef/>
      </w:r>
      <w:r>
        <w:t xml:space="preserve"> US FDA Approval Letter (Nov 2022) - Hemgenix Biologics Licence Application Approval - </w:t>
      </w:r>
      <w:hyperlink r:id="rId1" w:history="1">
        <w:r w:rsidRPr="00BA50BD">
          <w:rPr>
            <w:rStyle w:val="Hyperlink"/>
          </w:rPr>
          <w:t>https://www.fda.gov/media/163466/download?attachment</w:t>
        </w:r>
      </w:hyperlink>
      <w:r>
        <w:t xml:space="preserve"> </w:t>
      </w:r>
    </w:p>
  </w:footnote>
  <w:footnote w:id="3">
    <w:p w14:paraId="39441399" w14:textId="6D47C552" w:rsidR="00D70CD4" w:rsidRDefault="00D70CD4" w:rsidP="00BE52D5">
      <w:pPr>
        <w:pStyle w:val="FootnoteText"/>
      </w:pPr>
      <w:r>
        <w:rPr>
          <w:rStyle w:val="FootnoteReference"/>
        </w:rPr>
        <w:footnoteRef/>
      </w:r>
      <w:r>
        <w:t xml:space="preserve"> CADTH Reimbursement Recommendation Etranacogene Dezaparvovec (Hemgenix), Canadian Journal of Health Technologies, May 2024, 4:(5) - </w:t>
      </w:r>
      <w:hyperlink r:id="rId2" w:history="1">
        <w:r w:rsidRPr="00BA50BD">
          <w:rPr>
            <w:rStyle w:val="Hyperlink"/>
          </w:rPr>
          <w:t>https://www.cadth.ca/etranacogene-dezaparvovec</w:t>
        </w:r>
      </w:hyperlink>
      <w:r>
        <w:t xml:space="preserve"> </w:t>
      </w:r>
    </w:p>
  </w:footnote>
  <w:footnote w:id="4">
    <w:p w14:paraId="4158AF15" w14:textId="509C2515" w:rsidR="00D70CD4" w:rsidRDefault="00D70CD4" w:rsidP="00D3559E">
      <w:pPr>
        <w:pStyle w:val="FootnoteText"/>
      </w:pPr>
      <w:r>
        <w:rPr>
          <w:rStyle w:val="FootnoteReference"/>
        </w:rPr>
        <w:footnoteRef/>
      </w:r>
      <w:r>
        <w:t xml:space="preserve"> UK Managed Access Agreement, Etranacogene dezaparvovec for treating moderately severe or severe haemophilia B (ID3812) </w:t>
      </w:r>
      <w:hyperlink r:id="rId3" w:history="1">
        <w:r w:rsidRPr="009B2EBE">
          <w:rPr>
            <w:rStyle w:val="Hyperlink"/>
          </w:rPr>
          <w:t>https://www.nice.org.uk/guidance/ta989/documents/supporting-documentation-2</w:t>
        </w:r>
      </w:hyperlink>
      <w:r>
        <w:t xml:space="preserve"> </w:t>
      </w:r>
    </w:p>
  </w:footnote>
  <w:footnote w:id="5">
    <w:p w14:paraId="04C51F42" w14:textId="1835148D" w:rsidR="00D70CD4" w:rsidRDefault="00D70CD4">
      <w:pPr>
        <w:pStyle w:val="FootnoteText"/>
      </w:pPr>
      <w:r>
        <w:rPr>
          <w:rStyle w:val="FootnoteReference"/>
        </w:rPr>
        <w:footnoteRef/>
      </w:r>
      <w:r>
        <w:t xml:space="preserve"> </w:t>
      </w:r>
      <w:hyperlink r:id="rId4" w:history="1">
        <w:r w:rsidRPr="00BA50BD">
          <w:rPr>
            <w:rStyle w:val="Hyperlink"/>
          </w:rPr>
          <w:t>http://www.msac.gov.au/internet/msac/publishing.nsf/Content/1623-public</w:t>
        </w:r>
      </w:hyperlink>
      <w:r>
        <w:t xml:space="preserve"> </w:t>
      </w:r>
    </w:p>
  </w:footnote>
  <w:footnote w:id="6">
    <w:p w14:paraId="345E4401" w14:textId="23B61236" w:rsidR="00D70CD4" w:rsidRPr="00133D61" w:rsidRDefault="00AC3B18">
      <w:pPr>
        <w:pStyle w:val="FootnoteText"/>
        <w:rPr>
          <w:lang w:val="en-US"/>
        </w:rPr>
      </w:pPr>
      <w:hyperlink r:id="rId5" w:tooltip="This link goes to the MSAC website for MSAC application 1751 valoctocogene roxaparvovec" w:history="1">
        <w:r w:rsidR="00D70CD4" w:rsidRPr="00D235ED">
          <w:rPr>
            <w:rStyle w:val="Hyperlink"/>
            <w:vertAlign w:val="superscript"/>
          </w:rPr>
          <w:footnoteRef/>
        </w:r>
        <w:r w:rsidR="00D70CD4" w:rsidRPr="00D235ED">
          <w:rPr>
            <w:rStyle w:val="Hyperlink"/>
          </w:rPr>
          <w:t xml:space="preserve"> http://www.msac.gov.au/internet/msac/publishing.nsf/Content/1751-public</w:t>
        </w:r>
      </w:hyperlink>
    </w:p>
  </w:footnote>
  <w:footnote w:id="7">
    <w:p w14:paraId="71359331" w14:textId="455AF741" w:rsidR="00D70CD4" w:rsidRDefault="00D70CD4" w:rsidP="00CD2011">
      <w:pPr>
        <w:pStyle w:val="FootnoteText"/>
      </w:pPr>
      <w:r>
        <w:rPr>
          <w:rStyle w:val="FootnoteReference"/>
        </w:rPr>
        <w:footnoteRef/>
      </w:r>
      <w:r>
        <w:t xml:space="preserve"> </w:t>
      </w:r>
      <w:r w:rsidRPr="00D94A9C">
        <w:t xml:space="preserve">Klamroth R, Bonner A, Gomez K, Monahan PE, Szafranski K, Zhang X, Walsh S, Wang D, Yan S </w:t>
      </w:r>
      <w:r>
        <w:t>(2024) ‘</w:t>
      </w:r>
      <w:r w:rsidRPr="00D94A9C">
        <w:t>Indirect treatment comparisons of the gene therapy etranacogene dezaparvovec versus extended half-life factor IX therapies for severe or moderately severe haemophilia B</w:t>
      </w:r>
      <w:r>
        <w:t>’,</w:t>
      </w:r>
      <w:r w:rsidRPr="00D94A9C">
        <w:t xml:space="preserve"> </w:t>
      </w:r>
      <w:r w:rsidRPr="007E5853">
        <w:rPr>
          <w:i/>
          <w:iCs/>
        </w:rPr>
        <w:t>Haemophilia</w:t>
      </w:r>
      <w:r>
        <w:t>,</w:t>
      </w:r>
      <w:r w:rsidRPr="00D94A9C">
        <w:t xml:space="preserve"> 30(1):</w:t>
      </w:r>
      <w:r>
        <w:t xml:space="preserve"> </w:t>
      </w:r>
      <w:r w:rsidRPr="00D94A9C">
        <w:t>75-86. doi: 10.1111/hae.14882</w:t>
      </w:r>
      <w:r>
        <w:t>.</w:t>
      </w:r>
    </w:p>
  </w:footnote>
  <w:footnote w:id="8">
    <w:p w14:paraId="6FEA6935" w14:textId="6FB16FC1" w:rsidR="00D70CD4" w:rsidRPr="00515A43" w:rsidRDefault="00D70CD4">
      <w:pPr>
        <w:pStyle w:val="FootnoteText"/>
        <w:rPr>
          <w:lang w:val="en-US"/>
        </w:rPr>
      </w:pPr>
      <w:r>
        <w:rPr>
          <w:rStyle w:val="FootnoteReference"/>
        </w:rPr>
        <w:footnoteRef/>
      </w:r>
      <w:r>
        <w:t xml:space="preserve"> </w:t>
      </w:r>
      <w:r w:rsidRPr="00585E8C">
        <w:t>https://www.fda.gov/vaccines-blood-biologics/vaccines/hemgenix</w:t>
      </w:r>
    </w:p>
  </w:footnote>
  <w:footnote w:id="9">
    <w:p w14:paraId="6AB7FA10" w14:textId="00EC2A15" w:rsidR="00D70CD4" w:rsidRDefault="00D70CD4" w:rsidP="004B26FD">
      <w:pPr>
        <w:pStyle w:val="FootnoteText"/>
      </w:pPr>
      <w:r>
        <w:rPr>
          <w:rStyle w:val="FootnoteReference"/>
        </w:rPr>
        <w:footnoteRef/>
      </w:r>
      <w:r>
        <w:t xml:space="preserve"> </w:t>
      </w:r>
      <w:r w:rsidRPr="00E86ED9">
        <w:t xml:space="preserve">Shah J, Kim H, </w:t>
      </w:r>
      <w:r w:rsidRPr="00E86ED9">
        <w:t xml:space="preserve">Sivamurthy K, </w:t>
      </w:r>
      <w:r>
        <w:t>Monahan PE, Fries M</w:t>
      </w:r>
      <w:r w:rsidRPr="00E86ED9">
        <w:t xml:space="preserve"> (2023) </w:t>
      </w:r>
      <w:r>
        <w:t>‘</w:t>
      </w:r>
      <w:r w:rsidRPr="00E86ED9">
        <w:t>Comprehensive analysis and prediction of long-term durability of factor IX activity following etranacogene dezaparvovec gene therapy in the treatment of hemophilia B</w:t>
      </w:r>
      <w:r>
        <w:t>’,</w:t>
      </w:r>
      <w:r w:rsidRPr="00E86ED9">
        <w:t xml:space="preserve"> </w:t>
      </w:r>
      <w:r w:rsidRPr="007E5853">
        <w:rPr>
          <w:i/>
          <w:iCs/>
        </w:rPr>
        <w:t>Curr Méd Res Opin</w:t>
      </w:r>
      <w:r>
        <w:t>,</w:t>
      </w:r>
      <w:r w:rsidRPr="00E86ED9">
        <w:t xml:space="preserve"> 39:</w:t>
      </w:r>
      <w:r>
        <w:t xml:space="preserve"> </w:t>
      </w:r>
      <w:r w:rsidRPr="00E86ED9">
        <w:t>227–237. doi</w:t>
      </w:r>
      <w:r>
        <w:t xml:space="preserve">: </w:t>
      </w:r>
      <w:r w:rsidRPr="00E86ED9">
        <w:t>org/10.1080/03007995.2022.2133492</w:t>
      </w:r>
      <w:r>
        <w:t>.</w:t>
      </w:r>
    </w:p>
  </w:footnote>
  <w:footnote w:id="10">
    <w:p w14:paraId="02DE25A1" w14:textId="77777777" w:rsidR="00D70CD4" w:rsidRPr="0001525D" w:rsidRDefault="00D70CD4" w:rsidP="00255EA3">
      <w:pPr>
        <w:pStyle w:val="FootnoteText"/>
        <w:rPr>
          <w:lang w:val="en-US"/>
        </w:rPr>
      </w:pPr>
      <w:r>
        <w:rPr>
          <w:rStyle w:val="FootnoteReference"/>
        </w:rPr>
        <w:footnoteRef/>
      </w:r>
      <w:r>
        <w:t xml:space="preserve"> </w:t>
      </w:r>
      <w:r>
        <w:rPr>
          <w:lang w:val="en-US"/>
        </w:rPr>
        <w:t xml:space="preserve">Anguela &amp; High (2024). </w:t>
      </w:r>
      <w:hyperlink r:id="rId6" w:history="1">
        <w:r w:rsidRPr="005B2375">
          <w:rPr>
            <w:rStyle w:val="Hyperlink"/>
            <w:lang w:val="en-US"/>
          </w:rPr>
          <w:t>Hemophilia B and gene therapy: a new chapter with etranacogene dezaparvovec</w:t>
        </w:r>
      </w:hyperlink>
      <w:r>
        <w:rPr>
          <w:lang w:val="en-US"/>
        </w:rPr>
        <w:t>. Blood Adv 8(7):</w:t>
      </w:r>
      <w:r w:rsidRPr="00647000">
        <w:rPr>
          <w:lang w:val="en-US"/>
        </w:rPr>
        <w:t>1796–1803</w:t>
      </w:r>
      <w:r>
        <w:rPr>
          <w:lang w:val="en-US"/>
        </w:rPr>
        <w:t>.</w:t>
      </w:r>
    </w:p>
  </w:footnote>
  <w:footnote w:id="11">
    <w:p w14:paraId="1F5654DA" w14:textId="77777777" w:rsidR="00D70CD4" w:rsidRDefault="00D70CD4" w:rsidP="00255EA3">
      <w:pPr>
        <w:pStyle w:val="FootnoteText"/>
      </w:pPr>
      <w:r>
        <w:rPr>
          <w:rStyle w:val="FootnoteReference"/>
        </w:rPr>
        <w:footnoteRef/>
      </w:r>
      <w:r>
        <w:t xml:space="preserve"> CADTH Reimbursement Recommendation Etranacogene Dezaparvovec (Hemgenix), Canadian Journal of Health Technologies, May 2024, 4:(5) - </w:t>
      </w:r>
      <w:r w:rsidRPr="00C06F74">
        <w:t>https://www.cadth.ca/etranacogene-dezaparvovec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69CA" w14:textId="77777777" w:rsidR="0044458A" w:rsidRDefault="004445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135A0" w14:textId="77777777" w:rsidR="0044458A" w:rsidRDefault="004445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ADE51" w14:textId="77777777" w:rsidR="0044458A" w:rsidRDefault="004445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1CA"/>
    <w:multiLevelType w:val="hybridMultilevel"/>
    <w:tmpl w:val="AFD04A60"/>
    <w:lvl w:ilvl="0" w:tplc="D69226E4">
      <w:start w:val="1"/>
      <w:numFmt w:val="bullet"/>
      <w:pStyle w:val="BoxDash"/>
      <w:lvlText w:val="o"/>
      <w:lvlJc w:val="left"/>
      <w:pPr>
        <w:ind w:left="36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8A4DC4"/>
    <w:multiLevelType w:val="hybridMultilevel"/>
    <w:tmpl w:val="23A4B22A"/>
    <w:lvl w:ilvl="0" w:tplc="8BB87730">
      <w:start w:val="1"/>
      <w:numFmt w:val="bullet"/>
      <w:lvlText w:val=""/>
      <w:lvlJc w:val="left"/>
      <w:pPr>
        <w:ind w:left="720" w:hanging="360"/>
      </w:pPr>
      <w:rPr>
        <w:rFonts w:ascii="Symbol" w:hAnsi="Symbol"/>
      </w:rPr>
    </w:lvl>
    <w:lvl w:ilvl="1" w:tplc="E592B27A">
      <w:start w:val="1"/>
      <w:numFmt w:val="bullet"/>
      <w:lvlText w:val=""/>
      <w:lvlJc w:val="left"/>
      <w:pPr>
        <w:ind w:left="720" w:hanging="360"/>
      </w:pPr>
      <w:rPr>
        <w:rFonts w:ascii="Symbol" w:hAnsi="Symbol"/>
      </w:rPr>
    </w:lvl>
    <w:lvl w:ilvl="2" w:tplc="A95E162A">
      <w:start w:val="1"/>
      <w:numFmt w:val="bullet"/>
      <w:lvlText w:val=""/>
      <w:lvlJc w:val="left"/>
      <w:pPr>
        <w:ind w:left="720" w:hanging="360"/>
      </w:pPr>
      <w:rPr>
        <w:rFonts w:ascii="Symbol" w:hAnsi="Symbol"/>
      </w:rPr>
    </w:lvl>
    <w:lvl w:ilvl="3" w:tplc="BBF65DFE">
      <w:start w:val="1"/>
      <w:numFmt w:val="bullet"/>
      <w:lvlText w:val=""/>
      <w:lvlJc w:val="left"/>
      <w:pPr>
        <w:ind w:left="720" w:hanging="360"/>
      </w:pPr>
      <w:rPr>
        <w:rFonts w:ascii="Symbol" w:hAnsi="Symbol"/>
      </w:rPr>
    </w:lvl>
    <w:lvl w:ilvl="4" w:tplc="498CE75E">
      <w:start w:val="1"/>
      <w:numFmt w:val="bullet"/>
      <w:lvlText w:val=""/>
      <w:lvlJc w:val="left"/>
      <w:pPr>
        <w:ind w:left="720" w:hanging="360"/>
      </w:pPr>
      <w:rPr>
        <w:rFonts w:ascii="Symbol" w:hAnsi="Symbol"/>
      </w:rPr>
    </w:lvl>
    <w:lvl w:ilvl="5" w:tplc="96641C14">
      <w:start w:val="1"/>
      <w:numFmt w:val="bullet"/>
      <w:lvlText w:val=""/>
      <w:lvlJc w:val="left"/>
      <w:pPr>
        <w:ind w:left="720" w:hanging="360"/>
      </w:pPr>
      <w:rPr>
        <w:rFonts w:ascii="Symbol" w:hAnsi="Symbol"/>
      </w:rPr>
    </w:lvl>
    <w:lvl w:ilvl="6" w:tplc="761EFEE6">
      <w:start w:val="1"/>
      <w:numFmt w:val="bullet"/>
      <w:lvlText w:val=""/>
      <w:lvlJc w:val="left"/>
      <w:pPr>
        <w:ind w:left="720" w:hanging="360"/>
      </w:pPr>
      <w:rPr>
        <w:rFonts w:ascii="Symbol" w:hAnsi="Symbol"/>
      </w:rPr>
    </w:lvl>
    <w:lvl w:ilvl="7" w:tplc="58B0E3DC">
      <w:start w:val="1"/>
      <w:numFmt w:val="bullet"/>
      <w:lvlText w:val=""/>
      <w:lvlJc w:val="left"/>
      <w:pPr>
        <w:ind w:left="720" w:hanging="360"/>
      </w:pPr>
      <w:rPr>
        <w:rFonts w:ascii="Symbol" w:hAnsi="Symbol"/>
      </w:rPr>
    </w:lvl>
    <w:lvl w:ilvl="8" w:tplc="03E0FEBC">
      <w:start w:val="1"/>
      <w:numFmt w:val="bullet"/>
      <w:lvlText w:val=""/>
      <w:lvlJc w:val="left"/>
      <w:pPr>
        <w:ind w:left="720" w:hanging="360"/>
      </w:pPr>
      <w:rPr>
        <w:rFonts w:ascii="Symbol" w:hAnsi="Symbol"/>
      </w:rPr>
    </w:lvl>
  </w:abstractNum>
  <w:abstractNum w:abstractNumId="2" w15:restartNumberingAfterBreak="0">
    <w:nsid w:val="0F18513D"/>
    <w:multiLevelType w:val="hybridMultilevel"/>
    <w:tmpl w:val="D236F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750D89"/>
    <w:multiLevelType w:val="hybridMultilevel"/>
    <w:tmpl w:val="C952E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26625A"/>
    <w:multiLevelType w:val="hybridMultilevel"/>
    <w:tmpl w:val="E89429AA"/>
    <w:lvl w:ilvl="0" w:tplc="A46ADF56">
      <w:start w:val="1"/>
      <w:numFmt w:val="bullet"/>
      <w:lvlText w:val=""/>
      <w:lvlJc w:val="left"/>
      <w:pPr>
        <w:ind w:left="720" w:hanging="360"/>
      </w:pPr>
      <w:rPr>
        <w:rFonts w:ascii="Symbol" w:hAnsi="Symbol"/>
      </w:rPr>
    </w:lvl>
    <w:lvl w:ilvl="1" w:tplc="90907938">
      <w:start w:val="1"/>
      <w:numFmt w:val="bullet"/>
      <w:lvlText w:val=""/>
      <w:lvlJc w:val="left"/>
      <w:pPr>
        <w:ind w:left="720" w:hanging="360"/>
      </w:pPr>
      <w:rPr>
        <w:rFonts w:ascii="Symbol" w:hAnsi="Symbol"/>
      </w:rPr>
    </w:lvl>
    <w:lvl w:ilvl="2" w:tplc="CEAAD19C">
      <w:start w:val="1"/>
      <w:numFmt w:val="bullet"/>
      <w:lvlText w:val=""/>
      <w:lvlJc w:val="left"/>
      <w:pPr>
        <w:ind w:left="720" w:hanging="360"/>
      </w:pPr>
      <w:rPr>
        <w:rFonts w:ascii="Symbol" w:hAnsi="Symbol"/>
      </w:rPr>
    </w:lvl>
    <w:lvl w:ilvl="3" w:tplc="F91E87C8">
      <w:start w:val="1"/>
      <w:numFmt w:val="bullet"/>
      <w:lvlText w:val=""/>
      <w:lvlJc w:val="left"/>
      <w:pPr>
        <w:ind w:left="720" w:hanging="360"/>
      </w:pPr>
      <w:rPr>
        <w:rFonts w:ascii="Symbol" w:hAnsi="Symbol"/>
      </w:rPr>
    </w:lvl>
    <w:lvl w:ilvl="4" w:tplc="942A90A8">
      <w:start w:val="1"/>
      <w:numFmt w:val="bullet"/>
      <w:lvlText w:val=""/>
      <w:lvlJc w:val="left"/>
      <w:pPr>
        <w:ind w:left="720" w:hanging="360"/>
      </w:pPr>
      <w:rPr>
        <w:rFonts w:ascii="Symbol" w:hAnsi="Symbol"/>
      </w:rPr>
    </w:lvl>
    <w:lvl w:ilvl="5" w:tplc="22765918">
      <w:start w:val="1"/>
      <w:numFmt w:val="bullet"/>
      <w:lvlText w:val=""/>
      <w:lvlJc w:val="left"/>
      <w:pPr>
        <w:ind w:left="720" w:hanging="360"/>
      </w:pPr>
      <w:rPr>
        <w:rFonts w:ascii="Symbol" w:hAnsi="Symbol"/>
      </w:rPr>
    </w:lvl>
    <w:lvl w:ilvl="6" w:tplc="7794F530">
      <w:start w:val="1"/>
      <w:numFmt w:val="bullet"/>
      <w:lvlText w:val=""/>
      <w:lvlJc w:val="left"/>
      <w:pPr>
        <w:ind w:left="720" w:hanging="360"/>
      </w:pPr>
      <w:rPr>
        <w:rFonts w:ascii="Symbol" w:hAnsi="Symbol"/>
      </w:rPr>
    </w:lvl>
    <w:lvl w:ilvl="7" w:tplc="DD8A938A">
      <w:start w:val="1"/>
      <w:numFmt w:val="bullet"/>
      <w:lvlText w:val=""/>
      <w:lvlJc w:val="left"/>
      <w:pPr>
        <w:ind w:left="720" w:hanging="360"/>
      </w:pPr>
      <w:rPr>
        <w:rFonts w:ascii="Symbol" w:hAnsi="Symbol"/>
      </w:rPr>
    </w:lvl>
    <w:lvl w:ilvl="8" w:tplc="890E529E">
      <w:start w:val="1"/>
      <w:numFmt w:val="bullet"/>
      <w:lvlText w:val=""/>
      <w:lvlJc w:val="left"/>
      <w:pPr>
        <w:ind w:left="720" w:hanging="360"/>
      </w:pPr>
      <w:rPr>
        <w:rFonts w:ascii="Symbol" w:hAnsi="Symbol"/>
      </w:rPr>
    </w:lvl>
  </w:abstractNum>
  <w:abstractNum w:abstractNumId="6"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943889"/>
    <w:multiLevelType w:val="hybridMultilevel"/>
    <w:tmpl w:val="22AC83E4"/>
    <w:lvl w:ilvl="0" w:tplc="4620A40A">
      <w:start w:val="1"/>
      <w:numFmt w:val="bullet"/>
      <w:lvlText w:val=""/>
      <w:lvlJc w:val="left"/>
      <w:pPr>
        <w:ind w:left="720" w:hanging="360"/>
      </w:pPr>
      <w:rPr>
        <w:rFonts w:ascii="Symbol" w:hAnsi="Symbol"/>
      </w:rPr>
    </w:lvl>
    <w:lvl w:ilvl="1" w:tplc="9286BB40">
      <w:start w:val="1"/>
      <w:numFmt w:val="bullet"/>
      <w:lvlText w:val=""/>
      <w:lvlJc w:val="left"/>
      <w:pPr>
        <w:ind w:left="720" w:hanging="360"/>
      </w:pPr>
      <w:rPr>
        <w:rFonts w:ascii="Symbol" w:hAnsi="Symbol"/>
      </w:rPr>
    </w:lvl>
    <w:lvl w:ilvl="2" w:tplc="05F4A55C">
      <w:start w:val="1"/>
      <w:numFmt w:val="bullet"/>
      <w:lvlText w:val=""/>
      <w:lvlJc w:val="left"/>
      <w:pPr>
        <w:ind w:left="720" w:hanging="360"/>
      </w:pPr>
      <w:rPr>
        <w:rFonts w:ascii="Symbol" w:hAnsi="Symbol"/>
      </w:rPr>
    </w:lvl>
    <w:lvl w:ilvl="3" w:tplc="4CEEDC64">
      <w:start w:val="1"/>
      <w:numFmt w:val="bullet"/>
      <w:lvlText w:val=""/>
      <w:lvlJc w:val="left"/>
      <w:pPr>
        <w:ind w:left="720" w:hanging="360"/>
      </w:pPr>
      <w:rPr>
        <w:rFonts w:ascii="Symbol" w:hAnsi="Symbol"/>
      </w:rPr>
    </w:lvl>
    <w:lvl w:ilvl="4" w:tplc="A2B6A8F4">
      <w:start w:val="1"/>
      <w:numFmt w:val="bullet"/>
      <w:lvlText w:val=""/>
      <w:lvlJc w:val="left"/>
      <w:pPr>
        <w:ind w:left="720" w:hanging="360"/>
      </w:pPr>
      <w:rPr>
        <w:rFonts w:ascii="Symbol" w:hAnsi="Symbol"/>
      </w:rPr>
    </w:lvl>
    <w:lvl w:ilvl="5" w:tplc="345AE652">
      <w:start w:val="1"/>
      <w:numFmt w:val="bullet"/>
      <w:lvlText w:val=""/>
      <w:lvlJc w:val="left"/>
      <w:pPr>
        <w:ind w:left="720" w:hanging="360"/>
      </w:pPr>
      <w:rPr>
        <w:rFonts w:ascii="Symbol" w:hAnsi="Symbol"/>
      </w:rPr>
    </w:lvl>
    <w:lvl w:ilvl="6" w:tplc="6668FD92">
      <w:start w:val="1"/>
      <w:numFmt w:val="bullet"/>
      <w:lvlText w:val=""/>
      <w:lvlJc w:val="left"/>
      <w:pPr>
        <w:ind w:left="720" w:hanging="360"/>
      </w:pPr>
      <w:rPr>
        <w:rFonts w:ascii="Symbol" w:hAnsi="Symbol"/>
      </w:rPr>
    </w:lvl>
    <w:lvl w:ilvl="7" w:tplc="7F5681C2">
      <w:start w:val="1"/>
      <w:numFmt w:val="bullet"/>
      <w:lvlText w:val=""/>
      <w:lvlJc w:val="left"/>
      <w:pPr>
        <w:ind w:left="720" w:hanging="360"/>
      </w:pPr>
      <w:rPr>
        <w:rFonts w:ascii="Symbol" w:hAnsi="Symbol"/>
      </w:rPr>
    </w:lvl>
    <w:lvl w:ilvl="8" w:tplc="85406A78">
      <w:start w:val="1"/>
      <w:numFmt w:val="bullet"/>
      <w:lvlText w:val=""/>
      <w:lvlJc w:val="left"/>
      <w:pPr>
        <w:ind w:left="720" w:hanging="360"/>
      </w:pPr>
      <w:rPr>
        <w:rFonts w:ascii="Symbol" w:hAnsi="Symbol"/>
      </w:rPr>
    </w:lvl>
  </w:abstractNum>
  <w:abstractNum w:abstractNumId="8" w15:restartNumberingAfterBreak="0">
    <w:nsid w:val="184C5A0C"/>
    <w:multiLevelType w:val="hybridMultilevel"/>
    <w:tmpl w:val="9122577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9" w15:restartNumberingAfterBreak="0">
    <w:nsid w:val="197E3044"/>
    <w:multiLevelType w:val="hybridMultilevel"/>
    <w:tmpl w:val="DFE26A50"/>
    <w:lvl w:ilvl="0" w:tplc="E0F25F80">
      <w:start w:val="1"/>
      <w:numFmt w:val="bullet"/>
      <w:lvlText w:val=""/>
      <w:lvlJc w:val="left"/>
      <w:pPr>
        <w:ind w:left="720" w:hanging="360"/>
      </w:pPr>
      <w:rPr>
        <w:rFonts w:ascii="Symbol" w:hAnsi="Symbol"/>
      </w:rPr>
    </w:lvl>
    <w:lvl w:ilvl="1" w:tplc="2B48F45A">
      <w:start w:val="1"/>
      <w:numFmt w:val="bullet"/>
      <w:lvlText w:val=""/>
      <w:lvlJc w:val="left"/>
      <w:pPr>
        <w:ind w:left="720" w:hanging="360"/>
      </w:pPr>
      <w:rPr>
        <w:rFonts w:ascii="Symbol" w:hAnsi="Symbol"/>
      </w:rPr>
    </w:lvl>
    <w:lvl w:ilvl="2" w:tplc="E8A457F4">
      <w:start w:val="1"/>
      <w:numFmt w:val="bullet"/>
      <w:lvlText w:val=""/>
      <w:lvlJc w:val="left"/>
      <w:pPr>
        <w:ind w:left="720" w:hanging="360"/>
      </w:pPr>
      <w:rPr>
        <w:rFonts w:ascii="Symbol" w:hAnsi="Symbol"/>
      </w:rPr>
    </w:lvl>
    <w:lvl w:ilvl="3" w:tplc="808E64A4">
      <w:start w:val="1"/>
      <w:numFmt w:val="bullet"/>
      <w:lvlText w:val=""/>
      <w:lvlJc w:val="left"/>
      <w:pPr>
        <w:ind w:left="720" w:hanging="360"/>
      </w:pPr>
      <w:rPr>
        <w:rFonts w:ascii="Symbol" w:hAnsi="Symbol"/>
      </w:rPr>
    </w:lvl>
    <w:lvl w:ilvl="4" w:tplc="7B5E5862">
      <w:start w:val="1"/>
      <w:numFmt w:val="bullet"/>
      <w:lvlText w:val=""/>
      <w:lvlJc w:val="left"/>
      <w:pPr>
        <w:ind w:left="720" w:hanging="360"/>
      </w:pPr>
      <w:rPr>
        <w:rFonts w:ascii="Symbol" w:hAnsi="Symbol"/>
      </w:rPr>
    </w:lvl>
    <w:lvl w:ilvl="5" w:tplc="FB00B0F0">
      <w:start w:val="1"/>
      <w:numFmt w:val="bullet"/>
      <w:lvlText w:val=""/>
      <w:lvlJc w:val="left"/>
      <w:pPr>
        <w:ind w:left="720" w:hanging="360"/>
      </w:pPr>
      <w:rPr>
        <w:rFonts w:ascii="Symbol" w:hAnsi="Symbol"/>
      </w:rPr>
    </w:lvl>
    <w:lvl w:ilvl="6" w:tplc="7762584A">
      <w:start w:val="1"/>
      <w:numFmt w:val="bullet"/>
      <w:lvlText w:val=""/>
      <w:lvlJc w:val="left"/>
      <w:pPr>
        <w:ind w:left="720" w:hanging="360"/>
      </w:pPr>
      <w:rPr>
        <w:rFonts w:ascii="Symbol" w:hAnsi="Symbol"/>
      </w:rPr>
    </w:lvl>
    <w:lvl w:ilvl="7" w:tplc="797C148C">
      <w:start w:val="1"/>
      <w:numFmt w:val="bullet"/>
      <w:lvlText w:val=""/>
      <w:lvlJc w:val="left"/>
      <w:pPr>
        <w:ind w:left="720" w:hanging="360"/>
      </w:pPr>
      <w:rPr>
        <w:rFonts w:ascii="Symbol" w:hAnsi="Symbol"/>
      </w:rPr>
    </w:lvl>
    <w:lvl w:ilvl="8" w:tplc="8A1CDD7A">
      <w:start w:val="1"/>
      <w:numFmt w:val="bullet"/>
      <w:lvlText w:val=""/>
      <w:lvlJc w:val="left"/>
      <w:pPr>
        <w:ind w:left="720" w:hanging="360"/>
      </w:pPr>
      <w:rPr>
        <w:rFonts w:ascii="Symbol" w:hAnsi="Symbol"/>
      </w:rPr>
    </w:lvl>
  </w:abstractNum>
  <w:abstractNum w:abstractNumId="10" w15:restartNumberingAfterBreak="0">
    <w:nsid w:val="237F6B2B"/>
    <w:multiLevelType w:val="hybridMultilevel"/>
    <w:tmpl w:val="50DA2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A952A1"/>
    <w:multiLevelType w:val="hybridMultilevel"/>
    <w:tmpl w:val="6A800FF0"/>
    <w:lvl w:ilvl="0" w:tplc="ED16060A">
      <w:start w:val="1"/>
      <w:numFmt w:val="bullet"/>
      <w:lvlText w:val=""/>
      <w:lvlJc w:val="left"/>
      <w:pPr>
        <w:ind w:left="720" w:hanging="360"/>
      </w:pPr>
      <w:rPr>
        <w:rFonts w:ascii="Symbol" w:hAnsi="Symbol"/>
      </w:rPr>
    </w:lvl>
    <w:lvl w:ilvl="1" w:tplc="E76A93DC">
      <w:start w:val="1"/>
      <w:numFmt w:val="bullet"/>
      <w:lvlText w:val=""/>
      <w:lvlJc w:val="left"/>
      <w:pPr>
        <w:ind w:left="720" w:hanging="360"/>
      </w:pPr>
      <w:rPr>
        <w:rFonts w:ascii="Symbol" w:hAnsi="Symbol"/>
      </w:rPr>
    </w:lvl>
    <w:lvl w:ilvl="2" w:tplc="024674A6">
      <w:start w:val="1"/>
      <w:numFmt w:val="bullet"/>
      <w:lvlText w:val=""/>
      <w:lvlJc w:val="left"/>
      <w:pPr>
        <w:ind w:left="720" w:hanging="360"/>
      </w:pPr>
      <w:rPr>
        <w:rFonts w:ascii="Symbol" w:hAnsi="Symbol"/>
      </w:rPr>
    </w:lvl>
    <w:lvl w:ilvl="3" w:tplc="A498C858">
      <w:start w:val="1"/>
      <w:numFmt w:val="bullet"/>
      <w:lvlText w:val=""/>
      <w:lvlJc w:val="left"/>
      <w:pPr>
        <w:ind w:left="720" w:hanging="360"/>
      </w:pPr>
      <w:rPr>
        <w:rFonts w:ascii="Symbol" w:hAnsi="Symbol"/>
      </w:rPr>
    </w:lvl>
    <w:lvl w:ilvl="4" w:tplc="8FD43B82">
      <w:start w:val="1"/>
      <w:numFmt w:val="bullet"/>
      <w:lvlText w:val=""/>
      <w:lvlJc w:val="left"/>
      <w:pPr>
        <w:ind w:left="720" w:hanging="360"/>
      </w:pPr>
      <w:rPr>
        <w:rFonts w:ascii="Symbol" w:hAnsi="Symbol"/>
      </w:rPr>
    </w:lvl>
    <w:lvl w:ilvl="5" w:tplc="687E0886">
      <w:start w:val="1"/>
      <w:numFmt w:val="bullet"/>
      <w:lvlText w:val=""/>
      <w:lvlJc w:val="left"/>
      <w:pPr>
        <w:ind w:left="720" w:hanging="360"/>
      </w:pPr>
      <w:rPr>
        <w:rFonts w:ascii="Symbol" w:hAnsi="Symbol"/>
      </w:rPr>
    </w:lvl>
    <w:lvl w:ilvl="6" w:tplc="5D54F980">
      <w:start w:val="1"/>
      <w:numFmt w:val="bullet"/>
      <w:lvlText w:val=""/>
      <w:lvlJc w:val="left"/>
      <w:pPr>
        <w:ind w:left="720" w:hanging="360"/>
      </w:pPr>
      <w:rPr>
        <w:rFonts w:ascii="Symbol" w:hAnsi="Symbol"/>
      </w:rPr>
    </w:lvl>
    <w:lvl w:ilvl="7" w:tplc="373A015C">
      <w:start w:val="1"/>
      <w:numFmt w:val="bullet"/>
      <w:lvlText w:val=""/>
      <w:lvlJc w:val="left"/>
      <w:pPr>
        <w:ind w:left="720" w:hanging="360"/>
      </w:pPr>
      <w:rPr>
        <w:rFonts w:ascii="Symbol" w:hAnsi="Symbol"/>
      </w:rPr>
    </w:lvl>
    <w:lvl w:ilvl="8" w:tplc="A60A665E">
      <w:start w:val="1"/>
      <w:numFmt w:val="bullet"/>
      <w:lvlText w:val=""/>
      <w:lvlJc w:val="left"/>
      <w:pPr>
        <w:ind w:left="720" w:hanging="360"/>
      </w:pPr>
      <w:rPr>
        <w:rFonts w:ascii="Symbol" w:hAnsi="Symbol"/>
      </w:rPr>
    </w:lvl>
  </w:abstractNum>
  <w:abstractNum w:abstractNumId="12"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25478A"/>
    <w:multiLevelType w:val="hybridMultilevel"/>
    <w:tmpl w:val="856E2E34"/>
    <w:lvl w:ilvl="0" w:tplc="1E921B2C">
      <w:start w:val="2"/>
      <w:numFmt w:val="bullet"/>
      <w:lvlText w:val="•"/>
      <w:lvlJc w:val="left"/>
      <w:pPr>
        <w:ind w:left="720" w:hanging="720"/>
      </w:pPr>
      <w:rPr>
        <w:rFonts w:ascii="Franklin Gothic Book" w:eastAsiaTheme="minorHAnsi" w:hAnsi="Franklin Gothic Book"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2C4D31"/>
    <w:multiLevelType w:val="hybridMultilevel"/>
    <w:tmpl w:val="5002F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AE46EC"/>
    <w:multiLevelType w:val="hybridMultilevel"/>
    <w:tmpl w:val="1F80D1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44212FE"/>
    <w:multiLevelType w:val="hybridMultilevel"/>
    <w:tmpl w:val="830E11B6"/>
    <w:styleLink w:val="ESSectionheading-numbered"/>
    <w:lvl w:ilvl="0" w:tplc="0C090001">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8315E5"/>
    <w:multiLevelType w:val="hybridMultilevel"/>
    <w:tmpl w:val="C694916A"/>
    <w:lvl w:ilvl="0" w:tplc="1E921B2C">
      <w:start w:val="2"/>
      <w:numFmt w:val="bullet"/>
      <w:lvlText w:val="•"/>
      <w:lvlJc w:val="left"/>
      <w:pPr>
        <w:ind w:left="1080" w:hanging="720"/>
      </w:pPr>
      <w:rPr>
        <w:rFonts w:ascii="Franklin Gothic Book" w:eastAsiaTheme="minorHAnsi"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806319"/>
    <w:multiLevelType w:val="hybridMultilevel"/>
    <w:tmpl w:val="0E16C918"/>
    <w:lvl w:ilvl="0" w:tplc="1E921B2C">
      <w:start w:val="2"/>
      <w:numFmt w:val="bullet"/>
      <w:lvlText w:val="•"/>
      <w:lvlJc w:val="left"/>
      <w:pPr>
        <w:ind w:left="1288" w:hanging="720"/>
      </w:pPr>
      <w:rPr>
        <w:rFonts w:ascii="Franklin Gothic Book" w:eastAsiaTheme="minorHAnsi" w:hAnsi="Franklin Gothic Book" w:cstheme="minorBidi"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22" w15:restartNumberingAfterBreak="0">
    <w:nsid w:val="3F9622CC"/>
    <w:multiLevelType w:val="hybridMultilevel"/>
    <w:tmpl w:val="306CFC06"/>
    <w:lvl w:ilvl="0" w:tplc="005AB302">
      <w:start w:val="1"/>
      <w:numFmt w:val="bullet"/>
      <w:lvlText w:val=""/>
      <w:lvlJc w:val="left"/>
      <w:pPr>
        <w:ind w:left="720" w:hanging="360"/>
      </w:pPr>
      <w:rPr>
        <w:rFonts w:ascii="Symbol" w:hAnsi="Symbol"/>
      </w:rPr>
    </w:lvl>
    <w:lvl w:ilvl="1" w:tplc="03B0C1B8">
      <w:start w:val="1"/>
      <w:numFmt w:val="bullet"/>
      <w:lvlText w:val=""/>
      <w:lvlJc w:val="left"/>
      <w:pPr>
        <w:ind w:left="720" w:hanging="360"/>
      </w:pPr>
      <w:rPr>
        <w:rFonts w:ascii="Symbol" w:hAnsi="Symbol"/>
      </w:rPr>
    </w:lvl>
    <w:lvl w:ilvl="2" w:tplc="6C7E83F0">
      <w:start w:val="1"/>
      <w:numFmt w:val="bullet"/>
      <w:lvlText w:val=""/>
      <w:lvlJc w:val="left"/>
      <w:pPr>
        <w:ind w:left="720" w:hanging="360"/>
      </w:pPr>
      <w:rPr>
        <w:rFonts w:ascii="Symbol" w:hAnsi="Symbol"/>
      </w:rPr>
    </w:lvl>
    <w:lvl w:ilvl="3" w:tplc="09BA9C14">
      <w:start w:val="1"/>
      <w:numFmt w:val="bullet"/>
      <w:lvlText w:val=""/>
      <w:lvlJc w:val="left"/>
      <w:pPr>
        <w:ind w:left="720" w:hanging="360"/>
      </w:pPr>
      <w:rPr>
        <w:rFonts w:ascii="Symbol" w:hAnsi="Symbol"/>
      </w:rPr>
    </w:lvl>
    <w:lvl w:ilvl="4" w:tplc="1A88167C">
      <w:start w:val="1"/>
      <w:numFmt w:val="bullet"/>
      <w:lvlText w:val=""/>
      <w:lvlJc w:val="left"/>
      <w:pPr>
        <w:ind w:left="720" w:hanging="360"/>
      </w:pPr>
      <w:rPr>
        <w:rFonts w:ascii="Symbol" w:hAnsi="Symbol"/>
      </w:rPr>
    </w:lvl>
    <w:lvl w:ilvl="5" w:tplc="D98085AE">
      <w:start w:val="1"/>
      <w:numFmt w:val="bullet"/>
      <w:lvlText w:val=""/>
      <w:lvlJc w:val="left"/>
      <w:pPr>
        <w:ind w:left="720" w:hanging="360"/>
      </w:pPr>
      <w:rPr>
        <w:rFonts w:ascii="Symbol" w:hAnsi="Symbol"/>
      </w:rPr>
    </w:lvl>
    <w:lvl w:ilvl="6" w:tplc="F202CE74">
      <w:start w:val="1"/>
      <w:numFmt w:val="bullet"/>
      <w:lvlText w:val=""/>
      <w:lvlJc w:val="left"/>
      <w:pPr>
        <w:ind w:left="720" w:hanging="360"/>
      </w:pPr>
      <w:rPr>
        <w:rFonts w:ascii="Symbol" w:hAnsi="Symbol"/>
      </w:rPr>
    </w:lvl>
    <w:lvl w:ilvl="7" w:tplc="EA742C84">
      <w:start w:val="1"/>
      <w:numFmt w:val="bullet"/>
      <w:lvlText w:val=""/>
      <w:lvlJc w:val="left"/>
      <w:pPr>
        <w:ind w:left="720" w:hanging="360"/>
      </w:pPr>
      <w:rPr>
        <w:rFonts w:ascii="Symbol" w:hAnsi="Symbol"/>
      </w:rPr>
    </w:lvl>
    <w:lvl w:ilvl="8" w:tplc="31808C30">
      <w:start w:val="1"/>
      <w:numFmt w:val="bullet"/>
      <w:lvlText w:val=""/>
      <w:lvlJc w:val="left"/>
      <w:pPr>
        <w:ind w:left="720" w:hanging="360"/>
      </w:pPr>
      <w:rPr>
        <w:rFonts w:ascii="Symbol" w:hAnsi="Symbol"/>
      </w:rPr>
    </w:lvl>
  </w:abstractNum>
  <w:abstractNum w:abstractNumId="23" w15:restartNumberingAfterBreak="0">
    <w:nsid w:val="41A818F9"/>
    <w:multiLevelType w:val="hybridMultilevel"/>
    <w:tmpl w:val="A18CF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BA24918"/>
    <w:multiLevelType w:val="hybridMultilevel"/>
    <w:tmpl w:val="A48054B4"/>
    <w:lvl w:ilvl="0" w:tplc="0018EC08">
      <w:start w:val="1"/>
      <w:numFmt w:val="bullet"/>
      <w:lvlText w:val=""/>
      <w:lvlJc w:val="left"/>
      <w:pPr>
        <w:ind w:left="1080" w:hanging="360"/>
      </w:pPr>
      <w:rPr>
        <w:rFonts w:ascii="Symbol" w:hAnsi="Symbol"/>
      </w:rPr>
    </w:lvl>
    <w:lvl w:ilvl="1" w:tplc="93FC9032">
      <w:start w:val="1"/>
      <w:numFmt w:val="bullet"/>
      <w:lvlText w:val=""/>
      <w:lvlJc w:val="left"/>
      <w:pPr>
        <w:ind w:left="1080" w:hanging="360"/>
      </w:pPr>
      <w:rPr>
        <w:rFonts w:ascii="Symbol" w:hAnsi="Symbol"/>
      </w:rPr>
    </w:lvl>
    <w:lvl w:ilvl="2" w:tplc="7428C6F8">
      <w:start w:val="1"/>
      <w:numFmt w:val="bullet"/>
      <w:lvlText w:val=""/>
      <w:lvlJc w:val="left"/>
      <w:pPr>
        <w:ind w:left="1080" w:hanging="360"/>
      </w:pPr>
      <w:rPr>
        <w:rFonts w:ascii="Symbol" w:hAnsi="Symbol"/>
      </w:rPr>
    </w:lvl>
    <w:lvl w:ilvl="3" w:tplc="8BA0223A">
      <w:start w:val="1"/>
      <w:numFmt w:val="bullet"/>
      <w:lvlText w:val=""/>
      <w:lvlJc w:val="left"/>
      <w:pPr>
        <w:ind w:left="1080" w:hanging="360"/>
      </w:pPr>
      <w:rPr>
        <w:rFonts w:ascii="Symbol" w:hAnsi="Symbol"/>
      </w:rPr>
    </w:lvl>
    <w:lvl w:ilvl="4" w:tplc="73029D7E">
      <w:start w:val="1"/>
      <w:numFmt w:val="bullet"/>
      <w:lvlText w:val=""/>
      <w:lvlJc w:val="left"/>
      <w:pPr>
        <w:ind w:left="1080" w:hanging="360"/>
      </w:pPr>
      <w:rPr>
        <w:rFonts w:ascii="Symbol" w:hAnsi="Symbol"/>
      </w:rPr>
    </w:lvl>
    <w:lvl w:ilvl="5" w:tplc="92880AC8">
      <w:start w:val="1"/>
      <w:numFmt w:val="bullet"/>
      <w:lvlText w:val=""/>
      <w:lvlJc w:val="left"/>
      <w:pPr>
        <w:ind w:left="1080" w:hanging="360"/>
      </w:pPr>
      <w:rPr>
        <w:rFonts w:ascii="Symbol" w:hAnsi="Symbol"/>
      </w:rPr>
    </w:lvl>
    <w:lvl w:ilvl="6" w:tplc="D7A451B2">
      <w:start w:val="1"/>
      <w:numFmt w:val="bullet"/>
      <w:lvlText w:val=""/>
      <w:lvlJc w:val="left"/>
      <w:pPr>
        <w:ind w:left="1080" w:hanging="360"/>
      </w:pPr>
      <w:rPr>
        <w:rFonts w:ascii="Symbol" w:hAnsi="Symbol"/>
      </w:rPr>
    </w:lvl>
    <w:lvl w:ilvl="7" w:tplc="97620A9C">
      <w:start w:val="1"/>
      <w:numFmt w:val="bullet"/>
      <w:lvlText w:val=""/>
      <w:lvlJc w:val="left"/>
      <w:pPr>
        <w:ind w:left="1080" w:hanging="360"/>
      </w:pPr>
      <w:rPr>
        <w:rFonts w:ascii="Symbol" w:hAnsi="Symbol"/>
      </w:rPr>
    </w:lvl>
    <w:lvl w:ilvl="8" w:tplc="726637DA">
      <w:start w:val="1"/>
      <w:numFmt w:val="bullet"/>
      <w:lvlText w:val=""/>
      <w:lvlJc w:val="left"/>
      <w:pPr>
        <w:ind w:left="1080" w:hanging="360"/>
      </w:pPr>
      <w:rPr>
        <w:rFonts w:ascii="Symbol" w:hAnsi="Symbol"/>
      </w:rPr>
    </w:lvl>
  </w:abstractNum>
  <w:abstractNum w:abstractNumId="26" w15:restartNumberingAfterBreak="0">
    <w:nsid w:val="4EB95C4C"/>
    <w:multiLevelType w:val="hybridMultilevel"/>
    <w:tmpl w:val="4D0AD884"/>
    <w:lvl w:ilvl="0" w:tplc="D7880C6C">
      <w:start w:val="1"/>
      <w:numFmt w:val="bullet"/>
      <w:lvlText w:val=""/>
      <w:lvlJc w:val="left"/>
      <w:pPr>
        <w:ind w:left="1080" w:hanging="360"/>
      </w:pPr>
      <w:rPr>
        <w:rFonts w:ascii="Symbol" w:hAnsi="Symbol"/>
      </w:rPr>
    </w:lvl>
    <w:lvl w:ilvl="1" w:tplc="024ED3F2">
      <w:start w:val="1"/>
      <w:numFmt w:val="bullet"/>
      <w:lvlText w:val=""/>
      <w:lvlJc w:val="left"/>
      <w:pPr>
        <w:ind w:left="1080" w:hanging="360"/>
      </w:pPr>
      <w:rPr>
        <w:rFonts w:ascii="Symbol" w:hAnsi="Symbol"/>
      </w:rPr>
    </w:lvl>
    <w:lvl w:ilvl="2" w:tplc="99FE50B0">
      <w:start w:val="1"/>
      <w:numFmt w:val="bullet"/>
      <w:lvlText w:val=""/>
      <w:lvlJc w:val="left"/>
      <w:pPr>
        <w:ind w:left="1080" w:hanging="360"/>
      </w:pPr>
      <w:rPr>
        <w:rFonts w:ascii="Symbol" w:hAnsi="Symbol"/>
      </w:rPr>
    </w:lvl>
    <w:lvl w:ilvl="3" w:tplc="047C7446">
      <w:start w:val="1"/>
      <w:numFmt w:val="bullet"/>
      <w:lvlText w:val=""/>
      <w:lvlJc w:val="left"/>
      <w:pPr>
        <w:ind w:left="1080" w:hanging="360"/>
      </w:pPr>
      <w:rPr>
        <w:rFonts w:ascii="Symbol" w:hAnsi="Symbol"/>
      </w:rPr>
    </w:lvl>
    <w:lvl w:ilvl="4" w:tplc="364E94C0">
      <w:start w:val="1"/>
      <w:numFmt w:val="bullet"/>
      <w:lvlText w:val=""/>
      <w:lvlJc w:val="left"/>
      <w:pPr>
        <w:ind w:left="1080" w:hanging="360"/>
      </w:pPr>
      <w:rPr>
        <w:rFonts w:ascii="Symbol" w:hAnsi="Symbol"/>
      </w:rPr>
    </w:lvl>
    <w:lvl w:ilvl="5" w:tplc="2C24A47E">
      <w:start w:val="1"/>
      <w:numFmt w:val="bullet"/>
      <w:lvlText w:val=""/>
      <w:lvlJc w:val="left"/>
      <w:pPr>
        <w:ind w:left="1080" w:hanging="360"/>
      </w:pPr>
      <w:rPr>
        <w:rFonts w:ascii="Symbol" w:hAnsi="Symbol"/>
      </w:rPr>
    </w:lvl>
    <w:lvl w:ilvl="6" w:tplc="0F023BC6">
      <w:start w:val="1"/>
      <w:numFmt w:val="bullet"/>
      <w:lvlText w:val=""/>
      <w:lvlJc w:val="left"/>
      <w:pPr>
        <w:ind w:left="1080" w:hanging="360"/>
      </w:pPr>
      <w:rPr>
        <w:rFonts w:ascii="Symbol" w:hAnsi="Symbol"/>
      </w:rPr>
    </w:lvl>
    <w:lvl w:ilvl="7" w:tplc="81BA43B4">
      <w:start w:val="1"/>
      <w:numFmt w:val="bullet"/>
      <w:lvlText w:val=""/>
      <w:lvlJc w:val="left"/>
      <w:pPr>
        <w:ind w:left="1080" w:hanging="360"/>
      </w:pPr>
      <w:rPr>
        <w:rFonts w:ascii="Symbol" w:hAnsi="Symbol"/>
      </w:rPr>
    </w:lvl>
    <w:lvl w:ilvl="8" w:tplc="DF9050A6">
      <w:start w:val="1"/>
      <w:numFmt w:val="bullet"/>
      <w:lvlText w:val=""/>
      <w:lvlJc w:val="left"/>
      <w:pPr>
        <w:ind w:left="1080" w:hanging="360"/>
      </w:pPr>
      <w:rPr>
        <w:rFonts w:ascii="Symbol" w:hAnsi="Symbol"/>
      </w:rPr>
    </w:lvl>
  </w:abstractNum>
  <w:abstractNum w:abstractNumId="27" w15:restartNumberingAfterBreak="0">
    <w:nsid w:val="519201E0"/>
    <w:multiLevelType w:val="hybridMultilevel"/>
    <w:tmpl w:val="3A1CAE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6D43B82"/>
    <w:multiLevelType w:val="hybridMultilevel"/>
    <w:tmpl w:val="555AB880"/>
    <w:lvl w:ilvl="0" w:tplc="B7F4A0A2">
      <w:start w:val="1"/>
      <w:numFmt w:val="bullet"/>
      <w:lvlText w:val=""/>
      <w:lvlJc w:val="left"/>
      <w:pPr>
        <w:ind w:left="720" w:hanging="360"/>
      </w:pPr>
      <w:rPr>
        <w:rFonts w:ascii="Symbol" w:hAnsi="Symbol"/>
      </w:rPr>
    </w:lvl>
    <w:lvl w:ilvl="1" w:tplc="E8C0D148">
      <w:start w:val="1"/>
      <w:numFmt w:val="bullet"/>
      <w:lvlText w:val=""/>
      <w:lvlJc w:val="left"/>
      <w:pPr>
        <w:ind w:left="720" w:hanging="360"/>
      </w:pPr>
      <w:rPr>
        <w:rFonts w:ascii="Symbol" w:hAnsi="Symbol"/>
      </w:rPr>
    </w:lvl>
    <w:lvl w:ilvl="2" w:tplc="2C869CDA">
      <w:start w:val="1"/>
      <w:numFmt w:val="bullet"/>
      <w:lvlText w:val=""/>
      <w:lvlJc w:val="left"/>
      <w:pPr>
        <w:ind w:left="720" w:hanging="360"/>
      </w:pPr>
      <w:rPr>
        <w:rFonts w:ascii="Symbol" w:hAnsi="Symbol"/>
      </w:rPr>
    </w:lvl>
    <w:lvl w:ilvl="3" w:tplc="DF1CE68C">
      <w:start w:val="1"/>
      <w:numFmt w:val="bullet"/>
      <w:lvlText w:val=""/>
      <w:lvlJc w:val="left"/>
      <w:pPr>
        <w:ind w:left="720" w:hanging="360"/>
      </w:pPr>
      <w:rPr>
        <w:rFonts w:ascii="Symbol" w:hAnsi="Symbol"/>
      </w:rPr>
    </w:lvl>
    <w:lvl w:ilvl="4" w:tplc="2F7C02B4">
      <w:start w:val="1"/>
      <w:numFmt w:val="bullet"/>
      <w:lvlText w:val=""/>
      <w:lvlJc w:val="left"/>
      <w:pPr>
        <w:ind w:left="720" w:hanging="360"/>
      </w:pPr>
      <w:rPr>
        <w:rFonts w:ascii="Symbol" w:hAnsi="Symbol"/>
      </w:rPr>
    </w:lvl>
    <w:lvl w:ilvl="5" w:tplc="FEFCC1D8">
      <w:start w:val="1"/>
      <w:numFmt w:val="bullet"/>
      <w:lvlText w:val=""/>
      <w:lvlJc w:val="left"/>
      <w:pPr>
        <w:ind w:left="720" w:hanging="360"/>
      </w:pPr>
      <w:rPr>
        <w:rFonts w:ascii="Symbol" w:hAnsi="Symbol"/>
      </w:rPr>
    </w:lvl>
    <w:lvl w:ilvl="6" w:tplc="2C005404">
      <w:start w:val="1"/>
      <w:numFmt w:val="bullet"/>
      <w:lvlText w:val=""/>
      <w:lvlJc w:val="left"/>
      <w:pPr>
        <w:ind w:left="720" w:hanging="360"/>
      </w:pPr>
      <w:rPr>
        <w:rFonts w:ascii="Symbol" w:hAnsi="Symbol"/>
      </w:rPr>
    </w:lvl>
    <w:lvl w:ilvl="7" w:tplc="B58AF104">
      <w:start w:val="1"/>
      <w:numFmt w:val="bullet"/>
      <w:lvlText w:val=""/>
      <w:lvlJc w:val="left"/>
      <w:pPr>
        <w:ind w:left="720" w:hanging="360"/>
      </w:pPr>
      <w:rPr>
        <w:rFonts w:ascii="Symbol" w:hAnsi="Symbol"/>
      </w:rPr>
    </w:lvl>
    <w:lvl w:ilvl="8" w:tplc="E0DE42D6">
      <w:start w:val="1"/>
      <w:numFmt w:val="bullet"/>
      <w:lvlText w:val=""/>
      <w:lvlJc w:val="left"/>
      <w:pPr>
        <w:ind w:left="720" w:hanging="360"/>
      </w:pPr>
      <w:rPr>
        <w:rFonts w:ascii="Symbol" w:hAnsi="Symbol"/>
      </w:rPr>
    </w:lvl>
  </w:abstractNum>
  <w:abstractNum w:abstractNumId="29" w15:restartNumberingAfterBreak="0">
    <w:nsid w:val="596C5EBC"/>
    <w:multiLevelType w:val="hybridMultilevel"/>
    <w:tmpl w:val="DF929B3C"/>
    <w:lvl w:ilvl="0" w:tplc="FFFFFFFF">
      <w:start w:val="1"/>
      <w:numFmt w:val="bullet"/>
      <w:lvlText w:val=""/>
      <w:lvlJc w:val="left"/>
      <w:pPr>
        <w:ind w:left="720" w:hanging="360"/>
      </w:pPr>
      <w:rPr>
        <w:rFonts w:ascii="Symbol" w:hAnsi="Symbol" w:hint="default"/>
      </w:rPr>
    </w:lvl>
    <w:lvl w:ilvl="1" w:tplc="268C0AA2">
      <w:start w:val="1"/>
      <w:numFmt w:val="lowerRoman"/>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85776F"/>
    <w:multiLevelType w:val="hybridMultilevel"/>
    <w:tmpl w:val="784A5300"/>
    <w:lvl w:ilvl="0" w:tplc="9DF67796">
      <w:start w:val="1"/>
      <w:numFmt w:val="bullet"/>
      <w:lvlText w:val=""/>
      <w:lvlJc w:val="left"/>
      <w:pPr>
        <w:ind w:left="1080" w:hanging="360"/>
      </w:pPr>
      <w:rPr>
        <w:rFonts w:ascii="Symbol" w:hAnsi="Symbol"/>
      </w:rPr>
    </w:lvl>
    <w:lvl w:ilvl="1" w:tplc="1008734A">
      <w:start w:val="1"/>
      <w:numFmt w:val="bullet"/>
      <w:lvlText w:val=""/>
      <w:lvlJc w:val="left"/>
      <w:pPr>
        <w:ind w:left="1080" w:hanging="360"/>
      </w:pPr>
      <w:rPr>
        <w:rFonts w:ascii="Symbol" w:hAnsi="Symbol"/>
      </w:rPr>
    </w:lvl>
    <w:lvl w:ilvl="2" w:tplc="6B063344">
      <w:start w:val="1"/>
      <w:numFmt w:val="bullet"/>
      <w:lvlText w:val=""/>
      <w:lvlJc w:val="left"/>
      <w:pPr>
        <w:ind w:left="1080" w:hanging="360"/>
      </w:pPr>
      <w:rPr>
        <w:rFonts w:ascii="Symbol" w:hAnsi="Symbol"/>
      </w:rPr>
    </w:lvl>
    <w:lvl w:ilvl="3" w:tplc="20CA53C0">
      <w:start w:val="1"/>
      <w:numFmt w:val="bullet"/>
      <w:lvlText w:val=""/>
      <w:lvlJc w:val="left"/>
      <w:pPr>
        <w:ind w:left="1080" w:hanging="360"/>
      </w:pPr>
      <w:rPr>
        <w:rFonts w:ascii="Symbol" w:hAnsi="Symbol"/>
      </w:rPr>
    </w:lvl>
    <w:lvl w:ilvl="4" w:tplc="661A74DC">
      <w:start w:val="1"/>
      <w:numFmt w:val="bullet"/>
      <w:lvlText w:val=""/>
      <w:lvlJc w:val="left"/>
      <w:pPr>
        <w:ind w:left="1080" w:hanging="360"/>
      </w:pPr>
      <w:rPr>
        <w:rFonts w:ascii="Symbol" w:hAnsi="Symbol"/>
      </w:rPr>
    </w:lvl>
    <w:lvl w:ilvl="5" w:tplc="85E06CFA">
      <w:start w:val="1"/>
      <w:numFmt w:val="bullet"/>
      <w:lvlText w:val=""/>
      <w:lvlJc w:val="left"/>
      <w:pPr>
        <w:ind w:left="1080" w:hanging="360"/>
      </w:pPr>
      <w:rPr>
        <w:rFonts w:ascii="Symbol" w:hAnsi="Symbol"/>
      </w:rPr>
    </w:lvl>
    <w:lvl w:ilvl="6" w:tplc="419A4724">
      <w:start w:val="1"/>
      <w:numFmt w:val="bullet"/>
      <w:lvlText w:val=""/>
      <w:lvlJc w:val="left"/>
      <w:pPr>
        <w:ind w:left="1080" w:hanging="360"/>
      </w:pPr>
      <w:rPr>
        <w:rFonts w:ascii="Symbol" w:hAnsi="Symbol"/>
      </w:rPr>
    </w:lvl>
    <w:lvl w:ilvl="7" w:tplc="7D7208AE">
      <w:start w:val="1"/>
      <w:numFmt w:val="bullet"/>
      <w:lvlText w:val=""/>
      <w:lvlJc w:val="left"/>
      <w:pPr>
        <w:ind w:left="1080" w:hanging="360"/>
      </w:pPr>
      <w:rPr>
        <w:rFonts w:ascii="Symbol" w:hAnsi="Symbol"/>
      </w:rPr>
    </w:lvl>
    <w:lvl w:ilvl="8" w:tplc="377C058C">
      <w:start w:val="1"/>
      <w:numFmt w:val="bullet"/>
      <w:lvlText w:val=""/>
      <w:lvlJc w:val="left"/>
      <w:pPr>
        <w:ind w:left="1080" w:hanging="360"/>
      </w:pPr>
      <w:rPr>
        <w:rFonts w:ascii="Symbol" w:hAnsi="Symbol"/>
      </w:rPr>
    </w:lvl>
  </w:abstractNum>
  <w:abstractNum w:abstractNumId="32" w15:restartNumberingAfterBreak="0">
    <w:nsid w:val="5ED7372F"/>
    <w:multiLevelType w:val="hybridMultilevel"/>
    <w:tmpl w:val="A5D66C16"/>
    <w:lvl w:ilvl="0" w:tplc="F39EAF40">
      <w:start w:val="1"/>
      <w:numFmt w:val="bullet"/>
      <w:lvlText w:val=""/>
      <w:lvlJc w:val="left"/>
      <w:pPr>
        <w:ind w:left="720" w:hanging="360"/>
      </w:pPr>
      <w:rPr>
        <w:rFonts w:ascii="Symbol" w:hAnsi="Symbol"/>
      </w:rPr>
    </w:lvl>
    <w:lvl w:ilvl="1" w:tplc="B366F9C6">
      <w:start w:val="1"/>
      <w:numFmt w:val="bullet"/>
      <w:lvlText w:val=""/>
      <w:lvlJc w:val="left"/>
      <w:pPr>
        <w:ind w:left="720" w:hanging="360"/>
      </w:pPr>
      <w:rPr>
        <w:rFonts w:ascii="Symbol" w:hAnsi="Symbol"/>
      </w:rPr>
    </w:lvl>
    <w:lvl w:ilvl="2" w:tplc="D80A93D8">
      <w:start w:val="1"/>
      <w:numFmt w:val="bullet"/>
      <w:lvlText w:val=""/>
      <w:lvlJc w:val="left"/>
      <w:pPr>
        <w:ind w:left="720" w:hanging="360"/>
      </w:pPr>
      <w:rPr>
        <w:rFonts w:ascii="Symbol" w:hAnsi="Symbol"/>
      </w:rPr>
    </w:lvl>
    <w:lvl w:ilvl="3" w:tplc="31B0A714">
      <w:start w:val="1"/>
      <w:numFmt w:val="bullet"/>
      <w:lvlText w:val=""/>
      <w:lvlJc w:val="left"/>
      <w:pPr>
        <w:ind w:left="720" w:hanging="360"/>
      </w:pPr>
      <w:rPr>
        <w:rFonts w:ascii="Symbol" w:hAnsi="Symbol"/>
      </w:rPr>
    </w:lvl>
    <w:lvl w:ilvl="4" w:tplc="228CC8C8">
      <w:start w:val="1"/>
      <w:numFmt w:val="bullet"/>
      <w:lvlText w:val=""/>
      <w:lvlJc w:val="left"/>
      <w:pPr>
        <w:ind w:left="720" w:hanging="360"/>
      </w:pPr>
      <w:rPr>
        <w:rFonts w:ascii="Symbol" w:hAnsi="Symbol"/>
      </w:rPr>
    </w:lvl>
    <w:lvl w:ilvl="5" w:tplc="15582FA6">
      <w:start w:val="1"/>
      <w:numFmt w:val="bullet"/>
      <w:lvlText w:val=""/>
      <w:lvlJc w:val="left"/>
      <w:pPr>
        <w:ind w:left="720" w:hanging="360"/>
      </w:pPr>
      <w:rPr>
        <w:rFonts w:ascii="Symbol" w:hAnsi="Symbol"/>
      </w:rPr>
    </w:lvl>
    <w:lvl w:ilvl="6" w:tplc="763C5A00">
      <w:start w:val="1"/>
      <w:numFmt w:val="bullet"/>
      <w:lvlText w:val=""/>
      <w:lvlJc w:val="left"/>
      <w:pPr>
        <w:ind w:left="720" w:hanging="360"/>
      </w:pPr>
      <w:rPr>
        <w:rFonts w:ascii="Symbol" w:hAnsi="Symbol"/>
      </w:rPr>
    </w:lvl>
    <w:lvl w:ilvl="7" w:tplc="1286DA5C">
      <w:start w:val="1"/>
      <w:numFmt w:val="bullet"/>
      <w:lvlText w:val=""/>
      <w:lvlJc w:val="left"/>
      <w:pPr>
        <w:ind w:left="720" w:hanging="360"/>
      </w:pPr>
      <w:rPr>
        <w:rFonts w:ascii="Symbol" w:hAnsi="Symbol"/>
      </w:rPr>
    </w:lvl>
    <w:lvl w:ilvl="8" w:tplc="8496DECA">
      <w:start w:val="1"/>
      <w:numFmt w:val="bullet"/>
      <w:lvlText w:val=""/>
      <w:lvlJc w:val="left"/>
      <w:pPr>
        <w:ind w:left="720" w:hanging="360"/>
      </w:pPr>
      <w:rPr>
        <w:rFonts w:ascii="Symbol" w:hAnsi="Symbol"/>
      </w:rPr>
    </w:lvl>
  </w:abstractNum>
  <w:abstractNum w:abstractNumId="33" w15:restartNumberingAfterBreak="0">
    <w:nsid w:val="5F9B18A0"/>
    <w:multiLevelType w:val="hybridMultilevel"/>
    <w:tmpl w:val="B81A2DF6"/>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34" w15:restartNumberingAfterBreak="0">
    <w:nsid w:val="60986E55"/>
    <w:multiLevelType w:val="hybridMultilevel"/>
    <w:tmpl w:val="1EB45D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4E86243"/>
    <w:multiLevelType w:val="hybridMultilevel"/>
    <w:tmpl w:val="F2AC5E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62A15CB"/>
    <w:multiLevelType w:val="hybridMultilevel"/>
    <w:tmpl w:val="9564B7FC"/>
    <w:lvl w:ilvl="0" w:tplc="E2A09EDA">
      <w:start w:val="1"/>
      <w:numFmt w:val="decimal"/>
      <w:lvlText w:val="%1."/>
      <w:lvlJc w:val="left"/>
      <w:pPr>
        <w:ind w:left="720" w:hanging="360"/>
      </w:pPr>
    </w:lvl>
    <w:lvl w:ilvl="1" w:tplc="80AE3030">
      <w:start w:val="1"/>
      <w:numFmt w:val="decimal"/>
      <w:lvlText w:val="%2."/>
      <w:lvlJc w:val="left"/>
      <w:pPr>
        <w:ind w:left="720" w:hanging="360"/>
      </w:pPr>
    </w:lvl>
    <w:lvl w:ilvl="2" w:tplc="F3628926">
      <w:start w:val="1"/>
      <w:numFmt w:val="decimal"/>
      <w:lvlText w:val="%3."/>
      <w:lvlJc w:val="left"/>
      <w:pPr>
        <w:ind w:left="720" w:hanging="360"/>
      </w:pPr>
    </w:lvl>
    <w:lvl w:ilvl="3" w:tplc="13643E3C">
      <w:start w:val="1"/>
      <w:numFmt w:val="decimal"/>
      <w:lvlText w:val="%4."/>
      <w:lvlJc w:val="left"/>
      <w:pPr>
        <w:ind w:left="720" w:hanging="360"/>
      </w:pPr>
    </w:lvl>
    <w:lvl w:ilvl="4" w:tplc="144AE0CC">
      <w:start w:val="1"/>
      <w:numFmt w:val="decimal"/>
      <w:lvlText w:val="%5."/>
      <w:lvlJc w:val="left"/>
      <w:pPr>
        <w:ind w:left="720" w:hanging="360"/>
      </w:pPr>
    </w:lvl>
    <w:lvl w:ilvl="5" w:tplc="B26A17D2">
      <w:start w:val="1"/>
      <w:numFmt w:val="decimal"/>
      <w:lvlText w:val="%6."/>
      <w:lvlJc w:val="left"/>
      <w:pPr>
        <w:ind w:left="720" w:hanging="360"/>
      </w:pPr>
    </w:lvl>
    <w:lvl w:ilvl="6" w:tplc="2368B0A6">
      <w:start w:val="1"/>
      <w:numFmt w:val="decimal"/>
      <w:lvlText w:val="%7."/>
      <w:lvlJc w:val="left"/>
      <w:pPr>
        <w:ind w:left="720" w:hanging="360"/>
      </w:pPr>
    </w:lvl>
    <w:lvl w:ilvl="7" w:tplc="84842390">
      <w:start w:val="1"/>
      <w:numFmt w:val="decimal"/>
      <w:lvlText w:val="%8."/>
      <w:lvlJc w:val="left"/>
      <w:pPr>
        <w:ind w:left="720" w:hanging="360"/>
      </w:pPr>
    </w:lvl>
    <w:lvl w:ilvl="8" w:tplc="C3367176">
      <w:start w:val="1"/>
      <w:numFmt w:val="decimal"/>
      <w:lvlText w:val="%9."/>
      <w:lvlJc w:val="left"/>
      <w:pPr>
        <w:ind w:left="720" w:hanging="360"/>
      </w:pPr>
    </w:lvl>
  </w:abstractNum>
  <w:abstractNum w:abstractNumId="37" w15:restartNumberingAfterBreak="0">
    <w:nsid w:val="6BB55064"/>
    <w:multiLevelType w:val="hybridMultilevel"/>
    <w:tmpl w:val="BA26C7A6"/>
    <w:lvl w:ilvl="0" w:tplc="1E921B2C">
      <w:start w:val="2"/>
      <w:numFmt w:val="bullet"/>
      <w:lvlText w:val="•"/>
      <w:lvlJc w:val="left"/>
      <w:pPr>
        <w:ind w:left="720" w:hanging="720"/>
      </w:pPr>
      <w:rPr>
        <w:rFonts w:ascii="Franklin Gothic Book" w:eastAsiaTheme="minorHAnsi" w:hAnsi="Franklin Gothic Book"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D4375F4"/>
    <w:multiLevelType w:val="hybridMultilevel"/>
    <w:tmpl w:val="E31C3BE8"/>
    <w:lvl w:ilvl="0" w:tplc="9FAE808C">
      <w:start w:val="1"/>
      <w:numFmt w:val="bullet"/>
      <w:lvlText w:val=""/>
      <w:lvlJc w:val="left"/>
      <w:pPr>
        <w:ind w:left="720" w:hanging="360"/>
      </w:pPr>
      <w:rPr>
        <w:rFonts w:ascii="Symbol" w:hAnsi="Symbol"/>
      </w:rPr>
    </w:lvl>
    <w:lvl w:ilvl="1" w:tplc="03DC7FAE">
      <w:start w:val="1"/>
      <w:numFmt w:val="bullet"/>
      <w:lvlText w:val=""/>
      <w:lvlJc w:val="left"/>
      <w:pPr>
        <w:ind w:left="720" w:hanging="360"/>
      </w:pPr>
      <w:rPr>
        <w:rFonts w:ascii="Symbol" w:hAnsi="Symbol"/>
      </w:rPr>
    </w:lvl>
    <w:lvl w:ilvl="2" w:tplc="CCBC082C">
      <w:start w:val="1"/>
      <w:numFmt w:val="bullet"/>
      <w:lvlText w:val=""/>
      <w:lvlJc w:val="left"/>
      <w:pPr>
        <w:ind w:left="720" w:hanging="360"/>
      </w:pPr>
      <w:rPr>
        <w:rFonts w:ascii="Symbol" w:hAnsi="Symbol"/>
      </w:rPr>
    </w:lvl>
    <w:lvl w:ilvl="3" w:tplc="E5963746">
      <w:start w:val="1"/>
      <w:numFmt w:val="bullet"/>
      <w:lvlText w:val=""/>
      <w:lvlJc w:val="left"/>
      <w:pPr>
        <w:ind w:left="720" w:hanging="360"/>
      </w:pPr>
      <w:rPr>
        <w:rFonts w:ascii="Symbol" w:hAnsi="Symbol"/>
      </w:rPr>
    </w:lvl>
    <w:lvl w:ilvl="4" w:tplc="E8BE6F06">
      <w:start w:val="1"/>
      <w:numFmt w:val="bullet"/>
      <w:lvlText w:val=""/>
      <w:lvlJc w:val="left"/>
      <w:pPr>
        <w:ind w:left="720" w:hanging="360"/>
      </w:pPr>
      <w:rPr>
        <w:rFonts w:ascii="Symbol" w:hAnsi="Symbol"/>
      </w:rPr>
    </w:lvl>
    <w:lvl w:ilvl="5" w:tplc="D10E842A">
      <w:start w:val="1"/>
      <w:numFmt w:val="bullet"/>
      <w:lvlText w:val=""/>
      <w:lvlJc w:val="left"/>
      <w:pPr>
        <w:ind w:left="720" w:hanging="360"/>
      </w:pPr>
      <w:rPr>
        <w:rFonts w:ascii="Symbol" w:hAnsi="Symbol"/>
      </w:rPr>
    </w:lvl>
    <w:lvl w:ilvl="6" w:tplc="A82AD614">
      <w:start w:val="1"/>
      <w:numFmt w:val="bullet"/>
      <w:lvlText w:val=""/>
      <w:lvlJc w:val="left"/>
      <w:pPr>
        <w:ind w:left="720" w:hanging="360"/>
      </w:pPr>
      <w:rPr>
        <w:rFonts w:ascii="Symbol" w:hAnsi="Symbol"/>
      </w:rPr>
    </w:lvl>
    <w:lvl w:ilvl="7" w:tplc="3F46BD5E">
      <w:start w:val="1"/>
      <w:numFmt w:val="bullet"/>
      <w:lvlText w:val=""/>
      <w:lvlJc w:val="left"/>
      <w:pPr>
        <w:ind w:left="720" w:hanging="360"/>
      </w:pPr>
      <w:rPr>
        <w:rFonts w:ascii="Symbol" w:hAnsi="Symbol"/>
      </w:rPr>
    </w:lvl>
    <w:lvl w:ilvl="8" w:tplc="3F96BB52">
      <w:start w:val="1"/>
      <w:numFmt w:val="bullet"/>
      <w:lvlText w:val=""/>
      <w:lvlJc w:val="left"/>
      <w:pPr>
        <w:ind w:left="720" w:hanging="360"/>
      </w:pPr>
      <w:rPr>
        <w:rFonts w:ascii="Symbol" w:hAnsi="Symbol"/>
      </w:rPr>
    </w:lvl>
  </w:abstractNum>
  <w:abstractNum w:abstractNumId="39" w15:restartNumberingAfterBreak="0">
    <w:nsid w:val="6E906AEE"/>
    <w:multiLevelType w:val="hybridMultilevel"/>
    <w:tmpl w:val="DF0E9A0E"/>
    <w:lvl w:ilvl="0" w:tplc="AC9E9A3A">
      <w:start w:val="1"/>
      <w:numFmt w:val="bullet"/>
      <w:lvlText w:val=""/>
      <w:lvlJc w:val="left"/>
      <w:pPr>
        <w:ind w:left="1080" w:hanging="360"/>
      </w:pPr>
      <w:rPr>
        <w:rFonts w:ascii="Symbol" w:hAnsi="Symbol"/>
      </w:rPr>
    </w:lvl>
    <w:lvl w:ilvl="1" w:tplc="09845D68">
      <w:start w:val="1"/>
      <w:numFmt w:val="bullet"/>
      <w:lvlText w:val=""/>
      <w:lvlJc w:val="left"/>
      <w:pPr>
        <w:ind w:left="1080" w:hanging="360"/>
      </w:pPr>
      <w:rPr>
        <w:rFonts w:ascii="Symbol" w:hAnsi="Symbol"/>
      </w:rPr>
    </w:lvl>
    <w:lvl w:ilvl="2" w:tplc="D318DA04">
      <w:start w:val="1"/>
      <w:numFmt w:val="bullet"/>
      <w:lvlText w:val=""/>
      <w:lvlJc w:val="left"/>
      <w:pPr>
        <w:ind w:left="1080" w:hanging="360"/>
      </w:pPr>
      <w:rPr>
        <w:rFonts w:ascii="Symbol" w:hAnsi="Symbol"/>
      </w:rPr>
    </w:lvl>
    <w:lvl w:ilvl="3" w:tplc="6212DCE8">
      <w:start w:val="1"/>
      <w:numFmt w:val="bullet"/>
      <w:lvlText w:val=""/>
      <w:lvlJc w:val="left"/>
      <w:pPr>
        <w:ind w:left="1080" w:hanging="360"/>
      </w:pPr>
      <w:rPr>
        <w:rFonts w:ascii="Symbol" w:hAnsi="Symbol"/>
      </w:rPr>
    </w:lvl>
    <w:lvl w:ilvl="4" w:tplc="50BED7B2">
      <w:start w:val="1"/>
      <w:numFmt w:val="bullet"/>
      <w:lvlText w:val=""/>
      <w:lvlJc w:val="left"/>
      <w:pPr>
        <w:ind w:left="1080" w:hanging="360"/>
      </w:pPr>
      <w:rPr>
        <w:rFonts w:ascii="Symbol" w:hAnsi="Symbol"/>
      </w:rPr>
    </w:lvl>
    <w:lvl w:ilvl="5" w:tplc="5C7EE1F8">
      <w:start w:val="1"/>
      <w:numFmt w:val="bullet"/>
      <w:lvlText w:val=""/>
      <w:lvlJc w:val="left"/>
      <w:pPr>
        <w:ind w:left="1080" w:hanging="360"/>
      </w:pPr>
      <w:rPr>
        <w:rFonts w:ascii="Symbol" w:hAnsi="Symbol"/>
      </w:rPr>
    </w:lvl>
    <w:lvl w:ilvl="6" w:tplc="8AC88B10">
      <w:start w:val="1"/>
      <w:numFmt w:val="bullet"/>
      <w:lvlText w:val=""/>
      <w:lvlJc w:val="left"/>
      <w:pPr>
        <w:ind w:left="1080" w:hanging="360"/>
      </w:pPr>
      <w:rPr>
        <w:rFonts w:ascii="Symbol" w:hAnsi="Symbol"/>
      </w:rPr>
    </w:lvl>
    <w:lvl w:ilvl="7" w:tplc="5F3AB4D0">
      <w:start w:val="1"/>
      <w:numFmt w:val="bullet"/>
      <w:lvlText w:val=""/>
      <w:lvlJc w:val="left"/>
      <w:pPr>
        <w:ind w:left="1080" w:hanging="360"/>
      </w:pPr>
      <w:rPr>
        <w:rFonts w:ascii="Symbol" w:hAnsi="Symbol"/>
      </w:rPr>
    </w:lvl>
    <w:lvl w:ilvl="8" w:tplc="35568F62">
      <w:start w:val="1"/>
      <w:numFmt w:val="bullet"/>
      <w:lvlText w:val=""/>
      <w:lvlJc w:val="left"/>
      <w:pPr>
        <w:ind w:left="1080" w:hanging="360"/>
      </w:pPr>
      <w:rPr>
        <w:rFonts w:ascii="Symbol" w:hAnsi="Symbol"/>
      </w:rPr>
    </w:lvl>
  </w:abstractNum>
  <w:abstractNum w:abstractNumId="40" w15:restartNumberingAfterBreak="0">
    <w:nsid w:val="6F641FF4"/>
    <w:multiLevelType w:val="hybridMultilevel"/>
    <w:tmpl w:val="1438E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7C05D9F"/>
    <w:multiLevelType w:val="hybridMultilevel"/>
    <w:tmpl w:val="B7002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053853"/>
    <w:multiLevelType w:val="hybridMultilevel"/>
    <w:tmpl w:val="F01E583A"/>
    <w:lvl w:ilvl="0" w:tplc="39D4E926">
      <w:start w:val="1"/>
      <w:numFmt w:val="bullet"/>
      <w:lvlText w:val=""/>
      <w:lvlJc w:val="left"/>
      <w:pPr>
        <w:ind w:left="720" w:hanging="360"/>
      </w:pPr>
      <w:rPr>
        <w:rFonts w:ascii="Symbol" w:hAnsi="Symbol"/>
      </w:rPr>
    </w:lvl>
    <w:lvl w:ilvl="1" w:tplc="1D268256">
      <w:start w:val="1"/>
      <w:numFmt w:val="bullet"/>
      <w:lvlText w:val=""/>
      <w:lvlJc w:val="left"/>
      <w:pPr>
        <w:ind w:left="720" w:hanging="360"/>
      </w:pPr>
      <w:rPr>
        <w:rFonts w:ascii="Symbol" w:hAnsi="Symbol"/>
      </w:rPr>
    </w:lvl>
    <w:lvl w:ilvl="2" w:tplc="99E0D5BA">
      <w:start w:val="1"/>
      <w:numFmt w:val="bullet"/>
      <w:lvlText w:val=""/>
      <w:lvlJc w:val="left"/>
      <w:pPr>
        <w:ind w:left="720" w:hanging="360"/>
      </w:pPr>
      <w:rPr>
        <w:rFonts w:ascii="Symbol" w:hAnsi="Symbol"/>
      </w:rPr>
    </w:lvl>
    <w:lvl w:ilvl="3" w:tplc="E7C8961C">
      <w:start w:val="1"/>
      <w:numFmt w:val="bullet"/>
      <w:lvlText w:val=""/>
      <w:lvlJc w:val="left"/>
      <w:pPr>
        <w:ind w:left="720" w:hanging="360"/>
      </w:pPr>
      <w:rPr>
        <w:rFonts w:ascii="Symbol" w:hAnsi="Symbol"/>
      </w:rPr>
    </w:lvl>
    <w:lvl w:ilvl="4" w:tplc="57E0A6C2">
      <w:start w:val="1"/>
      <w:numFmt w:val="bullet"/>
      <w:lvlText w:val=""/>
      <w:lvlJc w:val="left"/>
      <w:pPr>
        <w:ind w:left="720" w:hanging="360"/>
      </w:pPr>
      <w:rPr>
        <w:rFonts w:ascii="Symbol" w:hAnsi="Symbol"/>
      </w:rPr>
    </w:lvl>
    <w:lvl w:ilvl="5" w:tplc="005C3218">
      <w:start w:val="1"/>
      <w:numFmt w:val="bullet"/>
      <w:lvlText w:val=""/>
      <w:lvlJc w:val="left"/>
      <w:pPr>
        <w:ind w:left="720" w:hanging="360"/>
      </w:pPr>
      <w:rPr>
        <w:rFonts w:ascii="Symbol" w:hAnsi="Symbol"/>
      </w:rPr>
    </w:lvl>
    <w:lvl w:ilvl="6" w:tplc="0BE6BB4E">
      <w:start w:val="1"/>
      <w:numFmt w:val="bullet"/>
      <w:lvlText w:val=""/>
      <w:lvlJc w:val="left"/>
      <w:pPr>
        <w:ind w:left="720" w:hanging="360"/>
      </w:pPr>
      <w:rPr>
        <w:rFonts w:ascii="Symbol" w:hAnsi="Symbol"/>
      </w:rPr>
    </w:lvl>
    <w:lvl w:ilvl="7" w:tplc="1F00828A">
      <w:start w:val="1"/>
      <w:numFmt w:val="bullet"/>
      <w:lvlText w:val=""/>
      <w:lvlJc w:val="left"/>
      <w:pPr>
        <w:ind w:left="720" w:hanging="360"/>
      </w:pPr>
      <w:rPr>
        <w:rFonts w:ascii="Symbol" w:hAnsi="Symbol"/>
      </w:rPr>
    </w:lvl>
    <w:lvl w:ilvl="8" w:tplc="5E488994">
      <w:start w:val="1"/>
      <w:numFmt w:val="bullet"/>
      <w:lvlText w:val=""/>
      <w:lvlJc w:val="left"/>
      <w:pPr>
        <w:ind w:left="720" w:hanging="360"/>
      </w:pPr>
      <w:rPr>
        <w:rFonts w:ascii="Symbol" w:hAnsi="Symbol"/>
      </w:rPr>
    </w:lvl>
  </w:abstractNum>
  <w:abstractNum w:abstractNumId="43"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16cid:durableId="213004558">
    <w:abstractNumId w:val="16"/>
  </w:num>
  <w:num w:numId="2" w16cid:durableId="1648052848">
    <w:abstractNumId w:val="45"/>
  </w:num>
  <w:num w:numId="3" w16cid:durableId="275526424">
    <w:abstractNumId w:val="19"/>
  </w:num>
  <w:num w:numId="4" w16cid:durableId="1274361370">
    <w:abstractNumId w:val="3"/>
  </w:num>
  <w:num w:numId="5" w16cid:durableId="696203949">
    <w:abstractNumId w:val="43"/>
  </w:num>
  <w:num w:numId="6" w16cid:durableId="987591538">
    <w:abstractNumId w:val="12"/>
  </w:num>
  <w:num w:numId="7" w16cid:durableId="166023769">
    <w:abstractNumId w:val="14"/>
  </w:num>
  <w:num w:numId="8" w16cid:durableId="60686596">
    <w:abstractNumId w:val="15"/>
  </w:num>
  <w:num w:numId="9" w16cid:durableId="878468800">
    <w:abstractNumId w:val="24"/>
  </w:num>
  <w:num w:numId="10" w16cid:durableId="820079604">
    <w:abstractNumId w:val="20"/>
  </w:num>
  <w:num w:numId="11" w16cid:durableId="1792505466">
    <w:abstractNumId w:val="18"/>
  </w:num>
  <w:num w:numId="12" w16cid:durableId="1451971446">
    <w:abstractNumId w:val="13"/>
  </w:num>
  <w:num w:numId="13" w16cid:durableId="1650014307">
    <w:abstractNumId w:val="10"/>
  </w:num>
  <w:num w:numId="14" w16cid:durableId="7871829">
    <w:abstractNumId w:val="37"/>
  </w:num>
  <w:num w:numId="15" w16cid:durableId="540167277">
    <w:abstractNumId w:val="21"/>
  </w:num>
  <w:num w:numId="16" w16cid:durableId="1400710897">
    <w:abstractNumId w:val="34"/>
  </w:num>
  <w:num w:numId="17" w16cid:durableId="1074157989">
    <w:abstractNumId w:val="27"/>
  </w:num>
  <w:num w:numId="18" w16cid:durableId="619991947">
    <w:abstractNumId w:val="35"/>
  </w:num>
  <w:num w:numId="19" w16cid:durableId="1586568116">
    <w:abstractNumId w:val="29"/>
  </w:num>
  <w:num w:numId="20" w16cid:durableId="869688529">
    <w:abstractNumId w:val="8"/>
  </w:num>
  <w:num w:numId="21" w16cid:durableId="1293514295">
    <w:abstractNumId w:val="33"/>
  </w:num>
  <w:num w:numId="22" w16cid:durableId="508712780">
    <w:abstractNumId w:val="30"/>
  </w:num>
  <w:num w:numId="23" w16cid:durableId="1140151278">
    <w:abstractNumId w:val="0"/>
  </w:num>
  <w:num w:numId="24" w16cid:durableId="603924632">
    <w:abstractNumId w:val="6"/>
  </w:num>
  <w:num w:numId="25" w16cid:durableId="1707362966">
    <w:abstractNumId w:val="44"/>
  </w:num>
  <w:num w:numId="26" w16cid:durableId="673413381">
    <w:abstractNumId w:val="23"/>
  </w:num>
  <w:num w:numId="27" w16cid:durableId="1294675335">
    <w:abstractNumId w:val="2"/>
  </w:num>
  <w:num w:numId="28" w16cid:durableId="356322535">
    <w:abstractNumId w:val="40"/>
  </w:num>
  <w:num w:numId="29" w16cid:durableId="1188909016">
    <w:abstractNumId w:val="4"/>
  </w:num>
  <w:num w:numId="30" w16cid:durableId="276447794">
    <w:abstractNumId w:val="41"/>
  </w:num>
  <w:num w:numId="31" w16cid:durableId="2084910823">
    <w:abstractNumId w:val="17"/>
  </w:num>
  <w:num w:numId="32" w16cid:durableId="1008212028">
    <w:abstractNumId w:val="22"/>
  </w:num>
  <w:num w:numId="33" w16cid:durableId="2142454390">
    <w:abstractNumId w:val="7"/>
  </w:num>
  <w:num w:numId="34" w16cid:durableId="472527572">
    <w:abstractNumId w:val="9"/>
  </w:num>
  <w:num w:numId="35" w16cid:durableId="1572888971">
    <w:abstractNumId w:val="38"/>
  </w:num>
  <w:num w:numId="36" w16cid:durableId="1717656759">
    <w:abstractNumId w:val="5"/>
  </w:num>
  <w:num w:numId="37" w16cid:durableId="1338263168">
    <w:abstractNumId w:val="11"/>
  </w:num>
  <w:num w:numId="38" w16cid:durableId="934173703">
    <w:abstractNumId w:val="42"/>
  </w:num>
  <w:num w:numId="39" w16cid:durableId="1076785285">
    <w:abstractNumId w:val="28"/>
  </w:num>
  <w:num w:numId="40" w16cid:durableId="938412492">
    <w:abstractNumId w:val="32"/>
  </w:num>
  <w:num w:numId="41" w16cid:durableId="515390732">
    <w:abstractNumId w:val="31"/>
  </w:num>
  <w:num w:numId="42" w16cid:durableId="319231940">
    <w:abstractNumId w:val="36"/>
  </w:num>
  <w:num w:numId="43" w16cid:durableId="861476353">
    <w:abstractNumId w:val="26"/>
  </w:num>
  <w:num w:numId="44" w16cid:durableId="39746196">
    <w:abstractNumId w:val="1"/>
  </w:num>
  <w:num w:numId="45" w16cid:durableId="582645385">
    <w:abstractNumId w:val="39"/>
  </w:num>
  <w:num w:numId="46" w16cid:durableId="119500377">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Q0M7OwMLMwNzMzNTNV0lEKTi0uzszPAykwrAUAeNQsyywAAAA="/>
  </w:docVars>
  <w:rsids>
    <w:rsidRoot w:val="008157F1"/>
    <w:rsid w:val="00000009"/>
    <w:rsid w:val="00000582"/>
    <w:rsid w:val="0000082C"/>
    <w:rsid w:val="00001064"/>
    <w:rsid w:val="0000109A"/>
    <w:rsid w:val="00001119"/>
    <w:rsid w:val="00001312"/>
    <w:rsid w:val="00001338"/>
    <w:rsid w:val="00001A26"/>
    <w:rsid w:val="00001AE6"/>
    <w:rsid w:val="00001D55"/>
    <w:rsid w:val="00001D9E"/>
    <w:rsid w:val="00001F5B"/>
    <w:rsid w:val="00001F68"/>
    <w:rsid w:val="000020D7"/>
    <w:rsid w:val="000021D3"/>
    <w:rsid w:val="00002763"/>
    <w:rsid w:val="0000278A"/>
    <w:rsid w:val="00002ACA"/>
    <w:rsid w:val="00002C2C"/>
    <w:rsid w:val="00002E8C"/>
    <w:rsid w:val="0000303B"/>
    <w:rsid w:val="000034FE"/>
    <w:rsid w:val="0000376A"/>
    <w:rsid w:val="00003F09"/>
    <w:rsid w:val="000041AB"/>
    <w:rsid w:val="00004207"/>
    <w:rsid w:val="00004242"/>
    <w:rsid w:val="00004447"/>
    <w:rsid w:val="00004664"/>
    <w:rsid w:val="00004BB9"/>
    <w:rsid w:val="00004D69"/>
    <w:rsid w:val="00004F7F"/>
    <w:rsid w:val="00005038"/>
    <w:rsid w:val="000053C0"/>
    <w:rsid w:val="00005443"/>
    <w:rsid w:val="000054C9"/>
    <w:rsid w:val="00005B70"/>
    <w:rsid w:val="00005C94"/>
    <w:rsid w:val="00005EAA"/>
    <w:rsid w:val="00005FD3"/>
    <w:rsid w:val="000063C9"/>
    <w:rsid w:val="00006CB7"/>
    <w:rsid w:val="000070E4"/>
    <w:rsid w:val="0000769B"/>
    <w:rsid w:val="0000773D"/>
    <w:rsid w:val="000078DE"/>
    <w:rsid w:val="00007B4D"/>
    <w:rsid w:val="00007B9A"/>
    <w:rsid w:val="00007CBD"/>
    <w:rsid w:val="000100B8"/>
    <w:rsid w:val="00010693"/>
    <w:rsid w:val="00010694"/>
    <w:rsid w:val="000106CF"/>
    <w:rsid w:val="00010959"/>
    <w:rsid w:val="00011081"/>
    <w:rsid w:val="000110A1"/>
    <w:rsid w:val="000110D5"/>
    <w:rsid w:val="000110DC"/>
    <w:rsid w:val="00011568"/>
    <w:rsid w:val="00011D44"/>
    <w:rsid w:val="00011D71"/>
    <w:rsid w:val="00012664"/>
    <w:rsid w:val="00012C5C"/>
    <w:rsid w:val="00012FCA"/>
    <w:rsid w:val="0001303F"/>
    <w:rsid w:val="00013408"/>
    <w:rsid w:val="0001363D"/>
    <w:rsid w:val="0001373B"/>
    <w:rsid w:val="0001383A"/>
    <w:rsid w:val="0001396E"/>
    <w:rsid w:val="00013E6A"/>
    <w:rsid w:val="00013F4B"/>
    <w:rsid w:val="00013FE3"/>
    <w:rsid w:val="000140D7"/>
    <w:rsid w:val="000142D1"/>
    <w:rsid w:val="00014315"/>
    <w:rsid w:val="0001448C"/>
    <w:rsid w:val="000145D9"/>
    <w:rsid w:val="000147FA"/>
    <w:rsid w:val="00014974"/>
    <w:rsid w:val="00014DA4"/>
    <w:rsid w:val="0001507B"/>
    <w:rsid w:val="0001508F"/>
    <w:rsid w:val="000156CC"/>
    <w:rsid w:val="0001581E"/>
    <w:rsid w:val="00015EBB"/>
    <w:rsid w:val="000160A5"/>
    <w:rsid w:val="00016C33"/>
    <w:rsid w:val="00016E6A"/>
    <w:rsid w:val="0002005B"/>
    <w:rsid w:val="000201CA"/>
    <w:rsid w:val="00020F89"/>
    <w:rsid w:val="00020FE9"/>
    <w:rsid w:val="00021184"/>
    <w:rsid w:val="0002130C"/>
    <w:rsid w:val="0002171F"/>
    <w:rsid w:val="00021A21"/>
    <w:rsid w:val="00021C00"/>
    <w:rsid w:val="00021CA3"/>
    <w:rsid w:val="00022135"/>
    <w:rsid w:val="00022156"/>
    <w:rsid w:val="000228B8"/>
    <w:rsid w:val="00022A34"/>
    <w:rsid w:val="00022B0F"/>
    <w:rsid w:val="00022C8C"/>
    <w:rsid w:val="000233FE"/>
    <w:rsid w:val="0002381B"/>
    <w:rsid w:val="00024230"/>
    <w:rsid w:val="0002445B"/>
    <w:rsid w:val="00024501"/>
    <w:rsid w:val="00024705"/>
    <w:rsid w:val="00024C5E"/>
    <w:rsid w:val="00024EA5"/>
    <w:rsid w:val="0002566C"/>
    <w:rsid w:val="00025E04"/>
    <w:rsid w:val="00026120"/>
    <w:rsid w:val="000264C9"/>
    <w:rsid w:val="00026566"/>
    <w:rsid w:val="0002665C"/>
    <w:rsid w:val="000268C5"/>
    <w:rsid w:val="00026C96"/>
    <w:rsid w:val="00027166"/>
    <w:rsid w:val="00027361"/>
    <w:rsid w:val="0002755F"/>
    <w:rsid w:val="00027A3B"/>
    <w:rsid w:val="00027A82"/>
    <w:rsid w:val="0003047D"/>
    <w:rsid w:val="00030537"/>
    <w:rsid w:val="00030768"/>
    <w:rsid w:val="00031099"/>
    <w:rsid w:val="00031202"/>
    <w:rsid w:val="0003142B"/>
    <w:rsid w:val="000315B3"/>
    <w:rsid w:val="00031762"/>
    <w:rsid w:val="0003188A"/>
    <w:rsid w:val="00032235"/>
    <w:rsid w:val="000325B4"/>
    <w:rsid w:val="00032A55"/>
    <w:rsid w:val="00032A86"/>
    <w:rsid w:val="00032DFF"/>
    <w:rsid w:val="00032EDE"/>
    <w:rsid w:val="00033248"/>
    <w:rsid w:val="000333EE"/>
    <w:rsid w:val="00033920"/>
    <w:rsid w:val="00033B14"/>
    <w:rsid w:val="000340D9"/>
    <w:rsid w:val="0003423A"/>
    <w:rsid w:val="0003477F"/>
    <w:rsid w:val="00034EF2"/>
    <w:rsid w:val="0003521A"/>
    <w:rsid w:val="0003533F"/>
    <w:rsid w:val="00035B55"/>
    <w:rsid w:val="00035DE5"/>
    <w:rsid w:val="00035E27"/>
    <w:rsid w:val="00035F4D"/>
    <w:rsid w:val="000361ED"/>
    <w:rsid w:val="000361FD"/>
    <w:rsid w:val="00036AD8"/>
    <w:rsid w:val="00036C67"/>
    <w:rsid w:val="00037037"/>
    <w:rsid w:val="00037302"/>
    <w:rsid w:val="00037DED"/>
    <w:rsid w:val="00037F4D"/>
    <w:rsid w:val="0004005D"/>
    <w:rsid w:val="000404A4"/>
    <w:rsid w:val="000409A0"/>
    <w:rsid w:val="000409AD"/>
    <w:rsid w:val="00040ADF"/>
    <w:rsid w:val="00040FB4"/>
    <w:rsid w:val="000410DC"/>
    <w:rsid w:val="00041177"/>
    <w:rsid w:val="000411CF"/>
    <w:rsid w:val="000412EF"/>
    <w:rsid w:val="000416EC"/>
    <w:rsid w:val="00041726"/>
    <w:rsid w:val="0004178C"/>
    <w:rsid w:val="00041DB3"/>
    <w:rsid w:val="00041DB5"/>
    <w:rsid w:val="00041F5D"/>
    <w:rsid w:val="00042181"/>
    <w:rsid w:val="00042212"/>
    <w:rsid w:val="000423B9"/>
    <w:rsid w:val="00042426"/>
    <w:rsid w:val="00042914"/>
    <w:rsid w:val="000429CB"/>
    <w:rsid w:val="000429F7"/>
    <w:rsid w:val="000429FB"/>
    <w:rsid w:val="00042B2B"/>
    <w:rsid w:val="00042C51"/>
    <w:rsid w:val="000431CA"/>
    <w:rsid w:val="00043277"/>
    <w:rsid w:val="00043545"/>
    <w:rsid w:val="00043965"/>
    <w:rsid w:val="00043D81"/>
    <w:rsid w:val="00044061"/>
    <w:rsid w:val="000443A6"/>
    <w:rsid w:val="0004470B"/>
    <w:rsid w:val="000447BC"/>
    <w:rsid w:val="000447E5"/>
    <w:rsid w:val="00044964"/>
    <w:rsid w:val="000449D1"/>
    <w:rsid w:val="00045605"/>
    <w:rsid w:val="00045710"/>
    <w:rsid w:val="00045814"/>
    <w:rsid w:val="00045904"/>
    <w:rsid w:val="00045B8D"/>
    <w:rsid w:val="00045CC5"/>
    <w:rsid w:val="00045FF1"/>
    <w:rsid w:val="0004619B"/>
    <w:rsid w:val="000463F2"/>
    <w:rsid w:val="000465BC"/>
    <w:rsid w:val="0004673F"/>
    <w:rsid w:val="00046B1D"/>
    <w:rsid w:val="00046B6A"/>
    <w:rsid w:val="00046F6E"/>
    <w:rsid w:val="000472D4"/>
    <w:rsid w:val="000473E9"/>
    <w:rsid w:val="00047686"/>
    <w:rsid w:val="00047EA4"/>
    <w:rsid w:val="0005012B"/>
    <w:rsid w:val="00050D4E"/>
    <w:rsid w:val="00051011"/>
    <w:rsid w:val="00051269"/>
    <w:rsid w:val="00051341"/>
    <w:rsid w:val="000517DE"/>
    <w:rsid w:val="00051DA9"/>
    <w:rsid w:val="00051DAD"/>
    <w:rsid w:val="0005238F"/>
    <w:rsid w:val="00052AD7"/>
    <w:rsid w:val="00052BEB"/>
    <w:rsid w:val="00052C18"/>
    <w:rsid w:val="00052D3A"/>
    <w:rsid w:val="00052DB7"/>
    <w:rsid w:val="00052DD3"/>
    <w:rsid w:val="0005302A"/>
    <w:rsid w:val="0005309F"/>
    <w:rsid w:val="00053254"/>
    <w:rsid w:val="0005326D"/>
    <w:rsid w:val="00053ACF"/>
    <w:rsid w:val="00053D74"/>
    <w:rsid w:val="00053F6C"/>
    <w:rsid w:val="00054246"/>
    <w:rsid w:val="00054280"/>
    <w:rsid w:val="0005446D"/>
    <w:rsid w:val="000546CE"/>
    <w:rsid w:val="000546E7"/>
    <w:rsid w:val="00054700"/>
    <w:rsid w:val="0005482E"/>
    <w:rsid w:val="00054A1A"/>
    <w:rsid w:val="00054C72"/>
    <w:rsid w:val="00054D1E"/>
    <w:rsid w:val="00054E0E"/>
    <w:rsid w:val="000551AC"/>
    <w:rsid w:val="000551C2"/>
    <w:rsid w:val="0005539C"/>
    <w:rsid w:val="00055646"/>
    <w:rsid w:val="0005568F"/>
    <w:rsid w:val="000556B5"/>
    <w:rsid w:val="00055993"/>
    <w:rsid w:val="00055B24"/>
    <w:rsid w:val="00055DF1"/>
    <w:rsid w:val="00056074"/>
    <w:rsid w:val="000563B4"/>
    <w:rsid w:val="00056499"/>
    <w:rsid w:val="000566BB"/>
    <w:rsid w:val="0005682F"/>
    <w:rsid w:val="00056878"/>
    <w:rsid w:val="00056E65"/>
    <w:rsid w:val="0005724A"/>
    <w:rsid w:val="00057409"/>
    <w:rsid w:val="00057B34"/>
    <w:rsid w:val="00057D63"/>
    <w:rsid w:val="000600FF"/>
    <w:rsid w:val="0006038E"/>
    <w:rsid w:val="00060629"/>
    <w:rsid w:val="00060727"/>
    <w:rsid w:val="0006073F"/>
    <w:rsid w:val="00060A18"/>
    <w:rsid w:val="000611AE"/>
    <w:rsid w:val="000612CE"/>
    <w:rsid w:val="00061616"/>
    <w:rsid w:val="0006163C"/>
    <w:rsid w:val="000622B9"/>
    <w:rsid w:val="00062DB2"/>
    <w:rsid w:val="000632C2"/>
    <w:rsid w:val="0006339C"/>
    <w:rsid w:val="000637C5"/>
    <w:rsid w:val="00063851"/>
    <w:rsid w:val="00063B52"/>
    <w:rsid w:val="00063C76"/>
    <w:rsid w:val="00063DE8"/>
    <w:rsid w:val="00063ED0"/>
    <w:rsid w:val="00064179"/>
    <w:rsid w:val="000643D5"/>
    <w:rsid w:val="00064449"/>
    <w:rsid w:val="00064625"/>
    <w:rsid w:val="00064783"/>
    <w:rsid w:val="000647C2"/>
    <w:rsid w:val="0006495D"/>
    <w:rsid w:val="00064C93"/>
    <w:rsid w:val="00064D47"/>
    <w:rsid w:val="00065F48"/>
    <w:rsid w:val="00066190"/>
    <w:rsid w:val="000662C3"/>
    <w:rsid w:val="00066559"/>
    <w:rsid w:val="000665BE"/>
    <w:rsid w:val="00066677"/>
    <w:rsid w:val="00066678"/>
    <w:rsid w:val="000668E5"/>
    <w:rsid w:val="00066934"/>
    <w:rsid w:val="00066A47"/>
    <w:rsid w:val="00066F0F"/>
    <w:rsid w:val="00067203"/>
    <w:rsid w:val="0006730B"/>
    <w:rsid w:val="0006764C"/>
    <w:rsid w:val="00067977"/>
    <w:rsid w:val="00067B65"/>
    <w:rsid w:val="00067CF1"/>
    <w:rsid w:val="00067E1B"/>
    <w:rsid w:val="0007021F"/>
    <w:rsid w:val="000709A0"/>
    <w:rsid w:val="000713E7"/>
    <w:rsid w:val="000713F5"/>
    <w:rsid w:val="00071510"/>
    <w:rsid w:val="000715F8"/>
    <w:rsid w:val="00071621"/>
    <w:rsid w:val="00071729"/>
    <w:rsid w:val="00071AE2"/>
    <w:rsid w:val="00071F24"/>
    <w:rsid w:val="000722ED"/>
    <w:rsid w:val="0007249D"/>
    <w:rsid w:val="00072A05"/>
    <w:rsid w:val="00072B09"/>
    <w:rsid w:val="000730C2"/>
    <w:rsid w:val="00073430"/>
    <w:rsid w:val="000736E7"/>
    <w:rsid w:val="00073A74"/>
    <w:rsid w:val="00073C58"/>
    <w:rsid w:val="00073CA1"/>
    <w:rsid w:val="00073DCE"/>
    <w:rsid w:val="00073F05"/>
    <w:rsid w:val="00074199"/>
    <w:rsid w:val="000741FB"/>
    <w:rsid w:val="00074302"/>
    <w:rsid w:val="000749FD"/>
    <w:rsid w:val="00074C2F"/>
    <w:rsid w:val="00075236"/>
    <w:rsid w:val="00075366"/>
    <w:rsid w:val="00075508"/>
    <w:rsid w:val="00075841"/>
    <w:rsid w:val="00075851"/>
    <w:rsid w:val="00075A55"/>
    <w:rsid w:val="00075B5F"/>
    <w:rsid w:val="00076099"/>
    <w:rsid w:val="00076140"/>
    <w:rsid w:val="000766A5"/>
    <w:rsid w:val="00076ACD"/>
    <w:rsid w:val="00076C86"/>
    <w:rsid w:val="00076F2A"/>
    <w:rsid w:val="0007704D"/>
    <w:rsid w:val="000772DE"/>
    <w:rsid w:val="00077310"/>
    <w:rsid w:val="0007738A"/>
    <w:rsid w:val="00077567"/>
    <w:rsid w:val="000777B4"/>
    <w:rsid w:val="00080241"/>
    <w:rsid w:val="000804B2"/>
    <w:rsid w:val="000807FE"/>
    <w:rsid w:val="00080A50"/>
    <w:rsid w:val="00080C85"/>
    <w:rsid w:val="00080F59"/>
    <w:rsid w:val="00080F92"/>
    <w:rsid w:val="000813D7"/>
    <w:rsid w:val="00081778"/>
    <w:rsid w:val="00081B5B"/>
    <w:rsid w:val="000821CD"/>
    <w:rsid w:val="0008237A"/>
    <w:rsid w:val="0008251D"/>
    <w:rsid w:val="000827ED"/>
    <w:rsid w:val="000829CB"/>
    <w:rsid w:val="00082C57"/>
    <w:rsid w:val="00082FA2"/>
    <w:rsid w:val="0008324A"/>
    <w:rsid w:val="000839AC"/>
    <w:rsid w:val="00083CF9"/>
    <w:rsid w:val="00084297"/>
    <w:rsid w:val="00084627"/>
    <w:rsid w:val="00084915"/>
    <w:rsid w:val="0008496A"/>
    <w:rsid w:val="000849A0"/>
    <w:rsid w:val="00084B12"/>
    <w:rsid w:val="00084FD2"/>
    <w:rsid w:val="000850F3"/>
    <w:rsid w:val="0008550B"/>
    <w:rsid w:val="000863E0"/>
    <w:rsid w:val="00086A6E"/>
    <w:rsid w:val="00086B06"/>
    <w:rsid w:val="00086C9C"/>
    <w:rsid w:val="000870B6"/>
    <w:rsid w:val="00087628"/>
    <w:rsid w:val="0008777C"/>
    <w:rsid w:val="000878E6"/>
    <w:rsid w:val="00087B9F"/>
    <w:rsid w:val="00087C04"/>
    <w:rsid w:val="00087C1D"/>
    <w:rsid w:val="00087FEF"/>
    <w:rsid w:val="0009048B"/>
    <w:rsid w:val="00090522"/>
    <w:rsid w:val="00090613"/>
    <w:rsid w:val="00090639"/>
    <w:rsid w:val="000908D5"/>
    <w:rsid w:val="00090B16"/>
    <w:rsid w:val="00090BD1"/>
    <w:rsid w:val="00090C13"/>
    <w:rsid w:val="00091058"/>
    <w:rsid w:val="00091097"/>
    <w:rsid w:val="00091663"/>
    <w:rsid w:val="00091809"/>
    <w:rsid w:val="00091857"/>
    <w:rsid w:val="000919F0"/>
    <w:rsid w:val="00091C59"/>
    <w:rsid w:val="00091EE1"/>
    <w:rsid w:val="000923DC"/>
    <w:rsid w:val="0009267A"/>
    <w:rsid w:val="00092975"/>
    <w:rsid w:val="00092A21"/>
    <w:rsid w:val="00092B30"/>
    <w:rsid w:val="00092D0F"/>
    <w:rsid w:val="00093083"/>
    <w:rsid w:val="00093332"/>
    <w:rsid w:val="000935BC"/>
    <w:rsid w:val="000935FA"/>
    <w:rsid w:val="00093CE2"/>
    <w:rsid w:val="00093D9A"/>
    <w:rsid w:val="00093DAA"/>
    <w:rsid w:val="00093F6E"/>
    <w:rsid w:val="00094656"/>
    <w:rsid w:val="00094800"/>
    <w:rsid w:val="000948DA"/>
    <w:rsid w:val="00094C46"/>
    <w:rsid w:val="00094C7E"/>
    <w:rsid w:val="00094DF9"/>
    <w:rsid w:val="00094EF4"/>
    <w:rsid w:val="0009516B"/>
    <w:rsid w:val="000951BD"/>
    <w:rsid w:val="000952A4"/>
    <w:rsid w:val="00095336"/>
    <w:rsid w:val="00095498"/>
    <w:rsid w:val="000954BA"/>
    <w:rsid w:val="000959D1"/>
    <w:rsid w:val="00096B52"/>
    <w:rsid w:val="00096E41"/>
    <w:rsid w:val="00097065"/>
    <w:rsid w:val="000970AB"/>
    <w:rsid w:val="00097108"/>
    <w:rsid w:val="00097527"/>
    <w:rsid w:val="000976DC"/>
    <w:rsid w:val="00097805"/>
    <w:rsid w:val="00097AB6"/>
    <w:rsid w:val="00097B49"/>
    <w:rsid w:val="00097CFD"/>
    <w:rsid w:val="00097D74"/>
    <w:rsid w:val="000A0108"/>
    <w:rsid w:val="000A0330"/>
    <w:rsid w:val="000A0642"/>
    <w:rsid w:val="000A06BE"/>
    <w:rsid w:val="000A07AD"/>
    <w:rsid w:val="000A0C54"/>
    <w:rsid w:val="000A0CE1"/>
    <w:rsid w:val="000A0F0A"/>
    <w:rsid w:val="000A107A"/>
    <w:rsid w:val="000A10BF"/>
    <w:rsid w:val="000A16AB"/>
    <w:rsid w:val="000A2158"/>
    <w:rsid w:val="000A22FD"/>
    <w:rsid w:val="000A2ACA"/>
    <w:rsid w:val="000A2ACD"/>
    <w:rsid w:val="000A2B65"/>
    <w:rsid w:val="000A2D89"/>
    <w:rsid w:val="000A2DA8"/>
    <w:rsid w:val="000A32D1"/>
    <w:rsid w:val="000A3393"/>
    <w:rsid w:val="000A3A09"/>
    <w:rsid w:val="000A3A41"/>
    <w:rsid w:val="000A41AA"/>
    <w:rsid w:val="000A44C9"/>
    <w:rsid w:val="000A4D01"/>
    <w:rsid w:val="000A50D0"/>
    <w:rsid w:val="000A5271"/>
    <w:rsid w:val="000A5B19"/>
    <w:rsid w:val="000A5C47"/>
    <w:rsid w:val="000A61FD"/>
    <w:rsid w:val="000A629E"/>
    <w:rsid w:val="000A62B7"/>
    <w:rsid w:val="000A677A"/>
    <w:rsid w:val="000A68DE"/>
    <w:rsid w:val="000A69C2"/>
    <w:rsid w:val="000A6B30"/>
    <w:rsid w:val="000A70EE"/>
    <w:rsid w:val="000A7414"/>
    <w:rsid w:val="000A790E"/>
    <w:rsid w:val="000A7936"/>
    <w:rsid w:val="000A7C4A"/>
    <w:rsid w:val="000A7DB4"/>
    <w:rsid w:val="000B0137"/>
    <w:rsid w:val="000B06EE"/>
    <w:rsid w:val="000B0C36"/>
    <w:rsid w:val="000B0EBE"/>
    <w:rsid w:val="000B104B"/>
    <w:rsid w:val="000B12DB"/>
    <w:rsid w:val="000B138E"/>
    <w:rsid w:val="000B1443"/>
    <w:rsid w:val="000B1608"/>
    <w:rsid w:val="000B187E"/>
    <w:rsid w:val="000B197F"/>
    <w:rsid w:val="000B19F5"/>
    <w:rsid w:val="000B1EB0"/>
    <w:rsid w:val="000B20FD"/>
    <w:rsid w:val="000B2270"/>
    <w:rsid w:val="000B247D"/>
    <w:rsid w:val="000B2942"/>
    <w:rsid w:val="000B2CA0"/>
    <w:rsid w:val="000B2EFB"/>
    <w:rsid w:val="000B30A4"/>
    <w:rsid w:val="000B30AA"/>
    <w:rsid w:val="000B30DC"/>
    <w:rsid w:val="000B3330"/>
    <w:rsid w:val="000B3968"/>
    <w:rsid w:val="000B396B"/>
    <w:rsid w:val="000B4109"/>
    <w:rsid w:val="000B4451"/>
    <w:rsid w:val="000B4478"/>
    <w:rsid w:val="000B44AF"/>
    <w:rsid w:val="000B475E"/>
    <w:rsid w:val="000B4AF5"/>
    <w:rsid w:val="000B5114"/>
    <w:rsid w:val="000B5150"/>
    <w:rsid w:val="000B5345"/>
    <w:rsid w:val="000B5960"/>
    <w:rsid w:val="000B596F"/>
    <w:rsid w:val="000B5BE4"/>
    <w:rsid w:val="000B5E39"/>
    <w:rsid w:val="000B6C0F"/>
    <w:rsid w:val="000B6CF0"/>
    <w:rsid w:val="000B6E26"/>
    <w:rsid w:val="000B6E3C"/>
    <w:rsid w:val="000B6F42"/>
    <w:rsid w:val="000B7078"/>
    <w:rsid w:val="000B720C"/>
    <w:rsid w:val="000B723A"/>
    <w:rsid w:val="000B7278"/>
    <w:rsid w:val="000B74B8"/>
    <w:rsid w:val="000B75F7"/>
    <w:rsid w:val="000B7665"/>
    <w:rsid w:val="000B778C"/>
    <w:rsid w:val="000B7867"/>
    <w:rsid w:val="000B79CE"/>
    <w:rsid w:val="000B7FA4"/>
    <w:rsid w:val="000C0428"/>
    <w:rsid w:val="000C062F"/>
    <w:rsid w:val="000C0AD2"/>
    <w:rsid w:val="000C11A8"/>
    <w:rsid w:val="000C1408"/>
    <w:rsid w:val="000C1A94"/>
    <w:rsid w:val="000C2087"/>
    <w:rsid w:val="000C21B8"/>
    <w:rsid w:val="000C220D"/>
    <w:rsid w:val="000C242B"/>
    <w:rsid w:val="000C2576"/>
    <w:rsid w:val="000C25B2"/>
    <w:rsid w:val="000C299C"/>
    <w:rsid w:val="000C2FF7"/>
    <w:rsid w:val="000C32D1"/>
    <w:rsid w:val="000C3316"/>
    <w:rsid w:val="000C3B83"/>
    <w:rsid w:val="000C4161"/>
    <w:rsid w:val="000C48EE"/>
    <w:rsid w:val="000C4A1C"/>
    <w:rsid w:val="000C4C08"/>
    <w:rsid w:val="000C4DEB"/>
    <w:rsid w:val="000C5258"/>
    <w:rsid w:val="000C5308"/>
    <w:rsid w:val="000C56D2"/>
    <w:rsid w:val="000C5877"/>
    <w:rsid w:val="000C5A16"/>
    <w:rsid w:val="000C5C41"/>
    <w:rsid w:val="000C5E1A"/>
    <w:rsid w:val="000C6193"/>
    <w:rsid w:val="000C65B4"/>
    <w:rsid w:val="000C69B9"/>
    <w:rsid w:val="000C6BD6"/>
    <w:rsid w:val="000C6CBB"/>
    <w:rsid w:val="000C6D7B"/>
    <w:rsid w:val="000C6DCF"/>
    <w:rsid w:val="000C6F34"/>
    <w:rsid w:val="000C7575"/>
    <w:rsid w:val="000C761B"/>
    <w:rsid w:val="000C7C46"/>
    <w:rsid w:val="000D01AB"/>
    <w:rsid w:val="000D05F5"/>
    <w:rsid w:val="000D0B20"/>
    <w:rsid w:val="000D0C20"/>
    <w:rsid w:val="000D0E94"/>
    <w:rsid w:val="000D11A4"/>
    <w:rsid w:val="000D1B0F"/>
    <w:rsid w:val="000D1B52"/>
    <w:rsid w:val="000D1FEE"/>
    <w:rsid w:val="000D2088"/>
    <w:rsid w:val="000D20FF"/>
    <w:rsid w:val="000D21CE"/>
    <w:rsid w:val="000D2327"/>
    <w:rsid w:val="000D2383"/>
    <w:rsid w:val="000D2DFA"/>
    <w:rsid w:val="000D3803"/>
    <w:rsid w:val="000D3872"/>
    <w:rsid w:val="000D3934"/>
    <w:rsid w:val="000D3ADE"/>
    <w:rsid w:val="000D3F5B"/>
    <w:rsid w:val="000D439D"/>
    <w:rsid w:val="000D4493"/>
    <w:rsid w:val="000D467A"/>
    <w:rsid w:val="000D46F4"/>
    <w:rsid w:val="000D4C1B"/>
    <w:rsid w:val="000D51C0"/>
    <w:rsid w:val="000D5523"/>
    <w:rsid w:val="000D5B28"/>
    <w:rsid w:val="000D5D78"/>
    <w:rsid w:val="000D5F05"/>
    <w:rsid w:val="000D6332"/>
    <w:rsid w:val="000D63F5"/>
    <w:rsid w:val="000D64F7"/>
    <w:rsid w:val="000D66AB"/>
    <w:rsid w:val="000D678F"/>
    <w:rsid w:val="000D6828"/>
    <w:rsid w:val="000D6839"/>
    <w:rsid w:val="000D68D3"/>
    <w:rsid w:val="000D69F8"/>
    <w:rsid w:val="000D6AAF"/>
    <w:rsid w:val="000D778B"/>
    <w:rsid w:val="000D77D3"/>
    <w:rsid w:val="000D7AF4"/>
    <w:rsid w:val="000D7D3E"/>
    <w:rsid w:val="000D7ED5"/>
    <w:rsid w:val="000E0028"/>
    <w:rsid w:val="000E00AE"/>
    <w:rsid w:val="000E028A"/>
    <w:rsid w:val="000E02F5"/>
    <w:rsid w:val="000E03DC"/>
    <w:rsid w:val="000E0AA1"/>
    <w:rsid w:val="000E0C97"/>
    <w:rsid w:val="000E0E47"/>
    <w:rsid w:val="000E0F73"/>
    <w:rsid w:val="000E1090"/>
    <w:rsid w:val="000E1124"/>
    <w:rsid w:val="000E16CC"/>
    <w:rsid w:val="000E1BD7"/>
    <w:rsid w:val="000E1E36"/>
    <w:rsid w:val="000E1F0C"/>
    <w:rsid w:val="000E262C"/>
    <w:rsid w:val="000E2838"/>
    <w:rsid w:val="000E28FB"/>
    <w:rsid w:val="000E2CBC"/>
    <w:rsid w:val="000E2D6F"/>
    <w:rsid w:val="000E2E7B"/>
    <w:rsid w:val="000E2F7D"/>
    <w:rsid w:val="000E2F86"/>
    <w:rsid w:val="000E30AB"/>
    <w:rsid w:val="000E3140"/>
    <w:rsid w:val="000E37B9"/>
    <w:rsid w:val="000E37E2"/>
    <w:rsid w:val="000E385A"/>
    <w:rsid w:val="000E3B0B"/>
    <w:rsid w:val="000E3B30"/>
    <w:rsid w:val="000E3E8D"/>
    <w:rsid w:val="000E4679"/>
    <w:rsid w:val="000E48B8"/>
    <w:rsid w:val="000E4C25"/>
    <w:rsid w:val="000E4CAC"/>
    <w:rsid w:val="000E5054"/>
    <w:rsid w:val="000E547B"/>
    <w:rsid w:val="000E5531"/>
    <w:rsid w:val="000E568A"/>
    <w:rsid w:val="000E5A07"/>
    <w:rsid w:val="000E5CA4"/>
    <w:rsid w:val="000E5F02"/>
    <w:rsid w:val="000E5F54"/>
    <w:rsid w:val="000E61EC"/>
    <w:rsid w:val="000E629D"/>
    <w:rsid w:val="000E6410"/>
    <w:rsid w:val="000E6735"/>
    <w:rsid w:val="000E678B"/>
    <w:rsid w:val="000E6B44"/>
    <w:rsid w:val="000E6E2D"/>
    <w:rsid w:val="000E7006"/>
    <w:rsid w:val="000E7388"/>
    <w:rsid w:val="000E7596"/>
    <w:rsid w:val="000E7631"/>
    <w:rsid w:val="000E7740"/>
    <w:rsid w:val="000E7F0D"/>
    <w:rsid w:val="000F008F"/>
    <w:rsid w:val="000F0169"/>
    <w:rsid w:val="000F0436"/>
    <w:rsid w:val="000F0525"/>
    <w:rsid w:val="000F0FF8"/>
    <w:rsid w:val="000F1129"/>
    <w:rsid w:val="000F149F"/>
    <w:rsid w:val="000F17AB"/>
    <w:rsid w:val="000F1AD9"/>
    <w:rsid w:val="000F1B22"/>
    <w:rsid w:val="000F1E03"/>
    <w:rsid w:val="000F202E"/>
    <w:rsid w:val="000F219D"/>
    <w:rsid w:val="000F243C"/>
    <w:rsid w:val="000F2A91"/>
    <w:rsid w:val="000F2E01"/>
    <w:rsid w:val="000F3497"/>
    <w:rsid w:val="000F3943"/>
    <w:rsid w:val="000F442C"/>
    <w:rsid w:val="000F49E1"/>
    <w:rsid w:val="000F4E41"/>
    <w:rsid w:val="000F506C"/>
    <w:rsid w:val="000F551A"/>
    <w:rsid w:val="000F552B"/>
    <w:rsid w:val="000F5A54"/>
    <w:rsid w:val="000F5CDE"/>
    <w:rsid w:val="000F6106"/>
    <w:rsid w:val="000F680E"/>
    <w:rsid w:val="000F6955"/>
    <w:rsid w:val="000F6AAB"/>
    <w:rsid w:val="000F6CD6"/>
    <w:rsid w:val="000F6D74"/>
    <w:rsid w:val="000F6FCC"/>
    <w:rsid w:val="000F712A"/>
    <w:rsid w:val="000F733A"/>
    <w:rsid w:val="000F7782"/>
    <w:rsid w:val="000F780B"/>
    <w:rsid w:val="000F7987"/>
    <w:rsid w:val="000F7ACC"/>
    <w:rsid w:val="000F7C05"/>
    <w:rsid w:val="00100018"/>
    <w:rsid w:val="00100155"/>
    <w:rsid w:val="0010051C"/>
    <w:rsid w:val="001006EF"/>
    <w:rsid w:val="00100742"/>
    <w:rsid w:val="0010079B"/>
    <w:rsid w:val="00100A28"/>
    <w:rsid w:val="00100D98"/>
    <w:rsid w:val="00101336"/>
    <w:rsid w:val="001015B9"/>
    <w:rsid w:val="00101C50"/>
    <w:rsid w:val="00101E1F"/>
    <w:rsid w:val="00101F99"/>
    <w:rsid w:val="001021B9"/>
    <w:rsid w:val="00102410"/>
    <w:rsid w:val="00102F71"/>
    <w:rsid w:val="00103219"/>
    <w:rsid w:val="00104045"/>
    <w:rsid w:val="00104133"/>
    <w:rsid w:val="0010448B"/>
    <w:rsid w:val="001044C2"/>
    <w:rsid w:val="0010480F"/>
    <w:rsid w:val="001049F0"/>
    <w:rsid w:val="00104FA6"/>
    <w:rsid w:val="0010521F"/>
    <w:rsid w:val="001055F6"/>
    <w:rsid w:val="00105C9E"/>
    <w:rsid w:val="00105E1B"/>
    <w:rsid w:val="00105EE9"/>
    <w:rsid w:val="00105F6E"/>
    <w:rsid w:val="00106182"/>
    <w:rsid w:val="0010625A"/>
    <w:rsid w:val="00106444"/>
    <w:rsid w:val="00106494"/>
    <w:rsid w:val="001064C8"/>
    <w:rsid w:val="00106692"/>
    <w:rsid w:val="0010678A"/>
    <w:rsid w:val="001067E4"/>
    <w:rsid w:val="001068B3"/>
    <w:rsid w:val="00106A2F"/>
    <w:rsid w:val="00106B78"/>
    <w:rsid w:val="00106B90"/>
    <w:rsid w:val="00106D38"/>
    <w:rsid w:val="00106E85"/>
    <w:rsid w:val="00107524"/>
    <w:rsid w:val="00107DCD"/>
    <w:rsid w:val="00107EF0"/>
    <w:rsid w:val="0011000B"/>
    <w:rsid w:val="00110244"/>
    <w:rsid w:val="00110427"/>
    <w:rsid w:val="00110761"/>
    <w:rsid w:val="001107BE"/>
    <w:rsid w:val="0011114B"/>
    <w:rsid w:val="00111417"/>
    <w:rsid w:val="001117E0"/>
    <w:rsid w:val="00111B4B"/>
    <w:rsid w:val="00112630"/>
    <w:rsid w:val="001133B2"/>
    <w:rsid w:val="001133CD"/>
    <w:rsid w:val="001135C4"/>
    <w:rsid w:val="00113625"/>
    <w:rsid w:val="00113754"/>
    <w:rsid w:val="0011378B"/>
    <w:rsid w:val="00113802"/>
    <w:rsid w:val="00113C60"/>
    <w:rsid w:val="00113DA2"/>
    <w:rsid w:val="00114161"/>
    <w:rsid w:val="001142E1"/>
    <w:rsid w:val="00114C3B"/>
    <w:rsid w:val="00114E21"/>
    <w:rsid w:val="00114E58"/>
    <w:rsid w:val="00115552"/>
    <w:rsid w:val="0011567E"/>
    <w:rsid w:val="00115691"/>
    <w:rsid w:val="00115A38"/>
    <w:rsid w:val="00115DB6"/>
    <w:rsid w:val="0011605E"/>
    <w:rsid w:val="0011608C"/>
    <w:rsid w:val="001163ED"/>
    <w:rsid w:val="0011643C"/>
    <w:rsid w:val="00116814"/>
    <w:rsid w:val="001169B2"/>
    <w:rsid w:val="00116B6D"/>
    <w:rsid w:val="00116D7D"/>
    <w:rsid w:val="00116EB3"/>
    <w:rsid w:val="00117039"/>
    <w:rsid w:val="0011706D"/>
    <w:rsid w:val="00117526"/>
    <w:rsid w:val="00117DEB"/>
    <w:rsid w:val="00117E2B"/>
    <w:rsid w:val="00117E3D"/>
    <w:rsid w:val="00117F04"/>
    <w:rsid w:val="00120147"/>
    <w:rsid w:val="00120279"/>
    <w:rsid w:val="001202AD"/>
    <w:rsid w:val="00120391"/>
    <w:rsid w:val="001204F7"/>
    <w:rsid w:val="0012050C"/>
    <w:rsid w:val="0012074F"/>
    <w:rsid w:val="00120B58"/>
    <w:rsid w:val="00120B64"/>
    <w:rsid w:val="00120BD3"/>
    <w:rsid w:val="00120C43"/>
    <w:rsid w:val="001212D1"/>
    <w:rsid w:val="00121568"/>
    <w:rsid w:val="00121724"/>
    <w:rsid w:val="00121810"/>
    <w:rsid w:val="0012183A"/>
    <w:rsid w:val="00121CAD"/>
    <w:rsid w:val="00121F86"/>
    <w:rsid w:val="001224BC"/>
    <w:rsid w:val="00122559"/>
    <w:rsid w:val="001225AA"/>
    <w:rsid w:val="001225CD"/>
    <w:rsid w:val="001226AC"/>
    <w:rsid w:val="001227AE"/>
    <w:rsid w:val="0012299D"/>
    <w:rsid w:val="00122AE3"/>
    <w:rsid w:val="00122EE1"/>
    <w:rsid w:val="00122F26"/>
    <w:rsid w:val="001233B4"/>
    <w:rsid w:val="00123658"/>
    <w:rsid w:val="00123692"/>
    <w:rsid w:val="001237AF"/>
    <w:rsid w:val="00123ACC"/>
    <w:rsid w:val="00123E62"/>
    <w:rsid w:val="00123F32"/>
    <w:rsid w:val="00124002"/>
    <w:rsid w:val="001245DA"/>
    <w:rsid w:val="0012469F"/>
    <w:rsid w:val="001247EB"/>
    <w:rsid w:val="001249FA"/>
    <w:rsid w:val="00124A98"/>
    <w:rsid w:val="00124AED"/>
    <w:rsid w:val="00124C4B"/>
    <w:rsid w:val="00124E17"/>
    <w:rsid w:val="00124F2C"/>
    <w:rsid w:val="00124F3C"/>
    <w:rsid w:val="00125185"/>
    <w:rsid w:val="001252B6"/>
    <w:rsid w:val="001252C6"/>
    <w:rsid w:val="001259CD"/>
    <w:rsid w:val="00125B61"/>
    <w:rsid w:val="00125DD0"/>
    <w:rsid w:val="00125E35"/>
    <w:rsid w:val="00125F46"/>
    <w:rsid w:val="00126122"/>
    <w:rsid w:val="001265FA"/>
    <w:rsid w:val="0012675F"/>
    <w:rsid w:val="0012680D"/>
    <w:rsid w:val="00126AB0"/>
    <w:rsid w:val="00126CF6"/>
    <w:rsid w:val="00126CF7"/>
    <w:rsid w:val="001270C8"/>
    <w:rsid w:val="00127784"/>
    <w:rsid w:val="001278BB"/>
    <w:rsid w:val="0013023F"/>
    <w:rsid w:val="00130691"/>
    <w:rsid w:val="0013069F"/>
    <w:rsid w:val="00131284"/>
    <w:rsid w:val="00131465"/>
    <w:rsid w:val="001316B2"/>
    <w:rsid w:val="001317D4"/>
    <w:rsid w:val="001318FF"/>
    <w:rsid w:val="00131C3D"/>
    <w:rsid w:val="00131D45"/>
    <w:rsid w:val="001320F0"/>
    <w:rsid w:val="001324A1"/>
    <w:rsid w:val="00132F99"/>
    <w:rsid w:val="0013332D"/>
    <w:rsid w:val="00133522"/>
    <w:rsid w:val="001336E0"/>
    <w:rsid w:val="001337B1"/>
    <w:rsid w:val="00133D61"/>
    <w:rsid w:val="00133F17"/>
    <w:rsid w:val="00133F34"/>
    <w:rsid w:val="00134087"/>
    <w:rsid w:val="00134832"/>
    <w:rsid w:val="00134AC2"/>
    <w:rsid w:val="00134C48"/>
    <w:rsid w:val="00135273"/>
    <w:rsid w:val="00135393"/>
    <w:rsid w:val="00135718"/>
    <w:rsid w:val="00135A1C"/>
    <w:rsid w:val="00135B3A"/>
    <w:rsid w:val="00135C07"/>
    <w:rsid w:val="00135DBF"/>
    <w:rsid w:val="00135FC9"/>
    <w:rsid w:val="001366A4"/>
    <w:rsid w:val="0013691C"/>
    <w:rsid w:val="00136B91"/>
    <w:rsid w:val="001372FB"/>
    <w:rsid w:val="00137544"/>
    <w:rsid w:val="001375F2"/>
    <w:rsid w:val="00137CB7"/>
    <w:rsid w:val="0014075D"/>
    <w:rsid w:val="001407BE"/>
    <w:rsid w:val="00140A75"/>
    <w:rsid w:val="00140A86"/>
    <w:rsid w:val="00140DD0"/>
    <w:rsid w:val="001411C1"/>
    <w:rsid w:val="0014198A"/>
    <w:rsid w:val="00142629"/>
    <w:rsid w:val="001426B9"/>
    <w:rsid w:val="00142759"/>
    <w:rsid w:val="00142A7C"/>
    <w:rsid w:val="00142BBC"/>
    <w:rsid w:val="00142D6C"/>
    <w:rsid w:val="00142E4F"/>
    <w:rsid w:val="00143478"/>
    <w:rsid w:val="00143B3A"/>
    <w:rsid w:val="00143D29"/>
    <w:rsid w:val="00143F2F"/>
    <w:rsid w:val="001445AA"/>
    <w:rsid w:val="00144861"/>
    <w:rsid w:val="00144D99"/>
    <w:rsid w:val="0014515C"/>
    <w:rsid w:val="00145228"/>
    <w:rsid w:val="00145658"/>
    <w:rsid w:val="00145BC4"/>
    <w:rsid w:val="00145FBF"/>
    <w:rsid w:val="0014608F"/>
    <w:rsid w:val="00146624"/>
    <w:rsid w:val="001466ED"/>
    <w:rsid w:val="00146DDD"/>
    <w:rsid w:val="001479AB"/>
    <w:rsid w:val="001500B5"/>
    <w:rsid w:val="0015015F"/>
    <w:rsid w:val="001501B2"/>
    <w:rsid w:val="00150376"/>
    <w:rsid w:val="00150496"/>
    <w:rsid w:val="001504FF"/>
    <w:rsid w:val="0015089D"/>
    <w:rsid w:val="0015107E"/>
    <w:rsid w:val="0015125B"/>
    <w:rsid w:val="00151DBD"/>
    <w:rsid w:val="00151E7D"/>
    <w:rsid w:val="00151EC8"/>
    <w:rsid w:val="001520F1"/>
    <w:rsid w:val="001521BF"/>
    <w:rsid w:val="001523A8"/>
    <w:rsid w:val="00152463"/>
    <w:rsid w:val="00152709"/>
    <w:rsid w:val="0015276C"/>
    <w:rsid w:val="00152CBF"/>
    <w:rsid w:val="00152E71"/>
    <w:rsid w:val="001531D6"/>
    <w:rsid w:val="001535A6"/>
    <w:rsid w:val="0015368C"/>
    <w:rsid w:val="001536D2"/>
    <w:rsid w:val="00154649"/>
    <w:rsid w:val="00154A12"/>
    <w:rsid w:val="00154D95"/>
    <w:rsid w:val="00154E21"/>
    <w:rsid w:val="00154EA7"/>
    <w:rsid w:val="00155434"/>
    <w:rsid w:val="00155BDA"/>
    <w:rsid w:val="00155DC0"/>
    <w:rsid w:val="00155E18"/>
    <w:rsid w:val="00155E35"/>
    <w:rsid w:val="00156406"/>
    <w:rsid w:val="00156734"/>
    <w:rsid w:val="001567AB"/>
    <w:rsid w:val="00156B8E"/>
    <w:rsid w:val="00156F6D"/>
    <w:rsid w:val="00156FA7"/>
    <w:rsid w:val="00156FB4"/>
    <w:rsid w:val="001571B6"/>
    <w:rsid w:val="00157507"/>
    <w:rsid w:val="00157571"/>
    <w:rsid w:val="00157B7B"/>
    <w:rsid w:val="00160171"/>
    <w:rsid w:val="0016023A"/>
    <w:rsid w:val="00160293"/>
    <w:rsid w:val="001602EA"/>
    <w:rsid w:val="001603EB"/>
    <w:rsid w:val="00160A1B"/>
    <w:rsid w:val="00160CBF"/>
    <w:rsid w:val="00160DDD"/>
    <w:rsid w:val="00160E58"/>
    <w:rsid w:val="00161AE9"/>
    <w:rsid w:val="00161B82"/>
    <w:rsid w:val="00161BC7"/>
    <w:rsid w:val="001622E3"/>
    <w:rsid w:val="0016230B"/>
    <w:rsid w:val="00162479"/>
    <w:rsid w:val="00162996"/>
    <w:rsid w:val="001629D4"/>
    <w:rsid w:val="00162B2F"/>
    <w:rsid w:val="00162DBF"/>
    <w:rsid w:val="00162F5C"/>
    <w:rsid w:val="001637BE"/>
    <w:rsid w:val="00163ACA"/>
    <w:rsid w:val="00163BC1"/>
    <w:rsid w:val="00163E59"/>
    <w:rsid w:val="00163EA9"/>
    <w:rsid w:val="0016422A"/>
    <w:rsid w:val="001649B2"/>
    <w:rsid w:val="00164B29"/>
    <w:rsid w:val="00164B8E"/>
    <w:rsid w:val="00164BB0"/>
    <w:rsid w:val="00164BB5"/>
    <w:rsid w:val="00164CF8"/>
    <w:rsid w:val="00164E65"/>
    <w:rsid w:val="00164E7C"/>
    <w:rsid w:val="00164FFB"/>
    <w:rsid w:val="001653AE"/>
    <w:rsid w:val="001654F5"/>
    <w:rsid w:val="001656A9"/>
    <w:rsid w:val="00165B54"/>
    <w:rsid w:val="00165D1B"/>
    <w:rsid w:val="00165D3C"/>
    <w:rsid w:val="00165F83"/>
    <w:rsid w:val="00166472"/>
    <w:rsid w:val="001667AB"/>
    <w:rsid w:val="00167243"/>
    <w:rsid w:val="001675EE"/>
    <w:rsid w:val="0016780F"/>
    <w:rsid w:val="00167906"/>
    <w:rsid w:val="00167BF2"/>
    <w:rsid w:val="00167E87"/>
    <w:rsid w:val="00170351"/>
    <w:rsid w:val="00170775"/>
    <w:rsid w:val="00170B7F"/>
    <w:rsid w:val="00170C6A"/>
    <w:rsid w:val="00170D5B"/>
    <w:rsid w:val="00171605"/>
    <w:rsid w:val="00171DD2"/>
    <w:rsid w:val="00171F4D"/>
    <w:rsid w:val="00172104"/>
    <w:rsid w:val="00172460"/>
    <w:rsid w:val="00172525"/>
    <w:rsid w:val="00172629"/>
    <w:rsid w:val="0017269C"/>
    <w:rsid w:val="00172B8F"/>
    <w:rsid w:val="00172FB4"/>
    <w:rsid w:val="001736F8"/>
    <w:rsid w:val="00173860"/>
    <w:rsid w:val="001739A7"/>
    <w:rsid w:val="00173D85"/>
    <w:rsid w:val="00173DD5"/>
    <w:rsid w:val="00173E1A"/>
    <w:rsid w:val="001740B3"/>
    <w:rsid w:val="00174207"/>
    <w:rsid w:val="0017447D"/>
    <w:rsid w:val="00174521"/>
    <w:rsid w:val="0017465E"/>
    <w:rsid w:val="00174706"/>
    <w:rsid w:val="00174791"/>
    <w:rsid w:val="001747EB"/>
    <w:rsid w:val="00174B35"/>
    <w:rsid w:val="00174F6E"/>
    <w:rsid w:val="00174FAE"/>
    <w:rsid w:val="00174FB3"/>
    <w:rsid w:val="00174FCF"/>
    <w:rsid w:val="00174FD4"/>
    <w:rsid w:val="001752D7"/>
    <w:rsid w:val="001759C8"/>
    <w:rsid w:val="001759D0"/>
    <w:rsid w:val="00175D7B"/>
    <w:rsid w:val="00175E5E"/>
    <w:rsid w:val="00175E93"/>
    <w:rsid w:val="00175EED"/>
    <w:rsid w:val="0017665D"/>
    <w:rsid w:val="00176744"/>
    <w:rsid w:val="001767BA"/>
    <w:rsid w:val="00176C35"/>
    <w:rsid w:val="00176C36"/>
    <w:rsid w:val="00176C4D"/>
    <w:rsid w:val="00176E47"/>
    <w:rsid w:val="00177135"/>
    <w:rsid w:val="00177485"/>
    <w:rsid w:val="00177790"/>
    <w:rsid w:val="00177A63"/>
    <w:rsid w:val="00177BC3"/>
    <w:rsid w:val="00177F76"/>
    <w:rsid w:val="0018017B"/>
    <w:rsid w:val="001802DF"/>
    <w:rsid w:val="00180752"/>
    <w:rsid w:val="00180753"/>
    <w:rsid w:val="00180A76"/>
    <w:rsid w:val="00180D29"/>
    <w:rsid w:val="001810BA"/>
    <w:rsid w:val="001814A2"/>
    <w:rsid w:val="001814C1"/>
    <w:rsid w:val="00181B7F"/>
    <w:rsid w:val="00181CBA"/>
    <w:rsid w:val="0018241E"/>
    <w:rsid w:val="001825CC"/>
    <w:rsid w:val="00182713"/>
    <w:rsid w:val="0018288B"/>
    <w:rsid w:val="00182DF4"/>
    <w:rsid w:val="00182E90"/>
    <w:rsid w:val="001836AA"/>
    <w:rsid w:val="00183B9B"/>
    <w:rsid w:val="00183E8B"/>
    <w:rsid w:val="00184599"/>
    <w:rsid w:val="00184B63"/>
    <w:rsid w:val="00184BAE"/>
    <w:rsid w:val="00184F81"/>
    <w:rsid w:val="00184FDB"/>
    <w:rsid w:val="0018558B"/>
    <w:rsid w:val="0018577D"/>
    <w:rsid w:val="00185990"/>
    <w:rsid w:val="00186B3E"/>
    <w:rsid w:val="00187767"/>
    <w:rsid w:val="00190003"/>
    <w:rsid w:val="00190438"/>
    <w:rsid w:val="001905F6"/>
    <w:rsid w:val="0019091D"/>
    <w:rsid w:val="00190A2A"/>
    <w:rsid w:val="00190A7F"/>
    <w:rsid w:val="00190D67"/>
    <w:rsid w:val="00190E8B"/>
    <w:rsid w:val="001912CE"/>
    <w:rsid w:val="00191371"/>
    <w:rsid w:val="001917F8"/>
    <w:rsid w:val="001918FC"/>
    <w:rsid w:val="00191AD5"/>
    <w:rsid w:val="00191C75"/>
    <w:rsid w:val="00191CB4"/>
    <w:rsid w:val="001922E0"/>
    <w:rsid w:val="0019239A"/>
    <w:rsid w:val="001923E9"/>
    <w:rsid w:val="00192412"/>
    <w:rsid w:val="001925B0"/>
    <w:rsid w:val="001927A5"/>
    <w:rsid w:val="00192A60"/>
    <w:rsid w:val="00192D46"/>
    <w:rsid w:val="0019362A"/>
    <w:rsid w:val="00193BDC"/>
    <w:rsid w:val="00193C92"/>
    <w:rsid w:val="0019406B"/>
    <w:rsid w:val="001946AB"/>
    <w:rsid w:val="0019474E"/>
    <w:rsid w:val="00194BF5"/>
    <w:rsid w:val="00194F54"/>
    <w:rsid w:val="001952B5"/>
    <w:rsid w:val="0019570B"/>
    <w:rsid w:val="00195728"/>
    <w:rsid w:val="00195828"/>
    <w:rsid w:val="00195BD3"/>
    <w:rsid w:val="00196217"/>
    <w:rsid w:val="001963D3"/>
    <w:rsid w:val="001966BB"/>
    <w:rsid w:val="0019682E"/>
    <w:rsid w:val="00196A00"/>
    <w:rsid w:val="00196D35"/>
    <w:rsid w:val="001970C0"/>
    <w:rsid w:val="00197199"/>
    <w:rsid w:val="0019724E"/>
    <w:rsid w:val="00197594"/>
    <w:rsid w:val="001976C6"/>
    <w:rsid w:val="00197734"/>
    <w:rsid w:val="001978FC"/>
    <w:rsid w:val="00197D9E"/>
    <w:rsid w:val="001A0753"/>
    <w:rsid w:val="001A08D4"/>
    <w:rsid w:val="001A0D9F"/>
    <w:rsid w:val="001A0F83"/>
    <w:rsid w:val="001A1450"/>
    <w:rsid w:val="001A176A"/>
    <w:rsid w:val="001A1859"/>
    <w:rsid w:val="001A1B9E"/>
    <w:rsid w:val="001A1CB7"/>
    <w:rsid w:val="001A22CC"/>
    <w:rsid w:val="001A28D1"/>
    <w:rsid w:val="001A2B26"/>
    <w:rsid w:val="001A3457"/>
    <w:rsid w:val="001A359C"/>
    <w:rsid w:val="001A360B"/>
    <w:rsid w:val="001A36DD"/>
    <w:rsid w:val="001A38FE"/>
    <w:rsid w:val="001A3B3B"/>
    <w:rsid w:val="001A3B65"/>
    <w:rsid w:val="001A3E5F"/>
    <w:rsid w:val="001A3F5E"/>
    <w:rsid w:val="001A420B"/>
    <w:rsid w:val="001A4251"/>
    <w:rsid w:val="001A44BA"/>
    <w:rsid w:val="001A459E"/>
    <w:rsid w:val="001A471C"/>
    <w:rsid w:val="001A48FE"/>
    <w:rsid w:val="001A4A23"/>
    <w:rsid w:val="001A4B97"/>
    <w:rsid w:val="001A4F7D"/>
    <w:rsid w:val="001A4FB8"/>
    <w:rsid w:val="001A506B"/>
    <w:rsid w:val="001A53E5"/>
    <w:rsid w:val="001A55CB"/>
    <w:rsid w:val="001A5793"/>
    <w:rsid w:val="001A58B5"/>
    <w:rsid w:val="001A5AEC"/>
    <w:rsid w:val="001A5CCC"/>
    <w:rsid w:val="001A5F19"/>
    <w:rsid w:val="001A6A65"/>
    <w:rsid w:val="001A6BE0"/>
    <w:rsid w:val="001A6FE7"/>
    <w:rsid w:val="001A7091"/>
    <w:rsid w:val="001A7236"/>
    <w:rsid w:val="001A7A9A"/>
    <w:rsid w:val="001A7B42"/>
    <w:rsid w:val="001A7D8F"/>
    <w:rsid w:val="001B03FB"/>
    <w:rsid w:val="001B0AD8"/>
    <w:rsid w:val="001B0BA6"/>
    <w:rsid w:val="001B0F4D"/>
    <w:rsid w:val="001B154E"/>
    <w:rsid w:val="001B18A8"/>
    <w:rsid w:val="001B1A01"/>
    <w:rsid w:val="001B1A62"/>
    <w:rsid w:val="001B1AAB"/>
    <w:rsid w:val="001B1B65"/>
    <w:rsid w:val="001B1C86"/>
    <w:rsid w:val="001B1E21"/>
    <w:rsid w:val="001B219B"/>
    <w:rsid w:val="001B2812"/>
    <w:rsid w:val="001B2A3F"/>
    <w:rsid w:val="001B2A97"/>
    <w:rsid w:val="001B2B66"/>
    <w:rsid w:val="001B2CD4"/>
    <w:rsid w:val="001B32DA"/>
    <w:rsid w:val="001B383D"/>
    <w:rsid w:val="001B3B8F"/>
    <w:rsid w:val="001B3BDF"/>
    <w:rsid w:val="001B4067"/>
    <w:rsid w:val="001B40FB"/>
    <w:rsid w:val="001B48C4"/>
    <w:rsid w:val="001B4A5A"/>
    <w:rsid w:val="001B4D89"/>
    <w:rsid w:val="001B50B1"/>
    <w:rsid w:val="001B5113"/>
    <w:rsid w:val="001B5386"/>
    <w:rsid w:val="001B548C"/>
    <w:rsid w:val="001B569C"/>
    <w:rsid w:val="001B5E04"/>
    <w:rsid w:val="001B5EAB"/>
    <w:rsid w:val="001B6465"/>
    <w:rsid w:val="001B67F1"/>
    <w:rsid w:val="001B6890"/>
    <w:rsid w:val="001B691E"/>
    <w:rsid w:val="001B6FB3"/>
    <w:rsid w:val="001B70B5"/>
    <w:rsid w:val="001B716C"/>
    <w:rsid w:val="001B72EB"/>
    <w:rsid w:val="001B7329"/>
    <w:rsid w:val="001B77F4"/>
    <w:rsid w:val="001B7AD0"/>
    <w:rsid w:val="001B7B89"/>
    <w:rsid w:val="001B7C29"/>
    <w:rsid w:val="001B7DBC"/>
    <w:rsid w:val="001B7EE1"/>
    <w:rsid w:val="001C041F"/>
    <w:rsid w:val="001C0675"/>
    <w:rsid w:val="001C0775"/>
    <w:rsid w:val="001C08E8"/>
    <w:rsid w:val="001C0DC0"/>
    <w:rsid w:val="001C0F8E"/>
    <w:rsid w:val="001C0FFA"/>
    <w:rsid w:val="001C10FD"/>
    <w:rsid w:val="001C146F"/>
    <w:rsid w:val="001C173C"/>
    <w:rsid w:val="001C1747"/>
    <w:rsid w:val="001C174A"/>
    <w:rsid w:val="001C1859"/>
    <w:rsid w:val="001C1874"/>
    <w:rsid w:val="001C1991"/>
    <w:rsid w:val="001C1A24"/>
    <w:rsid w:val="001C1B39"/>
    <w:rsid w:val="001C1C58"/>
    <w:rsid w:val="001C1CB5"/>
    <w:rsid w:val="001C1D05"/>
    <w:rsid w:val="001C1F1E"/>
    <w:rsid w:val="001C2586"/>
    <w:rsid w:val="001C263C"/>
    <w:rsid w:val="001C291F"/>
    <w:rsid w:val="001C2A48"/>
    <w:rsid w:val="001C2CA8"/>
    <w:rsid w:val="001C2D00"/>
    <w:rsid w:val="001C2EE1"/>
    <w:rsid w:val="001C30D5"/>
    <w:rsid w:val="001C36CC"/>
    <w:rsid w:val="001C37CD"/>
    <w:rsid w:val="001C3931"/>
    <w:rsid w:val="001C3974"/>
    <w:rsid w:val="001C3A01"/>
    <w:rsid w:val="001C3A53"/>
    <w:rsid w:val="001C3DD3"/>
    <w:rsid w:val="001C3E66"/>
    <w:rsid w:val="001C41C4"/>
    <w:rsid w:val="001C461E"/>
    <w:rsid w:val="001C469D"/>
    <w:rsid w:val="001C4EA1"/>
    <w:rsid w:val="001C4F52"/>
    <w:rsid w:val="001C50B8"/>
    <w:rsid w:val="001C5278"/>
    <w:rsid w:val="001C54BA"/>
    <w:rsid w:val="001C58A5"/>
    <w:rsid w:val="001C5BCF"/>
    <w:rsid w:val="001C5D9F"/>
    <w:rsid w:val="001C5FA0"/>
    <w:rsid w:val="001C62B1"/>
    <w:rsid w:val="001C633F"/>
    <w:rsid w:val="001C6833"/>
    <w:rsid w:val="001C69E3"/>
    <w:rsid w:val="001C6BD7"/>
    <w:rsid w:val="001C6D00"/>
    <w:rsid w:val="001C6DFD"/>
    <w:rsid w:val="001C71A3"/>
    <w:rsid w:val="001C7227"/>
    <w:rsid w:val="001C7D2C"/>
    <w:rsid w:val="001C7D70"/>
    <w:rsid w:val="001C7FA6"/>
    <w:rsid w:val="001D0097"/>
    <w:rsid w:val="001D0262"/>
    <w:rsid w:val="001D06B5"/>
    <w:rsid w:val="001D08BF"/>
    <w:rsid w:val="001D0E69"/>
    <w:rsid w:val="001D15D0"/>
    <w:rsid w:val="001D16FC"/>
    <w:rsid w:val="001D1994"/>
    <w:rsid w:val="001D1C10"/>
    <w:rsid w:val="001D1E57"/>
    <w:rsid w:val="001D24AF"/>
    <w:rsid w:val="001D2610"/>
    <w:rsid w:val="001D27AE"/>
    <w:rsid w:val="001D27AF"/>
    <w:rsid w:val="001D2AB9"/>
    <w:rsid w:val="001D2F7F"/>
    <w:rsid w:val="001D31A6"/>
    <w:rsid w:val="001D32C0"/>
    <w:rsid w:val="001D3A64"/>
    <w:rsid w:val="001D3C3F"/>
    <w:rsid w:val="001D3C44"/>
    <w:rsid w:val="001D3C4E"/>
    <w:rsid w:val="001D3FBB"/>
    <w:rsid w:val="001D42B8"/>
    <w:rsid w:val="001D4426"/>
    <w:rsid w:val="001D4D1D"/>
    <w:rsid w:val="001D51C7"/>
    <w:rsid w:val="001D563D"/>
    <w:rsid w:val="001D56B3"/>
    <w:rsid w:val="001D56B6"/>
    <w:rsid w:val="001D5793"/>
    <w:rsid w:val="001D5B51"/>
    <w:rsid w:val="001D5E1D"/>
    <w:rsid w:val="001D5F90"/>
    <w:rsid w:val="001D5FD1"/>
    <w:rsid w:val="001D6054"/>
    <w:rsid w:val="001D6281"/>
    <w:rsid w:val="001D66F0"/>
    <w:rsid w:val="001D6735"/>
    <w:rsid w:val="001D6835"/>
    <w:rsid w:val="001D6B56"/>
    <w:rsid w:val="001D6E65"/>
    <w:rsid w:val="001D74A7"/>
    <w:rsid w:val="001D7D48"/>
    <w:rsid w:val="001E0006"/>
    <w:rsid w:val="001E020B"/>
    <w:rsid w:val="001E0285"/>
    <w:rsid w:val="001E06B3"/>
    <w:rsid w:val="001E0B1F"/>
    <w:rsid w:val="001E0B55"/>
    <w:rsid w:val="001E0C1B"/>
    <w:rsid w:val="001E12C7"/>
    <w:rsid w:val="001E15F2"/>
    <w:rsid w:val="001E1B7B"/>
    <w:rsid w:val="001E1FB0"/>
    <w:rsid w:val="001E208C"/>
    <w:rsid w:val="001E22F7"/>
    <w:rsid w:val="001E241B"/>
    <w:rsid w:val="001E2893"/>
    <w:rsid w:val="001E289E"/>
    <w:rsid w:val="001E2917"/>
    <w:rsid w:val="001E29FB"/>
    <w:rsid w:val="001E30B6"/>
    <w:rsid w:val="001E359B"/>
    <w:rsid w:val="001E35BA"/>
    <w:rsid w:val="001E3913"/>
    <w:rsid w:val="001E39C3"/>
    <w:rsid w:val="001E3BAB"/>
    <w:rsid w:val="001E3C14"/>
    <w:rsid w:val="001E3F84"/>
    <w:rsid w:val="001E4252"/>
    <w:rsid w:val="001E427A"/>
    <w:rsid w:val="001E437C"/>
    <w:rsid w:val="001E465F"/>
    <w:rsid w:val="001E467E"/>
    <w:rsid w:val="001E4C0F"/>
    <w:rsid w:val="001E56FF"/>
    <w:rsid w:val="001E5807"/>
    <w:rsid w:val="001E59BA"/>
    <w:rsid w:val="001E5BDE"/>
    <w:rsid w:val="001E5EC5"/>
    <w:rsid w:val="001E613A"/>
    <w:rsid w:val="001E632A"/>
    <w:rsid w:val="001E6BBE"/>
    <w:rsid w:val="001E6C9A"/>
    <w:rsid w:val="001E6E82"/>
    <w:rsid w:val="001E700D"/>
    <w:rsid w:val="001E715D"/>
    <w:rsid w:val="001E73FD"/>
    <w:rsid w:val="001E776E"/>
    <w:rsid w:val="001E7970"/>
    <w:rsid w:val="001E7EF1"/>
    <w:rsid w:val="001F00AD"/>
    <w:rsid w:val="001F091D"/>
    <w:rsid w:val="001F1754"/>
    <w:rsid w:val="001F21DE"/>
    <w:rsid w:val="001F24F3"/>
    <w:rsid w:val="001F2902"/>
    <w:rsid w:val="001F2B7C"/>
    <w:rsid w:val="001F2E10"/>
    <w:rsid w:val="001F32EE"/>
    <w:rsid w:val="001F367B"/>
    <w:rsid w:val="001F38DF"/>
    <w:rsid w:val="001F3B3A"/>
    <w:rsid w:val="001F3F36"/>
    <w:rsid w:val="001F4931"/>
    <w:rsid w:val="001F4B73"/>
    <w:rsid w:val="001F5091"/>
    <w:rsid w:val="001F51BE"/>
    <w:rsid w:val="001F5310"/>
    <w:rsid w:val="001F5679"/>
    <w:rsid w:val="001F5696"/>
    <w:rsid w:val="001F658C"/>
    <w:rsid w:val="001F675C"/>
    <w:rsid w:val="001F6972"/>
    <w:rsid w:val="001F6F0B"/>
    <w:rsid w:val="001F6F44"/>
    <w:rsid w:val="001F7563"/>
    <w:rsid w:val="001F7C20"/>
    <w:rsid w:val="0020002D"/>
    <w:rsid w:val="00200621"/>
    <w:rsid w:val="00200C88"/>
    <w:rsid w:val="00200CC5"/>
    <w:rsid w:val="00200D3E"/>
    <w:rsid w:val="0020158C"/>
    <w:rsid w:val="00201D76"/>
    <w:rsid w:val="0020202A"/>
    <w:rsid w:val="0020203A"/>
    <w:rsid w:val="00202121"/>
    <w:rsid w:val="00202450"/>
    <w:rsid w:val="0020296E"/>
    <w:rsid w:val="00202CEB"/>
    <w:rsid w:val="00202D15"/>
    <w:rsid w:val="00202DF0"/>
    <w:rsid w:val="00202F2C"/>
    <w:rsid w:val="002032DD"/>
    <w:rsid w:val="00203626"/>
    <w:rsid w:val="00203EA1"/>
    <w:rsid w:val="002042C7"/>
    <w:rsid w:val="002047A9"/>
    <w:rsid w:val="00204D9C"/>
    <w:rsid w:val="00205003"/>
    <w:rsid w:val="00205081"/>
    <w:rsid w:val="0020573D"/>
    <w:rsid w:val="002058C6"/>
    <w:rsid w:val="00205940"/>
    <w:rsid w:val="00205999"/>
    <w:rsid w:val="00205E7F"/>
    <w:rsid w:val="002062CC"/>
    <w:rsid w:val="00206465"/>
    <w:rsid w:val="00206586"/>
    <w:rsid w:val="002067A8"/>
    <w:rsid w:val="00206956"/>
    <w:rsid w:val="00206AD6"/>
    <w:rsid w:val="00206CDF"/>
    <w:rsid w:val="002070AF"/>
    <w:rsid w:val="002074F0"/>
    <w:rsid w:val="00207544"/>
    <w:rsid w:val="0020773F"/>
    <w:rsid w:val="00207B6F"/>
    <w:rsid w:val="00207DAE"/>
    <w:rsid w:val="00207E00"/>
    <w:rsid w:val="00207F59"/>
    <w:rsid w:val="0021009F"/>
    <w:rsid w:val="00210107"/>
    <w:rsid w:val="00210154"/>
    <w:rsid w:val="0021041D"/>
    <w:rsid w:val="002104A3"/>
    <w:rsid w:val="00210BED"/>
    <w:rsid w:val="00210E5B"/>
    <w:rsid w:val="00211242"/>
    <w:rsid w:val="00211381"/>
    <w:rsid w:val="002116F8"/>
    <w:rsid w:val="00211D9A"/>
    <w:rsid w:val="00211DC3"/>
    <w:rsid w:val="00212302"/>
    <w:rsid w:val="0021254D"/>
    <w:rsid w:val="002126ED"/>
    <w:rsid w:val="0021271D"/>
    <w:rsid w:val="002127E6"/>
    <w:rsid w:val="00212CD1"/>
    <w:rsid w:val="00212F82"/>
    <w:rsid w:val="002131DD"/>
    <w:rsid w:val="00213394"/>
    <w:rsid w:val="00213570"/>
    <w:rsid w:val="0021358B"/>
    <w:rsid w:val="002136E1"/>
    <w:rsid w:val="00213E4C"/>
    <w:rsid w:val="00213F1B"/>
    <w:rsid w:val="00213FB9"/>
    <w:rsid w:val="00214251"/>
    <w:rsid w:val="00214658"/>
    <w:rsid w:val="002147F5"/>
    <w:rsid w:val="002151F8"/>
    <w:rsid w:val="002155B6"/>
    <w:rsid w:val="002157E4"/>
    <w:rsid w:val="00215909"/>
    <w:rsid w:val="0021599C"/>
    <w:rsid w:val="00215AFB"/>
    <w:rsid w:val="00215DEA"/>
    <w:rsid w:val="00215FBC"/>
    <w:rsid w:val="00216B98"/>
    <w:rsid w:val="002176C3"/>
    <w:rsid w:val="0021785A"/>
    <w:rsid w:val="00217AA2"/>
    <w:rsid w:val="00217FEB"/>
    <w:rsid w:val="002200D8"/>
    <w:rsid w:val="00220200"/>
    <w:rsid w:val="00220455"/>
    <w:rsid w:val="002204BA"/>
    <w:rsid w:val="0022052D"/>
    <w:rsid w:val="00220910"/>
    <w:rsid w:val="00220C31"/>
    <w:rsid w:val="00220EB1"/>
    <w:rsid w:val="00221063"/>
    <w:rsid w:val="0022124F"/>
    <w:rsid w:val="00221418"/>
    <w:rsid w:val="002214DB"/>
    <w:rsid w:val="002217BB"/>
    <w:rsid w:val="0022187F"/>
    <w:rsid w:val="002219BD"/>
    <w:rsid w:val="00222734"/>
    <w:rsid w:val="00222EC6"/>
    <w:rsid w:val="00222F4C"/>
    <w:rsid w:val="00223518"/>
    <w:rsid w:val="00223664"/>
    <w:rsid w:val="00223A56"/>
    <w:rsid w:val="00223B2F"/>
    <w:rsid w:val="00224169"/>
    <w:rsid w:val="0022416B"/>
    <w:rsid w:val="00224E70"/>
    <w:rsid w:val="00225513"/>
    <w:rsid w:val="00225833"/>
    <w:rsid w:val="00225CC9"/>
    <w:rsid w:val="00225DD4"/>
    <w:rsid w:val="00226095"/>
    <w:rsid w:val="0022610F"/>
    <w:rsid w:val="0022617F"/>
    <w:rsid w:val="0022634E"/>
    <w:rsid w:val="0022685C"/>
    <w:rsid w:val="0022688C"/>
    <w:rsid w:val="002269D9"/>
    <w:rsid w:val="00226C03"/>
    <w:rsid w:val="00226CD9"/>
    <w:rsid w:val="00226EEE"/>
    <w:rsid w:val="00226F13"/>
    <w:rsid w:val="00226FA7"/>
    <w:rsid w:val="002272DB"/>
    <w:rsid w:val="00227B88"/>
    <w:rsid w:val="00227B89"/>
    <w:rsid w:val="00227DE5"/>
    <w:rsid w:val="00227F43"/>
    <w:rsid w:val="002300CC"/>
    <w:rsid w:val="0023026B"/>
    <w:rsid w:val="00230406"/>
    <w:rsid w:val="0023066C"/>
    <w:rsid w:val="002307C6"/>
    <w:rsid w:val="00230BB4"/>
    <w:rsid w:val="00230DF1"/>
    <w:rsid w:val="00230E18"/>
    <w:rsid w:val="00230F86"/>
    <w:rsid w:val="00231053"/>
    <w:rsid w:val="002312A4"/>
    <w:rsid w:val="00231491"/>
    <w:rsid w:val="002316EB"/>
    <w:rsid w:val="0023211C"/>
    <w:rsid w:val="00232655"/>
    <w:rsid w:val="002326E2"/>
    <w:rsid w:val="00233335"/>
    <w:rsid w:val="00233359"/>
    <w:rsid w:val="00233AE9"/>
    <w:rsid w:val="00233E92"/>
    <w:rsid w:val="00234552"/>
    <w:rsid w:val="00234640"/>
    <w:rsid w:val="00234AE9"/>
    <w:rsid w:val="00234C58"/>
    <w:rsid w:val="00234CD1"/>
    <w:rsid w:val="00234D2A"/>
    <w:rsid w:val="00235613"/>
    <w:rsid w:val="00235B7C"/>
    <w:rsid w:val="00235FCF"/>
    <w:rsid w:val="00236103"/>
    <w:rsid w:val="002362CA"/>
    <w:rsid w:val="002364C6"/>
    <w:rsid w:val="002365CB"/>
    <w:rsid w:val="002365E9"/>
    <w:rsid w:val="002367F2"/>
    <w:rsid w:val="002368C2"/>
    <w:rsid w:val="00237092"/>
    <w:rsid w:val="00237123"/>
    <w:rsid w:val="00237499"/>
    <w:rsid w:val="00237780"/>
    <w:rsid w:val="002400A4"/>
    <w:rsid w:val="00240106"/>
    <w:rsid w:val="00240570"/>
    <w:rsid w:val="00240D2B"/>
    <w:rsid w:val="002411C7"/>
    <w:rsid w:val="002412A7"/>
    <w:rsid w:val="00241487"/>
    <w:rsid w:val="00241508"/>
    <w:rsid w:val="00241566"/>
    <w:rsid w:val="00241673"/>
    <w:rsid w:val="002416B3"/>
    <w:rsid w:val="002417FF"/>
    <w:rsid w:val="002418EF"/>
    <w:rsid w:val="00241979"/>
    <w:rsid w:val="00241A18"/>
    <w:rsid w:val="00241BB0"/>
    <w:rsid w:val="00241D75"/>
    <w:rsid w:val="002422EF"/>
    <w:rsid w:val="00242421"/>
    <w:rsid w:val="002424B3"/>
    <w:rsid w:val="00242B11"/>
    <w:rsid w:val="00242BCB"/>
    <w:rsid w:val="00242F4E"/>
    <w:rsid w:val="0024344B"/>
    <w:rsid w:val="0024360F"/>
    <w:rsid w:val="0024394D"/>
    <w:rsid w:val="00243951"/>
    <w:rsid w:val="00243B4C"/>
    <w:rsid w:val="00243D12"/>
    <w:rsid w:val="00243F8B"/>
    <w:rsid w:val="00244BFD"/>
    <w:rsid w:val="00244FC7"/>
    <w:rsid w:val="00245023"/>
    <w:rsid w:val="0024528D"/>
    <w:rsid w:val="002452A0"/>
    <w:rsid w:val="002457B3"/>
    <w:rsid w:val="0024593F"/>
    <w:rsid w:val="00245B69"/>
    <w:rsid w:val="00245C2C"/>
    <w:rsid w:val="00246024"/>
    <w:rsid w:val="0024616A"/>
    <w:rsid w:val="0024633D"/>
    <w:rsid w:val="002463A6"/>
    <w:rsid w:val="002465C5"/>
    <w:rsid w:val="00246870"/>
    <w:rsid w:val="00246ADB"/>
    <w:rsid w:val="0024799E"/>
    <w:rsid w:val="00247AC8"/>
    <w:rsid w:val="00250AFC"/>
    <w:rsid w:val="00250D3C"/>
    <w:rsid w:val="00250D40"/>
    <w:rsid w:val="00250D55"/>
    <w:rsid w:val="002514BB"/>
    <w:rsid w:val="002514E7"/>
    <w:rsid w:val="002517A5"/>
    <w:rsid w:val="002517FC"/>
    <w:rsid w:val="00251832"/>
    <w:rsid w:val="002519F0"/>
    <w:rsid w:val="00251BF1"/>
    <w:rsid w:val="00251C48"/>
    <w:rsid w:val="00251F6C"/>
    <w:rsid w:val="002521AE"/>
    <w:rsid w:val="0025249C"/>
    <w:rsid w:val="00252914"/>
    <w:rsid w:val="0025308B"/>
    <w:rsid w:val="002531AC"/>
    <w:rsid w:val="0025326C"/>
    <w:rsid w:val="002534B8"/>
    <w:rsid w:val="002535BC"/>
    <w:rsid w:val="0025381E"/>
    <w:rsid w:val="0025387E"/>
    <w:rsid w:val="002539B2"/>
    <w:rsid w:val="002539ED"/>
    <w:rsid w:val="00253A14"/>
    <w:rsid w:val="00253AF6"/>
    <w:rsid w:val="00253DBF"/>
    <w:rsid w:val="00253E8E"/>
    <w:rsid w:val="00253F7F"/>
    <w:rsid w:val="0025426A"/>
    <w:rsid w:val="002543C9"/>
    <w:rsid w:val="002543DD"/>
    <w:rsid w:val="0025440D"/>
    <w:rsid w:val="002544D4"/>
    <w:rsid w:val="0025450E"/>
    <w:rsid w:val="002547AB"/>
    <w:rsid w:val="00255152"/>
    <w:rsid w:val="00255217"/>
    <w:rsid w:val="0025542D"/>
    <w:rsid w:val="0025554E"/>
    <w:rsid w:val="00255AA6"/>
    <w:rsid w:val="00255EA3"/>
    <w:rsid w:val="00255F7C"/>
    <w:rsid w:val="0025612E"/>
    <w:rsid w:val="002561DE"/>
    <w:rsid w:val="00256371"/>
    <w:rsid w:val="002566C0"/>
    <w:rsid w:val="002567AF"/>
    <w:rsid w:val="00256835"/>
    <w:rsid w:val="00256A97"/>
    <w:rsid w:val="00256AF8"/>
    <w:rsid w:val="00256C9C"/>
    <w:rsid w:val="002570C4"/>
    <w:rsid w:val="002577DC"/>
    <w:rsid w:val="0026012C"/>
    <w:rsid w:val="00260278"/>
    <w:rsid w:val="00260455"/>
    <w:rsid w:val="002606DC"/>
    <w:rsid w:val="00261204"/>
    <w:rsid w:val="00261222"/>
    <w:rsid w:val="002617F5"/>
    <w:rsid w:val="00261886"/>
    <w:rsid w:val="0026196D"/>
    <w:rsid w:val="00261A06"/>
    <w:rsid w:val="00261A55"/>
    <w:rsid w:val="00261C2B"/>
    <w:rsid w:val="00261E3E"/>
    <w:rsid w:val="00262015"/>
    <w:rsid w:val="0026225B"/>
    <w:rsid w:val="002624C1"/>
    <w:rsid w:val="0026279F"/>
    <w:rsid w:val="00262A83"/>
    <w:rsid w:val="00263434"/>
    <w:rsid w:val="0026352A"/>
    <w:rsid w:val="002636B0"/>
    <w:rsid w:val="002638F4"/>
    <w:rsid w:val="00264947"/>
    <w:rsid w:val="00264A3A"/>
    <w:rsid w:val="00264A4C"/>
    <w:rsid w:val="00264AEE"/>
    <w:rsid w:val="0026533A"/>
    <w:rsid w:val="00265723"/>
    <w:rsid w:val="002658E1"/>
    <w:rsid w:val="00265B2C"/>
    <w:rsid w:val="00265DD9"/>
    <w:rsid w:val="00265FC6"/>
    <w:rsid w:val="002661E7"/>
    <w:rsid w:val="002662E2"/>
    <w:rsid w:val="002668BB"/>
    <w:rsid w:val="00266E7A"/>
    <w:rsid w:val="0026705F"/>
    <w:rsid w:val="0026726B"/>
    <w:rsid w:val="0026751A"/>
    <w:rsid w:val="0026765C"/>
    <w:rsid w:val="00267676"/>
    <w:rsid w:val="00267A0C"/>
    <w:rsid w:val="00267CF0"/>
    <w:rsid w:val="00267D10"/>
    <w:rsid w:val="00267DAB"/>
    <w:rsid w:val="00267F85"/>
    <w:rsid w:val="002703FE"/>
    <w:rsid w:val="0027058A"/>
    <w:rsid w:val="00270745"/>
    <w:rsid w:val="00270D98"/>
    <w:rsid w:val="00270E12"/>
    <w:rsid w:val="00270E8A"/>
    <w:rsid w:val="00270F0A"/>
    <w:rsid w:val="00270F9B"/>
    <w:rsid w:val="002710D7"/>
    <w:rsid w:val="00271269"/>
    <w:rsid w:val="0027131E"/>
    <w:rsid w:val="00271325"/>
    <w:rsid w:val="00271371"/>
    <w:rsid w:val="00271587"/>
    <w:rsid w:val="0027160C"/>
    <w:rsid w:val="002717F0"/>
    <w:rsid w:val="00271B58"/>
    <w:rsid w:val="00271E5B"/>
    <w:rsid w:val="00272281"/>
    <w:rsid w:val="00272489"/>
    <w:rsid w:val="00272692"/>
    <w:rsid w:val="00272747"/>
    <w:rsid w:val="002728BA"/>
    <w:rsid w:val="00272B21"/>
    <w:rsid w:val="00272B9E"/>
    <w:rsid w:val="00272DF1"/>
    <w:rsid w:val="002730C2"/>
    <w:rsid w:val="002735C4"/>
    <w:rsid w:val="00273CBF"/>
    <w:rsid w:val="00273E9A"/>
    <w:rsid w:val="002740DE"/>
    <w:rsid w:val="002745FA"/>
    <w:rsid w:val="002745FF"/>
    <w:rsid w:val="0027481A"/>
    <w:rsid w:val="00274C7D"/>
    <w:rsid w:val="00274E3F"/>
    <w:rsid w:val="002751D1"/>
    <w:rsid w:val="00275209"/>
    <w:rsid w:val="0027543E"/>
    <w:rsid w:val="002755C4"/>
    <w:rsid w:val="00275ABB"/>
    <w:rsid w:val="00275B33"/>
    <w:rsid w:val="00275C90"/>
    <w:rsid w:val="00275CEB"/>
    <w:rsid w:val="00275DE4"/>
    <w:rsid w:val="00275FE9"/>
    <w:rsid w:val="0027633F"/>
    <w:rsid w:val="0027664B"/>
    <w:rsid w:val="00276B31"/>
    <w:rsid w:val="00276DD6"/>
    <w:rsid w:val="0027714D"/>
    <w:rsid w:val="00277178"/>
    <w:rsid w:val="00277546"/>
    <w:rsid w:val="00277B11"/>
    <w:rsid w:val="00277D0A"/>
    <w:rsid w:val="00277D14"/>
    <w:rsid w:val="00277EDC"/>
    <w:rsid w:val="0028031A"/>
    <w:rsid w:val="00280741"/>
    <w:rsid w:val="00280AC1"/>
    <w:rsid w:val="00280BE4"/>
    <w:rsid w:val="00280E7B"/>
    <w:rsid w:val="00281073"/>
    <w:rsid w:val="00281567"/>
    <w:rsid w:val="00281569"/>
    <w:rsid w:val="00281787"/>
    <w:rsid w:val="002817E6"/>
    <w:rsid w:val="00281B93"/>
    <w:rsid w:val="00281BD8"/>
    <w:rsid w:val="00281EDD"/>
    <w:rsid w:val="00281FD6"/>
    <w:rsid w:val="00282A43"/>
    <w:rsid w:val="002832B5"/>
    <w:rsid w:val="0028366D"/>
    <w:rsid w:val="00283748"/>
    <w:rsid w:val="002838E7"/>
    <w:rsid w:val="00284003"/>
    <w:rsid w:val="002841E2"/>
    <w:rsid w:val="002841F7"/>
    <w:rsid w:val="00284340"/>
    <w:rsid w:val="002847A4"/>
    <w:rsid w:val="0028488D"/>
    <w:rsid w:val="00284A9F"/>
    <w:rsid w:val="00284C7F"/>
    <w:rsid w:val="00284E8F"/>
    <w:rsid w:val="002851AA"/>
    <w:rsid w:val="002851D0"/>
    <w:rsid w:val="0028565B"/>
    <w:rsid w:val="00285E59"/>
    <w:rsid w:val="00286BD2"/>
    <w:rsid w:val="0028781C"/>
    <w:rsid w:val="00287BE9"/>
    <w:rsid w:val="00287E78"/>
    <w:rsid w:val="002902BA"/>
    <w:rsid w:val="002905AC"/>
    <w:rsid w:val="00290676"/>
    <w:rsid w:val="00290CF0"/>
    <w:rsid w:val="00290DE9"/>
    <w:rsid w:val="00291462"/>
    <w:rsid w:val="00291572"/>
    <w:rsid w:val="0029199C"/>
    <w:rsid w:val="00291B1A"/>
    <w:rsid w:val="00291B34"/>
    <w:rsid w:val="00291B59"/>
    <w:rsid w:val="00291D01"/>
    <w:rsid w:val="00291E49"/>
    <w:rsid w:val="00291F05"/>
    <w:rsid w:val="00292250"/>
    <w:rsid w:val="0029249A"/>
    <w:rsid w:val="0029257A"/>
    <w:rsid w:val="0029291A"/>
    <w:rsid w:val="00292B82"/>
    <w:rsid w:val="002930FE"/>
    <w:rsid w:val="0029327F"/>
    <w:rsid w:val="00293355"/>
    <w:rsid w:val="002934EF"/>
    <w:rsid w:val="0029365B"/>
    <w:rsid w:val="002936DF"/>
    <w:rsid w:val="00293A7E"/>
    <w:rsid w:val="00293C48"/>
    <w:rsid w:val="00293CE5"/>
    <w:rsid w:val="00294546"/>
    <w:rsid w:val="002945BB"/>
    <w:rsid w:val="002947FD"/>
    <w:rsid w:val="00294D03"/>
    <w:rsid w:val="00295383"/>
    <w:rsid w:val="00295863"/>
    <w:rsid w:val="00295C80"/>
    <w:rsid w:val="00295F13"/>
    <w:rsid w:val="00296045"/>
    <w:rsid w:val="00296570"/>
    <w:rsid w:val="00296669"/>
    <w:rsid w:val="0029667B"/>
    <w:rsid w:val="0029674A"/>
    <w:rsid w:val="0029704E"/>
    <w:rsid w:val="0029719A"/>
    <w:rsid w:val="002977E1"/>
    <w:rsid w:val="00297DA9"/>
    <w:rsid w:val="00297EF8"/>
    <w:rsid w:val="002A04B4"/>
    <w:rsid w:val="002A04E9"/>
    <w:rsid w:val="002A08E6"/>
    <w:rsid w:val="002A093E"/>
    <w:rsid w:val="002A1067"/>
    <w:rsid w:val="002A145B"/>
    <w:rsid w:val="002A152D"/>
    <w:rsid w:val="002A1675"/>
    <w:rsid w:val="002A16BA"/>
    <w:rsid w:val="002A18BE"/>
    <w:rsid w:val="002A1C66"/>
    <w:rsid w:val="002A1CD8"/>
    <w:rsid w:val="002A20D7"/>
    <w:rsid w:val="002A23D9"/>
    <w:rsid w:val="002A265B"/>
    <w:rsid w:val="002A2A8E"/>
    <w:rsid w:val="002A2A96"/>
    <w:rsid w:val="002A30CE"/>
    <w:rsid w:val="002A315A"/>
    <w:rsid w:val="002A36F6"/>
    <w:rsid w:val="002A3CEE"/>
    <w:rsid w:val="002A4084"/>
    <w:rsid w:val="002A40F1"/>
    <w:rsid w:val="002A4523"/>
    <w:rsid w:val="002A456F"/>
    <w:rsid w:val="002A4796"/>
    <w:rsid w:val="002A4AD6"/>
    <w:rsid w:val="002A4B61"/>
    <w:rsid w:val="002A4DD9"/>
    <w:rsid w:val="002A52D1"/>
    <w:rsid w:val="002A5501"/>
    <w:rsid w:val="002A579A"/>
    <w:rsid w:val="002A5996"/>
    <w:rsid w:val="002A5A26"/>
    <w:rsid w:val="002A6402"/>
    <w:rsid w:val="002A65A0"/>
    <w:rsid w:val="002A6A6A"/>
    <w:rsid w:val="002A7196"/>
    <w:rsid w:val="002A73F8"/>
    <w:rsid w:val="002A75A0"/>
    <w:rsid w:val="002A76AE"/>
    <w:rsid w:val="002A796F"/>
    <w:rsid w:val="002A7A88"/>
    <w:rsid w:val="002A7EA8"/>
    <w:rsid w:val="002B032B"/>
    <w:rsid w:val="002B0370"/>
    <w:rsid w:val="002B0383"/>
    <w:rsid w:val="002B0568"/>
    <w:rsid w:val="002B0BDE"/>
    <w:rsid w:val="002B0E19"/>
    <w:rsid w:val="002B1031"/>
    <w:rsid w:val="002B1166"/>
    <w:rsid w:val="002B1224"/>
    <w:rsid w:val="002B1384"/>
    <w:rsid w:val="002B18ED"/>
    <w:rsid w:val="002B1C34"/>
    <w:rsid w:val="002B1F10"/>
    <w:rsid w:val="002B2428"/>
    <w:rsid w:val="002B2813"/>
    <w:rsid w:val="002B2880"/>
    <w:rsid w:val="002B330D"/>
    <w:rsid w:val="002B349C"/>
    <w:rsid w:val="002B3681"/>
    <w:rsid w:val="002B43A6"/>
    <w:rsid w:val="002B447D"/>
    <w:rsid w:val="002B46B7"/>
    <w:rsid w:val="002B4855"/>
    <w:rsid w:val="002B4F2D"/>
    <w:rsid w:val="002B51B9"/>
    <w:rsid w:val="002B576C"/>
    <w:rsid w:val="002B5900"/>
    <w:rsid w:val="002B5B4F"/>
    <w:rsid w:val="002B5C60"/>
    <w:rsid w:val="002B63A5"/>
    <w:rsid w:val="002B63BB"/>
    <w:rsid w:val="002B667C"/>
    <w:rsid w:val="002B6CC2"/>
    <w:rsid w:val="002B6FC6"/>
    <w:rsid w:val="002B7146"/>
    <w:rsid w:val="002B715A"/>
    <w:rsid w:val="002B723C"/>
    <w:rsid w:val="002B7320"/>
    <w:rsid w:val="002B759B"/>
    <w:rsid w:val="002B76B0"/>
    <w:rsid w:val="002B77BA"/>
    <w:rsid w:val="002B7D0B"/>
    <w:rsid w:val="002B7F95"/>
    <w:rsid w:val="002C05F0"/>
    <w:rsid w:val="002C09F4"/>
    <w:rsid w:val="002C0B48"/>
    <w:rsid w:val="002C0FC7"/>
    <w:rsid w:val="002C11CA"/>
    <w:rsid w:val="002C16C8"/>
    <w:rsid w:val="002C17D0"/>
    <w:rsid w:val="002C1C14"/>
    <w:rsid w:val="002C1EDD"/>
    <w:rsid w:val="002C2481"/>
    <w:rsid w:val="002C249A"/>
    <w:rsid w:val="002C2735"/>
    <w:rsid w:val="002C2A57"/>
    <w:rsid w:val="002C2FC7"/>
    <w:rsid w:val="002C33F6"/>
    <w:rsid w:val="002C3588"/>
    <w:rsid w:val="002C3AEB"/>
    <w:rsid w:val="002C3B52"/>
    <w:rsid w:val="002C3C2C"/>
    <w:rsid w:val="002C3F61"/>
    <w:rsid w:val="002C4092"/>
    <w:rsid w:val="002C40E0"/>
    <w:rsid w:val="002C45AB"/>
    <w:rsid w:val="002C45E8"/>
    <w:rsid w:val="002C46B0"/>
    <w:rsid w:val="002C4BCB"/>
    <w:rsid w:val="002C533C"/>
    <w:rsid w:val="002C5A89"/>
    <w:rsid w:val="002C5CD8"/>
    <w:rsid w:val="002C6170"/>
    <w:rsid w:val="002C6259"/>
    <w:rsid w:val="002C6C4D"/>
    <w:rsid w:val="002C70CE"/>
    <w:rsid w:val="002C71E1"/>
    <w:rsid w:val="002C7306"/>
    <w:rsid w:val="002C74E5"/>
    <w:rsid w:val="002C751B"/>
    <w:rsid w:val="002C7BF0"/>
    <w:rsid w:val="002C7F37"/>
    <w:rsid w:val="002D0155"/>
    <w:rsid w:val="002D0CEE"/>
    <w:rsid w:val="002D12E7"/>
    <w:rsid w:val="002D15AC"/>
    <w:rsid w:val="002D18AC"/>
    <w:rsid w:val="002D1A1D"/>
    <w:rsid w:val="002D1C11"/>
    <w:rsid w:val="002D1E95"/>
    <w:rsid w:val="002D1EB3"/>
    <w:rsid w:val="002D1EFB"/>
    <w:rsid w:val="002D20F7"/>
    <w:rsid w:val="002D256B"/>
    <w:rsid w:val="002D2A41"/>
    <w:rsid w:val="002D2CDD"/>
    <w:rsid w:val="002D3440"/>
    <w:rsid w:val="002D3AD6"/>
    <w:rsid w:val="002D3C2B"/>
    <w:rsid w:val="002D3CDA"/>
    <w:rsid w:val="002D3EAF"/>
    <w:rsid w:val="002D42A0"/>
    <w:rsid w:val="002D46FB"/>
    <w:rsid w:val="002D4761"/>
    <w:rsid w:val="002D5097"/>
    <w:rsid w:val="002D54CD"/>
    <w:rsid w:val="002D55E4"/>
    <w:rsid w:val="002D5E1A"/>
    <w:rsid w:val="002D6006"/>
    <w:rsid w:val="002D613F"/>
    <w:rsid w:val="002D6270"/>
    <w:rsid w:val="002D63D7"/>
    <w:rsid w:val="002D66B1"/>
    <w:rsid w:val="002D690D"/>
    <w:rsid w:val="002D6966"/>
    <w:rsid w:val="002D6985"/>
    <w:rsid w:val="002D738D"/>
    <w:rsid w:val="002D73AD"/>
    <w:rsid w:val="002D7507"/>
    <w:rsid w:val="002D7B00"/>
    <w:rsid w:val="002D7F7B"/>
    <w:rsid w:val="002E014C"/>
    <w:rsid w:val="002E0336"/>
    <w:rsid w:val="002E0408"/>
    <w:rsid w:val="002E0464"/>
    <w:rsid w:val="002E054C"/>
    <w:rsid w:val="002E0C33"/>
    <w:rsid w:val="002E1216"/>
    <w:rsid w:val="002E15F8"/>
    <w:rsid w:val="002E165A"/>
    <w:rsid w:val="002E1789"/>
    <w:rsid w:val="002E184F"/>
    <w:rsid w:val="002E186C"/>
    <w:rsid w:val="002E1967"/>
    <w:rsid w:val="002E1CAA"/>
    <w:rsid w:val="002E1CDE"/>
    <w:rsid w:val="002E1EAD"/>
    <w:rsid w:val="002E2AF6"/>
    <w:rsid w:val="002E2B1B"/>
    <w:rsid w:val="002E300A"/>
    <w:rsid w:val="002E3292"/>
    <w:rsid w:val="002E34FD"/>
    <w:rsid w:val="002E36CF"/>
    <w:rsid w:val="002E3A67"/>
    <w:rsid w:val="002E3EEA"/>
    <w:rsid w:val="002E43B7"/>
    <w:rsid w:val="002E4591"/>
    <w:rsid w:val="002E4D8F"/>
    <w:rsid w:val="002E51CC"/>
    <w:rsid w:val="002E55D3"/>
    <w:rsid w:val="002E5837"/>
    <w:rsid w:val="002E5C7A"/>
    <w:rsid w:val="002E5DE0"/>
    <w:rsid w:val="002E61C7"/>
    <w:rsid w:val="002E63BE"/>
    <w:rsid w:val="002E677B"/>
    <w:rsid w:val="002E6E7F"/>
    <w:rsid w:val="002E6FD4"/>
    <w:rsid w:val="002E7227"/>
    <w:rsid w:val="002E724E"/>
    <w:rsid w:val="002E75D6"/>
    <w:rsid w:val="002E75D8"/>
    <w:rsid w:val="002E7775"/>
    <w:rsid w:val="002E7AD2"/>
    <w:rsid w:val="002E7B2B"/>
    <w:rsid w:val="002E7D03"/>
    <w:rsid w:val="002E7F58"/>
    <w:rsid w:val="002E7F7D"/>
    <w:rsid w:val="002F0131"/>
    <w:rsid w:val="002F0168"/>
    <w:rsid w:val="002F044B"/>
    <w:rsid w:val="002F082F"/>
    <w:rsid w:val="002F084D"/>
    <w:rsid w:val="002F0D1F"/>
    <w:rsid w:val="002F0F5C"/>
    <w:rsid w:val="002F0FBD"/>
    <w:rsid w:val="002F121F"/>
    <w:rsid w:val="002F1399"/>
    <w:rsid w:val="002F1515"/>
    <w:rsid w:val="002F1E08"/>
    <w:rsid w:val="002F2455"/>
    <w:rsid w:val="002F2FEA"/>
    <w:rsid w:val="002F30C2"/>
    <w:rsid w:val="002F32FB"/>
    <w:rsid w:val="002F34CD"/>
    <w:rsid w:val="002F352C"/>
    <w:rsid w:val="002F36BA"/>
    <w:rsid w:val="002F3915"/>
    <w:rsid w:val="002F3BC4"/>
    <w:rsid w:val="002F3E59"/>
    <w:rsid w:val="002F3F31"/>
    <w:rsid w:val="002F3F7B"/>
    <w:rsid w:val="002F409A"/>
    <w:rsid w:val="002F49F9"/>
    <w:rsid w:val="002F4B86"/>
    <w:rsid w:val="002F4B8A"/>
    <w:rsid w:val="002F52F1"/>
    <w:rsid w:val="002F5389"/>
    <w:rsid w:val="002F5611"/>
    <w:rsid w:val="002F5624"/>
    <w:rsid w:val="002F5B3E"/>
    <w:rsid w:val="002F5F5E"/>
    <w:rsid w:val="002F5F85"/>
    <w:rsid w:val="002F66CB"/>
    <w:rsid w:val="002F68CB"/>
    <w:rsid w:val="002F693F"/>
    <w:rsid w:val="002F6A17"/>
    <w:rsid w:val="002F6D8D"/>
    <w:rsid w:val="002F6DB4"/>
    <w:rsid w:val="002F745B"/>
    <w:rsid w:val="002F74BC"/>
    <w:rsid w:val="00300391"/>
    <w:rsid w:val="00300608"/>
    <w:rsid w:val="003008CC"/>
    <w:rsid w:val="00300AF9"/>
    <w:rsid w:val="00300B81"/>
    <w:rsid w:val="00300C16"/>
    <w:rsid w:val="00300E2E"/>
    <w:rsid w:val="00301763"/>
    <w:rsid w:val="00301CAB"/>
    <w:rsid w:val="00301F09"/>
    <w:rsid w:val="00301F1A"/>
    <w:rsid w:val="00302252"/>
    <w:rsid w:val="00302958"/>
    <w:rsid w:val="00302AC7"/>
    <w:rsid w:val="00302F61"/>
    <w:rsid w:val="00303221"/>
    <w:rsid w:val="00303449"/>
    <w:rsid w:val="003035BA"/>
    <w:rsid w:val="003037E7"/>
    <w:rsid w:val="00303802"/>
    <w:rsid w:val="00303C60"/>
    <w:rsid w:val="00303E57"/>
    <w:rsid w:val="00303EF3"/>
    <w:rsid w:val="0030403B"/>
    <w:rsid w:val="00304595"/>
    <w:rsid w:val="00304D21"/>
    <w:rsid w:val="00304EBB"/>
    <w:rsid w:val="00304FB8"/>
    <w:rsid w:val="003051C0"/>
    <w:rsid w:val="00305328"/>
    <w:rsid w:val="00305613"/>
    <w:rsid w:val="003056CA"/>
    <w:rsid w:val="003056F5"/>
    <w:rsid w:val="0030572D"/>
    <w:rsid w:val="00305742"/>
    <w:rsid w:val="00305AC0"/>
    <w:rsid w:val="003060A8"/>
    <w:rsid w:val="00306259"/>
    <w:rsid w:val="003062F6"/>
    <w:rsid w:val="003063A2"/>
    <w:rsid w:val="00306869"/>
    <w:rsid w:val="00306E7A"/>
    <w:rsid w:val="00307299"/>
    <w:rsid w:val="00307366"/>
    <w:rsid w:val="00307403"/>
    <w:rsid w:val="003105C7"/>
    <w:rsid w:val="00310B9B"/>
    <w:rsid w:val="00310C3F"/>
    <w:rsid w:val="00310C73"/>
    <w:rsid w:val="003116DF"/>
    <w:rsid w:val="0031173A"/>
    <w:rsid w:val="003120C3"/>
    <w:rsid w:val="003121BC"/>
    <w:rsid w:val="003123F3"/>
    <w:rsid w:val="00312530"/>
    <w:rsid w:val="00312678"/>
    <w:rsid w:val="0031329D"/>
    <w:rsid w:val="003134B5"/>
    <w:rsid w:val="00313594"/>
    <w:rsid w:val="00313916"/>
    <w:rsid w:val="00313A43"/>
    <w:rsid w:val="00313F28"/>
    <w:rsid w:val="003140D2"/>
    <w:rsid w:val="00314328"/>
    <w:rsid w:val="00314391"/>
    <w:rsid w:val="003143E4"/>
    <w:rsid w:val="0031481C"/>
    <w:rsid w:val="00314947"/>
    <w:rsid w:val="00314BF3"/>
    <w:rsid w:val="00314D28"/>
    <w:rsid w:val="003157A2"/>
    <w:rsid w:val="00315B26"/>
    <w:rsid w:val="00315DC2"/>
    <w:rsid w:val="00315EAF"/>
    <w:rsid w:val="003160CE"/>
    <w:rsid w:val="00316882"/>
    <w:rsid w:val="0031697B"/>
    <w:rsid w:val="00316B85"/>
    <w:rsid w:val="00316BCE"/>
    <w:rsid w:val="003174D6"/>
    <w:rsid w:val="00317714"/>
    <w:rsid w:val="00320400"/>
    <w:rsid w:val="00320A17"/>
    <w:rsid w:val="00320C37"/>
    <w:rsid w:val="00320EB8"/>
    <w:rsid w:val="00320F11"/>
    <w:rsid w:val="00321393"/>
    <w:rsid w:val="0032171E"/>
    <w:rsid w:val="003219BF"/>
    <w:rsid w:val="00321DB1"/>
    <w:rsid w:val="00322453"/>
    <w:rsid w:val="0032247C"/>
    <w:rsid w:val="003225F1"/>
    <w:rsid w:val="003226AF"/>
    <w:rsid w:val="003228EC"/>
    <w:rsid w:val="00322AFD"/>
    <w:rsid w:val="00322DA9"/>
    <w:rsid w:val="00322DBF"/>
    <w:rsid w:val="00322DC1"/>
    <w:rsid w:val="0032322B"/>
    <w:rsid w:val="00323299"/>
    <w:rsid w:val="00323335"/>
    <w:rsid w:val="00323580"/>
    <w:rsid w:val="00323854"/>
    <w:rsid w:val="00323AF6"/>
    <w:rsid w:val="00323CC4"/>
    <w:rsid w:val="003241ED"/>
    <w:rsid w:val="0032423A"/>
    <w:rsid w:val="003242A1"/>
    <w:rsid w:val="003244A0"/>
    <w:rsid w:val="003245D6"/>
    <w:rsid w:val="0032479F"/>
    <w:rsid w:val="00324CAA"/>
    <w:rsid w:val="003251C2"/>
    <w:rsid w:val="003254C1"/>
    <w:rsid w:val="00325594"/>
    <w:rsid w:val="00325C11"/>
    <w:rsid w:val="00325D0E"/>
    <w:rsid w:val="00325FA0"/>
    <w:rsid w:val="00326274"/>
    <w:rsid w:val="003263FA"/>
    <w:rsid w:val="003267CA"/>
    <w:rsid w:val="00326AF5"/>
    <w:rsid w:val="00326B63"/>
    <w:rsid w:val="00326D44"/>
    <w:rsid w:val="00326F1C"/>
    <w:rsid w:val="00327162"/>
    <w:rsid w:val="0032739C"/>
    <w:rsid w:val="0032741A"/>
    <w:rsid w:val="0032749A"/>
    <w:rsid w:val="00327F45"/>
    <w:rsid w:val="003303EA"/>
    <w:rsid w:val="00330463"/>
    <w:rsid w:val="00330A0A"/>
    <w:rsid w:val="00330CD4"/>
    <w:rsid w:val="00330E6B"/>
    <w:rsid w:val="00331A44"/>
    <w:rsid w:val="00332135"/>
    <w:rsid w:val="00332325"/>
    <w:rsid w:val="003325C9"/>
    <w:rsid w:val="00332640"/>
    <w:rsid w:val="00332794"/>
    <w:rsid w:val="003328A9"/>
    <w:rsid w:val="00332E31"/>
    <w:rsid w:val="00332F1A"/>
    <w:rsid w:val="00332F7F"/>
    <w:rsid w:val="00333718"/>
    <w:rsid w:val="00333930"/>
    <w:rsid w:val="00333E7D"/>
    <w:rsid w:val="00333FA6"/>
    <w:rsid w:val="00334242"/>
    <w:rsid w:val="00334247"/>
    <w:rsid w:val="003347F0"/>
    <w:rsid w:val="003348BA"/>
    <w:rsid w:val="00334B09"/>
    <w:rsid w:val="0033510E"/>
    <w:rsid w:val="00335974"/>
    <w:rsid w:val="00335AB1"/>
    <w:rsid w:val="003362DD"/>
    <w:rsid w:val="0033646D"/>
    <w:rsid w:val="003364F6"/>
    <w:rsid w:val="003365B8"/>
    <w:rsid w:val="00336A89"/>
    <w:rsid w:val="00336CB0"/>
    <w:rsid w:val="003371A1"/>
    <w:rsid w:val="003371B5"/>
    <w:rsid w:val="00337BAF"/>
    <w:rsid w:val="00337D68"/>
    <w:rsid w:val="003401FA"/>
    <w:rsid w:val="00340341"/>
    <w:rsid w:val="003404FF"/>
    <w:rsid w:val="003409F8"/>
    <w:rsid w:val="00340C34"/>
    <w:rsid w:val="00340FCA"/>
    <w:rsid w:val="00341449"/>
    <w:rsid w:val="003417CB"/>
    <w:rsid w:val="00341BE4"/>
    <w:rsid w:val="00342389"/>
    <w:rsid w:val="00342803"/>
    <w:rsid w:val="003428D1"/>
    <w:rsid w:val="003430EC"/>
    <w:rsid w:val="003435A9"/>
    <w:rsid w:val="00343871"/>
    <w:rsid w:val="00343962"/>
    <w:rsid w:val="003440D5"/>
    <w:rsid w:val="003443B0"/>
    <w:rsid w:val="00344649"/>
    <w:rsid w:val="0034465A"/>
    <w:rsid w:val="0034490A"/>
    <w:rsid w:val="003449F1"/>
    <w:rsid w:val="00344BC5"/>
    <w:rsid w:val="00344C3D"/>
    <w:rsid w:val="00344C7E"/>
    <w:rsid w:val="003453BF"/>
    <w:rsid w:val="00345496"/>
    <w:rsid w:val="00345696"/>
    <w:rsid w:val="00345BCF"/>
    <w:rsid w:val="00345BD4"/>
    <w:rsid w:val="00345CD9"/>
    <w:rsid w:val="00345F88"/>
    <w:rsid w:val="003466F9"/>
    <w:rsid w:val="00346C38"/>
    <w:rsid w:val="00346E29"/>
    <w:rsid w:val="00347993"/>
    <w:rsid w:val="00347AF6"/>
    <w:rsid w:val="00347B7F"/>
    <w:rsid w:val="00347DB6"/>
    <w:rsid w:val="00347E6C"/>
    <w:rsid w:val="00350092"/>
    <w:rsid w:val="003502EB"/>
    <w:rsid w:val="003503AA"/>
    <w:rsid w:val="0035065A"/>
    <w:rsid w:val="0035097C"/>
    <w:rsid w:val="00351341"/>
    <w:rsid w:val="0035147D"/>
    <w:rsid w:val="00351578"/>
    <w:rsid w:val="00351628"/>
    <w:rsid w:val="003519AD"/>
    <w:rsid w:val="003519E2"/>
    <w:rsid w:val="00351CA2"/>
    <w:rsid w:val="00351E0E"/>
    <w:rsid w:val="00352AD9"/>
    <w:rsid w:val="00352D03"/>
    <w:rsid w:val="00352DD9"/>
    <w:rsid w:val="0035346F"/>
    <w:rsid w:val="00353525"/>
    <w:rsid w:val="0035388D"/>
    <w:rsid w:val="00353AD0"/>
    <w:rsid w:val="00353AD5"/>
    <w:rsid w:val="00353D7F"/>
    <w:rsid w:val="00353FCC"/>
    <w:rsid w:val="00354057"/>
    <w:rsid w:val="0035434B"/>
    <w:rsid w:val="003543DF"/>
    <w:rsid w:val="00354EB4"/>
    <w:rsid w:val="00354EDD"/>
    <w:rsid w:val="00355A29"/>
    <w:rsid w:val="00355BB7"/>
    <w:rsid w:val="003560DD"/>
    <w:rsid w:val="003563B1"/>
    <w:rsid w:val="00356D29"/>
    <w:rsid w:val="00357151"/>
    <w:rsid w:val="003571C2"/>
    <w:rsid w:val="00357703"/>
    <w:rsid w:val="0035796A"/>
    <w:rsid w:val="00360049"/>
    <w:rsid w:val="003600E1"/>
    <w:rsid w:val="00360B16"/>
    <w:rsid w:val="00360BEB"/>
    <w:rsid w:val="00360C10"/>
    <w:rsid w:val="00360FCD"/>
    <w:rsid w:val="00361604"/>
    <w:rsid w:val="00361730"/>
    <w:rsid w:val="00361BD1"/>
    <w:rsid w:val="00361C5E"/>
    <w:rsid w:val="00361D72"/>
    <w:rsid w:val="003621F5"/>
    <w:rsid w:val="003621FB"/>
    <w:rsid w:val="003628D5"/>
    <w:rsid w:val="003629D4"/>
    <w:rsid w:val="00362E29"/>
    <w:rsid w:val="003632F4"/>
    <w:rsid w:val="00363391"/>
    <w:rsid w:val="0036340C"/>
    <w:rsid w:val="00363467"/>
    <w:rsid w:val="003636AB"/>
    <w:rsid w:val="00363A04"/>
    <w:rsid w:val="00363B3D"/>
    <w:rsid w:val="00363D67"/>
    <w:rsid w:val="00363EAD"/>
    <w:rsid w:val="003640A7"/>
    <w:rsid w:val="003640F4"/>
    <w:rsid w:val="0036450C"/>
    <w:rsid w:val="00364668"/>
    <w:rsid w:val="00364C97"/>
    <w:rsid w:val="00364DB2"/>
    <w:rsid w:val="00365067"/>
    <w:rsid w:val="00365327"/>
    <w:rsid w:val="00365447"/>
    <w:rsid w:val="00365733"/>
    <w:rsid w:val="00365D50"/>
    <w:rsid w:val="00365DD6"/>
    <w:rsid w:val="003660BC"/>
    <w:rsid w:val="003662AF"/>
    <w:rsid w:val="00366744"/>
    <w:rsid w:val="00366DAD"/>
    <w:rsid w:val="003676DD"/>
    <w:rsid w:val="00367738"/>
    <w:rsid w:val="0036780E"/>
    <w:rsid w:val="0036794E"/>
    <w:rsid w:val="00367C0A"/>
    <w:rsid w:val="00367DC7"/>
    <w:rsid w:val="00370063"/>
    <w:rsid w:val="003701B7"/>
    <w:rsid w:val="003701EC"/>
    <w:rsid w:val="00370F66"/>
    <w:rsid w:val="00371533"/>
    <w:rsid w:val="00371649"/>
    <w:rsid w:val="003717A8"/>
    <w:rsid w:val="00371BFF"/>
    <w:rsid w:val="00371DDD"/>
    <w:rsid w:val="00371DDF"/>
    <w:rsid w:val="00371F58"/>
    <w:rsid w:val="003725AA"/>
    <w:rsid w:val="00372645"/>
    <w:rsid w:val="00373189"/>
    <w:rsid w:val="0037332F"/>
    <w:rsid w:val="003734B9"/>
    <w:rsid w:val="0037378F"/>
    <w:rsid w:val="003739C3"/>
    <w:rsid w:val="00373C2A"/>
    <w:rsid w:val="00373DA1"/>
    <w:rsid w:val="00373F7C"/>
    <w:rsid w:val="003741EC"/>
    <w:rsid w:val="0037449D"/>
    <w:rsid w:val="00374B6C"/>
    <w:rsid w:val="00374BB5"/>
    <w:rsid w:val="00374DEC"/>
    <w:rsid w:val="00374FFE"/>
    <w:rsid w:val="00375097"/>
    <w:rsid w:val="003751BB"/>
    <w:rsid w:val="0037553C"/>
    <w:rsid w:val="003758A4"/>
    <w:rsid w:val="003758B5"/>
    <w:rsid w:val="00375D01"/>
    <w:rsid w:val="0037651C"/>
    <w:rsid w:val="00376562"/>
    <w:rsid w:val="00376EDF"/>
    <w:rsid w:val="003770EA"/>
    <w:rsid w:val="00377101"/>
    <w:rsid w:val="00377111"/>
    <w:rsid w:val="0037769C"/>
    <w:rsid w:val="00377DB3"/>
    <w:rsid w:val="00377E21"/>
    <w:rsid w:val="003801D1"/>
    <w:rsid w:val="00380ED9"/>
    <w:rsid w:val="0038125C"/>
    <w:rsid w:val="0038146C"/>
    <w:rsid w:val="00381A8D"/>
    <w:rsid w:val="00381C05"/>
    <w:rsid w:val="0038243E"/>
    <w:rsid w:val="003825C3"/>
    <w:rsid w:val="00382609"/>
    <w:rsid w:val="00382A5F"/>
    <w:rsid w:val="00382B04"/>
    <w:rsid w:val="00382BA8"/>
    <w:rsid w:val="00382CB1"/>
    <w:rsid w:val="00383472"/>
    <w:rsid w:val="003834B9"/>
    <w:rsid w:val="00383CEF"/>
    <w:rsid w:val="0038443D"/>
    <w:rsid w:val="00384946"/>
    <w:rsid w:val="00384BDF"/>
    <w:rsid w:val="00384DB2"/>
    <w:rsid w:val="003857EF"/>
    <w:rsid w:val="003859C6"/>
    <w:rsid w:val="00385E79"/>
    <w:rsid w:val="00386124"/>
    <w:rsid w:val="003863C4"/>
    <w:rsid w:val="00386428"/>
    <w:rsid w:val="003864D5"/>
    <w:rsid w:val="0038669F"/>
    <w:rsid w:val="003868BC"/>
    <w:rsid w:val="00386E06"/>
    <w:rsid w:val="00387133"/>
    <w:rsid w:val="00387667"/>
    <w:rsid w:val="003876DF"/>
    <w:rsid w:val="003876F6"/>
    <w:rsid w:val="00387992"/>
    <w:rsid w:val="00387CA0"/>
    <w:rsid w:val="0039008A"/>
    <w:rsid w:val="00390163"/>
    <w:rsid w:val="00390380"/>
    <w:rsid w:val="00390567"/>
    <w:rsid w:val="003907FD"/>
    <w:rsid w:val="00390910"/>
    <w:rsid w:val="00390BD2"/>
    <w:rsid w:val="00391C4A"/>
    <w:rsid w:val="00392506"/>
    <w:rsid w:val="00392ED2"/>
    <w:rsid w:val="003932B7"/>
    <w:rsid w:val="00393737"/>
    <w:rsid w:val="00393978"/>
    <w:rsid w:val="00393E5D"/>
    <w:rsid w:val="00394746"/>
    <w:rsid w:val="0039499D"/>
    <w:rsid w:val="00394C3E"/>
    <w:rsid w:val="00394EB1"/>
    <w:rsid w:val="003953A9"/>
    <w:rsid w:val="0039584C"/>
    <w:rsid w:val="00395BDA"/>
    <w:rsid w:val="00395D48"/>
    <w:rsid w:val="00395E9A"/>
    <w:rsid w:val="00395F7E"/>
    <w:rsid w:val="00396621"/>
    <w:rsid w:val="003966AD"/>
    <w:rsid w:val="003966D0"/>
    <w:rsid w:val="003966F6"/>
    <w:rsid w:val="0039671F"/>
    <w:rsid w:val="0039677D"/>
    <w:rsid w:val="0039692A"/>
    <w:rsid w:val="003969F7"/>
    <w:rsid w:val="00396F46"/>
    <w:rsid w:val="003970E4"/>
    <w:rsid w:val="0039759C"/>
    <w:rsid w:val="00397BEB"/>
    <w:rsid w:val="00397DA5"/>
    <w:rsid w:val="00397E5D"/>
    <w:rsid w:val="003A0282"/>
    <w:rsid w:val="003A0660"/>
    <w:rsid w:val="003A0705"/>
    <w:rsid w:val="003A0D52"/>
    <w:rsid w:val="003A0DB3"/>
    <w:rsid w:val="003A0E9A"/>
    <w:rsid w:val="003A149E"/>
    <w:rsid w:val="003A21E5"/>
    <w:rsid w:val="003A2351"/>
    <w:rsid w:val="003A270F"/>
    <w:rsid w:val="003A27EE"/>
    <w:rsid w:val="003A2B75"/>
    <w:rsid w:val="003A2B79"/>
    <w:rsid w:val="003A2E14"/>
    <w:rsid w:val="003A2E1D"/>
    <w:rsid w:val="003A2ED1"/>
    <w:rsid w:val="003A3026"/>
    <w:rsid w:val="003A31E8"/>
    <w:rsid w:val="003A3946"/>
    <w:rsid w:val="003A3AAC"/>
    <w:rsid w:val="003A3BED"/>
    <w:rsid w:val="003A3DDC"/>
    <w:rsid w:val="003A46BB"/>
    <w:rsid w:val="003A4961"/>
    <w:rsid w:val="003A4B24"/>
    <w:rsid w:val="003A4C47"/>
    <w:rsid w:val="003A4E21"/>
    <w:rsid w:val="003A5279"/>
    <w:rsid w:val="003A5301"/>
    <w:rsid w:val="003A53C5"/>
    <w:rsid w:val="003A5963"/>
    <w:rsid w:val="003A5977"/>
    <w:rsid w:val="003A5A97"/>
    <w:rsid w:val="003A6032"/>
    <w:rsid w:val="003A612B"/>
    <w:rsid w:val="003A618B"/>
    <w:rsid w:val="003A6443"/>
    <w:rsid w:val="003A6671"/>
    <w:rsid w:val="003A6684"/>
    <w:rsid w:val="003A6724"/>
    <w:rsid w:val="003A678E"/>
    <w:rsid w:val="003A6821"/>
    <w:rsid w:val="003A6BB3"/>
    <w:rsid w:val="003A6E1A"/>
    <w:rsid w:val="003A6F49"/>
    <w:rsid w:val="003A70C4"/>
    <w:rsid w:val="003A7921"/>
    <w:rsid w:val="003A7C94"/>
    <w:rsid w:val="003A7EFF"/>
    <w:rsid w:val="003A7FBC"/>
    <w:rsid w:val="003B0340"/>
    <w:rsid w:val="003B0BA1"/>
    <w:rsid w:val="003B0CB8"/>
    <w:rsid w:val="003B1843"/>
    <w:rsid w:val="003B1925"/>
    <w:rsid w:val="003B1B7B"/>
    <w:rsid w:val="003B1B83"/>
    <w:rsid w:val="003B1B89"/>
    <w:rsid w:val="003B1D2F"/>
    <w:rsid w:val="003B230D"/>
    <w:rsid w:val="003B24B9"/>
    <w:rsid w:val="003B2D60"/>
    <w:rsid w:val="003B2DE6"/>
    <w:rsid w:val="003B2DF6"/>
    <w:rsid w:val="003B2E1B"/>
    <w:rsid w:val="003B32A2"/>
    <w:rsid w:val="003B3A14"/>
    <w:rsid w:val="003B3B6B"/>
    <w:rsid w:val="003B404D"/>
    <w:rsid w:val="003B40BD"/>
    <w:rsid w:val="003B4361"/>
    <w:rsid w:val="003B441C"/>
    <w:rsid w:val="003B447B"/>
    <w:rsid w:val="003B4599"/>
    <w:rsid w:val="003B49BA"/>
    <w:rsid w:val="003B4C06"/>
    <w:rsid w:val="003B4D9E"/>
    <w:rsid w:val="003B5208"/>
    <w:rsid w:val="003B52FC"/>
    <w:rsid w:val="003B5349"/>
    <w:rsid w:val="003B54C3"/>
    <w:rsid w:val="003B563D"/>
    <w:rsid w:val="003B5F83"/>
    <w:rsid w:val="003B6057"/>
    <w:rsid w:val="003B6069"/>
    <w:rsid w:val="003B61B7"/>
    <w:rsid w:val="003B6526"/>
    <w:rsid w:val="003B6B39"/>
    <w:rsid w:val="003B7324"/>
    <w:rsid w:val="003B73CE"/>
    <w:rsid w:val="003B771C"/>
    <w:rsid w:val="003B773E"/>
    <w:rsid w:val="003B78B6"/>
    <w:rsid w:val="003B7C3E"/>
    <w:rsid w:val="003B7D05"/>
    <w:rsid w:val="003B7E16"/>
    <w:rsid w:val="003C0497"/>
    <w:rsid w:val="003C0C90"/>
    <w:rsid w:val="003C0DB4"/>
    <w:rsid w:val="003C0DD8"/>
    <w:rsid w:val="003C0E06"/>
    <w:rsid w:val="003C107C"/>
    <w:rsid w:val="003C1166"/>
    <w:rsid w:val="003C11F0"/>
    <w:rsid w:val="003C12B5"/>
    <w:rsid w:val="003C13F7"/>
    <w:rsid w:val="003C1471"/>
    <w:rsid w:val="003C14BA"/>
    <w:rsid w:val="003C1740"/>
    <w:rsid w:val="003C1AE2"/>
    <w:rsid w:val="003C2A36"/>
    <w:rsid w:val="003C2B66"/>
    <w:rsid w:val="003C2BBD"/>
    <w:rsid w:val="003C2EE2"/>
    <w:rsid w:val="003C2F39"/>
    <w:rsid w:val="003C3320"/>
    <w:rsid w:val="003C346F"/>
    <w:rsid w:val="003C34B9"/>
    <w:rsid w:val="003C34D9"/>
    <w:rsid w:val="003C389F"/>
    <w:rsid w:val="003C3A66"/>
    <w:rsid w:val="003C3BB1"/>
    <w:rsid w:val="003C3CDD"/>
    <w:rsid w:val="003C42E9"/>
    <w:rsid w:val="003C48B3"/>
    <w:rsid w:val="003C4F8F"/>
    <w:rsid w:val="003C50A8"/>
    <w:rsid w:val="003C517D"/>
    <w:rsid w:val="003C533D"/>
    <w:rsid w:val="003C5940"/>
    <w:rsid w:val="003C5991"/>
    <w:rsid w:val="003C5A30"/>
    <w:rsid w:val="003C5BDB"/>
    <w:rsid w:val="003C5ED4"/>
    <w:rsid w:val="003C5FA2"/>
    <w:rsid w:val="003C6094"/>
    <w:rsid w:val="003C632B"/>
    <w:rsid w:val="003C65AE"/>
    <w:rsid w:val="003C6B59"/>
    <w:rsid w:val="003C7224"/>
    <w:rsid w:val="003C7339"/>
    <w:rsid w:val="003C7425"/>
    <w:rsid w:val="003C7785"/>
    <w:rsid w:val="003C77E1"/>
    <w:rsid w:val="003C7806"/>
    <w:rsid w:val="003D0069"/>
    <w:rsid w:val="003D04AC"/>
    <w:rsid w:val="003D05B7"/>
    <w:rsid w:val="003D07D8"/>
    <w:rsid w:val="003D097F"/>
    <w:rsid w:val="003D0AE7"/>
    <w:rsid w:val="003D0C6E"/>
    <w:rsid w:val="003D1126"/>
    <w:rsid w:val="003D147F"/>
    <w:rsid w:val="003D1738"/>
    <w:rsid w:val="003D176E"/>
    <w:rsid w:val="003D1A58"/>
    <w:rsid w:val="003D1B12"/>
    <w:rsid w:val="003D1B59"/>
    <w:rsid w:val="003D1B87"/>
    <w:rsid w:val="003D1E7A"/>
    <w:rsid w:val="003D2073"/>
    <w:rsid w:val="003D227E"/>
    <w:rsid w:val="003D251A"/>
    <w:rsid w:val="003D260A"/>
    <w:rsid w:val="003D2642"/>
    <w:rsid w:val="003D28F4"/>
    <w:rsid w:val="003D299E"/>
    <w:rsid w:val="003D2E05"/>
    <w:rsid w:val="003D3115"/>
    <w:rsid w:val="003D31CD"/>
    <w:rsid w:val="003D328D"/>
    <w:rsid w:val="003D3390"/>
    <w:rsid w:val="003D34D1"/>
    <w:rsid w:val="003D3AEC"/>
    <w:rsid w:val="003D3C60"/>
    <w:rsid w:val="003D3D26"/>
    <w:rsid w:val="003D3FFE"/>
    <w:rsid w:val="003D4702"/>
    <w:rsid w:val="003D4C59"/>
    <w:rsid w:val="003D4E01"/>
    <w:rsid w:val="003D55E1"/>
    <w:rsid w:val="003D5763"/>
    <w:rsid w:val="003D57C6"/>
    <w:rsid w:val="003D587B"/>
    <w:rsid w:val="003D5DEB"/>
    <w:rsid w:val="003D5E45"/>
    <w:rsid w:val="003D608A"/>
    <w:rsid w:val="003D60C3"/>
    <w:rsid w:val="003D641A"/>
    <w:rsid w:val="003D6420"/>
    <w:rsid w:val="003D6562"/>
    <w:rsid w:val="003D6692"/>
    <w:rsid w:val="003D68D2"/>
    <w:rsid w:val="003D6900"/>
    <w:rsid w:val="003D698C"/>
    <w:rsid w:val="003D6AC0"/>
    <w:rsid w:val="003D6B17"/>
    <w:rsid w:val="003D6CEB"/>
    <w:rsid w:val="003D6F60"/>
    <w:rsid w:val="003D7074"/>
    <w:rsid w:val="003D70A7"/>
    <w:rsid w:val="003D71EB"/>
    <w:rsid w:val="003D74C9"/>
    <w:rsid w:val="003D78DF"/>
    <w:rsid w:val="003D78F6"/>
    <w:rsid w:val="003D7BF5"/>
    <w:rsid w:val="003E0106"/>
    <w:rsid w:val="003E0208"/>
    <w:rsid w:val="003E04E9"/>
    <w:rsid w:val="003E0BC5"/>
    <w:rsid w:val="003E0C25"/>
    <w:rsid w:val="003E0D1B"/>
    <w:rsid w:val="003E0DAF"/>
    <w:rsid w:val="003E0E63"/>
    <w:rsid w:val="003E203D"/>
    <w:rsid w:val="003E209C"/>
    <w:rsid w:val="003E22CB"/>
    <w:rsid w:val="003E232A"/>
    <w:rsid w:val="003E2343"/>
    <w:rsid w:val="003E23A2"/>
    <w:rsid w:val="003E2543"/>
    <w:rsid w:val="003E2ABC"/>
    <w:rsid w:val="003E2F25"/>
    <w:rsid w:val="003E2F98"/>
    <w:rsid w:val="003E3213"/>
    <w:rsid w:val="003E3371"/>
    <w:rsid w:val="003E34EF"/>
    <w:rsid w:val="003E3869"/>
    <w:rsid w:val="003E3E52"/>
    <w:rsid w:val="003E3EAB"/>
    <w:rsid w:val="003E3EF0"/>
    <w:rsid w:val="003E3F1F"/>
    <w:rsid w:val="003E3F98"/>
    <w:rsid w:val="003E4067"/>
    <w:rsid w:val="003E406B"/>
    <w:rsid w:val="003E42EC"/>
    <w:rsid w:val="003E4394"/>
    <w:rsid w:val="003E44EF"/>
    <w:rsid w:val="003E45D2"/>
    <w:rsid w:val="003E4F96"/>
    <w:rsid w:val="003E52D4"/>
    <w:rsid w:val="003E5629"/>
    <w:rsid w:val="003E5733"/>
    <w:rsid w:val="003E5955"/>
    <w:rsid w:val="003E5977"/>
    <w:rsid w:val="003E5A80"/>
    <w:rsid w:val="003E5CCA"/>
    <w:rsid w:val="003E6185"/>
    <w:rsid w:val="003E6332"/>
    <w:rsid w:val="003E65A7"/>
    <w:rsid w:val="003E667A"/>
    <w:rsid w:val="003E66B0"/>
    <w:rsid w:val="003E6869"/>
    <w:rsid w:val="003E6955"/>
    <w:rsid w:val="003E6B66"/>
    <w:rsid w:val="003E6D06"/>
    <w:rsid w:val="003E73C9"/>
    <w:rsid w:val="003E741C"/>
    <w:rsid w:val="003E7462"/>
    <w:rsid w:val="003E7541"/>
    <w:rsid w:val="003E754E"/>
    <w:rsid w:val="003E76E0"/>
    <w:rsid w:val="003E7773"/>
    <w:rsid w:val="003E7963"/>
    <w:rsid w:val="003F0302"/>
    <w:rsid w:val="003F08C2"/>
    <w:rsid w:val="003F0BE2"/>
    <w:rsid w:val="003F0BEA"/>
    <w:rsid w:val="003F1143"/>
    <w:rsid w:val="003F115E"/>
    <w:rsid w:val="003F12C3"/>
    <w:rsid w:val="003F12D4"/>
    <w:rsid w:val="003F1489"/>
    <w:rsid w:val="003F14C2"/>
    <w:rsid w:val="003F1514"/>
    <w:rsid w:val="003F182E"/>
    <w:rsid w:val="003F18D6"/>
    <w:rsid w:val="003F2210"/>
    <w:rsid w:val="003F23FA"/>
    <w:rsid w:val="003F2D85"/>
    <w:rsid w:val="003F3285"/>
    <w:rsid w:val="003F35F9"/>
    <w:rsid w:val="003F36BD"/>
    <w:rsid w:val="003F3898"/>
    <w:rsid w:val="003F38EF"/>
    <w:rsid w:val="003F3D53"/>
    <w:rsid w:val="003F3E6F"/>
    <w:rsid w:val="003F41AB"/>
    <w:rsid w:val="003F4724"/>
    <w:rsid w:val="003F4BD1"/>
    <w:rsid w:val="003F4C8E"/>
    <w:rsid w:val="003F4ED8"/>
    <w:rsid w:val="003F4FA5"/>
    <w:rsid w:val="003F50C3"/>
    <w:rsid w:val="003F52AE"/>
    <w:rsid w:val="003F534A"/>
    <w:rsid w:val="003F535C"/>
    <w:rsid w:val="003F55F6"/>
    <w:rsid w:val="003F5F74"/>
    <w:rsid w:val="003F621D"/>
    <w:rsid w:val="003F6574"/>
    <w:rsid w:val="003F65B0"/>
    <w:rsid w:val="003F66DC"/>
    <w:rsid w:val="003F69D4"/>
    <w:rsid w:val="003F69DB"/>
    <w:rsid w:val="003F6ABC"/>
    <w:rsid w:val="003F6E96"/>
    <w:rsid w:val="003F7196"/>
    <w:rsid w:val="003F7422"/>
    <w:rsid w:val="003F760C"/>
    <w:rsid w:val="003F7745"/>
    <w:rsid w:val="003F7FEE"/>
    <w:rsid w:val="0040008A"/>
    <w:rsid w:val="004003D1"/>
    <w:rsid w:val="004008AF"/>
    <w:rsid w:val="00400B5F"/>
    <w:rsid w:val="00400EB0"/>
    <w:rsid w:val="00401589"/>
    <w:rsid w:val="00401964"/>
    <w:rsid w:val="00401CE5"/>
    <w:rsid w:val="00401DBF"/>
    <w:rsid w:val="00401FF8"/>
    <w:rsid w:val="00402424"/>
    <w:rsid w:val="004025EC"/>
    <w:rsid w:val="00402A93"/>
    <w:rsid w:val="00402A9D"/>
    <w:rsid w:val="00402B32"/>
    <w:rsid w:val="00402DB2"/>
    <w:rsid w:val="004033D9"/>
    <w:rsid w:val="0040346B"/>
    <w:rsid w:val="00403ACA"/>
    <w:rsid w:val="00403E60"/>
    <w:rsid w:val="00403EEE"/>
    <w:rsid w:val="004045C1"/>
    <w:rsid w:val="004048CA"/>
    <w:rsid w:val="004048F8"/>
    <w:rsid w:val="00404A94"/>
    <w:rsid w:val="00404B77"/>
    <w:rsid w:val="00404C06"/>
    <w:rsid w:val="00404D7F"/>
    <w:rsid w:val="00404E86"/>
    <w:rsid w:val="00404F8A"/>
    <w:rsid w:val="00404FE5"/>
    <w:rsid w:val="004054D7"/>
    <w:rsid w:val="0040551F"/>
    <w:rsid w:val="00405B8C"/>
    <w:rsid w:val="00405DAA"/>
    <w:rsid w:val="004063DE"/>
    <w:rsid w:val="0040641F"/>
    <w:rsid w:val="00406EE0"/>
    <w:rsid w:val="004074CF"/>
    <w:rsid w:val="0040771F"/>
    <w:rsid w:val="0040789C"/>
    <w:rsid w:val="00407D12"/>
    <w:rsid w:val="00410087"/>
    <w:rsid w:val="0041031C"/>
    <w:rsid w:val="004104A7"/>
    <w:rsid w:val="00410502"/>
    <w:rsid w:val="00410820"/>
    <w:rsid w:val="004108A0"/>
    <w:rsid w:val="00410B97"/>
    <w:rsid w:val="00410D13"/>
    <w:rsid w:val="00411077"/>
    <w:rsid w:val="0041116E"/>
    <w:rsid w:val="00411180"/>
    <w:rsid w:val="004111F7"/>
    <w:rsid w:val="00411646"/>
    <w:rsid w:val="004116FB"/>
    <w:rsid w:val="00411856"/>
    <w:rsid w:val="00411ACD"/>
    <w:rsid w:val="00411E0C"/>
    <w:rsid w:val="00412098"/>
    <w:rsid w:val="0041217D"/>
    <w:rsid w:val="00412381"/>
    <w:rsid w:val="0041256A"/>
    <w:rsid w:val="004125C6"/>
    <w:rsid w:val="00412743"/>
    <w:rsid w:val="0041275F"/>
    <w:rsid w:val="00412824"/>
    <w:rsid w:val="00412BE2"/>
    <w:rsid w:val="00412D43"/>
    <w:rsid w:val="00412EA2"/>
    <w:rsid w:val="004132CA"/>
    <w:rsid w:val="0041374E"/>
    <w:rsid w:val="004138F5"/>
    <w:rsid w:val="00414452"/>
    <w:rsid w:val="004148A5"/>
    <w:rsid w:val="004148B7"/>
    <w:rsid w:val="0041505C"/>
    <w:rsid w:val="004152BE"/>
    <w:rsid w:val="00415611"/>
    <w:rsid w:val="00415909"/>
    <w:rsid w:val="00415920"/>
    <w:rsid w:val="00415A18"/>
    <w:rsid w:val="00415D38"/>
    <w:rsid w:val="00416AA9"/>
    <w:rsid w:val="00416B20"/>
    <w:rsid w:val="00416F8F"/>
    <w:rsid w:val="004172AF"/>
    <w:rsid w:val="00417420"/>
    <w:rsid w:val="00417693"/>
    <w:rsid w:val="004176D3"/>
    <w:rsid w:val="00417D5F"/>
    <w:rsid w:val="00417F53"/>
    <w:rsid w:val="004202EF"/>
    <w:rsid w:val="0042038F"/>
    <w:rsid w:val="00420471"/>
    <w:rsid w:val="00420528"/>
    <w:rsid w:val="00420593"/>
    <w:rsid w:val="004210D4"/>
    <w:rsid w:val="004217C9"/>
    <w:rsid w:val="00421A89"/>
    <w:rsid w:val="00421EBC"/>
    <w:rsid w:val="00422365"/>
    <w:rsid w:val="004228B8"/>
    <w:rsid w:val="00422DA7"/>
    <w:rsid w:val="0042304B"/>
    <w:rsid w:val="0042358E"/>
    <w:rsid w:val="00423601"/>
    <w:rsid w:val="004236A3"/>
    <w:rsid w:val="00423B1F"/>
    <w:rsid w:val="00423C5B"/>
    <w:rsid w:val="00424084"/>
    <w:rsid w:val="004241CC"/>
    <w:rsid w:val="0042469F"/>
    <w:rsid w:val="004247BF"/>
    <w:rsid w:val="004249CB"/>
    <w:rsid w:val="004254F0"/>
    <w:rsid w:val="00425551"/>
    <w:rsid w:val="004263F9"/>
    <w:rsid w:val="004267A4"/>
    <w:rsid w:val="004268BC"/>
    <w:rsid w:val="004268D0"/>
    <w:rsid w:val="00427222"/>
    <w:rsid w:val="004273AD"/>
    <w:rsid w:val="004305AE"/>
    <w:rsid w:val="004309CE"/>
    <w:rsid w:val="00430C7D"/>
    <w:rsid w:val="00430D2A"/>
    <w:rsid w:val="00430E70"/>
    <w:rsid w:val="00431138"/>
    <w:rsid w:val="0043158A"/>
    <w:rsid w:val="00431691"/>
    <w:rsid w:val="00431800"/>
    <w:rsid w:val="00431CC7"/>
    <w:rsid w:val="00431E6B"/>
    <w:rsid w:val="00432073"/>
    <w:rsid w:val="004324A3"/>
    <w:rsid w:val="004325EF"/>
    <w:rsid w:val="004329D9"/>
    <w:rsid w:val="00432BBD"/>
    <w:rsid w:val="00432CFC"/>
    <w:rsid w:val="00432DD0"/>
    <w:rsid w:val="00433353"/>
    <w:rsid w:val="00433541"/>
    <w:rsid w:val="00433567"/>
    <w:rsid w:val="004337AF"/>
    <w:rsid w:val="00433ADB"/>
    <w:rsid w:val="004340CC"/>
    <w:rsid w:val="0043427D"/>
    <w:rsid w:val="004344D4"/>
    <w:rsid w:val="0043450F"/>
    <w:rsid w:val="004347F9"/>
    <w:rsid w:val="00434980"/>
    <w:rsid w:val="004349C7"/>
    <w:rsid w:val="0043501C"/>
    <w:rsid w:val="00435503"/>
    <w:rsid w:val="004357F1"/>
    <w:rsid w:val="0043585D"/>
    <w:rsid w:val="00435C56"/>
    <w:rsid w:val="00435E56"/>
    <w:rsid w:val="00436139"/>
    <w:rsid w:val="00436514"/>
    <w:rsid w:val="00436592"/>
    <w:rsid w:val="00436756"/>
    <w:rsid w:val="00436A65"/>
    <w:rsid w:val="00436B4C"/>
    <w:rsid w:val="00436BE5"/>
    <w:rsid w:val="004371E6"/>
    <w:rsid w:val="0043789A"/>
    <w:rsid w:val="004378A6"/>
    <w:rsid w:val="004378B7"/>
    <w:rsid w:val="00437A7F"/>
    <w:rsid w:val="00437DC7"/>
    <w:rsid w:val="00437FED"/>
    <w:rsid w:val="00440109"/>
    <w:rsid w:val="004406C3"/>
    <w:rsid w:val="00440B14"/>
    <w:rsid w:val="00440BF5"/>
    <w:rsid w:val="00440D6B"/>
    <w:rsid w:val="00440EB4"/>
    <w:rsid w:val="0044161F"/>
    <w:rsid w:val="00441ECB"/>
    <w:rsid w:val="00441EF5"/>
    <w:rsid w:val="00441F42"/>
    <w:rsid w:val="004423F7"/>
    <w:rsid w:val="00442479"/>
    <w:rsid w:val="0044261B"/>
    <w:rsid w:val="00442778"/>
    <w:rsid w:val="00442A49"/>
    <w:rsid w:val="00442AB3"/>
    <w:rsid w:val="00442E1D"/>
    <w:rsid w:val="00442E2B"/>
    <w:rsid w:val="004434CB"/>
    <w:rsid w:val="00443683"/>
    <w:rsid w:val="00443807"/>
    <w:rsid w:val="00443823"/>
    <w:rsid w:val="004439E7"/>
    <w:rsid w:val="00443C53"/>
    <w:rsid w:val="00443CDE"/>
    <w:rsid w:val="00444271"/>
    <w:rsid w:val="0044458A"/>
    <w:rsid w:val="00444679"/>
    <w:rsid w:val="0044480F"/>
    <w:rsid w:val="00444F59"/>
    <w:rsid w:val="004455C7"/>
    <w:rsid w:val="004455EA"/>
    <w:rsid w:val="00446630"/>
    <w:rsid w:val="00446671"/>
    <w:rsid w:val="004466F4"/>
    <w:rsid w:val="00446831"/>
    <w:rsid w:val="0044690B"/>
    <w:rsid w:val="00446BBE"/>
    <w:rsid w:val="004472D9"/>
    <w:rsid w:val="0044772D"/>
    <w:rsid w:val="004477BB"/>
    <w:rsid w:val="0044782C"/>
    <w:rsid w:val="00447874"/>
    <w:rsid w:val="00447B3F"/>
    <w:rsid w:val="0045014F"/>
    <w:rsid w:val="004504BC"/>
    <w:rsid w:val="00450800"/>
    <w:rsid w:val="0045081E"/>
    <w:rsid w:val="00450905"/>
    <w:rsid w:val="0045093D"/>
    <w:rsid w:val="00450A0A"/>
    <w:rsid w:val="00450A31"/>
    <w:rsid w:val="00450C2E"/>
    <w:rsid w:val="00450C79"/>
    <w:rsid w:val="00450E15"/>
    <w:rsid w:val="00450EB0"/>
    <w:rsid w:val="0045112A"/>
    <w:rsid w:val="00451645"/>
    <w:rsid w:val="00451D4C"/>
    <w:rsid w:val="004521C1"/>
    <w:rsid w:val="00452611"/>
    <w:rsid w:val="00452712"/>
    <w:rsid w:val="00452774"/>
    <w:rsid w:val="00452B10"/>
    <w:rsid w:val="00452DEA"/>
    <w:rsid w:val="00453270"/>
    <w:rsid w:val="0045345F"/>
    <w:rsid w:val="004537D9"/>
    <w:rsid w:val="004537F4"/>
    <w:rsid w:val="00453923"/>
    <w:rsid w:val="00454013"/>
    <w:rsid w:val="00454326"/>
    <w:rsid w:val="0045438E"/>
    <w:rsid w:val="00454419"/>
    <w:rsid w:val="0045456A"/>
    <w:rsid w:val="00454A30"/>
    <w:rsid w:val="00454F8E"/>
    <w:rsid w:val="004550D4"/>
    <w:rsid w:val="004550F0"/>
    <w:rsid w:val="0045541D"/>
    <w:rsid w:val="004554F3"/>
    <w:rsid w:val="004555FE"/>
    <w:rsid w:val="00455868"/>
    <w:rsid w:val="004558E9"/>
    <w:rsid w:val="00455E49"/>
    <w:rsid w:val="00455E4A"/>
    <w:rsid w:val="00456739"/>
    <w:rsid w:val="00456779"/>
    <w:rsid w:val="004568D8"/>
    <w:rsid w:val="00457680"/>
    <w:rsid w:val="004576A9"/>
    <w:rsid w:val="0045776A"/>
    <w:rsid w:val="0045794B"/>
    <w:rsid w:val="00460F08"/>
    <w:rsid w:val="00461087"/>
    <w:rsid w:val="00461A2E"/>
    <w:rsid w:val="00461B67"/>
    <w:rsid w:val="00461C5B"/>
    <w:rsid w:val="00461F5D"/>
    <w:rsid w:val="00462118"/>
    <w:rsid w:val="004621FD"/>
    <w:rsid w:val="004625FA"/>
    <w:rsid w:val="00462778"/>
    <w:rsid w:val="00463384"/>
    <w:rsid w:val="004633A2"/>
    <w:rsid w:val="00463B08"/>
    <w:rsid w:val="00463C09"/>
    <w:rsid w:val="00464568"/>
    <w:rsid w:val="0046497F"/>
    <w:rsid w:val="00464B51"/>
    <w:rsid w:val="00464F6C"/>
    <w:rsid w:val="00465607"/>
    <w:rsid w:val="004657EB"/>
    <w:rsid w:val="00465965"/>
    <w:rsid w:val="00465AB0"/>
    <w:rsid w:val="00465C77"/>
    <w:rsid w:val="004660FE"/>
    <w:rsid w:val="0046636C"/>
    <w:rsid w:val="004664C8"/>
    <w:rsid w:val="00466548"/>
    <w:rsid w:val="0046671C"/>
    <w:rsid w:val="00467412"/>
    <w:rsid w:val="00467A80"/>
    <w:rsid w:val="00467C46"/>
    <w:rsid w:val="00467D4B"/>
    <w:rsid w:val="00467DDC"/>
    <w:rsid w:val="004700D9"/>
    <w:rsid w:val="004702FC"/>
    <w:rsid w:val="00470350"/>
    <w:rsid w:val="00470627"/>
    <w:rsid w:val="00470B82"/>
    <w:rsid w:val="00470E3B"/>
    <w:rsid w:val="004716B4"/>
    <w:rsid w:val="004719EC"/>
    <w:rsid w:val="00471D0D"/>
    <w:rsid w:val="00471FC1"/>
    <w:rsid w:val="00472002"/>
    <w:rsid w:val="00472042"/>
    <w:rsid w:val="0047227E"/>
    <w:rsid w:val="0047285B"/>
    <w:rsid w:val="00472AE8"/>
    <w:rsid w:val="00472AFC"/>
    <w:rsid w:val="00472FB9"/>
    <w:rsid w:val="0047330A"/>
    <w:rsid w:val="00473853"/>
    <w:rsid w:val="004739DE"/>
    <w:rsid w:val="00473CB9"/>
    <w:rsid w:val="00473EB4"/>
    <w:rsid w:val="00473F48"/>
    <w:rsid w:val="0047435F"/>
    <w:rsid w:val="00474734"/>
    <w:rsid w:val="00474907"/>
    <w:rsid w:val="00474E01"/>
    <w:rsid w:val="00474E6F"/>
    <w:rsid w:val="00474FB8"/>
    <w:rsid w:val="00475305"/>
    <w:rsid w:val="004754AC"/>
    <w:rsid w:val="00475BB6"/>
    <w:rsid w:val="00475BFB"/>
    <w:rsid w:val="00475F5C"/>
    <w:rsid w:val="00475F9D"/>
    <w:rsid w:val="00476391"/>
    <w:rsid w:val="004767B8"/>
    <w:rsid w:val="00476861"/>
    <w:rsid w:val="0047694B"/>
    <w:rsid w:val="00476D9B"/>
    <w:rsid w:val="00477861"/>
    <w:rsid w:val="00477E69"/>
    <w:rsid w:val="00477FF4"/>
    <w:rsid w:val="0048030F"/>
    <w:rsid w:val="004813E1"/>
    <w:rsid w:val="0048167B"/>
    <w:rsid w:val="00481949"/>
    <w:rsid w:val="004819B0"/>
    <w:rsid w:val="00481E81"/>
    <w:rsid w:val="00482804"/>
    <w:rsid w:val="00482B47"/>
    <w:rsid w:val="00482D93"/>
    <w:rsid w:val="00482E79"/>
    <w:rsid w:val="0048323E"/>
    <w:rsid w:val="00483C35"/>
    <w:rsid w:val="00483D36"/>
    <w:rsid w:val="00483E29"/>
    <w:rsid w:val="00483FFE"/>
    <w:rsid w:val="0048426F"/>
    <w:rsid w:val="004847D3"/>
    <w:rsid w:val="0048481F"/>
    <w:rsid w:val="00484868"/>
    <w:rsid w:val="00484DC5"/>
    <w:rsid w:val="00484ECA"/>
    <w:rsid w:val="00485675"/>
    <w:rsid w:val="004856E3"/>
    <w:rsid w:val="00485DB6"/>
    <w:rsid w:val="00485FA9"/>
    <w:rsid w:val="00485FDD"/>
    <w:rsid w:val="00486115"/>
    <w:rsid w:val="0048612E"/>
    <w:rsid w:val="0048655A"/>
    <w:rsid w:val="004865C3"/>
    <w:rsid w:val="00486A78"/>
    <w:rsid w:val="00486C43"/>
    <w:rsid w:val="00486FF0"/>
    <w:rsid w:val="00487681"/>
    <w:rsid w:val="0048776E"/>
    <w:rsid w:val="00487A67"/>
    <w:rsid w:val="00487B95"/>
    <w:rsid w:val="00487C85"/>
    <w:rsid w:val="00487D1C"/>
    <w:rsid w:val="00490139"/>
    <w:rsid w:val="0049015F"/>
    <w:rsid w:val="00490361"/>
    <w:rsid w:val="00490573"/>
    <w:rsid w:val="00490C01"/>
    <w:rsid w:val="00490DC4"/>
    <w:rsid w:val="00490FBF"/>
    <w:rsid w:val="0049107E"/>
    <w:rsid w:val="00491482"/>
    <w:rsid w:val="00491840"/>
    <w:rsid w:val="0049192C"/>
    <w:rsid w:val="00491D61"/>
    <w:rsid w:val="0049200E"/>
    <w:rsid w:val="00492212"/>
    <w:rsid w:val="00492A73"/>
    <w:rsid w:val="00492DEA"/>
    <w:rsid w:val="00493105"/>
    <w:rsid w:val="00493599"/>
    <w:rsid w:val="00493B11"/>
    <w:rsid w:val="00493E93"/>
    <w:rsid w:val="00494132"/>
    <w:rsid w:val="0049453A"/>
    <w:rsid w:val="00494547"/>
    <w:rsid w:val="004947B2"/>
    <w:rsid w:val="004947E1"/>
    <w:rsid w:val="004948C7"/>
    <w:rsid w:val="004949CF"/>
    <w:rsid w:val="00494BB8"/>
    <w:rsid w:val="00494C50"/>
    <w:rsid w:val="00494CED"/>
    <w:rsid w:val="00494DAD"/>
    <w:rsid w:val="00494E74"/>
    <w:rsid w:val="00494E77"/>
    <w:rsid w:val="00494F43"/>
    <w:rsid w:val="00494F64"/>
    <w:rsid w:val="0049553B"/>
    <w:rsid w:val="00495587"/>
    <w:rsid w:val="0049562F"/>
    <w:rsid w:val="004956C1"/>
    <w:rsid w:val="00495847"/>
    <w:rsid w:val="004958F1"/>
    <w:rsid w:val="00495C3E"/>
    <w:rsid w:val="004964CD"/>
    <w:rsid w:val="004966E7"/>
    <w:rsid w:val="004966FD"/>
    <w:rsid w:val="004968FE"/>
    <w:rsid w:val="00496C3E"/>
    <w:rsid w:val="00496C62"/>
    <w:rsid w:val="00496C6F"/>
    <w:rsid w:val="00496FCA"/>
    <w:rsid w:val="004973FF"/>
    <w:rsid w:val="0049756F"/>
    <w:rsid w:val="0049769C"/>
    <w:rsid w:val="00497B9F"/>
    <w:rsid w:val="00497CC2"/>
    <w:rsid w:val="00497E2F"/>
    <w:rsid w:val="00497EE2"/>
    <w:rsid w:val="004A086A"/>
    <w:rsid w:val="004A08E4"/>
    <w:rsid w:val="004A0987"/>
    <w:rsid w:val="004A0E8B"/>
    <w:rsid w:val="004A0EFE"/>
    <w:rsid w:val="004A109F"/>
    <w:rsid w:val="004A1140"/>
    <w:rsid w:val="004A1557"/>
    <w:rsid w:val="004A18B8"/>
    <w:rsid w:val="004A199A"/>
    <w:rsid w:val="004A1A06"/>
    <w:rsid w:val="004A1F4F"/>
    <w:rsid w:val="004A1FBC"/>
    <w:rsid w:val="004A2021"/>
    <w:rsid w:val="004A2084"/>
    <w:rsid w:val="004A26CE"/>
    <w:rsid w:val="004A2B89"/>
    <w:rsid w:val="004A2CF3"/>
    <w:rsid w:val="004A3015"/>
    <w:rsid w:val="004A309B"/>
    <w:rsid w:val="004A30C0"/>
    <w:rsid w:val="004A33CF"/>
    <w:rsid w:val="004A33D2"/>
    <w:rsid w:val="004A349F"/>
    <w:rsid w:val="004A36F5"/>
    <w:rsid w:val="004A40FC"/>
    <w:rsid w:val="004A4430"/>
    <w:rsid w:val="004A46DB"/>
    <w:rsid w:val="004A489A"/>
    <w:rsid w:val="004A48C3"/>
    <w:rsid w:val="004A4C0F"/>
    <w:rsid w:val="004A4C6F"/>
    <w:rsid w:val="004A4CB3"/>
    <w:rsid w:val="004A4E41"/>
    <w:rsid w:val="004A4FDF"/>
    <w:rsid w:val="004A5489"/>
    <w:rsid w:val="004A5617"/>
    <w:rsid w:val="004A58F5"/>
    <w:rsid w:val="004A5987"/>
    <w:rsid w:val="004A5BA0"/>
    <w:rsid w:val="004A5D9C"/>
    <w:rsid w:val="004A5E73"/>
    <w:rsid w:val="004A5FD1"/>
    <w:rsid w:val="004A653D"/>
    <w:rsid w:val="004A6AFB"/>
    <w:rsid w:val="004A6CA2"/>
    <w:rsid w:val="004A6CF2"/>
    <w:rsid w:val="004A6EE1"/>
    <w:rsid w:val="004A7023"/>
    <w:rsid w:val="004A7150"/>
    <w:rsid w:val="004A7809"/>
    <w:rsid w:val="004A786E"/>
    <w:rsid w:val="004A7957"/>
    <w:rsid w:val="004A7A52"/>
    <w:rsid w:val="004A7A85"/>
    <w:rsid w:val="004A7AE0"/>
    <w:rsid w:val="004A7EA5"/>
    <w:rsid w:val="004B0097"/>
    <w:rsid w:val="004B010F"/>
    <w:rsid w:val="004B04B2"/>
    <w:rsid w:val="004B0577"/>
    <w:rsid w:val="004B0670"/>
    <w:rsid w:val="004B0BB5"/>
    <w:rsid w:val="004B0BED"/>
    <w:rsid w:val="004B1076"/>
    <w:rsid w:val="004B132E"/>
    <w:rsid w:val="004B1861"/>
    <w:rsid w:val="004B19FE"/>
    <w:rsid w:val="004B1FF4"/>
    <w:rsid w:val="004B20B6"/>
    <w:rsid w:val="004B20BA"/>
    <w:rsid w:val="004B20E7"/>
    <w:rsid w:val="004B2345"/>
    <w:rsid w:val="004B26BF"/>
    <w:rsid w:val="004B26FD"/>
    <w:rsid w:val="004B2879"/>
    <w:rsid w:val="004B2A4D"/>
    <w:rsid w:val="004B2A6B"/>
    <w:rsid w:val="004B2E1F"/>
    <w:rsid w:val="004B2F45"/>
    <w:rsid w:val="004B302A"/>
    <w:rsid w:val="004B33C2"/>
    <w:rsid w:val="004B4214"/>
    <w:rsid w:val="004B4440"/>
    <w:rsid w:val="004B4707"/>
    <w:rsid w:val="004B4E60"/>
    <w:rsid w:val="004B5198"/>
    <w:rsid w:val="004B5A14"/>
    <w:rsid w:val="004B5B0F"/>
    <w:rsid w:val="004B5B45"/>
    <w:rsid w:val="004B5BC3"/>
    <w:rsid w:val="004B5CAD"/>
    <w:rsid w:val="004B5D4B"/>
    <w:rsid w:val="004B618A"/>
    <w:rsid w:val="004B62DA"/>
    <w:rsid w:val="004B62EB"/>
    <w:rsid w:val="004B63D8"/>
    <w:rsid w:val="004B6485"/>
    <w:rsid w:val="004B65A0"/>
    <w:rsid w:val="004B689D"/>
    <w:rsid w:val="004B6C40"/>
    <w:rsid w:val="004B6E9B"/>
    <w:rsid w:val="004B736A"/>
    <w:rsid w:val="004B73E7"/>
    <w:rsid w:val="004B7559"/>
    <w:rsid w:val="004B79A0"/>
    <w:rsid w:val="004B7AA2"/>
    <w:rsid w:val="004C0068"/>
    <w:rsid w:val="004C07C2"/>
    <w:rsid w:val="004C08D1"/>
    <w:rsid w:val="004C0C2C"/>
    <w:rsid w:val="004C0E97"/>
    <w:rsid w:val="004C10DC"/>
    <w:rsid w:val="004C1567"/>
    <w:rsid w:val="004C18F8"/>
    <w:rsid w:val="004C1AC3"/>
    <w:rsid w:val="004C1B97"/>
    <w:rsid w:val="004C1CC0"/>
    <w:rsid w:val="004C2418"/>
    <w:rsid w:val="004C24DB"/>
    <w:rsid w:val="004C27F4"/>
    <w:rsid w:val="004C2B40"/>
    <w:rsid w:val="004C3368"/>
    <w:rsid w:val="004C3669"/>
    <w:rsid w:val="004C36F5"/>
    <w:rsid w:val="004C3A39"/>
    <w:rsid w:val="004C3B4F"/>
    <w:rsid w:val="004C3CB8"/>
    <w:rsid w:val="004C436B"/>
    <w:rsid w:val="004C4503"/>
    <w:rsid w:val="004C46A5"/>
    <w:rsid w:val="004C48C8"/>
    <w:rsid w:val="004C558D"/>
    <w:rsid w:val="004C584A"/>
    <w:rsid w:val="004C5917"/>
    <w:rsid w:val="004C5939"/>
    <w:rsid w:val="004C598D"/>
    <w:rsid w:val="004C5B27"/>
    <w:rsid w:val="004C6850"/>
    <w:rsid w:val="004C6A83"/>
    <w:rsid w:val="004C6B51"/>
    <w:rsid w:val="004C6C8D"/>
    <w:rsid w:val="004C715E"/>
    <w:rsid w:val="004C718E"/>
    <w:rsid w:val="004C7580"/>
    <w:rsid w:val="004C7802"/>
    <w:rsid w:val="004C7964"/>
    <w:rsid w:val="004C7A88"/>
    <w:rsid w:val="004C7ECF"/>
    <w:rsid w:val="004C7FF8"/>
    <w:rsid w:val="004D0020"/>
    <w:rsid w:val="004D00EA"/>
    <w:rsid w:val="004D022A"/>
    <w:rsid w:val="004D0331"/>
    <w:rsid w:val="004D07AB"/>
    <w:rsid w:val="004D08DE"/>
    <w:rsid w:val="004D0BA8"/>
    <w:rsid w:val="004D0C31"/>
    <w:rsid w:val="004D0CAB"/>
    <w:rsid w:val="004D0CC8"/>
    <w:rsid w:val="004D0E29"/>
    <w:rsid w:val="004D143C"/>
    <w:rsid w:val="004D16C1"/>
    <w:rsid w:val="004D1E3B"/>
    <w:rsid w:val="004D1EE6"/>
    <w:rsid w:val="004D2192"/>
    <w:rsid w:val="004D21DE"/>
    <w:rsid w:val="004D2322"/>
    <w:rsid w:val="004D269B"/>
    <w:rsid w:val="004D2813"/>
    <w:rsid w:val="004D289B"/>
    <w:rsid w:val="004D2F76"/>
    <w:rsid w:val="004D3605"/>
    <w:rsid w:val="004D3897"/>
    <w:rsid w:val="004D3B0C"/>
    <w:rsid w:val="004D3EB3"/>
    <w:rsid w:val="004D40B1"/>
    <w:rsid w:val="004D4425"/>
    <w:rsid w:val="004D4683"/>
    <w:rsid w:val="004D48DA"/>
    <w:rsid w:val="004D4CC9"/>
    <w:rsid w:val="004D51C9"/>
    <w:rsid w:val="004D56E0"/>
    <w:rsid w:val="004D5813"/>
    <w:rsid w:val="004D5B13"/>
    <w:rsid w:val="004D607E"/>
    <w:rsid w:val="004D6140"/>
    <w:rsid w:val="004D63A8"/>
    <w:rsid w:val="004D63D4"/>
    <w:rsid w:val="004D6630"/>
    <w:rsid w:val="004D687D"/>
    <w:rsid w:val="004D691E"/>
    <w:rsid w:val="004D7593"/>
    <w:rsid w:val="004D7A3E"/>
    <w:rsid w:val="004E00B7"/>
    <w:rsid w:val="004E1147"/>
    <w:rsid w:val="004E1537"/>
    <w:rsid w:val="004E164B"/>
    <w:rsid w:val="004E18B0"/>
    <w:rsid w:val="004E1958"/>
    <w:rsid w:val="004E19B5"/>
    <w:rsid w:val="004E1C91"/>
    <w:rsid w:val="004E22D0"/>
    <w:rsid w:val="004E2581"/>
    <w:rsid w:val="004E28D4"/>
    <w:rsid w:val="004E2BD6"/>
    <w:rsid w:val="004E2EF6"/>
    <w:rsid w:val="004E33F7"/>
    <w:rsid w:val="004E3E5A"/>
    <w:rsid w:val="004E3E6A"/>
    <w:rsid w:val="004E3E6F"/>
    <w:rsid w:val="004E400A"/>
    <w:rsid w:val="004E4153"/>
    <w:rsid w:val="004E420A"/>
    <w:rsid w:val="004E43FC"/>
    <w:rsid w:val="004E4653"/>
    <w:rsid w:val="004E4AE5"/>
    <w:rsid w:val="004E523A"/>
    <w:rsid w:val="004E593D"/>
    <w:rsid w:val="004E5FAD"/>
    <w:rsid w:val="004E6004"/>
    <w:rsid w:val="004E60DB"/>
    <w:rsid w:val="004E66D7"/>
    <w:rsid w:val="004E6815"/>
    <w:rsid w:val="004E7073"/>
    <w:rsid w:val="004E7233"/>
    <w:rsid w:val="004E7999"/>
    <w:rsid w:val="004E7BC2"/>
    <w:rsid w:val="004F02DD"/>
    <w:rsid w:val="004F05E5"/>
    <w:rsid w:val="004F0868"/>
    <w:rsid w:val="004F0AF7"/>
    <w:rsid w:val="004F0D00"/>
    <w:rsid w:val="004F0D7F"/>
    <w:rsid w:val="004F13D2"/>
    <w:rsid w:val="004F14C8"/>
    <w:rsid w:val="004F1898"/>
    <w:rsid w:val="004F1A31"/>
    <w:rsid w:val="004F2082"/>
    <w:rsid w:val="004F21C6"/>
    <w:rsid w:val="004F2691"/>
    <w:rsid w:val="004F26D6"/>
    <w:rsid w:val="004F2760"/>
    <w:rsid w:val="004F2A89"/>
    <w:rsid w:val="004F2C1E"/>
    <w:rsid w:val="004F2C2D"/>
    <w:rsid w:val="004F30D0"/>
    <w:rsid w:val="004F31B6"/>
    <w:rsid w:val="004F3773"/>
    <w:rsid w:val="004F463B"/>
    <w:rsid w:val="004F46FC"/>
    <w:rsid w:val="004F493B"/>
    <w:rsid w:val="004F4A60"/>
    <w:rsid w:val="004F4BEB"/>
    <w:rsid w:val="004F507E"/>
    <w:rsid w:val="004F5930"/>
    <w:rsid w:val="004F5A95"/>
    <w:rsid w:val="004F5D06"/>
    <w:rsid w:val="004F5D21"/>
    <w:rsid w:val="004F63BD"/>
    <w:rsid w:val="004F6A14"/>
    <w:rsid w:val="004F6AD3"/>
    <w:rsid w:val="004F75AD"/>
    <w:rsid w:val="004F76C4"/>
    <w:rsid w:val="004F7894"/>
    <w:rsid w:val="004F7A53"/>
    <w:rsid w:val="004F7B81"/>
    <w:rsid w:val="004F7D7C"/>
    <w:rsid w:val="005005EA"/>
    <w:rsid w:val="005007E2"/>
    <w:rsid w:val="0050089A"/>
    <w:rsid w:val="00500C49"/>
    <w:rsid w:val="00501386"/>
    <w:rsid w:val="0050166C"/>
    <w:rsid w:val="0050191B"/>
    <w:rsid w:val="00501BD9"/>
    <w:rsid w:val="00501C25"/>
    <w:rsid w:val="00501DCA"/>
    <w:rsid w:val="0050213D"/>
    <w:rsid w:val="005025DB"/>
    <w:rsid w:val="005027A6"/>
    <w:rsid w:val="005029DC"/>
    <w:rsid w:val="00502DAE"/>
    <w:rsid w:val="00502F9F"/>
    <w:rsid w:val="00502FCE"/>
    <w:rsid w:val="00502FFB"/>
    <w:rsid w:val="005030A8"/>
    <w:rsid w:val="005038A0"/>
    <w:rsid w:val="00503DEE"/>
    <w:rsid w:val="00503E66"/>
    <w:rsid w:val="00503F49"/>
    <w:rsid w:val="00503F7D"/>
    <w:rsid w:val="00504574"/>
    <w:rsid w:val="00504841"/>
    <w:rsid w:val="00504A82"/>
    <w:rsid w:val="00504DBA"/>
    <w:rsid w:val="00505037"/>
    <w:rsid w:val="0050541C"/>
    <w:rsid w:val="0050565F"/>
    <w:rsid w:val="00505E19"/>
    <w:rsid w:val="005061E6"/>
    <w:rsid w:val="005061ED"/>
    <w:rsid w:val="0050624A"/>
    <w:rsid w:val="005064FF"/>
    <w:rsid w:val="00506504"/>
    <w:rsid w:val="005067FD"/>
    <w:rsid w:val="00506848"/>
    <w:rsid w:val="00506F0E"/>
    <w:rsid w:val="005072D8"/>
    <w:rsid w:val="005074EB"/>
    <w:rsid w:val="00507581"/>
    <w:rsid w:val="00507A3A"/>
    <w:rsid w:val="005103C5"/>
    <w:rsid w:val="00510474"/>
    <w:rsid w:val="00510DAB"/>
    <w:rsid w:val="00510E8E"/>
    <w:rsid w:val="00511296"/>
    <w:rsid w:val="005115C4"/>
    <w:rsid w:val="00511706"/>
    <w:rsid w:val="005117CD"/>
    <w:rsid w:val="00511915"/>
    <w:rsid w:val="00511F9D"/>
    <w:rsid w:val="00512176"/>
    <w:rsid w:val="005123A6"/>
    <w:rsid w:val="005123C4"/>
    <w:rsid w:val="00512888"/>
    <w:rsid w:val="00512A16"/>
    <w:rsid w:val="00512A65"/>
    <w:rsid w:val="00512C20"/>
    <w:rsid w:val="00512E0C"/>
    <w:rsid w:val="00512F8D"/>
    <w:rsid w:val="0051308D"/>
    <w:rsid w:val="005131D3"/>
    <w:rsid w:val="005131ED"/>
    <w:rsid w:val="00513239"/>
    <w:rsid w:val="0051329C"/>
    <w:rsid w:val="0051352C"/>
    <w:rsid w:val="00513A81"/>
    <w:rsid w:val="00513B05"/>
    <w:rsid w:val="00513C3B"/>
    <w:rsid w:val="00513E2D"/>
    <w:rsid w:val="00513E98"/>
    <w:rsid w:val="00513F30"/>
    <w:rsid w:val="0051403E"/>
    <w:rsid w:val="0051499F"/>
    <w:rsid w:val="00514C67"/>
    <w:rsid w:val="00514DE5"/>
    <w:rsid w:val="00514FC2"/>
    <w:rsid w:val="00515863"/>
    <w:rsid w:val="0051596F"/>
    <w:rsid w:val="00515A43"/>
    <w:rsid w:val="00515B2C"/>
    <w:rsid w:val="00515BFA"/>
    <w:rsid w:val="00515E93"/>
    <w:rsid w:val="00516287"/>
    <w:rsid w:val="00516430"/>
    <w:rsid w:val="00516DED"/>
    <w:rsid w:val="00516FAD"/>
    <w:rsid w:val="005170E0"/>
    <w:rsid w:val="005171B9"/>
    <w:rsid w:val="00517289"/>
    <w:rsid w:val="0051743B"/>
    <w:rsid w:val="00517581"/>
    <w:rsid w:val="005175CD"/>
    <w:rsid w:val="00517A86"/>
    <w:rsid w:val="00517AD7"/>
    <w:rsid w:val="005202E9"/>
    <w:rsid w:val="0052043B"/>
    <w:rsid w:val="0052076E"/>
    <w:rsid w:val="00520B11"/>
    <w:rsid w:val="0052123D"/>
    <w:rsid w:val="0052131D"/>
    <w:rsid w:val="00521663"/>
    <w:rsid w:val="00521857"/>
    <w:rsid w:val="00521A7B"/>
    <w:rsid w:val="00522283"/>
    <w:rsid w:val="00522365"/>
    <w:rsid w:val="0052349D"/>
    <w:rsid w:val="005239C2"/>
    <w:rsid w:val="00523D4B"/>
    <w:rsid w:val="00523E1A"/>
    <w:rsid w:val="005240AA"/>
    <w:rsid w:val="00524756"/>
    <w:rsid w:val="00524943"/>
    <w:rsid w:val="00524A89"/>
    <w:rsid w:val="00524BE8"/>
    <w:rsid w:val="00524CA7"/>
    <w:rsid w:val="005250C3"/>
    <w:rsid w:val="005254CD"/>
    <w:rsid w:val="00525556"/>
    <w:rsid w:val="0052575D"/>
    <w:rsid w:val="00525C67"/>
    <w:rsid w:val="005266F4"/>
    <w:rsid w:val="00526781"/>
    <w:rsid w:val="00526C92"/>
    <w:rsid w:val="00526E88"/>
    <w:rsid w:val="00527358"/>
    <w:rsid w:val="00527420"/>
    <w:rsid w:val="00527488"/>
    <w:rsid w:val="005275FC"/>
    <w:rsid w:val="0052768C"/>
    <w:rsid w:val="005276C2"/>
    <w:rsid w:val="005276CB"/>
    <w:rsid w:val="00527779"/>
    <w:rsid w:val="00527EA7"/>
    <w:rsid w:val="00527F50"/>
    <w:rsid w:val="0052DB72"/>
    <w:rsid w:val="00530246"/>
    <w:rsid w:val="005304FD"/>
    <w:rsid w:val="00530642"/>
    <w:rsid w:val="00530727"/>
    <w:rsid w:val="00530896"/>
    <w:rsid w:val="00530A31"/>
    <w:rsid w:val="00530F1B"/>
    <w:rsid w:val="005310AF"/>
    <w:rsid w:val="005313D1"/>
    <w:rsid w:val="005319F6"/>
    <w:rsid w:val="00531B9A"/>
    <w:rsid w:val="00531E58"/>
    <w:rsid w:val="005320DA"/>
    <w:rsid w:val="00532293"/>
    <w:rsid w:val="0053238E"/>
    <w:rsid w:val="00532C09"/>
    <w:rsid w:val="00533527"/>
    <w:rsid w:val="00533678"/>
    <w:rsid w:val="00533B8A"/>
    <w:rsid w:val="00533DF3"/>
    <w:rsid w:val="00534030"/>
    <w:rsid w:val="005342C3"/>
    <w:rsid w:val="005342FA"/>
    <w:rsid w:val="00534540"/>
    <w:rsid w:val="00534750"/>
    <w:rsid w:val="00534774"/>
    <w:rsid w:val="00534823"/>
    <w:rsid w:val="005348C7"/>
    <w:rsid w:val="00534AF5"/>
    <w:rsid w:val="005351C8"/>
    <w:rsid w:val="00535484"/>
    <w:rsid w:val="005354C1"/>
    <w:rsid w:val="0053597B"/>
    <w:rsid w:val="00535A65"/>
    <w:rsid w:val="005360C5"/>
    <w:rsid w:val="00536115"/>
    <w:rsid w:val="005362F5"/>
    <w:rsid w:val="005367B5"/>
    <w:rsid w:val="0053686F"/>
    <w:rsid w:val="00536D90"/>
    <w:rsid w:val="00536F54"/>
    <w:rsid w:val="00536FDA"/>
    <w:rsid w:val="0053725B"/>
    <w:rsid w:val="005372D0"/>
    <w:rsid w:val="0053746D"/>
    <w:rsid w:val="00537949"/>
    <w:rsid w:val="00537BA7"/>
    <w:rsid w:val="00537ECC"/>
    <w:rsid w:val="0054027B"/>
    <w:rsid w:val="00540549"/>
    <w:rsid w:val="00540617"/>
    <w:rsid w:val="00540706"/>
    <w:rsid w:val="00540764"/>
    <w:rsid w:val="005407B1"/>
    <w:rsid w:val="00540C57"/>
    <w:rsid w:val="00541163"/>
    <w:rsid w:val="0054163B"/>
    <w:rsid w:val="0054171C"/>
    <w:rsid w:val="0054178A"/>
    <w:rsid w:val="00541C40"/>
    <w:rsid w:val="005421B4"/>
    <w:rsid w:val="00542619"/>
    <w:rsid w:val="00542668"/>
    <w:rsid w:val="00542ABB"/>
    <w:rsid w:val="00542BCA"/>
    <w:rsid w:val="00542BDF"/>
    <w:rsid w:val="00542CE7"/>
    <w:rsid w:val="0054319C"/>
    <w:rsid w:val="00543540"/>
    <w:rsid w:val="005437BF"/>
    <w:rsid w:val="005438A8"/>
    <w:rsid w:val="00543AF6"/>
    <w:rsid w:val="00543B86"/>
    <w:rsid w:val="00543CB8"/>
    <w:rsid w:val="00543DF5"/>
    <w:rsid w:val="00543FA0"/>
    <w:rsid w:val="005440AF"/>
    <w:rsid w:val="005440D0"/>
    <w:rsid w:val="00544B56"/>
    <w:rsid w:val="00545285"/>
    <w:rsid w:val="005454EF"/>
    <w:rsid w:val="00545503"/>
    <w:rsid w:val="0054556A"/>
    <w:rsid w:val="0054568D"/>
    <w:rsid w:val="00545791"/>
    <w:rsid w:val="00545CD3"/>
    <w:rsid w:val="00545D2B"/>
    <w:rsid w:val="00546179"/>
    <w:rsid w:val="0054654B"/>
    <w:rsid w:val="00546643"/>
    <w:rsid w:val="00546762"/>
    <w:rsid w:val="005468D5"/>
    <w:rsid w:val="00546B42"/>
    <w:rsid w:val="00546FE0"/>
    <w:rsid w:val="00547033"/>
    <w:rsid w:val="005473D4"/>
    <w:rsid w:val="005473F2"/>
    <w:rsid w:val="005476CB"/>
    <w:rsid w:val="00547752"/>
    <w:rsid w:val="00547973"/>
    <w:rsid w:val="005479F7"/>
    <w:rsid w:val="00547D4C"/>
    <w:rsid w:val="00547EF8"/>
    <w:rsid w:val="00547F1F"/>
    <w:rsid w:val="00547F87"/>
    <w:rsid w:val="0055038C"/>
    <w:rsid w:val="005503D1"/>
    <w:rsid w:val="005506D5"/>
    <w:rsid w:val="00550794"/>
    <w:rsid w:val="0055090D"/>
    <w:rsid w:val="0055093A"/>
    <w:rsid w:val="00550B38"/>
    <w:rsid w:val="00551223"/>
    <w:rsid w:val="0055158A"/>
    <w:rsid w:val="00551878"/>
    <w:rsid w:val="00551B78"/>
    <w:rsid w:val="00551FAE"/>
    <w:rsid w:val="00552718"/>
    <w:rsid w:val="00552AD0"/>
    <w:rsid w:val="00553066"/>
    <w:rsid w:val="005530BF"/>
    <w:rsid w:val="005531BD"/>
    <w:rsid w:val="00553929"/>
    <w:rsid w:val="00553B73"/>
    <w:rsid w:val="00553C34"/>
    <w:rsid w:val="00553D58"/>
    <w:rsid w:val="00553D59"/>
    <w:rsid w:val="00554009"/>
    <w:rsid w:val="005544B7"/>
    <w:rsid w:val="005545F0"/>
    <w:rsid w:val="0055463A"/>
    <w:rsid w:val="0055487B"/>
    <w:rsid w:val="005548D0"/>
    <w:rsid w:val="00554B90"/>
    <w:rsid w:val="00554E9D"/>
    <w:rsid w:val="00554F80"/>
    <w:rsid w:val="00555874"/>
    <w:rsid w:val="0055593A"/>
    <w:rsid w:val="00555971"/>
    <w:rsid w:val="00555C01"/>
    <w:rsid w:val="005560C4"/>
    <w:rsid w:val="0055645B"/>
    <w:rsid w:val="005567B2"/>
    <w:rsid w:val="005567D6"/>
    <w:rsid w:val="00556866"/>
    <w:rsid w:val="00556F5D"/>
    <w:rsid w:val="00557378"/>
    <w:rsid w:val="00557572"/>
    <w:rsid w:val="00557870"/>
    <w:rsid w:val="00557903"/>
    <w:rsid w:val="00557E81"/>
    <w:rsid w:val="00560277"/>
    <w:rsid w:val="00560938"/>
    <w:rsid w:val="00560A0E"/>
    <w:rsid w:val="00560AF1"/>
    <w:rsid w:val="00560D23"/>
    <w:rsid w:val="00560D96"/>
    <w:rsid w:val="00560E0F"/>
    <w:rsid w:val="00561092"/>
    <w:rsid w:val="00561382"/>
    <w:rsid w:val="00561562"/>
    <w:rsid w:val="0056171E"/>
    <w:rsid w:val="005619AE"/>
    <w:rsid w:val="00561DD1"/>
    <w:rsid w:val="00561E29"/>
    <w:rsid w:val="00562512"/>
    <w:rsid w:val="0056255C"/>
    <w:rsid w:val="0056288D"/>
    <w:rsid w:val="005628D8"/>
    <w:rsid w:val="00562C80"/>
    <w:rsid w:val="0056336B"/>
    <w:rsid w:val="00563492"/>
    <w:rsid w:val="00563DE6"/>
    <w:rsid w:val="005640FE"/>
    <w:rsid w:val="00564F53"/>
    <w:rsid w:val="0056528D"/>
    <w:rsid w:val="005656C0"/>
    <w:rsid w:val="00565DBC"/>
    <w:rsid w:val="0056628B"/>
    <w:rsid w:val="00566298"/>
    <w:rsid w:val="005662A7"/>
    <w:rsid w:val="00566465"/>
    <w:rsid w:val="00566882"/>
    <w:rsid w:val="00566C15"/>
    <w:rsid w:val="00566E95"/>
    <w:rsid w:val="005670EA"/>
    <w:rsid w:val="0056713E"/>
    <w:rsid w:val="00567620"/>
    <w:rsid w:val="00567AB2"/>
    <w:rsid w:val="00570244"/>
    <w:rsid w:val="00570282"/>
    <w:rsid w:val="0057091E"/>
    <w:rsid w:val="00570966"/>
    <w:rsid w:val="00570A4B"/>
    <w:rsid w:val="00570CE7"/>
    <w:rsid w:val="00570D2A"/>
    <w:rsid w:val="00570F4A"/>
    <w:rsid w:val="00571042"/>
    <w:rsid w:val="005710D5"/>
    <w:rsid w:val="005713C1"/>
    <w:rsid w:val="005714E9"/>
    <w:rsid w:val="005716E1"/>
    <w:rsid w:val="00571E55"/>
    <w:rsid w:val="005723D6"/>
    <w:rsid w:val="005724D2"/>
    <w:rsid w:val="00572D8D"/>
    <w:rsid w:val="005730A8"/>
    <w:rsid w:val="00573438"/>
    <w:rsid w:val="005737AE"/>
    <w:rsid w:val="00573BA2"/>
    <w:rsid w:val="00573C3A"/>
    <w:rsid w:val="0057450E"/>
    <w:rsid w:val="0057467E"/>
    <w:rsid w:val="00574A31"/>
    <w:rsid w:val="00574A6E"/>
    <w:rsid w:val="00574ACE"/>
    <w:rsid w:val="00574F44"/>
    <w:rsid w:val="005751C0"/>
    <w:rsid w:val="0057537E"/>
    <w:rsid w:val="005755C3"/>
    <w:rsid w:val="005756B8"/>
    <w:rsid w:val="00575DDE"/>
    <w:rsid w:val="005764CA"/>
    <w:rsid w:val="00576627"/>
    <w:rsid w:val="00576642"/>
    <w:rsid w:val="00576D81"/>
    <w:rsid w:val="00576F74"/>
    <w:rsid w:val="00577145"/>
    <w:rsid w:val="005773BE"/>
    <w:rsid w:val="005776B0"/>
    <w:rsid w:val="0057796A"/>
    <w:rsid w:val="00577ACF"/>
    <w:rsid w:val="0058018F"/>
    <w:rsid w:val="00580361"/>
    <w:rsid w:val="0058093D"/>
    <w:rsid w:val="0058096A"/>
    <w:rsid w:val="00580B38"/>
    <w:rsid w:val="00580EDE"/>
    <w:rsid w:val="0058105E"/>
    <w:rsid w:val="00581136"/>
    <w:rsid w:val="005818E9"/>
    <w:rsid w:val="005819D8"/>
    <w:rsid w:val="00581BFC"/>
    <w:rsid w:val="00581D28"/>
    <w:rsid w:val="005820CB"/>
    <w:rsid w:val="00582365"/>
    <w:rsid w:val="0058242D"/>
    <w:rsid w:val="00582503"/>
    <w:rsid w:val="005825DA"/>
    <w:rsid w:val="00582741"/>
    <w:rsid w:val="00582785"/>
    <w:rsid w:val="005828CF"/>
    <w:rsid w:val="00582AF3"/>
    <w:rsid w:val="00582B79"/>
    <w:rsid w:val="00582EAE"/>
    <w:rsid w:val="005830B9"/>
    <w:rsid w:val="005831EC"/>
    <w:rsid w:val="00583227"/>
    <w:rsid w:val="0058355A"/>
    <w:rsid w:val="00583591"/>
    <w:rsid w:val="00583720"/>
    <w:rsid w:val="00583994"/>
    <w:rsid w:val="005839BF"/>
    <w:rsid w:val="00583A40"/>
    <w:rsid w:val="00583B63"/>
    <w:rsid w:val="0058407B"/>
    <w:rsid w:val="00584CD1"/>
    <w:rsid w:val="00584D89"/>
    <w:rsid w:val="005852CE"/>
    <w:rsid w:val="00585C1B"/>
    <w:rsid w:val="00585E8C"/>
    <w:rsid w:val="005862AC"/>
    <w:rsid w:val="005864AD"/>
    <w:rsid w:val="00586866"/>
    <w:rsid w:val="00586B39"/>
    <w:rsid w:val="00587145"/>
    <w:rsid w:val="005872D1"/>
    <w:rsid w:val="00587639"/>
    <w:rsid w:val="0058772C"/>
    <w:rsid w:val="005904BF"/>
    <w:rsid w:val="005905B0"/>
    <w:rsid w:val="005905FD"/>
    <w:rsid w:val="00590790"/>
    <w:rsid w:val="00591202"/>
    <w:rsid w:val="0059122F"/>
    <w:rsid w:val="005912DB"/>
    <w:rsid w:val="00591531"/>
    <w:rsid w:val="00591B59"/>
    <w:rsid w:val="005923FD"/>
    <w:rsid w:val="00592638"/>
    <w:rsid w:val="00592690"/>
    <w:rsid w:val="0059271A"/>
    <w:rsid w:val="00592C2B"/>
    <w:rsid w:val="00592C89"/>
    <w:rsid w:val="00592F36"/>
    <w:rsid w:val="00593138"/>
    <w:rsid w:val="005931EE"/>
    <w:rsid w:val="00593379"/>
    <w:rsid w:val="0059360A"/>
    <w:rsid w:val="0059366E"/>
    <w:rsid w:val="00593A33"/>
    <w:rsid w:val="00593AAF"/>
    <w:rsid w:val="00593CB6"/>
    <w:rsid w:val="00593DA8"/>
    <w:rsid w:val="00593FA5"/>
    <w:rsid w:val="005942FD"/>
    <w:rsid w:val="005946FF"/>
    <w:rsid w:val="005947B5"/>
    <w:rsid w:val="00594B29"/>
    <w:rsid w:val="00594BA6"/>
    <w:rsid w:val="0059527F"/>
    <w:rsid w:val="00595822"/>
    <w:rsid w:val="00595B81"/>
    <w:rsid w:val="00595CF9"/>
    <w:rsid w:val="0059601F"/>
    <w:rsid w:val="0059608E"/>
    <w:rsid w:val="005960BB"/>
    <w:rsid w:val="00596884"/>
    <w:rsid w:val="0059697D"/>
    <w:rsid w:val="00596BB2"/>
    <w:rsid w:val="0059700F"/>
    <w:rsid w:val="005971C8"/>
    <w:rsid w:val="005972FF"/>
    <w:rsid w:val="00597385"/>
    <w:rsid w:val="00597407"/>
    <w:rsid w:val="00597759"/>
    <w:rsid w:val="00597F5C"/>
    <w:rsid w:val="005A005E"/>
    <w:rsid w:val="005A0496"/>
    <w:rsid w:val="005A0651"/>
    <w:rsid w:val="005A0ADC"/>
    <w:rsid w:val="005A0C23"/>
    <w:rsid w:val="005A0C92"/>
    <w:rsid w:val="005A0E93"/>
    <w:rsid w:val="005A0E9A"/>
    <w:rsid w:val="005A1172"/>
    <w:rsid w:val="005A1636"/>
    <w:rsid w:val="005A1686"/>
    <w:rsid w:val="005A195A"/>
    <w:rsid w:val="005A19C1"/>
    <w:rsid w:val="005A1B59"/>
    <w:rsid w:val="005A241B"/>
    <w:rsid w:val="005A2558"/>
    <w:rsid w:val="005A25C7"/>
    <w:rsid w:val="005A26A9"/>
    <w:rsid w:val="005A291C"/>
    <w:rsid w:val="005A2965"/>
    <w:rsid w:val="005A2BA0"/>
    <w:rsid w:val="005A2D6B"/>
    <w:rsid w:val="005A3315"/>
    <w:rsid w:val="005A349F"/>
    <w:rsid w:val="005A36A6"/>
    <w:rsid w:val="005A37B9"/>
    <w:rsid w:val="005A39DB"/>
    <w:rsid w:val="005A39FE"/>
    <w:rsid w:val="005A3C9C"/>
    <w:rsid w:val="005A3F0A"/>
    <w:rsid w:val="005A4047"/>
    <w:rsid w:val="005A4384"/>
    <w:rsid w:val="005A4B16"/>
    <w:rsid w:val="005A4ED2"/>
    <w:rsid w:val="005A52C2"/>
    <w:rsid w:val="005A551F"/>
    <w:rsid w:val="005A567D"/>
    <w:rsid w:val="005A56A3"/>
    <w:rsid w:val="005A5863"/>
    <w:rsid w:val="005A5B4B"/>
    <w:rsid w:val="005A5C9D"/>
    <w:rsid w:val="005A6696"/>
    <w:rsid w:val="005A6768"/>
    <w:rsid w:val="005A685F"/>
    <w:rsid w:val="005A69BB"/>
    <w:rsid w:val="005A6A21"/>
    <w:rsid w:val="005A6F52"/>
    <w:rsid w:val="005A7012"/>
    <w:rsid w:val="005A71BB"/>
    <w:rsid w:val="005A724C"/>
    <w:rsid w:val="005A7344"/>
    <w:rsid w:val="005A7524"/>
    <w:rsid w:val="005A7A5E"/>
    <w:rsid w:val="005A7EB4"/>
    <w:rsid w:val="005B01D0"/>
    <w:rsid w:val="005B0481"/>
    <w:rsid w:val="005B052B"/>
    <w:rsid w:val="005B06C2"/>
    <w:rsid w:val="005B096C"/>
    <w:rsid w:val="005B0B72"/>
    <w:rsid w:val="005B0C86"/>
    <w:rsid w:val="005B11BF"/>
    <w:rsid w:val="005B12FB"/>
    <w:rsid w:val="005B1342"/>
    <w:rsid w:val="005B1C07"/>
    <w:rsid w:val="005B20D3"/>
    <w:rsid w:val="005B2628"/>
    <w:rsid w:val="005B2691"/>
    <w:rsid w:val="005B2B5E"/>
    <w:rsid w:val="005B3432"/>
    <w:rsid w:val="005B3991"/>
    <w:rsid w:val="005B3B68"/>
    <w:rsid w:val="005B3BD6"/>
    <w:rsid w:val="005B3EA5"/>
    <w:rsid w:val="005B3FB6"/>
    <w:rsid w:val="005B4E80"/>
    <w:rsid w:val="005B56EF"/>
    <w:rsid w:val="005B634B"/>
    <w:rsid w:val="005B667F"/>
    <w:rsid w:val="005B6C0B"/>
    <w:rsid w:val="005B7356"/>
    <w:rsid w:val="005B74D7"/>
    <w:rsid w:val="005B75DD"/>
    <w:rsid w:val="005B781C"/>
    <w:rsid w:val="005B7AED"/>
    <w:rsid w:val="005B7D6C"/>
    <w:rsid w:val="005C020D"/>
    <w:rsid w:val="005C0244"/>
    <w:rsid w:val="005C03BE"/>
    <w:rsid w:val="005C05ED"/>
    <w:rsid w:val="005C080D"/>
    <w:rsid w:val="005C0D57"/>
    <w:rsid w:val="005C11A9"/>
    <w:rsid w:val="005C13D6"/>
    <w:rsid w:val="005C14F8"/>
    <w:rsid w:val="005C1764"/>
    <w:rsid w:val="005C190F"/>
    <w:rsid w:val="005C1E08"/>
    <w:rsid w:val="005C1E79"/>
    <w:rsid w:val="005C2086"/>
    <w:rsid w:val="005C28B2"/>
    <w:rsid w:val="005C2DF8"/>
    <w:rsid w:val="005C2E4B"/>
    <w:rsid w:val="005C33C4"/>
    <w:rsid w:val="005C37D9"/>
    <w:rsid w:val="005C3C38"/>
    <w:rsid w:val="005C3F6D"/>
    <w:rsid w:val="005C440A"/>
    <w:rsid w:val="005C51E2"/>
    <w:rsid w:val="005C5280"/>
    <w:rsid w:val="005C5463"/>
    <w:rsid w:val="005C5AE7"/>
    <w:rsid w:val="005C5BAB"/>
    <w:rsid w:val="005C5E27"/>
    <w:rsid w:val="005C5E5F"/>
    <w:rsid w:val="005C65C0"/>
    <w:rsid w:val="005C6BA2"/>
    <w:rsid w:val="005C71DF"/>
    <w:rsid w:val="005C71E2"/>
    <w:rsid w:val="005C7215"/>
    <w:rsid w:val="005C7257"/>
    <w:rsid w:val="005C73C4"/>
    <w:rsid w:val="005C73C9"/>
    <w:rsid w:val="005C75A1"/>
    <w:rsid w:val="005C78EC"/>
    <w:rsid w:val="005C79A7"/>
    <w:rsid w:val="005C7B44"/>
    <w:rsid w:val="005C7DAB"/>
    <w:rsid w:val="005D0093"/>
    <w:rsid w:val="005D00EA"/>
    <w:rsid w:val="005D023B"/>
    <w:rsid w:val="005D0266"/>
    <w:rsid w:val="005D02C4"/>
    <w:rsid w:val="005D0300"/>
    <w:rsid w:val="005D030C"/>
    <w:rsid w:val="005D0C2C"/>
    <w:rsid w:val="005D0E93"/>
    <w:rsid w:val="005D13CC"/>
    <w:rsid w:val="005D14EB"/>
    <w:rsid w:val="005D150F"/>
    <w:rsid w:val="005D155C"/>
    <w:rsid w:val="005D1B1E"/>
    <w:rsid w:val="005D1C88"/>
    <w:rsid w:val="005D1F8E"/>
    <w:rsid w:val="005D22B8"/>
    <w:rsid w:val="005D2304"/>
    <w:rsid w:val="005D2463"/>
    <w:rsid w:val="005D2508"/>
    <w:rsid w:val="005D259F"/>
    <w:rsid w:val="005D26CE"/>
    <w:rsid w:val="005D27DA"/>
    <w:rsid w:val="005D2845"/>
    <w:rsid w:val="005D346F"/>
    <w:rsid w:val="005D3776"/>
    <w:rsid w:val="005D38D0"/>
    <w:rsid w:val="005D3A04"/>
    <w:rsid w:val="005D3A2E"/>
    <w:rsid w:val="005D3C10"/>
    <w:rsid w:val="005D3DC7"/>
    <w:rsid w:val="005D4568"/>
    <w:rsid w:val="005D480B"/>
    <w:rsid w:val="005D48DB"/>
    <w:rsid w:val="005D48FE"/>
    <w:rsid w:val="005D4B55"/>
    <w:rsid w:val="005D5063"/>
    <w:rsid w:val="005D52E5"/>
    <w:rsid w:val="005D5648"/>
    <w:rsid w:val="005D5984"/>
    <w:rsid w:val="005D5AA9"/>
    <w:rsid w:val="005D6380"/>
    <w:rsid w:val="005D64F0"/>
    <w:rsid w:val="005D65A1"/>
    <w:rsid w:val="005D686F"/>
    <w:rsid w:val="005D691E"/>
    <w:rsid w:val="005D6C4B"/>
    <w:rsid w:val="005D6FD0"/>
    <w:rsid w:val="005D7436"/>
    <w:rsid w:val="005D7471"/>
    <w:rsid w:val="005D749D"/>
    <w:rsid w:val="005D76C3"/>
    <w:rsid w:val="005D78B4"/>
    <w:rsid w:val="005D7ABD"/>
    <w:rsid w:val="005D7C12"/>
    <w:rsid w:val="005E0D3F"/>
    <w:rsid w:val="005E112D"/>
    <w:rsid w:val="005E1150"/>
    <w:rsid w:val="005E142D"/>
    <w:rsid w:val="005E1667"/>
    <w:rsid w:val="005E18B7"/>
    <w:rsid w:val="005E1A84"/>
    <w:rsid w:val="005E2702"/>
    <w:rsid w:val="005E2BB1"/>
    <w:rsid w:val="005E2E36"/>
    <w:rsid w:val="005E377A"/>
    <w:rsid w:val="005E3892"/>
    <w:rsid w:val="005E3BA5"/>
    <w:rsid w:val="005E3E88"/>
    <w:rsid w:val="005E40B9"/>
    <w:rsid w:val="005E415C"/>
    <w:rsid w:val="005E44F7"/>
    <w:rsid w:val="005E4667"/>
    <w:rsid w:val="005E4C8C"/>
    <w:rsid w:val="005E5164"/>
    <w:rsid w:val="005E51BD"/>
    <w:rsid w:val="005E555C"/>
    <w:rsid w:val="005E5874"/>
    <w:rsid w:val="005E5CBC"/>
    <w:rsid w:val="005E5DEA"/>
    <w:rsid w:val="005E5EB2"/>
    <w:rsid w:val="005E6289"/>
    <w:rsid w:val="005E67C8"/>
    <w:rsid w:val="005E67D6"/>
    <w:rsid w:val="005E6D4E"/>
    <w:rsid w:val="005E7073"/>
    <w:rsid w:val="005E75D5"/>
    <w:rsid w:val="005E7640"/>
    <w:rsid w:val="005E77DD"/>
    <w:rsid w:val="005E786C"/>
    <w:rsid w:val="005E7ADB"/>
    <w:rsid w:val="005E7E76"/>
    <w:rsid w:val="005F001B"/>
    <w:rsid w:val="005F038F"/>
    <w:rsid w:val="005F05B8"/>
    <w:rsid w:val="005F0659"/>
    <w:rsid w:val="005F0673"/>
    <w:rsid w:val="005F06A9"/>
    <w:rsid w:val="005F0710"/>
    <w:rsid w:val="005F0A59"/>
    <w:rsid w:val="005F0A74"/>
    <w:rsid w:val="005F0A7F"/>
    <w:rsid w:val="005F1143"/>
    <w:rsid w:val="005F1555"/>
    <w:rsid w:val="005F195C"/>
    <w:rsid w:val="005F19AB"/>
    <w:rsid w:val="005F1B90"/>
    <w:rsid w:val="005F1FB9"/>
    <w:rsid w:val="005F23A6"/>
    <w:rsid w:val="005F24B4"/>
    <w:rsid w:val="005F2978"/>
    <w:rsid w:val="005F2B5B"/>
    <w:rsid w:val="005F2C09"/>
    <w:rsid w:val="005F2CB4"/>
    <w:rsid w:val="005F2DAA"/>
    <w:rsid w:val="005F34D0"/>
    <w:rsid w:val="005F393E"/>
    <w:rsid w:val="005F3F0E"/>
    <w:rsid w:val="005F40AA"/>
    <w:rsid w:val="005F41E0"/>
    <w:rsid w:val="005F4624"/>
    <w:rsid w:val="005F4721"/>
    <w:rsid w:val="005F4892"/>
    <w:rsid w:val="005F48E2"/>
    <w:rsid w:val="005F4F0E"/>
    <w:rsid w:val="005F5175"/>
    <w:rsid w:val="005F518F"/>
    <w:rsid w:val="005F5892"/>
    <w:rsid w:val="005F5C99"/>
    <w:rsid w:val="005F5E81"/>
    <w:rsid w:val="005F691C"/>
    <w:rsid w:val="005F6A5D"/>
    <w:rsid w:val="005F6B33"/>
    <w:rsid w:val="005F6F9E"/>
    <w:rsid w:val="005F720A"/>
    <w:rsid w:val="005F73B5"/>
    <w:rsid w:val="005F77C7"/>
    <w:rsid w:val="005F786F"/>
    <w:rsid w:val="005F7A46"/>
    <w:rsid w:val="005F7AFA"/>
    <w:rsid w:val="005F7B0C"/>
    <w:rsid w:val="005F7D28"/>
    <w:rsid w:val="0060015A"/>
    <w:rsid w:val="00600246"/>
    <w:rsid w:val="006003CF"/>
    <w:rsid w:val="00600B6F"/>
    <w:rsid w:val="00600E75"/>
    <w:rsid w:val="00601154"/>
    <w:rsid w:val="006013D2"/>
    <w:rsid w:val="006016CB"/>
    <w:rsid w:val="006016E9"/>
    <w:rsid w:val="0060178A"/>
    <w:rsid w:val="00601913"/>
    <w:rsid w:val="00601CD4"/>
    <w:rsid w:val="00602565"/>
    <w:rsid w:val="00602648"/>
    <w:rsid w:val="00602A07"/>
    <w:rsid w:val="00602B97"/>
    <w:rsid w:val="00602C33"/>
    <w:rsid w:val="00602E87"/>
    <w:rsid w:val="00602F43"/>
    <w:rsid w:val="006031EF"/>
    <w:rsid w:val="006032A1"/>
    <w:rsid w:val="00603587"/>
    <w:rsid w:val="00603771"/>
    <w:rsid w:val="006038CD"/>
    <w:rsid w:val="00603B08"/>
    <w:rsid w:val="006043D1"/>
    <w:rsid w:val="00604414"/>
    <w:rsid w:val="006044C8"/>
    <w:rsid w:val="00604732"/>
    <w:rsid w:val="00604858"/>
    <w:rsid w:val="00604A33"/>
    <w:rsid w:val="00605083"/>
    <w:rsid w:val="00605776"/>
    <w:rsid w:val="00605C2F"/>
    <w:rsid w:val="0060621A"/>
    <w:rsid w:val="0060629A"/>
    <w:rsid w:val="006062EB"/>
    <w:rsid w:val="0060638F"/>
    <w:rsid w:val="006063BA"/>
    <w:rsid w:val="00606575"/>
    <w:rsid w:val="006065A5"/>
    <w:rsid w:val="00606625"/>
    <w:rsid w:val="00606F6A"/>
    <w:rsid w:val="00606F85"/>
    <w:rsid w:val="00606F97"/>
    <w:rsid w:val="00607021"/>
    <w:rsid w:val="0060736D"/>
    <w:rsid w:val="00607702"/>
    <w:rsid w:val="00607B55"/>
    <w:rsid w:val="00607C71"/>
    <w:rsid w:val="00607EBB"/>
    <w:rsid w:val="006100FB"/>
    <w:rsid w:val="00610162"/>
    <w:rsid w:val="006103F7"/>
    <w:rsid w:val="0061051B"/>
    <w:rsid w:val="00610ABA"/>
    <w:rsid w:val="00610AE8"/>
    <w:rsid w:val="00610D06"/>
    <w:rsid w:val="00611682"/>
    <w:rsid w:val="0061180D"/>
    <w:rsid w:val="006118BC"/>
    <w:rsid w:val="00611990"/>
    <w:rsid w:val="00611F81"/>
    <w:rsid w:val="006121F9"/>
    <w:rsid w:val="0061277B"/>
    <w:rsid w:val="0061284D"/>
    <w:rsid w:val="006128BC"/>
    <w:rsid w:val="006129B2"/>
    <w:rsid w:val="006129BD"/>
    <w:rsid w:val="00612AE8"/>
    <w:rsid w:val="00612DBD"/>
    <w:rsid w:val="00612F8A"/>
    <w:rsid w:val="00613037"/>
    <w:rsid w:val="00613059"/>
    <w:rsid w:val="00613344"/>
    <w:rsid w:val="006135AB"/>
    <w:rsid w:val="00613628"/>
    <w:rsid w:val="006138D5"/>
    <w:rsid w:val="006138E4"/>
    <w:rsid w:val="00613974"/>
    <w:rsid w:val="00613A40"/>
    <w:rsid w:val="00613B98"/>
    <w:rsid w:val="00613E8D"/>
    <w:rsid w:val="00613EC4"/>
    <w:rsid w:val="0061440F"/>
    <w:rsid w:val="006144F6"/>
    <w:rsid w:val="006148AB"/>
    <w:rsid w:val="0061544D"/>
    <w:rsid w:val="00615A96"/>
    <w:rsid w:val="00615B9D"/>
    <w:rsid w:val="00615C05"/>
    <w:rsid w:val="00615CC5"/>
    <w:rsid w:val="006163C0"/>
    <w:rsid w:val="006163FD"/>
    <w:rsid w:val="00616407"/>
    <w:rsid w:val="00617C8E"/>
    <w:rsid w:val="00617FD0"/>
    <w:rsid w:val="00620184"/>
    <w:rsid w:val="00620443"/>
    <w:rsid w:val="00620485"/>
    <w:rsid w:val="006207F6"/>
    <w:rsid w:val="00620DC3"/>
    <w:rsid w:val="00620E5A"/>
    <w:rsid w:val="006210B9"/>
    <w:rsid w:val="00621288"/>
    <w:rsid w:val="006212AD"/>
    <w:rsid w:val="00621445"/>
    <w:rsid w:val="006214E2"/>
    <w:rsid w:val="00621879"/>
    <w:rsid w:val="0062197E"/>
    <w:rsid w:val="0062215B"/>
    <w:rsid w:val="00622D92"/>
    <w:rsid w:val="00622D9F"/>
    <w:rsid w:val="00622E23"/>
    <w:rsid w:val="00623382"/>
    <w:rsid w:val="006237BB"/>
    <w:rsid w:val="006237C1"/>
    <w:rsid w:val="00623A77"/>
    <w:rsid w:val="00623BB1"/>
    <w:rsid w:val="00623CD6"/>
    <w:rsid w:val="00623F81"/>
    <w:rsid w:val="00624292"/>
    <w:rsid w:val="0062448A"/>
    <w:rsid w:val="00624598"/>
    <w:rsid w:val="006248FA"/>
    <w:rsid w:val="00624CCA"/>
    <w:rsid w:val="006250D7"/>
    <w:rsid w:val="006250E9"/>
    <w:rsid w:val="0062547E"/>
    <w:rsid w:val="006254FB"/>
    <w:rsid w:val="0062589C"/>
    <w:rsid w:val="00625B29"/>
    <w:rsid w:val="00626134"/>
    <w:rsid w:val="00626BBA"/>
    <w:rsid w:val="00626DFF"/>
    <w:rsid w:val="00627091"/>
    <w:rsid w:val="0062738E"/>
    <w:rsid w:val="00627439"/>
    <w:rsid w:val="0062755F"/>
    <w:rsid w:val="006278E6"/>
    <w:rsid w:val="00627EFA"/>
    <w:rsid w:val="00627F50"/>
    <w:rsid w:val="00630737"/>
    <w:rsid w:val="00630BBE"/>
    <w:rsid w:val="00631392"/>
    <w:rsid w:val="0063144C"/>
    <w:rsid w:val="0063159F"/>
    <w:rsid w:val="006319C1"/>
    <w:rsid w:val="00632418"/>
    <w:rsid w:val="00632695"/>
    <w:rsid w:val="006326C8"/>
    <w:rsid w:val="006327CE"/>
    <w:rsid w:val="00633824"/>
    <w:rsid w:val="00633B2F"/>
    <w:rsid w:val="00633BFA"/>
    <w:rsid w:val="00633D68"/>
    <w:rsid w:val="00633E77"/>
    <w:rsid w:val="00634075"/>
    <w:rsid w:val="006347E7"/>
    <w:rsid w:val="0063533A"/>
    <w:rsid w:val="006354A5"/>
    <w:rsid w:val="00635500"/>
    <w:rsid w:val="0063559C"/>
    <w:rsid w:val="006358E7"/>
    <w:rsid w:val="0063646E"/>
    <w:rsid w:val="00636470"/>
    <w:rsid w:val="006364CE"/>
    <w:rsid w:val="00636514"/>
    <w:rsid w:val="00636725"/>
    <w:rsid w:val="0063705E"/>
    <w:rsid w:val="00637250"/>
    <w:rsid w:val="00637813"/>
    <w:rsid w:val="00637878"/>
    <w:rsid w:val="00640340"/>
    <w:rsid w:val="0064034E"/>
    <w:rsid w:val="0064044F"/>
    <w:rsid w:val="006406CA"/>
    <w:rsid w:val="00640955"/>
    <w:rsid w:val="006409A1"/>
    <w:rsid w:val="00640C31"/>
    <w:rsid w:val="00640F4D"/>
    <w:rsid w:val="00641738"/>
    <w:rsid w:val="00641924"/>
    <w:rsid w:val="00641B4E"/>
    <w:rsid w:val="00641F51"/>
    <w:rsid w:val="00642194"/>
    <w:rsid w:val="00642373"/>
    <w:rsid w:val="006423C5"/>
    <w:rsid w:val="00642690"/>
    <w:rsid w:val="00642804"/>
    <w:rsid w:val="00642D88"/>
    <w:rsid w:val="00643226"/>
    <w:rsid w:val="0064362A"/>
    <w:rsid w:val="00643800"/>
    <w:rsid w:val="00643DA4"/>
    <w:rsid w:val="00644061"/>
    <w:rsid w:val="00644184"/>
    <w:rsid w:val="00644259"/>
    <w:rsid w:val="006442B0"/>
    <w:rsid w:val="00644B41"/>
    <w:rsid w:val="006453B7"/>
    <w:rsid w:val="00645477"/>
    <w:rsid w:val="0064558C"/>
    <w:rsid w:val="00645795"/>
    <w:rsid w:val="006458C2"/>
    <w:rsid w:val="006459EF"/>
    <w:rsid w:val="00645B8F"/>
    <w:rsid w:val="00645D92"/>
    <w:rsid w:val="00646565"/>
    <w:rsid w:val="006465F3"/>
    <w:rsid w:val="006468C3"/>
    <w:rsid w:val="00646A9E"/>
    <w:rsid w:val="00646B4D"/>
    <w:rsid w:val="00646BFE"/>
    <w:rsid w:val="0064707B"/>
    <w:rsid w:val="006470C5"/>
    <w:rsid w:val="006478B2"/>
    <w:rsid w:val="00647B2F"/>
    <w:rsid w:val="00647ECE"/>
    <w:rsid w:val="00650047"/>
    <w:rsid w:val="0065029B"/>
    <w:rsid w:val="00650370"/>
    <w:rsid w:val="00650382"/>
    <w:rsid w:val="00650586"/>
    <w:rsid w:val="00650A60"/>
    <w:rsid w:val="00650A94"/>
    <w:rsid w:val="00650F92"/>
    <w:rsid w:val="0065113F"/>
    <w:rsid w:val="00651356"/>
    <w:rsid w:val="0065142E"/>
    <w:rsid w:val="00651AA8"/>
    <w:rsid w:val="00651B88"/>
    <w:rsid w:val="00651B9B"/>
    <w:rsid w:val="00651C42"/>
    <w:rsid w:val="0065220B"/>
    <w:rsid w:val="006523D6"/>
    <w:rsid w:val="00652806"/>
    <w:rsid w:val="006528A9"/>
    <w:rsid w:val="00652C25"/>
    <w:rsid w:val="006534BF"/>
    <w:rsid w:val="006537D7"/>
    <w:rsid w:val="00653C65"/>
    <w:rsid w:val="0065444A"/>
    <w:rsid w:val="0065479A"/>
    <w:rsid w:val="00654988"/>
    <w:rsid w:val="00654E5C"/>
    <w:rsid w:val="00654F68"/>
    <w:rsid w:val="006554D6"/>
    <w:rsid w:val="00655699"/>
    <w:rsid w:val="0065587A"/>
    <w:rsid w:val="00655ABA"/>
    <w:rsid w:val="00655C35"/>
    <w:rsid w:val="00655CF5"/>
    <w:rsid w:val="00655CF9"/>
    <w:rsid w:val="00655D45"/>
    <w:rsid w:val="00655E65"/>
    <w:rsid w:val="00655F54"/>
    <w:rsid w:val="00656177"/>
    <w:rsid w:val="0065627B"/>
    <w:rsid w:val="00656426"/>
    <w:rsid w:val="00656C18"/>
    <w:rsid w:val="00656F3F"/>
    <w:rsid w:val="00657069"/>
    <w:rsid w:val="0065714C"/>
    <w:rsid w:val="006575AC"/>
    <w:rsid w:val="006578DA"/>
    <w:rsid w:val="00657A9E"/>
    <w:rsid w:val="00657B0D"/>
    <w:rsid w:val="00657F68"/>
    <w:rsid w:val="0066012C"/>
    <w:rsid w:val="0066022C"/>
    <w:rsid w:val="00660277"/>
    <w:rsid w:val="0066045E"/>
    <w:rsid w:val="00660518"/>
    <w:rsid w:val="00660A74"/>
    <w:rsid w:val="00660C33"/>
    <w:rsid w:val="00660EBC"/>
    <w:rsid w:val="006610E6"/>
    <w:rsid w:val="006611E5"/>
    <w:rsid w:val="006613E7"/>
    <w:rsid w:val="006613E8"/>
    <w:rsid w:val="0066161F"/>
    <w:rsid w:val="0066188B"/>
    <w:rsid w:val="00661B2D"/>
    <w:rsid w:val="00661F9A"/>
    <w:rsid w:val="006622B9"/>
    <w:rsid w:val="006624C3"/>
    <w:rsid w:val="00662506"/>
    <w:rsid w:val="00662E5F"/>
    <w:rsid w:val="00663047"/>
    <w:rsid w:val="006633B7"/>
    <w:rsid w:val="006637D4"/>
    <w:rsid w:val="00663EE7"/>
    <w:rsid w:val="00664434"/>
    <w:rsid w:val="006644EB"/>
    <w:rsid w:val="00664B5D"/>
    <w:rsid w:val="00664EE4"/>
    <w:rsid w:val="00665202"/>
    <w:rsid w:val="006652CB"/>
    <w:rsid w:val="0066561F"/>
    <w:rsid w:val="00665831"/>
    <w:rsid w:val="00665A1D"/>
    <w:rsid w:val="0066609F"/>
    <w:rsid w:val="00666A58"/>
    <w:rsid w:val="00666C7F"/>
    <w:rsid w:val="006672C7"/>
    <w:rsid w:val="00667657"/>
    <w:rsid w:val="006677BC"/>
    <w:rsid w:val="006678CE"/>
    <w:rsid w:val="00667CC9"/>
    <w:rsid w:val="00667D56"/>
    <w:rsid w:val="00667DFB"/>
    <w:rsid w:val="0067028B"/>
    <w:rsid w:val="0067036A"/>
    <w:rsid w:val="00670599"/>
    <w:rsid w:val="00670650"/>
    <w:rsid w:val="00670991"/>
    <w:rsid w:val="00670D85"/>
    <w:rsid w:val="00670F1D"/>
    <w:rsid w:val="006712C0"/>
    <w:rsid w:val="006715F3"/>
    <w:rsid w:val="00671606"/>
    <w:rsid w:val="00671C57"/>
    <w:rsid w:val="00671C73"/>
    <w:rsid w:val="00671EFB"/>
    <w:rsid w:val="00671FAA"/>
    <w:rsid w:val="00672C1A"/>
    <w:rsid w:val="00673005"/>
    <w:rsid w:val="0067324D"/>
    <w:rsid w:val="0067357F"/>
    <w:rsid w:val="0067385B"/>
    <w:rsid w:val="00674040"/>
    <w:rsid w:val="00674336"/>
    <w:rsid w:val="0067439E"/>
    <w:rsid w:val="006744AC"/>
    <w:rsid w:val="006748C8"/>
    <w:rsid w:val="00674944"/>
    <w:rsid w:val="00674C7D"/>
    <w:rsid w:val="00675515"/>
    <w:rsid w:val="006757B0"/>
    <w:rsid w:val="006759A0"/>
    <w:rsid w:val="00675AED"/>
    <w:rsid w:val="0067615E"/>
    <w:rsid w:val="006762C3"/>
    <w:rsid w:val="00676887"/>
    <w:rsid w:val="006768A4"/>
    <w:rsid w:val="006768B3"/>
    <w:rsid w:val="00676A6F"/>
    <w:rsid w:val="00676D50"/>
    <w:rsid w:val="0067700C"/>
    <w:rsid w:val="0067784B"/>
    <w:rsid w:val="006779D5"/>
    <w:rsid w:val="00677B3A"/>
    <w:rsid w:val="00680326"/>
    <w:rsid w:val="006806DB"/>
    <w:rsid w:val="006806FC"/>
    <w:rsid w:val="00680B40"/>
    <w:rsid w:val="00680E5C"/>
    <w:rsid w:val="00680FB7"/>
    <w:rsid w:val="00681349"/>
    <w:rsid w:val="006819F6"/>
    <w:rsid w:val="00681BF4"/>
    <w:rsid w:val="00681C3F"/>
    <w:rsid w:val="00681E3C"/>
    <w:rsid w:val="00681EC9"/>
    <w:rsid w:val="006822FA"/>
    <w:rsid w:val="00682408"/>
    <w:rsid w:val="00682524"/>
    <w:rsid w:val="00682613"/>
    <w:rsid w:val="0068288C"/>
    <w:rsid w:val="006829B2"/>
    <w:rsid w:val="006829F5"/>
    <w:rsid w:val="00682A74"/>
    <w:rsid w:val="00682AD4"/>
    <w:rsid w:val="00682D5B"/>
    <w:rsid w:val="0068300B"/>
    <w:rsid w:val="006835F8"/>
    <w:rsid w:val="006836A2"/>
    <w:rsid w:val="00683897"/>
    <w:rsid w:val="006838D6"/>
    <w:rsid w:val="00683A7F"/>
    <w:rsid w:val="00683F36"/>
    <w:rsid w:val="0068419F"/>
    <w:rsid w:val="00684258"/>
    <w:rsid w:val="0068435D"/>
    <w:rsid w:val="00684412"/>
    <w:rsid w:val="00684457"/>
    <w:rsid w:val="0068456A"/>
    <w:rsid w:val="0068465B"/>
    <w:rsid w:val="00684712"/>
    <w:rsid w:val="00684C32"/>
    <w:rsid w:val="00684E2A"/>
    <w:rsid w:val="00684E88"/>
    <w:rsid w:val="00684EDC"/>
    <w:rsid w:val="00684EEA"/>
    <w:rsid w:val="00685035"/>
    <w:rsid w:val="00685197"/>
    <w:rsid w:val="00685589"/>
    <w:rsid w:val="00685662"/>
    <w:rsid w:val="0068575D"/>
    <w:rsid w:val="0068585A"/>
    <w:rsid w:val="00685897"/>
    <w:rsid w:val="00685B42"/>
    <w:rsid w:val="00686319"/>
    <w:rsid w:val="00686352"/>
    <w:rsid w:val="0068682C"/>
    <w:rsid w:val="00686BA6"/>
    <w:rsid w:val="006876A5"/>
    <w:rsid w:val="0068770B"/>
    <w:rsid w:val="0068789C"/>
    <w:rsid w:val="006878ED"/>
    <w:rsid w:val="00687FD5"/>
    <w:rsid w:val="00690B27"/>
    <w:rsid w:val="00690B46"/>
    <w:rsid w:val="00691B7E"/>
    <w:rsid w:val="00691FA7"/>
    <w:rsid w:val="006920AB"/>
    <w:rsid w:val="00692D71"/>
    <w:rsid w:val="00692E4F"/>
    <w:rsid w:val="006938AA"/>
    <w:rsid w:val="00693937"/>
    <w:rsid w:val="0069395B"/>
    <w:rsid w:val="00693C90"/>
    <w:rsid w:val="00693CD1"/>
    <w:rsid w:val="00693D41"/>
    <w:rsid w:val="006942B3"/>
    <w:rsid w:val="006943A9"/>
    <w:rsid w:val="006943C4"/>
    <w:rsid w:val="0069474B"/>
    <w:rsid w:val="0069475D"/>
    <w:rsid w:val="006947C0"/>
    <w:rsid w:val="006949CD"/>
    <w:rsid w:val="00694C54"/>
    <w:rsid w:val="00694E3D"/>
    <w:rsid w:val="00694FE7"/>
    <w:rsid w:val="0069512B"/>
    <w:rsid w:val="0069515F"/>
    <w:rsid w:val="00695201"/>
    <w:rsid w:val="006958D4"/>
    <w:rsid w:val="00695EE2"/>
    <w:rsid w:val="0069624B"/>
    <w:rsid w:val="00696478"/>
    <w:rsid w:val="006964DE"/>
    <w:rsid w:val="006965F6"/>
    <w:rsid w:val="006965FF"/>
    <w:rsid w:val="00697537"/>
    <w:rsid w:val="00697849"/>
    <w:rsid w:val="006978FF"/>
    <w:rsid w:val="00697966"/>
    <w:rsid w:val="006979D1"/>
    <w:rsid w:val="00697C05"/>
    <w:rsid w:val="006A029D"/>
    <w:rsid w:val="006A0613"/>
    <w:rsid w:val="006A1697"/>
    <w:rsid w:val="006A16D0"/>
    <w:rsid w:val="006A1931"/>
    <w:rsid w:val="006A1A6D"/>
    <w:rsid w:val="006A2213"/>
    <w:rsid w:val="006A2636"/>
    <w:rsid w:val="006A2D64"/>
    <w:rsid w:val="006A2E12"/>
    <w:rsid w:val="006A3A2B"/>
    <w:rsid w:val="006A3AEB"/>
    <w:rsid w:val="006A3BF2"/>
    <w:rsid w:val="006A42F0"/>
    <w:rsid w:val="006A4E64"/>
    <w:rsid w:val="006A5098"/>
    <w:rsid w:val="006A5173"/>
    <w:rsid w:val="006A570F"/>
    <w:rsid w:val="006A5CD7"/>
    <w:rsid w:val="006A5F9E"/>
    <w:rsid w:val="006A6112"/>
    <w:rsid w:val="006A6378"/>
    <w:rsid w:val="006A6807"/>
    <w:rsid w:val="006A689C"/>
    <w:rsid w:val="006A6BF1"/>
    <w:rsid w:val="006A6CA6"/>
    <w:rsid w:val="006A6FE7"/>
    <w:rsid w:val="006A7B15"/>
    <w:rsid w:val="006A7DA9"/>
    <w:rsid w:val="006A7F8C"/>
    <w:rsid w:val="006B0079"/>
    <w:rsid w:val="006B01DA"/>
    <w:rsid w:val="006B0238"/>
    <w:rsid w:val="006B049A"/>
    <w:rsid w:val="006B07A3"/>
    <w:rsid w:val="006B07E4"/>
    <w:rsid w:val="006B0AD9"/>
    <w:rsid w:val="006B10D6"/>
    <w:rsid w:val="006B1135"/>
    <w:rsid w:val="006B1162"/>
    <w:rsid w:val="006B179B"/>
    <w:rsid w:val="006B1F8F"/>
    <w:rsid w:val="006B2198"/>
    <w:rsid w:val="006B2308"/>
    <w:rsid w:val="006B26D2"/>
    <w:rsid w:val="006B28FC"/>
    <w:rsid w:val="006B2A18"/>
    <w:rsid w:val="006B2D0C"/>
    <w:rsid w:val="006B2E9D"/>
    <w:rsid w:val="006B3032"/>
    <w:rsid w:val="006B3325"/>
    <w:rsid w:val="006B3997"/>
    <w:rsid w:val="006B3A83"/>
    <w:rsid w:val="006B3A9B"/>
    <w:rsid w:val="006B3D3B"/>
    <w:rsid w:val="006B408D"/>
    <w:rsid w:val="006B4663"/>
    <w:rsid w:val="006B4B4A"/>
    <w:rsid w:val="006B4DEF"/>
    <w:rsid w:val="006B528D"/>
    <w:rsid w:val="006B52D5"/>
    <w:rsid w:val="006B5A0F"/>
    <w:rsid w:val="006B5F9B"/>
    <w:rsid w:val="006B6001"/>
    <w:rsid w:val="006B6439"/>
    <w:rsid w:val="006B69D4"/>
    <w:rsid w:val="006B6C3A"/>
    <w:rsid w:val="006B701A"/>
    <w:rsid w:val="006B7024"/>
    <w:rsid w:val="006B7035"/>
    <w:rsid w:val="006B70FE"/>
    <w:rsid w:val="006B73BB"/>
    <w:rsid w:val="006B75C6"/>
    <w:rsid w:val="006B7698"/>
    <w:rsid w:val="006B7990"/>
    <w:rsid w:val="006B7D7D"/>
    <w:rsid w:val="006C0229"/>
    <w:rsid w:val="006C0768"/>
    <w:rsid w:val="006C0B8D"/>
    <w:rsid w:val="006C0C2A"/>
    <w:rsid w:val="006C152A"/>
    <w:rsid w:val="006C15B8"/>
    <w:rsid w:val="006C1832"/>
    <w:rsid w:val="006C1B9E"/>
    <w:rsid w:val="006C1E4D"/>
    <w:rsid w:val="006C2B72"/>
    <w:rsid w:val="006C2D1D"/>
    <w:rsid w:val="006C2D39"/>
    <w:rsid w:val="006C354C"/>
    <w:rsid w:val="006C3665"/>
    <w:rsid w:val="006C37C5"/>
    <w:rsid w:val="006C3B76"/>
    <w:rsid w:val="006C3E78"/>
    <w:rsid w:val="006C428B"/>
    <w:rsid w:val="006C4572"/>
    <w:rsid w:val="006C4AE6"/>
    <w:rsid w:val="006C4D47"/>
    <w:rsid w:val="006C4DEE"/>
    <w:rsid w:val="006C4F33"/>
    <w:rsid w:val="006C5672"/>
    <w:rsid w:val="006C571B"/>
    <w:rsid w:val="006C58AE"/>
    <w:rsid w:val="006C5A3C"/>
    <w:rsid w:val="006C5F37"/>
    <w:rsid w:val="006C6469"/>
    <w:rsid w:val="006C6833"/>
    <w:rsid w:val="006C68F9"/>
    <w:rsid w:val="006C69E3"/>
    <w:rsid w:val="006C6B8C"/>
    <w:rsid w:val="006C6D44"/>
    <w:rsid w:val="006C78F8"/>
    <w:rsid w:val="006C7A82"/>
    <w:rsid w:val="006C7B03"/>
    <w:rsid w:val="006C7BCC"/>
    <w:rsid w:val="006D02D6"/>
    <w:rsid w:val="006D05BB"/>
    <w:rsid w:val="006D05BD"/>
    <w:rsid w:val="006D087E"/>
    <w:rsid w:val="006D08F1"/>
    <w:rsid w:val="006D09D2"/>
    <w:rsid w:val="006D0B02"/>
    <w:rsid w:val="006D0E7F"/>
    <w:rsid w:val="006D0EC2"/>
    <w:rsid w:val="006D1ACF"/>
    <w:rsid w:val="006D20B1"/>
    <w:rsid w:val="006D2116"/>
    <w:rsid w:val="006D22E4"/>
    <w:rsid w:val="006D2478"/>
    <w:rsid w:val="006D24CD"/>
    <w:rsid w:val="006D279E"/>
    <w:rsid w:val="006D283F"/>
    <w:rsid w:val="006D2AC9"/>
    <w:rsid w:val="006D2D55"/>
    <w:rsid w:val="006D2F96"/>
    <w:rsid w:val="006D323B"/>
    <w:rsid w:val="006D339A"/>
    <w:rsid w:val="006D345F"/>
    <w:rsid w:val="006D39C0"/>
    <w:rsid w:val="006D39D8"/>
    <w:rsid w:val="006D3CFD"/>
    <w:rsid w:val="006D420C"/>
    <w:rsid w:val="006D4256"/>
    <w:rsid w:val="006D42C6"/>
    <w:rsid w:val="006D4C72"/>
    <w:rsid w:val="006D4D8D"/>
    <w:rsid w:val="006D4E4C"/>
    <w:rsid w:val="006D5022"/>
    <w:rsid w:val="006D5585"/>
    <w:rsid w:val="006D560E"/>
    <w:rsid w:val="006D5778"/>
    <w:rsid w:val="006D5A4A"/>
    <w:rsid w:val="006D5B92"/>
    <w:rsid w:val="006D5CB8"/>
    <w:rsid w:val="006D5E36"/>
    <w:rsid w:val="006D5F76"/>
    <w:rsid w:val="006D6646"/>
    <w:rsid w:val="006D69C0"/>
    <w:rsid w:val="006D6A33"/>
    <w:rsid w:val="006D6A6C"/>
    <w:rsid w:val="006D6D7F"/>
    <w:rsid w:val="006D6D96"/>
    <w:rsid w:val="006D6DCC"/>
    <w:rsid w:val="006D6F3F"/>
    <w:rsid w:val="006D70DF"/>
    <w:rsid w:val="006D7211"/>
    <w:rsid w:val="006D739D"/>
    <w:rsid w:val="006D75C8"/>
    <w:rsid w:val="006D7883"/>
    <w:rsid w:val="006D7890"/>
    <w:rsid w:val="006D796D"/>
    <w:rsid w:val="006D7BCD"/>
    <w:rsid w:val="006D7F64"/>
    <w:rsid w:val="006E0161"/>
    <w:rsid w:val="006E036B"/>
    <w:rsid w:val="006E043A"/>
    <w:rsid w:val="006E063F"/>
    <w:rsid w:val="006E07BE"/>
    <w:rsid w:val="006E0952"/>
    <w:rsid w:val="006E0D1A"/>
    <w:rsid w:val="006E0D77"/>
    <w:rsid w:val="006E0DCE"/>
    <w:rsid w:val="006E1143"/>
    <w:rsid w:val="006E1521"/>
    <w:rsid w:val="006E1B42"/>
    <w:rsid w:val="006E1C44"/>
    <w:rsid w:val="006E2020"/>
    <w:rsid w:val="006E2162"/>
    <w:rsid w:val="006E272D"/>
    <w:rsid w:val="006E2F11"/>
    <w:rsid w:val="006E2F23"/>
    <w:rsid w:val="006E2F5E"/>
    <w:rsid w:val="006E38FC"/>
    <w:rsid w:val="006E39DC"/>
    <w:rsid w:val="006E3BAD"/>
    <w:rsid w:val="006E41BF"/>
    <w:rsid w:val="006E4347"/>
    <w:rsid w:val="006E4C7F"/>
    <w:rsid w:val="006E4D07"/>
    <w:rsid w:val="006E5624"/>
    <w:rsid w:val="006E5802"/>
    <w:rsid w:val="006E589D"/>
    <w:rsid w:val="006E5B9C"/>
    <w:rsid w:val="006E5CAD"/>
    <w:rsid w:val="006E5E79"/>
    <w:rsid w:val="006E647F"/>
    <w:rsid w:val="006E6767"/>
    <w:rsid w:val="006E67C7"/>
    <w:rsid w:val="006E67DF"/>
    <w:rsid w:val="006E683A"/>
    <w:rsid w:val="006E6907"/>
    <w:rsid w:val="006E6AF1"/>
    <w:rsid w:val="006E6BA8"/>
    <w:rsid w:val="006E6CBA"/>
    <w:rsid w:val="006E6F25"/>
    <w:rsid w:val="006E7311"/>
    <w:rsid w:val="006E74DE"/>
    <w:rsid w:val="006E7DD7"/>
    <w:rsid w:val="006F05F7"/>
    <w:rsid w:val="006F0D46"/>
    <w:rsid w:val="006F0EB7"/>
    <w:rsid w:val="006F0F59"/>
    <w:rsid w:val="006F0F60"/>
    <w:rsid w:val="006F101B"/>
    <w:rsid w:val="006F1105"/>
    <w:rsid w:val="006F1CE5"/>
    <w:rsid w:val="006F1F82"/>
    <w:rsid w:val="006F22C9"/>
    <w:rsid w:val="006F23DD"/>
    <w:rsid w:val="006F251F"/>
    <w:rsid w:val="006F262C"/>
    <w:rsid w:val="006F2700"/>
    <w:rsid w:val="006F2893"/>
    <w:rsid w:val="006F2959"/>
    <w:rsid w:val="006F2AED"/>
    <w:rsid w:val="006F2F73"/>
    <w:rsid w:val="006F31CE"/>
    <w:rsid w:val="006F4046"/>
    <w:rsid w:val="006F4661"/>
    <w:rsid w:val="006F494B"/>
    <w:rsid w:val="006F50A7"/>
    <w:rsid w:val="006F5158"/>
    <w:rsid w:val="006F5345"/>
    <w:rsid w:val="006F53AC"/>
    <w:rsid w:val="006F5615"/>
    <w:rsid w:val="006F5675"/>
    <w:rsid w:val="006F56DD"/>
    <w:rsid w:val="006F5C62"/>
    <w:rsid w:val="006F5C82"/>
    <w:rsid w:val="006F5FD7"/>
    <w:rsid w:val="006F6598"/>
    <w:rsid w:val="006F669E"/>
    <w:rsid w:val="006F684E"/>
    <w:rsid w:val="006F6AF9"/>
    <w:rsid w:val="006F7290"/>
    <w:rsid w:val="006F7996"/>
    <w:rsid w:val="006F7CD7"/>
    <w:rsid w:val="006F7EE0"/>
    <w:rsid w:val="007001B3"/>
    <w:rsid w:val="007006B2"/>
    <w:rsid w:val="00700950"/>
    <w:rsid w:val="00701045"/>
    <w:rsid w:val="007010BE"/>
    <w:rsid w:val="00701136"/>
    <w:rsid w:val="00701269"/>
    <w:rsid w:val="00701465"/>
    <w:rsid w:val="00701887"/>
    <w:rsid w:val="00701899"/>
    <w:rsid w:val="00701C8E"/>
    <w:rsid w:val="00701E4D"/>
    <w:rsid w:val="00702026"/>
    <w:rsid w:val="007020CD"/>
    <w:rsid w:val="0070294E"/>
    <w:rsid w:val="007029FB"/>
    <w:rsid w:val="00702A5D"/>
    <w:rsid w:val="00702B4A"/>
    <w:rsid w:val="00703162"/>
    <w:rsid w:val="0070319A"/>
    <w:rsid w:val="007036EB"/>
    <w:rsid w:val="0070384F"/>
    <w:rsid w:val="00703CB4"/>
    <w:rsid w:val="00703EF9"/>
    <w:rsid w:val="0070407F"/>
    <w:rsid w:val="007040B0"/>
    <w:rsid w:val="00704180"/>
    <w:rsid w:val="00704365"/>
    <w:rsid w:val="007046DF"/>
    <w:rsid w:val="0070497E"/>
    <w:rsid w:val="00704B2A"/>
    <w:rsid w:val="00705371"/>
    <w:rsid w:val="00705537"/>
    <w:rsid w:val="00705C5C"/>
    <w:rsid w:val="00705CEB"/>
    <w:rsid w:val="00705DC2"/>
    <w:rsid w:val="00706057"/>
    <w:rsid w:val="007060B7"/>
    <w:rsid w:val="0070657A"/>
    <w:rsid w:val="00706A60"/>
    <w:rsid w:val="00706AB3"/>
    <w:rsid w:val="00706CD8"/>
    <w:rsid w:val="00706E10"/>
    <w:rsid w:val="00707237"/>
    <w:rsid w:val="007072A9"/>
    <w:rsid w:val="00707409"/>
    <w:rsid w:val="00707C18"/>
    <w:rsid w:val="00707E53"/>
    <w:rsid w:val="00707E63"/>
    <w:rsid w:val="00707F99"/>
    <w:rsid w:val="007100AB"/>
    <w:rsid w:val="007101EA"/>
    <w:rsid w:val="007103A9"/>
    <w:rsid w:val="007103E8"/>
    <w:rsid w:val="00710540"/>
    <w:rsid w:val="0071093F"/>
    <w:rsid w:val="00710E4D"/>
    <w:rsid w:val="00711173"/>
    <w:rsid w:val="00711323"/>
    <w:rsid w:val="0071162B"/>
    <w:rsid w:val="007117A4"/>
    <w:rsid w:val="00711EF6"/>
    <w:rsid w:val="00712332"/>
    <w:rsid w:val="0071278F"/>
    <w:rsid w:val="0071295C"/>
    <w:rsid w:val="00712F2F"/>
    <w:rsid w:val="007130B6"/>
    <w:rsid w:val="0071332D"/>
    <w:rsid w:val="00713475"/>
    <w:rsid w:val="0071378B"/>
    <w:rsid w:val="00713876"/>
    <w:rsid w:val="00713A2C"/>
    <w:rsid w:val="0071445B"/>
    <w:rsid w:val="00714512"/>
    <w:rsid w:val="00714542"/>
    <w:rsid w:val="007145B0"/>
    <w:rsid w:val="0071465F"/>
    <w:rsid w:val="00714A60"/>
    <w:rsid w:val="00714E0A"/>
    <w:rsid w:val="007157D2"/>
    <w:rsid w:val="007161E3"/>
    <w:rsid w:val="007162A9"/>
    <w:rsid w:val="0071647E"/>
    <w:rsid w:val="007164E8"/>
    <w:rsid w:val="00716778"/>
    <w:rsid w:val="007168FD"/>
    <w:rsid w:val="007169B8"/>
    <w:rsid w:val="00716AD2"/>
    <w:rsid w:val="0071723D"/>
    <w:rsid w:val="007173C3"/>
    <w:rsid w:val="00717846"/>
    <w:rsid w:val="00717C44"/>
    <w:rsid w:val="00717D0B"/>
    <w:rsid w:val="00717F3E"/>
    <w:rsid w:val="00720148"/>
    <w:rsid w:val="007203CA"/>
    <w:rsid w:val="00720622"/>
    <w:rsid w:val="007207A8"/>
    <w:rsid w:val="00720C31"/>
    <w:rsid w:val="00720DF7"/>
    <w:rsid w:val="0072161C"/>
    <w:rsid w:val="007218C0"/>
    <w:rsid w:val="0072190E"/>
    <w:rsid w:val="00721ACD"/>
    <w:rsid w:val="00722257"/>
    <w:rsid w:val="00722380"/>
    <w:rsid w:val="0072256F"/>
    <w:rsid w:val="007226C0"/>
    <w:rsid w:val="007226F5"/>
    <w:rsid w:val="007227B9"/>
    <w:rsid w:val="00722B13"/>
    <w:rsid w:val="00722FC3"/>
    <w:rsid w:val="00723714"/>
    <w:rsid w:val="00723728"/>
    <w:rsid w:val="00723884"/>
    <w:rsid w:val="00723A12"/>
    <w:rsid w:val="00723B2C"/>
    <w:rsid w:val="00723C16"/>
    <w:rsid w:val="00723F33"/>
    <w:rsid w:val="00723F3D"/>
    <w:rsid w:val="0072410A"/>
    <w:rsid w:val="0072449C"/>
    <w:rsid w:val="00724697"/>
    <w:rsid w:val="007246E7"/>
    <w:rsid w:val="00724755"/>
    <w:rsid w:val="00724AFD"/>
    <w:rsid w:val="00724ED0"/>
    <w:rsid w:val="00724F92"/>
    <w:rsid w:val="00724FFC"/>
    <w:rsid w:val="007253D6"/>
    <w:rsid w:val="0072578A"/>
    <w:rsid w:val="00725792"/>
    <w:rsid w:val="007257E6"/>
    <w:rsid w:val="0072597A"/>
    <w:rsid w:val="00725BB4"/>
    <w:rsid w:val="00725FE3"/>
    <w:rsid w:val="0072626E"/>
    <w:rsid w:val="00726A08"/>
    <w:rsid w:val="00727693"/>
    <w:rsid w:val="007276EC"/>
    <w:rsid w:val="00727940"/>
    <w:rsid w:val="00727D90"/>
    <w:rsid w:val="00730224"/>
    <w:rsid w:val="007302C0"/>
    <w:rsid w:val="00730DCC"/>
    <w:rsid w:val="00730EBC"/>
    <w:rsid w:val="007315E5"/>
    <w:rsid w:val="00731A9B"/>
    <w:rsid w:val="00731B3D"/>
    <w:rsid w:val="00731B86"/>
    <w:rsid w:val="00732038"/>
    <w:rsid w:val="00732064"/>
    <w:rsid w:val="007320EC"/>
    <w:rsid w:val="00732150"/>
    <w:rsid w:val="00732644"/>
    <w:rsid w:val="00732958"/>
    <w:rsid w:val="007330D1"/>
    <w:rsid w:val="00733372"/>
    <w:rsid w:val="0073444D"/>
    <w:rsid w:val="0073466A"/>
    <w:rsid w:val="00734CD4"/>
    <w:rsid w:val="00734CF6"/>
    <w:rsid w:val="00735326"/>
    <w:rsid w:val="007355AA"/>
    <w:rsid w:val="0073592F"/>
    <w:rsid w:val="00735BCC"/>
    <w:rsid w:val="00735C78"/>
    <w:rsid w:val="00735D7B"/>
    <w:rsid w:val="00736885"/>
    <w:rsid w:val="00737004"/>
    <w:rsid w:val="00737046"/>
    <w:rsid w:val="007372C1"/>
    <w:rsid w:val="007373B1"/>
    <w:rsid w:val="007374BE"/>
    <w:rsid w:val="0073760B"/>
    <w:rsid w:val="0073771A"/>
    <w:rsid w:val="00737731"/>
    <w:rsid w:val="00737809"/>
    <w:rsid w:val="0073792C"/>
    <w:rsid w:val="00737BE8"/>
    <w:rsid w:val="00737FC6"/>
    <w:rsid w:val="007406BB"/>
    <w:rsid w:val="0074070D"/>
    <w:rsid w:val="00740E2F"/>
    <w:rsid w:val="00740FA1"/>
    <w:rsid w:val="00741108"/>
    <w:rsid w:val="0074189E"/>
    <w:rsid w:val="00741F0E"/>
    <w:rsid w:val="00741F67"/>
    <w:rsid w:val="00741FEB"/>
    <w:rsid w:val="007421DA"/>
    <w:rsid w:val="0074257A"/>
    <w:rsid w:val="0074259F"/>
    <w:rsid w:val="00742B41"/>
    <w:rsid w:val="00742BDA"/>
    <w:rsid w:val="00743085"/>
    <w:rsid w:val="00743BDB"/>
    <w:rsid w:val="007442B9"/>
    <w:rsid w:val="00744582"/>
    <w:rsid w:val="0074488F"/>
    <w:rsid w:val="00744A54"/>
    <w:rsid w:val="00744B19"/>
    <w:rsid w:val="00744C01"/>
    <w:rsid w:val="00744D70"/>
    <w:rsid w:val="007450DE"/>
    <w:rsid w:val="00745137"/>
    <w:rsid w:val="0074515C"/>
    <w:rsid w:val="007451E8"/>
    <w:rsid w:val="0074538B"/>
    <w:rsid w:val="00745AB8"/>
    <w:rsid w:val="00745B6F"/>
    <w:rsid w:val="00745F13"/>
    <w:rsid w:val="00745F6E"/>
    <w:rsid w:val="00746351"/>
    <w:rsid w:val="00746764"/>
    <w:rsid w:val="007467B1"/>
    <w:rsid w:val="00746BBB"/>
    <w:rsid w:val="00746BF3"/>
    <w:rsid w:val="00746D05"/>
    <w:rsid w:val="00746D2F"/>
    <w:rsid w:val="00746F9A"/>
    <w:rsid w:val="0074705B"/>
    <w:rsid w:val="007470AB"/>
    <w:rsid w:val="00747160"/>
    <w:rsid w:val="007471E7"/>
    <w:rsid w:val="00747434"/>
    <w:rsid w:val="007476B7"/>
    <w:rsid w:val="0074788B"/>
    <w:rsid w:val="00747C74"/>
    <w:rsid w:val="00747DDD"/>
    <w:rsid w:val="00747DFC"/>
    <w:rsid w:val="00747E8B"/>
    <w:rsid w:val="00747FA7"/>
    <w:rsid w:val="00750845"/>
    <w:rsid w:val="00750C49"/>
    <w:rsid w:val="00750C52"/>
    <w:rsid w:val="00750EA2"/>
    <w:rsid w:val="0075137C"/>
    <w:rsid w:val="00751680"/>
    <w:rsid w:val="00751B5B"/>
    <w:rsid w:val="00751B83"/>
    <w:rsid w:val="00752352"/>
    <w:rsid w:val="00752AF7"/>
    <w:rsid w:val="00752CDE"/>
    <w:rsid w:val="00752EDE"/>
    <w:rsid w:val="007531FF"/>
    <w:rsid w:val="007533A0"/>
    <w:rsid w:val="007533C8"/>
    <w:rsid w:val="007534C6"/>
    <w:rsid w:val="00754016"/>
    <w:rsid w:val="00754127"/>
    <w:rsid w:val="0075418A"/>
    <w:rsid w:val="0075438F"/>
    <w:rsid w:val="0075454F"/>
    <w:rsid w:val="00754746"/>
    <w:rsid w:val="00754CDA"/>
    <w:rsid w:val="00754FB4"/>
    <w:rsid w:val="00755724"/>
    <w:rsid w:val="0075590A"/>
    <w:rsid w:val="007562B7"/>
    <w:rsid w:val="00756AE4"/>
    <w:rsid w:val="00756C33"/>
    <w:rsid w:val="007570AB"/>
    <w:rsid w:val="0075717B"/>
    <w:rsid w:val="0075724F"/>
    <w:rsid w:val="00757D83"/>
    <w:rsid w:val="00757E90"/>
    <w:rsid w:val="0076014D"/>
    <w:rsid w:val="0076015C"/>
    <w:rsid w:val="007604C2"/>
    <w:rsid w:val="00760698"/>
    <w:rsid w:val="007606B5"/>
    <w:rsid w:val="00760964"/>
    <w:rsid w:val="00760BED"/>
    <w:rsid w:val="00761011"/>
    <w:rsid w:val="00761050"/>
    <w:rsid w:val="00761203"/>
    <w:rsid w:val="0076188F"/>
    <w:rsid w:val="00761B37"/>
    <w:rsid w:val="00761E31"/>
    <w:rsid w:val="007623C3"/>
    <w:rsid w:val="0076260D"/>
    <w:rsid w:val="00762622"/>
    <w:rsid w:val="0076280E"/>
    <w:rsid w:val="0076296F"/>
    <w:rsid w:val="00762C52"/>
    <w:rsid w:val="00763721"/>
    <w:rsid w:val="00763B77"/>
    <w:rsid w:val="00763D71"/>
    <w:rsid w:val="007643AA"/>
    <w:rsid w:val="007644DC"/>
    <w:rsid w:val="007648C4"/>
    <w:rsid w:val="007648F0"/>
    <w:rsid w:val="00764D0E"/>
    <w:rsid w:val="0076512E"/>
    <w:rsid w:val="00765194"/>
    <w:rsid w:val="007651C3"/>
    <w:rsid w:val="007656B6"/>
    <w:rsid w:val="007657C6"/>
    <w:rsid w:val="0076599E"/>
    <w:rsid w:val="00766172"/>
    <w:rsid w:val="007662CD"/>
    <w:rsid w:val="007664DB"/>
    <w:rsid w:val="0076668E"/>
    <w:rsid w:val="00766850"/>
    <w:rsid w:val="00766A17"/>
    <w:rsid w:val="00766AFB"/>
    <w:rsid w:val="00766FD8"/>
    <w:rsid w:val="0076702C"/>
    <w:rsid w:val="00767A08"/>
    <w:rsid w:val="00767AA8"/>
    <w:rsid w:val="00767E65"/>
    <w:rsid w:val="00767F6C"/>
    <w:rsid w:val="00767FC5"/>
    <w:rsid w:val="007703DD"/>
    <w:rsid w:val="00770568"/>
    <w:rsid w:val="007705C3"/>
    <w:rsid w:val="0077072A"/>
    <w:rsid w:val="00770785"/>
    <w:rsid w:val="00770DC6"/>
    <w:rsid w:val="00770E07"/>
    <w:rsid w:val="00770EDD"/>
    <w:rsid w:val="00770F11"/>
    <w:rsid w:val="0077104F"/>
    <w:rsid w:val="00771090"/>
    <w:rsid w:val="007710B2"/>
    <w:rsid w:val="00771198"/>
    <w:rsid w:val="0077150E"/>
    <w:rsid w:val="00771568"/>
    <w:rsid w:val="00771713"/>
    <w:rsid w:val="00771B00"/>
    <w:rsid w:val="00771B06"/>
    <w:rsid w:val="00771BF2"/>
    <w:rsid w:val="00771DA2"/>
    <w:rsid w:val="00772829"/>
    <w:rsid w:val="00772C0C"/>
    <w:rsid w:val="0077329B"/>
    <w:rsid w:val="007737C0"/>
    <w:rsid w:val="00773836"/>
    <w:rsid w:val="00773D80"/>
    <w:rsid w:val="00773F9E"/>
    <w:rsid w:val="00774205"/>
    <w:rsid w:val="0077442E"/>
    <w:rsid w:val="0077460E"/>
    <w:rsid w:val="00774A98"/>
    <w:rsid w:val="00774B85"/>
    <w:rsid w:val="00774C3A"/>
    <w:rsid w:val="00774D09"/>
    <w:rsid w:val="00775104"/>
    <w:rsid w:val="00775275"/>
    <w:rsid w:val="007754A0"/>
    <w:rsid w:val="00775AC3"/>
    <w:rsid w:val="00775EDB"/>
    <w:rsid w:val="007761E6"/>
    <w:rsid w:val="00776356"/>
    <w:rsid w:val="00776EE6"/>
    <w:rsid w:val="00776F92"/>
    <w:rsid w:val="00777440"/>
    <w:rsid w:val="007776E3"/>
    <w:rsid w:val="00777848"/>
    <w:rsid w:val="00777893"/>
    <w:rsid w:val="00777AF9"/>
    <w:rsid w:val="00777B42"/>
    <w:rsid w:val="00777CF4"/>
    <w:rsid w:val="00777D16"/>
    <w:rsid w:val="00777E88"/>
    <w:rsid w:val="00777FA6"/>
    <w:rsid w:val="00780369"/>
    <w:rsid w:val="00780384"/>
    <w:rsid w:val="0078063F"/>
    <w:rsid w:val="007809D9"/>
    <w:rsid w:val="00780A93"/>
    <w:rsid w:val="00780BAF"/>
    <w:rsid w:val="007811C8"/>
    <w:rsid w:val="007812A8"/>
    <w:rsid w:val="007812B4"/>
    <w:rsid w:val="007812E6"/>
    <w:rsid w:val="00781700"/>
    <w:rsid w:val="00781837"/>
    <w:rsid w:val="007819E0"/>
    <w:rsid w:val="00781A17"/>
    <w:rsid w:val="007828B5"/>
    <w:rsid w:val="00783159"/>
    <w:rsid w:val="00783353"/>
    <w:rsid w:val="007833F7"/>
    <w:rsid w:val="0078379B"/>
    <w:rsid w:val="007842C7"/>
    <w:rsid w:val="00784341"/>
    <w:rsid w:val="007843F3"/>
    <w:rsid w:val="00784621"/>
    <w:rsid w:val="0078479B"/>
    <w:rsid w:val="00784B14"/>
    <w:rsid w:val="00784CF9"/>
    <w:rsid w:val="00784E6D"/>
    <w:rsid w:val="00784EDC"/>
    <w:rsid w:val="00785161"/>
    <w:rsid w:val="007852E9"/>
    <w:rsid w:val="007856FE"/>
    <w:rsid w:val="007861F1"/>
    <w:rsid w:val="007862E9"/>
    <w:rsid w:val="007872E9"/>
    <w:rsid w:val="007874C6"/>
    <w:rsid w:val="007878EF"/>
    <w:rsid w:val="007879BA"/>
    <w:rsid w:val="00787D14"/>
    <w:rsid w:val="00787DA9"/>
    <w:rsid w:val="00790074"/>
    <w:rsid w:val="00790491"/>
    <w:rsid w:val="00790B15"/>
    <w:rsid w:val="00790D30"/>
    <w:rsid w:val="00790F49"/>
    <w:rsid w:val="0079161F"/>
    <w:rsid w:val="00791B0F"/>
    <w:rsid w:val="00792405"/>
    <w:rsid w:val="00792477"/>
    <w:rsid w:val="007927EF"/>
    <w:rsid w:val="00793095"/>
    <w:rsid w:val="007931CB"/>
    <w:rsid w:val="00793599"/>
    <w:rsid w:val="0079384F"/>
    <w:rsid w:val="007938B7"/>
    <w:rsid w:val="00793D0E"/>
    <w:rsid w:val="00793F8D"/>
    <w:rsid w:val="00794004"/>
    <w:rsid w:val="007941B4"/>
    <w:rsid w:val="007944D2"/>
    <w:rsid w:val="0079464A"/>
    <w:rsid w:val="00794AA6"/>
    <w:rsid w:val="00794EAA"/>
    <w:rsid w:val="007951D4"/>
    <w:rsid w:val="00795302"/>
    <w:rsid w:val="0079532A"/>
    <w:rsid w:val="007955F1"/>
    <w:rsid w:val="00795803"/>
    <w:rsid w:val="007962BE"/>
    <w:rsid w:val="00796355"/>
    <w:rsid w:val="00796723"/>
    <w:rsid w:val="00796F62"/>
    <w:rsid w:val="00796FB9"/>
    <w:rsid w:val="0079775A"/>
    <w:rsid w:val="007977D2"/>
    <w:rsid w:val="00797C46"/>
    <w:rsid w:val="0079CF48"/>
    <w:rsid w:val="007A009F"/>
    <w:rsid w:val="007A024A"/>
    <w:rsid w:val="007A091E"/>
    <w:rsid w:val="007A0D43"/>
    <w:rsid w:val="007A1172"/>
    <w:rsid w:val="007A19F6"/>
    <w:rsid w:val="007A248D"/>
    <w:rsid w:val="007A29E3"/>
    <w:rsid w:val="007A2A67"/>
    <w:rsid w:val="007A2B65"/>
    <w:rsid w:val="007A2E85"/>
    <w:rsid w:val="007A3390"/>
    <w:rsid w:val="007A35F2"/>
    <w:rsid w:val="007A38D6"/>
    <w:rsid w:val="007A3E1A"/>
    <w:rsid w:val="007A412F"/>
    <w:rsid w:val="007A4916"/>
    <w:rsid w:val="007A4A66"/>
    <w:rsid w:val="007A4B19"/>
    <w:rsid w:val="007A4BF4"/>
    <w:rsid w:val="007A50AB"/>
    <w:rsid w:val="007A52FB"/>
    <w:rsid w:val="007A5617"/>
    <w:rsid w:val="007A58A2"/>
    <w:rsid w:val="007A5C42"/>
    <w:rsid w:val="007A5E63"/>
    <w:rsid w:val="007A5E8A"/>
    <w:rsid w:val="007A62E3"/>
    <w:rsid w:val="007A6322"/>
    <w:rsid w:val="007A64B5"/>
    <w:rsid w:val="007A68A6"/>
    <w:rsid w:val="007A6C04"/>
    <w:rsid w:val="007A7435"/>
    <w:rsid w:val="007A7861"/>
    <w:rsid w:val="007A78A3"/>
    <w:rsid w:val="007A7B9A"/>
    <w:rsid w:val="007B0245"/>
    <w:rsid w:val="007B0477"/>
    <w:rsid w:val="007B05DC"/>
    <w:rsid w:val="007B07C5"/>
    <w:rsid w:val="007B083F"/>
    <w:rsid w:val="007B0880"/>
    <w:rsid w:val="007B0955"/>
    <w:rsid w:val="007B0ACF"/>
    <w:rsid w:val="007B0B93"/>
    <w:rsid w:val="007B0D01"/>
    <w:rsid w:val="007B0F59"/>
    <w:rsid w:val="007B119E"/>
    <w:rsid w:val="007B1956"/>
    <w:rsid w:val="007B1B85"/>
    <w:rsid w:val="007B2085"/>
    <w:rsid w:val="007B21F2"/>
    <w:rsid w:val="007B26C6"/>
    <w:rsid w:val="007B28E5"/>
    <w:rsid w:val="007B2AFD"/>
    <w:rsid w:val="007B2C7D"/>
    <w:rsid w:val="007B2DAF"/>
    <w:rsid w:val="007B2E34"/>
    <w:rsid w:val="007B2FDC"/>
    <w:rsid w:val="007B30E9"/>
    <w:rsid w:val="007B31E2"/>
    <w:rsid w:val="007B386D"/>
    <w:rsid w:val="007B38A0"/>
    <w:rsid w:val="007B38B7"/>
    <w:rsid w:val="007B38D6"/>
    <w:rsid w:val="007B3CA2"/>
    <w:rsid w:val="007B3FA1"/>
    <w:rsid w:val="007B3FBC"/>
    <w:rsid w:val="007B40ED"/>
    <w:rsid w:val="007B4A28"/>
    <w:rsid w:val="007B4A30"/>
    <w:rsid w:val="007B4C75"/>
    <w:rsid w:val="007B4F10"/>
    <w:rsid w:val="007B4F7B"/>
    <w:rsid w:val="007B506A"/>
    <w:rsid w:val="007B529E"/>
    <w:rsid w:val="007B550B"/>
    <w:rsid w:val="007B583D"/>
    <w:rsid w:val="007B5888"/>
    <w:rsid w:val="007B5992"/>
    <w:rsid w:val="007B5A38"/>
    <w:rsid w:val="007B642C"/>
    <w:rsid w:val="007B6684"/>
    <w:rsid w:val="007B6686"/>
    <w:rsid w:val="007B6B21"/>
    <w:rsid w:val="007B6C70"/>
    <w:rsid w:val="007B7024"/>
    <w:rsid w:val="007B7122"/>
    <w:rsid w:val="007B7143"/>
    <w:rsid w:val="007B7278"/>
    <w:rsid w:val="007C02B4"/>
    <w:rsid w:val="007C0368"/>
    <w:rsid w:val="007C0390"/>
    <w:rsid w:val="007C03A0"/>
    <w:rsid w:val="007C0477"/>
    <w:rsid w:val="007C04E7"/>
    <w:rsid w:val="007C05A7"/>
    <w:rsid w:val="007C05E7"/>
    <w:rsid w:val="007C0971"/>
    <w:rsid w:val="007C0DB7"/>
    <w:rsid w:val="007C1050"/>
    <w:rsid w:val="007C10AD"/>
    <w:rsid w:val="007C1152"/>
    <w:rsid w:val="007C11EE"/>
    <w:rsid w:val="007C14A2"/>
    <w:rsid w:val="007C14EC"/>
    <w:rsid w:val="007C185A"/>
    <w:rsid w:val="007C1C6D"/>
    <w:rsid w:val="007C1FAF"/>
    <w:rsid w:val="007C20DA"/>
    <w:rsid w:val="007C2251"/>
    <w:rsid w:val="007C235B"/>
    <w:rsid w:val="007C2641"/>
    <w:rsid w:val="007C282B"/>
    <w:rsid w:val="007C2D25"/>
    <w:rsid w:val="007C2D69"/>
    <w:rsid w:val="007C300E"/>
    <w:rsid w:val="007C313F"/>
    <w:rsid w:val="007C328D"/>
    <w:rsid w:val="007C336F"/>
    <w:rsid w:val="007C36D1"/>
    <w:rsid w:val="007C38AD"/>
    <w:rsid w:val="007C38C8"/>
    <w:rsid w:val="007C38E2"/>
    <w:rsid w:val="007C3991"/>
    <w:rsid w:val="007C3B15"/>
    <w:rsid w:val="007C3CC2"/>
    <w:rsid w:val="007C41B1"/>
    <w:rsid w:val="007C4359"/>
    <w:rsid w:val="007C479D"/>
    <w:rsid w:val="007C58A0"/>
    <w:rsid w:val="007C5BE8"/>
    <w:rsid w:val="007C5D9E"/>
    <w:rsid w:val="007C5FD1"/>
    <w:rsid w:val="007C61B6"/>
    <w:rsid w:val="007C6425"/>
    <w:rsid w:val="007C6BDC"/>
    <w:rsid w:val="007C6F37"/>
    <w:rsid w:val="007C6F72"/>
    <w:rsid w:val="007C6FB1"/>
    <w:rsid w:val="007C737A"/>
    <w:rsid w:val="007C751F"/>
    <w:rsid w:val="007C75FB"/>
    <w:rsid w:val="007C762D"/>
    <w:rsid w:val="007C7BDC"/>
    <w:rsid w:val="007C7C74"/>
    <w:rsid w:val="007C7D7C"/>
    <w:rsid w:val="007D008F"/>
    <w:rsid w:val="007D0440"/>
    <w:rsid w:val="007D0D22"/>
    <w:rsid w:val="007D161E"/>
    <w:rsid w:val="007D202B"/>
    <w:rsid w:val="007D24E5"/>
    <w:rsid w:val="007D25EB"/>
    <w:rsid w:val="007D30B7"/>
    <w:rsid w:val="007D316E"/>
    <w:rsid w:val="007D3298"/>
    <w:rsid w:val="007D3C20"/>
    <w:rsid w:val="007D4011"/>
    <w:rsid w:val="007D4382"/>
    <w:rsid w:val="007D47E2"/>
    <w:rsid w:val="007D4D9C"/>
    <w:rsid w:val="007D4EBD"/>
    <w:rsid w:val="007D52B2"/>
    <w:rsid w:val="007D5411"/>
    <w:rsid w:val="007D549B"/>
    <w:rsid w:val="007D5560"/>
    <w:rsid w:val="007D5587"/>
    <w:rsid w:val="007D578A"/>
    <w:rsid w:val="007D5BA5"/>
    <w:rsid w:val="007D5BEE"/>
    <w:rsid w:val="007D5D2A"/>
    <w:rsid w:val="007D5F50"/>
    <w:rsid w:val="007D6068"/>
    <w:rsid w:val="007D639C"/>
    <w:rsid w:val="007D6683"/>
    <w:rsid w:val="007D674A"/>
    <w:rsid w:val="007D6AEE"/>
    <w:rsid w:val="007D6CBC"/>
    <w:rsid w:val="007D6E51"/>
    <w:rsid w:val="007D739A"/>
    <w:rsid w:val="007D7549"/>
    <w:rsid w:val="007D7990"/>
    <w:rsid w:val="007D7CA5"/>
    <w:rsid w:val="007E01B4"/>
    <w:rsid w:val="007E01D5"/>
    <w:rsid w:val="007E027D"/>
    <w:rsid w:val="007E0A9B"/>
    <w:rsid w:val="007E0DCE"/>
    <w:rsid w:val="007E0FA2"/>
    <w:rsid w:val="007E1093"/>
    <w:rsid w:val="007E15AD"/>
    <w:rsid w:val="007E1642"/>
    <w:rsid w:val="007E16C1"/>
    <w:rsid w:val="007E16DE"/>
    <w:rsid w:val="007E1FA2"/>
    <w:rsid w:val="007E23D7"/>
    <w:rsid w:val="007E25ED"/>
    <w:rsid w:val="007E2814"/>
    <w:rsid w:val="007E28B3"/>
    <w:rsid w:val="007E290B"/>
    <w:rsid w:val="007E2959"/>
    <w:rsid w:val="007E2A2D"/>
    <w:rsid w:val="007E2A7F"/>
    <w:rsid w:val="007E2BC0"/>
    <w:rsid w:val="007E2EB9"/>
    <w:rsid w:val="007E2FF7"/>
    <w:rsid w:val="007E33BD"/>
    <w:rsid w:val="007E33D6"/>
    <w:rsid w:val="007E3413"/>
    <w:rsid w:val="007E379A"/>
    <w:rsid w:val="007E3848"/>
    <w:rsid w:val="007E399B"/>
    <w:rsid w:val="007E3A91"/>
    <w:rsid w:val="007E3ADD"/>
    <w:rsid w:val="007E3CBA"/>
    <w:rsid w:val="007E3CEC"/>
    <w:rsid w:val="007E3E4B"/>
    <w:rsid w:val="007E3FC4"/>
    <w:rsid w:val="007E401D"/>
    <w:rsid w:val="007E4075"/>
    <w:rsid w:val="007E4290"/>
    <w:rsid w:val="007E42DC"/>
    <w:rsid w:val="007E43E4"/>
    <w:rsid w:val="007E4452"/>
    <w:rsid w:val="007E46F1"/>
    <w:rsid w:val="007E4B7C"/>
    <w:rsid w:val="007E4ED6"/>
    <w:rsid w:val="007E532B"/>
    <w:rsid w:val="007E5731"/>
    <w:rsid w:val="007E5853"/>
    <w:rsid w:val="007E69A7"/>
    <w:rsid w:val="007E69E8"/>
    <w:rsid w:val="007E6F9F"/>
    <w:rsid w:val="007E70CF"/>
    <w:rsid w:val="007E7439"/>
    <w:rsid w:val="007E7608"/>
    <w:rsid w:val="007E7616"/>
    <w:rsid w:val="007E77BE"/>
    <w:rsid w:val="007F005E"/>
    <w:rsid w:val="007F00BF"/>
    <w:rsid w:val="007F026C"/>
    <w:rsid w:val="007F0465"/>
    <w:rsid w:val="007F0540"/>
    <w:rsid w:val="007F0883"/>
    <w:rsid w:val="007F08F6"/>
    <w:rsid w:val="007F08F7"/>
    <w:rsid w:val="007F0AB9"/>
    <w:rsid w:val="007F0B6A"/>
    <w:rsid w:val="007F0B98"/>
    <w:rsid w:val="007F0CBB"/>
    <w:rsid w:val="007F12D0"/>
    <w:rsid w:val="007F19CE"/>
    <w:rsid w:val="007F1CB9"/>
    <w:rsid w:val="007F219C"/>
    <w:rsid w:val="007F2497"/>
    <w:rsid w:val="007F267C"/>
    <w:rsid w:val="007F27A3"/>
    <w:rsid w:val="007F464F"/>
    <w:rsid w:val="007F4A7A"/>
    <w:rsid w:val="007F4AFB"/>
    <w:rsid w:val="007F4DED"/>
    <w:rsid w:val="007F52E5"/>
    <w:rsid w:val="007F5526"/>
    <w:rsid w:val="007F5761"/>
    <w:rsid w:val="007F5876"/>
    <w:rsid w:val="007F5A89"/>
    <w:rsid w:val="007F62A7"/>
    <w:rsid w:val="007F6353"/>
    <w:rsid w:val="007F63C2"/>
    <w:rsid w:val="007F67E9"/>
    <w:rsid w:val="007F68E3"/>
    <w:rsid w:val="007F6905"/>
    <w:rsid w:val="007F6B7E"/>
    <w:rsid w:val="007F7147"/>
    <w:rsid w:val="007F72FE"/>
    <w:rsid w:val="007F7A81"/>
    <w:rsid w:val="007F7C7B"/>
    <w:rsid w:val="007F7FF3"/>
    <w:rsid w:val="00800F7A"/>
    <w:rsid w:val="00801011"/>
    <w:rsid w:val="00801506"/>
    <w:rsid w:val="00801521"/>
    <w:rsid w:val="008015D6"/>
    <w:rsid w:val="008017D4"/>
    <w:rsid w:val="00801925"/>
    <w:rsid w:val="0080245B"/>
    <w:rsid w:val="00802568"/>
    <w:rsid w:val="00802686"/>
    <w:rsid w:val="008028F3"/>
    <w:rsid w:val="00803137"/>
    <w:rsid w:val="00803211"/>
    <w:rsid w:val="00803224"/>
    <w:rsid w:val="008038EF"/>
    <w:rsid w:val="00803B37"/>
    <w:rsid w:val="00803E40"/>
    <w:rsid w:val="00803E62"/>
    <w:rsid w:val="00803EA8"/>
    <w:rsid w:val="008040A2"/>
    <w:rsid w:val="0080440A"/>
    <w:rsid w:val="00804596"/>
    <w:rsid w:val="00804632"/>
    <w:rsid w:val="008054D9"/>
    <w:rsid w:val="00805564"/>
    <w:rsid w:val="00805DB1"/>
    <w:rsid w:val="00806688"/>
    <w:rsid w:val="008069C6"/>
    <w:rsid w:val="00806B6F"/>
    <w:rsid w:val="00806C0D"/>
    <w:rsid w:val="00807A3E"/>
    <w:rsid w:val="00807F36"/>
    <w:rsid w:val="00807F9E"/>
    <w:rsid w:val="00810338"/>
    <w:rsid w:val="00810456"/>
    <w:rsid w:val="0081063D"/>
    <w:rsid w:val="00810642"/>
    <w:rsid w:val="008107E3"/>
    <w:rsid w:val="008108C6"/>
    <w:rsid w:val="00810FA5"/>
    <w:rsid w:val="008111D3"/>
    <w:rsid w:val="008113BA"/>
    <w:rsid w:val="00811495"/>
    <w:rsid w:val="00811FFF"/>
    <w:rsid w:val="0081214A"/>
    <w:rsid w:val="00812282"/>
    <w:rsid w:val="0081235D"/>
    <w:rsid w:val="008127F1"/>
    <w:rsid w:val="00812E38"/>
    <w:rsid w:val="00812E58"/>
    <w:rsid w:val="008130F0"/>
    <w:rsid w:val="008148E4"/>
    <w:rsid w:val="00814D59"/>
    <w:rsid w:val="0081539D"/>
    <w:rsid w:val="008153C7"/>
    <w:rsid w:val="008157F1"/>
    <w:rsid w:val="00815864"/>
    <w:rsid w:val="0081604E"/>
    <w:rsid w:val="00816299"/>
    <w:rsid w:val="008165B3"/>
    <w:rsid w:val="00816750"/>
    <w:rsid w:val="008168CF"/>
    <w:rsid w:val="00816A97"/>
    <w:rsid w:val="00816B12"/>
    <w:rsid w:val="00816EC2"/>
    <w:rsid w:val="00816FA1"/>
    <w:rsid w:val="00817092"/>
    <w:rsid w:val="00817231"/>
    <w:rsid w:val="0081763E"/>
    <w:rsid w:val="00817A4B"/>
    <w:rsid w:val="00817C1F"/>
    <w:rsid w:val="00817FF3"/>
    <w:rsid w:val="008202F9"/>
    <w:rsid w:val="0082033A"/>
    <w:rsid w:val="00820500"/>
    <w:rsid w:val="0082064F"/>
    <w:rsid w:val="008207B1"/>
    <w:rsid w:val="00820897"/>
    <w:rsid w:val="00820E24"/>
    <w:rsid w:val="008214CB"/>
    <w:rsid w:val="008215E9"/>
    <w:rsid w:val="0082180C"/>
    <w:rsid w:val="00821A3F"/>
    <w:rsid w:val="00822027"/>
    <w:rsid w:val="0082255E"/>
    <w:rsid w:val="00822A44"/>
    <w:rsid w:val="00822C61"/>
    <w:rsid w:val="008230E0"/>
    <w:rsid w:val="00823421"/>
    <w:rsid w:val="00823649"/>
    <w:rsid w:val="008236E1"/>
    <w:rsid w:val="00823AA3"/>
    <w:rsid w:val="00823EEB"/>
    <w:rsid w:val="00824458"/>
    <w:rsid w:val="0082452A"/>
    <w:rsid w:val="008249F7"/>
    <w:rsid w:val="00824B74"/>
    <w:rsid w:val="00824BC9"/>
    <w:rsid w:val="0082525A"/>
    <w:rsid w:val="00825C08"/>
    <w:rsid w:val="00825D3D"/>
    <w:rsid w:val="00825EB0"/>
    <w:rsid w:val="0082624C"/>
    <w:rsid w:val="00826666"/>
    <w:rsid w:val="008267E4"/>
    <w:rsid w:val="008268CE"/>
    <w:rsid w:val="00826A8F"/>
    <w:rsid w:val="00826F8B"/>
    <w:rsid w:val="00826FAE"/>
    <w:rsid w:val="00827027"/>
    <w:rsid w:val="008271B3"/>
    <w:rsid w:val="0082724C"/>
    <w:rsid w:val="0082733B"/>
    <w:rsid w:val="008273A9"/>
    <w:rsid w:val="0082759C"/>
    <w:rsid w:val="00827849"/>
    <w:rsid w:val="00827E7E"/>
    <w:rsid w:val="00827EDA"/>
    <w:rsid w:val="00830086"/>
    <w:rsid w:val="00830118"/>
    <w:rsid w:val="008301E8"/>
    <w:rsid w:val="00830ACF"/>
    <w:rsid w:val="00830C4F"/>
    <w:rsid w:val="00830E82"/>
    <w:rsid w:val="00831378"/>
    <w:rsid w:val="00831557"/>
    <w:rsid w:val="00831856"/>
    <w:rsid w:val="0083190E"/>
    <w:rsid w:val="00831C24"/>
    <w:rsid w:val="00831F09"/>
    <w:rsid w:val="008323CC"/>
    <w:rsid w:val="00832409"/>
    <w:rsid w:val="0083275F"/>
    <w:rsid w:val="00832CB5"/>
    <w:rsid w:val="00832DC3"/>
    <w:rsid w:val="00832FD5"/>
    <w:rsid w:val="00833002"/>
    <w:rsid w:val="00833614"/>
    <w:rsid w:val="00833775"/>
    <w:rsid w:val="00833B6D"/>
    <w:rsid w:val="00833D62"/>
    <w:rsid w:val="00833F57"/>
    <w:rsid w:val="00834321"/>
    <w:rsid w:val="00834368"/>
    <w:rsid w:val="008343A3"/>
    <w:rsid w:val="0083441E"/>
    <w:rsid w:val="00834561"/>
    <w:rsid w:val="0083477D"/>
    <w:rsid w:val="008347BA"/>
    <w:rsid w:val="00834920"/>
    <w:rsid w:val="00834A07"/>
    <w:rsid w:val="00835EBF"/>
    <w:rsid w:val="00835EC9"/>
    <w:rsid w:val="00836E48"/>
    <w:rsid w:val="00837B33"/>
    <w:rsid w:val="00837E9F"/>
    <w:rsid w:val="00840364"/>
    <w:rsid w:val="008409AE"/>
    <w:rsid w:val="00840A5F"/>
    <w:rsid w:val="00840A73"/>
    <w:rsid w:val="00840C43"/>
    <w:rsid w:val="00840F46"/>
    <w:rsid w:val="00841047"/>
    <w:rsid w:val="00841137"/>
    <w:rsid w:val="008411FF"/>
    <w:rsid w:val="00841388"/>
    <w:rsid w:val="00841413"/>
    <w:rsid w:val="008416A3"/>
    <w:rsid w:val="00841747"/>
    <w:rsid w:val="00841891"/>
    <w:rsid w:val="00841E2C"/>
    <w:rsid w:val="00841EFB"/>
    <w:rsid w:val="00841F37"/>
    <w:rsid w:val="00841F44"/>
    <w:rsid w:val="00842407"/>
    <w:rsid w:val="00842663"/>
    <w:rsid w:val="00842733"/>
    <w:rsid w:val="00842931"/>
    <w:rsid w:val="0084299F"/>
    <w:rsid w:val="00842BB1"/>
    <w:rsid w:val="00842C6F"/>
    <w:rsid w:val="00842C82"/>
    <w:rsid w:val="008435EE"/>
    <w:rsid w:val="00843620"/>
    <w:rsid w:val="008436D7"/>
    <w:rsid w:val="00843782"/>
    <w:rsid w:val="00843A7F"/>
    <w:rsid w:val="00843D4E"/>
    <w:rsid w:val="00843D9A"/>
    <w:rsid w:val="008440FE"/>
    <w:rsid w:val="008441EA"/>
    <w:rsid w:val="008444E2"/>
    <w:rsid w:val="00844FCF"/>
    <w:rsid w:val="0084518E"/>
    <w:rsid w:val="008452FD"/>
    <w:rsid w:val="008455BF"/>
    <w:rsid w:val="008458F7"/>
    <w:rsid w:val="00846119"/>
    <w:rsid w:val="008465D5"/>
    <w:rsid w:val="00846670"/>
    <w:rsid w:val="00846A3A"/>
    <w:rsid w:val="00846BB3"/>
    <w:rsid w:val="00846F1A"/>
    <w:rsid w:val="008474E3"/>
    <w:rsid w:val="0084761D"/>
    <w:rsid w:val="00847A5C"/>
    <w:rsid w:val="00847A96"/>
    <w:rsid w:val="00847DFD"/>
    <w:rsid w:val="00847ED8"/>
    <w:rsid w:val="00850424"/>
    <w:rsid w:val="00850691"/>
    <w:rsid w:val="008507F4"/>
    <w:rsid w:val="00850F31"/>
    <w:rsid w:val="00851073"/>
    <w:rsid w:val="008516EB"/>
    <w:rsid w:val="00851992"/>
    <w:rsid w:val="00851AD6"/>
    <w:rsid w:val="00851ED1"/>
    <w:rsid w:val="00852097"/>
    <w:rsid w:val="00852319"/>
    <w:rsid w:val="008527ED"/>
    <w:rsid w:val="00852F07"/>
    <w:rsid w:val="0085347E"/>
    <w:rsid w:val="008537F7"/>
    <w:rsid w:val="00853883"/>
    <w:rsid w:val="00853A5B"/>
    <w:rsid w:val="00854697"/>
    <w:rsid w:val="008546BE"/>
    <w:rsid w:val="00854E0F"/>
    <w:rsid w:val="00855030"/>
    <w:rsid w:val="00855585"/>
    <w:rsid w:val="00855989"/>
    <w:rsid w:val="00856074"/>
    <w:rsid w:val="008563AB"/>
    <w:rsid w:val="00856424"/>
    <w:rsid w:val="00857247"/>
    <w:rsid w:val="00857949"/>
    <w:rsid w:val="00860034"/>
    <w:rsid w:val="008601A3"/>
    <w:rsid w:val="0086094F"/>
    <w:rsid w:val="00860CAD"/>
    <w:rsid w:val="00860D73"/>
    <w:rsid w:val="00860E56"/>
    <w:rsid w:val="008615FC"/>
    <w:rsid w:val="0086217C"/>
    <w:rsid w:val="0086238D"/>
    <w:rsid w:val="008625D2"/>
    <w:rsid w:val="008626BD"/>
    <w:rsid w:val="0086272F"/>
    <w:rsid w:val="0086278D"/>
    <w:rsid w:val="00862799"/>
    <w:rsid w:val="00862834"/>
    <w:rsid w:val="00862B90"/>
    <w:rsid w:val="00862DE1"/>
    <w:rsid w:val="008631AA"/>
    <w:rsid w:val="008631D3"/>
    <w:rsid w:val="0086362D"/>
    <w:rsid w:val="00863915"/>
    <w:rsid w:val="00863F4C"/>
    <w:rsid w:val="0086403B"/>
    <w:rsid w:val="00864372"/>
    <w:rsid w:val="00864D6D"/>
    <w:rsid w:val="00865318"/>
    <w:rsid w:val="0086559C"/>
    <w:rsid w:val="0086586A"/>
    <w:rsid w:val="00865E30"/>
    <w:rsid w:val="00866333"/>
    <w:rsid w:val="0086665C"/>
    <w:rsid w:val="00866AB4"/>
    <w:rsid w:val="00866BF3"/>
    <w:rsid w:val="008675B3"/>
    <w:rsid w:val="008677EE"/>
    <w:rsid w:val="00867DED"/>
    <w:rsid w:val="00867F88"/>
    <w:rsid w:val="008700BD"/>
    <w:rsid w:val="008700BE"/>
    <w:rsid w:val="008700CF"/>
    <w:rsid w:val="00870123"/>
    <w:rsid w:val="0087089A"/>
    <w:rsid w:val="00870EF7"/>
    <w:rsid w:val="00870F81"/>
    <w:rsid w:val="00870FE5"/>
    <w:rsid w:val="0087133D"/>
    <w:rsid w:val="008717A9"/>
    <w:rsid w:val="008718FE"/>
    <w:rsid w:val="00871938"/>
    <w:rsid w:val="008719C2"/>
    <w:rsid w:val="00872408"/>
    <w:rsid w:val="00872499"/>
    <w:rsid w:val="008725E4"/>
    <w:rsid w:val="0087277A"/>
    <w:rsid w:val="008729B2"/>
    <w:rsid w:val="00872A47"/>
    <w:rsid w:val="00872B7F"/>
    <w:rsid w:val="00872FDD"/>
    <w:rsid w:val="00873067"/>
    <w:rsid w:val="0087322E"/>
    <w:rsid w:val="008736E2"/>
    <w:rsid w:val="008738A9"/>
    <w:rsid w:val="008738F4"/>
    <w:rsid w:val="00873DAC"/>
    <w:rsid w:val="00873E97"/>
    <w:rsid w:val="00874214"/>
    <w:rsid w:val="0087432B"/>
    <w:rsid w:val="00874565"/>
    <w:rsid w:val="008746AB"/>
    <w:rsid w:val="00874713"/>
    <w:rsid w:val="00874B44"/>
    <w:rsid w:val="00874BBB"/>
    <w:rsid w:val="00874BF9"/>
    <w:rsid w:val="00874C71"/>
    <w:rsid w:val="00874CDB"/>
    <w:rsid w:val="008752CA"/>
    <w:rsid w:val="008758F7"/>
    <w:rsid w:val="0087590E"/>
    <w:rsid w:val="00875AEC"/>
    <w:rsid w:val="00875BA6"/>
    <w:rsid w:val="00875E52"/>
    <w:rsid w:val="008760AF"/>
    <w:rsid w:val="00876485"/>
    <w:rsid w:val="0087669E"/>
    <w:rsid w:val="008768FF"/>
    <w:rsid w:val="00876A97"/>
    <w:rsid w:val="00876F33"/>
    <w:rsid w:val="0087704D"/>
    <w:rsid w:val="008771E2"/>
    <w:rsid w:val="00877247"/>
    <w:rsid w:val="00877455"/>
    <w:rsid w:val="008775F9"/>
    <w:rsid w:val="00877C15"/>
    <w:rsid w:val="00877CF0"/>
    <w:rsid w:val="00877F81"/>
    <w:rsid w:val="008801AE"/>
    <w:rsid w:val="00880326"/>
    <w:rsid w:val="0088097D"/>
    <w:rsid w:val="00880AA3"/>
    <w:rsid w:val="00880AAB"/>
    <w:rsid w:val="008814CC"/>
    <w:rsid w:val="0088163B"/>
    <w:rsid w:val="008816E1"/>
    <w:rsid w:val="00881761"/>
    <w:rsid w:val="008818CB"/>
    <w:rsid w:val="00881930"/>
    <w:rsid w:val="0088195E"/>
    <w:rsid w:val="00881B9E"/>
    <w:rsid w:val="00881CE1"/>
    <w:rsid w:val="00881EA1"/>
    <w:rsid w:val="008820D8"/>
    <w:rsid w:val="0088219B"/>
    <w:rsid w:val="008821BC"/>
    <w:rsid w:val="00882699"/>
    <w:rsid w:val="00882838"/>
    <w:rsid w:val="00882B46"/>
    <w:rsid w:val="00882DEC"/>
    <w:rsid w:val="008833C3"/>
    <w:rsid w:val="00883641"/>
    <w:rsid w:val="0088384B"/>
    <w:rsid w:val="00884039"/>
    <w:rsid w:val="0088421C"/>
    <w:rsid w:val="00884227"/>
    <w:rsid w:val="00884455"/>
    <w:rsid w:val="0088445B"/>
    <w:rsid w:val="00884671"/>
    <w:rsid w:val="00884BD8"/>
    <w:rsid w:val="00884E8F"/>
    <w:rsid w:val="00884EA1"/>
    <w:rsid w:val="008850DE"/>
    <w:rsid w:val="0088587D"/>
    <w:rsid w:val="00885B67"/>
    <w:rsid w:val="00885F8F"/>
    <w:rsid w:val="00886192"/>
    <w:rsid w:val="008862CD"/>
    <w:rsid w:val="00886994"/>
    <w:rsid w:val="008869AE"/>
    <w:rsid w:val="00886A7A"/>
    <w:rsid w:val="00886B18"/>
    <w:rsid w:val="00886C91"/>
    <w:rsid w:val="00886DE6"/>
    <w:rsid w:val="00886F65"/>
    <w:rsid w:val="008874D2"/>
    <w:rsid w:val="00887540"/>
    <w:rsid w:val="0088781D"/>
    <w:rsid w:val="00887825"/>
    <w:rsid w:val="00887CFE"/>
    <w:rsid w:val="00887F45"/>
    <w:rsid w:val="008901A1"/>
    <w:rsid w:val="00890439"/>
    <w:rsid w:val="008904B1"/>
    <w:rsid w:val="0089078F"/>
    <w:rsid w:val="00891062"/>
    <w:rsid w:val="0089141D"/>
    <w:rsid w:val="008915BE"/>
    <w:rsid w:val="00891653"/>
    <w:rsid w:val="00891AF6"/>
    <w:rsid w:val="00891BC3"/>
    <w:rsid w:val="00891CF3"/>
    <w:rsid w:val="0089255C"/>
    <w:rsid w:val="0089298F"/>
    <w:rsid w:val="008929CC"/>
    <w:rsid w:val="00893122"/>
    <w:rsid w:val="008931B1"/>
    <w:rsid w:val="0089330F"/>
    <w:rsid w:val="008937C8"/>
    <w:rsid w:val="008937CF"/>
    <w:rsid w:val="008938C2"/>
    <w:rsid w:val="00893A17"/>
    <w:rsid w:val="0089410F"/>
    <w:rsid w:val="008949D7"/>
    <w:rsid w:val="00894ACF"/>
    <w:rsid w:val="008956EC"/>
    <w:rsid w:val="0089571B"/>
    <w:rsid w:val="00895772"/>
    <w:rsid w:val="00895AB2"/>
    <w:rsid w:val="00895AD3"/>
    <w:rsid w:val="00895BDC"/>
    <w:rsid w:val="00895E9C"/>
    <w:rsid w:val="00895F99"/>
    <w:rsid w:val="00896046"/>
    <w:rsid w:val="008960EC"/>
    <w:rsid w:val="00896223"/>
    <w:rsid w:val="00896359"/>
    <w:rsid w:val="008967C4"/>
    <w:rsid w:val="00896A10"/>
    <w:rsid w:val="00896C5F"/>
    <w:rsid w:val="00896C8E"/>
    <w:rsid w:val="00896D1C"/>
    <w:rsid w:val="00896E7E"/>
    <w:rsid w:val="00896F09"/>
    <w:rsid w:val="008A0597"/>
    <w:rsid w:val="008A082A"/>
    <w:rsid w:val="008A0991"/>
    <w:rsid w:val="008A0A12"/>
    <w:rsid w:val="008A0B38"/>
    <w:rsid w:val="008A0B9F"/>
    <w:rsid w:val="008A0D2A"/>
    <w:rsid w:val="008A0E43"/>
    <w:rsid w:val="008A0F85"/>
    <w:rsid w:val="008A1693"/>
    <w:rsid w:val="008A17BB"/>
    <w:rsid w:val="008A182A"/>
    <w:rsid w:val="008A1F98"/>
    <w:rsid w:val="008A1FD4"/>
    <w:rsid w:val="008A210A"/>
    <w:rsid w:val="008A254F"/>
    <w:rsid w:val="008A25CC"/>
    <w:rsid w:val="008A2630"/>
    <w:rsid w:val="008A2638"/>
    <w:rsid w:val="008A2F32"/>
    <w:rsid w:val="008A2FF6"/>
    <w:rsid w:val="008A34B2"/>
    <w:rsid w:val="008A36F8"/>
    <w:rsid w:val="008A377A"/>
    <w:rsid w:val="008A38EC"/>
    <w:rsid w:val="008A39DB"/>
    <w:rsid w:val="008A4DE3"/>
    <w:rsid w:val="008A4FFD"/>
    <w:rsid w:val="008A5326"/>
    <w:rsid w:val="008A53B3"/>
    <w:rsid w:val="008A54B8"/>
    <w:rsid w:val="008A5599"/>
    <w:rsid w:val="008A5833"/>
    <w:rsid w:val="008A5A00"/>
    <w:rsid w:val="008A5B2D"/>
    <w:rsid w:val="008A61BE"/>
    <w:rsid w:val="008A62B7"/>
    <w:rsid w:val="008A643D"/>
    <w:rsid w:val="008A651B"/>
    <w:rsid w:val="008A67BA"/>
    <w:rsid w:val="008A68DC"/>
    <w:rsid w:val="008A6B31"/>
    <w:rsid w:val="008A6F3E"/>
    <w:rsid w:val="008A70C1"/>
    <w:rsid w:val="008A753D"/>
    <w:rsid w:val="008A757E"/>
    <w:rsid w:val="008A76FA"/>
    <w:rsid w:val="008A7854"/>
    <w:rsid w:val="008B049A"/>
    <w:rsid w:val="008B06B7"/>
    <w:rsid w:val="008B079D"/>
    <w:rsid w:val="008B0894"/>
    <w:rsid w:val="008B0A92"/>
    <w:rsid w:val="008B0D0D"/>
    <w:rsid w:val="008B0E88"/>
    <w:rsid w:val="008B0E8A"/>
    <w:rsid w:val="008B1226"/>
    <w:rsid w:val="008B1589"/>
    <w:rsid w:val="008B15A4"/>
    <w:rsid w:val="008B15F8"/>
    <w:rsid w:val="008B1687"/>
    <w:rsid w:val="008B1A53"/>
    <w:rsid w:val="008B1BDB"/>
    <w:rsid w:val="008B255A"/>
    <w:rsid w:val="008B25A6"/>
    <w:rsid w:val="008B28F2"/>
    <w:rsid w:val="008B296D"/>
    <w:rsid w:val="008B2C3F"/>
    <w:rsid w:val="008B2F0F"/>
    <w:rsid w:val="008B356F"/>
    <w:rsid w:val="008B36E9"/>
    <w:rsid w:val="008B371A"/>
    <w:rsid w:val="008B3A88"/>
    <w:rsid w:val="008B420E"/>
    <w:rsid w:val="008B445D"/>
    <w:rsid w:val="008B4778"/>
    <w:rsid w:val="008B4BFC"/>
    <w:rsid w:val="008B4F17"/>
    <w:rsid w:val="008B4F55"/>
    <w:rsid w:val="008B4F92"/>
    <w:rsid w:val="008B5086"/>
    <w:rsid w:val="008B51B4"/>
    <w:rsid w:val="008B552F"/>
    <w:rsid w:val="008B5B67"/>
    <w:rsid w:val="008B5C8C"/>
    <w:rsid w:val="008B5D7A"/>
    <w:rsid w:val="008B66A6"/>
    <w:rsid w:val="008B66E3"/>
    <w:rsid w:val="008B68F9"/>
    <w:rsid w:val="008B69E9"/>
    <w:rsid w:val="008B7597"/>
    <w:rsid w:val="008B77CF"/>
    <w:rsid w:val="008B7848"/>
    <w:rsid w:val="008B7A5D"/>
    <w:rsid w:val="008B7FDF"/>
    <w:rsid w:val="008C00A0"/>
    <w:rsid w:val="008C0509"/>
    <w:rsid w:val="008C0FE5"/>
    <w:rsid w:val="008C1033"/>
    <w:rsid w:val="008C1310"/>
    <w:rsid w:val="008C14F6"/>
    <w:rsid w:val="008C153E"/>
    <w:rsid w:val="008C1E05"/>
    <w:rsid w:val="008C1F33"/>
    <w:rsid w:val="008C2341"/>
    <w:rsid w:val="008C2689"/>
    <w:rsid w:val="008C29F2"/>
    <w:rsid w:val="008C2AAA"/>
    <w:rsid w:val="008C2CB1"/>
    <w:rsid w:val="008C2E48"/>
    <w:rsid w:val="008C2F45"/>
    <w:rsid w:val="008C30C0"/>
    <w:rsid w:val="008C3204"/>
    <w:rsid w:val="008C34BB"/>
    <w:rsid w:val="008C36C7"/>
    <w:rsid w:val="008C38E2"/>
    <w:rsid w:val="008C3A39"/>
    <w:rsid w:val="008C3FBC"/>
    <w:rsid w:val="008C405C"/>
    <w:rsid w:val="008C455E"/>
    <w:rsid w:val="008C45E2"/>
    <w:rsid w:val="008C4C80"/>
    <w:rsid w:val="008C4D62"/>
    <w:rsid w:val="008C5323"/>
    <w:rsid w:val="008C57B1"/>
    <w:rsid w:val="008C5BBD"/>
    <w:rsid w:val="008C5F24"/>
    <w:rsid w:val="008C5F73"/>
    <w:rsid w:val="008C6032"/>
    <w:rsid w:val="008C62C1"/>
    <w:rsid w:val="008C6975"/>
    <w:rsid w:val="008C6D60"/>
    <w:rsid w:val="008C6E4B"/>
    <w:rsid w:val="008C7102"/>
    <w:rsid w:val="008C7203"/>
    <w:rsid w:val="008C77C6"/>
    <w:rsid w:val="008C79C5"/>
    <w:rsid w:val="008C7B66"/>
    <w:rsid w:val="008D0155"/>
    <w:rsid w:val="008D0645"/>
    <w:rsid w:val="008D06B4"/>
    <w:rsid w:val="008D0F6E"/>
    <w:rsid w:val="008D1D43"/>
    <w:rsid w:val="008D2400"/>
    <w:rsid w:val="008D2494"/>
    <w:rsid w:val="008D24E8"/>
    <w:rsid w:val="008D28EC"/>
    <w:rsid w:val="008D2ECD"/>
    <w:rsid w:val="008D313B"/>
    <w:rsid w:val="008D313C"/>
    <w:rsid w:val="008D32B1"/>
    <w:rsid w:val="008D36DE"/>
    <w:rsid w:val="008D36E2"/>
    <w:rsid w:val="008D3726"/>
    <w:rsid w:val="008D45DA"/>
    <w:rsid w:val="008D4632"/>
    <w:rsid w:val="008D4929"/>
    <w:rsid w:val="008D4959"/>
    <w:rsid w:val="008D4A5B"/>
    <w:rsid w:val="008D4CB0"/>
    <w:rsid w:val="008D4D1E"/>
    <w:rsid w:val="008D4EEA"/>
    <w:rsid w:val="008D5122"/>
    <w:rsid w:val="008D517E"/>
    <w:rsid w:val="008D576D"/>
    <w:rsid w:val="008D57E6"/>
    <w:rsid w:val="008D588A"/>
    <w:rsid w:val="008D613A"/>
    <w:rsid w:val="008D62AE"/>
    <w:rsid w:val="008D6397"/>
    <w:rsid w:val="008D661D"/>
    <w:rsid w:val="008D6623"/>
    <w:rsid w:val="008D6B85"/>
    <w:rsid w:val="008D6BE9"/>
    <w:rsid w:val="008D6C2F"/>
    <w:rsid w:val="008D6F90"/>
    <w:rsid w:val="008D73C9"/>
    <w:rsid w:val="008D7434"/>
    <w:rsid w:val="008D7BF8"/>
    <w:rsid w:val="008D7EF3"/>
    <w:rsid w:val="008E0111"/>
    <w:rsid w:val="008E0636"/>
    <w:rsid w:val="008E06A9"/>
    <w:rsid w:val="008E06AE"/>
    <w:rsid w:val="008E091F"/>
    <w:rsid w:val="008E0B47"/>
    <w:rsid w:val="008E0E71"/>
    <w:rsid w:val="008E103D"/>
    <w:rsid w:val="008E10EA"/>
    <w:rsid w:val="008E1498"/>
    <w:rsid w:val="008E1502"/>
    <w:rsid w:val="008E15A3"/>
    <w:rsid w:val="008E16BF"/>
    <w:rsid w:val="008E1938"/>
    <w:rsid w:val="008E1E94"/>
    <w:rsid w:val="008E1EFD"/>
    <w:rsid w:val="008E2119"/>
    <w:rsid w:val="008E2216"/>
    <w:rsid w:val="008E2617"/>
    <w:rsid w:val="008E285B"/>
    <w:rsid w:val="008E2E11"/>
    <w:rsid w:val="008E3049"/>
    <w:rsid w:val="008E32EA"/>
    <w:rsid w:val="008E3408"/>
    <w:rsid w:val="008E35A3"/>
    <w:rsid w:val="008E37AE"/>
    <w:rsid w:val="008E3859"/>
    <w:rsid w:val="008E3C10"/>
    <w:rsid w:val="008E3EED"/>
    <w:rsid w:val="008E4284"/>
    <w:rsid w:val="008E43DC"/>
    <w:rsid w:val="008E4708"/>
    <w:rsid w:val="008E4738"/>
    <w:rsid w:val="008E487D"/>
    <w:rsid w:val="008E490F"/>
    <w:rsid w:val="008E4D59"/>
    <w:rsid w:val="008E4F6C"/>
    <w:rsid w:val="008E547A"/>
    <w:rsid w:val="008E54B4"/>
    <w:rsid w:val="008E55E2"/>
    <w:rsid w:val="008E570E"/>
    <w:rsid w:val="008E593D"/>
    <w:rsid w:val="008E664E"/>
    <w:rsid w:val="008E6950"/>
    <w:rsid w:val="008E6B80"/>
    <w:rsid w:val="008E6B8B"/>
    <w:rsid w:val="008E6EA8"/>
    <w:rsid w:val="008E7274"/>
    <w:rsid w:val="008E732D"/>
    <w:rsid w:val="008E77C4"/>
    <w:rsid w:val="008E79F9"/>
    <w:rsid w:val="008E7B3B"/>
    <w:rsid w:val="008E7CF0"/>
    <w:rsid w:val="008E7D4C"/>
    <w:rsid w:val="008E7E96"/>
    <w:rsid w:val="008E7F8F"/>
    <w:rsid w:val="008F00B2"/>
    <w:rsid w:val="008F0562"/>
    <w:rsid w:val="008F0974"/>
    <w:rsid w:val="008F0984"/>
    <w:rsid w:val="008F0C7B"/>
    <w:rsid w:val="008F13C3"/>
    <w:rsid w:val="008F1546"/>
    <w:rsid w:val="008F15B1"/>
    <w:rsid w:val="008F1743"/>
    <w:rsid w:val="008F1EED"/>
    <w:rsid w:val="008F2021"/>
    <w:rsid w:val="008F260B"/>
    <w:rsid w:val="008F2837"/>
    <w:rsid w:val="008F2940"/>
    <w:rsid w:val="008F2C3E"/>
    <w:rsid w:val="008F3595"/>
    <w:rsid w:val="008F35C2"/>
    <w:rsid w:val="008F3B91"/>
    <w:rsid w:val="008F437B"/>
    <w:rsid w:val="008F44B7"/>
    <w:rsid w:val="008F46A1"/>
    <w:rsid w:val="008F47FD"/>
    <w:rsid w:val="008F4A89"/>
    <w:rsid w:val="008F4B4B"/>
    <w:rsid w:val="008F4B73"/>
    <w:rsid w:val="008F4D6F"/>
    <w:rsid w:val="008F4E99"/>
    <w:rsid w:val="008F4EDA"/>
    <w:rsid w:val="008F52F8"/>
    <w:rsid w:val="008F542E"/>
    <w:rsid w:val="008F59A5"/>
    <w:rsid w:val="008F5D6D"/>
    <w:rsid w:val="008F622B"/>
    <w:rsid w:val="008F682F"/>
    <w:rsid w:val="008F6A6C"/>
    <w:rsid w:val="008F719E"/>
    <w:rsid w:val="008F7641"/>
    <w:rsid w:val="008F7667"/>
    <w:rsid w:val="008F7820"/>
    <w:rsid w:val="008F79E7"/>
    <w:rsid w:val="0090025C"/>
    <w:rsid w:val="00900938"/>
    <w:rsid w:val="00900AD7"/>
    <w:rsid w:val="00900CC6"/>
    <w:rsid w:val="00901279"/>
    <w:rsid w:val="009013C3"/>
    <w:rsid w:val="0090155B"/>
    <w:rsid w:val="009018ED"/>
    <w:rsid w:val="00901E33"/>
    <w:rsid w:val="0090266A"/>
    <w:rsid w:val="009028C7"/>
    <w:rsid w:val="0090290D"/>
    <w:rsid w:val="009030B8"/>
    <w:rsid w:val="00903534"/>
    <w:rsid w:val="009035C2"/>
    <w:rsid w:val="009036D3"/>
    <w:rsid w:val="00903755"/>
    <w:rsid w:val="00903779"/>
    <w:rsid w:val="00903817"/>
    <w:rsid w:val="00903A09"/>
    <w:rsid w:val="00904072"/>
    <w:rsid w:val="009045EA"/>
    <w:rsid w:val="009046F6"/>
    <w:rsid w:val="00904866"/>
    <w:rsid w:val="00904886"/>
    <w:rsid w:val="00904943"/>
    <w:rsid w:val="00904B51"/>
    <w:rsid w:val="00904D6A"/>
    <w:rsid w:val="00904EA7"/>
    <w:rsid w:val="00905A14"/>
    <w:rsid w:val="00905BC7"/>
    <w:rsid w:val="00906151"/>
    <w:rsid w:val="009062E6"/>
    <w:rsid w:val="00906821"/>
    <w:rsid w:val="00906E65"/>
    <w:rsid w:val="00907D32"/>
    <w:rsid w:val="00907E29"/>
    <w:rsid w:val="00907F9D"/>
    <w:rsid w:val="009105F0"/>
    <w:rsid w:val="0091071F"/>
    <w:rsid w:val="00910FA7"/>
    <w:rsid w:val="00910FC3"/>
    <w:rsid w:val="00911392"/>
    <w:rsid w:val="0091182D"/>
    <w:rsid w:val="00911DB3"/>
    <w:rsid w:val="00912043"/>
    <w:rsid w:val="009123BB"/>
    <w:rsid w:val="009129E5"/>
    <w:rsid w:val="00912AA3"/>
    <w:rsid w:val="00912B57"/>
    <w:rsid w:val="009132A3"/>
    <w:rsid w:val="009132E1"/>
    <w:rsid w:val="009137B6"/>
    <w:rsid w:val="00913A5D"/>
    <w:rsid w:val="00913E91"/>
    <w:rsid w:val="00913F4F"/>
    <w:rsid w:val="00914091"/>
    <w:rsid w:val="0091419D"/>
    <w:rsid w:val="00914408"/>
    <w:rsid w:val="00914427"/>
    <w:rsid w:val="009144D5"/>
    <w:rsid w:val="00914780"/>
    <w:rsid w:val="00914947"/>
    <w:rsid w:val="00914EA6"/>
    <w:rsid w:val="0091529A"/>
    <w:rsid w:val="00915618"/>
    <w:rsid w:val="00915F98"/>
    <w:rsid w:val="00915FA3"/>
    <w:rsid w:val="0091618D"/>
    <w:rsid w:val="00916332"/>
    <w:rsid w:val="009165F9"/>
    <w:rsid w:val="00916B8A"/>
    <w:rsid w:val="00916FBD"/>
    <w:rsid w:val="009173FC"/>
    <w:rsid w:val="00917616"/>
    <w:rsid w:val="009178DC"/>
    <w:rsid w:val="00917FB0"/>
    <w:rsid w:val="00920379"/>
    <w:rsid w:val="00920476"/>
    <w:rsid w:val="0092069C"/>
    <w:rsid w:val="009206D7"/>
    <w:rsid w:val="00920A4D"/>
    <w:rsid w:val="00920C3D"/>
    <w:rsid w:val="00920EEC"/>
    <w:rsid w:val="00920EFC"/>
    <w:rsid w:val="0092103A"/>
    <w:rsid w:val="0092153B"/>
    <w:rsid w:val="0092154F"/>
    <w:rsid w:val="009217F8"/>
    <w:rsid w:val="00921B10"/>
    <w:rsid w:val="00921CD0"/>
    <w:rsid w:val="00921EBB"/>
    <w:rsid w:val="00921FA2"/>
    <w:rsid w:val="00922158"/>
    <w:rsid w:val="009228F5"/>
    <w:rsid w:val="00922A5D"/>
    <w:rsid w:val="00922C43"/>
    <w:rsid w:val="00922F4C"/>
    <w:rsid w:val="009238A8"/>
    <w:rsid w:val="00923A1B"/>
    <w:rsid w:val="00923D39"/>
    <w:rsid w:val="00923DB4"/>
    <w:rsid w:val="00923FC9"/>
    <w:rsid w:val="0092402A"/>
    <w:rsid w:val="00924039"/>
    <w:rsid w:val="00924245"/>
    <w:rsid w:val="00924370"/>
    <w:rsid w:val="00924507"/>
    <w:rsid w:val="009246B1"/>
    <w:rsid w:val="0092470E"/>
    <w:rsid w:val="0092477E"/>
    <w:rsid w:val="009247CF"/>
    <w:rsid w:val="0092484D"/>
    <w:rsid w:val="009249C0"/>
    <w:rsid w:val="00924A27"/>
    <w:rsid w:val="00924ACA"/>
    <w:rsid w:val="00925071"/>
    <w:rsid w:val="00925187"/>
    <w:rsid w:val="009252A8"/>
    <w:rsid w:val="00925407"/>
    <w:rsid w:val="00925C12"/>
    <w:rsid w:val="00926338"/>
    <w:rsid w:val="0092680B"/>
    <w:rsid w:val="00926957"/>
    <w:rsid w:val="00926979"/>
    <w:rsid w:val="00926983"/>
    <w:rsid w:val="00926BF2"/>
    <w:rsid w:val="00926D0B"/>
    <w:rsid w:val="00926E2F"/>
    <w:rsid w:val="0092709C"/>
    <w:rsid w:val="0092717F"/>
    <w:rsid w:val="00927744"/>
    <w:rsid w:val="00927B05"/>
    <w:rsid w:val="00927CD5"/>
    <w:rsid w:val="00930696"/>
    <w:rsid w:val="009307BD"/>
    <w:rsid w:val="00930C8A"/>
    <w:rsid w:val="00930CC1"/>
    <w:rsid w:val="00930EE3"/>
    <w:rsid w:val="00930F4E"/>
    <w:rsid w:val="00931505"/>
    <w:rsid w:val="009316BC"/>
    <w:rsid w:val="0093198C"/>
    <w:rsid w:val="00931D27"/>
    <w:rsid w:val="0093242E"/>
    <w:rsid w:val="0093243E"/>
    <w:rsid w:val="00932757"/>
    <w:rsid w:val="0093283B"/>
    <w:rsid w:val="00932B6B"/>
    <w:rsid w:val="009330C3"/>
    <w:rsid w:val="00933173"/>
    <w:rsid w:val="00933344"/>
    <w:rsid w:val="0093334A"/>
    <w:rsid w:val="009338AC"/>
    <w:rsid w:val="00933906"/>
    <w:rsid w:val="00933A3C"/>
    <w:rsid w:val="00933B56"/>
    <w:rsid w:val="0093419E"/>
    <w:rsid w:val="00934BD7"/>
    <w:rsid w:val="00934E58"/>
    <w:rsid w:val="00934F68"/>
    <w:rsid w:val="00935243"/>
    <w:rsid w:val="00935D1C"/>
    <w:rsid w:val="00936062"/>
    <w:rsid w:val="0093607E"/>
    <w:rsid w:val="009360D6"/>
    <w:rsid w:val="0093626D"/>
    <w:rsid w:val="00936B21"/>
    <w:rsid w:val="009374F6"/>
    <w:rsid w:val="00937852"/>
    <w:rsid w:val="00937856"/>
    <w:rsid w:val="00937CBE"/>
    <w:rsid w:val="00940343"/>
    <w:rsid w:val="00940A13"/>
    <w:rsid w:val="00940A26"/>
    <w:rsid w:val="00940A75"/>
    <w:rsid w:val="00940ADC"/>
    <w:rsid w:val="00940D4E"/>
    <w:rsid w:val="00940E9F"/>
    <w:rsid w:val="00940FF9"/>
    <w:rsid w:val="009410E9"/>
    <w:rsid w:val="00941457"/>
    <w:rsid w:val="0094184B"/>
    <w:rsid w:val="00941880"/>
    <w:rsid w:val="0094198D"/>
    <w:rsid w:val="00941C01"/>
    <w:rsid w:val="00942086"/>
    <w:rsid w:val="00942124"/>
    <w:rsid w:val="009421B2"/>
    <w:rsid w:val="0094238E"/>
    <w:rsid w:val="00942A00"/>
    <w:rsid w:val="00942CF3"/>
    <w:rsid w:val="00943DD8"/>
    <w:rsid w:val="00943F83"/>
    <w:rsid w:val="00944087"/>
    <w:rsid w:val="009443B0"/>
    <w:rsid w:val="00944471"/>
    <w:rsid w:val="0094461F"/>
    <w:rsid w:val="00944806"/>
    <w:rsid w:val="00944E74"/>
    <w:rsid w:val="009452E3"/>
    <w:rsid w:val="009457CE"/>
    <w:rsid w:val="0094584D"/>
    <w:rsid w:val="009458BE"/>
    <w:rsid w:val="009461EA"/>
    <w:rsid w:val="00946383"/>
    <w:rsid w:val="009467F4"/>
    <w:rsid w:val="00946AAB"/>
    <w:rsid w:val="00946ECD"/>
    <w:rsid w:val="0094714E"/>
    <w:rsid w:val="009472BB"/>
    <w:rsid w:val="009475C5"/>
    <w:rsid w:val="0094788F"/>
    <w:rsid w:val="00947A60"/>
    <w:rsid w:val="00947B63"/>
    <w:rsid w:val="00947B8B"/>
    <w:rsid w:val="0095012E"/>
    <w:rsid w:val="00950225"/>
    <w:rsid w:val="00950726"/>
    <w:rsid w:val="009507DE"/>
    <w:rsid w:val="009508AA"/>
    <w:rsid w:val="0095099B"/>
    <w:rsid w:val="00950C17"/>
    <w:rsid w:val="00950D28"/>
    <w:rsid w:val="0095149F"/>
    <w:rsid w:val="009516FF"/>
    <w:rsid w:val="009517AA"/>
    <w:rsid w:val="00951934"/>
    <w:rsid w:val="00951975"/>
    <w:rsid w:val="00951A8A"/>
    <w:rsid w:val="00951BEC"/>
    <w:rsid w:val="00951CC5"/>
    <w:rsid w:val="00951E68"/>
    <w:rsid w:val="0095207B"/>
    <w:rsid w:val="009524C9"/>
    <w:rsid w:val="00952D5B"/>
    <w:rsid w:val="00952DB3"/>
    <w:rsid w:val="00952E50"/>
    <w:rsid w:val="00952FC6"/>
    <w:rsid w:val="0095355E"/>
    <w:rsid w:val="009535A6"/>
    <w:rsid w:val="009536FF"/>
    <w:rsid w:val="00953D62"/>
    <w:rsid w:val="00953DE0"/>
    <w:rsid w:val="00953F7C"/>
    <w:rsid w:val="00953F91"/>
    <w:rsid w:val="009541F4"/>
    <w:rsid w:val="00954C8C"/>
    <w:rsid w:val="00954FAD"/>
    <w:rsid w:val="00955166"/>
    <w:rsid w:val="00955AD6"/>
    <w:rsid w:val="00955DCF"/>
    <w:rsid w:val="009562EB"/>
    <w:rsid w:val="009567EB"/>
    <w:rsid w:val="00956ACE"/>
    <w:rsid w:val="00956B25"/>
    <w:rsid w:val="00956D26"/>
    <w:rsid w:val="00956F14"/>
    <w:rsid w:val="00956F2A"/>
    <w:rsid w:val="009570FC"/>
    <w:rsid w:val="009572A0"/>
    <w:rsid w:val="009573CA"/>
    <w:rsid w:val="0095750C"/>
    <w:rsid w:val="009575A1"/>
    <w:rsid w:val="00957751"/>
    <w:rsid w:val="00957A97"/>
    <w:rsid w:val="00957D24"/>
    <w:rsid w:val="00957D6A"/>
    <w:rsid w:val="00957D9B"/>
    <w:rsid w:val="00957DE8"/>
    <w:rsid w:val="00957E2C"/>
    <w:rsid w:val="00957F15"/>
    <w:rsid w:val="00957F89"/>
    <w:rsid w:val="0096001B"/>
    <w:rsid w:val="0096007A"/>
    <w:rsid w:val="0096016B"/>
    <w:rsid w:val="00960239"/>
    <w:rsid w:val="009608E8"/>
    <w:rsid w:val="00960A2A"/>
    <w:rsid w:val="00960C56"/>
    <w:rsid w:val="00960D53"/>
    <w:rsid w:val="00960DCF"/>
    <w:rsid w:val="00961051"/>
    <w:rsid w:val="00961317"/>
    <w:rsid w:val="00961357"/>
    <w:rsid w:val="00961B53"/>
    <w:rsid w:val="00961FF0"/>
    <w:rsid w:val="009623B4"/>
    <w:rsid w:val="009626B7"/>
    <w:rsid w:val="009626EE"/>
    <w:rsid w:val="00962784"/>
    <w:rsid w:val="009628B0"/>
    <w:rsid w:val="0096293C"/>
    <w:rsid w:val="00962B10"/>
    <w:rsid w:val="00962C9D"/>
    <w:rsid w:val="009630C9"/>
    <w:rsid w:val="00963264"/>
    <w:rsid w:val="0096389D"/>
    <w:rsid w:val="00963945"/>
    <w:rsid w:val="00964117"/>
    <w:rsid w:val="00964648"/>
    <w:rsid w:val="009646FA"/>
    <w:rsid w:val="0096485D"/>
    <w:rsid w:val="00964A1E"/>
    <w:rsid w:val="00964B55"/>
    <w:rsid w:val="00964D27"/>
    <w:rsid w:val="009657E7"/>
    <w:rsid w:val="00965AA0"/>
    <w:rsid w:val="00965D2F"/>
    <w:rsid w:val="00965E94"/>
    <w:rsid w:val="00966227"/>
    <w:rsid w:val="00966A54"/>
    <w:rsid w:val="00966AF8"/>
    <w:rsid w:val="00966C64"/>
    <w:rsid w:val="00966E33"/>
    <w:rsid w:val="00967124"/>
    <w:rsid w:val="00967159"/>
    <w:rsid w:val="009676C0"/>
    <w:rsid w:val="00967D8A"/>
    <w:rsid w:val="00967F9B"/>
    <w:rsid w:val="0097004B"/>
    <w:rsid w:val="00970671"/>
    <w:rsid w:val="00970894"/>
    <w:rsid w:val="00970AAE"/>
    <w:rsid w:val="00970D8D"/>
    <w:rsid w:val="0097103A"/>
    <w:rsid w:val="009712E1"/>
    <w:rsid w:val="0097181E"/>
    <w:rsid w:val="00971940"/>
    <w:rsid w:val="00971A2F"/>
    <w:rsid w:val="00971BF7"/>
    <w:rsid w:val="00971CAF"/>
    <w:rsid w:val="00971D49"/>
    <w:rsid w:val="009720D3"/>
    <w:rsid w:val="009722C9"/>
    <w:rsid w:val="00972390"/>
    <w:rsid w:val="009726A3"/>
    <w:rsid w:val="00972987"/>
    <w:rsid w:val="00972A17"/>
    <w:rsid w:val="00972D22"/>
    <w:rsid w:val="00972FEF"/>
    <w:rsid w:val="009730E4"/>
    <w:rsid w:val="0097332E"/>
    <w:rsid w:val="009734C1"/>
    <w:rsid w:val="0097355D"/>
    <w:rsid w:val="00973663"/>
    <w:rsid w:val="00973F05"/>
    <w:rsid w:val="009747D2"/>
    <w:rsid w:val="00974872"/>
    <w:rsid w:val="00974D56"/>
    <w:rsid w:val="00974E04"/>
    <w:rsid w:val="00974FCB"/>
    <w:rsid w:val="00975443"/>
    <w:rsid w:val="009754C4"/>
    <w:rsid w:val="00975593"/>
    <w:rsid w:val="009758DA"/>
    <w:rsid w:val="00975D88"/>
    <w:rsid w:val="009762EB"/>
    <w:rsid w:val="00976620"/>
    <w:rsid w:val="009767F5"/>
    <w:rsid w:val="00976CC1"/>
    <w:rsid w:val="009771C5"/>
    <w:rsid w:val="009772BA"/>
    <w:rsid w:val="0097768B"/>
    <w:rsid w:val="00977DFA"/>
    <w:rsid w:val="009803A9"/>
    <w:rsid w:val="009803CB"/>
    <w:rsid w:val="009803D4"/>
    <w:rsid w:val="009805FA"/>
    <w:rsid w:val="00980630"/>
    <w:rsid w:val="009807A2"/>
    <w:rsid w:val="00980FC4"/>
    <w:rsid w:val="00980FE0"/>
    <w:rsid w:val="0098106D"/>
    <w:rsid w:val="00981636"/>
    <w:rsid w:val="0098199C"/>
    <w:rsid w:val="00981A5E"/>
    <w:rsid w:val="00981ACA"/>
    <w:rsid w:val="00982579"/>
    <w:rsid w:val="0098294A"/>
    <w:rsid w:val="00982A87"/>
    <w:rsid w:val="00983101"/>
    <w:rsid w:val="00983142"/>
    <w:rsid w:val="00983171"/>
    <w:rsid w:val="00983285"/>
    <w:rsid w:val="0098333F"/>
    <w:rsid w:val="00983960"/>
    <w:rsid w:val="0098396B"/>
    <w:rsid w:val="00983B80"/>
    <w:rsid w:val="00983CF8"/>
    <w:rsid w:val="00984AAA"/>
    <w:rsid w:val="00984B57"/>
    <w:rsid w:val="00984E79"/>
    <w:rsid w:val="00985046"/>
    <w:rsid w:val="00985079"/>
    <w:rsid w:val="00985150"/>
    <w:rsid w:val="0098575D"/>
    <w:rsid w:val="009858EF"/>
    <w:rsid w:val="0098596E"/>
    <w:rsid w:val="00986740"/>
    <w:rsid w:val="009868A0"/>
    <w:rsid w:val="009868C9"/>
    <w:rsid w:val="00986EAE"/>
    <w:rsid w:val="00986F4F"/>
    <w:rsid w:val="009871E5"/>
    <w:rsid w:val="009873F3"/>
    <w:rsid w:val="00987B22"/>
    <w:rsid w:val="00987DE0"/>
    <w:rsid w:val="00987ED3"/>
    <w:rsid w:val="00990899"/>
    <w:rsid w:val="00990C22"/>
    <w:rsid w:val="00990F9C"/>
    <w:rsid w:val="009911D5"/>
    <w:rsid w:val="0099154F"/>
    <w:rsid w:val="0099190A"/>
    <w:rsid w:val="00991B0D"/>
    <w:rsid w:val="00991F2E"/>
    <w:rsid w:val="00992285"/>
    <w:rsid w:val="009922C1"/>
    <w:rsid w:val="009925FD"/>
    <w:rsid w:val="0099294F"/>
    <w:rsid w:val="009929CA"/>
    <w:rsid w:val="00992D83"/>
    <w:rsid w:val="00992EF6"/>
    <w:rsid w:val="00992FC1"/>
    <w:rsid w:val="00993118"/>
    <w:rsid w:val="0099356E"/>
    <w:rsid w:val="00993A7C"/>
    <w:rsid w:val="0099418C"/>
    <w:rsid w:val="0099466B"/>
    <w:rsid w:val="0099482E"/>
    <w:rsid w:val="00994963"/>
    <w:rsid w:val="00994983"/>
    <w:rsid w:val="0099499C"/>
    <w:rsid w:val="00994AFB"/>
    <w:rsid w:val="00994BED"/>
    <w:rsid w:val="0099583F"/>
    <w:rsid w:val="00995B9E"/>
    <w:rsid w:val="00995CC5"/>
    <w:rsid w:val="00995E98"/>
    <w:rsid w:val="00995F8E"/>
    <w:rsid w:val="009961E6"/>
    <w:rsid w:val="009961F2"/>
    <w:rsid w:val="0099663B"/>
    <w:rsid w:val="0099694A"/>
    <w:rsid w:val="00996C1F"/>
    <w:rsid w:val="00996E31"/>
    <w:rsid w:val="00996F15"/>
    <w:rsid w:val="009972BE"/>
    <w:rsid w:val="00997501"/>
    <w:rsid w:val="00997503"/>
    <w:rsid w:val="0099762A"/>
    <w:rsid w:val="00997AE3"/>
    <w:rsid w:val="00997BA8"/>
    <w:rsid w:val="00997EE3"/>
    <w:rsid w:val="00997F78"/>
    <w:rsid w:val="009A048A"/>
    <w:rsid w:val="009A06F4"/>
    <w:rsid w:val="009A0725"/>
    <w:rsid w:val="009A0834"/>
    <w:rsid w:val="009A08EA"/>
    <w:rsid w:val="009A10F7"/>
    <w:rsid w:val="009A11F9"/>
    <w:rsid w:val="009A137A"/>
    <w:rsid w:val="009A13AD"/>
    <w:rsid w:val="009A14E7"/>
    <w:rsid w:val="009A18D6"/>
    <w:rsid w:val="009A18FB"/>
    <w:rsid w:val="009A1CD2"/>
    <w:rsid w:val="009A2186"/>
    <w:rsid w:val="009A24F7"/>
    <w:rsid w:val="009A26D6"/>
    <w:rsid w:val="009A2CD8"/>
    <w:rsid w:val="009A3778"/>
    <w:rsid w:val="009A3788"/>
    <w:rsid w:val="009A3E2E"/>
    <w:rsid w:val="009A43EE"/>
    <w:rsid w:val="009A448A"/>
    <w:rsid w:val="009A452C"/>
    <w:rsid w:val="009A4647"/>
    <w:rsid w:val="009A4814"/>
    <w:rsid w:val="009A502F"/>
    <w:rsid w:val="009A5342"/>
    <w:rsid w:val="009A560C"/>
    <w:rsid w:val="009A5849"/>
    <w:rsid w:val="009A5A09"/>
    <w:rsid w:val="009A5C55"/>
    <w:rsid w:val="009A5F7C"/>
    <w:rsid w:val="009A5FA4"/>
    <w:rsid w:val="009A5FCF"/>
    <w:rsid w:val="009A60A2"/>
    <w:rsid w:val="009A633C"/>
    <w:rsid w:val="009A6384"/>
    <w:rsid w:val="009A63FA"/>
    <w:rsid w:val="009A6401"/>
    <w:rsid w:val="009A65B4"/>
    <w:rsid w:val="009A69F6"/>
    <w:rsid w:val="009A6D7C"/>
    <w:rsid w:val="009A74A5"/>
    <w:rsid w:val="009A76BB"/>
    <w:rsid w:val="009A76E5"/>
    <w:rsid w:val="009A7765"/>
    <w:rsid w:val="009A7966"/>
    <w:rsid w:val="009A7F34"/>
    <w:rsid w:val="009B01CD"/>
    <w:rsid w:val="009B04E7"/>
    <w:rsid w:val="009B072E"/>
    <w:rsid w:val="009B081A"/>
    <w:rsid w:val="009B0DDC"/>
    <w:rsid w:val="009B0EC6"/>
    <w:rsid w:val="009B19F2"/>
    <w:rsid w:val="009B1E3C"/>
    <w:rsid w:val="009B1F15"/>
    <w:rsid w:val="009B2245"/>
    <w:rsid w:val="009B258E"/>
    <w:rsid w:val="009B263E"/>
    <w:rsid w:val="009B2834"/>
    <w:rsid w:val="009B29B1"/>
    <w:rsid w:val="009B2A6B"/>
    <w:rsid w:val="009B2D98"/>
    <w:rsid w:val="009B30FA"/>
    <w:rsid w:val="009B3339"/>
    <w:rsid w:val="009B36CF"/>
    <w:rsid w:val="009B405F"/>
    <w:rsid w:val="009B43B5"/>
    <w:rsid w:val="009B488B"/>
    <w:rsid w:val="009B4BF7"/>
    <w:rsid w:val="009B56B4"/>
    <w:rsid w:val="009B5791"/>
    <w:rsid w:val="009B58A9"/>
    <w:rsid w:val="009B5997"/>
    <w:rsid w:val="009B5C2A"/>
    <w:rsid w:val="009B6040"/>
    <w:rsid w:val="009B6077"/>
    <w:rsid w:val="009B6915"/>
    <w:rsid w:val="009B697A"/>
    <w:rsid w:val="009B6B23"/>
    <w:rsid w:val="009B6C42"/>
    <w:rsid w:val="009B6DFE"/>
    <w:rsid w:val="009B6F6D"/>
    <w:rsid w:val="009B7042"/>
    <w:rsid w:val="009B70BA"/>
    <w:rsid w:val="009B726B"/>
    <w:rsid w:val="009B738B"/>
    <w:rsid w:val="009B78D1"/>
    <w:rsid w:val="009B7ABD"/>
    <w:rsid w:val="009B7BBE"/>
    <w:rsid w:val="009C0032"/>
    <w:rsid w:val="009C005B"/>
    <w:rsid w:val="009C0170"/>
    <w:rsid w:val="009C01A9"/>
    <w:rsid w:val="009C0A0D"/>
    <w:rsid w:val="009C0A41"/>
    <w:rsid w:val="009C0F6C"/>
    <w:rsid w:val="009C0FEB"/>
    <w:rsid w:val="009C102F"/>
    <w:rsid w:val="009C1252"/>
    <w:rsid w:val="009C12DC"/>
    <w:rsid w:val="009C1494"/>
    <w:rsid w:val="009C1660"/>
    <w:rsid w:val="009C1994"/>
    <w:rsid w:val="009C1D27"/>
    <w:rsid w:val="009C1D45"/>
    <w:rsid w:val="009C1E03"/>
    <w:rsid w:val="009C1E0E"/>
    <w:rsid w:val="009C1E6E"/>
    <w:rsid w:val="009C233E"/>
    <w:rsid w:val="009C26D0"/>
    <w:rsid w:val="009C2CE3"/>
    <w:rsid w:val="009C2EF5"/>
    <w:rsid w:val="009C31EB"/>
    <w:rsid w:val="009C324A"/>
    <w:rsid w:val="009C34E6"/>
    <w:rsid w:val="009C37AA"/>
    <w:rsid w:val="009C3905"/>
    <w:rsid w:val="009C3BD9"/>
    <w:rsid w:val="009C3FF7"/>
    <w:rsid w:val="009C43DC"/>
    <w:rsid w:val="009C449D"/>
    <w:rsid w:val="009C4645"/>
    <w:rsid w:val="009C5452"/>
    <w:rsid w:val="009C5726"/>
    <w:rsid w:val="009C5763"/>
    <w:rsid w:val="009C58D0"/>
    <w:rsid w:val="009C5A7B"/>
    <w:rsid w:val="009C5AAD"/>
    <w:rsid w:val="009C5B82"/>
    <w:rsid w:val="009C5BB6"/>
    <w:rsid w:val="009C5C58"/>
    <w:rsid w:val="009C5D97"/>
    <w:rsid w:val="009C5F55"/>
    <w:rsid w:val="009C608C"/>
    <w:rsid w:val="009C6206"/>
    <w:rsid w:val="009C6658"/>
    <w:rsid w:val="009C6B37"/>
    <w:rsid w:val="009C6FC0"/>
    <w:rsid w:val="009C71DB"/>
    <w:rsid w:val="009C756E"/>
    <w:rsid w:val="009C77D0"/>
    <w:rsid w:val="009C7A06"/>
    <w:rsid w:val="009C7A4C"/>
    <w:rsid w:val="009C7C25"/>
    <w:rsid w:val="009C7C7D"/>
    <w:rsid w:val="009C7D6B"/>
    <w:rsid w:val="009C7E7D"/>
    <w:rsid w:val="009D025B"/>
    <w:rsid w:val="009D05C1"/>
    <w:rsid w:val="009D0718"/>
    <w:rsid w:val="009D0BFB"/>
    <w:rsid w:val="009D0C01"/>
    <w:rsid w:val="009D0E08"/>
    <w:rsid w:val="009D10DF"/>
    <w:rsid w:val="009D127F"/>
    <w:rsid w:val="009D15DD"/>
    <w:rsid w:val="009D168F"/>
    <w:rsid w:val="009D181D"/>
    <w:rsid w:val="009D1A3A"/>
    <w:rsid w:val="009D1AF2"/>
    <w:rsid w:val="009D1C3D"/>
    <w:rsid w:val="009D1C91"/>
    <w:rsid w:val="009D21BE"/>
    <w:rsid w:val="009D24C7"/>
    <w:rsid w:val="009D271F"/>
    <w:rsid w:val="009D2734"/>
    <w:rsid w:val="009D304E"/>
    <w:rsid w:val="009D3411"/>
    <w:rsid w:val="009D344C"/>
    <w:rsid w:val="009D347B"/>
    <w:rsid w:val="009D37E8"/>
    <w:rsid w:val="009D3C3D"/>
    <w:rsid w:val="009D3F6C"/>
    <w:rsid w:val="009D41CA"/>
    <w:rsid w:val="009D4895"/>
    <w:rsid w:val="009D4AAD"/>
    <w:rsid w:val="009D5218"/>
    <w:rsid w:val="009D5288"/>
    <w:rsid w:val="009D5462"/>
    <w:rsid w:val="009D58C6"/>
    <w:rsid w:val="009D5B9F"/>
    <w:rsid w:val="009D64B1"/>
    <w:rsid w:val="009D654C"/>
    <w:rsid w:val="009D7249"/>
    <w:rsid w:val="009D78BC"/>
    <w:rsid w:val="009D7A36"/>
    <w:rsid w:val="009E000C"/>
    <w:rsid w:val="009E03EA"/>
    <w:rsid w:val="009E03F1"/>
    <w:rsid w:val="009E0647"/>
    <w:rsid w:val="009E0A62"/>
    <w:rsid w:val="009E0CBE"/>
    <w:rsid w:val="009E0CC9"/>
    <w:rsid w:val="009E10FD"/>
    <w:rsid w:val="009E1143"/>
    <w:rsid w:val="009E1395"/>
    <w:rsid w:val="009E141E"/>
    <w:rsid w:val="009E1A2D"/>
    <w:rsid w:val="009E1C81"/>
    <w:rsid w:val="009E1DDF"/>
    <w:rsid w:val="009E2879"/>
    <w:rsid w:val="009E29B0"/>
    <w:rsid w:val="009E2AD3"/>
    <w:rsid w:val="009E2AFA"/>
    <w:rsid w:val="009E323C"/>
    <w:rsid w:val="009E369A"/>
    <w:rsid w:val="009E37FA"/>
    <w:rsid w:val="009E384A"/>
    <w:rsid w:val="009E39B9"/>
    <w:rsid w:val="009E3BF3"/>
    <w:rsid w:val="009E3C41"/>
    <w:rsid w:val="009E41B0"/>
    <w:rsid w:val="009E4309"/>
    <w:rsid w:val="009E47CD"/>
    <w:rsid w:val="009E47E5"/>
    <w:rsid w:val="009E4B00"/>
    <w:rsid w:val="009E4C97"/>
    <w:rsid w:val="009E4FF4"/>
    <w:rsid w:val="009E52FF"/>
    <w:rsid w:val="009E56BA"/>
    <w:rsid w:val="009E57C6"/>
    <w:rsid w:val="009E587F"/>
    <w:rsid w:val="009E62DE"/>
    <w:rsid w:val="009E6711"/>
    <w:rsid w:val="009E690E"/>
    <w:rsid w:val="009E7E96"/>
    <w:rsid w:val="009F00A9"/>
    <w:rsid w:val="009F0342"/>
    <w:rsid w:val="009F046B"/>
    <w:rsid w:val="009F05D9"/>
    <w:rsid w:val="009F066A"/>
    <w:rsid w:val="009F06C8"/>
    <w:rsid w:val="009F0734"/>
    <w:rsid w:val="009F0C82"/>
    <w:rsid w:val="009F0E7D"/>
    <w:rsid w:val="009F113C"/>
    <w:rsid w:val="009F1265"/>
    <w:rsid w:val="009F146F"/>
    <w:rsid w:val="009F185B"/>
    <w:rsid w:val="009F19A8"/>
    <w:rsid w:val="009F1A60"/>
    <w:rsid w:val="009F1B79"/>
    <w:rsid w:val="009F1CD6"/>
    <w:rsid w:val="009F23D2"/>
    <w:rsid w:val="009F23F3"/>
    <w:rsid w:val="009F2896"/>
    <w:rsid w:val="009F3347"/>
    <w:rsid w:val="009F34D0"/>
    <w:rsid w:val="009F35C6"/>
    <w:rsid w:val="009F35F2"/>
    <w:rsid w:val="009F3A18"/>
    <w:rsid w:val="009F3C24"/>
    <w:rsid w:val="009F3C75"/>
    <w:rsid w:val="009F4159"/>
    <w:rsid w:val="009F44AD"/>
    <w:rsid w:val="009F4560"/>
    <w:rsid w:val="009F46DD"/>
    <w:rsid w:val="009F46EF"/>
    <w:rsid w:val="009F4C98"/>
    <w:rsid w:val="009F4D88"/>
    <w:rsid w:val="009F5586"/>
    <w:rsid w:val="009F59D8"/>
    <w:rsid w:val="009F5D64"/>
    <w:rsid w:val="009F5D8E"/>
    <w:rsid w:val="009F5F35"/>
    <w:rsid w:val="009F61B5"/>
    <w:rsid w:val="009F62F1"/>
    <w:rsid w:val="009F6C18"/>
    <w:rsid w:val="009F719C"/>
    <w:rsid w:val="009F7711"/>
    <w:rsid w:val="009F773C"/>
    <w:rsid w:val="009F7916"/>
    <w:rsid w:val="009F7C1D"/>
    <w:rsid w:val="009F7CA0"/>
    <w:rsid w:val="009F7F9E"/>
    <w:rsid w:val="00A0037E"/>
    <w:rsid w:val="00A004A8"/>
    <w:rsid w:val="00A00636"/>
    <w:rsid w:val="00A007D9"/>
    <w:rsid w:val="00A009E1"/>
    <w:rsid w:val="00A00A26"/>
    <w:rsid w:val="00A00A82"/>
    <w:rsid w:val="00A00D09"/>
    <w:rsid w:val="00A00F0E"/>
    <w:rsid w:val="00A01303"/>
    <w:rsid w:val="00A0131B"/>
    <w:rsid w:val="00A01574"/>
    <w:rsid w:val="00A017CA"/>
    <w:rsid w:val="00A0193B"/>
    <w:rsid w:val="00A01C96"/>
    <w:rsid w:val="00A01EF6"/>
    <w:rsid w:val="00A01F13"/>
    <w:rsid w:val="00A01F5D"/>
    <w:rsid w:val="00A0233D"/>
    <w:rsid w:val="00A0273C"/>
    <w:rsid w:val="00A02ADF"/>
    <w:rsid w:val="00A02B1B"/>
    <w:rsid w:val="00A02C4F"/>
    <w:rsid w:val="00A02D07"/>
    <w:rsid w:val="00A02EE6"/>
    <w:rsid w:val="00A03271"/>
    <w:rsid w:val="00A032FE"/>
    <w:rsid w:val="00A03663"/>
    <w:rsid w:val="00A03715"/>
    <w:rsid w:val="00A040B3"/>
    <w:rsid w:val="00A041A9"/>
    <w:rsid w:val="00A04758"/>
    <w:rsid w:val="00A04A09"/>
    <w:rsid w:val="00A04B2F"/>
    <w:rsid w:val="00A04D33"/>
    <w:rsid w:val="00A04EF3"/>
    <w:rsid w:val="00A0529F"/>
    <w:rsid w:val="00A052A9"/>
    <w:rsid w:val="00A0533B"/>
    <w:rsid w:val="00A055C0"/>
    <w:rsid w:val="00A057A7"/>
    <w:rsid w:val="00A05821"/>
    <w:rsid w:val="00A05D1D"/>
    <w:rsid w:val="00A05E39"/>
    <w:rsid w:val="00A05EA2"/>
    <w:rsid w:val="00A068C2"/>
    <w:rsid w:val="00A07382"/>
    <w:rsid w:val="00A07516"/>
    <w:rsid w:val="00A076CC"/>
    <w:rsid w:val="00A078C2"/>
    <w:rsid w:val="00A07C0F"/>
    <w:rsid w:val="00A07DE9"/>
    <w:rsid w:val="00A07FC2"/>
    <w:rsid w:val="00A1021E"/>
    <w:rsid w:val="00A10350"/>
    <w:rsid w:val="00A1161C"/>
    <w:rsid w:val="00A1165C"/>
    <w:rsid w:val="00A11C99"/>
    <w:rsid w:val="00A11E7D"/>
    <w:rsid w:val="00A11F7F"/>
    <w:rsid w:val="00A125D6"/>
    <w:rsid w:val="00A12882"/>
    <w:rsid w:val="00A128C6"/>
    <w:rsid w:val="00A128DB"/>
    <w:rsid w:val="00A130C6"/>
    <w:rsid w:val="00A1310C"/>
    <w:rsid w:val="00A139D4"/>
    <w:rsid w:val="00A13ADC"/>
    <w:rsid w:val="00A13EA9"/>
    <w:rsid w:val="00A13FA7"/>
    <w:rsid w:val="00A13FD1"/>
    <w:rsid w:val="00A146B3"/>
    <w:rsid w:val="00A14E53"/>
    <w:rsid w:val="00A14F7B"/>
    <w:rsid w:val="00A15198"/>
    <w:rsid w:val="00A15403"/>
    <w:rsid w:val="00A15580"/>
    <w:rsid w:val="00A15D3C"/>
    <w:rsid w:val="00A16449"/>
    <w:rsid w:val="00A164A9"/>
    <w:rsid w:val="00A16547"/>
    <w:rsid w:val="00A165CB"/>
    <w:rsid w:val="00A16D26"/>
    <w:rsid w:val="00A16F50"/>
    <w:rsid w:val="00A1714D"/>
    <w:rsid w:val="00A17643"/>
    <w:rsid w:val="00A176A2"/>
    <w:rsid w:val="00A179BC"/>
    <w:rsid w:val="00A201B7"/>
    <w:rsid w:val="00A2042D"/>
    <w:rsid w:val="00A2053C"/>
    <w:rsid w:val="00A20811"/>
    <w:rsid w:val="00A20EEA"/>
    <w:rsid w:val="00A21016"/>
    <w:rsid w:val="00A21087"/>
    <w:rsid w:val="00A21128"/>
    <w:rsid w:val="00A2120B"/>
    <w:rsid w:val="00A218CA"/>
    <w:rsid w:val="00A218CF"/>
    <w:rsid w:val="00A21927"/>
    <w:rsid w:val="00A21C3B"/>
    <w:rsid w:val="00A226C1"/>
    <w:rsid w:val="00A22EFC"/>
    <w:rsid w:val="00A23677"/>
    <w:rsid w:val="00A2369F"/>
    <w:rsid w:val="00A238AF"/>
    <w:rsid w:val="00A23BC5"/>
    <w:rsid w:val="00A23CD4"/>
    <w:rsid w:val="00A23F57"/>
    <w:rsid w:val="00A24148"/>
    <w:rsid w:val="00A24691"/>
    <w:rsid w:val="00A246CB"/>
    <w:rsid w:val="00A2483C"/>
    <w:rsid w:val="00A251C7"/>
    <w:rsid w:val="00A2541C"/>
    <w:rsid w:val="00A259F5"/>
    <w:rsid w:val="00A25A7C"/>
    <w:rsid w:val="00A25D0D"/>
    <w:rsid w:val="00A25F40"/>
    <w:rsid w:val="00A2621F"/>
    <w:rsid w:val="00A26389"/>
    <w:rsid w:val="00A265C8"/>
    <w:rsid w:val="00A266F2"/>
    <w:rsid w:val="00A26BCF"/>
    <w:rsid w:val="00A26D19"/>
    <w:rsid w:val="00A26E7D"/>
    <w:rsid w:val="00A27312"/>
    <w:rsid w:val="00A27390"/>
    <w:rsid w:val="00A273FB"/>
    <w:rsid w:val="00A2758F"/>
    <w:rsid w:val="00A275FE"/>
    <w:rsid w:val="00A27689"/>
    <w:rsid w:val="00A27AAC"/>
    <w:rsid w:val="00A27C14"/>
    <w:rsid w:val="00A303B8"/>
    <w:rsid w:val="00A304A8"/>
    <w:rsid w:val="00A30B88"/>
    <w:rsid w:val="00A3128B"/>
    <w:rsid w:val="00A31724"/>
    <w:rsid w:val="00A31A29"/>
    <w:rsid w:val="00A32B07"/>
    <w:rsid w:val="00A3316D"/>
    <w:rsid w:val="00A33824"/>
    <w:rsid w:val="00A33939"/>
    <w:rsid w:val="00A339EA"/>
    <w:rsid w:val="00A33BA9"/>
    <w:rsid w:val="00A33D2B"/>
    <w:rsid w:val="00A33DC2"/>
    <w:rsid w:val="00A340AA"/>
    <w:rsid w:val="00A342C9"/>
    <w:rsid w:val="00A343CA"/>
    <w:rsid w:val="00A344E0"/>
    <w:rsid w:val="00A3452E"/>
    <w:rsid w:val="00A34735"/>
    <w:rsid w:val="00A34BCB"/>
    <w:rsid w:val="00A35062"/>
    <w:rsid w:val="00A354A7"/>
    <w:rsid w:val="00A35C97"/>
    <w:rsid w:val="00A361BD"/>
    <w:rsid w:val="00A361C3"/>
    <w:rsid w:val="00A368C1"/>
    <w:rsid w:val="00A36ABE"/>
    <w:rsid w:val="00A36C33"/>
    <w:rsid w:val="00A36CE0"/>
    <w:rsid w:val="00A36E69"/>
    <w:rsid w:val="00A36E71"/>
    <w:rsid w:val="00A36FDE"/>
    <w:rsid w:val="00A37161"/>
    <w:rsid w:val="00A37324"/>
    <w:rsid w:val="00A3779D"/>
    <w:rsid w:val="00A379E8"/>
    <w:rsid w:val="00A37E1F"/>
    <w:rsid w:val="00A40059"/>
    <w:rsid w:val="00A4039B"/>
    <w:rsid w:val="00A40911"/>
    <w:rsid w:val="00A40AE6"/>
    <w:rsid w:val="00A40CA4"/>
    <w:rsid w:val="00A40D1A"/>
    <w:rsid w:val="00A41142"/>
    <w:rsid w:val="00A411FA"/>
    <w:rsid w:val="00A4146B"/>
    <w:rsid w:val="00A41B36"/>
    <w:rsid w:val="00A41B5A"/>
    <w:rsid w:val="00A41C53"/>
    <w:rsid w:val="00A41EF9"/>
    <w:rsid w:val="00A422AC"/>
    <w:rsid w:val="00A429D3"/>
    <w:rsid w:val="00A42ADA"/>
    <w:rsid w:val="00A42C59"/>
    <w:rsid w:val="00A4338D"/>
    <w:rsid w:val="00A43481"/>
    <w:rsid w:val="00A436BE"/>
    <w:rsid w:val="00A436DD"/>
    <w:rsid w:val="00A43751"/>
    <w:rsid w:val="00A43755"/>
    <w:rsid w:val="00A439CA"/>
    <w:rsid w:val="00A43B22"/>
    <w:rsid w:val="00A43B7E"/>
    <w:rsid w:val="00A43B82"/>
    <w:rsid w:val="00A43DEB"/>
    <w:rsid w:val="00A43EBE"/>
    <w:rsid w:val="00A44238"/>
    <w:rsid w:val="00A44549"/>
    <w:rsid w:val="00A44A12"/>
    <w:rsid w:val="00A44EC1"/>
    <w:rsid w:val="00A450E2"/>
    <w:rsid w:val="00A4511D"/>
    <w:rsid w:val="00A4513A"/>
    <w:rsid w:val="00A452F6"/>
    <w:rsid w:val="00A454A2"/>
    <w:rsid w:val="00A454B3"/>
    <w:rsid w:val="00A45664"/>
    <w:rsid w:val="00A456B7"/>
    <w:rsid w:val="00A45761"/>
    <w:rsid w:val="00A45C82"/>
    <w:rsid w:val="00A45D75"/>
    <w:rsid w:val="00A45E52"/>
    <w:rsid w:val="00A46357"/>
    <w:rsid w:val="00A463D4"/>
    <w:rsid w:val="00A4652D"/>
    <w:rsid w:val="00A46652"/>
    <w:rsid w:val="00A46B14"/>
    <w:rsid w:val="00A46BA2"/>
    <w:rsid w:val="00A46BEE"/>
    <w:rsid w:val="00A46D15"/>
    <w:rsid w:val="00A4713D"/>
    <w:rsid w:val="00A50AED"/>
    <w:rsid w:val="00A50C3E"/>
    <w:rsid w:val="00A50EBA"/>
    <w:rsid w:val="00A51086"/>
    <w:rsid w:val="00A51756"/>
    <w:rsid w:val="00A51B9E"/>
    <w:rsid w:val="00A52067"/>
    <w:rsid w:val="00A521CA"/>
    <w:rsid w:val="00A5226C"/>
    <w:rsid w:val="00A5234C"/>
    <w:rsid w:val="00A52576"/>
    <w:rsid w:val="00A5289B"/>
    <w:rsid w:val="00A528FA"/>
    <w:rsid w:val="00A52913"/>
    <w:rsid w:val="00A52D4C"/>
    <w:rsid w:val="00A52F5E"/>
    <w:rsid w:val="00A52F97"/>
    <w:rsid w:val="00A5323B"/>
    <w:rsid w:val="00A537B7"/>
    <w:rsid w:val="00A53B19"/>
    <w:rsid w:val="00A53FC3"/>
    <w:rsid w:val="00A546C5"/>
    <w:rsid w:val="00A54A40"/>
    <w:rsid w:val="00A54FB4"/>
    <w:rsid w:val="00A5538E"/>
    <w:rsid w:val="00A55837"/>
    <w:rsid w:val="00A55A32"/>
    <w:rsid w:val="00A55AB6"/>
    <w:rsid w:val="00A56021"/>
    <w:rsid w:val="00A563C3"/>
    <w:rsid w:val="00A56496"/>
    <w:rsid w:val="00A56578"/>
    <w:rsid w:val="00A56658"/>
    <w:rsid w:val="00A56866"/>
    <w:rsid w:val="00A5693C"/>
    <w:rsid w:val="00A56AC5"/>
    <w:rsid w:val="00A56B29"/>
    <w:rsid w:val="00A56CCC"/>
    <w:rsid w:val="00A56DE0"/>
    <w:rsid w:val="00A56F4C"/>
    <w:rsid w:val="00A56F87"/>
    <w:rsid w:val="00A574CE"/>
    <w:rsid w:val="00A578F9"/>
    <w:rsid w:val="00A6004A"/>
    <w:rsid w:val="00A6004D"/>
    <w:rsid w:val="00A6030F"/>
    <w:rsid w:val="00A6045E"/>
    <w:rsid w:val="00A60541"/>
    <w:rsid w:val="00A60643"/>
    <w:rsid w:val="00A60AD3"/>
    <w:rsid w:val="00A60B2A"/>
    <w:rsid w:val="00A61237"/>
    <w:rsid w:val="00A613B5"/>
    <w:rsid w:val="00A6152E"/>
    <w:rsid w:val="00A6184F"/>
    <w:rsid w:val="00A61B70"/>
    <w:rsid w:val="00A61F19"/>
    <w:rsid w:val="00A61FC7"/>
    <w:rsid w:val="00A625C9"/>
    <w:rsid w:val="00A62701"/>
    <w:rsid w:val="00A62A44"/>
    <w:rsid w:val="00A62DBE"/>
    <w:rsid w:val="00A63204"/>
    <w:rsid w:val="00A63241"/>
    <w:rsid w:val="00A63341"/>
    <w:rsid w:val="00A63970"/>
    <w:rsid w:val="00A639B6"/>
    <w:rsid w:val="00A63C18"/>
    <w:rsid w:val="00A63C8C"/>
    <w:rsid w:val="00A63FC0"/>
    <w:rsid w:val="00A64317"/>
    <w:rsid w:val="00A64319"/>
    <w:rsid w:val="00A64522"/>
    <w:rsid w:val="00A647D4"/>
    <w:rsid w:val="00A648F5"/>
    <w:rsid w:val="00A64AAF"/>
    <w:rsid w:val="00A64ADA"/>
    <w:rsid w:val="00A64FB2"/>
    <w:rsid w:val="00A65478"/>
    <w:rsid w:val="00A65AD9"/>
    <w:rsid w:val="00A65B05"/>
    <w:rsid w:val="00A65B4B"/>
    <w:rsid w:val="00A65C45"/>
    <w:rsid w:val="00A65DAF"/>
    <w:rsid w:val="00A65E57"/>
    <w:rsid w:val="00A66041"/>
    <w:rsid w:val="00A6610A"/>
    <w:rsid w:val="00A661AB"/>
    <w:rsid w:val="00A661E2"/>
    <w:rsid w:val="00A662DC"/>
    <w:rsid w:val="00A66429"/>
    <w:rsid w:val="00A665AB"/>
    <w:rsid w:val="00A6671A"/>
    <w:rsid w:val="00A6671C"/>
    <w:rsid w:val="00A66831"/>
    <w:rsid w:val="00A669DB"/>
    <w:rsid w:val="00A66F3D"/>
    <w:rsid w:val="00A67065"/>
    <w:rsid w:val="00A6741B"/>
    <w:rsid w:val="00A6753D"/>
    <w:rsid w:val="00A67A1E"/>
    <w:rsid w:val="00A67AED"/>
    <w:rsid w:val="00A67BDD"/>
    <w:rsid w:val="00A67DDF"/>
    <w:rsid w:val="00A70372"/>
    <w:rsid w:val="00A706DA"/>
    <w:rsid w:val="00A70A3E"/>
    <w:rsid w:val="00A70CC3"/>
    <w:rsid w:val="00A70D23"/>
    <w:rsid w:val="00A70DCC"/>
    <w:rsid w:val="00A70E67"/>
    <w:rsid w:val="00A710A5"/>
    <w:rsid w:val="00A710E1"/>
    <w:rsid w:val="00A7171F"/>
    <w:rsid w:val="00A71BF4"/>
    <w:rsid w:val="00A71D44"/>
    <w:rsid w:val="00A72072"/>
    <w:rsid w:val="00A72388"/>
    <w:rsid w:val="00A72468"/>
    <w:rsid w:val="00A72B9E"/>
    <w:rsid w:val="00A737A5"/>
    <w:rsid w:val="00A738F7"/>
    <w:rsid w:val="00A73979"/>
    <w:rsid w:val="00A73A26"/>
    <w:rsid w:val="00A74104"/>
    <w:rsid w:val="00A74226"/>
    <w:rsid w:val="00A74A1F"/>
    <w:rsid w:val="00A7538F"/>
    <w:rsid w:val="00A7542E"/>
    <w:rsid w:val="00A756FA"/>
    <w:rsid w:val="00A757B0"/>
    <w:rsid w:val="00A760BB"/>
    <w:rsid w:val="00A76895"/>
    <w:rsid w:val="00A76ADA"/>
    <w:rsid w:val="00A76B64"/>
    <w:rsid w:val="00A76DF5"/>
    <w:rsid w:val="00A7703F"/>
    <w:rsid w:val="00A7709B"/>
    <w:rsid w:val="00A77479"/>
    <w:rsid w:val="00A776A0"/>
    <w:rsid w:val="00A776A4"/>
    <w:rsid w:val="00A77D17"/>
    <w:rsid w:val="00A77DDD"/>
    <w:rsid w:val="00A80257"/>
    <w:rsid w:val="00A8049D"/>
    <w:rsid w:val="00A8086E"/>
    <w:rsid w:val="00A80AA7"/>
    <w:rsid w:val="00A80CDF"/>
    <w:rsid w:val="00A80DE1"/>
    <w:rsid w:val="00A80EA9"/>
    <w:rsid w:val="00A80FF6"/>
    <w:rsid w:val="00A81130"/>
    <w:rsid w:val="00A811CA"/>
    <w:rsid w:val="00A81308"/>
    <w:rsid w:val="00A815BF"/>
    <w:rsid w:val="00A81791"/>
    <w:rsid w:val="00A8184D"/>
    <w:rsid w:val="00A81875"/>
    <w:rsid w:val="00A81B43"/>
    <w:rsid w:val="00A81E08"/>
    <w:rsid w:val="00A81EBD"/>
    <w:rsid w:val="00A82099"/>
    <w:rsid w:val="00A822C2"/>
    <w:rsid w:val="00A82401"/>
    <w:rsid w:val="00A8246B"/>
    <w:rsid w:val="00A826D2"/>
    <w:rsid w:val="00A82709"/>
    <w:rsid w:val="00A82990"/>
    <w:rsid w:val="00A82B85"/>
    <w:rsid w:val="00A82F93"/>
    <w:rsid w:val="00A8316B"/>
    <w:rsid w:val="00A83715"/>
    <w:rsid w:val="00A839C1"/>
    <w:rsid w:val="00A83AF8"/>
    <w:rsid w:val="00A83B05"/>
    <w:rsid w:val="00A83C67"/>
    <w:rsid w:val="00A83D4C"/>
    <w:rsid w:val="00A83E7D"/>
    <w:rsid w:val="00A8438F"/>
    <w:rsid w:val="00A8491F"/>
    <w:rsid w:val="00A84A0B"/>
    <w:rsid w:val="00A84EBA"/>
    <w:rsid w:val="00A84FAA"/>
    <w:rsid w:val="00A850A8"/>
    <w:rsid w:val="00A85271"/>
    <w:rsid w:val="00A85321"/>
    <w:rsid w:val="00A85365"/>
    <w:rsid w:val="00A85451"/>
    <w:rsid w:val="00A85784"/>
    <w:rsid w:val="00A85B59"/>
    <w:rsid w:val="00A85D5E"/>
    <w:rsid w:val="00A864D8"/>
    <w:rsid w:val="00A86953"/>
    <w:rsid w:val="00A869B9"/>
    <w:rsid w:val="00A870CA"/>
    <w:rsid w:val="00A871F7"/>
    <w:rsid w:val="00A87306"/>
    <w:rsid w:val="00A87706"/>
    <w:rsid w:val="00A877D1"/>
    <w:rsid w:val="00A87986"/>
    <w:rsid w:val="00A879C7"/>
    <w:rsid w:val="00A87F5D"/>
    <w:rsid w:val="00A900F0"/>
    <w:rsid w:val="00A90401"/>
    <w:rsid w:val="00A90739"/>
    <w:rsid w:val="00A90BB2"/>
    <w:rsid w:val="00A90D68"/>
    <w:rsid w:val="00A9152D"/>
    <w:rsid w:val="00A9172F"/>
    <w:rsid w:val="00A918CF"/>
    <w:rsid w:val="00A91E27"/>
    <w:rsid w:val="00A92105"/>
    <w:rsid w:val="00A921E3"/>
    <w:rsid w:val="00A9233B"/>
    <w:rsid w:val="00A92A51"/>
    <w:rsid w:val="00A92EBF"/>
    <w:rsid w:val="00A9327D"/>
    <w:rsid w:val="00A93E0A"/>
    <w:rsid w:val="00A944F0"/>
    <w:rsid w:val="00A94C1A"/>
    <w:rsid w:val="00A94CF3"/>
    <w:rsid w:val="00A94D20"/>
    <w:rsid w:val="00A94DE3"/>
    <w:rsid w:val="00A94E60"/>
    <w:rsid w:val="00A953D4"/>
    <w:rsid w:val="00A954F1"/>
    <w:rsid w:val="00A95519"/>
    <w:rsid w:val="00A9562A"/>
    <w:rsid w:val="00A95667"/>
    <w:rsid w:val="00A956B7"/>
    <w:rsid w:val="00A9594A"/>
    <w:rsid w:val="00A95CE0"/>
    <w:rsid w:val="00A95CFE"/>
    <w:rsid w:val="00A9622E"/>
    <w:rsid w:val="00A9633A"/>
    <w:rsid w:val="00A964F1"/>
    <w:rsid w:val="00A96B10"/>
    <w:rsid w:val="00A96D6A"/>
    <w:rsid w:val="00A973D1"/>
    <w:rsid w:val="00A9752B"/>
    <w:rsid w:val="00A9754B"/>
    <w:rsid w:val="00A97C1A"/>
    <w:rsid w:val="00A97E16"/>
    <w:rsid w:val="00AA07DF"/>
    <w:rsid w:val="00AA0C12"/>
    <w:rsid w:val="00AA0FAE"/>
    <w:rsid w:val="00AA1198"/>
    <w:rsid w:val="00AA134E"/>
    <w:rsid w:val="00AA16CF"/>
    <w:rsid w:val="00AA189B"/>
    <w:rsid w:val="00AA1F20"/>
    <w:rsid w:val="00AA219A"/>
    <w:rsid w:val="00AA21AC"/>
    <w:rsid w:val="00AA2461"/>
    <w:rsid w:val="00AA248E"/>
    <w:rsid w:val="00AA26EC"/>
    <w:rsid w:val="00AA2865"/>
    <w:rsid w:val="00AA2A16"/>
    <w:rsid w:val="00AA3125"/>
    <w:rsid w:val="00AA32A2"/>
    <w:rsid w:val="00AA3321"/>
    <w:rsid w:val="00AA396D"/>
    <w:rsid w:val="00AA39E5"/>
    <w:rsid w:val="00AA3A59"/>
    <w:rsid w:val="00AA3A9B"/>
    <w:rsid w:val="00AA3BF1"/>
    <w:rsid w:val="00AA3E26"/>
    <w:rsid w:val="00AA3E96"/>
    <w:rsid w:val="00AA4113"/>
    <w:rsid w:val="00AA4408"/>
    <w:rsid w:val="00AA45A9"/>
    <w:rsid w:val="00AA4716"/>
    <w:rsid w:val="00AA4806"/>
    <w:rsid w:val="00AA48AF"/>
    <w:rsid w:val="00AA49E3"/>
    <w:rsid w:val="00AA4E98"/>
    <w:rsid w:val="00AA4FD9"/>
    <w:rsid w:val="00AA527F"/>
    <w:rsid w:val="00AA52A8"/>
    <w:rsid w:val="00AA5410"/>
    <w:rsid w:val="00AA56F7"/>
    <w:rsid w:val="00AA5838"/>
    <w:rsid w:val="00AA5B1F"/>
    <w:rsid w:val="00AA5D5F"/>
    <w:rsid w:val="00AA616F"/>
    <w:rsid w:val="00AA6202"/>
    <w:rsid w:val="00AA623D"/>
    <w:rsid w:val="00AA63E6"/>
    <w:rsid w:val="00AA6811"/>
    <w:rsid w:val="00AA6E12"/>
    <w:rsid w:val="00AA6ED6"/>
    <w:rsid w:val="00AA71C5"/>
    <w:rsid w:val="00AA7252"/>
    <w:rsid w:val="00AA77E2"/>
    <w:rsid w:val="00AA7E9C"/>
    <w:rsid w:val="00AB007F"/>
    <w:rsid w:val="00AB053F"/>
    <w:rsid w:val="00AB05EC"/>
    <w:rsid w:val="00AB0860"/>
    <w:rsid w:val="00AB0A3E"/>
    <w:rsid w:val="00AB107D"/>
    <w:rsid w:val="00AB2191"/>
    <w:rsid w:val="00AB21C6"/>
    <w:rsid w:val="00AB266A"/>
    <w:rsid w:val="00AB2765"/>
    <w:rsid w:val="00AB2841"/>
    <w:rsid w:val="00AB3108"/>
    <w:rsid w:val="00AB3366"/>
    <w:rsid w:val="00AB341D"/>
    <w:rsid w:val="00AB345D"/>
    <w:rsid w:val="00AB3C94"/>
    <w:rsid w:val="00AB3D96"/>
    <w:rsid w:val="00AB41F1"/>
    <w:rsid w:val="00AB4609"/>
    <w:rsid w:val="00AB49AE"/>
    <w:rsid w:val="00AB49DA"/>
    <w:rsid w:val="00AB4AF4"/>
    <w:rsid w:val="00AB566C"/>
    <w:rsid w:val="00AB567C"/>
    <w:rsid w:val="00AB5A15"/>
    <w:rsid w:val="00AB5CF4"/>
    <w:rsid w:val="00AB6317"/>
    <w:rsid w:val="00AB686C"/>
    <w:rsid w:val="00AB6FBE"/>
    <w:rsid w:val="00AB72A5"/>
    <w:rsid w:val="00AB72CE"/>
    <w:rsid w:val="00AB7339"/>
    <w:rsid w:val="00AB73A2"/>
    <w:rsid w:val="00AB749C"/>
    <w:rsid w:val="00AB77F7"/>
    <w:rsid w:val="00AB7A89"/>
    <w:rsid w:val="00AB7C1C"/>
    <w:rsid w:val="00AB7CA2"/>
    <w:rsid w:val="00AB7D6D"/>
    <w:rsid w:val="00AB7E59"/>
    <w:rsid w:val="00AC07B9"/>
    <w:rsid w:val="00AC0AAE"/>
    <w:rsid w:val="00AC0B68"/>
    <w:rsid w:val="00AC118F"/>
    <w:rsid w:val="00AC1DF9"/>
    <w:rsid w:val="00AC1EAA"/>
    <w:rsid w:val="00AC2651"/>
    <w:rsid w:val="00AC2ACF"/>
    <w:rsid w:val="00AC2AE9"/>
    <w:rsid w:val="00AC2FCA"/>
    <w:rsid w:val="00AC3100"/>
    <w:rsid w:val="00AC32C2"/>
    <w:rsid w:val="00AC3341"/>
    <w:rsid w:val="00AC3789"/>
    <w:rsid w:val="00AC38BD"/>
    <w:rsid w:val="00AC3951"/>
    <w:rsid w:val="00AC3B18"/>
    <w:rsid w:val="00AC40BD"/>
    <w:rsid w:val="00AC4459"/>
    <w:rsid w:val="00AC45CA"/>
    <w:rsid w:val="00AC487F"/>
    <w:rsid w:val="00AC52F2"/>
    <w:rsid w:val="00AC54EC"/>
    <w:rsid w:val="00AC581B"/>
    <w:rsid w:val="00AC5C6C"/>
    <w:rsid w:val="00AC5F12"/>
    <w:rsid w:val="00AC5F25"/>
    <w:rsid w:val="00AC65B7"/>
    <w:rsid w:val="00AC69F3"/>
    <w:rsid w:val="00AC6C72"/>
    <w:rsid w:val="00AC6F7D"/>
    <w:rsid w:val="00AC720A"/>
    <w:rsid w:val="00AC72DD"/>
    <w:rsid w:val="00AC7964"/>
    <w:rsid w:val="00AD0230"/>
    <w:rsid w:val="00AD07FE"/>
    <w:rsid w:val="00AD0A33"/>
    <w:rsid w:val="00AD0D91"/>
    <w:rsid w:val="00AD10CE"/>
    <w:rsid w:val="00AD14D5"/>
    <w:rsid w:val="00AD15F0"/>
    <w:rsid w:val="00AD1768"/>
    <w:rsid w:val="00AD19F5"/>
    <w:rsid w:val="00AD1B22"/>
    <w:rsid w:val="00AD1C31"/>
    <w:rsid w:val="00AD1E7F"/>
    <w:rsid w:val="00AD22B7"/>
    <w:rsid w:val="00AD2785"/>
    <w:rsid w:val="00AD27ED"/>
    <w:rsid w:val="00AD2981"/>
    <w:rsid w:val="00AD2B36"/>
    <w:rsid w:val="00AD2F3D"/>
    <w:rsid w:val="00AD2F89"/>
    <w:rsid w:val="00AD3736"/>
    <w:rsid w:val="00AD39D9"/>
    <w:rsid w:val="00AD3C68"/>
    <w:rsid w:val="00AD3F8C"/>
    <w:rsid w:val="00AD3FC6"/>
    <w:rsid w:val="00AD411C"/>
    <w:rsid w:val="00AD4579"/>
    <w:rsid w:val="00AD4A79"/>
    <w:rsid w:val="00AD500A"/>
    <w:rsid w:val="00AD5199"/>
    <w:rsid w:val="00AD5A6E"/>
    <w:rsid w:val="00AD5D27"/>
    <w:rsid w:val="00AD5EA0"/>
    <w:rsid w:val="00AD5F34"/>
    <w:rsid w:val="00AD60EA"/>
    <w:rsid w:val="00AD641A"/>
    <w:rsid w:val="00AD67D4"/>
    <w:rsid w:val="00AD692C"/>
    <w:rsid w:val="00AD6B87"/>
    <w:rsid w:val="00AE0167"/>
    <w:rsid w:val="00AE02CA"/>
    <w:rsid w:val="00AE06BA"/>
    <w:rsid w:val="00AE06BE"/>
    <w:rsid w:val="00AE0C7E"/>
    <w:rsid w:val="00AE12A6"/>
    <w:rsid w:val="00AE141C"/>
    <w:rsid w:val="00AE1669"/>
    <w:rsid w:val="00AE1711"/>
    <w:rsid w:val="00AE19AE"/>
    <w:rsid w:val="00AE1C28"/>
    <w:rsid w:val="00AE1C3D"/>
    <w:rsid w:val="00AE1E5A"/>
    <w:rsid w:val="00AE20C2"/>
    <w:rsid w:val="00AE2441"/>
    <w:rsid w:val="00AE248C"/>
    <w:rsid w:val="00AE2990"/>
    <w:rsid w:val="00AE2BCE"/>
    <w:rsid w:val="00AE2BE7"/>
    <w:rsid w:val="00AE2DBF"/>
    <w:rsid w:val="00AE3AE8"/>
    <w:rsid w:val="00AE3CF7"/>
    <w:rsid w:val="00AE3EA5"/>
    <w:rsid w:val="00AE3F05"/>
    <w:rsid w:val="00AE411A"/>
    <w:rsid w:val="00AE4331"/>
    <w:rsid w:val="00AE4BE7"/>
    <w:rsid w:val="00AE4CC0"/>
    <w:rsid w:val="00AE5047"/>
    <w:rsid w:val="00AE513A"/>
    <w:rsid w:val="00AE51CA"/>
    <w:rsid w:val="00AE5607"/>
    <w:rsid w:val="00AE58BB"/>
    <w:rsid w:val="00AE5CCD"/>
    <w:rsid w:val="00AE614D"/>
    <w:rsid w:val="00AE670E"/>
    <w:rsid w:val="00AE69FF"/>
    <w:rsid w:val="00AE6C6F"/>
    <w:rsid w:val="00AE7036"/>
    <w:rsid w:val="00AE73C8"/>
    <w:rsid w:val="00AE73DD"/>
    <w:rsid w:val="00AE7688"/>
    <w:rsid w:val="00AE7849"/>
    <w:rsid w:val="00AE7939"/>
    <w:rsid w:val="00AE7977"/>
    <w:rsid w:val="00AE7D09"/>
    <w:rsid w:val="00AE7F35"/>
    <w:rsid w:val="00AE7FF7"/>
    <w:rsid w:val="00AF013F"/>
    <w:rsid w:val="00AF0280"/>
    <w:rsid w:val="00AF045A"/>
    <w:rsid w:val="00AF0626"/>
    <w:rsid w:val="00AF0AF8"/>
    <w:rsid w:val="00AF0B7A"/>
    <w:rsid w:val="00AF0C27"/>
    <w:rsid w:val="00AF0EA2"/>
    <w:rsid w:val="00AF1273"/>
    <w:rsid w:val="00AF157D"/>
    <w:rsid w:val="00AF172A"/>
    <w:rsid w:val="00AF197E"/>
    <w:rsid w:val="00AF1B62"/>
    <w:rsid w:val="00AF1F10"/>
    <w:rsid w:val="00AF25CD"/>
    <w:rsid w:val="00AF264C"/>
    <w:rsid w:val="00AF2737"/>
    <w:rsid w:val="00AF2943"/>
    <w:rsid w:val="00AF2B7B"/>
    <w:rsid w:val="00AF2D1C"/>
    <w:rsid w:val="00AF309F"/>
    <w:rsid w:val="00AF32A6"/>
    <w:rsid w:val="00AF3BEA"/>
    <w:rsid w:val="00AF3D39"/>
    <w:rsid w:val="00AF3F0D"/>
    <w:rsid w:val="00AF3FE5"/>
    <w:rsid w:val="00AF42DC"/>
    <w:rsid w:val="00AF44A8"/>
    <w:rsid w:val="00AF451B"/>
    <w:rsid w:val="00AF497B"/>
    <w:rsid w:val="00AF4AAA"/>
    <w:rsid w:val="00AF4C08"/>
    <w:rsid w:val="00AF5612"/>
    <w:rsid w:val="00AF561D"/>
    <w:rsid w:val="00AF564E"/>
    <w:rsid w:val="00AF5A17"/>
    <w:rsid w:val="00AF5CA3"/>
    <w:rsid w:val="00AF6139"/>
    <w:rsid w:val="00AF6702"/>
    <w:rsid w:val="00AF6A4C"/>
    <w:rsid w:val="00AF6E62"/>
    <w:rsid w:val="00AF70B7"/>
    <w:rsid w:val="00AF70E1"/>
    <w:rsid w:val="00AF735C"/>
    <w:rsid w:val="00AF7A73"/>
    <w:rsid w:val="00AF7CDE"/>
    <w:rsid w:val="00AF7F4A"/>
    <w:rsid w:val="00AF7FFE"/>
    <w:rsid w:val="00B0032E"/>
    <w:rsid w:val="00B0044E"/>
    <w:rsid w:val="00B00694"/>
    <w:rsid w:val="00B0145B"/>
    <w:rsid w:val="00B017D2"/>
    <w:rsid w:val="00B01897"/>
    <w:rsid w:val="00B02076"/>
    <w:rsid w:val="00B02183"/>
    <w:rsid w:val="00B02B64"/>
    <w:rsid w:val="00B02C74"/>
    <w:rsid w:val="00B02E6B"/>
    <w:rsid w:val="00B02F20"/>
    <w:rsid w:val="00B037B3"/>
    <w:rsid w:val="00B037EF"/>
    <w:rsid w:val="00B03828"/>
    <w:rsid w:val="00B039F8"/>
    <w:rsid w:val="00B03D30"/>
    <w:rsid w:val="00B03FA9"/>
    <w:rsid w:val="00B0414C"/>
    <w:rsid w:val="00B04410"/>
    <w:rsid w:val="00B044A6"/>
    <w:rsid w:val="00B046D3"/>
    <w:rsid w:val="00B047C2"/>
    <w:rsid w:val="00B04CB1"/>
    <w:rsid w:val="00B05127"/>
    <w:rsid w:val="00B05635"/>
    <w:rsid w:val="00B05734"/>
    <w:rsid w:val="00B0582E"/>
    <w:rsid w:val="00B05CF7"/>
    <w:rsid w:val="00B0620D"/>
    <w:rsid w:val="00B06231"/>
    <w:rsid w:val="00B06250"/>
    <w:rsid w:val="00B06390"/>
    <w:rsid w:val="00B06828"/>
    <w:rsid w:val="00B068C8"/>
    <w:rsid w:val="00B06C72"/>
    <w:rsid w:val="00B06F11"/>
    <w:rsid w:val="00B06FCA"/>
    <w:rsid w:val="00B07620"/>
    <w:rsid w:val="00B077B5"/>
    <w:rsid w:val="00B078C5"/>
    <w:rsid w:val="00B07BFE"/>
    <w:rsid w:val="00B07BFF"/>
    <w:rsid w:val="00B1042D"/>
    <w:rsid w:val="00B104F1"/>
    <w:rsid w:val="00B10A8D"/>
    <w:rsid w:val="00B10FCB"/>
    <w:rsid w:val="00B11268"/>
    <w:rsid w:val="00B1127E"/>
    <w:rsid w:val="00B114FD"/>
    <w:rsid w:val="00B11951"/>
    <w:rsid w:val="00B11D24"/>
    <w:rsid w:val="00B11D30"/>
    <w:rsid w:val="00B11F19"/>
    <w:rsid w:val="00B129E8"/>
    <w:rsid w:val="00B12CC6"/>
    <w:rsid w:val="00B12F8D"/>
    <w:rsid w:val="00B13012"/>
    <w:rsid w:val="00B1314F"/>
    <w:rsid w:val="00B13151"/>
    <w:rsid w:val="00B13393"/>
    <w:rsid w:val="00B13569"/>
    <w:rsid w:val="00B13D96"/>
    <w:rsid w:val="00B13E4B"/>
    <w:rsid w:val="00B13E51"/>
    <w:rsid w:val="00B14064"/>
    <w:rsid w:val="00B1407C"/>
    <w:rsid w:val="00B143D7"/>
    <w:rsid w:val="00B14CA7"/>
    <w:rsid w:val="00B14EAE"/>
    <w:rsid w:val="00B1510D"/>
    <w:rsid w:val="00B151CF"/>
    <w:rsid w:val="00B15478"/>
    <w:rsid w:val="00B155D6"/>
    <w:rsid w:val="00B15AA3"/>
    <w:rsid w:val="00B15C16"/>
    <w:rsid w:val="00B1616F"/>
    <w:rsid w:val="00B164AB"/>
    <w:rsid w:val="00B16554"/>
    <w:rsid w:val="00B16A5A"/>
    <w:rsid w:val="00B16C9B"/>
    <w:rsid w:val="00B16F3D"/>
    <w:rsid w:val="00B172A0"/>
    <w:rsid w:val="00B17436"/>
    <w:rsid w:val="00B1766E"/>
    <w:rsid w:val="00B179FD"/>
    <w:rsid w:val="00B17CC1"/>
    <w:rsid w:val="00B2042A"/>
    <w:rsid w:val="00B20445"/>
    <w:rsid w:val="00B206D6"/>
    <w:rsid w:val="00B20720"/>
    <w:rsid w:val="00B20D1E"/>
    <w:rsid w:val="00B20D61"/>
    <w:rsid w:val="00B21514"/>
    <w:rsid w:val="00B21537"/>
    <w:rsid w:val="00B21CDA"/>
    <w:rsid w:val="00B221C9"/>
    <w:rsid w:val="00B22B6D"/>
    <w:rsid w:val="00B22CBF"/>
    <w:rsid w:val="00B22F32"/>
    <w:rsid w:val="00B22F5C"/>
    <w:rsid w:val="00B2317F"/>
    <w:rsid w:val="00B24245"/>
    <w:rsid w:val="00B24648"/>
    <w:rsid w:val="00B24688"/>
    <w:rsid w:val="00B247AD"/>
    <w:rsid w:val="00B24BFC"/>
    <w:rsid w:val="00B24FDD"/>
    <w:rsid w:val="00B25434"/>
    <w:rsid w:val="00B256BF"/>
    <w:rsid w:val="00B25C4E"/>
    <w:rsid w:val="00B25D05"/>
    <w:rsid w:val="00B25D75"/>
    <w:rsid w:val="00B25EA4"/>
    <w:rsid w:val="00B261A3"/>
    <w:rsid w:val="00B26252"/>
    <w:rsid w:val="00B26622"/>
    <w:rsid w:val="00B26669"/>
    <w:rsid w:val="00B26D05"/>
    <w:rsid w:val="00B26FA5"/>
    <w:rsid w:val="00B26FDF"/>
    <w:rsid w:val="00B2705F"/>
    <w:rsid w:val="00B27427"/>
    <w:rsid w:val="00B27608"/>
    <w:rsid w:val="00B27654"/>
    <w:rsid w:val="00B276B4"/>
    <w:rsid w:val="00B27795"/>
    <w:rsid w:val="00B277AA"/>
    <w:rsid w:val="00B277EC"/>
    <w:rsid w:val="00B278EA"/>
    <w:rsid w:val="00B278F0"/>
    <w:rsid w:val="00B27D88"/>
    <w:rsid w:val="00B30048"/>
    <w:rsid w:val="00B303F6"/>
    <w:rsid w:val="00B307B7"/>
    <w:rsid w:val="00B308B5"/>
    <w:rsid w:val="00B31BB6"/>
    <w:rsid w:val="00B31BCB"/>
    <w:rsid w:val="00B31E93"/>
    <w:rsid w:val="00B32191"/>
    <w:rsid w:val="00B3248B"/>
    <w:rsid w:val="00B32A0F"/>
    <w:rsid w:val="00B32E5E"/>
    <w:rsid w:val="00B3325F"/>
    <w:rsid w:val="00B33328"/>
    <w:rsid w:val="00B333F9"/>
    <w:rsid w:val="00B336A2"/>
    <w:rsid w:val="00B33726"/>
    <w:rsid w:val="00B33775"/>
    <w:rsid w:val="00B339C2"/>
    <w:rsid w:val="00B340F6"/>
    <w:rsid w:val="00B3410B"/>
    <w:rsid w:val="00B3423F"/>
    <w:rsid w:val="00B34B72"/>
    <w:rsid w:val="00B35132"/>
    <w:rsid w:val="00B35669"/>
    <w:rsid w:val="00B36028"/>
    <w:rsid w:val="00B36348"/>
    <w:rsid w:val="00B3698E"/>
    <w:rsid w:val="00B36C47"/>
    <w:rsid w:val="00B36C52"/>
    <w:rsid w:val="00B37183"/>
    <w:rsid w:val="00B373F7"/>
    <w:rsid w:val="00B37971"/>
    <w:rsid w:val="00B37991"/>
    <w:rsid w:val="00B379F5"/>
    <w:rsid w:val="00B37B06"/>
    <w:rsid w:val="00B37BD8"/>
    <w:rsid w:val="00B37C30"/>
    <w:rsid w:val="00B37D67"/>
    <w:rsid w:val="00B40064"/>
    <w:rsid w:val="00B402F1"/>
    <w:rsid w:val="00B40398"/>
    <w:rsid w:val="00B403E1"/>
    <w:rsid w:val="00B40760"/>
    <w:rsid w:val="00B40BB5"/>
    <w:rsid w:val="00B40E83"/>
    <w:rsid w:val="00B41119"/>
    <w:rsid w:val="00B4130A"/>
    <w:rsid w:val="00B41699"/>
    <w:rsid w:val="00B41BDC"/>
    <w:rsid w:val="00B41C6C"/>
    <w:rsid w:val="00B41CC2"/>
    <w:rsid w:val="00B42295"/>
    <w:rsid w:val="00B42839"/>
    <w:rsid w:val="00B4296F"/>
    <w:rsid w:val="00B42C9D"/>
    <w:rsid w:val="00B42FD1"/>
    <w:rsid w:val="00B4303E"/>
    <w:rsid w:val="00B43216"/>
    <w:rsid w:val="00B4386F"/>
    <w:rsid w:val="00B43D82"/>
    <w:rsid w:val="00B43F99"/>
    <w:rsid w:val="00B441B6"/>
    <w:rsid w:val="00B442EB"/>
    <w:rsid w:val="00B447E5"/>
    <w:rsid w:val="00B44A59"/>
    <w:rsid w:val="00B45C96"/>
    <w:rsid w:val="00B45F8E"/>
    <w:rsid w:val="00B462D3"/>
    <w:rsid w:val="00B463F3"/>
    <w:rsid w:val="00B46EFA"/>
    <w:rsid w:val="00B47271"/>
    <w:rsid w:val="00B47551"/>
    <w:rsid w:val="00B4770F"/>
    <w:rsid w:val="00B478A0"/>
    <w:rsid w:val="00B479F9"/>
    <w:rsid w:val="00B47A0C"/>
    <w:rsid w:val="00B47E73"/>
    <w:rsid w:val="00B47F06"/>
    <w:rsid w:val="00B47F5A"/>
    <w:rsid w:val="00B5006B"/>
    <w:rsid w:val="00B5030B"/>
    <w:rsid w:val="00B5047C"/>
    <w:rsid w:val="00B50496"/>
    <w:rsid w:val="00B5069A"/>
    <w:rsid w:val="00B50717"/>
    <w:rsid w:val="00B50771"/>
    <w:rsid w:val="00B50A44"/>
    <w:rsid w:val="00B51210"/>
    <w:rsid w:val="00B5134B"/>
    <w:rsid w:val="00B516B3"/>
    <w:rsid w:val="00B5177E"/>
    <w:rsid w:val="00B51901"/>
    <w:rsid w:val="00B523FD"/>
    <w:rsid w:val="00B525DA"/>
    <w:rsid w:val="00B52708"/>
    <w:rsid w:val="00B52A49"/>
    <w:rsid w:val="00B53374"/>
    <w:rsid w:val="00B53938"/>
    <w:rsid w:val="00B53F54"/>
    <w:rsid w:val="00B53FF2"/>
    <w:rsid w:val="00B54124"/>
    <w:rsid w:val="00B54320"/>
    <w:rsid w:val="00B54389"/>
    <w:rsid w:val="00B54E30"/>
    <w:rsid w:val="00B55241"/>
    <w:rsid w:val="00B55524"/>
    <w:rsid w:val="00B560D4"/>
    <w:rsid w:val="00B56261"/>
    <w:rsid w:val="00B5628E"/>
    <w:rsid w:val="00B5641B"/>
    <w:rsid w:val="00B56AC8"/>
    <w:rsid w:val="00B56C37"/>
    <w:rsid w:val="00B572D2"/>
    <w:rsid w:val="00B575BF"/>
    <w:rsid w:val="00B57C2F"/>
    <w:rsid w:val="00B57C8E"/>
    <w:rsid w:val="00B60022"/>
    <w:rsid w:val="00B605DB"/>
    <w:rsid w:val="00B606A5"/>
    <w:rsid w:val="00B607B0"/>
    <w:rsid w:val="00B607B9"/>
    <w:rsid w:val="00B608A4"/>
    <w:rsid w:val="00B60AF8"/>
    <w:rsid w:val="00B60CDF"/>
    <w:rsid w:val="00B61107"/>
    <w:rsid w:val="00B612EA"/>
    <w:rsid w:val="00B6180B"/>
    <w:rsid w:val="00B61B16"/>
    <w:rsid w:val="00B61C66"/>
    <w:rsid w:val="00B62023"/>
    <w:rsid w:val="00B62032"/>
    <w:rsid w:val="00B62280"/>
    <w:rsid w:val="00B62604"/>
    <w:rsid w:val="00B62A18"/>
    <w:rsid w:val="00B62D6D"/>
    <w:rsid w:val="00B62DF2"/>
    <w:rsid w:val="00B634A6"/>
    <w:rsid w:val="00B63AE9"/>
    <w:rsid w:val="00B63CD2"/>
    <w:rsid w:val="00B63CE1"/>
    <w:rsid w:val="00B63EC8"/>
    <w:rsid w:val="00B64101"/>
    <w:rsid w:val="00B64119"/>
    <w:rsid w:val="00B6429A"/>
    <w:rsid w:val="00B644CF"/>
    <w:rsid w:val="00B6469F"/>
    <w:rsid w:val="00B64C9A"/>
    <w:rsid w:val="00B64D1D"/>
    <w:rsid w:val="00B64D78"/>
    <w:rsid w:val="00B64ED2"/>
    <w:rsid w:val="00B651B1"/>
    <w:rsid w:val="00B653E9"/>
    <w:rsid w:val="00B6581D"/>
    <w:rsid w:val="00B65CF0"/>
    <w:rsid w:val="00B65E00"/>
    <w:rsid w:val="00B65F21"/>
    <w:rsid w:val="00B65FB1"/>
    <w:rsid w:val="00B661E7"/>
    <w:rsid w:val="00B66688"/>
    <w:rsid w:val="00B66956"/>
    <w:rsid w:val="00B66A87"/>
    <w:rsid w:val="00B66B43"/>
    <w:rsid w:val="00B671BF"/>
    <w:rsid w:val="00B67357"/>
    <w:rsid w:val="00B67B67"/>
    <w:rsid w:val="00B70635"/>
    <w:rsid w:val="00B706F9"/>
    <w:rsid w:val="00B710C2"/>
    <w:rsid w:val="00B71120"/>
    <w:rsid w:val="00B712D0"/>
    <w:rsid w:val="00B7147D"/>
    <w:rsid w:val="00B71641"/>
    <w:rsid w:val="00B7166A"/>
    <w:rsid w:val="00B716A4"/>
    <w:rsid w:val="00B71774"/>
    <w:rsid w:val="00B717EE"/>
    <w:rsid w:val="00B722D0"/>
    <w:rsid w:val="00B723B5"/>
    <w:rsid w:val="00B7242F"/>
    <w:rsid w:val="00B7249C"/>
    <w:rsid w:val="00B73254"/>
    <w:rsid w:val="00B73407"/>
    <w:rsid w:val="00B73700"/>
    <w:rsid w:val="00B73750"/>
    <w:rsid w:val="00B73821"/>
    <w:rsid w:val="00B73ACF"/>
    <w:rsid w:val="00B73D30"/>
    <w:rsid w:val="00B7400C"/>
    <w:rsid w:val="00B74198"/>
    <w:rsid w:val="00B74613"/>
    <w:rsid w:val="00B7476B"/>
    <w:rsid w:val="00B74A0A"/>
    <w:rsid w:val="00B750AB"/>
    <w:rsid w:val="00B750C8"/>
    <w:rsid w:val="00B75129"/>
    <w:rsid w:val="00B75291"/>
    <w:rsid w:val="00B75329"/>
    <w:rsid w:val="00B75346"/>
    <w:rsid w:val="00B75377"/>
    <w:rsid w:val="00B75696"/>
    <w:rsid w:val="00B756E3"/>
    <w:rsid w:val="00B75703"/>
    <w:rsid w:val="00B757E5"/>
    <w:rsid w:val="00B75C0D"/>
    <w:rsid w:val="00B75D5B"/>
    <w:rsid w:val="00B75DDA"/>
    <w:rsid w:val="00B75EF9"/>
    <w:rsid w:val="00B760C9"/>
    <w:rsid w:val="00B765B3"/>
    <w:rsid w:val="00B7674E"/>
    <w:rsid w:val="00B77246"/>
    <w:rsid w:val="00B77AFE"/>
    <w:rsid w:val="00B77ECF"/>
    <w:rsid w:val="00B8001D"/>
    <w:rsid w:val="00B80137"/>
    <w:rsid w:val="00B802C1"/>
    <w:rsid w:val="00B804B4"/>
    <w:rsid w:val="00B80ADF"/>
    <w:rsid w:val="00B80BDA"/>
    <w:rsid w:val="00B81432"/>
    <w:rsid w:val="00B816EA"/>
    <w:rsid w:val="00B819BE"/>
    <w:rsid w:val="00B81E12"/>
    <w:rsid w:val="00B81F38"/>
    <w:rsid w:val="00B81FC6"/>
    <w:rsid w:val="00B8290F"/>
    <w:rsid w:val="00B82EA0"/>
    <w:rsid w:val="00B82ECB"/>
    <w:rsid w:val="00B831EB"/>
    <w:rsid w:val="00B838E1"/>
    <w:rsid w:val="00B83B62"/>
    <w:rsid w:val="00B83DB3"/>
    <w:rsid w:val="00B83FF3"/>
    <w:rsid w:val="00B84C99"/>
    <w:rsid w:val="00B8535F"/>
    <w:rsid w:val="00B8579B"/>
    <w:rsid w:val="00B857D5"/>
    <w:rsid w:val="00B8591F"/>
    <w:rsid w:val="00B85956"/>
    <w:rsid w:val="00B85C59"/>
    <w:rsid w:val="00B85F86"/>
    <w:rsid w:val="00B86ACA"/>
    <w:rsid w:val="00B86ACF"/>
    <w:rsid w:val="00B86D5E"/>
    <w:rsid w:val="00B87109"/>
    <w:rsid w:val="00B8710A"/>
    <w:rsid w:val="00B875CF"/>
    <w:rsid w:val="00B878CD"/>
    <w:rsid w:val="00B8795F"/>
    <w:rsid w:val="00B87F6E"/>
    <w:rsid w:val="00B902C9"/>
    <w:rsid w:val="00B90C8A"/>
    <w:rsid w:val="00B90CC8"/>
    <w:rsid w:val="00B90D60"/>
    <w:rsid w:val="00B91076"/>
    <w:rsid w:val="00B91107"/>
    <w:rsid w:val="00B911C5"/>
    <w:rsid w:val="00B915A0"/>
    <w:rsid w:val="00B916BD"/>
    <w:rsid w:val="00B91A0F"/>
    <w:rsid w:val="00B91BBB"/>
    <w:rsid w:val="00B91CB1"/>
    <w:rsid w:val="00B91DA3"/>
    <w:rsid w:val="00B9249B"/>
    <w:rsid w:val="00B926D7"/>
    <w:rsid w:val="00B92703"/>
    <w:rsid w:val="00B9292F"/>
    <w:rsid w:val="00B9318C"/>
    <w:rsid w:val="00B931FD"/>
    <w:rsid w:val="00B93301"/>
    <w:rsid w:val="00B935C1"/>
    <w:rsid w:val="00B9393F"/>
    <w:rsid w:val="00B93B7E"/>
    <w:rsid w:val="00B93CAB"/>
    <w:rsid w:val="00B93EB7"/>
    <w:rsid w:val="00B9432D"/>
    <w:rsid w:val="00B94489"/>
    <w:rsid w:val="00B94B52"/>
    <w:rsid w:val="00B94F5E"/>
    <w:rsid w:val="00B95031"/>
    <w:rsid w:val="00B9536C"/>
    <w:rsid w:val="00B95B6B"/>
    <w:rsid w:val="00B95E96"/>
    <w:rsid w:val="00B965A2"/>
    <w:rsid w:val="00B969B3"/>
    <w:rsid w:val="00B96D23"/>
    <w:rsid w:val="00B96DD6"/>
    <w:rsid w:val="00B971F4"/>
    <w:rsid w:val="00B97A2D"/>
    <w:rsid w:val="00BA0122"/>
    <w:rsid w:val="00BA0F65"/>
    <w:rsid w:val="00BA1283"/>
    <w:rsid w:val="00BA16DD"/>
    <w:rsid w:val="00BA1729"/>
    <w:rsid w:val="00BA1829"/>
    <w:rsid w:val="00BA187E"/>
    <w:rsid w:val="00BA1AAE"/>
    <w:rsid w:val="00BA1E6B"/>
    <w:rsid w:val="00BA1E9B"/>
    <w:rsid w:val="00BA1EC2"/>
    <w:rsid w:val="00BA1FFB"/>
    <w:rsid w:val="00BA246F"/>
    <w:rsid w:val="00BA25A5"/>
    <w:rsid w:val="00BA25A6"/>
    <w:rsid w:val="00BA2897"/>
    <w:rsid w:val="00BA2902"/>
    <w:rsid w:val="00BA2B3F"/>
    <w:rsid w:val="00BA2CF6"/>
    <w:rsid w:val="00BA2EB2"/>
    <w:rsid w:val="00BA30AE"/>
    <w:rsid w:val="00BA32D6"/>
    <w:rsid w:val="00BA35F1"/>
    <w:rsid w:val="00BA3961"/>
    <w:rsid w:val="00BA3BB7"/>
    <w:rsid w:val="00BA3CF6"/>
    <w:rsid w:val="00BA3DF7"/>
    <w:rsid w:val="00BA3EF8"/>
    <w:rsid w:val="00BA454A"/>
    <w:rsid w:val="00BA45D3"/>
    <w:rsid w:val="00BA4601"/>
    <w:rsid w:val="00BA4792"/>
    <w:rsid w:val="00BA4C21"/>
    <w:rsid w:val="00BA4DC5"/>
    <w:rsid w:val="00BA4E45"/>
    <w:rsid w:val="00BA4FA7"/>
    <w:rsid w:val="00BA579D"/>
    <w:rsid w:val="00BA580E"/>
    <w:rsid w:val="00BA584F"/>
    <w:rsid w:val="00BA58B0"/>
    <w:rsid w:val="00BA58F8"/>
    <w:rsid w:val="00BA59FB"/>
    <w:rsid w:val="00BA5B12"/>
    <w:rsid w:val="00BA5C00"/>
    <w:rsid w:val="00BA5E8F"/>
    <w:rsid w:val="00BA650A"/>
    <w:rsid w:val="00BA67E6"/>
    <w:rsid w:val="00BA6B48"/>
    <w:rsid w:val="00BA6CF8"/>
    <w:rsid w:val="00BA6CFD"/>
    <w:rsid w:val="00BA714E"/>
    <w:rsid w:val="00BA7683"/>
    <w:rsid w:val="00BA76BA"/>
    <w:rsid w:val="00BA7DB4"/>
    <w:rsid w:val="00BB024F"/>
    <w:rsid w:val="00BB0325"/>
    <w:rsid w:val="00BB0CE9"/>
    <w:rsid w:val="00BB13C1"/>
    <w:rsid w:val="00BB14A3"/>
    <w:rsid w:val="00BB1560"/>
    <w:rsid w:val="00BB16DD"/>
    <w:rsid w:val="00BB1B3D"/>
    <w:rsid w:val="00BB20C9"/>
    <w:rsid w:val="00BB291B"/>
    <w:rsid w:val="00BB2A4D"/>
    <w:rsid w:val="00BB2C52"/>
    <w:rsid w:val="00BB2C57"/>
    <w:rsid w:val="00BB2F97"/>
    <w:rsid w:val="00BB31E2"/>
    <w:rsid w:val="00BB343A"/>
    <w:rsid w:val="00BB3A47"/>
    <w:rsid w:val="00BB47DC"/>
    <w:rsid w:val="00BB4BED"/>
    <w:rsid w:val="00BB4DA9"/>
    <w:rsid w:val="00BB515E"/>
    <w:rsid w:val="00BB5355"/>
    <w:rsid w:val="00BB54FD"/>
    <w:rsid w:val="00BB5611"/>
    <w:rsid w:val="00BB57AF"/>
    <w:rsid w:val="00BB5831"/>
    <w:rsid w:val="00BB6064"/>
    <w:rsid w:val="00BB6073"/>
    <w:rsid w:val="00BB61B1"/>
    <w:rsid w:val="00BB6933"/>
    <w:rsid w:val="00BB6993"/>
    <w:rsid w:val="00BB69E5"/>
    <w:rsid w:val="00BB6C76"/>
    <w:rsid w:val="00BB6C81"/>
    <w:rsid w:val="00BB6F08"/>
    <w:rsid w:val="00BB7950"/>
    <w:rsid w:val="00BB7AF1"/>
    <w:rsid w:val="00BC002D"/>
    <w:rsid w:val="00BC0698"/>
    <w:rsid w:val="00BC0AFA"/>
    <w:rsid w:val="00BC0FAA"/>
    <w:rsid w:val="00BC10D0"/>
    <w:rsid w:val="00BC10D1"/>
    <w:rsid w:val="00BC1574"/>
    <w:rsid w:val="00BC15DE"/>
    <w:rsid w:val="00BC1653"/>
    <w:rsid w:val="00BC17C8"/>
    <w:rsid w:val="00BC1BBA"/>
    <w:rsid w:val="00BC1C62"/>
    <w:rsid w:val="00BC1D6A"/>
    <w:rsid w:val="00BC1D92"/>
    <w:rsid w:val="00BC1F63"/>
    <w:rsid w:val="00BC2AEC"/>
    <w:rsid w:val="00BC2DAF"/>
    <w:rsid w:val="00BC2E61"/>
    <w:rsid w:val="00BC3103"/>
    <w:rsid w:val="00BC369C"/>
    <w:rsid w:val="00BC3983"/>
    <w:rsid w:val="00BC3C9E"/>
    <w:rsid w:val="00BC3F58"/>
    <w:rsid w:val="00BC4053"/>
    <w:rsid w:val="00BC4272"/>
    <w:rsid w:val="00BC4299"/>
    <w:rsid w:val="00BC495C"/>
    <w:rsid w:val="00BC4972"/>
    <w:rsid w:val="00BC4F3D"/>
    <w:rsid w:val="00BC5390"/>
    <w:rsid w:val="00BC543E"/>
    <w:rsid w:val="00BC57A9"/>
    <w:rsid w:val="00BC59F7"/>
    <w:rsid w:val="00BC5CF2"/>
    <w:rsid w:val="00BC5D19"/>
    <w:rsid w:val="00BC6210"/>
    <w:rsid w:val="00BC64DE"/>
    <w:rsid w:val="00BC6738"/>
    <w:rsid w:val="00BC6897"/>
    <w:rsid w:val="00BC6AE3"/>
    <w:rsid w:val="00BC6D4B"/>
    <w:rsid w:val="00BC7564"/>
    <w:rsid w:val="00BC7580"/>
    <w:rsid w:val="00BC78C3"/>
    <w:rsid w:val="00BC7AA8"/>
    <w:rsid w:val="00BC7B95"/>
    <w:rsid w:val="00BD017A"/>
    <w:rsid w:val="00BD095B"/>
    <w:rsid w:val="00BD09B5"/>
    <w:rsid w:val="00BD1080"/>
    <w:rsid w:val="00BD143B"/>
    <w:rsid w:val="00BD18BD"/>
    <w:rsid w:val="00BD18DA"/>
    <w:rsid w:val="00BD18EF"/>
    <w:rsid w:val="00BD1B8D"/>
    <w:rsid w:val="00BD1CD2"/>
    <w:rsid w:val="00BD215A"/>
    <w:rsid w:val="00BD2244"/>
    <w:rsid w:val="00BD2387"/>
    <w:rsid w:val="00BD24B6"/>
    <w:rsid w:val="00BD28C4"/>
    <w:rsid w:val="00BD2A74"/>
    <w:rsid w:val="00BD2B5E"/>
    <w:rsid w:val="00BD2C12"/>
    <w:rsid w:val="00BD303F"/>
    <w:rsid w:val="00BD318B"/>
    <w:rsid w:val="00BD32AC"/>
    <w:rsid w:val="00BD32B9"/>
    <w:rsid w:val="00BD33D4"/>
    <w:rsid w:val="00BD3475"/>
    <w:rsid w:val="00BD393D"/>
    <w:rsid w:val="00BD3BB6"/>
    <w:rsid w:val="00BD3F8E"/>
    <w:rsid w:val="00BD40B1"/>
    <w:rsid w:val="00BD42E4"/>
    <w:rsid w:val="00BD48C6"/>
    <w:rsid w:val="00BD4A05"/>
    <w:rsid w:val="00BD5159"/>
    <w:rsid w:val="00BD5B0C"/>
    <w:rsid w:val="00BD5E3C"/>
    <w:rsid w:val="00BD614C"/>
    <w:rsid w:val="00BD6630"/>
    <w:rsid w:val="00BD69C1"/>
    <w:rsid w:val="00BD6B77"/>
    <w:rsid w:val="00BD6E55"/>
    <w:rsid w:val="00BD7023"/>
    <w:rsid w:val="00BD7037"/>
    <w:rsid w:val="00BD72DF"/>
    <w:rsid w:val="00BD7463"/>
    <w:rsid w:val="00BD76D4"/>
    <w:rsid w:val="00BD7B7A"/>
    <w:rsid w:val="00BD7D92"/>
    <w:rsid w:val="00BE0216"/>
    <w:rsid w:val="00BE0296"/>
    <w:rsid w:val="00BE02AD"/>
    <w:rsid w:val="00BE0556"/>
    <w:rsid w:val="00BE06EC"/>
    <w:rsid w:val="00BE07B1"/>
    <w:rsid w:val="00BE0A3B"/>
    <w:rsid w:val="00BE0B26"/>
    <w:rsid w:val="00BE0B97"/>
    <w:rsid w:val="00BE0C90"/>
    <w:rsid w:val="00BE0CE7"/>
    <w:rsid w:val="00BE1084"/>
    <w:rsid w:val="00BE11C5"/>
    <w:rsid w:val="00BE1607"/>
    <w:rsid w:val="00BE1896"/>
    <w:rsid w:val="00BE194F"/>
    <w:rsid w:val="00BE1994"/>
    <w:rsid w:val="00BE21B6"/>
    <w:rsid w:val="00BE2BF4"/>
    <w:rsid w:val="00BE2E6A"/>
    <w:rsid w:val="00BE31F7"/>
    <w:rsid w:val="00BE35F7"/>
    <w:rsid w:val="00BE3A7D"/>
    <w:rsid w:val="00BE3FA3"/>
    <w:rsid w:val="00BE404F"/>
    <w:rsid w:val="00BE4177"/>
    <w:rsid w:val="00BE47BF"/>
    <w:rsid w:val="00BE47F8"/>
    <w:rsid w:val="00BE4A2E"/>
    <w:rsid w:val="00BE4BD5"/>
    <w:rsid w:val="00BE51D3"/>
    <w:rsid w:val="00BE52D5"/>
    <w:rsid w:val="00BE5374"/>
    <w:rsid w:val="00BE59F0"/>
    <w:rsid w:val="00BE621E"/>
    <w:rsid w:val="00BE627A"/>
    <w:rsid w:val="00BE653C"/>
    <w:rsid w:val="00BE697C"/>
    <w:rsid w:val="00BE69EC"/>
    <w:rsid w:val="00BE6CE8"/>
    <w:rsid w:val="00BE6E2F"/>
    <w:rsid w:val="00BE6F6B"/>
    <w:rsid w:val="00BE7362"/>
    <w:rsid w:val="00BE74C5"/>
    <w:rsid w:val="00BE79AB"/>
    <w:rsid w:val="00BE7F7E"/>
    <w:rsid w:val="00BF00DE"/>
    <w:rsid w:val="00BF0230"/>
    <w:rsid w:val="00BF02DB"/>
    <w:rsid w:val="00BF063A"/>
    <w:rsid w:val="00BF0823"/>
    <w:rsid w:val="00BF0858"/>
    <w:rsid w:val="00BF0AA7"/>
    <w:rsid w:val="00BF0AE1"/>
    <w:rsid w:val="00BF0B54"/>
    <w:rsid w:val="00BF10B3"/>
    <w:rsid w:val="00BF1285"/>
    <w:rsid w:val="00BF1331"/>
    <w:rsid w:val="00BF177F"/>
    <w:rsid w:val="00BF1DEB"/>
    <w:rsid w:val="00BF21DC"/>
    <w:rsid w:val="00BF2678"/>
    <w:rsid w:val="00BF2B14"/>
    <w:rsid w:val="00BF2EE9"/>
    <w:rsid w:val="00BF376C"/>
    <w:rsid w:val="00BF3819"/>
    <w:rsid w:val="00BF3953"/>
    <w:rsid w:val="00BF3989"/>
    <w:rsid w:val="00BF3C37"/>
    <w:rsid w:val="00BF3E52"/>
    <w:rsid w:val="00BF3F2C"/>
    <w:rsid w:val="00BF4506"/>
    <w:rsid w:val="00BF494E"/>
    <w:rsid w:val="00BF4F3D"/>
    <w:rsid w:val="00BF5471"/>
    <w:rsid w:val="00BF6265"/>
    <w:rsid w:val="00BF64FB"/>
    <w:rsid w:val="00BF6BD1"/>
    <w:rsid w:val="00BF6DD3"/>
    <w:rsid w:val="00BF734C"/>
    <w:rsid w:val="00BF73B1"/>
    <w:rsid w:val="00BF74AF"/>
    <w:rsid w:val="00BF756F"/>
    <w:rsid w:val="00BF76B2"/>
    <w:rsid w:val="00BF76BB"/>
    <w:rsid w:val="00BF7724"/>
    <w:rsid w:val="00BF787E"/>
    <w:rsid w:val="00BF78C8"/>
    <w:rsid w:val="00BF7C25"/>
    <w:rsid w:val="00BF7C54"/>
    <w:rsid w:val="00BF7D4E"/>
    <w:rsid w:val="00BF7FF4"/>
    <w:rsid w:val="00C00029"/>
    <w:rsid w:val="00C00587"/>
    <w:rsid w:val="00C007A0"/>
    <w:rsid w:val="00C0093F"/>
    <w:rsid w:val="00C00B26"/>
    <w:rsid w:val="00C012F5"/>
    <w:rsid w:val="00C016BE"/>
    <w:rsid w:val="00C0196C"/>
    <w:rsid w:val="00C01993"/>
    <w:rsid w:val="00C01B6A"/>
    <w:rsid w:val="00C01D5F"/>
    <w:rsid w:val="00C0202D"/>
    <w:rsid w:val="00C02363"/>
    <w:rsid w:val="00C024AC"/>
    <w:rsid w:val="00C02590"/>
    <w:rsid w:val="00C025AA"/>
    <w:rsid w:val="00C02E2A"/>
    <w:rsid w:val="00C02EB1"/>
    <w:rsid w:val="00C03145"/>
    <w:rsid w:val="00C031B0"/>
    <w:rsid w:val="00C0345A"/>
    <w:rsid w:val="00C03486"/>
    <w:rsid w:val="00C03511"/>
    <w:rsid w:val="00C03A0A"/>
    <w:rsid w:val="00C03F7A"/>
    <w:rsid w:val="00C04B7D"/>
    <w:rsid w:val="00C04C0C"/>
    <w:rsid w:val="00C04C13"/>
    <w:rsid w:val="00C04C3A"/>
    <w:rsid w:val="00C04CCC"/>
    <w:rsid w:val="00C04E23"/>
    <w:rsid w:val="00C04F92"/>
    <w:rsid w:val="00C050B2"/>
    <w:rsid w:val="00C05372"/>
    <w:rsid w:val="00C05398"/>
    <w:rsid w:val="00C05428"/>
    <w:rsid w:val="00C0547C"/>
    <w:rsid w:val="00C054AA"/>
    <w:rsid w:val="00C05678"/>
    <w:rsid w:val="00C056C7"/>
    <w:rsid w:val="00C05700"/>
    <w:rsid w:val="00C059FB"/>
    <w:rsid w:val="00C05A06"/>
    <w:rsid w:val="00C05A6C"/>
    <w:rsid w:val="00C05C11"/>
    <w:rsid w:val="00C0606E"/>
    <w:rsid w:val="00C0683F"/>
    <w:rsid w:val="00C06AE9"/>
    <w:rsid w:val="00C06F74"/>
    <w:rsid w:val="00C071A7"/>
    <w:rsid w:val="00C074CD"/>
    <w:rsid w:val="00C07B06"/>
    <w:rsid w:val="00C10158"/>
    <w:rsid w:val="00C1064E"/>
    <w:rsid w:val="00C107C3"/>
    <w:rsid w:val="00C111CA"/>
    <w:rsid w:val="00C114B8"/>
    <w:rsid w:val="00C1163D"/>
    <w:rsid w:val="00C116C0"/>
    <w:rsid w:val="00C118FD"/>
    <w:rsid w:val="00C11F87"/>
    <w:rsid w:val="00C1260C"/>
    <w:rsid w:val="00C128CD"/>
    <w:rsid w:val="00C12E1F"/>
    <w:rsid w:val="00C12E32"/>
    <w:rsid w:val="00C130B3"/>
    <w:rsid w:val="00C13520"/>
    <w:rsid w:val="00C13579"/>
    <w:rsid w:val="00C13585"/>
    <w:rsid w:val="00C13A9C"/>
    <w:rsid w:val="00C13B7C"/>
    <w:rsid w:val="00C142F3"/>
    <w:rsid w:val="00C14300"/>
    <w:rsid w:val="00C144F2"/>
    <w:rsid w:val="00C1481F"/>
    <w:rsid w:val="00C148F4"/>
    <w:rsid w:val="00C14973"/>
    <w:rsid w:val="00C149EF"/>
    <w:rsid w:val="00C14F9B"/>
    <w:rsid w:val="00C14FAB"/>
    <w:rsid w:val="00C15347"/>
    <w:rsid w:val="00C15633"/>
    <w:rsid w:val="00C158B7"/>
    <w:rsid w:val="00C15BBF"/>
    <w:rsid w:val="00C15DD2"/>
    <w:rsid w:val="00C15EB6"/>
    <w:rsid w:val="00C15F42"/>
    <w:rsid w:val="00C15F9A"/>
    <w:rsid w:val="00C1610B"/>
    <w:rsid w:val="00C1611D"/>
    <w:rsid w:val="00C161DE"/>
    <w:rsid w:val="00C16390"/>
    <w:rsid w:val="00C164C5"/>
    <w:rsid w:val="00C167BD"/>
    <w:rsid w:val="00C16C3E"/>
    <w:rsid w:val="00C16C9A"/>
    <w:rsid w:val="00C16CD8"/>
    <w:rsid w:val="00C16D6B"/>
    <w:rsid w:val="00C16FEE"/>
    <w:rsid w:val="00C1731A"/>
    <w:rsid w:val="00C175E4"/>
    <w:rsid w:val="00C1785B"/>
    <w:rsid w:val="00C17969"/>
    <w:rsid w:val="00C20096"/>
    <w:rsid w:val="00C200A5"/>
    <w:rsid w:val="00C201D0"/>
    <w:rsid w:val="00C2033B"/>
    <w:rsid w:val="00C2055D"/>
    <w:rsid w:val="00C205C6"/>
    <w:rsid w:val="00C20661"/>
    <w:rsid w:val="00C20DDA"/>
    <w:rsid w:val="00C21045"/>
    <w:rsid w:val="00C2186D"/>
    <w:rsid w:val="00C21A4A"/>
    <w:rsid w:val="00C21B88"/>
    <w:rsid w:val="00C21D17"/>
    <w:rsid w:val="00C22348"/>
    <w:rsid w:val="00C22AE1"/>
    <w:rsid w:val="00C22B53"/>
    <w:rsid w:val="00C22F6F"/>
    <w:rsid w:val="00C232E0"/>
    <w:rsid w:val="00C23551"/>
    <w:rsid w:val="00C23725"/>
    <w:rsid w:val="00C23996"/>
    <w:rsid w:val="00C24142"/>
    <w:rsid w:val="00C243A0"/>
    <w:rsid w:val="00C24B16"/>
    <w:rsid w:val="00C24B5E"/>
    <w:rsid w:val="00C24EE3"/>
    <w:rsid w:val="00C2534F"/>
    <w:rsid w:val="00C25368"/>
    <w:rsid w:val="00C253DB"/>
    <w:rsid w:val="00C2548D"/>
    <w:rsid w:val="00C25636"/>
    <w:rsid w:val="00C25E53"/>
    <w:rsid w:val="00C25F94"/>
    <w:rsid w:val="00C2601A"/>
    <w:rsid w:val="00C262BF"/>
    <w:rsid w:val="00C262F1"/>
    <w:rsid w:val="00C263AE"/>
    <w:rsid w:val="00C2657B"/>
    <w:rsid w:val="00C26A6C"/>
    <w:rsid w:val="00C272AE"/>
    <w:rsid w:val="00C27803"/>
    <w:rsid w:val="00C27E24"/>
    <w:rsid w:val="00C30058"/>
    <w:rsid w:val="00C3046D"/>
    <w:rsid w:val="00C30A15"/>
    <w:rsid w:val="00C30D0B"/>
    <w:rsid w:val="00C312CE"/>
    <w:rsid w:val="00C317A2"/>
    <w:rsid w:val="00C31987"/>
    <w:rsid w:val="00C31A34"/>
    <w:rsid w:val="00C31E90"/>
    <w:rsid w:val="00C32299"/>
    <w:rsid w:val="00C32372"/>
    <w:rsid w:val="00C323F4"/>
    <w:rsid w:val="00C32432"/>
    <w:rsid w:val="00C32642"/>
    <w:rsid w:val="00C329F7"/>
    <w:rsid w:val="00C32DA4"/>
    <w:rsid w:val="00C32FC6"/>
    <w:rsid w:val="00C3323E"/>
    <w:rsid w:val="00C332B9"/>
    <w:rsid w:val="00C33666"/>
    <w:rsid w:val="00C33948"/>
    <w:rsid w:val="00C33E3C"/>
    <w:rsid w:val="00C33EFD"/>
    <w:rsid w:val="00C343FC"/>
    <w:rsid w:val="00C34AC3"/>
    <w:rsid w:val="00C34DB0"/>
    <w:rsid w:val="00C35489"/>
    <w:rsid w:val="00C354BF"/>
    <w:rsid w:val="00C35A34"/>
    <w:rsid w:val="00C35A5E"/>
    <w:rsid w:val="00C35B0E"/>
    <w:rsid w:val="00C35C16"/>
    <w:rsid w:val="00C36058"/>
    <w:rsid w:val="00C36060"/>
    <w:rsid w:val="00C3619A"/>
    <w:rsid w:val="00C362F0"/>
    <w:rsid w:val="00C3651F"/>
    <w:rsid w:val="00C36633"/>
    <w:rsid w:val="00C36746"/>
    <w:rsid w:val="00C36799"/>
    <w:rsid w:val="00C36E9D"/>
    <w:rsid w:val="00C37102"/>
    <w:rsid w:val="00C37430"/>
    <w:rsid w:val="00C37491"/>
    <w:rsid w:val="00C374CA"/>
    <w:rsid w:val="00C374DC"/>
    <w:rsid w:val="00C378CF"/>
    <w:rsid w:val="00C37BE9"/>
    <w:rsid w:val="00C37C86"/>
    <w:rsid w:val="00C37FC8"/>
    <w:rsid w:val="00C4008E"/>
    <w:rsid w:val="00C4018D"/>
    <w:rsid w:val="00C40B56"/>
    <w:rsid w:val="00C40B5E"/>
    <w:rsid w:val="00C412B1"/>
    <w:rsid w:val="00C4138E"/>
    <w:rsid w:val="00C4194F"/>
    <w:rsid w:val="00C42277"/>
    <w:rsid w:val="00C42C5F"/>
    <w:rsid w:val="00C42F7D"/>
    <w:rsid w:val="00C43063"/>
    <w:rsid w:val="00C43505"/>
    <w:rsid w:val="00C43748"/>
    <w:rsid w:val="00C4411C"/>
    <w:rsid w:val="00C4422E"/>
    <w:rsid w:val="00C4436C"/>
    <w:rsid w:val="00C443FA"/>
    <w:rsid w:val="00C4465D"/>
    <w:rsid w:val="00C44E20"/>
    <w:rsid w:val="00C450EE"/>
    <w:rsid w:val="00C4512B"/>
    <w:rsid w:val="00C4548F"/>
    <w:rsid w:val="00C45561"/>
    <w:rsid w:val="00C456A2"/>
    <w:rsid w:val="00C45A5E"/>
    <w:rsid w:val="00C45C59"/>
    <w:rsid w:val="00C461B2"/>
    <w:rsid w:val="00C463A6"/>
    <w:rsid w:val="00C464C0"/>
    <w:rsid w:val="00C46A89"/>
    <w:rsid w:val="00C46AA2"/>
    <w:rsid w:val="00C46AF3"/>
    <w:rsid w:val="00C4700F"/>
    <w:rsid w:val="00C478A5"/>
    <w:rsid w:val="00C47B54"/>
    <w:rsid w:val="00C47BFD"/>
    <w:rsid w:val="00C47C8E"/>
    <w:rsid w:val="00C47FB9"/>
    <w:rsid w:val="00C505DF"/>
    <w:rsid w:val="00C50B2F"/>
    <w:rsid w:val="00C50DED"/>
    <w:rsid w:val="00C50EE0"/>
    <w:rsid w:val="00C515A5"/>
    <w:rsid w:val="00C515BD"/>
    <w:rsid w:val="00C51DB6"/>
    <w:rsid w:val="00C51E72"/>
    <w:rsid w:val="00C51EA6"/>
    <w:rsid w:val="00C523A6"/>
    <w:rsid w:val="00C524D5"/>
    <w:rsid w:val="00C52530"/>
    <w:rsid w:val="00C5294E"/>
    <w:rsid w:val="00C52FC2"/>
    <w:rsid w:val="00C52FD1"/>
    <w:rsid w:val="00C532FF"/>
    <w:rsid w:val="00C5359B"/>
    <w:rsid w:val="00C5359D"/>
    <w:rsid w:val="00C535F8"/>
    <w:rsid w:val="00C535FD"/>
    <w:rsid w:val="00C5395A"/>
    <w:rsid w:val="00C53AF7"/>
    <w:rsid w:val="00C53C0C"/>
    <w:rsid w:val="00C53CB6"/>
    <w:rsid w:val="00C53DBB"/>
    <w:rsid w:val="00C54474"/>
    <w:rsid w:val="00C54514"/>
    <w:rsid w:val="00C545A3"/>
    <w:rsid w:val="00C5490C"/>
    <w:rsid w:val="00C554B5"/>
    <w:rsid w:val="00C557A4"/>
    <w:rsid w:val="00C55D97"/>
    <w:rsid w:val="00C56149"/>
    <w:rsid w:val="00C564D0"/>
    <w:rsid w:val="00C564FD"/>
    <w:rsid w:val="00C56B10"/>
    <w:rsid w:val="00C56D85"/>
    <w:rsid w:val="00C56EF2"/>
    <w:rsid w:val="00C570A6"/>
    <w:rsid w:val="00C574B1"/>
    <w:rsid w:val="00C577FE"/>
    <w:rsid w:val="00C579F3"/>
    <w:rsid w:val="00C57DA9"/>
    <w:rsid w:val="00C600B3"/>
    <w:rsid w:val="00C604B2"/>
    <w:rsid w:val="00C6072B"/>
    <w:rsid w:val="00C60DBD"/>
    <w:rsid w:val="00C60DE1"/>
    <w:rsid w:val="00C61257"/>
    <w:rsid w:val="00C612F7"/>
    <w:rsid w:val="00C61464"/>
    <w:rsid w:val="00C61566"/>
    <w:rsid w:val="00C61B0D"/>
    <w:rsid w:val="00C61CC5"/>
    <w:rsid w:val="00C61E4E"/>
    <w:rsid w:val="00C6209C"/>
    <w:rsid w:val="00C62117"/>
    <w:rsid w:val="00C6230E"/>
    <w:rsid w:val="00C62363"/>
    <w:rsid w:val="00C62459"/>
    <w:rsid w:val="00C626DB"/>
    <w:rsid w:val="00C627D3"/>
    <w:rsid w:val="00C62EB5"/>
    <w:rsid w:val="00C62F73"/>
    <w:rsid w:val="00C63759"/>
    <w:rsid w:val="00C639EB"/>
    <w:rsid w:val="00C63A08"/>
    <w:rsid w:val="00C63A78"/>
    <w:rsid w:val="00C63D91"/>
    <w:rsid w:val="00C6469A"/>
    <w:rsid w:val="00C64972"/>
    <w:rsid w:val="00C64A3A"/>
    <w:rsid w:val="00C64A9E"/>
    <w:rsid w:val="00C64B45"/>
    <w:rsid w:val="00C64CA3"/>
    <w:rsid w:val="00C64CAA"/>
    <w:rsid w:val="00C64E2C"/>
    <w:rsid w:val="00C6520F"/>
    <w:rsid w:val="00C65E61"/>
    <w:rsid w:val="00C66051"/>
    <w:rsid w:val="00C66159"/>
    <w:rsid w:val="00C661A5"/>
    <w:rsid w:val="00C6657A"/>
    <w:rsid w:val="00C666CC"/>
    <w:rsid w:val="00C66B0A"/>
    <w:rsid w:val="00C66CB8"/>
    <w:rsid w:val="00C66D10"/>
    <w:rsid w:val="00C675AE"/>
    <w:rsid w:val="00C67605"/>
    <w:rsid w:val="00C679B7"/>
    <w:rsid w:val="00C67BFA"/>
    <w:rsid w:val="00C67E8E"/>
    <w:rsid w:val="00C700DA"/>
    <w:rsid w:val="00C704D0"/>
    <w:rsid w:val="00C70B0F"/>
    <w:rsid w:val="00C70C76"/>
    <w:rsid w:val="00C71193"/>
    <w:rsid w:val="00C715B4"/>
    <w:rsid w:val="00C71A04"/>
    <w:rsid w:val="00C71DA7"/>
    <w:rsid w:val="00C72177"/>
    <w:rsid w:val="00C721C4"/>
    <w:rsid w:val="00C721D0"/>
    <w:rsid w:val="00C723A4"/>
    <w:rsid w:val="00C72906"/>
    <w:rsid w:val="00C72B7F"/>
    <w:rsid w:val="00C731D2"/>
    <w:rsid w:val="00C732D6"/>
    <w:rsid w:val="00C7334E"/>
    <w:rsid w:val="00C735CE"/>
    <w:rsid w:val="00C735DB"/>
    <w:rsid w:val="00C73BBF"/>
    <w:rsid w:val="00C73BC6"/>
    <w:rsid w:val="00C7407A"/>
    <w:rsid w:val="00C7469E"/>
    <w:rsid w:val="00C74725"/>
    <w:rsid w:val="00C74755"/>
    <w:rsid w:val="00C747AB"/>
    <w:rsid w:val="00C74B8C"/>
    <w:rsid w:val="00C74F46"/>
    <w:rsid w:val="00C75051"/>
    <w:rsid w:val="00C752D8"/>
    <w:rsid w:val="00C75B75"/>
    <w:rsid w:val="00C75D76"/>
    <w:rsid w:val="00C75E33"/>
    <w:rsid w:val="00C76014"/>
    <w:rsid w:val="00C7634D"/>
    <w:rsid w:val="00C76427"/>
    <w:rsid w:val="00C76596"/>
    <w:rsid w:val="00C76915"/>
    <w:rsid w:val="00C76A1C"/>
    <w:rsid w:val="00C76C09"/>
    <w:rsid w:val="00C76F79"/>
    <w:rsid w:val="00C77815"/>
    <w:rsid w:val="00C77CD9"/>
    <w:rsid w:val="00C77D3C"/>
    <w:rsid w:val="00C77DD6"/>
    <w:rsid w:val="00C77E7B"/>
    <w:rsid w:val="00C80070"/>
    <w:rsid w:val="00C801A6"/>
    <w:rsid w:val="00C80525"/>
    <w:rsid w:val="00C80597"/>
    <w:rsid w:val="00C808B3"/>
    <w:rsid w:val="00C809AA"/>
    <w:rsid w:val="00C80B4A"/>
    <w:rsid w:val="00C80C8B"/>
    <w:rsid w:val="00C815FC"/>
    <w:rsid w:val="00C81847"/>
    <w:rsid w:val="00C820BA"/>
    <w:rsid w:val="00C82139"/>
    <w:rsid w:val="00C8236C"/>
    <w:rsid w:val="00C824CE"/>
    <w:rsid w:val="00C8268F"/>
    <w:rsid w:val="00C8296F"/>
    <w:rsid w:val="00C82C18"/>
    <w:rsid w:val="00C82CB1"/>
    <w:rsid w:val="00C82E40"/>
    <w:rsid w:val="00C82F74"/>
    <w:rsid w:val="00C83065"/>
    <w:rsid w:val="00C83535"/>
    <w:rsid w:val="00C83683"/>
    <w:rsid w:val="00C838F7"/>
    <w:rsid w:val="00C83D1F"/>
    <w:rsid w:val="00C83D84"/>
    <w:rsid w:val="00C83EFA"/>
    <w:rsid w:val="00C84404"/>
    <w:rsid w:val="00C844E5"/>
    <w:rsid w:val="00C848CF"/>
    <w:rsid w:val="00C849E4"/>
    <w:rsid w:val="00C84B45"/>
    <w:rsid w:val="00C851DD"/>
    <w:rsid w:val="00C855DB"/>
    <w:rsid w:val="00C856C7"/>
    <w:rsid w:val="00C85FDD"/>
    <w:rsid w:val="00C861D9"/>
    <w:rsid w:val="00C8625D"/>
    <w:rsid w:val="00C862B3"/>
    <w:rsid w:val="00C862D4"/>
    <w:rsid w:val="00C86313"/>
    <w:rsid w:val="00C86709"/>
    <w:rsid w:val="00C871A7"/>
    <w:rsid w:val="00C87436"/>
    <w:rsid w:val="00C875C8"/>
    <w:rsid w:val="00C878AC"/>
    <w:rsid w:val="00C87B07"/>
    <w:rsid w:val="00C87DE1"/>
    <w:rsid w:val="00C90344"/>
    <w:rsid w:val="00C906BC"/>
    <w:rsid w:val="00C90D87"/>
    <w:rsid w:val="00C90E79"/>
    <w:rsid w:val="00C911CF"/>
    <w:rsid w:val="00C9136E"/>
    <w:rsid w:val="00C9141D"/>
    <w:rsid w:val="00C91588"/>
    <w:rsid w:val="00C915CD"/>
    <w:rsid w:val="00C91651"/>
    <w:rsid w:val="00C917A4"/>
    <w:rsid w:val="00C9199B"/>
    <w:rsid w:val="00C91D6C"/>
    <w:rsid w:val="00C91DBD"/>
    <w:rsid w:val="00C91F8F"/>
    <w:rsid w:val="00C91FBE"/>
    <w:rsid w:val="00C922A2"/>
    <w:rsid w:val="00C92838"/>
    <w:rsid w:val="00C929E6"/>
    <w:rsid w:val="00C92AB7"/>
    <w:rsid w:val="00C92B3B"/>
    <w:rsid w:val="00C93407"/>
    <w:rsid w:val="00C93903"/>
    <w:rsid w:val="00C939DA"/>
    <w:rsid w:val="00C9404B"/>
    <w:rsid w:val="00C94122"/>
    <w:rsid w:val="00C94521"/>
    <w:rsid w:val="00C947D2"/>
    <w:rsid w:val="00C94D71"/>
    <w:rsid w:val="00C950FD"/>
    <w:rsid w:val="00C95121"/>
    <w:rsid w:val="00C95916"/>
    <w:rsid w:val="00C95CE4"/>
    <w:rsid w:val="00C95CFB"/>
    <w:rsid w:val="00C95F0F"/>
    <w:rsid w:val="00C962DD"/>
    <w:rsid w:val="00C96598"/>
    <w:rsid w:val="00C96679"/>
    <w:rsid w:val="00C96C5B"/>
    <w:rsid w:val="00C9745C"/>
    <w:rsid w:val="00C9750E"/>
    <w:rsid w:val="00C97846"/>
    <w:rsid w:val="00C97894"/>
    <w:rsid w:val="00C979E5"/>
    <w:rsid w:val="00C97CEE"/>
    <w:rsid w:val="00C97D60"/>
    <w:rsid w:val="00CA0219"/>
    <w:rsid w:val="00CA0652"/>
    <w:rsid w:val="00CA0677"/>
    <w:rsid w:val="00CA077D"/>
    <w:rsid w:val="00CA09CC"/>
    <w:rsid w:val="00CA0CB7"/>
    <w:rsid w:val="00CA0D6B"/>
    <w:rsid w:val="00CA1295"/>
    <w:rsid w:val="00CA1566"/>
    <w:rsid w:val="00CA175B"/>
    <w:rsid w:val="00CA23B3"/>
    <w:rsid w:val="00CA23DB"/>
    <w:rsid w:val="00CA2493"/>
    <w:rsid w:val="00CA26EA"/>
    <w:rsid w:val="00CA29C1"/>
    <w:rsid w:val="00CA2FB2"/>
    <w:rsid w:val="00CA3665"/>
    <w:rsid w:val="00CA39C0"/>
    <w:rsid w:val="00CA3ACF"/>
    <w:rsid w:val="00CA3CEC"/>
    <w:rsid w:val="00CA3D3A"/>
    <w:rsid w:val="00CA3F2E"/>
    <w:rsid w:val="00CA412F"/>
    <w:rsid w:val="00CA42D6"/>
    <w:rsid w:val="00CA43CA"/>
    <w:rsid w:val="00CA44A4"/>
    <w:rsid w:val="00CA48D7"/>
    <w:rsid w:val="00CA49BA"/>
    <w:rsid w:val="00CA4AB1"/>
    <w:rsid w:val="00CA4B88"/>
    <w:rsid w:val="00CA50A7"/>
    <w:rsid w:val="00CA528A"/>
    <w:rsid w:val="00CA5529"/>
    <w:rsid w:val="00CA59AA"/>
    <w:rsid w:val="00CA5DC0"/>
    <w:rsid w:val="00CA69C8"/>
    <w:rsid w:val="00CA6B70"/>
    <w:rsid w:val="00CA6BB8"/>
    <w:rsid w:val="00CA6DBE"/>
    <w:rsid w:val="00CA6E82"/>
    <w:rsid w:val="00CA77C3"/>
    <w:rsid w:val="00CA78D8"/>
    <w:rsid w:val="00CA7ECC"/>
    <w:rsid w:val="00CB005A"/>
    <w:rsid w:val="00CB023F"/>
    <w:rsid w:val="00CB034D"/>
    <w:rsid w:val="00CB053E"/>
    <w:rsid w:val="00CB077F"/>
    <w:rsid w:val="00CB089D"/>
    <w:rsid w:val="00CB1174"/>
    <w:rsid w:val="00CB1582"/>
    <w:rsid w:val="00CB15E9"/>
    <w:rsid w:val="00CB172D"/>
    <w:rsid w:val="00CB1C1C"/>
    <w:rsid w:val="00CB1DF7"/>
    <w:rsid w:val="00CB1EA4"/>
    <w:rsid w:val="00CB2BD5"/>
    <w:rsid w:val="00CB2ED5"/>
    <w:rsid w:val="00CB2F6E"/>
    <w:rsid w:val="00CB2F8E"/>
    <w:rsid w:val="00CB3342"/>
    <w:rsid w:val="00CB343A"/>
    <w:rsid w:val="00CB3527"/>
    <w:rsid w:val="00CB3ACA"/>
    <w:rsid w:val="00CB48CD"/>
    <w:rsid w:val="00CB4D41"/>
    <w:rsid w:val="00CB4FF4"/>
    <w:rsid w:val="00CB5165"/>
    <w:rsid w:val="00CB5BF6"/>
    <w:rsid w:val="00CB5C55"/>
    <w:rsid w:val="00CB65E4"/>
    <w:rsid w:val="00CB65EE"/>
    <w:rsid w:val="00CB671A"/>
    <w:rsid w:val="00CB6EB1"/>
    <w:rsid w:val="00CB79D8"/>
    <w:rsid w:val="00CB7A80"/>
    <w:rsid w:val="00CC04C5"/>
    <w:rsid w:val="00CC088D"/>
    <w:rsid w:val="00CC095A"/>
    <w:rsid w:val="00CC0BDC"/>
    <w:rsid w:val="00CC0CA3"/>
    <w:rsid w:val="00CC0CEE"/>
    <w:rsid w:val="00CC13D4"/>
    <w:rsid w:val="00CC16F6"/>
    <w:rsid w:val="00CC1783"/>
    <w:rsid w:val="00CC1CA0"/>
    <w:rsid w:val="00CC1D1A"/>
    <w:rsid w:val="00CC1F90"/>
    <w:rsid w:val="00CC243C"/>
    <w:rsid w:val="00CC267B"/>
    <w:rsid w:val="00CC2A61"/>
    <w:rsid w:val="00CC2B1D"/>
    <w:rsid w:val="00CC2CA6"/>
    <w:rsid w:val="00CC2ECD"/>
    <w:rsid w:val="00CC2FD0"/>
    <w:rsid w:val="00CC346F"/>
    <w:rsid w:val="00CC34D3"/>
    <w:rsid w:val="00CC369D"/>
    <w:rsid w:val="00CC36D1"/>
    <w:rsid w:val="00CC3ECE"/>
    <w:rsid w:val="00CC41CA"/>
    <w:rsid w:val="00CC421F"/>
    <w:rsid w:val="00CC434A"/>
    <w:rsid w:val="00CC446F"/>
    <w:rsid w:val="00CC5363"/>
    <w:rsid w:val="00CC556D"/>
    <w:rsid w:val="00CC5956"/>
    <w:rsid w:val="00CC5C76"/>
    <w:rsid w:val="00CC5C87"/>
    <w:rsid w:val="00CC6260"/>
    <w:rsid w:val="00CC6342"/>
    <w:rsid w:val="00CC64E3"/>
    <w:rsid w:val="00CC6663"/>
    <w:rsid w:val="00CC66FD"/>
    <w:rsid w:val="00CC6811"/>
    <w:rsid w:val="00CC6B8E"/>
    <w:rsid w:val="00CC6ECE"/>
    <w:rsid w:val="00CC7060"/>
    <w:rsid w:val="00CC7C1E"/>
    <w:rsid w:val="00CD06DD"/>
    <w:rsid w:val="00CD0733"/>
    <w:rsid w:val="00CD0D9A"/>
    <w:rsid w:val="00CD0F4F"/>
    <w:rsid w:val="00CD11F2"/>
    <w:rsid w:val="00CD1404"/>
    <w:rsid w:val="00CD163E"/>
    <w:rsid w:val="00CD1ABA"/>
    <w:rsid w:val="00CD1B66"/>
    <w:rsid w:val="00CD1DB4"/>
    <w:rsid w:val="00CD1E1C"/>
    <w:rsid w:val="00CD1FA9"/>
    <w:rsid w:val="00CD2011"/>
    <w:rsid w:val="00CD239F"/>
    <w:rsid w:val="00CD23A9"/>
    <w:rsid w:val="00CD2424"/>
    <w:rsid w:val="00CD249E"/>
    <w:rsid w:val="00CD24DA"/>
    <w:rsid w:val="00CD2E0B"/>
    <w:rsid w:val="00CD30D0"/>
    <w:rsid w:val="00CD3255"/>
    <w:rsid w:val="00CD34DB"/>
    <w:rsid w:val="00CD359B"/>
    <w:rsid w:val="00CD390E"/>
    <w:rsid w:val="00CD410E"/>
    <w:rsid w:val="00CD51E0"/>
    <w:rsid w:val="00CD5443"/>
    <w:rsid w:val="00CD5579"/>
    <w:rsid w:val="00CD56AC"/>
    <w:rsid w:val="00CD589A"/>
    <w:rsid w:val="00CD58CE"/>
    <w:rsid w:val="00CD5EE5"/>
    <w:rsid w:val="00CD5EF5"/>
    <w:rsid w:val="00CD6349"/>
    <w:rsid w:val="00CD6EE7"/>
    <w:rsid w:val="00CD710D"/>
    <w:rsid w:val="00CD718F"/>
    <w:rsid w:val="00CD7902"/>
    <w:rsid w:val="00CD7E19"/>
    <w:rsid w:val="00CE01B5"/>
    <w:rsid w:val="00CE01BD"/>
    <w:rsid w:val="00CE0295"/>
    <w:rsid w:val="00CE0A56"/>
    <w:rsid w:val="00CE0DB0"/>
    <w:rsid w:val="00CE108A"/>
    <w:rsid w:val="00CE1283"/>
    <w:rsid w:val="00CE1498"/>
    <w:rsid w:val="00CE15E5"/>
    <w:rsid w:val="00CE1A9E"/>
    <w:rsid w:val="00CE1C53"/>
    <w:rsid w:val="00CE1CF4"/>
    <w:rsid w:val="00CE1DB8"/>
    <w:rsid w:val="00CE2202"/>
    <w:rsid w:val="00CE22BB"/>
    <w:rsid w:val="00CE2341"/>
    <w:rsid w:val="00CE23E3"/>
    <w:rsid w:val="00CE258B"/>
    <w:rsid w:val="00CE28E3"/>
    <w:rsid w:val="00CE2C96"/>
    <w:rsid w:val="00CE3181"/>
    <w:rsid w:val="00CE3BF5"/>
    <w:rsid w:val="00CE3EA9"/>
    <w:rsid w:val="00CE3EE9"/>
    <w:rsid w:val="00CE40AF"/>
    <w:rsid w:val="00CE45C3"/>
    <w:rsid w:val="00CE49CD"/>
    <w:rsid w:val="00CE4BFB"/>
    <w:rsid w:val="00CE5059"/>
    <w:rsid w:val="00CE517E"/>
    <w:rsid w:val="00CE5746"/>
    <w:rsid w:val="00CE5A88"/>
    <w:rsid w:val="00CE5C46"/>
    <w:rsid w:val="00CE699A"/>
    <w:rsid w:val="00CE6ED2"/>
    <w:rsid w:val="00CE7303"/>
    <w:rsid w:val="00CE7410"/>
    <w:rsid w:val="00CE7B6F"/>
    <w:rsid w:val="00CE7C68"/>
    <w:rsid w:val="00CE7FD6"/>
    <w:rsid w:val="00CF019D"/>
    <w:rsid w:val="00CF0693"/>
    <w:rsid w:val="00CF0A9B"/>
    <w:rsid w:val="00CF0AAF"/>
    <w:rsid w:val="00CF0C16"/>
    <w:rsid w:val="00CF0C33"/>
    <w:rsid w:val="00CF0E40"/>
    <w:rsid w:val="00CF0FC2"/>
    <w:rsid w:val="00CF1420"/>
    <w:rsid w:val="00CF149D"/>
    <w:rsid w:val="00CF1A2D"/>
    <w:rsid w:val="00CF1A5D"/>
    <w:rsid w:val="00CF1A6B"/>
    <w:rsid w:val="00CF1CC9"/>
    <w:rsid w:val="00CF1EBC"/>
    <w:rsid w:val="00CF1ECF"/>
    <w:rsid w:val="00CF20E7"/>
    <w:rsid w:val="00CF2913"/>
    <w:rsid w:val="00CF2AAA"/>
    <w:rsid w:val="00CF2B57"/>
    <w:rsid w:val="00CF3351"/>
    <w:rsid w:val="00CF35C6"/>
    <w:rsid w:val="00CF3C9E"/>
    <w:rsid w:val="00CF3EBB"/>
    <w:rsid w:val="00CF439F"/>
    <w:rsid w:val="00CF4432"/>
    <w:rsid w:val="00CF446F"/>
    <w:rsid w:val="00CF44D2"/>
    <w:rsid w:val="00CF4BFC"/>
    <w:rsid w:val="00CF4C1C"/>
    <w:rsid w:val="00CF4D3A"/>
    <w:rsid w:val="00CF5276"/>
    <w:rsid w:val="00CF534E"/>
    <w:rsid w:val="00CF5353"/>
    <w:rsid w:val="00CF552D"/>
    <w:rsid w:val="00CF5A45"/>
    <w:rsid w:val="00CF5B1B"/>
    <w:rsid w:val="00CF5CDD"/>
    <w:rsid w:val="00CF5DF2"/>
    <w:rsid w:val="00CF622D"/>
    <w:rsid w:val="00CF6459"/>
    <w:rsid w:val="00CF653B"/>
    <w:rsid w:val="00CF654E"/>
    <w:rsid w:val="00CF654F"/>
    <w:rsid w:val="00CF6726"/>
    <w:rsid w:val="00CF6C6A"/>
    <w:rsid w:val="00CF70A0"/>
    <w:rsid w:val="00CF70DB"/>
    <w:rsid w:val="00CF70DE"/>
    <w:rsid w:val="00CF7120"/>
    <w:rsid w:val="00CF7184"/>
    <w:rsid w:val="00CF7249"/>
    <w:rsid w:val="00CF724C"/>
    <w:rsid w:val="00CF7AA0"/>
    <w:rsid w:val="00CF7C9A"/>
    <w:rsid w:val="00D001AE"/>
    <w:rsid w:val="00D001B4"/>
    <w:rsid w:val="00D003B7"/>
    <w:rsid w:val="00D00596"/>
    <w:rsid w:val="00D006B1"/>
    <w:rsid w:val="00D00906"/>
    <w:rsid w:val="00D00C39"/>
    <w:rsid w:val="00D00E36"/>
    <w:rsid w:val="00D00F41"/>
    <w:rsid w:val="00D013C0"/>
    <w:rsid w:val="00D01412"/>
    <w:rsid w:val="00D015E8"/>
    <w:rsid w:val="00D0186B"/>
    <w:rsid w:val="00D01897"/>
    <w:rsid w:val="00D0194C"/>
    <w:rsid w:val="00D01EB7"/>
    <w:rsid w:val="00D01EEC"/>
    <w:rsid w:val="00D01F08"/>
    <w:rsid w:val="00D02131"/>
    <w:rsid w:val="00D022B4"/>
    <w:rsid w:val="00D02429"/>
    <w:rsid w:val="00D02492"/>
    <w:rsid w:val="00D02A2F"/>
    <w:rsid w:val="00D02E6E"/>
    <w:rsid w:val="00D02F4F"/>
    <w:rsid w:val="00D039DC"/>
    <w:rsid w:val="00D03CF9"/>
    <w:rsid w:val="00D03FF7"/>
    <w:rsid w:val="00D041BA"/>
    <w:rsid w:val="00D04311"/>
    <w:rsid w:val="00D044B5"/>
    <w:rsid w:val="00D04702"/>
    <w:rsid w:val="00D047E4"/>
    <w:rsid w:val="00D04CB3"/>
    <w:rsid w:val="00D04F62"/>
    <w:rsid w:val="00D05004"/>
    <w:rsid w:val="00D0503B"/>
    <w:rsid w:val="00D0511D"/>
    <w:rsid w:val="00D052C4"/>
    <w:rsid w:val="00D05A8F"/>
    <w:rsid w:val="00D05AE1"/>
    <w:rsid w:val="00D05BBD"/>
    <w:rsid w:val="00D06214"/>
    <w:rsid w:val="00D06709"/>
    <w:rsid w:val="00D06A90"/>
    <w:rsid w:val="00D07447"/>
    <w:rsid w:val="00D07B61"/>
    <w:rsid w:val="00D1016C"/>
    <w:rsid w:val="00D103D5"/>
    <w:rsid w:val="00D104DE"/>
    <w:rsid w:val="00D10724"/>
    <w:rsid w:val="00D10BCF"/>
    <w:rsid w:val="00D10C15"/>
    <w:rsid w:val="00D10E9C"/>
    <w:rsid w:val="00D110F0"/>
    <w:rsid w:val="00D1122C"/>
    <w:rsid w:val="00D118F5"/>
    <w:rsid w:val="00D11A57"/>
    <w:rsid w:val="00D11D0E"/>
    <w:rsid w:val="00D11F26"/>
    <w:rsid w:val="00D11F7F"/>
    <w:rsid w:val="00D120C4"/>
    <w:rsid w:val="00D12270"/>
    <w:rsid w:val="00D129F1"/>
    <w:rsid w:val="00D12FAA"/>
    <w:rsid w:val="00D13281"/>
    <w:rsid w:val="00D1392C"/>
    <w:rsid w:val="00D13A64"/>
    <w:rsid w:val="00D14312"/>
    <w:rsid w:val="00D145E3"/>
    <w:rsid w:val="00D14E59"/>
    <w:rsid w:val="00D1565F"/>
    <w:rsid w:val="00D158F8"/>
    <w:rsid w:val="00D15936"/>
    <w:rsid w:val="00D159E3"/>
    <w:rsid w:val="00D159F3"/>
    <w:rsid w:val="00D15C67"/>
    <w:rsid w:val="00D15D7D"/>
    <w:rsid w:val="00D15FE9"/>
    <w:rsid w:val="00D162E0"/>
    <w:rsid w:val="00D1641A"/>
    <w:rsid w:val="00D166BB"/>
    <w:rsid w:val="00D1685E"/>
    <w:rsid w:val="00D16FAA"/>
    <w:rsid w:val="00D17029"/>
    <w:rsid w:val="00D17181"/>
    <w:rsid w:val="00D174F5"/>
    <w:rsid w:val="00D17588"/>
    <w:rsid w:val="00D178F4"/>
    <w:rsid w:val="00D20031"/>
    <w:rsid w:val="00D20661"/>
    <w:rsid w:val="00D2089F"/>
    <w:rsid w:val="00D20955"/>
    <w:rsid w:val="00D20B79"/>
    <w:rsid w:val="00D20D79"/>
    <w:rsid w:val="00D20FA9"/>
    <w:rsid w:val="00D20FD7"/>
    <w:rsid w:val="00D2184F"/>
    <w:rsid w:val="00D21D57"/>
    <w:rsid w:val="00D21FEA"/>
    <w:rsid w:val="00D2201A"/>
    <w:rsid w:val="00D2224F"/>
    <w:rsid w:val="00D2267A"/>
    <w:rsid w:val="00D2283F"/>
    <w:rsid w:val="00D22BD2"/>
    <w:rsid w:val="00D233A2"/>
    <w:rsid w:val="00D23429"/>
    <w:rsid w:val="00D2353F"/>
    <w:rsid w:val="00D235ED"/>
    <w:rsid w:val="00D237A7"/>
    <w:rsid w:val="00D240D2"/>
    <w:rsid w:val="00D245FB"/>
    <w:rsid w:val="00D24A20"/>
    <w:rsid w:val="00D24A5F"/>
    <w:rsid w:val="00D24DC8"/>
    <w:rsid w:val="00D24EE5"/>
    <w:rsid w:val="00D25048"/>
    <w:rsid w:val="00D261E4"/>
    <w:rsid w:val="00D2666E"/>
    <w:rsid w:val="00D26A87"/>
    <w:rsid w:val="00D26BCA"/>
    <w:rsid w:val="00D26D01"/>
    <w:rsid w:val="00D26D8D"/>
    <w:rsid w:val="00D27107"/>
    <w:rsid w:val="00D271AD"/>
    <w:rsid w:val="00D27578"/>
    <w:rsid w:val="00D27751"/>
    <w:rsid w:val="00D278F1"/>
    <w:rsid w:val="00D279BE"/>
    <w:rsid w:val="00D27A74"/>
    <w:rsid w:val="00D27DF6"/>
    <w:rsid w:val="00D3014A"/>
    <w:rsid w:val="00D30274"/>
    <w:rsid w:val="00D3039E"/>
    <w:rsid w:val="00D3057C"/>
    <w:rsid w:val="00D30801"/>
    <w:rsid w:val="00D309F1"/>
    <w:rsid w:val="00D30BDF"/>
    <w:rsid w:val="00D313B3"/>
    <w:rsid w:val="00D31568"/>
    <w:rsid w:val="00D32015"/>
    <w:rsid w:val="00D3292B"/>
    <w:rsid w:val="00D32C40"/>
    <w:rsid w:val="00D3361A"/>
    <w:rsid w:val="00D3378E"/>
    <w:rsid w:val="00D3396F"/>
    <w:rsid w:val="00D33B6E"/>
    <w:rsid w:val="00D33F02"/>
    <w:rsid w:val="00D34100"/>
    <w:rsid w:val="00D343EF"/>
    <w:rsid w:val="00D349A4"/>
    <w:rsid w:val="00D34D67"/>
    <w:rsid w:val="00D34E1C"/>
    <w:rsid w:val="00D34F10"/>
    <w:rsid w:val="00D3532D"/>
    <w:rsid w:val="00D3559E"/>
    <w:rsid w:val="00D35715"/>
    <w:rsid w:val="00D358F7"/>
    <w:rsid w:val="00D35BA5"/>
    <w:rsid w:val="00D35E01"/>
    <w:rsid w:val="00D362FC"/>
    <w:rsid w:val="00D36376"/>
    <w:rsid w:val="00D36671"/>
    <w:rsid w:val="00D368E6"/>
    <w:rsid w:val="00D36E67"/>
    <w:rsid w:val="00D3708C"/>
    <w:rsid w:val="00D379A8"/>
    <w:rsid w:val="00D379FE"/>
    <w:rsid w:val="00D37A39"/>
    <w:rsid w:val="00D37EF5"/>
    <w:rsid w:val="00D4017E"/>
    <w:rsid w:val="00D4035E"/>
    <w:rsid w:val="00D40527"/>
    <w:rsid w:val="00D4053E"/>
    <w:rsid w:val="00D4054F"/>
    <w:rsid w:val="00D407A6"/>
    <w:rsid w:val="00D407DC"/>
    <w:rsid w:val="00D419C9"/>
    <w:rsid w:val="00D41DCA"/>
    <w:rsid w:val="00D42054"/>
    <w:rsid w:val="00D427A9"/>
    <w:rsid w:val="00D428B9"/>
    <w:rsid w:val="00D42916"/>
    <w:rsid w:val="00D42ABF"/>
    <w:rsid w:val="00D42BED"/>
    <w:rsid w:val="00D42C18"/>
    <w:rsid w:val="00D42CE3"/>
    <w:rsid w:val="00D42DFE"/>
    <w:rsid w:val="00D42FA5"/>
    <w:rsid w:val="00D43118"/>
    <w:rsid w:val="00D43246"/>
    <w:rsid w:val="00D433C7"/>
    <w:rsid w:val="00D43895"/>
    <w:rsid w:val="00D43997"/>
    <w:rsid w:val="00D4472D"/>
    <w:rsid w:val="00D449A2"/>
    <w:rsid w:val="00D45171"/>
    <w:rsid w:val="00D45231"/>
    <w:rsid w:val="00D45373"/>
    <w:rsid w:val="00D4559E"/>
    <w:rsid w:val="00D45750"/>
    <w:rsid w:val="00D457EA"/>
    <w:rsid w:val="00D45C42"/>
    <w:rsid w:val="00D45FA0"/>
    <w:rsid w:val="00D45FC8"/>
    <w:rsid w:val="00D46058"/>
    <w:rsid w:val="00D4616B"/>
    <w:rsid w:val="00D46232"/>
    <w:rsid w:val="00D46457"/>
    <w:rsid w:val="00D46459"/>
    <w:rsid w:val="00D4645D"/>
    <w:rsid w:val="00D46661"/>
    <w:rsid w:val="00D466A6"/>
    <w:rsid w:val="00D46B13"/>
    <w:rsid w:val="00D46DE7"/>
    <w:rsid w:val="00D472AC"/>
    <w:rsid w:val="00D4759B"/>
    <w:rsid w:val="00D47E1C"/>
    <w:rsid w:val="00D47F4C"/>
    <w:rsid w:val="00D504E1"/>
    <w:rsid w:val="00D505D0"/>
    <w:rsid w:val="00D50668"/>
    <w:rsid w:val="00D507C5"/>
    <w:rsid w:val="00D509AD"/>
    <w:rsid w:val="00D51605"/>
    <w:rsid w:val="00D519C1"/>
    <w:rsid w:val="00D52623"/>
    <w:rsid w:val="00D52675"/>
    <w:rsid w:val="00D52B2E"/>
    <w:rsid w:val="00D52BE7"/>
    <w:rsid w:val="00D52E54"/>
    <w:rsid w:val="00D52FF5"/>
    <w:rsid w:val="00D5370B"/>
    <w:rsid w:val="00D53758"/>
    <w:rsid w:val="00D5390E"/>
    <w:rsid w:val="00D53C5A"/>
    <w:rsid w:val="00D54459"/>
    <w:rsid w:val="00D54AFF"/>
    <w:rsid w:val="00D54BED"/>
    <w:rsid w:val="00D54EA6"/>
    <w:rsid w:val="00D55136"/>
    <w:rsid w:val="00D5526C"/>
    <w:rsid w:val="00D5563C"/>
    <w:rsid w:val="00D5575B"/>
    <w:rsid w:val="00D559E6"/>
    <w:rsid w:val="00D55AB2"/>
    <w:rsid w:val="00D55ADE"/>
    <w:rsid w:val="00D55B6C"/>
    <w:rsid w:val="00D55BA5"/>
    <w:rsid w:val="00D55D74"/>
    <w:rsid w:val="00D56258"/>
    <w:rsid w:val="00D5677D"/>
    <w:rsid w:val="00D56B1F"/>
    <w:rsid w:val="00D56DFA"/>
    <w:rsid w:val="00D5731A"/>
    <w:rsid w:val="00D5797C"/>
    <w:rsid w:val="00D57C5F"/>
    <w:rsid w:val="00D600EF"/>
    <w:rsid w:val="00D60314"/>
    <w:rsid w:val="00D60360"/>
    <w:rsid w:val="00D604B1"/>
    <w:rsid w:val="00D60D4D"/>
    <w:rsid w:val="00D60D80"/>
    <w:rsid w:val="00D60E22"/>
    <w:rsid w:val="00D6107D"/>
    <w:rsid w:val="00D610BD"/>
    <w:rsid w:val="00D61302"/>
    <w:rsid w:val="00D61339"/>
    <w:rsid w:val="00D61864"/>
    <w:rsid w:val="00D6199A"/>
    <w:rsid w:val="00D61F35"/>
    <w:rsid w:val="00D62281"/>
    <w:rsid w:val="00D627FA"/>
    <w:rsid w:val="00D62832"/>
    <w:rsid w:val="00D62869"/>
    <w:rsid w:val="00D62E0E"/>
    <w:rsid w:val="00D62F4D"/>
    <w:rsid w:val="00D63528"/>
    <w:rsid w:val="00D635E0"/>
    <w:rsid w:val="00D639E6"/>
    <w:rsid w:val="00D641A6"/>
    <w:rsid w:val="00D648D7"/>
    <w:rsid w:val="00D64906"/>
    <w:rsid w:val="00D6527F"/>
    <w:rsid w:val="00D652D9"/>
    <w:rsid w:val="00D65378"/>
    <w:rsid w:val="00D653A9"/>
    <w:rsid w:val="00D6540A"/>
    <w:rsid w:val="00D658CA"/>
    <w:rsid w:val="00D65B94"/>
    <w:rsid w:val="00D65F99"/>
    <w:rsid w:val="00D668AD"/>
    <w:rsid w:val="00D66931"/>
    <w:rsid w:val="00D669C7"/>
    <w:rsid w:val="00D669E0"/>
    <w:rsid w:val="00D66FD5"/>
    <w:rsid w:val="00D67067"/>
    <w:rsid w:val="00D67C08"/>
    <w:rsid w:val="00D67DE2"/>
    <w:rsid w:val="00D70271"/>
    <w:rsid w:val="00D7034E"/>
    <w:rsid w:val="00D705D4"/>
    <w:rsid w:val="00D70677"/>
    <w:rsid w:val="00D70B36"/>
    <w:rsid w:val="00D70B4A"/>
    <w:rsid w:val="00D70B8B"/>
    <w:rsid w:val="00D70CD4"/>
    <w:rsid w:val="00D70DDA"/>
    <w:rsid w:val="00D70EE8"/>
    <w:rsid w:val="00D710BD"/>
    <w:rsid w:val="00D7194A"/>
    <w:rsid w:val="00D71A28"/>
    <w:rsid w:val="00D71B71"/>
    <w:rsid w:val="00D71E4B"/>
    <w:rsid w:val="00D71F6B"/>
    <w:rsid w:val="00D7202B"/>
    <w:rsid w:val="00D72139"/>
    <w:rsid w:val="00D7219E"/>
    <w:rsid w:val="00D72339"/>
    <w:rsid w:val="00D723DB"/>
    <w:rsid w:val="00D72419"/>
    <w:rsid w:val="00D724D5"/>
    <w:rsid w:val="00D72629"/>
    <w:rsid w:val="00D72C11"/>
    <w:rsid w:val="00D7308F"/>
    <w:rsid w:val="00D732CF"/>
    <w:rsid w:val="00D739BB"/>
    <w:rsid w:val="00D73AD9"/>
    <w:rsid w:val="00D73EF4"/>
    <w:rsid w:val="00D74258"/>
    <w:rsid w:val="00D74352"/>
    <w:rsid w:val="00D7444C"/>
    <w:rsid w:val="00D745A2"/>
    <w:rsid w:val="00D746DF"/>
    <w:rsid w:val="00D74DD0"/>
    <w:rsid w:val="00D7521E"/>
    <w:rsid w:val="00D75262"/>
    <w:rsid w:val="00D75339"/>
    <w:rsid w:val="00D75621"/>
    <w:rsid w:val="00D7596F"/>
    <w:rsid w:val="00D759C4"/>
    <w:rsid w:val="00D7613E"/>
    <w:rsid w:val="00D7662B"/>
    <w:rsid w:val="00D76883"/>
    <w:rsid w:val="00D76A08"/>
    <w:rsid w:val="00D76D89"/>
    <w:rsid w:val="00D77781"/>
    <w:rsid w:val="00D77B20"/>
    <w:rsid w:val="00D77CDB"/>
    <w:rsid w:val="00D77E86"/>
    <w:rsid w:val="00D805ED"/>
    <w:rsid w:val="00D80B94"/>
    <w:rsid w:val="00D80C29"/>
    <w:rsid w:val="00D81007"/>
    <w:rsid w:val="00D812C5"/>
    <w:rsid w:val="00D81309"/>
    <w:rsid w:val="00D814CB"/>
    <w:rsid w:val="00D81538"/>
    <w:rsid w:val="00D815F0"/>
    <w:rsid w:val="00D82129"/>
    <w:rsid w:val="00D82248"/>
    <w:rsid w:val="00D82331"/>
    <w:rsid w:val="00D82607"/>
    <w:rsid w:val="00D82794"/>
    <w:rsid w:val="00D829C0"/>
    <w:rsid w:val="00D82C4A"/>
    <w:rsid w:val="00D8316D"/>
    <w:rsid w:val="00D831F9"/>
    <w:rsid w:val="00D8322A"/>
    <w:rsid w:val="00D837C4"/>
    <w:rsid w:val="00D839CC"/>
    <w:rsid w:val="00D83AD7"/>
    <w:rsid w:val="00D83B51"/>
    <w:rsid w:val="00D84073"/>
    <w:rsid w:val="00D84164"/>
    <w:rsid w:val="00D841A6"/>
    <w:rsid w:val="00D844EE"/>
    <w:rsid w:val="00D84685"/>
    <w:rsid w:val="00D84698"/>
    <w:rsid w:val="00D846A8"/>
    <w:rsid w:val="00D849CC"/>
    <w:rsid w:val="00D84BD0"/>
    <w:rsid w:val="00D84ECA"/>
    <w:rsid w:val="00D85016"/>
    <w:rsid w:val="00D8525E"/>
    <w:rsid w:val="00D85986"/>
    <w:rsid w:val="00D859D7"/>
    <w:rsid w:val="00D85C68"/>
    <w:rsid w:val="00D8630F"/>
    <w:rsid w:val="00D865B8"/>
    <w:rsid w:val="00D869D5"/>
    <w:rsid w:val="00D86EC7"/>
    <w:rsid w:val="00D87BDE"/>
    <w:rsid w:val="00D87D31"/>
    <w:rsid w:val="00D87DBD"/>
    <w:rsid w:val="00D87EA1"/>
    <w:rsid w:val="00D87FE0"/>
    <w:rsid w:val="00D901E9"/>
    <w:rsid w:val="00D90291"/>
    <w:rsid w:val="00D903A4"/>
    <w:rsid w:val="00D9041B"/>
    <w:rsid w:val="00D90581"/>
    <w:rsid w:val="00D90DBB"/>
    <w:rsid w:val="00D90EA0"/>
    <w:rsid w:val="00D9105E"/>
    <w:rsid w:val="00D910F2"/>
    <w:rsid w:val="00D9136A"/>
    <w:rsid w:val="00D91400"/>
    <w:rsid w:val="00D9141D"/>
    <w:rsid w:val="00D915D4"/>
    <w:rsid w:val="00D919D1"/>
    <w:rsid w:val="00D91CF4"/>
    <w:rsid w:val="00D921A5"/>
    <w:rsid w:val="00D9223A"/>
    <w:rsid w:val="00D9245C"/>
    <w:rsid w:val="00D92DD6"/>
    <w:rsid w:val="00D93437"/>
    <w:rsid w:val="00D93847"/>
    <w:rsid w:val="00D945F6"/>
    <w:rsid w:val="00D946C9"/>
    <w:rsid w:val="00D94CF3"/>
    <w:rsid w:val="00D94F26"/>
    <w:rsid w:val="00D95372"/>
    <w:rsid w:val="00D959D0"/>
    <w:rsid w:val="00D95F93"/>
    <w:rsid w:val="00D9624E"/>
    <w:rsid w:val="00D9638D"/>
    <w:rsid w:val="00D967A8"/>
    <w:rsid w:val="00D968BC"/>
    <w:rsid w:val="00D96DC0"/>
    <w:rsid w:val="00D97245"/>
    <w:rsid w:val="00D976EF"/>
    <w:rsid w:val="00D97AF7"/>
    <w:rsid w:val="00D97C9A"/>
    <w:rsid w:val="00D97FC0"/>
    <w:rsid w:val="00DA04B8"/>
    <w:rsid w:val="00DA058E"/>
    <w:rsid w:val="00DA06CA"/>
    <w:rsid w:val="00DA0B74"/>
    <w:rsid w:val="00DA13DD"/>
    <w:rsid w:val="00DA1404"/>
    <w:rsid w:val="00DA17E6"/>
    <w:rsid w:val="00DA1968"/>
    <w:rsid w:val="00DA1E3B"/>
    <w:rsid w:val="00DA1F2A"/>
    <w:rsid w:val="00DA1FC9"/>
    <w:rsid w:val="00DA2058"/>
    <w:rsid w:val="00DA215C"/>
    <w:rsid w:val="00DA24F4"/>
    <w:rsid w:val="00DA257A"/>
    <w:rsid w:val="00DA260C"/>
    <w:rsid w:val="00DA31DD"/>
    <w:rsid w:val="00DA31FA"/>
    <w:rsid w:val="00DA36B1"/>
    <w:rsid w:val="00DA3814"/>
    <w:rsid w:val="00DA3A57"/>
    <w:rsid w:val="00DA3F43"/>
    <w:rsid w:val="00DA3FE9"/>
    <w:rsid w:val="00DA4D6C"/>
    <w:rsid w:val="00DA5036"/>
    <w:rsid w:val="00DA512C"/>
    <w:rsid w:val="00DA515E"/>
    <w:rsid w:val="00DA52EB"/>
    <w:rsid w:val="00DA5501"/>
    <w:rsid w:val="00DA5A2D"/>
    <w:rsid w:val="00DA5C60"/>
    <w:rsid w:val="00DA5E93"/>
    <w:rsid w:val="00DA6132"/>
    <w:rsid w:val="00DA63A7"/>
    <w:rsid w:val="00DA63A8"/>
    <w:rsid w:val="00DA6680"/>
    <w:rsid w:val="00DA6765"/>
    <w:rsid w:val="00DA69B0"/>
    <w:rsid w:val="00DA6BA0"/>
    <w:rsid w:val="00DA6F8A"/>
    <w:rsid w:val="00DA73B3"/>
    <w:rsid w:val="00DA768E"/>
    <w:rsid w:val="00DA7B2B"/>
    <w:rsid w:val="00DA7B71"/>
    <w:rsid w:val="00DA7DC3"/>
    <w:rsid w:val="00DB003C"/>
    <w:rsid w:val="00DB06A7"/>
    <w:rsid w:val="00DB0C09"/>
    <w:rsid w:val="00DB10C2"/>
    <w:rsid w:val="00DB11E6"/>
    <w:rsid w:val="00DB1201"/>
    <w:rsid w:val="00DB1978"/>
    <w:rsid w:val="00DB1A8A"/>
    <w:rsid w:val="00DB1CE3"/>
    <w:rsid w:val="00DB1E91"/>
    <w:rsid w:val="00DB2367"/>
    <w:rsid w:val="00DB2918"/>
    <w:rsid w:val="00DB2D12"/>
    <w:rsid w:val="00DB32CB"/>
    <w:rsid w:val="00DB3302"/>
    <w:rsid w:val="00DB3395"/>
    <w:rsid w:val="00DB360A"/>
    <w:rsid w:val="00DB37F4"/>
    <w:rsid w:val="00DB3A06"/>
    <w:rsid w:val="00DB4187"/>
    <w:rsid w:val="00DB43A4"/>
    <w:rsid w:val="00DB4410"/>
    <w:rsid w:val="00DB4BD7"/>
    <w:rsid w:val="00DB4D35"/>
    <w:rsid w:val="00DB500F"/>
    <w:rsid w:val="00DB5117"/>
    <w:rsid w:val="00DB52C7"/>
    <w:rsid w:val="00DB531A"/>
    <w:rsid w:val="00DB5626"/>
    <w:rsid w:val="00DB5A98"/>
    <w:rsid w:val="00DB5BC6"/>
    <w:rsid w:val="00DB5E35"/>
    <w:rsid w:val="00DB5EDE"/>
    <w:rsid w:val="00DB6012"/>
    <w:rsid w:val="00DB6031"/>
    <w:rsid w:val="00DB6085"/>
    <w:rsid w:val="00DB6259"/>
    <w:rsid w:val="00DB664A"/>
    <w:rsid w:val="00DB6753"/>
    <w:rsid w:val="00DB675E"/>
    <w:rsid w:val="00DB6A09"/>
    <w:rsid w:val="00DB6C66"/>
    <w:rsid w:val="00DB7033"/>
    <w:rsid w:val="00DB72A9"/>
    <w:rsid w:val="00DB7463"/>
    <w:rsid w:val="00DB796A"/>
    <w:rsid w:val="00DB7AE4"/>
    <w:rsid w:val="00DB7CD5"/>
    <w:rsid w:val="00DB7EA4"/>
    <w:rsid w:val="00DC0262"/>
    <w:rsid w:val="00DC0801"/>
    <w:rsid w:val="00DC0CBB"/>
    <w:rsid w:val="00DC0FEA"/>
    <w:rsid w:val="00DC10E4"/>
    <w:rsid w:val="00DC14AF"/>
    <w:rsid w:val="00DC1720"/>
    <w:rsid w:val="00DC1805"/>
    <w:rsid w:val="00DC1AE5"/>
    <w:rsid w:val="00DC1DCA"/>
    <w:rsid w:val="00DC20AF"/>
    <w:rsid w:val="00DC2DA4"/>
    <w:rsid w:val="00DC322E"/>
    <w:rsid w:val="00DC333E"/>
    <w:rsid w:val="00DC336B"/>
    <w:rsid w:val="00DC33EF"/>
    <w:rsid w:val="00DC3452"/>
    <w:rsid w:val="00DC3633"/>
    <w:rsid w:val="00DC36A5"/>
    <w:rsid w:val="00DC3848"/>
    <w:rsid w:val="00DC3B7D"/>
    <w:rsid w:val="00DC3BA7"/>
    <w:rsid w:val="00DC3CB3"/>
    <w:rsid w:val="00DC4108"/>
    <w:rsid w:val="00DC42BE"/>
    <w:rsid w:val="00DC4D67"/>
    <w:rsid w:val="00DC4E85"/>
    <w:rsid w:val="00DC4EC7"/>
    <w:rsid w:val="00DC4F64"/>
    <w:rsid w:val="00DC50C5"/>
    <w:rsid w:val="00DC510D"/>
    <w:rsid w:val="00DC5FD7"/>
    <w:rsid w:val="00DC648C"/>
    <w:rsid w:val="00DC64A7"/>
    <w:rsid w:val="00DC696D"/>
    <w:rsid w:val="00DC6D8E"/>
    <w:rsid w:val="00DC6D98"/>
    <w:rsid w:val="00DC7244"/>
    <w:rsid w:val="00DC7660"/>
    <w:rsid w:val="00DC790F"/>
    <w:rsid w:val="00DC7A21"/>
    <w:rsid w:val="00DC7B3B"/>
    <w:rsid w:val="00DC7BEB"/>
    <w:rsid w:val="00DC7DA5"/>
    <w:rsid w:val="00DC7E25"/>
    <w:rsid w:val="00DD0558"/>
    <w:rsid w:val="00DD0865"/>
    <w:rsid w:val="00DD0953"/>
    <w:rsid w:val="00DD0954"/>
    <w:rsid w:val="00DD0AEC"/>
    <w:rsid w:val="00DD1014"/>
    <w:rsid w:val="00DD151C"/>
    <w:rsid w:val="00DD1844"/>
    <w:rsid w:val="00DD18B1"/>
    <w:rsid w:val="00DD1A05"/>
    <w:rsid w:val="00DD1A95"/>
    <w:rsid w:val="00DD1E3C"/>
    <w:rsid w:val="00DD1FBA"/>
    <w:rsid w:val="00DD23B6"/>
    <w:rsid w:val="00DD2522"/>
    <w:rsid w:val="00DD284B"/>
    <w:rsid w:val="00DD2C81"/>
    <w:rsid w:val="00DD2CE8"/>
    <w:rsid w:val="00DD2D28"/>
    <w:rsid w:val="00DD2FD8"/>
    <w:rsid w:val="00DD3396"/>
    <w:rsid w:val="00DD34B1"/>
    <w:rsid w:val="00DD3636"/>
    <w:rsid w:val="00DD3652"/>
    <w:rsid w:val="00DD3C65"/>
    <w:rsid w:val="00DD3FCD"/>
    <w:rsid w:val="00DD4141"/>
    <w:rsid w:val="00DD467A"/>
    <w:rsid w:val="00DD59C9"/>
    <w:rsid w:val="00DD5E7A"/>
    <w:rsid w:val="00DD614B"/>
    <w:rsid w:val="00DD6171"/>
    <w:rsid w:val="00DD6741"/>
    <w:rsid w:val="00DD68FD"/>
    <w:rsid w:val="00DD693A"/>
    <w:rsid w:val="00DD6C46"/>
    <w:rsid w:val="00DD767D"/>
    <w:rsid w:val="00DD777B"/>
    <w:rsid w:val="00DD7960"/>
    <w:rsid w:val="00DE076C"/>
    <w:rsid w:val="00DE07EF"/>
    <w:rsid w:val="00DE0E41"/>
    <w:rsid w:val="00DE0EA1"/>
    <w:rsid w:val="00DE1285"/>
    <w:rsid w:val="00DE1881"/>
    <w:rsid w:val="00DE1ACE"/>
    <w:rsid w:val="00DE1B46"/>
    <w:rsid w:val="00DE1DF3"/>
    <w:rsid w:val="00DE2035"/>
    <w:rsid w:val="00DE2140"/>
    <w:rsid w:val="00DE2496"/>
    <w:rsid w:val="00DE2811"/>
    <w:rsid w:val="00DE2A35"/>
    <w:rsid w:val="00DE2C50"/>
    <w:rsid w:val="00DE3323"/>
    <w:rsid w:val="00DE3BA6"/>
    <w:rsid w:val="00DE3CB9"/>
    <w:rsid w:val="00DE3D92"/>
    <w:rsid w:val="00DE3DBF"/>
    <w:rsid w:val="00DE45EE"/>
    <w:rsid w:val="00DE4C11"/>
    <w:rsid w:val="00DE4CE7"/>
    <w:rsid w:val="00DE4E8F"/>
    <w:rsid w:val="00DE4E93"/>
    <w:rsid w:val="00DE4F22"/>
    <w:rsid w:val="00DE53E8"/>
    <w:rsid w:val="00DE54E4"/>
    <w:rsid w:val="00DE5784"/>
    <w:rsid w:val="00DE5862"/>
    <w:rsid w:val="00DE5933"/>
    <w:rsid w:val="00DE605A"/>
    <w:rsid w:val="00DE63A0"/>
    <w:rsid w:val="00DE64D9"/>
    <w:rsid w:val="00DE6626"/>
    <w:rsid w:val="00DE6DA8"/>
    <w:rsid w:val="00DE7099"/>
    <w:rsid w:val="00DE71A6"/>
    <w:rsid w:val="00DE737B"/>
    <w:rsid w:val="00DE755B"/>
    <w:rsid w:val="00DE7570"/>
    <w:rsid w:val="00DE7593"/>
    <w:rsid w:val="00DE7A6B"/>
    <w:rsid w:val="00DE7C62"/>
    <w:rsid w:val="00DE7D5D"/>
    <w:rsid w:val="00DE7FBB"/>
    <w:rsid w:val="00DF013E"/>
    <w:rsid w:val="00DF0581"/>
    <w:rsid w:val="00DF05B6"/>
    <w:rsid w:val="00DF05D5"/>
    <w:rsid w:val="00DF0D6C"/>
    <w:rsid w:val="00DF0FAA"/>
    <w:rsid w:val="00DF1242"/>
    <w:rsid w:val="00DF143C"/>
    <w:rsid w:val="00DF14EF"/>
    <w:rsid w:val="00DF1ACF"/>
    <w:rsid w:val="00DF1ADD"/>
    <w:rsid w:val="00DF214D"/>
    <w:rsid w:val="00DF2163"/>
    <w:rsid w:val="00DF24CD"/>
    <w:rsid w:val="00DF2625"/>
    <w:rsid w:val="00DF2639"/>
    <w:rsid w:val="00DF2684"/>
    <w:rsid w:val="00DF2B7B"/>
    <w:rsid w:val="00DF2D00"/>
    <w:rsid w:val="00DF2D78"/>
    <w:rsid w:val="00DF341B"/>
    <w:rsid w:val="00DF342A"/>
    <w:rsid w:val="00DF387C"/>
    <w:rsid w:val="00DF39AB"/>
    <w:rsid w:val="00DF39B9"/>
    <w:rsid w:val="00DF39E9"/>
    <w:rsid w:val="00DF41F4"/>
    <w:rsid w:val="00DF42F5"/>
    <w:rsid w:val="00DF431B"/>
    <w:rsid w:val="00DF43C9"/>
    <w:rsid w:val="00DF4836"/>
    <w:rsid w:val="00DF4F81"/>
    <w:rsid w:val="00DF508C"/>
    <w:rsid w:val="00DF5B23"/>
    <w:rsid w:val="00DF5C66"/>
    <w:rsid w:val="00DF5DC1"/>
    <w:rsid w:val="00DF64C9"/>
    <w:rsid w:val="00DF675B"/>
    <w:rsid w:val="00DF67E0"/>
    <w:rsid w:val="00DF682A"/>
    <w:rsid w:val="00DF74D9"/>
    <w:rsid w:val="00DF7658"/>
    <w:rsid w:val="00DF7A21"/>
    <w:rsid w:val="00E002BB"/>
    <w:rsid w:val="00E00818"/>
    <w:rsid w:val="00E0088B"/>
    <w:rsid w:val="00E008CC"/>
    <w:rsid w:val="00E00984"/>
    <w:rsid w:val="00E00CD0"/>
    <w:rsid w:val="00E01000"/>
    <w:rsid w:val="00E01DC9"/>
    <w:rsid w:val="00E01F12"/>
    <w:rsid w:val="00E02039"/>
    <w:rsid w:val="00E02128"/>
    <w:rsid w:val="00E022B8"/>
    <w:rsid w:val="00E0246A"/>
    <w:rsid w:val="00E025C9"/>
    <w:rsid w:val="00E029AF"/>
    <w:rsid w:val="00E02C92"/>
    <w:rsid w:val="00E02E41"/>
    <w:rsid w:val="00E02E59"/>
    <w:rsid w:val="00E02F71"/>
    <w:rsid w:val="00E033F7"/>
    <w:rsid w:val="00E0351C"/>
    <w:rsid w:val="00E0360B"/>
    <w:rsid w:val="00E03A96"/>
    <w:rsid w:val="00E03E73"/>
    <w:rsid w:val="00E03F08"/>
    <w:rsid w:val="00E03FAD"/>
    <w:rsid w:val="00E03FBA"/>
    <w:rsid w:val="00E046CD"/>
    <w:rsid w:val="00E05184"/>
    <w:rsid w:val="00E052A7"/>
    <w:rsid w:val="00E05413"/>
    <w:rsid w:val="00E057CA"/>
    <w:rsid w:val="00E0590F"/>
    <w:rsid w:val="00E05A0C"/>
    <w:rsid w:val="00E05D56"/>
    <w:rsid w:val="00E05D5E"/>
    <w:rsid w:val="00E06008"/>
    <w:rsid w:val="00E06031"/>
    <w:rsid w:val="00E06360"/>
    <w:rsid w:val="00E06F6C"/>
    <w:rsid w:val="00E0707F"/>
    <w:rsid w:val="00E07179"/>
    <w:rsid w:val="00E07473"/>
    <w:rsid w:val="00E079B8"/>
    <w:rsid w:val="00E07FE9"/>
    <w:rsid w:val="00E1018C"/>
    <w:rsid w:val="00E103DC"/>
    <w:rsid w:val="00E105A9"/>
    <w:rsid w:val="00E10741"/>
    <w:rsid w:val="00E10789"/>
    <w:rsid w:val="00E10A68"/>
    <w:rsid w:val="00E10C30"/>
    <w:rsid w:val="00E113F7"/>
    <w:rsid w:val="00E115B8"/>
    <w:rsid w:val="00E1174F"/>
    <w:rsid w:val="00E1177F"/>
    <w:rsid w:val="00E11B75"/>
    <w:rsid w:val="00E11BBC"/>
    <w:rsid w:val="00E12327"/>
    <w:rsid w:val="00E12555"/>
    <w:rsid w:val="00E126BA"/>
    <w:rsid w:val="00E12B47"/>
    <w:rsid w:val="00E12E27"/>
    <w:rsid w:val="00E12F38"/>
    <w:rsid w:val="00E135C1"/>
    <w:rsid w:val="00E13CAC"/>
    <w:rsid w:val="00E13DF4"/>
    <w:rsid w:val="00E143CE"/>
    <w:rsid w:val="00E149B2"/>
    <w:rsid w:val="00E14ABB"/>
    <w:rsid w:val="00E14CF9"/>
    <w:rsid w:val="00E14E60"/>
    <w:rsid w:val="00E15056"/>
    <w:rsid w:val="00E15117"/>
    <w:rsid w:val="00E151B7"/>
    <w:rsid w:val="00E1544C"/>
    <w:rsid w:val="00E1544E"/>
    <w:rsid w:val="00E15684"/>
    <w:rsid w:val="00E15B56"/>
    <w:rsid w:val="00E15BB0"/>
    <w:rsid w:val="00E15CC5"/>
    <w:rsid w:val="00E15D6F"/>
    <w:rsid w:val="00E15DB1"/>
    <w:rsid w:val="00E15FAE"/>
    <w:rsid w:val="00E1638A"/>
    <w:rsid w:val="00E166BB"/>
    <w:rsid w:val="00E167DC"/>
    <w:rsid w:val="00E16857"/>
    <w:rsid w:val="00E169D8"/>
    <w:rsid w:val="00E16E2D"/>
    <w:rsid w:val="00E1723F"/>
    <w:rsid w:val="00E173C2"/>
    <w:rsid w:val="00E17552"/>
    <w:rsid w:val="00E17887"/>
    <w:rsid w:val="00E179AF"/>
    <w:rsid w:val="00E201AB"/>
    <w:rsid w:val="00E2032C"/>
    <w:rsid w:val="00E203DC"/>
    <w:rsid w:val="00E20848"/>
    <w:rsid w:val="00E20EBC"/>
    <w:rsid w:val="00E20F5C"/>
    <w:rsid w:val="00E20FE3"/>
    <w:rsid w:val="00E20FE7"/>
    <w:rsid w:val="00E21398"/>
    <w:rsid w:val="00E21694"/>
    <w:rsid w:val="00E21A46"/>
    <w:rsid w:val="00E21B03"/>
    <w:rsid w:val="00E21D3E"/>
    <w:rsid w:val="00E22225"/>
    <w:rsid w:val="00E2222A"/>
    <w:rsid w:val="00E22268"/>
    <w:rsid w:val="00E2239B"/>
    <w:rsid w:val="00E22445"/>
    <w:rsid w:val="00E226B0"/>
    <w:rsid w:val="00E22C8E"/>
    <w:rsid w:val="00E22DD6"/>
    <w:rsid w:val="00E2306E"/>
    <w:rsid w:val="00E2379E"/>
    <w:rsid w:val="00E23D60"/>
    <w:rsid w:val="00E24638"/>
    <w:rsid w:val="00E24973"/>
    <w:rsid w:val="00E24B7A"/>
    <w:rsid w:val="00E24D81"/>
    <w:rsid w:val="00E25197"/>
    <w:rsid w:val="00E251F5"/>
    <w:rsid w:val="00E254D7"/>
    <w:rsid w:val="00E25680"/>
    <w:rsid w:val="00E25A9D"/>
    <w:rsid w:val="00E25F99"/>
    <w:rsid w:val="00E260A3"/>
    <w:rsid w:val="00E26434"/>
    <w:rsid w:val="00E265AC"/>
    <w:rsid w:val="00E26857"/>
    <w:rsid w:val="00E26D15"/>
    <w:rsid w:val="00E26FEA"/>
    <w:rsid w:val="00E27190"/>
    <w:rsid w:val="00E27289"/>
    <w:rsid w:val="00E2771B"/>
    <w:rsid w:val="00E27DDB"/>
    <w:rsid w:val="00E27FE1"/>
    <w:rsid w:val="00E30025"/>
    <w:rsid w:val="00E30B1A"/>
    <w:rsid w:val="00E30B2B"/>
    <w:rsid w:val="00E30C84"/>
    <w:rsid w:val="00E31702"/>
    <w:rsid w:val="00E3179B"/>
    <w:rsid w:val="00E31B75"/>
    <w:rsid w:val="00E31CC5"/>
    <w:rsid w:val="00E31E02"/>
    <w:rsid w:val="00E31F23"/>
    <w:rsid w:val="00E32164"/>
    <w:rsid w:val="00E322C0"/>
    <w:rsid w:val="00E32336"/>
    <w:rsid w:val="00E3237F"/>
    <w:rsid w:val="00E3242E"/>
    <w:rsid w:val="00E3285F"/>
    <w:rsid w:val="00E32DBC"/>
    <w:rsid w:val="00E330C9"/>
    <w:rsid w:val="00E3330E"/>
    <w:rsid w:val="00E334A3"/>
    <w:rsid w:val="00E3351F"/>
    <w:rsid w:val="00E3378D"/>
    <w:rsid w:val="00E337EF"/>
    <w:rsid w:val="00E3389A"/>
    <w:rsid w:val="00E338D4"/>
    <w:rsid w:val="00E33992"/>
    <w:rsid w:val="00E339E5"/>
    <w:rsid w:val="00E33B03"/>
    <w:rsid w:val="00E33C0D"/>
    <w:rsid w:val="00E33D73"/>
    <w:rsid w:val="00E33E78"/>
    <w:rsid w:val="00E3423C"/>
    <w:rsid w:val="00E342B0"/>
    <w:rsid w:val="00E344C9"/>
    <w:rsid w:val="00E34521"/>
    <w:rsid w:val="00E34546"/>
    <w:rsid w:val="00E3484C"/>
    <w:rsid w:val="00E34908"/>
    <w:rsid w:val="00E34EF7"/>
    <w:rsid w:val="00E350DA"/>
    <w:rsid w:val="00E351AD"/>
    <w:rsid w:val="00E352E9"/>
    <w:rsid w:val="00E35BCC"/>
    <w:rsid w:val="00E35DCE"/>
    <w:rsid w:val="00E35DEB"/>
    <w:rsid w:val="00E363AC"/>
    <w:rsid w:val="00E365C3"/>
    <w:rsid w:val="00E36805"/>
    <w:rsid w:val="00E36B40"/>
    <w:rsid w:val="00E370C1"/>
    <w:rsid w:val="00E3714F"/>
    <w:rsid w:val="00E37200"/>
    <w:rsid w:val="00E3752B"/>
    <w:rsid w:val="00E37570"/>
    <w:rsid w:val="00E375AF"/>
    <w:rsid w:val="00E375F3"/>
    <w:rsid w:val="00E37609"/>
    <w:rsid w:val="00E37C69"/>
    <w:rsid w:val="00E37D62"/>
    <w:rsid w:val="00E4026B"/>
    <w:rsid w:val="00E4058B"/>
    <w:rsid w:val="00E4067E"/>
    <w:rsid w:val="00E406F2"/>
    <w:rsid w:val="00E40A38"/>
    <w:rsid w:val="00E40D0F"/>
    <w:rsid w:val="00E40DAE"/>
    <w:rsid w:val="00E40EDD"/>
    <w:rsid w:val="00E40F62"/>
    <w:rsid w:val="00E40FCE"/>
    <w:rsid w:val="00E4111F"/>
    <w:rsid w:val="00E41660"/>
    <w:rsid w:val="00E41F45"/>
    <w:rsid w:val="00E41FC5"/>
    <w:rsid w:val="00E423C1"/>
    <w:rsid w:val="00E426FD"/>
    <w:rsid w:val="00E4280D"/>
    <w:rsid w:val="00E42F6E"/>
    <w:rsid w:val="00E43249"/>
    <w:rsid w:val="00E433E6"/>
    <w:rsid w:val="00E434A2"/>
    <w:rsid w:val="00E434B2"/>
    <w:rsid w:val="00E43598"/>
    <w:rsid w:val="00E436A2"/>
    <w:rsid w:val="00E43861"/>
    <w:rsid w:val="00E44537"/>
    <w:rsid w:val="00E449B4"/>
    <w:rsid w:val="00E45805"/>
    <w:rsid w:val="00E458D8"/>
    <w:rsid w:val="00E45A31"/>
    <w:rsid w:val="00E45DB3"/>
    <w:rsid w:val="00E461CB"/>
    <w:rsid w:val="00E461E0"/>
    <w:rsid w:val="00E4630C"/>
    <w:rsid w:val="00E4630F"/>
    <w:rsid w:val="00E4632C"/>
    <w:rsid w:val="00E4660C"/>
    <w:rsid w:val="00E4660D"/>
    <w:rsid w:val="00E466D9"/>
    <w:rsid w:val="00E46846"/>
    <w:rsid w:val="00E47249"/>
    <w:rsid w:val="00E4734F"/>
    <w:rsid w:val="00E475FC"/>
    <w:rsid w:val="00E47D55"/>
    <w:rsid w:val="00E47E2D"/>
    <w:rsid w:val="00E47EEF"/>
    <w:rsid w:val="00E500BC"/>
    <w:rsid w:val="00E5038F"/>
    <w:rsid w:val="00E50510"/>
    <w:rsid w:val="00E506B0"/>
    <w:rsid w:val="00E508E3"/>
    <w:rsid w:val="00E50A9B"/>
    <w:rsid w:val="00E51607"/>
    <w:rsid w:val="00E518A7"/>
    <w:rsid w:val="00E519C2"/>
    <w:rsid w:val="00E51ADA"/>
    <w:rsid w:val="00E51BCC"/>
    <w:rsid w:val="00E51F80"/>
    <w:rsid w:val="00E520C4"/>
    <w:rsid w:val="00E5251A"/>
    <w:rsid w:val="00E527CB"/>
    <w:rsid w:val="00E52833"/>
    <w:rsid w:val="00E529F5"/>
    <w:rsid w:val="00E52B57"/>
    <w:rsid w:val="00E52F95"/>
    <w:rsid w:val="00E5356B"/>
    <w:rsid w:val="00E53677"/>
    <w:rsid w:val="00E53CEE"/>
    <w:rsid w:val="00E53E00"/>
    <w:rsid w:val="00E53EC3"/>
    <w:rsid w:val="00E54221"/>
    <w:rsid w:val="00E545F2"/>
    <w:rsid w:val="00E545F5"/>
    <w:rsid w:val="00E54BBA"/>
    <w:rsid w:val="00E54C8C"/>
    <w:rsid w:val="00E54E61"/>
    <w:rsid w:val="00E555AB"/>
    <w:rsid w:val="00E555CF"/>
    <w:rsid w:val="00E55696"/>
    <w:rsid w:val="00E557E9"/>
    <w:rsid w:val="00E558CD"/>
    <w:rsid w:val="00E55C7C"/>
    <w:rsid w:val="00E561A4"/>
    <w:rsid w:val="00E56383"/>
    <w:rsid w:val="00E563A6"/>
    <w:rsid w:val="00E564C5"/>
    <w:rsid w:val="00E5650A"/>
    <w:rsid w:val="00E5661F"/>
    <w:rsid w:val="00E5662B"/>
    <w:rsid w:val="00E5684B"/>
    <w:rsid w:val="00E569CA"/>
    <w:rsid w:val="00E56AF5"/>
    <w:rsid w:val="00E56EE8"/>
    <w:rsid w:val="00E574EC"/>
    <w:rsid w:val="00E5798D"/>
    <w:rsid w:val="00E57ED3"/>
    <w:rsid w:val="00E57F9C"/>
    <w:rsid w:val="00E6021D"/>
    <w:rsid w:val="00E60248"/>
    <w:rsid w:val="00E6050E"/>
    <w:rsid w:val="00E6092E"/>
    <w:rsid w:val="00E609BD"/>
    <w:rsid w:val="00E612B5"/>
    <w:rsid w:val="00E615F9"/>
    <w:rsid w:val="00E61814"/>
    <w:rsid w:val="00E6193C"/>
    <w:rsid w:val="00E61CF6"/>
    <w:rsid w:val="00E61ED6"/>
    <w:rsid w:val="00E62004"/>
    <w:rsid w:val="00E6213E"/>
    <w:rsid w:val="00E622BA"/>
    <w:rsid w:val="00E625FB"/>
    <w:rsid w:val="00E628AF"/>
    <w:rsid w:val="00E62B92"/>
    <w:rsid w:val="00E62BC2"/>
    <w:rsid w:val="00E62E29"/>
    <w:rsid w:val="00E6330E"/>
    <w:rsid w:val="00E636A3"/>
    <w:rsid w:val="00E63D34"/>
    <w:rsid w:val="00E63DAA"/>
    <w:rsid w:val="00E63EED"/>
    <w:rsid w:val="00E643C8"/>
    <w:rsid w:val="00E64455"/>
    <w:rsid w:val="00E646B1"/>
    <w:rsid w:val="00E647F8"/>
    <w:rsid w:val="00E64DD2"/>
    <w:rsid w:val="00E66096"/>
    <w:rsid w:val="00E6616E"/>
    <w:rsid w:val="00E66219"/>
    <w:rsid w:val="00E6651D"/>
    <w:rsid w:val="00E6697F"/>
    <w:rsid w:val="00E673A2"/>
    <w:rsid w:val="00E67688"/>
    <w:rsid w:val="00E679D0"/>
    <w:rsid w:val="00E7007C"/>
    <w:rsid w:val="00E702D4"/>
    <w:rsid w:val="00E70429"/>
    <w:rsid w:val="00E70490"/>
    <w:rsid w:val="00E70579"/>
    <w:rsid w:val="00E70B3C"/>
    <w:rsid w:val="00E71106"/>
    <w:rsid w:val="00E714FF"/>
    <w:rsid w:val="00E71A42"/>
    <w:rsid w:val="00E71B93"/>
    <w:rsid w:val="00E71D3F"/>
    <w:rsid w:val="00E7204F"/>
    <w:rsid w:val="00E72137"/>
    <w:rsid w:val="00E7221D"/>
    <w:rsid w:val="00E722E7"/>
    <w:rsid w:val="00E72536"/>
    <w:rsid w:val="00E73086"/>
    <w:rsid w:val="00E73141"/>
    <w:rsid w:val="00E732E1"/>
    <w:rsid w:val="00E738B0"/>
    <w:rsid w:val="00E738B3"/>
    <w:rsid w:val="00E7412F"/>
    <w:rsid w:val="00E749E9"/>
    <w:rsid w:val="00E74B9F"/>
    <w:rsid w:val="00E74EC5"/>
    <w:rsid w:val="00E75242"/>
    <w:rsid w:val="00E75428"/>
    <w:rsid w:val="00E756AA"/>
    <w:rsid w:val="00E7575F"/>
    <w:rsid w:val="00E75E57"/>
    <w:rsid w:val="00E75F2A"/>
    <w:rsid w:val="00E76130"/>
    <w:rsid w:val="00E7615F"/>
    <w:rsid w:val="00E76665"/>
    <w:rsid w:val="00E76A23"/>
    <w:rsid w:val="00E76AE0"/>
    <w:rsid w:val="00E76CE9"/>
    <w:rsid w:val="00E76F50"/>
    <w:rsid w:val="00E77207"/>
    <w:rsid w:val="00E7731D"/>
    <w:rsid w:val="00E7760D"/>
    <w:rsid w:val="00E778CF"/>
    <w:rsid w:val="00E77CAD"/>
    <w:rsid w:val="00E77F6E"/>
    <w:rsid w:val="00E803AB"/>
    <w:rsid w:val="00E8088B"/>
    <w:rsid w:val="00E809E6"/>
    <w:rsid w:val="00E80B02"/>
    <w:rsid w:val="00E811A9"/>
    <w:rsid w:val="00E811B8"/>
    <w:rsid w:val="00E81241"/>
    <w:rsid w:val="00E81792"/>
    <w:rsid w:val="00E81A87"/>
    <w:rsid w:val="00E81BA1"/>
    <w:rsid w:val="00E81C62"/>
    <w:rsid w:val="00E81DD4"/>
    <w:rsid w:val="00E8251B"/>
    <w:rsid w:val="00E830E7"/>
    <w:rsid w:val="00E83472"/>
    <w:rsid w:val="00E836C8"/>
    <w:rsid w:val="00E837B3"/>
    <w:rsid w:val="00E83834"/>
    <w:rsid w:val="00E83948"/>
    <w:rsid w:val="00E83969"/>
    <w:rsid w:val="00E83B02"/>
    <w:rsid w:val="00E83B93"/>
    <w:rsid w:val="00E83CF9"/>
    <w:rsid w:val="00E83DC5"/>
    <w:rsid w:val="00E84164"/>
    <w:rsid w:val="00E848E1"/>
    <w:rsid w:val="00E84A24"/>
    <w:rsid w:val="00E84A57"/>
    <w:rsid w:val="00E84BD0"/>
    <w:rsid w:val="00E84D4E"/>
    <w:rsid w:val="00E84F42"/>
    <w:rsid w:val="00E850BD"/>
    <w:rsid w:val="00E85131"/>
    <w:rsid w:val="00E8513B"/>
    <w:rsid w:val="00E85411"/>
    <w:rsid w:val="00E85785"/>
    <w:rsid w:val="00E857D8"/>
    <w:rsid w:val="00E858A4"/>
    <w:rsid w:val="00E862FE"/>
    <w:rsid w:val="00E86381"/>
    <w:rsid w:val="00E86576"/>
    <w:rsid w:val="00E86868"/>
    <w:rsid w:val="00E86C89"/>
    <w:rsid w:val="00E87033"/>
    <w:rsid w:val="00E8708E"/>
    <w:rsid w:val="00E87184"/>
    <w:rsid w:val="00E874AD"/>
    <w:rsid w:val="00E8761D"/>
    <w:rsid w:val="00E87A2A"/>
    <w:rsid w:val="00E87E85"/>
    <w:rsid w:val="00E900AB"/>
    <w:rsid w:val="00E90377"/>
    <w:rsid w:val="00E9041A"/>
    <w:rsid w:val="00E90439"/>
    <w:rsid w:val="00E908B8"/>
    <w:rsid w:val="00E909C1"/>
    <w:rsid w:val="00E90CD1"/>
    <w:rsid w:val="00E914DD"/>
    <w:rsid w:val="00E91559"/>
    <w:rsid w:val="00E91680"/>
    <w:rsid w:val="00E91799"/>
    <w:rsid w:val="00E91984"/>
    <w:rsid w:val="00E91A51"/>
    <w:rsid w:val="00E91BC5"/>
    <w:rsid w:val="00E91FF3"/>
    <w:rsid w:val="00E9207B"/>
    <w:rsid w:val="00E9262D"/>
    <w:rsid w:val="00E92974"/>
    <w:rsid w:val="00E9299D"/>
    <w:rsid w:val="00E92B17"/>
    <w:rsid w:val="00E92D5D"/>
    <w:rsid w:val="00E92D9F"/>
    <w:rsid w:val="00E92F98"/>
    <w:rsid w:val="00E93059"/>
    <w:rsid w:val="00E9331D"/>
    <w:rsid w:val="00E93B33"/>
    <w:rsid w:val="00E94042"/>
    <w:rsid w:val="00E940C7"/>
    <w:rsid w:val="00E941D6"/>
    <w:rsid w:val="00E94280"/>
    <w:rsid w:val="00E944CA"/>
    <w:rsid w:val="00E944DC"/>
    <w:rsid w:val="00E95322"/>
    <w:rsid w:val="00E95366"/>
    <w:rsid w:val="00E953B2"/>
    <w:rsid w:val="00E95490"/>
    <w:rsid w:val="00E9571C"/>
    <w:rsid w:val="00E95738"/>
    <w:rsid w:val="00E95C3D"/>
    <w:rsid w:val="00E968C1"/>
    <w:rsid w:val="00E96AC6"/>
    <w:rsid w:val="00E971F6"/>
    <w:rsid w:val="00E97296"/>
    <w:rsid w:val="00E97410"/>
    <w:rsid w:val="00E9783E"/>
    <w:rsid w:val="00EA024B"/>
    <w:rsid w:val="00EA037D"/>
    <w:rsid w:val="00EA0A0F"/>
    <w:rsid w:val="00EA0AC4"/>
    <w:rsid w:val="00EA0ACE"/>
    <w:rsid w:val="00EA0AD6"/>
    <w:rsid w:val="00EA0C9A"/>
    <w:rsid w:val="00EA0E54"/>
    <w:rsid w:val="00EA1053"/>
    <w:rsid w:val="00EA135C"/>
    <w:rsid w:val="00EA1769"/>
    <w:rsid w:val="00EA1A27"/>
    <w:rsid w:val="00EA1A5C"/>
    <w:rsid w:val="00EA1F89"/>
    <w:rsid w:val="00EA2050"/>
    <w:rsid w:val="00EA20AD"/>
    <w:rsid w:val="00EA249E"/>
    <w:rsid w:val="00EA2B3F"/>
    <w:rsid w:val="00EA2DEE"/>
    <w:rsid w:val="00EA30AF"/>
    <w:rsid w:val="00EA32DA"/>
    <w:rsid w:val="00EA3445"/>
    <w:rsid w:val="00EA35CF"/>
    <w:rsid w:val="00EA3648"/>
    <w:rsid w:val="00EA3671"/>
    <w:rsid w:val="00EA36C6"/>
    <w:rsid w:val="00EA39AC"/>
    <w:rsid w:val="00EA3A1C"/>
    <w:rsid w:val="00EA3A76"/>
    <w:rsid w:val="00EA3CF9"/>
    <w:rsid w:val="00EA41A6"/>
    <w:rsid w:val="00EA4275"/>
    <w:rsid w:val="00EA44E1"/>
    <w:rsid w:val="00EA45A4"/>
    <w:rsid w:val="00EA483E"/>
    <w:rsid w:val="00EA48CE"/>
    <w:rsid w:val="00EA4B20"/>
    <w:rsid w:val="00EA4C93"/>
    <w:rsid w:val="00EA5FAE"/>
    <w:rsid w:val="00EA645F"/>
    <w:rsid w:val="00EA651B"/>
    <w:rsid w:val="00EA6582"/>
    <w:rsid w:val="00EA6F50"/>
    <w:rsid w:val="00EA7111"/>
    <w:rsid w:val="00EA7226"/>
    <w:rsid w:val="00EA7413"/>
    <w:rsid w:val="00EA7952"/>
    <w:rsid w:val="00EA7B1A"/>
    <w:rsid w:val="00EA7B78"/>
    <w:rsid w:val="00EA7E50"/>
    <w:rsid w:val="00EB02ED"/>
    <w:rsid w:val="00EB0BAF"/>
    <w:rsid w:val="00EB0DEA"/>
    <w:rsid w:val="00EB13CE"/>
    <w:rsid w:val="00EB18D9"/>
    <w:rsid w:val="00EB1D7E"/>
    <w:rsid w:val="00EB1F63"/>
    <w:rsid w:val="00EB24C0"/>
    <w:rsid w:val="00EB27BC"/>
    <w:rsid w:val="00EB27C3"/>
    <w:rsid w:val="00EB27CC"/>
    <w:rsid w:val="00EB28DC"/>
    <w:rsid w:val="00EB2B22"/>
    <w:rsid w:val="00EB2F22"/>
    <w:rsid w:val="00EB3305"/>
    <w:rsid w:val="00EB3394"/>
    <w:rsid w:val="00EB3674"/>
    <w:rsid w:val="00EB38C1"/>
    <w:rsid w:val="00EB391A"/>
    <w:rsid w:val="00EB3F4E"/>
    <w:rsid w:val="00EB4050"/>
    <w:rsid w:val="00EB412B"/>
    <w:rsid w:val="00EB4790"/>
    <w:rsid w:val="00EB4BFC"/>
    <w:rsid w:val="00EB514F"/>
    <w:rsid w:val="00EB5398"/>
    <w:rsid w:val="00EB53D7"/>
    <w:rsid w:val="00EB56A5"/>
    <w:rsid w:val="00EB591F"/>
    <w:rsid w:val="00EB5AC0"/>
    <w:rsid w:val="00EB5B85"/>
    <w:rsid w:val="00EB5BA8"/>
    <w:rsid w:val="00EB5DCE"/>
    <w:rsid w:val="00EB5F9F"/>
    <w:rsid w:val="00EB61B8"/>
    <w:rsid w:val="00EB63C2"/>
    <w:rsid w:val="00EB6A32"/>
    <w:rsid w:val="00EB71CF"/>
    <w:rsid w:val="00EB73DA"/>
    <w:rsid w:val="00EB73DB"/>
    <w:rsid w:val="00EB766C"/>
    <w:rsid w:val="00EB76CA"/>
    <w:rsid w:val="00EB7A57"/>
    <w:rsid w:val="00EB7EC5"/>
    <w:rsid w:val="00EC025F"/>
    <w:rsid w:val="00EC0FA9"/>
    <w:rsid w:val="00EC16DB"/>
    <w:rsid w:val="00EC1B5A"/>
    <w:rsid w:val="00EC2173"/>
    <w:rsid w:val="00EC277F"/>
    <w:rsid w:val="00EC2B08"/>
    <w:rsid w:val="00EC2EDF"/>
    <w:rsid w:val="00EC3050"/>
    <w:rsid w:val="00EC3058"/>
    <w:rsid w:val="00EC3247"/>
    <w:rsid w:val="00EC33A0"/>
    <w:rsid w:val="00EC35A9"/>
    <w:rsid w:val="00EC3905"/>
    <w:rsid w:val="00EC4076"/>
    <w:rsid w:val="00EC45EF"/>
    <w:rsid w:val="00EC4836"/>
    <w:rsid w:val="00EC4E1F"/>
    <w:rsid w:val="00EC5088"/>
    <w:rsid w:val="00EC592D"/>
    <w:rsid w:val="00EC5AE4"/>
    <w:rsid w:val="00EC5FB6"/>
    <w:rsid w:val="00EC658E"/>
    <w:rsid w:val="00EC6ABA"/>
    <w:rsid w:val="00EC6F65"/>
    <w:rsid w:val="00EC7059"/>
    <w:rsid w:val="00EC73C8"/>
    <w:rsid w:val="00EC74F3"/>
    <w:rsid w:val="00ED0518"/>
    <w:rsid w:val="00ED07FB"/>
    <w:rsid w:val="00ED0AE3"/>
    <w:rsid w:val="00ED0D62"/>
    <w:rsid w:val="00ED0E66"/>
    <w:rsid w:val="00ED1061"/>
    <w:rsid w:val="00ED1997"/>
    <w:rsid w:val="00ED1D23"/>
    <w:rsid w:val="00ED2048"/>
    <w:rsid w:val="00ED24DE"/>
    <w:rsid w:val="00ED2595"/>
    <w:rsid w:val="00ED25F7"/>
    <w:rsid w:val="00ED305C"/>
    <w:rsid w:val="00ED3194"/>
    <w:rsid w:val="00ED3475"/>
    <w:rsid w:val="00ED37AF"/>
    <w:rsid w:val="00ED37CF"/>
    <w:rsid w:val="00ED3975"/>
    <w:rsid w:val="00ED3B03"/>
    <w:rsid w:val="00ED3B99"/>
    <w:rsid w:val="00ED3E11"/>
    <w:rsid w:val="00ED4111"/>
    <w:rsid w:val="00ED4205"/>
    <w:rsid w:val="00ED4292"/>
    <w:rsid w:val="00ED44F1"/>
    <w:rsid w:val="00ED4587"/>
    <w:rsid w:val="00ED4ACA"/>
    <w:rsid w:val="00ED4B7E"/>
    <w:rsid w:val="00ED4EB2"/>
    <w:rsid w:val="00ED56AE"/>
    <w:rsid w:val="00ED576D"/>
    <w:rsid w:val="00ED5834"/>
    <w:rsid w:val="00ED5C9A"/>
    <w:rsid w:val="00ED5CB5"/>
    <w:rsid w:val="00ED5E38"/>
    <w:rsid w:val="00ED66C3"/>
    <w:rsid w:val="00ED6A8C"/>
    <w:rsid w:val="00ED71A8"/>
    <w:rsid w:val="00ED750C"/>
    <w:rsid w:val="00ED753A"/>
    <w:rsid w:val="00ED7DC2"/>
    <w:rsid w:val="00EE0028"/>
    <w:rsid w:val="00EE014F"/>
    <w:rsid w:val="00EE0778"/>
    <w:rsid w:val="00EE07DF"/>
    <w:rsid w:val="00EE0BE7"/>
    <w:rsid w:val="00EE0CF3"/>
    <w:rsid w:val="00EE0E58"/>
    <w:rsid w:val="00EE128B"/>
    <w:rsid w:val="00EE12DF"/>
    <w:rsid w:val="00EE1422"/>
    <w:rsid w:val="00EE14A9"/>
    <w:rsid w:val="00EE14AD"/>
    <w:rsid w:val="00EE1E95"/>
    <w:rsid w:val="00EE2171"/>
    <w:rsid w:val="00EE268E"/>
    <w:rsid w:val="00EE2B5D"/>
    <w:rsid w:val="00EE2B5E"/>
    <w:rsid w:val="00EE2DB1"/>
    <w:rsid w:val="00EE3D72"/>
    <w:rsid w:val="00EE3E15"/>
    <w:rsid w:val="00EE3FB9"/>
    <w:rsid w:val="00EE4490"/>
    <w:rsid w:val="00EE44F0"/>
    <w:rsid w:val="00EE45A1"/>
    <w:rsid w:val="00EE483E"/>
    <w:rsid w:val="00EE4AF7"/>
    <w:rsid w:val="00EE4EEF"/>
    <w:rsid w:val="00EE5144"/>
    <w:rsid w:val="00EE5401"/>
    <w:rsid w:val="00EE5C88"/>
    <w:rsid w:val="00EE5EDB"/>
    <w:rsid w:val="00EE64D6"/>
    <w:rsid w:val="00EE6518"/>
    <w:rsid w:val="00EE6774"/>
    <w:rsid w:val="00EE6832"/>
    <w:rsid w:val="00EE69B9"/>
    <w:rsid w:val="00EE6E3D"/>
    <w:rsid w:val="00EE6F67"/>
    <w:rsid w:val="00EE7041"/>
    <w:rsid w:val="00EE72A7"/>
    <w:rsid w:val="00EE791D"/>
    <w:rsid w:val="00EE7B9A"/>
    <w:rsid w:val="00EE7E99"/>
    <w:rsid w:val="00EF01D3"/>
    <w:rsid w:val="00EF03D3"/>
    <w:rsid w:val="00EF043F"/>
    <w:rsid w:val="00EF0ADE"/>
    <w:rsid w:val="00EF0B97"/>
    <w:rsid w:val="00EF0C37"/>
    <w:rsid w:val="00EF0DDB"/>
    <w:rsid w:val="00EF0FEB"/>
    <w:rsid w:val="00EF132F"/>
    <w:rsid w:val="00EF14E2"/>
    <w:rsid w:val="00EF1755"/>
    <w:rsid w:val="00EF1819"/>
    <w:rsid w:val="00EF1B81"/>
    <w:rsid w:val="00EF1BD0"/>
    <w:rsid w:val="00EF1C10"/>
    <w:rsid w:val="00EF1C29"/>
    <w:rsid w:val="00EF1DCD"/>
    <w:rsid w:val="00EF1FBC"/>
    <w:rsid w:val="00EF257D"/>
    <w:rsid w:val="00EF25C5"/>
    <w:rsid w:val="00EF264F"/>
    <w:rsid w:val="00EF305D"/>
    <w:rsid w:val="00EF379A"/>
    <w:rsid w:val="00EF394C"/>
    <w:rsid w:val="00EF39F0"/>
    <w:rsid w:val="00EF3D58"/>
    <w:rsid w:val="00EF420B"/>
    <w:rsid w:val="00EF424D"/>
    <w:rsid w:val="00EF4621"/>
    <w:rsid w:val="00EF48AE"/>
    <w:rsid w:val="00EF4C88"/>
    <w:rsid w:val="00EF4D9B"/>
    <w:rsid w:val="00EF4EE9"/>
    <w:rsid w:val="00EF51F6"/>
    <w:rsid w:val="00EF548C"/>
    <w:rsid w:val="00EF56CF"/>
    <w:rsid w:val="00EF5784"/>
    <w:rsid w:val="00EF5E34"/>
    <w:rsid w:val="00EF664D"/>
    <w:rsid w:val="00EF6685"/>
    <w:rsid w:val="00EF6C55"/>
    <w:rsid w:val="00EF6CDD"/>
    <w:rsid w:val="00EF6E40"/>
    <w:rsid w:val="00EF6F43"/>
    <w:rsid w:val="00EF7063"/>
    <w:rsid w:val="00EF7084"/>
    <w:rsid w:val="00EF723A"/>
    <w:rsid w:val="00EF731B"/>
    <w:rsid w:val="00EF73F3"/>
    <w:rsid w:val="00EF760F"/>
    <w:rsid w:val="00EF7734"/>
    <w:rsid w:val="00EF7879"/>
    <w:rsid w:val="00EF78E2"/>
    <w:rsid w:val="00EF7AAC"/>
    <w:rsid w:val="00EF7E3E"/>
    <w:rsid w:val="00F003FF"/>
    <w:rsid w:val="00F00731"/>
    <w:rsid w:val="00F00734"/>
    <w:rsid w:val="00F00894"/>
    <w:rsid w:val="00F00957"/>
    <w:rsid w:val="00F00D60"/>
    <w:rsid w:val="00F0101B"/>
    <w:rsid w:val="00F0130C"/>
    <w:rsid w:val="00F014B1"/>
    <w:rsid w:val="00F016D7"/>
    <w:rsid w:val="00F01734"/>
    <w:rsid w:val="00F0234C"/>
    <w:rsid w:val="00F02AC0"/>
    <w:rsid w:val="00F02B69"/>
    <w:rsid w:val="00F02BF1"/>
    <w:rsid w:val="00F02C14"/>
    <w:rsid w:val="00F02D7E"/>
    <w:rsid w:val="00F02E95"/>
    <w:rsid w:val="00F03018"/>
    <w:rsid w:val="00F0322D"/>
    <w:rsid w:val="00F03243"/>
    <w:rsid w:val="00F03426"/>
    <w:rsid w:val="00F03A05"/>
    <w:rsid w:val="00F03B39"/>
    <w:rsid w:val="00F03BEA"/>
    <w:rsid w:val="00F03C1D"/>
    <w:rsid w:val="00F04052"/>
    <w:rsid w:val="00F04101"/>
    <w:rsid w:val="00F0461E"/>
    <w:rsid w:val="00F046C2"/>
    <w:rsid w:val="00F04999"/>
    <w:rsid w:val="00F04B3D"/>
    <w:rsid w:val="00F04FED"/>
    <w:rsid w:val="00F0505D"/>
    <w:rsid w:val="00F050A5"/>
    <w:rsid w:val="00F055AE"/>
    <w:rsid w:val="00F05648"/>
    <w:rsid w:val="00F0597A"/>
    <w:rsid w:val="00F064A5"/>
    <w:rsid w:val="00F06673"/>
    <w:rsid w:val="00F06961"/>
    <w:rsid w:val="00F06B17"/>
    <w:rsid w:val="00F071B5"/>
    <w:rsid w:val="00F07BB0"/>
    <w:rsid w:val="00F10307"/>
    <w:rsid w:val="00F1066F"/>
    <w:rsid w:val="00F106FF"/>
    <w:rsid w:val="00F10821"/>
    <w:rsid w:val="00F10843"/>
    <w:rsid w:val="00F109F0"/>
    <w:rsid w:val="00F10A87"/>
    <w:rsid w:val="00F10F33"/>
    <w:rsid w:val="00F11032"/>
    <w:rsid w:val="00F11096"/>
    <w:rsid w:val="00F1133C"/>
    <w:rsid w:val="00F1137D"/>
    <w:rsid w:val="00F1167F"/>
    <w:rsid w:val="00F11794"/>
    <w:rsid w:val="00F11AFA"/>
    <w:rsid w:val="00F11CD5"/>
    <w:rsid w:val="00F11ECA"/>
    <w:rsid w:val="00F122F0"/>
    <w:rsid w:val="00F1266D"/>
    <w:rsid w:val="00F12932"/>
    <w:rsid w:val="00F1300F"/>
    <w:rsid w:val="00F135D6"/>
    <w:rsid w:val="00F137AA"/>
    <w:rsid w:val="00F137E6"/>
    <w:rsid w:val="00F1392F"/>
    <w:rsid w:val="00F13A6C"/>
    <w:rsid w:val="00F13DEC"/>
    <w:rsid w:val="00F140BB"/>
    <w:rsid w:val="00F1415F"/>
    <w:rsid w:val="00F14201"/>
    <w:rsid w:val="00F14AB2"/>
    <w:rsid w:val="00F14E42"/>
    <w:rsid w:val="00F1508C"/>
    <w:rsid w:val="00F1513E"/>
    <w:rsid w:val="00F1531C"/>
    <w:rsid w:val="00F15514"/>
    <w:rsid w:val="00F15681"/>
    <w:rsid w:val="00F1578E"/>
    <w:rsid w:val="00F15795"/>
    <w:rsid w:val="00F15DF4"/>
    <w:rsid w:val="00F15F01"/>
    <w:rsid w:val="00F16A3E"/>
    <w:rsid w:val="00F16BE6"/>
    <w:rsid w:val="00F16DC3"/>
    <w:rsid w:val="00F17287"/>
    <w:rsid w:val="00F17629"/>
    <w:rsid w:val="00F17928"/>
    <w:rsid w:val="00F17A25"/>
    <w:rsid w:val="00F17F10"/>
    <w:rsid w:val="00F204AD"/>
    <w:rsid w:val="00F20588"/>
    <w:rsid w:val="00F20602"/>
    <w:rsid w:val="00F2075B"/>
    <w:rsid w:val="00F20763"/>
    <w:rsid w:val="00F208E4"/>
    <w:rsid w:val="00F20A76"/>
    <w:rsid w:val="00F20C53"/>
    <w:rsid w:val="00F20D27"/>
    <w:rsid w:val="00F20DDF"/>
    <w:rsid w:val="00F20F2B"/>
    <w:rsid w:val="00F219FF"/>
    <w:rsid w:val="00F21CAB"/>
    <w:rsid w:val="00F21FE8"/>
    <w:rsid w:val="00F2220C"/>
    <w:rsid w:val="00F224FF"/>
    <w:rsid w:val="00F22571"/>
    <w:rsid w:val="00F227C8"/>
    <w:rsid w:val="00F22C29"/>
    <w:rsid w:val="00F22D3D"/>
    <w:rsid w:val="00F22FE3"/>
    <w:rsid w:val="00F23729"/>
    <w:rsid w:val="00F23AA5"/>
    <w:rsid w:val="00F23CB7"/>
    <w:rsid w:val="00F241DE"/>
    <w:rsid w:val="00F24410"/>
    <w:rsid w:val="00F244A3"/>
    <w:rsid w:val="00F24577"/>
    <w:rsid w:val="00F249AA"/>
    <w:rsid w:val="00F24D6C"/>
    <w:rsid w:val="00F254A1"/>
    <w:rsid w:val="00F2566F"/>
    <w:rsid w:val="00F257B5"/>
    <w:rsid w:val="00F258CE"/>
    <w:rsid w:val="00F25B45"/>
    <w:rsid w:val="00F25C2A"/>
    <w:rsid w:val="00F25F4E"/>
    <w:rsid w:val="00F26267"/>
    <w:rsid w:val="00F263B8"/>
    <w:rsid w:val="00F26455"/>
    <w:rsid w:val="00F26963"/>
    <w:rsid w:val="00F26B5A"/>
    <w:rsid w:val="00F26B95"/>
    <w:rsid w:val="00F26F38"/>
    <w:rsid w:val="00F271AF"/>
    <w:rsid w:val="00F2720E"/>
    <w:rsid w:val="00F274C5"/>
    <w:rsid w:val="00F27600"/>
    <w:rsid w:val="00F276A2"/>
    <w:rsid w:val="00F2776D"/>
    <w:rsid w:val="00F27946"/>
    <w:rsid w:val="00F27BD3"/>
    <w:rsid w:val="00F27C84"/>
    <w:rsid w:val="00F27CE0"/>
    <w:rsid w:val="00F27DB8"/>
    <w:rsid w:val="00F309BD"/>
    <w:rsid w:val="00F30C5B"/>
    <w:rsid w:val="00F31057"/>
    <w:rsid w:val="00F3110E"/>
    <w:rsid w:val="00F3135E"/>
    <w:rsid w:val="00F31652"/>
    <w:rsid w:val="00F31FDF"/>
    <w:rsid w:val="00F3229E"/>
    <w:rsid w:val="00F32A5B"/>
    <w:rsid w:val="00F32B62"/>
    <w:rsid w:val="00F32E85"/>
    <w:rsid w:val="00F33231"/>
    <w:rsid w:val="00F336E3"/>
    <w:rsid w:val="00F33788"/>
    <w:rsid w:val="00F337B7"/>
    <w:rsid w:val="00F337D4"/>
    <w:rsid w:val="00F33AA2"/>
    <w:rsid w:val="00F33B70"/>
    <w:rsid w:val="00F33B73"/>
    <w:rsid w:val="00F33C00"/>
    <w:rsid w:val="00F341C4"/>
    <w:rsid w:val="00F34244"/>
    <w:rsid w:val="00F342CB"/>
    <w:rsid w:val="00F34310"/>
    <w:rsid w:val="00F34322"/>
    <w:rsid w:val="00F3437E"/>
    <w:rsid w:val="00F343C3"/>
    <w:rsid w:val="00F34437"/>
    <w:rsid w:val="00F346E6"/>
    <w:rsid w:val="00F347D0"/>
    <w:rsid w:val="00F34CE3"/>
    <w:rsid w:val="00F34F1B"/>
    <w:rsid w:val="00F35346"/>
    <w:rsid w:val="00F3545E"/>
    <w:rsid w:val="00F354C8"/>
    <w:rsid w:val="00F355B9"/>
    <w:rsid w:val="00F355CE"/>
    <w:rsid w:val="00F358C0"/>
    <w:rsid w:val="00F35AD9"/>
    <w:rsid w:val="00F35E9B"/>
    <w:rsid w:val="00F3603A"/>
    <w:rsid w:val="00F363E0"/>
    <w:rsid w:val="00F36B55"/>
    <w:rsid w:val="00F36CE0"/>
    <w:rsid w:val="00F36E82"/>
    <w:rsid w:val="00F3702C"/>
    <w:rsid w:val="00F370E2"/>
    <w:rsid w:val="00F37B62"/>
    <w:rsid w:val="00F37DDB"/>
    <w:rsid w:val="00F37E42"/>
    <w:rsid w:val="00F40184"/>
    <w:rsid w:val="00F4037B"/>
    <w:rsid w:val="00F40864"/>
    <w:rsid w:val="00F4092E"/>
    <w:rsid w:val="00F410C1"/>
    <w:rsid w:val="00F41420"/>
    <w:rsid w:val="00F4146D"/>
    <w:rsid w:val="00F415D3"/>
    <w:rsid w:val="00F41EFF"/>
    <w:rsid w:val="00F42089"/>
    <w:rsid w:val="00F421FA"/>
    <w:rsid w:val="00F42600"/>
    <w:rsid w:val="00F42628"/>
    <w:rsid w:val="00F42CCF"/>
    <w:rsid w:val="00F42F6A"/>
    <w:rsid w:val="00F43092"/>
    <w:rsid w:val="00F43446"/>
    <w:rsid w:val="00F43588"/>
    <w:rsid w:val="00F435E6"/>
    <w:rsid w:val="00F438B5"/>
    <w:rsid w:val="00F43A28"/>
    <w:rsid w:val="00F43C9F"/>
    <w:rsid w:val="00F4437B"/>
    <w:rsid w:val="00F4452C"/>
    <w:rsid w:val="00F44569"/>
    <w:rsid w:val="00F4468D"/>
    <w:rsid w:val="00F446E3"/>
    <w:rsid w:val="00F44895"/>
    <w:rsid w:val="00F44997"/>
    <w:rsid w:val="00F449B6"/>
    <w:rsid w:val="00F45350"/>
    <w:rsid w:val="00F45518"/>
    <w:rsid w:val="00F45794"/>
    <w:rsid w:val="00F45F32"/>
    <w:rsid w:val="00F463EE"/>
    <w:rsid w:val="00F464BC"/>
    <w:rsid w:val="00F46894"/>
    <w:rsid w:val="00F46ADD"/>
    <w:rsid w:val="00F46D47"/>
    <w:rsid w:val="00F46E03"/>
    <w:rsid w:val="00F46FA4"/>
    <w:rsid w:val="00F47737"/>
    <w:rsid w:val="00F47813"/>
    <w:rsid w:val="00F47B7D"/>
    <w:rsid w:val="00F47DCF"/>
    <w:rsid w:val="00F5011B"/>
    <w:rsid w:val="00F50197"/>
    <w:rsid w:val="00F50585"/>
    <w:rsid w:val="00F50614"/>
    <w:rsid w:val="00F50CD8"/>
    <w:rsid w:val="00F516E3"/>
    <w:rsid w:val="00F517D1"/>
    <w:rsid w:val="00F51887"/>
    <w:rsid w:val="00F518DC"/>
    <w:rsid w:val="00F51AD2"/>
    <w:rsid w:val="00F51B80"/>
    <w:rsid w:val="00F51E5C"/>
    <w:rsid w:val="00F52357"/>
    <w:rsid w:val="00F52661"/>
    <w:rsid w:val="00F52798"/>
    <w:rsid w:val="00F5287D"/>
    <w:rsid w:val="00F52905"/>
    <w:rsid w:val="00F52D4B"/>
    <w:rsid w:val="00F52EC7"/>
    <w:rsid w:val="00F53444"/>
    <w:rsid w:val="00F53610"/>
    <w:rsid w:val="00F5388E"/>
    <w:rsid w:val="00F53996"/>
    <w:rsid w:val="00F53D9C"/>
    <w:rsid w:val="00F53FA6"/>
    <w:rsid w:val="00F542D7"/>
    <w:rsid w:val="00F54832"/>
    <w:rsid w:val="00F54890"/>
    <w:rsid w:val="00F549E6"/>
    <w:rsid w:val="00F54ABC"/>
    <w:rsid w:val="00F54ADF"/>
    <w:rsid w:val="00F54B97"/>
    <w:rsid w:val="00F5503E"/>
    <w:rsid w:val="00F5519C"/>
    <w:rsid w:val="00F55620"/>
    <w:rsid w:val="00F55721"/>
    <w:rsid w:val="00F55917"/>
    <w:rsid w:val="00F55C65"/>
    <w:rsid w:val="00F561EE"/>
    <w:rsid w:val="00F56499"/>
    <w:rsid w:val="00F56A07"/>
    <w:rsid w:val="00F56AF5"/>
    <w:rsid w:val="00F56DD3"/>
    <w:rsid w:val="00F56E8A"/>
    <w:rsid w:val="00F56FB1"/>
    <w:rsid w:val="00F57003"/>
    <w:rsid w:val="00F57069"/>
    <w:rsid w:val="00F572DC"/>
    <w:rsid w:val="00F57770"/>
    <w:rsid w:val="00F57885"/>
    <w:rsid w:val="00F579C3"/>
    <w:rsid w:val="00F57A43"/>
    <w:rsid w:val="00F60463"/>
    <w:rsid w:val="00F606F6"/>
    <w:rsid w:val="00F60910"/>
    <w:rsid w:val="00F60D03"/>
    <w:rsid w:val="00F60EE4"/>
    <w:rsid w:val="00F60F76"/>
    <w:rsid w:val="00F610EF"/>
    <w:rsid w:val="00F6115B"/>
    <w:rsid w:val="00F61592"/>
    <w:rsid w:val="00F615B2"/>
    <w:rsid w:val="00F619FB"/>
    <w:rsid w:val="00F620A4"/>
    <w:rsid w:val="00F6239F"/>
    <w:rsid w:val="00F62789"/>
    <w:rsid w:val="00F62D20"/>
    <w:rsid w:val="00F62FD2"/>
    <w:rsid w:val="00F63019"/>
    <w:rsid w:val="00F63263"/>
    <w:rsid w:val="00F63BF3"/>
    <w:rsid w:val="00F63F29"/>
    <w:rsid w:val="00F642CC"/>
    <w:rsid w:val="00F64504"/>
    <w:rsid w:val="00F647C9"/>
    <w:rsid w:val="00F64800"/>
    <w:rsid w:val="00F648C8"/>
    <w:rsid w:val="00F64DBC"/>
    <w:rsid w:val="00F6535D"/>
    <w:rsid w:val="00F65361"/>
    <w:rsid w:val="00F657BE"/>
    <w:rsid w:val="00F65925"/>
    <w:rsid w:val="00F65D71"/>
    <w:rsid w:val="00F660B4"/>
    <w:rsid w:val="00F66144"/>
    <w:rsid w:val="00F66321"/>
    <w:rsid w:val="00F6632F"/>
    <w:rsid w:val="00F663E3"/>
    <w:rsid w:val="00F6647C"/>
    <w:rsid w:val="00F665D7"/>
    <w:rsid w:val="00F665FE"/>
    <w:rsid w:val="00F66EF6"/>
    <w:rsid w:val="00F66FD0"/>
    <w:rsid w:val="00F6713F"/>
    <w:rsid w:val="00F67429"/>
    <w:rsid w:val="00F67A83"/>
    <w:rsid w:val="00F67D26"/>
    <w:rsid w:val="00F7072F"/>
    <w:rsid w:val="00F70A58"/>
    <w:rsid w:val="00F70CB2"/>
    <w:rsid w:val="00F70D85"/>
    <w:rsid w:val="00F7105C"/>
    <w:rsid w:val="00F710E7"/>
    <w:rsid w:val="00F71989"/>
    <w:rsid w:val="00F71A89"/>
    <w:rsid w:val="00F71DB5"/>
    <w:rsid w:val="00F72235"/>
    <w:rsid w:val="00F727A2"/>
    <w:rsid w:val="00F728BB"/>
    <w:rsid w:val="00F72D49"/>
    <w:rsid w:val="00F7374B"/>
    <w:rsid w:val="00F73AB0"/>
    <w:rsid w:val="00F73B70"/>
    <w:rsid w:val="00F73C58"/>
    <w:rsid w:val="00F73D2E"/>
    <w:rsid w:val="00F73D5F"/>
    <w:rsid w:val="00F73D66"/>
    <w:rsid w:val="00F73F1A"/>
    <w:rsid w:val="00F74038"/>
    <w:rsid w:val="00F741B1"/>
    <w:rsid w:val="00F743DB"/>
    <w:rsid w:val="00F744AC"/>
    <w:rsid w:val="00F746EA"/>
    <w:rsid w:val="00F74B51"/>
    <w:rsid w:val="00F74C89"/>
    <w:rsid w:val="00F7646F"/>
    <w:rsid w:val="00F76479"/>
    <w:rsid w:val="00F767D4"/>
    <w:rsid w:val="00F769DE"/>
    <w:rsid w:val="00F76B2C"/>
    <w:rsid w:val="00F76E78"/>
    <w:rsid w:val="00F773CF"/>
    <w:rsid w:val="00F7745E"/>
    <w:rsid w:val="00F77630"/>
    <w:rsid w:val="00F77739"/>
    <w:rsid w:val="00F80131"/>
    <w:rsid w:val="00F8054A"/>
    <w:rsid w:val="00F80D37"/>
    <w:rsid w:val="00F8109F"/>
    <w:rsid w:val="00F81151"/>
    <w:rsid w:val="00F81152"/>
    <w:rsid w:val="00F81362"/>
    <w:rsid w:val="00F81CF5"/>
    <w:rsid w:val="00F82165"/>
    <w:rsid w:val="00F82210"/>
    <w:rsid w:val="00F82564"/>
    <w:rsid w:val="00F82C0E"/>
    <w:rsid w:val="00F82DEA"/>
    <w:rsid w:val="00F82F6C"/>
    <w:rsid w:val="00F82FE6"/>
    <w:rsid w:val="00F83105"/>
    <w:rsid w:val="00F83282"/>
    <w:rsid w:val="00F83B3A"/>
    <w:rsid w:val="00F83C66"/>
    <w:rsid w:val="00F83DCB"/>
    <w:rsid w:val="00F83E3A"/>
    <w:rsid w:val="00F8432E"/>
    <w:rsid w:val="00F8451E"/>
    <w:rsid w:val="00F84AD6"/>
    <w:rsid w:val="00F84DA7"/>
    <w:rsid w:val="00F84DAD"/>
    <w:rsid w:val="00F85105"/>
    <w:rsid w:val="00F85281"/>
    <w:rsid w:val="00F852F1"/>
    <w:rsid w:val="00F85342"/>
    <w:rsid w:val="00F854EE"/>
    <w:rsid w:val="00F85614"/>
    <w:rsid w:val="00F858C3"/>
    <w:rsid w:val="00F85DBA"/>
    <w:rsid w:val="00F85F67"/>
    <w:rsid w:val="00F85F9F"/>
    <w:rsid w:val="00F87081"/>
    <w:rsid w:val="00F8717C"/>
    <w:rsid w:val="00F8724D"/>
    <w:rsid w:val="00F87454"/>
    <w:rsid w:val="00F87917"/>
    <w:rsid w:val="00F8794B"/>
    <w:rsid w:val="00F87B5D"/>
    <w:rsid w:val="00F87CAB"/>
    <w:rsid w:val="00F9044B"/>
    <w:rsid w:val="00F90493"/>
    <w:rsid w:val="00F9065B"/>
    <w:rsid w:val="00F90761"/>
    <w:rsid w:val="00F9079E"/>
    <w:rsid w:val="00F90862"/>
    <w:rsid w:val="00F90A5D"/>
    <w:rsid w:val="00F90DEF"/>
    <w:rsid w:val="00F91329"/>
    <w:rsid w:val="00F91353"/>
    <w:rsid w:val="00F913BD"/>
    <w:rsid w:val="00F913F9"/>
    <w:rsid w:val="00F915A5"/>
    <w:rsid w:val="00F91C81"/>
    <w:rsid w:val="00F91EA6"/>
    <w:rsid w:val="00F91EF7"/>
    <w:rsid w:val="00F92226"/>
    <w:rsid w:val="00F92C86"/>
    <w:rsid w:val="00F92CD3"/>
    <w:rsid w:val="00F92FDC"/>
    <w:rsid w:val="00F9311D"/>
    <w:rsid w:val="00F9319E"/>
    <w:rsid w:val="00F93518"/>
    <w:rsid w:val="00F93C77"/>
    <w:rsid w:val="00F942C8"/>
    <w:rsid w:val="00F9453B"/>
    <w:rsid w:val="00F94660"/>
    <w:rsid w:val="00F94807"/>
    <w:rsid w:val="00F94D58"/>
    <w:rsid w:val="00F94FA4"/>
    <w:rsid w:val="00F950AE"/>
    <w:rsid w:val="00F95370"/>
    <w:rsid w:val="00F95546"/>
    <w:rsid w:val="00F95D4C"/>
    <w:rsid w:val="00F95E4B"/>
    <w:rsid w:val="00F962B7"/>
    <w:rsid w:val="00F9684A"/>
    <w:rsid w:val="00F97094"/>
    <w:rsid w:val="00F97215"/>
    <w:rsid w:val="00F97416"/>
    <w:rsid w:val="00F97587"/>
    <w:rsid w:val="00F976F6"/>
    <w:rsid w:val="00F9791C"/>
    <w:rsid w:val="00F97A74"/>
    <w:rsid w:val="00F97BA9"/>
    <w:rsid w:val="00FA007C"/>
    <w:rsid w:val="00FA0825"/>
    <w:rsid w:val="00FA08AD"/>
    <w:rsid w:val="00FA0A95"/>
    <w:rsid w:val="00FA0C97"/>
    <w:rsid w:val="00FA0FC0"/>
    <w:rsid w:val="00FA1ADB"/>
    <w:rsid w:val="00FA1D89"/>
    <w:rsid w:val="00FA1E2A"/>
    <w:rsid w:val="00FA21B5"/>
    <w:rsid w:val="00FA2332"/>
    <w:rsid w:val="00FA2610"/>
    <w:rsid w:val="00FA262D"/>
    <w:rsid w:val="00FA2650"/>
    <w:rsid w:val="00FA268D"/>
    <w:rsid w:val="00FA27D3"/>
    <w:rsid w:val="00FA27FF"/>
    <w:rsid w:val="00FA2C04"/>
    <w:rsid w:val="00FA2F27"/>
    <w:rsid w:val="00FA3674"/>
    <w:rsid w:val="00FA376B"/>
    <w:rsid w:val="00FA37F3"/>
    <w:rsid w:val="00FA38D1"/>
    <w:rsid w:val="00FA3949"/>
    <w:rsid w:val="00FA3BD6"/>
    <w:rsid w:val="00FA3C0D"/>
    <w:rsid w:val="00FA3E98"/>
    <w:rsid w:val="00FA4150"/>
    <w:rsid w:val="00FA4465"/>
    <w:rsid w:val="00FA44B4"/>
    <w:rsid w:val="00FA450E"/>
    <w:rsid w:val="00FA4663"/>
    <w:rsid w:val="00FA48B5"/>
    <w:rsid w:val="00FA4948"/>
    <w:rsid w:val="00FA49AC"/>
    <w:rsid w:val="00FA4A91"/>
    <w:rsid w:val="00FA4AA3"/>
    <w:rsid w:val="00FA5116"/>
    <w:rsid w:val="00FA54AC"/>
    <w:rsid w:val="00FA54C7"/>
    <w:rsid w:val="00FA5766"/>
    <w:rsid w:val="00FA58F3"/>
    <w:rsid w:val="00FA5939"/>
    <w:rsid w:val="00FA59CB"/>
    <w:rsid w:val="00FA5AC3"/>
    <w:rsid w:val="00FA5D57"/>
    <w:rsid w:val="00FA5E9A"/>
    <w:rsid w:val="00FA5EE2"/>
    <w:rsid w:val="00FA5EFE"/>
    <w:rsid w:val="00FA610A"/>
    <w:rsid w:val="00FA69A9"/>
    <w:rsid w:val="00FA6AF7"/>
    <w:rsid w:val="00FA70BB"/>
    <w:rsid w:val="00FA7337"/>
    <w:rsid w:val="00FA765A"/>
    <w:rsid w:val="00FA7D7D"/>
    <w:rsid w:val="00FB0207"/>
    <w:rsid w:val="00FB0BFB"/>
    <w:rsid w:val="00FB0C1A"/>
    <w:rsid w:val="00FB0D74"/>
    <w:rsid w:val="00FB0E58"/>
    <w:rsid w:val="00FB0EA7"/>
    <w:rsid w:val="00FB127C"/>
    <w:rsid w:val="00FB1313"/>
    <w:rsid w:val="00FB13BD"/>
    <w:rsid w:val="00FB1568"/>
    <w:rsid w:val="00FB1AD9"/>
    <w:rsid w:val="00FB1E88"/>
    <w:rsid w:val="00FB2021"/>
    <w:rsid w:val="00FB205A"/>
    <w:rsid w:val="00FB2363"/>
    <w:rsid w:val="00FB25EE"/>
    <w:rsid w:val="00FB27A0"/>
    <w:rsid w:val="00FB2814"/>
    <w:rsid w:val="00FB28B6"/>
    <w:rsid w:val="00FB2978"/>
    <w:rsid w:val="00FB32BE"/>
    <w:rsid w:val="00FB339E"/>
    <w:rsid w:val="00FB3596"/>
    <w:rsid w:val="00FB3A32"/>
    <w:rsid w:val="00FB3A7E"/>
    <w:rsid w:val="00FB3B59"/>
    <w:rsid w:val="00FB3BDF"/>
    <w:rsid w:val="00FB3BF1"/>
    <w:rsid w:val="00FB4279"/>
    <w:rsid w:val="00FB4E46"/>
    <w:rsid w:val="00FB4E66"/>
    <w:rsid w:val="00FB502A"/>
    <w:rsid w:val="00FB530F"/>
    <w:rsid w:val="00FB5520"/>
    <w:rsid w:val="00FB5774"/>
    <w:rsid w:val="00FB5878"/>
    <w:rsid w:val="00FB5987"/>
    <w:rsid w:val="00FB5A23"/>
    <w:rsid w:val="00FB5A4B"/>
    <w:rsid w:val="00FB5FB7"/>
    <w:rsid w:val="00FB620D"/>
    <w:rsid w:val="00FB62E3"/>
    <w:rsid w:val="00FB6A23"/>
    <w:rsid w:val="00FB6B41"/>
    <w:rsid w:val="00FB6E2C"/>
    <w:rsid w:val="00FB6EE1"/>
    <w:rsid w:val="00FB6F30"/>
    <w:rsid w:val="00FB6F67"/>
    <w:rsid w:val="00FB7565"/>
    <w:rsid w:val="00FB7C6B"/>
    <w:rsid w:val="00FC0224"/>
    <w:rsid w:val="00FC0285"/>
    <w:rsid w:val="00FC04DD"/>
    <w:rsid w:val="00FC051F"/>
    <w:rsid w:val="00FC071B"/>
    <w:rsid w:val="00FC07E9"/>
    <w:rsid w:val="00FC0AD7"/>
    <w:rsid w:val="00FC0C0A"/>
    <w:rsid w:val="00FC0F45"/>
    <w:rsid w:val="00FC10DE"/>
    <w:rsid w:val="00FC185C"/>
    <w:rsid w:val="00FC1B50"/>
    <w:rsid w:val="00FC1BE9"/>
    <w:rsid w:val="00FC1D0A"/>
    <w:rsid w:val="00FC1D55"/>
    <w:rsid w:val="00FC1DA7"/>
    <w:rsid w:val="00FC20D4"/>
    <w:rsid w:val="00FC22E2"/>
    <w:rsid w:val="00FC26B5"/>
    <w:rsid w:val="00FC2D5F"/>
    <w:rsid w:val="00FC307C"/>
    <w:rsid w:val="00FC349B"/>
    <w:rsid w:val="00FC35B0"/>
    <w:rsid w:val="00FC380F"/>
    <w:rsid w:val="00FC39B4"/>
    <w:rsid w:val="00FC3E62"/>
    <w:rsid w:val="00FC4030"/>
    <w:rsid w:val="00FC4344"/>
    <w:rsid w:val="00FC43E4"/>
    <w:rsid w:val="00FC4CD5"/>
    <w:rsid w:val="00FC4D33"/>
    <w:rsid w:val="00FC4F09"/>
    <w:rsid w:val="00FC500C"/>
    <w:rsid w:val="00FC53A1"/>
    <w:rsid w:val="00FC5586"/>
    <w:rsid w:val="00FC5603"/>
    <w:rsid w:val="00FC59F9"/>
    <w:rsid w:val="00FC6279"/>
    <w:rsid w:val="00FC668F"/>
    <w:rsid w:val="00FC672E"/>
    <w:rsid w:val="00FC67D8"/>
    <w:rsid w:val="00FC67F4"/>
    <w:rsid w:val="00FC6A9D"/>
    <w:rsid w:val="00FC6AE1"/>
    <w:rsid w:val="00FC6DB8"/>
    <w:rsid w:val="00FC7343"/>
    <w:rsid w:val="00FC7376"/>
    <w:rsid w:val="00FC75C2"/>
    <w:rsid w:val="00FC76D8"/>
    <w:rsid w:val="00FC7B92"/>
    <w:rsid w:val="00FC7F03"/>
    <w:rsid w:val="00FC7FB6"/>
    <w:rsid w:val="00FC7FBA"/>
    <w:rsid w:val="00FD0169"/>
    <w:rsid w:val="00FD0232"/>
    <w:rsid w:val="00FD04D3"/>
    <w:rsid w:val="00FD076B"/>
    <w:rsid w:val="00FD0B28"/>
    <w:rsid w:val="00FD0E58"/>
    <w:rsid w:val="00FD0EA0"/>
    <w:rsid w:val="00FD1681"/>
    <w:rsid w:val="00FD17BA"/>
    <w:rsid w:val="00FD196A"/>
    <w:rsid w:val="00FD1BF0"/>
    <w:rsid w:val="00FD2B40"/>
    <w:rsid w:val="00FD2BA1"/>
    <w:rsid w:val="00FD2C9D"/>
    <w:rsid w:val="00FD2DB5"/>
    <w:rsid w:val="00FD2E65"/>
    <w:rsid w:val="00FD2F74"/>
    <w:rsid w:val="00FD3718"/>
    <w:rsid w:val="00FD371F"/>
    <w:rsid w:val="00FD3980"/>
    <w:rsid w:val="00FD3B94"/>
    <w:rsid w:val="00FD3D01"/>
    <w:rsid w:val="00FD40DD"/>
    <w:rsid w:val="00FD42DB"/>
    <w:rsid w:val="00FD43B3"/>
    <w:rsid w:val="00FD46A5"/>
    <w:rsid w:val="00FD4AC6"/>
    <w:rsid w:val="00FD4AFA"/>
    <w:rsid w:val="00FD54A5"/>
    <w:rsid w:val="00FD5672"/>
    <w:rsid w:val="00FD56F3"/>
    <w:rsid w:val="00FD5D8C"/>
    <w:rsid w:val="00FD5E5D"/>
    <w:rsid w:val="00FD5F29"/>
    <w:rsid w:val="00FD5FE6"/>
    <w:rsid w:val="00FD6295"/>
    <w:rsid w:val="00FD665D"/>
    <w:rsid w:val="00FD69FF"/>
    <w:rsid w:val="00FD705A"/>
    <w:rsid w:val="00FD748B"/>
    <w:rsid w:val="00FD7805"/>
    <w:rsid w:val="00FD7903"/>
    <w:rsid w:val="00FD7A21"/>
    <w:rsid w:val="00FD7C7D"/>
    <w:rsid w:val="00FD7D02"/>
    <w:rsid w:val="00FD7E28"/>
    <w:rsid w:val="00FD7E5A"/>
    <w:rsid w:val="00FE025C"/>
    <w:rsid w:val="00FE0370"/>
    <w:rsid w:val="00FE09DD"/>
    <w:rsid w:val="00FE0A13"/>
    <w:rsid w:val="00FE0BEC"/>
    <w:rsid w:val="00FE0C1A"/>
    <w:rsid w:val="00FE0CC3"/>
    <w:rsid w:val="00FE0EDD"/>
    <w:rsid w:val="00FE105C"/>
    <w:rsid w:val="00FE1118"/>
    <w:rsid w:val="00FE1260"/>
    <w:rsid w:val="00FE15E9"/>
    <w:rsid w:val="00FE1673"/>
    <w:rsid w:val="00FE1719"/>
    <w:rsid w:val="00FE29CA"/>
    <w:rsid w:val="00FE2A04"/>
    <w:rsid w:val="00FE2F1E"/>
    <w:rsid w:val="00FE3264"/>
    <w:rsid w:val="00FE34B0"/>
    <w:rsid w:val="00FE37CE"/>
    <w:rsid w:val="00FE4027"/>
    <w:rsid w:val="00FE40E5"/>
    <w:rsid w:val="00FE4125"/>
    <w:rsid w:val="00FE4241"/>
    <w:rsid w:val="00FE4359"/>
    <w:rsid w:val="00FE4739"/>
    <w:rsid w:val="00FE48F5"/>
    <w:rsid w:val="00FE496C"/>
    <w:rsid w:val="00FE4C6C"/>
    <w:rsid w:val="00FE4DB2"/>
    <w:rsid w:val="00FE4DF4"/>
    <w:rsid w:val="00FE5DCD"/>
    <w:rsid w:val="00FE681D"/>
    <w:rsid w:val="00FE695D"/>
    <w:rsid w:val="00FE6A97"/>
    <w:rsid w:val="00FE74DF"/>
    <w:rsid w:val="00FE7567"/>
    <w:rsid w:val="00FE7D26"/>
    <w:rsid w:val="00FF00E8"/>
    <w:rsid w:val="00FF02E0"/>
    <w:rsid w:val="00FF05F1"/>
    <w:rsid w:val="00FF0D75"/>
    <w:rsid w:val="00FF0DBD"/>
    <w:rsid w:val="00FF102A"/>
    <w:rsid w:val="00FF117A"/>
    <w:rsid w:val="00FF137D"/>
    <w:rsid w:val="00FF13F6"/>
    <w:rsid w:val="00FF178A"/>
    <w:rsid w:val="00FF19EC"/>
    <w:rsid w:val="00FF1A42"/>
    <w:rsid w:val="00FF1DF4"/>
    <w:rsid w:val="00FF1E5F"/>
    <w:rsid w:val="00FF2100"/>
    <w:rsid w:val="00FF2AF5"/>
    <w:rsid w:val="00FF2CDC"/>
    <w:rsid w:val="00FF2D96"/>
    <w:rsid w:val="00FF3365"/>
    <w:rsid w:val="00FF34A2"/>
    <w:rsid w:val="00FF37E4"/>
    <w:rsid w:val="00FF3A07"/>
    <w:rsid w:val="00FF3A37"/>
    <w:rsid w:val="00FF3DF4"/>
    <w:rsid w:val="00FF3F87"/>
    <w:rsid w:val="00FF3FEA"/>
    <w:rsid w:val="00FF40D3"/>
    <w:rsid w:val="00FF4749"/>
    <w:rsid w:val="00FF489F"/>
    <w:rsid w:val="00FF4C68"/>
    <w:rsid w:val="00FF4E68"/>
    <w:rsid w:val="00FF4E98"/>
    <w:rsid w:val="00FF4FFE"/>
    <w:rsid w:val="00FF61D9"/>
    <w:rsid w:val="00FF6A30"/>
    <w:rsid w:val="00FF6AA2"/>
    <w:rsid w:val="00FF6CF9"/>
    <w:rsid w:val="00FF6F12"/>
    <w:rsid w:val="00FF725B"/>
    <w:rsid w:val="00FF775B"/>
    <w:rsid w:val="00FF79A7"/>
    <w:rsid w:val="0117EAD7"/>
    <w:rsid w:val="01370793"/>
    <w:rsid w:val="01435683"/>
    <w:rsid w:val="0148E679"/>
    <w:rsid w:val="0187F456"/>
    <w:rsid w:val="0199F691"/>
    <w:rsid w:val="01AC63F6"/>
    <w:rsid w:val="01E90E93"/>
    <w:rsid w:val="01EF958A"/>
    <w:rsid w:val="01FCE033"/>
    <w:rsid w:val="023213F7"/>
    <w:rsid w:val="025D6141"/>
    <w:rsid w:val="025FFAF7"/>
    <w:rsid w:val="02BA8189"/>
    <w:rsid w:val="02CA28A0"/>
    <w:rsid w:val="02ECBBDC"/>
    <w:rsid w:val="0320841A"/>
    <w:rsid w:val="035437AE"/>
    <w:rsid w:val="035747B8"/>
    <w:rsid w:val="03FD6713"/>
    <w:rsid w:val="041C5F1C"/>
    <w:rsid w:val="041DA979"/>
    <w:rsid w:val="044C8036"/>
    <w:rsid w:val="04546450"/>
    <w:rsid w:val="04795FE5"/>
    <w:rsid w:val="04C5BC37"/>
    <w:rsid w:val="04DA3919"/>
    <w:rsid w:val="05004C5C"/>
    <w:rsid w:val="0503EB37"/>
    <w:rsid w:val="0505B736"/>
    <w:rsid w:val="05170966"/>
    <w:rsid w:val="052886D1"/>
    <w:rsid w:val="0532A230"/>
    <w:rsid w:val="0558A377"/>
    <w:rsid w:val="05698B13"/>
    <w:rsid w:val="0580CD92"/>
    <w:rsid w:val="05866015"/>
    <w:rsid w:val="05965981"/>
    <w:rsid w:val="059901B5"/>
    <w:rsid w:val="05B77B73"/>
    <w:rsid w:val="05C170D3"/>
    <w:rsid w:val="05FF0152"/>
    <w:rsid w:val="0632EFE1"/>
    <w:rsid w:val="0638721C"/>
    <w:rsid w:val="0679C8C2"/>
    <w:rsid w:val="067C3585"/>
    <w:rsid w:val="06B74EDD"/>
    <w:rsid w:val="06BBC6C1"/>
    <w:rsid w:val="06D34729"/>
    <w:rsid w:val="06D82BB5"/>
    <w:rsid w:val="06EC943D"/>
    <w:rsid w:val="06EF2BB5"/>
    <w:rsid w:val="070EFD1B"/>
    <w:rsid w:val="07A609A8"/>
    <w:rsid w:val="07DCC64A"/>
    <w:rsid w:val="07EE14D0"/>
    <w:rsid w:val="07F07EDE"/>
    <w:rsid w:val="07F953A5"/>
    <w:rsid w:val="082992D2"/>
    <w:rsid w:val="083689BB"/>
    <w:rsid w:val="0897DAEC"/>
    <w:rsid w:val="08BC3C90"/>
    <w:rsid w:val="08C9211A"/>
    <w:rsid w:val="08CAE7E9"/>
    <w:rsid w:val="08F8E6C8"/>
    <w:rsid w:val="08FE8246"/>
    <w:rsid w:val="09025836"/>
    <w:rsid w:val="090984E5"/>
    <w:rsid w:val="092DB39F"/>
    <w:rsid w:val="0979F32A"/>
    <w:rsid w:val="097AC998"/>
    <w:rsid w:val="097DEDBD"/>
    <w:rsid w:val="0987CDE0"/>
    <w:rsid w:val="099C794D"/>
    <w:rsid w:val="09C0E052"/>
    <w:rsid w:val="09D7A338"/>
    <w:rsid w:val="0A07BB41"/>
    <w:rsid w:val="0A23AA3B"/>
    <w:rsid w:val="0A39BB12"/>
    <w:rsid w:val="0A52C80C"/>
    <w:rsid w:val="0A55F256"/>
    <w:rsid w:val="0A5F4AB4"/>
    <w:rsid w:val="0A673612"/>
    <w:rsid w:val="0A6BDD69"/>
    <w:rsid w:val="0AAAF097"/>
    <w:rsid w:val="0AB15421"/>
    <w:rsid w:val="0AC7AF0C"/>
    <w:rsid w:val="0ACBB170"/>
    <w:rsid w:val="0AD797CE"/>
    <w:rsid w:val="0ADA9A00"/>
    <w:rsid w:val="0AE39DF4"/>
    <w:rsid w:val="0B06073D"/>
    <w:rsid w:val="0B4508F3"/>
    <w:rsid w:val="0B561591"/>
    <w:rsid w:val="0B880DF8"/>
    <w:rsid w:val="0B9474CA"/>
    <w:rsid w:val="0BBFF212"/>
    <w:rsid w:val="0BD367A6"/>
    <w:rsid w:val="0BD5922C"/>
    <w:rsid w:val="0BDF38B7"/>
    <w:rsid w:val="0BEC7F60"/>
    <w:rsid w:val="0BFA8182"/>
    <w:rsid w:val="0C12B77C"/>
    <w:rsid w:val="0C2BD3B2"/>
    <w:rsid w:val="0C3D90EB"/>
    <w:rsid w:val="0C77A2A9"/>
    <w:rsid w:val="0CA95534"/>
    <w:rsid w:val="0CB10E30"/>
    <w:rsid w:val="0D73E939"/>
    <w:rsid w:val="0D7B5781"/>
    <w:rsid w:val="0D81033C"/>
    <w:rsid w:val="0DA6443C"/>
    <w:rsid w:val="0DCF7459"/>
    <w:rsid w:val="0DF5D0BD"/>
    <w:rsid w:val="0E4763A5"/>
    <w:rsid w:val="0E82518E"/>
    <w:rsid w:val="0F0E723D"/>
    <w:rsid w:val="0F4F2D95"/>
    <w:rsid w:val="0F6D0C03"/>
    <w:rsid w:val="0FF69B3B"/>
    <w:rsid w:val="1007F56C"/>
    <w:rsid w:val="10577AEC"/>
    <w:rsid w:val="1067AC03"/>
    <w:rsid w:val="10689365"/>
    <w:rsid w:val="10766448"/>
    <w:rsid w:val="1085FFA3"/>
    <w:rsid w:val="10E2A60D"/>
    <w:rsid w:val="10E2FEBF"/>
    <w:rsid w:val="10F7DEE4"/>
    <w:rsid w:val="1113B479"/>
    <w:rsid w:val="113B0C48"/>
    <w:rsid w:val="113CB355"/>
    <w:rsid w:val="11533554"/>
    <w:rsid w:val="11907020"/>
    <w:rsid w:val="11D6C865"/>
    <w:rsid w:val="11E06196"/>
    <w:rsid w:val="12073F8F"/>
    <w:rsid w:val="121CA5A2"/>
    <w:rsid w:val="125D0FE6"/>
    <w:rsid w:val="1261F678"/>
    <w:rsid w:val="1274B2CA"/>
    <w:rsid w:val="129CA3D9"/>
    <w:rsid w:val="12A7E53D"/>
    <w:rsid w:val="12D55810"/>
    <w:rsid w:val="13007012"/>
    <w:rsid w:val="1335585B"/>
    <w:rsid w:val="13500C9B"/>
    <w:rsid w:val="1363E108"/>
    <w:rsid w:val="136F742B"/>
    <w:rsid w:val="138FF16B"/>
    <w:rsid w:val="13B61A40"/>
    <w:rsid w:val="13D3F855"/>
    <w:rsid w:val="14141AC6"/>
    <w:rsid w:val="143C3123"/>
    <w:rsid w:val="14409C9B"/>
    <w:rsid w:val="149149D4"/>
    <w:rsid w:val="14B447B7"/>
    <w:rsid w:val="14D33905"/>
    <w:rsid w:val="14DB5EC9"/>
    <w:rsid w:val="154CCC14"/>
    <w:rsid w:val="15500D77"/>
    <w:rsid w:val="15555D72"/>
    <w:rsid w:val="155C9647"/>
    <w:rsid w:val="156A8EA1"/>
    <w:rsid w:val="163FB1E0"/>
    <w:rsid w:val="1649C3E5"/>
    <w:rsid w:val="165D4D4B"/>
    <w:rsid w:val="16841258"/>
    <w:rsid w:val="169DCCAF"/>
    <w:rsid w:val="16C9207F"/>
    <w:rsid w:val="16C9C640"/>
    <w:rsid w:val="16EB6A5C"/>
    <w:rsid w:val="176227BD"/>
    <w:rsid w:val="1764416A"/>
    <w:rsid w:val="176BB081"/>
    <w:rsid w:val="17D6117D"/>
    <w:rsid w:val="17E01D01"/>
    <w:rsid w:val="17E1B14D"/>
    <w:rsid w:val="17F8CF34"/>
    <w:rsid w:val="180BB74B"/>
    <w:rsid w:val="1810E0F7"/>
    <w:rsid w:val="181C0307"/>
    <w:rsid w:val="18225847"/>
    <w:rsid w:val="1830FA33"/>
    <w:rsid w:val="1844C433"/>
    <w:rsid w:val="1854B1F2"/>
    <w:rsid w:val="18651AD0"/>
    <w:rsid w:val="186BF464"/>
    <w:rsid w:val="18AB122D"/>
    <w:rsid w:val="18BB774A"/>
    <w:rsid w:val="18CABD7E"/>
    <w:rsid w:val="18E7E497"/>
    <w:rsid w:val="18F741E6"/>
    <w:rsid w:val="190EF53D"/>
    <w:rsid w:val="191B9FF8"/>
    <w:rsid w:val="193F999E"/>
    <w:rsid w:val="198A5B47"/>
    <w:rsid w:val="199874A5"/>
    <w:rsid w:val="19AE0A53"/>
    <w:rsid w:val="19F0B991"/>
    <w:rsid w:val="19FCDF78"/>
    <w:rsid w:val="1A32DACD"/>
    <w:rsid w:val="1A5AB57C"/>
    <w:rsid w:val="1A724FBC"/>
    <w:rsid w:val="1B022D55"/>
    <w:rsid w:val="1B190311"/>
    <w:rsid w:val="1B4664AC"/>
    <w:rsid w:val="1B48D4D0"/>
    <w:rsid w:val="1B5397CA"/>
    <w:rsid w:val="1B61CE25"/>
    <w:rsid w:val="1B953D9D"/>
    <w:rsid w:val="1BAA1529"/>
    <w:rsid w:val="1BE1229B"/>
    <w:rsid w:val="1C008D8E"/>
    <w:rsid w:val="1C2A3FBD"/>
    <w:rsid w:val="1C7AD815"/>
    <w:rsid w:val="1CA22B84"/>
    <w:rsid w:val="1CBF716A"/>
    <w:rsid w:val="1CF8AA09"/>
    <w:rsid w:val="1D0654FE"/>
    <w:rsid w:val="1D0ED6AE"/>
    <w:rsid w:val="1D2853D1"/>
    <w:rsid w:val="1D397942"/>
    <w:rsid w:val="1DA132A9"/>
    <w:rsid w:val="1DB5F5A5"/>
    <w:rsid w:val="1DE10BDE"/>
    <w:rsid w:val="1DE3DA68"/>
    <w:rsid w:val="1DED0B71"/>
    <w:rsid w:val="1E316D78"/>
    <w:rsid w:val="1E3556F9"/>
    <w:rsid w:val="1E5EEEF8"/>
    <w:rsid w:val="1E6DE4B3"/>
    <w:rsid w:val="1EB3D0AC"/>
    <w:rsid w:val="1EB5F258"/>
    <w:rsid w:val="1EB63B98"/>
    <w:rsid w:val="1EBA23FC"/>
    <w:rsid w:val="1EC250FF"/>
    <w:rsid w:val="1F05F534"/>
    <w:rsid w:val="1F4F8961"/>
    <w:rsid w:val="1F509395"/>
    <w:rsid w:val="1F517600"/>
    <w:rsid w:val="1F65C661"/>
    <w:rsid w:val="1FC54B15"/>
    <w:rsid w:val="1FD2B50F"/>
    <w:rsid w:val="1FE10788"/>
    <w:rsid w:val="200F5E8D"/>
    <w:rsid w:val="201AEB9C"/>
    <w:rsid w:val="202A9A42"/>
    <w:rsid w:val="20489EAE"/>
    <w:rsid w:val="20A7B49D"/>
    <w:rsid w:val="20C303A2"/>
    <w:rsid w:val="20E5B15A"/>
    <w:rsid w:val="21037709"/>
    <w:rsid w:val="2105C4EA"/>
    <w:rsid w:val="21120A19"/>
    <w:rsid w:val="2116020E"/>
    <w:rsid w:val="211CDD8C"/>
    <w:rsid w:val="213B2A81"/>
    <w:rsid w:val="213FFE58"/>
    <w:rsid w:val="2158942B"/>
    <w:rsid w:val="216007CB"/>
    <w:rsid w:val="21774EB7"/>
    <w:rsid w:val="2183BBE4"/>
    <w:rsid w:val="21884606"/>
    <w:rsid w:val="21C5A6FA"/>
    <w:rsid w:val="21DA68A0"/>
    <w:rsid w:val="2211C1E4"/>
    <w:rsid w:val="221D9D54"/>
    <w:rsid w:val="22232B45"/>
    <w:rsid w:val="2230ED66"/>
    <w:rsid w:val="223A4CD3"/>
    <w:rsid w:val="226C5509"/>
    <w:rsid w:val="226F3DD4"/>
    <w:rsid w:val="229B8EC4"/>
    <w:rsid w:val="22BB051E"/>
    <w:rsid w:val="22DAB0CC"/>
    <w:rsid w:val="2342E972"/>
    <w:rsid w:val="2349EF8E"/>
    <w:rsid w:val="23586D2F"/>
    <w:rsid w:val="2371EB9A"/>
    <w:rsid w:val="239BD5A7"/>
    <w:rsid w:val="23A146A1"/>
    <w:rsid w:val="23E9C920"/>
    <w:rsid w:val="2454C20F"/>
    <w:rsid w:val="245D629B"/>
    <w:rsid w:val="24677B30"/>
    <w:rsid w:val="24707BE0"/>
    <w:rsid w:val="249A690C"/>
    <w:rsid w:val="24B879DB"/>
    <w:rsid w:val="24D82A40"/>
    <w:rsid w:val="24F199AC"/>
    <w:rsid w:val="253CF482"/>
    <w:rsid w:val="253D8A93"/>
    <w:rsid w:val="258A9C01"/>
    <w:rsid w:val="258D5BE0"/>
    <w:rsid w:val="25A3FB64"/>
    <w:rsid w:val="25A5AF5E"/>
    <w:rsid w:val="25AB94A5"/>
    <w:rsid w:val="25D16EED"/>
    <w:rsid w:val="25DBB9B9"/>
    <w:rsid w:val="26084F95"/>
    <w:rsid w:val="263250DC"/>
    <w:rsid w:val="264B8155"/>
    <w:rsid w:val="26573914"/>
    <w:rsid w:val="26579B38"/>
    <w:rsid w:val="26C3440C"/>
    <w:rsid w:val="26C5CADA"/>
    <w:rsid w:val="26CEEB09"/>
    <w:rsid w:val="26EFFC1E"/>
    <w:rsid w:val="27026275"/>
    <w:rsid w:val="2721DFD3"/>
    <w:rsid w:val="275797EB"/>
    <w:rsid w:val="279F1A3D"/>
    <w:rsid w:val="27FA58CF"/>
    <w:rsid w:val="27FEC3F4"/>
    <w:rsid w:val="2803EB83"/>
    <w:rsid w:val="2840AA2B"/>
    <w:rsid w:val="2863D48D"/>
    <w:rsid w:val="287EF37B"/>
    <w:rsid w:val="288A75BD"/>
    <w:rsid w:val="28A493E9"/>
    <w:rsid w:val="28BD717A"/>
    <w:rsid w:val="28DA10D6"/>
    <w:rsid w:val="290EABC0"/>
    <w:rsid w:val="2911A75B"/>
    <w:rsid w:val="2938B4A4"/>
    <w:rsid w:val="2947298B"/>
    <w:rsid w:val="29CAF0ED"/>
    <w:rsid w:val="29EC805F"/>
    <w:rsid w:val="29F2FC93"/>
    <w:rsid w:val="29F403F4"/>
    <w:rsid w:val="2A5709CE"/>
    <w:rsid w:val="2A5F1335"/>
    <w:rsid w:val="2A61C964"/>
    <w:rsid w:val="2A69C910"/>
    <w:rsid w:val="2A74A4C9"/>
    <w:rsid w:val="2A7D0F8C"/>
    <w:rsid w:val="2A7F3661"/>
    <w:rsid w:val="2A90FB30"/>
    <w:rsid w:val="2ABA56B8"/>
    <w:rsid w:val="2AF32C62"/>
    <w:rsid w:val="2B223C0B"/>
    <w:rsid w:val="2B24F6AC"/>
    <w:rsid w:val="2B70EC10"/>
    <w:rsid w:val="2BDBB640"/>
    <w:rsid w:val="2C065B73"/>
    <w:rsid w:val="2C2B7C27"/>
    <w:rsid w:val="2C3D2C8F"/>
    <w:rsid w:val="2C9BD10A"/>
    <w:rsid w:val="2CABFAE9"/>
    <w:rsid w:val="2CDE2C18"/>
    <w:rsid w:val="2CF5D8A0"/>
    <w:rsid w:val="2CF84F21"/>
    <w:rsid w:val="2CF9A63C"/>
    <w:rsid w:val="2D1D59ED"/>
    <w:rsid w:val="2D21A817"/>
    <w:rsid w:val="2D4D5D2E"/>
    <w:rsid w:val="2D7510B3"/>
    <w:rsid w:val="2D7BD068"/>
    <w:rsid w:val="2D9D867B"/>
    <w:rsid w:val="2DB02688"/>
    <w:rsid w:val="2DBDBEA0"/>
    <w:rsid w:val="2DC84081"/>
    <w:rsid w:val="2DC9C374"/>
    <w:rsid w:val="2DF104CC"/>
    <w:rsid w:val="2DFAD2ED"/>
    <w:rsid w:val="2E1806F2"/>
    <w:rsid w:val="2E295B4B"/>
    <w:rsid w:val="2E4938AB"/>
    <w:rsid w:val="2E63A439"/>
    <w:rsid w:val="2E79CFEA"/>
    <w:rsid w:val="2F3836FE"/>
    <w:rsid w:val="2F42B66E"/>
    <w:rsid w:val="2F5D4767"/>
    <w:rsid w:val="2F775DA2"/>
    <w:rsid w:val="2FDD5F6A"/>
    <w:rsid w:val="2FE4B8F6"/>
    <w:rsid w:val="2FE4F256"/>
    <w:rsid w:val="2FF46C69"/>
    <w:rsid w:val="3001E752"/>
    <w:rsid w:val="30120DEB"/>
    <w:rsid w:val="3015CBFF"/>
    <w:rsid w:val="301C9E68"/>
    <w:rsid w:val="3028EB6F"/>
    <w:rsid w:val="3039777A"/>
    <w:rsid w:val="30729084"/>
    <w:rsid w:val="309C4959"/>
    <w:rsid w:val="30B3EB65"/>
    <w:rsid w:val="311324F9"/>
    <w:rsid w:val="311A2E4E"/>
    <w:rsid w:val="3143E9EA"/>
    <w:rsid w:val="314A5E7E"/>
    <w:rsid w:val="317EBDF7"/>
    <w:rsid w:val="31C086B3"/>
    <w:rsid w:val="31DA93C2"/>
    <w:rsid w:val="322E6638"/>
    <w:rsid w:val="323AD3EE"/>
    <w:rsid w:val="32471908"/>
    <w:rsid w:val="3263BE5E"/>
    <w:rsid w:val="327A7E11"/>
    <w:rsid w:val="32A2BEB5"/>
    <w:rsid w:val="32C23B0C"/>
    <w:rsid w:val="32E04D2B"/>
    <w:rsid w:val="32ECEFDF"/>
    <w:rsid w:val="330262C8"/>
    <w:rsid w:val="3334FE23"/>
    <w:rsid w:val="334AB930"/>
    <w:rsid w:val="3358E731"/>
    <w:rsid w:val="337C9255"/>
    <w:rsid w:val="33CA14E8"/>
    <w:rsid w:val="33D65104"/>
    <w:rsid w:val="33DCFDCB"/>
    <w:rsid w:val="33EDEFC2"/>
    <w:rsid w:val="3406C2EE"/>
    <w:rsid w:val="34292265"/>
    <w:rsid w:val="34316840"/>
    <w:rsid w:val="343B2D18"/>
    <w:rsid w:val="3444C2FD"/>
    <w:rsid w:val="3449DBF9"/>
    <w:rsid w:val="34598765"/>
    <w:rsid w:val="3465627F"/>
    <w:rsid w:val="3468A3C1"/>
    <w:rsid w:val="34947410"/>
    <w:rsid w:val="34986511"/>
    <w:rsid w:val="349FB043"/>
    <w:rsid w:val="34A2B783"/>
    <w:rsid w:val="34A6331D"/>
    <w:rsid w:val="34A6D029"/>
    <w:rsid w:val="34CD389C"/>
    <w:rsid w:val="35312208"/>
    <w:rsid w:val="35314776"/>
    <w:rsid w:val="354EC053"/>
    <w:rsid w:val="356B1506"/>
    <w:rsid w:val="35C77415"/>
    <w:rsid w:val="36324063"/>
    <w:rsid w:val="36460786"/>
    <w:rsid w:val="36462C3F"/>
    <w:rsid w:val="364A5EAB"/>
    <w:rsid w:val="36614ECE"/>
    <w:rsid w:val="367E9B7F"/>
    <w:rsid w:val="368B82B2"/>
    <w:rsid w:val="36C2D775"/>
    <w:rsid w:val="36D5BD0D"/>
    <w:rsid w:val="36D7CD9F"/>
    <w:rsid w:val="36F38A14"/>
    <w:rsid w:val="36FA4DCF"/>
    <w:rsid w:val="3706ACE3"/>
    <w:rsid w:val="376FC5D2"/>
    <w:rsid w:val="378D8390"/>
    <w:rsid w:val="37DFC773"/>
    <w:rsid w:val="37F0E6F6"/>
    <w:rsid w:val="38125CEF"/>
    <w:rsid w:val="381BCD8F"/>
    <w:rsid w:val="38286042"/>
    <w:rsid w:val="3836E5BF"/>
    <w:rsid w:val="384F5435"/>
    <w:rsid w:val="38503AB8"/>
    <w:rsid w:val="38680E4D"/>
    <w:rsid w:val="387B907C"/>
    <w:rsid w:val="387E818B"/>
    <w:rsid w:val="38B72F13"/>
    <w:rsid w:val="38D6C854"/>
    <w:rsid w:val="3929BD80"/>
    <w:rsid w:val="393A1C74"/>
    <w:rsid w:val="39A5B9AB"/>
    <w:rsid w:val="39C78B2A"/>
    <w:rsid w:val="39DA98EF"/>
    <w:rsid w:val="39EE0291"/>
    <w:rsid w:val="3A195DF8"/>
    <w:rsid w:val="3A3434DB"/>
    <w:rsid w:val="3A5340E0"/>
    <w:rsid w:val="3A5907BB"/>
    <w:rsid w:val="3A66ACCA"/>
    <w:rsid w:val="3A8F014C"/>
    <w:rsid w:val="3ACD11F3"/>
    <w:rsid w:val="3AE18F28"/>
    <w:rsid w:val="3AF8FFEA"/>
    <w:rsid w:val="3AF9FCF2"/>
    <w:rsid w:val="3B2E1412"/>
    <w:rsid w:val="3B360FDD"/>
    <w:rsid w:val="3B90DE89"/>
    <w:rsid w:val="3BAB373E"/>
    <w:rsid w:val="3BF97E0B"/>
    <w:rsid w:val="3BFAED2D"/>
    <w:rsid w:val="3BFDB22C"/>
    <w:rsid w:val="3C12DD3B"/>
    <w:rsid w:val="3C15551D"/>
    <w:rsid w:val="3C15FC11"/>
    <w:rsid w:val="3C18E028"/>
    <w:rsid w:val="3C1ACE0C"/>
    <w:rsid w:val="3C1F512D"/>
    <w:rsid w:val="3C243ABB"/>
    <w:rsid w:val="3C737374"/>
    <w:rsid w:val="3C977208"/>
    <w:rsid w:val="3C9A4E67"/>
    <w:rsid w:val="3C9DD4CD"/>
    <w:rsid w:val="3CBD9193"/>
    <w:rsid w:val="3CC48809"/>
    <w:rsid w:val="3CC84D0C"/>
    <w:rsid w:val="3CE5E021"/>
    <w:rsid w:val="3CEF7DB9"/>
    <w:rsid w:val="3CF59BE3"/>
    <w:rsid w:val="3D1715D4"/>
    <w:rsid w:val="3D3B190E"/>
    <w:rsid w:val="3D6C224D"/>
    <w:rsid w:val="3D79ED57"/>
    <w:rsid w:val="3DAD75AD"/>
    <w:rsid w:val="3DB39A88"/>
    <w:rsid w:val="3DC581D3"/>
    <w:rsid w:val="3DD62461"/>
    <w:rsid w:val="3DF1D0FF"/>
    <w:rsid w:val="3DFC1C5D"/>
    <w:rsid w:val="3E095CB2"/>
    <w:rsid w:val="3E0CDEDC"/>
    <w:rsid w:val="3E3476F1"/>
    <w:rsid w:val="3E54CD49"/>
    <w:rsid w:val="3E9B9381"/>
    <w:rsid w:val="3EC31FFB"/>
    <w:rsid w:val="3EE022B6"/>
    <w:rsid w:val="3F076273"/>
    <w:rsid w:val="3F16C1D9"/>
    <w:rsid w:val="3F28DEBC"/>
    <w:rsid w:val="3F6AAE49"/>
    <w:rsid w:val="3F829C45"/>
    <w:rsid w:val="3F8D20A2"/>
    <w:rsid w:val="3FA1296D"/>
    <w:rsid w:val="3FA84BF4"/>
    <w:rsid w:val="3FB39285"/>
    <w:rsid w:val="3FFBD943"/>
    <w:rsid w:val="40061A9C"/>
    <w:rsid w:val="404D8C84"/>
    <w:rsid w:val="404E3A14"/>
    <w:rsid w:val="40758DA6"/>
    <w:rsid w:val="40B9B0FF"/>
    <w:rsid w:val="40BAF1C0"/>
    <w:rsid w:val="417CF132"/>
    <w:rsid w:val="41B2C47E"/>
    <w:rsid w:val="41D0E0F8"/>
    <w:rsid w:val="41E61416"/>
    <w:rsid w:val="420E48EA"/>
    <w:rsid w:val="421E6529"/>
    <w:rsid w:val="423C5700"/>
    <w:rsid w:val="426666A1"/>
    <w:rsid w:val="428095C4"/>
    <w:rsid w:val="42968987"/>
    <w:rsid w:val="42AECFA2"/>
    <w:rsid w:val="42BF1D84"/>
    <w:rsid w:val="42D5FA8E"/>
    <w:rsid w:val="42DC6455"/>
    <w:rsid w:val="42F39F62"/>
    <w:rsid w:val="42FF5FDD"/>
    <w:rsid w:val="4342242F"/>
    <w:rsid w:val="434D23CA"/>
    <w:rsid w:val="43A51E71"/>
    <w:rsid w:val="43B1302E"/>
    <w:rsid w:val="43BEAA7A"/>
    <w:rsid w:val="43C11969"/>
    <w:rsid w:val="43D0EA38"/>
    <w:rsid w:val="43E5DF21"/>
    <w:rsid w:val="44084566"/>
    <w:rsid w:val="4415FF93"/>
    <w:rsid w:val="44204288"/>
    <w:rsid w:val="444D90C9"/>
    <w:rsid w:val="4469562F"/>
    <w:rsid w:val="446E3F29"/>
    <w:rsid w:val="44B61BF6"/>
    <w:rsid w:val="450A2F87"/>
    <w:rsid w:val="450B0A6E"/>
    <w:rsid w:val="452621BB"/>
    <w:rsid w:val="454284BA"/>
    <w:rsid w:val="456242C1"/>
    <w:rsid w:val="456EFB74"/>
    <w:rsid w:val="4577A0C2"/>
    <w:rsid w:val="457D61E9"/>
    <w:rsid w:val="4586C3FB"/>
    <w:rsid w:val="45A00DEE"/>
    <w:rsid w:val="45BFE04F"/>
    <w:rsid w:val="45FA4951"/>
    <w:rsid w:val="4616BA77"/>
    <w:rsid w:val="464AFABE"/>
    <w:rsid w:val="46636E0A"/>
    <w:rsid w:val="46C74465"/>
    <w:rsid w:val="46CA20D9"/>
    <w:rsid w:val="46E3CA2A"/>
    <w:rsid w:val="46E4786D"/>
    <w:rsid w:val="4714EA02"/>
    <w:rsid w:val="471625AA"/>
    <w:rsid w:val="47230319"/>
    <w:rsid w:val="4725B987"/>
    <w:rsid w:val="472D35FE"/>
    <w:rsid w:val="475AF64D"/>
    <w:rsid w:val="4769D972"/>
    <w:rsid w:val="479753ED"/>
    <w:rsid w:val="47C40D60"/>
    <w:rsid w:val="47C671FD"/>
    <w:rsid w:val="47EAE920"/>
    <w:rsid w:val="47FAE5BB"/>
    <w:rsid w:val="481BBD4B"/>
    <w:rsid w:val="4821DCF2"/>
    <w:rsid w:val="4848FF04"/>
    <w:rsid w:val="4865E864"/>
    <w:rsid w:val="48C3D56B"/>
    <w:rsid w:val="48D3B09D"/>
    <w:rsid w:val="4907C2A1"/>
    <w:rsid w:val="494921A3"/>
    <w:rsid w:val="494EC1F8"/>
    <w:rsid w:val="4953B51C"/>
    <w:rsid w:val="497843CF"/>
    <w:rsid w:val="49A7B8B9"/>
    <w:rsid w:val="49B7586E"/>
    <w:rsid w:val="49B7F4AA"/>
    <w:rsid w:val="49C5931F"/>
    <w:rsid w:val="49D528AC"/>
    <w:rsid w:val="49E37B40"/>
    <w:rsid w:val="49E4A93A"/>
    <w:rsid w:val="49F8FD7B"/>
    <w:rsid w:val="4A1E094C"/>
    <w:rsid w:val="4A2F594D"/>
    <w:rsid w:val="4A38081C"/>
    <w:rsid w:val="4A3A066F"/>
    <w:rsid w:val="4A793269"/>
    <w:rsid w:val="4AC9623E"/>
    <w:rsid w:val="4ADEC90D"/>
    <w:rsid w:val="4AE362E4"/>
    <w:rsid w:val="4B138523"/>
    <w:rsid w:val="4B156200"/>
    <w:rsid w:val="4B2DB638"/>
    <w:rsid w:val="4B3BA28D"/>
    <w:rsid w:val="4B78F5A6"/>
    <w:rsid w:val="4B7CF569"/>
    <w:rsid w:val="4BA48DC5"/>
    <w:rsid w:val="4BAA5015"/>
    <w:rsid w:val="4C04150F"/>
    <w:rsid w:val="4C257E51"/>
    <w:rsid w:val="4C5A2DF8"/>
    <w:rsid w:val="4C664CE2"/>
    <w:rsid w:val="4C7B6483"/>
    <w:rsid w:val="4C84A089"/>
    <w:rsid w:val="4C9F0D24"/>
    <w:rsid w:val="4CACB6AA"/>
    <w:rsid w:val="4CD13600"/>
    <w:rsid w:val="4CF028C3"/>
    <w:rsid w:val="4CF1E1E2"/>
    <w:rsid w:val="4CF62F00"/>
    <w:rsid w:val="4D2986E6"/>
    <w:rsid w:val="4D5A4F38"/>
    <w:rsid w:val="4D66036A"/>
    <w:rsid w:val="4D9F0591"/>
    <w:rsid w:val="4DA88EA8"/>
    <w:rsid w:val="4DD507CF"/>
    <w:rsid w:val="4E135C21"/>
    <w:rsid w:val="4E14C70D"/>
    <w:rsid w:val="4E1967A3"/>
    <w:rsid w:val="4E349331"/>
    <w:rsid w:val="4E4B20FF"/>
    <w:rsid w:val="4E787DD9"/>
    <w:rsid w:val="4E8974D0"/>
    <w:rsid w:val="4EA748F8"/>
    <w:rsid w:val="4ECBCF7E"/>
    <w:rsid w:val="4EE8BB89"/>
    <w:rsid w:val="4F1CA152"/>
    <w:rsid w:val="4F4AE501"/>
    <w:rsid w:val="4F8A4474"/>
    <w:rsid w:val="4F8E8A03"/>
    <w:rsid w:val="4F8F3C77"/>
    <w:rsid w:val="4F98ABA6"/>
    <w:rsid w:val="4FA16453"/>
    <w:rsid w:val="4FE42413"/>
    <w:rsid w:val="4FE4A5AA"/>
    <w:rsid w:val="501574AA"/>
    <w:rsid w:val="5031FFFE"/>
    <w:rsid w:val="5047B49F"/>
    <w:rsid w:val="505CB6B0"/>
    <w:rsid w:val="505D364D"/>
    <w:rsid w:val="507362C1"/>
    <w:rsid w:val="5083D224"/>
    <w:rsid w:val="5091D694"/>
    <w:rsid w:val="50ACA743"/>
    <w:rsid w:val="50B4D336"/>
    <w:rsid w:val="50B8F0CC"/>
    <w:rsid w:val="50C60696"/>
    <w:rsid w:val="50DDF778"/>
    <w:rsid w:val="50ED7DBF"/>
    <w:rsid w:val="50F62D62"/>
    <w:rsid w:val="50F73FF7"/>
    <w:rsid w:val="5118837A"/>
    <w:rsid w:val="513CE2DB"/>
    <w:rsid w:val="51880CF7"/>
    <w:rsid w:val="51943AB9"/>
    <w:rsid w:val="51CF46F2"/>
    <w:rsid w:val="51F7D267"/>
    <w:rsid w:val="520E8222"/>
    <w:rsid w:val="522FF9EE"/>
    <w:rsid w:val="524F6805"/>
    <w:rsid w:val="52BA4436"/>
    <w:rsid w:val="530F3120"/>
    <w:rsid w:val="531ADAD3"/>
    <w:rsid w:val="5335FF5C"/>
    <w:rsid w:val="534D869B"/>
    <w:rsid w:val="535AC01A"/>
    <w:rsid w:val="53719242"/>
    <w:rsid w:val="537A8FDF"/>
    <w:rsid w:val="53AA535B"/>
    <w:rsid w:val="53DD5E63"/>
    <w:rsid w:val="541DDA77"/>
    <w:rsid w:val="5423594D"/>
    <w:rsid w:val="54284CF0"/>
    <w:rsid w:val="54342718"/>
    <w:rsid w:val="549262EF"/>
    <w:rsid w:val="549F2108"/>
    <w:rsid w:val="54D627D1"/>
    <w:rsid w:val="54D65D7F"/>
    <w:rsid w:val="54EC80F1"/>
    <w:rsid w:val="54ED935F"/>
    <w:rsid w:val="54F214F3"/>
    <w:rsid w:val="55099D48"/>
    <w:rsid w:val="55244613"/>
    <w:rsid w:val="554E4704"/>
    <w:rsid w:val="55A8B72A"/>
    <w:rsid w:val="55BC35C3"/>
    <w:rsid w:val="55D06F43"/>
    <w:rsid w:val="56111BF1"/>
    <w:rsid w:val="56137645"/>
    <w:rsid w:val="56178864"/>
    <w:rsid w:val="5629B3A0"/>
    <w:rsid w:val="56346947"/>
    <w:rsid w:val="56527124"/>
    <w:rsid w:val="5675AB3A"/>
    <w:rsid w:val="5693EF37"/>
    <w:rsid w:val="56A2F38D"/>
    <w:rsid w:val="56B3EE6E"/>
    <w:rsid w:val="57226C3F"/>
    <w:rsid w:val="572BFEC3"/>
    <w:rsid w:val="57371AB2"/>
    <w:rsid w:val="574126A6"/>
    <w:rsid w:val="5743DBE6"/>
    <w:rsid w:val="574F05D5"/>
    <w:rsid w:val="576F2049"/>
    <w:rsid w:val="579DADB2"/>
    <w:rsid w:val="57A813ED"/>
    <w:rsid w:val="57AADDE1"/>
    <w:rsid w:val="57AC6678"/>
    <w:rsid w:val="57B8250B"/>
    <w:rsid w:val="57C1D1C8"/>
    <w:rsid w:val="58671F97"/>
    <w:rsid w:val="587007D4"/>
    <w:rsid w:val="58D8D3BA"/>
    <w:rsid w:val="58FD2959"/>
    <w:rsid w:val="59132F82"/>
    <w:rsid w:val="59261933"/>
    <w:rsid w:val="592A733A"/>
    <w:rsid w:val="5934C589"/>
    <w:rsid w:val="594469E0"/>
    <w:rsid w:val="5980B666"/>
    <w:rsid w:val="598812E6"/>
    <w:rsid w:val="59EB016B"/>
    <w:rsid w:val="5A8D38EC"/>
    <w:rsid w:val="5AC2A01C"/>
    <w:rsid w:val="5ACFC428"/>
    <w:rsid w:val="5AE9B1B8"/>
    <w:rsid w:val="5B5FB576"/>
    <w:rsid w:val="5BEA4935"/>
    <w:rsid w:val="5C2500F6"/>
    <w:rsid w:val="5C7BF7AA"/>
    <w:rsid w:val="5C989EB0"/>
    <w:rsid w:val="5C9A9329"/>
    <w:rsid w:val="5CA29D57"/>
    <w:rsid w:val="5CDE3A4C"/>
    <w:rsid w:val="5CE03A79"/>
    <w:rsid w:val="5D1D7021"/>
    <w:rsid w:val="5D618B32"/>
    <w:rsid w:val="5D86F58B"/>
    <w:rsid w:val="5D92AFC5"/>
    <w:rsid w:val="5DADE0A9"/>
    <w:rsid w:val="5DB48F55"/>
    <w:rsid w:val="5DEB43AB"/>
    <w:rsid w:val="5E19E162"/>
    <w:rsid w:val="5E2238C3"/>
    <w:rsid w:val="5E234AD0"/>
    <w:rsid w:val="5E302C3D"/>
    <w:rsid w:val="5E5CC034"/>
    <w:rsid w:val="5E60A906"/>
    <w:rsid w:val="5E61FA06"/>
    <w:rsid w:val="5EC15012"/>
    <w:rsid w:val="5ED2DE34"/>
    <w:rsid w:val="5EDB4726"/>
    <w:rsid w:val="5EEBFF6C"/>
    <w:rsid w:val="5F0407D7"/>
    <w:rsid w:val="5F1BD8CB"/>
    <w:rsid w:val="5F2824D3"/>
    <w:rsid w:val="5F3B108D"/>
    <w:rsid w:val="5F5E5146"/>
    <w:rsid w:val="5F903FF0"/>
    <w:rsid w:val="5F95BBFB"/>
    <w:rsid w:val="5F98D556"/>
    <w:rsid w:val="5FA0A4A2"/>
    <w:rsid w:val="5FA97ADD"/>
    <w:rsid w:val="5FBC26FC"/>
    <w:rsid w:val="5FD281F0"/>
    <w:rsid w:val="5FD6C02B"/>
    <w:rsid w:val="5FE41EEF"/>
    <w:rsid w:val="5FFAEF9A"/>
    <w:rsid w:val="6021FF78"/>
    <w:rsid w:val="603B899E"/>
    <w:rsid w:val="605563F7"/>
    <w:rsid w:val="605DD384"/>
    <w:rsid w:val="6062A0AA"/>
    <w:rsid w:val="6072A82E"/>
    <w:rsid w:val="609DE5BA"/>
    <w:rsid w:val="60C5DFCC"/>
    <w:rsid w:val="60D46883"/>
    <w:rsid w:val="612D2EE4"/>
    <w:rsid w:val="61559FF4"/>
    <w:rsid w:val="6162A275"/>
    <w:rsid w:val="6188EFF7"/>
    <w:rsid w:val="619E558F"/>
    <w:rsid w:val="61A543CA"/>
    <w:rsid w:val="61B83848"/>
    <w:rsid w:val="61DCD8FE"/>
    <w:rsid w:val="624D431C"/>
    <w:rsid w:val="6275C4BC"/>
    <w:rsid w:val="627E0894"/>
    <w:rsid w:val="627E9ABD"/>
    <w:rsid w:val="628D6599"/>
    <w:rsid w:val="62C08E44"/>
    <w:rsid w:val="62C315F5"/>
    <w:rsid w:val="6318F336"/>
    <w:rsid w:val="6341D4BB"/>
    <w:rsid w:val="635645DF"/>
    <w:rsid w:val="637B3D32"/>
    <w:rsid w:val="6398C64D"/>
    <w:rsid w:val="63A9EA71"/>
    <w:rsid w:val="63AA4DD9"/>
    <w:rsid w:val="63E73463"/>
    <w:rsid w:val="643F92D0"/>
    <w:rsid w:val="644B0E31"/>
    <w:rsid w:val="6460FFCF"/>
    <w:rsid w:val="64813D87"/>
    <w:rsid w:val="648D99E3"/>
    <w:rsid w:val="648DA86C"/>
    <w:rsid w:val="6492FEF7"/>
    <w:rsid w:val="64D540A4"/>
    <w:rsid w:val="64DCFFE8"/>
    <w:rsid w:val="64DE947C"/>
    <w:rsid w:val="652B5628"/>
    <w:rsid w:val="658CB3E4"/>
    <w:rsid w:val="65E5F370"/>
    <w:rsid w:val="65EA9F7B"/>
    <w:rsid w:val="65F03E23"/>
    <w:rsid w:val="65F50609"/>
    <w:rsid w:val="660AC2BE"/>
    <w:rsid w:val="6632008B"/>
    <w:rsid w:val="6639A78D"/>
    <w:rsid w:val="663DF839"/>
    <w:rsid w:val="665F32F1"/>
    <w:rsid w:val="666BA86B"/>
    <w:rsid w:val="666D4E0B"/>
    <w:rsid w:val="66AF856D"/>
    <w:rsid w:val="66DB8D3A"/>
    <w:rsid w:val="670A232D"/>
    <w:rsid w:val="670C0F07"/>
    <w:rsid w:val="670E2C29"/>
    <w:rsid w:val="6716B3F5"/>
    <w:rsid w:val="6752F298"/>
    <w:rsid w:val="675B4F03"/>
    <w:rsid w:val="6780580D"/>
    <w:rsid w:val="679EB80F"/>
    <w:rsid w:val="67A79413"/>
    <w:rsid w:val="67CA6D43"/>
    <w:rsid w:val="680CAC7F"/>
    <w:rsid w:val="68179A25"/>
    <w:rsid w:val="68B26029"/>
    <w:rsid w:val="68B27A8B"/>
    <w:rsid w:val="68C360AF"/>
    <w:rsid w:val="68C3A39C"/>
    <w:rsid w:val="68C50447"/>
    <w:rsid w:val="68CCD284"/>
    <w:rsid w:val="68E547B5"/>
    <w:rsid w:val="69005F40"/>
    <w:rsid w:val="695AB33B"/>
    <w:rsid w:val="6991D3F2"/>
    <w:rsid w:val="69A259D5"/>
    <w:rsid w:val="6A6B981E"/>
    <w:rsid w:val="6A6F247C"/>
    <w:rsid w:val="6A7B8830"/>
    <w:rsid w:val="6ACCED4F"/>
    <w:rsid w:val="6AD7339B"/>
    <w:rsid w:val="6B12CA2F"/>
    <w:rsid w:val="6B29B15F"/>
    <w:rsid w:val="6B35669B"/>
    <w:rsid w:val="6B4249EA"/>
    <w:rsid w:val="6B9BDB6F"/>
    <w:rsid w:val="6BC41232"/>
    <w:rsid w:val="6BC796D6"/>
    <w:rsid w:val="6BDFBF97"/>
    <w:rsid w:val="6BF254D4"/>
    <w:rsid w:val="6C0F69B9"/>
    <w:rsid w:val="6C51435A"/>
    <w:rsid w:val="6C6D91D5"/>
    <w:rsid w:val="6C7DC69C"/>
    <w:rsid w:val="6CB65C55"/>
    <w:rsid w:val="6CD17366"/>
    <w:rsid w:val="6CDCA53D"/>
    <w:rsid w:val="6CF1F800"/>
    <w:rsid w:val="6D17B299"/>
    <w:rsid w:val="6D27B15F"/>
    <w:rsid w:val="6D792775"/>
    <w:rsid w:val="6D97E50B"/>
    <w:rsid w:val="6D9A88EE"/>
    <w:rsid w:val="6DF1F1DD"/>
    <w:rsid w:val="6E148D81"/>
    <w:rsid w:val="6E3C3330"/>
    <w:rsid w:val="6E451840"/>
    <w:rsid w:val="6E9B8D19"/>
    <w:rsid w:val="6EBB4C12"/>
    <w:rsid w:val="6EF0EDD2"/>
    <w:rsid w:val="6F08402B"/>
    <w:rsid w:val="6F32A7DC"/>
    <w:rsid w:val="6F343459"/>
    <w:rsid w:val="6F365228"/>
    <w:rsid w:val="6F39E70A"/>
    <w:rsid w:val="6F55B59C"/>
    <w:rsid w:val="6F5B0635"/>
    <w:rsid w:val="6FA397BD"/>
    <w:rsid w:val="6FC6EE91"/>
    <w:rsid w:val="6FCA50C2"/>
    <w:rsid w:val="6FD51A3E"/>
    <w:rsid w:val="6FDE22ED"/>
    <w:rsid w:val="7019CFA7"/>
    <w:rsid w:val="702EA791"/>
    <w:rsid w:val="7039F765"/>
    <w:rsid w:val="703EDE38"/>
    <w:rsid w:val="704C640F"/>
    <w:rsid w:val="70716920"/>
    <w:rsid w:val="7081EE71"/>
    <w:rsid w:val="70F91D7B"/>
    <w:rsid w:val="710EC77F"/>
    <w:rsid w:val="711FB7DD"/>
    <w:rsid w:val="713E6536"/>
    <w:rsid w:val="71472FF4"/>
    <w:rsid w:val="7183A275"/>
    <w:rsid w:val="71BFD720"/>
    <w:rsid w:val="71DAE298"/>
    <w:rsid w:val="720AB678"/>
    <w:rsid w:val="720C3090"/>
    <w:rsid w:val="7218A4D3"/>
    <w:rsid w:val="7299BA2F"/>
    <w:rsid w:val="7299D249"/>
    <w:rsid w:val="72AED7CF"/>
    <w:rsid w:val="72BA49ED"/>
    <w:rsid w:val="72E81BAB"/>
    <w:rsid w:val="72F5F271"/>
    <w:rsid w:val="73053A79"/>
    <w:rsid w:val="731BE15D"/>
    <w:rsid w:val="732508F4"/>
    <w:rsid w:val="732669F3"/>
    <w:rsid w:val="733582B5"/>
    <w:rsid w:val="735CA883"/>
    <w:rsid w:val="736C2173"/>
    <w:rsid w:val="73709CBA"/>
    <w:rsid w:val="73976E1F"/>
    <w:rsid w:val="739E8A82"/>
    <w:rsid w:val="73A36AF6"/>
    <w:rsid w:val="73B4DBA0"/>
    <w:rsid w:val="73C9DE8D"/>
    <w:rsid w:val="73E665B7"/>
    <w:rsid w:val="7407F32B"/>
    <w:rsid w:val="743697F2"/>
    <w:rsid w:val="7445F203"/>
    <w:rsid w:val="745785F1"/>
    <w:rsid w:val="74605959"/>
    <w:rsid w:val="749452C2"/>
    <w:rsid w:val="749BFBA0"/>
    <w:rsid w:val="74BF97BD"/>
    <w:rsid w:val="74E4BF74"/>
    <w:rsid w:val="74E7F466"/>
    <w:rsid w:val="74E8826E"/>
    <w:rsid w:val="751297CF"/>
    <w:rsid w:val="753021E3"/>
    <w:rsid w:val="7566EEFC"/>
    <w:rsid w:val="758FF7EF"/>
    <w:rsid w:val="75B767AC"/>
    <w:rsid w:val="75F893D3"/>
    <w:rsid w:val="761CE312"/>
    <w:rsid w:val="7666B8B7"/>
    <w:rsid w:val="766E48C5"/>
    <w:rsid w:val="76A63E66"/>
    <w:rsid w:val="76FF7A5E"/>
    <w:rsid w:val="7704069C"/>
    <w:rsid w:val="772EAC4D"/>
    <w:rsid w:val="77595753"/>
    <w:rsid w:val="775CF76C"/>
    <w:rsid w:val="7767B8CC"/>
    <w:rsid w:val="77761B06"/>
    <w:rsid w:val="777F9CF7"/>
    <w:rsid w:val="77918F99"/>
    <w:rsid w:val="77928B98"/>
    <w:rsid w:val="77D8D5EF"/>
    <w:rsid w:val="781AB4E6"/>
    <w:rsid w:val="78386DBC"/>
    <w:rsid w:val="783FC2A2"/>
    <w:rsid w:val="78672A9F"/>
    <w:rsid w:val="78675B74"/>
    <w:rsid w:val="787035AF"/>
    <w:rsid w:val="78C87374"/>
    <w:rsid w:val="78C92417"/>
    <w:rsid w:val="7900B7B3"/>
    <w:rsid w:val="7903BB1F"/>
    <w:rsid w:val="79131A2A"/>
    <w:rsid w:val="7921A5A1"/>
    <w:rsid w:val="792A2E86"/>
    <w:rsid w:val="796F948A"/>
    <w:rsid w:val="7976C962"/>
    <w:rsid w:val="797ED39A"/>
    <w:rsid w:val="79819C04"/>
    <w:rsid w:val="799941DF"/>
    <w:rsid w:val="79B2BC7E"/>
    <w:rsid w:val="79BD8691"/>
    <w:rsid w:val="79D48FD8"/>
    <w:rsid w:val="79DA2551"/>
    <w:rsid w:val="79F03F75"/>
    <w:rsid w:val="7A402939"/>
    <w:rsid w:val="7A46D309"/>
    <w:rsid w:val="7AAA068D"/>
    <w:rsid w:val="7AD297F2"/>
    <w:rsid w:val="7B09F96E"/>
    <w:rsid w:val="7B1E1117"/>
    <w:rsid w:val="7B31D83A"/>
    <w:rsid w:val="7B4E02B6"/>
    <w:rsid w:val="7B5A5600"/>
    <w:rsid w:val="7B6AEC15"/>
    <w:rsid w:val="7B73C1B0"/>
    <w:rsid w:val="7B821C75"/>
    <w:rsid w:val="7BA4DA3F"/>
    <w:rsid w:val="7BB230EA"/>
    <w:rsid w:val="7C09763E"/>
    <w:rsid w:val="7C2B15E3"/>
    <w:rsid w:val="7C56C695"/>
    <w:rsid w:val="7C6E28FD"/>
    <w:rsid w:val="7C78CABC"/>
    <w:rsid w:val="7C8C585C"/>
    <w:rsid w:val="7C8D03AC"/>
    <w:rsid w:val="7C992585"/>
    <w:rsid w:val="7CB7865B"/>
    <w:rsid w:val="7CC7787E"/>
    <w:rsid w:val="7D3AFE26"/>
    <w:rsid w:val="7D65AA90"/>
    <w:rsid w:val="7D67DC11"/>
    <w:rsid w:val="7D855C2E"/>
    <w:rsid w:val="7D96354C"/>
    <w:rsid w:val="7DBE7472"/>
    <w:rsid w:val="7DBFD2CF"/>
    <w:rsid w:val="7DDD430D"/>
    <w:rsid w:val="7E070F60"/>
    <w:rsid w:val="7E13343C"/>
    <w:rsid w:val="7E42254C"/>
    <w:rsid w:val="7E515D82"/>
    <w:rsid w:val="7E51CE1D"/>
    <w:rsid w:val="7E73C5A6"/>
    <w:rsid w:val="7E7753F6"/>
    <w:rsid w:val="7E91D4AD"/>
    <w:rsid w:val="7EAC89C6"/>
    <w:rsid w:val="7EB72F18"/>
    <w:rsid w:val="7EF3130E"/>
    <w:rsid w:val="7F3CB62F"/>
    <w:rsid w:val="7F3D8606"/>
    <w:rsid w:val="7F4C3250"/>
    <w:rsid w:val="7F763BBC"/>
    <w:rsid w:val="7F7CB6D6"/>
    <w:rsid w:val="7F8B78F1"/>
    <w:rsid w:val="7F9F02B0"/>
    <w:rsid w:val="7FD3854D"/>
    <w:rsid w:val="7FE2DF8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3A9"/>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aliases w:val="- H19,Comment Text Char2,Comment Text Char Char1,Comment Text Char2 Char Char,Comment Text Char Char1 Char Char,Comment Text Char2 Char Char Char Char,Comment Text Char1 Char Char Char Char1 Char,Annotationtext, Char,Char1,Char2"/>
    <w:basedOn w:val="Normal"/>
    <w:link w:val="CommentTextChar"/>
    <w:uiPriority w:val="99"/>
    <w:unhideWhenUsed/>
    <w:qFormat/>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aliases w:val="- H19 Char,Comment Text Char2 Char,Comment Text Char Char1 Char,Comment Text Char2 Char Char Char,Comment Text Char Char1 Char Char Char,Comment Text Char2 Char Char Char Char Char,Comment Text Char1 Char Char Char Char1 Char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H18"/>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Char"/>
    <w:basedOn w:val="Normal"/>
    <w:next w:val="Normal"/>
    <w:link w:val="CaptionChar"/>
    <w:qFormat/>
    <w:rsid w:val="000E7388"/>
    <w:pPr>
      <w:keepNext/>
      <w:spacing w:before="360" w:after="120" w:line="240" w:lineRule="auto"/>
      <w:ind w:left="794" w:hanging="794"/>
      <w:outlineLvl w:val="4"/>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w:hAnsi="Franklin Gothic"/>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har Char"/>
    <w:basedOn w:val="DefaultParagraphFont"/>
    <w:link w:val="Caption"/>
    <w:rsid w:val="000E7388"/>
    <w:rPr>
      <w:rFonts w:ascii="Arial Narrow" w:eastAsia="Times New Roman" w:hAnsi="Arial Narrow" w:cs="Times New Roman"/>
      <w:b/>
      <w:bCs/>
      <w:sz w:val="20"/>
      <w:szCs w:val="20"/>
    </w:rPr>
  </w:style>
  <w:style w:type="table" w:styleId="TableGrid">
    <w:name w:val="Table Grid"/>
    <w:aliases w:val="Summary box,Table Gridbeth,RTI AMCP Table,new style,ASD Table,HealthConsult,Source table_,NICE instructions,Header Table,CMA Table Template,Conclusion box,Table Grid nm,PBAC table,HTAtableplain,MSD Table Grid,Dossier table,Summary Table"/>
    <w:basedOn w:val="TableNormal"/>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aliases w:val="Figure_name,List Paragraph1,Numbered Indented Text,Bullet- First level,List NUmber,Listenabsatz1,lp1,List Paragraph11,Style 2,TOC style,List Paragraph2,List Paragraph Char Char,Number_1,SGLText List Paragraph,new,Colorful List - Accent 11"/>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aliases w:val="Figure_name Char,List Paragraph1 Char,Numbered Indented Text Char,Bullet- First level Char,List NUmber Char,Listenabsatz1 Char,lp1 Char,List Paragraph11 Char,Style 2 Char,TOC style Char,List Paragraph2 Char,Number_1 Char,new Char"/>
    <w:basedOn w:val="DefaultParagraphFont"/>
    <w:link w:val="ListParagraph"/>
    <w:uiPriority w:val="34"/>
    <w:qFormat/>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4"/>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3"/>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Agency FB" w:hAnsi="Agency FB"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Agency FB" w:hAnsi="Agency FB"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Agency FB" w:hAnsi="Agency FB" w:hint="default"/>
        <w:i/>
        <w:iCs/>
        <w:sz w:val="20"/>
        <w:szCs w:val="20"/>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7"/>
      </w:numPr>
      <w:spacing w:before="240"/>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8"/>
      </w:numPr>
      <w:spacing w:after="40"/>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9"/>
      </w:numPr>
      <w:spacing w:before="0" w:after="0"/>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character" w:customStyle="1" w:styleId="Small">
    <w:name w:val="Small"/>
    <w:basedOn w:val="DefaultParagraphFont"/>
    <w:uiPriority w:val="4"/>
    <w:qFormat/>
    <w:rsid w:val="004A48C3"/>
    <w:rPr>
      <w:rFonts w:ascii="Calibri" w:hAnsi="Calibri"/>
      <w:sz w:val="20"/>
    </w:rPr>
  </w:style>
  <w:style w:type="paragraph" w:customStyle="1" w:styleId="Commentarytext">
    <w:name w:val="Commentary text"/>
    <w:basedOn w:val="CommentText"/>
    <w:link w:val="CommentarytextChar"/>
    <w:qFormat/>
    <w:rsid w:val="00823649"/>
    <w:pPr>
      <w:spacing w:before="0" w:after="120" w:line="264" w:lineRule="auto"/>
    </w:pPr>
    <w:rPr>
      <w:rFonts w:asciiTheme="minorHAnsi" w:eastAsiaTheme="minorEastAsia" w:hAnsiTheme="minorHAnsi"/>
      <w:color w:val="0070C0"/>
      <w:szCs w:val="20"/>
    </w:rPr>
  </w:style>
  <w:style w:type="character" w:customStyle="1" w:styleId="CommentarytextChar">
    <w:name w:val="Commentary text Char"/>
    <w:basedOn w:val="DefaultParagraphFont"/>
    <w:link w:val="Commentarytext"/>
    <w:rsid w:val="00823649"/>
    <w:rPr>
      <w:rFonts w:eastAsiaTheme="minorEastAsia" w:cs="Times New Roman"/>
      <w:color w:val="0070C0"/>
      <w:szCs w:val="20"/>
      <w:lang w:eastAsia="en-AU"/>
    </w:rPr>
  </w:style>
  <w:style w:type="paragraph" w:customStyle="1" w:styleId="CommentaryTablenotes">
    <w:name w:val="Commentary Table notes"/>
    <w:basedOn w:val="Tablenotes"/>
    <w:link w:val="CommentaryTablenotesChar"/>
    <w:qFormat/>
    <w:rsid w:val="006B70FE"/>
    <w:pPr>
      <w:widowControl/>
      <w:spacing w:before="0" w:after="360" w:line="264" w:lineRule="auto"/>
    </w:pPr>
    <w:rPr>
      <w:rFonts w:eastAsiaTheme="minorEastAsia"/>
      <w:color w:val="0070C0"/>
    </w:rPr>
  </w:style>
  <w:style w:type="character" w:customStyle="1" w:styleId="CommentaryTablenotesChar">
    <w:name w:val="Commentary Table notes Char"/>
    <w:basedOn w:val="TablenotesChar"/>
    <w:link w:val="CommentaryTablenotes"/>
    <w:rsid w:val="006B70FE"/>
    <w:rPr>
      <w:rFonts w:ascii="Arial Narrow" w:eastAsiaTheme="minorEastAsia" w:hAnsi="Arial Narrow" w:cs="Arial"/>
      <w:snapToGrid w:val="0"/>
      <w:color w:val="0070C0"/>
      <w:sz w:val="18"/>
      <w:szCs w:val="20"/>
    </w:rPr>
  </w:style>
  <w:style w:type="paragraph" w:customStyle="1" w:styleId="Table">
    <w:name w:val="Table"/>
    <w:basedOn w:val="Normal"/>
    <w:link w:val="TableChar"/>
    <w:qFormat/>
    <w:rsid w:val="00FD371F"/>
    <w:pPr>
      <w:spacing w:before="0" w:after="0" w:line="240" w:lineRule="auto"/>
    </w:pPr>
    <w:rPr>
      <w:rFonts w:asciiTheme="minorHAnsi" w:eastAsiaTheme="majorEastAsia" w:hAnsiTheme="minorHAnsi" w:cstheme="majorBidi"/>
      <w:sz w:val="20"/>
      <w:lang w:bidi="en-US"/>
    </w:rPr>
  </w:style>
  <w:style w:type="character" w:customStyle="1" w:styleId="TableChar">
    <w:name w:val="Table Char"/>
    <w:basedOn w:val="DefaultParagraphFont"/>
    <w:link w:val="Table"/>
    <w:locked/>
    <w:rsid w:val="00FD371F"/>
    <w:rPr>
      <w:rFonts w:eastAsiaTheme="majorEastAsia" w:cstheme="majorBidi"/>
      <w:sz w:val="20"/>
      <w:lang w:bidi="en-US"/>
    </w:rPr>
  </w:style>
  <w:style w:type="paragraph" w:customStyle="1" w:styleId="TableCentre">
    <w:name w:val="Table Centre"/>
    <w:basedOn w:val="Normal"/>
    <w:qFormat/>
    <w:rsid w:val="00FD371F"/>
    <w:pPr>
      <w:spacing w:before="0" w:after="0" w:line="240" w:lineRule="auto"/>
      <w:jc w:val="center"/>
    </w:pPr>
    <w:rPr>
      <w:rFonts w:ascii="Calibri" w:eastAsiaTheme="majorEastAsia" w:hAnsi="Calibri" w:cstheme="majorBidi"/>
      <w:sz w:val="18"/>
      <w:lang w:bidi="en-US"/>
    </w:rPr>
  </w:style>
  <w:style w:type="table" w:customStyle="1" w:styleId="LashStyleTable1">
    <w:name w:val="Lash Style Table1"/>
    <w:basedOn w:val="TableNormal"/>
    <w:next w:val="TableGrid"/>
    <w:uiPriority w:val="39"/>
    <w:rsid w:val="00D05AE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arytextitalics-AGvoice">
    <w:name w:val="Commentary text italics - AG voice"/>
    <w:basedOn w:val="Normal"/>
    <w:link w:val="Commentarytextitalics-AGvoiceChar"/>
    <w:qFormat/>
    <w:rsid w:val="008E2119"/>
    <w:pPr>
      <w:spacing w:before="0" w:after="120" w:line="264" w:lineRule="auto"/>
    </w:pPr>
    <w:rPr>
      <w:rFonts w:asciiTheme="minorHAnsi" w:eastAsiaTheme="minorEastAsia" w:hAnsiTheme="minorHAnsi" w:cs="Times New Roman"/>
      <w:i/>
      <w:snapToGrid w:val="0"/>
      <w:color w:val="0070C0"/>
      <w:szCs w:val="20"/>
      <w:lang w:eastAsia="en-AU"/>
    </w:rPr>
  </w:style>
  <w:style w:type="character" w:customStyle="1" w:styleId="Commentarytextitalics-AGvoiceChar">
    <w:name w:val="Commentary text italics - AG voice Char"/>
    <w:basedOn w:val="DefaultParagraphFont"/>
    <w:link w:val="Commentarytextitalics-AGvoice"/>
    <w:rsid w:val="008E2119"/>
    <w:rPr>
      <w:rFonts w:eastAsiaTheme="minorEastAsia" w:cs="Times New Roman"/>
      <w:i/>
      <w:snapToGrid w:val="0"/>
      <w:color w:val="0070C0"/>
      <w:szCs w:val="20"/>
      <w:lang w:eastAsia="en-AU"/>
    </w:rPr>
  </w:style>
  <w:style w:type="paragraph" w:customStyle="1" w:styleId="CommentaryTabletextleft">
    <w:name w:val="Commentary Table text left"/>
    <w:basedOn w:val="Normal"/>
    <w:link w:val="CommentaryTabletextleftChar"/>
    <w:qFormat/>
    <w:rsid w:val="00354EDD"/>
    <w:pPr>
      <w:spacing w:before="40" w:after="40" w:line="240" w:lineRule="auto"/>
    </w:pPr>
    <w:rPr>
      <w:rFonts w:asciiTheme="minorHAnsi" w:eastAsia="Calibri" w:hAnsiTheme="minorHAnsi"/>
      <w:color w:val="0070C0"/>
      <w:sz w:val="20"/>
      <w:szCs w:val="20"/>
    </w:rPr>
  </w:style>
  <w:style w:type="character" w:customStyle="1" w:styleId="CommentaryTabletextleftChar">
    <w:name w:val="Commentary Table text left Char"/>
    <w:basedOn w:val="DefaultParagraphFont"/>
    <w:link w:val="CommentaryTabletextleft"/>
    <w:rsid w:val="00354EDD"/>
    <w:rPr>
      <w:rFonts w:eastAsia="Calibri"/>
      <w:color w:val="0070C0"/>
      <w:sz w:val="20"/>
      <w:szCs w:val="20"/>
    </w:rPr>
  </w:style>
  <w:style w:type="character" w:styleId="Mention">
    <w:name w:val="Mention"/>
    <w:basedOn w:val="DefaultParagraphFont"/>
    <w:uiPriority w:val="99"/>
    <w:unhideWhenUsed/>
    <w:rsid w:val="00E91799"/>
    <w:rPr>
      <w:color w:val="2B579A"/>
      <w:shd w:val="clear" w:color="auto" w:fill="E1DFDD"/>
    </w:rPr>
  </w:style>
  <w:style w:type="character" w:styleId="UnresolvedMention">
    <w:name w:val="Unresolved Mention"/>
    <w:basedOn w:val="DefaultParagraphFont"/>
    <w:uiPriority w:val="99"/>
    <w:unhideWhenUsed/>
    <w:rsid w:val="00B15AA3"/>
    <w:rPr>
      <w:color w:val="605E5C"/>
      <w:shd w:val="clear" w:color="auto" w:fill="E1DFDD"/>
    </w:rPr>
  </w:style>
  <w:style w:type="character" w:customStyle="1" w:styleId="ui-provider">
    <w:name w:val="ui-provider"/>
    <w:basedOn w:val="DefaultParagraphFont"/>
    <w:rsid w:val="008B1A53"/>
  </w:style>
  <w:style w:type="character" w:customStyle="1" w:styleId="Font">
    <w:name w:val="Font"/>
    <w:basedOn w:val="DefaultParagraphFont"/>
    <w:uiPriority w:val="1"/>
    <w:qFormat/>
    <w:rsid w:val="006B3A83"/>
    <w:rPr>
      <w:rFonts w:ascii="Sabon" w:hAnsi="Sabon"/>
      <w:sz w:val="22"/>
    </w:rPr>
  </w:style>
  <w:style w:type="paragraph" w:customStyle="1" w:styleId="CommentaryTableheading">
    <w:name w:val="Commentary Table heading"/>
    <w:basedOn w:val="TableHeading"/>
    <w:link w:val="CommentaryTableheadingChar"/>
    <w:qFormat/>
    <w:rsid w:val="005B2B5E"/>
    <w:pPr>
      <w:spacing w:before="40" w:after="40"/>
      <w:ind w:left="57"/>
    </w:pPr>
    <w:rPr>
      <w:rFonts w:eastAsiaTheme="minorEastAsia"/>
      <w:snapToGrid w:val="0"/>
      <w:color w:val="0070C0"/>
      <w:szCs w:val="20"/>
    </w:rPr>
  </w:style>
  <w:style w:type="character" w:customStyle="1" w:styleId="CommentaryTableheadingChar">
    <w:name w:val="Commentary Table heading Char"/>
    <w:basedOn w:val="TableHeadingChar"/>
    <w:link w:val="CommentaryTableheading"/>
    <w:rsid w:val="005B2B5E"/>
    <w:rPr>
      <w:rFonts w:ascii="Arial Narrow" w:eastAsiaTheme="minorEastAsia" w:hAnsi="Arial Narrow"/>
      <w:b/>
      <w:snapToGrid w:val="0"/>
      <w:color w:val="0070C0"/>
      <w:sz w:val="20"/>
      <w:szCs w:val="20"/>
    </w:rPr>
  </w:style>
  <w:style w:type="paragraph" w:customStyle="1" w:styleId="TableDash">
    <w:name w:val="TableDash"/>
    <w:basedOn w:val="TableText1"/>
    <w:rsid w:val="00CC2A61"/>
    <w:pPr>
      <w:numPr>
        <w:numId w:val="22"/>
      </w:numPr>
      <w:tabs>
        <w:tab w:val="clear" w:pos="216"/>
        <w:tab w:val="num" w:pos="432"/>
      </w:tabs>
      <w:spacing w:before="60" w:after="60" w:line="240" w:lineRule="auto"/>
      <w:jc w:val="left"/>
    </w:pPr>
    <w:rPr>
      <w:rFonts w:ascii="Franklin Gothic Book" w:hAnsi="Franklin Gothic Book" w:cs="Times New Roman"/>
      <w:color w:val="000000"/>
      <w:sz w:val="21"/>
      <w:szCs w:val="21"/>
    </w:rPr>
  </w:style>
  <w:style w:type="paragraph" w:customStyle="1" w:styleId="BoxText">
    <w:name w:val="BoxText"/>
    <w:basedOn w:val="Normal"/>
    <w:qFormat/>
    <w:rsid w:val="00943DD8"/>
    <w:pPr>
      <w:pBdr>
        <w:top w:val="single" w:sz="4" w:space="4" w:color="000000"/>
        <w:left w:val="single" w:sz="4" w:space="4" w:color="000000"/>
        <w:bottom w:val="single" w:sz="4" w:space="4" w:color="000000"/>
        <w:right w:val="single" w:sz="4" w:space="4" w:color="000000"/>
      </w:pBdr>
      <w:spacing w:before="0" w:after="120" w:line="240" w:lineRule="auto"/>
    </w:pPr>
    <w:rPr>
      <w:rFonts w:eastAsia="Times New Roman" w:cs="Times New Roman"/>
      <w:color w:val="000000"/>
      <w:szCs w:val="20"/>
      <w:lang w:eastAsia="en-AU"/>
    </w:rPr>
  </w:style>
  <w:style w:type="paragraph" w:customStyle="1" w:styleId="BoxName0">
    <w:name w:val="BoxName"/>
    <w:basedOn w:val="BoxText"/>
    <w:rsid w:val="00943DD8"/>
    <w:pPr>
      <w:keepNext/>
      <w:spacing w:before="240" w:after="240"/>
      <w:ind w:left="1077" w:hanging="1077"/>
    </w:pPr>
    <w:rPr>
      <w:b/>
      <w:bCs/>
      <w:sz w:val="24"/>
    </w:rPr>
  </w:style>
  <w:style w:type="paragraph" w:customStyle="1" w:styleId="BoxHeading">
    <w:name w:val="BoxHeading"/>
    <w:basedOn w:val="BoxText"/>
    <w:rsid w:val="00943DD8"/>
    <w:pPr>
      <w:keepNext/>
      <w:spacing w:before="120" w:after="60"/>
    </w:pPr>
    <w:rPr>
      <w:b/>
      <w:bCs/>
    </w:rPr>
  </w:style>
  <w:style w:type="paragraph" w:customStyle="1" w:styleId="BoxBullet">
    <w:name w:val="BoxBullet"/>
    <w:basedOn w:val="BoxText"/>
    <w:rsid w:val="00CC2A61"/>
    <w:pPr>
      <w:numPr>
        <w:numId w:val="24"/>
      </w:numPr>
    </w:pPr>
  </w:style>
  <w:style w:type="paragraph" w:customStyle="1" w:styleId="BoxDash">
    <w:name w:val="BoxDash"/>
    <w:basedOn w:val="BoxBullet"/>
    <w:rsid w:val="00CC2A61"/>
    <w:pPr>
      <w:numPr>
        <w:numId w:val="23"/>
      </w:numPr>
    </w:pPr>
  </w:style>
  <w:style w:type="paragraph" w:customStyle="1" w:styleId="BulletBeforeDash">
    <w:name w:val="BulletBeforeDash"/>
    <w:basedOn w:val="Normal"/>
    <w:rsid w:val="00CC2A61"/>
    <w:pPr>
      <w:numPr>
        <w:numId w:val="25"/>
      </w:numPr>
      <w:spacing w:before="0" w:after="0" w:line="240" w:lineRule="auto"/>
    </w:pPr>
    <w:rPr>
      <w:rFonts w:eastAsia="Times New Roman" w:cs="Times New Roman"/>
      <w:color w:val="000000"/>
      <w:szCs w:val="20"/>
      <w:lang w:eastAsia="en-AU"/>
    </w:rPr>
  </w:style>
  <w:style w:type="paragraph" w:customStyle="1" w:styleId="BulletLast">
    <w:name w:val="BulletLast"/>
    <w:basedOn w:val="Bullet"/>
    <w:qFormat/>
    <w:rsid w:val="00CC2A61"/>
    <w:pPr>
      <w:numPr>
        <w:numId w:val="3"/>
      </w:numPr>
      <w:spacing w:before="0" w:after="240"/>
    </w:pPr>
    <w:rPr>
      <w:rFonts w:ascii="Franklin Gothic Book" w:eastAsia="Times New Roman" w:hAnsi="Franklin Gothic Book" w:cs="Times New Roman"/>
      <w:color w:val="000000"/>
      <w:szCs w:val="20"/>
      <w:lang w:eastAsia="en-AU"/>
    </w:rPr>
  </w:style>
  <w:style w:type="paragraph" w:customStyle="1" w:styleId="NormalBeforeBullet0">
    <w:name w:val="NormalBeforeBullet"/>
    <w:basedOn w:val="Normal"/>
    <w:qFormat/>
    <w:rsid w:val="00353525"/>
    <w:pPr>
      <w:keepNext/>
      <w:spacing w:before="0" w:after="120" w:line="240" w:lineRule="auto"/>
    </w:pPr>
    <w:rPr>
      <w:rFonts w:eastAsia="Times New Roman" w:cs="Times New Roman"/>
      <w:color w:val="000000"/>
      <w:szCs w:val="20"/>
      <w:lang w:eastAsia="en-AU"/>
    </w:rPr>
  </w:style>
  <w:style w:type="character" w:customStyle="1" w:styleId="cf01">
    <w:name w:val="cf01"/>
    <w:basedOn w:val="DefaultParagraphFont"/>
    <w:rsid w:val="00005C94"/>
    <w:rPr>
      <w:rFonts w:ascii="Segoe UI" w:hAnsi="Segoe UI" w:cs="Segoe UI" w:hint="default"/>
      <w:i/>
      <w:iCs/>
      <w:sz w:val="18"/>
      <w:szCs w:val="18"/>
    </w:rPr>
  </w:style>
  <w:style w:type="character" w:customStyle="1" w:styleId="cf11">
    <w:name w:val="cf11"/>
    <w:basedOn w:val="DefaultParagraphFont"/>
    <w:rsid w:val="00005C94"/>
    <w:rPr>
      <w:rFonts w:ascii="Segoe UI" w:hAnsi="Segoe UI" w:cs="Segoe UI" w:hint="default"/>
      <w:sz w:val="18"/>
      <w:szCs w:val="18"/>
    </w:rPr>
  </w:style>
  <w:style w:type="paragraph" w:customStyle="1" w:styleId="paragraph">
    <w:name w:val="paragraph"/>
    <w:basedOn w:val="Normal"/>
    <w:rsid w:val="00255EA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255EA3"/>
  </w:style>
  <w:style w:type="character" w:customStyle="1" w:styleId="eop">
    <w:name w:val="eop"/>
    <w:basedOn w:val="DefaultParagraphFont"/>
    <w:rsid w:val="00255EA3"/>
  </w:style>
  <w:style w:type="paragraph" w:styleId="BodyText">
    <w:name w:val="Body Text"/>
    <w:basedOn w:val="Normal"/>
    <w:link w:val="BodyTextChar"/>
    <w:rsid w:val="006779D5"/>
    <w:pPr>
      <w:widowControl w:val="0"/>
      <w:spacing w:after="0" w:line="240" w:lineRule="auto"/>
      <w:jc w:val="both"/>
    </w:pPr>
    <w:rPr>
      <w:rFonts w:ascii="Book Antiqua" w:eastAsia="Times New Roman" w:hAnsi="Book Antiqua" w:cs="Times New Roman"/>
      <w:sz w:val="24"/>
      <w:szCs w:val="20"/>
    </w:rPr>
  </w:style>
  <w:style w:type="character" w:customStyle="1" w:styleId="BodyTextChar">
    <w:name w:val="Body Text Char"/>
    <w:basedOn w:val="DefaultParagraphFont"/>
    <w:link w:val="BodyText"/>
    <w:rsid w:val="006779D5"/>
    <w:rPr>
      <w:rFonts w:ascii="Book Antiqua" w:eastAsia="Times New Roman" w:hAnsi="Book Antiqu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5821">
      <w:bodyDiv w:val="1"/>
      <w:marLeft w:val="0"/>
      <w:marRight w:val="0"/>
      <w:marTop w:val="0"/>
      <w:marBottom w:val="0"/>
      <w:divBdr>
        <w:top w:val="none" w:sz="0" w:space="0" w:color="auto"/>
        <w:left w:val="none" w:sz="0" w:space="0" w:color="auto"/>
        <w:bottom w:val="none" w:sz="0" w:space="0" w:color="auto"/>
        <w:right w:val="none" w:sz="0" w:space="0" w:color="auto"/>
      </w:divBdr>
    </w:div>
    <w:div w:id="19203248">
      <w:bodyDiv w:val="1"/>
      <w:marLeft w:val="0"/>
      <w:marRight w:val="0"/>
      <w:marTop w:val="0"/>
      <w:marBottom w:val="0"/>
      <w:divBdr>
        <w:top w:val="none" w:sz="0" w:space="0" w:color="auto"/>
        <w:left w:val="none" w:sz="0" w:space="0" w:color="auto"/>
        <w:bottom w:val="none" w:sz="0" w:space="0" w:color="auto"/>
        <w:right w:val="none" w:sz="0" w:space="0" w:color="auto"/>
      </w:divBdr>
    </w:div>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05539058">
      <w:bodyDiv w:val="1"/>
      <w:marLeft w:val="0"/>
      <w:marRight w:val="0"/>
      <w:marTop w:val="0"/>
      <w:marBottom w:val="0"/>
      <w:divBdr>
        <w:top w:val="none" w:sz="0" w:space="0" w:color="auto"/>
        <w:left w:val="none" w:sz="0" w:space="0" w:color="auto"/>
        <w:bottom w:val="none" w:sz="0" w:space="0" w:color="auto"/>
        <w:right w:val="none" w:sz="0" w:space="0" w:color="auto"/>
      </w:divBdr>
    </w:div>
    <w:div w:id="142738757">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274753240">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61387380">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693191918">
      <w:bodyDiv w:val="1"/>
      <w:marLeft w:val="0"/>
      <w:marRight w:val="0"/>
      <w:marTop w:val="0"/>
      <w:marBottom w:val="0"/>
      <w:divBdr>
        <w:top w:val="none" w:sz="0" w:space="0" w:color="auto"/>
        <w:left w:val="none" w:sz="0" w:space="0" w:color="auto"/>
        <w:bottom w:val="none" w:sz="0" w:space="0" w:color="auto"/>
        <w:right w:val="none" w:sz="0" w:space="0" w:color="auto"/>
      </w:divBdr>
    </w:div>
    <w:div w:id="706106362">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761493048">
      <w:bodyDiv w:val="1"/>
      <w:marLeft w:val="0"/>
      <w:marRight w:val="0"/>
      <w:marTop w:val="0"/>
      <w:marBottom w:val="0"/>
      <w:divBdr>
        <w:top w:val="none" w:sz="0" w:space="0" w:color="auto"/>
        <w:left w:val="none" w:sz="0" w:space="0" w:color="auto"/>
        <w:bottom w:val="none" w:sz="0" w:space="0" w:color="auto"/>
        <w:right w:val="none" w:sz="0" w:space="0" w:color="auto"/>
      </w:divBdr>
    </w:div>
    <w:div w:id="800807926">
      <w:bodyDiv w:val="1"/>
      <w:marLeft w:val="0"/>
      <w:marRight w:val="0"/>
      <w:marTop w:val="0"/>
      <w:marBottom w:val="0"/>
      <w:divBdr>
        <w:top w:val="none" w:sz="0" w:space="0" w:color="auto"/>
        <w:left w:val="none" w:sz="0" w:space="0" w:color="auto"/>
        <w:bottom w:val="none" w:sz="0" w:space="0" w:color="auto"/>
        <w:right w:val="none" w:sz="0" w:space="0" w:color="auto"/>
      </w:divBdr>
    </w:div>
    <w:div w:id="809904307">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74271285">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084499630">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5483209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18606161">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350108471">
      <w:bodyDiv w:val="1"/>
      <w:marLeft w:val="0"/>
      <w:marRight w:val="0"/>
      <w:marTop w:val="0"/>
      <w:marBottom w:val="0"/>
      <w:divBdr>
        <w:top w:val="none" w:sz="0" w:space="0" w:color="auto"/>
        <w:left w:val="none" w:sz="0" w:space="0" w:color="auto"/>
        <w:bottom w:val="none" w:sz="0" w:space="0" w:color="auto"/>
        <w:right w:val="none" w:sz="0" w:space="0" w:color="auto"/>
      </w:divBdr>
    </w:div>
    <w:div w:id="1386418319">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22683539">
      <w:bodyDiv w:val="1"/>
      <w:marLeft w:val="0"/>
      <w:marRight w:val="0"/>
      <w:marTop w:val="0"/>
      <w:marBottom w:val="0"/>
      <w:divBdr>
        <w:top w:val="none" w:sz="0" w:space="0" w:color="auto"/>
        <w:left w:val="none" w:sz="0" w:space="0" w:color="auto"/>
        <w:bottom w:val="none" w:sz="0" w:space="0" w:color="auto"/>
        <w:right w:val="none" w:sz="0" w:space="0" w:color="auto"/>
      </w:divBdr>
    </w:div>
    <w:div w:id="1438984073">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59957590">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473983864">
      <w:bodyDiv w:val="1"/>
      <w:marLeft w:val="0"/>
      <w:marRight w:val="0"/>
      <w:marTop w:val="0"/>
      <w:marBottom w:val="0"/>
      <w:divBdr>
        <w:top w:val="none" w:sz="0" w:space="0" w:color="auto"/>
        <w:left w:val="none" w:sz="0" w:space="0" w:color="auto"/>
        <w:bottom w:val="none" w:sz="0" w:space="0" w:color="auto"/>
        <w:right w:val="none" w:sz="0" w:space="0" w:color="auto"/>
      </w:divBdr>
    </w:div>
    <w:div w:id="1550337598">
      <w:bodyDiv w:val="1"/>
      <w:marLeft w:val="0"/>
      <w:marRight w:val="0"/>
      <w:marTop w:val="0"/>
      <w:marBottom w:val="0"/>
      <w:divBdr>
        <w:top w:val="none" w:sz="0" w:space="0" w:color="auto"/>
        <w:left w:val="none" w:sz="0" w:space="0" w:color="auto"/>
        <w:bottom w:val="none" w:sz="0" w:space="0" w:color="auto"/>
        <w:right w:val="none" w:sz="0" w:space="0" w:color="auto"/>
      </w:divBdr>
    </w:div>
    <w:div w:id="1587374694">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780834458">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14924467">
      <w:bodyDiv w:val="1"/>
      <w:marLeft w:val="0"/>
      <w:marRight w:val="0"/>
      <w:marTop w:val="0"/>
      <w:marBottom w:val="0"/>
      <w:divBdr>
        <w:top w:val="none" w:sz="0" w:space="0" w:color="auto"/>
        <w:left w:val="none" w:sz="0" w:space="0" w:color="auto"/>
        <w:bottom w:val="none" w:sz="0" w:space="0" w:color="auto"/>
        <w:right w:val="none" w:sz="0" w:space="0" w:color="auto"/>
      </w:divBdr>
    </w:div>
    <w:div w:id="1925609643">
      <w:bodyDiv w:val="1"/>
      <w:marLeft w:val="0"/>
      <w:marRight w:val="0"/>
      <w:marTop w:val="0"/>
      <w:marBottom w:val="0"/>
      <w:divBdr>
        <w:top w:val="none" w:sz="0" w:space="0" w:color="auto"/>
        <w:left w:val="none" w:sz="0" w:space="0" w:color="auto"/>
        <w:bottom w:val="none" w:sz="0" w:space="0" w:color="auto"/>
        <w:right w:val="none" w:sz="0" w:space="0" w:color="auto"/>
      </w:divBdr>
      <w:divsChild>
        <w:div w:id="775711343">
          <w:marLeft w:val="0"/>
          <w:marRight w:val="0"/>
          <w:marTop w:val="0"/>
          <w:marBottom w:val="0"/>
          <w:divBdr>
            <w:top w:val="none" w:sz="0" w:space="0" w:color="auto"/>
            <w:left w:val="none" w:sz="0" w:space="0" w:color="auto"/>
            <w:bottom w:val="none" w:sz="0" w:space="0" w:color="auto"/>
            <w:right w:val="none" w:sz="0" w:space="0" w:color="auto"/>
          </w:divBdr>
          <w:divsChild>
            <w:div w:id="54857169">
              <w:marLeft w:val="0"/>
              <w:marRight w:val="0"/>
              <w:marTop w:val="0"/>
              <w:marBottom w:val="0"/>
              <w:divBdr>
                <w:top w:val="none" w:sz="0" w:space="0" w:color="auto"/>
                <w:left w:val="none" w:sz="0" w:space="0" w:color="auto"/>
                <w:bottom w:val="none" w:sz="0" w:space="0" w:color="auto"/>
                <w:right w:val="none" w:sz="0" w:space="0" w:color="auto"/>
              </w:divBdr>
            </w:div>
            <w:div w:id="71246203">
              <w:marLeft w:val="0"/>
              <w:marRight w:val="0"/>
              <w:marTop w:val="0"/>
              <w:marBottom w:val="0"/>
              <w:divBdr>
                <w:top w:val="none" w:sz="0" w:space="0" w:color="auto"/>
                <w:left w:val="none" w:sz="0" w:space="0" w:color="auto"/>
                <w:bottom w:val="none" w:sz="0" w:space="0" w:color="auto"/>
                <w:right w:val="none" w:sz="0" w:space="0" w:color="auto"/>
              </w:divBdr>
            </w:div>
            <w:div w:id="229005913">
              <w:marLeft w:val="0"/>
              <w:marRight w:val="0"/>
              <w:marTop w:val="0"/>
              <w:marBottom w:val="0"/>
              <w:divBdr>
                <w:top w:val="none" w:sz="0" w:space="0" w:color="auto"/>
                <w:left w:val="none" w:sz="0" w:space="0" w:color="auto"/>
                <w:bottom w:val="none" w:sz="0" w:space="0" w:color="auto"/>
                <w:right w:val="none" w:sz="0" w:space="0" w:color="auto"/>
              </w:divBdr>
            </w:div>
            <w:div w:id="520050479">
              <w:marLeft w:val="0"/>
              <w:marRight w:val="0"/>
              <w:marTop w:val="0"/>
              <w:marBottom w:val="0"/>
              <w:divBdr>
                <w:top w:val="none" w:sz="0" w:space="0" w:color="auto"/>
                <w:left w:val="none" w:sz="0" w:space="0" w:color="auto"/>
                <w:bottom w:val="none" w:sz="0" w:space="0" w:color="auto"/>
                <w:right w:val="none" w:sz="0" w:space="0" w:color="auto"/>
              </w:divBdr>
            </w:div>
            <w:div w:id="580604820">
              <w:marLeft w:val="0"/>
              <w:marRight w:val="0"/>
              <w:marTop w:val="0"/>
              <w:marBottom w:val="0"/>
              <w:divBdr>
                <w:top w:val="none" w:sz="0" w:space="0" w:color="auto"/>
                <w:left w:val="none" w:sz="0" w:space="0" w:color="auto"/>
                <w:bottom w:val="none" w:sz="0" w:space="0" w:color="auto"/>
                <w:right w:val="none" w:sz="0" w:space="0" w:color="auto"/>
              </w:divBdr>
            </w:div>
            <w:div w:id="715590258">
              <w:marLeft w:val="0"/>
              <w:marRight w:val="0"/>
              <w:marTop w:val="0"/>
              <w:marBottom w:val="0"/>
              <w:divBdr>
                <w:top w:val="none" w:sz="0" w:space="0" w:color="auto"/>
                <w:left w:val="none" w:sz="0" w:space="0" w:color="auto"/>
                <w:bottom w:val="none" w:sz="0" w:space="0" w:color="auto"/>
                <w:right w:val="none" w:sz="0" w:space="0" w:color="auto"/>
              </w:divBdr>
            </w:div>
            <w:div w:id="916135884">
              <w:marLeft w:val="0"/>
              <w:marRight w:val="0"/>
              <w:marTop w:val="0"/>
              <w:marBottom w:val="0"/>
              <w:divBdr>
                <w:top w:val="none" w:sz="0" w:space="0" w:color="auto"/>
                <w:left w:val="none" w:sz="0" w:space="0" w:color="auto"/>
                <w:bottom w:val="none" w:sz="0" w:space="0" w:color="auto"/>
                <w:right w:val="none" w:sz="0" w:space="0" w:color="auto"/>
              </w:divBdr>
            </w:div>
            <w:div w:id="1001347726">
              <w:marLeft w:val="0"/>
              <w:marRight w:val="0"/>
              <w:marTop w:val="0"/>
              <w:marBottom w:val="0"/>
              <w:divBdr>
                <w:top w:val="none" w:sz="0" w:space="0" w:color="auto"/>
                <w:left w:val="none" w:sz="0" w:space="0" w:color="auto"/>
                <w:bottom w:val="none" w:sz="0" w:space="0" w:color="auto"/>
                <w:right w:val="none" w:sz="0" w:space="0" w:color="auto"/>
              </w:divBdr>
            </w:div>
            <w:div w:id="1172573624">
              <w:marLeft w:val="0"/>
              <w:marRight w:val="0"/>
              <w:marTop w:val="0"/>
              <w:marBottom w:val="0"/>
              <w:divBdr>
                <w:top w:val="none" w:sz="0" w:space="0" w:color="auto"/>
                <w:left w:val="none" w:sz="0" w:space="0" w:color="auto"/>
                <w:bottom w:val="none" w:sz="0" w:space="0" w:color="auto"/>
                <w:right w:val="none" w:sz="0" w:space="0" w:color="auto"/>
              </w:divBdr>
            </w:div>
            <w:div w:id="1286883251">
              <w:marLeft w:val="0"/>
              <w:marRight w:val="0"/>
              <w:marTop w:val="0"/>
              <w:marBottom w:val="0"/>
              <w:divBdr>
                <w:top w:val="none" w:sz="0" w:space="0" w:color="auto"/>
                <w:left w:val="none" w:sz="0" w:space="0" w:color="auto"/>
                <w:bottom w:val="none" w:sz="0" w:space="0" w:color="auto"/>
                <w:right w:val="none" w:sz="0" w:space="0" w:color="auto"/>
              </w:divBdr>
            </w:div>
            <w:div w:id="1305888085">
              <w:marLeft w:val="0"/>
              <w:marRight w:val="0"/>
              <w:marTop w:val="0"/>
              <w:marBottom w:val="0"/>
              <w:divBdr>
                <w:top w:val="none" w:sz="0" w:space="0" w:color="auto"/>
                <w:left w:val="none" w:sz="0" w:space="0" w:color="auto"/>
                <w:bottom w:val="none" w:sz="0" w:space="0" w:color="auto"/>
                <w:right w:val="none" w:sz="0" w:space="0" w:color="auto"/>
              </w:divBdr>
            </w:div>
            <w:div w:id="1321999546">
              <w:marLeft w:val="0"/>
              <w:marRight w:val="0"/>
              <w:marTop w:val="0"/>
              <w:marBottom w:val="0"/>
              <w:divBdr>
                <w:top w:val="none" w:sz="0" w:space="0" w:color="auto"/>
                <w:left w:val="none" w:sz="0" w:space="0" w:color="auto"/>
                <w:bottom w:val="none" w:sz="0" w:space="0" w:color="auto"/>
                <w:right w:val="none" w:sz="0" w:space="0" w:color="auto"/>
              </w:divBdr>
            </w:div>
            <w:div w:id="1831293154">
              <w:marLeft w:val="0"/>
              <w:marRight w:val="0"/>
              <w:marTop w:val="0"/>
              <w:marBottom w:val="0"/>
              <w:divBdr>
                <w:top w:val="none" w:sz="0" w:space="0" w:color="auto"/>
                <w:left w:val="none" w:sz="0" w:space="0" w:color="auto"/>
                <w:bottom w:val="none" w:sz="0" w:space="0" w:color="auto"/>
                <w:right w:val="none" w:sz="0" w:space="0" w:color="auto"/>
              </w:divBdr>
            </w:div>
            <w:div w:id="1850440781">
              <w:marLeft w:val="0"/>
              <w:marRight w:val="0"/>
              <w:marTop w:val="0"/>
              <w:marBottom w:val="0"/>
              <w:divBdr>
                <w:top w:val="none" w:sz="0" w:space="0" w:color="auto"/>
                <w:left w:val="none" w:sz="0" w:space="0" w:color="auto"/>
                <w:bottom w:val="none" w:sz="0" w:space="0" w:color="auto"/>
                <w:right w:val="none" w:sz="0" w:space="0" w:color="auto"/>
              </w:divBdr>
            </w:div>
            <w:div w:id="1981837518">
              <w:marLeft w:val="0"/>
              <w:marRight w:val="0"/>
              <w:marTop w:val="0"/>
              <w:marBottom w:val="0"/>
              <w:divBdr>
                <w:top w:val="none" w:sz="0" w:space="0" w:color="auto"/>
                <w:left w:val="none" w:sz="0" w:space="0" w:color="auto"/>
                <w:bottom w:val="none" w:sz="0" w:space="0" w:color="auto"/>
                <w:right w:val="none" w:sz="0" w:space="0" w:color="auto"/>
              </w:divBdr>
            </w:div>
          </w:divsChild>
        </w:div>
        <w:div w:id="1263221010">
          <w:marLeft w:val="0"/>
          <w:marRight w:val="0"/>
          <w:marTop w:val="0"/>
          <w:marBottom w:val="0"/>
          <w:divBdr>
            <w:top w:val="none" w:sz="0" w:space="0" w:color="auto"/>
            <w:left w:val="none" w:sz="0" w:space="0" w:color="auto"/>
            <w:bottom w:val="none" w:sz="0" w:space="0" w:color="auto"/>
            <w:right w:val="none" w:sz="0" w:space="0" w:color="auto"/>
          </w:divBdr>
          <w:divsChild>
            <w:div w:id="4287923">
              <w:marLeft w:val="0"/>
              <w:marRight w:val="0"/>
              <w:marTop w:val="0"/>
              <w:marBottom w:val="0"/>
              <w:divBdr>
                <w:top w:val="none" w:sz="0" w:space="0" w:color="auto"/>
                <w:left w:val="none" w:sz="0" w:space="0" w:color="auto"/>
                <w:bottom w:val="none" w:sz="0" w:space="0" w:color="auto"/>
                <w:right w:val="none" w:sz="0" w:space="0" w:color="auto"/>
              </w:divBdr>
            </w:div>
            <w:div w:id="254750485">
              <w:marLeft w:val="0"/>
              <w:marRight w:val="0"/>
              <w:marTop w:val="0"/>
              <w:marBottom w:val="0"/>
              <w:divBdr>
                <w:top w:val="none" w:sz="0" w:space="0" w:color="auto"/>
                <w:left w:val="none" w:sz="0" w:space="0" w:color="auto"/>
                <w:bottom w:val="none" w:sz="0" w:space="0" w:color="auto"/>
                <w:right w:val="none" w:sz="0" w:space="0" w:color="auto"/>
              </w:divBdr>
            </w:div>
            <w:div w:id="455608500">
              <w:marLeft w:val="0"/>
              <w:marRight w:val="0"/>
              <w:marTop w:val="0"/>
              <w:marBottom w:val="0"/>
              <w:divBdr>
                <w:top w:val="none" w:sz="0" w:space="0" w:color="auto"/>
                <w:left w:val="none" w:sz="0" w:space="0" w:color="auto"/>
                <w:bottom w:val="none" w:sz="0" w:space="0" w:color="auto"/>
                <w:right w:val="none" w:sz="0" w:space="0" w:color="auto"/>
              </w:divBdr>
            </w:div>
            <w:div w:id="497042328">
              <w:marLeft w:val="0"/>
              <w:marRight w:val="0"/>
              <w:marTop w:val="0"/>
              <w:marBottom w:val="0"/>
              <w:divBdr>
                <w:top w:val="none" w:sz="0" w:space="0" w:color="auto"/>
                <w:left w:val="none" w:sz="0" w:space="0" w:color="auto"/>
                <w:bottom w:val="none" w:sz="0" w:space="0" w:color="auto"/>
                <w:right w:val="none" w:sz="0" w:space="0" w:color="auto"/>
              </w:divBdr>
            </w:div>
            <w:div w:id="796027831">
              <w:marLeft w:val="0"/>
              <w:marRight w:val="0"/>
              <w:marTop w:val="0"/>
              <w:marBottom w:val="0"/>
              <w:divBdr>
                <w:top w:val="none" w:sz="0" w:space="0" w:color="auto"/>
                <w:left w:val="none" w:sz="0" w:space="0" w:color="auto"/>
                <w:bottom w:val="none" w:sz="0" w:space="0" w:color="auto"/>
                <w:right w:val="none" w:sz="0" w:space="0" w:color="auto"/>
              </w:divBdr>
            </w:div>
            <w:div w:id="840504909">
              <w:marLeft w:val="0"/>
              <w:marRight w:val="0"/>
              <w:marTop w:val="0"/>
              <w:marBottom w:val="0"/>
              <w:divBdr>
                <w:top w:val="none" w:sz="0" w:space="0" w:color="auto"/>
                <w:left w:val="none" w:sz="0" w:space="0" w:color="auto"/>
                <w:bottom w:val="none" w:sz="0" w:space="0" w:color="auto"/>
                <w:right w:val="none" w:sz="0" w:space="0" w:color="auto"/>
              </w:divBdr>
            </w:div>
            <w:div w:id="873541387">
              <w:marLeft w:val="0"/>
              <w:marRight w:val="0"/>
              <w:marTop w:val="0"/>
              <w:marBottom w:val="0"/>
              <w:divBdr>
                <w:top w:val="none" w:sz="0" w:space="0" w:color="auto"/>
                <w:left w:val="none" w:sz="0" w:space="0" w:color="auto"/>
                <w:bottom w:val="none" w:sz="0" w:space="0" w:color="auto"/>
                <w:right w:val="none" w:sz="0" w:space="0" w:color="auto"/>
              </w:divBdr>
            </w:div>
            <w:div w:id="909535485">
              <w:marLeft w:val="0"/>
              <w:marRight w:val="0"/>
              <w:marTop w:val="0"/>
              <w:marBottom w:val="0"/>
              <w:divBdr>
                <w:top w:val="none" w:sz="0" w:space="0" w:color="auto"/>
                <w:left w:val="none" w:sz="0" w:space="0" w:color="auto"/>
                <w:bottom w:val="none" w:sz="0" w:space="0" w:color="auto"/>
                <w:right w:val="none" w:sz="0" w:space="0" w:color="auto"/>
              </w:divBdr>
            </w:div>
            <w:div w:id="1035156526">
              <w:marLeft w:val="0"/>
              <w:marRight w:val="0"/>
              <w:marTop w:val="0"/>
              <w:marBottom w:val="0"/>
              <w:divBdr>
                <w:top w:val="none" w:sz="0" w:space="0" w:color="auto"/>
                <w:left w:val="none" w:sz="0" w:space="0" w:color="auto"/>
                <w:bottom w:val="none" w:sz="0" w:space="0" w:color="auto"/>
                <w:right w:val="none" w:sz="0" w:space="0" w:color="auto"/>
              </w:divBdr>
            </w:div>
            <w:div w:id="1260605830">
              <w:marLeft w:val="0"/>
              <w:marRight w:val="0"/>
              <w:marTop w:val="0"/>
              <w:marBottom w:val="0"/>
              <w:divBdr>
                <w:top w:val="none" w:sz="0" w:space="0" w:color="auto"/>
                <w:left w:val="none" w:sz="0" w:space="0" w:color="auto"/>
                <w:bottom w:val="none" w:sz="0" w:space="0" w:color="auto"/>
                <w:right w:val="none" w:sz="0" w:space="0" w:color="auto"/>
              </w:divBdr>
            </w:div>
            <w:div w:id="1278025926">
              <w:marLeft w:val="0"/>
              <w:marRight w:val="0"/>
              <w:marTop w:val="0"/>
              <w:marBottom w:val="0"/>
              <w:divBdr>
                <w:top w:val="none" w:sz="0" w:space="0" w:color="auto"/>
                <w:left w:val="none" w:sz="0" w:space="0" w:color="auto"/>
                <w:bottom w:val="none" w:sz="0" w:space="0" w:color="auto"/>
                <w:right w:val="none" w:sz="0" w:space="0" w:color="auto"/>
              </w:divBdr>
            </w:div>
            <w:div w:id="1678382771">
              <w:marLeft w:val="0"/>
              <w:marRight w:val="0"/>
              <w:marTop w:val="0"/>
              <w:marBottom w:val="0"/>
              <w:divBdr>
                <w:top w:val="none" w:sz="0" w:space="0" w:color="auto"/>
                <w:left w:val="none" w:sz="0" w:space="0" w:color="auto"/>
                <w:bottom w:val="none" w:sz="0" w:space="0" w:color="auto"/>
                <w:right w:val="none" w:sz="0" w:space="0" w:color="auto"/>
              </w:divBdr>
            </w:div>
            <w:div w:id="1724404186">
              <w:marLeft w:val="0"/>
              <w:marRight w:val="0"/>
              <w:marTop w:val="0"/>
              <w:marBottom w:val="0"/>
              <w:divBdr>
                <w:top w:val="none" w:sz="0" w:space="0" w:color="auto"/>
                <w:left w:val="none" w:sz="0" w:space="0" w:color="auto"/>
                <w:bottom w:val="none" w:sz="0" w:space="0" w:color="auto"/>
                <w:right w:val="none" w:sz="0" w:space="0" w:color="auto"/>
              </w:divBdr>
            </w:div>
            <w:div w:id="19832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09951">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34961316">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sac.gov.au/internet/msac/publishing.nsf/Content/Home-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ga.gov.au/resources/artg/405360"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nice.org.uk/guidance/ta989/documents/supporting-documentation-2" TargetMode="External"/><Relationship Id="rId2" Type="http://schemas.openxmlformats.org/officeDocument/2006/relationships/hyperlink" Target="https://www.cadth.ca/etranacogene-dezaparvovec" TargetMode="External"/><Relationship Id="rId1" Type="http://schemas.openxmlformats.org/officeDocument/2006/relationships/hyperlink" Target="https://www.fda.gov/media/163466/download?attachment" TargetMode="External"/><Relationship Id="rId6" Type="http://schemas.openxmlformats.org/officeDocument/2006/relationships/hyperlink" Target="https://www.ncbi.nlm.nih.gov/pmc/articles/PMC11006816/" TargetMode="External"/><Relationship Id="rId5" Type="http://schemas.openxmlformats.org/officeDocument/2006/relationships/hyperlink" Target="http://www.msac.gov.au/internet/msac/publishing.nsf/Content/1751-public" TargetMode="External"/><Relationship Id="rId4" Type="http://schemas.openxmlformats.org/officeDocument/2006/relationships/hyperlink" Target="http://www.msac.gov.au/internet/msac/publishing.nsf/Content/1623-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0EAFF-A97E-47AB-9E0B-5DA034210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20253</Words>
  <Characters>115446</Characters>
  <Application>Microsoft Office Word</Application>
  <DocSecurity>2</DocSecurity>
  <Lines>962</Lines>
  <Paragraphs>270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135429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2024-10-16T22:40:00Z</dcterms:created>
  <dcterms:modified xsi:type="dcterms:W3CDTF">2024-10-16T22:40:00Z</dcterms:modified>
  <cp:category/>
</cp:coreProperties>
</file>