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16CC6" w14:textId="4BEEB565" w:rsidR="004A2752" w:rsidRPr="00490FBB" w:rsidRDefault="004A2752" w:rsidP="00695B36">
      <w:pPr>
        <w:spacing w:before="120" w:after="120" w:line="312" w:lineRule="auto"/>
        <w:jc w:val="left"/>
      </w:pPr>
    </w:p>
    <w:p w14:paraId="7556A7EA" w14:textId="5B98D4BA" w:rsidR="004A2752" w:rsidRPr="00490FBB" w:rsidRDefault="00D314D1" w:rsidP="00695B36">
      <w:pPr>
        <w:pStyle w:val="Heading10"/>
        <w:spacing w:before="1800"/>
        <w:jc w:val="center"/>
        <w:rPr>
          <w:sz w:val="48"/>
          <w:szCs w:val="48"/>
        </w:rPr>
      </w:pPr>
      <w:r>
        <w:rPr>
          <w:sz w:val="48"/>
          <w:szCs w:val="48"/>
        </w:rPr>
        <w:t xml:space="preserve">MSAC </w:t>
      </w:r>
      <w:r w:rsidR="004A2752" w:rsidRPr="494F9AB4">
        <w:rPr>
          <w:sz w:val="48"/>
          <w:szCs w:val="48"/>
        </w:rPr>
        <w:t>Application 1736</w:t>
      </w:r>
    </w:p>
    <w:p w14:paraId="1874C0DC" w14:textId="77777777" w:rsidR="004A2752" w:rsidRDefault="004A2752" w:rsidP="00695B36">
      <w:pPr>
        <w:pStyle w:val="Heading10"/>
        <w:jc w:val="center"/>
        <w:rPr>
          <w:sz w:val="48"/>
          <w:szCs w:val="48"/>
        </w:rPr>
      </w:pPr>
      <w:r w:rsidRPr="494F9AB4">
        <w:rPr>
          <w:color w:val="548DD4"/>
          <w:sz w:val="48"/>
          <w:szCs w:val="48"/>
        </w:rPr>
        <w:t>Lipoprotein(a) testing as an independent predictor of cardiovascular disease</w:t>
      </w:r>
    </w:p>
    <w:p w14:paraId="0AEAB222" w14:textId="77777777" w:rsidR="00F71AE4" w:rsidRDefault="00F71AE4" w:rsidP="00695B36">
      <w:pPr>
        <w:pStyle w:val="Heading1"/>
        <w:spacing w:before="200"/>
      </w:pPr>
    </w:p>
    <w:p w14:paraId="52176D58" w14:textId="0F6759BF" w:rsidR="004A2752" w:rsidRPr="00490FBB" w:rsidRDefault="004A2752" w:rsidP="00695B36">
      <w:pPr>
        <w:pStyle w:val="Heading1"/>
        <w:spacing w:before="200"/>
      </w:pPr>
      <w:r w:rsidRPr="00490FBB">
        <w:t>PICO Confirmation</w:t>
      </w:r>
    </w:p>
    <w:p w14:paraId="7B48B650" w14:textId="77777777" w:rsidR="004A2752" w:rsidRPr="008C4FF4" w:rsidRDefault="004A2752" w:rsidP="00695B36">
      <w:pPr>
        <w:jc w:val="left"/>
      </w:pPr>
      <w:r w:rsidRPr="00490FBB">
        <w:br w:type="page"/>
      </w:r>
    </w:p>
    <w:p w14:paraId="2F8719EB" w14:textId="77777777" w:rsidR="004A2752" w:rsidRPr="00D52956" w:rsidRDefault="004A2752" w:rsidP="0063790F">
      <w:pPr>
        <w:pStyle w:val="Heading2"/>
        <w:jc w:val="left"/>
      </w:pPr>
      <w:r w:rsidRPr="00D52956">
        <w:lastRenderedPageBreak/>
        <w:t>Summary of PI</w:t>
      </w:r>
      <w:r>
        <w:t xml:space="preserve">CO/PPICO criteria to define </w:t>
      </w:r>
      <w:r w:rsidRPr="00D52956">
        <w:t>question(s) to be addressed in an Assessment Report to the Medical Services Advisory Committee (MSAC)</w:t>
      </w:r>
    </w:p>
    <w:p w14:paraId="6CFA13C6" w14:textId="063DB79E" w:rsidR="004A2752" w:rsidRDefault="004A2752" w:rsidP="00695B36">
      <w:pPr>
        <w:pStyle w:val="Caption"/>
        <w:spacing w:before="120"/>
        <w:jc w:val="left"/>
      </w:pPr>
      <w:bookmarkStart w:id="0" w:name="Title_Table1" w:colFirst="0" w:colLast="0"/>
      <w:bookmarkStart w:id="1" w:name="_Ref118455321"/>
      <w:r>
        <w:t xml:space="preserve">Table </w:t>
      </w:r>
      <w:r>
        <w:fldChar w:fldCharType="begin"/>
      </w:r>
      <w:r>
        <w:instrText xml:space="preserve"> SEQ Table \* ARABIC </w:instrText>
      </w:r>
      <w:r>
        <w:fldChar w:fldCharType="separate"/>
      </w:r>
      <w:r w:rsidR="002F6340">
        <w:rPr>
          <w:noProof/>
        </w:rPr>
        <w:t>1</w:t>
      </w:r>
      <w:r>
        <w:fldChar w:fldCharType="end"/>
      </w:r>
      <w:r w:rsidR="00D314D1">
        <w:tab/>
      </w:r>
      <w:r w:rsidRPr="00E53CD1">
        <w:t xml:space="preserve">PICO for </w:t>
      </w:r>
      <w:r>
        <w:t>lipoprotein(a)</w:t>
      </w:r>
      <w:r w:rsidRPr="00E53CD1">
        <w:t xml:space="preserve"> testing as an independent predictor for cardiovascular disease risk</w:t>
      </w:r>
      <w:r w:rsidR="002F6340">
        <w:t xml:space="preserve"> for the index </w:t>
      </w:r>
      <w:r w:rsidR="00830507">
        <w:tab/>
      </w:r>
      <w:r w:rsidR="002F6340">
        <w:t>population</w:t>
      </w:r>
      <w:r w:rsidR="008E6BBF">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2"/>
        <w:gridCol w:w="7649"/>
      </w:tblGrid>
      <w:tr w:rsidR="003077D0" w:rsidRPr="00BA0DB0" w14:paraId="401718C6" w14:textId="77777777" w:rsidTr="190DBB85">
        <w:trPr>
          <w:trHeight w:val="372"/>
          <w:tblHeader/>
        </w:trPr>
        <w:tc>
          <w:tcPr>
            <w:tcW w:w="1004" w:type="pct"/>
            <w:shd w:val="clear" w:color="auto" w:fill="D9D9D9" w:themeFill="background1" w:themeFillShade="D9"/>
            <w:vAlign w:val="center"/>
            <w:hideMark/>
          </w:tcPr>
          <w:p w14:paraId="50D5971A" w14:textId="77777777" w:rsidR="004A2752" w:rsidRPr="000338F9" w:rsidRDefault="004A2752" w:rsidP="00695B36">
            <w:pPr>
              <w:pStyle w:val="Tabletext"/>
              <w:jc w:val="left"/>
              <w:rPr>
                <w:b/>
              </w:rPr>
            </w:pPr>
            <w:bookmarkStart w:id="2" w:name="_Hlk135300737"/>
            <w:r w:rsidRPr="000338F9">
              <w:rPr>
                <w:b/>
              </w:rPr>
              <w:t>Component</w:t>
            </w:r>
          </w:p>
        </w:tc>
        <w:tc>
          <w:tcPr>
            <w:tcW w:w="3996" w:type="pct"/>
            <w:shd w:val="clear" w:color="auto" w:fill="D9D9D9" w:themeFill="background1" w:themeFillShade="D9"/>
            <w:vAlign w:val="center"/>
            <w:hideMark/>
          </w:tcPr>
          <w:p w14:paraId="2D12AA2C" w14:textId="77777777" w:rsidR="004A2752" w:rsidRPr="000338F9" w:rsidRDefault="004A2752" w:rsidP="00695B36">
            <w:pPr>
              <w:pStyle w:val="Tabletext"/>
              <w:jc w:val="left"/>
              <w:rPr>
                <w:b/>
              </w:rPr>
            </w:pPr>
            <w:r w:rsidRPr="000338F9">
              <w:rPr>
                <w:b/>
              </w:rPr>
              <w:t>Description</w:t>
            </w:r>
          </w:p>
        </w:tc>
      </w:tr>
      <w:bookmarkEnd w:id="0"/>
      <w:bookmarkEnd w:id="2"/>
      <w:tr w:rsidR="00056769" w:rsidRPr="00BA0DB0" w:rsidDel="007F2AC5" w14:paraId="488E9018" w14:textId="60F93505" w:rsidTr="190DBB85">
        <w:tc>
          <w:tcPr>
            <w:tcW w:w="1004" w:type="pct"/>
            <w:hideMark/>
          </w:tcPr>
          <w:p w14:paraId="511E4603" w14:textId="226562F8" w:rsidR="004A2752" w:rsidRPr="00F77699" w:rsidDel="007F2AC5" w:rsidRDefault="004A2752" w:rsidP="00695B36">
            <w:pPr>
              <w:pStyle w:val="Tabletext"/>
              <w:jc w:val="left"/>
              <w:rPr>
                <w:rFonts w:cs="Arial"/>
              </w:rPr>
            </w:pPr>
            <w:r w:rsidRPr="190DBB85">
              <w:rPr>
                <w:rFonts w:cs="Arial"/>
              </w:rPr>
              <w:t>Test population</w:t>
            </w:r>
          </w:p>
        </w:tc>
        <w:tc>
          <w:tcPr>
            <w:tcW w:w="3996" w:type="pct"/>
            <w:hideMark/>
          </w:tcPr>
          <w:p w14:paraId="2B69FD86" w14:textId="4C6EA475" w:rsidR="004A2752" w:rsidRPr="00F77699" w:rsidDel="007F2AC5" w:rsidRDefault="004A2752" w:rsidP="00695B36">
            <w:pPr>
              <w:pStyle w:val="Tabletext"/>
              <w:jc w:val="left"/>
            </w:pPr>
            <w:bookmarkStart w:id="3" w:name="_Hlk119070393"/>
            <w:r w:rsidRPr="190DBB85">
              <w:rPr>
                <w:b/>
                <w:bCs/>
              </w:rPr>
              <w:t xml:space="preserve">Population (A) </w:t>
            </w:r>
            <w:r w:rsidRPr="006F6188">
              <w:rPr>
                <w:rFonts w:eastAsiaTheme="minorHAnsi"/>
                <w:b/>
                <w:bCs/>
              </w:rPr>
              <w:t>(index population)</w:t>
            </w:r>
            <w:r>
              <w:t xml:space="preserve">: </w:t>
            </w:r>
            <w:r w:rsidR="009C5257">
              <w:t>A</w:t>
            </w:r>
            <w:r w:rsidR="00894F05" w:rsidRPr="00894F05">
              <w:t>dults at moderate CVD risk as assessed by the currently available CVD risk assessment tool recommended by the Australian clinical practice guideline.</w:t>
            </w:r>
          </w:p>
          <w:p w14:paraId="711B8A1E" w14:textId="469EA843" w:rsidR="004A2752" w:rsidRPr="00772470" w:rsidDel="007F2AC5" w:rsidRDefault="004A2752" w:rsidP="00695B36">
            <w:pPr>
              <w:pStyle w:val="Tabletext"/>
              <w:jc w:val="left"/>
              <w:rPr>
                <w:i/>
              </w:rPr>
            </w:pPr>
            <w:r w:rsidRPr="006F6188">
              <w:rPr>
                <w:rFonts w:eastAsiaTheme="minorHAnsi"/>
                <w:b/>
                <w:bCs/>
              </w:rPr>
              <w:t>Population (B) (index population)</w:t>
            </w:r>
            <w:r w:rsidRPr="00A36E0E">
              <w:rPr>
                <w:rFonts w:eastAsiaTheme="minorHAnsi"/>
              </w:rPr>
              <w:t>:</w:t>
            </w:r>
            <w:r w:rsidRPr="00DC4856">
              <w:rPr>
                <w:rFonts w:eastAsiaTheme="minorHAnsi"/>
              </w:rPr>
              <w:t xml:space="preserve"> </w:t>
            </w:r>
            <w:r w:rsidR="009C5257">
              <w:rPr>
                <w:rFonts w:eastAsiaTheme="minorHAnsi"/>
              </w:rPr>
              <w:t>A</w:t>
            </w:r>
            <w:r w:rsidR="00894F05" w:rsidRPr="00894F05">
              <w:rPr>
                <w:rFonts w:eastAsiaTheme="minorHAnsi"/>
              </w:rPr>
              <w:t>dults at high CVD risk as assessed by the currently available CVD risk assessment tool recommended by the Australian clinical practice guideline</w:t>
            </w:r>
            <w:r w:rsidR="00045DDC">
              <w:rPr>
                <w:rFonts w:eastAsiaTheme="minorHAnsi"/>
              </w:rPr>
              <w:t>, but not optimally managed</w:t>
            </w:r>
            <w:bookmarkEnd w:id="3"/>
            <w:r w:rsidR="004A08BF">
              <w:rPr>
                <w:rFonts w:eastAsiaTheme="minorHAnsi"/>
              </w:rPr>
              <w:t xml:space="preserve">, </w:t>
            </w:r>
            <w:r w:rsidR="004A08BF" w:rsidRPr="00F814CB">
              <w:rPr>
                <w:rFonts w:eastAsiaTheme="minorHAnsi"/>
                <w:i/>
                <w:iCs/>
              </w:rPr>
              <w:t xml:space="preserve">Note </w:t>
            </w:r>
            <w:r w:rsidR="004A08BF" w:rsidRPr="00F814CB">
              <w:rPr>
                <w:i/>
                <w:iCs/>
              </w:rPr>
              <w:t>Population B needs considerable re-framing</w:t>
            </w:r>
          </w:p>
        </w:tc>
      </w:tr>
      <w:tr w:rsidR="003077D0" w:rsidRPr="00BA0DB0" w14:paraId="7F385229" w14:textId="77777777" w:rsidTr="190DBB85">
        <w:tc>
          <w:tcPr>
            <w:tcW w:w="1004" w:type="pct"/>
          </w:tcPr>
          <w:p w14:paraId="203AB17A" w14:textId="77777777" w:rsidR="004A2752" w:rsidRPr="00F77699" w:rsidRDefault="004A2752" w:rsidP="00695B36">
            <w:pPr>
              <w:pStyle w:val="Tabletext"/>
              <w:jc w:val="left"/>
              <w:rPr>
                <w:rFonts w:cs="Arial"/>
              </w:rPr>
            </w:pPr>
            <w:r w:rsidRPr="00F77699">
              <w:rPr>
                <w:rFonts w:cs="Arial"/>
              </w:rPr>
              <w:t>Prior tests</w:t>
            </w:r>
          </w:p>
        </w:tc>
        <w:tc>
          <w:tcPr>
            <w:tcW w:w="3996" w:type="pct"/>
          </w:tcPr>
          <w:p w14:paraId="06B7571C" w14:textId="1B79A433" w:rsidR="004A2752" w:rsidRPr="00F77699" w:rsidRDefault="004A2752" w:rsidP="00695B36">
            <w:pPr>
              <w:pStyle w:val="Tabletext"/>
              <w:jc w:val="left"/>
            </w:pPr>
            <w:r w:rsidRPr="00F77699">
              <w:t xml:space="preserve">Tests required to </w:t>
            </w:r>
            <w:r>
              <w:t xml:space="preserve">undertake a risk assessment for </w:t>
            </w:r>
            <w:r w:rsidRPr="00F77699">
              <w:t>CVD</w:t>
            </w:r>
            <w:r w:rsidR="003077D0">
              <w:t xml:space="preserve"> using the tool recommended by the current Australia clinical practice guideline.</w:t>
            </w:r>
            <w:r w:rsidRPr="00F77699">
              <w:t xml:space="preserve"> </w:t>
            </w:r>
          </w:p>
          <w:p w14:paraId="42959315" w14:textId="3488FEB3" w:rsidR="004A2752" w:rsidRPr="00F77699" w:rsidRDefault="004A2752" w:rsidP="00695B36">
            <w:pPr>
              <w:pStyle w:val="Tabletext"/>
              <w:jc w:val="left"/>
            </w:pPr>
            <w:r>
              <w:t>The</w:t>
            </w:r>
            <w:r w:rsidRPr="00F77699">
              <w:t xml:space="preserve"> timeframe </w:t>
            </w:r>
            <w:r>
              <w:t xml:space="preserve">requirement of when </w:t>
            </w:r>
            <w:r w:rsidRPr="00F77699">
              <w:t>these tests must be conducted prior to Lp(a)</w:t>
            </w:r>
            <w:r>
              <w:t xml:space="preserve"> has not been specified</w:t>
            </w:r>
          </w:p>
        </w:tc>
      </w:tr>
      <w:tr w:rsidR="003077D0" w:rsidRPr="00BA0DB0" w14:paraId="7976F4DD" w14:textId="77777777" w:rsidTr="190DBB85">
        <w:tc>
          <w:tcPr>
            <w:tcW w:w="1004" w:type="pct"/>
            <w:hideMark/>
          </w:tcPr>
          <w:p w14:paraId="2EB4DE50" w14:textId="77777777" w:rsidR="004A2752" w:rsidRPr="00F77699" w:rsidRDefault="004A2752" w:rsidP="00695B36">
            <w:pPr>
              <w:pStyle w:val="Tabletext"/>
              <w:jc w:val="left"/>
              <w:rPr>
                <w:rFonts w:cs="Arial"/>
              </w:rPr>
            </w:pPr>
            <w:r w:rsidRPr="00F77699">
              <w:rPr>
                <w:rFonts w:cs="Arial"/>
              </w:rPr>
              <w:t>Intervention</w:t>
            </w:r>
          </w:p>
        </w:tc>
        <w:tc>
          <w:tcPr>
            <w:tcW w:w="3996" w:type="pct"/>
            <w:hideMark/>
          </w:tcPr>
          <w:p w14:paraId="6BC180CC" w14:textId="7CDE1007" w:rsidR="004A2752" w:rsidRPr="00F77699" w:rsidRDefault="004A2752" w:rsidP="00695B36">
            <w:pPr>
              <w:pStyle w:val="Tabletext"/>
              <w:jc w:val="left"/>
            </w:pPr>
            <w:r w:rsidRPr="00F77699">
              <w:t>Immunoassay measuring Lp(a)</w:t>
            </w:r>
            <w:r w:rsidR="00E46FC5">
              <w:t xml:space="preserve"> concentration</w:t>
            </w:r>
            <w:r w:rsidRPr="00F77699">
              <w:t xml:space="preserve"> in </w:t>
            </w:r>
            <w:r w:rsidRPr="00772470">
              <w:t>blood</w:t>
            </w:r>
            <w:r w:rsidR="00772470" w:rsidRPr="00772470">
              <w:t xml:space="preserve"> reported as nmol/L</w:t>
            </w:r>
            <w:r w:rsidR="009F0517" w:rsidRPr="00772470">
              <w:t xml:space="preserve"> </w:t>
            </w:r>
          </w:p>
        </w:tc>
      </w:tr>
      <w:tr w:rsidR="003077D0" w:rsidRPr="00BA0DB0" w14:paraId="6027AB20" w14:textId="77777777" w:rsidTr="190DBB85">
        <w:tc>
          <w:tcPr>
            <w:tcW w:w="1004" w:type="pct"/>
            <w:hideMark/>
          </w:tcPr>
          <w:p w14:paraId="639CABB5" w14:textId="77777777" w:rsidR="004A2752" w:rsidRPr="00F77699" w:rsidRDefault="004A2752" w:rsidP="00695B36">
            <w:pPr>
              <w:pStyle w:val="Tabletext"/>
              <w:jc w:val="left"/>
              <w:rPr>
                <w:rFonts w:cs="Arial"/>
              </w:rPr>
            </w:pPr>
            <w:r w:rsidRPr="00F77699">
              <w:rPr>
                <w:rFonts w:cs="Arial"/>
              </w:rPr>
              <w:t>Comparator/s</w:t>
            </w:r>
          </w:p>
        </w:tc>
        <w:tc>
          <w:tcPr>
            <w:tcW w:w="3996" w:type="pct"/>
            <w:hideMark/>
          </w:tcPr>
          <w:p w14:paraId="0C742E7A" w14:textId="57877F5A" w:rsidR="004A2752" w:rsidRPr="00F77699" w:rsidRDefault="001E4FB5" w:rsidP="00695B36">
            <w:pPr>
              <w:pStyle w:val="Tabletext"/>
              <w:jc w:val="left"/>
            </w:pPr>
            <w:r>
              <w:t>C</w:t>
            </w:r>
            <w:r w:rsidR="004A2752">
              <w:t>urrent risk assessment</w:t>
            </w:r>
            <w:r w:rsidR="00D67369">
              <w:t xml:space="preserve">, </w:t>
            </w:r>
            <w:r w:rsidR="008572F6">
              <w:t xml:space="preserve">MBS reimbursed </w:t>
            </w:r>
            <w:r w:rsidR="00D67369">
              <w:t>lipid profile</w:t>
            </w:r>
            <w:r w:rsidR="004A2752">
              <w:t xml:space="preserve"> and management strategies without Lp(a)</w:t>
            </w:r>
            <w:r w:rsidR="008A730B">
              <w:t xml:space="preserve"> measurement</w:t>
            </w:r>
          </w:p>
        </w:tc>
      </w:tr>
      <w:tr w:rsidR="003077D0" w:rsidRPr="00BA0DB0" w14:paraId="2F77328A" w14:textId="77777777" w:rsidTr="190DBB85">
        <w:tc>
          <w:tcPr>
            <w:tcW w:w="1004" w:type="pct"/>
          </w:tcPr>
          <w:p w14:paraId="6CDCDC4A" w14:textId="77777777" w:rsidR="004A2752" w:rsidRPr="00F77699" w:rsidRDefault="004A2752" w:rsidP="00695B36">
            <w:pPr>
              <w:pStyle w:val="Tabletext"/>
              <w:jc w:val="left"/>
              <w:rPr>
                <w:rFonts w:cs="Arial"/>
              </w:rPr>
            </w:pPr>
            <w:r w:rsidRPr="00F77699">
              <w:rPr>
                <w:rFonts w:cs="Arial"/>
              </w:rPr>
              <w:t>Reference standard</w:t>
            </w:r>
          </w:p>
        </w:tc>
        <w:tc>
          <w:tcPr>
            <w:tcW w:w="3996" w:type="pct"/>
          </w:tcPr>
          <w:p w14:paraId="6FFBF1C6" w14:textId="443343FA" w:rsidR="004A2752" w:rsidRPr="00F77699" w:rsidRDefault="004A2752" w:rsidP="00695B36">
            <w:pPr>
              <w:pStyle w:val="Tabletext"/>
              <w:jc w:val="left"/>
            </w:pPr>
            <w:r w:rsidRPr="00F77699">
              <w:t>While no reference standard was formally defined in the application, the Australian and New Zealand guidelines for the management of absolute cardiovascular disease risk</w:t>
            </w:r>
            <w:r>
              <w:t xml:space="preserve"> </w:t>
            </w:r>
            <w:r>
              <w:fldChar w:fldCharType="begin"/>
            </w:r>
            <w:r>
              <w:instrText xml:space="preserve"> ADDIN EN.CITE &lt;EndNote&gt;&lt;Cite&gt;&lt;Author&gt;AIHW&lt;/Author&gt;&lt;Year&gt;2021&lt;/Year&gt;&lt;RecNum&gt;3&lt;/RecNum&gt;&lt;DisplayText&gt;(AIHW 2021a)&lt;/DisplayText&gt;&lt;record&gt;&lt;rec-number&gt;3&lt;/rec-number&gt;&lt;foreign-keys&gt;&lt;key app="EN" db-id="p5dp00za8apvt8e25vqv22rzzpwt5tvtsr0r" timestamp="1667175003"&gt;3&lt;/key&gt;&lt;/foreign-keys&gt;&lt;ref-type name="Web Page"&gt;12&lt;/ref-type&gt;&lt;contributors&gt;&lt;authors&gt;&lt;author&gt;AIHW,&lt;/author&gt;&lt;/authors&gt;&lt;/contributors&gt;&lt;titles&gt;&lt;title&gt;Heart, stroke and vascular disease - Australian facts&lt;/title&gt;&lt;secondary-title&gt;Cardiovascular disease hospitalisations in Australia 2018-19&lt;/secondary-title&gt;&lt;/titles&gt;&lt;dates&gt;&lt;year&gt;2021&lt;/year&gt;&lt;/dates&gt;&lt;urls&gt;&lt;related-urls&gt;&lt;url&gt;https://www.aihw.gov.au/reports/heart-stroke-vascular-diseases/hsvd-facts/contents/explore-the-data &lt;/url&gt;&lt;/related-urls&gt;&lt;/urls&gt;&lt;/record&gt;&lt;/Cite&gt;&lt;/EndNote&gt;</w:instrText>
            </w:r>
            <w:r>
              <w:fldChar w:fldCharType="separate"/>
            </w:r>
            <w:r>
              <w:rPr>
                <w:noProof/>
              </w:rPr>
              <w:t>(AIHW 2021a)</w:t>
            </w:r>
            <w:r>
              <w:fldChar w:fldCharType="end"/>
            </w:r>
            <w:r>
              <w:t xml:space="preserve"> </w:t>
            </w:r>
            <w:r w:rsidRPr="00F77699">
              <w:t xml:space="preserve">provide criteria for assessing risk and guiding treatment for different population </w:t>
            </w:r>
            <w:r w:rsidRPr="00CB0A91">
              <w:t>groups (</w:t>
            </w:r>
            <w:r>
              <w:fldChar w:fldCharType="begin"/>
            </w:r>
            <w:r>
              <w:instrText xml:space="preserve"> REF _Ref118383191 \h  \* MERGEFORMAT </w:instrText>
            </w:r>
            <w:r>
              <w:fldChar w:fldCharType="separate"/>
            </w:r>
            <w:r w:rsidR="00957D2D">
              <w:t xml:space="preserve">Table </w:t>
            </w:r>
            <w:r w:rsidR="00957D2D">
              <w:rPr>
                <w:noProof/>
              </w:rPr>
              <w:t>5</w:t>
            </w:r>
            <w:r>
              <w:fldChar w:fldCharType="end"/>
            </w:r>
            <w:r w:rsidRPr="00CB0A91">
              <w:t>)</w:t>
            </w:r>
          </w:p>
        </w:tc>
      </w:tr>
      <w:tr w:rsidR="00695B36" w:rsidRPr="00BA0DB0" w14:paraId="0B4432E9" w14:textId="77777777" w:rsidTr="190DBB85">
        <w:tc>
          <w:tcPr>
            <w:tcW w:w="1004" w:type="pct"/>
          </w:tcPr>
          <w:p w14:paraId="204F0DD5" w14:textId="00941BEF" w:rsidR="00695B36" w:rsidRPr="00F77699" w:rsidRDefault="00695B36" w:rsidP="00695B36">
            <w:pPr>
              <w:pStyle w:val="Tabletext"/>
              <w:jc w:val="left"/>
              <w:rPr>
                <w:rFonts w:cs="Arial"/>
              </w:rPr>
            </w:pPr>
            <w:r w:rsidRPr="00F77699">
              <w:rPr>
                <w:rFonts w:cs="Arial"/>
              </w:rPr>
              <w:t>Outcomes</w:t>
            </w:r>
          </w:p>
        </w:tc>
        <w:tc>
          <w:tcPr>
            <w:tcW w:w="3996" w:type="pct"/>
          </w:tcPr>
          <w:p w14:paraId="43BA9DD9" w14:textId="77777777" w:rsidR="00695B36" w:rsidRPr="00F77699" w:rsidRDefault="00695B36" w:rsidP="00695B36">
            <w:pPr>
              <w:pStyle w:val="Tabletext"/>
              <w:jc w:val="left"/>
            </w:pPr>
            <w:r w:rsidRPr="00F77699">
              <w:t>The following outcomes are relevant to this application:</w:t>
            </w:r>
          </w:p>
          <w:p w14:paraId="69466113" w14:textId="77777777" w:rsidR="00695B36" w:rsidRPr="00F77699" w:rsidRDefault="00695B36" w:rsidP="00695B36">
            <w:pPr>
              <w:pStyle w:val="Tabletext"/>
              <w:jc w:val="left"/>
              <w:rPr>
                <w:u w:val="single"/>
              </w:rPr>
            </w:pPr>
            <w:r w:rsidRPr="00F77699">
              <w:rPr>
                <w:u w:val="single"/>
              </w:rPr>
              <w:t>Safety</w:t>
            </w:r>
          </w:p>
          <w:p w14:paraId="4C070E89" w14:textId="77777777" w:rsidR="00695B36" w:rsidRDefault="00695B36" w:rsidP="00695B36">
            <w:pPr>
              <w:pStyle w:val="Tabletext"/>
              <w:numPr>
                <w:ilvl w:val="0"/>
                <w:numId w:val="21"/>
              </w:numPr>
              <w:jc w:val="left"/>
            </w:pPr>
            <w:r w:rsidRPr="00EB6445">
              <w:t>Harms associated with testing</w:t>
            </w:r>
          </w:p>
          <w:p w14:paraId="45C5888B" w14:textId="77777777" w:rsidR="00695B36" w:rsidRPr="003D1015" w:rsidRDefault="00695B36" w:rsidP="00695B36">
            <w:pPr>
              <w:pStyle w:val="Tabletext"/>
              <w:numPr>
                <w:ilvl w:val="0"/>
                <w:numId w:val="21"/>
              </w:numPr>
              <w:jc w:val="left"/>
            </w:pPr>
            <w:r>
              <w:t>Harms associated with treatment</w:t>
            </w:r>
          </w:p>
          <w:p w14:paraId="4614101E" w14:textId="77777777" w:rsidR="00695B36" w:rsidRPr="00F77699" w:rsidRDefault="00695B36" w:rsidP="00695B36">
            <w:pPr>
              <w:pStyle w:val="Tabletext"/>
              <w:jc w:val="left"/>
              <w:rPr>
                <w:u w:val="single"/>
              </w:rPr>
            </w:pPr>
            <w:r w:rsidRPr="00F77699">
              <w:rPr>
                <w:u w:val="single"/>
              </w:rPr>
              <w:t>Clinical effectiveness</w:t>
            </w:r>
          </w:p>
          <w:p w14:paraId="0ABB1DA7" w14:textId="77777777" w:rsidR="00695B36" w:rsidRDefault="00695B36" w:rsidP="00695B36">
            <w:pPr>
              <w:pStyle w:val="Tabletext"/>
              <w:numPr>
                <w:ilvl w:val="0"/>
                <w:numId w:val="13"/>
              </w:numPr>
              <w:jc w:val="left"/>
            </w:pPr>
            <w:r w:rsidRPr="00F77699">
              <w:t>Test performance outcomes</w:t>
            </w:r>
            <w:r>
              <w:t>:</w:t>
            </w:r>
          </w:p>
          <w:p w14:paraId="476D3F79" w14:textId="77777777" w:rsidR="00695B36" w:rsidRDefault="00695B36" w:rsidP="00695B36">
            <w:pPr>
              <w:pStyle w:val="Tabletext"/>
              <w:numPr>
                <w:ilvl w:val="1"/>
                <w:numId w:val="13"/>
              </w:numPr>
              <w:jc w:val="left"/>
            </w:pPr>
            <w:r w:rsidRPr="005A7EFC">
              <w:t>intra-observer or intra-instrument variability/agreement</w:t>
            </w:r>
          </w:p>
          <w:p w14:paraId="4528DA73" w14:textId="77777777" w:rsidR="00695B36" w:rsidRDefault="00695B36" w:rsidP="00695B36">
            <w:pPr>
              <w:pStyle w:val="Tabletext"/>
              <w:numPr>
                <w:ilvl w:val="1"/>
                <w:numId w:val="13"/>
              </w:numPr>
              <w:jc w:val="left"/>
            </w:pPr>
            <w:r w:rsidRPr="005A7EFC">
              <w:t>analysis of assay test performance, define the lower limit of detection</w:t>
            </w:r>
          </w:p>
          <w:p w14:paraId="4B515148" w14:textId="77777777" w:rsidR="00695B36" w:rsidRPr="00F77699" w:rsidRDefault="00695B36" w:rsidP="00695B36">
            <w:pPr>
              <w:pStyle w:val="Tabletext"/>
              <w:numPr>
                <w:ilvl w:val="1"/>
                <w:numId w:val="13"/>
              </w:numPr>
              <w:jc w:val="left"/>
            </w:pPr>
            <w:r>
              <w:t>concordance between tests</w:t>
            </w:r>
          </w:p>
          <w:p w14:paraId="09A81964" w14:textId="77777777" w:rsidR="00695B36" w:rsidRPr="00283F19" w:rsidRDefault="00695B36" w:rsidP="00695B36">
            <w:pPr>
              <w:pStyle w:val="Tabletext"/>
              <w:jc w:val="left"/>
            </w:pPr>
            <w:r w:rsidRPr="00A13334">
              <w:rPr>
                <w:u w:val="single"/>
              </w:rPr>
              <w:t>Patient management outcomes</w:t>
            </w:r>
          </w:p>
          <w:p w14:paraId="10E2C9D4" w14:textId="77777777" w:rsidR="00695B36" w:rsidRDefault="00695B36" w:rsidP="00695B36">
            <w:pPr>
              <w:pStyle w:val="Tabletext"/>
              <w:numPr>
                <w:ilvl w:val="0"/>
                <w:numId w:val="14"/>
              </w:numPr>
              <w:jc w:val="left"/>
              <w:rPr>
                <w:sz w:val="18"/>
                <w:szCs w:val="18"/>
              </w:rPr>
            </w:pPr>
            <w:r w:rsidRPr="00ED705F">
              <w:t xml:space="preserve">Diagnostic utility </w:t>
            </w:r>
            <w:r>
              <w:t>–</w:t>
            </w:r>
            <w:r>
              <w:rPr>
                <w:sz w:val="18"/>
                <w:szCs w:val="18"/>
              </w:rPr>
              <w:t xml:space="preserve"> </w:t>
            </w:r>
            <w:r w:rsidRPr="00A36E0E">
              <w:t>for each population, confirmation of high Lp(a)</w:t>
            </w:r>
            <w:r>
              <w:t xml:space="preserve"> concentration</w:t>
            </w:r>
          </w:p>
          <w:p w14:paraId="67657BD7" w14:textId="77777777" w:rsidR="00695B36" w:rsidRDefault="00695B36" w:rsidP="00695B36">
            <w:pPr>
              <w:pStyle w:val="Tabletext"/>
              <w:numPr>
                <w:ilvl w:val="0"/>
                <w:numId w:val="14"/>
              </w:numPr>
              <w:jc w:val="left"/>
              <w:rPr>
                <w:sz w:val="18"/>
                <w:szCs w:val="18"/>
              </w:rPr>
            </w:pPr>
            <w:r w:rsidRPr="00ED705F">
              <w:t>Change in risk score</w:t>
            </w:r>
          </w:p>
          <w:p w14:paraId="3B4CDF4B" w14:textId="77777777" w:rsidR="00695B36" w:rsidRDefault="00695B36" w:rsidP="00695B36">
            <w:pPr>
              <w:pStyle w:val="Tabletext"/>
              <w:numPr>
                <w:ilvl w:val="0"/>
                <w:numId w:val="14"/>
              </w:numPr>
              <w:jc w:val="left"/>
            </w:pPr>
            <w:r w:rsidRPr="00ED705F">
              <w:t>Prognostic utility</w:t>
            </w:r>
            <w:r w:rsidRPr="00283F19">
              <w:t xml:space="preserve"> – for each population, informed change in prognosis without change in treatment</w:t>
            </w:r>
          </w:p>
          <w:p w14:paraId="0F1F0136" w14:textId="77777777" w:rsidR="00695B36" w:rsidRPr="00283F19" w:rsidRDefault="00695B36" w:rsidP="00695B36">
            <w:pPr>
              <w:pStyle w:val="Tabletext"/>
              <w:numPr>
                <w:ilvl w:val="0"/>
                <w:numId w:val="14"/>
              </w:numPr>
              <w:jc w:val="left"/>
            </w:pPr>
            <w:r>
              <w:t>Need for additional monitoring for CVD risk and/or development of aortic stenosis</w:t>
            </w:r>
          </w:p>
          <w:p w14:paraId="337E3A9A" w14:textId="77777777" w:rsidR="00695B36" w:rsidRPr="00283F19" w:rsidRDefault="00695B36" w:rsidP="00695B36">
            <w:pPr>
              <w:pStyle w:val="Tabletext"/>
              <w:numPr>
                <w:ilvl w:val="0"/>
                <w:numId w:val="14"/>
              </w:numPr>
              <w:jc w:val="left"/>
            </w:pPr>
            <w:r>
              <w:t>Predictive utility – change in treatment pathway (initiated, ceased, modified, avoided)</w:t>
            </w:r>
          </w:p>
          <w:p w14:paraId="0C9AF273" w14:textId="77777777" w:rsidR="00695B36" w:rsidRPr="00D314D1" w:rsidRDefault="00695B36" w:rsidP="00695B36">
            <w:pPr>
              <w:pStyle w:val="Tabletext"/>
              <w:numPr>
                <w:ilvl w:val="0"/>
                <w:numId w:val="14"/>
              </w:numPr>
              <w:jc w:val="left"/>
              <w:rPr>
                <w:sz w:val="18"/>
                <w:szCs w:val="18"/>
              </w:rPr>
            </w:pPr>
            <w:r>
              <w:t>Commencement of treatment</w:t>
            </w:r>
          </w:p>
          <w:p w14:paraId="2F53EAB6" w14:textId="77777777" w:rsidR="00695B36" w:rsidRPr="00283F19" w:rsidRDefault="00695B36" w:rsidP="00695B36">
            <w:pPr>
              <w:pStyle w:val="Tabletext"/>
              <w:jc w:val="left"/>
            </w:pPr>
            <w:r w:rsidRPr="00A13334">
              <w:rPr>
                <w:u w:val="single"/>
              </w:rPr>
              <w:t>Health outcomes</w:t>
            </w:r>
          </w:p>
          <w:p w14:paraId="41602627" w14:textId="77777777" w:rsidR="00695B36" w:rsidRPr="007E2CED" w:rsidRDefault="00695B36" w:rsidP="00695B36">
            <w:pPr>
              <w:pStyle w:val="Tabletext"/>
              <w:numPr>
                <w:ilvl w:val="0"/>
                <w:numId w:val="15"/>
              </w:numPr>
              <w:jc w:val="left"/>
              <w:rPr>
                <w:sz w:val="18"/>
                <w:szCs w:val="18"/>
              </w:rPr>
            </w:pPr>
            <w:r w:rsidRPr="007E2CED">
              <w:t>Morbidity associated with CVD</w:t>
            </w:r>
          </w:p>
          <w:p w14:paraId="20A47E70" w14:textId="77777777" w:rsidR="00695B36" w:rsidRPr="007E2CED" w:rsidRDefault="00695B36" w:rsidP="00695B36">
            <w:pPr>
              <w:pStyle w:val="Tabletext"/>
              <w:numPr>
                <w:ilvl w:val="0"/>
                <w:numId w:val="15"/>
              </w:numPr>
              <w:jc w:val="left"/>
              <w:rPr>
                <w:sz w:val="18"/>
                <w:szCs w:val="18"/>
              </w:rPr>
            </w:pPr>
            <w:r w:rsidRPr="007E2CED">
              <w:t xml:space="preserve">Mortality due to CVD </w:t>
            </w:r>
          </w:p>
          <w:p w14:paraId="6193411D" w14:textId="77777777" w:rsidR="00695B36" w:rsidRPr="007E2CED" w:rsidRDefault="00695B36" w:rsidP="00695B36">
            <w:pPr>
              <w:pStyle w:val="Tabletext"/>
              <w:numPr>
                <w:ilvl w:val="0"/>
                <w:numId w:val="15"/>
              </w:numPr>
              <w:jc w:val="left"/>
            </w:pPr>
            <w:r w:rsidRPr="007E2CED">
              <w:t>Health-related quality of life</w:t>
            </w:r>
          </w:p>
          <w:p w14:paraId="6935D8BD" w14:textId="77777777" w:rsidR="00695B36" w:rsidRPr="007E2CED" w:rsidRDefault="00695B36" w:rsidP="00695B36">
            <w:pPr>
              <w:pStyle w:val="Tabletext"/>
              <w:numPr>
                <w:ilvl w:val="0"/>
                <w:numId w:val="15"/>
              </w:numPr>
              <w:jc w:val="left"/>
            </w:pPr>
            <w:r w:rsidRPr="007E2CED">
              <w:t>Other patient-relevant outcomes</w:t>
            </w:r>
          </w:p>
          <w:p w14:paraId="51C8B761" w14:textId="77777777" w:rsidR="00695B36" w:rsidRPr="00283F19" w:rsidRDefault="00695B36" w:rsidP="00695B36">
            <w:pPr>
              <w:pStyle w:val="Tabletext"/>
              <w:jc w:val="left"/>
            </w:pPr>
            <w:r w:rsidRPr="00A13334">
              <w:rPr>
                <w:u w:val="single"/>
              </w:rPr>
              <w:t>Non-health outcomes</w:t>
            </w:r>
          </w:p>
          <w:p w14:paraId="1C2FF396" w14:textId="77777777" w:rsidR="00695B36" w:rsidRPr="00B853F8" w:rsidRDefault="00695B36" w:rsidP="00695B36">
            <w:pPr>
              <w:pStyle w:val="Tabletext"/>
              <w:numPr>
                <w:ilvl w:val="0"/>
                <w:numId w:val="16"/>
              </w:numPr>
              <w:jc w:val="left"/>
              <w:rPr>
                <w:sz w:val="18"/>
                <w:szCs w:val="18"/>
              </w:rPr>
            </w:pPr>
            <w:r w:rsidRPr="00ED705F">
              <w:t>The value of knowing, including:</w:t>
            </w:r>
          </w:p>
          <w:p w14:paraId="76A071D1" w14:textId="77777777" w:rsidR="00695B36" w:rsidRPr="00A36E0E" w:rsidRDefault="00695B36" w:rsidP="00695B36">
            <w:pPr>
              <w:pStyle w:val="Tabletext"/>
              <w:numPr>
                <w:ilvl w:val="1"/>
                <w:numId w:val="16"/>
              </w:numPr>
              <w:jc w:val="left"/>
            </w:pPr>
            <w:r>
              <w:t>i</w:t>
            </w:r>
            <w:r w:rsidRPr="00ED705F">
              <w:t xml:space="preserve">mpact on patient behaviours (e.g. </w:t>
            </w:r>
            <w:r>
              <w:t>h</w:t>
            </w:r>
            <w:r w:rsidRPr="00A36E0E">
              <w:t>ealth</w:t>
            </w:r>
            <w:r>
              <w:t>,</w:t>
            </w:r>
            <w:r w:rsidRPr="00A36E0E">
              <w:t xml:space="preserve"> diet and exercise)</w:t>
            </w:r>
          </w:p>
          <w:p w14:paraId="043B6534" w14:textId="77777777" w:rsidR="00695B36" w:rsidRPr="00A36E0E" w:rsidRDefault="00695B36" w:rsidP="00695B36">
            <w:pPr>
              <w:pStyle w:val="Tabletext"/>
              <w:numPr>
                <w:ilvl w:val="1"/>
                <w:numId w:val="16"/>
              </w:numPr>
              <w:jc w:val="left"/>
            </w:pPr>
            <w:r>
              <w:t>i</w:t>
            </w:r>
            <w:r w:rsidRPr="00735B1B">
              <w:t>mpact on first</w:t>
            </w:r>
            <w:r>
              <w:t>-</w:t>
            </w:r>
            <w:r w:rsidRPr="00735B1B">
              <w:t>degree family members (e.g. worry</w:t>
            </w:r>
            <w:r w:rsidRPr="00A36E0E">
              <w:t>, stress)</w:t>
            </w:r>
          </w:p>
          <w:p w14:paraId="13D270F5" w14:textId="77777777" w:rsidR="00695B36" w:rsidRPr="00F77699" w:rsidRDefault="00695B36" w:rsidP="00695B36">
            <w:pPr>
              <w:pStyle w:val="Tabletext"/>
              <w:jc w:val="left"/>
            </w:pPr>
          </w:p>
        </w:tc>
      </w:tr>
    </w:tbl>
    <w:p w14:paraId="1D9D2446" w14:textId="77777777" w:rsidR="00695B36" w:rsidRDefault="00695B36">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2"/>
        <w:gridCol w:w="7649"/>
      </w:tblGrid>
      <w:tr w:rsidR="00695B36" w:rsidRPr="00695B36" w14:paraId="1CB0DDB4" w14:textId="77777777" w:rsidTr="00695B36">
        <w:tc>
          <w:tcPr>
            <w:tcW w:w="100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BCB50A" w14:textId="77777777" w:rsidR="00695B36" w:rsidRPr="00695B36" w:rsidRDefault="00695B36" w:rsidP="00603B8B">
            <w:pPr>
              <w:pStyle w:val="Tabletext"/>
              <w:jc w:val="left"/>
              <w:rPr>
                <w:rFonts w:cs="Arial"/>
                <w:b/>
                <w:bCs/>
              </w:rPr>
            </w:pPr>
            <w:r w:rsidRPr="00695B36">
              <w:rPr>
                <w:rFonts w:cs="Arial"/>
                <w:b/>
                <w:bCs/>
              </w:rPr>
              <w:lastRenderedPageBreak/>
              <w:t>Component</w:t>
            </w:r>
          </w:p>
        </w:tc>
        <w:tc>
          <w:tcPr>
            <w:tcW w:w="39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79E772" w14:textId="77777777" w:rsidR="00695B36" w:rsidRPr="00695B36" w:rsidRDefault="00695B36" w:rsidP="00603B8B">
            <w:pPr>
              <w:pStyle w:val="Tabletext"/>
              <w:jc w:val="left"/>
              <w:rPr>
                <w:b/>
                <w:bCs/>
              </w:rPr>
            </w:pPr>
            <w:r w:rsidRPr="00695B36">
              <w:rPr>
                <w:b/>
                <w:bCs/>
              </w:rPr>
              <w:t>Description</w:t>
            </w:r>
          </w:p>
        </w:tc>
      </w:tr>
      <w:tr w:rsidR="003077D0" w:rsidRPr="00BA0DB0" w14:paraId="31F0C7A5" w14:textId="77777777" w:rsidTr="190DBB85">
        <w:tc>
          <w:tcPr>
            <w:tcW w:w="1004" w:type="pct"/>
            <w:hideMark/>
          </w:tcPr>
          <w:p w14:paraId="0ADAAA7C" w14:textId="4D003FD1" w:rsidR="004A2752" w:rsidRPr="00F77699" w:rsidRDefault="004A2752" w:rsidP="00695B36">
            <w:pPr>
              <w:pStyle w:val="Tabletext"/>
              <w:jc w:val="left"/>
              <w:rPr>
                <w:rFonts w:cs="Arial"/>
              </w:rPr>
            </w:pPr>
            <w:r w:rsidRPr="00F77699">
              <w:rPr>
                <w:rFonts w:cs="Arial"/>
              </w:rPr>
              <w:t>Outcomes</w:t>
            </w:r>
          </w:p>
        </w:tc>
        <w:tc>
          <w:tcPr>
            <w:tcW w:w="3996" w:type="pct"/>
            <w:hideMark/>
          </w:tcPr>
          <w:p w14:paraId="6F14342C" w14:textId="77D01D96" w:rsidR="004A2752" w:rsidRPr="007E2CED" w:rsidRDefault="004A2752" w:rsidP="00695B36">
            <w:pPr>
              <w:pStyle w:val="Tabletext"/>
              <w:jc w:val="left"/>
            </w:pPr>
            <w:r w:rsidRPr="006653FC">
              <w:rPr>
                <w:u w:val="single"/>
              </w:rPr>
              <w:t>Healthcare resource use</w:t>
            </w:r>
          </w:p>
          <w:p w14:paraId="75226315" w14:textId="7DB669B8" w:rsidR="004A2752" w:rsidRDefault="004A2752" w:rsidP="00695B36">
            <w:pPr>
              <w:pStyle w:val="Tabletext"/>
              <w:numPr>
                <w:ilvl w:val="0"/>
                <w:numId w:val="17"/>
              </w:numPr>
              <w:jc w:val="left"/>
            </w:pPr>
            <w:r w:rsidRPr="00F77699">
              <w:t>C</w:t>
            </w:r>
            <w:r w:rsidRPr="007E2CED">
              <w:t>ost</w:t>
            </w:r>
            <w:r w:rsidRPr="00283F19">
              <w:t>s</w:t>
            </w:r>
            <w:r w:rsidRPr="007E2CED">
              <w:t xml:space="preserve"> associated with </w:t>
            </w:r>
            <w:r w:rsidRPr="00283F19">
              <w:t>the intervention</w:t>
            </w:r>
            <w:r>
              <w:t>,</w:t>
            </w:r>
            <w:r w:rsidRPr="00283F19">
              <w:t xml:space="preserve"> including costs of appointments, blood test</w:t>
            </w:r>
            <w:r w:rsidR="001A6576">
              <w:t>s</w:t>
            </w:r>
            <w:r w:rsidRPr="007E2CED">
              <w:t>; cost</w:t>
            </w:r>
            <w:r w:rsidR="003710F1">
              <w:t>s</w:t>
            </w:r>
            <w:r w:rsidRPr="007E2CED">
              <w:t xml:space="preserve"> of Lp(a) test</w:t>
            </w:r>
            <w:r w:rsidRPr="00283F19">
              <w:t xml:space="preserve"> processing, change in management</w:t>
            </w:r>
            <w:r w:rsidRPr="007E2CED">
              <w:t xml:space="preserve"> </w:t>
            </w:r>
          </w:p>
          <w:p w14:paraId="51EF3822" w14:textId="76829066" w:rsidR="00F74E0F" w:rsidRPr="00283F19" w:rsidRDefault="00F74E0F" w:rsidP="00695B36">
            <w:pPr>
              <w:pStyle w:val="Tabletext"/>
              <w:numPr>
                <w:ilvl w:val="0"/>
                <w:numId w:val="17"/>
              </w:numPr>
              <w:jc w:val="left"/>
            </w:pPr>
            <w:r>
              <w:t>Increased number</w:t>
            </w:r>
            <w:r w:rsidR="00852FB3">
              <w:t xml:space="preserve"> of</w:t>
            </w:r>
            <w:r>
              <w:t xml:space="preserve"> </w:t>
            </w:r>
            <w:r w:rsidR="004F7986">
              <w:t>individual</w:t>
            </w:r>
            <w:r w:rsidR="00A44F8A">
              <w:t>s treated with</w:t>
            </w:r>
            <w:r>
              <w:t xml:space="preserve"> </w:t>
            </w:r>
            <w:r w:rsidR="00A44F8A">
              <w:t xml:space="preserve">a </w:t>
            </w:r>
            <w:r>
              <w:t xml:space="preserve">statin </w:t>
            </w:r>
          </w:p>
          <w:p w14:paraId="434025F9" w14:textId="77777777" w:rsidR="004A2752" w:rsidRPr="00283F19" w:rsidRDefault="004A2752" w:rsidP="00695B36">
            <w:pPr>
              <w:pStyle w:val="Tabletext"/>
              <w:numPr>
                <w:ilvl w:val="0"/>
                <w:numId w:val="17"/>
              </w:numPr>
              <w:jc w:val="left"/>
            </w:pPr>
            <w:r w:rsidRPr="007E2CED">
              <w:t>Cost-effectiveness of Lp(a) testing</w:t>
            </w:r>
          </w:p>
          <w:p w14:paraId="0EFD995A" w14:textId="77777777" w:rsidR="004A2752" w:rsidRPr="00ED705F" w:rsidRDefault="004A2752" w:rsidP="00695B36">
            <w:pPr>
              <w:pStyle w:val="Tabletext"/>
              <w:numPr>
                <w:ilvl w:val="0"/>
                <w:numId w:val="17"/>
              </w:numPr>
              <w:jc w:val="left"/>
            </w:pPr>
            <w:r w:rsidRPr="007E2CED">
              <w:t>Total Australian Government healthcare costs</w:t>
            </w:r>
          </w:p>
        </w:tc>
      </w:tr>
      <w:tr w:rsidR="003077D0" w:rsidRPr="00BA0DB0" w14:paraId="1F21F729" w14:textId="77777777" w:rsidTr="190DBB85">
        <w:tc>
          <w:tcPr>
            <w:tcW w:w="1004" w:type="pct"/>
          </w:tcPr>
          <w:p w14:paraId="7D27D663" w14:textId="77777777" w:rsidR="004A2752" w:rsidRPr="00F77699" w:rsidRDefault="004A2752" w:rsidP="00695B36">
            <w:pPr>
              <w:pStyle w:val="Tabletext"/>
              <w:jc w:val="left"/>
              <w:rPr>
                <w:rFonts w:cs="Arial"/>
              </w:rPr>
            </w:pPr>
            <w:r w:rsidRPr="00F77699">
              <w:rPr>
                <w:rFonts w:cs="Arial"/>
              </w:rPr>
              <w:t>Assessment questions</w:t>
            </w:r>
          </w:p>
        </w:tc>
        <w:tc>
          <w:tcPr>
            <w:tcW w:w="3996" w:type="pct"/>
          </w:tcPr>
          <w:p w14:paraId="7EF1D915" w14:textId="652829DD" w:rsidR="004A2752" w:rsidRPr="00F77699" w:rsidRDefault="004A2752" w:rsidP="00695B36">
            <w:pPr>
              <w:pStyle w:val="Tabletext"/>
              <w:spacing w:after="120"/>
              <w:jc w:val="left"/>
              <w:rPr>
                <w:color w:val="000000" w:themeColor="text1"/>
              </w:rPr>
            </w:pPr>
            <w:r w:rsidRPr="00F77699">
              <w:rPr>
                <w:color w:val="000000" w:themeColor="text1"/>
              </w:rPr>
              <w:t xml:space="preserve">What is the </w:t>
            </w:r>
            <w:r w:rsidR="001529B2">
              <w:rPr>
                <w:color w:val="000000" w:themeColor="text1"/>
              </w:rPr>
              <w:t xml:space="preserve">comparative </w:t>
            </w:r>
            <w:r w:rsidRPr="00F77699">
              <w:rPr>
                <w:color w:val="000000" w:themeColor="text1"/>
              </w:rPr>
              <w:t>safety, effectiveness</w:t>
            </w:r>
            <w:r w:rsidR="001529B2">
              <w:rPr>
                <w:color w:val="000000" w:themeColor="text1"/>
              </w:rPr>
              <w:t>,</w:t>
            </w:r>
            <w:r w:rsidRPr="00F77699">
              <w:rPr>
                <w:color w:val="000000" w:themeColor="text1"/>
              </w:rPr>
              <w:t xml:space="preserve"> cost-effectiveness</w:t>
            </w:r>
            <w:r w:rsidR="001529B2">
              <w:rPr>
                <w:color w:val="000000" w:themeColor="text1"/>
              </w:rPr>
              <w:t xml:space="preserve"> and total costs</w:t>
            </w:r>
            <w:r w:rsidRPr="00F77699">
              <w:rPr>
                <w:color w:val="000000" w:themeColor="text1"/>
              </w:rPr>
              <w:t xml:space="preserve"> of the use of Lp(a) testing versus current standard of care in </w:t>
            </w:r>
            <w:r>
              <w:rPr>
                <w:color w:val="000000" w:themeColor="text1"/>
              </w:rPr>
              <w:t xml:space="preserve">the </w:t>
            </w:r>
            <w:r w:rsidR="002C5C29">
              <w:rPr>
                <w:color w:val="000000" w:themeColor="text1"/>
              </w:rPr>
              <w:t>proposed population</w:t>
            </w:r>
            <w:r w:rsidR="00B03CA1">
              <w:rPr>
                <w:color w:val="000000" w:themeColor="text1"/>
              </w:rPr>
              <w:t>s</w:t>
            </w:r>
            <w:r w:rsidR="002C5C29">
              <w:rPr>
                <w:color w:val="000000" w:themeColor="text1"/>
              </w:rPr>
              <w:t xml:space="preserve"> A </w:t>
            </w:r>
            <w:r w:rsidR="00FC71E5">
              <w:rPr>
                <w:color w:val="000000" w:themeColor="text1"/>
              </w:rPr>
              <w:t>(moder</w:t>
            </w:r>
            <w:r w:rsidR="00344719">
              <w:rPr>
                <w:color w:val="000000" w:themeColor="text1"/>
              </w:rPr>
              <w:t>a</w:t>
            </w:r>
            <w:r w:rsidR="00FC71E5">
              <w:rPr>
                <w:color w:val="000000" w:themeColor="text1"/>
              </w:rPr>
              <w:t xml:space="preserve">te risk for CVD) </w:t>
            </w:r>
            <w:r w:rsidR="002C5C29">
              <w:rPr>
                <w:color w:val="000000" w:themeColor="text1"/>
              </w:rPr>
              <w:t>and B</w:t>
            </w:r>
            <w:r w:rsidR="00FC71E5">
              <w:rPr>
                <w:color w:val="000000" w:themeColor="text1"/>
              </w:rPr>
              <w:t xml:space="preserve"> (high-risk for CVD)</w:t>
            </w:r>
            <w:r w:rsidR="00E96B9E">
              <w:rPr>
                <w:color w:val="000000" w:themeColor="text1"/>
              </w:rPr>
              <w:t>.</w:t>
            </w:r>
          </w:p>
        </w:tc>
      </w:tr>
    </w:tbl>
    <w:p w14:paraId="420C6D1B" w14:textId="77777777" w:rsidR="00607722" w:rsidRPr="0063790F" w:rsidRDefault="004A2752" w:rsidP="00695B36">
      <w:pPr>
        <w:pStyle w:val="Tablenotes0"/>
        <w:jc w:val="left"/>
        <w:rPr>
          <w:sz w:val="18"/>
          <w:szCs w:val="18"/>
        </w:rPr>
      </w:pPr>
      <w:r w:rsidRPr="0063790F">
        <w:rPr>
          <w:b/>
          <w:sz w:val="18"/>
          <w:szCs w:val="18"/>
          <w:u w:val="single"/>
        </w:rPr>
        <w:t>Abbreviations</w:t>
      </w:r>
      <w:r w:rsidRPr="0063790F">
        <w:rPr>
          <w:sz w:val="18"/>
          <w:szCs w:val="18"/>
        </w:rPr>
        <w:br/>
      </w:r>
      <w:r w:rsidRPr="0063790F">
        <w:rPr>
          <w:b/>
          <w:sz w:val="18"/>
          <w:szCs w:val="18"/>
        </w:rPr>
        <w:t>ASCVD</w:t>
      </w:r>
      <w:r w:rsidRPr="0063790F">
        <w:rPr>
          <w:sz w:val="18"/>
          <w:szCs w:val="18"/>
        </w:rPr>
        <w:t xml:space="preserve"> </w:t>
      </w:r>
      <w:r w:rsidRPr="0063790F">
        <w:rPr>
          <w:b/>
          <w:sz w:val="18"/>
          <w:szCs w:val="18"/>
        </w:rPr>
        <w:t>=</w:t>
      </w:r>
      <w:r w:rsidRPr="0063790F">
        <w:rPr>
          <w:sz w:val="18"/>
          <w:szCs w:val="18"/>
        </w:rPr>
        <w:t xml:space="preserve"> atherosclerotic cardiovascular disease, </w:t>
      </w:r>
      <w:r w:rsidRPr="0063790F">
        <w:rPr>
          <w:b/>
          <w:sz w:val="18"/>
          <w:szCs w:val="18"/>
        </w:rPr>
        <w:t>CVD</w:t>
      </w:r>
      <w:r w:rsidRPr="0063790F">
        <w:rPr>
          <w:sz w:val="18"/>
          <w:szCs w:val="18"/>
        </w:rPr>
        <w:t xml:space="preserve"> </w:t>
      </w:r>
      <w:r w:rsidRPr="0063790F">
        <w:rPr>
          <w:b/>
          <w:sz w:val="18"/>
          <w:szCs w:val="18"/>
        </w:rPr>
        <w:t>=</w:t>
      </w:r>
      <w:r w:rsidRPr="0063790F">
        <w:rPr>
          <w:sz w:val="18"/>
          <w:szCs w:val="18"/>
        </w:rPr>
        <w:t xml:space="preserve"> cardiovascular disease, </w:t>
      </w:r>
      <w:r w:rsidRPr="0063790F">
        <w:rPr>
          <w:b/>
          <w:sz w:val="18"/>
          <w:szCs w:val="18"/>
        </w:rPr>
        <w:t>ESC</w:t>
      </w:r>
      <w:r w:rsidRPr="0063790F">
        <w:rPr>
          <w:sz w:val="18"/>
          <w:szCs w:val="18"/>
        </w:rPr>
        <w:t xml:space="preserve"> </w:t>
      </w:r>
      <w:r w:rsidRPr="0063790F">
        <w:rPr>
          <w:b/>
          <w:sz w:val="18"/>
          <w:szCs w:val="18"/>
        </w:rPr>
        <w:t>=</w:t>
      </w:r>
      <w:r w:rsidRPr="0063790F">
        <w:rPr>
          <w:sz w:val="18"/>
          <w:szCs w:val="18"/>
        </w:rPr>
        <w:t xml:space="preserve"> European Society of Cardiology, </w:t>
      </w:r>
      <w:r w:rsidRPr="0063790F">
        <w:rPr>
          <w:b/>
          <w:sz w:val="18"/>
          <w:szCs w:val="18"/>
        </w:rPr>
        <w:t>HDL</w:t>
      </w:r>
      <w:r w:rsidRPr="0063790F">
        <w:rPr>
          <w:sz w:val="18"/>
          <w:szCs w:val="18"/>
        </w:rPr>
        <w:t xml:space="preserve"> </w:t>
      </w:r>
      <w:r w:rsidRPr="0063790F">
        <w:rPr>
          <w:b/>
          <w:sz w:val="18"/>
          <w:szCs w:val="18"/>
        </w:rPr>
        <w:t>=</w:t>
      </w:r>
      <w:r w:rsidRPr="0063790F">
        <w:rPr>
          <w:sz w:val="18"/>
          <w:szCs w:val="18"/>
        </w:rPr>
        <w:t xml:space="preserve"> high</w:t>
      </w:r>
      <w:r w:rsidRPr="0063790F">
        <w:rPr>
          <w:rFonts w:ascii="Cambria Math" w:hAnsi="Cambria Math" w:cs="Cambria Math"/>
          <w:sz w:val="18"/>
          <w:szCs w:val="18"/>
        </w:rPr>
        <w:t>‑</w:t>
      </w:r>
      <w:r w:rsidRPr="0063790F">
        <w:rPr>
          <w:sz w:val="18"/>
          <w:szCs w:val="18"/>
        </w:rPr>
        <w:t xml:space="preserve">density lipoprotein, </w:t>
      </w:r>
      <w:r w:rsidRPr="0063790F">
        <w:rPr>
          <w:b/>
          <w:sz w:val="18"/>
          <w:szCs w:val="18"/>
        </w:rPr>
        <w:t>HRQoL</w:t>
      </w:r>
      <w:r w:rsidRPr="0063790F">
        <w:rPr>
          <w:sz w:val="18"/>
          <w:szCs w:val="18"/>
        </w:rPr>
        <w:t xml:space="preserve"> </w:t>
      </w:r>
      <w:r w:rsidRPr="0063790F">
        <w:rPr>
          <w:b/>
          <w:sz w:val="18"/>
          <w:szCs w:val="18"/>
        </w:rPr>
        <w:t>=</w:t>
      </w:r>
      <w:r w:rsidRPr="0063790F">
        <w:rPr>
          <w:sz w:val="18"/>
          <w:szCs w:val="18"/>
        </w:rPr>
        <w:t xml:space="preserve"> health-related quality of life, </w:t>
      </w:r>
      <w:r w:rsidRPr="0063790F">
        <w:rPr>
          <w:b/>
          <w:sz w:val="18"/>
          <w:szCs w:val="18"/>
        </w:rPr>
        <w:t>LDL-C</w:t>
      </w:r>
      <w:r w:rsidRPr="0063790F">
        <w:rPr>
          <w:sz w:val="18"/>
          <w:szCs w:val="18"/>
        </w:rPr>
        <w:t xml:space="preserve"> </w:t>
      </w:r>
      <w:r w:rsidRPr="0063790F">
        <w:rPr>
          <w:b/>
          <w:sz w:val="18"/>
          <w:szCs w:val="18"/>
        </w:rPr>
        <w:t>=</w:t>
      </w:r>
      <w:r w:rsidRPr="0063790F">
        <w:rPr>
          <w:sz w:val="18"/>
          <w:szCs w:val="18"/>
        </w:rPr>
        <w:t xml:space="preserve"> low-density lipoprotein cholesterol, </w:t>
      </w:r>
      <w:r w:rsidRPr="0063790F">
        <w:rPr>
          <w:b/>
          <w:sz w:val="18"/>
          <w:szCs w:val="18"/>
        </w:rPr>
        <w:t>Lp(a)</w:t>
      </w:r>
      <w:r w:rsidRPr="0063790F">
        <w:rPr>
          <w:sz w:val="18"/>
          <w:szCs w:val="18"/>
        </w:rPr>
        <w:t xml:space="preserve"> </w:t>
      </w:r>
      <w:r w:rsidRPr="0063790F">
        <w:rPr>
          <w:b/>
          <w:sz w:val="18"/>
          <w:szCs w:val="18"/>
        </w:rPr>
        <w:t>=</w:t>
      </w:r>
      <w:r w:rsidRPr="0063790F">
        <w:rPr>
          <w:sz w:val="18"/>
          <w:szCs w:val="18"/>
        </w:rPr>
        <w:t xml:space="preserve"> lipoprotein(a), </w:t>
      </w:r>
      <w:r w:rsidRPr="0063790F">
        <w:rPr>
          <w:b/>
          <w:sz w:val="18"/>
          <w:szCs w:val="18"/>
        </w:rPr>
        <w:t>PROCAM</w:t>
      </w:r>
      <w:r w:rsidRPr="0063790F">
        <w:rPr>
          <w:sz w:val="18"/>
          <w:szCs w:val="18"/>
        </w:rPr>
        <w:t xml:space="preserve"> </w:t>
      </w:r>
      <w:r w:rsidRPr="0063790F">
        <w:rPr>
          <w:b/>
          <w:sz w:val="18"/>
          <w:szCs w:val="18"/>
        </w:rPr>
        <w:t>=</w:t>
      </w:r>
      <w:r w:rsidRPr="0063790F">
        <w:rPr>
          <w:sz w:val="18"/>
          <w:szCs w:val="18"/>
        </w:rPr>
        <w:t xml:space="preserve"> Prospective Cardiovascular Münster Study, </w:t>
      </w:r>
      <w:r w:rsidRPr="0063790F">
        <w:rPr>
          <w:b/>
          <w:sz w:val="18"/>
          <w:szCs w:val="18"/>
        </w:rPr>
        <w:t>ROC</w:t>
      </w:r>
      <w:r w:rsidRPr="0063790F">
        <w:rPr>
          <w:sz w:val="18"/>
          <w:szCs w:val="18"/>
        </w:rPr>
        <w:t xml:space="preserve"> </w:t>
      </w:r>
      <w:r w:rsidRPr="0063790F">
        <w:rPr>
          <w:b/>
          <w:sz w:val="18"/>
          <w:szCs w:val="18"/>
        </w:rPr>
        <w:t>=</w:t>
      </w:r>
      <w:r w:rsidRPr="0063790F">
        <w:rPr>
          <w:sz w:val="18"/>
          <w:szCs w:val="18"/>
        </w:rPr>
        <w:t xml:space="preserve"> receiver operating characteristic </w:t>
      </w:r>
    </w:p>
    <w:p w14:paraId="535DEE1C" w14:textId="307B2011" w:rsidR="0057525C" w:rsidRDefault="002F6340" w:rsidP="00695B36">
      <w:pPr>
        <w:pStyle w:val="Caption"/>
        <w:jc w:val="left"/>
      </w:pPr>
      <w:r>
        <w:t xml:space="preserve">Table </w:t>
      </w:r>
      <w:r>
        <w:fldChar w:fldCharType="begin"/>
      </w:r>
      <w:r>
        <w:instrText xml:space="preserve"> SEQ Table \* ARABIC </w:instrText>
      </w:r>
      <w:r>
        <w:fldChar w:fldCharType="separate"/>
      </w:r>
      <w:r>
        <w:rPr>
          <w:noProof/>
        </w:rPr>
        <w:t>2</w:t>
      </w:r>
      <w:r>
        <w:fldChar w:fldCharType="end"/>
      </w:r>
      <w:r w:rsidR="00D314D1">
        <w:tab/>
      </w:r>
      <w:r w:rsidR="0057525C" w:rsidRPr="00E53CD1">
        <w:t xml:space="preserve">PICO for </w:t>
      </w:r>
      <w:r w:rsidR="0057525C">
        <w:t>lipoprotein(a)</w:t>
      </w:r>
      <w:r w:rsidR="0057525C" w:rsidRPr="00E53CD1">
        <w:t xml:space="preserve"> testing as an independent predictor for cardiovascular disease risk</w:t>
      </w:r>
      <w:r>
        <w:t xml:space="preserve"> for the cascade </w:t>
      </w:r>
      <w:r w:rsidR="00E77347">
        <w:tab/>
      </w:r>
      <w:r>
        <w:t>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4"/>
        <w:gridCol w:w="7647"/>
      </w:tblGrid>
      <w:tr w:rsidR="0057525C" w:rsidRPr="00BA0DB0" w14:paraId="04CC5D69" w14:textId="77777777" w:rsidTr="190DBB85">
        <w:trPr>
          <w:trHeight w:val="372"/>
          <w:tblHeader/>
        </w:trPr>
        <w:tc>
          <w:tcPr>
            <w:tcW w:w="1005" w:type="pct"/>
            <w:shd w:val="clear" w:color="auto" w:fill="D9D9D9" w:themeFill="background1" w:themeFillShade="D9"/>
            <w:vAlign w:val="center"/>
            <w:hideMark/>
          </w:tcPr>
          <w:p w14:paraId="5584932B" w14:textId="77777777" w:rsidR="0057525C" w:rsidRPr="000338F9" w:rsidRDefault="0057525C" w:rsidP="00695B36">
            <w:pPr>
              <w:pStyle w:val="Tabletext"/>
              <w:jc w:val="left"/>
              <w:rPr>
                <w:b/>
              </w:rPr>
            </w:pPr>
            <w:r w:rsidRPr="000338F9">
              <w:rPr>
                <w:b/>
              </w:rPr>
              <w:t>Component</w:t>
            </w:r>
          </w:p>
        </w:tc>
        <w:tc>
          <w:tcPr>
            <w:tcW w:w="3995" w:type="pct"/>
            <w:shd w:val="clear" w:color="auto" w:fill="D9D9D9" w:themeFill="background1" w:themeFillShade="D9"/>
            <w:vAlign w:val="center"/>
            <w:hideMark/>
          </w:tcPr>
          <w:p w14:paraId="5A0ECC9C" w14:textId="77777777" w:rsidR="0057525C" w:rsidRPr="000338F9" w:rsidRDefault="0057525C" w:rsidP="00695B36">
            <w:pPr>
              <w:pStyle w:val="Tabletext"/>
              <w:jc w:val="left"/>
              <w:rPr>
                <w:b/>
              </w:rPr>
            </w:pPr>
            <w:r w:rsidRPr="000338F9">
              <w:rPr>
                <w:b/>
              </w:rPr>
              <w:t>Description</w:t>
            </w:r>
          </w:p>
        </w:tc>
      </w:tr>
      <w:tr w:rsidR="0057525C" w:rsidRPr="00BA0DB0" w14:paraId="3B95F966" w14:textId="77777777" w:rsidTr="190DBB85">
        <w:tc>
          <w:tcPr>
            <w:tcW w:w="1005" w:type="pct"/>
            <w:hideMark/>
          </w:tcPr>
          <w:p w14:paraId="2F28255D" w14:textId="77777777" w:rsidR="0057525C" w:rsidRPr="00F77699" w:rsidRDefault="0057525C" w:rsidP="00695B36">
            <w:pPr>
              <w:pStyle w:val="Tabletext"/>
              <w:jc w:val="left"/>
              <w:rPr>
                <w:rFonts w:cs="Arial"/>
              </w:rPr>
            </w:pPr>
            <w:r w:rsidRPr="00F77699">
              <w:rPr>
                <w:rFonts w:cs="Arial"/>
              </w:rPr>
              <w:t>Test population</w:t>
            </w:r>
          </w:p>
        </w:tc>
        <w:tc>
          <w:tcPr>
            <w:tcW w:w="3995" w:type="pct"/>
            <w:hideMark/>
          </w:tcPr>
          <w:p w14:paraId="72DA4BAC" w14:textId="64C284FD" w:rsidR="0057525C" w:rsidRPr="00F77699" w:rsidRDefault="000A430A" w:rsidP="00695B36">
            <w:pPr>
              <w:pStyle w:val="Tabletext"/>
              <w:jc w:val="left"/>
            </w:pPr>
            <w:r>
              <w:t>Adults with</w:t>
            </w:r>
            <w:r w:rsidR="00BB4791">
              <w:t xml:space="preserve"> </w:t>
            </w:r>
            <w:r w:rsidR="0057525C" w:rsidRPr="006F6188">
              <w:t>a first-degree relative with significantly elevated Lp(a) (&gt;200</w:t>
            </w:r>
            <w:r w:rsidR="0057525C">
              <w:t> </w:t>
            </w:r>
            <w:r w:rsidR="0057525C" w:rsidRPr="006F6188">
              <w:t>nmol/L)</w:t>
            </w:r>
          </w:p>
        </w:tc>
      </w:tr>
      <w:tr w:rsidR="0057525C" w:rsidRPr="00BA0DB0" w14:paraId="745B1B12" w14:textId="77777777" w:rsidTr="190DBB85">
        <w:tc>
          <w:tcPr>
            <w:tcW w:w="1005" w:type="pct"/>
          </w:tcPr>
          <w:p w14:paraId="038D97E6" w14:textId="77777777" w:rsidR="0057525C" w:rsidRPr="00F77699" w:rsidRDefault="0057525C" w:rsidP="00695B36">
            <w:pPr>
              <w:pStyle w:val="Tabletext"/>
              <w:jc w:val="left"/>
              <w:rPr>
                <w:rFonts w:cs="Arial"/>
              </w:rPr>
            </w:pPr>
            <w:r w:rsidRPr="00F77699">
              <w:rPr>
                <w:rFonts w:cs="Arial"/>
              </w:rPr>
              <w:t>Prior tests</w:t>
            </w:r>
          </w:p>
        </w:tc>
        <w:tc>
          <w:tcPr>
            <w:tcW w:w="3995" w:type="pct"/>
          </w:tcPr>
          <w:p w14:paraId="75FFE0AC" w14:textId="236ECF76" w:rsidR="0057525C" w:rsidRPr="00F77699" w:rsidRDefault="002F6340" w:rsidP="00695B36">
            <w:pPr>
              <w:pStyle w:val="Tabletext"/>
              <w:jc w:val="left"/>
            </w:pPr>
            <w:r>
              <w:t>No prior tests are required</w:t>
            </w:r>
          </w:p>
        </w:tc>
      </w:tr>
      <w:tr w:rsidR="0057525C" w:rsidRPr="00BA0DB0" w14:paraId="760CCD7A" w14:textId="77777777" w:rsidTr="190DBB85">
        <w:tc>
          <w:tcPr>
            <w:tcW w:w="1005" w:type="pct"/>
            <w:hideMark/>
          </w:tcPr>
          <w:p w14:paraId="662A73A7" w14:textId="77777777" w:rsidR="0057525C" w:rsidRPr="00F77699" w:rsidRDefault="0057525C" w:rsidP="00695B36">
            <w:pPr>
              <w:pStyle w:val="Tabletext"/>
              <w:jc w:val="left"/>
              <w:rPr>
                <w:rFonts w:cs="Arial"/>
              </w:rPr>
            </w:pPr>
            <w:r w:rsidRPr="00F77699">
              <w:rPr>
                <w:rFonts w:cs="Arial"/>
              </w:rPr>
              <w:t>Intervention</w:t>
            </w:r>
          </w:p>
        </w:tc>
        <w:tc>
          <w:tcPr>
            <w:tcW w:w="3995" w:type="pct"/>
            <w:hideMark/>
          </w:tcPr>
          <w:p w14:paraId="05A3C016" w14:textId="508882F2" w:rsidR="0057525C" w:rsidRPr="00F77699" w:rsidRDefault="0057525C" w:rsidP="00695B36">
            <w:pPr>
              <w:pStyle w:val="Tabletext"/>
              <w:jc w:val="left"/>
            </w:pPr>
            <w:r w:rsidRPr="00F77699">
              <w:t>Immunoassay measuring Lp(a)</w:t>
            </w:r>
            <w:r w:rsidR="00E46FC5">
              <w:t xml:space="preserve"> concentration</w:t>
            </w:r>
            <w:r w:rsidRPr="00F77699">
              <w:t xml:space="preserve"> in blood </w:t>
            </w:r>
            <w:r w:rsidR="00C54445" w:rsidRPr="00772470">
              <w:t>reported as nmol/L</w:t>
            </w:r>
          </w:p>
        </w:tc>
      </w:tr>
      <w:tr w:rsidR="0057525C" w:rsidRPr="00BA0DB0" w14:paraId="72AC2EBB" w14:textId="77777777" w:rsidTr="190DBB85">
        <w:tc>
          <w:tcPr>
            <w:tcW w:w="1005" w:type="pct"/>
            <w:hideMark/>
          </w:tcPr>
          <w:p w14:paraId="6433B814" w14:textId="77777777" w:rsidR="0057525C" w:rsidRPr="00F77699" w:rsidRDefault="0057525C" w:rsidP="00695B36">
            <w:pPr>
              <w:pStyle w:val="Tabletext"/>
              <w:jc w:val="left"/>
              <w:rPr>
                <w:rFonts w:cs="Arial"/>
              </w:rPr>
            </w:pPr>
            <w:r w:rsidRPr="00F77699">
              <w:rPr>
                <w:rFonts w:cs="Arial"/>
              </w:rPr>
              <w:t>Comparator/s</w:t>
            </w:r>
          </w:p>
        </w:tc>
        <w:tc>
          <w:tcPr>
            <w:tcW w:w="3995" w:type="pct"/>
            <w:hideMark/>
          </w:tcPr>
          <w:p w14:paraId="2F29D3B9" w14:textId="7EECFE14" w:rsidR="0057525C" w:rsidRPr="00F77699" w:rsidRDefault="00612848" w:rsidP="00695B36">
            <w:pPr>
              <w:pStyle w:val="Tabletext"/>
              <w:jc w:val="left"/>
            </w:pPr>
            <w:r>
              <w:t>No Lp(a) test</w:t>
            </w:r>
          </w:p>
        </w:tc>
      </w:tr>
      <w:tr w:rsidR="0057525C" w:rsidRPr="00BA0DB0" w14:paraId="16C74F17" w14:textId="77777777" w:rsidTr="190DBB85">
        <w:tc>
          <w:tcPr>
            <w:tcW w:w="1005" w:type="pct"/>
          </w:tcPr>
          <w:p w14:paraId="5289A38F" w14:textId="77777777" w:rsidR="0057525C" w:rsidRPr="00F77699" w:rsidRDefault="0057525C" w:rsidP="00695B36">
            <w:pPr>
              <w:pStyle w:val="Tabletext"/>
              <w:jc w:val="left"/>
              <w:rPr>
                <w:rFonts w:cs="Arial"/>
              </w:rPr>
            </w:pPr>
            <w:r w:rsidRPr="00F77699">
              <w:rPr>
                <w:rFonts w:cs="Arial"/>
              </w:rPr>
              <w:t>Reference standard</w:t>
            </w:r>
          </w:p>
        </w:tc>
        <w:tc>
          <w:tcPr>
            <w:tcW w:w="3995" w:type="pct"/>
          </w:tcPr>
          <w:p w14:paraId="055486E2" w14:textId="74A0EBAC" w:rsidR="0057525C" w:rsidRPr="00F77699" w:rsidRDefault="0057525C" w:rsidP="00695B36">
            <w:pPr>
              <w:pStyle w:val="Tabletext"/>
              <w:jc w:val="left"/>
            </w:pPr>
            <w:r w:rsidRPr="00F77699">
              <w:t>While no reference standard was formally defined in the application, the Australian and New Zealand guidelines for the management of absolute cardiovascular disease risk</w:t>
            </w:r>
            <w:r>
              <w:t xml:space="preserve"> </w:t>
            </w:r>
            <w:r w:rsidR="00056769">
              <w:fldChar w:fldCharType="begin"/>
            </w:r>
            <w:r w:rsidR="00056769">
              <w:instrText xml:space="preserve"> ADDIN EN.CITE &lt;EndNote&gt;&lt;Cite&gt;&lt;Author&gt;National Vascular Disease Prevention Alliance&lt;/Author&gt;&lt;Year&gt;2012&lt;/Year&gt;&lt;RecNum&gt;1&lt;/RecNum&gt;&lt;DisplayText&gt;(National Vascular Disease Prevention Alliance 2012)&lt;/DisplayText&gt;&lt;record&gt;&lt;rec-number&gt;1&lt;/rec-number&gt;&lt;foreign-keys&gt;&lt;key app="EN" db-id="p5dp00za8apvt8e25vqv22rzzpwt5tvtsr0r" timestamp="1667173932"&gt;1&lt;/key&gt;&lt;/foreign-keys&gt;&lt;ref-type name="Report"&gt;27&lt;/ref-type&gt;&lt;contributors&gt;&lt;authors&gt;&lt;author&gt;National Vascular Disease Prevention Alliance,&lt;/author&gt;&lt;/authors&gt;&lt;/contributors&gt;&lt;titles&gt;&lt;title&gt;Guidelines for the management of absolute cardiovascular disease risk&lt;/title&gt;&lt;/titles&gt;&lt;dates&gt;&lt;year&gt;2012&lt;/year&gt;&lt;/dates&gt;&lt;urls&gt;&lt;related-urls&gt;&lt;url&gt;https://www.heartfoundation.org.au/getmedia/4342a70f-4487-496e-bbb0-dae33a47fcb2/Absolute-CVD-Risk-Full-Guidelines_2.pdf&lt;/url&gt;&lt;/related-urls&gt;&lt;/urls&gt;&lt;/record&gt;&lt;/Cite&gt;&lt;/EndNote&gt;</w:instrText>
            </w:r>
            <w:r w:rsidR="00056769">
              <w:fldChar w:fldCharType="separate"/>
            </w:r>
            <w:r w:rsidR="00056769">
              <w:rPr>
                <w:noProof/>
              </w:rPr>
              <w:t>(National Vascular Disease Prevention Alliance 2012)</w:t>
            </w:r>
            <w:r w:rsidR="00056769">
              <w:fldChar w:fldCharType="end"/>
            </w:r>
            <w:r>
              <w:t xml:space="preserve"> </w:t>
            </w:r>
            <w:r w:rsidRPr="00F77699">
              <w:t xml:space="preserve">provide criteria for assessing risk and guiding treatment for different population </w:t>
            </w:r>
            <w:r w:rsidRPr="00CB0A91">
              <w:t>groups (</w:t>
            </w:r>
            <w:r>
              <w:fldChar w:fldCharType="begin"/>
            </w:r>
            <w:r>
              <w:instrText xml:space="preserve"> REF _Ref118383191 \h  \* MERGEFORMAT </w:instrText>
            </w:r>
            <w:r>
              <w:fldChar w:fldCharType="separate"/>
            </w:r>
            <w:r w:rsidR="00957D2D">
              <w:t xml:space="preserve">Table </w:t>
            </w:r>
            <w:r w:rsidR="00957D2D">
              <w:rPr>
                <w:noProof/>
              </w:rPr>
              <w:t>5</w:t>
            </w:r>
            <w:r>
              <w:fldChar w:fldCharType="end"/>
            </w:r>
            <w:r w:rsidRPr="00CB0A91">
              <w:t>)</w:t>
            </w:r>
          </w:p>
        </w:tc>
      </w:tr>
      <w:tr w:rsidR="0057525C" w:rsidRPr="00BA0DB0" w14:paraId="2155AEE9" w14:textId="77777777" w:rsidTr="190DBB85">
        <w:tc>
          <w:tcPr>
            <w:tcW w:w="1005" w:type="pct"/>
            <w:hideMark/>
          </w:tcPr>
          <w:p w14:paraId="7731E7AA" w14:textId="77777777" w:rsidR="0057525C" w:rsidRPr="00F77699" w:rsidRDefault="0057525C" w:rsidP="00695B36">
            <w:pPr>
              <w:pStyle w:val="Tabletext"/>
              <w:jc w:val="left"/>
              <w:rPr>
                <w:rFonts w:cs="Arial"/>
              </w:rPr>
            </w:pPr>
            <w:r w:rsidRPr="00F77699">
              <w:rPr>
                <w:rFonts w:cs="Arial"/>
              </w:rPr>
              <w:t>Outcomes</w:t>
            </w:r>
          </w:p>
        </w:tc>
        <w:tc>
          <w:tcPr>
            <w:tcW w:w="3995" w:type="pct"/>
            <w:hideMark/>
          </w:tcPr>
          <w:p w14:paraId="4E2A5F99" w14:textId="77777777" w:rsidR="001D446E" w:rsidRPr="00F77699" w:rsidRDefault="001D446E" w:rsidP="00695B36">
            <w:pPr>
              <w:pStyle w:val="Tabletext"/>
              <w:jc w:val="left"/>
            </w:pPr>
            <w:r w:rsidRPr="00F77699">
              <w:t>The following outcomes are relevant to this application:</w:t>
            </w:r>
          </w:p>
          <w:p w14:paraId="4AA25429" w14:textId="77777777" w:rsidR="001D446E" w:rsidRPr="00F77699" w:rsidRDefault="001D446E" w:rsidP="00695B36">
            <w:pPr>
              <w:pStyle w:val="Tabletext"/>
              <w:jc w:val="left"/>
              <w:rPr>
                <w:u w:val="single"/>
              </w:rPr>
            </w:pPr>
            <w:r w:rsidRPr="00F77699">
              <w:rPr>
                <w:u w:val="single"/>
              </w:rPr>
              <w:t>Safety</w:t>
            </w:r>
          </w:p>
          <w:p w14:paraId="50839218" w14:textId="000D603F" w:rsidR="001D446E" w:rsidRPr="006A1BFD" w:rsidRDefault="001D446E" w:rsidP="00695B36">
            <w:pPr>
              <w:pStyle w:val="Tabletext"/>
              <w:numPr>
                <w:ilvl w:val="0"/>
                <w:numId w:val="22"/>
              </w:numPr>
              <w:jc w:val="left"/>
              <w:rPr>
                <w:sz w:val="18"/>
                <w:szCs w:val="18"/>
              </w:rPr>
            </w:pPr>
            <w:r w:rsidRPr="00EB6445">
              <w:t>Harms associated with testing</w:t>
            </w:r>
          </w:p>
          <w:p w14:paraId="541AE724" w14:textId="1D2DA82C" w:rsidR="00301022" w:rsidRPr="006A1BFD" w:rsidRDefault="00301022" w:rsidP="00695B36">
            <w:pPr>
              <w:pStyle w:val="Tabletext"/>
              <w:numPr>
                <w:ilvl w:val="0"/>
                <w:numId w:val="22"/>
              </w:numPr>
              <w:jc w:val="left"/>
            </w:pPr>
            <w:r>
              <w:t>Harms associated with treatment</w:t>
            </w:r>
          </w:p>
          <w:p w14:paraId="62887D75" w14:textId="77777777" w:rsidR="001D446E" w:rsidRPr="00F77699" w:rsidRDefault="001D446E" w:rsidP="00695B36">
            <w:pPr>
              <w:pStyle w:val="Tabletext"/>
              <w:jc w:val="left"/>
              <w:rPr>
                <w:u w:val="single"/>
              </w:rPr>
            </w:pPr>
            <w:r w:rsidRPr="00F77699">
              <w:rPr>
                <w:u w:val="single"/>
              </w:rPr>
              <w:t>Clinical effectiveness</w:t>
            </w:r>
          </w:p>
          <w:p w14:paraId="51DC7AE5" w14:textId="77777777" w:rsidR="005A7EFC" w:rsidRDefault="005A7EFC" w:rsidP="00695B36">
            <w:pPr>
              <w:pStyle w:val="Tabletext"/>
              <w:numPr>
                <w:ilvl w:val="0"/>
                <w:numId w:val="13"/>
              </w:numPr>
              <w:jc w:val="left"/>
            </w:pPr>
            <w:r w:rsidRPr="00F77699">
              <w:t>Test performance outcomes</w:t>
            </w:r>
            <w:r>
              <w:t>:</w:t>
            </w:r>
          </w:p>
          <w:p w14:paraId="1263723E" w14:textId="77777777" w:rsidR="005A7EFC" w:rsidRDefault="005A7EFC" w:rsidP="00695B36">
            <w:pPr>
              <w:pStyle w:val="Tabletext"/>
              <w:numPr>
                <w:ilvl w:val="1"/>
                <w:numId w:val="13"/>
              </w:numPr>
              <w:jc w:val="left"/>
            </w:pPr>
            <w:r w:rsidRPr="005A7EFC">
              <w:t>intra-observer or intra-instrument variability/agreement</w:t>
            </w:r>
          </w:p>
          <w:p w14:paraId="0C228034" w14:textId="77777777" w:rsidR="005A7EFC" w:rsidRDefault="005A7EFC" w:rsidP="00695B36">
            <w:pPr>
              <w:pStyle w:val="Tabletext"/>
              <w:numPr>
                <w:ilvl w:val="1"/>
                <w:numId w:val="13"/>
              </w:numPr>
              <w:jc w:val="left"/>
            </w:pPr>
            <w:r w:rsidRPr="005A7EFC">
              <w:t>analysis of assay test performance, define the lower limit of detection</w:t>
            </w:r>
          </w:p>
          <w:p w14:paraId="6ABA9FE6" w14:textId="6AD3C48F" w:rsidR="001D446E" w:rsidRDefault="005A7EFC" w:rsidP="00695B36">
            <w:pPr>
              <w:pStyle w:val="Tabletext"/>
              <w:jc w:val="left"/>
            </w:pPr>
            <w:r>
              <w:t>concordance between tests</w:t>
            </w:r>
          </w:p>
          <w:p w14:paraId="520B87EE" w14:textId="77777777" w:rsidR="001D446E" w:rsidRPr="00283F19" w:rsidRDefault="001D446E" w:rsidP="00695B36">
            <w:pPr>
              <w:pStyle w:val="Tabletext"/>
              <w:jc w:val="left"/>
            </w:pPr>
            <w:r w:rsidRPr="00A13334">
              <w:rPr>
                <w:u w:val="single"/>
              </w:rPr>
              <w:t>Patient management outcomes</w:t>
            </w:r>
          </w:p>
          <w:p w14:paraId="1F6AA435" w14:textId="77777777" w:rsidR="001D446E" w:rsidRDefault="001D446E" w:rsidP="00695B36">
            <w:pPr>
              <w:pStyle w:val="Tabletext"/>
              <w:numPr>
                <w:ilvl w:val="0"/>
                <w:numId w:val="22"/>
              </w:numPr>
              <w:jc w:val="left"/>
              <w:rPr>
                <w:sz w:val="18"/>
                <w:szCs w:val="18"/>
              </w:rPr>
            </w:pPr>
            <w:r>
              <w:t>Diagnostic utility –</w:t>
            </w:r>
            <w:r w:rsidRPr="190DBB85">
              <w:rPr>
                <w:sz w:val="18"/>
                <w:szCs w:val="18"/>
              </w:rPr>
              <w:t xml:space="preserve"> </w:t>
            </w:r>
            <w:r>
              <w:t>for each population, confirmation of high Lp(a)</w:t>
            </w:r>
          </w:p>
          <w:p w14:paraId="592A4A90" w14:textId="77777777" w:rsidR="001D446E" w:rsidRDefault="001D446E" w:rsidP="00695B36">
            <w:pPr>
              <w:pStyle w:val="Tabletext"/>
              <w:numPr>
                <w:ilvl w:val="0"/>
                <w:numId w:val="22"/>
              </w:numPr>
              <w:jc w:val="left"/>
              <w:rPr>
                <w:sz w:val="18"/>
                <w:szCs w:val="18"/>
              </w:rPr>
            </w:pPr>
            <w:r>
              <w:t>Change in risk score</w:t>
            </w:r>
          </w:p>
          <w:p w14:paraId="467B50D3" w14:textId="77777777" w:rsidR="001D446E" w:rsidRDefault="001D446E" w:rsidP="00695B36">
            <w:pPr>
              <w:pStyle w:val="Tabletext"/>
              <w:numPr>
                <w:ilvl w:val="0"/>
                <w:numId w:val="22"/>
              </w:numPr>
              <w:jc w:val="left"/>
            </w:pPr>
            <w:r w:rsidRPr="00ED705F">
              <w:t>Prognostic utility</w:t>
            </w:r>
            <w:r w:rsidRPr="00283F19">
              <w:t xml:space="preserve"> – for each population, informed change in prognosis without change in treatment</w:t>
            </w:r>
          </w:p>
          <w:p w14:paraId="276B58CB" w14:textId="7A6FDD2C" w:rsidR="00A464CA" w:rsidRPr="00283F19" w:rsidRDefault="00A464CA" w:rsidP="00695B36">
            <w:pPr>
              <w:pStyle w:val="Tabletext"/>
              <w:numPr>
                <w:ilvl w:val="0"/>
                <w:numId w:val="22"/>
              </w:numPr>
              <w:jc w:val="left"/>
            </w:pPr>
            <w:r>
              <w:t xml:space="preserve">Need for monitoring CVD risk </w:t>
            </w:r>
            <w:r w:rsidR="00395966">
              <w:t>and/</w:t>
            </w:r>
            <w:r>
              <w:t>or development of aortic stenosis</w:t>
            </w:r>
          </w:p>
          <w:p w14:paraId="03D898AE" w14:textId="77777777" w:rsidR="001D446E" w:rsidRPr="00283F19" w:rsidRDefault="001D446E" w:rsidP="00695B36">
            <w:pPr>
              <w:pStyle w:val="Tabletext"/>
              <w:numPr>
                <w:ilvl w:val="0"/>
                <w:numId w:val="22"/>
              </w:numPr>
              <w:jc w:val="left"/>
            </w:pPr>
            <w:r>
              <w:t>Predictive utility – change in treatment pathway (initiated, ceased, modified, avoided)</w:t>
            </w:r>
          </w:p>
          <w:p w14:paraId="0F081631" w14:textId="287AFA74" w:rsidR="001D446E" w:rsidRPr="00A14E73" w:rsidRDefault="001D446E" w:rsidP="00695B36">
            <w:pPr>
              <w:pStyle w:val="Tabletext"/>
              <w:numPr>
                <w:ilvl w:val="0"/>
                <w:numId w:val="22"/>
              </w:numPr>
              <w:jc w:val="left"/>
              <w:rPr>
                <w:sz w:val="18"/>
                <w:szCs w:val="18"/>
              </w:rPr>
            </w:pPr>
            <w:r>
              <w:t>Commencement of treatment</w:t>
            </w:r>
          </w:p>
          <w:p w14:paraId="444801DC" w14:textId="77777777" w:rsidR="001D446E" w:rsidRPr="00283F19" w:rsidRDefault="001D446E" w:rsidP="00695B36">
            <w:pPr>
              <w:pStyle w:val="Tabletext"/>
              <w:jc w:val="left"/>
            </w:pPr>
            <w:r w:rsidRPr="00A13334">
              <w:rPr>
                <w:u w:val="single"/>
              </w:rPr>
              <w:t>Health outcomes</w:t>
            </w:r>
          </w:p>
          <w:p w14:paraId="197C2745" w14:textId="77777777" w:rsidR="001D446E" w:rsidRPr="007E2CED" w:rsidRDefault="001D446E" w:rsidP="00695B36">
            <w:pPr>
              <w:pStyle w:val="Tabletext"/>
              <w:numPr>
                <w:ilvl w:val="0"/>
                <w:numId w:val="22"/>
              </w:numPr>
              <w:jc w:val="left"/>
              <w:rPr>
                <w:sz w:val="18"/>
                <w:szCs w:val="18"/>
              </w:rPr>
            </w:pPr>
            <w:r>
              <w:t>Morbidity associated with CVD</w:t>
            </w:r>
          </w:p>
          <w:p w14:paraId="4AFB4D72" w14:textId="77777777" w:rsidR="001D446E" w:rsidRPr="007E2CED" w:rsidRDefault="001D446E" w:rsidP="00695B36">
            <w:pPr>
              <w:pStyle w:val="Tabletext"/>
              <w:numPr>
                <w:ilvl w:val="0"/>
                <w:numId w:val="22"/>
              </w:numPr>
              <w:jc w:val="left"/>
              <w:rPr>
                <w:sz w:val="18"/>
                <w:szCs w:val="18"/>
              </w:rPr>
            </w:pPr>
            <w:r>
              <w:t xml:space="preserve">Mortality due to CVD </w:t>
            </w:r>
          </w:p>
          <w:p w14:paraId="25D6DDEA" w14:textId="77777777" w:rsidR="001D446E" w:rsidRPr="007E2CED" w:rsidRDefault="001D446E" w:rsidP="00695B36">
            <w:pPr>
              <w:pStyle w:val="Tabletext"/>
              <w:numPr>
                <w:ilvl w:val="0"/>
                <w:numId w:val="22"/>
              </w:numPr>
              <w:jc w:val="left"/>
            </w:pPr>
            <w:r>
              <w:t>Health-related quality of life</w:t>
            </w:r>
          </w:p>
          <w:p w14:paraId="6D4367DA" w14:textId="5665A679" w:rsidR="001D446E" w:rsidRPr="007E2CED" w:rsidRDefault="001D446E" w:rsidP="00695B36">
            <w:pPr>
              <w:pStyle w:val="Tabletext"/>
              <w:numPr>
                <w:ilvl w:val="0"/>
                <w:numId w:val="22"/>
              </w:numPr>
              <w:jc w:val="left"/>
            </w:pPr>
            <w:r>
              <w:t>Other patient-relevant outcomes</w:t>
            </w:r>
          </w:p>
          <w:p w14:paraId="4246D1DC" w14:textId="77777777" w:rsidR="0057525C" w:rsidRPr="00283F19" w:rsidRDefault="0057525C" w:rsidP="00695B36">
            <w:pPr>
              <w:pStyle w:val="Tabletext"/>
              <w:jc w:val="left"/>
            </w:pPr>
            <w:r w:rsidRPr="00A13334">
              <w:rPr>
                <w:u w:val="single"/>
              </w:rPr>
              <w:t>Non-health outcomes</w:t>
            </w:r>
          </w:p>
          <w:p w14:paraId="31EDB64C" w14:textId="77777777" w:rsidR="0057525C" w:rsidRPr="00B853F8" w:rsidRDefault="0057525C" w:rsidP="00695B36">
            <w:pPr>
              <w:pStyle w:val="Tabletext"/>
              <w:numPr>
                <w:ilvl w:val="0"/>
                <w:numId w:val="22"/>
              </w:numPr>
              <w:jc w:val="left"/>
              <w:rPr>
                <w:sz w:val="18"/>
                <w:szCs w:val="18"/>
              </w:rPr>
            </w:pPr>
            <w:r>
              <w:t>The value of knowing, including:</w:t>
            </w:r>
          </w:p>
          <w:p w14:paraId="07773F21" w14:textId="77777777" w:rsidR="0057525C" w:rsidRPr="00A36E0E" w:rsidRDefault="0057525C" w:rsidP="00695B36">
            <w:pPr>
              <w:pStyle w:val="Tabletext"/>
              <w:numPr>
                <w:ilvl w:val="1"/>
                <w:numId w:val="22"/>
              </w:numPr>
              <w:jc w:val="left"/>
            </w:pPr>
            <w:r>
              <w:t>i</w:t>
            </w:r>
            <w:r w:rsidRPr="00ED705F">
              <w:t>mpact on patient behaviours (</w:t>
            </w:r>
            <w:proofErr w:type="gramStart"/>
            <w:r w:rsidRPr="00ED705F">
              <w:t>e.g.</w:t>
            </w:r>
            <w:proofErr w:type="gramEnd"/>
            <w:r w:rsidRPr="00ED705F">
              <w:t xml:space="preserve"> </w:t>
            </w:r>
            <w:r>
              <w:t>h</w:t>
            </w:r>
            <w:r w:rsidRPr="00A36E0E">
              <w:t>ealth</w:t>
            </w:r>
            <w:r>
              <w:t>,</w:t>
            </w:r>
            <w:r w:rsidRPr="00A36E0E">
              <w:t xml:space="preserve"> diet and exercise)</w:t>
            </w:r>
          </w:p>
          <w:p w14:paraId="200E7034" w14:textId="6575DFD1" w:rsidR="0057525C" w:rsidRPr="00A14E73" w:rsidRDefault="0057525C" w:rsidP="00695B36">
            <w:pPr>
              <w:pStyle w:val="Tabletext"/>
              <w:numPr>
                <w:ilvl w:val="1"/>
                <w:numId w:val="22"/>
              </w:numPr>
              <w:jc w:val="left"/>
            </w:pPr>
            <w:r>
              <w:lastRenderedPageBreak/>
              <w:t>i</w:t>
            </w:r>
            <w:r w:rsidRPr="00735B1B">
              <w:t>mpact on first</w:t>
            </w:r>
            <w:r>
              <w:t>-</w:t>
            </w:r>
            <w:r w:rsidRPr="00735B1B">
              <w:t>degree family members (e.g. worry</w:t>
            </w:r>
            <w:r w:rsidRPr="00A36E0E">
              <w:t>, stress)</w:t>
            </w:r>
          </w:p>
          <w:p w14:paraId="64F33B41" w14:textId="77777777" w:rsidR="0057525C" w:rsidRPr="007E2CED" w:rsidRDefault="0057525C" w:rsidP="00695B36">
            <w:pPr>
              <w:pStyle w:val="Tabletext"/>
              <w:jc w:val="left"/>
            </w:pPr>
            <w:r w:rsidRPr="006653FC">
              <w:rPr>
                <w:u w:val="single"/>
              </w:rPr>
              <w:t>Healthcare resource use</w:t>
            </w:r>
          </w:p>
          <w:p w14:paraId="62350793" w14:textId="7D2C2EAF" w:rsidR="0057525C" w:rsidRDefault="0057525C" w:rsidP="00695B36">
            <w:pPr>
              <w:pStyle w:val="Tabletext"/>
              <w:numPr>
                <w:ilvl w:val="0"/>
                <w:numId w:val="22"/>
              </w:numPr>
              <w:jc w:val="left"/>
            </w:pPr>
            <w:r>
              <w:t xml:space="preserve">Costs associated with the intervention, including costs of appointments, blood test; cost of Lp(a) test processing </w:t>
            </w:r>
          </w:p>
          <w:p w14:paraId="44E24E02" w14:textId="1574BFD8" w:rsidR="002F4D60" w:rsidRPr="00283F19" w:rsidRDefault="002F4D60" w:rsidP="00695B36">
            <w:pPr>
              <w:pStyle w:val="Tabletext"/>
              <w:numPr>
                <w:ilvl w:val="0"/>
                <w:numId w:val="22"/>
              </w:numPr>
              <w:jc w:val="left"/>
            </w:pPr>
            <w:r>
              <w:t xml:space="preserve">Increased number of </w:t>
            </w:r>
            <w:r w:rsidR="004F7986">
              <w:t xml:space="preserve">individuals treated with a </w:t>
            </w:r>
            <w:r>
              <w:t xml:space="preserve">statin </w:t>
            </w:r>
          </w:p>
          <w:p w14:paraId="27707FE0" w14:textId="77777777" w:rsidR="0057525C" w:rsidRPr="00283F19" w:rsidRDefault="0057525C" w:rsidP="00695B36">
            <w:pPr>
              <w:pStyle w:val="Tabletext"/>
              <w:numPr>
                <w:ilvl w:val="0"/>
                <w:numId w:val="22"/>
              </w:numPr>
              <w:jc w:val="left"/>
            </w:pPr>
            <w:r>
              <w:t>Cost-effectiveness of Lp(a) testing</w:t>
            </w:r>
          </w:p>
          <w:p w14:paraId="21E67650" w14:textId="77777777" w:rsidR="0057525C" w:rsidRPr="00ED705F" w:rsidRDefault="0057525C" w:rsidP="00695B36">
            <w:pPr>
              <w:pStyle w:val="Tabletext"/>
              <w:numPr>
                <w:ilvl w:val="0"/>
                <w:numId w:val="22"/>
              </w:numPr>
              <w:jc w:val="left"/>
            </w:pPr>
            <w:r>
              <w:t>Total Australian Government healthcare costs</w:t>
            </w:r>
          </w:p>
        </w:tc>
      </w:tr>
      <w:tr w:rsidR="0057525C" w:rsidRPr="00BA0DB0" w14:paraId="0D08FAC0" w14:textId="77777777" w:rsidTr="190DBB85">
        <w:tc>
          <w:tcPr>
            <w:tcW w:w="1005" w:type="pct"/>
          </w:tcPr>
          <w:p w14:paraId="6F23DDEF" w14:textId="77777777" w:rsidR="0057525C" w:rsidRPr="00F77699" w:rsidRDefault="0057525C" w:rsidP="00695B36">
            <w:pPr>
              <w:pStyle w:val="Tabletext"/>
              <w:jc w:val="left"/>
              <w:rPr>
                <w:rFonts w:cs="Arial"/>
              </w:rPr>
            </w:pPr>
            <w:r w:rsidRPr="00F77699">
              <w:rPr>
                <w:rFonts w:cs="Arial"/>
              </w:rPr>
              <w:lastRenderedPageBreak/>
              <w:t>Assessment questions</w:t>
            </w:r>
          </w:p>
        </w:tc>
        <w:tc>
          <w:tcPr>
            <w:tcW w:w="3995" w:type="pct"/>
          </w:tcPr>
          <w:p w14:paraId="2D00A6BA" w14:textId="6E14C45C" w:rsidR="0057525C" w:rsidRPr="00F77699" w:rsidRDefault="0057525C" w:rsidP="00695B36">
            <w:pPr>
              <w:pStyle w:val="Tabletext"/>
              <w:jc w:val="left"/>
              <w:rPr>
                <w:color w:val="000000" w:themeColor="text1"/>
              </w:rPr>
            </w:pPr>
            <w:r w:rsidRPr="00F77699">
              <w:rPr>
                <w:color w:val="000000" w:themeColor="text1"/>
              </w:rPr>
              <w:t xml:space="preserve">What is the </w:t>
            </w:r>
            <w:r>
              <w:rPr>
                <w:color w:val="000000" w:themeColor="text1"/>
              </w:rPr>
              <w:t xml:space="preserve">comparative </w:t>
            </w:r>
            <w:r w:rsidRPr="00F77699">
              <w:rPr>
                <w:color w:val="000000" w:themeColor="text1"/>
              </w:rPr>
              <w:t>safety, effectiveness</w:t>
            </w:r>
            <w:r>
              <w:rPr>
                <w:color w:val="000000" w:themeColor="text1"/>
              </w:rPr>
              <w:t>,</w:t>
            </w:r>
            <w:r w:rsidRPr="00F77699">
              <w:rPr>
                <w:color w:val="000000" w:themeColor="text1"/>
              </w:rPr>
              <w:t xml:space="preserve"> cost-effectiveness</w:t>
            </w:r>
            <w:r>
              <w:rPr>
                <w:color w:val="000000" w:themeColor="text1"/>
              </w:rPr>
              <w:t xml:space="preserve"> and total costs</w:t>
            </w:r>
            <w:r w:rsidRPr="00F77699">
              <w:rPr>
                <w:color w:val="000000" w:themeColor="text1"/>
              </w:rPr>
              <w:t xml:space="preserve"> of the use of Lp(a) testing versus current standard of care in </w:t>
            </w:r>
            <w:r w:rsidR="00251C25">
              <w:rPr>
                <w:color w:val="000000" w:themeColor="text1"/>
              </w:rPr>
              <w:t>patients who have</w:t>
            </w:r>
            <w:r w:rsidRPr="00862A15">
              <w:t xml:space="preserve"> a first-degree relative with significantly elevated Lp(a) (&gt;200 nmol/L)</w:t>
            </w:r>
            <w:r w:rsidR="003262AD">
              <w:t>?</w:t>
            </w:r>
          </w:p>
        </w:tc>
      </w:tr>
    </w:tbl>
    <w:p w14:paraId="56E1A29B" w14:textId="1C7B8E88" w:rsidR="0057525C" w:rsidRPr="0063790F" w:rsidRDefault="0057525C" w:rsidP="00695B36">
      <w:pPr>
        <w:pStyle w:val="Tablenotes0"/>
        <w:jc w:val="left"/>
        <w:rPr>
          <w:sz w:val="18"/>
          <w:szCs w:val="18"/>
        </w:rPr>
      </w:pPr>
      <w:r w:rsidRPr="0063790F">
        <w:rPr>
          <w:b/>
          <w:sz w:val="18"/>
          <w:szCs w:val="18"/>
          <w:u w:val="single"/>
        </w:rPr>
        <w:t>Abbreviations</w:t>
      </w:r>
      <w:r w:rsidRPr="0063790F">
        <w:rPr>
          <w:sz w:val="18"/>
          <w:szCs w:val="18"/>
        </w:rPr>
        <w:br/>
      </w:r>
      <w:r w:rsidRPr="0063790F">
        <w:rPr>
          <w:b/>
          <w:sz w:val="18"/>
          <w:szCs w:val="18"/>
        </w:rPr>
        <w:t>ASCVD</w:t>
      </w:r>
      <w:r w:rsidRPr="0063790F">
        <w:rPr>
          <w:sz w:val="18"/>
          <w:szCs w:val="18"/>
        </w:rPr>
        <w:t xml:space="preserve"> </w:t>
      </w:r>
      <w:r w:rsidRPr="0063790F">
        <w:rPr>
          <w:b/>
          <w:sz w:val="18"/>
          <w:szCs w:val="18"/>
        </w:rPr>
        <w:t>=</w:t>
      </w:r>
      <w:r w:rsidRPr="0063790F">
        <w:rPr>
          <w:sz w:val="18"/>
          <w:szCs w:val="18"/>
        </w:rPr>
        <w:t xml:space="preserve"> atherosclerotic cardiovascular disease, </w:t>
      </w:r>
      <w:r w:rsidRPr="0063790F">
        <w:rPr>
          <w:b/>
          <w:sz w:val="18"/>
          <w:szCs w:val="18"/>
        </w:rPr>
        <w:t>CVD</w:t>
      </w:r>
      <w:r w:rsidRPr="0063790F">
        <w:rPr>
          <w:sz w:val="18"/>
          <w:szCs w:val="18"/>
        </w:rPr>
        <w:t xml:space="preserve"> </w:t>
      </w:r>
      <w:r w:rsidRPr="0063790F">
        <w:rPr>
          <w:b/>
          <w:sz w:val="18"/>
          <w:szCs w:val="18"/>
        </w:rPr>
        <w:t>=</w:t>
      </w:r>
      <w:r w:rsidRPr="0063790F">
        <w:rPr>
          <w:sz w:val="18"/>
          <w:szCs w:val="18"/>
        </w:rPr>
        <w:t xml:space="preserve"> cardiovascular disease, </w:t>
      </w:r>
      <w:r w:rsidRPr="0063790F">
        <w:rPr>
          <w:b/>
          <w:sz w:val="18"/>
          <w:szCs w:val="18"/>
        </w:rPr>
        <w:t>ESC</w:t>
      </w:r>
      <w:r w:rsidRPr="0063790F">
        <w:rPr>
          <w:sz w:val="18"/>
          <w:szCs w:val="18"/>
        </w:rPr>
        <w:t xml:space="preserve"> </w:t>
      </w:r>
      <w:r w:rsidRPr="0063790F">
        <w:rPr>
          <w:b/>
          <w:sz w:val="18"/>
          <w:szCs w:val="18"/>
        </w:rPr>
        <w:t>=</w:t>
      </w:r>
      <w:r w:rsidRPr="0063790F">
        <w:rPr>
          <w:sz w:val="18"/>
          <w:szCs w:val="18"/>
        </w:rPr>
        <w:t xml:space="preserve"> European Society of Cardiology, </w:t>
      </w:r>
      <w:r w:rsidRPr="0063790F">
        <w:rPr>
          <w:b/>
          <w:sz w:val="18"/>
          <w:szCs w:val="18"/>
        </w:rPr>
        <w:t>HDL</w:t>
      </w:r>
      <w:r w:rsidRPr="0063790F">
        <w:rPr>
          <w:sz w:val="18"/>
          <w:szCs w:val="18"/>
        </w:rPr>
        <w:t xml:space="preserve"> </w:t>
      </w:r>
      <w:r w:rsidRPr="0063790F">
        <w:rPr>
          <w:b/>
          <w:sz w:val="18"/>
          <w:szCs w:val="18"/>
        </w:rPr>
        <w:t>=</w:t>
      </w:r>
      <w:r w:rsidRPr="0063790F">
        <w:rPr>
          <w:sz w:val="18"/>
          <w:szCs w:val="18"/>
        </w:rPr>
        <w:t xml:space="preserve"> high</w:t>
      </w:r>
      <w:r w:rsidRPr="0063790F">
        <w:rPr>
          <w:rFonts w:ascii="Cambria Math" w:hAnsi="Cambria Math" w:cs="Cambria Math"/>
          <w:sz w:val="18"/>
          <w:szCs w:val="18"/>
        </w:rPr>
        <w:t>‑</w:t>
      </w:r>
      <w:r w:rsidRPr="0063790F">
        <w:rPr>
          <w:sz w:val="18"/>
          <w:szCs w:val="18"/>
        </w:rPr>
        <w:t xml:space="preserve">density lipoprotein, </w:t>
      </w:r>
      <w:r w:rsidRPr="0063790F">
        <w:rPr>
          <w:b/>
          <w:sz w:val="18"/>
          <w:szCs w:val="18"/>
        </w:rPr>
        <w:t>HRQoL</w:t>
      </w:r>
      <w:r w:rsidRPr="0063790F">
        <w:rPr>
          <w:sz w:val="18"/>
          <w:szCs w:val="18"/>
        </w:rPr>
        <w:t xml:space="preserve"> </w:t>
      </w:r>
      <w:r w:rsidRPr="0063790F">
        <w:rPr>
          <w:b/>
          <w:sz w:val="18"/>
          <w:szCs w:val="18"/>
        </w:rPr>
        <w:t>=</w:t>
      </w:r>
      <w:r w:rsidRPr="0063790F">
        <w:rPr>
          <w:sz w:val="18"/>
          <w:szCs w:val="18"/>
        </w:rPr>
        <w:t xml:space="preserve"> health-related quality of life, </w:t>
      </w:r>
      <w:r w:rsidRPr="0063790F">
        <w:rPr>
          <w:b/>
          <w:sz w:val="18"/>
          <w:szCs w:val="18"/>
        </w:rPr>
        <w:t>LDL-C</w:t>
      </w:r>
      <w:r w:rsidRPr="0063790F">
        <w:rPr>
          <w:sz w:val="18"/>
          <w:szCs w:val="18"/>
        </w:rPr>
        <w:t xml:space="preserve"> </w:t>
      </w:r>
      <w:r w:rsidRPr="0063790F">
        <w:rPr>
          <w:b/>
          <w:sz w:val="18"/>
          <w:szCs w:val="18"/>
        </w:rPr>
        <w:t>=</w:t>
      </w:r>
      <w:r w:rsidRPr="0063790F">
        <w:rPr>
          <w:sz w:val="18"/>
          <w:szCs w:val="18"/>
        </w:rPr>
        <w:t xml:space="preserve"> low-density lipoprotein cholesterol, </w:t>
      </w:r>
      <w:r w:rsidRPr="0063790F">
        <w:rPr>
          <w:b/>
          <w:sz w:val="18"/>
          <w:szCs w:val="18"/>
        </w:rPr>
        <w:t>Lp(a)</w:t>
      </w:r>
      <w:r w:rsidRPr="0063790F">
        <w:rPr>
          <w:sz w:val="18"/>
          <w:szCs w:val="18"/>
        </w:rPr>
        <w:t xml:space="preserve"> </w:t>
      </w:r>
      <w:r w:rsidRPr="0063790F">
        <w:rPr>
          <w:b/>
          <w:sz w:val="18"/>
          <w:szCs w:val="18"/>
        </w:rPr>
        <w:t>=</w:t>
      </w:r>
      <w:r w:rsidRPr="0063790F">
        <w:rPr>
          <w:sz w:val="18"/>
          <w:szCs w:val="18"/>
        </w:rPr>
        <w:t xml:space="preserve"> lipoprotein(a), </w:t>
      </w:r>
      <w:r w:rsidRPr="0063790F">
        <w:rPr>
          <w:b/>
          <w:sz w:val="18"/>
          <w:szCs w:val="18"/>
        </w:rPr>
        <w:t>PROCAM</w:t>
      </w:r>
      <w:r w:rsidRPr="0063790F">
        <w:rPr>
          <w:sz w:val="18"/>
          <w:szCs w:val="18"/>
        </w:rPr>
        <w:t xml:space="preserve"> </w:t>
      </w:r>
      <w:r w:rsidRPr="0063790F">
        <w:rPr>
          <w:b/>
          <w:sz w:val="18"/>
          <w:szCs w:val="18"/>
        </w:rPr>
        <w:t>=</w:t>
      </w:r>
      <w:r w:rsidRPr="0063790F">
        <w:rPr>
          <w:sz w:val="18"/>
          <w:szCs w:val="18"/>
        </w:rPr>
        <w:t xml:space="preserve"> Prospective Cardiovascular Münster Study, </w:t>
      </w:r>
      <w:r w:rsidRPr="0063790F">
        <w:rPr>
          <w:b/>
          <w:sz w:val="18"/>
          <w:szCs w:val="18"/>
        </w:rPr>
        <w:t>ROC</w:t>
      </w:r>
      <w:r w:rsidRPr="0063790F">
        <w:rPr>
          <w:sz w:val="18"/>
          <w:szCs w:val="18"/>
        </w:rPr>
        <w:t xml:space="preserve"> </w:t>
      </w:r>
      <w:r w:rsidRPr="0063790F">
        <w:rPr>
          <w:b/>
          <w:sz w:val="18"/>
          <w:szCs w:val="18"/>
        </w:rPr>
        <w:t>=</w:t>
      </w:r>
      <w:r w:rsidRPr="0063790F">
        <w:rPr>
          <w:sz w:val="18"/>
          <w:szCs w:val="18"/>
        </w:rPr>
        <w:t xml:space="preserve"> receiver operating characteristic </w:t>
      </w:r>
    </w:p>
    <w:p w14:paraId="10283A37" w14:textId="77777777" w:rsidR="004A2752" w:rsidRDefault="004A2752" w:rsidP="00695B36">
      <w:pPr>
        <w:pStyle w:val="Heading2"/>
        <w:jc w:val="left"/>
      </w:pPr>
      <w:r>
        <w:t>Purpose of application</w:t>
      </w:r>
    </w:p>
    <w:p w14:paraId="724E03C1" w14:textId="313F40AA" w:rsidR="004A2752" w:rsidRDefault="004A2752" w:rsidP="00695B36">
      <w:pPr>
        <w:spacing w:after="240"/>
        <w:jc w:val="left"/>
        <w:rPr>
          <w:iCs/>
        </w:rPr>
      </w:pPr>
      <w:r w:rsidRPr="009A3778">
        <w:rPr>
          <w:iCs/>
        </w:rPr>
        <w:t xml:space="preserve">An application </w:t>
      </w:r>
      <w:r w:rsidRPr="00095847">
        <w:rPr>
          <w:iCs/>
        </w:rPr>
        <w:t xml:space="preserve">requesting Medicare Benefits Schedule (MBS) listing of </w:t>
      </w:r>
      <w:r>
        <w:rPr>
          <w:iCs/>
        </w:rPr>
        <w:t>the use of l</w:t>
      </w:r>
      <w:r w:rsidRPr="00095847">
        <w:rPr>
          <w:iCs/>
        </w:rPr>
        <w:t xml:space="preserve">ipoprotein(a) </w:t>
      </w:r>
      <w:r>
        <w:rPr>
          <w:iCs/>
        </w:rPr>
        <w:t xml:space="preserve">[Lp(a)] </w:t>
      </w:r>
      <w:r w:rsidRPr="00095847">
        <w:rPr>
          <w:iCs/>
        </w:rPr>
        <w:t>testing as an independent predictor of cardiovascular disease</w:t>
      </w:r>
      <w:r>
        <w:rPr>
          <w:iCs/>
        </w:rPr>
        <w:t xml:space="preserve"> </w:t>
      </w:r>
      <w:r w:rsidRPr="00095847">
        <w:rPr>
          <w:iCs/>
        </w:rPr>
        <w:t>was</w:t>
      </w:r>
      <w:r w:rsidRPr="009A3778">
        <w:rPr>
          <w:iCs/>
        </w:rPr>
        <w:t xml:space="preserve"> received from </w:t>
      </w:r>
      <w:r>
        <w:rPr>
          <w:iCs/>
        </w:rPr>
        <w:t>t</w:t>
      </w:r>
      <w:r w:rsidRPr="009A3778">
        <w:rPr>
          <w:iCs/>
        </w:rPr>
        <w:t>he</w:t>
      </w:r>
      <w:r>
        <w:rPr>
          <w:iCs/>
        </w:rPr>
        <w:t xml:space="preserve"> Royal College of Pathologists of Australasia</w:t>
      </w:r>
      <w:r w:rsidRPr="009A3778">
        <w:rPr>
          <w:iCs/>
        </w:rPr>
        <w:t xml:space="preserve"> by the Department of Health.</w:t>
      </w:r>
    </w:p>
    <w:p w14:paraId="35F2F0A9" w14:textId="3AF08475" w:rsidR="004A2752" w:rsidRDefault="004A2752" w:rsidP="00695B36">
      <w:pPr>
        <w:spacing w:after="240"/>
        <w:jc w:val="left"/>
        <w:rPr>
          <w:iCs/>
        </w:rPr>
      </w:pPr>
      <w:r>
        <w:rPr>
          <w:iCs/>
        </w:rPr>
        <w:t xml:space="preserve">The rationale of this application is that Lp(a) </w:t>
      </w:r>
      <w:r w:rsidR="00B87232">
        <w:rPr>
          <w:iCs/>
        </w:rPr>
        <w:t>concentration</w:t>
      </w:r>
      <w:r>
        <w:rPr>
          <w:iCs/>
        </w:rPr>
        <w:t xml:space="preserve"> can identify patients at high risk of cardiovascular events</w:t>
      </w:r>
      <w:r w:rsidR="008E6BBF">
        <w:rPr>
          <w:iCs/>
        </w:rPr>
        <w:t xml:space="preserve"> (including onset of vascular disease and aortic stenosis)</w:t>
      </w:r>
      <w:r>
        <w:rPr>
          <w:iCs/>
        </w:rPr>
        <w:t xml:space="preserve"> earl</w:t>
      </w:r>
      <w:r w:rsidR="008E6BBF">
        <w:rPr>
          <w:iCs/>
        </w:rPr>
        <w:t>ier</w:t>
      </w:r>
      <w:r>
        <w:rPr>
          <w:iCs/>
        </w:rPr>
        <w:t xml:space="preserve"> and lead to intensification of lifestyle modification and pharmacotherapy. </w:t>
      </w:r>
    </w:p>
    <w:p w14:paraId="44074C73" w14:textId="77777777" w:rsidR="004A2752" w:rsidRPr="00FD4C65" w:rsidRDefault="004A2752" w:rsidP="00695B36">
      <w:pPr>
        <w:pStyle w:val="Heading2"/>
        <w:jc w:val="left"/>
      </w:pPr>
      <w:r w:rsidRPr="00FD4C65">
        <w:t xml:space="preserve">PICO criteria </w:t>
      </w:r>
    </w:p>
    <w:p w14:paraId="670CB570" w14:textId="77777777" w:rsidR="004A2752" w:rsidRPr="00713728" w:rsidRDefault="004A2752" w:rsidP="00695B36">
      <w:pPr>
        <w:pStyle w:val="Heading3"/>
        <w:jc w:val="left"/>
      </w:pPr>
      <w:bookmarkStart w:id="4" w:name="_Ref118473168"/>
      <w:r w:rsidRPr="00713728">
        <w:t>Population</w:t>
      </w:r>
      <w:bookmarkEnd w:id="4"/>
    </w:p>
    <w:p w14:paraId="6D996579" w14:textId="1D88963F" w:rsidR="004A2752" w:rsidRPr="00942427" w:rsidRDefault="004A2752" w:rsidP="00695B36">
      <w:pPr>
        <w:jc w:val="left"/>
        <w:rPr>
          <w:u w:val="single"/>
        </w:rPr>
      </w:pPr>
      <w:r w:rsidRPr="00942427">
        <w:rPr>
          <w:u w:val="single"/>
        </w:rPr>
        <w:t>Definition of the condition</w:t>
      </w:r>
    </w:p>
    <w:p w14:paraId="399E1E07" w14:textId="3C793BE2" w:rsidR="004A2752" w:rsidRPr="00D71EB0" w:rsidRDefault="004A2752" w:rsidP="00695B36">
      <w:pPr>
        <w:pStyle w:val="ListParagraph"/>
        <w:numPr>
          <w:ilvl w:val="0"/>
          <w:numId w:val="20"/>
        </w:numPr>
        <w:jc w:val="left"/>
        <w:rPr>
          <w:lang w:val="en-NZ"/>
        </w:rPr>
      </w:pPr>
      <w:r w:rsidRPr="00DA6E52">
        <w:rPr>
          <w:lang w:val="en-NZ"/>
        </w:rPr>
        <w:t>Cardiovascular disease (CVD)</w:t>
      </w:r>
      <w:r w:rsidR="00F20C95">
        <w:rPr>
          <w:lang w:val="en-NZ"/>
        </w:rPr>
        <w:t xml:space="preserve"> refers to conditions due to </w:t>
      </w:r>
      <w:r w:rsidR="00F20C95">
        <w:t>a</w:t>
      </w:r>
      <w:r w:rsidR="00F20C95" w:rsidRPr="00914FED">
        <w:t>therosclero</w:t>
      </w:r>
      <w:r w:rsidR="00F20C95">
        <w:t>tic changes affecting</w:t>
      </w:r>
      <w:r w:rsidR="00F20C95">
        <w:rPr>
          <w:lang w:val="en-NZ"/>
        </w:rPr>
        <w:t xml:space="preserve"> blood vessels</w:t>
      </w:r>
      <w:r w:rsidR="005D2DB5">
        <w:rPr>
          <w:lang w:val="en-NZ"/>
        </w:rPr>
        <w:t xml:space="preserve"> which can lead to stenosis</w:t>
      </w:r>
      <w:r w:rsidR="0081751F">
        <w:rPr>
          <w:lang w:val="en-NZ"/>
        </w:rPr>
        <w:t xml:space="preserve"> of the </w:t>
      </w:r>
      <w:r w:rsidR="00A45605">
        <w:rPr>
          <w:lang w:val="en-NZ"/>
        </w:rPr>
        <w:t xml:space="preserve">affected </w:t>
      </w:r>
      <w:r w:rsidR="0081751F">
        <w:rPr>
          <w:lang w:val="en-NZ"/>
        </w:rPr>
        <w:t>blood vessel</w:t>
      </w:r>
      <w:r w:rsidR="00A45605">
        <w:rPr>
          <w:lang w:val="en-NZ"/>
        </w:rPr>
        <w:t>s</w:t>
      </w:r>
      <w:r w:rsidR="00F20C95">
        <w:rPr>
          <w:lang w:val="en-NZ"/>
        </w:rPr>
        <w:t>.</w:t>
      </w:r>
      <w:r w:rsidR="0081751F">
        <w:rPr>
          <w:lang w:val="en-NZ"/>
        </w:rPr>
        <w:t xml:space="preserve"> </w:t>
      </w:r>
      <w:r w:rsidR="00B7785C">
        <w:rPr>
          <w:lang w:val="en-NZ"/>
        </w:rPr>
        <w:t>This application is limited to</w:t>
      </w:r>
      <w:r w:rsidR="00F547B0">
        <w:rPr>
          <w:lang w:val="en-NZ"/>
        </w:rPr>
        <w:t xml:space="preserve"> the following conditions:</w:t>
      </w:r>
      <w:r w:rsidR="00483ED3">
        <w:rPr>
          <w:lang w:val="en-NZ"/>
        </w:rPr>
        <w:t xml:space="preserve"> </w:t>
      </w:r>
      <w:r w:rsidRPr="00DA6E52">
        <w:rPr>
          <w:lang w:val="en-NZ"/>
        </w:rPr>
        <w:t xml:space="preserve"> </w:t>
      </w:r>
      <w:r w:rsidRPr="00D71EB0">
        <w:rPr>
          <w:lang w:val="en-NZ"/>
        </w:rPr>
        <w:t xml:space="preserve">coronary heart disease – </w:t>
      </w:r>
      <w:r w:rsidR="00D71EB0">
        <w:rPr>
          <w:lang w:val="en-NZ"/>
        </w:rPr>
        <w:t>atheroscle</w:t>
      </w:r>
      <w:r w:rsidR="00334197">
        <w:rPr>
          <w:lang w:val="en-NZ"/>
        </w:rPr>
        <w:t>rotic</w:t>
      </w:r>
      <w:r w:rsidR="00D71EB0" w:rsidRPr="00D71EB0">
        <w:rPr>
          <w:lang w:val="en-NZ"/>
        </w:rPr>
        <w:t xml:space="preserve"> </w:t>
      </w:r>
      <w:r w:rsidRPr="00D71EB0">
        <w:rPr>
          <w:lang w:val="en-NZ"/>
        </w:rPr>
        <w:t>disease of the blood vessels supplying the heart muscle</w:t>
      </w:r>
      <w:r w:rsidR="005D2DB5" w:rsidRPr="00D71EB0">
        <w:rPr>
          <w:lang w:val="en-NZ"/>
        </w:rPr>
        <w:t xml:space="preserve"> </w:t>
      </w:r>
    </w:p>
    <w:p w14:paraId="01F2CA83" w14:textId="11FB2346" w:rsidR="004A2752" w:rsidRPr="00942427" w:rsidRDefault="004A2752" w:rsidP="00695B36">
      <w:pPr>
        <w:pStyle w:val="ListParagraph"/>
        <w:numPr>
          <w:ilvl w:val="0"/>
          <w:numId w:val="12"/>
        </w:numPr>
        <w:jc w:val="left"/>
        <w:rPr>
          <w:lang w:val="en-NZ"/>
        </w:rPr>
      </w:pPr>
      <w:r w:rsidRPr="00942427">
        <w:rPr>
          <w:lang w:val="en-NZ"/>
        </w:rPr>
        <w:t xml:space="preserve">cerebrovascular disease – </w:t>
      </w:r>
      <w:r w:rsidR="00FB13AB">
        <w:rPr>
          <w:lang w:val="en-NZ"/>
        </w:rPr>
        <w:t>atherosclerotic</w:t>
      </w:r>
      <w:r w:rsidR="00FB13AB" w:rsidRPr="00D71EB0">
        <w:rPr>
          <w:lang w:val="en-NZ"/>
        </w:rPr>
        <w:t xml:space="preserve"> </w:t>
      </w:r>
      <w:r w:rsidRPr="00942427">
        <w:rPr>
          <w:lang w:val="en-NZ"/>
        </w:rPr>
        <w:t>disease of the blood vessels supplying the brain</w:t>
      </w:r>
    </w:p>
    <w:p w14:paraId="5A4FC081" w14:textId="6A84E38F" w:rsidR="004A2752" w:rsidRDefault="004A2752" w:rsidP="00695B36">
      <w:pPr>
        <w:pStyle w:val="ListParagraph"/>
        <w:numPr>
          <w:ilvl w:val="0"/>
          <w:numId w:val="12"/>
        </w:numPr>
        <w:jc w:val="left"/>
        <w:rPr>
          <w:lang w:val="en-NZ"/>
        </w:rPr>
      </w:pPr>
      <w:r w:rsidRPr="00942427">
        <w:rPr>
          <w:lang w:val="en-NZ"/>
        </w:rPr>
        <w:t xml:space="preserve">peripheral arterial disease – </w:t>
      </w:r>
      <w:r w:rsidR="00FB13AB">
        <w:rPr>
          <w:lang w:val="en-NZ"/>
        </w:rPr>
        <w:t>atherosclerotic</w:t>
      </w:r>
      <w:r w:rsidR="00FB13AB" w:rsidRPr="00D71EB0">
        <w:rPr>
          <w:lang w:val="en-NZ"/>
        </w:rPr>
        <w:t xml:space="preserve"> </w:t>
      </w:r>
      <w:r w:rsidRPr="00942427">
        <w:rPr>
          <w:lang w:val="en-NZ"/>
        </w:rPr>
        <w:t>disease of blood vessels supplying the arms and legs</w:t>
      </w:r>
    </w:p>
    <w:p w14:paraId="576E06CA" w14:textId="476B076F" w:rsidR="00E713A3" w:rsidRPr="00942427" w:rsidRDefault="00E713A3" w:rsidP="00695B36">
      <w:pPr>
        <w:pStyle w:val="ListParagraph"/>
        <w:numPr>
          <w:ilvl w:val="0"/>
          <w:numId w:val="12"/>
        </w:numPr>
        <w:jc w:val="left"/>
        <w:rPr>
          <w:lang w:val="en-NZ"/>
        </w:rPr>
      </w:pPr>
      <w:r w:rsidRPr="190DBB85">
        <w:rPr>
          <w:lang w:val="en-NZ"/>
        </w:rPr>
        <w:t xml:space="preserve">aortic stenosis- </w:t>
      </w:r>
      <w:r w:rsidR="00766750" w:rsidRPr="190DBB85">
        <w:rPr>
          <w:lang w:val="en-NZ"/>
        </w:rPr>
        <w:t xml:space="preserve">thickening </w:t>
      </w:r>
      <w:r w:rsidR="00621382" w:rsidRPr="190DBB85">
        <w:rPr>
          <w:lang w:val="en-NZ"/>
        </w:rPr>
        <w:t xml:space="preserve">and calcification of </w:t>
      </w:r>
      <w:r w:rsidR="00790E2C" w:rsidRPr="190DBB85">
        <w:rPr>
          <w:lang w:val="en-NZ"/>
        </w:rPr>
        <w:t xml:space="preserve">the aortic </w:t>
      </w:r>
      <w:r w:rsidR="0030486C" w:rsidRPr="190DBB85">
        <w:rPr>
          <w:lang w:val="en-NZ"/>
        </w:rPr>
        <w:t>valve</w:t>
      </w:r>
    </w:p>
    <w:p w14:paraId="724B9780" w14:textId="14196141" w:rsidR="004A2752" w:rsidRDefault="00B46ADB" w:rsidP="00695B36">
      <w:pPr>
        <w:jc w:val="left"/>
      </w:pPr>
      <w:r>
        <w:t xml:space="preserve">This application </w:t>
      </w:r>
      <w:r w:rsidR="00CF4EC1">
        <w:t>includes populations that have been assessed for CVD risk using common risk calculators, however</w:t>
      </w:r>
      <w:r w:rsidR="003A6E42">
        <w:t>,</w:t>
      </w:r>
      <w:r w:rsidR="00CF4EC1">
        <w:t xml:space="preserve"> </w:t>
      </w:r>
      <w:r w:rsidR="00E82B70">
        <w:t>these are</w:t>
      </w:r>
      <w:r w:rsidR="003A6E42">
        <w:t xml:space="preserve"> primarily </w:t>
      </w:r>
      <w:r w:rsidR="005C18F6">
        <w:t>related to managing the risk of coronary heart disease</w:t>
      </w:r>
      <w:r w:rsidR="003A6E42">
        <w:t>.</w:t>
      </w:r>
      <w:r w:rsidR="00D31F25">
        <w:t xml:space="preserve"> Please see below for more information on the</w:t>
      </w:r>
      <w:r w:rsidR="00015687">
        <w:t xml:space="preserve"> common risk calculators.</w:t>
      </w:r>
    </w:p>
    <w:p w14:paraId="59000834" w14:textId="27062CCD" w:rsidR="004A2752" w:rsidRPr="00942427" w:rsidRDefault="004A2752" w:rsidP="00695B36">
      <w:pPr>
        <w:jc w:val="left"/>
        <w:rPr>
          <w:u w:val="single"/>
        </w:rPr>
      </w:pPr>
      <w:r w:rsidRPr="00942427">
        <w:rPr>
          <w:u w:val="single"/>
        </w:rPr>
        <w:t>Disease burden</w:t>
      </w:r>
    </w:p>
    <w:p w14:paraId="714792B9" w14:textId="49C26E72" w:rsidR="004A2752" w:rsidRDefault="004A2752" w:rsidP="00695B36">
      <w:pPr>
        <w:jc w:val="left"/>
      </w:pPr>
      <w:r w:rsidRPr="00115CE7">
        <w:t>CVD is a significant cause of morbidity and mortality. In 2018–</w:t>
      </w:r>
      <w:r>
        <w:t>20</w:t>
      </w:r>
      <w:r w:rsidRPr="00115CE7">
        <w:t>19</w:t>
      </w:r>
      <w:r>
        <w:t>,</w:t>
      </w:r>
      <w:r w:rsidRPr="00115CE7">
        <w:t xml:space="preserve"> CVD accounted for 5.2%</w:t>
      </w:r>
      <w:r>
        <w:t xml:space="preserve"> (n = </w:t>
      </w:r>
      <w:r w:rsidRPr="00115CE7">
        <w:t>591,000</w:t>
      </w:r>
      <w:r>
        <w:t>)</w:t>
      </w:r>
      <w:r w:rsidRPr="00115CE7">
        <w:t xml:space="preserve"> of all hospitalisations in Australia, the majority </w:t>
      </w:r>
      <w:r>
        <w:t xml:space="preserve">(90%) </w:t>
      </w:r>
      <w:r w:rsidRPr="00115CE7">
        <w:t>of which were for acute care</w:t>
      </w:r>
      <w:r w:rsidR="0047716A">
        <w:t xml:space="preserve"> </w:t>
      </w:r>
      <w:r>
        <w:fldChar w:fldCharType="begin"/>
      </w:r>
      <w:r>
        <w:instrText xml:space="preserve"> ADDIN EN.CITE &lt;EndNote&gt;&lt;Cite&gt;&lt;Author&gt;AIHW&lt;/Author&gt;&lt;Year&gt;2021&lt;/Year&gt;&lt;RecNum&gt;6&lt;/RecNum&gt;&lt;DisplayText&gt;(AIHW 2021b)&lt;/DisplayText&gt;&lt;record&gt;&lt;rec-number&gt;6&lt;/rec-number&gt;&lt;foreign-keys&gt;&lt;key app="EN" db-id="p5dp00za8apvt8e25vqv22rzzpwt5tvtsr0r" timestamp="1667176652"&gt;6&lt;/key&gt;&lt;/foreign-keys&gt;&lt;ref-type name="Web Page"&gt;12&lt;/ref-type&gt;&lt;contributors&gt;&lt;authors&gt;&lt;author&gt;AIHW&lt;/author&gt;&lt;/authors&gt;&lt;/contributors&gt;&lt;titles&gt;&lt;title&gt;Heart, stroke and vascular diseases overview&lt;/title&gt;&lt;/titles&gt;&lt;dates&gt;&lt;year&gt;2021&lt;/year&gt;&lt;/dates&gt;&lt;urls&gt;&lt;related-urls&gt;&lt;url&gt;https://www.aihw.gov.au/reports-data/health-conditions-disability-deaths/heart-stroke-vascular-diseases/overview&lt;/url&gt;&lt;/related-urls&gt;&lt;/urls&gt;&lt;/record&gt;&lt;/Cite&gt;&lt;/EndNote&gt;</w:instrText>
      </w:r>
      <w:r>
        <w:fldChar w:fldCharType="separate"/>
      </w:r>
      <w:r>
        <w:rPr>
          <w:noProof/>
        </w:rPr>
        <w:t>(AIHW 2021b)</w:t>
      </w:r>
      <w:r>
        <w:fldChar w:fldCharType="end"/>
      </w:r>
      <w:r w:rsidR="0047716A">
        <w:t>.</w:t>
      </w:r>
      <w:r w:rsidRPr="00115CE7">
        <w:t xml:space="preserve"> Of these, 27% had a principal diagnosis of coronary heart disease followed by atrial fibrillation (12%), heart failure and cardiomyopathy (12%) and stroke (11%)</w:t>
      </w:r>
      <w:r>
        <w:t xml:space="preserve"> </w:t>
      </w:r>
      <w:r>
        <w:fldChar w:fldCharType="begin"/>
      </w:r>
      <w:r>
        <w:instrText xml:space="preserve"> ADDIN EN.CITE &lt;EndNote&gt;&lt;Cite&gt;&lt;Author&gt;AIHW&lt;/Author&gt;&lt;Year&gt;2021&lt;/Year&gt;&lt;RecNum&gt;6&lt;/RecNum&gt;&lt;DisplayText&gt;(AIHW 2021b)&lt;/DisplayText&gt;&lt;record&gt;&lt;rec-number&gt;6&lt;/rec-number&gt;&lt;foreign-keys&gt;&lt;key app="EN" db-id="p5dp00za8apvt8e25vqv22rzzpwt5tvtsr0r" timestamp="1667176652"&gt;6&lt;/key&gt;&lt;/foreign-keys&gt;&lt;ref-type name="Web Page"&gt;12&lt;/ref-type&gt;&lt;contributors&gt;&lt;authors&gt;&lt;author&gt;AIHW&lt;/author&gt;&lt;/authors&gt;&lt;/contributors&gt;&lt;titles&gt;&lt;title&gt;Heart, stroke and vascular diseases overview&lt;/title&gt;&lt;/titles&gt;&lt;dates&gt;&lt;year&gt;2021&lt;/year&gt;&lt;/dates&gt;&lt;urls&gt;&lt;related-urls&gt;&lt;url&gt;https://www.aihw.gov.au/reports-data/health-conditions-disability-deaths/heart-stroke-vascular-diseases/overview&lt;/url&gt;&lt;/related-urls&gt;&lt;/urls&gt;&lt;/record&gt;&lt;/Cite&gt;&lt;/EndNote&gt;</w:instrText>
      </w:r>
      <w:r>
        <w:fldChar w:fldCharType="separate"/>
      </w:r>
      <w:r>
        <w:rPr>
          <w:noProof/>
        </w:rPr>
        <w:t>(AIHW 2021b)</w:t>
      </w:r>
      <w:r>
        <w:fldChar w:fldCharType="end"/>
      </w:r>
      <w:r>
        <w:t>.</w:t>
      </w:r>
      <w:r w:rsidRPr="00115CE7">
        <w:t xml:space="preserve"> Hospitalisation rates for </w:t>
      </w:r>
      <w:r>
        <w:t>men</w:t>
      </w:r>
      <w:r w:rsidRPr="00115CE7">
        <w:t xml:space="preserve"> with C</w:t>
      </w:r>
      <w:r>
        <w:t>VD</w:t>
      </w:r>
      <w:r w:rsidRPr="00115CE7">
        <w:t xml:space="preserve"> are more than twice that of </w:t>
      </w:r>
      <w:r>
        <w:t>women, with hospitalisation</w:t>
      </w:r>
      <w:r w:rsidRPr="00702013">
        <w:t xml:space="preserve"> </w:t>
      </w:r>
      <w:r w:rsidRPr="00115CE7">
        <w:t>rates and mortality from CVD increas</w:t>
      </w:r>
      <w:r>
        <w:t xml:space="preserve">ing </w:t>
      </w:r>
      <w:r w:rsidRPr="00115CE7">
        <w:t xml:space="preserve">with age </w:t>
      </w:r>
      <w:r w:rsidRPr="00115CE7">
        <w:lastRenderedPageBreak/>
        <w:t>(</w:t>
      </w:r>
      <w:r w:rsidR="00D87CBA">
        <w:fldChar w:fldCharType="begin"/>
      </w:r>
      <w:r w:rsidR="00D87CBA">
        <w:instrText xml:space="preserve"> REF _Ref118879742 \h </w:instrText>
      </w:r>
      <w:r w:rsidR="00695B36">
        <w:instrText xml:space="preserve"> \* MERGEFORMAT </w:instrText>
      </w:r>
      <w:r w:rsidR="00D87CBA">
        <w:fldChar w:fldCharType="separate"/>
      </w:r>
      <w:r w:rsidR="00D87CBA">
        <w:t xml:space="preserve">Figure </w:t>
      </w:r>
      <w:r w:rsidR="00D87CBA">
        <w:rPr>
          <w:noProof/>
        </w:rPr>
        <w:t>1</w:t>
      </w:r>
      <w:r w:rsidR="00D87CBA">
        <w:fldChar w:fldCharType="end"/>
      </w:r>
      <w:r w:rsidRPr="00115CE7">
        <w:fldChar w:fldCharType="begin"/>
      </w:r>
      <w:r w:rsidRPr="00115CE7">
        <w:instrText xml:space="preserve"> REF _Ref89095831 \h </w:instrText>
      </w:r>
      <w:r>
        <w:instrText xml:space="preserve"> \* MERGEFORMAT </w:instrText>
      </w:r>
      <w:r w:rsidRPr="00115CE7">
        <w:fldChar w:fldCharType="end"/>
      </w:r>
      <w:r w:rsidRPr="00115CE7">
        <w:t>)</w:t>
      </w:r>
      <w:r>
        <w:t xml:space="preserve"> </w:t>
      </w:r>
      <w:r>
        <w:fldChar w:fldCharType="begin"/>
      </w:r>
      <w:r>
        <w:instrText xml:space="preserve"> ADDIN EN.CITE &lt;EndNote&gt;&lt;Cite&gt;&lt;Author&gt;AIHW&lt;/Author&gt;&lt;Year&gt;2021&lt;/Year&gt;&lt;RecNum&gt;3&lt;/RecNum&gt;&lt;DisplayText&gt;(AIHW 2021a)&lt;/DisplayText&gt;&lt;record&gt;&lt;rec-number&gt;3&lt;/rec-number&gt;&lt;foreign-keys&gt;&lt;key app="EN" db-id="p5dp00za8apvt8e25vqv22rzzpwt5tvtsr0r" timestamp="1667175003"&gt;3&lt;/key&gt;&lt;/foreign-keys&gt;&lt;ref-type name="Web Page"&gt;12&lt;/ref-type&gt;&lt;contributors&gt;&lt;authors&gt;&lt;author&gt;AIHW,&lt;/author&gt;&lt;/authors&gt;&lt;/contributors&gt;&lt;titles&gt;&lt;title&gt;Heart, stroke and vascular disease - Australian facts&lt;/title&gt;&lt;secondary-title&gt;Cardiovascular disease hospitalisations in Australia 2018-19&lt;/secondary-title&gt;&lt;/titles&gt;&lt;dates&gt;&lt;year&gt;2021&lt;/year&gt;&lt;/dates&gt;&lt;urls&gt;&lt;related-urls&gt;&lt;url&gt;https://www.aihw.gov.au/reports/heart-stroke-vascular-diseases/hsvd-facts/contents/explore-the-data &lt;/url&gt;&lt;/related-urls&gt;&lt;/urls&gt;&lt;/record&gt;&lt;/Cite&gt;&lt;/EndNote&gt;</w:instrText>
      </w:r>
      <w:r>
        <w:fldChar w:fldCharType="separate"/>
      </w:r>
      <w:r>
        <w:rPr>
          <w:noProof/>
        </w:rPr>
        <w:t>(AIHW 2021a)</w:t>
      </w:r>
      <w:r>
        <w:fldChar w:fldCharType="end"/>
      </w:r>
      <w:r>
        <w:t xml:space="preserve">. </w:t>
      </w:r>
      <w:r w:rsidRPr="00115CE7">
        <w:t>Of concern is the rate of hospitalisation among Indigenous Australians, which is 1.7 times higher than that of non-Indigenous Australians (3,300 and 1,900 per 100,000 population, respectively)</w:t>
      </w:r>
      <w:r>
        <w:t xml:space="preserve"> </w:t>
      </w:r>
      <w:r>
        <w:fldChar w:fldCharType="begin"/>
      </w:r>
      <w:r>
        <w:instrText xml:space="preserve"> ADDIN EN.CITE &lt;EndNote&gt;&lt;Cite&gt;&lt;Author&gt;National Vascular Disease Prevention Alliance&lt;/Author&gt;&lt;Year&gt;2012&lt;/Year&gt;&lt;RecNum&gt;1&lt;/RecNum&gt;&lt;DisplayText&gt;(National Vascular Disease Prevention Alliance 2012)&lt;/DisplayText&gt;&lt;record&gt;&lt;rec-number&gt;1&lt;/rec-number&gt;&lt;foreign-keys&gt;&lt;key app="EN" db-id="p5dp00za8apvt8e25vqv22rzzpwt5tvtsr0r" timestamp="1667173932"&gt;1&lt;/key&gt;&lt;/foreign-keys&gt;&lt;ref-type name="Report"&gt;27&lt;/ref-type&gt;&lt;contributors&gt;&lt;authors&gt;&lt;author&gt;National Vascular Disease Prevention Alliance,&lt;/author&gt;&lt;/authors&gt;&lt;/contributors&gt;&lt;titles&gt;&lt;title&gt;Guidelines for the management of absolute cardiovascular disease risk&lt;/title&gt;&lt;/titles&gt;&lt;dates&gt;&lt;year&gt;2012&lt;/year&gt;&lt;/dates&gt;&lt;urls&gt;&lt;related-urls&gt;&lt;url&gt;https://www.heartfoundation.org.au/getmedia/4342a70f-4487-496e-bbb0-dae33a47fcb2/Absolute-CVD-Risk-Full-Guidelines_2.pdf&lt;/url&gt;&lt;/related-urls&gt;&lt;/urls&gt;&lt;/record&gt;&lt;/Cite&gt;&lt;/EndNote&gt;</w:instrText>
      </w:r>
      <w:r>
        <w:fldChar w:fldCharType="separate"/>
      </w:r>
      <w:r>
        <w:rPr>
          <w:noProof/>
        </w:rPr>
        <w:t>(National Vascular Disease Prevention Alliance 2012)</w:t>
      </w:r>
      <w:r>
        <w:fldChar w:fldCharType="end"/>
      </w:r>
      <w:r>
        <w:t>.</w:t>
      </w:r>
      <w:r w:rsidRPr="00115CE7">
        <w:t xml:space="preserve"> </w:t>
      </w:r>
    </w:p>
    <w:p w14:paraId="61D4A942" w14:textId="245AE34C" w:rsidR="004A2752" w:rsidRDefault="004A2752" w:rsidP="00695B36">
      <w:pPr>
        <w:pStyle w:val="Caption"/>
        <w:spacing w:before="240" w:after="240"/>
        <w:jc w:val="left"/>
      </w:pPr>
      <w:bookmarkStart w:id="5" w:name="_Ref118879742"/>
      <w:r>
        <w:t xml:space="preserve">Figure </w:t>
      </w:r>
      <w:r>
        <w:fldChar w:fldCharType="begin"/>
      </w:r>
      <w:r>
        <w:instrText xml:space="preserve"> SEQ Figure \* ARABIC </w:instrText>
      </w:r>
      <w:r>
        <w:fldChar w:fldCharType="separate"/>
      </w:r>
      <w:r w:rsidR="00F66CE7">
        <w:rPr>
          <w:noProof/>
        </w:rPr>
        <w:t>1</w:t>
      </w:r>
      <w:r>
        <w:fldChar w:fldCharType="end"/>
      </w:r>
      <w:bookmarkEnd w:id="1"/>
      <w:bookmarkEnd w:id="5"/>
      <w:r>
        <w:tab/>
        <w:t>Number of hospitalisations (A) and deaths (B) per 100,000 due to</w:t>
      </w:r>
      <w:r w:rsidRPr="008E1C9C">
        <w:t xml:space="preserve"> cardiovascular disease </w:t>
      </w:r>
      <w:r>
        <w:t>in Australia</w:t>
      </w:r>
      <w:r w:rsidRPr="008E1C9C">
        <w:t xml:space="preserve"> </w:t>
      </w:r>
      <w:r w:rsidR="006919BD">
        <w:tab/>
      </w:r>
      <w:r w:rsidRPr="008E1C9C">
        <w:t>(principal diagnosis), by sex, 2018–</w:t>
      </w:r>
      <w:r>
        <w:t>20</w:t>
      </w:r>
      <w:r w:rsidRPr="008E1C9C">
        <w:t>19</w:t>
      </w:r>
      <w:r>
        <w:t xml:space="preserve"> </w:t>
      </w:r>
      <w:r>
        <w:fldChar w:fldCharType="begin"/>
      </w:r>
      <w:r>
        <w:instrText xml:space="preserve"> ADDIN EN.CITE &lt;EndNote&gt;&lt;Cite&gt;&lt;Author&gt;AIHW&lt;/Author&gt;&lt;Year&gt;2021&lt;/Year&gt;&lt;RecNum&gt;3&lt;/RecNum&gt;&lt;DisplayText&gt;(AIHW 2021a)&lt;/DisplayText&gt;&lt;record&gt;&lt;rec-number&gt;3&lt;/rec-number&gt;&lt;foreign-keys&gt;&lt;key app="EN" db-id="p5dp00za8apvt8e25vqv22rzzpwt5tvtsr0r" timestamp="1667175003"&gt;3&lt;/key&gt;&lt;/foreign-keys&gt;&lt;ref-type name="Web Page"&gt;12&lt;/ref-type&gt;&lt;contributors&gt;&lt;authors&gt;&lt;author&gt;AIHW,&lt;/author&gt;&lt;/authors&gt;&lt;/contributors&gt;&lt;titles&gt;&lt;title&gt;Heart, stroke and vascular disease - Australian facts&lt;/title&gt;&lt;secondary-title&gt;Cardiovascular disease hospitalisations in Australia 2018-19&lt;/secondary-title&gt;&lt;/titles&gt;&lt;dates&gt;&lt;year&gt;2021&lt;/year&gt;&lt;/dates&gt;&lt;urls&gt;&lt;related-urls&gt;&lt;url&gt;https://www.aihw.gov.au/reports/heart-stroke-vascular-diseases/hsvd-facts/contents/explore-the-data &lt;/url&gt;&lt;/related-urls&gt;&lt;/urls&gt;&lt;/record&gt;&lt;/Cite&gt;&lt;/EndNote&gt;</w:instrText>
      </w:r>
      <w:r>
        <w:fldChar w:fldCharType="separate"/>
      </w:r>
      <w:r>
        <w:rPr>
          <w:noProof/>
        </w:rPr>
        <w:t>(AIHW 2021a)</w:t>
      </w:r>
      <w:r>
        <w:fldChar w:fldCharType="end"/>
      </w:r>
    </w:p>
    <w:p w14:paraId="366E321A" w14:textId="77777777" w:rsidR="004A2752" w:rsidRDefault="004A2752" w:rsidP="00695B36">
      <w:pPr>
        <w:spacing w:before="240"/>
        <w:ind w:left="425"/>
        <w:jc w:val="left"/>
        <w:rPr>
          <w:noProof/>
          <w:lang w:eastAsia="en-AU"/>
        </w:rPr>
      </w:pPr>
      <w:r>
        <w:rPr>
          <w:noProof/>
          <w:szCs w:val="20"/>
          <w:lang w:eastAsia="en-AU"/>
        </w:rPr>
        <mc:AlternateContent>
          <mc:Choice Requires="wps">
            <w:drawing>
              <wp:anchor distT="0" distB="0" distL="114300" distR="114300" simplePos="0" relativeHeight="251658242" behindDoc="0" locked="0" layoutInCell="1" allowOverlap="1" wp14:anchorId="72EB205A" wp14:editId="018BDBFC">
                <wp:simplePos x="0" y="0"/>
                <wp:positionH relativeFrom="column">
                  <wp:posOffset>2247900</wp:posOffset>
                </wp:positionH>
                <wp:positionV relativeFrom="paragraph">
                  <wp:posOffset>2309495</wp:posOffset>
                </wp:positionV>
                <wp:extent cx="1657350" cy="352425"/>
                <wp:effectExtent l="0" t="0" r="0" b="0"/>
                <wp:wrapNone/>
                <wp:docPr id="9" name="Text Box 9"/>
                <wp:cNvGraphicFramePr/>
                <a:graphic xmlns:a="http://schemas.openxmlformats.org/drawingml/2006/main">
                  <a:graphicData uri="http://schemas.microsoft.com/office/word/2010/wordprocessingShape">
                    <wps:wsp>
                      <wps:cNvSpPr txBox="1"/>
                      <wps:spPr>
                        <a:xfrm>
                          <a:off x="0" y="0"/>
                          <a:ext cx="1657350" cy="352425"/>
                        </a:xfrm>
                        <a:prstGeom prst="rect">
                          <a:avLst/>
                        </a:prstGeom>
                        <a:noFill/>
                        <a:ln w="6350">
                          <a:noFill/>
                        </a:ln>
                      </wps:spPr>
                      <wps:txbx>
                        <w:txbxContent>
                          <w:p w14:paraId="1247C1D0" w14:textId="77777777" w:rsidR="004A2752" w:rsidRDefault="004A2752" w:rsidP="004A2752">
                            <w:r w:rsidRPr="006471B0">
                              <w:rPr>
                                <w:noProof/>
                                <w:szCs w:val="20"/>
                                <w:lang w:eastAsia="en-AU"/>
                              </w:rPr>
                              <w:drawing>
                                <wp:inline distT="0" distB="0" distL="0" distR="0" wp14:anchorId="53B4A8B9" wp14:editId="6B91BE24">
                                  <wp:extent cx="1410970" cy="176371"/>
                                  <wp:effectExtent l="0" t="0" r="0" b="0"/>
                                  <wp:docPr id="7" name="Picture 7" descr="Figure 1 Number of hospitalisations (A) and deaths (B) per 100,000 due to cardiovascular disease in Australia  (principal diagnosis), by sex, 2018–2019 (AIHW 20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 Number of hospitalisations (A) and deaths (B) per 100,000 due to cardiovascular disease in Australia  (principal diagnosis), by sex, 2018–2019 (AIHW 2021a)"/>
                                          <pic:cNvPicPr/>
                                        </pic:nvPicPr>
                                        <pic:blipFill>
                                          <a:blip r:embed="rId8"/>
                                          <a:stretch>
                                            <a:fillRect/>
                                          </a:stretch>
                                        </pic:blipFill>
                                        <pic:spPr>
                                          <a:xfrm>
                                            <a:off x="0" y="0"/>
                                            <a:ext cx="1410970" cy="1763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EB205A" id="_x0000_t202" coordsize="21600,21600" o:spt="202" path="m,l,21600r21600,l21600,xe">
                <v:stroke joinstyle="miter"/>
                <v:path gradientshapeok="t" o:connecttype="rect"/>
              </v:shapetype>
              <v:shape id="Text Box 9" o:spid="_x0000_s1026" type="#_x0000_t202" style="position:absolute;left:0;text-align:left;margin-left:177pt;margin-top:181.85pt;width:130.5pt;height:27.7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" filled="f" stroked="f" strokeweight=".5pt">
                <v:textbox>
                  <w:txbxContent>
                    <w:p w14:paraId="1247C1D0" w14:textId="77777777" w:rsidR="004A2752" w:rsidRDefault="004A2752" w:rsidP="004A2752">
                      <w:r w:rsidRPr="006471B0">
                        <w:rPr>
                          <w:noProof/>
                          <w:szCs w:val="20"/>
                          <w:lang w:eastAsia="en-AU"/>
                        </w:rPr>
                        <w:drawing>
                          <wp:inline distT="0" distB="0" distL="0" distR="0" wp14:anchorId="53B4A8B9" wp14:editId="6B91BE24">
                            <wp:extent cx="1410970" cy="176371"/>
                            <wp:effectExtent l="0" t="0" r="0" b="0"/>
                            <wp:docPr id="7" name="Picture 7" descr="Figure 1 Number of hospitalisations (A) and deaths (B) per 100,000 due to cardiovascular disease in Australia  (principal diagnosis), by sex, 2018–2019 (AIHW 20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 Number of hospitalisations (A) and deaths (B) per 100,000 due to cardiovascular disease in Australia  (principal diagnosis), by sex, 2018–2019 (AIHW 2021a)"/>
                                    <pic:cNvPicPr/>
                                  </pic:nvPicPr>
                                  <pic:blipFill>
                                    <a:blip r:embed="rId9"/>
                                    <a:stretch>
                                      <a:fillRect/>
                                    </a:stretch>
                                  </pic:blipFill>
                                  <pic:spPr>
                                    <a:xfrm>
                                      <a:off x="0" y="0"/>
                                      <a:ext cx="1410970" cy="176371"/>
                                    </a:xfrm>
                                    <a:prstGeom prst="rect">
                                      <a:avLst/>
                                    </a:prstGeom>
                                  </pic:spPr>
                                </pic:pic>
                              </a:graphicData>
                            </a:graphic>
                          </wp:inline>
                        </w:drawing>
                      </w:r>
                    </w:p>
                  </w:txbxContent>
                </v:textbox>
              </v:shape>
            </w:pict>
          </mc:Fallback>
        </mc:AlternateContent>
      </w:r>
      <w:r>
        <w:rPr>
          <w:noProof/>
          <w:szCs w:val="20"/>
          <w:lang w:eastAsia="en-AU"/>
        </w:rPr>
        <mc:AlternateContent>
          <mc:Choice Requires="wps">
            <w:drawing>
              <wp:anchor distT="0" distB="0" distL="114300" distR="114300" simplePos="0" relativeHeight="251658241" behindDoc="0" locked="0" layoutInCell="1" allowOverlap="1" wp14:anchorId="11AC49BD" wp14:editId="6D82F17D">
                <wp:simplePos x="0" y="0"/>
                <wp:positionH relativeFrom="column">
                  <wp:posOffset>5220970</wp:posOffset>
                </wp:positionH>
                <wp:positionV relativeFrom="paragraph">
                  <wp:posOffset>67945</wp:posOffset>
                </wp:positionV>
                <wp:extent cx="361950" cy="2762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61950" cy="276225"/>
                        </a:xfrm>
                        <a:prstGeom prst="rect">
                          <a:avLst/>
                        </a:prstGeom>
                        <a:solidFill>
                          <a:schemeClr val="lt1"/>
                        </a:solidFill>
                        <a:ln w="6350">
                          <a:noFill/>
                        </a:ln>
                      </wps:spPr>
                      <wps:txbx>
                        <w:txbxContent>
                          <w:p w14:paraId="72A8888F" w14:textId="77777777" w:rsidR="004A2752" w:rsidRDefault="004A2752" w:rsidP="004A2752">
                            <w:r>
                              <w:t>B</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C49BD" id="Text Box 6" o:spid="_x0000_s1027" type="#_x0000_t202" style="position:absolute;left:0;text-align:left;margin-left:411.1pt;margin-top:5.35pt;width:28.5pt;height:2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" fillcolor="white [3201]" stroked="f" strokeweight=".5pt">
                <v:textbox inset=",0">
                  <w:txbxContent>
                    <w:p w14:paraId="72A8888F" w14:textId="77777777" w:rsidR="004A2752" w:rsidRDefault="004A2752" w:rsidP="004A2752">
                      <w:r>
                        <w:t>B</w:t>
                      </w:r>
                    </w:p>
                  </w:txbxContent>
                </v:textbox>
              </v:shape>
            </w:pict>
          </mc:Fallback>
        </mc:AlternateContent>
      </w:r>
      <w:r>
        <w:rPr>
          <w:noProof/>
          <w:szCs w:val="20"/>
          <w:lang w:eastAsia="en-AU"/>
        </w:rPr>
        <mc:AlternateContent>
          <mc:Choice Requires="wps">
            <w:drawing>
              <wp:anchor distT="0" distB="0" distL="114300" distR="114300" simplePos="0" relativeHeight="251658240" behindDoc="0" locked="0" layoutInCell="1" allowOverlap="1" wp14:anchorId="19D965F3" wp14:editId="5377494A">
                <wp:simplePos x="0" y="0"/>
                <wp:positionH relativeFrom="column">
                  <wp:posOffset>2466975</wp:posOffset>
                </wp:positionH>
                <wp:positionV relativeFrom="paragraph">
                  <wp:posOffset>73660</wp:posOffset>
                </wp:positionV>
                <wp:extent cx="361950" cy="2762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361950" cy="276225"/>
                        </a:xfrm>
                        <a:prstGeom prst="rect">
                          <a:avLst/>
                        </a:prstGeom>
                        <a:solidFill>
                          <a:schemeClr val="lt1"/>
                        </a:solidFill>
                        <a:ln w="6350">
                          <a:noFill/>
                        </a:ln>
                      </wps:spPr>
                      <wps:txbx>
                        <w:txbxContent>
                          <w:p w14:paraId="7BE2FC16" w14:textId="77777777" w:rsidR="004A2752" w:rsidRDefault="004A2752" w:rsidP="004A2752">
                            <w:r>
                              <w:t>A</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anchor>
            </w:drawing>
          </mc:Choice>
          <mc:Fallback>
            <w:pict>
              <v:shape w14:anchorId="19D965F3" id="Text Box 5" o:spid="_x0000_s1028" type="#_x0000_t202" style="position:absolute;left:0;text-align:left;margin-left:194.25pt;margin-top:5.8pt;width:28.5pt;height:21.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" fillcolor="white [3201]" stroked="f" strokeweight=".5pt">
                <v:textbox inset=",0">
                  <w:txbxContent>
                    <w:p w14:paraId="7BE2FC16" w14:textId="77777777" w:rsidR="004A2752" w:rsidRDefault="004A2752" w:rsidP="004A2752">
                      <w:r>
                        <w:t>A</w:t>
                      </w:r>
                    </w:p>
                  </w:txbxContent>
                </v:textbox>
              </v:shape>
            </w:pict>
          </mc:Fallback>
        </mc:AlternateContent>
      </w:r>
      <w:r w:rsidRPr="005E653B">
        <w:rPr>
          <w:noProof/>
          <w:szCs w:val="20"/>
          <w:lang w:eastAsia="en-AU"/>
        </w:rPr>
        <w:drawing>
          <wp:inline distT="0" distB="0" distL="0" distR="0" wp14:anchorId="6D682A15" wp14:editId="6B0AE0E6">
            <wp:extent cx="2647950" cy="2404149"/>
            <wp:effectExtent l="0" t="0" r="0" b="0"/>
            <wp:docPr id="3" name="Picture 3" descr="Chart, bar chart&#10;Hospitalisations per 100,00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Hospitalisations per 100,000 population"/>
                    <pic:cNvPicPr/>
                  </pic:nvPicPr>
                  <pic:blipFill>
                    <a:blip r:embed="rId10"/>
                    <a:stretch>
                      <a:fillRect/>
                    </a:stretch>
                  </pic:blipFill>
                  <pic:spPr>
                    <a:xfrm>
                      <a:off x="0" y="0"/>
                      <a:ext cx="2647950" cy="2404149"/>
                    </a:xfrm>
                    <a:prstGeom prst="rect">
                      <a:avLst/>
                    </a:prstGeom>
                  </pic:spPr>
                </pic:pic>
              </a:graphicData>
            </a:graphic>
          </wp:inline>
        </w:drawing>
      </w:r>
      <w:r w:rsidRPr="005E653B">
        <w:rPr>
          <w:noProof/>
          <w:lang w:eastAsia="en-AU"/>
        </w:rPr>
        <w:t xml:space="preserve"> </w:t>
      </w:r>
      <w:r w:rsidRPr="005E653B">
        <w:rPr>
          <w:noProof/>
          <w:szCs w:val="20"/>
          <w:lang w:eastAsia="en-AU"/>
        </w:rPr>
        <w:drawing>
          <wp:inline distT="0" distB="0" distL="0" distR="0" wp14:anchorId="78EE8C93" wp14:editId="01029773">
            <wp:extent cx="2686050" cy="2331158"/>
            <wp:effectExtent l="0" t="0" r="0" b="0"/>
            <wp:docPr id="2" name="Picture 2" descr="Chart, bar chart&#10;Deaths per 100,00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Deaths per 100,000 population"/>
                    <pic:cNvPicPr/>
                  </pic:nvPicPr>
                  <pic:blipFill>
                    <a:blip r:embed="rId11"/>
                    <a:stretch>
                      <a:fillRect/>
                    </a:stretch>
                  </pic:blipFill>
                  <pic:spPr>
                    <a:xfrm>
                      <a:off x="0" y="0"/>
                      <a:ext cx="2686050" cy="2331158"/>
                    </a:xfrm>
                    <a:prstGeom prst="rect">
                      <a:avLst/>
                    </a:prstGeom>
                  </pic:spPr>
                </pic:pic>
              </a:graphicData>
            </a:graphic>
          </wp:inline>
        </w:drawing>
      </w:r>
    </w:p>
    <w:p w14:paraId="36984E5A" w14:textId="77777777" w:rsidR="00EA423B" w:rsidRDefault="00EA423B" w:rsidP="00695B36">
      <w:pPr>
        <w:jc w:val="left"/>
        <w:rPr>
          <w:u w:val="single"/>
        </w:rPr>
      </w:pPr>
    </w:p>
    <w:p w14:paraId="3C84E337" w14:textId="559B0193" w:rsidR="004A2752" w:rsidRPr="00942427" w:rsidRDefault="004A2752" w:rsidP="00695B36">
      <w:pPr>
        <w:jc w:val="left"/>
        <w:rPr>
          <w:u w:val="single"/>
        </w:rPr>
      </w:pPr>
      <w:r w:rsidRPr="00942427">
        <w:rPr>
          <w:u w:val="single"/>
        </w:rPr>
        <w:t>CVD risk factors</w:t>
      </w:r>
    </w:p>
    <w:p w14:paraId="510D91AB" w14:textId="38163ED1" w:rsidR="004A2752" w:rsidRDefault="004A2752" w:rsidP="00695B36">
      <w:pPr>
        <w:jc w:val="left"/>
      </w:pPr>
      <w:r w:rsidRPr="00477798">
        <w:t xml:space="preserve">High blood pressure, high </w:t>
      </w:r>
      <w:r w:rsidR="007C30AA">
        <w:t>concentration</w:t>
      </w:r>
      <w:r w:rsidRPr="00477798">
        <w:t xml:space="preserve"> of atherogenic cholesterol, overweight and obesity, physical inactivity, excessive alcohol use, poor diet and smoking are all modifiable risk factors for CVD. At least one of these risk factors is present in the majority of Australian individuals, and 25% of Australian adults have three or more risk factors</w:t>
      </w:r>
      <w:r>
        <w:t xml:space="preserve"> </w:t>
      </w:r>
      <w:r>
        <w:fldChar w:fldCharType="begin"/>
      </w:r>
      <w:r>
        <w:instrText xml:space="preserve"> ADDIN EN.CITE &lt;EndNote&gt;&lt;Cite&gt;&lt;Author&gt;AIHW&lt;/Author&gt;&lt;Year&gt;2021&lt;/Year&gt;&lt;RecNum&gt;3&lt;/RecNum&gt;&lt;DisplayText&gt;(AIHW 2021a)&lt;/DisplayText&gt;&lt;record&gt;&lt;rec-number&gt;3&lt;/rec-number&gt;&lt;foreign-keys&gt;&lt;key app="EN" db-id="p5dp00za8apvt8e25vqv22rzzpwt5tvtsr0r" timestamp="1667175003"&gt;3&lt;/key&gt;&lt;/foreign-keys&gt;&lt;ref-type name="Web Page"&gt;12&lt;/ref-type&gt;&lt;contributors&gt;&lt;authors&gt;&lt;author&gt;AIHW,&lt;/author&gt;&lt;/authors&gt;&lt;/contributors&gt;&lt;titles&gt;&lt;title&gt;Heart, stroke and vascular disease - Australian facts&lt;/title&gt;&lt;secondary-title&gt;Cardiovascular disease hospitalisations in Australia 2018-19&lt;/secondary-title&gt;&lt;/titles&gt;&lt;dates&gt;&lt;year&gt;2021&lt;/year&gt;&lt;/dates&gt;&lt;urls&gt;&lt;related-urls&gt;&lt;url&gt;https://www.aihw.gov.au/reports/heart-stroke-vascular-diseases/hsvd-facts/contents/explore-the-data &lt;/url&gt;&lt;/related-urls&gt;&lt;/urls&gt;&lt;/record&gt;&lt;/Cite&gt;&lt;/EndNote&gt;</w:instrText>
      </w:r>
      <w:r>
        <w:fldChar w:fldCharType="separate"/>
      </w:r>
      <w:r>
        <w:rPr>
          <w:noProof/>
        </w:rPr>
        <w:t>(AIHW 2021a)</w:t>
      </w:r>
      <w:r>
        <w:fldChar w:fldCharType="end"/>
      </w:r>
      <w:r>
        <w:t>.</w:t>
      </w:r>
      <w:r w:rsidRPr="009B64AA">
        <w:t xml:space="preserve"> </w:t>
      </w:r>
      <w:r>
        <w:t>Because CVD is largely preventable,</w:t>
      </w:r>
      <w:r w:rsidRPr="0022582A">
        <w:t xml:space="preserve"> </w:t>
      </w:r>
      <w:r>
        <w:t xml:space="preserve">an </w:t>
      </w:r>
      <w:r w:rsidRPr="0022582A">
        <w:t xml:space="preserve">emphasis </w:t>
      </w:r>
      <w:r>
        <w:t xml:space="preserve">on </w:t>
      </w:r>
      <w:r w:rsidRPr="0022582A">
        <w:t>thorough risk assessment</w:t>
      </w:r>
      <w:r>
        <w:t xml:space="preserve"> and the </w:t>
      </w:r>
      <w:r w:rsidRPr="0022582A">
        <w:t>modifiable</w:t>
      </w:r>
      <w:r>
        <w:t xml:space="preserve"> </w:t>
      </w:r>
      <w:r w:rsidRPr="0022582A">
        <w:t xml:space="preserve">risk factors </w:t>
      </w:r>
      <w:r>
        <w:t>(lifestyle changes</w:t>
      </w:r>
      <w:r w:rsidRPr="0022582A">
        <w:t xml:space="preserve"> and, when necessary,</w:t>
      </w:r>
      <w:r>
        <w:t xml:space="preserve"> </w:t>
      </w:r>
      <w:r w:rsidRPr="0022582A">
        <w:t>pharmaceutical treatment</w:t>
      </w:r>
      <w:r>
        <w:t xml:space="preserve">) is an essential part of treatment planning.  </w:t>
      </w:r>
    </w:p>
    <w:p w14:paraId="109A1B0D" w14:textId="4874A840" w:rsidR="004A2752" w:rsidRDefault="00CC182C" w:rsidP="00695B36">
      <w:pPr>
        <w:jc w:val="left"/>
      </w:pPr>
      <w:r>
        <w:t>L</w:t>
      </w:r>
      <w:r w:rsidR="004A2752" w:rsidRPr="00915D92">
        <w:t xml:space="preserve">owering a </w:t>
      </w:r>
      <w:r w:rsidR="004A2752">
        <w:t>patient’s</w:t>
      </w:r>
      <w:r w:rsidR="004A2752" w:rsidRPr="00915D92">
        <w:t xml:space="preserve"> </w:t>
      </w:r>
      <w:r w:rsidR="004A2752">
        <w:t>overall CVD risk is</w:t>
      </w:r>
      <w:r w:rsidR="004A2752" w:rsidRPr="00915D92">
        <w:t xml:space="preserve"> the goal of </w:t>
      </w:r>
      <w:r w:rsidR="004A2752">
        <w:t>CVD management</w:t>
      </w:r>
      <w:r>
        <w:t xml:space="preserve"> and</w:t>
      </w:r>
      <w:r w:rsidR="004A2752">
        <w:t xml:space="preserve"> this is accomplished by </w:t>
      </w:r>
      <w:r w:rsidR="004A2752" w:rsidRPr="00915D92">
        <w:t>managing numerous individual risk variables</w:t>
      </w:r>
      <w:r w:rsidR="004A2752">
        <w:t>.</w:t>
      </w:r>
      <w:r w:rsidR="004A2752" w:rsidRPr="00915D92">
        <w:t xml:space="preserve"> Individual risk factors </w:t>
      </w:r>
      <w:r w:rsidR="007F4326">
        <w:t xml:space="preserve">such as </w:t>
      </w:r>
      <w:r w:rsidR="004A2752" w:rsidRPr="00915D92">
        <w:t xml:space="preserve">high blood pressure (BP) and elevated lipid </w:t>
      </w:r>
      <w:r w:rsidR="007C30AA">
        <w:t>concentration</w:t>
      </w:r>
      <w:r w:rsidR="004A2752" w:rsidRPr="00915D92">
        <w:t xml:space="preserve"> have been shown to continuously increase the risk of CVD events; as a result, moderate reductions in several risk factors may be more effective than a major reduction in one</w:t>
      </w:r>
      <w:r w:rsidR="004A2752">
        <w:t xml:space="preserve"> risk factors</w:t>
      </w:r>
      <w:r w:rsidR="004A2752" w:rsidRPr="00915D92">
        <w:t xml:space="preserve"> in lowering overall CVD risk</w:t>
      </w:r>
      <w:r w:rsidR="004A2752">
        <w:t xml:space="preserve"> </w:t>
      </w:r>
      <w:r w:rsidR="004A2752">
        <w:fldChar w:fldCharType="begin"/>
      </w:r>
      <w:r w:rsidR="004A2752">
        <w:instrText xml:space="preserve"> ADDIN EN.CITE &lt;EndNote&gt;&lt;Cite&gt;&lt;Author&gt;Tonkin&lt;/Author&gt;&lt;Year&gt;2005&lt;/Year&gt;&lt;RecNum&gt;4&lt;/RecNum&gt;&lt;DisplayText&gt;(Tonkin et al. 2005)&lt;/DisplayText&gt;&lt;record&gt;&lt;rec-number&gt;4&lt;/rec-number&gt;&lt;foreign-keys&gt;&lt;key app="EN" db-id="p5dp00za8apvt8e25vqv22rzzpwt5tvtsr0r" timestamp="1667175644"&gt;4&lt;/key&gt;&lt;/foreign-keys&gt;&lt;ref-type name="Journal Article"&gt;17&lt;/ref-type&gt;&lt;contributors&gt;&lt;authors&gt;&lt;author&gt;Tonkin, A.&lt;/author&gt;&lt;author&gt;Barter, P.&lt;/author&gt;&lt;author&gt;Best, J.&lt;/author&gt;&lt;author&gt;Boyden, A.&lt;/author&gt;&lt;author&gt;Furler, J.&lt;/author&gt;&lt;author&gt;Hossack, K.&lt;/author&gt;&lt;author&gt;Sullivan, D.&lt;/author&gt;&lt;author&gt;Thompson, P.&lt;/author&gt;&lt;author&gt;Vale, M.&lt;/author&gt;&lt;author&gt;Cooper, C.&lt;/author&gt;&lt;author&gt;Robinson, M.&lt;/author&gt;&lt;author&gt;Clune, E.&lt;/author&gt;&lt;/authors&gt;&lt;/contributors&gt;&lt;titles&gt;&lt;title&gt;National Heart Foundation of Australia and the Cardiac Society of Australia and New Zealand: position statement on lipid management--2005&lt;/title&gt;&lt;secondary-title&gt;Heart Lung Circ&lt;/secondary-title&gt;&lt;/titles&gt;&lt;periodical&gt;&lt;full-title&gt;Heart Lung Circ&lt;/full-title&gt;&lt;/periodical&gt;&lt;pages&gt;275-91&lt;/pages&gt;&lt;volume&gt;14&lt;/volume&gt;&lt;number&gt;4&lt;/number&gt;&lt;keywords&gt;&lt;keyword&gt;Apolipoproteins/blood&lt;/keyword&gt;&lt;keyword&gt;Australia&lt;/keyword&gt;&lt;keyword&gt;Cardiovascular Diseases/*etiology/*prevention &amp;amp; control&lt;/keyword&gt;&lt;keyword&gt;Cholesterol/blood&lt;/keyword&gt;&lt;keyword&gt;Humans&lt;/keyword&gt;&lt;keyword&gt;Hydroxymethylglutaryl-CoA Reductase Inhibitors/therapeutic use&lt;/keyword&gt;&lt;keyword&gt;Life Style&lt;/keyword&gt;&lt;keyword&gt;New Zealand&lt;/keyword&gt;&lt;keyword&gt;*Practice Guidelines as Topic&lt;/keyword&gt;&lt;keyword&gt;Risk Assessment&lt;/keyword&gt;&lt;keyword&gt;Triglycerides/blood&lt;/keyword&gt;&lt;/keywords&gt;&lt;dates&gt;&lt;year&gt;2005&lt;/year&gt;&lt;pub-dates&gt;&lt;date&gt;Dec&lt;/date&gt;&lt;/pub-dates&gt;&lt;/dates&gt;&lt;isbn&gt;1443-9506 (Print)&amp;#xD;1443-9506&lt;/isbn&gt;&lt;accession-num&gt;16361000&lt;/accession-num&gt;&lt;urls&gt;&lt;/urls&gt;&lt;electronic-resource-num&gt;10.1016/j.hlc.2005.10.010&lt;/electronic-resource-num&gt;&lt;remote-database-provider&gt;NLM&lt;/remote-database-provider&gt;&lt;language&gt;eng&lt;/language&gt;&lt;/record&gt;&lt;/Cite&gt;&lt;/EndNote&gt;</w:instrText>
      </w:r>
      <w:r w:rsidR="004A2752">
        <w:fldChar w:fldCharType="separate"/>
      </w:r>
      <w:r w:rsidR="004A2752">
        <w:rPr>
          <w:noProof/>
        </w:rPr>
        <w:t>(Tonkin et al</w:t>
      </w:r>
      <w:r w:rsidR="00C04C98">
        <w:rPr>
          <w:noProof/>
        </w:rPr>
        <w:t>.</w:t>
      </w:r>
      <w:r w:rsidR="004A2752">
        <w:rPr>
          <w:noProof/>
        </w:rPr>
        <w:t xml:space="preserve"> 2005)</w:t>
      </w:r>
      <w:r w:rsidR="004A2752">
        <w:fldChar w:fldCharType="end"/>
      </w:r>
      <w:r w:rsidR="004A2752">
        <w:t>.</w:t>
      </w:r>
    </w:p>
    <w:p w14:paraId="030C719B" w14:textId="2177D535" w:rsidR="004A2752" w:rsidRDefault="004A2752" w:rsidP="00695B36">
      <w:pPr>
        <w:jc w:val="left"/>
      </w:pPr>
      <w:r w:rsidRPr="005F0F37">
        <w:t xml:space="preserve">Elevated </w:t>
      </w:r>
      <w:r w:rsidR="007C30AA">
        <w:t>concentration</w:t>
      </w:r>
      <w:r w:rsidRPr="00115CE7">
        <w:t xml:space="preserve"> of low-density lipoprotein cholesterol (LDL-C) have been demonstrated to be a major contributor to atherosclerosis leading to CVD events, </w:t>
      </w:r>
      <w:r>
        <w:t xml:space="preserve">the cumulative effects of which may begin increasing from adolescence </w:t>
      </w:r>
      <w:r>
        <w:fldChar w:fldCharType="begin">
          <w:fldData xml:space="preserve">PEVuZE5vdGU+PENpdGU+PEF1dGhvcj5aaGFuZzwvQXV0aG9yPjxZZWFyPjIwMjE8L1llYXI+PFJl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</w:fldData>
        </w:fldChar>
      </w:r>
      <w:r w:rsidR="00C04C98">
        <w:instrText xml:space="preserve"> ADDIN EN.CITE </w:instrText>
      </w:r>
      <w:r w:rsidR="00C04C98">
        <w:fldChar w:fldCharType="begin">
          <w:fldData xml:space="preserve">PEVuZE5vdGU+PENpdGU+PEF1dGhvcj5aaGFuZzwvQXV0aG9yPjxZZWFyPjIwMjE8L1llYXI+PFJl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</w:fldData>
        </w:fldChar>
      </w:r>
      <w:r w:rsidR="00C04C98">
        <w:instrText xml:space="preserve"> ADDIN EN.CITE.DATA </w:instrText>
      </w:r>
      <w:r w:rsidR="00C04C98">
        <w:fldChar w:fldCharType="end"/>
      </w:r>
      <w:r>
        <w:fldChar w:fldCharType="separate"/>
      </w:r>
      <w:r w:rsidR="00C04C98">
        <w:rPr>
          <w:noProof/>
        </w:rPr>
        <w:t>(Zhang et al. 2021)</w:t>
      </w:r>
      <w:r>
        <w:fldChar w:fldCharType="end"/>
      </w:r>
      <w:r>
        <w:t>. The mainstay of CVD treatment, in combination with lifestyle modifications, are</w:t>
      </w:r>
      <w:r w:rsidRPr="00DC4731">
        <w:t xml:space="preserve"> </w:t>
      </w:r>
      <w:r w:rsidRPr="00115CE7">
        <w:t>drugs that reduce LDL-C</w:t>
      </w:r>
      <w:r>
        <w:t xml:space="preserve"> which, if adhered to, significantly lower CVD risk among the majority of patients; h</w:t>
      </w:r>
      <w:r w:rsidRPr="00115CE7">
        <w:t xml:space="preserve">owever, </w:t>
      </w:r>
      <w:r>
        <w:t>some</w:t>
      </w:r>
      <w:r w:rsidRPr="00115CE7">
        <w:t xml:space="preserve"> patients remain at risk of CVD and/or experience a CVD event despite significant lowering of their LDL-C. </w:t>
      </w:r>
    </w:p>
    <w:p w14:paraId="0D3B0BCD" w14:textId="2D407E22" w:rsidR="00695B36" w:rsidRDefault="00695B36">
      <w:pPr>
        <w:spacing w:after="160" w:line="259" w:lineRule="auto"/>
        <w:jc w:val="left"/>
      </w:pPr>
      <w:r>
        <w:br w:type="page"/>
      </w:r>
    </w:p>
    <w:p w14:paraId="0F6EFD69" w14:textId="77777777" w:rsidR="004A2752" w:rsidRPr="00942427" w:rsidRDefault="004A2752" w:rsidP="00695B36">
      <w:pPr>
        <w:jc w:val="left"/>
        <w:rPr>
          <w:u w:val="single"/>
        </w:rPr>
      </w:pPr>
      <w:r w:rsidRPr="00942427">
        <w:rPr>
          <w:u w:val="single"/>
        </w:rPr>
        <w:lastRenderedPageBreak/>
        <w:t>Candidate patients for CVD risk assessment</w:t>
      </w:r>
    </w:p>
    <w:p w14:paraId="6AE270B7" w14:textId="179D49EF" w:rsidR="00CC3511" w:rsidRDefault="00CC3511" w:rsidP="00695B36">
      <w:pPr>
        <w:pBdr>
          <w:top w:val="single" w:sz="4" w:space="1" w:color="auto"/>
          <w:left w:val="single" w:sz="4" w:space="4" w:color="auto"/>
          <w:bottom w:val="single" w:sz="4" w:space="1" w:color="auto"/>
          <w:right w:val="single" w:sz="4" w:space="4" w:color="auto"/>
        </w:pBdr>
        <w:jc w:val="left"/>
      </w:pPr>
      <w:r>
        <w:t xml:space="preserve">The following </w:t>
      </w:r>
      <w:r w:rsidR="009D41EA">
        <w:t>information is from the current version of the Australian CVD guidelines</w:t>
      </w:r>
      <w:r w:rsidR="00F32AD7">
        <w:t xml:space="preserve"> developed by the </w:t>
      </w:r>
      <w:r w:rsidR="00F32AD7">
        <w:rPr>
          <w:noProof/>
        </w:rPr>
        <w:t>National Vascular Disease Prevention Alliance in 2021.</w:t>
      </w:r>
      <w:r w:rsidR="009D41EA">
        <w:t xml:space="preserve"> </w:t>
      </w:r>
      <w:r w:rsidR="00F32AD7">
        <w:t>H</w:t>
      </w:r>
      <w:r w:rsidR="009D41EA">
        <w:t xml:space="preserve">owever we </w:t>
      </w:r>
      <w:r w:rsidR="004F09E3">
        <w:t xml:space="preserve">understand that there have been updates to this guideline that are currently out for consultation. </w:t>
      </w:r>
      <w:r w:rsidR="61DE163F">
        <w:t>T</w:t>
      </w:r>
      <w:r w:rsidR="004F09E3">
        <w:t xml:space="preserve">he information below should be updated </w:t>
      </w:r>
      <w:r w:rsidR="70C786F3">
        <w:t>as relevant</w:t>
      </w:r>
      <w:r w:rsidR="004F09E3">
        <w:t xml:space="preserve"> when the new version is available.</w:t>
      </w:r>
    </w:p>
    <w:p w14:paraId="2FFC5E2B" w14:textId="5A1769F3" w:rsidR="004A2752" w:rsidRPr="0045758F" w:rsidRDefault="004A2752" w:rsidP="00695B36">
      <w:pPr>
        <w:jc w:val="left"/>
      </w:pPr>
      <w:r w:rsidRPr="0045758F">
        <w:t>The Australian and New Zealand guidelines</w:t>
      </w:r>
      <w:r>
        <w:t xml:space="preserve"> </w:t>
      </w:r>
      <w:r w:rsidRPr="0045758F">
        <w:t xml:space="preserve"> </w:t>
      </w:r>
      <w:r w:rsidR="00056769">
        <w:fldChar w:fldCharType="begin"/>
      </w:r>
      <w:r w:rsidR="00056769">
        <w:instrText xml:space="preserve"> ADDIN EN.CITE &lt;EndNote&gt;&lt;Cite&gt;&lt;Author&gt;National Vascular Disease Prevention Alliance&lt;/Author&gt;&lt;Year&gt;2012&lt;/Year&gt;&lt;RecNum&gt;1&lt;/RecNum&gt;&lt;DisplayText&gt;(National Vascular Disease Prevention Alliance 2012)&lt;/DisplayText&gt;&lt;record&gt;&lt;rec-number&gt;1&lt;/rec-number&gt;&lt;foreign-keys&gt;&lt;key app="EN" db-id="p5dp00za8apvt8e25vqv22rzzpwt5tvtsr0r" timestamp="1667173932"&gt;1&lt;/key&gt;&lt;/foreign-keys&gt;&lt;ref-type name="Report"&gt;27&lt;/ref-type&gt;&lt;contributors&gt;&lt;authors&gt;&lt;author&gt;National Vascular Disease Prevention Alliance,&lt;/author&gt;&lt;/authors&gt;&lt;/contributors&gt;&lt;titles&gt;&lt;title&gt;Guidelines for the management of absolute cardiovascular disease risk&lt;/title&gt;&lt;/titles&gt;&lt;dates&gt;&lt;year&gt;2012&lt;/year&gt;&lt;/dates&gt;&lt;urls&gt;&lt;related-urls&gt;&lt;url&gt;https://www.heartfoundation.org.au/getmedia/4342a70f-4487-496e-bbb0-dae33a47fcb2/Absolute-CVD-Risk-Full-Guidelines_2.pdf&lt;/url&gt;&lt;/related-urls&gt;&lt;/urls&gt;&lt;/record&gt;&lt;/Cite&gt;&lt;/EndNote&gt;</w:instrText>
      </w:r>
      <w:r w:rsidR="00056769">
        <w:fldChar w:fldCharType="separate"/>
      </w:r>
      <w:r w:rsidR="00056769">
        <w:rPr>
          <w:noProof/>
        </w:rPr>
        <w:t>(National Vascular Disease Prevention Alliance 2012)</w:t>
      </w:r>
      <w:r w:rsidR="00056769">
        <w:fldChar w:fldCharType="end"/>
      </w:r>
      <w:r w:rsidR="00D06260">
        <w:t xml:space="preserve"> </w:t>
      </w:r>
      <w:r w:rsidRPr="0045758F">
        <w:t xml:space="preserve">for the management of absolute </w:t>
      </w:r>
      <w:r w:rsidR="00D844F1">
        <w:t>CVD</w:t>
      </w:r>
      <w:r w:rsidRPr="0045758F">
        <w:t xml:space="preserve"> risk recommend the following </w:t>
      </w:r>
      <w:r>
        <w:t>patients undergo risk assessment</w:t>
      </w:r>
      <w:r w:rsidRPr="0045758F">
        <w:t>:</w:t>
      </w:r>
    </w:p>
    <w:p w14:paraId="7FB56ADD" w14:textId="13C2E7E0" w:rsidR="004A2752" w:rsidRPr="0045758F" w:rsidRDefault="004A2752" w:rsidP="00695B36">
      <w:pPr>
        <w:pStyle w:val="ListParagraph"/>
        <w:numPr>
          <w:ilvl w:val="0"/>
          <w:numId w:val="18"/>
        </w:numPr>
        <w:jc w:val="left"/>
      </w:pPr>
      <w:r w:rsidRPr="0045758F">
        <w:t>In the general population age</w:t>
      </w:r>
      <w:r w:rsidR="00754574">
        <w:t>d</w:t>
      </w:r>
      <w:r w:rsidRPr="0045758F">
        <w:t xml:space="preserve"> 45–74 years</w:t>
      </w:r>
      <w:r>
        <w:t xml:space="preserve"> </w:t>
      </w:r>
      <w:r w:rsidRPr="0045758F">
        <w:t>who are not known to have CVD</w:t>
      </w:r>
      <w:r>
        <w:t>,</w:t>
      </w:r>
      <w:r w:rsidRPr="0045758F">
        <w:t xml:space="preserve"> </w:t>
      </w:r>
      <w:r>
        <w:t>a</w:t>
      </w:r>
      <w:r w:rsidRPr="0045758F">
        <w:t>bsolute CVD risk assessment</w:t>
      </w:r>
      <w:r>
        <w:t xml:space="preserve"> </w:t>
      </w:r>
      <w:r w:rsidRPr="0045758F">
        <w:t xml:space="preserve">should be performed using the Framingham Risk </w:t>
      </w:r>
      <w:r w:rsidR="001F5769">
        <w:t>Score</w:t>
      </w:r>
      <w:r w:rsidRPr="0045758F">
        <w:t xml:space="preserve"> to predict </w:t>
      </w:r>
      <w:r w:rsidR="00870881">
        <w:t xml:space="preserve">their </w:t>
      </w:r>
      <w:r w:rsidRPr="0045758F">
        <w:t xml:space="preserve">risk of a cardiovascular event over the next </w:t>
      </w:r>
      <w:r>
        <w:t>5</w:t>
      </w:r>
      <w:r w:rsidRPr="0045758F">
        <w:t xml:space="preserve"> years.</w:t>
      </w:r>
    </w:p>
    <w:p w14:paraId="6DD198EB" w14:textId="49023FEF" w:rsidR="004A2752" w:rsidRPr="0045758F" w:rsidRDefault="004A2752" w:rsidP="00695B36">
      <w:pPr>
        <w:pStyle w:val="ListParagraph"/>
        <w:numPr>
          <w:ilvl w:val="0"/>
          <w:numId w:val="18"/>
        </w:numPr>
        <w:jc w:val="left"/>
      </w:pPr>
      <w:r w:rsidRPr="0045758F">
        <w:t>In Aboriginal and Torres Strait Islander adults age</w:t>
      </w:r>
      <w:r w:rsidR="004D6065">
        <w:t>d</w:t>
      </w:r>
      <w:r w:rsidRPr="0045758F">
        <w:t xml:space="preserve"> 35–74 years who are not known to have CVD or to be at clinically determined high risk</w:t>
      </w:r>
      <w:r>
        <w:t>,</w:t>
      </w:r>
      <w:r w:rsidRPr="0045758F">
        <w:t xml:space="preserve"> absolute cardiovascular risk over the next </w:t>
      </w:r>
      <w:r>
        <w:t>5</w:t>
      </w:r>
      <w:r w:rsidRPr="0045758F">
        <w:t xml:space="preserve"> years should be calculated using the Framingham Risk Equation. Although the Framingham Risk Equation might underestimate risk in this population, available evidence suggests that this approach will provide an estimate of minimum cardiovascular risk.</w:t>
      </w:r>
    </w:p>
    <w:p w14:paraId="1CE45A4C" w14:textId="5830DF5B" w:rsidR="004A2752" w:rsidRPr="0045758F" w:rsidRDefault="004A2752" w:rsidP="00695B36">
      <w:pPr>
        <w:pStyle w:val="ListParagraph"/>
        <w:numPr>
          <w:ilvl w:val="0"/>
          <w:numId w:val="18"/>
        </w:numPr>
        <w:jc w:val="left"/>
      </w:pPr>
      <w:r w:rsidRPr="0045758F">
        <w:t>In adults with diabetes age</w:t>
      </w:r>
      <w:r w:rsidR="00763828">
        <w:t>d</w:t>
      </w:r>
      <w:r w:rsidRPr="0045758F">
        <w:t xml:space="preserve"> 60 years or less who are not known to have CVD or to be at clinically determined high risk</w:t>
      </w:r>
      <w:r>
        <w:t>,</w:t>
      </w:r>
      <w:r w:rsidRPr="0045758F">
        <w:t xml:space="preserve"> absolute cardiovascular risk over the next </w:t>
      </w:r>
      <w:r>
        <w:t>5</w:t>
      </w:r>
      <w:r w:rsidRPr="0045758F">
        <w:t xml:space="preserve"> years should be assessed using the Framingham Risk Equation. Although the Framingham Risk Equation might underestimate risk in this population, available evidence suggests that this approach will provide an estimate of minimum cardiovascular risk.</w:t>
      </w:r>
    </w:p>
    <w:p w14:paraId="7F68D0E0" w14:textId="11EE5432" w:rsidR="004A2752" w:rsidRPr="0045758F" w:rsidRDefault="004A2752" w:rsidP="00695B36">
      <w:pPr>
        <w:pStyle w:val="ListParagraph"/>
        <w:numPr>
          <w:ilvl w:val="0"/>
          <w:numId w:val="18"/>
        </w:numPr>
        <w:jc w:val="left"/>
      </w:pPr>
      <w:r w:rsidRPr="0045758F">
        <w:t>In adults who are overweight or obese who are not known to have CVD or to be at clinically determined high risk</w:t>
      </w:r>
      <w:r>
        <w:t>,</w:t>
      </w:r>
      <w:r w:rsidRPr="0045758F">
        <w:t xml:space="preserve"> absolute cardiovascular risk over the next </w:t>
      </w:r>
      <w:r>
        <w:t>5</w:t>
      </w:r>
      <w:r w:rsidRPr="0045758F">
        <w:t xml:space="preserve"> years should be assessed using the Framingham Risk Equation. The results should be interpreted with the awareness that its predictive value has not been specifically assessed in this population</w:t>
      </w:r>
      <w:r>
        <w:t xml:space="preserve"> </w:t>
      </w:r>
      <w:r>
        <w:fldChar w:fldCharType="begin"/>
      </w:r>
      <w:r>
        <w:instrText xml:space="preserve"> ADDIN EN.CITE &lt;EndNote&gt;&lt;Cite&gt;&lt;Author&gt;AIHW&lt;/Author&gt;&lt;Year&gt;2021&lt;/Year&gt;&lt;RecNum&gt;3&lt;/RecNum&gt;&lt;DisplayText&gt;(AIHW 2021a)&lt;/DisplayText&gt;&lt;record&gt;&lt;rec-number&gt;3&lt;/rec-number&gt;&lt;foreign-keys&gt;&lt;key app="EN" db-id="p5dp00za8apvt8e25vqv22rzzpwt5tvtsr0r" timestamp="1667175003"&gt;3&lt;/key&gt;&lt;/foreign-keys&gt;&lt;ref-type name="Web Page"&gt;12&lt;/ref-type&gt;&lt;contributors&gt;&lt;authors&gt;&lt;author&gt;AIHW,&lt;/author&gt;&lt;/authors&gt;&lt;/contributors&gt;&lt;titles&gt;&lt;title&gt;Heart, stroke and vascular disease - Australian facts&lt;/title&gt;&lt;secondary-title&gt;Cardiovascular disease hospitalisations in Australia 2018-19&lt;/secondary-title&gt;&lt;/titles&gt;&lt;dates&gt;&lt;year&gt;2021&lt;/year&gt;&lt;/dates&gt;&lt;urls&gt;&lt;related-urls&gt;&lt;url&gt;https://www.aihw.gov.au/reports/heart-stroke-vascular-diseases/hsvd-facts/contents/explore-the-data &lt;/url&gt;&lt;/related-urls&gt;&lt;/urls&gt;&lt;/record&gt;&lt;/Cite&gt;&lt;/EndNote&gt;</w:instrText>
      </w:r>
      <w:r>
        <w:fldChar w:fldCharType="separate"/>
      </w:r>
      <w:r>
        <w:rPr>
          <w:noProof/>
        </w:rPr>
        <w:t>(AIHW 2021a)</w:t>
      </w:r>
      <w:r>
        <w:fldChar w:fldCharType="end"/>
      </w:r>
      <w:r>
        <w:t>.</w:t>
      </w:r>
    </w:p>
    <w:p w14:paraId="73221536" w14:textId="38729ED1" w:rsidR="004A2752" w:rsidRPr="00A86157" w:rsidRDefault="004A2752" w:rsidP="00695B36">
      <w:pPr>
        <w:pStyle w:val="Instructionaltext"/>
        <w:jc w:val="left"/>
        <w:rPr>
          <w:color w:val="auto"/>
          <w:u w:val="single"/>
        </w:rPr>
      </w:pPr>
      <w:r w:rsidRPr="00A86157">
        <w:rPr>
          <w:color w:val="auto"/>
          <w:u w:val="single"/>
        </w:rPr>
        <w:t>Measuring risk</w:t>
      </w:r>
      <w:r w:rsidR="004A4052">
        <w:rPr>
          <w:color w:val="auto"/>
          <w:u w:val="single"/>
        </w:rPr>
        <w:t xml:space="preserve"> for CVD</w:t>
      </w:r>
    </w:p>
    <w:p w14:paraId="7D94B1EC" w14:textId="1F9B93B0" w:rsidR="004A2752" w:rsidRDefault="004A2752" w:rsidP="00695B36">
      <w:pPr>
        <w:jc w:val="left"/>
      </w:pPr>
      <w:r>
        <w:t xml:space="preserve">Because individual patients are likely to have more than one risk factor, assessment of CVD risk is undertaken on the basis of the combined effect of multiple risk factors; this is more accurate than the use of individual factors alone </w:t>
      </w:r>
      <w:r>
        <w:fldChar w:fldCharType="begin"/>
      </w:r>
      <w:r>
        <w:instrText xml:space="preserve"> ADDIN EN.CITE &lt;EndNote&gt;&lt;Cite&gt;&lt;Author&gt;National Vascular Disease Prevention Alliance&lt;/Author&gt;&lt;Year&gt;2012&lt;/Year&gt;&lt;RecNum&gt;1&lt;/RecNum&gt;&lt;DisplayText&gt;(National Vascular Disease Prevention Alliance 2012)&lt;/DisplayText&gt;&lt;record&gt;&lt;rec-number&gt;1&lt;/rec-number&gt;&lt;foreign-keys&gt;&lt;key app="EN" db-id="p5dp00za8apvt8e25vqv22rzzpwt5tvtsr0r" timestamp="1667173932"&gt;1&lt;/key&gt;&lt;/foreign-keys&gt;&lt;ref-type name="Report"&gt;27&lt;/ref-type&gt;&lt;contributors&gt;&lt;authors&gt;&lt;author&gt;National Vascular Disease Prevention Alliance,&lt;/author&gt;&lt;/authors&gt;&lt;/contributors&gt;&lt;titles&gt;&lt;title&gt;Guidelines for the management of absolute cardiovascular disease risk&lt;/title&gt;&lt;/titles&gt;&lt;dates&gt;&lt;year&gt;2012&lt;/year&gt;&lt;/dates&gt;&lt;urls&gt;&lt;related-urls&gt;&lt;url&gt;https://www.heartfoundation.org.au/getmedia/4342a70f-4487-496e-bbb0-dae33a47fcb2/Absolute-CVD-Risk-Full-Guidelines_2.pdf&lt;/url&gt;&lt;/related-urls&gt;&lt;/urls&gt;&lt;/record&gt;&lt;/Cite&gt;&lt;/EndNote&gt;</w:instrText>
      </w:r>
      <w:r>
        <w:fldChar w:fldCharType="separate"/>
      </w:r>
      <w:r>
        <w:rPr>
          <w:noProof/>
        </w:rPr>
        <w:t>(National Vascular Disease Prevention Alliance 2012)</w:t>
      </w:r>
      <w:r>
        <w:fldChar w:fldCharType="end"/>
      </w:r>
      <w:r>
        <w:t xml:space="preserve">. </w:t>
      </w:r>
      <w:r>
        <w:fldChar w:fldCharType="begin"/>
      </w:r>
      <w:r>
        <w:instrText xml:space="preserve"> REF _Ref118382462 \h  \* MERGEFORMAT </w:instrText>
      </w:r>
      <w:r>
        <w:fldChar w:fldCharType="separate"/>
      </w:r>
      <w:r w:rsidR="00F66CE7">
        <w:t xml:space="preserve">Table </w:t>
      </w:r>
      <w:r w:rsidR="00F66CE7">
        <w:rPr>
          <w:noProof/>
        </w:rPr>
        <w:t>2</w:t>
      </w:r>
      <w:r>
        <w:fldChar w:fldCharType="end"/>
      </w:r>
      <w:r>
        <w:t xml:space="preserve"> describes the </w:t>
      </w:r>
      <w:r w:rsidRPr="006A066F">
        <w:t>individual risk factors published by the National Vascular Disease Prevention Alliance</w:t>
      </w:r>
      <w:r>
        <w:t>,</w:t>
      </w:r>
      <w:r w:rsidRPr="006A066F">
        <w:t xml:space="preserve"> which should </w:t>
      </w:r>
      <w:r>
        <w:t xml:space="preserve">be measured when assessing risk </w:t>
      </w:r>
      <w:r>
        <w:fldChar w:fldCharType="begin"/>
      </w:r>
      <w:r>
        <w:instrText xml:space="preserve"> ADDIN EN.CITE &lt;EndNote&gt;&lt;Cite&gt;&lt;Author&gt;National Vascular Disease Prevention Alliance&lt;/Author&gt;&lt;Year&gt;2012&lt;/Year&gt;&lt;RecNum&gt;1&lt;/RecNum&gt;&lt;DisplayText&gt;(National Vascular Disease Prevention Alliance 2012)&lt;/DisplayText&gt;&lt;record&gt;&lt;rec-number&gt;1&lt;/rec-number&gt;&lt;foreign-keys&gt;&lt;key app="EN" db-id="p5dp00za8apvt8e25vqv22rzzpwt5tvtsr0r" timestamp="1667173932"&gt;1&lt;/key&gt;&lt;/foreign-keys&gt;&lt;ref-type name="Report"&gt;27&lt;/ref-type&gt;&lt;contributors&gt;&lt;authors&gt;&lt;author&gt;National Vascular Disease Prevention Alliance,&lt;/author&gt;&lt;/authors&gt;&lt;/contributors&gt;&lt;titles&gt;&lt;title&gt;Guidelines for the management of absolute cardiovascular disease risk&lt;/title&gt;&lt;/titles&gt;&lt;dates&gt;&lt;year&gt;2012&lt;/year&gt;&lt;/dates&gt;&lt;urls&gt;&lt;related-urls&gt;&lt;url&gt;https://www.heartfoundation.org.au/getmedia/4342a70f-4487-496e-bbb0-dae33a47fcb2/Absolute-CVD-Risk-Full-Guidelines_2.pdf&lt;/url&gt;&lt;/related-urls&gt;&lt;/urls&gt;&lt;/record&gt;&lt;/Cite&gt;&lt;/EndNote&gt;</w:instrText>
      </w:r>
      <w:r>
        <w:fldChar w:fldCharType="separate"/>
      </w:r>
      <w:r>
        <w:rPr>
          <w:noProof/>
        </w:rPr>
        <w:t>(National Vascular Disease Prevention Alliance 2012)</w:t>
      </w:r>
      <w:r>
        <w:fldChar w:fldCharType="end"/>
      </w:r>
      <w:r>
        <w:t>.</w:t>
      </w:r>
    </w:p>
    <w:p w14:paraId="4C7AADEF" w14:textId="5D98AC68" w:rsidR="004A2752" w:rsidRDefault="004A2752" w:rsidP="00695B36">
      <w:pPr>
        <w:jc w:val="left"/>
      </w:pPr>
      <w:r>
        <w:t xml:space="preserve">The results of the assessment of individual risk factors, together with non-modifiable factors (e.g. age, gender, family history of CVD) are entered into one of several available online calculators </w:t>
      </w:r>
      <w:r>
        <w:fldChar w:fldCharType="begin"/>
      </w:r>
      <w:r w:rsidR="00260D71">
        <w:instrText xml:space="preserve"> ADDIN EN.CITE &lt;EndNote&gt;&lt;Cite ExcludeYear="1"&gt;&lt;Author&gt;Heart Foundation&lt;/Author&gt;&lt;RecNum&gt;16&lt;/RecNum&gt;&lt;DisplayText&gt;(Heart Foundation ; The National Vascular Disease Prevention Alliance 2022)&lt;/DisplayText&gt;&lt;record&gt;&lt;rec-number&gt;16&lt;/rec-number&gt;&lt;foreign-keys&gt;&lt;key app="EN" db-id="p5dp00za8apvt8e25vqv22rzzpwt5tvtsr0r" timestamp="1667523390"&gt;16&lt;/key&gt;&lt;/foreign-keys&gt;&lt;ref-type name="Web Page"&gt;12&lt;/ref-type&gt;&lt;contributors&gt;&lt;authors&gt;&lt;author&gt;Heart Foundation,&lt;/author&gt;&lt;/authors&gt;&lt;/contributors&gt;&lt;titles&gt;&lt;title&gt;Absolute CVD risk calculator&lt;/title&gt;&lt;/titles&gt;&lt;dates&gt;&lt;/dates&gt;&lt;urls&gt;&lt;related-urls&gt;&lt;url&gt;https://www.heartfoundation.org.au/bundles/for-professionals/cvd-risk-calculator&lt;/url&gt;&lt;/related-urls&gt;&lt;/urls&gt;&lt;/record&gt;&lt;/Cite&gt;&lt;Cite&gt;&lt;Author&gt;The National Vascular Disease Prevention Alliance&lt;/Author&gt;&lt;Year&gt;2022&lt;/Year&gt;&lt;RecNum&gt;17&lt;/RecNum&gt;&lt;record&gt;&lt;rec-number&gt;17&lt;/rec-number&gt;&lt;foreign-keys&gt;&lt;key app="EN" db-id="p5dp00za8apvt8e25vqv22rzzpwt5tvtsr0r" timestamp="1667523456"&gt;17&lt;/key&gt;&lt;/foreign-keys&gt;&lt;ref-type name="Web Page"&gt;12&lt;/ref-type&gt;&lt;contributors&gt;&lt;authors&gt;&lt;author&gt;The National Vascular Disease Prevention Alliance,&lt;/author&gt;&lt;/authors&gt;&lt;/contributors&gt;&lt;titles&gt;&lt;title&gt;Australian absolute cardiovascular disease risk calculator&lt;/title&gt;&lt;/titles&gt;&lt;dates&gt;&lt;year&gt;2022&lt;/year&gt;&lt;/dates&gt;&lt;urls&gt;&lt;related-urls&gt;&lt;url&gt;https://www.cvdcheck.org.au/&lt;/url&gt;&lt;/related-urls&gt;&lt;/urls&gt;&lt;/record&gt;&lt;/Cite&gt;&lt;/EndNote&gt;</w:instrText>
      </w:r>
      <w:r>
        <w:fldChar w:fldCharType="separate"/>
      </w:r>
      <w:r w:rsidR="00260D71">
        <w:rPr>
          <w:noProof/>
        </w:rPr>
        <w:t>(Heart Foundation; The National Vascular Disease Prevention Alliance 2022)</w:t>
      </w:r>
      <w:r>
        <w:fldChar w:fldCharType="end"/>
      </w:r>
      <w:r>
        <w:t xml:space="preserve"> based on validated equations (e.g. The Framingham Equation </w:t>
      </w:r>
      <w:r>
        <w:fldChar w:fldCharType="begin">
          <w:fldData xml:space="preserve">PEVuZE5vdGU+PENpdGU+PEF1dGhvcj5XaWxzb248L0F1dGhvcj48WWVhcj4xOTk4PC9ZZWFyPjxS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</w:fldData>
        </w:fldChar>
      </w:r>
      <w:r w:rsidR="00260D71">
        <w:instrText xml:space="preserve"> ADDIN EN.CITE </w:instrText>
      </w:r>
      <w:r w:rsidR="00260D71">
        <w:fldChar w:fldCharType="begin">
          <w:fldData xml:space="preserve">PEVuZE5vdGU+PENpdGU+PEF1dGhvcj5XaWxzb248L0F1dGhvcj48WWVhcj4xOTk4PC9ZZWFyPjxS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</w:fldData>
        </w:fldChar>
      </w:r>
      <w:r w:rsidR="00260D71">
        <w:instrText xml:space="preserve"> ADDIN EN.CITE.DATA </w:instrText>
      </w:r>
      <w:r w:rsidR="00260D71">
        <w:fldChar w:fldCharType="end"/>
      </w:r>
      <w:r>
        <w:fldChar w:fldCharType="separate"/>
      </w:r>
      <w:r w:rsidR="00260D71">
        <w:rPr>
          <w:noProof/>
        </w:rPr>
        <w:t>(Wilson et al. 1998)</w:t>
      </w:r>
      <w:r>
        <w:fldChar w:fldCharType="end"/>
      </w:r>
      <w:r w:rsidR="002D78D0">
        <w:t>)</w:t>
      </w:r>
      <w:r>
        <w:t xml:space="preserve"> to calculate an individual patient’s risk score.</w:t>
      </w:r>
      <w:r w:rsidRPr="00875537">
        <w:t xml:space="preserve"> </w:t>
      </w:r>
      <w:r>
        <w:t xml:space="preserve">The </w:t>
      </w:r>
      <w:r w:rsidRPr="00875537">
        <w:t xml:space="preserve">CVD risk </w:t>
      </w:r>
      <w:r>
        <w:t xml:space="preserve">score </w:t>
      </w:r>
      <w:r w:rsidRPr="00875537">
        <w:t xml:space="preserve">refers to the likelihood of a person experiencing a cardiovascular event within the next </w:t>
      </w:r>
      <w:r>
        <w:t>5</w:t>
      </w:r>
      <w:r w:rsidRPr="00875537">
        <w:t xml:space="preserve"> years</w:t>
      </w:r>
      <w:r>
        <w:t>.</w:t>
      </w:r>
    </w:p>
    <w:p w14:paraId="196F85C4" w14:textId="77777777" w:rsidR="004A2752" w:rsidRDefault="004A2752" w:rsidP="00695B36">
      <w:pPr>
        <w:jc w:val="left"/>
        <w:rPr>
          <w:u w:val="single"/>
        </w:rPr>
      </w:pPr>
      <w:r w:rsidRPr="00A53725">
        <w:rPr>
          <w:u w:val="single"/>
        </w:rPr>
        <w:t>CVD management</w:t>
      </w:r>
    </w:p>
    <w:p w14:paraId="590B1AC2" w14:textId="4F487C4C" w:rsidR="000D3F94" w:rsidRPr="00A53725" w:rsidRDefault="000D3F94" w:rsidP="00695B36">
      <w:pPr>
        <w:pBdr>
          <w:top w:val="single" w:sz="4" w:space="1" w:color="auto"/>
          <w:left w:val="single" w:sz="4" w:space="4" w:color="auto"/>
          <w:bottom w:val="single" w:sz="4" w:space="1" w:color="auto"/>
          <w:right w:val="single" w:sz="4" w:space="4" w:color="auto"/>
        </w:pBdr>
        <w:jc w:val="left"/>
      </w:pPr>
      <w:r>
        <w:t xml:space="preserve">The following information is from the current version of the Australian CVD guidelines, however we understand that there have been updates to this guideline that are currently out for consultation. </w:t>
      </w:r>
      <w:r w:rsidR="083F9621">
        <w:t xml:space="preserve"> The information below should be updated as relevant when the new version is available.</w:t>
      </w:r>
    </w:p>
    <w:p w14:paraId="666B5ECE" w14:textId="2C536135" w:rsidR="004A2752" w:rsidRDefault="004A2752" w:rsidP="00695B36">
      <w:pPr>
        <w:jc w:val="left"/>
      </w:pPr>
      <w:r w:rsidRPr="00DF4762">
        <w:lastRenderedPageBreak/>
        <w:t xml:space="preserve">The risk of CVD is greatly lowered </w:t>
      </w:r>
      <w:r>
        <w:t xml:space="preserve">through lifestyle modifications and pharmacotherapy. Lifestyle modifications include smoking cessation, maintaining a healthy weight, limiting alcohol and increasing physical activity, while </w:t>
      </w:r>
      <w:r w:rsidRPr="00DF4762">
        <w:t>the use of medications</w:t>
      </w:r>
      <w:r>
        <w:t xml:space="preserve"> most often includes those</w:t>
      </w:r>
      <w:r w:rsidRPr="00DF4762">
        <w:t xml:space="preserve"> that lower LDL-C </w:t>
      </w:r>
      <w:r>
        <w:t xml:space="preserve">and </w:t>
      </w:r>
      <w:r w:rsidR="00AF3D9E">
        <w:t>antihypertensives</w:t>
      </w:r>
      <w:r w:rsidRPr="00DF4762">
        <w:t xml:space="preserve">. </w:t>
      </w:r>
    </w:p>
    <w:p w14:paraId="4021044A" w14:textId="07854E7F" w:rsidR="004A2752" w:rsidRDefault="004A2752" w:rsidP="00695B36">
      <w:pPr>
        <w:spacing w:after="120"/>
        <w:jc w:val="left"/>
      </w:pPr>
      <w:r w:rsidRPr="002B067D">
        <w:t xml:space="preserve">Over 107 million </w:t>
      </w:r>
      <w:r w:rsidRPr="005713AB">
        <w:t xml:space="preserve">Pharmaceutical Benefits Scheme </w:t>
      </w:r>
      <w:r>
        <w:t>(</w:t>
      </w:r>
      <w:r w:rsidRPr="002B067D">
        <w:t>PBS</w:t>
      </w:r>
      <w:r>
        <w:t>)</w:t>
      </w:r>
      <w:r w:rsidRPr="002B067D">
        <w:t xml:space="preserve"> prescriptions</w:t>
      </w:r>
      <w:r>
        <w:t xml:space="preserve"> </w:t>
      </w:r>
      <w:r w:rsidRPr="002B067D">
        <w:t>for cardiovascular medicines</w:t>
      </w:r>
      <w:r>
        <w:t xml:space="preserve"> </w:t>
      </w:r>
      <w:r w:rsidRPr="002B067D">
        <w:t>were supplied to the Australian community in 2019–</w:t>
      </w:r>
      <w:r>
        <w:t>20</w:t>
      </w:r>
      <w:r w:rsidRPr="002B067D">
        <w:t>20</w:t>
      </w:r>
      <w:r w:rsidRPr="001C5930">
        <w:t xml:space="preserve"> </w:t>
      </w:r>
      <w:r>
        <w:fldChar w:fldCharType="begin"/>
      </w:r>
      <w:r>
        <w:instrText xml:space="preserve"> ADDIN EN.CITE &lt;EndNote&gt;&lt;Cite&gt;&lt;Author&gt;AIHW&lt;/Author&gt;&lt;Year&gt;2021&lt;/Year&gt;&lt;RecNum&gt;3&lt;/RecNum&gt;&lt;DisplayText&gt;(AIHW 2021a)&lt;/DisplayText&gt;&lt;record&gt;&lt;rec-number&gt;3&lt;/rec-number&gt;&lt;foreign-keys&gt;&lt;key app="EN" db-id="p5dp00za8apvt8e25vqv22rzzpwt5tvtsr0r" timestamp="1667175003"&gt;3&lt;/key&gt;&lt;/foreign-keys&gt;&lt;ref-type name="Web Page"&gt;12&lt;/ref-type&gt;&lt;contributors&gt;&lt;authors&gt;&lt;author&gt;AIHW,&lt;/author&gt;&lt;/authors&gt;&lt;/contributors&gt;&lt;titles&gt;&lt;title&gt;Heart, stroke and vascular disease - Australian facts&lt;/title&gt;&lt;secondary-title&gt;Cardiovascular disease hospitalisations in Australia 2018-19&lt;/secondary-title&gt;&lt;/titles&gt;&lt;dates&gt;&lt;year&gt;2021&lt;/year&gt;&lt;/dates&gt;&lt;urls&gt;&lt;related-urls&gt;&lt;url&gt;https://www.aihw.gov.au/reports/heart-stroke-vascular-diseases/hsvd-facts/contents/explore-the-data &lt;/url&gt;&lt;/related-urls&gt;&lt;/urls&gt;&lt;/record&gt;&lt;/Cite&gt;&lt;/EndNote&gt;</w:instrText>
      </w:r>
      <w:r>
        <w:fldChar w:fldCharType="separate"/>
      </w:r>
      <w:r>
        <w:rPr>
          <w:noProof/>
        </w:rPr>
        <w:t>(AIHW 2021a)</w:t>
      </w:r>
      <w:r>
        <w:fldChar w:fldCharType="end"/>
      </w:r>
      <w:r w:rsidRPr="002B067D">
        <w:t>. These comprised</w:t>
      </w:r>
      <w:r>
        <w:t xml:space="preserve"> </w:t>
      </w:r>
      <w:r w:rsidRPr="002B067D">
        <w:t xml:space="preserve">one-third (35%) of </w:t>
      </w:r>
      <w:r>
        <w:t xml:space="preserve">the </w:t>
      </w:r>
      <w:r w:rsidRPr="002B067D">
        <w:t xml:space="preserve">total number of PBS prescriptions. </w:t>
      </w:r>
      <w:r w:rsidRPr="002B067D">
        <w:rPr>
          <w:lang w:val="en-NZ"/>
        </w:rPr>
        <w:t>Rosuvastatin (12.7 million) and atorvastatin (11.0 million)</w:t>
      </w:r>
      <w:r>
        <w:rPr>
          <w:lang w:val="en-NZ"/>
        </w:rPr>
        <w:t>—</w:t>
      </w:r>
      <w:r w:rsidRPr="002B067D">
        <w:rPr>
          <w:lang w:val="en-NZ"/>
        </w:rPr>
        <w:t>both lipid-modifying medicines—and perindopril (6.6 million)</w:t>
      </w:r>
      <w:r>
        <w:rPr>
          <w:lang w:val="en-NZ"/>
        </w:rPr>
        <w:t>—</w:t>
      </w:r>
      <w:r w:rsidRPr="002B067D">
        <w:rPr>
          <w:lang w:val="en-NZ"/>
        </w:rPr>
        <w:t xml:space="preserve">a </w:t>
      </w:r>
      <w:r>
        <w:rPr>
          <w:lang w:val="en-NZ"/>
        </w:rPr>
        <w:t>BP</w:t>
      </w:r>
      <w:r w:rsidRPr="002B067D">
        <w:rPr>
          <w:lang w:val="en-NZ"/>
        </w:rPr>
        <w:t xml:space="preserve"> lowering medicine—were among the most commonly supplied PBS medicines in Australia in 2019–</w:t>
      </w:r>
      <w:r>
        <w:rPr>
          <w:lang w:val="en-NZ"/>
        </w:rPr>
        <w:t>20</w:t>
      </w:r>
      <w:r w:rsidRPr="002B067D">
        <w:rPr>
          <w:lang w:val="en-NZ"/>
        </w:rPr>
        <w:t>20</w:t>
      </w:r>
      <w:r w:rsidRPr="002B067D">
        <w:t xml:space="preserve"> </w:t>
      </w:r>
      <w:r>
        <w:fldChar w:fldCharType="begin"/>
      </w:r>
      <w:r>
        <w:instrText xml:space="preserve"> ADDIN EN.CITE &lt;EndNote&gt;&lt;Cite&gt;&lt;Author&gt;AIHW&lt;/Author&gt;&lt;Year&gt;2021&lt;/Year&gt;&lt;RecNum&gt;3&lt;/RecNum&gt;&lt;DisplayText&gt;(AIHW 2021a)&lt;/DisplayText&gt;&lt;record&gt;&lt;rec-number&gt;3&lt;/rec-number&gt;&lt;foreign-keys&gt;&lt;key app="EN" db-id="p5dp00za8apvt8e25vqv22rzzpwt5tvtsr0r" timestamp="1667175003"&gt;3&lt;/key&gt;&lt;/foreign-keys&gt;&lt;ref-type name="Web Page"&gt;12&lt;/ref-type&gt;&lt;contributors&gt;&lt;authors&gt;&lt;author&gt;AIHW,&lt;/author&gt;&lt;/authors&gt;&lt;/contributors&gt;&lt;titles&gt;&lt;title&gt;Heart, stroke and vascular disease - Australian facts&lt;/title&gt;&lt;secondary-title&gt;Cardiovascular disease hospitalisations in Australia 2018-19&lt;/secondary-title&gt;&lt;/titles&gt;&lt;dates&gt;&lt;year&gt;2021&lt;/year&gt;&lt;/dates&gt;&lt;urls&gt;&lt;related-urls&gt;&lt;url&gt;https://www.aihw.gov.au/reports/heart-stroke-vascular-diseases/hsvd-facts/contents/explore-the-data &lt;/url&gt;&lt;/related-urls&gt;&lt;/urls&gt;&lt;/record&gt;&lt;/Cite&gt;&lt;/EndNote&gt;</w:instrText>
      </w:r>
      <w:r>
        <w:fldChar w:fldCharType="separate"/>
      </w:r>
      <w:r>
        <w:rPr>
          <w:noProof/>
        </w:rPr>
        <w:t>(AIHW 2021a)</w:t>
      </w:r>
      <w:r>
        <w:fldChar w:fldCharType="end"/>
      </w:r>
      <w:r>
        <w:t>.</w:t>
      </w:r>
    </w:p>
    <w:p w14:paraId="4DAE6399" w14:textId="1AE989EE" w:rsidR="004A2752" w:rsidRDefault="004A2752" w:rsidP="00695B36">
      <w:pPr>
        <w:pStyle w:val="Caption"/>
        <w:spacing w:before="120"/>
        <w:jc w:val="left"/>
      </w:pPr>
      <w:bookmarkStart w:id="6" w:name="_Ref118382462"/>
      <w:bookmarkStart w:id="7" w:name="_Ref118455342"/>
      <w:r>
        <w:t xml:space="preserve">Table </w:t>
      </w:r>
      <w:r>
        <w:fldChar w:fldCharType="begin"/>
      </w:r>
      <w:r>
        <w:instrText xml:space="preserve"> SEQ Table \* ARABIC </w:instrText>
      </w:r>
      <w:r>
        <w:fldChar w:fldCharType="separate"/>
      </w:r>
      <w:r w:rsidR="002F6340">
        <w:rPr>
          <w:noProof/>
        </w:rPr>
        <w:t>3</w:t>
      </w:r>
      <w:r>
        <w:fldChar w:fldCharType="end"/>
      </w:r>
      <w:bookmarkEnd w:id="6"/>
      <w:r>
        <w:tab/>
      </w:r>
      <w:bookmarkStart w:id="8" w:name="_Ref118455335"/>
      <w:r w:rsidRPr="00EF20A8">
        <w:t xml:space="preserve">Risk factors that may be considered for absolute </w:t>
      </w:r>
      <w:r>
        <w:t>cardiovascular disease</w:t>
      </w:r>
      <w:r w:rsidRPr="00EF20A8">
        <w:t xml:space="preserve"> risk assessment</w:t>
      </w:r>
      <w:bookmarkEnd w:id="7"/>
      <w:bookmarkEnd w:id="8"/>
    </w:p>
    <w:p w14:paraId="7245D784" w14:textId="1BF8B6E5" w:rsidR="007C7E90" w:rsidRDefault="004A2752" w:rsidP="00695B36">
      <w:pPr>
        <w:spacing w:after="160" w:line="259" w:lineRule="auto"/>
        <w:jc w:val="left"/>
      </w:pPr>
      <w:r>
        <w:rPr>
          <w:noProof/>
        </w:rPr>
        <w:drawing>
          <wp:inline distT="0" distB="0" distL="0" distR="0" wp14:anchorId="2D1CB3D1" wp14:editId="5B4A530F">
            <wp:extent cx="5645537" cy="6872287"/>
            <wp:effectExtent l="0" t="0" r="0" b="5080"/>
            <wp:docPr id="380" name="Picture 380" descr="Absolute-CVD-Risk-Full-Guidelines_2.pdf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Absolute-CVD-Risk-Full-Guidelines_2.pdf - Google Chro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653988" cy="6882574"/>
                    </a:xfrm>
                    <a:prstGeom prst="rect">
                      <a:avLst/>
                    </a:prstGeom>
                    <a:ln>
                      <a:noFill/>
                    </a:ln>
                    <a:extLst>
                      <a:ext uri="{53640926-AAD7-44D8-BBD7-CCE9431645EC}">
                        <a14:shadowObscured xmlns:a14="http://schemas.microsoft.com/office/drawing/2010/main"/>
                      </a:ext>
                    </a:extLst>
                  </pic:spPr>
                </pic:pic>
              </a:graphicData>
            </a:graphic>
          </wp:inline>
        </w:drawing>
      </w:r>
    </w:p>
    <w:p w14:paraId="52F2B077" w14:textId="3BE15363" w:rsidR="00DD5CCA" w:rsidRDefault="00DD5CCA" w:rsidP="00695B36">
      <w:pPr>
        <w:pStyle w:val="Tablenotes0"/>
        <w:jc w:val="left"/>
      </w:pPr>
      <w:r w:rsidRPr="00F132BC">
        <w:rPr>
          <w:b/>
          <w:u w:val="single"/>
        </w:rPr>
        <w:lastRenderedPageBreak/>
        <w:t>Abbreviations</w:t>
      </w:r>
      <w:r w:rsidRPr="00F132BC">
        <w:br/>
      </w:r>
      <w:r w:rsidRPr="00F132BC">
        <w:rPr>
          <w:b/>
        </w:rPr>
        <w:t>ASCVD</w:t>
      </w:r>
      <w:r w:rsidRPr="00F132BC">
        <w:t xml:space="preserve"> </w:t>
      </w:r>
      <w:r w:rsidRPr="00F132BC">
        <w:rPr>
          <w:b/>
        </w:rPr>
        <w:t>=</w:t>
      </w:r>
      <w:r w:rsidRPr="00F132BC">
        <w:t xml:space="preserve"> atherosclerotic cardiovascular disease, </w:t>
      </w:r>
      <w:r w:rsidR="0082171E" w:rsidRPr="0082171E">
        <w:rPr>
          <w:b/>
          <w:bCs w:val="0"/>
        </w:rPr>
        <w:t>BMI =</w:t>
      </w:r>
      <w:r w:rsidR="0082171E">
        <w:t xml:space="preserve"> Body mass index, </w:t>
      </w:r>
      <w:r w:rsidRPr="00DD5CCA">
        <w:rPr>
          <w:b/>
          <w:bCs w:val="0"/>
        </w:rPr>
        <w:t>BP =</w:t>
      </w:r>
      <w:r>
        <w:t xml:space="preserve"> Blood pressure, </w:t>
      </w:r>
      <w:r w:rsidR="0082171E" w:rsidRPr="0082171E">
        <w:rPr>
          <w:b/>
          <w:bCs w:val="0"/>
        </w:rPr>
        <w:t>CHD =</w:t>
      </w:r>
      <w:r w:rsidR="0082171E">
        <w:t xml:space="preserve"> Coronary heart disease, </w:t>
      </w:r>
      <w:r w:rsidR="002F50FB" w:rsidRPr="002F50FB">
        <w:rPr>
          <w:b/>
          <w:bCs w:val="0"/>
        </w:rPr>
        <w:t>CKD =</w:t>
      </w:r>
      <w:r w:rsidR="002F50FB">
        <w:t xml:space="preserve"> Chronic kidney disease, </w:t>
      </w:r>
      <w:r w:rsidRPr="00F132BC">
        <w:rPr>
          <w:b/>
        </w:rPr>
        <w:t>CVD</w:t>
      </w:r>
      <w:r w:rsidRPr="00F132BC">
        <w:t xml:space="preserve"> </w:t>
      </w:r>
      <w:r w:rsidRPr="00F132BC">
        <w:rPr>
          <w:b/>
        </w:rPr>
        <w:t>=</w:t>
      </w:r>
      <w:r w:rsidRPr="00F132BC">
        <w:t xml:space="preserve"> cardiovascular disease,</w:t>
      </w:r>
      <w:r w:rsidR="002F50FB">
        <w:t xml:space="preserve"> </w:t>
      </w:r>
      <w:r w:rsidR="002F50FB" w:rsidRPr="002F50FB">
        <w:rPr>
          <w:b/>
          <w:bCs w:val="0"/>
        </w:rPr>
        <w:t>eGFR =</w:t>
      </w:r>
      <w:r w:rsidR="002F50FB">
        <w:t xml:space="preserve"> estimated glomerular filtration rate, </w:t>
      </w:r>
      <w:r w:rsidRPr="00F132BC">
        <w:rPr>
          <w:b/>
        </w:rPr>
        <w:t>ESC</w:t>
      </w:r>
      <w:r w:rsidRPr="00F132BC">
        <w:t xml:space="preserve"> </w:t>
      </w:r>
      <w:r w:rsidRPr="00F132BC">
        <w:rPr>
          <w:b/>
        </w:rPr>
        <w:t>=</w:t>
      </w:r>
      <w:r w:rsidRPr="00F132BC">
        <w:t xml:space="preserve"> European Society of Cardiology, </w:t>
      </w:r>
      <w:r w:rsidR="0082171E" w:rsidRPr="0082171E">
        <w:rPr>
          <w:b/>
          <w:bCs w:val="0"/>
        </w:rPr>
        <w:t>HBA1C =</w:t>
      </w:r>
      <w:r w:rsidR="0082171E">
        <w:t xml:space="preserve"> </w:t>
      </w:r>
      <w:r w:rsidR="00950523">
        <w:t>Haemoglobin</w:t>
      </w:r>
      <w:r w:rsidR="0082171E">
        <w:t xml:space="preserve"> A1C, </w:t>
      </w:r>
      <w:r w:rsidR="00336F49" w:rsidRPr="00F132BC">
        <w:rPr>
          <w:b/>
        </w:rPr>
        <w:t>HDL</w:t>
      </w:r>
      <w:r w:rsidR="00336F49" w:rsidRPr="00F132BC">
        <w:t xml:space="preserve"> </w:t>
      </w:r>
      <w:r w:rsidR="00336F49" w:rsidRPr="00F132BC">
        <w:rPr>
          <w:b/>
        </w:rPr>
        <w:t>=</w:t>
      </w:r>
      <w:r w:rsidR="00336F49" w:rsidRPr="00F132BC">
        <w:t xml:space="preserve"> high</w:t>
      </w:r>
      <w:r w:rsidR="00336F49" w:rsidRPr="00F132BC">
        <w:rPr>
          <w:rFonts w:ascii="Cambria Math" w:hAnsi="Cambria Math" w:cs="Cambria Math"/>
        </w:rPr>
        <w:t>‑</w:t>
      </w:r>
      <w:r w:rsidR="00336F49" w:rsidRPr="00F132BC">
        <w:t>density lipoprotein</w:t>
      </w:r>
      <w:r w:rsidR="00336F49">
        <w:t xml:space="preserve">, </w:t>
      </w:r>
      <w:r w:rsidRPr="00F132BC">
        <w:rPr>
          <w:b/>
        </w:rPr>
        <w:t>HDL</w:t>
      </w:r>
      <w:r w:rsidR="00653499">
        <w:rPr>
          <w:b/>
        </w:rPr>
        <w:t>-C</w:t>
      </w:r>
      <w:r w:rsidRPr="00F132BC">
        <w:t xml:space="preserve"> </w:t>
      </w:r>
      <w:r w:rsidRPr="00F132BC">
        <w:rPr>
          <w:b/>
        </w:rPr>
        <w:t>=</w:t>
      </w:r>
      <w:r w:rsidRPr="00F132BC">
        <w:t xml:space="preserve"> high</w:t>
      </w:r>
      <w:r w:rsidRPr="00F132BC">
        <w:rPr>
          <w:rFonts w:ascii="Cambria Math" w:hAnsi="Cambria Math" w:cs="Cambria Math"/>
        </w:rPr>
        <w:t>‑</w:t>
      </w:r>
      <w:r w:rsidRPr="00F132BC">
        <w:t>density lipoprotein</w:t>
      </w:r>
      <w:r w:rsidR="00653499">
        <w:t xml:space="preserve"> </w:t>
      </w:r>
      <w:r w:rsidR="00336F49">
        <w:t>cholesterol</w:t>
      </w:r>
      <w:r w:rsidRPr="00F132BC">
        <w:t xml:space="preserve">, </w:t>
      </w:r>
      <w:r w:rsidRPr="00F132BC">
        <w:rPr>
          <w:b/>
        </w:rPr>
        <w:t>HRQoL</w:t>
      </w:r>
      <w:r w:rsidRPr="00F132BC">
        <w:t xml:space="preserve"> </w:t>
      </w:r>
      <w:r w:rsidRPr="00F132BC">
        <w:rPr>
          <w:b/>
        </w:rPr>
        <w:t>=</w:t>
      </w:r>
      <w:r w:rsidRPr="00F132BC">
        <w:t xml:space="preserve"> health-related quality of life, </w:t>
      </w:r>
      <w:r w:rsidRPr="00F132BC">
        <w:rPr>
          <w:b/>
        </w:rPr>
        <w:t>LDL-C</w:t>
      </w:r>
      <w:r w:rsidRPr="00F132BC">
        <w:t xml:space="preserve"> </w:t>
      </w:r>
      <w:r w:rsidRPr="00F132BC">
        <w:rPr>
          <w:b/>
        </w:rPr>
        <w:t>=</w:t>
      </w:r>
      <w:r w:rsidRPr="00F132BC">
        <w:t xml:space="preserve"> low-density lipoprotein cholesterol, </w:t>
      </w:r>
      <w:r w:rsidRPr="00F132BC">
        <w:rPr>
          <w:b/>
        </w:rPr>
        <w:t>Lp(a)</w:t>
      </w:r>
      <w:r w:rsidRPr="00F132BC">
        <w:t xml:space="preserve"> </w:t>
      </w:r>
      <w:r w:rsidRPr="00F132BC">
        <w:rPr>
          <w:b/>
        </w:rPr>
        <w:t>=</w:t>
      </w:r>
      <w:r w:rsidRPr="00F132BC">
        <w:t xml:space="preserve"> lipoprotein(a), </w:t>
      </w:r>
      <w:r w:rsidR="00DD67CE" w:rsidRPr="00DD67CE">
        <w:rPr>
          <w:b/>
          <w:bCs w:val="0"/>
        </w:rPr>
        <w:t>LVH =</w:t>
      </w:r>
      <w:r w:rsidR="00DD67CE">
        <w:t xml:space="preserve"> Left ventricular hypertrophy, </w:t>
      </w:r>
      <w:r w:rsidR="0046264F" w:rsidRPr="0046264F">
        <w:rPr>
          <w:b/>
          <w:bCs w:val="0"/>
        </w:rPr>
        <w:t>OGTT =</w:t>
      </w:r>
      <w:r w:rsidR="0046264F">
        <w:t xml:space="preserve"> Oral glucose tolerance test, </w:t>
      </w:r>
      <w:r w:rsidRPr="00F132BC">
        <w:rPr>
          <w:b/>
        </w:rPr>
        <w:t>PROCAM</w:t>
      </w:r>
      <w:r w:rsidRPr="00F132BC">
        <w:t xml:space="preserve"> </w:t>
      </w:r>
      <w:r w:rsidRPr="00F132BC">
        <w:rPr>
          <w:b/>
        </w:rPr>
        <w:t>=</w:t>
      </w:r>
      <w:r w:rsidRPr="00F132BC">
        <w:t xml:space="preserve"> Prospective Cardiovascular Münster Study, </w:t>
      </w:r>
      <w:r w:rsidRPr="00F132BC">
        <w:rPr>
          <w:b/>
        </w:rPr>
        <w:t>ROC</w:t>
      </w:r>
      <w:r w:rsidRPr="00F132BC">
        <w:t xml:space="preserve"> </w:t>
      </w:r>
      <w:r w:rsidRPr="00F132BC">
        <w:rPr>
          <w:b/>
        </w:rPr>
        <w:t>=</w:t>
      </w:r>
      <w:r w:rsidRPr="00F132BC">
        <w:t xml:space="preserve"> </w:t>
      </w:r>
      <w:r>
        <w:t>r</w:t>
      </w:r>
      <w:r w:rsidRPr="00F132BC">
        <w:t>eceiver operating characteristic</w:t>
      </w:r>
      <w:r>
        <w:t xml:space="preserve">, </w:t>
      </w:r>
      <w:r w:rsidR="00653499" w:rsidRPr="00653499">
        <w:rPr>
          <w:b/>
          <w:bCs w:val="0"/>
        </w:rPr>
        <w:t>TC =</w:t>
      </w:r>
      <w:r w:rsidR="00653499">
        <w:t xml:space="preserve"> Total cholesterol</w:t>
      </w:r>
      <w:r w:rsidR="00DD67CE">
        <w:t xml:space="preserve">, </w:t>
      </w:r>
      <w:r w:rsidR="00950523" w:rsidRPr="00950523">
        <w:rPr>
          <w:b/>
          <w:bCs w:val="0"/>
        </w:rPr>
        <w:t>UACR =</w:t>
      </w:r>
      <w:r w:rsidR="00950523">
        <w:t xml:space="preserve"> Urinary albumin:creatinine ratio</w:t>
      </w:r>
    </w:p>
    <w:p w14:paraId="64E1B084" w14:textId="3B5D9556" w:rsidR="00402EEC" w:rsidRDefault="00D27CA0" w:rsidP="00695B36">
      <w:pPr>
        <w:pStyle w:val="Tablenotes0"/>
        <w:jc w:val="left"/>
      </w:pPr>
      <w:r w:rsidRPr="00EE3F20">
        <w:rPr>
          <w:b/>
          <w:bCs w:val="0"/>
          <w:u w:val="single"/>
        </w:rPr>
        <w:t>Notes:</w:t>
      </w:r>
      <w:r>
        <w:t xml:space="preserve"> There are references </w:t>
      </w:r>
      <w:r w:rsidR="00EE3F20">
        <w:t>listed in the Waist Circumference and BMI risk factor category; these can be found in the guideline text cited below.</w:t>
      </w:r>
    </w:p>
    <w:p w14:paraId="19D2AF35" w14:textId="750E59B8" w:rsidR="00402EEC" w:rsidRDefault="00402EEC" w:rsidP="00464CDA">
      <w:pPr>
        <w:pStyle w:val="Tablenotes0"/>
        <w:spacing w:after="240"/>
        <w:jc w:val="left"/>
      </w:pPr>
      <w:r w:rsidRPr="00EE3F20">
        <w:rPr>
          <w:b/>
          <w:bCs w:val="0"/>
          <w:u w:val="single"/>
        </w:rPr>
        <w:t>Source:</w:t>
      </w:r>
      <w:r>
        <w:t xml:space="preserve"> </w:t>
      </w:r>
      <w:r w:rsidR="00D27CA0" w:rsidRPr="00D27CA0">
        <w:t xml:space="preserve">National Vascular Disease Prevention Alliance 2012, </w:t>
      </w:r>
      <w:r w:rsidR="00D27CA0" w:rsidRPr="00D27CA0">
        <w:rPr>
          <w:i/>
        </w:rPr>
        <w:t>Guidelines for the management of absolute cardiovascular disease risk</w:t>
      </w:r>
      <w:r w:rsidR="00D27CA0" w:rsidRPr="00D27CA0">
        <w:t>, &lt;</w:t>
      </w:r>
      <w:hyperlink r:id="rId13" w:history="1">
        <w:r w:rsidR="00D27CA0" w:rsidRPr="00D27CA0">
          <w:rPr>
            <w:rStyle w:val="Hyperlink"/>
            <w:rFonts w:ascii="Arial Narrow" w:hAnsi="Arial Narrow" w:cs="Tahoma"/>
          </w:rPr>
          <w:t>https://www.heartfoundation.org.au/getmedia/4342a70f-4487-496e-bbb0-dae33a47fcb2/Absolute-CVD-Risk-Full-Guidelines_2.pdf</w:t>
        </w:r>
      </w:hyperlink>
      <w:r w:rsidR="00D27CA0" w:rsidRPr="00D27CA0">
        <w:t>&gt;</w:t>
      </w:r>
    </w:p>
    <w:p w14:paraId="610502C4" w14:textId="77777777" w:rsidR="004A2752" w:rsidRPr="00FF3632" w:rsidRDefault="004A2752" w:rsidP="00695B36">
      <w:pPr>
        <w:pStyle w:val="Instructionaltext"/>
        <w:jc w:val="left"/>
        <w:rPr>
          <w:color w:val="auto"/>
          <w:u w:val="single"/>
        </w:rPr>
      </w:pPr>
      <w:r>
        <w:rPr>
          <w:color w:val="auto"/>
          <w:u w:val="single"/>
        </w:rPr>
        <w:t>Eligible</w:t>
      </w:r>
      <w:r w:rsidRPr="00FF3632">
        <w:rPr>
          <w:color w:val="auto"/>
          <w:u w:val="single"/>
        </w:rPr>
        <w:t xml:space="preserve"> candidates for </w:t>
      </w:r>
      <w:r>
        <w:rPr>
          <w:color w:val="auto"/>
          <w:u w:val="single"/>
        </w:rPr>
        <w:t>Lp(a) testing</w:t>
      </w:r>
    </w:p>
    <w:p w14:paraId="1848082D" w14:textId="3F30FC4B" w:rsidR="004A2752" w:rsidRDefault="004A2752" w:rsidP="00695B36">
      <w:pPr>
        <w:jc w:val="left"/>
      </w:pPr>
      <w:r w:rsidRPr="00DD0624">
        <w:t xml:space="preserve">Lp(a) </w:t>
      </w:r>
      <w:r>
        <w:t>has been found by a recent systematic review</w:t>
      </w:r>
      <w:r w:rsidRPr="00DD0624">
        <w:t xml:space="preserve"> to be an independent risk factor for coronary heart disease death, nonfatal myocardial infarction, and stroke</w:t>
      </w:r>
      <w:r>
        <w:t xml:space="preserve"> </w:t>
      </w:r>
      <w:r>
        <w:fldChar w:fldCharType="begin">
          <w:fldData xml:space="preserve">PEVuZE5vdGU+PENpdGU+PEF1dGhvcj5Gb3JiZXM8L0F1dGhvcj48WWVhcj4yMDE2PC9ZZWFyPjxS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=
</w:fldData>
        </w:fldChar>
      </w:r>
      <w:r w:rsidR="00D77B31">
        <w:instrText xml:space="preserve"> ADDIN EN.CITE </w:instrText>
      </w:r>
      <w:r w:rsidR="00D77B31">
        <w:fldChar w:fldCharType="begin">
          <w:fldData xml:space="preserve">PEVuZE5vdGU+PENpdGU+PEF1dGhvcj5Gb3JiZXM8L0F1dGhvcj48WWVhcj4yMDE2PC9ZZWFyPjxS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=
</w:fldData>
        </w:fldChar>
      </w:r>
      <w:r w:rsidR="00D77B31">
        <w:instrText xml:space="preserve"> ADDIN EN.CITE.DATA </w:instrText>
      </w:r>
      <w:r w:rsidR="00D77B31">
        <w:fldChar w:fldCharType="end"/>
      </w:r>
      <w:r>
        <w:fldChar w:fldCharType="separate"/>
      </w:r>
      <w:r w:rsidR="00D77B31">
        <w:rPr>
          <w:noProof/>
        </w:rPr>
        <w:t>(Forbes et al. 2016)</w:t>
      </w:r>
      <w:r>
        <w:fldChar w:fldCharType="end"/>
      </w:r>
      <w:r w:rsidRPr="00DD0624">
        <w:t xml:space="preserve">. </w:t>
      </w:r>
      <w:r>
        <w:t xml:space="preserve">The review reported </w:t>
      </w:r>
      <w:r w:rsidRPr="00C348F2">
        <w:t>an independent positive association between Lp(a) and the risk of future CVD events both in the general population and in high-risk populations, including those with diabetes</w:t>
      </w:r>
      <w:r>
        <w:t xml:space="preserve"> and</w:t>
      </w:r>
      <w:r w:rsidRPr="00C348F2">
        <w:t xml:space="preserve"> hypertension or on dialysis</w:t>
      </w:r>
      <w:r>
        <w:t xml:space="preserve"> </w:t>
      </w:r>
      <w:r>
        <w:fldChar w:fldCharType="begin">
          <w:fldData xml:space="preserve">PEVuZE5vdGU+PENpdGU+PEF1dGhvcj5Gb3JiZXM8L0F1dGhvcj48WWVhcj4yMDE2PC9ZZWFyPjxS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=
</w:fldData>
        </w:fldChar>
      </w:r>
      <w:r w:rsidR="00D77B31">
        <w:instrText xml:space="preserve"> ADDIN EN.CITE </w:instrText>
      </w:r>
      <w:r w:rsidR="00D77B31">
        <w:fldChar w:fldCharType="begin">
          <w:fldData xml:space="preserve">PEVuZE5vdGU+PENpdGU+PEF1dGhvcj5Gb3JiZXM8L0F1dGhvcj48WWVhcj4yMDE2PC9ZZWFyPjxS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=
</w:fldData>
        </w:fldChar>
      </w:r>
      <w:r w:rsidR="00D77B31">
        <w:instrText xml:space="preserve"> ADDIN EN.CITE.DATA </w:instrText>
      </w:r>
      <w:r w:rsidR="00D77B31">
        <w:fldChar w:fldCharType="end"/>
      </w:r>
      <w:r>
        <w:fldChar w:fldCharType="separate"/>
      </w:r>
      <w:r w:rsidR="00D77B31">
        <w:rPr>
          <w:noProof/>
        </w:rPr>
        <w:t>(Forbes et al. 2016)</w:t>
      </w:r>
      <w:r>
        <w:fldChar w:fldCharType="end"/>
      </w:r>
      <w:r>
        <w:t>.</w:t>
      </w:r>
      <w:r w:rsidRPr="00115CE7">
        <w:t xml:space="preserve"> Approximately 1 in 5 individuals have Lp(a) </w:t>
      </w:r>
      <w:r w:rsidR="002143FF">
        <w:t>concentration</w:t>
      </w:r>
      <w:r w:rsidRPr="00115CE7">
        <w:t xml:space="preserve"> &gt;150</w:t>
      </w:r>
      <w:r>
        <w:t> </w:t>
      </w:r>
      <w:r w:rsidRPr="00115CE7">
        <w:t xml:space="preserve">nmol/L, which is associated with </w:t>
      </w:r>
      <w:r w:rsidR="00631E2E">
        <w:t xml:space="preserve">a </w:t>
      </w:r>
      <w:r w:rsidRPr="00115CE7">
        <w:t>1.5-fold risk for C</w:t>
      </w:r>
      <w:r>
        <w:t>V</w:t>
      </w:r>
      <w:r w:rsidRPr="00115CE7">
        <w:t>D</w:t>
      </w:r>
      <w:r w:rsidRPr="002E157C">
        <w:t xml:space="preserve"> </w:t>
      </w:r>
      <w:r>
        <w:fldChar w:fldCharType="begin">
          <w:fldData xml:space="preserve">PEVuZE5vdGU+PENpdGU+PEF1dGhvcj5Gb3JiZXM8L0F1dGhvcj48WWVhcj4yMDE2PC9ZZWFyPjxS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</w:fldData>
        </w:fldChar>
      </w:r>
      <w:r w:rsidR="00D77B31">
        <w:instrText xml:space="preserve"> ADDIN EN.CITE </w:instrText>
      </w:r>
      <w:r w:rsidR="00D77B31">
        <w:fldChar w:fldCharType="begin">
          <w:fldData xml:space="preserve">PEVuZE5vdGU+PENpdGU+PEF1dGhvcj5Gb3JiZXM8L0F1dGhvcj48WWVhcj4yMDE2PC9ZZWFyPjxS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</w:fldData>
        </w:fldChar>
      </w:r>
      <w:r w:rsidR="00D77B31">
        <w:instrText xml:space="preserve"> ADDIN EN.CITE.DATA </w:instrText>
      </w:r>
      <w:r w:rsidR="00D77B31">
        <w:fldChar w:fldCharType="end"/>
      </w:r>
      <w:r>
        <w:fldChar w:fldCharType="separate"/>
      </w:r>
      <w:r w:rsidR="00D77B31">
        <w:rPr>
          <w:noProof/>
        </w:rPr>
        <w:t>(Forbes et al. 2016)</w:t>
      </w:r>
      <w:r>
        <w:fldChar w:fldCharType="end"/>
      </w:r>
      <w:r w:rsidRPr="00115CE7">
        <w:t xml:space="preserve">. Individuals with very high </w:t>
      </w:r>
      <w:r w:rsidR="002143FF">
        <w:t>concentration</w:t>
      </w:r>
      <w:r w:rsidRPr="00115CE7">
        <w:t xml:space="preserve"> of Lp(a) may have an increased C</w:t>
      </w:r>
      <w:r>
        <w:t>V</w:t>
      </w:r>
      <w:r w:rsidRPr="00115CE7">
        <w:t xml:space="preserve">D risk </w:t>
      </w:r>
      <w:r>
        <w:t>(</w:t>
      </w:r>
      <w:r w:rsidRPr="00115CE7">
        <w:t>4</w:t>
      </w:r>
      <w:r>
        <w:t>-</w:t>
      </w:r>
      <w:r w:rsidRPr="00115CE7">
        <w:t xml:space="preserve"> </w:t>
      </w:r>
      <w:r>
        <w:t>to</w:t>
      </w:r>
      <w:r w:rsidRPr="00115CE7">
        <w:t xml:space="preserve"> 8-fold</w:t>
      </w:r>
      <w:r>
        <w:t>)</w:t>
      </w:r>
      <w:r w:rsidRPr="00115CE7">
        <w:t xml:space="preserve"> compared with individuals with normal Lp(a). </w:t>
      </w:r>
    </w:p>
    <w:p w14:paraId="6B93BDE1" w14:textId="554B9B24" w:rsidR="004A2752" w:rsidRPr="00D01FF4" w:rsidRDefault="004A2752" w:rsidP="00695B36">
      <w:pPr>
        <w:jc w:val="left"/>
        <w:rPr>
          <w:rFonts w:eastAsiaTheme="minorHAnsi" w:cstheme="minorBidi"/>
        </w:rPr>
      </w:pPr>
      <w:r>
        <w:t>Prior to a Lp(a) test, patient</w:t>
      </w:r>
      <w:r w:rsidR="00B03742">
        <w:t>s</w:t>
      </w:r>
      <w:r>
        <w:t xml:space="preserve"> </w:t>
      </w:r>
      <w:r w:rsidR="00B03742">
        <w:t xml:space="preserve">from </w:t>
      </w:r>
      <w:r w:rsidR="002A1EBF" w:rsidRPr="004D46D0">
        <w:t>the index population</w:t>
      </w:r>
      <w:r w:rsidRPr="004D46D0">
        <w:t xml:space="preserve"> </w:t>
      </w:r>
      <w:r>
        <w:t>must have had a CVD risk assessment completed</w:t>
      </w:r>
      <w:r w:rsidR="004D46D0" w:rsidRPr="00CF5629">
        <w:t xml:space="preserve">, </w:t>
      </w:r>
      <w:r w:rsidR="004D46D0" w:rsidRPr="004D46D0">
        <w:t>where</w:t>
      </w:r>
      <w:r w:rsidR="00321CDE">
        <w:t>as</w:t>
      </w:r>
      <w:r w:rsidR="004D46D0" w:rsidRPr="00CF5629">
        <w:t xml:space="preserve"> the cascade population will require the associated index case</w:t>
      </w:r>
      <w:r w:rsidR="002D2CAB">
        <w:t>s</w:t>
      </w:r>
      <w:r w:rsidR="004D46D0" w:rsidRPr="00CF5629">
        <w:t xml:space="preserve"> to</w:t>
      </w:r>
      <w:r w:rsidR="009D0773">
        <w:t xml:space="preserve"> have a high Lp(a) </w:t>
      </w:r>
      <w:r w:rsidR="002143FF">
        <w:t xml:space="preserve">concentration, </w:t>
      </w:r>
      <w:r w:rsidR="009D0773">
        <w:t>or to</w:t>
      </w:r>
      <w:r w:rsidR="004D46D0" w:rsidRPr="00CF5629">
        <w:t xml:space="preserve"> meet certain</w:t>
      </w:r>
      <w:r w:rsidR="009D0773">
        <w:t xml:space="preserve"> (</w:t>
      </w:r>
      <w:r w:rsidR="002113BB">
        <w:t>additional</w:t>
      </w:r>
      <w:r w:rsidR="009D0773">
        <w:t>)</w:t>
      </w:r>
      <w:r w:rsidR="004D46D0" w:rsidRPr="00CF5629">
        <w:t xml:space="preserve"> clinical criteria</w:t>
      </w:r>
      <w:r w:rsidRPr="00CF5629">
        <w:t xml:space="preserve">. The applicant </w:t>
      </w:r>
      <w:r w:rsidR="008C2C52" w:rsidRPr="00CF5629">
        <w:t xml:space="preserve">suggested </w:t>
      </w:r>
      <w:r w:rsidRPr="00CF5629">
        <w:t>4 groups of patients for Lp(a) testing</w:t>
      </w:r>
      <w:r w:rsidR="004D46D0" w:rsidRPr="00CF5629">
        <w:t xml:space="preserve">. </w:t>
      </w:r>
      <w:r w:rsidR="00985C5D" w:rsidRPr="00D01FF4">
        <w:t xml:space="preserve">The </w:t>
      </w:r>
      <w:r w:rsidR="004D46D0" w:rsidRPr="00D01FF4">
        <w:t>first population subgroup was proposed for p</w:t>
      </w:r>
      <w:r w:rsidRPr="00D01FF4">
        <w:t>atients</w:t>
      </w:r>
      <w:r w:rsidRPr="00D01FF4">
        <w:rPr>
          <w:rFonts w:eastAsiaTheme="minorHAnsi" w:cstheme="minorBidi"/>
        </w:rPr>
        <w:t xml:space="preserve"> with moderate 10-year CVD risk (10-15%) when classical risk algorithms are used, such as the Framingham Risk Score, the PROCAM risk score, the ESC HeartScore or the Australian and New Zealand risk calculator</w:t>
      </w:r>
      <w:r w:rsidR="004D46D0" w:rsidRPr="00D01FF4">
        <w:t>.</w:t>
      </w:r>
      <w:r w:rsidRPr="00D01FF4">
        <w:t xml:space="preserve"> </w:t>
      </w:r>
      <w:r w:rsidR="004D46D0" w:rsidRPr="00D01FF4">
        <w:t xml:space="preserve">The second population subgroup </w:t>
      </w:r>
      <w:r w:rsidR="00422F93" w:rsidRPr="00D01FF4">
        <w:t>was proposed</w:t>
      </w:r>
      <w:r w:rsidR="004D46D0" w:rsidRPr="00D01FF4">
        <w:t xml:space="preserve"> for a</w:t>
      </w:r>
      <w:r w:rsidRPr="00D01FF4">
        <w:t>dults to assess or stratify CVD risk in those with the following clinical features: a personal history of premature CVD (&lt;60 years), family history of premature CVD, family history of high Lp(a)</w:t>
      </w:r>
      <w:r w:rsidR="005F0449" w:rsidRPr="00D01FF4">
        <w:t xml:space="preserve"> </w:t>
      </w:r>
      <w:r w:rsidRPr="00D01FF4">
        <w:t>(&gt;200 nmol/L), familial hypercholesterolaemia, significant renal impairment, early onset calcific aortic stenosis (&lt;60 years)</w:t>
      </w:r>
      <w:r w:rsidR="004D46D0" w:rsidRPr="00D01FF4">
        <w:t>.</w:t>
      </w:r>
      <w:r w:rsidR="004D46D0" w:rsidRPr="00D01FF4">
        <w:rPr>
          <w:rFonts w:eastAsiaTheme="minorHAnsi" w:cstheme="minorBidi"/>
        </w:rPr>
        <w:t xml:space="preserve"> </w:t>
      </w:r>
      <w:r w:rsidR="004D46D0" w:rsidRPr="00D01FF4">
        <w:t>The third population subgroups could include p</w:t>
      </w:r>
      <w:r w:rsidRPr="00D01FF4">
        <w:t>atients</w:t>
      </w:r>
      <w:r w:rsidRPr="00D01FF4">
        <w:rPr>
          <w:rFonts w:eastAsiaTheme="minorHAnsi" w:cstheme="minorBidi"/>
        </w:rPr>
        <w:t xml:space="preserve"> with recurrent or progressive CVD despite optimally treated plasma LDL-C concentrations</w:t>
      </w:r>
      <w:r w:rsidR="00CF5629" w:rsidRPr="00D01FF4">
        <w:t xml:space="preserve">. </w:t>
      </w:r>
      <w:r w:rsidR="004D46D0" w:rsidRPr="00D01FF4">
        <w:t>Finally</w:t>
      </w:r>
      <w:r w:rsidR="00422F93" w:rsidRPr="00D01FF4">
        <w:t>,</w:t>
      </w:r>
      <w:r w:rsidR="004D46D0" w:rsidRPr="00D01FF4">
        <w:t xml:space="preserve"> the fourth subgroup include</w:t>
      </w:r>
      <w:r w:rsidR="00422F93" w:rsidRPr="00D01FF4">
        <w:t>d</w:t>
      </w:r>
      <w:r w:rsidRPr="00D01FF4">
        <w:t xml:space="preserve"> </w:t>
      </w:r>
      <w:r w:rsidR="004D46D0" w:rsidRPr="00D01FF4">
        <w:t>c</w:t>
      </w:r>
      <w:r w:rsidRPr="00D01FF4">
        <w:t>hildren</w:t>
      </w:r>
      <w:r w:rsidRPr="00D01FF4">
        <w:rPr>
          <w:rFonts w:eastAsiaTheme="minorHAnsi" w:cstheme="minorBidi"/>
        </w:rPr>
        <w:t xml:space="preserve"> and adolescents with familial hypercholesterolaemia, premature CVD, a first-degree relative with significantly elevated Lp(a) (&gt;200 nmol/L), a family history of premature ASCVD.</w:t>
      </w:r>
    </w:p>
    <w:p w14:paraId="7B7DD7D0" w14:textId="002627E3" w:rsidR="000A0C57" w:rsidRPr="006B0497" w:rsidRDefault="004A2752" w:rsidP="00695B36">
      <w:pPr>
        <w:jc w:val="left"/>
        <w:rPr>
          <w:rFonts w:eastAsiaTheme="minorHAnsi" w:cstheme="minorBidi"/>
          <w:color w:val="000000" w:themeColor="text1"/>
        </w:rPr>
      </w:pPr>
      <w:r w:rsidRPr="00D01FF4">
        <w:rPr>
          <w:rFonts w:eastAsiaTheme="minorHAnsi" w:cstheme="minorBidi"/>
        </w:rPr>
        <w:t xml:space="preserve">The 4 population subgroups described above </w:t>
      </w:r>
      <w:r w:rsidRPr="00D01FF4">
        <w:rPr>
          <w:rFonts w:eastAsiaTheme="minorHAnsi" w:cstheme="minorBidi"/>
          <w:color w:val="000000" w:themeColor="text1"/>
        </w:rPr>
        <w:t xml:space="preserve">by the applicant were proposed based on clinical features; however, these population descriptors did not clearly delineate the index patients and the cascade patients for testing populations. </w:t>
      </w:r>
      <w:r w:rsidR="00D16FBB" w:rsidRPr="00D01FF4">
        <w:rPr>
          <w:rFonts w:eastAsiaTheme="minorHAnsi" w:cstheme="minorBidi"/>
          <w:color w:val="000000" w:themeColor="text1"/>
        </w:rPr>
        <w:t>Population</w:t>
      </w:r>
      <w:r w:rsidR="00373F49" w:rsidRPr="00D01FF4">
        <w:rPr>
          <w:rFonts w:eastAsiaTheme="minorHAnsi" w:cstheme="minorBidi"/>
          <w:color w:val="000000" w:themeColor="text1"/>
        </w:rPr>
        <w:t xml:space="preserve"> 1 is clear, however </w:t>
      </w:r>
      <w:r w:rsidRPr="00D01FF4">
        <w:rPr>
          <w:rFonts w:eastAsiaTheme="minorHAnsi" w:cstheme="minorBidi"/>
          <w:color w:val="000000" w:themeColor="text1"/>
        </w:rPr>
        <w:t>population</w:t>
      </w:r>
      <w:r w:rsidR="00373F49" w:rsidRPr="00D01FF4">
        <w:rPr>
          <w:rFonts w:eastAsiaTheme="minorHAnsi" w:cstheme="minorBidi"/>
          <w:color w:val="000000" w:themeColor="text1"/>
        </w:rPr>
        <w:t>s</w:t>
      </w:r>
      <w:r w:rsidRPr="00D01FF4">
        <w:rPr>
          <w:rFonts w:eastAsiaTheme="minorHAnsi" w:cstheme="minorBidi"/>
          <w:color w:val="000000" w:themeColor="text1"/>
        </w:rPr>
        <w:t xml:space="preserve"> 2</w:t>
      </w:r>
      <w:r w:rsidR="00373F49" w:rsidRPr="00D01FF4">
        <w:rPr>
          <w:rFonts w:eastAsiaTheme="minorHAnsi" w:cstheme="minorBidi"/>
          <w:color w:val="000000" w:themeColor="text1"/>
        </w:rPr>
        <w:t xml:space="preserve"> and 3 are likely to be high risk patients </w:t>
      </w:r>
      <w:r w:rsidR="0073693E" w:rsidRPr="00D01FF4">
        <w:rPr>
          <w:rFonts w:eastAsiaTheme="minorHAnsi" w:cstheme="minorBidi"/>
          <w:color w:val="000000" w:themeColor="text1"/>
        </w:rPr>
        <w:t>due to their current diagnoses.</w:t>
      </w:r>
      <w:r w:rsidR="00E446F2" w:rsidRPr="00D01FF4">
        <w:rPr>
          <w:rFonts w:eastAsiaTheme="minorHAnsi" w:cstheme="minorBidi"/>
          <w:color w:val="000000" w:themeColor="text1"/>
        </w:rPr>
        <w:t xml:space="preserve"> W</w:t>
      </w:r>
      <w:r w:rsidR="00E446F2" w:rsidRPr="006B0497">
        <w:rPr>
          <w:rFonts w:eastAsiaTheme="minorHAnsi" w:cstheme="minorBidi"/>
          <w:color w:val="000000" w:themeColor="text1"/>
        </w:rPr>
        <w:t>e have simplified the populations with two index populations</w:t>
      </w:r>
      <w:r w:rsidR="00794C3F">
        <w:rPr>
          <w:rFonts w:eastAsiaTheme="minorHAnsi" w:cstheme="minorBidi"/>
          <w:color w:val="000000" w:themeColor="text1"/>
        </w:rPr>
        <w:t xml:space="preserve"> and a cascade population</w:t>
      </w:r>
      <w:r w:rsidR="00006D05" w:rsidRPr="006B0497">
        <w:rPr>
          <w:rFonts w:eastAsiaTheme="minorHAnsi" w:cstheme="minorBidi"/>
          <w:color w:val="000000" w:themeColor="text1"/>
        </w:rPr>
        <w:t>.</w:t>
      </w:r>
      <w:r w:rsidRPr="006B0497">
        <w:rPr>
          <w:rFonts w:eastAsiaTheme="minorHAnsi" w:cstheme="minorBidi"/>
          <w:color w:val="000000" w:themeColor="text1"/>
        </w:rPr>
        <w:t xml:space="preserve"> </w:t>
      </w:r>
      <w:r w:rsidR="00964C65" w:rsidRPr="006B0497">
        <w:rPr>
          <w:rFonts w:eastAsiaTheme="minorHAnsi" w:cstheme="minorBidi"/>
          <w:color w:val="000000" w:themeColor="text1"/>
        </w:rPr>
        <w:t>To avoid</w:t>
      </w:r>
      <w:r w:rsidR="002637B2" w:rsidRPr="006B0497">
        <w:rPr>
          <w:rFonts w:eastAsiaTheme="minorHAnsi" w:cstheme="minorBidi"/>
          <w:color w:val="000000" w:themeColor="text1"/>
        </w:rPr>
        <w:t xml:space="preserve"> confusion with the applications numbered population subgroups, we renamed the populations as A, B and C</w:t>
      </w:r>
      <w:r w:rsidR="000A0C57" w:rsidRPr="006B0497">
        <w:rPr>
          <w:rFonts w:eastAsiaTheme="minorHAnsi" w:cstheme="minorBidi"/>
          <w:color w:val="000000" w:themeColor="text1"/>
        </w:rPr>
        <w:t>.</w:t>
      </w:r>
    </w:p>
    <w:p w14:paraId="4D35B58A" w14:textId="001895CE" w:rsidR="000A0C57" w:rsidRPr="006B0497" w:rsidRDefault="000A0C57" w:rsidP="00695B36">
      <w:pPr>
        <w:spacing w:after="160" w:line="259" w:lineRule="auto"/>
        <w:jc w:val="left"/>
        <w:rPr>
          <w:rFonts w:eastAsiaTheme="minorHAnsi" w:cstheme="minorBidi"/>
          <w:b/>
          <w:i/>
          <w:color w:val="000000" w:themeColor="text1"/>
        </w:rPr>
      </w:pPr>
      <w:r w:rsidRPr="006B0497">
        <w:rPr>
          <w:rFonts w:eastAsiaTheme="minorHAnsi" w:cstheme="minorBidi"/>
          <w:b/>
          <w:i/>
          <w:color w:val="000000" w:themeColor="text1"/>
        </w:rPr>
        <w:t xml:space="preserve">The </w:t>
      </w:r>
      <w:r w:rsidR="00CE5006">
        <w:rPr>
          <w:rFonts w:eastAsiaTheme="minorHAnsi" w:cstheme="minorBidi"/>
          <w:b/>
          <w:i/>
          <w:color w:val="000000" w:themeColor="text1"/>
        </w:rPr>
        <w:t>revised</w:t>
      </w:r>
      <w:r w:rsidR="00136B92" w:rsidRPr="006B0497">
        <w:rPr>
          <w:rFonts w:eastAsiaTheme="minorHAnsi" w:cstheme="minorBidi"/>
          <w:b/>
          <w:i/>
          <w:color w:val="000000" w:themeColor="text1"/>
        </w:rPr>
        <w:t xml:space="preserve"> populations for Lp(a) testing:</w:t>
      </w:r>
    </w:p>
    <w:p w14:paraId="71E26883" w14:textId="657BA14B" w:rsidR="004A2752" w:rsidRPr="00D01FF4" w:rsidRDefault="004A2752" w:rsidP="00695B36">
      <w:pPr>
        <w:pStyle w:val="ListParagraph"/>
        <w:numPr>
          <w:ilvl w:val="0"/>
          <w:numId w:val="19"/>
        </w:numPr>
        <w:spacing w:after="160" w:line="259" w:lineRule="auto"/>
        <w:jc w:val="left"/>
        <w:rPr>
          <w:rFonts w:eastAsiaTheme="minorHAnsi" w:cstheme="minorBidi"/>
          <w:color w:val="000000" w:themeColor="text1"/>
        </w:rPr>
      </w:pPr>
      <w:r w:rsidRPr="00D01FF4">
        <w:rPr>
          <w:rFonts w:eastAsiaTheme="minorHAnsi" w:cstheme="minorBidi"/>
          <w:b/>
          <w:color w:val="000000" w:themeColor="text1"/>
        </w:rPr>
        <w:t xml:space="preserve">Population </w:t>
      </w:r>
      <w:r w:rsidR="000B3DA8" w:rsidRPr="00D01FF4">
        <w:rPr>
          <w:rFonts w:eastAsiaTheme="minorHAnsi" w:cstheme="minorBidi"/>
          <w:b/>
          <w:color w:val="000000" w:themeColor="text1"/>
        </w:rPr>
        <w:t>A</w:t>
      </w:r>
      <w:r w:rsidRPr="00D01FF4">
        <w:rPr>
          <w:rFonts w:eastAsiaTheme="minorHAnsi" w:cstheme="minorBidi"/>
          <w:b/>
          <w:color w:val="000000" w:themeColor="text1"/>
        </w:rPr>
        <w:t xml:space="preserve"> (index population)</w:t>
      </w:r>
      <w:r w:rsidRPr="00D01FF4">
        <w:rPr>
          <w:rFonts w:eastAsiaTheme="minorHAnsi" w:cstheme="minorBidi"/>
          <w:color w:val="000000" w:themeColor="text1"/>
        </w:rPr>
        <w:t xml:space="preserve">: </w:t>
      </w:r>
      <w:r w:rsidR="00520187" w:rsidRPr="00D01FF4">
        <w:rPr>
          <w:rFonts w:eastAsiaTheme="minorHAnsi" w:cstheme="minorBidi"/>
          <w:color w:val="000000" w:themeColor="text1"/>
        </w:rPr>
        <w:t>a</w:t>
      </w:r>
      <w:r w:rsidR="00D16FBB" w:rsidRPr="00D01FF4">
        <w:rPr>
          <w:rFonts w:eastAsiaTheme="minorHAnsi" w:cstheme="minorBidi"/>
          <w:color w:val="000000" w:themeColor="text1"/>
        </w:rPr>
        <w:t xml:space="preserve">dults at moderate </w:t>
      </w:r>
      <w:r w:rsidR="004D46D0" w:rsidRPr="00D01FF4">
        <w:rPr>
          <w:rFonts w:eastAsiaTheme="minorHAnsi" w:cstheme="minorBidi"/>
          <w:color w:val="000000" w:themeColor="text1"/>
        </w:rPr>
        <w:t xml:space="preserve">CVD </w:t>
      </w:r>
      <w:r w:rsidR="00D16FBB" w:rsidRPr="00D01FF4">
        <w:rPr>
          <w:rFonts w:eastAsiaTheme="minorHAnsi" w:cstheme="minorBidi"/>
          <w:color w:val="000000" w:themeColor="text1"/>
        </w:rPr>
        <w:t xml:space="preserve">risk </w:t>
      </w:r>
      <w:r w:rsidR="00095868" w:rsidRPr="00D01FF4">
        <w:rPr>
          <w:rFonts w:eastAsiaTheme="minorHAnsi" w:cstheme="minorBidi"/>
          <w:color w:val="000000" w:themeColor="text1"/>
        </w:rPr>
        <w:t>as assessed</w:t>
      </w:r>
      <w:r w:rsidR="004D46D0" w:rsidRPr="00D01FF4">
        <w:rPr>
          <w:rFonts w:eastAsiaTheme="minorHAnsi" w:cstheme="minorBidi"/>
          <w:color w:val="000000" w:themeColor="text1"/>
        </w:rPr>
        <w:t xml:space="preserve"> by the currently </w:t>
      </w:r>
      <w:r w:rsidR="00603C68" w:rsidRPr="00D01FF4">
        <w:rPr>
          <w:rFonts w:eastAsiaTheme="minorHAnsi" w:cstheme="minorBidi"/>
          <w:color w:val="000000" w:themeColor="text1"/>
        </w:rPr>
        <w:t xml:space="preserve">available </w:t>
      </w:r>
      <w:r w:rsidR="004D46D0" w:rsidRPr="00D01FF4">
        <w:rPr>
          <w:rFonts w:eastAsiaTheme="minorHAnsi" w:cstheme="minorBidi"/>
          <w:color w:val="000000" w:themeColor="text1"/>
        </w:rPr>
        <w:t>CVD risk assessment tool recommended by the Australian clinical practice guideline.</w:t>
      </w:r>
    </w:p>
    <w:p w14:paraId="15D05989" w14:textId="2E413227" w:rsidR="004A2752" w:rsidRPr="006B0497" w:rsidRDefault="004A2752" w:rsidP="00695B36">
      <w:pPr>
        <w:pStyle w:val="ListParagraph"/>
        <w:numPr>
          <w:ilvl w:val="0"/>
          <w:numId w:val="10"/>
        </w:numPr>
        <w:spacing w:after="160" w:line="259" w:lineRule="auto"/>
        <w:jc w:val="left"/>
        <w:rPr>
          <w:rFonts w:eastAsiaTheme="minorHAnsi" w:cstheme="minorBidi"/>
          <w:color w:val="000000" w:themeColor="text1"/>
        </w:rPr>
      </w:pPr>
      <w:r w:rsidRPr="00473BF9">
        <w:rPr>
          <w:rFonts w:eastAsiaTheme="minorHAnsi" w:cstheme="minorBidi"/>
          <w:b/>
          <w:color w:val="000000" w:themeColor="text1"/>
        </w:rPr>
        <w:t xml:space="preserve">Population </w:t>
      </w:r>
      <w:r w:rsidR="000B3DA8" w:rsidRPr="00473BF9">
        <w:rPr>
          <w:rFonts w:eastAsiaTheme="minorHAnsi" w:cstheme="minorBidi"/>
          <w:b/>
          <w:color w:val="000000" w:themeColor="text1"/>
        </w:rPr>
        <w:t>B</w:t>
      </w:r>
      <w:r w:rsidRPr="00473BF9">
        <w:rPr>
          <w:rFonts w:eastAsiaTheme="minorHAnsi" w:cstheme="minorBidi"/>
          <w:b/>
          <w:color w:val="000000" w:themeColor="text1"/>
        </w:rPr>
        <w:t xml:space="preserve"> (index population)</w:t>
      </w:r>
      <w:r w:rsidRPr="00473BF9">
        <w:rPr>
          <w:rFonts w:eastAsiaTheme="minorHAnsi" w:cstheme="minorBidi"/>
          <w:color w:val="000000" w:themeColor="text1"/>
        </w:rPr>
        <w:t xml:space="preserve">: </w:t>
      </w:r>
      <w:r w:rsidR="00520187">
        <w:rPr>
          <w:rFonts w:eastAsiaTheme="minorHAnsi" w:cstheme="minorBidi"/>
          <w:color w:val="000000" w:themeColor="text1"/>
        </w:rPr>
        <w:t>a</w:t>
      </w:r>
      <w:r w:rsidRPr="00473BF9">
        <w:rPr>
          <w:rFonts w:eastAsiaTheme="minorHAnsi" w:cstheme="minorBidi"/>
          <w:color w:val="000000" w:themeColor="text1"/>
        </w:rPr>
        <w:t>dult</w:t>
      </w:r>
      <w:r w:rsidR="00095868">
        <w:rPr>
          <w:rFonts w:eastAsiaTheme="minorHAnsi" w:cstheme="minorBidi"/>
          <w:color w:val="000000" w:themeColor="text1"/>
        </w:rPr>
        <w:t>s at high CVD risk as assessed by the currently available CVD risk assessment tool recommended by the Australian clinical practice guideline</w:t>
      </w:r>
      <w:r w:rsidR="00D14357">
        <w:rPr>
          <w:rFonts w:eastAsiaTheme="minorHAnsi" w:cstheme="minorBidi"/>
          <w:color w:val="000000" w:themeColor="text1"/>
        </w:rPr>
        <w:t>, but not optimally managed</w:t>
      </w:r>
    </w:p>
    <w:p w14:paraId="405D79BA" w14:textId="08E244E9" w:rsidR="004A2752" w:rsidRPr="00473BF9" w:rsidRDefault="004A2752" w:rsidP="00695B36">
      <w:pPr>
        <w:pStyle w:val="ListParagraph"/>
        <w:numPr>
          <w:ilvl w:val="0"/>
          <w:numId w:val="11"/>
        </w:numPr>
        <w:spacing w:after="160" w:line="259" w:lineRule="auto"/>
        <w:jc w:val="left"/>
        <w:rPr>
          <w:rFonts w:eastAsiaTheme="minorHAnsi" w:cstheme="minorBidi"/>
          <w:color w:val="000000" w:themeColor="text1"/>
        </w:rPr>
      </w:pPr>
      <w:r w:rsidRPr="006B0497">
        <w:rPr>
          <w:rFonts w:eastAsiaTheme="minorHAnsi" w:cstheme="minorBidi"/>
          <w:b/>
          <w:color w:val="000000" w:themeColor="text1"/>
        </w:rPr>
        <w:lastRenderedPageBreak/>
        <w:t xml:space="preserve">Population </w:t>
      </w:r>
      <w:r w:rsidR="000B3DA8" w:rsidRPr="006B0497">
        <w:rPr>
          <w:rFonts w:eastAsiaTheme="minorHAnsi" w:cstheme="minorBidi"/>
          <w:b/>
          <w:color w:val="000000" w:themeColor="text1"/>
        </w:rPr>
        <w:t>C</w:t>
      </w:r>
      <w:r w:rsidRPr="006B0497">
        <w:rPr>
          <w:rFonts w:eastAsiaTheme="minorHAnsi" w:cstheme="minorBidi"/>
          <w:b/>
          <w:color w:val="000000" w:themeColor="text1"/>
        </w:rPr>
        <w:t xml:space="preserve"> (cascade population)</w:t>
      </w:r>
      <w:r w:rsidRPr="006B0497">
        <w:rPr>
          <w:rFonts w:eastAsiaTheme="minorHAnsi" w:cstheme="minorBidi"/>
          <w:color w:val="000000" w:themeColor="text1"/>
        </w:rPr>
        <w:t xml:space="preserve">: </w:t>
      </w:r>
      <w:r w:rsidR="00045A24" w:rsidRPr="006B0497">
        <w:rPr>
          <w:rFonts w:eastAsiaTheme="minorHAnsi" w:cstheme="minorBidi"/>
          <w:color w:val="000000" w:themeColor="text1"/>
        </w:rPr>
        <w:t xml:space="preserve">Patients at any age with </w:t>
      </w:r>
      <w:r w:rsidRPr="006B0497">
        <w:rPr>
          <w:rFonts w:eastAsiaTheme="minorHAnsi" w:cstheme="minorBidi"/>
          <w:color w:val="000000" w:themeColor="text1"/>
        </w:rPr>
        <w:t>a first-degree relative with significantly elevated Lp(a) (&gt;200 nmol/L)</w:t>
      </w:r>
      <w:r w:rsidR="007F5BD3">
        <w:rPr>
          <w:rFonts w:eastAsiaTheme="minorHAnsi" w:cstheme="minorBidi"/>
          <w:color w:val="000000" w:themeColor="text1"/>
        </w:rPr>
        <w:t>.</w:t>
      </w:r>
    </w:p>
    <w:p w14:paraId="02B073C0" w14:textId="316DE45E" w:rsidR="005F17F3" w:rsidRDefault="005F17F3" w:rsidP="00695B36">
      <w:pPr>
        <w:pStyle w:val="Instructionaltext"/>
        <w:jc w:val="left"/>
        <w:rPr>
          <w:i/>
          <w:iCs/>
          <w:color w:val="auto"/>
        </w:rPr>
      </w:pPr>
      <w:r>
        <w:rPr>
          <w:i/>
          <w:iCs/>
          <w:color w:val="auto"/>
        </w:rPr>
        <w:t>PASC noted several issues around the definition of the proposed three populations:</w:t>
      </w:r>
    </w:p>
    <w:p w14:paraId="465538F5" w14:textId="77777777" w:rsidR="005F17F3" w:rsidRPr="00813313" w:rsidRDefault="005F17F3" w:rsidP="00695B36">
      <w:pPr>
        <w:pStyle w:val="Instructionaltext"/>
        <w:numPr>
          <w:ilvl w:val="0"/>
          <w:numId w:val="23"/>
        </w:numPr>
        <w:jc w:val="left"/>
        <w:rPr>
          <w:i/>
          <w:iCs/>
          <w:color w:val="auto"/>
        </w:rPr>
      </w:pPr>
      <w:r w:rsidRPr="00813313">
        <w:rPr>
          <w:i/>
          <w:iCs/>
          <w:color w:val="auto"/>
        </w:rPr>
        <w:t xml:space="preserve">PASC considered the definition of adults at moderate CVD risk (population A) as proposed in the PICO was reasonable. PASC noted that the applicant suggested to also include patients with low CVD risk. However, PASC considered that the population should still focus on the moderate risk group where the impact of the test could be reflected via re-classification of the CVD risk. </w:t>
      </w:r>
    </w:p>
    <w:p w14:paraId="4E76EF4A" w14:textId="77777777" w:rsidR="005F17F3" w:rsidRPr="00813313" w:rsidRDefault="005F17F3" w:rsidP="00695B36">
      <w:pPr>
        <w:pStyle w:val="Instructionaltext"/>
        <w:numPr>
          <w:ilvl w:val="0"/>
          <w:numId w:val="23"/>
        </w:numPr>
        <w:jc w:val="left"/>
        <w:rPr>
          <w:i/>
          <w:iCs/>
          <w:color w:val="auto"/>
        </w:rPr>
      </w:pPr>
      <w:r w:rsidRPr="00813313">
        <w:rPr>
          <w:i/>
          <w:iCs/>
          <w:color w:val="auto"/>
        </w:rPr>
        <w:t xml:space="preserve">PASC advised that adults at high CVD risk (Population B) needs to be more clearly defined and to include: </w:t>
      </w:r>
    </w:p>
    <w:p w14:paraId="43C6C406" w14:textId="77777777" w:rsidR="005F17F3" w:rsidRPr="00813313" w:rsidRDefault="005F17F3" w:rsidP="00695B36">
      <w:pPr>
        <w:pStyle w:val="Instructionaltext"/>
        <w:ind w:left="720"/>
        <w:jc w:val="left"/>
        <w:rPr>
          <w:i/>
          <w:iCs/>
          <w:color w:val="auto"/>
        </w:rPr>
      </w:pPr>
      <w:r w:rsidRPr="00813313">
        <w:rPr>
          <w:i/>
          <w:iCs/>
          <w:color w:val="auto"/>
        </w:rPr>
        <w:t>(i) asymptomatic individuals at high CVD risk</w:t>
      </w:r>
    </w:p>
    <w:p w14:paraId="3B5AE15D" w14:textId="4F6A8072" w:rsidR="005F17F3" w:rsidRPr="00813313" w:rsidRDefault="005F17F3" w:rsidP="00695B36">
      <w:pPr>
        <w:pStyle w:val="Instructionaltext"/>
        <w:ind w:left="720"/>
        <w:jc w:val="left"/>
        <w:rPr>
          <w:i/>
          <w:iCs/>
          <w:color w:val="auto"/>
        </w:rPr>
      </w:pPr>
      <w:r w:rsidRPr="00813313">
        <w:rPr>
          <w:i/>
          <w:iCs/>
          <w:color w:val="auto"/>
        </w:rPr>
        <w:t>(ii) patients who are symptomatic with premature CVD</w:t>
      </w:r>
      <w:r w:rsidR="008C5D07" w:rsidRPr="00813313">
        <w:rPr>
          <w:i/>
          <w:iCs/>
          <w:color w:val="auto"/>
        </w:rPr>
        <w:t xml:space="preserve"> and</w:t>
      </w:r>
      <w:r w:rsidR="00A40910" w:rsidRPr="00813313">
        <w:rPr>
          <w:i/>
          <w:iCs/>
          <w:color w:val="auto"/>
        </w:rPr>
        <w:t>/</w:t>
      </w:r>
      <w:r w:rsidR="008C5D07" w:rsidRPr="00813313">
        <w:rPr>
          <w:i/>
          <w:iCs/>
          <w:color w:val="auto"/>
        </w:rPr>
        <w:t xml:space="preserve">or </w:t>
      </w:r>
      <w:r w:rsidR="00A40910" w:rsidRPr="00813313">
        <w:rPr>
          <w:i/>
          <w:iCs/>
          <w:color w:val="auto"/>
        </w:rPr>
        <w:t>aortic stenosis</w:t>
      </w:r>
    </w:p>
    <w:p w14:paraId="288475B1" w14:textId="77777777" w:rsidR="005F17F3" w:rsidRPr="00813313" w:rsidRDefault="005F17F3" w:rsidP="00695B36">
      <w:pPr>
        <w:pStyle w:val="Instructionaltext"/>
        <w:ind w:left="720"/>
        <w:jc w:val="left"/>
        <w:rPr>
          <w:i/>
          <w:iCs/>
          <w:color w:val="auto"/>
        </w:rPr>
      </w:pPr>
      <w:r w:rsidRPr="00813313">
        <w:rPr>
          <w:i/>
          <w:iCs/>
          <w:color w:val="auto"/>
        </w:rPr>
        <w:t>(iii) patients at high CVD risk and with family history of hypercholesterolaemia</w:t>
      </w:r>
    </w:p>
    <w:p w14:paraId="7CA3D705" w14:textId="13E58133" w:rsidR="005F17F3" w:rsidRPr="00813313" w:rsidRDefault="005F17F3" w:rsidP="00695B36">
      <w:pPr>
        <w:pStyle w:val="Instructionaltext"/>
        <w:ind w:left="720"/>
        <w:jc w:val="left"/>
        <w:rPr>
          <w:i/>
          <w:iCs/>
          <w:color w:val="auto"/>
        </w:rPr>
      </w:pPr>
      <w:r w:rsidRPr="00813313">
        <w:rPr>
          <w:i/>
          <w:iCs/>
          <w:color w:val="auto"/>
        </w:rPr>
        <w:t xml:space="preserve">(iv) patients with family history of premature CVD. </w:t>
      </w:r>
    </w:p>
    <w:p w14:paraId="347CE536" w14:textId="409185D9" w:rsidR="005F17F3" w:rsidRPr="00813313" w:rsidRDefault="005F17F3" w:rsidP="00695B36">
      <w:pPr>
        <w:pStyle w:val="Instructionaltext"/>
        <w:ind w:left="720"/>
        <w:jc w:val="left"/>
        <w:rPr>
          <w:i/>
          <w:iCs/>
          <w:color w:val="auto"/>
        </w:rPr>
      </w:pPr>
      <w:r w:rsidRPr="00813313">
        <w:rPr>
          <w:i/>
          <w:iCs/>
          <w:color w:val="auto"/>
        </w:rPr>
        <w:t xml:space="preserve">However, this expansion would result in some overlap with population C and A. </w:t>
      </w:r>
    </w:p>
    <w:p w14:paraId="36720EFA" w14:textId="162DC71B" w:rsidR="005F17F3" w:rsidRPr="00813313" w:rsidRDefault="005F17F3" w:rsidP="00695B36">
      <w:pPr>
        <w:pStyle w:val="Instructionaltext"/>
        <w:numPr>
          <w:ilvl w:val="0"/>
          <w:numId w:val="23"/>
        </w:numPr>
        <w:jc w:val="left"/>
        <w:rPr>
          <w:i/>
          <w:iCs/>
          <w:color w:val="auto"/>
        </w:rPr>
      </w:pPr>
      <w:r w:rsidRPr="00813313">
        <w:rPr>
          <w:i/>
          <w:iCs/>
          <w:color w:val="auto"/>
        </w:rPr>
        <w:t xml:space="preserve">PASC noted that the rationale for testing children as part of the cascade population (population C) is not clear. The applicant agreed that the clinical utility of Lp(a) in children and adolescents under 18 years is low and that there is no </w:t>
      </w:r>
      <w:r w:rsidR="00BE53BE" w:rsidRPr="00813313">
        <w:rPr>
          <w:i/>
          <w:iCs/>
          <w:color w:val="auto"/>
        </w:rPr>
        <w:t xml:space="preserve">validated </w:t>
      </w:r>
      <w:r w:rsidRPr="00813313">
        <w:rPr>
          <w:i/>
          <w:iCs/>
          <w:color w:val="auto"/>
        </w:rPr>
        <w:t>risk assessment tool for this population.</w:t>
      </w:r>
    </w:p>
    <w:p w14:paraId="50B555CD" w14:textId="77777777" w:rsidR="005F17F3" w:rsidRPr="00813313" w:rsidRDefault="005F17F3" w:rsidP="00695B36">
      <w:pPr>
        <w:pStyle w:val="Instructionaltext"/>
        <w:numPr>
          <w:ilvl w:val="0"/>
          <w:numId w:val="23"/>
        </w:numPr>
        <w:jc w:val="left"/>
        <w:rPr>
          <w:i/>
          <w:iCs/>
          <w:color w:val="auto"/>
        </w:rPr>
      </w:pPr>
      <w:r w:rsidRPr="00813313">
        <w:rPr>
          <w:i/>
          <w:iCs/>
          <w:color w:val="auto"/>
        </w:rPr>
        <w:t>There is a lack of definitions for the pre-test population, including the number of patients that would potentially be eligible for Lp(a) testing.</w:t>
      </w:r>
    </w:p>
    <w:p w14:paraId="57A9702A" w14:textId="77777777" w:rsidR="005F17F3" w:rsidRPr="00813313" w:rsidRDefault="005F17F3" w:rsidP="00695B36">
      <w:pPr>
        <w:pStyle w:val="Instructionaltext"/>
        <w:numPr>
          <w:ilvl w:val="0"/>
          <w:numId w:val="23"/>
        </w:numPr>
        <w:jc w:val="left"/>
        <w:rPr>
          <w:i/>
          <w:iCs/>
          <w:color w:val="auto"/>
        </w:rPr>
      </w:pPr>
      <w:r w:rsidRPr="00813313">
        <w:rPr>
          <w:i/>
          <w:iCs/>
          <w:color w:val="auto"/>
        </w:rPr>
        <w:t xml:space="preserve">There is a discrepancy between risk scores for Lp(a) classification with high risk defined as &gt;200nmol/L while for the cascade population this has been defined as &gt;100nmol/L. PASC noted that the 200nmol/L cut-off would be acceptable for both the index and the cascade populations. </w:t>
      </w:r>
    </w:p>
    <w:p w14:paraId="1A40DB2B" w14:textId="77777777" w:rsidR="005F17F3" w:rsidRDefault="005F17F3" w:rsidP="00695B36">
      <w:pPr>
        <w:pStyle w:val="Instructionaltext"/>
        <w:jc w:val="left"/>
        <w:rPr>
          <w:i/>
          <w:iCs/>
          <w:color w:val="auto"/>
        </w:rPr>
      </w:pPr>
      <w:r>
        <w:rPr>
          <w:i/>
          <w:iCs/>
          <w:color w:val="auto"/>
        </w:rPr>
        <w:t>PASC requested that further work is done to clarify the populations for this PICO, in particular population B.</w:t>
      </w:r>
    </w:p>
    <w:p w14:paraId="4524C747" w14:textId="753C0E7A" w:rsidR="005F17F3" w:rsidRDefault="005F17F3" w:rsidP="00695B36">
      <w:pPr>
        <w:autoSpaceDE w:val="0"/>
        <w:autoSpaceDN w:val="0"/>
        <w:adjustRightInd w:val="0"/>
        <w:spacing w:line="23" w:lineRule="atLeast"/>
        <w:jc w:val="left"/>
        <w:rPr>
          <w:i/>
          <w:iCs/>
        </w:rPr>
      </w:pPr>
      <w:r>
        <w:rPr>
          <w:i/>
          <w:iCs/>
        </w:rPr>
        <w:t>PASC also considered there was high uncertainty around the estimation of the size of the proposed population as the information provided in the application is only a subpopulation of population B, and population A and C are not necessarily captured</w:t>
      </w:r>
      <w:r w:rsidR="00060A0D">
        <w:rPr>
          <w:i/>
          <w:iCs/>
        </w:rPr>
        <w:t>.</w:t>
      </w:r>
      <w:r>
        <w:rPr>
          <w:i/>
          <w:iCs/>
        </w:rPr>
        <w:t xml:space="preserve"> It was suggested that the number of patients potentially eligible for the Lp(a) test could be significantly underestimated. However, until the definition of the population is clarified can appropriate estimates of the testing population be better understood.</w:t>
      </w:r>
    </w:p>
    <w:p w14:paraId="0647937B" w14:textId="0633B18A" w:rsidR="00EA155E" w:rsidRDefault="005F17F3" w:rsidP="00695B36">
      <w:pPr>
        <w:pStyle w:val="Instructionaltext"/>
        <w:jc w:val="left"/>
        <w:rPr>
          <w:rFonts w:eastAsia="Calibri" w:cs="Times New Roman"/>
          <w:i/>
          <w:iCs/>
          <w:color w:val="auto"/>
        </w:rPr>
      </w:pPr>
      <w:r w:rsidRPr="006B47E6">
        <w:rPr>
          <w:rFonts w:eastAsia="Calibri" w:cs="Times New Roman"/>
          <w:i/>
          <w:iCs/>
          <w:color w:val="auto"/>
        </w:rPr>
        <w:t>PASC also noted that professional education would be important for Lp(a) testing to be successfully implemented.</w:t>
      </w:r>
    </w:p>
    <w:p w14:paraId="59332B80" w14:textId="797D5A88" w:rsidR="004A2752" w:rsidRPr="008F1532" w:rsidRDefault="004A2752" w:rsidP="00695B36">
      <w:pPr>
        <w:pStyle w:val="Heading3"/>
        <w:jc w:val="left"/>
      </w:pPr>
      <w:r w:rsidRPr="008F1532">
        <w:t>Intervention</w:t>
      </w:r>
    </w:p>
    <w:p w14:paraId="1B18C5C3" w14:textId="4C39F77B" w:rsidR="004A2752" w:rsidRPr="00813C85" w:rsidRDefault="004A2752" w:rsidP="00695B36">
      <w:pPr>
        <w:jc w:val="left"/>
      </w:pPr>
      <w:r w:rsidRPr="00EE0035">
        <w:t xml:space="preserve">Lp(a) is made up of an apolipoprotein(a) molecule that is attached to </w:t>
      </w:r>
      <w:r w:rsidRPr="00813C85">
        <w:t xml:space="preserve">an LDL-like particle </w:t>
      </w:r>
      <w:r w:rsidRPr="00EE0035">
        <w:t>that</w:t>
      </w:r>
      <w:r w:rsidRPr="00813C85">
        <w:t xml:space="preserve"> is encoded by the highly </w:t>
      </w:r>
      <w:r w:rsidRPr="00EE0035">
        <w:t>polymorphi</w:t>
      </w:r>
      <w:r w:rsidR="000C6D6A">
        <w:t>c</w:t>
      </w:r>
      <w:r w:rsidRPr="00813C85">
        <w:t xml:space="preserve"> </w:t>
      </w:r>
      <w:r w:rsidRPr="00EE0035">
        <w:t>LPA</w:t>
      </w:r>
      <w:r w:rsidRPr="00813C85">
        <w:t xml:space="preserve"> gene.</w:t>
      </w:r>
      <w:r w:rsidRPr="00813C85">
        <w:rPr>
          <w:iCs/>
        </w:rPr>
        <w:t xml:space="preserve"> </w:t>
      </w:r>
      <w:r w:rsidRPr="00EE0035">
        <w:t>Lp(a)</w:t>
      </w:r>
      <w:r w:rsidR="002143FF">
        <w:t xml:space="preserve"> concentration</w:t>
      </w:r>
      <w:r w:rsidRPr="00EE0035">
        <w:t xml:space="preserve">, in contrast to </w:t>
      </w:r>
      <w:r w:rsidRPr="00115CE7">
        <w:rPr>
          <w:iCs/>
        </w:rPr>
        <w:t xml:space="preserve">most other </w:t>
      </w:r>
      <w:r w:rsidRPr="00EE0035">
        <w:t>forms</w:t>
      </w:r>
      <w:r w:rsidRPr="00115CE7">
        <w:rPr>
          <w:iCs/>
        </w:rPr>
        <w:t xml:space="preserve"> of cholesterol particles, </w:t>
      </w:r>
      <w:r w:rsidR="002143FF">
        <w:rPr>
          <w:iCs/>
        </w:rPr>
        <w:t>is</w:t>
      </w:r>
      <w:r w:rsidRPr="00115CE7">
        <w:rPr>
          <w:iCs/>
        </w:rPr>
        <w:t xml:space="preserve"> genetically </w:t>
      </w:r>
      <w:r w:rsidRPr="00EE0035">
        <w:t xml:space="preserve">predetermined. Lp(a) should typically only be tested </w:t>
      </w:r>
      <w:r w:rsidR="002E3A30">
        <w:t xml:space="preserve">for </w:t>
      </w:r>
      <w:r w:rsidRPr="00EE0035">
        <w:t>once in a person's lifetime because they</w:t>
      </w:r>
      <w:r w:rsidRPr="00115CE7">
        <w:rPr>
          <w:iCs/>
        </w:rPr>
        <w:t xml:space="preserve"> tend to </w:t>
      </w:r>
      <w:r w:rsidRPr="00EE0035">
        <w:t>be stable</w:t>
      </w:r>
      <w:r w:rsidRPr="00115CE7">
        <w:rPr>
          <w:iCs/>
        </w:rPr>
        <w:t xml:space="preserve"> over </w:t>
      </w:r>
      <w:r w:rsidRPr="00EE0035">
        <w:t>the course of a</w:t>
      </w:r>
      <w:r w:rsidRPr="00115CE7">
        <w:rPr>
          <w:iCs/>
        </w:rPr>
        <w:t xml:space="preserve"> lifetime and are not </w:t>
      </w:r>
      <w:r w:rsidRPr="00EE0035">
        <w:t xml:space="preserve">greatly </w:t>
      </w:r>
      <w:r>
        <w:t>affect</w:t>
      </w:r>
      <w:r w:rsidRPr="00EE0035">
        <w:t>ed</w:t>
      </w:r>
      <w:r w:rsidRPr="00115CE7">
        <w:rPr>
          <w:iCs/>
        </w:rPr>
        <w:t xml:space="preserve"> by </w:t>
      </w:r>
      <w:r w:rsidRPr="00EE0035">
        <w:t xml:space="preserve">factors like </w:t>
      </w:r>
      <w:r w:rsidRPr="00115CE7">
        <w:rPr>
          <w:iCs/>
        </w:rPr>
        <w:t xml:space="preserve">age, sex, physical activity, </w:t>
      </w:r>
      <w:r w:rsidRPr="00EE0035">
        <w:t xml:space="preserve">dietary </w:t>
      </w:r>
      <w:r w:rsidRPr="00115CE7">
        <w:rPr>
          <w:iCs/>
        </w:rPr>
        <w:t>changes</w:t>
      </w:r>
      <w:r w:rsidRPr="00EE0035">
        <w:t xml:space="preserve"> or the majority of medicines</w:t>
      </w:r>
      <w:r w:rsidRPr="00115CE7">
        <w:rPr>
          <w:iCs/>
        </w:rPr>
        <w:t xml:space="preserve"> used to treat high cholesterol</w:t>
      </w:r>
      <w:r>
        <w:rPr>
          <w:iCs/>
        </w:rPr>
        <w:t xml:space="preserve"> </w:t>
      </w:r>
      <w:r>
        <w:rPr>
          <w:iCs/>
        </w:rPr>
        <w:fldChar w:fldCharType="begin"/>
      </w:r>
      <w:r>
        <w:rPr>
          <w:iCs/>
        </w:rPr>
        <w:instrText xml:space="preserve"> ADDIN EN.CITE &lt;EndNote&gt;&lt;Cite&gt;&lt;Author&gt;The Royal College of Pathologists of Australasia&lt;/Author&gt;&lt;Year&gt;2022&lt;/Year&gt;&lt;RecNum&gt;18&lt;/RecNum&gt;&lt;DisplayText&gt;(The Royal College of Pathologists of Australasia 2022)&lt;/DisplayText&gt;&lt;record&gt;&lt;rec-number&gt;18&lt;/rec-number&gt;&lt;foreign-keys&gt;&lt;key app="EN" db-id="p5dp00za8apvt8e25vqv22rzzpwt5tvtsr0r" timestamp="1667523800"&gt;18&lt;/key&gt;&lt;/foreign-keys&gt;&lt;ref-type name="Report"&gt;27&lt;/ref-type&gt;&lt;contributors&gt;&lt;authors&gt;&lt;author&gt;The Royal College of Pathologists of Australasia,&lt;/author&gt;&lt;/authors&gt;&lt;/contributors&gt;&lt;titles&gt;&lt;title&gt;Application form for Applicaion 1736&lt;/title&gt;&lt;/titles&gt;&lt;dates&gt;&lt;year&gt;2022&lt;/year&gt;&lt;/dates&gt;&lt;urls&gt;&lt;/urls&gt;&lt;/record&gt;&lt;/Cite&gt;&lt;/EndNote&gt;</w:instrText>
      </w:r>
      <w:r>
        <w:rPr>
          <w:iCs/>
        </w:rPr>
        <w:fldChar w:fldCharType="separate"/>
      </w:r>
      <w:r>
        <w:rPr>
          <w:iCs/>
          <w:noProof/>
        </w:rPr>
        <w:t>(</w:t>
      </w:r>
      <w:r w:rsidR="005C6F5C">
        <w:rPr>
          <w:iCs/>
          <w:noProof/>
        </w:rPr>
        <w:t xml:space="preserve">The </w:t>
      </w:r>
      <w:r>
        <w:rPr>
          <w:iCs/>
          <w:noProof/>
        </w:rPr>
        <w:t>Royal College of Pathologists of Australasia 2022)</w:t>
      </w:r>
      <w:r>
        <w:rPr>
          <w:iCs/>
        </w:rPr>
        <w:fldChar w:fldCharType="end"/>
      </w:r>
      <w:r w:rsidRPr="00EE0035">
        <w:t>.</w:t>
      </w:r>
      <w:r w:rsidRPr="00115CE7">
        <w:rPr>
          <w:iCs/>
        </w:rPr>
        <w:t xml:space="preserve"> </w:t>
      </w:r>
      <w:r w:rsidRPr="00813C85">
        <w:rPr>
          <w:iCs/>
        </w:rPr>
        <w:t xml:space="preserve">The applicant suggests that for </w:t>
      </w:r>
      <w:r w:rsidRPr="00514C1D">
        <w:rPr>
          <w:iCs/>
        </w:rPr>
        <w:t>most patients this would be a</w:t>
      </w:r>
      <w:r w:rsidRPr="00514C1D">
        <w:rPr>
          <w:i/>
          <w:iCs/>
        </w:rPr>
        <w:t xml:space="preserve"> </w:t>
      </w:r>
      <w:r>
        <w:rPr>
          <w:i/>
          <w:iCs/>
        </w:rPr>
        <w:t>one-</w:t>
      </w:r>
      <w:r w:rsidRPr="00514C1D">
        <w:rPr>
          <w:i/>
          <w:iCs/>
        </w:rPr>
        <w:t>off</w:t>
      </w:r>
      <w:r w:rsidRPr="00514C1D">
        <w:t xml:space="preserve"> diagnostic test; however, in the near future when patients have access to Lp(a)</w:t>
      </w:r>
      <w:r>
        <w:t>-</w:t>
      </w:r>
      <w:r w:rsidRPr="00514C1D">
        <w:t xml:space="preserve">lowering therapies, follow-up testing of these patients may </w:t>
      </w:r>
      <w:r>
        <w:t xml:space="preserve">be required to monitor changes in Lp(a) </w:t>
      </w:r>
      <w:r>
        <w:fldChar w:fldCharType="begin"/>
      </w:r>
      <w:r>
        <w:instrText xml:space="preserve"> ADDIN EN.CITE &lt;EndNote&gt;&lt;Cite&gt;&lt;Author&gt;The Royal College of Pathologists of Australasia&lt;/Author&gt;&lt;Year&gt;2022&lt;/Year&gt;&lt;RecNum&gt;18&lt;/RecNum&gt;&lt;DisplayText&gt;(The Royal College of Pathologists of Australasia 2022)&lt;/DisplayText&gt;&lt;record&gt;&lt;rec-number&gt;18&lt;/rec-number&gt;&lt;foreign-keys&gt;&lt;key app="EN" db-id="p5dp00za8apvt8e25vqv22rzzpwt5tvtsr0r" timestamp="1667523800"&gt;18&lt;/key&gt;&lt;/foreign-keys&gt;&lt;ref-type name="Report"&gt;27&lt;/ref-type&gt;&lt;contributors&gt;&lt;authors&gt;&lt;author&gt;The Royal College of Pathologists of Australasia,&lt;/author&gt;&lt;/authors&gt;&lt;/contributors&gt;&lt;titles&gt;&lt;title&gt;Application form for Applicaion 1736&lt;/title&gt;&lt;/titles&gt;&lt;dates&gt;&lt;year&gt;2022&lt;/year&gt;&lt;/dates&gt;&lt;urls&gt;&lt;/urls&gt;&lt;/record&gt;&lt;/Cite&gt;&lt;/EndNote&gt;</w:instrText>
      </w:r>
      <w:r>
        <w:fldChar w:fldCharType="separate"/>
      </w:r>
      <w:r>
        <w:rPr>
          <w:noProof/>
        </w:rPr>
        <w:t>(</w:t>
      </w:r>
      <w:r w:rsidR="005C6F5C">
        <w:rPr>
          <w:noProof/>
        </w:rPr>
        <w:t xml:space="preserve">The </w:t>
      </w:r>
      <w:r>
        <w:rPr>
          <w:noProof/>
        </w:rPr>
        <w:t>Royal College of Pathologists of Australasia 2022)</w:t>
      </w:r>
      <w:r>
        <w:fldChar w:fldCharType="end"/>
      </w:r>
      <w:r w:rsidRPr="00514C1D">
        <w:t>.</w:t>
      </w:r>
    </w:p>
    <w:p w14:paraId="206791C6" w14:textId="77777777" w:rsidR="004A2752" w:rsidRPr="00305DEE" w:rsidRDefault="004A2752" w:rsidP="00695B36">
      <w:pPr>
        <w:jc w:val="left"/>
        <w:rPr>
          <w:u w:val="single"/>
        </w:rPr>
      </w:pPr>
      <w:r w:rsidRPr="00305DEE">
        <w:rPr>
          <w:u w:val="single"/>
        </w:rPr>
        <w:lastRenderedPageBreak/>
        <w:t>Procedure and measurement</w:t>
      </w:r>
    </w:p>
    <w:p w14:paraId="40501ACB" w14:textId="002F28D2" w:rsidR="004A2752" w:rsidRPr="00813C85" w:rsidRDefault="004A2752" w:rsidP="00695B36">
      <w:pPr>
        <w:jc w:val="left"/>
      </w:pPr>
      <w:r w:rsidRPr="00813C85">
        <w:t>Patients may be referred for Lp(a) testing by their treating general practitioner, consultant physician or cardiovascular specialist.</w:t>
      </w:r>
      <w:r>
        <w:t xml:space="preserve"> </w:t>
      </w:r>
      <w:r w:rsidRPr="00757ABC">
        <w:t xml:space="preserve">The </w:t>
      </w:r>
      <w:r>
        <w:t>Lp(a)</w:t>
      </w:r>
      <w:r w:rsidRPr="00757ABC">
        <w:t xml:space="preserve"> test requires venepuncture to be performed on the patient for the collection of a blood/plasma sample that is referred to a pathology laboratory for analysis.</w:t>
      </w:r>
      <w:r w:rsidRPr="00813C85">
        <w:t xml:space="preserve"> </w:t>
      </w:r>
    </w:p>
    <w:p w14:paraId="5C20AA9F" w14:textId="52B0B303" w:rsidR="004A2752" w:rsidRPr="00514C1D" w:rsidRDefault="004A2752" w:rsidP="00695B36">
      <w:pPr>
        <w:jc w:val="left"/>
      </w:pPr>
      <w:r w:rsidRPr="00813C85">
        <w:t>Lp(a) can be measured using a variety of methods, including enzyme</w:t>
      </w:r>
      <w:r>
        <w:t>-</w:t>
      </w:r>
      <w:r w:rsidRPr="00813C85">
        <w:t>linked immunosorbent assays (ELISA), latex</w:t>
      </w:r>
      <w:r>
        <w:t xml:space="preserve"> </w:t>
      </w:r>
      <w:r w:rsidRPr="00813C85">
        <w:t>agglutination, immunoturbidimetry/immunonephelometry, electrophoresis and immunofixation electrophoresis (IFE)</w:t>
      </w:r>
      <w:r>
        <w:t xml:space="preserve"> </w:t>
      </w:r>
      <w:r>
        <w:fldChar w:fldCharType="begin">
          <w:fldData xml:space="preserve">PEVuZE5vdGU+PENpdGU+PEF1dGhvcj5XeW5lc3M8L0F1dGhvcj48WWVhcj4yMDIxPC9ZZWFyPjxS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</w:fldData>
        </w:fldChar>
      </w:r>
      <w:r>
        <w:instrText xml:space="preserve"> ADDIN EN.CITE </w:instrText>
      </w:r>
      <w:r>
        <w:fldChar w:fldCharType="begin">
          <w:fldData xml:space="preserve">PEVuZE5vdGU+PENpdGU+PEF1dGhvcj5XeW5lc3M8L0F1dGhvcj48WWVhcj4yMDIxPC9ZZWFyPjxS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</w:fldData>
        </w:fldChar>
      </w:r>
      <w:r>
        <w:instrText xml:space="preserve"> ADDIN EN.CITE.DATA </w:instrText>
      </w:r>
      <w:r>
        <w:fldChar w:fldCharType="end"/>
      </w:r>
      <w:r>
        <w:fldChar w:fldCharType="separate"/>
      </w:r>
      <w:r>
        <w:rPr>
          <w:noProof/>
        </w:rPr>
        <w:t>(Wyness &amp; Genzen 2021)</w:t>
      </w:r>
      <w:r>
        <w:fldChar w:fldCharType="end"/>
      </w:r>
      <w:r>
        <w:rPr>
          <w:rStyle w:val="CommentReference"/>
        </w:rPr>
        <w:t xml:space="preserve"> </w:t>
      </w:r>
      <w:r w:rsidRPr="00813C85">
        <w:t xml:space="preserve">or </w:t>
      </w:r>
      <w:r>
        <w:t xml:space="preserve">by </w:t>
      </w:r>
      <w:r w:rsidRPr="00813C85">
        <w:t xml:space="preserve">mass spectrometry. Testing would be provided by </w:t>
      </w:r>
      <w:r w:rsidR="00C4404B">
        <w:t>approved pathology practitioners</w:t>
      </w:r>
      <w:r w:rsidR="00385A41">
        <w:t xml:space="preserve"> </w:t>
      </w:r>
      <w:r w:rsidRPr="00813C85">
        <w:t xml:space="preserve">in line with other tests on the </w:t>
      </w:r>
      <w:r w:rsidRPr="00B07B19">
        <w:t>MBS Pathology Services Table</w:t>
      </w:r>
      <w:r w:rsidRPr="00813C85">
        <w:t xml:space="preserve">. </w:t>
      </w:r>
    </w:p>
    <w:p w14:paraId="6C3E7D89" w14:textId="789A4086" w:rsidR="004A2752" w:rsidRDefault="004A2752" w:rsidP="00695B36">
      <w:pPr>
        <w:jc w:val="left"/>
      </w:pPr>
      <w:r w:rsidRPr="00813C85">
        <w:t>The applicant suggest</w:t>
      </w:r>
      <w:r>
        <w:t>ed</w:t>
      </w:r>
      <w:r w:rsidRPr="00813C85">
        <w:t xml:space="preserve"> that a</w:t>
      </w:r>
      <w:r w:rsidRPr="00757ABC">
        <w:t xml:space="preserve"> major challenge to the accurate measurement of Lp(a) is the heterogeneity in apo(a) size between, as well as within</w:t>
      </w:r>
      <w:r>
        <w:t>,</w:t>
      </w:r>
      <w:r w:rsidRPr="00757ABC">
        <w:t xml:space="preserve"> individual</w:t>
      </w:r>
      <w:r>
        <w:t xml:space="preserve"> patients</w:t>
      </w:r>
      <w:r w:rsidRPr="00757ABC">
        <w:t>. Lp(a) has historically been expressed in mass units (mg/dL), which includes the mass of the entire particle, including the content of apo(a), apoB-100, cholesterol, cholesteryl ester, phospholipid, triglyceride and carbohydrate. This should be avoided</w:t>
      </w:r>
      <w:r>
        <w:t>,</w:t>
      </w:r>
      <w:r w:rsidRPr="00757ABC">
        <w:t xml:space="preserve"> as what is measured by preferred methods is the number of Lp(a) particles (molar concentration) and not the lipid and carbohydrate content. The most appropriate unit of measurement of Lp(a) is nmol/L</w:t>
      </w:r>
      <w:r>
        <w:t xml:space="preserve"> </w:t>
      </w:r>
      <w:r>
        <w:fldChar w:fldCharType="begin">
          <w:fldData xml:space="preserve">PEVuZE5vdGU+PENpdGU+PEF1dGhvcj5DZWdsYTwvQXV0aG9yPjxZZWFyPjIwMjE8L1llYXI+PFJl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</w:fldData>
        </w:fldChar>
      </w:r>
      <w:r w:rsidR="005C6F5C">
        <w:instrText xml:space="preserve"> ADDIN EN.CITE </w:instrText>
      </w:r>
      <w:r w:rsidR="005C6F5C">
        <w:fldChar w:fldCharType="begin">
          <w:fldData xml:space="preserve">PEVuZE5vdGU+PENpdGU+PEF1dGhvcj5DZWdsYTwvQXV0aG9yPjxZZWFyPjIwMjE8L1llYXI+PFJl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</w:fldData>
        </w:fldChar>
      </w:r>
      <w:r w:rsidR="005C6F5C">
        <w:instrText xml:space="preserve"> ADDIN EN.CITE.DATA </w:instrText>
      </w:r>
      <w:r w:rsidR="005C6F5C">
        <w:fldChar w:fldCharType="end"/>
      </w:r>
      <w:r>
        <w:fldChar w:fldCharType="separate"/>
      </w:r>
      <w:r w:rsidR="005C6F5C">
        <w:rPr>
          <w:noProof/>
        </w:rPr>
        <w:t>(Cegla et al. 2021)</w:t>
      </w:r>
      <w:r>
        <w:fldChar w:fldCharType="end"/>
      </w:r>
      <w:r>
        <w:t>.</w:t>
      </w:r>
    </w:p>
    <w:p w14:paraId="3462E090" w14:textId="27080DF9" w:rsidR="004A2752" w:rsidRDefault="004A2752" w:rsidP="00695B36">
      <w:pPr>
        <w:jc w:val="left"/>
      </w:pPr>
      <w:r>
        <w:t xml:space="preserve">There is clinical evidence reporting elevated </w:t>
      </w:r>
      <w:r w:rsidRPr="00813C85">
        <w:t>Lp(a)</w:t>
      </w:r>
      <w:r>
        <w:t xml:space="preserve"> as a significant predictor of an increased risk for CVD events. A systematic review conducted in 2016 reported that among </w:t>
      </w:r>
      <w:r w:rsidRPr="005F5CAF">
        <w:rPr>
          <w:bCs/>
        </w:rPr>
        <w:t xml:space="preserve">39 studies carried out in participants from the general population (patients not selected based on their baseline history or risk of CVD events) a statistically significant relationship </w:t>
      </w:r>
      <w:r>
        <w:rPr>
          <w:bCs/>
        </w:rPr>
        <w:t xml:space="preserve">was identified </w:t>
      </w:r>
      <w:r w:rsidRPr="005F5CAF">
        <w:rPr>
          <w:bCs/>
        </w:rPr>
        <w:t>between increased Lp(a) and an increased risk of future CVD. Fourteen studies that assessed the relationship between Lp(a) and CVD outcomes in patients with previous CVD events reported</w:t>
      </w:r>
      <w:r w:rsidRPr="005F5CAF">
        <w:t xml:space="preserve"> a </w:t>
      </w:r>
      <w:r w:rsidRPr="005F5CAF">
        <w:rPr>
          <w:bCs/>
        </w:rPr>
        <w:t>modest statistically significant relationship (</w:t>
      </w:r>
      <w:r w:rsidR="001575AD">
        <w:rPr>
          <w:bCs/>
        </w:rPr>
        <w:t>h</w:t>
      </w:r>
      <w:r w:rsidR="00E606F3">
        <w:rPr>
          <w:bCs/>
        </w:rPr>
        <w:t>azard ratio</w:t>
      </w:r>
      <w:r w:rsidRPr="005F5CAF">
        <w:rPr>
          <w:bCs/>
        </w:rPr>
        <w:t xml:space="preserve"> from 0.75 to 3.7).</w:t>
      </w:r>
    </w:p>
    <w:p w14:paraId="504DCE73" w14:textId="033BFC3F" w:rsidR="004A2752" w:rsidRDefault="004A2752" w:rsidP="00695B36">
      <w:pPr>
        <w:jc w:val="left"/>
      </w:pPr>
      <w:r>
        <w:t xml:space="preserve">Additional studies among patients with no prior CVD diagnosis reported that Lp(a) was a risk factor for CVD outcomes in </w:t>
      </w:r>
      <w:r w:rsidRPr="00773AD6">
        <w:t>126,634 participants in 36 prospective studies</w:t>
      </w:r>
      <w:r>
        <w:t xml:space="preserve"> </w:t>
      </w:r>
      <w:r>
        <w:fldChar w:fldCharType="begin"/>
      </w:r>
      <w:r>
        <w:instrText xml:space="preserve"> ADDIN EN.CITE &lt;EndNote&gt;&lt;Cite&gt;&lt;Author&gt;Erqou&lt;/Author&gt;&lt;Year&gt;2009&lt;/Year&gt;&lt;RecNum&gt;8&lt;/RecNum&gt;&lt;DisplayText&gt;(Erqou et al. 2009)&lt;/DisplayText&gt;&lt;record&gt;&lt;rec-number&gt;8&lt;/rec-number&gt;&lt;foreign-keys&gt;&lt;key app="EN" db-id="p5dp00za8apvt8e25vqv22rzzpwt5tvtsr0r" timestamp="1667275662"&gt;8&lt;/key&gt;&lt;/foreign-keys&gt;&lt;ref-type name="Journal Article"&gt;17&lt;/ref-type&gt;&lt;contributors&gt;&lt;authors&gt;&lt;author&gt;Erqou, S.&lt;/author&gt;&lt;author&gt;Kaptoge, S.&lt;/author&gt;&lt;author&gt;Perry, P. L.&lt;/author&gt;&lt;author&gt;Di Angelantonio, E.&lt;/author&gt;&lt;author&gt;Thompson, A.&lt;/author&gt;&lt;author&gt;White, I. R.&lt;/author&gt;&lt;author&gt;Marcovina, S. M.&lt;/author&gt;&lt;author&gt;Collins, R.&lt;/author&gt;&lt;author&gt;Thompson, S. G.&lt;/author&gt;&lt;author&gt;Danesh, J.&lt;/author&gt;&lt;/authors&gt;&lt;/contributors&gt;&lt;titles&gt;&lt;title&gt;Lipoprotein(a) concentration and the risk of coronary heart disease, stroke, and nonvascular mortality&lt;/title&gt;&lt;secondary-title&gt;Jama&lt;/secondary-title&gt;&lt;/titles&gt;&lt;periodical&gt;&lt;full-title&gt;Jama&lt;/full-title&gt;&lt;/periodical&gt;&lt;pages&gt;412-23&lt;/pages&gt;&lt;volume&gt;302&lt;/volume&gt;&lt;number&gt;4&lt;/number&gt;&lt;keywords&gt;&lt;keyword&gt;Cause of Death&lt;/keyword&gt;&lt;keyword&gt;Coronary Disease/*blood/*epidemiology&lt;/keyword&gt;&lt;keyword&gt;Humans&lt;/keyword&gt;&lt;keyword&gt;Lipoprotein(a)/*blood&lt;/keyword&gt;&lt;keyword&gt;Risk Factors&lt;/keyword&gt;&lt;keyword&gt;Stroke/*blood/*epidemiology&lt;/keyword&gt;&lt;/keywords&gt;&lt;dates&gt;&lt;year&gt;2009&lt;/year&gt;&lt;pub-dates&gt;&lt;date&gt;Jul 22&lt;/date&gt;&lt;/pub-dates&gt;&lt;/dates&gt;&lt;isbn&gt;0098-7484 (Print)&amp;#xD;0098-7484&lt;/isbn&gt;&lt;accession-num&gt;19622820&lt;/accession-num&gt;&lt;urls&gt;&lt;/urls&gt;&lt;custom2&gt;PMC3272390&lt;/custom2&gt;&lt;custom6&gt;UKMS40364&lt;/custom6&gt;&lt;electronic-resource-num&gt;10.1001/jama.2009.1063&lt;/electronic-resource-num&gt;&lt;remote-database-provider&gt;NLM&lt;/remote-database-provider&gt;&lt;language&gt;eng&lt;/language&gt;&lt;/record&gt;&lt;/Cite&gt;&lt;/EndNote&gt;</w:instrText>
      </w:r>
      <w:r>
        <w:fldChar w:fldCharType="separate"/>
      </w:r>
      <w:r>
        <w:rPr>
          <w:noProof/>
        </w:rPr>
        <w:t>(Erqou et al</w:t>
      </w:r>
      <w:r w:rsidR="005C6F5C">
        <w:rPr>
          <w:noProof/>
        </w:rPr>
        <w:t>.</w:t>
      </w:r>
      <w:r>
        <w:rPr>
          <w:noProof/>
        </w:rPr>
        <w:t xml:space="preserve"> 2009)</w:t>
      </w:r>
      <w:r>
        <w:fldChar w:fldCharType="end"/>
      </w:r>
      <w:r>
        <w:t xml:space="preserve">, </w:t>
      </w:r>
      <w:r w:rsidRPr="00012CFB">
        <w:rPr>
          <w:bCs/>
        </w:rPr>
        <w:t>15,152 cases and 14,820 controls from 52 countries</w:t>
      </w:r>
      <w:r>
        <w:rPr>
          <w:bCs/>
        </w:rPr>
        <w:t xml:space="preserve"> in a case control study </w:t>
      </w:r>
      <w:r>
        <w:rPr>
          <w:bCs/>
        </w:rPr>
        <w:fldChar w:fldCharType="begin">
          <w:fldData xml:space="preserve">PEVuZE5vdGU+PENpdGU+PEF1dGhvcj5QYXLDqTwvQXV0aG9yPjxZZWFyPjIwMTk8L1llYXI+PFJl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</w:fldData>
        </w:fldChar>
      </w:r>
      <w:r w:rsidR="005C6F5C">
        <w:rPr>
          <w:bCs/>
        </w:rPr>
        <w:instrText xml:space="preserve"> ADDIN EN.CITE </w:instrText>
      </w:r>
      <w:r w:rsidR="005C6F5C">
        <w:rPr>
          <w:bCs/>
        </w:rPr>
        <w:fldChar w:fldCharType="begin">
          <w:fldData xml:space="preserve">PEVuZE5vdGU+PENpdGU+PEF1dGhvcj5QYXLDqTwvQXV0aG9yPjxZZWFyPjIwMTk8L1llYXI+PFJl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</w:fldData>
        </w:fldChar>
      </w:r>
      <w:r w:rsidR="005C6F5C">
        <w:rPr>
          <w:bCs/>
        </w:rPr>
        <w:instrText xml:space="preserve"> ADDIN EN.CITE.DATA </w:instrText>
      </w:r>
      <w:r w:rsidR="005C6F5C">
        <w:rPr>
          <w:bCs/>
        </w:rPr>
      </w:r>
      <w:r w:rsidR="005C6F5C">
        <w:rPr>
          <w:bCs/>
        </w:rPr>
        <w:fldChar w:fldCharType="end"/>
      </w:r>
      <w:r>
        <w:rPr>
          <w:bCs/>
        </w:rPr>
      </w:r>
      <w:r>
        <w:rPr>
          <w:bCs/>
        </w:rPr>
        <w:fldChar w:fldCharType="separate"/>
      </w:r>
      <w:r w:rsidR="005C6F5C">
        <w:rPr>
          <w:bCs/>
          <w:noProof/>
        </w:rPr>
        <w:t>(Paré et al. 2019)</w:t>
      </w:r>
      <w:r>
        <w:rPr>
          <w:bCs/>
        </w:rPr>
        <w:fldChar w:fldCharType="end"/>
      </w:r>
      <w:r>
        <w:rPr>
          <w:bCs/>
        </w:rPr>
        <w:t xml:space="preserve">, and 1,560 patients with chest pain in Germany </w:t>
      </w:r>
      <w:r>
        <w:rPr>
          <w:bCs/>
        </w:rPr>
        <w:fldChar w:fldCharType="begin"/>
      </w:r>
      <w:r>
        <w:rPr>
          <w:bCs/>
        </w:rPr>
        <w:instrText xml:space="preserve"> ADDIN EN.CITE &lt;EndNote&gt;&lt;Cite&gt;&lt;Author&gt;Greif&lt;/Author&gt;&lt;Year&gt;2013&lt;/Year&gt;&lt;RecNum&gt;12&lt;/RecNum&gt;&lt;DisplayText&gt;(Greif et al. 2013)&lt;/DisplayText&gt;&lt;record&gt;&lt;rec-number&gt;12&lt;/rec-number&gt;&lt;foreign-keys&gt;&lt;key app="EN" db-id="p5dp00za8apvt8e25vqv22rzzpwt5tvtsr0r" timestamp="1667276391"&gt;12&lt;/key&gt;&lt;/foreign-keys&gt;&lt;ref-type name="Journal Article"&gt;17&lt;/ref-type&gt;&lt;contributors&gt;&lt;authors&gt;&lt;author&gt;Greif, M.&lt;/author&gt;&lt;author&gt;Arnoldt, T.&lt;/author&gt;&lt;author&gt;von Ziegler, F.&lt;/author&gt;&lt;author&gt;Ruemmler, J.&lt;/author&gt;&lt;author&gt;Becker, C.&lt;/author&gt;&lt;author&gt;Wakili, R.&lt;/author&gt;&lt;author&gt;D&amp;apos;Anastasi, M.&lt;/author&gt;&lt;author&gt;Schenzle, J.&lt;/author&gt;&lt;author&gt;Leber, A. W.&lt;/author&gt;&lt;author&gt;Becker, A.&lt;/author&gt;&lt;/authors&gt;&lt;/contributors&gt;&lt;auth-address&gt;Department of Cardiology, Klinikum Grosshadern, University Hospital of Munich, Germany.&lt;/auth-address&gt;&lt;titles&gt;&lt;title&gt;Lipoprotein (a) is independently correlated with coronary artery calcification&lt;/title&gt;&lt;secondary-title&gt;Eur J Intern Med&lt;/secondary-title&gt;&lt;/titles&gt;&lt;periodical&gt;&lt;full-title&gt;Eur J Intern Med&lt;/full-title&gt;&lt;/periodical&gt;&lt;pages&gt;75-9&lt;/pages&gt;&lt;volume&gt;24&lt;/volume&gt;&lt;number&gt;1&lt;/number&gt;&lt;edition&gt;20120927&lt;/edition&gt;&lt;keywords&gt;&lt;keyword&gt;Coronary Artery Disease/*blood/complications&lt;/keyword&gt;&lt;keyword&gt;Female&lt;/keyword&gt;&lt;keyword&gt;Humans&lt;/keyword&gt;&lt;keyword&gt;Lipoprotein(a)/*blood&lt;/keyword&gt;&lt;keyword&gt;Male&lt;/keyword&gt;&lt;keyword&gt;Middle Aged&lt;/keyword&gt;&lt;keyword&gt;Vascular Calcification/*blood/complications&lt;/keyword&gt;&lt;/keywords&gt;&lt;dates&gt;&lt;year&gt;2013&lt;/year&gt;&lt;pub-dates&gt;&lt;date&gt;Jan&lt;/date&gt;&lt;/pub-dates&gt;&lt;/dates&gt;&lt;isbn&gt;0953-6205&lt;/isbn&gt;&lt;accession-num&gt;23021791&lt;/accession-num&gt;&lt;urls&gt;&lt;/urls&gt;&lt;electronic-resource-num&gt;10.1016/j.ejim.2012.08.014&lt;/electronic-resource-num&gt;&lt;remote-database-provider&gt;NLM&lt;/remote-database-provider&gt;&lt;language&gt;eng&lt;/language&gt;&lt;/record&gt;&lt;/Cite&gt;&lt;/EndNote&gt;</w:instrText>
      </w:r>
      <w:r>
        <w:rPr>
          <w:bCs/>
        </w:rPr>
        <w:fldChar w:fldCharType="separate"/>
      </w:r>
      <w:r>
        <w:rPr>
          <w:bCs/>
          <w:noProof/>
        </w:rPr>
        <w:t>(Greif et al</w:t>
      </w:r>
      <w:r w:rsidR="005C6F5C">
        <w:rPr>
          <w:bCs/>
          <w:noProof/>
        </w:rPr>
        <w:t>.</w:t>
      </w:r>
      <w:r>
        <w:rPr>
          <w:bCs/>
          <w:noProof/>
        </w:rPr>
        <w:t xml:space="preserve"> 2013)</w:t>
      </w:r>
      <w:r>
        <w:rPr>
          <w:bCs/>
        </w:rPr>
        <w:fldChar w:fldCharType="end"/>
      </w:r>
      <w:r>
        <w:rPr>
          <w:bCs/>
        </w:rPr>
        <w:t xml:space="preserve">. </w:t>
      </w:r>
      <w:r>
        <w:t xml:space="preserve">Further studies among patients with a history of CVD reported that Lp(a) was a risk factor for CVD outcomes among 27,564 participants in a randomised controlled trial (RCT) </w:t>
      </w:r>
      <w:r>
        <w:fldChar w:fldCharType="begin">
          <w:fldData xml:space="preserve">PEVuZE5vdGU+PENpdGU+PEF1dGhvcj5PJmFwb3M7RG9ub2dodWU8L0F1dGhvcj48WWVhcj4yMDE5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</w:fldData>
        </w:fldChar>
      </w:r>
      <w:r w:rsidR="005C6F5C">
        <w:instrText xml:space="preserve"> ADDIN EN.CITE </w:instrText>
      </w:r>
      <w:r w:rsidR="005C6F5C">
        <w:fldChar w:fldCharType="begin">
          <w:fldData xml:space="preserve">PEVuZE5vdGU+PENpdGU+PEF1dGhvcj5PJmFwb3M7RG9ub2dodWU8L0F1dGhvcj48WWVhcj4yMDE5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</w:fldData>
        </w:fldChar>
      </w:r>
      <w:r w:rsidR="005C6F5C">
        <w:instrText xml:space="preserve"> ADDIN EN.CITE.DATA </w:instrText>
      </w:r>
      <w:r w:rsidR="005C6F5C">
        <w:fldChar w:fldCharType="end"/>
      </w:r>
      <w:r>
        <w:fldChar w:fldCharType="separate"/>
      </w:r>
      <w:r w:rsidR="005C6F5C">
        <w:rPr>
          <w:noProof/>
        </w:rPr>
        <w:t>(O'Donoghue et al. 2019)</w:t>
      </w:r>
      <w:r>
        <w:fldChar w:fldCharType="end"/>
      </w:r>
      <w:r>
        <w:t xml:space="preserve"> and among 4,078 patients in a study conducted in China </w:t>
      </w:r>
      <w:r>
        <w:fldChar w:fldCharType="begin">
          <w:fldData xml:space="preserve">PEVuZE5vdGU+PENpdGU+PEF1dGhvcj5MaXU8L0F1dGhvcj48WWVhcj4yMDIwPC9ZZWFyPjxSZWNO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</w:fldData>
        </w:fldChar>
      </w:r>
      <w:r w:rsidR="005C6F5C">
        <w:instrText xml:space="preserve"> ADDIN EN.CITE </w:instrText>
      </w:r>
      <w:r w:rsidR="005C6F5C">
        <w:fldChar w:fldCharType="begin">
          <w:fldData xml:space="preserve">PEVuZE5vdGU+PENpdGU+PEF1dGhvcj5MaXU8L0F1dGhvcj48WWVhcj4yMDIwPC9ZZWFyPjxSZWNO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</w:fldData>
        </w:fldChar>
      </w:r>
      <w:r w:rsidR="005C6F5C">
        <w:instrText xml:space="preserve"> ADDIN EN.CITE.DATA </w:instrText>
      </w:r>
      <w:r w:rsidR="005C6F5C">
        <w:fldChar w:fldCharType="end"/>
      </w:r>
      <w:r>
        <w:fldChar w:fldCharType="separate"/>
      </w:r>
      <w:r w:rsidR="005C6F5C">
        <w:rPr>
          <w:noProof/>
        </w:rPr>
        <w:t>(Liu et al. 2020)</w:t>
      </w:r>
      <w:r>
        <w:fldChar w:fldCharType="end"/>
      </w:r>
      <w:r>
        <w:t xml:space="preserve">. </w:t>
      </w:r>
    </w:p>
    <w:p w14:paraId="53F5FF52" w14:textId="77777777" w:rsidR="004A2752" w:rsidRPr="00B5208C" w:rsidRDefault="004A2752" w:rsidP="00695B36">
      <w:pPr>
        <w:pStyle w:val="Instructionaltext"/>
        <w:keepNext/>
        <w:jc w:val="left"/>
        <w:rPr>
          <w:color w:val="auto"/>
          <w:u w:val="single"/>
        </w:rPr>
      </w:pPr>
      <w:r w:rsidRPr="00B5208C">
        <w:rPr>
          <w:color w:val="auto"/>
          <w:u w:val="single"/>
        </w:rPr>
        <w:t>Therapeutic evaluation</w:t>
      </w:r>
    </w:p>
    <w:p w14:paraId="1F50DC0F" w14:textId="0A003E7A" w:rsidR="004A2752" w:rsidRPr="00C215D7" w:rsidRDefault="004A2752" w:rsidP="00695B36">
      <w:pPr>
        <w:jc w:val="left"/>
      </w:pPr>
      <w:r w:rsidRPr="00CE4DD9">
        <w:t xml:space="preserve">Testing would be delivered only by </w:t>
      </w:r>
      <w:r>
        <w:t xml:space="preserve">the </w:t>
      </w:r>
      <w:r w:rsidRPr="005A381B">
        <w:t xml:space="preserve">National Association of Testing Authorities </w:t>
      </w:r>
      <w:r>
        <w:t>(</w:t>
      </w:r>
      <w:r w:rsidRPr="00CE4DD9">
        <w:t>NATA</w:t>
      </w:r>
      <w:r>
        <w:t>),</w:t>
      </w:r>
      <w:r w:rsidRPr="00CE4DD9">
        <w:t xml:space="preserve"> Accredited Pathology Laboratories (as defined in </w:t>
      </w:r>
      <w:r w:rsidRPr="00BF28B4">
        <w:t>MBS Pathology Services Table</w:t>
      </w:r>
      <w:r w:rsidRPr="00CE4DD9">
        <w:t>)</w:t>
      </w:r>
      <w:r w:rsidR="005A70C5">
        <w:t>.</w:t>
      </w:r>
      <w:r w:rsidRPr="00CE4DD9">
        <w:t xml:space="preserve"> in line with other tests in the MBS </w:t>
      </w:r>
      <w:r w:rsidRPr="00C215D7">
        <w:t xml:space="preserve">Pathology Services Table. Interpretation of results would be provided by an approved </w:t>
      </w:r>
      <w:r w:rsidR="00E033F5" w:rsidRPr="00C215D7">
        <w:t>pathology practitioner</w:t>
      </w:r>
      <w:r w:rsidRPr="00C215D7">
        <w:t>.</w:t>
      </w:r>
    </w:p>
    <w:p w14:paraId="7C16FB2B" w14:textId="29547B38" w:rsidR="004A2752" w:rsidRPr="00C215D7" w:rsidRDefault="004A2752" w:rsidP="00695B36">
      <w:pPr>
        <w:jc w:val="left"/>
      </w:pPr>
      <w:r w:rsidRPr="00C215D7">
        <w:t>With respect to different populations described above, the Lp(a) test result is intended to be useful to:</w:t>
      </w:r>
    </w:p>
    <w:p w14:paraId="5C6CCA99" w14:textId="229A9F09" w:rsidR="002F6BB2" w:rsidRPr="00655D57" w:rsidRDefault="002F6BB2" w:rsidP="00695B36">
      <w:pPr>
        <w:pStyle w:val="ListParagraph"/>
        <w:numPr>
          <w:ilvl w:val="0"/>
          <w:numId w:val="11"/>
        </w:numPr>
        <w:spacing w:after="160" w:line="259" w:lineRule="auto"/>
        <w:jc w:val="left"/>
      </w:pPr>
      <w:r w:rsidRPr="00655D57">
        <w:rPr>
          <w:rFonts w:eastAsiaTheme="minorHAnsi" w:cstheme="minorBidi"/>
          <w:b/>
          <w:bCs/>
        </w:rPr>
        <w:t>Population A (index population)</w:t>
      </w:r>
      <w:r w:rsidRPr="00655D57">
        <w:rPr>
          <w:rFonts w:eastAsiaTheme="minorHAnsi" w:cstheme="minorBidi"/>
        </w:rPr>
        <w:t xml:space="preserve">: </w:t>
      </w:r>
      <w:r w:rsidR="00B6055C" w:rsidRPr="00655D57">
        <w:t xml:space="preserve">Patients who </w:t>
      </w:r>
      <w:r w:rsidR="007F343F" w:rsidRPr="00655D57">
        <w:t>are</w:t>
      </w:r>
      <w:r w:rsidR="00276AC7" w:rsidRPr="00655D57">
        <w:t xml:space="preserve"> moderate risk but have a significantly elevated </w:t>
      </w:r>
      <w:r w:rsidR="007F343F" w:rsidRPr="00655D57">
        <w:t>Lp(a)</w:t>
      </w:r>
      <w:r w:rsidR="00276AC7" w:rsidRPr="00655D57">
        <w:t xml:space="preserve"> (&gt;200 nmol/L)</w:t>
      </w:r>
      <w:r w:rsidR="007F343F" w:rsidRPr="00655D57">
        <w:t xml:space="preserve"> </w:t>
      </w:r>
      <w:r w:rsidR="00276AC7" w:rsidRPr="00655D57">
        <w:t>are</w:t>
      </w:r>
      <w:r w:rsidR="007F343F" w:rsidRPr="00655D57">
        <w:t xml:space="preserve"> re-classified as high risk</w:t>
      </w:r>
      <w:r w:rsidR="007F343F" w:rsidRPr="00655D57">
        <w:rPr>
          <w:rFonts w:eastAsiaTheme="minorHAnsi" w:cstheme="minorBidi"/>
        </w:rPr>
        <w:t xml:space="preserve"> and will have t</w:t>
      </w:r>
      <w:r w:rsidR="00F70FA0" w:rsidRPr="00655D57">
        <w:rPr>
          <w:rFonts w:eastAsiaTheme="minorHAnsi" w:cstheme="minorBidi"/>
        </w:rPr>
        <w:t>he</w:t>
      </w:r>
      <w:r w:rsidR="007F343F" w:rsidRPr="00655D57">
        <w:rPr>
          <w:rFonts w:eastAsiaTheme="minorHAnsi" w:cstheme="minorBidi"/>
        </w:rPr>
        <w:t>ir</w:t>
      </w:r>
      <w:r w:rsidR="00F70FA0" w:rsidRPr="00655D57">
        <w:rPr>
          <w:rFonts w:eastAsiaTheme="minorHAnsi" w:cstheme="minorBidi"/>
        </w:rPr>
        <w:t xml:space="preserve"> CVD management plan reviewed and updated</w:t>
      </w:r>
      <w:r w:rsidR="007F343F" w:rsidRPr="00655D57">
        <w:rPr>
          <w:rFonts w:eastAsiaTheme="minorHAnsi" w:cstheme="minorBidi"/>
        </w:rPr>
        <w:t xml:space="preserve">. </w:t>
      </w:r>
    </w:p>
    <w:p w14:paraId="54A53290" w14:textId="69404446" w:rsidR="002F6BB2" w:rsidRPr="00C215D7" w:rsidRDefault="002F6BB2" w:rsidP="00695B36">
      <w:pPr>
        <w:pStyle w:val="ListParagraph"/>
        <w:numPr>
          <w:ilvl w:val="0"/>
          <w:numId w:val="10"/>
        </w:numPr>
        <w:spacing w:after="160" w:line="259" w:lineRule="auto"/>
        <w:jc w:val="left"/>
        <w:rPr>
          <w:rFonts w:eastAsiaTheme="minorHAnsi" w:cstheme="minorBidi"/>
        </w:rPr>
      </w:pPr>
      <w:r w:rsidRPr="00C215D7">
        <w:rPr>
          <w:rFonts w:eastAsiaTheme="minorHAnsi" w:cstheme="minorBidi"/>
          <w:b/>
          <w:bCs/>
        </w:rPr>
        <w:t>Population B (index population)</w:t>
      </w:r>
      <w:r w:rsidRPr="00C215D7">
        <w:rPr>
          <w:rFonts w:eastAsiaTheme="minorHAnsi" w:cstheme="minorBidi"/>
        </w:rPr>
        <w:t xml:space="preserve">: </w:t>
      </w:r>
      <w:r w:rsidR="00E86CF9" w:rsidRPr="00C215D7">
        <w:rPr>
          <w:rFonts w:eastAsiaTheme="minorHAnsi" w:cstheme="minorBidi"/>
        </w:rPr>
        <w:t>Patients who are</w:t>
      </w:r>
      <w:r w:rsidR="00276AC7" w:rsidRPr="00C215D7">
        <w:rPr>
          <w:rFonts w:eastAsiaTheme="minorHAnsi" w:cstheme="minorBidi"/>
        </w:rPr>
        <w:t xml:space="preserve"> high risk but have a </w:t>
      </w:r>
      <w:r w:rsidR="00276AC7" w:rsidRPr="00C215D7">
        <w:t xml:space="preserve">significantly elevated Lp(a) (&gt;200 nmol/L) </w:t>
      </w:r>
      <w:r w:rsidR="00E86CF9" w:rsidRPr="00C215D7">
        <w:rPr>
          <w:rFonts w:eastAsiaTheme="minorHAnsi" w:cstheme="minorBidi"/>
        </w:rPr>
        <w:t xml:space="preserve">will have their </w:t>
      </w:r>
      <w:r w:rsidR="0073369B" w:rsidRPr="00C215D7">
        <w:rPr>
          <w:rFonts w:eastAsiaTheme="minorHAnsi" w:cstheme="minorBidi"/>
        </w:rPr>
        <w:t xml:space="preserve">CVD management strategy reviewed with </w:t>
      </w:r>
      <w:r w:rsidR="009D1B59" w:rsidRPr="00C215D7">
        <w:rPr>
          <w:rFonts w:eastAsiaTheme="minorHAnsi" w:cstheme="minorBidi"/>
        </w:rPr>
        <w:t xml:space="preserve">optimisation </w:t>
      </w:r>
      <w:r w:rsidR="0055350B" w:rsidRPr="00C215D7">
        <w:rPr>
          <w:rFonts w:eastAsiaTheme="minorHAnsi" w:cstheme="minorBidi"/>
        </w:rPr>
        <w:t xml:space="preserve">where </w:t>
      </w:r>
      <w:r w:rsidR="00DB303A" w:rsidRPr="00C215D7">
        <w:rPr>
          <w:rFonts w:eastAsiaTheme="minorHAnsi" w:cstheme="minorBidi"/>
        </w:rPr>
        <w:t xml:space="preserve">the intervention could be intensified, </w:t>
      </w:r>
      <w:r w:rsidR="008D19DC" w:rsidRPr="00C215D7">
        <w:rPr>
          <w:rFonts w:eastAsiaTheme="minorHAnsi" w:cstheme="minorBidi"/>
        </w:rPr>
        <w:t xml:space="preserve">so that additional CVD risk due to the elevated Lp(a) </w:t>
      </w:r>
      <w:r w:rsidR="00DB303A" w:rsidRPr="00C215D7">
        <w:rPr>
          <w:rFonts w:eastAsiaTheme="minorHAnsi" w:cstheme="minorBidi"/>
        </w:rPr>
        <w:t xml:space="preserve">could be offset </w:t>
      </w:r>
      <w:r w:rsidR="003076F4" w:rsidRPr="00C215D7">
        <w:rPr>
          <w:rFonts w:eastAsiaTheme="minorHAnsi" w:cstheme="minorBidi"/>
        </w:rPr>
        <w:t>accordingly</w:t>
      </w:r>
      <w:r w:rsidR="00DB303A" w:rsidRPr="00C215D7">
        <w:rPr>
          <w:rFonts w:eastAsiaTheme="minorHAnsi" w:cstheme="minorBidi"/>
        </w:rPr>
        <w:t xml:space="preserve">. </w:t>
      </w:r>
    </w:p>
    <w:p w14:paraId="4C25A372" w14:textId="37B20468" w:rsidR="002F6BB2" w:rsidRDefault="002F6BB2" w:rsidP="00695B36">
      <w:pPr>
        <w:pStyle w:val="ListParagraph"/>
        <w:numPr>
          <w:ilvl w:val="0"/>
          <w:numId w:val="11"/>
        </w:numPr>
        <w:spacing w:after="160" w:line="259" w:lineRule="auto"/>
        <w:jc w:val="left"/>
        <w:rPr>
          <w:rFonts w:eastAsiaTheme="minorHAnsi" w:cstheme="minorBidi"/>
        </w:rPr>
      </w:pPr>
      <w:r w:rsidRPr="000C646C">
        <w:rPr>
          <w:rFonts w:eastAsiaTheme="minorHAnsi" w:cstheme="minorBidi"/>
          <w:b/>
          <w:bCs/>
        </w:rPr>
        <w:lastRenderedPageBreak/>
        <w:t xml:space="preserve">Population </w:t>
      </w:r>
      <w:r>
        <w:rPr>
          <w:rFonts w:eastAsiaTheme="minorHAnsi" w:cstheme="minorBidi"/>
          <w:b/>
          <w:bCs/>
        </w:rPr>
        <w:t>C</w:t>
      </w:r>
      <w:r w:rsidRPr="000C646C">
        <w:rPr>
          <w:rFonts w:eastAsiaTheme="minorHAnsi" w:cstheme="minorBidi"/>
          <w:b/>
          <w:bCs/>
        </w:rPr>
        <w:t xml:space="preserve"> (cascade population)</w:t>
      </w:r>
      <w:r w:rsidRPr="001D5716">
        <w:rPr>
          <w:rFonts w:eastAsiaTheme="minorHAnsi" w:cstheme="minorBidi"/>
        </w:rPr>
        <w:t xml:space="preserve">: </w:t>
      </w:r>
      <w:r w:rsidR="00577B2F">
        <w:rPr>
          <w:rFonts w:eastAsiaTheme="minorHAnsi" w:cstheme="minorBidi"/>
        </w:rPr>
        <w:t>P</w:t>
      </w:r>
      <w:r w:rsidR="00272A1D">
        <w:rPr>
          <w:rFonts w:eastAsiaTheme="minorHAnsi" w:cstheme="minorBidi"/>
        </w:rPr>
        <w:t>atients</w:t>
      </w:r>
      <w:r w:rsidR="00577B2F">
        <w:rPr>
          <w:rFonts w:eastAsiaTheme="minorHAnsi" w:cstheme="minorBidi"/>
        </w:rPr>
        <w:t xml:space="preserve"> in the cascade population will fall into</w:t>
      </w:r>
      <w:r w:rsidR="00272A1D">
        <w:rPr>
          <w:rFonts w:eastAsiaTheme="minorHAnsi" w:cstheme="minorBidi"/>
        </w:rPr>
        <w:t xml:space="preserve"> various risk</w:t>
      </w:r>
      <w:r w:rsidR="001D5E54">
        <w:rPr>
          <w:rFonts w:eastAsiaTheme="minorHAnsi" w:cstheme="minorBidi"/>
        </w:rPr>
        <w:t xml:space="preserve"> categories</w:t>
      </w:r>
      <w:r w:rsidR="00577B2F">
        <w:rPr>
          <w:rFonts w:eastAsiaTheme="minorHAnsi" w:cstheme="minorBidi"/>
        </w:rPr>
        <w:t xml:space="preserve"> based on their Lp(a) test. E</w:t>
      </w:r>
      <w:r w:rsidR="00272A1D">
        <w:rPr>
          <w:rFonts w:eastAsiaTheme="minorHAnsi" w:cstheme="minorBidi"/>
        </w:rPr>
        <w:t xml:space="preserve">arly and appropriate interventions could be </w:t>
      </w:r>
      <w:r w:rsidR="001D5E54">
        <w:rPr>
          <w:rFonts w:eastAsiaTheme="minorHAnsi" w:cstheme="minorBidi"/>
        </w:rPr>
        <w:t>considered</w:t>
      </w:r>
      <w:r w:rsidR="00272A1D">
        <w:rPr>
          <w:rFonts w:eastAsiaTheme="minorHAnsi" w:cstheme="minorBidi"/>
        </w:rPr>
        <w:t xml:space="preserve"> to</w:t>
      </w:r>
      <w:r w:rsidR="00BB51EB">
        <w:rPr>
          <w:rFonts w:eastAsiaTheme="minorHAnsi" w:cstheme="minorBidi"/>
        </w:rPr>
        <w:t xml:space="preserve"> reduce and manage the ongoing </w:t>
      </w:r>
      <w:r w:rsidR="00204BC8">
        <w:rPr>
          <w:rFonts w:eastAsiaTheme="minorHAnsi" w:cstheme="minorBidi"/>
        </w:rPr>
        <w:t>CVD risks to imp</w:t>
      </w:r>
      <w:r w:rsidR="00A117EA">
        <w:rPr>
          <w:rFonts w:eastAsiaTheme="minorHAnsi" w:cstheme="minorBidi"/>
        </w:rPr>
        <w:t>rove patients’ long-term outcomes.</w:t>
      </w:r>
    </w:p>
    <w:p w14:paraId="5B30252B" w14:textId="77777777" w:rsidR="004A2752" w:rsidRPr="00A82F3E" w:rsidRDefault="004A2752" w:rsidP="00695B36">
      <w:pPr>
        <w:spacing w:after="160" w:line="259" w:lineRule="auto"/>
        <w:jc w:val="left"/>
        <w:rPr>
          <w:rFonts w:cstheme="minorBidi"/>
          <w:highlight w:val="yellow"/>
          <w:u w:val="single"/>
        </w:rPr>
      </w:pPr>
      <w:r w:rsidRPr="00A82F3E">
        <w:rPr>
          <w:u w:val="single"/>
        </w:rPr>
        <w:t>Future treatments</w:t>
      </w:r>
      <w:r w:rsidRPr="00A82F3E">
        <w:rPr>
          <w:rFonts w:cstheme="minorBidi"/>
          <w:highlight w:val="yellow"/>
          <w:u w:val="single"/>
        </w:rPr>
        <w:t xml:space="preserve"> </w:t>
      </w:r>
    </w:p>
    <w:p w14:paraId="610EC826" w14:textId="6188274A" w:rsidR="004A2752" w:rsidRDefault="004A2752" w:rsidP="00695B36">
      <w:pPr>
        <w:spacing w:after="160" w:line="259" w:lineRule="auto"/>
        <w:jc w:val="left"/>
      </w:pPr>
      <w:r w:rsidRPr="00A82F3E">
        <w:rPr>
          <w:rFonts w:cstheme="minorBidi"/>
        </w:rPr>
        <w:t xml:space="preserve">There </w:t>
      </w:r>
      <w:r>
        <w:rPr>
          <w:rFonts w:cstheme="minorBidi"/>
        </w:rPr>
        <w:t>is some</w:t>
      </w:r>
      <w:r w:rsidRPr="00A82F3E">
        <w:rPr>
          <w:rFonts w:cstheme="minorBidi"/>
        </w:rPr>
        <w:t xml:space="preserve"> preliminary evidence of benefit from the PCSK9 inhibitor evolocumab</w:t>
      </w:r>
      <w:r>
        <w:rPr>
          <w:rFonts w:cstheme="minorBidi"/>
        </w:rPr>
        <w:t xml:space="preserve"> with one RCT reporting that e</w:t>
      </w:r>
      <w:r w:rsidRPr="008A569E">
        <w:rPr>
          <w:rFonts w:cstheme="minorBidi"/>
          <w:lang w:val="en-US"/>
        </w:rPr>
        <w:t xml:space="preserve">volocumab significantly reduced Lp(a) </w:t>
      </w:r>
      <w:r w:rsidR="000B1236">
        <w:rPr>
          <w:rFonts w:cstheme="minorBidi"/>
          <w:lang w:val="en-US"/>
        </w:rPr>
        <w:t>concentration</w:t>
      </w:r>
      <w:r>
        <w:rPr>
          <w:rFonts w:cstheme="minorBidi"/>
          <w:lang w:val="en-US"/>
        </w:rPr>
        <w:t xml:space="preserve"> where</w:t>
      </w:r>
      <w:r w:rsidRPr="008A569E">
        <w:rPr>
          <w:rFonts w:cstheme="minorBidi"/>
          <w:lang w:val="en-US"/>
        </w:rPr>
        <w:t xml:space="preserve"> patients with higher baseline Lp(a) </w:t>
      </w:r>
      <w:r w:rsidR="00AA2E57">
        <w:rPr>
          <w:rFonts w:cstheme="minorBidi"/>
          <w:lang w:val="en-US"/>
        </w:rPr>
        <w:t>concentration</w:t>
      </w:r>
      <w:r w:rsidR="00AA2E57" w:rsidRPr="008A569E">
        <w:rPr>
          <w:rFonts w:cstheme="minorBidi"/>
          <w:lang w:val="en-US"/>
        </w:rPr>
        <w:t xml:space="preserve"> </w:t>
      </w:r>
      <w:r w:rsidRPr="008A569E">
        <w:rPr>
          <w:rFonts w:cstheme="minorBidi"/>
          <w:lang w:val="en-US"/>
        </w:rPr>
        <w:t>experienced greater absolute reductions in Lp(a) and derive</w:t>
      </w:r>
      <w:r>
        <w:rPr>
          <w:rFonts w:cstheme="minorBidi"/>
          <w:lang w:val="en-US"/>
        </w:rPr>
        <w:t>d</w:t>
      </w:r>
      <w:r w:rsidRPr="008A569E">
        <w:rPr>
          <w:rFonts w:cstheme="minorBidi"/>
          <w:lang w:val="en-US"/>
        </w:rPr>
        <w:t xml:space="preserve"> greater coronary benefit from PCSK9 inhibition</w:t>
      </w:r>
      <w:r>
        <w:rPr>
          <w:rFonts w:cstheme="minorBidi"/>
          <w:lang w:val="en-US"/>
        </w:rPr>
        <w:t xml:space="preserve"> </w:t>
      </w:r>
      <w:r>
        <w:rPr>
          <w:rFonts w:cstheme="minorBidi"/>
        </w:rPr>
        <w:fldChar w:fldCharType="begin">
          <w:fldData xml:space="preserve">PEVuZE5vdGU+PENpdGU+PEF1dGhvcj5PJmFwb3M7RG9ub2dodWU8L0F1dGhvcj48WWVhcj4yMDE5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</w:fldData>
        </w:fldChar>
      </w:r>
      <w:r w:rsidR="005C6F5C">
        <w:rPr>
          <w:rFonts w:cstheme="minorBidi"/>
        </w:rPr>
        <w:instrText xml:space="preserve"> ADDIN EN.CITE </w:instrText>
      </w:r>
      <w:r w:rsidR="005C6F5C">
        <w:rPr>
          <w:rFonts w:cstheme="minorBidi"/>
        </w:rPr>
        <w:fldChar w:fldCharType="begin">
          <w:fldData xml:space="preserve">PEVuZE5vdGU+PENpdGU+PEF1dGhvcj5PJmFwb3M7RG9ub2dodWU8L0F1dGhvcj48WWVhcj4yMDE5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</w:fldData>
        </w:fldChar>
      </w:r>
      <w:r w:rsidR="005C6F5C">
        <w:rPr>
          <w:rFonts w:cstheme="minorBidi"/>
        </w:rPr>
        <w:instrText xml:space="preserve"> ADDIN EN.CITE.DATA </w:instrText>
      </w:r>
      <w:r w:rsidR="005C6F5C">
        <w:rPr>
          <w:rFonts w:cstheme="minorBidi"/>
        </w:rPr>
      </w:r>
      <w:r w:rsidR="005C6F5C">
        <w:rPr>
          <w:rFonts w:cstheme="minorBidi"/>
        </w:rPr>
        <w:fldChar w:fldCharType="end"/>
      </w:r>
      <w:r>
        <w:rPr>
          <w:rFonts w:cstheme="minorBidi"/>
        </w:rPr>
      </w:r>
      <w:r>
        <w:rPr>
          <w:rFonts w:cstheme="minorBidi"/>
        </w:rPr>
        <w:fldChar w:fldCharType="separate"/>
      </w:r>
      <w:r w:rsidR="005C6F5C">
        <w:rPr>
          <w:rFonts w:cstheme="minorBidi"/>
          <w:noProof/>
        </w:rPr>
        <w:t>(O'Donoghue et al. 2019)</w:t>
      </w:r>
      <w:r>
        <w:rPr>
          <w:rFonts w:cstheme="minorBidi"/>
        </w:rPr>
        <w:fldChar w:fldCharType="end"/>
      </w:r>
      <w:r w:rsidRPr="00A82F3E">
        <w:rPr>
          <w:rFonts w:cstheme="minorBidi"/>
        </w:rPr>
        <w:t xml:space="preserve">. </w:t>
      </w:r>
      <w:r w:rsidRPr="00A82F3E">
        <w:t xml:space="preserve">Currently, evolocumab is </w:t>
      </w:r>
      <w:r>
        <w:t>indicated in the</w:t>
      </w:r>
      <w:r w:rsidRPr="00A82F3E">
        <w:t xml:space="preserve"> PBS for</w:t>
      </w:r>
      <w:r>
        <w:t xml:space="preserve"> </w:t>
      </w:r>
      <w:r w:rsidRPr="00A82F3E">
        <w:t xml:space="preserve">the treatment of patients with familial hypercholesterolaemia, not for </w:t>
      </w:r>
      <w:r w:rsidR="000B1236">
        <w:t xml:space="preserve">those with elevated </w:t>
      </w:r>
      <w:r w:rsidRPr="00A82F3E">
        <w:t xml:space="preserve">Lp(a). </w:t>
      </w:r>
    </w:p>
    <w:p w14:paraId="2400E1E8" w14:textId="36510A29" w:rsidR="00A117EA" w:rsidRDefault="004A2752" w:rsidP="00695B36">
      <w:pPr>
        <w:spacing w:after="160" w:line="259" w:lineRule="auto"/>
        <w:jc w:val="left"/>
      </w:pPr>
      <w:r>
        <w:t>The applicant identified 4 ongoing trials comparing PCSK9 inhibitors to placebo (</w:t>
      </w:r>
      <w:r w:rsidR="00D35728">
        <w:t xml:space="preserve">Table </w:t>
      </w:r>
      <w:r w:rsidR="00683E46">
        <w:t>4</w:t>
      </w:r>
      <w:r>
        <w:t xml:space="preserve">) and provided details about their interventions and estimated completion date </w:t>
      </w:r>
      <w:r>
        <w:fldChar w:fldCharType="begin"/>
      </w:r>
      <w:r>
        <w:instrText xml:space="preserve"> ADDIN EN.CITE &lt;EndNote&gt;&lt;Cite&gt;&lt;Author&gt;The Royal College of Pathologists of Australasia&lt;/Author&gt;&lt;Year&gt;2022&lt;/Year&gt;&lt;RecNum&gt;18&lt;/RecNum&gt;&lt;DisplayText&gt;(The Royal College of Pathologists of Australasia 2022)&lt;/DisplayText&gt;&lt;record&gt;&lt;rec-number&gt;18&lt;/rec-number&gt;&lt;foreign-keys&gt;&lt;key app="EN" db-id="p5dp00za8apvt8e25vqv22rzzpwt5tvtsr0r" timestamp="1667523800"&gt;18&lt;/key&gt;&lt;/foreign-keys&gt;&lt;ref-type name="Report"&gt;27&lt;/ref-type&gt;&lt;contributors&gt;&lt;authors&gt;&lt;author&gt;The Royal College of Pathologists of Australasia,&lt;/author&gt;&lt;/authors&gt;&lt;/contributors&gt;&lt;titles&gt;&lt;title&gt;Application form for Applicaion 1736&lt;/title&gt;&lt;/titles&gt;&lt;dates&gt;&lt;year&gt;2022&lt;/year&gt;&lt;/dates&gt;&lt;urls&gt;&lt;/urls&gt;&lt;/record&gt;&lt;/Cite&gt;&lt;/EndNote&gt;</w:instrText>
      </w:r>
      <w:r>
        <w:fldChar w:fldCharType="separate"/>
      </w:r>
      <w:r>
        <w:rPr>
          <w:noProof/>
        </w:rPr>
        <w:t>(</w:t>
      </w:r>
      <w:r w:rsidR="005C6F5C">
        <w:rPr>
          <w:noProof/>
        </w:rPr>
        <w:t xml:space="preserve">The </w:t>
      </w:r>
      <w:r>
        <w:rPr>
          <w:noProof/>
        </w:rPr>
        <w:t>Royal College of Pathologists of Australasia 2022)</w:t>
      </w:r>
      <w:r>
        <w:fldChar w:fldCharType="end"/>
      </w:r>
      <w:r>
        <w:t xml:space="preserve">. </w:t>
      </w:r>
    </w:p>
    <w:p w14:paraId="087C2A78" w14:textId="1F4BA972" w:rsidR="004A2752" w:rsidRDefault="004A2752" w:rsidP="00695B36">
      <w:pPr>
        <w:pStyle w:val="Caption"/>
        <w:jc w:val="left"/>
      </w:pPr>
      <w:bookmarkStart w:id="9" w:name="_Ref118473906"/>
      <w:r>
        <w:t xml:space="preserve">Table </w:t>
      </w:r>
      <w:r>
        <w:fldChar w:fldCharType="begin"/>
      </w:r>
      <w:r>
        <w:instrText xml:space="preserve"> SEQ Table \* ARABIC </w:instrText>
      </w:r>
      <w:r>
        <w:fldChar w:fldCharType="separate"/>
      </w:r>
      <w:r w:rsidR="002F6340">
        <w:rPr>
          <w:noProof/>
        </w:rPr>
        <w:t>4</w:t>
      </w:r>
      <w:r>
        <w:fldChar w:fldCharType="end"/>
      </w:r>
      <w:bookmarkEnd w:id="9"/>
      <w:r>
        <w:tab/>
        <w:t>Ongoing trials of PCSK9 inhibitors</w:t>
      </w:r>
    </w:p>
    <w:tbl>
      <w:tblPr>
        <w:tblStyle w:val="TableGrid"/>
        <w:tblW w:w="5000" w:type="pct"/>
        <w:tblInd w:w="0" w:type="dxa"/>
        <w:tblLook w:val="04A0" w:firstRow="1" w:lastRow="0" w:firstColumn="1" w:lastColumn="0" w:noHBand="0" w:noVBand="1"/>
        <w:tblCaption w:val="Summary of Evidence - Yet to be Published"/>
      </w:tblPr>
      <w:tblGrid>
        <w:gridCol w:w="829"/>
        <w:gridCol w:w="2689"/>
        <w:gridCol w:w="3277"/>
        <w:gridCol w:w="2776"/>
      </w:tblGrid>
      <w:tr w:rsidR="004A2752" w:rsidRPr="009E4C74" w14:paraId="3ADB6D17" w14:textId="77777777" w:rsidTr="002A3A61">
        <w:trPr>
          <w:cantSplit/>
          <w:tblHeader/>
        </w:trPr>
        <w:tc>
          <w:tcPr>
            <w:tcW w:w="433" w:type="pct"/>
            <w:tcBorders>
              <w:bottom w:val="single" w:sz="4" w:space="0" w:color="auto"/>
            </w:tcBorders>
          </w:tcPr>
          <w:p w14:paraId="1E75F98A" w14:textId="77777777" w:rsidR="004A2752" w:rsidRPr="009E4C74" w:rsidRDefault="004A2752" w:rsidP="00695B36">
            <w:pPr>
              <w:pStyle w:val="TableText0"/>
              <w:jc w:val="left"/>
              <w:rPr>
                <w:b/>
                <w:bCs/>
              </w:rPr>
            </w:pPr>
            <w:r>
              <w:rPr>
                <w:b/>
                <w:bCs/>
              </w:rPr>
              <w:t>Study design</w:t>
            </w:r>
          </w:p>
        </w:tc>
        <w:tc>
          <w:tcPr>
            <w:tcW w:w="1405" w:type="pct"/>
            <w:tcBorders>
              <w:bottom w:val="single" w:sz="4" w:space="0" w:color="auto"/>
            </w:tcBorders>
          </w:tcPr>
          <w:p w14:paraId="2EF2E299" w14:textId="77777777" w:rsidR="004A2752" w:rsidRPr="009E4C74" w:rsidRDefault="004A2752" w:rsidP="00695B36">
            <w:pPr>
              <w:pStyle w:val="TableText0"/>
              <w:jc w:val="left"/>
              <w:rPr>
                <w:b/>
                <w:bCs/>
              </w:rPr>
            </w:pPr>
            <w:r>
              <w:rPr>
                <w:b/>
                <w:bCs/>
              </w:rPr>
              <w:t>Trial title</w:t>
            </w:r>
            <w:r w:rsidRPr="009E4C74">
              <w:rPr>
                <w:b/>
                <w:bCs/>
              </w:rPr>
              <w:t xml:space="preserve"> </w:t>
            </w:r>
          </w:p>
        </w:tc>
        <w:tc>
          <w:tcPr>
            <w:tcW w:w="1712" w:type="pct"/>
            <w:tcBorders>
              <w:bottom w:val="single" w:sz="4" w:space="0" w:color="auto"/>
            </w:tcBorders>
          </w:tcPr>
          <w:p w14:paraId="36EBDBA7" w14:textId="77777777" w:rsidR="004A2752" w:rsidRPr="009E4C74" w:rsidRDefault="004A2752" w:rsidP="00695B36">
            <w:pPr>
              <w:pStyle w:val="TableText0"/>
              <w:jc w:val="left"/>
              <w:rPr>
                <w:b/>
                <w:bCs/>
              </w:rPr>
            </w:pPr>
            <w:r>
              <w:rPr>
                <w:b/>
                <w:bCs/>
              </w:rPr>
              <w:t>Participants and primary endpoint</w:t>
            </w:r>
          </w:p>
        </w:tc>
        <w:tc>
          <w:tcPr>
            <w:tcW w:w="1450" w:type="pct"/>
            <w:tcBorders>
              <w:bottom w:val="single" w:sz="4" w:space="0" w:color="auto"/>
            </w:tcBorders>
          </w:tcPr>
          <w:p w14:paraId="115667DE" w14:textId="77777777" w:rsidR="004A2752" w:rsidRPr="009E4C74" w:rsidRDefault="004A2752" w:rsidP="00695B36">
            <w:pPr>
              <w:pStyle w:val="TableText0"/>
              <w:jc w:val="left"/>
              <w:rPr>
                <w:b/>
                <w:bCs/>
              </w:rPr>
            </w:pPr>
            <w:r>
              <w:rPr>
                <w:b/>
                <w:bCs/>
              </w:rPr>
              <w:t>Estimated dates and NCT record number</w:t>
            </w:r>
          </w:p>
        </w:tc>
      </w:tr>
      <w:tr w:rsidR="00276AC7" w14:paraId="50FE7654" w14:textId="77777777" w:rsidTr="002A3A61">
        <w:trPr>
          <w:cantSplit/>
        </w:trPr>
        <w:tc>
          <w:tcPr>
            <w:tcW w:w="433" w:type="pct"/>
            <w:tcBorders>
              <w:top w:val="single" w:sz="4" w:space="0" w:color="auto"/>
              <w:left w:val="single" w:sz="4" w:space="0" w:color="auto"/>
              <w:bottom w:val="single" w:sz="4" w:space="0" w:color="auto"/>
              <w:right w:val="nil"/>
            </w:tcBorders>
          </w:tcPr>
          <w:p w14:paraId="1E95C402" w14:textId="77777777" w:rsidR="00276AC7" w:rsidRDefault="00276AC7" w:rsidP="00695B36">
            <w:pPr>
              <w:pStyle w:val="TableText0"/>
              <w:jc w:val="left"/>
              <w:rPr>
                <w:bCs/>
                <w:szCs w:val="20"/>
              </w:rPr>
            </w:pPr>
          </w:p>
        </w:tc>
        <w:tc>
          <w:tcPr>
            <w:tcW w:w="1405" w:type="pct"/>
            <w:tcBorders>
              <w:top w:val="single" w:sz="4" w:space="0" w:color="auto"/>
              <w:left w:val="nil"/>
              <w:bottom w:val="single" w:sz="4" w:space="0" w:color="auto"/>
              <w:right w:val="nil"/>
            </w:tcBorders>
          </w:tcPr>
          <w:p w14:paraId="728D53F8" w14:textId="66522D6E" w:rsidR="00276AC7" w:rsidRPr="00DB30B8" w:rsidRDefault="00276AC7" w:rsidP="00695B36">
            <w:pPr>
              <w:pStyle w:val="TableText0"/>
              <w:jc w:val="left"/>
              <w:rPr>
                <w:bCs/>
                <w:szCs w:val="20"/>
              </w:rPr>
            </w:pPr>
            <w:r>
              <w:rPr>
                <w:bCs/>
                <w:szCs w:val="20"/>
              </w:rPr>
              <w:t>Lp(a)</w:t>
            </w:r>
            <w:r w:rsidR="001F3AB1">
              <w:rPr>
                <w:bCs/>
                <w:szCs w:val="20"/>
              </w:rPr>
              <w:t xml:space="preserve"> inclusion criteria </w:t>
            </w:r>
          </w:p>
        </w:tc>
        <w:tc>
          <w:tcPr>
            <w:tcW w:w="1712" w:type="pct"/>
            <w:tcBorders>
              <w:top w:val="single" w:sz="4" w:space="0" w:color="auto"/>
              <w:left w:val="nil"/>
              <w:bottom w:val="single" w:sz="4" w:space="0" w:color="auto"/>
              <w:right w:val="nil"/>
            </w:tcBorders>
          </w:tcPr>
          <w:p w14:paraId="32DB49BB" w14:textId="77777777" w:rsidR="00276AC7" w:rsidRPr="00DB30B8" w:rsidRDefault="00276AC7" w:rsidP="00695B36">
            <w:pPr>
              <w:pStyle w:val="TableText0"/>
              <w:jc w:val="left"/>
              <w:rPr>
                <w:bCs/>
                <w:szCs w:val="20"/>
              </w:rPr>
            </w:pPr>
          </w:p>
        </w:tc>
        <w:tc>
          <w:tcPr>
            <w:tcW w:w="1450" w:type="pct"/>
            <w:tcBorders>
              <w:top w:val="single" w:sz="4" w:space="0" w:color="auto"/>
              <w:left w:val="nil"/>
              <w:bottom w:val="single" w:sz="4" w:space="0" w:color="auto"/>
              <w:right w:val="single" w:sz="4" w:space="0" w:color="auto"/>
            </w:tcBorders>
          </w:tcPr>
          <w:p w14:paraId="21A84F7F" w14:textId="77777777" w:rsidR="00276AC7" w:rsidRPr="00DB30B8" w:rsidRDefault="00276AC7" w:rsidP="00695B36">
            <w:pPr>
              <w:pStyle w:val="TableText0"/>
              <w:jc w:val="left"/>
              <w:rPr>
                <w:bCs/>
                <w:szCs w:val="20"/>
              </w:rPr>
            </w:pPr>
          </w:p>
        </w:tc>
      </w:tr>
      <w:tr w:rsidR="004A2752" w14:paraId="0C0A7EAA" w14:textId="77777777" w:rsidTr="002A3A61">
        <w:trPr>
          <w:cantSplit/>
        </w:trPr>
        <w:tc>
          <w:tcPr>
            <w:tcW w:w="433" w:type="pct"/>
            <w:tcBorders>
              <w:top w:val="single" w:sz="4" w:space="0" w:color="auto"/>
            </w:tcBorders>
          </w:tcPr>
          <w:p w14:paraId="0EF4E31A" w14:textId="77777777" w:rsidR="004A2752" w:rsidRPr="00175917" w:rsidRDefault="004A2752" w:rsidP="00695B36">
            <w:pPr>
              <w:pStyle w:val="TableText0"/>
              <w:jc w:val="left"/>
              <w:rPr>
                <w:bCs/>
                <w:szCs w:val="20"/>
              </w:rPr>
            </w:pPr>
            <w:r>
              <w:rPr>
                <w:bCs/>
                <w:szCs w:val="20"/>
              </w:rPr>
              <w:t>RCT</w:t>
            </w:r>
          </w:p>
        </w:tc>
        <w:tc>
          <w:tcPr>
            <w:tcW w:w="1405" w:type="pct"/>
            <w:tcBorders>
              <w:top w:val="single" w:sz="4" w:space="0" w:color="auto"/>
            </w:tcBorders>
          </w:tcPr>
          <w:p w14:paraId="63B90475" w14:textId="3F91D937" w:rsidR="004A2752" w:rsidRPr="00175917" w:rsidRDefault="004A2752" w:rsidP="00695B36">
            <w:pPr>
              <w:pStyle w:val="TableText0"/>
              <w:jc w:val="left"/>
              <w:rPr>
                <w:bCs/>
                <w:szCs w:val="20"/>
              </w:rPr>
            </w:pPr>
            <w:r w:rsidRPr="00DB30B8">
              <w:rPr>
                <w:bCs/>
                <w:szCs w:val="20"/>
              </w:rPr>
              <w:t xml:space="preserve">Assessing the Impact of Lipoprotein (a) Lowering </w:t>
            </w:r>
            <w:r w:rsidR="00445E83">
              <w:rPr>
                <w:bCs/>
                <w:szCs w:val="20"/>
              </w:rPr>
              <w:t>w</w:t>
            </w:r>
            <w:r w:rsidRPr="00DB30B8">
              <w:rPr>
                <w:bCs/>
                <w:szCs w:val="20"/>
              </w:rPr>
              <w:t>ith TQJ230 on Major Cardiovascular Events in Patients With CVD (Lp(a)HORIZON)</w:t>
            </w:r>
          </w:p>
        </w:tc>
        <w:tc>
          <w:tcPr>
            <w:tcW w:w="1712" w:type="pct"/>
            <w:tcBorders>
              <w:top w:val="single" w:sz="4" w:space="0" w:color="auto"/>
            </w:tcBorders>
          </w:tcPr>
          <w:p w14:paraId="4BECD631" w14:textId="076987D4" w:rsidR="004A2752" w:rsidRDefault="004A2752" w:rsidP="00695B36">
            <w:pPr>
              <w:pStyle w:val="TableText0"/>
              <w:jc w:val="left"/>
              <w:rPr>
                <w:bCs/>
                <w:szCs w:val="20"/>
              </w:rPr>
            </w:pPr>
            <w:r w:rsidRPr="00DB30B8">
              <w:rPr>
                <w:bCs/>
                <w:szCs w:val="20"/>
              </w:rPr>
              <w:t>7</w:t>
            </w:r>
            <w:r>
              <w:rPr>
                <w:bCs/>
                <w:szCs w:val="20"/>
              </w:rPr>
              <w:t>,</w:t>
            </w:r>
            <w:r w:rsidRPr="00DB30B8">
              <w:rPr>
                <w:bCs/>
                <w:szCs w:val="20"/>
              </w:rPr>
              <w:t>680 participants</w:t>
            </w:r>
            <w:r>
              <w:rPr>
                <w:bCs/>
                <w:szCs w:val="20"/>
              </w:rPr>
              <w:t xml:space="preserve"> with elevated </w:t>
            </w:r>
            <w:r w:rsidRPr="00DB30B8">
              <w:rPr>
                <w:bCs/>
                <w:szCs w:val="20"/>
              </w:rPr>
              <w:t>Lp(a)</w:t>
            </w:r>
            <w:r>
              <w:rPr>
                <w:bCs/>
                <w:szCs w:val="20"/>
              </w:rPr>
              <w:t xml:space="preserve"> (</w:t>
            </w:r>
            <w:r w:rsidRPr="00DB30B8">
              <w:rPr>
                <w:bCs/>
                <w:szCs w:val="20"/>
              </w:rPr>
              <w:t>≥70</w:t>
            </w:r>
            <w:r>
              <w:rPr>
                <w:bCs/>
                <w:szCs w:val="20"/>
              </w:rPr>
              <w:t> </w:t>
            </w:r>
            <w:r w:rsidRPr="00DB30B8">
              <w:rPr>
                <w:bCs/>
                <w:szCs w:val="20"/>
              </w:rPr>
              <w:t>mg/dL</w:t>
            </w:r>
            <w:r>
              <w:rPr>
                <w:bCs/>
                <w:szCs w:val="20"/>
              </w:rPr>
              <w:t>) randomised to receive</w:t>
            </w:r>
            <w:r w:rsidRPr="00DB30B8">
              <w:rPr>
                <w:bCs/>
                <w:szCs w:val="20"/>
              </w:rPr>
              <w:t xml:space="preserve"> TQJ230</w:t>
            </w:r>
            <w:r>
              <w:rPr>
                <w:bCs/>
                <w:szCs w:val="20"/>
              </w:rPr>
              <w:t xml:space="preserve"> (</w:t>
            </w:r>
            <w:r w:rsidRPr="00721DD7">
              <w:rPr>
                <w:bCs/>
                <w:szCs w:val="20"/>
              </w:rPr>
              <w:t xml:space="preserve">pelacarsen) </w:t>
            </w:r>
            <w:r>
              <w:rPr>
                <w:bCs/>
                <w:szCs w:val="20"/>
              </w:rPr>
              <w:t>or placebo</w:t>
            </w:r>
          </w:p>
          <w:p w14:paraId="57E1FFE6" w14:textId="768C89A2" w:rsidR="004A2752" w:rsidRPr="00175917" w:rsidRDefault="004A2752" w:rsidP="00695B36">
            <w:pPr>
              <w:pStyle w:val="TableText0"/>
              <w:jc w:val="left"/>
              <w:rPr>
                <w:bCs/>
                <w:szCs w:val="20"/>
              </w:rPr>
            </w:pPr>
            <w:r>
              <w:rPr>
                <w:bCs/>
                <w:szCs w:val="20"/>
              </w:rPr>
              <w:t>Primary endpoint: time to first major adverse cardiovascular event</w:t>
            </w:r>
          </w:p>
        </w:tc>
        <w:tc>
          <w:tcPr>
            <w:tcW w:w="1450" w:type="pct"/>
            <w:tcBorders>
              <w:top w:val="single" w:sz="4" w:space="0" w:color="auto"/>
            </w:tcBorders>
          </w:tcPr>
          <w:p w14:paraId="1422FC30" w14:textId="0888FFD8" w:rsidR="004A2752" w:rsidRPr="00DB30B8" w:rsidRDefault="004A2752" w:rsidP="00695B36">
            <w:pPr>
              <w:pStyle w:val="TableText0"/>
              <w:jc w:val="left"/>
              <w:rPr>
                <w:bCs/>
                <w:szCs w:val="20"/>
              </w:rPr>
            </w:pPr>
            <w:r w:rsidRPr="00DB30B8">
              <w:rPr>
                <w:bCs/>
                <w:szCs w:val="20"/>
              </w:rPr>
              <w:t xml:space="preserve">Start </w:t>
            </w:r>
            <w:r>
              <w:rPr>
                <w:bCs/>
                <w:szCs w:val="20"/>
              </w:rPr>
              <w:t>d</w:t>
            </w:r>
            <w:r w:rsidRPr="00DB30B8">
              <w:rPr>
                <w:bCs/>
                <w:szCs w:val="20"/>
              </w:rPr>
              <w:t>ate</w:t>
            </w:r>
            <w:r>
              <w:rPr>
                <w:bCs/>
                <w:szCs w:val="20"/>
              </w:rPr>
              <w:t>:</w:t>
            </w:r>
            <w:r w:rsidRPr="00DB30B8">
              <w:rPr>
                <w:bCs/>
                <w:szCs w:val="20"/>
              </w:rPr>
              <w:t xml:space="preserve"> Dec 2019</w:t>
            </w:r>
          </w:p>
          <w:p w14:paraId="1D318AEA" w14:textId="0ACBBBD7" w:rsidR="004A2752" w:rsidRDefault="004A2752" w:rsidP="00695B36">
            <w:pPr>
              <w:pStyle w:val="TableText0"/>
              <w:jc w:val="left"/>
              <w:rPr>
                <w:bCs/>
                <w:szCs w:val="20"/>
              </w:rPr>
            </w:pPr>
            <w:r w:rsidRPr="00DB30B8">
              <w:rPr>
                <w:bCs/>
                <w:szCs w:val="20"/>
              </w:rPr>
              <w:t xml:space="preserve">Estimated </w:t>
            </w:r>
            <w:r>
              <w:rPr>
                <w:bCs/>
                <w:szCs w:val="20"/>
              </w:rPr>
              <w:t>c</w:t>
            </w:r>
            <w:r w:rsidRPr="00DB30B8">
              <w:rPr>
                <w:bCs/>
                <w:szCs w:val="20"/>
              </w:rPr>
              <w:t>ompletion</w:t>
            </w:r>
            <w:r>
              <w:rPr>
                <w:bCs/>
                <w:szCs w:val="20"/>
              </w:rPr>
              <w:t>:</w:t>
            </w:r>
            <w:r w:rsidRPr="00DB30B8">
              <w:rPr>
                <w:bCs/>
                <w:szCs w:val="20"/>
              </w:rPr>
              <w:t xml:space="preserve"> June 2024</w:t>
            </w:r>
            <w:r w:rsidRPr="00254A38">
              <w:rPr>
                <w:bCs/>
                <w:szCs w:val="20"/>
              </w:rPr>
              <w:t xml:space="preserve"> </w:t>
            </w:r>
          </w:p>
          <w:p w14:paraId="10AB05CF" w14:textId="77777777" w:rsidR="004A2752" w:rsidRPr="00175917" w:rsidRDefault="004A2752" w:rsidP="00695B36">
            <w:pPr>
              <w:pStyle w:val="TableText0"/>
              <w:jc w:val="left"/>
              <w:rPr>
                <w:bCs/>
                <w:szCs w:val="20"/>
              </w:rPr>
            </w:pPr>
            <w:r w:rsidRPr="00254A38">
              <w:rPr>
                <w:bCs/>
                <w:szCs w:val="20"/>
              </w:rPr>
              <w:t>NCT04023552</w:t>
            </w:r>
          </w:p>
        </w:tc>
      </w:tr>
      <w:tr w:rsidR="004A2752" w14:paraId="37A25DF2" w14:textId="77777777">
        <w:trPr>
          <w:cantSplit/>
        </w:trPr>
        <w:tc>
          <w:tcPr>
            <w:tcW w:w="433" w:type="pct"/>
          </w:tcPr>
          <w:p w14:paraId="09A9F689" w14:textId="77777777" w:rsidR="004A2752" w:rsidRDefault="004A2752" w:rsidP="00695B36">
            <w:pPr>
              <w:pStyle w:val="TableText0"/>
              <w:jc w:val="left"/>
              <w:rPr>
                <w:b/>
                <w:szCs w:val="20"/>
              </w:rPr>
            </w:pPr>
            <w:r>
              <w:rPr>
                <w:bCs/>
                <w:szCs w:val="20"/>
              </w:rPr>
              <w:t>RCT</w:t>
            </w:r>
          </w:p>
        </w:tc>
        <w:tc>
          <w:tcPr>
            <w:tcW w:w="1405" w:type="pct"/>
          </w:tcPr>
          <w:p w14:paraId="586390C7" w14:textId="77777777" w:rsidR="004A2752" w:rsidRDefault="004A2752" w:rsidP="00695B36">
            <w:pPr>
              <w:pStyle w:val="TableText0"/>
              <w:jc w:val="left"/>
              <w:rPr>
                <w:b/>
                <w:szCs w:val="20"/>
              </w:rPr>
            </w:pPr>
            <w:r w:rsidRPr="00A92D99">
              <w:t>Safety, Tolerability, Pharmacokinetics and Pharmacodynamics Study of AMG 890 in Subjects With Elevated Plasma Lipoprotein(a)</w:t>
            </w:r>
          </w:p>
        </w:tc>
        <w:tc>
          <w:tcPr>
            <w:tcW w:w="1712" w:type="pct"/>
          </w:tcPr>
          <w:p w14:paraId="7EB6062B" w14:textId="44F1EDB0" w:rsidR="004A2752" w:rsidRDefault="004A2752" w:rsidP="00695B36">
            <w:pPr>
              <w:pStyle w:val="TableText0"/>
              <w:jc w:val="left"/>
              <w:rPr>
                <w:bCs/>
                <w:szCs w:val="20"/>
              </w:rPr>
            </w:pPr>
            <w:r w:rsidRPr="00DB30B8">
              <w:rPr>
                <w:bCs/>
                <w:szCs w:val="20"/>
              </w:rPr>
              <w:t>80 participants</w:t>
            </w:r>
            <w:r>
              <w:rPr>
                <w:bCs/>
                <w:szCs w:val="20"/>
              </w:rPr>
              <w:t xml:space="preserve"> with elevated </w:t>
            </w:r>
            <w:r w:rsidRPr="00DB30B8">
              <w:rPr>
                <w:bCs/>
                <w:szCs w:val="20"/>
              </w:rPr>
              <w:t>Lp(a)</w:t>
            </w:r>
            <w:r>
              <w:rPr>
                <w:bCs/>
                <w:szCs w:val="20"/>
              </w:rPr>
              <w:t xml:space="preserve"> randomised to receive</w:t>
            </w:r>
            <w:r w:rsidRPr="00DB30B8">
              <w:rPr>
                <w:bCs/>
                <w:szCs w:val="20"/>
              </w:rPr>
              <w:t xml:space="preserve"> </w:t>
            </w:r>
            <w:r w:rsidRPr="00A92D99">
              <w:rPr>
                <w:bCs/>
                <w:szCs w:val="20"/>
              </w:rPr>
              <w:t>AMG 890</w:t>
            </w:r>
            <w:r>
              <w:rPr>
                <w:bCs/>
                <w:szCs w:val="20"/>
              </w:rPr>
              <w:t xml:space="preserve"> (olpasiran) or placebo</w:t>
            </w:r>
          </w:p>
          <w:p w14:paraId="2817A4B2" w14:textId="77777777" w:rsidR="004A2752" w:rsidRDefault="004A2752" w:rsidP="00695B36">
            <w:pPr>
              <w:pStyle w:val="TableText0"/>
              <w:jc w:val="left"/>
              <w:rPr>
                <w:b/>
                <w:szCs w:val="20"/>
              </w:rPr>
            </w:pPr>
            <w:r>
              <w:rPr>
                <w:bCs/>
                <w:szCs w:val="20"/>
              </w:rPr>
              <w:t>Primary endpoint: incidence of adverse events</w:t>
            </w:r>
          </w:p>
        </w:tc>
        <w:tc>
          <w:tcPr>
            <w:tcW w:w="1450" w:type="pct"/>
          </w:tcPr>
          <w:p w14:paraId="2E160AEB" w14:textId="103856D3" w:rsidR="004A2752" w:rsidRPr="00DB30B8" w:rsidRDefault="004A2752" w:rsidP="00695B36">
            <w:pPr>
              <w:pStyle w:val="TableText0"/>
              <w:jc w:val="left"/>
              <w:rPr>
                <w:bCs/>
                <w:szCs w:val="20"/>
              </w:rPr>
            </w:pPr>
            <w:r w:rsidRPr="00DB30B8">
              <w:rPr>
                <w:bCs/>
                <w:szCs w:val="20"/>
              </w:rPr>
              <w:t xml:space="preserve">Start </w:t>
            </w:r>
            <w:r>
              <w:rPr>
                <w:bCs/>
                <w:szCs w:val="20"/>
              </w:rPr>
              <w:t>d</w:t>
            </w:r>
            <w:r w:rsidRPr="00DB30B8">
              <w:rPr>
                <w:bCs/>
                <w:szCs w:val="20"/>
              </w:rPr>
              <w:t xml:space="preserve">ate: </w:t>
            </w:r>
            <w:r>
              <w:rPr>
                <w:bCs/>
                <w:szCs w:val="20"/>
              </w:rPr>
              <w:t>July</w:t>
            </w:r>
            <w:r w:rsidRPr="00DB30B8">
              <w:rPr>
                <w:bCs/>
                <w:szCs w:val="20"/>
              </w:rPr>
              <w:t xml:space="preserve"> 20</w:t>
            </w:r>
            <w:r>
              <w:rPr>
                <w:bCs/>
                <w:szCs w:val="20"/>
              </w:rPr>
              <w:t>18</w:t>
            </w:r>
          </w:p>
          <w:p w14:paraId="1EADB370" w14:textId="5C67A6FB" w:rsidR="004A2752" w:rsidRDefault="004A2752" w:rsidP="00695B36">
            <w:pPr>
              <w:pStyle w:val="TableText0"/>
              <w:jc w:val="left"/>
              <w:rPr>
                <w:bCs/>
                <w:szCs w:val="20"/>
              </w:rPr>
            </w:pPr>
            <w:r w:rsidRPr="00DB30B8">
              <w:rPr>
                <w:bCs/>
                <w:szCs w:val="20"/>
              </w:rPr>
              <w:t xml:space="preserve">Estimated </w:t>
            </w:r>
            <w:r>
              <w:rPr>
                <w:bCs/>
                <w:szCs w:val="20"/>
              </w:rPr>
              <w:t>c</w:t>
            </w:r>
            <w:r w:rsidRPr="00DB30B8">
              <w:rPr>
                <w:bCs/>
                <w:szCs w:val="20"/>
              </w:rPr>
              <w:t>ompletion</w:t>
            </w:r>
            <w:r>
              <w:rPr>
                <w:bCs/>
                <w:szCs w:val="20"/>
              </w:rPr>
              <w:t>:</w:t>
            </w:r>
            <w:r w:rsidRPr="00DB30B8">
              <w:rPr>
                <w:bCs/>
                <w:szCs w:val="20"/>
              </w:rPr>
              <w:t xml:space="preserve"> </w:t>
            </w:r>
            <w:r>
              <w:rPr>
                <w:bCs/>
                <w:szCs w:val="20"/>
              </w:rPr>
              <w:t>Aug</w:t>
            </w:r>
            <w:r w:rsidRPr="00DB30B8">
              <w:rPr>
                <w:bCs/>
                <w:szCs w:val="20"/>
              </w:rPr>
              <w:t xml:space="preserve"> 202</w:t>
            </w:r>
            <w:r>
              <w:rPr>
                <w:bCs/>
                <w:szCs w:val="20"/>
              </w:rPr>
              <w:t>2</w:t>
            </w:r>
            <w:r w:rsidRPr="00254A38">
              <w:rPr>
                <w:bCs/>
                <w:szCs w:val="20"/>
              </w:rPr>
              <w:t xml:space="preserve"> </w:t>
            </w:r>
          </w:p>
          <w:p w14:paraId="08C98FE8" w14:textId="77777777" w:rsidR="004A2752" w:rsidRPr="00254A38" w:rsidRDefault="004A2752" w:rsidP="00695B36">
            <w:pPr>
              <w:pStyle w:val="TableText0"/>
              <w:jc w:val="left"/>
              <w:rPr>
                <w:bCs/>
                <w:szCs w:val="20"/>
              </w:rPr>
            </w:pPr>
            <w:r w:rsidRPr="00254A38">
              <w:rPr>
                <w:bCs/>
                <w:szCs w:val="20"/>
              </w:rPr>
              <w:t>NCT03626662</w:t>
            </w:r>
          </w:p>
        </w:tc>
      </w:tr>
      <w:tr w:rsidR="004A2752" w14:paraId="65FDFA35" w14:textId="77777777" w:rsidTr="002A3A61">
        <w:trPr>
          <w:cantSplit/>
        </w:trPr>
        <w:tc>
          <w:tcPr>
            <w:tcW w:w="433" w:type="pct"/>
            <w:tcBorders>
              <w:bottom w:val="single" w:sz="4" w:space="0" w:color="auto"/>
            </w:tcBorders>
          </w:tcPr>
          <w:p w14:paraId="6AFADC43" w14:textId="77777777" w:rsidR="004A2752" w:rsidRDefault="004A2752" w:rsidP="00695B36">
            <w:pPr>
              <w:pStyle w:val="TableText0"/>
              <w:jc w:val="left"/>
              <w:rPr>
                <w:b/>
                <w:szCs w:val="20"/>
              </w:rPr>
            </w:pPr>
            <w:r>
              <w:rPr>
                <w:bCs/>
                <w:szCs w:val="20"/>
              </w:rPr>
              <w:t>RCT</w:t>
            </w:r>
          </w:p>
        </w:tc>
        <w:tc>
          <w:tcPr>
            <w:tcW w:w="1405" w:type="pct"/>
            <w:tcBorders>
              <w:bottom w:val="single" w:sz="4" w:space="0" w:color="auto"/>
            </w:tcBorders>
          </w:tcPr>
          <w:p w14:paraId="34E0DDE4" w14:textId="0F7DCC38" w:rsidR="004A2752" w:rsidRDefault="004A2752" w:rsidP="00695B36">
            <w:pPr>
              <w:pStyle w:val="TableText0"/>
              <w:jc w:val="left"/>
              <w:rPr>
                <w:b/>
                <w:szCs w:val="20"/>
              </w:rPr>
            </w:pPr>
            <w:r w:rsidRPr="00A92D99">
              <w:t>Olpasiran Trials of Cardiovascular Events And Lipoprotei</w:t>
            </w:r>
            <w:r>
              <w:t>n</w:t>
            </w:r>
            <w:r w:rsidRPr="00A92D99">
              <w:t>(a) Reduction - DOSE Finding Study</w:t>
            </w:r>
          </w:p>
        </w:tc>
        <w:tc>
          <w:tcPr>
            <w:tcW w:w="1712" w:type="pct"/>
            <w:tcBorders>
              <w:bottom w:val="single" w:sz="4" w:space="0" w:color="auto"/>
            </w:tcBorders>
          </w:tcPr>
          <w:p w14:paraId="31AD4EDE" w14:textId="4E1ED82F" w:rsidR="004A2752" w:rsidRDefault="004A2752" w:rsidP="00695B36">
            <w:pPr>
              <w:pStyle w:val="TableText0"/>
              <w:jc w:val="left"/>
            </w:pPr>
            <w:r>
              <w:rPr>
                <w:bCs/>
                <w:szCs w:val="20"/>
              </w:rPr>
              <w:t xml:space="preserve">290 </w:t>
            </w:r>
            <w:r w:rsidRPr="00DB30B8">
              <w:rPr>
                <w:bCs/>
                <w:szCs w:val="20"/>
              </w:rPr>
              <w:t>participants</w:t>
            </w:r>
            <w:r>
              <w:rPr>
                <w:bCs/>
                <w:szCs w:val="20"/>
              </w:rPr>
              <w:t xml:space="preserve"> with elevated </w:t>
            </w:r>
            <w:r w:rsidRPr="00DB30B8">
              <w:rPr>
                <w:bCs/>
                <w:szCs w:val="20"/>
              </w:rPr>
              <w:t>Lp(a)</w:t>
            </w:r>
            <w:r>
              <w:rPr>
                <w:bCs/>
                <w:szCs w:val="20"/>
              </w:rPr>
              <w:t xml:space="preserve"> (</w:t>
            </w:r>
            <w:r w:rsidRPr="001D5AB4">
              <w:rPr>
                <w:bCs/>
                <w:szCs w:val="20"/>
              </w:rPr>
              <w:t>&gt;150</w:t>
            </w:r>
            <w:r>
              <w:rPr>
                <w:bCs/>
                <w:szCs w:val="20"/>
              </w:rPr>
              <w:t> </w:t>
            </w:r>
            <w:r w:rsidRPr="001D5AB4">
              <w:rPr>
                <w:bCs/>
                <w:szCs w:val="20"/>
              </w:rPr>
              <w:t>nmol/L</w:t>
            </w:r>
            <w:r>
              <w:rPr>
                <w:bCs/>
                <w:szCs w:val="20"/>
              </w:rPr>
              <w:t xml:space="preserve">) randomised to receive various doses of </w:t>
            </w:r>
            <w:r>
              <w:t>o</w:t>
            </w:r>
            <w:r w:rsidRPr="00A92D99">
              <w:t>lpasiran</w:t>
            </w:r>
            <w:r>
              <w:t xml:space="preserve"> or placebo. </w:t>
            </w:r>
          </w:p>
          <w:p w14:paraId="60B768B9" w14:textId="10585606" w:rsidR="004A2752" w:rsidRDefault="004A2752" w:rsidP="00695B36">
            <w:pPr>
              <w:pStyle w:val="TableText0"/>
              <w:jc w:val="left"/>
              <w:rPr>
                <w:b/>
                <w:szCs w:val="20"/>
              </w:rPr>
            </w:pPr>
            <w:r>
              <w:t>Primary endpoint: p</w:t>
            </w:r>
            <w:r w:rsidRPr="001D5AB4">
              <w:t>er</w:t>
            </w:r>
            <w:r>
              <w:t xml:space="preserve"> </w:t>
            </w:r>
            <w:r w:rsidRPr="001D5AB4">
              <w:t>cent change in Lp(a)</w:t>
            </w:r>
          </w:p>
        </w:tc>
        <w:tc>
          <w:tcPr>
            <w:tcW w:w="1450" w:type="pct"/>
            <w:tcBorders>
              <w:bottom w:val="single" w:sz="4" w:space="0" w:color="auto"/>
            </w:tcBorders>
          </w:tcPr>
          <w:p w14:paraId="77396562" w14:textId="27E8DA94" w:rsidR="004A2752" w:rsidRPr="00DB30B8" w:rsidRDefault="004A2752" w:rsidP="00695B36">
            <w:pPr>
              <w:pStyle w:val="TableText0"/>
              <w:jc w:val="left"/>
              <w:rPr>
                <w:bCs/>
                <w:szCs w:val="20"/>
              </w:rPr>
            </w:pPr>
            <w:r w:rsidRPr="00DB30B8">
              <w:rPr>
                <w:bCs/>
                <w:szCs w:val="20"/>
              </w:rPr>
              <w:t xml:space="preserve">Start </w:t>
            </w:r>
            <w:r>
              <w:rPr>
                <w:bCs/>
                <w:szCs w:val="20"/>
              </w:rPr>
              <w:t>d</w:t>
            </w:r>
            <w:r w:rsidRPr="00DB30B8">
              <w:rPr>
                <w:bCs/>
                <w:szCs w:val="20"/>
              </w:rPr>
              <w:t>at</w:t>
            </w:r>
            <w:r>
              <w:rPr>
                <w:bCs/>
                <w:szCs w:val="20"/>
              </w:rPr>
              <w:t>e</w:t>
            </w:r>
            <w:r w:rsidRPr="00DB30B8">
              <w:rPr>
                <w:bCs/>
                <w:szCs w:val="20"/>
              </w:rPr>
              <w:t xml:space="preserve">: </w:t>
            </w:r>
            <w:r>
              <w:rPr>
                <w:bCs/>
                <w:szCs w:val="20"/>
              </w:rPr>
              <w:t>July</w:t>
            </w:r>
            <w:r w:rsidRPr="00DB30B8">
              <w:rPr>
                <w:bCs/>
                <w:szCs w:val="20"/>
              </w:rPr>
              <w:t xml:space="preserve"> 20</w:t>
            </w:r>
            <w:r>
              <w:rPr>
                <w:bCs/>
                <w:szCs w:val="20"/>
              </w:rPr>
              <w:t>20</w:t>
            </w:r>
          </w:p>
          <w:p w14:paraId="6FF35B2F" w14:textId="2B1634A9" w:rsidR="004A2752" w:rsidRPr="00254A38" w:rsidRDefault="004A2752" w:rsidP="00695B36">
            <w:pPr>
              <w:pStyle w:val="TableText0"/>
              <w:jc w:val="left"/>
              <w:rPr>
                <w:bCs/>
                <w:szCs w:val="20"/>
              </w:rPr>
            </w:pPr>
            <w:r w:rsidRPr="00DB30B8">
              <w:rPr>
                <w:bCs/>
                <w:szCs w:val="20"/>
              </w:rPr>
              <w:t xml:space="preserve">Estimated </w:t>
            </w:r>
            <w:r>
              <w:rPr>
                <w:bCs/>
                <w:szCs w:val="20"/>
              </w:rPr>
              <w:t>c</w:t>
            </w:r>
            <w:r w:rsidRPr="00DB30B8">
              <w:rPr>
                <w:bCs/>
                <w:szCs w:val="20"/>
              </w:rPr>
              <w:t>ompletion</w:t>
            </w:r>
            <w:r>
              <w:rPr>
                <w:bCs/>
                <w:szCs w:val="20"/>
              </w:rPr>
              <w:t>:</w:t>
            </w:r>
            <w:r w:rsidRPr="00DB30B8">
              <w:rPr>
                <w:bCs/>
                <w:szCs w:val="20"/>
              </w:rPr>
              <w:t xml:space="preserve"> </w:t>
            </w:r>
            <w:r>
              <w:rPr>
                <w:bCs/>
                <w:szCs w:val="20"/>
              </w:rPr>
              <w:t>March</w:t>
            </w:r>
            <w:r w:rsidRPr="00DB30B8">
              <w:rPr>
                <w:bCs/>
                <w:szCs w:val="20"/>
              </w:rPr>
              <w:t xml:space="preserve"> 202</w:t>
            </w:r>
            <w:r>
              <w:rPr>
                <w:bCs/>
                <w:szCs w:val="20"/>
              </w:rPr>
              <w:t>3</w:t>
            </w:r>
            <w:r w:rsidRPr="00254A38">
              <w:rPr>
                <w:bCs/>
                <w:szCs w:val="20"/>
              </w:rPr>
              <w:t xml:space="preserve"> NCT04270760</w:t>
            </w:r>
          </w:p>
        </w:tc>
      </w:tr>
      <w:tr w:rsidR="00276AC7" w14:paraId="2B98833D" w14:textId="77777777" w:rsidTr="002A3A61">
        <w:trPr>
          <w:cantSplit/>
        </w:trPr>
        <w:tc>
          <w:tcPr>
            <w:tcW w:w="433" w:type="pct"/>
            <w:tcBorders>
              <w:top w:val="single" w:sz="4" w:space="0" w:color="auto"/>
              <w:left w:val="single" w:sz="4" w:space="0" w:color="auto"/>
              <w:bottom w:val="single" w:sz="4" w:space="0" w:color="auto"/>
              <w:right w:val="nil"/>
            </w:tcBorders>
          </w:tcPr>
          <w:p w14:paraId="6958E389" w14:textId="77777777" w:rsidR="00276AC7" w:rsidRDefault="00276AC7" w:rsidP="00695B36">
            <w:pPr>
              <w:pStyle w:val="TableText0"/>
              <w:jc w:val="left"/>
              <w:rPr>
                <w:bCs/>
                <w:szCs w:val="20"/>
              </w:rPr>
            </w:pPr>
          </w:p>
        </w:tc>
        <w:tc>
          <w:tcPr>
            <w:tcW w:w="1405" w:type="pct"/>
            <w:tcBorders>
              <w:top w:val="single" w:sz="4" w:space="0" w:color="auto"/>
              <w:left w:val="nil"/>
              <w:bottom w:val="single" w:sz="4" w:space="0" w:color="auto"/>
              <w:right w:val="nil"/>
            </w:tcBorders>
          </w:tcPr>
          <w:p w14:paraId="121DE32D" w14:textId="4BC882E3" w:rsidR="00276AC7" w:rsidRPr="00647D82" w:rsidRDefault="001F3AB1" w:rsidP="00695B36">
            <w:pPr>
              <w:pStyle w:val="TableText0"/>
              <w:jc w:val="left"/>
            </w:pPr>
            <w:r>
              <w:t xml:space="preserve">No </w:t>
            </w:r>
            <w:r>
              <w:rPr>
                <w:bCs/>
                <w:szCs w:val="20"/>
              </w:rPr>
              <w:t>Lp(a) inclusion criteria</w:t>
            </w:r>
          </w:p>
        </w:tc>
        <w:tc>
          <w:tcPr>
            <w:tcW w:w="1712" w:type="pct"/>
            <w:tcBorders>
              <w:top w:val="single" w:sz="4" w:space="0" w:color="auto"/>
              <w:left w:val="nil"/>
              <w:bottom w:val="single" w:sz="4" w:space="0" w:color="auto"/>
              <w:right w:val="nil"/>
            </w:tcBorders>
          </w:tcPr>
          <w:p w14:paraId="1FA0F81C" w14:textId="77777777" w:rsidR="00276AC7" w:rsidRDefault="00276AC7" w:rsidP="00695B36">
            <w:pPr>
              <w:pStyle w:val="TableText0"/>
              <w:jc w:val="left"/>
              <w:rPr>
                <w:bCs/>
                <w:szCs w:val="20"/>
              </w:rPr>
            </w:pPr>
          </w:p>
        </w:tc>
        <w:tc>
          <w:tcPr>
            <w:tcW w:w="1450" w:type="pct"/>
            <w:tcBorders>
              <w:top w:val="single" w:sz="4" w:space="0" w:color="auto"/>
              <w:left w:val="nil"/>
              <w:bottom w:val="single" w:sz="4" w:space="0" w:color="auto"/>
              <w:right w:val="single" w:sz="4" w:space="0" w:color="auto"/>
            </w:tcBorders>
          </w:tcPr>
          <w:p w14:paraId="7D5B1DF0" w14:textId="77777777" w:rsidR="00276AC7" w:rsidRPr="00DB30B8" w:rsidRDefault="00276AC7" w:rsidP="00695B36">
            <w:pPr>
              <w:pStyle w:val="TableText0"/>
              <w:jc w:val="left"/>
              <w:rPr>
                <w:bCs/>
                <w:szCs w:val="20"/>
              </w:rPr>
            </w:pPr>
          </w:p>
        </w:tc>
      </w:tr>
      <w:tr w:rsidR="004A2752" w14:paraId="4473AE87" w14:textId="77777777" w:rsidTr="002A3A61">
        <w:trPr>
          <w:cantSplit/>
        </w:trPr>
        <w:tc>
          <w:tcPr>
            <w:tcW w:w="433" w:type="pct"/>
            <w:tcBorders>
              <w:top w:val="single" w:sz="4" w:space="0" w:color="auto"/>
            </w:tcBorders>
          </w:tcPr>
          <w:p w14:paraId="5B749EE4" w14:textId="77777777" w:rsidR="004A2752" w:rsidRDefault="004A2752" w:rsidP="00695B36">
            <w:pPr>
              <w:pStyle w:val="TableText0"/>
              <w:jc w:val="left"/>
              <w:rPr>
                <w:bCs/>
                <w:szCs w:val="20"/>
              </w:rPr>
            </w:pPr>
            <w:r>
              <w:rPr>
                <w:bCs/>
                <w:szCs w:val="20"/>
              </w:rPr>
              <w:t xml:space="preserve">RCT </w:t>
            </w:r>
          </w:p>
        </w:tc>
        <w:tc>
          <w:tcPr>
            <w:tcW w:w="1405" w:type="pct"/>
            <w:tcBorders>
              <w:top w:val="single" w:sz="4" w:space="0" w:color="auto"/>
            </w:tcBorders>
          </w:tcPr>
          <w:p w14:paraId="2400704A" w14:textId="77777777" w:rsidR="004A2752" w:rsidRPr="00A92D99" w:rsidRDefault="004A2752" w:rsidP="00695B36">
            <w:pPr>
              <w:pStyle w:val="TableText0"/>
              <w:jc w:val="left"/>
            </w:pPr>
            <w:r w:rsidRPr="00647D82">
              <w:t>A Randomized Trial Assessing the Effects of Inclisiran on Clinical Outcomes Among People With Cardiovascular Disease (ORION-4)</w:t>
            </w:r>
          </w:p>
        </w:tc>
        <w:tc>
          <w:tcPr>
            <w:tcW w:w="1712" w:type="pct"/>
            <w:tcBorders>
              <w:top w:val="single" w:sz="4" w:space="0" w:color="auto"/>
            </w:tcBorders>
          </w:tcPr>
          <w:p w14:paraId="3FE08A18" w14:textId="264CE9CB" w:rsidR="004A2752" w:rsidRDefault="004A2752" w:rsidP="00695B36">
            <w:pPr>
              <w:pStyle w:val="TableText0"/>
              <w:jc w:val="left"/>
              <w:rPr>
                <w:bCs/>
                <w:szCs w:val="20"/>
              </w:rPr>
            </w:pPr>
            <w:r>
              <w:rPr>
                <w:bCs/>
                <w:szCs w:val="20"/>
              </w:rPr>
              <w:t xml:space="preserve">15,000 participants </w:t>
            </w:r>
            <w:r w:rsidRPr="00AB67AC">
              <w:rPr>
                <w:bCs/>
                <w:szCs w:val="20"/>
              </w:rPr>
              <w:t xml:space="preserve">aged </w:t>
            </w:r>
            <w:r>
              <w:rPr>
                <w:bCs/>
                <w:szCs w:val="20"/>
              </w:rPr>
              <w:t>&gt;</w:t>
            </w:r>
            <w:r w:rsidRPr="00AB67AC">
              <w:rPr>
                <w:bCs/>
                <w:szCs w:val="20"/>
              </w:rPr>
              <w:t>55 years with pre-existing atherosclerotic cardiovascular disease will be randomi</w:t>
            </w:r>
            <w:r>
              <w:rPr>
                <w:bCs/>
                <w:szCs w:val="20"/>
              </w:rPr>
              <w:t>s</w:t>
            </w:r>
            <w:r w:rsidRPr="00AB67AC">
              <w:rPr>
                <w:bCs/>
                <w:szCs w:val="20"/>
              </w:rPr>
              <w:t xml:space="preserve">ed </w:t>
            </w:r>
            <w:r>
              <w:rPr>
                <w:bCs/>
                <w:szCs w:val="20"/>
              </w:rPr>
              <w:t xml:space="preserve">to receive </w:t>
            </w:r>
            <w:r w:rsidRPr="00AB67AC">
              <w:rPr>
                <w:bCs/>
                <w:szCs w:val="20"/>
              </w:rPr>
              <w:t>inclisiran sodium 300</w:t>
            </w:r>
            <w:r>
              <w:rPr>
                <w:bCs/>
                <w:szCs w:val="20"/>
              </w:rPr>
              <w:t> </w:t>
            </w:r>
            <w:r w:rsidRPr="00AB67AC">
              <w:rPr>
                <w:bCs/>
                <w:szCs w:val="20"/>
              </w:rPr>
              <w:t xml:space="preserve">mg </w:t>
            </w:r>
            <w:r>
              <w:rPr>
                <w:bCs/>
                <w:szCs w:val="20"/>
              </w:rPr>
              <w:t>or</w:t>
            </w:r>
            <w:r w:rsidRPr="00AB67AC">
              <w:rPr>
                <w:bCs/>
                <w:szCs w:val="20"/>
              </w:rPr>
              <w:t xml:space="preserve"> placebo</w:t>
            </w:r>
          </w:p>
          <w:p w14:paraId="241E91F0" w14:textId="6FB1C63E" w:rsidR="004A2752" w:rsidRDefault="004A2752" w:rsidP="00695B36">
            <w:pPr>
              <w:pStyle w:val="TableText0"/>
              <w:jc w:val="left"/>
              <w:rPr>
                <w:bCs/>
                <w:szCs w:val="20"/>
              </w:rPr>
            </w:pPr>
            <w:r>
              <w:rPr>
                <w:bCs/>
                <w:szCs w:val="20"/>
              </w:rPr>
              <w:t>Primary endpoint: time to first major adverse cardiovascular event</w:t>
            </w:r>
          </w:p>
        </w:tc>
        <w:tc>
          <w:tcPr>
            <w:tcW w:w="1450" w:type="pct"/>
            <w:tcBorders>
              <w:top w:val="single" w:sz="4" w:space="0" w:color="auto"/>
            </w:tcBorders>
          </w:tcPr>
          <w:p w14:paraId="43D16826" w14:textId="120F2CE4" w:rsidR="004A2752" w:rsidRPr="00DB30B8" w:rsidRDefault="004A2752" w:rsidP="00695B36">
            <w:pPr>
              <w:pStyle w:val="TableText0"/>
              <w:jc w:val="left"/>
              <w:rPr>
                <w:bCs/>
                <w:szCs w:val="20"/>
              </w:rPr>
            </w:pPr>
            <w:r w:rsidRPr="00DB30B8">
              <w:rPr>
                <w:bCs/>
                <w:szCs w:val="20"/>
              </w:rPr>
              <w:t xml:space="preserve">Start </w:t>
            </w:r>
            <w:r>
              <w:rPr>
                <w:bCs/>
                <w:szCs w:val="20"/>
              </w:rPr>
              <w:t>d</w:t>
            </w:r>
            <w:r w:rsidRPr="00DB30B8">
              <w:rPr>
                <w:bCs/>
                <w:szCs w:val="20"/>
              </w:rPr>
              <w:t xml:space="preserve">ate: </w:t>
            </w:r>
            <w:r>
              <w:rPr>
                <w:bCs/>
                <w:szCs w:val="20"/>
              </w:rPr>
              <w:t>Oct</w:t>
            </w:r>
            <w:r w:rsidRPr="00DB30B8">
              <w:rPr>
                <w:bCs/>
                <w:szCs w:val="20"/>
              </w:rPr>
              <w:t xml:space="preserve"> 20</w:t>
            </w:r>
            <w:r>
              <w:rPr>
                <w:bCs/>
                <w:szCs w:val="20"/>
              </w:rPr>
              <w:t>18</w:t>
            </w:r>
          </w:p>
          <w:p w14:paraId="539549FA" w14:textId="6B39DDC0" w:rsidR="004A2752" w:rsidRDefault="004A2752" w:rsidP="00695B36">
            <w:pPr>
              <w:pStyle w:val="TableText0"/>
              <w:jc w:val="left"/>
              <w:rPr>
                <w:bCs/>
                <w:szCs w:val="20"/>
              </w:rPr>
            </w:pPr>
            <w:r>
              <w:rPr>
                <w:bCs/>
                <w:szCs w:val="20"/>
              </w:rPr>
              <w:t>Primary completion: July 2026</w:t>
            </w:r>
          </w:p>
          <w:p w14:paraId="2143E34C" w14:textId="25FCEE10" w:rsidR="004A2752" w:rsidRPr="00DB30B8" w:rsidRDefault="004A2752" w:rsidP="00695B36">
            <w:pPr>
              <w:pStyle w:val="TableText0"/>
              <w:jc w:val="left"/>
              <w:rPr>
                <w:bCs/>
                <w:szCs w:val="20"/>
              </w:rPr>
            </w:pPr>
            <w:r w:rsidRPr="00DB30B8">
              <w:rPr>
                <w:bCs/>
                <w:szCs w:val="20"/>
              </w:rPr>
              <w:t xml:space="preserve">Estimated </w:t>
            </w:r>
            <w:r>
              <w:rPr>
                <w:bCs/>
                <w:szCs w:val="20"/>
              </w:rPr>
              <w:t>c</w:t>
            </w:r>
            <w:r w:rsidRPr="00DB30B8">
              <w:rPr>
                <w:bCs/>
                <w:szCs w:val="20"/>
              </w:rPr>
              <w:t>ompletion</w:t>
            </w:r>
            <w:r>
              <w:rPr>
                <w:bCs/>
                <w:szCs w:val="20"/>
              </w:rPr>
              <w:t>:</w:t>
            </w:r>
            <w:r w:rsidRPr="00DB30B8">
              <w:rPr>
                <w:bCs/>
                <w:szCs w:val="20"/>
              </w:rPr>
              <w:t xml:space="preserve"> </w:t>
            </w:r>
            <w:r>
              <w:rPr>
                <w:bCs/>
                <w:szCs w:val="20"/>
              </w:rPr>
              <w:t>Dec</w:t>
            </w:r>
            <w:r w:rsidRPr="00DB30B8">
              <w:rPr>
                <w:bCs/>
                <w:szCs w:val="20"/>
              </w:rPr>
              <w:t xml:space="preserve"> 20</w:t>
            </w:r>
            <w:r>
              <w:rPr>
                <w:bCs/>
                <w:szCs w:val="20"/>
              </w:rPr>
              <w:t>49</w:t>
            </w:r>
            <w:r w:rsidRPr="00254A38">
              <w:rPr>
                <w:bCs/>
                <w:szCs w:val="20"/>
              </w:rPr>
              <w:t xml:space="preserve"> NCT03705234</w:t>
            </w:r>
          </w:p>
        </w:tc>
      </w:tr>
    </w:tbl>
    <w:p w14:paraId="24FB5BAB" w14:textId="77777777" w:rsidR="004A2752" w:rsidRDefault="004A2752" w:rsidP="00695B36">
      <w:pPr>
        <w:spacing w:after="160" w:line="259" w:lineRule="auto"/>
        <w:jc w:val="left"/>
      </w:pPr>
    </w:p>
    <w:p w14:paraId="2BA5D9D4" w14:textId="2E76B44E" w:rsidR="004A2752" w:rsidRDefault="004A2752" w:rsidP="00695B36">
      <w:pPr>
        <w:spacing w:after="240"/>
        <w:jc w:val="left"/>
      </w:pPr>
      <w:r w:rsidRPr="00A117EA">
        <w:rPr>
          <w:lang w:val="en-NZ"/>
        </w:rPr>
        <w:t xml:space="preserve">The applicant claims that the testing of Lp(a) has superior effectiveness; however, in order for a new or additional test that will result in increased costs to claim superiority, an improvement in health is required to be demonstrated. The improvement in health suggested by the applicant is based on the assumption that </w:t>
      </w:r>
      <w:r w:rsidRPr="00A117EA">
        <w:t>earlier intervention of aggressive lifestyle modifications and lipid lowering with statins or low-dose aspirin will reduce overall CVD risk by lowering LDL-C</w:t>
      </w:r>
      <w:r w:rsidR="00FF2B60">
        <w:rPr>
          <w:iCs/>
        </w:rPr>
        <w:t>.</w:t>
      </w:r>
      <w:r w:rsidRPr="00A117EA">
        <w:rPr>
          <w:iCs/>
        </w:rPr>
        <w:t xml:space="preserve"> </w:t>
      </w:r>
      <w:r w:rsidR="00FF2B60">
        <w:rPr>
          <w:iCs/>
        </w:rPr>
        <w:t>H</w:t>
      </w:r>
      <w:r w:rsidRPr="00A117EA">
        <w:rPr>
          <w:iCs/>
        </w:rPr>
        <w:t xml:space="preserve">owever, </w:t>
      </w:r>
      <w:r w:rsidR="00FF2B60">
        <w:rPr>
          <w:iCs/>
        </w:rPr>
        <w:t xml:space="preserve">the effectiveness of these </w:t>
      </w:r>
      <w:r w:rsidR="00B123BE">
        <w:rPr>
          <w:iCs/>
        </w:rPr>
        <w:t>interventions</w:t>
      </w:r>
      <w:r w:rsidRPr="00A117EA">
        <w:t xml:space="preserve"> </w:t>
      </w:r>
      <w:r w:rsidR="007966F1">
        <w:rPr>
          <w:iCs/>
        </w:rPr>
        <w:t xml:space="preserve">targeting </w:t>
      </w:r>
      <w:r w:rsidR="00944941">
        <w:rPr>
          <w:iCs/>
        </w:rPr>
        <w:t xml:space="preserve">patients with the elevated Lp(a) remains uncertain. </w:t>
      </w:r>
      <w:r w:rsidR="007A6BCF">
        <w:rPr>
          <w:iCs/>
        </w:rPr>
        <w:t>A</w:t>
      </w:r>
      <w:r w:rsidRPr="00A117EA">
        <w:t xml:space="preserve"> large RCT (n</w:t>
      </w:r>
      <w:r w:rsidR="00FF2B60">
        <w:rPr>
          <w:iCs/>
        </w:rPr>
        <w:t xml:space="preserve"> </w:t>
      </w:r>
      <w:r w:rsidRPr="00A117EA">
        <w:rPr>
          <w:iCs/>
        </w:rPr>
        <w:t>=</w:t>
      </w:r>
      <w:r w:rsidR="00FF2B60">
        <w:rPr>
          <w:iCs/>
        </w:rPr>
        <w:t xml:space="preserve"> </w:t>
      </w:r>
      <w:r w:rsidRPr="00A117EA">
        <w:t xml:space="preserve">25,000+) </w:t>
      </w:r>
      <w:r w:rsidR="000D3E92" w:rsidRPr="000D3E92">
        <w:t>suggest</w:t>
      </w:r>
      <w:r w:rsidR="000D3E92">
        <w:t>ed</w:t>
      </w:r>
      <w:r w:rsidR="000D3E92" w:rsidRPr="000D3E92">
        <w:t xml:space="preserve"> that Lp(a) is independently associated with CVD risks and patient outcomes may not be substantially improved </w:t>
      </w:r>
      <w:r w:rsidR="000D3E92" w:rsidRPr="000D3E92">
        <w:lastRenderedPageBreak/>
        <w:t>by lowering LDL-C alone</w:t>
      </w:r>
      <w:r w:rsidR="000D3E92">
        <w:t xml:space="preserve">. </w:t>
      </w:r>
      <w:r w:rsidRPr="00A117EA">
        <w:t xml:space="preserve">The applicant has acknowledged that their suggested interventions will not lower Lp(a) and there are currently no treatments listed on the MBS that are appropriate for doing so.  </w:t>
      </w:r>
    </w:p>
    <w:p w14:paraId="61089DC3" w14:textId="77777777" w:rsidR="008A6BF0" w:rsidRDefault="008A6BF0" w:rsidP="00695B36">
      <w:pPr>
        <w:spacing w:after="240"/>
        <w:jc w:val="left"/>
        <w:rPr>
          <w:i/>
          <w:iCs/>
        </w:rPr>
      </w:pPr>
      <w:r w:rsidRPr="00084572">
        <w:rPr>
          <w:i/>
          <w:iCs/>
        </w:rPr>
        <w:t>PASC agreed that the intervention is Lp(a) testing and noted the applicant</w:t>
      </w:r>
      <w:r>
        <w:rPr>
          <w:i/>
          <w:iCs/>
        </w:rPr>
        <w:t>’</w:t>
      </w:r>
      <w:r w:rsidRPr="00084572">
        <w:rPr>
          <w:i/>
          <w:iCs/>
        </w:rPr>
        <w:t>s suggestion that Lp(a) should be measured in nmol/L</w:t>
      </w:r>
      <w:r>
        <w:rPr>
          <w:i/>
          <w:iCs/>
        </w:rPr>
        <w:t>, which would improve standardisation but</w:t>
      </w:r>
      <w:r w:rsidRPr="00084572">
        <w:rPr>
          <w:i/>
          <w:iCs/>
        </w:rPr>
        <w:t xml:space="preserve"> may mean that some laboratories would have to change their reporting units</w:t>
      </w:r>
      <w:r>
        <w:rPr>
          <w:i/>
          <w:iCs/>
        </w:rPr>
        <w:t>.</w:t>
      </w:r>
    </w:p>
    <w:p w14:paraId="22993036" w14:textId="77777777" w:rsidR="008A6BF0" w:rsidRPr="00084572" w:rsidRDefault="008A6BF0" w:rsidP="00695B36">
      <w:pPr>
        <w:spacing w:after="240"/>
        <w:jc w:val="left"/>
        <w:rPr>
          <w:i/>
          <w:iCs/>
        </w:rPr>
      </w:pPr>
      <w:r>
        <w:rPr>
          <w:i/>
          <w:iCs/>
        </w:rPr>
        <w:t xml:space="preserve">PASC also acknowledged that the national guideline for CVD risk assessment is currently undergoing public consultation and will be finalised for publication in 2023. However, PASC also noted that information around the proposed Lp(a) testing may or may not be captured by the guideline update due to the population </w:t>
      </w:r>
      <w:r w:rsidR="00683E46">
        <w:rPr>
          <w:i/>
          <w:iCs/>
        </w:rPr>
        <w:t xml:space="preserve">on </w:t>
      </w:r>
      <w:r>
        <w:rPr>
          <w:i/>
          <w:iCs/>
        </w:rPr>
        <w:t>which the guideline is focused (adults without known CVD) is not necessarily in line with the proposed population in the PICO.</w:t>
      </w:r>
    </w:p>
    <w:p w14:paraId="69DB5072" w14:textId="77777777" w:rsidR="008A6BF0" w:rsidRDefault="008A6BF0" w:rsidP="00695B36">
      <w:pPr>
        <w:spacing w:after="240"/>
        <w:jc w:val="left"/>
        <w:rPr>
          <w:i/>
          <w:iCs/>
        </w:rPr>
      </w:pPr>
      <w:r w:rsidRPr="00FD767D">
        <w:rPr>
          <w:i/>
          <w:iCs/>
        </w:rPr>
        <w:t>PASC noted that Lp(a) testing could be requested by a GP or consultant physician/specialist and thus restricting the service to consultant physicians and specialists (as suggested by the Department) is unrealistic given some patients, and the cascade population, will be asymptomatic.</w:t>
      </w:r>
    </w:p>
    <w:p w14:paraId="2DCF3FA9" w14:textId="525708DA" w:rsidR="008A6BF0" w:rsidRDefault="008A6BF0" w:rsidP="00695B36">
      <w:pPr>
        <w:spacing w:after="240"/>
        <w:jc w:val="left"/>
        <w:rPr>
          <w:i/>
          <w:iCs/>
        </w:rPr>
      </w:pPr>
      <w:r>
        <w:rPr>
          <w:i/>
          <w:iCs/>
        </w:rPr>
        <w:t>PASC noted that Lp(a) testing for the secondary prevention of CVD was not considered in the current PICO. PASC also noted that the success of secondary prevention led by Lp(a) testing may not be realised until an effective therapeutic option becomes available; however, the proposed Lp(a) testing may be a better value proposition under the secondary prevention setting.</w:t>
      </w:r>
    </w:p>
    <w:p w14:paraId="3699D1DD" w14:textId="77777777" w:rsidR="004A2752" w:rsidRPr="008F1532" w:rsidRDefault="004A2752" w:rsidP="00695B36">
      <w:pPr>
        <w:pStyle w:val="Heading3"/>
        <w:jc w:val="left"/>
      </w:pPr>
      <w:r w:rsidRPr="008F1532">
        <w:t>Comparator</w:t>
      </w:r>
      <w:r>
        <w:t>(s)</w:t>
      </w:r>
    </w:p>
    <w:p w14:paraId="4614CB46" w14:textId="063FA2E3" w:rsidR="004A2752" w:rsidRDefault="004A2752" w:rsidP="00695B36">
      <w:pPr>
        <w:pStyle w:val="Instructionaltext"/>
        <w:jc w:val="left"/>
        <w:rPr>
          <w:color w:val="auto"/>
        </w:rPr>
      </w:pPr>
      <w:r w:rsidRPr="00D45532">
        <w:rPr>
          <w:color w:val="auto"/>
        </w:rPr>
        <w:t>The applicant proposes that there is no true comparator for Lp(a) testing</w:t>
      </w:r>
      <w:r>
        <w:rPr>
          <w:color w:val="auto"/>
        </w:rPr>
        <w:t xml:space="preserve"> because there are no other existing technologies or methods to assess Lp(a). Also, there is no equivalent or comparable biomarker to directly or indirectly measure the level of Lp(a); therefore, the comparator is defined as CVD risk assessment with</w:t>
      </w:r>
      <w:r w:rsidR="00AB1FFB">
        <w:rPr>
          <w:color w:val="auto"/>
        </w:rPr>
        <w:t xml:space="preserve"> lipid profile assessment, but</w:t>
      </w:r>
      <w:r>
        <w:rPr>
          <w:color w:val="auto"/>
        </w:rPr>
        <w:t xml:space="preserve"> no Lp(a) testing. Lp(a) testing will be considered as an add-on to the standard of care. </w:t>
      </w:r>
    </w:p>
    <w:p w14:paraId="26C71AEB" w14:textId="35672BDB" w:rsidR="004A2752" w:rsidRDefault="004A2752" w:rsidP="00695B36">
      <w:pPr>
        <w:pStyle w:val="Instructionaltext"/>
        <w:jc w:val="left"/>
        <w:rPr>
          <w:color w:val="auto"/>
        </w:rPr>
      </w:pPr>
      <w:r>
        <w:rPr>
          <w:color w:val="auto"/>
        </w:rPr>
        <w:t xml:space="preserve">Due to the absence of reference standards and comparative diagnostic technologies, any benefit of Lp(a) testing could only be realised through the reduction in CVD risks demonstrated by improvement of treatment strategies and better patient outcomes. Analytical validity and diagnostic accuracy outcomes may not be feasible to compare. In order to demonstrate the clinical benefit of Lp(a) testing, several key linkage points from the finding of elevated Lp(a) to better patient outcomes should be established during the assessment phase. It should also be noted that the currently available clinical guidelines in CVD risk assessment and management have not been updated to consider Lp(a) as a part of the standard care; therefore, the most important pivot point for Lp(a) testing is dependent on CVD risk modification. </w:t>
      </w:r>
    </w:p>
    <w:p w14:paraId="3F605EB8" w14:textId="6884B066" w:rsidR="004A2752" w:rsidRPr="00B138CA" w:rsidRDefault="004A2752" w:rsidP="00695B36">
      <w:pPr>
        <w:pStyle w:val="Instructionaltext"/>
        <w:jc w:val="left"/>
        <w:rPr>
          <w:color w:val="auto"/>
        </w:rPr>
      </w:pPr>
      <w:r w:rsidRPr="00B138CA">
        <w:rPr>
          <w:color w:val="auto"/>
        </w:rPr>
        <w:t xml:space="preserve">One of the risk management strategies published by </w:t>
      </w:r>
      <w:r w:rsidR="006E79AE">
        <w:rPr>
          <w:color w:val="auto"/>
        </w:rPr>
        <w:t xml:space="preserve">the </w:t>
      </w:r>
      <w:r w:rsidRPr="00B138CA">
        <w:rPr>
          <w:color w:val="auto"/>
        </w:rPr>
        <w:t xml:space="preserve">National Vascular Disease Prevention Alliance is provided here as a reference. Treatment and management strategies are fully reliant on the </w:t>
      </w:r>
      <w:r>
        <w:rPr>
          <w:color w:val="auto"/>
        </w:rPr>
        <w:t>3</w:t>
      </w:r>
      <w:r w:rsidRPr="00B138CA">
        <w:rPr>
          <w:color w:val="auto"/>
        </w:rPr>
        <w:t xml:space="preserve"> risk levels</w:t>
      </w:r>
      <w:r>
        <w:rPr>
          <w:color w:val="auto"/>
        </w:rPr>
        <w:t>;</w:t>
      </w:r>
      <w:r w:rsidRPr="00B138CA">
        <w:rPr>
          <w:color w:val="auto"/>
        </w:rPr>
        <w:t xml:space="preserve"> </w:t>
      </w:r>
      <w:r>
        <w:rPr>
          <w:color w:val="auto"/>
        </w:rPr>
        <w:t>t</w:t>
      </w:r>
      <w:r w:rsidRPr="00B138CA">
        <w:rPr>
          <w:color w:val="auto"/>
        </w:rPr>
        <w:t xml:space="preserve">herefore, the Lp(a) testing will need to use clinical evidence to sufficiently demonstrate the comparative effectiveness of improving the risk classification compared to the current algorithm. </w:t>
      </w:r>
    </w:p>
    <w:p w14:paraId="6F1E9F45" w14:textId="6F53A28B" w:rsidR="004A2752" w:rsidRDefault="004A2752" w:rsidP="00695B36">
      <w:pPr>
        <w:pStyle w:val="Instructionaltext"/>
        <w:jc w:val="left"/>
        <w:rPr>
          <w:color w:val="auto"/>
        </w:rPr>
      </w:pPr>
      <w:r>
        <w:rPr>
          <w:color w:val="auto"/>
        </w:rPr>
        <w:t xml:space="preserve">In addition to improvement in CVD risk classification, the assessment will also need to demonstrate that patients who are reclassified to higher CVD risk due to elevated Lp(a) can be effectively managed via current or emerging treatment options. Patients with different treatment options (due to Lp(a)-driven CVD risk reclassification) will be compared for relevant outcomes. </w:t>
      </w:r>
    </w:p>
    <w:p w14:paraId="04D0FF86" w14:textId="4313FAFC" w:rsidR="004A2752" w:rsidRDefault="004A2752" w:rsidP="00695B36">
      <w:pPr>
        <w:jc w:val="left"/>
      </w:pPr>
      <w:r>
        <w:t xml:space="preserve">A risk management summary (see </w:t>
      </w:r>
      <w:r>
        <w:fldChar w:fldCharType="begin"/>
      </w:r>
      <w:r>
        <w:instrText xml:space="preserve"> REF _Ref118383191 \h </w:instrText>
      </w:r>
      <w:r w:rsidR="00695B36">
        <w:instrText xml:space="preserve"> \* MERGEFORMAT </w:instrText>
      </w:r>
      <w:r>
        <w:fldChar w:fldCharType="separate"/>
      </w:r>
      <w:r w:rsidR="00957D2D">
        <w:t xml:space="preserve">Table </w:t>
      </w:r>
      <w:r w:rsidR="00957D2D">
        <w:rPr>
          <w:noProof/>
        </w:rPr>
        <w:t>5</w:t>
      </w:r>
      <w:r>
        <w:fldChar w:fldCharType="end"/>
      </w:r>
      <w:r>
        <w:t xml:space="preserve">) published by the National Vascular Disease Prevention Alliance </w:t>
      </w:r>
      <w:r>
        <w:fldChar w:fldCharType="begin"/>
      </w:r>
      <w:r>
        <w:instrText xml:space="preserve"> ADDIN EN.CITE &lt;EndNote&gt;&lt;Cite&gt;&lt;Author&gt;National Vascular Disease Prevention Alliance&lt;/Author&gt;&lt;Year&gt;2012&lt;/Year&gt;&lt;RecNum&gt;1&lt;/RecNum&gt;&lt;DisplayText&gt;(National Vascular Disease Prevention Alliance 2012)&lt;/DisplayText&gt;&lt;record&gt;&lt;rec-number&gt;1&lt;/rec-number&gt;&lt;foreign-keys&gt;&lt;key app="EN" db-id="p5dp00za8apvt8e25vqv22rzzpwt5tvtsr0r" timestamp="1667173932"&gt;1&lt;/key&gt;&lt;/foreign-keys&gt;&lt;ref-type name="Report"&gt;27&lt;/ref-type&gt;&lt;contributors&gt;&lt;authors&gt;&lt;author&gt;National Vascular Disease Prevention Alliance,&lt;/author&gt;&lt;/authors&gt;&lt;/contributors&gt;&lt;titles&gt;&lt;title&gt;Guidelines for the management of absolute cardiovascular disease risk&lt;/title&gt;&lt;/titles&gt;&lt;dates&gt;&lt;year&gt;2012&lt;/year&gt;&lt;/dates&gt;&lt;urls&gt;&lt;related-urls&gt;&lt;url&gt;https://www.heartfoundation.org.au/getmedia/4342a70f-4487-496e-bbb0-dae33a47fcb2/Absolute-CVD-Risk-Full-Guidelines_2.pdf&lt;/url&gt;&lt;/related-urls&gt;&lt;/urls&gt;&lt;/record&gt;&lt;/Cite&gt;&lt;/EndNote&gt;</w:instrText>
      </w:r>
      <w:r>
        <w:fldChar w:fldCharType="separate"/>
      </w:r>
      <w:r>
        <w:rPr>
          <w:noProof/>
        </w:rPr>
        <w:t>(National Vascular Disease Prevention Alliance 2012)</w:t>
      </w:r>
      <w:r>
        <w:fldChar w:fldCharType="end"/>
      </w:r>
      <w:r>
        <w:t xml:space="preserve"> describes the recommended assessment pathway, </w:t>
      </w:r>
      <w:r>
        <w:lastRenderedPageBreak/>
        <w:t>interventions, targets and follow up.</w:t>
      </w:r>
      <w:r w:rsidRPr="00124630">
        <w:t xml:space="preserve"> Decisions regarding management of risk are made according to the individual</w:t>
      </w:r>
      <w:r>
        <w:t xml:space="preserve"> patient’</w:t>
      </w:r>
      <w:r w:rsidRPr="00124630">
        <w:t xml:space="preserve">s </w:t>
      </w:r>
      <w:r>
        <w:t>absolute risk</w:t>
      </w:r>
      <w:r w:rsidRPr="00124630">
        <w:t xml:space="preserve"> level, while response to treatment is monitored by measurement of individual risk factors.</w:t>
      </w:r>
      <w:r>
        <w:t xml:space="preserve"> </w:t>
      </w:r>
    </w:p>
    <w:p w14:paraId="0137F270" w14:textId="38C68BAC" w:rsidR="001A7F4B" w:rsidRPr="00A53725" w:rsidRDefault="001A7F4B" w:rsidP="00695B36">
      <w:pPr>
        <w:pBdr>
          <w:top w:val="single" w:sz="4" w:space="1" w:color="auto"/>
          <w:left w:val="single" w:sz="4" w:space="4" w:color="auto"/>
          <w:bottom w:val="single" w:sz="4" w:space="1" w:color="auto"/>
          <w:right w:val="single" w:sz="4" w:space="4" w:color="auto"/>
        </w:pBdr>
        <w:jc w:val="left"/>
      </w:pPr>
      <w:r>
        <w:t xml:space="preserve">The following information is from the current version of the Australian CVD guidelines, however we understand that there have been updates to this guideline that are currently out for consultation. </w:t>
      </w:r>
      <w:r w:rsidR="47274725">
        <w:t xml:space="preserve"> The information below should be updated as relevant when the new version is available.</w:t>
      </w:r>
    </w:p>
    <w:p w14:paraId="60E7690E" w14:textId="652E7D1D" w:rsidR="004A2752" w:rsidRDefault="004A2752" w:rsidP="00695B36">
      <w:pPr>
        <w:pStyle w:val="Caption"/>
        <w:jc w:val="left"/>
      </w:pPr>
      <w:bookmarkStart w:id="10" w:name="_Ref118383191"/>
      <w:r>
        <w:t xml:space="preserve">Table </w:t>
      </w:r>
      <w:r>
        <w:fldChar w:fldCharType="begin"/>
      </w:r>
      <w:r>
        <w:instrText xml:space="preserve"> SEQ Table \* ARABIC </w:instrText>
      </w:r>
      <w:r>
        <w:fldChar w:fldCharType="separate"/>
      </w:r>
      <w:r w:rsidR="002F6340">
        <w:rPr>
          <w:noProof/>
        </w:rPr>
        <w:t>5</w:t>
      </w:r>
      <w:r>
        <w:fldChar w:fldCharType="end"/>
      </w:r>
      <w:bookmarkEnd w:id="10"/>
      <w:r>
        <w:tab/>
      </w:r>
      <w:r w:rsidRPr="004E59AF">
        <w:t>Risk management summary</w:t>
      </w:r>
    </w:p>
    <w:p w14:paraId="28B632D3" w14:textId="77777777" w:rsidR="004A2752" w:rsidRDefault="004A2752" w:rsidP="00695B36">
      <w:pPr>
        <w:spacing w:after="160" w:line="259" w:lineRule="auto"/>
        <w:jc w:val="left"/>
      </w:pPr>
      <w:r>
        <w:rPr>
          <w:noProof/>
        </w:rPr>
        <w:drawing>
          <wp:inline distT="0" distB="0" distL="0" distR="0" wp14:anchorId="2CBE0F20" wp14:editId="2318382F">
            <wp:extent cx="5710214" cy="7021902"/>
            <wp:effectExtent l="0" t="0" r="0" b="6985"/>
            <wp:docPr id="378" name="Picture 378" descr="Absolute-CVD-Risk-Full-Guidelines_2.pdf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Absolute-CVD-Risk-Full-Guidelines_2.pdf - Google Chro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710214" cy="7021902"/>
                    </a:xfrm>
                    <a:prstGeom prst="rect">
                      <a:avLst/>
                    </a:prstGeom>
                    <a:ln>
                      <a:noFill/>
                    </a:ln>
                    <a:extLst>
                      <a:ext uri="{53640926-AAD7-44D8-BBD7-CCE9431645EC}">
                        <a14:shadowObscured xmlns:a14="http://schemas.microsoft.com/office/drawing/2010/main"/>
                      </a:ext>
                    </a:extLst>
                  </pic:spPr>
                </pic:pic>
              </a:graphicData>
            </a:graphic>
          </wp:inline>
        </w:drawing>
      </w:r>
    </w:p>
    <w:p w14:paraId="7DA48E1D" w14:textId="51C277C0" w:rsidR="00EE3F20" w:rsidRPr="0063790F" w:rsidRDefault="00EE3F20" w:rsidP="00695B36">
      <w:pPr>
        <w:pStyle w:val="Tablenotes0"/>
        <w:jc w:val="left"/>
        <w:rPr>
          <w:sz w:val="18"/>
          <w:szCs w:val="18"/>
        </w:rPr>
      </w:pPr>
      <w:r w:rsidRPr="0063790F">
        <w:rPr>
          <w:b/>
          <w:sz w:val="18"/>
          <w:szCs w:val="18"/>
          <w:u w:val="single"/>
        </w:rPr>
        <w:t>Abbreviations</w:t>
      </w:r>
      <w:r w:rsidRPr="0063790F">
        <w:rPr>
          <w:sz w:val="18"/>
          <w:szCs w:val="18"/>
        </w:rPr>
        <w:br/>
      </w:r>
      <w:r w:rsidRPr="0063790F">
        <w:rPr>
          <w:b/>
          <w:sz w:val="18"/>
          <w:szCs w:val="18"/>
        </w:rPr>
        <w:t xml:space="preserve">A&amp;TSI: </w:t>
      </w:r>
      <w:r w:rsidRPr="0063790F">
        <w:rPr>
          <w:bCs w:val="0"/>
          <w:sz w:val="18"/>
          <w:szCs w:val="18"/>
        </w:rPr>
        <w:t>Aboriginal and Torres Strait Islander peoples;</w:t>
      </w:r>
      <w:r w:rsidRPr="0063790F">
        <w:rPr>
          <w:sz w:val="18"/>
          <w:szCs w:val="18"/>
        </w:rPr>
        <w:t xml:space="preserve"> </w:t>
      </w:r>
      <w:r w:rsidRPr="0063790F">
        <w:rPr>
          <w:b/>
          <w:bCs w:val="0"/>
          <w:sz w:val="18"/>
          <w:szCs w:val="18"/>
        </w:rPr>
        <w:t>BP =</w:t>
      </w:r>
      <w:r w:rsidRPr="0063790F">
        <w:rPr>
          <w:sz w:val="18"/>
          <w:szCs w:val="18"/>
        </w:rPr>
        <w:t xml:space="preserve"> Blood pressure, </w:t>
      </w:r>
      <w:r w:rsidRPr="0063790F">
        <w:rPr>
          <w:b/>
          <w:bCs w:val="0"/>
          <w:sz w:val="18"/>
          <w:szCs w:val="18"/>
        </w:rPr>
        <w:t>CKD =</w:t>
      </w:r>
      <w:r w:rsidRPr="0063790F">
        <w:rPr>
          <w:sz w:val="18"/>
          <w:szCs w:val="18"/>
        </w:rPr>
        <w:t xml:space="preserve"> Chronic kidney disease, </w:t>
      </w:r>
      <w:r w:rsidRPr="0063790F">
        <w:rPr>
          <w:b/>
          <w:sz w:val="18"/>
          <w:szCs w:val="18"/>
        </w:rPr>
        <w:t>CVD</w:t>
      </w:r>
      <w:r w:rsidRPr="0063790F">
        <w:rPr>
          <w:sz w:val="18"/>
          <w:szCs w:val="18"/>
        </w:rPr>
        <w:t xml:space="preserve"> </w:t>
      </w:r>
      <w:r w:rsidRPr="0063790F">
        <w:rPr>
          <w:b/>
          <w:sz w:val="18"/>
          <w:szCs w:val="18"/>
        </w:rPr>
        <w:t>=</w:t>
      </w:r>
      <w:r w:rsidRPr="0063790F">
        <w:rPr>
          <w:sz w:val="18"/>
          <w:szCs w:val="18"/>
        </w:rPr>
        <w:t xml:space="preserve"> cardiovascular disease, </w:t>
      </w:r>
      <w:r w:rsidR="002964CD" w:rsidRPr="0063790F">
        <w:rPr>
          <w:b/>
          <w:bCs w:val="0"/>
          <w:sz w:val="18"/>
          <w:szCs w:val="18"/>
        </w:rPr>
        <w:t xml:space="preserve">FRE </w:t>
      </w:r>
      <w:r w:rsidR="002964CD" w:rsidRPr="0063790F">
        <w:rPr>
          <w:b/>
          <w:bCs w:val="0"/>
          <w:sz w:val="18"/>
          <w:szCs w:val="18"/>
        </w:rPr>
        <w:lastRenderedPageBreak/>
        <w:t>=</w:t>
      </w:r>
      <w:r w:rsidR="002964CD" w:rsidRPr="0063790F">
        <w:rPr>
          <w:sz w:val="18"/>
          <w:szCs w:val="18"/>
        </w:rPr>
        <w:t xml:space="preserve"> Framingham Risk Equation, </w:t>
      </w:r>
      <w:r w:rsidRPr="0063790F">
        <w:rPr>
          <w:b/>
          <w:sz w:val="18"/>
          <w:szCs w:val="18"/>
        </w:rPr>
        <w:t>HDL</w:t>
      </w:r>
      <w:r w:rsidRPr="0063790F">
        <w:rPr>
          <w:sz w:val="18"/>
          <w:szCs w:val="18"/>
        </w:rPr>
        <w:t xml:space="preserve"> </w:t>
      </w:r>
      <w:r w:rsidRPr="0063790F">
        <w:rPr>
          <w:b/>
          <w:sz w:val="18"/>
          <w:szCs w:val="18"/>
        </w:rPr>
        <w:t>=</w:t>
      </w:r>
      <w:r w:rsidRPr="0063790F">
        <w:rPr>
          <w:sz w:val="18"/>
          <w:szCs w:val="18"/>
        </w:rPr>
        <w:t xml:space="preserve"> high</w:t>
      </w:r>
      <w:r w:rsidRPr="0063790F">
        <w:rPr>
          <w:rFonts w:ascii="Cambria Math" w:hAnsi="Cambria Math" w:cs="Cambria Math"/>
          <w:sz w:val="18"/>
          <w:szCs w:val="18"/>
        </w:rPr>
        <w:t>‑</w:t>
      </w:r>
      <w:r w:rsidRPr="0063790F">
        <w:rPr>
          <w:sz w:val="18"/>
          <w:szCs w:val="18"/>
        </w:rPr>
        <w:t xml:space="preserve">density lipoprotein, </w:t>
      </w:r>
      <w:r w:rsidRPr="0063790F">
        <w:rPr>
          <w:b/>
          <w:sz w:val="18"/>
          <w:szCs w:val="18"/>
        </w:rPr>
        <w:t>HDL-C</w:t>
      </w:r>
      <w:r w:rsidRPr="0063790F">
        <w:rPr>
          <w:sz w:val="18"/>
          <w:szCs w:val="18"/>
        </w:rPr>
        <w:t xml:space="preserve"> </w:t>
      </w:r>
      <w:r w:rsidRPr="0063790F">
        <w:rPr>
          <w:b/>
          <w:sz w:val="18"/>
          <w:szCs w:val="18"/>
        </w:rPr>
        <w:t>=</w:t>
      </w:r>
      <w:r w:rsidRPr="0063790F">
        <w:rPr>
          <w:sz w:val="18"/>
          <w:szCs w:val="18"/>
        </w:rPr>
        <w:t xml:space="preserve"> high</w:t>
      </w:r>
      <w:r w:rsidRPr="0063790F">
        <w:rPr>
          <w:rFonts w:ascii="Cambria Math" w:hAnsi="Cambria Math" w:cs="Cambria Math"/>
          <w:sz w:val="18"/>
          <w:szCs w:val="18"/>
        </w:rPr>
        <w:t>‑</w:t>
      </w:r>
      <w:r w:rsidRPr="0063790F">
        <w:rPr>
          <w:sz w:val="18"/>
          <w:szCs w:val="18"/>
        </w:rPr>
        <w:t xml:space="preserve">density lipoprotein cholesterol, </w:t>
      </w:r>
      <w:r w:rsidRPr="0063790F">
        <w:rPr>
          <w:b/>
          <w:sz w:val="18"/>
          <w:szCs w:val="18"/>
        </w:rPr>
        <w:t>LDL-C</w:t>
      </w:r>
      <w:r w:rsidRPr="0063790F">
        <w:rPr>
          <w:sz w:val="18"/>
          <w:szCs w:val="18"/>
        </w:rPr>
        <w:t xml:space="preserve"> </w:t>
      </w:r>
      <w:r w:rsidRPr="0063790F">
        <w:rPr>
          <w:b/>
          <w:sz w:val="18"/>
          <w:szCs w:val="18"/>
        </w:rPr>
        <w:t>=</w:t>
      </w:r>
      <w:r w:rsidRPr="0063790F">
        <w:rPr>
          <w:sz w:val="18"/>
          <w:szCs w:val="18"/>
        </w:rPr>
        <w:t xml:space="preserve"> low-density lipoprotein cholesterol, </w:t>
      </w:r>
      <w:r w:rsidRPr="0063790F">
        <w:rPr>
          <w:b/>
          <w:sz w:val="18"/>
          <w:szCs w:val="18"/>
        </w:rPr>
        <w:t>Lp(a)</w:t>
      </w:r>
      <w:r w:rsidRPr="0063790F">
        <w:rPr>
          <w:sz w:val="18"/>
          <w:szCs w:val="18"/>
        </w:rPr>
        <w:t xml:space="preserve"> </w:t>
      </w:r>
      <w:r w:rsidRPr="0063790F">
        <w:rPr>
          <w:b/>
          <w:sz w:val="18"/>
          <w:szCs w:val="18"/>
        </w:rPr>
        <w:t>=</w:t>
      </w:r>
      <w:r w:rsidRPr="0063790F">
        <w:rPr>
          <w:sz w:val="18"/>
          <w:szCs w:val="18"/>
        </w:rPr>
        <w:t xml:space="preserve"> lipoprotein(a), </w:t>
      </w:r>
      <w:r w:rsidRPr="0063790F">
        <w:rPr>
          <w:b/>
          <w:bCs w:val="0"/>
          <w:sz w:val="18"/>
          <w:szCs w:val="18"/>
        </w:rPr>
        <w:t>LVH =</w:t>
      </w:r>
      <w:r w:rsidRPr="0063790F">
        <w:rPr>
          <w:sz w:val="18"/>
          <w:szCs w:val="18"/>
        </w:rPr>
        <w:t xml:space="preserve"> Left ventricular hypertrophy, </w:t>
      </w:r>
      <w:r w:rsidRPr="0063790F">
        <w:rPr>
          <w:b/>
          <w:bCs w:val="0"/>
          <w:sz w:val="18"/>
          <w:szCs w:val="18"/>
        </w:rPr>
        <w:t>OGTT =</w:t>
      </w:r>
      <w:r w:rsidRPr="0063790F">
        <w:rPr>
          <w:sz w:val="18"/>
          <w:szCs w:val="18"/>
        </w:rPr>
        <w:t xml:space="preserve"> Oral glucose tolerance test, </w:t>
      </w:r>
      <w:r w:rsidRPr="0063790F">
        <w:rPr>
          <w:b/>
          <w:sz w:val="18"/>
          <w:szCs w:val="18"/>
        </w:rPr>
        <w:t>PROCAM</w:t>
      </w:r>
      <w:r w:rsidRPr="0063790F">
        <w:rPr>
          <w:sz w:val="18"/>
          <w:szCs w:val="18"/>
        </w:rPr>
        <w:t xml:space="preserve"> </w:t>
      </w:r>
      <w:r w:rsidRPr="0063790F">
        <w:rPr>
          <w:b/>
          <w:sz w:val="18"/>
          <w:szCs w:val="18"/>
        </w:rPr>
        <w:t>=</w:t>
      </w:r>
      <w:r w:rsidRPr="0063790F">
        <w:rPr>
          <w:sz w:val="18"/>
          <w:szCs w:val="18"/>
        </w:rPr>
        <w:t xml:space="preserve"> Prospective Cardiovascular Münster Study, </w:t>
      </w:r>
      <w:r w:rsidRPr="0063790F">
        <w:rPr>
          <w:b/>
          <w:sz w:val="18"/>
          <w:szCs w:val="18"/>
        </w:rPr>
        <w:t>ROC</w:t>
      </w:r>
      <w:r w:rsidRPr="0063790F">
        <w:rPr>
          <w:sz w:val="18"/>
          <w:szCs w:val="18"/>
        </w:rPr>
        <w:t xml:space="preserve"> </w:t>
      </w:r>
      <w:r w:rsidRPr="0063790F">
        <w:rPr>
          <w:b/>
          <w:sz w:val="18"/>
          <w:szCs w:val="18"/>
        </w:rPr>
        <w:t>=</w:t>
      </w:r>
      <w:r w:rsidRPr="0063790F">
        <w:rPr>
          <w:sz w:val="18"/>
          <w:szCs w:val="18"/>
        </w:rPr>
        <w:t xml:space="preserve"> receiver operating characteristic, </w:t>
      </w:r>
      <w:r w:rsidR="00E7316F" w:rsidRPr="0063790F">
        <w:rPr>
          <w:b/>
          <w:bCs w:val="0"/>
          <w:sz w:val="18"/>
          <w:szCs w:val="18"/>
        </w:rPr>
        <w:t>SBP =</w:t>
      </w:r>
      <w:r w:rsidR="00E7316F" w:rsidRPr="0063790F">
        <w:rPr>
          <w:sz w:val="18"/>
          <w:szCs w:val="18"/>
        </w:rPr>
        <w:t xml:space="preserve"> Systolic blood pressure, </w:t>
      </w:r>
      <w:r w:rsidRPr="0063790F">
        <w:rPr>
          <w:b/>
          <w:bCs w:val="0"/>
          <w:sz w:val="18"/>
          <w:szCs w:val="18"/>
        </w:rPr>
        <w:t>TC =</w:t>
      </w:r>
      <w:r w:rsidRPr="0063790F">
        <w:rPr>
          <w:sz w:val="18"/>
          <w:szCs w:val="18"/>
        </w:rPr>
        <w:t xml:space="preserve"> Total cholesterol, </w:t>
      </w:r>
      <w:r w:rsidR="001C5ADA" w:rsidRPr="0063790F">
        <w:rPr>
          <w:b/>
          <w:bCs w:val="0"/>
          <w:sz w:val="18"/>
          <w:szCs w:val="18"/>
        </w:rPr>
        <w:t>TG =</w:t>
      </w:r>
      <w:r w:rsidR="001C5ADA" w:rsidRPr="0063790F">
        <w:rPr>
          <w:sz w:val="18"/>
          <w:szCs w:val="18"/>
        </w:rPr>
        <w:t xml:space="preserve"> Triglycerides, </w:t>
      </w:r>
      <w:r w:rsidRPr="0063790F">
        <w:rPr>
          <w:b/>
          <w:bCs w:val="0"/>
          <w:sz w:val="18"/>
          <w:szCs w:val="18"/>
        </w:rPr>
        <w:t>UACR =</w:t>
      </w:r>
      <w:r w:rsidRPr="0063790F">
        <w:rPr>
          <w:sz w:val="18"/>
          <w:szCs w:val="18"/>
        </w:rPr>
        <w:t xml:space="preserve"> Urinary albumin:creatinine ratio</w:t>
      </w:r>
    </w:p>
    <w:p w14:paraId="1830BEC1" w14:textId="6C1DC448" w:rsidR="00EE3F20" w:rsidRPr="0063790F" w:rsidRDefault="00EE3F20" w:rsidP="00695B36">
      <w:pPr>
        <w:pStyle w:val="Tablenotes0"/>
        <w:jc w:val="left"/>
        <w:rPr>
          <w:sz w:val="18"/>
          <w:szCs w:val="18"/>
        </w:rPr>
      </w:pPr>
      <w:r w:rsidRPr="0063790F">
        <w:rPr>
          <w:b/>
          <w:bCs w:val="0"/>
          <w:sz w:val="18"/>
          <w:szCs w:val="18"/>
          <w:u w:val="single"/>
        </w:rPr>
        <w:t>Source:</w:t>
      </w:r>
      <w:r w:rsidRPr="0063790F">
        <w:rPr>
          <w:sz w:val="18"/>
          <w:szCs w:val="18"/>
        </w:rPr>
        <w:t xml:space="preserve"> National Vascular Disease Prevention Alliance 2012, </w:t>
      </w:r>
      <w:r w:rsidRPr="0063790F">
        <w:rPr>
          <w:i/>
          <w:sz w:val="18"/>
          <w:szCs w:val="18"/>
        </w:rPr>
        <w:t>Guidelines for the management of absolute cardiovascular disease risk</w:t>
      </w:r>
      <w:r w:rsidRPr="0063790F">
        <w:rPr>
          <w:sz w:val="18"/>
          <w:szCs w:val="18"/>
        </w:rPr>
        <w:t>, &lt;</w:t>
      </w:r>
      <w:hyperlink r:id="rId15" w:history="1">
        <w:r w:rsidRPr="0063790F">
          <w:rPr>
            <w:rStyle w:val="Hyperlink"/>
            <w:rFonts w:ascii="Arial Narrow" w:hAnsi="Arial Narrow" w:cs="Tahoma"/>
            <w:sz w:val="18"/>
            <w:szCs w:val="18"/>
          </w:rPr>
          <w:t>https://www.heartfoundation.org.au/getmedia/4342a70f-4487-496e-bbb0-dae33a47fcb2/Absolute-CVD-Risk-Full-Guidelines_2.pdf</w:t>
        </w:r>
      </w:hyperlink>
      <w:r w:rsidRPr="0063790F">
        <w:rPr>
          <w:sz w:val="18"/>
          <w:szCs w:val="18"/>
        </w:rPr>
        <w:t>&gt;</w:t>
      </w:r>
    </w:p>
    <w:p w14:paraId="195B4500" w14:textId="5F83071E" w:rsidR="008A6BF0" w:rsidRDefault="008A6BF0" w:rsidP="00695B36">
      <w:pPr>
        <w:spacing w:after="160" w:line="259" w:lineRule="auto"/>
        <w:jc w:val="left"/>
      </w:pPr>
    </w:p>
    <w:p w14:paraId="62032F33" w14:textId="77777777" w:rsidR="008A6BF0" w:rsidRPr="00F94EA9" w:rsidRDefault="008A6BF0" w:rsidP="00695B36">
      <w:pPr>
        <w:spacing w:after="160" w:line="259" w:lineRule="auto"/>
        <w:jc w:val="left"/>
        <w:rPr>
          <w:i/>
          <w:iCs/>
        </w:rPr>
      </w:pPr>
      <w:r w:rsidRPr="00F94EA9">
        <w:rPr>
          <w:i/>
          <w:iCs/>
        </w:rPr>
        <w:t xml:space="preserve">PSAC agreed that there is no true comparator and the comparator for this PICO should </w:t>
      </w:r>
      <w:r w:rsidR="00683E46">
        <w:rPr>
          <w:i/>
          <w:iCs/>
        </w:rPr>
        <w:t xml:space="preserve">therefore </w:t>
      </w:r>
      <w:r w:rsidRPr="00F94EA9">
        <w:rPr>
          <w:i/>
          <w:iCs/>
        </w:rPr>
        <w:t>be current practice with standard lipid profiling and the use of risk assessment tools</w:t>
      </w:r>
      <w:r>
        <w:rPr>
          <w:i/>
          <w:iCs/>
        </w:rPr>
        <w:t xml:space="preserve"> (without Lp(a) testing). </w:t>
      </w:r>
    </w:p>
    <w:p w14:paraId="680461A9" w14:textId="130CE90D" w:rsidR="008A6BF0" w:rsidRDefault="008A6BF0" w:rsidP="00695B36">
      <w:pPr>
        <w:spacing w:after="160" w:line="259" w:lineRule="auto"/>
        <w:jc w:val="left"/>
        <w:rPr>
          <w:i/>
          <w:iCs/>
        </w:rPr>
      </w:pPr>
      <w:r>
        <w:rPr>
          <w:i/>
          <w:iCs/>
        </w:rPr>
        <w:t xml:space="preserve">PASC noted that coronary artery calcium score is being used in some patients (position statement by Heart Foundation suggests </w:t>
      </w:r>
      <w:r w:rsidR="00683E46">
        <w:rPr>
          <w:i/>
          <w:iCs/>
        </w:rPr>
        <w:t xml:space="preserve">it </w:t>
      </w:r>
      <w:r>
        <w:rPr>
          <w:i/>
          <w:iCs/>
        </w:rPr>
        <w:t>may be useful in a subset of the population) but is not MBS funded so is not a comparator.</w:t>
      </w:r>
    </w:p>
    <w:p w14:paraId="5C08CDB4" w14:textId="77777777" w:rsidR="004A2752" w:rsidRPr="008F1532" w:rsidRDefault="004A2752" w:rsidP="00695B36">
      <w:pPr>
        <w:pStyle w:val="Heading3"/>
        <w:jc w:val="left"/>
      </w:pPr>
      <w:r w:rsidRPr="008F1532">
        <w:t>Outcomes</w:t>
      </w:r>
    </w:p>
    <w:p w14:paraId="58C85405" w14:textId="1AEFEAF5" w:rsidR="004A2752" w:rsidRDefault="004A2752" w:rsidP="00695B36">
      <w:pPr>
        <w:pStyle w:val="Instructionaltext"/>
        <w:jc w:val="left"/>
        <w:rPr>
          <w:color w:val="auto"/>
        </w:rPr>
      </w:pPr>
      <w:r>
        <w:rPr>
          <w:color w:val="auto"/>
        </w:rPr>
        <w:t>The applicant has provided a list of relevant outcomes to assess the Lp(a) testing for its clinical safety and effectiveness. Expanding upon the list of outcomes provided in the application material, a full list of</w:t>
      </w:r>
      <w:r w:rsidRPr="00EE0636">
        <w:rPr>
          <w:color w:val="auto"/>
        </w:rPr>
        <w:t xml:space="preserve"> outcomes </w:t>
      </w:r>
      <w:r w:rsidR="00D42BBC">
        <w:rPr>
          <w:color w:val="auto"/>
        </w:rPr>
        <w:t>is</w:t>
      </w:r>
      <w:r>
        <w:rPr>
          <w:color w:val="auto"/>
        </w:rPr>
        <w:t xml:space="preserve"> proposed below, and they will be investigated during the assessment phase. These outcomes are all applicable to the population subgroups in this PICO Confirmation; therefore, the proposed list of outcomes is generally presented without specifying any patient cohort. </w:t>
      </w:r>
    </w:p>
    <w:p w14:paraId="184C37A9" w14:textId="6C3AC3AF" w:rsidR="004A2752" w:rsidRPr="006F7FF5" w:rsidRDefault="004A2752" w:rsidP="00695B36">
      <w:pPr>
        <w:pStyle w:val="Instructionaltext"/>
        <w:jc w:val="left"/>
        <w:rPr>
          <w:color w:val="auto"/>
        </w:rPr>
      </w:pPr>
      <w:r w:rsidRPr="006F7FF5">
        <w:rPr>
          <w:color w:val="auto"/>
        </w:rPr>
        <w:t>Due to the proposed treatments indirect effect on CVD risk, the value of knowing was included as a non-health patient-relevant outcome. Instead of directly influencing therapeutic decision-making, the information offered by Lp(a) may indirectly influence patient care. Patient empowerment from the value of knowing and decision</w:t>
      </w:r>
      <w:r w:rsidR="00EA00D0">
        <w:rPr>
          <w:color w:val="auto"/>
        </w:rPr>
        <w:t xml:space="preserve"> making</w:t>
      </w:r>
      <w:r w:rsidRPr="006F7FF5">
        <w:rPr>
          <w:color w:val="auto"/>
        </w:rPr>
        <w:t xml:space="preserve">, reassurance or the sense of self-control provided by knowing, increased sense of wellbeing and satisfaction, possibility of positive behaviour change, connection to people with the same condition for peer </w:t>
      </w:r>
      <w:r w:rsidR="005E3DF1" w:rsidRPr="006F7FF5">
        <w:rPr>
          <w:color w:val="auto"/>
        </w:rPr>
        <w:t>support and</w:t>
      </w:r>
      <w:r w:rsidRPr="006F7FF5">
        <w:rPr>
          <w:color w:val="auto"/>
        </w:rPr>
        <w:t xml:space="preserve"> seeking education and social care are possible benefits attributable to the value of knowing. The importance of knowledge may also be advantageous to family, caregivers, medical </w:t>
      </w:r>
      <w:r w:rsidR="005E3DF1" w:rsidRPr="006F7FF5">
        <w:rPr>
          <w:color w:val="auto"/>
        </w:rPr>
        <w:t>professionals,</w:t>
      </w:r>
      <w:r w:rsidRPr="006F7FF5">
        <w:rPr>
          <w:color w:val="auto"/>
        </w:rPr>
        <w:t xml:space="preserve"> and society as a whole.</w:t>
      </w:r>
    </w:p>
    <w:p w14:paraId="3EFFFAD4" w14:textId="77777777" w:rsidR="004A2752" w:rsidRDefault="004A2752" w:rsidP="00695B36">
      <w:pPr>
        <w:pStyle w:val="Instructionaltext"/>
        <w:jc w:val="left"/>
        <w:rPr>
          <w:color w:val="auto"/>
        </w:rPr>
      </w:pPr>
      <w:r>
        <w:rPr>
          <w:color w:val="auto"/>
        </w:rPr>
        <w:t xml:space="preserve">Test performance outcomes may not be adequately addressed because there is no other currently available technology or method of measuring Lp(a). From an assessment point of view, there is no way to determine these. If Lp(a) testing were to be implemented, it would be assumed that the test performance was accurate. </w:t>
      </w:r>
    </w:p>
    <w:p w14:paraId="7D4665D6" w14:textId="77777777" w:rsidR="004A2752" w:rsidRPr="00590E49" w:rsidRDefault="004A2752" w:rsidP="00695B36">
      <w:pPr>
        <w:pStyle w:val="Instructionaltext"/>
        <w:jc w:val="left"/>
        <w:rPr>
          <w:b/>
          <w:color w:val="auto"/>
        </w:rPr>
      </w:pPr>
      <w:r w:rsidRPr="00590E49">
        <w:rPr>
          <w:b/>
          <w:color w:val="auto"/>
        </w:rPr>
        <w:t>Safety</w:t>
      </w:r>
    </w:p>
    <w:p w14:paraId="10BDC63F" w14:textId="2A6A1266" w:rsidR="004A2752" w:rsidRDefault="004A2752" w:rsidP="00695B36">
      <w:pPr>
        <w:pStyle w:val="ListParagraph"/>
        <w:numPr>
          <w:ilvl w:val="0"/>
          <w:numId w:val="9"/>
        </w:numPr>
        <w:jc w:val="left"/>
      </w:pPr>
      <w:r w:rsidRPr="00C67A0D">
        <w:t>Harms associated with testing</w:t>
      </w:r>
    </w:p>
    <w:p w14:paraId="488D54B7" w14:textId="0A945C29" w:rsidR="00301022" w:rsidRPr="00EE0636" w:rsidRDefault="00301022" w:rsidP="00695B36">
      <w:pPr>
        <w:pStyle w:val="ListParagraph"/>
        <w:numPr>
          <w:ilvl w:val="0"/>
          <w:numId w:val="9"/>
        </w:numPr>
        <w:jc w:val="left"/>
      </w:pPr>
      <w:r>
        <w:t>Harms associated with treatment.</w:t>
      </w:r>
    </w:p>
    <w:p w14:paraId="5B6B09F8" w14:textId="77777777" w:rsidR="004A2752" w:rsidRPr="00590E49" w:rsidRDefault="004A2752" w:rsidP="00695B36">
      <w:pPr>
        <w:pStyle w:val="Instructionaltext"/>
        <w:jc w:val="left"/>
        <w:rPr>
          <w:b/>
          <w:color w:val="auto"/>
        </w:rPr>
      </w:pPr>
      <w:r w:rsidRPr="00FE2ADB">
        <w:rPr>
          <w:b/>
          <w:color w:val="auto"/>
        </w:rPr>
        <w:t>Clinical effectiveness</w:t>
      </w:r>
    </w:p>
    <w:p w14:paraId="346A59F1" w14:textId="4259A9A5" w:rsidR="004A2752" w:rsidRDefault="004A2752" w:rsidP="0063790F">
      <w:pPr>
        <w:pStyle w:val="Instructionaltext"/>
        <w:spacing w:after="0"/>
        <w:jc w:val="left"/>
        <w:rPr>
          <w:color w:val="auto"/>
          <w:u w:val="single"/>
        </w:rPr>
      </w:pPr>
      <w:r w:rsidRPr="00590E49">
        <w:rPr>
          <w:color w:val="auto"/>
          <w:u w:val="single"/>
        </w:rPr>
        <w:t>Test performance outcomes</w:t>
      </w:r>
      <w:r>
        <w:rPr>
          <w:color w:val="auto"/>
          <w:u w:val="single"/>
        </w:rPr>
        <w:t xml:space="preserve"> (noting that they may not be feasible to examine due to the lack of adequate reference standards and comparators)</w:t>
      </w:r>
    </w:p>
    <w:p w14:paraId="6F128834" w14:textId="77777777" w:rsidR="005A7EFC" w:rsidRPr="002A3A61" w:rsidRDefault="005A7EFC" w:rsidP="00695B36">
      <w:pPr>
        <w:pStyle w:val="Tabletext"/>
        <w:numPr>
          <w:ilvl w:val="0"/>
          <w:numId w:val="13"/>
        </w:numPr>
        <w:jc w:val="left"/>
        <w:rPr>
          <w:rFonts w:asciiTheme="minorHAnsi" w:hAnsiTheme="minorHAnsi" w:cstheme="minorHAnsi"/>
          <w:sz w:val="22"/>
          <w:szCs w:val="22"/>
        </w:rPr>
      </w:pPr>
      <w:r w:rsidRPr="002A3A61">
        <w:rPr>
          <w:rFonts w:asciiTheme="minorHAnsi" w:hAnsiTheme="minorHAnsi" w:cstheme="minorHAnsi"/>
          <w:sz w:val="22"/>
          <w:szCs w:val="22"/>
        </w:rPr>
        <w:t>Test performance outcomes:</w:t>
      </w:r>
    </w:p>
    <w:p w14:paraId="350017D2" w14:textId="77777777" w:rsidR="005A7EFC" w:rsidRPr="002A3A61" w:rsidRDefault="005A7EFC" w:rsidP="00695B36">
      <w:pPr>
        <w:pStyle w:val="Tabletext"/>
        <w:numPr>
          <w:ilvl w:val="1"/>
          <w:numId w:val="13"/>
        </w:numPr>
        <w:jc w:val="left"/>
        <w:rPr>
          <w:rFonts w:asciiTheme="minorHAnsi" w:hAnsiTheme="minorHAnsi" w:cstheme="minorHAnsi"/>
          <w:sz w:val="22"/>
          <w:szCs w:val="22"/>
        </w:rPr>
      </w:pPr>
      <w:r w:rsidRPr="002A3A61">
        <w:rPr>
          <w:rFonts w:asciiTheme="minorHAnsi" w:hAnsiTheme="minorHAnsi" w:cstheme="minorHAnsi"/>
          <w:sz w:val="22"/>
          <w:szCs w:val="22"/>
        </w:rPr>
        <w:t>intra-observer or intra-instrument variability/agreement</w:t>
      </w:r>
    </w:p>
    <w:p w14:paraId="5F9EA08A" w14:textId="77777777" w:rsidR="005A7EFC" w:rsidRPr="002A3A61" w:rsidRDefault="005A7EFC" w:rsidP="00695B36">
      <w:pPr>
        <w:pStyle w:val="Tabletext"/>
        <w:numPr>
          <w:ilvl w:val="1"/>
          <w:numId w:val="13"/>
        </w:numPr>
        <w:jc w:val="left"/>
        <w:rPr>
          <w:rFonts w:asciiTheme="minorHAnsi" w:hAnsiTheme="minorHAnsi" w:cstheme="minorHAnsi"/>
          <w:sz w:val="22"/>
          <w:szCs w:val="22"/>
        </w:rPr>
      </w:pPr>
      <w:r w:rsidRPr="002A3A61">
        <w:rPr>
          <w:rFonts w:asciiTheme="minorHAnsi" w:hAnsiTheme="minorHAnsi" w:cstheme="minorHAnsi"/>
          <w:sz w:val="22"/>
          <w:szCs w:val="22"/>
        </w:rPr>
        <w:t>analysis of assay test performance, define the lower limit of detection</w:t>
      </w:r>
    </w:p>
    <w:p w14:paraId="04CE07EB" w14:textId="4559DCE3" w:rsidR="005A7EFC" w:rsidRPr="002A3A61" w:rsidRDefault="005A7EFC" w:rsidP="00695B36">
      <w:pPr>
        <w:pStyle w:val="Tabletext"/>
        <w:numPr>
          <w:ilvl w:val="1"/>
          <w:numId w:val="13"/>
        </w:numPr>
        <w:jc w:val="left"/>
        <w:rPr>
          <w:rFonts w:asciiTheme="minorHAnsi" w:hAnsiTheme="minorHAnsi" w:cstheme="minorHAnsi"/>
          <w:sz w:val="22"/>
          <w:szCs w:val="22"/>
        </w:rPr>
      </w:pPr>
      <w:r w:rsidRPr="002A3A61">
        <w:rPr>
          <w:rFonts w:asciiTheme="minorHAnsi" w:hAnsiTheme="minorHAnsi" w:cstheme="minorHAnsi"/>
          <w:sz w:val="22"/>
          <w:szCs w:val="22"/>
        </w:rPr>
        <w:t>concordance between tests</w:t>
      </w:r>
    </w:p>
    <w:p w14:paraId="2107BAA6" w14:textId="77777777" w:rsidR="004A2752" w:rsidRPr="00590E49" w:rsidRDefault="004A2752" w:rsidP="0063790F">
      <w:pPr>
        <w:pStyle w:val="Instructionaltext"/>
        <w:spacing w:after="0"/>
        <w:jc w:val="left"/>
        <w:rPr>
          <w:color w:val="auto"/>
          <w:u w:val="single"/>
        </w:rPr>
      </w:pPr>
      <w:r w:rsidRPr="00590E49">
        <w:rPr>
          <w:color w:val="auto"/>
          <w:u w:val="single"/>
        </w:rPr>
        <w:t>Patient management outcomes</w:t>
      </w:r>
    </w:p>
    <w:p w14:paraId="40903F8E" w14:textId="480BC93A" w:rsidR="004A2752" w:rsidRPr="00EE0636" w:rsidRDefault="004A2752" w:rsidP="00695B36">
      <w:pPr>
        <w:pStyle w:val="ListParagraph"/>
        <w:numPr>
          <w:ilvl w:val="0"/>
          <w:numId w:val="5"/>
        </w:numPr>
        <w:jc w:val="left"/>
      </w:pPr>
      <w:r w:rsidRPr="00334544">
        <w:t xml:space="preserve">Diagnostic utility </w:t>
      </w:r>
      <w:r>
        <w:t>–</w:t>
      </w:r>
      <w:r w:rsidRPr="00334544">
        <w:t xml:space="preserve"> for each population, confirmation of high Lp(a)</w:t>
      </w:r>
    </w:p>
    <w:p w14:paraId="78E30ED6" w14:textId="77777777" w:rsidR="004A2752" w:rsidRPr="00EE0636" w:rsidRDefault="004A2752" w:rsidP="00695B36">
      <w:pPr>
        <w:pStyle w:val="ListParagraph"/>
        <w:numPr>
          <w:ilvl w:val="0"/>
          <w:numId w:val="5"/>
        </w:numPr>
        <w:jc w:val="left"/>
      </w:pPr>
      <w:r w:rsidRPr="00334544">
        <w:t>Change in risk score</w:t>
      </w:r>
    </w:p>
    <w:p w14:paraId="39BD294B" w14:textId="07339F80" w:rsidR="004A2752" w:rsidRDefault="004A2752" w:rsidP="00695B36">
      <w:pPr>
        <w:pStyle w:val="ListParagraph"/>
        <w:numPr>
          <w:ilvl w:val="0"/>
          <w:numId w:val="5"/>
        </w:numPr>
        <w:jc w:val="left"/>
      </w:pPr>
      <w:r w:rsidRPr="00334544">
        <w:lastRenderedPageBreak/>
        <w:t>Prognostic utility</w:t>
      </w:r>
      <w:r>
        <w:t xml:space="preserve"> </w:t>
      </w:r>
      <w:r w:rsidRPr="00334544">
        <w:t>– for each population, informed change in prognosis without change in treatment</w:t>
      </w:r>
    </w:p>
    <w:p w14:paraId="52964F9B" w14:textId="23EC5E51" w:rsidR="00A464CA" w:rsidRPr="00EE0636" w:rsidRDefault="00A464CA" w:rsidP="00695B36">
      <w:pPr>
        <w:pStyle w:val="ListParagraph"/>
        <w:numPr>
          <w:ilvl w:val="0"/>
          <w:numId w:val="5"/>
        </w:numPr>
        <w:jc w:val="left"/>
      </w:pPr>
      <w:r>
        <w:t xml:space="preserve">Need for monitoring CVD risk </w:t>
      </w:r>
      <w:r w:rsidR="0084035E">
        <w:t>and/</w:t>
      </w:r>
      <w:r>
        <w:t>or development of aorti</w:t>
      </w:r>
      <w:r w:rsidR="00E336C9">
        <w:t>c stenosis</w:t>
      </w:r>
    </w:p>
    <w:p w14:paraId="28E5FE56" w14:textId="77777777" w:rsidR="004A2752" w:rsidRPr="00EE0636" w:rsidRDefault="004A2752" w:rsidP="00695B36">
      <w:pPr>
        <w:pStyle w:val="ListParagraph"/>
        <w:numPr>
          <w:ilvl w:val="0"/>
          <w:numId w:val="5"/>
        </w:numPr>
        <w:jc w:val="left"/>
      </w:pPr>
      <w:r>
        <w:t>Predictive utility – change in treatment pathway (initiated, ceased, modified, avoided)</w:t>
      </w:r>
    </w:p>
    <w:p w14:paraId="1A5AE5C9" w14:textId="18E12F64" w:rsidR="0015087E" w:rsidRDefault="004A2752" w:rsidP="00695B36">
      <w:pPr>
        <w:pStyle w:val="ListParagraph"/>
        <w:numPr>
          <w:ilvl w:val="0"/>
          <w:numId w:val="5"/>
        </w:numPr>
        <w:jc w:val="left"/>
      </w:pPr>
      <w:r>
        <w:t>Commencement of treatment</w:t>
      </w:r>
    </w:p>
    <w:p w14:paraId="2C2E20DE" w14:textId="77777777" w:rsidR="004A2752" w:rsidRPr="00590E49" w:rsidRDefault="004A2752" w:rsidP="0063790F">
      <w:pPr>
        <w:pStyle w:val="Instructionaltext"/>
        <w:spacing w:after="0"/>
        <w:jc w:val="left"/>
        <w:rPr>
          <w:color w:val="auto"/>
          <w:u w:val="single"/>
        </w:rPr>
      </w:pPr>
      <w:r w:rsidRPr="00590E49">
        <w:rPr>
          <w:color w:val="auto"/>
          <w:u w:val="single"/>
        </w:rPr>
        <w:t>Health outcomes</w:t>
      </w:r>
    </w:p>
    <w:p w14:paraId="00AFBE1E" w14:textId="77777777" w:rsidR="004A2752" w:rsidRPr="00EE0636" w:rsidRDefault="004A2752" w:rsidP="00695B36">
      <w:pPr>
        <w:pStyle w:val="ListParagraph"/>
        <w:numPr>
          <w:ilvl w:val="0"/>
          <w:numId w:val="6"/>
        </w:numPr>
        <w:jc w:val="left"/>
      </w:pPr>
      <w:r w:rsidRPr="00334544">
        <w:t>Morbidity associated with CVD</w:t>
      </w:r>
    </w:p>
    <w:p w14:paraId="711D33BA" w14:textId="77777777" w:rsidR="004A2752" w:rsidRPr="00EE0636" w:rsidRDefault="004A2752" w:rsidP="00695B36">
      <w:pPr>
        <w:pStyle w:val="ListParagraph"/>
        <w:numPr>
          <w:ilvl w:val="0"/>
          <w:numId w:val="6"/>
        </w:numPr>
        <w:jc w:val="left"/>
      </w:pPr>
      <w:r w:rsidRPr="00334544">
        <w:t xml:space="preserve">Mortality due to CVD </w:t>
      </w:r>
    </w:p>
    <w:p w14:paraId="08565492" w14:textId="77777777" w:rsidR="004A2752" w:rsidRPr="00EE0636" w:rsidRDefault="004A2752" w:rsidP="00695B36">
      <w:pPr>
        <w:pStyle w:val="ListParagraph"/>
        <w:numPr>
          <w:ilvl w:val="0"/>
          <w:numId w:val="6"/>
        </w:numPr>
        <w:jc w:val="left"/>
      </w:pPr>
      <w:r w:rsidRPr="00334544">
        <w:t>Health-related quality of life</w:t>
      </w:r>
    </w:p>
    <w:p w14:paraId="72F71690" w14:textId="77777777" w:rsidR="004A2752" w:rsidRPr="00EE0636" w:rsidRDefault="004A2752" w:rsidP="00695B36">
      <w:pPr>
        <w:pStyle w:val="ListParagraph"/>
        <w:numPr>
          <w:ilvl w:val="0"/>
          <w:numId w:val="6"/>
        </w:numPr>
        <w:jc w:val="left"/>
      </w:pPr>
      <w:r w:rsidRPr="00334544">
        <w:t>Other patient-relevant outcomes</w:t>
      </w:r>
    </w:p>
    <w:p w14:paraId="32457F5C" w14:textId="77777777" w:rsidR="004A2752" w:rsidRPr="00590E49" w:rsidRDefault="004A2752" w:rsidP="0063790F">
      <w:pPr>
        <w:pStyle w:val="Instructionaltext"/>
        <w:spacing w:after="0"/>
        <w:jc w:val="left"/>
        <w:rPr>
          <w:color w:val="auto"/>
          <w:u w:val="single"/>
        </w:rPr>
      </w:pPr>
      <w:r w:rsidRPr="00590E49">
        <w:rPr>
          <w:color w:val="auto"/>
          <w:u w:val="single"/>
        </w:rPr>
        <w:t>Non-health outcomes</w:t>
      </w:r>
    </w:p>
    <w:p w14:paraId="2F33B0E8" w14:textId="77777777" w:rsidR="004A2752" w:rsidRPr="00EE0636" w:rsidRDefault="004A2752" w:rsidP="00695B36">
      <w:pPr>
        <w:pStyle w:val="ListParagraph"/>
        <w:numPr>
          <w:ilvl w:val="0"/>
          <w:numId w:val="7"/>
        </w:numPr>
        <w:jc w:val="left"/>
      </w:pPr>
      <w:r w:rsidRPr="00334544">
        <w:t>The value of knowing, including:</w:t>
      </w:r>
    </w:p>
    <w:p w14:paraId="6D168EDE" w14:textId="6CA287AB" w:rsidR="004A2752" w:rsidRPr="00EE0636" w:rsidRDefault="004A2752" w:rsidP="00695B36">
      <w:pPr>
        <w:pStyle w:val="ListParagraph"/>
        <w:numPr>
          <w:ilvl w:val="1"/>
          <w:numId w:val="7"/>
        </w:numPr>
        <w:jc w:val="left"/>
      </w:pPr>
      <w:r>
        <w:t>i</w:t>
      </w:r>
      <w:r w:rsidRPr="00334544">
        <w:t>mpact on patient behaviours (e</w:t>
      </w:r>
      <w:r>
        <w:t>.</w:t>
      </w:r>
      <w:r w:rsidRPr="00334544">
        <w:t xml:space="preserve">g. </w:t>
      </w:r>
      <w:r>
        <w:t>dietary changes and physical</w:t>
      </w:r>
      <w:r w:rsidRPr="00334544">
        <w:t xml:space="preserve"> exercise)</w:t>
      </w:r>
    </w:p>
    <w:p w14:paraId="1573CBA5" w14:textId="35B56613" w:rsidR="004A2752" w:rsidRPr="00EE0636" w:rsidRDefault="004A2752" w:rsidP="00695B36">
      <w:pPr>
        <w:pStyle w:val="ListParagraph"/>
        <w:numPr>
          <w:ilvl w:val="1"/>
          <w:numId w:val="7"/>
        </w:numPr>
        <w:jc w:val="left"/>
      </w:pPr>
      <w:r>
        <w:t>i</w:t>
      </w:r>
      <w:r w:rsidRPr="00334544">
        <w:t>mpact on first</w:t>
      </w:r>
      <w:r>
        <w:t>-</w:t>
      </w:r>
      <w:r w:rsidRPr="00334544">
        <w:t>degree family members (e</w:t>
      </w:r>
      <w:r>
        <w:t>.</w:t>
      </w:r>
      <w:r w:rsidRPr="00334544">
        <w:t>g</w:t>
      </w:r>
      <w:r>
        <w:t>.</w:t>
      </w:r>
      <w:r w:rsidRPr="00334544">
        <w:t xml:space="preserve"> worry, stress)</w:t>
      </w:r>
    </w:p>
    <w:p w14:paraId="16582920" w14:textId="77777777" w:rsidR="004A2752" w:rsidRPr="00590E49" w:rsidRDefault="004A2752" w:rsidP="0063790F">
      <w:pPr>
        <w:pStyle w:val="Instructionaltext"/>
        <w:spacing w:after="0"/>
        <w:jc w:val="left"/>
        <w:rPr>
          <w:color w:val="auto"/>
          <w:u w:val="single"/>
        </w:rPr>
      </w:pPr>
      <w:r w:rsidRPr="00590E49">
        <w:rPr>
          <w:color w:val="auto"/>
          <w:u w:val="single"/>
        </w:rPr>
        <w:t>Healthcare resource use</w:t>
      </w:r>
    </w:p>
    <w:p w14:paraId="4F2E5C3C" w14:textId="257209E3" w:rsidR="004A2752" w:rsidRDefault="004A2752" w:rsidP="00695B36">
      <w:pPr>
        <w:pStyle w:val="ListParagraph"/>
        <w:numPr>
          <w:ilvl w:val="0"/>
          <w:numId w:val="8"/>
        </w:numPr>
        <w:jc w:val="left"/>
      </w:pPr>
      <w:r w:rsidRPr="00334544">
        <w:t>Costs associated with the intervention</w:t>
      </w:r>
      <w:r>
        <w:t>,</w:t>
      </w:r>
      <w:r w:rsidRPr="00334544">
        <w:t xml:space="preserve"> including costs of appointments, blood test</w:t>
      </w:r>
      <w:r w:rsidR="0043461E">
        <w:t>s</w:t>
      </w:r>
      <w:r>
        <w:t>,</w:t>
      </w:r>
      <w:r w:rsidRPr="00334544">
        <w:t xml:space="preserve"> cost</w:t>
      </w:r>
      <w:r w:rsidR="0043461E">
        <w:t>s</w:t>
      </w:r>
      <w:r w:rsidRPr="00334544">
        <w:t xml:space="preserve"> of Lp(a) test processing, change in management</w:t>
      </w:r>
    </w:p>
    <w:p w14:paraId="304A6248" w14:textId="0232B0EE" w:rsidR="00AC100C" w:rsidRPr="00EE0636" w:rsidRDefault="00AC100C" w:rsidP="00695B36">
      <w:pPr>
        <w:pStyle w:val="ListParagraph"/>
        <w:numPr>
          <w:ilvl w:val="0"/>
          <w:numId w:val="8"/>
        </w:numPr>
        <w:jc w:val="left"/>
      </w:pPr>
      <w:r>
        <w:t xml:space="preserve">Increased number of </w:t>
      </w:r>
      <w:r w:rsidR="000C65CC">
        <w:t>individuals</w:t>
      </w:r>
      <w:r w:rsidR="00C2156D">
        <w:t xml:space="preserve"> treated with a </w:t>
      </w:r>
      <w:r>
        <w:t>statin</w:t>
      </w:r>
    </w:p>
    <w:p w14:paraId="409538B2" w14:textId="77777777" w:rsidR="004A2752" w:rsidRPr="00EE0636" w:rsidRDefault="004A2752" w:rsidP="00695B36">
      <w:pPr>
        <w:pStyle w:val="ListParagraph"/>
        <w:numPr>
          <w:ilvl w:val="0"/>
          <w:numId w:val="8"/>
        </w:numPr>
        <w:jc w:val="left"/>
      </w:pPr>
      <w:r w:rsidRPr="00334544">
        <w:t>Cost-effectiveness of Lp(a) testing</w:t>
      </w:r>
    </w:p>
    <w:p w14:paraId="37ACE8C5" w14:textId="77777777" w:rsidR="004A2752" w:rsidRDefault="004A2752" w:rsidP="00695B36">
      <w:pPr>
        <w:pStyle w:val="ListParagraph"/>
        <w:numPr>
          <w:ilvl w:val="0"/>
          <w:numId w:val="8"/>
        </w:numPr>
        <w:jc w:val="left"/>
      </w:pPr>
      <w:r w:rsidRPr="00334544">
        <w:t>Total Australian Government healthcare costs</w:t>
      </w:r>
    </w:p>
    <w:p w14:paraId="6208E49A" w14:textId="77777777" w:rsidR="008A6BF0" w:rsidRDefault="008A6BF0" w:rsidP="00695B36">
      <w:pPr>
        <w:jc w:val="left"/>
        <w:rPr>
          <w:i/>
          <w:iCs/>
        </w:rPr>
      </w:pPr>
      <w:r w:rsidRPr="00EE2EEC">
        <w:rPr>
          <w:i/>
          <w:iCs/>
        </w:rPr>
        <w:t xml:space="preserve">PASC acknowledged that due the </w:t>
      </w:r>
      <w:r>
        <w:rPr>
          <w:i/>
          <w:iCs/>
        </w:rPr>
        <w:t xml:space="preserve">absence of a reference standard, the diagnostic accuracy outcome cannot be adequately assessed. The current (and future updated) guideline may be considered as a reference standard. However, they could not be used to assess the testing performance. PASC advised that the assessment should focus more on patient-related outcomes. However, these outcomes are not directly linked to the testing result, and the indirectness will need to be adequately addressed in the assessment phase. </w:t>
      </w:r>
    </w:p>
    <w:p w14:paraId="0A36CDA0" w14:textId="77777777" w:rsidR="008A6BF0" w:rsidRDefault="008A6BF0" w:rsidP="00695B36">
      <w:pPr>
        <w:jc w:val="left"/>
        <w:rPr>
          <w:i/>
          <w:iCs/>
        </w:rPr>
      </w:pPr>
      <w:r>
        <w:rPr>
          <w:i/>
          <w:iCs/>
        </w:rPr>
        <w:t>PASC also raised the that the statin usage may be increased as the result of the proposed testing. This outcome is now added to the healthcare resource use in the PICO.</w:t>
      </w:r>
    </w:p>
    <w:p w14:paraId="737B3941" w14:textId="74E07DB2" w:rsidR="008A6BF0" w:rsidRDefault="008A6BF0" w:rsidP="00695B36">
      <w:pPr>
        <w:jc w:val="left"/>
        <w:rPr>
          <w:i/>
          <w:iCs/>
        </w:rPr>
      </w:pPr>
      <w:r w:rsidRPr="00F94EA9">
        <w:rPr>
          <w:i/>
          <w:iCs/>
        </w:rPr>
        <w:t>PASC agreed that any benefit of Lp(a) testing can only be realised through the reduction in CVD risks demonstrated by improvement of treatment strategies</w:t>
      </w:r>
      <w:r>
        <w:rPr>
          <w:i/>
          <w:iCs/>
        </w:rPr>
        <w:t xml:space="preserve"> (</w:t>
      </w:r>
      <w:r w:rsidR="00695B36">
        <w:rPr>
          <w:i/>
          <w:iCs/>
        </w:rPr>
        <w:t>e.g.</w:t>
      </w:r>
      <w:r>
        <w:rPr>
          <w:i/>
          <w:iCs/>
        </w:rPr>
        <w:t xml:space="preserve"> impact of behavioural changes [primary prevention])</w:t>
      </w:r>
      <w:r w:rsidRPr="00F94EA9">
        <w:rPr>
          <w:i/>
          <w:iCs/>
        </w:rPr>
        <w:t xml:space="preserve"> and better patient outcomes</w:t>
      </w:r>
      <w:r>
        <w:rPr>
          <w:i/>
          <w:iCs/>
        </w:rPr>
        <w:t xml:space="preserve">. </w:t>
      </w:r>
      <w:r w:rsidRPr="00F94EA9">
        <w:rPr>
          <w:i/>
          <w:iCs/>
        </w:rPr>
        <w:t>In order to demonstrate the clinical benefit of Lp(a) testing, several key linkage points from the finding of an elevated Lp(a) level to better patient outcomes should be established during the assessment phase. Lp(a) testing will need to use clinical evidence to sufficiently demonstrate the comparative effectiveness of improving the risk classification compared to the current algorithm.</w:t>
      </w:r>
      <w:r>
        <w:rPr>
          <w:i/>
          <w:iCs/>
        </w:rPr>
        <w:t xml:space="preserve"> </w:t>
      </w:r>
    </w:p>
    <w:p w14:paraId="513135A7" w14:textId="49523D8A" w:rsidR="008A6BF0" w:rsidRDefault="008A6BF0" w:rsidP="00695B36">
      <w:pPr>
        <w:jc w:val="left"/>
        <w:rPr>
          <w:i/>
          <w:iCs/>
        </w:rPr>
      </w:pPr>
      <w:r>
        <w:rPr>
          <w:i/>
          <w:iCs/>
        </w:rPr>
        <w:t xml:space="preserve">PASC acknowledged that this application may be reconsidered as a codependent application where the Lp(a) is the test, and the emerging therapeutic option would be the matching intervention. However, the current application is not presented as a codependent to support a PBAC application for a </w:t>
      </w:r>
      <w:r w:rsidRPr="009D4879">
        <w:rPr>
          <w:i/>
          <w:iCs/>
        </w:rPr>
        <w:t xml:space="preserve">PCSK9 inhibitor </w:t>
      </w:r>
      <w:r>
        <w:rPr>
          <w:i/>
          <w:iCs/>
        </w:rPr>
        <w:t xml:space="preserve">(e.g. </w:t>
      </w:r>
      <w:r w:rsidRPr="009D4879">
        <w:rPr>
          <w:i/>
          <w:iCs/>
        </w:rPr>
        <w:t>evolocumab</w:t>
      </w:r>
      <w:r>
        <w:rPr>
          <w:i/>
          <w:iCs/>
        </w:rPr>
        <w:t>) so is outside of the scope of the current PICO.</w:t>
      </w:r>
    </w:p>
    <w:p w14:paraId="7F6A9AD0" w14:textId="77777777" w:rsidR="004A2752" w:rsidRPr="004E3ABF" w:rsidRDefault="004A2752" w:rsidP="00695B36">
      <w:pPr>
        <w:pStyle w:val="Heading2"/>
        <w:jc w:val="left"/>
      </w:pPr>
      <w:r w:rsidRPr="00490FBB">
        <w:lastRenderedPageBreak/>
        <w:t>Assessment framework (for investigative technologies)</w:t>
      </w:r>
    </w:p>
    <w:p w14:paraId="37C2282E" w14:textId="33E01B1F" w:rsidR="004A2752" w:rsidRDefault="004A2752" w:rsidP="00695B36">
      <w:pPr>
        <w:jc w:val="left"/>
      </w:pPr>
      <w:r w:rsidRPr="00C21070">
        <w:t>Lp(a) testing is an investigative technology and may benefit patients by impacting subsequent management decisions</w:t>
      </w:r>
      <w:r>
        <w:t>, specifically in that patients who are at moderate level of CVD risk would be reclassified as being at high risk</w:t>
      </w:r>
      <w:r w:rsidRPr="00C21070">
        <w:t xml:space="preserve">. In addition, receiving a diagnosis of high Lp(a) may add value to the patient journey in other ways (i.e. value of knowing). </w:t>
      </w:r>
    </w:p>
    <w:p w14:paraId="2E8C480D" w14:textId="4B47ABF4" w:rsidR="004A2752" w:rsidRPr="00C21070" w:rsidRDefault="00C6041D" w:rsidP="00695B36">
      <w:pPr>
        <w:jc w:val="left"/>
      </w:pPr>
      <w:r>
        <w:t>Three</w:t>
      </w:r>
      <w:r w:rsidR="004A2752">
        <w:t xml:space="preserve"> separate assessment frameworks have been developed to illustrate pathways for the </w:t>
      </w:r>
      <w:r>
        <w:t>3</w:t>
      </w:r>
      <w:r w:rsidR="004A2752">
        <w:t xml:space="preserve"> subpopulations. They are illustrated in </w:t>
      </w:r>
      <w:r w:rsidR="004A2752">
        <w:fldChar w:fldCharType="begin"/>
      </w:r>
      <w:r w:rsidR="004A2752">
        <w:instrText xml:space="preserve"> REF _Ref118408696 \h  \* MERGEFORMAT </w:instrText>
      </w:r>
      <w:r w:rsidR="004A2752">
        <w:fldChar w:fldCharType="separate"/>
      </w:r>
      <w:r w:rsidR="00F66CE7">
        <w:t xml:space="preserve">Figure </w:t>
      </w:r>
      <w:r w:rsidR="00F66CE7">
        <w:rPr>
          <w:noProof/>
        </w:rPr>
        <w:t>2</w:t>
      </w:r>
      <w:r w:rsidR="004A2752">
        <w:fldChar w:fldCharType="end"/>
      </w:r>
      <w:r w:rsidR="004A2752">
        <w:t xml:space="preserve">, </w:t>
      </w:r>
      <w:r w:rsidR="004A2752">
        <w:fldChar w:fldCharType="begin"/>
      </w:r>
      <w:r w:rsidR="004A2752">
        <w:instrText xml:space="preserve"> REF _Ref118408701 \h  \* MERGEFORMAT </w:instrText>
      </w:r>
      <w:r w:rsidR="004A2752">
        <w:fldChar w:fldCharType="separate"/>
      </w:r>
      <w:r w:rsidR="00F66CE7">
        <w:t xml:space="preserve">Figure </w:t>
      </w:r>
      <w:r w:rsidR="00F66CE7">
        <w:rPr>
          <w:noProof/>
        </w:rPr>
        <w:t>3</w:t>
      </w:r>
      <w:r w:rsidR="004A2752">
        <w:fldChar w:fldCharType="end"/>
      </w:r>
      <w:r w:rsidR="004A2752">
        <w:t xml:space="preserve">, and </w:t>
      </w:r>
      <w:r w:rsidR="004A2752">
        <w:fldChar w:fldCharType="begin"/>
      </w:r>
      <w:r w:rsidR="004A2752">
        <w:instrText xml:space="preserve"> REF _Ref118408704 \h  \* MERGEFORMAT </w:instrText>
      </w:r>
      <w:r w:rsidR="004A2752">
        <w:fldChar w:fldCharType="separate"/>
      </w:r>
      <w:r w:rsidR="00F66CE7">
        <w:t xml:space="preserve">Figure </w:t>
      </w:r>
      <w:r w:rsidR="00F66CE7">
        <w:rPr>
          <w:noProof/>
        </w:rPr>
        <w:t>4</w:t>
      </w:r>
      <w:r w:rsidR="004A2752">
        <w:fldChar w:fldCharType="end"/>
      </w:r>
      <w:r w:rsidR="004A2752">
        <w:t xml:space="preserve">, respectively. </w:t>
      </w:r>
    </w:p>
    <w:p w14:paraId="56B4DE4F" w14:textId="2BA4163C" w:rsidR="004A2752" w:rsidRDefault="004A2752" w:rsidP="00695B36">
      <w:pPr>
        <w:pStyle w:val="Caption"/>
        <w:jc w:val="left"/>
      </w:pPr>
      <w:bookmarkStart w:id="11" w:name="_Ref118408696"/>
      <w:r>
        <w:t xml:space="preserve">Figure </w:t>
      </w:r>
      <w:r>
        <w:fldChar w:fldCharType="begin"/>
      </w:r>
      <w:r>
        <w:instrText xml:space="preserve"> SEQ Figure \* ARABIC </w:instrText>
      </w:r>
      <w:r>
        <w:fldChar w:fldCharType="separate"/>
      </w:r>
      <w:r w:rsidR="00F66CE7">
        <w:rPr>
          <w:noProof/>
        </w:rPr>
        <w:t>2</w:t>
      </w:r>
      <w:r>
        <w:fldChar w:fldCharType="end"/>
      </w:r>
      <w:bookmarkEnd w:id="11"/>
      <w:r>
        <w:tab/>
        <w:t xml:space="preserve">Assessment framework for population </w:t>
      </w:r>
      <w:r w:rsidR="001B6CEA">
        <w:t>A</w:t>
      </w:r>
    </w:p>
    <w:p w14:paraId="73C15064" w14:textId="38F4760D" w:rsidR="004A2752" w:rsidRDefault="00973E40" w:rsidP="00695B36">
      <w:pPr>
        <w:jc w:val="left"/>
      </w:pPr>
      <w:r w:rsidRPr="00973E40">
        <w:rPr>
          <w:noProof/>
        </w:rPr>
        <w:drawing>
          <wp:inline distT="0" distB="0" distL="0" distR="0" wp14:anchorId="4203CF81" wp14:editId="7BC744FB">
            <wp:extent cx="6083935" cy="4700270"/>
            <wp:effectExtent l="0" t="0" r="0" b="5080"/>
            <wp:docPr id="117" name="Picture 117" descr="Figure 2 Assessment framework for populatio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Figure 2 Assessment framework for population A"/>
                    <pic:cNvPicPr/>
                  </pic:nvPicPr>
                  <pic:blipFill>
                    <a:blip r:embed="rId16"/>
                    <a:stretch>
                      <a:fillRect/>
                    </a:stretch>
                  </pic:blipFill>
                  <pic:spPr>
                    <a:xfrm>
                      <a:off x="0" y="0"/>
                      <a:ext cx="6083935" cy="4700270"/>
                    </a:xfrm>
                    <a:prstGeom prst="rect">
                      <a:avLst/>
                    </a:prstGeom>
                  </pic:spPr>
                </pic:pic>
              </a:graphicData>
            </a:graphic>
          </wp:inline>
        </w:drawing>
      </w:r>
    </w:p>
    <w:p w14:paraId="5A360868" w14:textId="77777777" w:rsidR="004A2752" w:rsidRPr="0015284F" w:rsidRDefault="004A2752" w:rsidP="00695B36">
      <w:pPr>
        <w:pStyle w:val="Tablenotes"/>
        <w:jc w:val="left"/>
      </w:pPr>
      <w:r w:rsidRPr="0015284F">
        <w:rPr>
          <w:b/>
          <w:bCs/>
        </w:rPr>
        <w:t>Figure notes</w:t>
      </w:r>
      <w:r w:rsidRPr="0015284F">
        <w:t>: 1: direct from test to health outcomes evidence; 2: test accuracy; 3: change in diagnosis/treatment/management; 4: influence of the change in management on health outcomes; 5: benefits associated with the value of knowing; 6: adverse events due to testing; 7: adverse events due to treatment; 8: harms associated with the value of knowing</w:t>
      </w:r>
    </w:p>
    <w:p w14:paraId="65ED7630" w14:textId="03A1ECE2" w:rsidR="004A2752" w:rsidRDefault="004A2752" w:rsidP="00695B36">
      <w:pPr>
        <w:pStyle w:val="Caption"/>
        <w:jc w:val="left"/>
      </w:pPr>
      <w:bookmarkStart w:id="12" w:name="_Ref118408701"/>
      <w:r>
        <w:lastRenderedPageBreak/>
        <w:t xml:space="preserve">Figure </w:t>
      </w:r>
      <w:r>
        <w:fldChar w:fldCharType="begin"/>
      </w:r>
      <w:r>
        <w:instrText xml:space="preserve"> SEQ Figure \* ARABIC </w:instrText>
      </w:r>
      <w:r>
        <w:fldChar w:fldCharType="separate"/>
      </w:r>
      <w:r w:rsidR="00F66CE7">
        <w:rPr>
          <w:noProof/>
        </w:rPr>
        <w:t>3</w:t>
      </w:r>
      <w:r>
        <w:fldChar w:fldCharType="end"/>
      </w:r>
      <w:bookmarkEnd w:id="12"/>
      <w:r>
        <w:tab/>
        <w:t xml:space="preserve">Assessment framework for population </w:t>
      </w:r>
      <w:r w:rsidR="001B6CEA">
        <w:t>B</w:t>
      </w:r>
    </w:p>
    <w:p w14:paraId="61DC0BAB" w14:textId="7DF3EF75" w:rsidR="004A2752" w:rsidRDefault="00973E40" w:rsidP="00695B36">
      <w:pPr>
        <w:jc w:val="left"/>
      </w:pPr>
      <w:r w:rsidRPr="00973E40">
        <w:rPr>
          <w:noProof/>
        </w:rPr>
        <w:drawing>
          <wp:inline distT="0" distB="0" distL="0" distR="0" wp14:anchorId="7C723C2D" wp14:editId="12953EC9">
            <wp:extent cx="6083935" cy="4520565"/>
            <wp:effectExtent l="0" t="0" r="0" b="0"/>
            <wp:docPr id="116" name="Picture 116" descr="Figure 3 Assessment framework for populatio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Figure 3 Assessment framework for population B"/>
                    <pic:cNvPicPr/>
                  </pic:nvPicPr>
                  <pic:blipFill>
                    <a:blip r:embed="rId17"/>
                    <a:stretch>
                      <a:fillRect/>
                    </a:stretch>
                  </pic:blipFill>
                  <pic:spPr>
                    <a:xfrm>
                      <a:off x="0" y="0"/>
                      <a:ext cx="6083935" cy="4520565"/>
                    </a:xfrm>
                    <a:prstGeom prst="rect">
                      <a:avLst/>
                    </a:prstGeom>
                  </pic:spPr>
                </pic:pic>
              </a:graphicData>
            </a:graphic>
          </wp:inline>
        </w:drawing>
      </w:r>
    </w:p>
    <w:p w14:paraId="51B87F1A" w14:textId="77777777" w:rsidR="004A2752" w:rsidRPr="0015284F" w:rsidRDefault="004A2752" w:rsidP="00695B36">
      <w:pPr>
        <w:pStyle w:val="Tablenotes"/>
        <w:jc w:val="left"/>
      </w:pPr>
      <w:r w:rsidRPr="0015284F">
        <w:rPr>
          <w:b/>
          <w:bCs/>
        </w:rPr>
        <w:t>Figure notes</w:t>
      </w:r>
      <w:r w:rsidRPr="0015284F">
        <w:t>: 1: direct from test to health outcomes evidence; 2: test accuracy; 3: change in diagnosis/treatment/management; 4: influence of the change in management on health outcomes; 5: benefits associated with the value of knowing; 6: adverse events due to testing; 7: adverse events due to treatment; 8: harms associated with the value of knowing</w:t>
      </w:r>
    </w:p>
    <w:p w14:paraId="59DF05CA" w14:textId="021D66DF" w:rsidR="004A2752" w:rsidRDefault="004A2752" w:rsidP="00695B36">
      <w:pPr>
        <w:pStyle w:val="Caption"/>
        <w:jc w:val="left"/>
      </w:pPr>
      <w:bookmarkStart w:id="13" w:name="_Ref118408704"/>
      <w:r>
        <w:lastRenderedPageBreak/>
        <w:t xml:space="preserve">Figure </w:t>
      </w:r>
      <w:r>
        <w:fldChar w:fldCharType="begin"/>
      </w:r>
      <w:r>
        <w:instrText xml:space="preserve"> SEQ Figure \* ARABIC </w:instrText>
      </w:r>
      <w:r>
        <w:fldChar w:fldCharType="separate"/>
      </w:r>
      <w:r w:rsidR="00F66CE7">
        <w:rPr>
          <w:noProof/>
        </w:rPr>
        <w:t>4</w:t>
      </w:r>
      <w:r>
        <w:fldChar w:fldCharType="end"/>
      </w:r>
      <w:bookmarkEnd w:id="13"/>
      <w:r>
        <w:tab/>
        <w:t xml:space="preserve">Assessment framework for population </w:t>
      </w:r>
      <w:r w:rsidR="00F66CE7">
        <w:t>C</w:t>
      </w:r>
    </w:p>
    <w:p w14:paraId="5BEE0713" w14:textId="12365C02" w:rsidR="004A2752" w:rsidRDefault="00BA4146" w:rsidP="00695B36">
      <w:pPr>
        <w:jc w:val="left"/>
      </w:pPr>
      <w:r w:rsidRPr="00BA4146">
        <w:rPr>
          <w:noProof/>
        </w:rPr>
        <w:drawing>
          <wp:inline distT="0" distB="0" distL="0" distR="0" wp14:anchorId="4EB19750" wp14:editId="6115C979">
            <wp:extent cx="6083935" cy="4542790"/>
            <wp:effectExtent l="0" t="0" r="0" b="0"/>
            <wp:docPr id="115" name="Picture 115" descr="Figure 4 Assessment framework for populatio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Figure 4 Assessment framework for population C"/>
                    <pic:cNvPicPr/>
                  </pic:nvPicPr>
                  <pic:blipFill>
                    <a:blip r:embed="rId18"/>
                    <a:stretch>
                      <a:fillRect/>
                    </a:stretch>
                  </pic:blipFill>
                  <pic:spPr>
                    <a:xfrm>
                      <a:off x="0" y="0"/>
                      <a:ext cx="6083935" cy="4542790"/>
                    </a:xfrm>
                    <a:prstGeom prst="rect">
                      <a:avLst/>
                    </a:prstGeom>
                  </pic:spPr>
                </pic:pic>
              </a:graphicData>
            </a:graphic>
          </wp:inline>
        </w:drawing>
      </w:r>
    </w:p>
    <w:p w14:paraId="559244EF" w14:textId="77777777" w:rsidR="004A2752" w:rsidRPr="0015284F" w:rsidRDefault="004A2752" w:rsidP="00695B36">
      <w:pPr>
        <w:pStyle w:val="Tablenotes"/>
        <w:jc w:val="left"/>
      </w:pPr>
      <w:r w:rsidRPr="0015284F">
        <w:rPr>
          <w:b/>
          <w:bCs/>
        </w:rPr>
        <w:t>Figure notes</w:t>
      </w:r>
      <w:r w:rsidRPr="0015284F">
        <w:t>: 1: direct from test to health outcomes evidence; 2: test accuracy; 3: change in diagnosis/treatment/management; 4: influence of the change in management on health outcomes; 5: benefits associated with the value of knowing; 6: adverse events due to testing; 7: adverse events due to treatment; 8: harms associated with the value of knowing</w:t>
      </w:r>
    </w:p>
    <w:p w14:paraId="30AE1569" w14:textId="77777777" w:rsidR="0015087E" w:rsidRDefault="0015087E" w:rsidP="00695B36">
      <w:pPr>
        <w:jc w:val="left"/>
        <w:rPr>
          <w:i/>
          <w:iCs/>
        </w:rPr>
      </w:pPr>
      <w:bookmarkStart w:id="14" w:name="_Ref68327593"/>
      <w:bookmarkStart w:id="15" w:name="_Ref68327680"/>
    </w:p>
    <w:p w14:paraId="7CD14B6E" w14:textId="2C5CA909" w:rsidR="008A6BF0" w:rsidRDefault="008A6BF0" w:rsidP="00695B36">
      <w:pPr>
        <w:jc w:val="left"/>
        <w:rPr>
          <w:i/>
          <w:iCs/>
        </w:rPr>
      </w:pPr>
      <w:r w:rsidRPr="003F63D9">
        <w:rPr>
          <w:i/>
          <w:iCs/>
        </w:rPr>
        <w:t>PASC acknowledge</w:t>
      </w:r>
      <w:r w:rsidR="0099071C" w:rsidRPr="003F63D9">
        <w:rPr>
          <w:i/>
          <w:iCs/>
        </w:rPr>
        <w:t>d</w:t>
      </w:r>
      <w:r w:rsidRPr="003F63D9">
        <w:rPr>
          <w:i/>
          <w:iCs/>
        </w:rPr>
        <w:t xml:space="preserve"> that there are several problems with defining the populations in this application, particularly population B,</w:t>
      </w:r>
      <w:r w:rsidRPr="00F162FB">
        <w:rPr>
          <w:i/>
          <w:iCs/>
        </w:rPr>
        <w:t xml:space="preserve"> however until the populations are more clearly defined the </w:t>
      </w:r>
      <w:r>
        <w:rPr>
          <w:i/>
          <w:iCs/>
        </w:rPr>
        <w:t>assessment framework</w:t>
      </w:r>
      <w:r w:rsidRPr="00F162FB">
        <w:rPr>
          <w:i/>
          <w:iCs/>
        </w:rPr>
        <w:t xml:space="preserve"> cannot be confirmed</w:t>
      </w:r>
      <w:r>
        <w:rPr>
          <w:i/>
          <w:iCs/>
        </w:rPr>
        <w:t>.</w:t>
      </w:r>
    </w:p>
    <w:bookmarkEnd w:id="14"/>
    <w:bookmarkEnd w:id="15"/>
    <w:p w14:paraId="1E66028F" w14:textId="54139295" w:rsidR="004A2752" w:rsidRPr="00490FBB" w:rsidRDefault="004A2752" w:rsidP="00695B36">
      <w:pPr>
        <w:pStyle w:val="Heading2"/>
        <w:jc w:val="left"/>
        <w:rPr>
          <w:b/>
          <w:bCs/>
          <w:i/>
        </w:rPr>
      </w:pPr>
      <w:r w:rsidRPr="00490FBB">
        <w:t>Clinical management algorithms</w:t>
      </w:r>
    </w:p>
    <w:p w14:paraId="13AED12D" w14:textId="37F4E5AE" w:rsidR="00616901" w:rsidRDefault="00616901" w:rsidP="00695B36">
      <w:pPr>
        <w:jc w:val="left"/>
      </w:pPr>
      <w:r>
        <w:t xml:space="preserve">Three population subgroups were identified in this PICO. These subpopulations are derived from the 4 populations provided in the application material. Separate clinical algorithms </w:t>
      </w:r>
      <w:r w:rsidR="002335D0">
        <w:t xml:space="preserve">have been </w:t>
      </w:r>
      <w:r>
        <w:t xml:space="preserve">developed to illustrate how patients are managed under different scenarios. </w:t>
      </w:r>
    </w:p>
    <w:p w14:paraId="1764A032" w14:textId="57880F0E" w:rsidR="006C25D8" w:rsidRPr="007E152B" w:rsidRDefault="006C25D8" w:rsidP="00695B36">
      <w:pPr>
        <w:pStyle w:val="ListParagraph"/>
        <w:numPr>
          <w:ilvl w:val="0"/>
          <w:numId w:val="19"/>
        </w:numPr>
        <w:spacing w:after="160" w:line="259" w:lineRule="auto"/>
        <w:jc w:val="left"/>
        <w:rPr>
          <w:rFonts w:eastAsiaTheme="minorHAnsi" w:cstheme="minorBidi"/>
          <w:color w:val="000000" w:themeColor="text1"/>
        </w:rPr>
      </w:pPr>
      <w:r w:rsidRPr="007E152B">
        <w:rPr>
          <w:rFonts w:eastAsiaTheme="minorHAnsi" w:cstheme="minorBidi"/>
          <w:b/>
          <w:color w:val="000000" w:themeColor="text1"/>
        </w:rPr>
        <w:t>Population A (index population)</w:t>
      </w:r>
      <w:r w:rsidRPr="007E152B">
        <w:rPr>
          <w:rFonts w:eastAsiaTheme="minorHAnsi" w:cstheme="minorBidi"/>
          <w:color w:val="000000" w:themeColor="text1"/>
        </w:rPr>
        <w:t xml:space="preserve">: </w:t>
      </w:r>
      <w:r w:rsidR="00E336C9">
        <w:rPr>
          <w:rFonts w:eastAsiaTheme="minorHAnsi" w:cstheme="minorBidi"/>
          <w:color w:val="000000" w:themeColor="text1"/>
        </w:rPr>
        <w:t>a</w:t>
      </w:r>
      <w:r w:rsidRPr="007E152B">
        <w:rPr>
          <w:rFonts w:eastAsiaTheme="minorHAnsi" w:cstheme="minorBidi"/>
          <w:color w:val="000000" w:themeColor="text1"/>
        </w:rPr>
        <w:t xml:space="preserve">dults at moderate CVD risk </w:t>
      </w:r>
      <w:r w:rsidR="00170520">
        <w:rPr>
          <w:rFonts w:eastAsiaTheme="minorHAnsi" w:cstheme="minorBidi"/>
          <w:color w:val="000000" w:themeColor="text1"/>
        </w:rPr>
        <w:t xml:space="preserve">as </w:t>
      </w:r>
      <w:r w:rsidRPr="007E152B">
        <w:rPr>
          <w:rFonts w:eastAsiaTheme="minorHAnsi" w:cstheme="minorBidi"/>
          <w:color w:val="000000" w:themeColor="text1"/>
        </w:rPr>
        <w:t>assessed by the current</w:t>
      </w:r>
      <w:r w:rsidR="001C70AE">
        <w:rPr>
          <w:rFonts w:eastAsiaTheme="minorHAnsi" w:cstheme="minorBidi"/>
          <w:color w:val="000000" w:themeColor="text1"/>
        </w:rPr>
        <w:t>ly available</w:t>
      </w:r>
      <w:r w:rsidRPr="007E152B">
        <w:rPr>
          <w:rFonts w:eastAsiaTheme="minorHAnsi" w:cstheme="minorBidi"/>
          <w:color w:val="000000" w:themeColor="text1"/>
        </w:rPr>
        <w:t xml:space="preserve"> CVD risk assessment tool recommended by the Australian clinical practice guideline.</w:t>
      </w:r>
    </w:p>
    <w:p w14:paraId="0A625491" w14:textId="720948EE" w:rsidR="006C25D8" w:rsidRPr="007E152B" w:rsidRDefault="006C25D8" w:rsidP="00695B36">
      <w:pPr>
        <w:pStyle w:val="ListParagraph"/>
        <w:numPr>
          <w:ilvl w:val="0"/>
          <w:numId w:val="10"/>
        </w:numPr>
        <w:spacing w:after="160" w:line="259" w:lineRule="auto"/>
        <w:jc w:val="left"/>
        <w:rPr>
          <w:rFonts w:eastAsiaTheme="minorHAnsi" w:cstheme="minorBidi"/>
          <w:color w:val="000000" w:themeColor="text1"/>
        </w:rPr>
      </w:pPr>
      <w:r w:rsidRPr="007E152B">
        <w:rPr>
          <w:rFonts w:eastAsiaTheme="minorHAnsi" w:cstheme="minorBidi"/>
          <w:b/>
          <w:color w:val="000000" w:themeColor="text1"/>
        </w:rPr>
        <w:t>Population B (index population)</w:t>
      </w:r>
      <w:r w:rsidRPr="007E152B">
        <w:rPr>
          <w:rFonts w:eastAsiaTheme="minorHAnsi" w:cstheme="minorBidi"/>
          <w:color w:val="000000" w:themeColor="text1"/>
        </w:rPr>
        <w:t xml:space="preserve">: </w:t>
      </w:r>
      <w:r w:rsidR="004732FA">
        <w:rPr>
          <w:rFonts w:eastAsiaTheme="minorHAnsi" w:cstheme="minorBidi"/>
          <w:color w:val="000000" w:themeColor="text1"/>
        </w:rPr>
        <w:t>a</w:t>
      </w:r>
      <w:r w:rsidRPr="007E152B">
        <w:rPr>
          <w:rFonts w:eastAsiaTheme="minorHAnsi" w:cstheme="minorBidi"/>
          <w:color w:val="000000" w:themeColor="text1"/>
        </w:rPr>
        <w:t xml:space="preserve">dult patients </w:t>
      </w:r>
      <w:r w:rsidR="004732FA">
        <w:rPr>
          <w:rFonts w:eastAsiaTheme="minorHAnsi" w:cstheme="minorBidi"/>
          <w:color w:val="000000" w:themeColor="text1"/>
        </w:rPr>
        <w:t xml:space="preserve">at high </w:t>
      </w:r>
      <w:r w:rsidR="00101DB5">
        <w:rPr>
          <w:rFonts w:eastAsiaTheme="minorHAnsi" w:cstheme="minorBidi"/>
          <w:color w:val="000000" w:themeColor="text1"/>
        </w:rPr>
        <w:t>CVD risk</w:t>
      </w:r>
      <w:r w:rsidR="00170520">
        <w:rPr>
          <w:rFonts w:eastAsiaTheme="minorHAnsi" w:cstheme="minorBidi"/>
          <w:color w:val="000000" w:themeColor="text1"/>
        </w:rPr>
        <w:t xml:space="preserve"> as assessed </w:t>
      </w:r>
      <w:r w:rsidR="004940BE">
        <w:rPr>
          <w:rFonts w:eastAsiaTheme="minorHAnsi" w:cstheme="minorBidi"/>
          <w:color w:val="000000" w:themeColor="text1"/>
        </w:rPr>
        <w:t>by the current</w:t>
      </w:r>
      <w:r w:rsidR="001C70AE">
        <w:rPr>
          <w:rFonts w:eastAsiaTheme="minorHAnsi" w:cstheme="minorBidi"/>
          <w:color w:val="000000" w:themeColor="text1"/>
        </w:rPr>
        <w:t>ly available</w:t>
      </w:r>
      <w:r w:rsidR="00993024">
        <w:rPr>
          <w:rFonts w:eastAsiaTheme="minorHAnsi" w:cstheme="minorBidi"/>
          <w:color w:val="000000" w:themeColor="text1"/>
        </w:rPr>
        <w:t xml:space="preserve"> CVD risk assessment tool recommended by the Au</w:t>
      </w:r>
      <w:r w:rsidR="00BF1742">
        <w:rPr>
          <w:rFonts w:eastAsiaTheme="minorHAnsi" w:cstheme="minorBidi"/>
          <w:color w:val="000000" w:themeColor="text1"/>
        </w:rPr>
        <w:t>stralian clinical practice guideline,</w:t>
      </w:r>
      <w:r w:rsidRPr="007E152B">
        <w:rPr>
          <w:rFonts w:eastAsiaTheme="minorHAnsi" w:cstheme="minorBidi"/>
          <w:color w:val="000000" w:themeColor="text1"/>
        </w:rPr>
        <w:t xml:space="preserve"> but not optimally managed</w:t>
      </w:r>
      <w:r w:rsidRPr="007E152B">
        <w:rPr>
          <w:rFonts w:eastAsiaTheme="minorHAnsi" w:cstheme="minorBidi"/>
          <w:strike/>
          <w:color w:val="000000" w:themeColor="text1"/>
        </w:rPr>
        <w:t>.</w:t>
      </w:r>
    </w:p>
    <w:p w14:paraId="27AC4FB6" w14:textId="57C866B8" w:rsidR="00616901" w:rsidRDefault="006C25D8" w:rsidP="00695B36">
      <w:pPr>
        <w:pStyle w:val="ListParagraph"/>
        <w:numPr>
          <w:ilvl w:val="0"/>
          <w:numId w:val="7"/>
        </w:numPr>
        <w:jc w:val="left"/>
      </w:pPr>
      <w:r w:rsidRPr="007E152B">
        <w:rPr>
          <w:rFonts w:eastAsiaTheme="minorHAnsi" w:cstheme="minorBidi"/>
          <w:b/>
          <w:color w:val="000000" w:themeColor="text1"/>
        </w:rPr>
        <w:t>Population C (cascade population)</w:t>
      </w:r>
      <w:r w:rsidRPr="007E152B">
        <w:rPr>
          <w:rFonts w:eastAsiaTheme="minorHAnsi" w:cstheme="minorBidi"/>
          <w:color w:val="000000" w:themeColor="text1"/>
        </w:rPr>
        <w:t xml:space="preserve">: Patients </w:t>
      </w:r>
      <w:r w:rsidR="00BF1742">
        <w:rPr>
          <w:rFonts w:eastAsiaTheme="minorHAnsi" w:cstheme="minorBidi"/>
          <w:color w:val="000000" w:themeColor="text1"/>
        </w:rPr>
        <w:t>of</w:t>
      </w:r>
      <w:r w:rsidRPr="007E152B">
        <w:rPr>
          <w:rFonts w:eastAsiaTheme="minorHAnsi" w:cstheme="minorBidi"/>
          <w:color w:val="000000" w:themeColor="text1"/>
        </w:rPr>
        <w:t xml:space="preserve"> any age with a first-degree relative with significantly elevated Lp(a) (&gt;200 nmol/L)</w:t>
      </w:r>
      <w:r>
        <w:rPr>
          <w:rFonts w:eastAsiaTheme="minorHAnsi" w:cstheme="minorBidi"/>
          <w:color w:val="000000" w:themeColor="text1"/>
        </w:rPr>
        <w:t>.</w:t>
      </w:r>
    </w:p>
    <w:p w14:paraId="09C2E22A" w14:textId="77777777" w:rsidR="0063790F" w:rsidRDefault="0063790F">
      <w:pPr>
        <w:spacing w:after="160" w:line="259" w:lineRule="auto"/>
        <w:jc w:val="left"/>
        <w:rPr>
          <w:b/>
          <w:bCs/>
          <w:u w:val="single"/>
        </w:rPr>
      </w:pPr>
      <w:r>
        <w:rPr>
          <w:b/>
          <w:bCs/>
          <w:u w:val="single"/>
        </w:rPr>
        <w:br w:type="page"/>
      </w:r>
    </w:p>
    <w:p w14:paraId="187ACADE" w14:textId="61B8CDFA" w:rsidR="00616901" w:rsidRPr="002A7EFD" w:rsidRDefault="00616901" w:rsidP="00695B36">
      <w:pPr>
        <w:spacing w:after="160" w:line="259" w:lineRule="auto"/>
        <w:jc w:val="left"/>
        <w:rPr>
          <w:u w:val="single"/>
        </w:rPr>
      </w:pPr>
      <w:r w:rsidRPr="005F46B8">
        <w:rPr>
          <w:b/>
          <w:bCs/>
          <w:u w:val="single"/>
        </w:rPr>
        <w:lastRenderedPageBreak/>
        <w:t>Population A (index population)</w:t>
      </w:r>
      <w:r w:rsidRPr="005F46B8">
        <w:rPr>
          <w:b/>
          <w:bCs/>
        </w:rPr>
        <w:t>:</w:t>
      </w:r>
      <w:r w:rsidRPr="006720C5">
        <w:t xml:space="preserve"> </w:t>
      </w:r>
    </w:p>
    <w:p w14:paraId="39C560A5" w14:textId="70905AC7" w:rsidR="00616901" w:rsidRDefault="00616901" w:rsidP="00695B36">
      <w:pPr>
        <w:spacing w:after="160" w:line="259" w:lineRule="auto"/>
        <w:jc w:val="left"/>
      </w:pPr>
      <w:r w:rsidRPr="008044D7">
        <w:t>The clinical diagnosis pa</w:t>
      </w:r>
      <w:r>
        <w:t xml:space="preserve">thway starts with patients for whom risk assessment should be performed (described in the </w:t>
      </w:r>
      <w:r>
        <w:fldChar w:fldCharType="begin"/>
      </w:r>
      <w:r>
        <w:instrText xml:space="preserve"> REF _Ref118473168 \h </w:instrText>
      </w:r>
      <w:r w:rsidR="00695B36">
        <w:instrText xml:space="preserve"> \* MERGEFORMAT </w:instrText>
      </w:r>
      <w:r>
        <w:fldChar w:fldCharType="separate"/>
      </w:r>
      <w:r w:rsidRPr="00713728">
        <w:t>Population</w:t>
      </w:r>
      <w:r>
        <w:fldChar w:fldCharType="end"/>
      </w:r>
      <w:r>
        <w:t xml:space="preserve"> section). These patients will undergo standard investigative tests including total cholesterol, high</w:t>
      </w:r>
      <w:r>
        <w:rPr>
          <w:rFonts w:ascii="Cambria Math" w:hAnsi="Cambria Math" w:cs="Cambria Math"/>
        </w:rPr>
        <w:t>‑</w:t>
      </w:r>
      <w:r>
        <w:t>density lipoprotein (HDL) cholesterol, non</w:t>
      </w:r>
      <w:r>
        <w:rPr>
          <w:rFonts w:ascii="Cambria Math" w:hAnsi="Cambria Math" w:cs="Cambria Math"/>
        </w:rPr>
        <w:t>‑</w:t>
      </w:r>
      <w:r>
        <w:t xml:space="preserve">HDL cholesterol and triglyceride concentrations. These measures will be applied together with other risk factors (e.g. smoking status, age) to a risk score system (e.g. Framingham Risk Score) to estimate cardiovascular risk for an individual patient. </w:t>
      </w:r>
      <w:r w:rsidR="00521B13">
        <w:t xml:space="preserve">The </w:t>
      </w:r>
      <w:r w:rsidR="006D0A9A">
        <w:t xml:space="preserve">selection and </w:t>
      </w:r>
      <w:r w:rsidR="00521B13">
        <w:t xml:space="preserve">use of CVD risk assessment tool </w:t>
      </w:r>
      <w:r w:rsidR="00070540">
        <w:t xml:space="preserve">will be aligned with the most up-to-date Australian clinical practice guideline. </w:t>
      </w:r>
    </w:p>
    <w:p w14:paraId="6419640B" w14:textId="1BAF4B19" w:rsidR="00616901" w:rsidRDefault="00616901" w:rsidP="00695B36">
      <w:pPr>
        <w:spacing w:after="160" w:line="259" w:lineRule="auto"/>
        <w:jc w:val="left"/>
      </w:pPr>
      <w:r>
        <w:t xml:space="preserve">Patients who fall into the moderate risk group will also receive lifestyle modification advice and potentially an intervention, at the discretion of the treating physician. Patients who fall into the low-risk category </w:t>
      </w:r>
      <w:r w:rsidR="00346217">
        <w:t xml:space="preserve">will </w:t>
      </w:r>
      <w:r>
        <w:t>not receive an</w:t>
      </w:r>
      <w:r w:rsidR="00EA15D7">
        <w:t>y</w:t>
      </w:r>
      <w:r>
        <w:t xml:space="preserve"> intervention.</w:t>
      </w:r>
    </w:p>
    <w:p w14:paraId="3D1FEC7D" w14:textId="76ABF221" w:rsidR="00616901" w:rsidRDefault="00616901" w:rsidP="00695B36">
      <w:pPr>
        <w:spacing w:after="160" w:line="259" w:lineRule="auto"/>
        <w:jc w:val="left"/>
      </w:pPr>
      <w:r>
        <w:t xml:space="preserve">In the proposed pathway, patients who fall into a high-risk group will </w:t>
      </w:r>
      <w:r w:rsidR="006D0A9A">
        <w:t xml:space="preserve">be </w:t>
      </w:r>
      <w:r w:rsidR="003765E7">
        <w:t xml:space="preserve">examined </w:t>
      </w:r>
      <w:r w:rsidR="00345B8D">
        <w:t>for</w:t>
      </w:r>
      <w:r w:rsidR="003765E7">
        <w:t xml:space="preserve"> sign</w:t>
      </w:r>
      <w:r w:rsidR="00345B8D">
        <w:t>s</w:t>
      </w:r>
      <w:r w:rsidR="003765E7">
        <w:t xml:space="preserve"> and symptoms for CVD</w:t>
      </w:r>
      <w:r w:rsidR="00995ECA">
        <w:t xml:space="preserve"> first</w:t>
      </w:r>
      <w:r w:rsidR="003765E7">
        <w:t xml:space="preserve">. </w:t>
      </w:r>
      <w:r>
        <w:t xml:space="preserve">Those </w:t>
      </w:r>
      <w:r w:rsidR="002713B4">
        <w:t xml:space="preserve">moderate risk patients </w:t>
      </w:r>
      <w:r>
        <w:t>with high Lp(a) (</w:t>
      </w:r>
      <w:r w:rsidR="00741CB6">
        <w:t xml:space="preserve">defined as </w:t>
      </w:r>
      <w:r>
        <w:t xml:space="preserve">over </w:t>
      </w:r>
      <w:r w:rsidR="007D1B60">
        <w:t>200 </w:t>
      </w:r>
      <w:r>
        <w:t>nmol/L) will be reclassified as high risk and will follow the high-risk treatment pathway.</w:t>
      </w:r>
      <w:r w:rsidR="0021698C">
        <w:t xml:space="preserve"> </w:t>
      </w:r>
      <w:r w:rsidR="002E1DFF">
        <w:t>P</w:t>
      </w:r>
      <w:r w:rsidR="00CD7DC9">
        <w:t>atients with high risk will</w:t>
      </w:r>
      <w:r w:rsidR="00EF0C4A">
        <w:t xml:space="preserve"> be revised for their intervention if </w:t>
      </w:r>
      <w:r w:rsidR="00F2574D">
        <w:t xml:space="preserve">the optimal treatment and </w:t>
      </w:r>
      <w:r w:rsidR="0095757E">
        <w:t xml:space="preserve">appropriate </w:t>
      </w:r>
      <w:r w:rsidR="00F2574D">
        <w:t xml:space="preserve">risk management </w:t>
      </w:r>
      <w:r w:rsidR="0095757E">
        <w:t>strategies are</w:t>
      </w:r>
      <w:r w:rsidR="00F2574D">
        <w:t xml:space="preserve"> not in place</w:t>
      </w:r>
      <w:r w:rsidR="00070B7A">
        <w:t>.</w:t>
      </w:r>
      <w:r>
        <w:t xml:space="preserve"> Patients with low Lp(a) (under </w:t>
      </w:r>
      <w:r w:rsidR="007D1B60">
        <w:t>200 </w:t>
      </w:r>
      <w:r>
        <w:t xml:space="preserve">nmol/L) will be advised to make lifestyle modifications and may receive pharmacological therapy. </w:t>
      </w:r>
    </w:p>
    <w:p w14:paraId="0CC03FDF" w14:textId="71F8E091" w:rsidR="00616901" w:rsidRPr="006B0497" w:rsidRDefault="00616901" w:rsidP="00695B36">
      <w:pPr>
        <w:spacing w:after="160" w:line="259" w:lineRule="auto"/>
        <w:jc w:val="left"/>
        <w:rPr>
          <w:rFonts w:eastAsiaTheme="minorHAnsi" w:cstheme="minorBidi"/>
          <w:b/>
          <w:bCs/>
        </w:rPr>
      </w:pPr>
      <w:r w:rsidRPr="006B0497">
        <w:rPr>
          <w:b/>
          <w:bCs/>
          <w:u w:val="single"/>
        </w:rPr>
        <w:t>Population B (index population)</w:t>
      </w:r>
      <w:r w:rsidRPr="006B0497">
        <w:rPr>
          <w:b/>
          <w:bCs/>
        </w:rPr>
        <w:t>:</w:t>
      </w:r>
      <w:r w:rsidRPr="001A7CB9">
        <w:rPr>
          <w:rFonts w:ascii="Arial Narrow" w:eastAsia="Times New Roman" w:hAnsi="Arial Narrow" w:cs="Tahoma"/>
          <w:b/>
          <w:bCs/>
          <w:sz w:val="20"/>
          <w:szCs w:val="20"/>
          <w:lang w:val="en-GB" w:eastAsia="ja-JP"/>
        </w:rPr>
        <w:t xml:space="preserve"> </w:t>
      </w:r>
    </w:p>
    <w:p w14:paraId="43C0A17D" w14:textId="3D74C1D1" w:rsidR="00616901" w:rsidRDefault="00B52E61" w:rsidP="00695B36">
      <w:pPr>
        <w:jc w:val="left"/>
      </w:pPr>
      <w:r w:rsidRPr="00B52E61">
        <w:t xml:space="preserve">In the current pathway, patients who fall into a high-risk group will receive lifestyle modification advice and an intervention—usually a statin. </w:t>
      </w:r>
      <w:r w:rsidR="00616901">
        <w:t xml:space="preserve">The clinical diagnosis pathway starts with patients who </w:t>
      </w:r>
      <w:r w:rsidR="009D15C9">
        <w:t xml:space="preserve">are at high risk </w:t>
      </w:r>
      <w:r>
        <w:t>for CVD</w:t>
      </w:r>
      <w:r w:rsidR="00590C31">
        <w:t>.</w:t>
      </w:r>
      <w:r w:rsidR="00910532">
        <w:t xml:space="preserve"> </w:t>
      </w:r>
      <w:r w:rsidR="00616901">
        <w:rPr>
          <w:lang w:val="en-GB"/>
        </w:rPr>
        <w:t xml:space="preserve"> </w:t>
      </w:r>
      <w:r w:rsidR="00616901">
        <w:t>In the current pathway, patient</w:t>
      </w:r>
      <w:r w:rsidR="00450F07">
        <w:t>s</w:t>
      </w:r>
      <w:r w:rsidR="00616901">
        <w:t xml:space="preserve"> will follow </w:t>
      </w:r>
      <w:r w:rsidR="00450F07">
        <w:t xml:space="preserve">the </w:t>
      </w:r>
      <w:r w:rsidR="00616901">
        <w:t>standard of care described above in Population A.</w:t>
      </w:r>
    </w:p>
    <w:p w14:paraId="500022CF" w14:textId="18ED9F92" w:rsidR="00616901" w:rsidRDefault="00616901" w:rsidP="00695B36">
      <w:pPr>
        <w:jc w:val="left"/>
      </w:pPr>
      <w:r>
        <w:t xml:space="preserve">In the proposed pathway, patients who </w:t>
      </w:r>
      <w:r w:rsidR="00910532">
        <w:t xml:space="preserve">are not receiving optimal management for their assessed CVD risk will </w:t>
      </w:r>
      <w:r>
        <w:t>receive the Lp(a) test. Their current CVD management strategy will likely be reviewed where additional pharmacological or non-pharmacological intervention</w:t>
      </w:r>
      <w:r w:rsidR="000A4089">
        <w:t>s</w:t>
      </w:r>
      <w:r>
        <w:t xml:space="preserve"> may be applied to offset the additional </w:t>
      </w:r>
      <w:r w:rsidR="000A4089">
        <w:t xml:space="preserve">CVD </w:t>
      </w:r>
      <w:r>
        <w:t xml:space="preserve">risk due to high Lp(a). This is dependent on the availability and effectiveness of the interventions </w:t>
      </w:r>
      <w:r w:rsidR="00C41949">
        <w:t xml:space="preserve">at </w:t>
      </w:r>
      <w:r>
        <w:t xml:space="preserve">the discretion of the treating clinician. Patients who </w:t>
      </w:r>
      <w:r w:rsidR="00AE4DB9">
        <w:t>are receiving optimal management do not require an Lp(a) test.</w:t>
      </w:r>
      <w:r>
        <w:t xml:space="preserve"> </w:t>
      </w:r>
    </w:p>
    <w:p w14:paraId="30443658" w14:textId="6D05D139" w:rsidR="00616901" w:rsidRPr="00563D9D" w:rsidRDefault="00616901" w:rsidP="00695B36">
      <w:pPr>
        <w:jc w:val="left"/>
      </w:pPr>
      <w:r w:rsidRPr="00382675">
        <w:rPr>
          <w:b/>
          <w:bCs/>
          <w:u w:val="single"/>
        </w:rPr>
        <w:t>Population C – cascade population</w:t>
      </w:r>
      <w:r w:rsidRPr="00563D9D">
        <w:t xml:space="preserve">: </w:t>
      </w:r>
    </w:p>
    <w:p w14:paraId="43E58AF6" w14:textId="0551BCD5" w:rsidR="00616901" w:rsidRDefault="00616901" w:rsidP="00695B36">
      <w:pPr>
        <w:jc w:val="left"/>
      </w:pPr>
      <w:r>
        <w:t xml:space="preserve">The clinical diagnosis pathway starts </w:t>
      </w:r>
      <w:r w:rsidR="003858D5">
        <w:t>with patients</w:t>
      </w:r>
      <w:r>
        <w:t xml:space="preserve"> who are at risk of future CVD due to </w:t>
      </w:r>
      <w:r w:rsidR="003858D5">
        <w:t xml:space="preserve">having a </w:t>
      </w:r>
      <w:r w:rsidR="009D7002">
        <w:t>first degree relative with high Lp(a)</w:t>
      </w:r>
      <w:r>
        <w:t xml:space="preserve">. </w:t>
      </w:r>
      <w:r w:rsidR="00027748">
        <w:t>P</w:t>
      </w:r>
      <w:r w:rsidR="000726E1">
        <w:t>rior tests are not required for cascade population</w:t>
      </w:r>
      <w:r w:rsidR="000C4C14">
        <w:t xml:space="preserve">. </w:t>
      </w:r>
    </w:p>
    <w:p w14:paraId="229B9C95" w14:textId="3A1942A0" w:rsidR="00616901" w:rsidRDefault="00616901" w:rsidP="00695B36">
      <w:pPr>
        <w:jc w:val="left"/>
      </w:pPr>
      <w:r>
        <w:t xml:space="preserve">In the current pathway, the cascade population is not tested for Lp(a) and may </w:t>
      </w:r>
      <w:r w:rsidR="00A467B4">
        <w:t xml:space="preserve">therefore </w:t>
      </w:r>
      <w:r>
        <w:t xml:space="preserve">not be appropriately managed for their </w:t>
      </w:r>
      <w:r w:rsidR="00A467B4">
        <w:t xml:space="preserve">increased </w:t>
      </w:r>
      <w:r w:rsidR="00B73B9E">
        <w:t xml:space="preserve">hereditary </w:t>
      </w:r>
      <w:r>
        <w:t>CVD risk</w:t>
      </w:r>
      <w:r w:rsidR="00A467B4">
        <w:t>.</w:t>
      </w:r>
      <w:r>
        <w:t xml:space="preserve"> Some patients may be managed for their elevated CVD risk due to known </w:t>
      </w:r>
      <w:r w:rsidR="000E214F">
        <w:t xml:space="preserve">family </w:t>
      </w:r>
      <w:r>
        <w:t>history of hyperlipidaemia or other conditions. The proportion of patients who are already receiving early intervention</w:t>
      </w:r>
      <w:r w:rsidR="000E214F">
        <w:t>s</w:t>
      </w:r>
      <w:r>
        <w:t xml:space="preserve"> due to familial or hereditary conditions will need to be investigated in the evaluation phase.  </w:t>
      </w:r>
    </w:p>
    <w:p w14:paraId="46D2B2A1" w14:textId="5C679DAA" w:rsidR="00616901" w:rsidRDefault="00616901" w:rsidP="00695B36">
      <w:pPr>
        <w:jc w:val="left"/>
      </w:pPr>
      <w:r>
        <w:t xml:space="preserve">In the proposed pathway, adults, children and adolescents who have a </w:t>
      </w:r>
      <w:r w:rsidR="0011684C">
        <w:t>first-degree relative</w:t>
      </w:r>
      <w:r>
        <w:t xml:space="preserve"> with high Lp(a) will be </w:t>
      </w:r>
      <w:r w:rsidR="000E214F">
        <w:t xml:space="preserve">eligible to </w:t>
      </w:r>
      <w:r w:rsidR="00D90A69">
        <w:t>receive</w:t>
      </w:r>
      <w:r>
        <w:t xml:space="preserve"> test</w:t>
      </w:r>
      <w:r w:rsidR="00D90A69">
        <w:t>ing</w:t>
      </w:r>
      <w:r>
        <w:t xml:space="preserve"> for their own Lp(a) </w:t>
      </w:r>
      <w:r w:rsidR="00741CB6">
        <w:t>concentration</w:t>
      </w:r>
      <w:r>
        <w:t xml:space="preserve">. </w:t>
      </w:r>
      <w:r w:rsidR="00746B87">
        <w:t>I</w:t>
      </w:r>
      <w:r>
        <w:t xml:space="preserve">ndividuals with </w:t>
      </w:r>
      <w:r w:rsidR="00746B87">
        <w:t>elevated</w:t>
      </w:r>
      <w:r>
        <w:t xml:space="preserve"> Lp(a) may be indicated for early intervention to reduce the ongoing risk of cardiovascular event. The intervention may differ depending on the availability and the effectiveness of the CVD risk management strategy. </w:t>
      </w:r>
    </w:p>
    <w:p w14:paraId="27DB9004" w14:textId="50CD97B5" w:rsidR="00616901" w:rsidRDefault="0015087E" w:rsidP="00695B36">
      <w:pPr>
        <w:tabs>
          <w:tab w:val="left" w:pos="8385"/>
        </w:tabs>
        <w:jc w:val="left"/>
      </w:pPr>
      <w:r>
        <w:tab/>
      </w:r>
    </w:p>
    <w:p w14:paraId="760081C0" w14:textId="77777777" w:rsidR="004A2752" w:rsidRDefault="004A2752" w:rsidP="00695B36">
      <w:pPr>
        <w:jc w:val="left"/>
        <w:sectPr w:rsidR="004A2752" w:rsidSect="00695B36">
          <w:headerReference w:type="even" r:id="rId19"/>
          <w:headerReference w:type="default" r:id="rId20"/>
          <w:footerReference w:type="even" r:id="rId21"/>
          <w:footerReference w:type="default" r:id="rId22"/>
          <w:headerReference w:type="first" r:id="rId23"/>
          <w:footerReference w:type="first" r:id="rId24"/>
          <w:pgSz w:w="11906" w:h="16838"/>
          <w:pgMar w:top="682" w:right="1134" w:bottom="1021" w:left="1191" w:header="709" w:footer="737" w:gutter="0"/>
          <w:cols w:space="708"/>
          <w:docGrid w:linePitch="360"/>
        </w:sectPr>
      </w:pPr>
    </w:p>
    <w:p w14:paraId="0C7E9011" w14:textId="6CA7595C" w:rsidR="004A2752" w:rsidRDefault="004A2752" w:rsidP="00695B36">
      <w:pPr>
        <w:pStyle w:val="Caption"/>
        <w:jc w:val="left"/>
      </w:pPr>
      <w:r>
        <w:lastRenderedPageBreak/>
        <w:t xml:space="preserve">Figure </w:t>
      </w:r>
      <w:r>
        <w:fldChar w:fldCharType="begin"/>
      </w:r>
      <w:r>
        <w:instrText xml:space="preserve"> SEQ Figure \* ARABIC </w:instrText>
      </w:r>
      <w:r>
        <w:fldChar w:fldCharType="separate"/>
      </w:r>
      <w:r w:rsidR="00F66CE7">
        <w:rPr>
          <w:noProof/>
        </w:rPr>
        <w:t>5</w:t>
      </w:r>
      <w:r>
        <w:fldChar w:fldCharType="end"/>
      </w:r>
      <w:r>
        <w:tab/>
      </w:r>
      <w:r w:rsidRPr="006116B3">
        <w:t xml:space="preserve">Current </w:t>
      </w:r>
      <w:r>
        <w:t xml:space="preserve">and proposed </w:t>
      </w:r>
      <w:r w:rsidRPr="006116B3">
        <w:t>clinical management algorit</w:t>
      </w:r>
      <w:r>
        <w:t>h</w:t>
      </w:r>
      <w:r w:rsidRPr="006116B3">
        <w:t>m</w:t>
      </w:r>
      <w:r>
        <w:t xml:space="preserve">s </w:t>
      </w:r>
      <w:r w:rsidRPr="006116B3">
        <w:t xml:space="preserve">for </w:t>
      </w:r>
      <w:r>
        <w:t xml:space="preserve">Population </w:t>
      </w:r>
      <w:r w:rsidR="00F84C5E">
        <w:t>A</w:t>
      </w:r>
    </w:p>
    <w:p w14:paraId="6E6980F7" w14:textId="784E3FB1" w:rsidR="004A2752" w:rsidRPr="003D179D" w:rsidRDefault="001C2D4C" w:rsidP="00695B36">
      <w:pPr>
        <w:spacing w:after="160" w:line="259" w:lineRule="auto"/>
        <w:jc w:val="left"/>
        <w:rPr>
          <w:lang w:val="en-GB" w:eastAsia="ja-JP"/>
        </w:rPr>
      </w:pPr>
      <w:r>
        <w:rPr>
          <w:noProof/>
          <w:lang w:val="en-GB" w:eastAsia="ja-JP"/>
        </w:rPr>
        <mc:AlternateContent>
          <mc:Choice Requires="wpc">
            <w:drawing>
              <wp:inline distT="0" distB="0" distL="0" distR="0" wp14:anchorId="07AAA7D1" wp14:editId="32A0B985">
                <wp:extent cx="9405832" cy="5486736"/>
                <wp:effectExtent l="0" t="0" r="24130" b="0"/>
                <wp:docPr id="8" name="Canvas 8" descr="Figure 5 Current and proposed clinical management algorithms for Population A"/>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3" name="Text Box 16">
                          <a:extLst>
                            <a:ext uri="{FF2B5EF4-FFF2-40B4-BE49-F238E27FC236}">
                              <a16:creationId xmlns:a16="http://schemas.microsoft.com/office/drawing/2014/main" id="{FBC0EBBE-B666-FE29-BD13-9B21C47ACA00}"/>
                            </a:ext>
                          </a:extLst>
                        </wps:cNvPr>
                        <wps:cNvSpPr txBox="1"/>
                        <wps:spPr>
                          <a:xfrm>
                            <a:off x="2652306" y="768495"/>
                            <a:ext cx="3093490" cy="470783"/>
                          </a:xfrm>
                          <a:prstGeom prst="rect">
                            <a:avLst/>
                          </a:prstGeom>
                          <a:solidFill>
                            <a:sysClr val="window" lastClr="FFFFFF"/>
                          </a:solidFill>
                          <a:ln w="15875" cmpd="dbl">
                            <a:solidFill>
                              <a:srgbClr val="FF0000"/>
                            </a:solidFill>
                          </a:ln>
                        </wps:spPr>
                        <wps:txbx>
                          <w:txbxContent>
                            <w:p w14:paraId="21772534" w14:textId="77777777" w:rsidR="001C2D4C" w:rsidRPr="006B0497" w:rsidRDefault="001C2D4C"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 xml:space="preserve">Absolute CVD risk assessment using the tool recommended by the Australian clinical practice guideline </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448" name="Text Box 20">
                          <a:extLst>
                            <a:ext uri="{FF2B5EF4-FFF2-40B4-BE49-F238E27FC236}">
                              <a16:creationId xmlns:a16="http://schemas.microsoft.com/office/drawing/2014/main" id="{BA8EB954-5D21-25F9-6744-A197758C1FF5}"/>
                            </a:ext>
                          </a:extLst>
                        </wps:cNvPr>
                        <wps:cNvSpPr txBox="1"/>
                        <wps:spPr>
                          <a:xfrm>
                            <a:off x="0" y="1627484"/>
                            <a:ext cx="900692" cy="210161"/>
                          </a:xfrm>
                          <a:prstGeom prst="rect">
                            <a:avLst/>
                          </a:prstGeom>
                          <a:solidFill>
                            <a:schemeClr val="bg1">
                              <a:lumMod val="95000"/>
                            </a:schemeClr>
                          </a:solidFill>
                          <a:ln w="15875">
                            <a:solidFill>
                              <a:schemeClr val="bg1">
                                <a:lumMod val="85000"/>
                              </a:schemeClr>
                            </a:solidFill>
                          </a:ln>
                        </wps:spPr>
                        <wps:txbx>
                          <w:txbxContent>
                            <w:p w14:paraId="34476029" w14:textId="77777777" w:rsidR="001C2D4C" w:rsidRPr="006D0807" w:rsidRDefault="001C2D4C" w:rsidP="006B0497">
                              <w:pPr>
                                <w:spacing w:after="0" w:line="240" w:lineRule="auto"/>
                                <w:jc w:val="center"/>
                                <w:rPr>
                                  <w:rFonts w:ascii="Arial Narrow" w:hAnsi="Arial Narrow"/>
                                  <w:i/>
                                  <w:iCs/>
                                  <w:color w:val="BFBFBF" w:themeColor="background1" w:themeShade="BF"/>
                                  <w:kern w:val="24"/>
                                  <w:sz w:val="16"/>
                                  <w:szCs w:val="16"/>
                                </w:rPr>
                              </w:pPr>
                              <w:r w:rsidRPr="006D0807">
                                <w:rPr>
                                  <w:rFonts w:ascii="Arial Narrow" w:hAnsi="Arial Narrow"/>
                                  <w:i/>
                                  <w:iCs/>
                                  <w:color w:val="BFBFBF" w:themeColor="background1" w:themeShade="BF"/>
                                  <w:kern w:val="24"/>
                                  <w:sz w:val="16"/>
                                  <w:szCs w:val="16"/>
                                </w:rPr>
                                <w:t>High CVD risk</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452" name="Text Box 21">
                          <a:extLst>
                            <a:ext uri="{FF2B5EF4-FFF2-40B4-BE49-F238E27FC236}">
                              <a16:creationId xmlns:a16="http://schemas.microsoft.com/office/drawing/2014/main" id="{30EF8BE0-2C84-156E-BE3B-A79529CB483F}"/>
                            </a:ext>
                          </a:extLst>
                        </wps:cNvPr>
                        <wps:cNvSpPr txBox="1"/>
                        <wps:spPr>
                          <a:xfrm>
                            <a:off x="1981242" y="1627484"/>
                            <a:ext cx="900692" cy="210161"/>
                          </a:xfrm>
                          <a:prstGeom prst="rect">
                            <a:avLst/>
                          </a:prstGeom>
                          <a:solidFill>
                            <a:schemeClr val="bg1">
                              <a:lumMod val="95000"/>
                            </a:schemeClr>
                          </a:solidFill>
                          <a:ln w="15875">
                            <a:solidFill>
                              <a:schemeClr val="bg1">
                                <a:lumMod val="85000"/>
                              </a:schemeClr>
                            </a:solidFill>
                          </a:ln>
                        </wps:spPr>
                        <wps:txbx>
                          <w:txbxContent>
                            <w:p w14:paraId="7B97E337" w14:textId="77777777" w:rsidR="001C2D4C" w:rsidRPr="006D0807" w:rsidRDefault="001C2D4C" w:rsidP="006B0497">
                              <w:pPr>
                                <w:spacing w:after="0" w:line="240" w:lineRule="auto"/>
                                <w:jc w:val="center"/>
                                <w:rPr>
                                  <w:rFonts w:ascii="Arial Narrow" w:hAnsi="Arial Narrow"/>
                                  <w:i/>
                                  <w:iCs/>
                                  <w:color w:val="BFBFBF" w:themeColor="background1" w:themeShade="BF"/>
                                  <w:kern w:val="24"/>
                                  <w:sz w:val="16"/>
                                  <w:szCs w:val="16"/>
                                </w:rPr>
                              </w:pPr>
                              <w:r w:rsidRPr="006D0807">
                                <w:rPr>
                                  <w:rFonts w:ascii="Arial Narrow" w:hAnsi="Arial Narrow"/>
                                  <w:i/>
                                  <w:iCs/>
                                  <w:color w:val="BFBFBF" w:themeColor="background1" w:themeShade="BF"/>
                                  <w:kern w:val="24"/>
                                  <w:sz w:val="16"/>
                                  <w:szCs w:val="16"/>
                                </w:rPr>
                                <w:t>Low CVD risk</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454" name="Text Box 23">
                          <a:extLst>
                            <a:ext uri="{FF2B5EF4-FFF2-40B4-BE49-F238E27FC236}">
                              <a16:creationId xmlns:a16="http://schemas.microsoft.com/office/drawing/2014/main" id="{4CDD7FAB-682B-B7D5-C903-6C7FDBFCC835}"/>
                            </a:ext>
                          </a:extLst>
                        </wps:cNvPr>
                        <wps:cNvSpPr txBox="1"/>
                        <wps:spPr>
                          <a:xfrm>
                            <a:off x="0" y="2162374"/>
                            <a:ext cx="900692" cy="600461"/>
                          </a:xfrm>
                          <a:prstGeom prst="rect">
                            <a:avLst/>
                          </a:prstGeom>
                          <a:solidFill>
                            <a:schemeClr val="bg1">
                              <a:lumMod val="95000"/>
                            </a:schemeClr>
                          </a:solidFill>
                          <a:ln w="15875">
                            <a:solidFill>
                              <a:schemeClr val="bg1">
                                <a:lumMod val="85000"/>
                              </a:schemeClr>
                            </a:solidFill>
                          </a:ln>
                        </wps:spPr>
                        <wps:txbx>
                          <w:txbxContent>
                            <w:p w14:paraId="27CA9043" w14:textId="77777777" w:rsidR="001C2D4C" w:rsidRPr="006D0807" w:rsidRDefault="001C2D4C" w:rsidP="006B0497">
                              <w:pPr>
                                <w:spacing w:after="0" w:line="240" w:lineRule="auto"/>
                                <w:jc w:val="center"/>
                                <w:rPr>
                                  <w:rFonts w:ascii="Arial Narrow" w:hAnsi="Arial Narrow"/>
                                  <w:i/>
                                  <w:iCs/>
                                  <w:color w:val="BFBFBF" w:themeColor="background1" w:themeShade="BF"/>
                                  <w:kern w:val="24"/>
                                  <w:sz w:val="16"/>
                                  <w:szCs w:val="16"/>
                                </w:rPr>
                              </w:pPr>
                              <w:r w:rsidRPr="006D0807">
                                <w:rPr>
                                  <w:rFonts w:ascii="Arial Narrow" w:hAnsi="Arial Narrow"/>
                                  <w:i/>
                                  <w:iCs/>
                                  <w:color w:val="BFBFBF" w:themeColor="background1" w:themeShade="BF"/>
                                  <w:kern w:val="24"/>
                                  <w:sz w:val="16"/>
                                  <w:szCs w:val="16"/>
                                </w:rPr>
                                <w:t>Risk management strategies recommended</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455" name="Text Box 24">
                          <a:extLst>
                            <a:ext uri="{FF2B5EF4-FFF2-40B4-BE49-F238E27FC236}">
                              <a16:creationId xmlns:a16="http://schemas.microsoft.com/office/drawing/2014/main" id="{632E77CE-BE6B-4B55-793A-47E300963575}"/>
                            </a:ext>
                          </a:extLst>
                        </wps:cNvPr>
                        <wps:cNvSpPr txBox="1"/>
                        <wps:spPr>
                          <a:xfrm>
                            <a:off x="1981242" y="2164227"/>
                            <a:ext cx="900692" cy="600461"/>
                          </a:xfrm>
                          <a:prstGeom prst="rect">
                            <a:avLst/>
                          </a:prstGeom>
                          <a:solidFill>
                            <a:schemeClr val="bg1">
                              <a:lumMod val="95000"/>
                            </a:schemeClr>
                          </a:solidFill>
                          <a:ln w="15875">
                            <a:solidFill>
                              <a:schemeClr val="bg1">
                                <a:lumMod val="85000"/>
                              </a:schemeClr>
                            </a:solidFill>
                          </a:ln>
                        </wps:spPr>
                        <wps:txbx>
                          <w:txbxContent>
                            <w:p w14:paraId="7CAFDF14" w14:textId="77777777" w:rsidR="001C2D4C" w:rsidRPr="006D0807" w:rsidRDefault="001C2D4C" w:rsidP="006B0497">
                              <w:pPr>
                                <w:spacing w:after="0" w:line="240" w:lineRule="auto"/>
                                <w:jc w:val="center"/>
                                <w:rPr>
                                  <w:rFonts w:ascii="Arial Narrow" w:hAnsi="Arial Narrow"/>
                                  <w:i/>
                                  <w:iCs/>
                                  <w:color w:val="BFBFBF" w:themeColor="background1" w:themeShade="BF"/>
                                  <w:kern w:val="24"/>
                                  <w:sz w:val="16"/>
                                  <w:szCs w:val="16"/>
                                </w:rPr>
                              </w:pPr>
                              <w:r w:rsidRPr="006D0807">
                                <w:rPr>
                                  <w:rFonts w:ascii="Arial Narrow" w:hAnsi="Arial Narrow"/>
                                  <w:i/>
                                  <w:iCs/>
                                  <w:color w:val="BFBFBF" w:themeColor="background1" w:themeShade="BF"/>
                                  <w:kern w:val="24"/>
                                  <w:sz w:val="16"/>
                                  <w:szCs w:val="16"/>
                                </w:rPr>
                                <w:t>No action required</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474" name="Text Box 25">
                          <a:extLst>
                            <a:ext uri="{FF2B5EF4-FFF2-40B4-BE49-F238E27FC236}">
                              <a16:creationId xmlns:a16="http://schemas.microsoft.com/office/drawing/2014/main" id="{295C2A91-B827-C505-8F68-AFA3C252A594}"/>
                            </a:ext>
                          </a:extLst>
                        </wps:cNvPr>
                        <wps:cNvSpPr txBox="1"/>
                        <wps:spPr>
                          <a:xfrm>
                            <a:off x="990577" y="1627283"/>
                            <a:ext cx="900692" cy="210249"/>
                          </a:xfrm>
                          <a:prstGeom prst="rect">
                            <a:avLst/>
                          </a:prstGeom>
                          <a:noFill/>
                          <a:ln w="15875" cmpd="dbl">
                            <a:solidFill>
                              <a:schemeClr val="accent2"/>
                            </a:solidFill>
                          </a:ln>
                        </wps:spPr>
                        <wps:txbx>
                          <w:txbxContent>
                            <w:p w14:paraId="60A17442" w14:textId="77777777" w:rsidR="001C2D4C" w:rsidRPr="006B0497" w:rsidRDefault="001C2D4C"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Moderate CVD risk</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476" name="Text Box 33">
                          <a:extLst>
                            <a:ext uri="{FF2B5EF4-FFF2-40B4-BE49-F238E27FC236}">
                              <a16:creationId xmlns:a16="http://schemas.microsoft.com/office/drawing/2014/main" id="{E222654D-5BCD-8214-D3AB-72367A08117F}"/>
                            </a:ext>
                          </a:extLst>
                        </wps:cNvPr>
                        <wps:cNvSpPr txBox="1"/>
                        <wps:spPr>
                          <a:xfrm>
                            <a:off x="990621" y="2169005"/>
                            <a:ext cx="900692" cy="600461"/>
                          </a:xfrm>
                          <a:prstGeom prst="rect">
                            <a:avLst/>
                          </a:prstGeom>
                          <a:noFill/>
                          <a:ln w="15875" cmpd="dbl">
                            <a:solidFill>
                              <a:schemeClr val="accent2"/>
                            </a:solidFill>
                          </a:ln>
                        </wps:spPr>
                        <wps:txbx>
                          <w:txbxContent>
                            <w:p w14:paraId="407C0D61" w14:textId="77777777" w:rsidR="001C2D4C" w:rsidRPr="006B0497" w:rsidRDefault="001C2D4C"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Lifestyle modifications, possible therapy recommended by the guideline</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485" name="Text Box 42">
                          <a:extLst>
                            <a:ext uri="{FF2B5EF4-FFF2-40B4-BE49-F238E27FC236}">
                              <a16:creationId xmlns:a16="http://schemas.microsoft.com/office/drawing/2014/main" id="{DF02512F-F794-AF48-3864-82AAA38ADC60}"/>
                            </a:ext>
                          </a:extLst>
                        </wps:cNvPr>
                        <wps:cNvSpPr txBox="1"/>
                        <wps:spPr>
                          <a:xfrm>
                            <a:off x="6972112" y="2787489"/>
                            <a:ext cx="900692" cy="600461"/>
                          </a:xfrm>
                          <a:prstGeom prst="rect">
                            <a:avLst/>
                          </a:prstGeom>
                          <a:solidFill>
                            <a:schemeClr val="tx2">
                              <a:lumMod val="20000"/>
                              <a:lumOff val="80000"/>
                            </a:schemeClr>
                          </a:solidFill>
                          <a:ln w="15875">
                            <a:solidFill>
                              <a:schemeClr val="tx2"/>
                            </a:solidFill>
                          </a:ln>
                        </wps:spPr>
                        <wps:txbx>
                          <w:txbxContent>
                            <w:p w14:paraId="515E2997" w14:textId="77777777" w:rsidR="001C2D4C" w:rsidRPr="006B0497" w:rsidRDefault="001C2D4C"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Risk assessment using Lp(a)</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486" name="Text Box 323">
                          <a:extLst>
                            <a:ext uri="{FF2B5EF4-FFF2-40B4-BE49-F238E27FC236}">
                              <a16:creationId xmlns:a16="http://schemas.microsoft.com/office/drawing/2014/main" id="{1EAF86F7-1202-4260-D72A-7D38A1364127}"/>
                            </a:ext>
                          </a:extLst>
                        </wps:cNvPr>
                        <wps:cNvSpPr txBox="1"/>
                        <wps:spPr>
                          <a:xfrm>
                            <a:off x="7482468" y="3833939"/>
                            <a:ext cx="900691" cy="450345"/>
                          </a:xfrm>
                          <a:prstGeom prst="rect">
                            <a:avLst/>
                          </a:prstGeom>
                          <a:noFill/>
                          <a:ln w="15875">
                            <a:solidFill>
                              <a:schemeClr val="accent2"/>
                            </a:solidFill>
                          </a:ln>
                        </wps:spPr>
                        <wps:txbx>
                          <w:txbxContent>
                            <w:p w14:paraId="2128AE85" w14:textId="785E4110" w:rsidR="001C2D4C" w:rsidRPr="006B0497" w:rsidRDefault="001C2D4C"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Low or intermediate Lp(a) &lt;</w:t>
                              </w:r>
                              <w:r w:rsidR="00230F67">
                                <w:rPr>
                                  <w:rFonts w:ascii="Arial Narrow" w:hAnsi="Arial Narrow"/>
                                  <w:i/>
                                  <w:iCs/>
                                  <w:color w:val="000000" w:themeColor="text1"/>
                                  <w:kern w:val="24"/>
                                  <w:sz w:val="16"/>
                                  <w:szCs w:val="16"/>
                                </w:rPr>
                                <w:t>200</w:t>
                              </w:r>
                              <w:r w:rsidR="00230F67" w:rsidRPr="006B0497">
                                <w:rPr>
                                  <w:rFonts w:ascii="Arial Narrow" w:hAnsi="Arial Narrow"/>
                                  <w:i/>
                                  <w:iCs/>
                                  <w:color w:val="000000" w:themeColor="text1"/>
                                  <w:kern w:val="24"/>
                                  <w:sz w:val="16"/>
                                  <w:szCs w:val="16"/>
                                </w:rPr>
                                <w:t xml:space="preserve"> </w:t>
                              </w:r>
                              <w:r w:rsidRPr="006B0497">
                                <w:rPr>
                                  <w:rFonts w:ascii="Arial Narrow" w:hAnsi="Arial Narrow"/>
                                  <w:i/>
                                  <w:iCs/>
                                  <w:color w:val="000000" w:themeColor="text1"/>
                                  <w:kern w:val="24"/>
                                  <w:sz w:val="16"/>
                                  <w:szCs w:val="16"/>
                                </w:rPr>
                                <w:t>nmol/L</w:t>
                              </w:r>
                            </w:p>
                          </w:txbxContent>
                        </wps:txbx>
                        <wps:bodyPr rot="0" spcFirstLastPara="0" vert="horz" wrap="square" lIns="0" tIns="0" rIns="0" bIns="36000" numCol="1" spcCol="0" rtlCol="0" fromWordArt="0" anchor="ctr" anchorCtr="0" forceAA="0" compatLnSpc="1">
                          <a:prstTxWarp prst="textNoShape">
                            <a:avLst/>
                          </a:prstTxWarp>
                          <a:noAutofit/>
                        </wps:bodyPr>
                      </wps:wsp>
                      <wps:wsp>
                        <wps:cNvPr id="491" name="Text Box 322">
                          <a:extLst>
                            <a:ext uri="{FF2B5EF4-FFF2-40B4-BE49-F238E27FC236}">
                              <a16:creationId xmlns:a16="http://schemas.microsoft.com/office/drawing/2014/main" id="{9307B428-AAC3-6B4B-8060-8A8F2C1B2257}"/>
                            </a:ext>
                          </a:extLst>
                        </wps:cNvPr>
                        <wps:cNvSpPr txBox="1"/>
                        <wps:spPr>
                          <a:xfrm>
                            <a:off x="6445487" y="3837345"/>
                            <a:ext cx="900692" cy="450346"/>
                          </a:xfrm>
                          <a:prstGeom prst="rect">
                            <a:avLst/>
                          </a:prstGeom>
                          <a:solidFill>
                            <a:schemeClr val="bg1"/>
                          </a:solidFill>
                          <a:ln w="15875">
                            <a:solidFill>
                              <a:srgbClr val="FF0000"/>
                            </a:solidFill>
                          </a:ln>
                        </wps:spPr>
                        <wps:txbx>
                          <w:txbxContent>
                            <w:p w14:paraId="05DE1598" w14:textId="6BF7F56D" w:rsidR="001C2D4C" w:rsidRPr="006B0497" w:rsidRDefault="001C2D4C"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 xml:space="preserve">High </w:t>
                              </w:r>
                            </w:p>
                            <w:p w14:paraId="33EF26EF" w14:textId="228F474B" w:rsidR="001C2D4C" w:rsidRPr="006B0497" w:rsidRDefault="001C2D4C"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Lp(a) &gt;</w:t>
                              </w:r>
                              <w:r w:rsidR="00230F67">
                                <w:rPr>
                                  <w:rFonts w:ascii="Arial Narrow" w:hAnsi="Arial Narrow"/>
                                  <w:i/>
                                  <w:iCs/>
                                  <w:color w:val="000000" w:themeColor="text1"/>
                                  <w:kern w:val="24"/>
                                  <w:sz w:val="16"/>
                                  <w:szCs w:val="16"/>
                                </w:rPr>
                                <w:t>200</w:t>
                              </w:r>
                              <w:r w:rsidR="00230F67" w:rsidRPr="006B0497">
                                <w:rPr>
                                  <w:rFonts w:ascii="Arial Narrow" w:hAnsi="Arial Narrow"/>
                                  <w:i/>
                                  <w:iCs/>
                                  <w:color w:val="000000" w:themeColor="text1"/>
                                  <w:kern w:val="24"/>
                                  <w:sz w:val="16"/>
                                  <w:szCs w:val="16"/>
                                </w:rPr>
                                <w:t xml:space="preserve"> </w:t>
                              </w:r>
                              <w:r w:rsidRPr="006B0497">
                                <w:rPr>
                                  <w:rFonts w:ascii="Arial Narrow" w:hAnsi="Arial Narrow"/>
                                  <w:i/>
                                  <w:iCs/>
                                  <w:color w:val="000000" w:themeColor="text1"/>
                                  <w:kern w:val="24"/>
                                  <w:sz w:val="16"/>
                                  <w:szCs w:val="16"/>
                                </w:rPr>
                                <w:t>nmol/L</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495" name="Text Box 41">
                          <a:extLst>
                            <a:ext uri="{FF2B5EF4-FFF2-40B4-BE49-F238E27FC236}">
                              <a16:creationId xmlns:a16="http://schemas.microsoft.com/office/drawing/2014/main" id="{9E720DD3-12CC-7F1E-0A90-3BEF2AA1259D}"/>
                            </a:ext>
                          </a:extLst>
                        </wps:cNvPr>
                        <wps:cNvSpPr txBox="1"/>
                        <wps:spPr>
                          <a:xfrm>
                            <a:off x="6449514" y="4489833"/>
                            <a:ext cx="900692" cy="600461"/>
                          </a:xfrm>
                          <a:prstGeom prst="rect">
                            <a:avLst/>
                          </a:prstGeom>
                          <a:noFill/>
                          <a:ln w="15875">
                            <a:solidFill>
                              <a:srgbClr val="FF0000"/>
                            </a:solidFill>
                          </a:ln>
                        </wps:spPr>
                        <wps:txbx>
                          <w:txbxContent>
                            <w:p w14:paraId="41E8D491" w14:textId="77777777" w:rsidR="001C2D4C" w:rsidRPr="006B0497" w:rsidRDefault="001C2D4C"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Intensified risk factor management and therapy</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497" name="Straight Arrow Connector 497">
                          <a:extLst>
                            <a:ext uri="{FF2B5EF4-FFF2-40B4-BE49-F238E27FC236}">
                              <a16:creationId xmlns:a16="http://schemas.microsoft.com/office/drawing/2014/main" id="{88B7D220-DF4F-F5A4-72AB-F5A3079C8E6B}"/>
                            </a:ext>
                          </a:extLst>
                        </wps:cNvPr>
                        <wps:cNvCnPr>
                          <a:cxnSpLocks/>
                          <a:stCxn id="326" idx="2"/>
                          <a:endCxn id="485" idx="0"/>
                        </wps:cNvCnPr>
                        <wps:spPr>
                          <a:xfrm>
                            <a:off x="7422134" y="2041847"/>
                            <a:ext cx="324" cy="74564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98" name="Text Box 335">
                          <a:extLst>
                            <a:ext uri="{FF2B5EF4-FFF2-40B4-BE49-F238E27FC236}">
                              <a16:creationId xmlns:a16="http://schemas.microsoft.com/office/drawing/2014/main" id="{1815BC50-C0D9-4B6C-AF5D-A525451E2990}"/>
                            </a:ext>
                          </a:extLst>
                        </wps:cNvPr>
                        <wps:cNvSpPr txBox="1"/>
                        <wps:spPr>
                          <a:xfrm>
                            <a:off x="6634120" y="623598"/>
                            <a:ext cx="1359787" cy="403426"/>
                          </a:xfrm>
                          <a:prstGeom prst="rect">
                            <a:avLst/>
                          </a:prstGeom>
                          <a:solidFill>
                            <a:sysClr val="window" lastClr="FFFFFF"/>
                          </a:solidFill>
                          <a:ln w="6350">
                            <a:noFill/>
                          </a:ln>
                        </wps:spPr>
                        <wps:txbx>
                          <w:txbxContent>
                            <w:p w14:paraId="619C43FF" w14:textId="77777777" w:rsidR="001C2D4C" w:rsidRPr="006B0497" w:rsidRDefault="001C2D4C" w:rsidP="006B0497">
                              <w:pPr>
                                <w:spacing w:after="0" w:line="240" w:lineRule="auto"/>
                                <w:jc w:val="center"/>
                                <w:rPr>
                                  <w:rFonts w:ascii="Arial Narrow" w:hAnsi="Arial Narrow"/>
                                  <w:color w:val="000000" w:themeColor="text1"/>
                                  <w:kern w:val="24"/>
                                  <w:sz w:val="16"/>
                                  <w:szCs w:val="16"/>
                                  <w:lang w:val="en-NZ"/>
                                </w:rPr>
                              </w:pPr>
                              <w:r w:rsidRPr="006B0497">
                                <w:rPr>
                                  <w:rFonts w:ascii="Arial Narrow" w:hAnsi="Arial Narrow"/>
                                  <w:color w:val="000000" w:themeColor="text1"/>
                                  <w:kern w:val="24"/>
                                  <w:sz w:val="16"/>
                                  <w:szCs w:val="16"/>
                                  <w:lang w:val="en-NZ"/>
                                </w:rPr>
                                <w:t>Proposed clinical management pathway</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506" name="Straight Arrow Connector 506">
                          <a:extLst>
                            <a:ext uri="{FF2B5EF4-FFF2-40B4-BE49-F238E27FC236}">
                              <a16:creationId xmlns:a16="http://schemas.microsoft.com/office/drawing/2014/main" id="{F644B269-FA49-FBFF-5B30-D9C13BF40164}"/>
                            </a:ext>
                          </a:extLst>
                        </wps:cNvPr>
                        <wps:cNvCnPr>
                          <a:cxnSpLocks/>
                          <a:stCxn id="474" idx="2"/>
                          <a:endCxn id="476" idx="0"/>
                        </wps:cNvCnPr>
                        <wps:spPr>
                          <a:xfrm>
                            <a:off x="1440913" y="1837532"/>
                            <a:ext cx="54" cy="33147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08" name="Text Box 382">
                          <a:extLst>
                            <a:ext uri="{FF2B5EF4-FFF2-40B4-BE49-F238E27FC236}">
                              <a16:creationId xmlns:a16="http://schemas.microsoft.com/office/drawing/2014/main" id="{190C49A0-1503-58E0-0C59-B55985E6BC5A}"/>
                            </a:ext>
                          </a:extLst>
                        </wps:cNvPr>
                        <wps:cNvSpPr txBox="1"/>
                        <wps:spPr>
                          <a:xfrm>
                            <a:off x="7482468" y="4498080"/>
                            <a:ext cx="900691" cy="600461"/>
                          </a:xfrm>
                          <a:prstGeom prst="rect">
                            <a:avLst/>
                          </a:prstGeom>
                          <a:noFill/>
                          <a:ln w="15875" cmpd="dbl">
                            <a:solidFill>
                              <a:srgbClr val="ED7D31"/>
                            </a:solidFill>
                          </a:ln>
                        </wps:spPr>
                        <wps:txbx>
                          <w:txbxContent>
                            <w:p w14:paraId="18551A0F" w14:textId="77777777" w:rsidR="001C2D4C" w:rsidRPr="006B0497" w:rsidRDefault="001C2D4C"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Lifestyle modifications, possible therapy recommended by the guideline</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509" name="Straight Arrow Connector 509">
                          <a:extLst>
                            <a:ext uri="{FF2B5EF4-FFF2-40B4-BE49-F238E27FC236}">
                              <a16:creationId xmlns:a16="http://schemas.microsoft.com/office/drawing/2014/main" id="{3A9F3A5D-5F79-53F7-8D05-33BBFDAC75DD}"/>
                            </a:ext>
                          </a:extLst>
                        </wps:cNvPr>
                        <wps:cNvCnPr>
                          <a:cxnSpLocks/>
                          <a:stCxn id="452" idx="2"/>
                          <a:endCxn id="455" idx="0"/>
                        </wps:cNvCnPr>
                        <wps:spPr>
                          <a:xfrm>
                            <a:off x="2431588" y="1837645"/>
                            <a:ext cx="0" cy="32658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10" name="Straight Arrow Connector 510">
                          <a:extLst>
                            <a:ext uri="{FF2B5EF4-FFF2-40B4-BE49-F238E27FC236}">
                              <a16:creationId xmlns:a16="http://schemas.microsoft.com/office/drawing/2014/main" id="{F74E9A6B-CCC4-9D0C-6E3E-84E8A443B505}"/>
                            </a:ext>
                          </a:extLst>
                        </wps:cNvPr>
                        <wps:cNvCnPr>
                          <a:cxnSpLocks/>
                          <a:stCxn id="486" idx="2"/>
                          <a:endCxn id="508" idx="0"/>
                        </wps:cNvCnPr>
                        <wps:spPr>
                          <a:xfrm>
                            <a:off x="7932813" y="4284284"/>
                            <a:ext cx="0" cy="21379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11" name="Straight Arrow Connector 74">
                          <a:extLst>
                            <a:ext uri="{FF2B5EF4-FFF2-40B4-BE49-F238E27FC236}">
                              <a16:creationId xmlns:a16="http://schemas.microsoft.com/office/drawing/2014/main" id="{F24CFD55-EACD-657E-FC48-107C8B184A70}"/>
                            </a:ext>
                          </a:extLst>
                        </wps:cNvPr>
                        <wps:cNvCnPr>
                          <a:cxnSpLocks/>
                          <a:stCxn id="485" idx="2"/>
                          <a:endCxn id="486" idx="0"/>
                        </wps:cNvCnPr>
                        <wps:spPr>
                          <a:xfrm rot="16200000" flipH="1">
                            <a:off x="7454641" y="3355767"/>
                            <a:ext cx="445989" cy="510355"/>
                          </a:xfrm>
                          <a:prstGeom prst="bentConnector3">
                            <a:avLst>
                              <a:gd name="adj1" fmla="val 50000"/>
                            </a:avLst>
                          </a:prstGeom>
                          <a:ln>
                            <a:tailEnd type="triangle"/>
                          </a:ln>
                        </wps:spPr>
                        <wps:style>
                          <a:lnRef idx="2">
                            <a:schemeClr val="dk1"/>
                          </a:lnRef>
                          <a:fillRef idx="0">
                            <a:schemeClr val="dk1"/>
                          </a:fillRef>
                          <a:effectRef idx="1">
                            <a:schemeClr val="dk1"/>
                          </a:effectRef>
                          <a:fontRef idx="minor">
                            <a:schemeClr val="tx1"/>
                          </a:fontRef>
                        </wps:style>
                        <wps:bodyPr/>
                      </wps:wsp>
                      <wps:wsp>
                        <wps:cNvPr id="320" name="Connector: Elbow 320">
                          <a:extLst>
                            <a:ext uri="{FF2B5EF4-FFF2-40B4-BE49-F238E27FC236}">
                              <a16:creationId xmlns:a16="http://schemas.microsoft.com/office/drawing/2014/main" id="{94422A32-D964-3242-C21E-329B13EC08BE}"/>
                            </a:ext>
                          </a:extLst>
                        </wps:cNvPr>
                        <wps:cNvCnPr>
                          <a:cxnSpLocks/>
                          <a:stCxn id="63" idx="1"/>
                          <a:endCxn id="452" idx="0"/>
                        </wps:cNvCnPr>
                        <wps:spPr>
                          <a:xfrm rot="10800000" flipV="1">
                            <a:off x="2431588" y="1003887"/>
                            <a:ext cx="220718" cy="623597"/>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1" name="Connector: Elbow 321">
                          <a:extLst>
                            <a:ext uri="{FF2B5EF4-FFF2-40B4-BE49-F238E27FC236}">
                              <a16:creationId xmlns:a16="http://schemas.microsoft.com/office/drawing/2014/main" id="{E67B63C6-7655-C939-A7AB-661F6EAC133F}"/>
                            </a:ext>
                          </a:extLst>
                        </wps:cNvPr>
                        <wps:cNvCnPr>
                          <a:cxnSpLocks/>
                          <a:stCxn id="63" idx="1"/>
                          <a:endCxn id="448" idx="0"/>
                        </wps:cNvCnPr>
                        <wps:spPr>
                          <a:xfrm rot="10800000" flipV="1">
                            <a:off x="450347" y="1003887"/>
                            <a:ext cx="2201959" cy="623597"/>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2" name="Connector: Elbow 322">
                          <a:extLst>
                            <a:ext uri="{FF2B5EF4-FFF2-40B4-BE49-F238E27FC236}">
                              <a16:creationId xmlns:a16="http://schemas.microsoft.com/office/drawing/2014/main" id="{9BB43DF7-6509-A267-3C5A-26ECB2DF75B2}"/>
                            </a:ext>
                          </a:extLst>
                        </wps:cNvPr>
                        <wps:cNvCnPr>
                          <a:cxnSpLocks/>
                          <a:stCxn id="63" idx="1"/>
                          <a:endCxn id="474" idx="0"/>
                        </wps:cNvCnPr>
                        <wps:spPr>
                          <a:xfrm rot="10800000" flipV="1">
                            <a:off x="1440914" y="1003887"/>
                            <a:ext cx="1211393" cy="623396"/>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3" name="Straight Arrow Connector 323">
                          <a:extLst>
                            <a:ext uri="{FF2B5EF4-FFF2-40B4-BE49-F238E27FC236}">
                              <a16:creationId xmlns:a16="http://schemas.microsoft.com/office/drawing/2014/main" id="{2FFEA595-6B54-FB31-F960-0F56568D5579}"/>
                            </a:ext>
                          </a:extLst>
                        </wps:cNvPr>
                        <wps:cNvCnPr>
                          <a:cxnSpLocks/>
                          <a:stCxn id="448" idx="2"/>
                          <a:endCxn id="454" idx="0"/>
                        </wps:cNvCnPr>
                        <wps:spPr>
                          <a:xfrm>
                            <a:off x="450346" y="1837645"/>
                            <a:ext cx="0" cy="32472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24" name="Text Box 20">
                          <a:extLst>
                            <a:ext uri="{FF2B5EF4-FFF2-40B4-BE49-F238E27FC236}">
                              <a16:creationId xmlns:a16="http://schemas.microsoft.com/office/drawing/2014/main" id="{3CEE660F-A59D-6544-6DA4-B97613CF2326}"/>
                            </a:ext>
                          </a:extLst>
                        </wps:cNvPr>
                        <wps:cNvSpPr txBox="1"/>
                        <wps:spPr>
                          <a:xfrm>
                            <a:off x="5456772" y="1627484"/>
                            <a:ext cx="900692" cy="210161"/>
                          </a:xfrm>
                          <a:prstGeom prst="rect">
                            <a:avLst/>
                          </a:prstGeom>
                          <a:solidFill>
                            <a:schemeClr val="bg1">
                              <a:lumMod val="95000"/>
                            </a:schemeClr>
                          </a:solidFill>
                          <a:ln w="15875">
                            <a:solidFill>
                              <a:schemeClr val="bg1">
                                <a:lumMod val="85000"/>
                              </a:schemeClr>
                            </a:solidFill>
                          </a:ln>
                        </wps:spPr>
                        <wps:txbx>
                          <w:txbxContent>
                            <w:p w14:paraId="02E5B4CB" w14:textId="77777777" w:rsidR="001C2D4C" w:rsidRPr="007060B2" w:rsidRDefault="001C2D4C" w:rsidP="006B0497">
                              <w:pPr>
                                <w:spacing w:after="0" w:line="240" w:lineRule="auto"/>
                                <w:jc w:val="center"/>
                                <w:rPr>
                                  <w:rFonts w:ascii="Arial Narrow" w:hAnsi="Arial Narrow"/>
                                  <w:i/>
                                  <w:iCs/>
                                  <w:color w:val="BFBFBF" w:themeColor="background1" w:themeShade="BF"/>
                                  <w:kern w:val="24"/>
                                  <w:sz w:val="16"/>
                                  <w:szCs w:val="16"/>
                                </w:rPr>
                              </w:pPr>
                              <w:r w:rsidRPr="007060B2">
                                <w:rPr>
                                  <w:rFonts w:ascii="Arial Narrow" w:hAnsi="Arial Narrow"/>
                                  <w:i/>
                                  <w:iCs/>
                                  <w:color w:val="BFBFBF" w:themeColor="background1" w:themeShade="BF"/>
                                  <w:kern w:val="24"/>
                                  <w:sz w:val="16"/>
                                  <w:szCs w:val="16"/>
                                </w:rPr>
                                <w:t>High CVD risk</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325" name="Text Box 21">
                          <a:extLst>
                            <a:ext uri="{FF2B5EF4-FFF2-40B4-BE49-F238E27FC236}">
                              <a16:creationId xmlns:a16="http://schemas.microsoft.com/office/drawing/2014/main" id="{F8874F8D-C1A6-5DE2-B4BD-B9774081486A}"/>
                            </a:ext>
                          </a:extLst>
                        </wps:cNvPr>
                        <wps:cNvSpPr txBox="1"/>
                        <wps:spPr>
                          <a:xfrm>
                            <a:off x="8504928" y="1627484"/>
                            <a:ext cx="900692" cy="210161"/>
                          </a:xfrm>
                          <a:prstGeom prst="rect">
                            <a:avLst/>
                          </a:prstGeom>
                          <a:solidFill>
                            <a:schemeClr val="bg1">
                              <a:lumMod val="95000"/>
                            </a:schemeClr>
                          </a:solidFill>
                          <a:ln w="15875">
                            <a:solidFill>
                              <a:schemeClr val="bg1">
                                <a:lumMod val="85000"/>
                              </a:schemeClr>
                            </a:solidFill>
                          </a:ln>
                        </wps:spPr>
                        <wps:txbx>
                          <w:txbxContent>
                            <w:p w14:paraId="79626382" w14:textId="77777777" w:rsidR="001C2D4C" w:rsidRPr="007060B2" w:rsidRDefault="001C2D4C" w:rsidP="006B0497">
                              <w:pPr>
                                <w:spacing w:after="0" w:line="240" w:lineRule="auto"/>
                                <w:jc w:val="center"/>
                                <w:rPr>
                                  <w:rFonts w:ascii="Arial Narrow" w:hAnsi="Arial Narrow"/>
                                  <w:i/>
                                  <w:iCs/>
                                  <w:color w:val="BFBFBF" w:themeColor="background1" w:themeShade="BF"/>
                                  <w:kern w:val="24"/>
                                  <w:sz w:val="16"/>
                                  <w:szCs w:val="16"/>
                                </w:rPr>
                              </w:pPr>
                              <w:r w:rsidRPr="007060B2">
                                <w:rPr>
                                  <w:rFonts w:ascii="Arial Narrow" w:hAnsi="Arial Narrow"/>
                                  <w:i/>
                                  <w:iCs/>
                                  <w:color w:val="BFBFBF" w:themeColor="background1" w:themeShade="BF"/>
                                  <w:kern w:val="24"/>
                                  <w:sz w:val="16"/>
                                  <w:szCs w:val="16"/>
                                </w:rPr>
                                <w:t>Low CVD risk</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326" name="Text Box 25">
                          <a:extLst>
                            <a:ext uri="{FF2B5EF4-FFF2-40B4-BE49-F238E27FC236}">
                              <a16:creationId xmlns:a16="http://schemas.microsoft.com/office/drawing/2014/main" id="{6AA7FE1F-571E-A538-642E-3727EAD6BA07}"/>
                            </a:ext>
                          </a:extLst>
                        </wps:cNvPr>
                        <wps:cNvSpPr txBox="1"/>
                        <wps:spPr>
                          <a:xfrm>
                            <a:off x="6861500" y="1627283"/>
                            <a:ext cx="1121268" cy="414589"/>
                          </a:xfrm>
                          <a:prstGeom prst="rect">
                            <a:avLst/>
                          </a:prstGeom>
                          <a:noFill/>
                          <a:ln w="15875" cmpd="dbl">
                            <a:solidFill>
                              <a:schemeClr val="accent2"/>
                            </a:solidFill>
                          </a:ln>
                        </wps:spPr>
                        <wps:txbx>
                          <w:txbxContent>
                            <w:p w14:paraId="3418B7AB" w14:textId="77777777" w:rsidR="001C2D4C" w:rsidRDefault="001C2D4C"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Moderate CVD risk</w:t>
                              </w:r>
                            </w:p>
                            <w:p w14:paraId="0B3D0632" w14:textId="131F4AF3" w:rsidR="00DD5A45" w:rsidRPr="006B0497" w:rsidRDefault="00DD5A45" w:rsidP="006B0497">
                              <w:pPr>
                                <w:spacing w:after="0" w:line="240" w:lineRule="auto"/>
                                <w:jc w:val="center"/>
                                <w:rPr>
                                  <w:rFonts w:ascii="Arial Narrow" w:hAnsi="Arial Narrow"/>
                                  <w:i/>
                                  <w:iCs/>
                                  <w:color w:val="000000" w:themeColor="text1"/>
                                  <w:kern w:val="24"/>
                                  <w:sz w:val="16"/>
                                  <w:szCs w:val="16"/>
                                </w:rPr>
                              </w:pPr>
                              <w:r>
                                <w:rPr>
                                  <w:rFonts w:ascii="Arial Narrow" w:hAnsi="Arial Narrow"/>
                                  <w:i/>
                                  <w:iCs/>
                                  <w:color w:val="000000" w:themeColor="text1"/>
                                  <w:kern w:val="24"/>
                                  <w:sz w:val="16"/>
                                  <w:szCs w:val="16"/>
                                </w:rPr>
                                <w:t>(the targeted</w:t>
                              </w:r>
                              <w:r w:rsidR="00130FBB" w:rsidRPr="00130FBB">
                                <w:rPr>
                                  <w:rFonts w:ascii="Arial Narrow" w:hAnsi="Arial Narrow"/>
                                  <w:i/>
                                  <w:iCs/>
                                  <w:color w:val="000000" w:themeColor="text1"/>
                                  <w:kern w:val="24"/>
                                  <w:sz w:val="16"/>
                                  <w:szCs w:val="16"/>
                                </w:rPr>
                                <w:t xml:space="preserve"> </w:t>
                              </w:r>
                              <w:r w:rsidR="00130FBB">
                                <w:rPr>
                                  <w:rFonts w:ascii="Arial Narrow" w:hAnsi="Arial Narrow"/>
                                  <w:i/>
                                  <w:iCs/>
                                  <w:color w:val="000000" w:themeColor="text1"/>
                                  <w:kern w:val="24"/>
                                  <w:sz w:val="16"/>
                                  <w:szCs w:val="16"/>
                                </w:rPr>
                                <w:t>population</w:t>
                              </w:r>
                              <w:r>
                                <w:rPr>
                                  <w:rFonts w:ascii="Arial Narrow" w:hAnsi="Arial Narrow"/>
                                  <w:i/>
                                  <w:iCs/>
                                  <w:color w:val="000000" w:themeColor="text1"/>
                                  <w:kern w:val="24"/>
                                  <w:sz w:val="16"/>
                                  <w:szCs w:val="16"/>
                                </w:rPr>
                                <w:t>)</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327" name="Connector: Elbow 327">
                          <a:extLst>
                            <a:ext uri="{FF2B5EF4-FFF2-40B4-BE49-F238E27FC236}">
                              <a16:creationId xmlns:a16="http://schemas.microsoft.com/office/drawing/2014/main" id="{64D97FCB-3FAE-0D97-BB27-E1B0B4DF4B4A}"/>
                            </a:ext>
                          </a:extLst>
                        </wps:cNvPr>
                        <wps:cNvCnPr>
                          <a:cxnSpLocks/>
                          <a:stCxn id="63" idx="3"/>
                          <a:endCxn id="324" idx="0"/>
                        </wps:cNvCnPr>
                        <wps:spPr>
                          <a:xfrm>
                            <a:off x="5745796" y="1003887"/>
                            <a:ext cx="161322" cy="623597"/>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8" name="Connector: Elbow 328">
                          <a:extLst>
                            <a:ext uri="{FF2B5EF4-FFF2-40B4-BE49-F238E27FC236}">
                              <a16:creationId xmlns:a16="http://schemas.microsoft.com/office/drawing/2014/main" id="{36E8FC1B-F770-7F11-D9D6-7C41B4DE0A5F}"/>
                            </a:ext>
                          </a:extLst>
                        </wps:cNvPr>
                        <wps:cNvCnPr>
                          <a:cxnSpLocks/>
                          <a:stCxn id="63" idx="3"/>
                          <a:endCxn id="324" idx="0"/>
                        </wps:cNvCnPr>
                        <wps:spPr>
                          <a:xfrm>
                            <a:off x="5745796" y="1003887"/>
                            <a:ext cx="161322" cy="623597"/>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9" name="Connector: Elbow 329">
                          <a:extLst>
                            <a:ext uri="{FF2B5EF4-FFF2-40B4-BE49-F238E27FC236}">
                              <a16:creationId xmlns:a16="http://schemas.microsoft.com/office/drawing/2014/main" id="{7B0FBF03-7B7A-4B8E-899E-E5F6700D6A1A}"/>
                            </a:ext>
                          </a:extLst>
                        </wps:cNvPr>
                        <wps:cNvCnPr>
                          <a:cxnSpLocks/>
                          <a:stCxn id="63" idx="3"/>
                          <a:endCxn id="325" idx="0"/>
                        </wps:cNvCnPr>
                        <wps:spPr>
                          <a:xfrm>
                            <a:off x="5745796" y="1003887"/>
                            <a:ext cx="3209478" cy="623597"/>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0" name="Connector: Elbow 330">
                          <a:extLst>
                            <a:ext uri="{FF2B5EF4-FFF2-40B4-BE49-F238E27FC236}">
                              <a16:creationId xmlns:a16="http://schemas.microsoft.com/office/drawing/2014/main" id="{3558D2B7-E248-1AC2-4577-5AFD02A24B3E}"/>
                            </a:ext>
                          </a:extLst>
                        </wps:cNvPr>
                        <wps:cNvCnPr>
                          <a:cxnSpLocks/>
                          <a:stCxn id="63" idx="3"/>
                          <a:endCxn id="326" idx="0"/>
                        </wps:cNvCnPr>
                        <wps:spPr>
                          <a:xfrm>
                            <a:off x="5745796" y="1003887"/>
                            <a:ext cx="1676338" cy="623396"/>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1" name="Text Box 24">
                          <a:extLst>
                            <a:ext uri="{FF2B5EF4-FFF2-40B4-BE49-F238E27FC236}">
                              <a16:creationId xmlns:a16="http://schemas.microsoft.com/office/drawing/2014/main" id="{6060FE1C-58D0-BB11-686B-A47F6369C641}"/>
                            </a:ext>
                          </a:extLst>
                        </wps:cNvPr>
                        <wps:cNvSpPr txBox="1"/>
                        <wps:spPr>
                          <a:xfrm>
                            <a:off x="8504928" y="4489833"/>
                            <a:ext cx="900692" cy="600461"/>
                          </a:xfrm>
                          <a:prstGeom prst="rect">
                            <a:avLst/>
                          </a:prstGeom>
                          <a:solidFill>
                            <a:schemeClr val="bg1">
                              <a:lumMod val="95000"/>
                            </a:schemeClr>
                          </a:solidFill>
                          <a:ln w="15875">
                            <a:solidFill>
                              <a:schemeClr val="bg1">
                                <a:lumMod val="85000"/>
                              </a:schemeClr>
                            </a:solidFill>
                          </a:ln>
                        </wps:spPr>
                        <wps:txbx>
                          <w:txbxContent>
                            <w:p w14:paraId="3D6A61CD" w14:textId="77777777" w:rsidR="001C2D4C" w:rsidRPr="007060B2" w:rsidRDefault="001C2D4C" w:rsidP="006B0497">
                              <w:pPr>
                                <w:spacing w:after="0" w:line="240" w:lineRule="auto"/>
                                <w:jc w:val="center"/>
                                <w:rPr>
                                  <w:rFonts w:ascii="Arial Narrow" w:hAnsi="Arial Narrow"/>
                                  <w:i/>
                                  <w:iCs/>
                                  <w:color w:val="BFBFBF" w:themeColor="background1" w:themeShade="BF"/>
                                  <w:kern w:val="24"/>
                                  <w:sz w:val="16"/>
                                  <w:szCs w:val="16"/>
                                </w:rPr>
                              </w:pPr>
                              <w:r w:rsidRPr="007060B2">
                                <w:rPr>
                                  <w:rFonts w:ascii="Arial Narrow" w:hAnsi="Arial Narrow"/>
                                  <w:i/>
                                  <w:iCs/>
                                  <w:color w:val="BFBFBF" w:themeColor="background1" w:themeShade="BF"/>
                                  <w:kern w:val="24"/>
                                  <w:sz w:val="16"/>
                                  <w:szCs w:val="16"/>
                                </w:rPr>
                                <w:t>No action required</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332" name="Straight Arrow Connector 332">
                          <a:extLst>
                            <a:ext uri="{FF2B5EF4-FFF2-40B4-BE49-F238E27FC236}">
                              <a16:creationId xmlns:a16="http://schemas.microsoft.com/office/drawing/2014/main" id="{A1A3CD69-B0B4-D884-F52D-AE99A2738883}"/>
                            </a:ext>
                          </a:extLst>
                        </wps:cNvPr>
                        <wps:cNvCnPr>
                          <a:cxnSpLocks/>
                        </wps:cNvCnPr>
                        <wps:spPr>
                          <a:xfrm>
                            <a:off x="8955274" y="1845892"/>
                            <a:ext cx="0" cy="265218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33" name="Straight Arrow Connector 140">
                          <a:extLst>
                            <a:ext uri="{FF2B5EF4-FFF2-40B4-BE49-F238E27FC236}">
                              <a16:creationId xmlns:a16="http://schemas.microsoft.com/office/drawing/2014/main" id="{4A54F7E1-3907-0BAE-9DF7-3FA3D512D9AA}"/>
                            </a:ext>
                          </a:extLst>
                        </wps:cNvPr>
                        <wps:cNvCnPr>
                          <a:cxnSpLocks/>
                          <a:stCxn id="485" idx="2"/>
                          <a:endCxn id="491" idx="0"/>
                        </wps:cNvCnPr>
                        <wps:spPr>
                          <a:xfrm rot="5400000">
                            <a:off x="6934448" y="3349335"/>
                            <a:ext cx="449396" cy="526625"/>
                          </a:xfrm>
                          <a:prstGeom prst="bentConnector3">
                            <a:avLst>
                              <a:gd name="adj1" fmla="val 50000"/>
                            </a:avLst>
                          </a:prstGeom>
                          <a:ln>
                            <a:tailEnd type="triangle"/>
                          </a:ln>
                        </wps:spPr>
                        <wps:style>
                          <a:lnRef idx="2">
                            <a:schemeClr val="dk1"/>
                          </a:lnRef>
                          <a:fillRef idx="0">
                            <a:schemeClr val="dk1"/>
                          </a:fillRef>
                          <a:effectRef idx="1">
                            <a:schemeClr val="dk1"/>
                          </a:effectRef>
                          <a:fontRef idx="minor">
                            <a:schemeClr val="tx1"/>
                          </a:fontRef>
                        </wps:style>
                        <wps:bodyPr/>
                      </wps:wsp>
                      <wps:wsp>
                        <wps:cNvPr id="334" name="Text Box 335">
                          <a:extLst>
                            <a:ext uri="{FF2B5EF4-FFF2-40B4-BE49-F238E27FC236}">
                              <a16:creationId xmlns:a16="http://schemas.microsoft.com/office/drawing/2014/main" id="{520CAF4B-50B9-6F0C-B5BA-166C2BB3A5F3}"/>
                            </a:ext>
                          </a:extLst>
                        </wps:cNvPr>
                        <wps:cNvSpPr txBox="1"/>
                        <wps:spPr>
                          <a:xfrm>
                            <a:off x="761072" y="592013"/>
                            <a:ext cx="1359787" cy="403425"/>
                          </a:xfrm>
                          <a:prstGeom prst="rect">
                            <a:avLst/>
                          </a:prstGeom>
                          <a:solidFill>
                            <a:sysClr val="window" lastClr="FFFFFF"/>
                          </a:solidFill>
                          <a:ln w="6350">
                            <a:noFill/>
                          </a:ln>
                        </wps:spPr>
                        <wps:txbx>
                          <w:txbxContent>
                            <w:p w14:paraId="38847689" w14:textId="77777777" w:rsidR="001C2D4C" w:rsidRPr="006B0497" w:rsidRDefault="001C2D4C" w:rsidP="006B0497">
                              <w:pPr>
                                <w:spacing w:after="0" w:line="240" w:lineRule="auto"/>
                                <w:jc w:val="center"/>
                                <w:rPr>
                                  <w:rFonts w:ascii="Arial Narrow" w:hAnsi="Arial Narrow"/>
                                  <w:color w:val="000000" w:themeColor="text1"/>
                                  <w:kern w:val="24"/>
                                  <w:sz w:val="16"/>
                                  <w:szCs w:val="16"/>
                                  <w:lang w:val="en-NZ"/>
                                </w:rPr>
                              </w:pPr>
                              <w:r w:rsidRPr="006B0497">
                                <w:rPr>
                                  <w:rFonts w:ascii="Arial Narrow" w:hAnsi="Arial Narrow"/>
                                  <w:color w:val="000000" w:themeColor="text1"/>
                                  <w:kern w:val="24"/>
                                  <w:sz w:val="16"/>
                                  <w:szCs w:val="16"/>
                                  <w:lang w:val="en-NZ"/>
                                </w:rPr>
                                <w:t>Current clinical management pathway</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340" name="Text Box 41">
                          <a:extLst>
                            <a:ext uri="{FF2B5EF4-FFF2-40B4-BE49-F238E27FC236}">
                              <a16:creationId xmlns:a16="http://schemas.microsoft.com/office/drawing/2014/main" id="{E54248FA-A3A4-2CDE-EF9D-B54189B697DA}"/>
                            </a:ext>
                          </a:extLst>
                        </wps:cNvPr>
                        <wps:cNvSpPr txBox="1"/>
                        <wps:spPr>
                          <a:xfrm>
                            <a:off x="5447171" y="4500085"/>
                            <a:ext cx="900692" cy="600461"/>
                          </a:xfrm>
                          <a:prstGeom prst="rect">
                            <a:avLst/>
                          </a:prstGeom>
                          <a:solidFill>
                            <a:schemeClr val="bg1">
                              <a:lumMod val="95000"/>
                            </a:schemeClr>
                          </a:solidFill>
                          <a:ln w="15875">
                            <a:solidFill>
                              <a:schemeClr val="bg1">
                                <a:lumMod val="85000"/>
                              </a:schemeClr>
                            </a:solidFill>
                          </a:ln>
                        </wps:spPr>
                        <wps:txbx>
                          <w:txbxContent>
                            <w:p w14:paraId="522FA22B" w14:textId="77777777" w:rsidR="001C2D4C" w:rsidRPr="007060B2" w:rsidRDefault="001C2D4C" w:rsidP="006B0497">
                              <w:pPr>
                                <w:spacing w:after="0" w:line="240" w:lineRule="auto"/>
                                <w:jc w:val="center"/>
                                <w:rPr>
                                  <w:rFonts w:ascii="Arial Narrow" w:hAnsi="Arial Narrow"/>
                                  <w:i/>
                                  <w:iCs/>
                                  <w:color w:val="BFBFBF" w:themeColor="background1" w:themeShade="BF"/>
                                  <w:kern w:val="24"/>
                                  <w:sz w:val="16"/>
                                  <w:szCs w:val="16"/>
                                </w:rPr>
                              </w:pPr>
                              <w:r w:rsidRPr="007060B2">
                                <w:rPr>
                                  <w:rFonts w:ascii="Arial Narrow" w:hAnsi="Arial Narrow"/>
                                  <w:i/>
                                  <w:iCs/>
                                  <w:color w:val="BFBFBF" w:themeColor="background1" w:themeShade="BF"/>
                                  <w:kern w:val="24"/>
                                  <w:sz w:val="16"/>
                                  <w:szCs w:val="16"/>
                                </w:rPr>
                                <w:t>Risk management strategies recommended by the guideline</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341" name="Straight Arrow Connector 341">
                          <a:extLst>
                            <a:ext uri="{FF2B5EF4-FFF2-40B4-BE49-F238E27FC236}">
                              <a16:creationId xmlns:a16="http://schemas.microsoft.com/office/drawing/2014/main" id="{DF5AD125-1059-0C99-BA9B-4290BC75E2FA}"/>
                            </a:ext>
                          </a:extLst>
                        </wps:cNvPr>
                        <wps:cNvCnPr>
                          <a:cxnSpLocks/>
                          <a:stCxn id="491" idx="2"/>
                          <a:endCxn id="495" idx="0"/>
                        </wps:cNvCnPr>
                        <wps:spPr>
                          <a:xfrm>
                            <a:off x="6895833" y="4287691"/>
                            <a:ext cx="4027" cy="20214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42" name="Straight Arrow Connector 342">
                          <a:extLst>
                            <a:ext uri="{FF2B5EF4-FFF2-40B4-BE49-F238E27FC236}">
                              <a16:creationId xmlns:a16="http://schemas.microsoft.com/office/drawing/2014/main" id="{67FC5DD9-2F20-05AA-8D5E-EE8FFBFB4C78}"/>
                            </a:ext>
                          </a:extLst>
                        </wps:cNvPr>
                        <wps:cNvCnPr>
                          <a:cxnSpLocks/>
                        </wps:cNvCnPr>
                        <wps:spPr>
                          <a:xfrm flipH="1">
                            <a:off x="5897384" y="1857375"/>
                            <a:ext cx="9600" cy="264243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c:wpc>
                  </a:graphicData>
                </a:graphic>
              </wp:inline>
            </w:drawing>
          </mc:Choice>
          <mc:Fallback>
            <w:pict>
              <v:group w14:anchorId="07AAA7D1" id="Canvas 8" o:spid="_x0000_s1029" editas="canvas" alt="Figure 5 Current and proposed clinical management algorithms for Population A" style="width:740.6pt;height:432.05pt;mso-position-horizontal-relative:char;mso-position-vertical-relative:line" coordsize="94056,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Figure 5 Current and proposed clinical management algorithms for Population A" style="position:absolute;width:94056;height:54864;visibility:visible;mso-wrap-style:square" filled="t">
                  <v:fill o:detectmouseclick="t"/>
                  <v:path o:connecttype="none"/>
                </v:shape>
                <v:shape id="Text Box 16" o:spid="_x0000_s1031" type="#_x0000_t202" style="position:absolute;left:26523;top:7684;width:30934;height:4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" fillcolor="window" strokecolor="red" strokeweight="1.25pt">
                  <v:stroke linestyle="thinThin"/>
                  <v:textbox inset="0,,0">
                    <w:txbxContent>
                      <w:p w14:paraId="21772534" w14:textId="77777777" w:rsidR="001C2D4C" w:rsidRPr="006B0497" w:rsidRDefault="001C2D4C"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 xml:space="preserve">Absolute CVD risk assessment using the tool recommended by the Australian clinical practice guideline </w:t>
                        </w:r>
                      </w:p>
                    </w:txbxContent>
                  </v:textbox>
                </v:shape>
                <v:shape id="Text Box 20" o:spid="_x0000_s1032" type="#_x0000_t202" style="position:absolute;top:16274;width:9006;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" fillcolor="#f2f2f2 [3052]" strokecolor="#d8d8d8 [2732]" strokeweight="1.25pt">
                  <v:textbox inset="0,,0">
                    <w:txbxContent>
                      <w:p w14:paraId="34476029" w14:textId="77777777" w:rsidR="001C2D4C" w:rsidRPr="006D0807" w:rsidRDefault="001C2D4C" w:rsidP="006B0497">
                        <w:pPr>
                          <w:spacing w:after="0" w:line="240" w:lineRule="auto"/>
                          <w:jc w:val="center"/>
                          <w:rPr>
                            <w:rFonts w:ascii="Arial Narrow" w:hAnsi="Arial Narrow"/>
                            <w:i/>
                            <w:iCs/>
                            <w:color w:val="BFBFBF" w:themeColor="background1" w:themeShade="BF"/>
                            <w:kern w:val="24"/>
                            <w:sz w:val="16"/>
                            <w:szCs w:val="16"/>
                          </w:rPr>
                        </w:pPr>
                        <w:r w:rsidRPr="006D0807">
                          <w:rPr>
                            <w:rFonts w:ascii="Arial Narrow" w:hAnsi="Arial Narrow"/>
                            <w:i/>
                            <w:iCs/>
                            <w:color w:val="BFBFBF" w:themeColor="background1" w:themeShade="BF"/>
                            <w:kern w:val="24"/>
                            <w:sz w:val="16"/>
                            <w:szCs w:val="16"/>
                          </w:rPr>
                          <w:t>High CVD risk</w:t>
                        </w:r>
                      </w:p>
                    </w:txbxContent>
                  </v:textbox>
                </v:shape>
                <v:shape id="Text Box 21" o:spid="_x0000_s1033" type="#_x0000_t202" style="position:absolute;left:19812;top:16274;width:9007;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" fillcolor="#f2f2f2 [3052]" strokecolor="#d8d8d8 [2732]" strokeweight="1.25pt">
                  <v:textbox inset="0,,0">
                    <w:txbxContent>
                      <w:p w14:paraId="7B97E337" w14:textId="77777777" w:rsidR="001C2D4C" w:rsidRPr="006D0807" w:rsidRDefault="001C2D4C" w:rsidP="006B0497">
                        <w:pPr>
                          <w:spacing w:after="0" w:line="240" w:lineRule="auto"/>
                          <w:jc w:val="center"/>
                          <w:rPr>
                            <w:rFonts w:ascii="Arial Narrow" w:hAnsi="Arial Narrow"/>
                            <w:i/>
                            <w:iCs/>
                            <w:color w:val="BFBFBF" w:themeColor="background1" w:themeShade="BF"/>
                            <w:kern w:val="24"/>
                            <w:sz w:val="16"/>
                            <w:szCs w:val="16"/>
                          </w:rPr>
                        </w:pPr>
                        <w:r w:rsidRPr="006D0807">
                          <w:rPr>
                            <w:rFonts w:ascii="Arial Narrow" w:hAnsi="Arial Narrow"/>
                            <w:i/>
                            <w:iCs/>
                            <w:color w:val="BFBFBF" w:themeColor="background1" w:themeShade="BF"/>
                            <w:kern w:val="24"/>
                            <w:sz w:val="16"/>
                            <w:szCs w:val="16"/>
                          </w:rPr>
                          <w:t>Low CVD risk</w:t>
                        </w:r>
                      </w:p>
                    </w:txbxContent>
                  </v:textbox>
                </v:shape>
                <v:shape id="Text Box 23" o:spid="_x0000_s1034" type="#_x0000_t202" style="position:absolute;top:21623;width:9006;height:6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" fillcolor="#f2f2f2 [3052]" strokecolor="#d8d8d8 [2732]" strokeweight="1.25pt">
                  <v:textbox inset="0,,0">
                    <w:txbxContent>
                      <w:p w14:paraId="27CA9043" w14:textId="77777777" w:rsidR="001C2D4C" w:rsidRPr="006D0807" w:rsidRDefault="001C2D4C" w:rsidP="006B0497">
                        <w:pPr>
                          <w:spacing w:after="0" w:line="240" w:lineRule="auto"/>
                          <w:jc w:val="center"/>
                          <w:rPr>
                            <w:rFonts w:ascii="Arial Narrow" w:hAnsi="Arial Narrow"/>
                            <w:i/>
                            <w:iCs/>
                            <w:color w:val="BFBFBF" w:themeColor="background1" w:themeShade="BF"/>
                            <w:kern w:val="24"/>
                            <w:sz w:val="16"/>
                            <w:szCs w:val="16"/>
                          </w:rPr>
                        </w:pPr>
                        <w:r w:rsidRPr="006D0807">
                          <w:rPr>
                            <w:rFonts w:ascii="Arial Narrow" w:hAnsi="Arial Narrow"/>
                            <w:i/>
                            <w:iCs/>
                            <w:color w:val="BFBFBF" w:themeColor="background1" w:themeShade="BF"/>
                            <w:kern w:val="24"/>
                            <w:sz w:val="16"/>
                            <w:szCs w:val="16"/>
                          </w:rPr>
                          <w:t>Risk management strategies recommended</w:t>
                        </w:r>
                      </w:p>
                    </w:txbxContent>
                  </v:textbox>
                </v:shape>
                <v:shape id="Text Box 24" o:spid="_x0000_s1035" type="#_x0000_t202" style="position:absolute;left:19812;top:21642;width:9007;height:6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" fillcolor="#f2f2f2 [3052]" strokecolor="#d8d8d8 [2732]" strokeweight="1.25pt">
                  <v:textbox inset="0,,0">
                    <w:txbxContent>
                      <w:p w14:paraId="7CAFDF14" w14:textId="77777777" w:rsidR="001C2D4C" w:rsidRPr="006D0807" w:rsidRDefault="001C2D4C" w:rsidP="006B0497">
                        <w:pPr>
                          <w:spacing w:after="0" w:line="240" w:lineRule="auto"/>
                          <w:jc w:val="center"/>
                          <w:rPr>
                            <w:rFonts w:ascii="Arial Narrow" w:hAnsi="Arial Narrow"/>
                            <w:i/>
                            <w:iCs/>
                            <w:color w:val="BFBFBF" w:themeColor="background1" w:themeShade="BF"/>
                            <w:kern w:val="24"/>
                            <w:sz w:val="16"/>
                            <w:szCs w:val="16"/>
                          </w:rPr>
                        </w:pPr>
                        <w:r w:rsidRPr="006D0807">
                          <w:rPr>
                            <w:rFonts w:ascii="Arial Narrow" w:hAnsi="Arial Narrow"/>
                            <w:i/>
                            <w:iCs/>
                            <w:color w:val="BFBFBF" w:themeColor="background1" w:themeShade="BF"/>
                            <w:kern w:val="24"/>
                            <w:sz w:val="16"/>
                            <w:szCs w:val="16"/>
                          </w:rPr>
                          <w:t>No action required</w:t>
                        </w:r>
                      </w:p>
                    </w:txbxContent>
                  </v:textbox>
                </v:shape>
                <v:shape id="Text Box 25" o:spid="_x0000_s1036" type="#_x0000_t202" style="position:absolute;left:9905;top:16272;width:9007;height:2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" filled="f" strokecolor="#ed7d31 [3205]" strokeweight="1.25pt">
                  <v:stroke linestyle="thinThin"/>
                  <v:textbox inset="0,,0">
                    <w:txbxContent>
                      <w:p w14:paraId="60A17442" w14:textId="77777777" w:rsidR="001C2D4C" w:rsidRPr="006B0497" w:rsidRDefault="001C2D4C"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Moderate CVD risk</w:t>
                        </w:r>
                      </w:p>
                    </w:txbxContent>
                  </v:textbox>
                </v:shape>
                <v:shape id="Text Box 33" o:spid="_x0000_s1037" type="#_x0000_t202" style="position:absolute;left:9906;top:21690;width:9007;height:6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" filled="f" strokecolor="#ed7d31 [3205]" strokeweight="1.25pt">
                  <v:stroke linestyle="thinThin"/>
                  <v:textbox inset="0,,0">
                    <w:txbxContent>
                      <w:p w14:paraId="407C0D61" w14:textId="77777777" w:rsidR="001C2D4C" w:rsidRPr="006B0497" w:rsidRDefault="001C2D4C"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Lifestyle modifications, possible therapy recommended by the guideline</w:t>
                        </w:r>
                      </w:p>
                    </w:txbxContent>
                  </v:textbox>
                </v:shape>
                <v:shape id="Text Box 42" o:spid="_x0000_s1038" type="#_x0000_t202" style="position:absolute;left:69721;top:27874;width:9007;height:6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" fillcolor="#d5dce4 [671]" strokecolor="#44546a [3215]" strokeweight="1.25pt">
                  <v:textbox inset="0,,0">
                    <w:txbxContent>
                      <w:p w14:paraId="515E2997" w14:textId="77777777" w:rsidR="001C2D4C" w:rsidRPr="006B0497" w:rsidRDefault="001C2D4C"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Risk assessment using Lp(a)</w:t>
                        </w:r>
                      </w:p>
                    </w:txbxContent>
                  </v:textbox>
                </v:shape>
                <v:shape id="Text Box 323" o:spid="_x0000_s1039" type="#_x0000_t202" style="position:absolute;left:74824;top:38339;width:9007;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" filled="f" strokecolor="#ed7d31 [3205]" strokeweight="1.25pt">
                  <v:textbox inset="0,0,0,1mm">
                    <w:txbxContent>
                      <w:p w14:paraId="2128AE85" w14:textId="785E4110" w:rsidR="001C2D4C" w:rsidRPr="006B0497" w:rsidRDefault="001C2D4C"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Low or intermediate Lp(a) &lt;</w:t>
                        </w:r>
                        <w:r w:rsidR="00230F67">
                          <w:rPr>
                            <w:rFonts w:ascii="Arial Narrow" w:hAnsi="Arial Narrow"/>
                            <w:i/>
                            <w:iCs/>
                            <w:color w:val="000000" w:themeColor="text1"/>
                            <w:kern w:val="24"/>
                            <w:sz w:val="16"/>
                            <w:szCs w:val="16"/>
                          </w:rPr>
                          <w:t>200</w:t>
                        </w:r>
                        <w:r w:rsidR="00230F67" w:rsidRPr="006B0497">
                          <w:rPr>
                            <w:rFonts w:ascii="Arial Narrow" w:hAnsi="Arial Narrow"/>
                            <w:i/>
                            <w:iCs/>
                            <w:color w:val="000000" w:themeColor="text1"/>
                            <w:kern w:val="24"/>
                            <w:sz w:val="16"/>
                            <w:szCs w:val="16"/>
                          </w:rPr>
                          <w:t xml:space="preserve"> </w:t>
                        </w:r>
                        <w:r w:rsidRPr="006B0497">
                          <w:rPr>
                            <w:rFonts w:ascii="Arial Narrow" w:hAnsi="Arial Narrow"/>
                            <w:i/>
                            <w:iCs/>
                            <w:color w:val="000000" w:themeColor="text1"/>
                            <w:kern w:val="24"/>
                            <w:sz w:val="16"/>
                            <w:szCs w:val="16"/>
                          </w:rPr>
                          <w:t>nmol/L</w:t>
                        </w:r>
                      </w:p>
                    </w:txbxContent>
                  </v:textbox>
                </v:shape>
                <v:shape id="Text Box 322" o:spid="_x0000_s1040" type="#_x0000_t202" style="position:absolute;left:64454;top:38373;width:9007;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" fillcolor="white [3212]" strokecolor="red" strokeweight="1.25pt">
                  <v:textbox inset="0,,0">
                    <w:txbxContent>
                      <w:p w14:paraId="05DE1598" w14:textId="6BF7F56D" w:rsidR="001C2D4C" w:rsidRPr="006B0497" w:rsidRDefault="001C2D4C"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 xml:space="preserve">High </w:t>
                        </w:r>
                      </w:p>
                      <w:p w14:paraId="33EF26EF" w14:textId="228F474B" w:rsidR="001C2D4C" w:rsidRPr="006B0497" w:rsidRDefault="001C2D4C"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Lp(a) &gt;</w:t>
                        </w:r>
                        <w:r w:rsidR="00230F67">
                          <w:rPr>
                            <w:rFonts w:ascii="Arial Narrow" w:hAnsi="Arial Narrow"/>
                            <w:i/>
                            <w:iCs/>
                            <w:color w:val="000000" w:themeColor="text1"/>
                            <w:kern w:val="24"/>
                            <w:sz w:val="16"/>
                            <w:szCs w:val="16"/>
                          </w:rPr>
                          <w:t>200</w:t>
                        </w:r>
                        <w:r w:rsidR="00230F67" w:rsidRPr="006B0497">
                          <w:rPr>
                            <w:rFonts w:ascii="Arial Narrow" w:hAnsi="Arial Narrow"/>
                            <w:i/>
                            <w:iCs/>
                            <w:color w:val="000000" w:themeColor="text1"/>
                            <w:kern w:val="24"/>
                            <w:sz w:val="16"/>
                            <w:szCs w:val="16"/>
                          </w:rPr>
                          <w:t xml:space="preserve"> </w:t>
                        </w:r>
                        <w:r w:rsidRPr="006B0497">
                          <w:rPr>
                            <w:rFonts w:ascii="Arial Narrow" w:hAnsi="Arial Narrow"/>
                            <w:i/>
                            <w:iCs/>
                            <w:color w:val="000000" w:themeColor="text1"/>
                            <w:kern w:val="24"/>
                            <w:sz w:val="16"/>
                            <w:szCs w:val="16"/>
                          </w:rPr>
                          <w:t>nmol/L</w:t>
                        </w:r>
                      </w:p>
                    </w:txbxContent>
                  </v:textbox>
                </v:shape>
                <v:shape id="Text Box 41" o:spid="_x0000_s1041" type="#_x0000_t202" style="position:absolute;left:64495;top:44898;width:9007;height:6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" filled="f" strokecolor="red" strokeweight="1.25pt">
                  <v:textbox inset="0,,0">
                    <w:txbxContent>
                      <w:p w14:paraId="41E8D491" w14:textId="77777777" w:rsidR="001C2D4C" w:rsidRPr="006B0497" w:rsidRDefault="001C2D4C"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Intensified risk factor management and therapy</w:t>
                        </w:r>
                      </w:p>
                    </w:txbxContent>
                  </v:textbox>
                </v:shape>
                <v:shapetype id="_x0000_t32" coordsize="21600,21600" o:spt="32" o:oned="t" path="m,l21600,21600e" filled="f">
                  <v:path arrowok="t" fillok="f" o:connecttype="none"/>
                  <o:lock v:ext="edit" shapetype="t"/>
                </v:shapetype>
                <v:shape id="Straight Arrow Connector 497" o:spid="_x0000_s1042" type="#_x0000_t32" style="position:absolute;left:74221;top:20418;width:3;height:7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" strokecolor="black [3200]" strokeweight="1pt">
                  <v:stroke endarrow="block" joinstyle="miter"/>
                  <o:lock v:ext="edit" shapetype="f"/>
                </v:shape>
                <v:shape id="Text Box 335" o:spid="_x0000_s1043" type="#_x0000_t202" style="position:absolute;left:66341;top:6235;width:13598;height:4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" fillcolor="window" stroked="f" strokeweight=".5pt">
                  <v:textbox inset="0,,0">
                    <w:txbxContent>
                      <w:p w14:paraId="619C43FF" w14:textId="77777777" w:rsidR="001C2D4C" w:rsidRPr="006B0497" w:rsidRDefault="001C2D4C" w:rsidP="006B0497">
                        <w:pPr>
                          <w:spacing w:after="0" w:line="240" w:lineRule="auto"/>
                          <w:jc w:val="center"/>
                          <w:rPr>
                            <w:rFonts w:ascii="Arial Narrow" w:hAnsi="Arial Narrow"/>
                            <w:color w:val="000000" w:themeColor="text1"/>
                            <w:kern w:val="24"/>
                            <w:sz w:val="16"/>
                            <w:szCs w:val="16"/>
                            <w:lang w:val="en-NZ"/>
                          </w:rPr>
                        </w:pPr>
                        <w:r w:rsidRPr="006B0497">
                          <w:rPr>
                            <w:rFonts w:ascii="Arial Narrow" w:hAnsi="Arial Narrow"/>
                            <w:color w:val="000000" w:themeColor="text1"/>
                            <w:kern w:val="24"/>
                            <w:sz w:val="16"/>
                            <w:szCs w:val="16"/>
                            <w:lang w:val="en-NZ"/>
                          </w:rPr>
                          <w:t>Proposed clinical management pathway</w:t>
                        </w:r>
                      </w:p>
                    </w:txbxContent>
                  </v:textbox>
                </v:shape>
                <v:shape id="Straight Arrow Connector 506" o:spid="_x0000_s1044" type="#_x0000_t32" style="position:absolute;left:14409;top:18375;width:0;height:3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" strokecolor="black [3200]" strokeweight="1pt">
                  <v:stroke endarrow="block" joinstyle="miter"/>
                  <o:lock v:ext="edit" shapetype="f"/>
                </v:shape>
                <v:shape id="Text Box 382" o:spid="_x0000_s1045" type="#_x0000_t202" style="position:absolute;left:74824;top:44980;width:9007;height:6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" filled="f" strokecolor="#ed7d31" strokeweight="1.25pt">
                  <v:stroke linestyle="thinThin"/>
                  <v:textbox inset="0,,0">
                    <w:txbxContent>
                      <w:p w14:paraId="18551A0F" w14:textId="77777777" w:rsidR="001C2D4C" w:rsidRPr="006B0497" w:rsidRDefault="001C2D4C"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Lifestyle modifications, possible therapy recommended by the guideline</w:t>
                        </w:r>
                      </w:p>
                    </w:txbxContent>
                  </v:textbox>
                </v:shape>
                <v:shape id="Straight Arrow Connector 509" o:spid="_x0000_s1046" type="#_x0000_t32" style="position:absolute;left:24315;top:18376;width:0;height:3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" strokecolor="black [3200]" strokeweight="1pt">
                  <v:stroke endarrow="block" joinstyle="miter"/>
                  <o:lock v:ext="edit" shapetype="f"/>
                </v:shape>
                <v:shape id="Straight Arrow Connector 510" o:spid="_x0000_s1047" type="#_x0000_t32" style="position:absolute;left:79328;top:42842;width:0;height:21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" strokecolor="black [3200]" strokeweight="1pt">
                  <v:stroke endarrow="block" joinstyle="miter"/>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74" o:spid="_x0000_s1048" type="#_x0000_t34" style="position:absolute;left:74546;top:33557;width:4460;height:510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" strokecolor="black [3200]" strokeweight="1pt">
                  <v:stroke endarrow="block"/>
                  <o:lock v:ext="edit" shapetype="f"/>
                </v:shape>
                <v:shapetype id="_x0000_t33" coordsize="21600,21600" o:spt="33" o:oned="t" path="m,l21600,r,21600e" filled="f">
                  <v:stroke joinstyle="miter"/>
                  <v:path arrowok="t" fillok="f" o:connecttype="none"/>
                  <o:lock v:ext="edit" shapetype="t"/>
                </v:shapetype>
                <v:shape id="Connector: Elbow 320" o:spid="_x0000_s1049" type="#_x0000_t33" style="position:absolute;left:24315;top:10038;width:2208;height:623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" strokecolor="black [3213]" strokeweight=".5pt">
                  <v:stroke endarrow="block"/>
                  <o:lock v:ext="edit" shapetype="f"/>
                </v:shape>
                <v:shape id="Connector: Elbow 321" o:spid="_x0000_s1050" type="#_x0000_t33" style="position:absolute;left:4503;top:10038;width:22020;height:623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" strokecolor="black [3213]" strokeweight=".5pt">
                  <v:stroke endarrow="block"/>
                  <o:lock v:ext="edit" shapetype="f"/>
                </v:shape>
                <v:shape id="Connector: Elbow 322" o:spid="_x0000_s1051" type="#_x0000_t33" style="position:absolute;left:14409;top:10038;width:12114;height:623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" strokecolor="black [3213]" strokeweight=".5pt">
                  <v:stroke endarrow="block"/>
                  <o:lock v:ext="edit" shapetype="f"/>
                </v:shape>
                <v:shape id="Straight Arrow Connector 323" o:spid="_x0000_s1052" type="#_x0000_t32" style="position:absolute;left:4503;top:18376;width:0;height:3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" strokecolor="black [3200]" strokeweight="1pt">
                  <v:stroke endarrow="block" joinstyle="miter"/>
                  <o:lock v:ext="edit" shapetype="f"/>
                </v:shape>
                <v:shape id="Text Box 20" o:spid="_x0000_s1053" type="#_x0000_t202" style="position:absolute;left:54567;top:16274;width:9007;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" fillcolor="#f2f2f2 [3052]" strokecolor="#d8d8d8 [2732]" strokeweight="1.25pt">
                  <v:textbox inset="0,,0">
                    <w:txbxContent>
                      <w:p w14:paraId="02E5B4CB" w14:textId="77777777" w:rsidR="001C2D4C" w:rsidRPr="007060B2" w:rsidRDefault="001C2D4C" w:rsidP="006B0497">
                        <w:pPr>
                          <w:spacing w:after="0" w:line="240" w:lineRule="auto"/>
                          <w:jc w:val="center"/>
                          <w:rPr>
                            <w:rFonts w:ascii="Arial Narrow" w:hAnsi="Arial Narrow"/>
                            <w:i/>
                            <w:iCs/>
                            <w:color w:val="BFBFBF" w:themeColor="background1" w:themeShade="BF"/>
                            <w:kern w:val="24"/>
                            <w:sz w:val="16"/>
                            <w:szCs w:val="16"/>
                          </w:rPr>
                        </w:pPr>
                        <w:r w:rsidRPr="007060B2">
                          <w:rPr>
                            <w:rFonts w:ascii="Arial Narrow" w:hAnsi="Arial Narrow"/>
                            <w:i/>
                            <w:iCs/>
                            <w:color w:val="BFBFBF" w:themeColor="background1" w:themeShade="BF"/>
                            <w:kern w:val="24"/>
                            <w:sz w:val="16"/>
                            <w:szCs w:val="16"/>
                          </w:rPr>
                          <w:t>High CVD risk</w:t>
                        </w:r>
                      </w:p>
                    </w:txbxContent>
                  </v:textbox>
                </v:shape>
                <v:shape id="Text Box 21" o:spid="_x0000_s1054" type="#_x0000_t202" style="position:absolute;left:85049;top:16274;width:9007;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" fillcolor="#f2f2f2 [3052]" strokecolor="#d8d8d8 [2732]" strokeweight="1.25pt">
                  <v:textbox inset="0,,0">
                    <w:txbxContent>
                      <w:p w14:paraId="79626382" w14:textId="77777777" w:rsidR="001C2D4C" w:rsidRPr="007060B2" w:rsidRDefault="001C2D4C" w:rsidP="006B0497">
                        <w:pPr>
                          <w:spacing w:after="0" w:line="240" w:lineRule="auto"/>
                          <w:jc w:val="center"/>
                          <w:rPr>
                            <w:rFonts w:ascii="Arial Narrow" w:hAnsi="Arial Narrow"/>
                            <w:i/>
                            <w:iCs/>
                            <w:color w:val="BFBFBF" w:themeColor="background1" w:themeShade="BF"/>
                            <w:kern w:val="24"/>
                            <w:sz w:val="16"/>
                            <w:szCs w:val="16"/>
                          </w:rPr>
                        </w:pPr>
                        <w:r w:rsidRPr="007060B2">
                          <w:rPr>
                            <w:rFonts w:ascii="Arial Narrow" w:hAnsi="Arial Narrow"/>
                            <w:i/>
                            <w:iCs/>
                            <w:color w:val="BFBFBF" w:themeColor="background1" w:themeShade="BF"/>
                            <w:kern w:val="24"/>
                            <w:sz w:val="16"/>
                            <w:szCs w:val="16"/>
                          </w:rPr>
                          <w:t>Low CVD risk</w:t>
                        </w:r>
                      </w:p>
                    </w:txbxContent>
                  </v:textbox>
                </v:shape>
                <v:shape id="Text Box 25" o:spid="_x0000_s1055" type="#_x0000_t202" style="position:absolute;left:68615;top:16272;width:11212;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" filled="f" strokecolor="#ed7d31 [3205]" strokeweight="1.25pt">
                  <v:stroke linestyle="thinThin"/>
                  <v:textbox inset="0,,0">
                    <w:txbxContent>
                      <w:p w14:paraId="3418B7AB" w14:textId="77777777" w:rsidR="001C2D4C" w:rsidRDefault="001C2D4C"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Moderate CVD risk</w:t>
                        </w:r>
                      </w:p>
                      <w:p w14:paraId="0B3D0632" w14:textId="131F4AF3" w:rsidR="00DD5A45" w:rsidRPr="006B0497" w:rsidRDefault="00DD5A45" w:rsidP="006B0497">
                        <w:pPr>
                          <w:spacing w:after="0" w:line="240" w:lineRule="auto"/>
                          <w:jc w:val="center"/>
                          <w:rPr>
                            <w:rFonts w:ascii="Arial Narrow" w:hAnsi="Arial Narrow"/>
                            <w:i/>
                            <w:iCs/>
                            <w:color w:val="000000" w:themeColor="text1"/>
                            <w:kern w:val="24"/>
                            <w:sz w:val="16"/>
                            <w:szCs w:val="16"/>
                          </w:rPr>
                        </w:pPr>
                        <w:r>
                          <w:rPr>
                            <w:rFonts w:ascii="Arial Narrow" w:hAnsi="Arial Narrow"/>
                            <w:i/>
                            <w:iCs/>
                            <w:color w:val="000000" w:themeColor="text1"/>
                            <w:kern w:val="24"/>
                            <w:sz w:val="16"/>
                            <w:szCs w:val="16"/>
                          </w:rPr>
                          <w:t>(the targeted</w:t>
                        </w:r>
                        <w:r w:rsidR="00130FBB" w:rsidRPr="00130FBB">
                          <w:rPr>
                            <w:rFonts w:ascii="Arial Narrow" w:hAnsi="Arial Narrow"/>
                            <w:i/>
                            <w:iCs/>
                            <w:color w:val="000000" w:themeColor="text1"/>
                            <w:kern w:val="24"/>
                            <w:sz w:val="16"/>
                            <w:szCs w:val="16"/>
                          </w:rPr>
                          <w:t xml:space="preserve"> </w:t>
                        </w:r>
                        <w:r w:rsidR="00130FBB">
                          <w:rPr>
                            <w:rFonts w:ascii="Arial Narrow" w:hAnsi="Arial Narrow"/>
                            <w:i/>
                            <w:iCs/>
                            <w:color w:val="000000" w:themeColor="text1"/>
                            <w:kern w:val="24"/>
                            <w:sz w:val="16"/>
                            <w:szCs w:val="16"/>
                          </w:rPr>
                          <w:t>population</w:t>
                        </w:r>
                        <w:r>
                          <w:rPr>
                            <w:rFonts w:ascii="Arial Narrow" w:hAnsi="Arial Narrow"/>
                            <w:i/>
                            <w:iCs/>
                            <w:color w:val="000000" w:themeColor="text1"/>
                            <w:kern w:val="24"/>
                            <w:sz w:val="16"/>
                            <w:szCs w:val="16"/>
                          </w:rPr>
                          <w:t>)</w:t>
                        </w:r>
                      </w:p>
                    </w:txbxContent>
                  </v:textbox>
                </v:shape>
                <v:shape id="Connector: Elbow 327" o:spid="_x0000_s1056" type="#_x0000_t33" style="position:absolute;left:57457;top:10038;width:1614;height:623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" strokecolor="black [3213]" strokeweight=".5pt">
                  <v:stroke endarrow="block"/>
                  <o:lock v:ext="edit" shapetype="f"/>
                </v:shape>
                <v:shape id="Connector: Elbow 328" o:spid="_x0000_s1057" type="#_x0000_t33" style="position:absolute;left:57457;top:10038;width:1614;height:623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" strokecolor="black [3213]" strokeweight=".5pt">
                  <v:stroke endarrow="block"/>
                  <o:lock v:ext="edit" shapetype="f"/>
                </v:shape>
                <v:shape id="Connector: Elbow 329" o:spid="_x0000_s1058" type="#_x0000_t33" style="position:absolute;left:57457;top:10038;width:32095;height:623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" strokecolor="black [3213]" strokeweight=".5pt">
                  <v:stroke endarrow="block"/>
                  <o:lock v:ext="edit" shapetype="f"/>
                </v:shape>
                <v:shape id="Connector: Elbow 330" o:spid="_x0000_s1059" type="#_x0000_t33" style="position:absolute;left:57457;top:10038;width:16764;height:62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" strokecolor="black [3213]" strokeweight=".5pt">
                  <v:stroke endarrow="block"/>
                  <o:lock v:ext="edit" shapetype="f"/>
                </v:shape>
                <v:shape id="Text Box 24" o:spid="_x0000_s1060" type="#_x0000_t202" style="position:absolute;left:85049;top:44898;width:9007;height:6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" fillcolor="#f2f2f2 [3052]" strokecolor="#d8d8d8 [2732]" strokeweight="1.25pt">
                  <v:textbox inset="0,,0">
                    <w:txbxContent>
                      <w:p w14:paraId="3D6A61CD" w14:textId="77777777" w:rsidR="001C2D4C" w:rsidRPr="007060B2" w:rsidRDefault="001C2D4C" w:rsidP="006B0497">
                        <w:pPr>
                          <w:spacing w:after="0" w:line="240" w:lineRule="auto"/>
                          <w:jc w:val="center"/>
                          <w:rPr>
                            <w:rFonts w:ascii="Arial Narrow" w:hAnsi="Arial Narrow"/>
                            <w:i/>
                            <w:iCs/>
                            <w:color w:val="BFBFBF" w:themeColor="background1" w:themeShade="BF"/>
                            <w:kern w:val="24"/>
                            <w:sz w:val="16"/>
                            <w:szCs w:val="16"/>
                          </w:rPr>
                        </w:pPr>
                        <w:r w:rsidRPr="007060B2">
                          <w:rPr>
                            <w:rFonts w:ascii="Arial Narrow" w:hAnsi="Arial Narrow"/>
                            <w:i/>
                            <w:iCs/>
                            <w:color w:val="BFBFBF" w:themeColor="background1" w:themeShade="BF"/>
                            <w:kern w:val="24"/>
                            <w:sz w:val="16"/>
                            <w:szCs w:val="16"/>
                          </w:rPr>
                          <w:t>No action required</w:t>
                        </w:r>
                      </w:p>
                    </w:txbxContent>
                  </v:textbox>
                </v:shape>
                <v:shape id="Straight Arrow Connector 332" o:spid="_x0000_s1061" type="#_x0000_t32" style="position:absolute;left:89552;top:18458;width:0;height:265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" strokecolor="black [3200]" strokeweight="1pt">
                  <v:stroke endarrow="block" joinstyle="miter"/>
                  <o:lock v:ext="edit" shapetype="f"/>
                </v:shape>
                <v:shape id="Straight Arrow Connector 140" o:spid="_x0000_s1062" type="#_x0000_t34" style="position:absolute;left:69344;top:33493;width:4494;height:526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" strokecolor="black [3200]" strokeweight="1pt">
                  <v:stroke endarrow="block"/>
                  <o:lock v:ext="edit" shapetype="f"/>
                </v:shape>
                <v:shape id="Text Box 335" o:spid="_x0000_s1063" type="#_x0000_t202" style="position:absolute;left:7610;top:5920;width:13598;height:4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" fillcolor="window" stroked="f" strokeweight=".5pt">
                  <v:textbox inset="0,,0">
                    <w:txbxContent>
                      <w:p w14:paraId="38847689" w14:textId="77777777" w:rsidR="001C2D4C" w:rsidRPr="006B0497" w:rsidRDefault="001C2D4C" w:rsidP="006B0497">
                        <w:pPr>
                          <w:spacing w:after="0" w:line="240" w:lineRule="auto"/>
                          <w:jc w:val="center"/>
                          <w:rPr>
                            <w:rFonts w:ascii="Arial Narrow" w:hAnsi="Arial Narrow"/>
                            <w:color w:val="000000" w:themeColor="text1"/>
                            <w:kern w:val="24"/>
                            <w:sz w:val="16"/>
                            <w:szCs w:val="16"/>
                            <w:lang w:val="en-NZ"/>
                          </w:rPr>
                        </w:pPr>
                        <w:r w:rsidRPr="006B0497">
                          <w:rPr>
                            <w:rFonts w:ascii="Arial Narrow" w:hAnsi="Arial Narrow"/>
                            <w:color w:val="000000" w:themeColor="text1"/>
                            <w:kern w:val="24"/>
                            <w:sz w:val="16"/>
                            <w:szCs w:val="16"/>
                            <w:lang w:val="en-NZ"/>
                          </w:rPr>
                          <w:t>Current clinical management pathway</w:t>
                        </w:r>
                      </w:p>
                    </w:txbxContent>
                  </v:textbox>
                </v:shape>
                <v:shape id="Text Box 41" o:spid="_x0000_s1064" type="#_x0000_t202" style="position:absolute;left:54471;top:45000;width:9007;height:6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" fillcolor="#f2f2f2 [3052]" strokecolor="#d8d8d8 [2732]" strokeweight="1.25pt">
                  <v:textbox inset="0,,0">
                    <w:txbxContent>
                      <w:p w14:paraId="522FA22B" w14:textId="77777777" w:rsidR="001C2D4C" w:rsidRPr="007060B2" w:rsidRDefault="001C2D4C" w:rsidP="006B0497">
                        <w:pPr>
                          <w:spacing w:after="0" w:line="240" w:lineRule="auto"/>
                          <w:jc w:val="center"/>
                          <w:rPr>
                            <w:rFonts w:ascii="Arial Narrow" w:hAnsi="Arial Narrow"/>
                            <w:i/>
                            <w:iCs/>
                            <w:color w:val="BFBFBF" w:themeColor="background1" w:themeShade="BF"/>
                            <w:kern w:val="24"/>
                            <w:sz w:val="16"/>
                            <w:szCs w:val="16"/>
                          </w:rPr>
                        </w:pPr>
                        <w:r w:rsidRPr="007060B2">
                          <w:rPr>
                            <w:rFonts w:ascii="Arial Narrow" w:hAnsi="Arial Narrow"/>
                            <w:i/>
                            <w:iCs/>
                            <w:color w:val="BFBFBF" w:themeColor="background1" w:themeShade="BF"/>
                            <w:kern w:val="24"/>
                            <w:sz w:val="16"/>
                            <w:szCs w:val="16"/>
                          </w:rPr>
                          <w:t>Risk management strategies recommended by the guideline</w:t>
                        </w:r>
                      </w:p>
                    </w:txbxContent>
                  </v:textbox>
                </v:shape>
                <v:shape id="Straight Arrow Connector 341" o:spid="_x0000_s1065" type="#_x0000_t32" style="position:absolute;left:68958;top:42876;width:40;height:2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" strokecolor="black [3200]" strokeweight="1pt">
                  <v:stroke endarrow="block" joinstyle="miter"/>
                  <o:lock v:ext="edit" shapetype="f"/>
                </v:shape>
                <v:shape id="Straight Arrow Connector 342" o:spid="_x0000_s1066" type="#_x0000_t32" style="position:absolute;left:58973;top:18573;width:96;height:264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" strokecolor="black [3200]" strokeweight="1pt">
                  <v:stroke endarrow="block" joinstyle="miter"/>
                  <o:lock v:ext="edit" shapetype="f"/>
                </v:shape>
                <w10:anchorlock/>
              </v:group>
            </w:pict>
          </mc:Fallback>
        </mc:AlternateContent>
      </w:r>
    </w:p>
    <w:p w14:paraId="608564B0" w14:textId="49E70A94" w:rsidR="004A2752" w:rsidRDefault="004A2752" w:rsidP="00695B36">
      <w:pPr>
        <w:pStyle w:val="Caption"/>
        <w:jc w:val="left"/>
      </w:pPr>
      <w:r w:rsidRPr="00313AF6">
        <w:lastRenderedPageBreak/>
        <w:t xml:space="preserve">Figure </w:t>
      </w:r>
      <w:r w:rsidRPr="00313AF6">
        <w:fldChar w:fldCharType="begin"/>
      </w:r>
      <w:r w:rsidRPr="00313AF6">
        <w:instrText xml:space="preserve"> SEQ Figure \* ARABIC </w:instrText>
      </w:r>
      <w:r w:rsidRPr="00313AF6">
        <w:fldChar w:fldCharType="separate"/>
      </w:r>
      <w:r w:rsidR="00F66CE7">
        <w:t>6</w:t>
      </w:r>
      <w:r w:rsidRPr="00313AF6">
        <w:fldChar w:fldCharType="end"/>
      </w:r>
      <w:r w:rsidR="00A861AA">
        <w:tab/>
      </w:r>
      <w:r w:rsidRPr="007C40A7">
        <w:t xml:space="preserve">Current and proposed clinical management algorithms for Population </w:t>
      </w:r>
      <w:r w:rsidR="00897010">
        <w:t>B</w:t>
      </w:r>
      <w:r w:rsidR="002A3A61">
        <w:t xml:space="preserve">- </w:t>
      </w:r>
      <w:r w:rsidR="002A3A61">
        <w:rPr>
          <w:rFonts w:eastAsiaTheme="minorHAnsi"/>
          <w:i/>
          <w:iCs/>
        </w:rPr>
        <w:t xml:space="preserve">Note </w:t>
      </w:r>
      <w:r w:rsidR="002A3A61" w:rsidRPr="00BD388E">
        <w:rPr>
          <w:i/>
          <w:iCs/>
        </w:rPr>
        <w:t>Population B needs considerable re-framing</w:t>
      </w:r>
      <w:r w:rsidR="002A3A61">
        <w:rPr>
          <w:i/>
          <w:iCs/>
        </w:rPr>
        <w:t>, including removal of ‘not optimally managed’</w:t>
      </w:r>
    </w:p>
    <w:p w14:paraId="07B8344C" w14:textId="1D3839A4" w:rsidR="00D5126B" w:rsidRPr="00A41F2C" w:rsidRDefault="003E1BA1" w:rsidP="00695B36">
      <w:pPr>
        <w:jc w:val="left"/>
        <w:rPr>
          <w:lang w:val="en-GB" w:eastAsia="ja-JP"/>
        </w:rPr>
      </w:pPr>
      <w:r>
        <w:rPr>
          <w:noProof/>
          <w:lang w:val="en-GB" w:eastAsia="ja-JP"/>
        </w:rPr>
        <mc:AlternateContent>
          <mc:Choice Requires="wpc">
            <w:drawing>
              <wp:inline distT="0" distB="0" distL="0" distR="0" wp14:anchorId="282F5599" wp14:editId="41B7136F">
                <wp:extent cx="9441618" cy="5506390"/>
                <wp:effectExtent l="0" t="0" r="7620" b="18415"/>
                <wp:docPr id="89" name="Canvas 89" descr="Figure 6 Current and proposed clinical management algorithms for Population B- Note Population B needs considerable re-framing, including removal of ‘not optimally managed’"/>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6" name="Text Box 16"/>
                        <wps:cNvSpPr txBox="1"/>
                        <wps:spPr>
                          <a:xfrm>
                            <a:off x="2652306" y="768495"/>
                            <a:ext cx="3093490" cy="470783"/>
                          </a:xfrm>
                          <a:prstGeom prst="rect">
                            <a:avLst/>
                          </a:prstGeom>
                          <a:solidFill>
                            <a:sysClr val="window" lastClr="FFFFFF"/>
                          </a:solidFill>
                          <a:ln w="15875" cmpd="dbl">
                            <a:solidFill>
                              <a:srgbClr val="FF0000"/>
                            </a:solidFill>
                          </a:ln>
                        </wps:spPr>
                        <wps:txbx>
                          <w:txbxContent>
                            <w:p w14:paraId="315E937A" w14:textId="77777777" w:rsidR="003E1BA1" w:rsidRPr="006B0497" w:rsidRDefault="003E1BA1"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 xml:space="preserve">Absolute CVD risk assessment using the tool recommended by the Australian clinical practice guideline </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518" name="Text Box 20"/>
                        <wps:cNvSpPr txBox="1"/>
                        <wps:spPr>
                          <a:xfrm>
                            <a:off x="0" y="1627484"/>
                            <a:ext cx="900692" cy="210161"/>
                          </a:xfrm>
                          <a:prstGeom prst="rect">
                            <a:avLst/>
                          </a:prstGeom>
                          <a:solidFill>
                            <a:sysClr val="window" lastClr="FFFFFF"/>
                          </a:solidFill>
                          <a:ln w="15875">
                            <a:solidFill>
                              <a:srgbClr val="FF0000"/>
                            </a:solidFill>
                          </a:ln>
                        </wps:spPr>
                        <wps:txbx>
                          <w:txbxContent>
                            <w:p w14:paraId="144C8531" w14:textId="77777777" w:rsidR="003E1BA1" w:rsidRPr="006B0497" w:rsidRDefault="003E1BA1"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High CVD risk</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64" name="Text Box 23"/>
                        <wps:cNvSpPr txBox="1"/>
                        <wps:spPr>
                          <a:xfrm>
                            <a:off x="0" y="2162253"/>
                            <a:ext cx="900692" cy="910465"/>
                          </a:xfrm>
                          <a:prstGeom prst="rect">
                            <a:avLst/>
                          </a:prstGeom>
                          <a:noFill/>
                          <a:ln w="15875">
                            <a:solidFill>
                              <a:srgbClr val="FF0000"/>
                            </a:solidFill>
                          </a:ln>
                        </wps:spPr>
                        <wps:txbx>
                          <w:txbxContent>
                            <w:p w14:paraId="153296DD" w14:textId="77777777" w:rsidR="003E1BA1" w:rsidRPr="006B0497" w:rsidRDefault="003E1BA1"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Risk management strategies recommended</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65" name="Text Box 42"/>
                        <wps:cNvSpPr txBox="1"/>
                        <wps:spPr>
                          <a:xfrm>
                            <a:off x="5456772" y="3072890"/>
                            <a:ext cx="900692" cy="600461"/>
                          </a:xfrm>
                          <a:prstGeom prst="rect">
                            <a:avLst/>
                          </a:prstGeom>
                          <a:solidFill>
                            <a:schemeClr val="tx2">
                              <a:lumMod val="20000"/>
                              <a:lumOff val="80000"/>
                            </a:schemeClr>
                          </a:solidFill>
                          <a:ln w="15875">
                            <a:solidFill>
                              <a:schemeClr val="tx2"/>
                            </a:solidFill>
                          </a:ln>
                        </wps:spPr>
                        <wps:txbx>
                          <w:txbxContent>
                            <w:p w14:paraId="3053319D" w14:textId="77777777" w:rsidR="003E1BA1" w:rsidRPr="006B0497" w:rsidRDefault="003E1BA1"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Risk assessment using Lp(a)</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66" name="Text Box 323"/>
                        <wps:cNvSpPr txBox="1"/>
                        <wps:spPr>
                          <a:xfrm>
                            <a:off x="6434718" y="3951638"/>
                            <a:ext cx="900691" cy="450345"/>
                          </a:xfrm>
                          <a:prstGeom prst="rect">
                            <a:avLst/>
                          </a:prstGeom>
                          <a:noFill/>
                          <a:ln w="15875">
                            <a:solidFill>
                              <a:schemeClr val="accent2"/>
                            </a:solidFill>
                          </a:ln>
                        </wps:spPr>
                        <wps:txbx>
                          <w:txbxContent>
                            <w:p w14:paraId="49BEF510" w14:textId="72BA7A60" w:rsidR="003E1BA1" w:rsidRPr="006B0497" w:rsidRDefault="003E1BA1"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Low or intermediate</w:t>
                              </w:r>
                              <w:r>
                                <w:rPr>
                                  <w:rFonts w:ascii="Arial Narrow" w:hAnsi="Arial Narrow"/>
                                  <w:i/>
                                  <w:iCs/>
                                  <w:color w:val="000000" w:themeColor="text1"/>
                                  <w:kern w:val="24"/>
                                  <w:sz w:val="16"/>
                                  <w:szCs w:val="16"/>
                                </w:rPr>
                                <w:t xml:space="preserve"> </w:t>
                              </w:r>
                              <w:r w:rsidRPr="006B0497">
                                <w:rPr>
                                  <w:rFonts w:ascii="Arial Narrow" w:hAnsi="Arial Narrow"/>
                                  <w:i/>
                                  <w:iCs/>
                                  <w:color w:val="000000" w:themeColor="text1"/>
                                  <w:kern w:val="24"/>
                                  <w:sz w:val="16"/>
                                  <w:szCs w:val="16"/>
                                </w:rPr>
                                <w:t>Lp(a) &lt;</w:t>
                              </w:r>
                              <w:r w:rsidR="00230F67">
                                <w:rPr>
                                  <w:rFonts w:ascii="Arial Narrow" w:hAnsi="Arial Narrow"/>
                                  <w:i/>
                                  <w:iCs/>
                                  <w:color w:val="000000" w:themeColor="text1"/>
                                  <w:kern w:val="24"/>
                                  <w:sz w:val="16"/>
                                  <w:szCs w:val="16"/>
                                </w:rPr>
                                <w:t>200</w:t>
                              </w:r>
                              <w:r w:rsidR="00230F67" w:rsidRPr="006B0497">
                                <w:rPr>
                                  <w:rFonts w:ascii="Arial Narrow" w:hAnsi="Arial Narrow"/>
                                  <w:i/>
                                  <w:iCs/>
                                  <w:color w:val="000000" w:themeColor="text1"/>
                                  <w:kern w:val="24"/>
                                  <w:sz w:val="16"/>
                                  <w:szCs w:val="16"/>
                                </w:rPr>
                                <w:t xml:space="preserve"> </w:t>
                              </w:r>
                              <w:r w:rsidRPr="006B0497">
                                <w:rPr>
                                  <w:rFonts w:ascii="Arial Narrow" w:hAnsi="Arial Narrow"/>
                                  <w:i/>
                                  <w:iCs/>
                                  <w:color w:val="000000" w:themeColor="text1"/>
                                  <w:kern w:val="24"/>
                                  <w:sz w:val="16"/>
                                  <w:szCs w:val="16"/>
                                </w:rPr>
                                <w:t>nmol/L</w:t>
                              </w:r>
                            </w:p>
                          </w:txbxContent>
                        </wps:txbx>
                        <wps:bodyPr rot="0" spcFirstLastPara="0" vert="horz" wrap="square" lIns="0" tIns="0" rIns="0" bIns="36000" numCol="1" spcCol="0" rtlCol="0" fromWordArt="0" anchor="ctr" anchorCtr="0" forceAA="0" compatLnSpc="1">
                          <a:prstTxWarp prst="textNoShape">
                            <a:avLst/>
                          </a:prstTxWarp>
                          <a:noAutofit/>
                        </wps:bodyPr>
                      </wps:wsp>
                      <wps:wsp>
                        <wps:cNvPr id="67" name="Text Box 322"/>
                        <wps:cNvSpPr txBox="1"/>
                        <wps:spPr>
                          <a:xfrm>
                            <a:off x="4496037" y="3951645"/>
                            <a:ext cx="900692" cy="450346"/>
                          </a:xfrm>
                          <a:prstGeom prst="rect">
                            <a:avLst/>
                          </a:prstGeom>
                          <a:solidFill>
                            <a:schemeClr val="bg1"/>
                          </a:solidFill>
                          <a:ln w="15875">
                            <a:solidFill>
                              <a:srgbClr val="FF0000"/>
                            </a:solidFill>
                          </a:ln>
                        </wps:spPr>
                        <wps:txbx>
                          <w:txbxContent>
                            <w:p w14:paraId="60ED22ED" w14:textId="7B0C3BC7" w:rsidR="003E1BA1" w:rsidRPr="006B0497" w:rsidRDefault="003E1BA1"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High</w:t>
                              </w:r>
                            </w:p>
                            <w:p w14:paraId="0461C8CD" w14:textId="1F5E416C" w:rsidR="003E1BA1" w:rsidRPr="006B0497" w:rsidRDefault="003E1BA1"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Lp(a) &gt;</w:t>
                              </w:r>
                              <w:r w:rsidR="00105B36">
                                <w:rPr>
                                  <w:rFonts w:ascii="Arial Narrow" w:hAnsi="Arial Narrow"/>
                                  <w:i/>
                                  <w:iCs/>
                                  <w:color w:val="000000" w:themeColor="text1"/>
                                  <w:kern w:val="24"/>
                                  <w:sz w:val="16"/>
                                  <w:szCs w:val="16"/>
                                </w:rPr>
                                <w:t>2</w:t>
                              </w:r>
                              <w:r w:rsidRPr="006B0497">
                                <w:rPr>
                                  <w:rFonts w:ascii="Arial Narrow" w:hAnsi="Arial Narrow"/>
                                  <w:i/>
                                  <w:iCs/>
                                  <w:color w:val="000000" w:themeColor="text1"/>
                                  <w:kern w:val="24"/>
                                  <w:sz w:val="16"/>
                                  <w:szCs w:val="16"/>
                                </w:rPr>
                                <w:t>00 nmol/L</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68" name="Text Box 41"/>
                        <wps:cNvSpPr txBox="1"/>
                        <wps:spPr>
                          <a:xfrm>
                            <a:off x="4496036" y="4591433"/>
                            <a:ext cx="900692" cy="600461"/>
                          </a:xfrm>
                          <a:prstGeom prst="rect">
                            <a:avLst/>
                          </a:prstGeom>
                          <a:noFill/>
                          <a:ln w="15875">
                            <a:solidFill>
                              <a:srgbClr val="FF0000"/>
                            </a:solidFill>
                          </a:ln>
                        </wps:spPr>
                        <wps:txbx>
                          <w:txbxContent>
                            <w:p w14:paraId="434D39B6" w14:textId="77777777" w:rsidR="003E1BA1" w:rsidRPr="006B0497" w:rsidRDefault="003E1BA1"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Intensified risk factor management and therapy</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69" name="Straight Arrow Connector 69"/>
                        <wps:cNvCnPr>
                          <a:cxnSpLocks/>
                        </wps:cNvCnPr>
                        <wps:spPr>
                          <a:xfrm>
                            <a:off x="5907984" y="2832100"/>
                            <a:ext cx="9088" cy="24078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70" name="Text Box 335"/>
                        <wps:cNvSpPr txBox="1"/>
                        <wps:spPr>
                          <a:xfrm>
                            <a:off x="6634120" y="623598"/>
                            <a:ext cx="1359787" cy="403426"/>
                          </a:xfrm>
                          <a:prstGeom prst="rect">
                            <a:avLst/>
                          </a:prstGeom>
                          <a:solidFill>
                            <a:sysClr val="window" lastClr="FFFFFF"/>
                          </a:solidFill>
                          <a:ln w="6350">
                            <a:noFill/>
                          </a:ln>
                        </wps:spPr>
                        <wps:txbx>
                          <w:txbxContent>
                            <w:p w14:paraId="4E7A53A9" w14:textId="77777777" w:rsidR="003E1BA1" w:rsidRPr="006B0497" w:rsidRDefault="003E1BA1" w:rsidP="006B0497">
                              <w:pPr>
                                <w:spacing w:after="0" w:line="240" w:lineRule="auto"/>
                                <w:jc w:val="center"/>
                                <w:rPr>
                                  <w:rFonts w:ascii="Arial Narrow" w:hAnsi="Arial Narrow"/>
                                  <w:color w:val="000000" w:themeColor="text1"/>
                                  <w:kern w:val="24"/>
                                  <w:sz w:val="16"/>
                                  <w:szCs w:val="16"/>
                                  <w:lang w:val="en-NZ"/>
                                </w:rPr>
                              </w:pPr>
                              <w:r w:rsidRPr="006B0497">
                                <w:rPr>
                                  <w:rFonts w:ascii="Arial Narrow" w:hAnsi="Arial Narrow"/>
                                  <w:color w:val="000000" w:themeColor="text1"/>
                                  <w:kern w:val="24"/>
                                  <w:sz w:val="16"/>
                                  <w:szCs w:val="16"/>
                                  <w:lang w:val="en-NZ"/>
                                </w:rPr>
                                <w:t>Proposed clinical management pathway</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72" name="Text Box 382"/>
                        <wps:cNvSpPr txBox="1"/>
                        <wps:spPr>
                          <a:xfrm>
                            <a:off x="6434420" y="4612125"/>
                            <a:ext cx="900691" cy="893960"/>
                          </a:xfrm>
                          <a:prstGeom prst="rect">
                            <a:avLst/>
                          </a:prstGeom>
                          <a:noFill/>
                          <a:ln w="15875" cmpd="dbl">
                            <a:solidFill>
                              <a:srgbClr val="ED7D31"/>
                            </a:solidFill>
                          </a:ln>
                        </wps:spPr>
                        <wps:txbx>
                          <w:txbxContent>
                            <w:p w14:paraId="7BBDE16F" w14:textId="7F95EA29" w:rsidR="003E1BA1" w:rsidRPr="006B0497" w:rsidRDefault="003E1BA1" w:rsidP="006B0497">
                              <w:pPr>
                                <w:spacing w:after="0" w:line="240" w:lineRule="auto"/>
                                <w:jc w:val="center"/>
                                <w:rPr>
                                  <w:rFonts w:ascii="Arial Narrow" w:hAnsi="Arial Narrow"/>
                                  <w:i/>
                                  <w:iCs/>
                                  <w:color w:val="000000" w:themeColor="text1"/>
                                  <w:kern w:val="24"/>
                                  <w:sz w:val="16"/>
                                  <w:szCs w:val="16"/>
                                </w:rPr>
                              </w:pPr>
                              <w:r w:rsidRPr="004A1852">
                                <w:rPr>
                                  <w:rFonts w:ascii="Arial Narrow" w:hAnsi="Arial Narrow"/>
                                  <w:i/>
                                  <w:iCs/>
                                  <w:color w:val="000000" w:themeColor="text1"/>
                                  <w:kern w:val="24"/>
                                  <w:sz w:val="16"/>
                                  <w:szCs w:val="16"/>
                                </w:rPr>
                                <w:t>Risk management strategies recommended</w:t>
                              </w:r>
                              <w:r>
                                <w:rPr>
                                  <w:rFonts w:ascii="Arial Narrow" w:hAnsi="Arial Narrow"/>
                                  <w:i/>
                                  <w:iCs/>
                                  <w:color w:val="000000" w:themeColor="text1"/>
                                  <w:kern w:val="24"/>
                                  <w:sz w:val="16"/>
                                  <w:szCs w:val="16"/>
                                </w:rPr>
                                <w:t xml:space="preserve"> by guid</w:t>
                              </w:r>
                              <w:r w:rsidR="00693611">
                                <w:rPr>
                                  <w:rFonts w:ascii="Arial Narrow" w:hAnsi="Arial Narrow"/>
                                  <w:i/>
                                  <w:iCs/>
                                  <w:color w:val="000000" w:themeColor="text1"/>
                                  <w:kern w:val="24"/>
                                  <w:sz w:val="16"/>
                                  <w:szCs w:val="16"/>
                                </w:rPr>
                                <w:t>e</w:t>
                              </w:r>
                              <w:r>
                                <w:rPr>
                                  <w:rFonts w:ascii="Arial Narrow" w:hAnsi="Arial Narrow"/>
                                  <w:i/>
                                  <w:iCs/>
                                  <w:color w:val="000000" w:themeColor="text1"/>
                                  <w:kern w:val="24"/>
                                  <w:sz w:val="16"/>
                                  <w:szCs w:val="16"/>
                                </w:rPr>
                                <w:t>line</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73" name="Straight Arrow Connector 73"/>
                        <wps:cNvCnPr>
                          <a:cxnSpLocks/>
                        </wps:cNvCnPr>
                        <wps:spPr>
                          <a:xfrm flipH="1">
                            <a:off x="6884745" y="4401983"/>
                            <a:ext cx="319" cy="21014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74" name="Straight Arrow Connector 74"/>
                        <wps:cNvCnPr>
                          <a:cxnSpLocks/>
                        </wps:cNvCnPr>
                        <wps:spPr>
                          <a:xfrm rot="16200000" flipH="1">
                            <a:off x="6256948" y="3323521"/>
                            <a:ext cx="278287" cy="977946"/>
                          </a:xfrm>
                          <a:prstGeom prst="bentConnector3">
                            <a:avLst>
                              <a:gd name="adj1" fmla="val 50000"/>
                            </a:avLst>
                          </a:prstGeom>
                          <a:ln>
                            <a:tailEnd type="triangle"/>
                          </a:ln>
                        </wps:spPr>
                        <wps:style>
                          <a:lnRef idx="2">
                            <a:schemeClr val="dk1"/>
                          </a:lnRef>
                          <a:fillRef idx="0">
                            <a:schemeClr val="dk1"/>
                          </a:fillRef>
                          <a:effectRef idx="1">
                            <a:schemeClr val="dk1"/>
                          </a:effectRef>
                          <a:fontRef idx="minor">
                            <a:schemeClr val="tx1"/>
                          </a:fontRef>
                        </wps:style>
                        <wps:bodyPr/>
                      </wps:wsp>
                      <wps:wsp>
                        <wps:cNvPr id="75" name="Connector: Elbow 75"/>
                        <wps:cNvCnPr>
                          <a:cxnSpLocks/>
                        </wps:cNvCnPr>
                        <wps:spPr>
                          <a:xfrm rot="10800000" flipV="1">
                            <a:off x="450347" y="1003887"/>
                            <a:ext cx="2201959" cy="623597"/>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 name="Straight Arrow Connector 76"/>
                        <wps:cNvCnPr>
                          <a:cxnSpLocks/>
                        </wps:cNvCnPr>
                        <wps:spPr>
                          <a:xfrm flipH="1">
                            <a:off x="450325" y="1837645"/>
                            <a:ext cx="21" cy="32460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77" name="Text Box 20"/>
                        <wps:cNvSpPr txBox="1"/>
                        <wps:spPr>
                          <a:xfrm>
                            <a:off x="5456519" y="1627394"/>
                            <a:ext cx="900692" cy="229672"/>
                          </a:xfrm>
                          <a:prstGeom prst="rect">
                            <a:avLst/>
                          </a:prstGeom>
                          <a:solidFill>
                            <a:sysClr val="window" lastClr="FFFFFF"/>
                          </a:solidFill>
                          <a:ln w="15875">
                            <a:solidFill>
                              <a:srgbClr val="FF0000"/>
                            </a:solidFill>
                          </a:ln>
                        </wps:spPr>
                        <wps:txbx>
                          <w:txbxContent>
                            <w:p w14:paraId="0EC7EAF4" w14:textId="77777777" w:rsidR="003E1BA1" w:rsidRPr="006B0497" w:rsidRDefault="003E1BA1"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High CVD risk</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78" name="Connector: Elbow 78"/>
                        <wps:cNvCnPr>
                          <a:cxnSpLocks/>
                        </wps:cNvCnPr>
                        <wps:spPr>
                          <a:xfrm>
                            <a:off x="5745796" y="1003887"/>
                            <a:ext cx="161322" cy="623597"/>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 name="Connector: Elbow 79"/>
                        <wps:cNvCnPr>
                          <a:cxnSpLocks/>
                        </wps:cNvCnPr>
                        <wps:spPr>
                          <a:xfrm>
                            <a:off x="5745796" y="1003887"/>
                            <a:ext cx="161322" cy="623597"/>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 name="Straight Arrow Connector 140"/>
                        <wps:cNvCnPr>
                          <a:cxnSpLocks/>
                        </wps:cNvCnPr>
                        <wps:spPr>
                          <a:xfrm rot="5400000">
                            <a:off x="5287604" y="3332131"/>
                            <a:ext cx="278294" cy="960735"/>
                          </a:xfrm>
                          <a:prstGeom prst="bentConnector3">
                            <a:avLst>
                              <a:gd name="adj1" fmla="val 50000"/>
                            </a:avLst>
                          </a:prstGeom>
                          <a:ln>
                            <a:tailEnd type="triangle"/>
                          </a:ln>
                        </wps:spPr>
                        <wps:style>
                          <a:lnRef idx="2">
                            <a:schemeClr val="dk1"/>
                          </a:lnRef>
                          <a:fillRef idx="0">
                            <a:schemeClr val="dk1"/>
                          </a:fillRef>
                          <a:effectRef idx="1">
                            <a:schemeClr val="dk1"/>
                          </a:effectRef>
                          <a:fontRef idx="minor">
                            <a:schemeClr val="tx1"/>
                          </a:fontRef>
                        </wps:style>
                        <wps:bodyPr/>
                      </wps:wsp>
                      <wps:wsp>
                        <wps:cNvPr id="81" name="Text Box 335"/>
                        <wps:cNvSpPr txBox="1"/>
                        <wps:spPr>
                          <a:xfrm>
                            <a:off x="761072" y="592013"/>
                            <a:ext cx="1359787" cy="403425"/>
                          </a:xfrm>
                          <a:prstGeom prst="rect">
                            <a:avLst/>
                          </a:prstGeom>
                          <a:solidFill>
                            <a:sysClr val="window" lastClr="FFFFFF"/>
                          </a:solidFill>
                          <a:ln w="6350">
                            <a:noFill/>
                          </a:ln>
                        </wps:spPr>
                        <wps:txbx>
                          <w:txbxContent>
                            <w:p w14:paraId="1338308D" w14:textId="77777777" w:rsidR="003E1BA1" w:rsidRPr="006B0497" w:rsidRDefault="003E1BA1" w:rsidP="006B0497">
                              <w:pPr>
                                <w:spacing w:after="0" w:line="240" w:lineRule="auto"/>
                                <w:jc w:val="center"/>
                                <w:rPr>
                                  <w:rFonts w:ascii="Arial Narrow" w:hAnsi="Arial Narrow"/>
                                  <w:color w:val="000000" w:themeColor="text1"/>
                                  <w:kern w:val="24"/>
                                  <w:sz w:val="16"/>
                                  <w:szCs w:val="16"/>
                                  <w:lang w:val="en-NZ"/>
                                </w:rPr>
                              </w:pPr>
                              <w:r w:rsidRPr="006B0497">
                                <w:rPr>
                                  <w:rFonts w:ascii="Arial Narrow" w:hAnsi="Arial Narrow"/>
                                  <w:color w:val="000000" w:themeColor="text1"/>
                                  <w:kern w:val="24"/>
                                  <w:sz w:val="16"/>
                                  <w:szCs w:val="16"/>
                                  <w:lang w:val="en-NZ"/>
                                </w:rPr>
                                <w:t>Current clinical management pathway</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82" name="Text Box 41"/>
                        <wps:cNvSpPr txBox="1"/>
                        <wps:spPr>
                          <a:xfrm>
                            <a:off x="5288989" y="2143878"/>
                            <a:ext cx="1302644" cy="687984"/>
                          </a:xfrm>
                          <a:prstGeom prst="rect">
                            <a:avLst/>
                          </a:prstGeom>
                          <a:noFill/>
                          <a:ln w="15875">
                            <a:solidFill>
                              <a:srgbClr val="FF0000"/>
                            </a:solidFill>
                          </a:ln>
                        </wps:spPr>
                        <wps:txbx>
                          <w:txbxContent>
                            <w:p w14:paraId="5E017E00" w14:textId="77777777" w:rsidR="003E1BA1" w:rsidRPr="006B0497" w:rsidRDefault="003E1BA1"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Risk management strategies recommended by the guideline</w:t>
                              </w:r>
                              <w:r>
                                <w:rPr>
                                  <w:rFonts w:ascii="Arial Narrow" w:hAnsi="Arial Narrow"/>
                                  <w:i/>
                                  <w:iCs/>
                                  <w:color w:val="000000" w:themeColor="text1"/>
                                  <w:kern w:val="24"/>
                                  <w:sz w:val="16"/>
                                  <w:szCs w:val="16"/>
                                </w:rPr>
                                <w:t xml:space="preserve">, </w:t>
                              </w:r>
                              <w:r w:rsidRPr="002A3A61">
                                <w:rPr>
                                  <w:rFonts w:ascii="Arial Narrow" w:hAnsi="Arial Narrow"/>
                                  <w:b/>
                                  <w:i/>
                                  <w:strike/>
                                  <w:color w:val="000000" w:themeColor="text1"/>
                                  <w:kern w:val="24"/>
                                  <w:sz w:val="16"/>
                                </w:rPr>
                                <w:t>but not optimally managed</w:t>
                              </w:r>
                              <w:r>
                                <w:rPr>
                                  <w:rFonts w:ascii="Arial Narrow" w:hAnsi="Arial Narrow"/>
                                  <w:i/>
                                  <w:iCs/>
                                  <w:color w:val="000000" w:themeColor="text1"/>
                                  <w:kern w:val="24"/>
                                  <w:sz w:val="16"/>
                                  <w:szCs w:val="16"/>
                                </w:rPr>
                                <w:t xml:space="preserve"> </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84" name="Straight Arrow Connector 84"/>
                        <wps:cNvCnPr>
                          <a:cxnSpLocks/>
                        </wps:cNvCnPr>
                        <wps:spPr>
                          <a:xfrm flipH="1">
                            <a:off x="4946382" y="4401991"/>
                            <a:ext cx="1" cy="18944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86" name="Straight Arrow Connector 86"/>
                        <wps:cNvCnPr>
                          <a:cxnSpLocks/>
                        </wps:cNvCnPr>
                        <wps:spPr>
                          <a:xfrm>
                            <a:off x="5906436" y="1857169"/>
                            <a:ext cx="408" cy="27643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c:wpc>
                  </a:graphicData>
                </a:graphic>
              </wp:inline>
            </w:drawing>
          </mc:Choice>
          <mc:Fallback>
            <w:pict>
              <v:group w14:anchorId="282F5599" id="Canvas 89" o:spid="_x0000_s1067" editas="canvas" alt="Figure 6 Current and proposed clinical management algorithms for Population B- Note Population B needs considerable re-framing, including removal of ‘not optimally managed’" style="width:743.45pt;height:433.55pt;mso-position-horizontal-relative:char;mso-position-vertical-relative:line" coordsize="94411,5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">
                <v:shape id="_x0000_s1068" type="#_x0000_t75" alt="Figure 6 Current and proposed clinical management algorithms for Population B- Note Population B needs considerable re-framing, including removal of ‘not optimally managed’" style="position:absolute;width:94411;height:55060;visibility:visible;mso-wrap-style:square" filled="t">
                  <v:fill o:detectmouseclick="t"/>
                  <v:path o:connecttype="none"/>
                </v:shape>
                <v:shape id="Text Box 16" o:spid="_x0000_s1069" type="#_x0000_t202" style="position:absolute;left:26523;top:7684;width:30934;height:4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" fillcolor="window" strokecolor="red" strokeweight="1.25pt">
                  <v:stroke linestyle="thinThin"/>
                  <v:textbox inset="0,,0">
                    <w:txbxContent>
                      <w:p w14:paraId="315E937A" w14:textId="77777777" w:rsidR="003E1BA1" w:rsidRPr="006B0497" w:rsidRDefault="003E1BA1"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 xml:space="preserve">Absolute CVD risk assessment using the tool recommended by the Australian clinical practice guideline </w:t>
                        </w:r>
                      </w:p>
                    </w:txbxContent>
                  </v:textbox>
                </v:shape>
                <v:shape id="Text Box 20" o:spid="_x0000_s1070" type="#_x0000_t202" style="position:absolute;top:16274;width:9006;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" fillcolor="window" strokecolor="red" strokeweight="1.25pt">
                  <v:textbox inset="0,,0">
                    <w:txbxContent>
                      <w:p w14:paraId="144C8531" w14:textId="77777777" w:rsidR="003E1BA1" w:rsidRPr="006B0497" w:rsidRDefault="003E1BA1"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High CVD risk</w:t>
                        </w:r>
                      </w:p>
                    </w:txbxContent>
                  </v:textbox>
                </v:shape>
                <v:shape id="Text Box 23" o:spid="_x0000_s1071" type="#_x0000_t202" style="position:absolute;top:21622;width:9006;height:9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" filled="f" strokecolor="red" strokeweight="1.25pt">
                  <v:textbox inset="0,,0">
                    <w:txbxContent>
                      <w:p w14:paraId="153296DD" w14:textId="77777777" w:rsidR="003E1BA1" w:rsidRPr="006B0497" w:rsidRDefault="003E1BA1"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Risk management strategies recommended</w:t>
                        </w:r>
                      </w:p>
                    </w:txbxContent>
                  </v:textbox>
                </v:shape>
                <v:shape id="Text Box 42" o:spid="_x0000_s1072" type="#_x0000_t202" style="position:absolute;left:54567;top:30728;width:9007;height:6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" fillcolor="#d5dce4 [671]" strokecolor="#44546a [3215]" strokeweight="1.25pt">
                  <v:textbox inset="0,,0">
                    <w:txbxContent>
                      <w:p w14:paraId="3053319D" w14:textId="77777777" w:rsidR="003E1BA1" w:rsidRPr="006B0497" w:rsidRDefault="003E1BA1"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Risk assessment using Lp(a)</w:t>
                        </w:r>
                      </w:p>
                    </w:txbxContent>
                  </v:textbox>
                </v:shape>
                <v:shape id="Text Box 323" o:spid="_x0000_s1073" type="#_x0000_t202" style="position:absolute;left:64347;top:39516;width:9007;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" filled="f" strokecolor="#ed7d31 [3205]" strokeweight="1.25pt">
                  <v:textbox inset="0,0,0,1mm">
                    <w:txbxContent>
                      <w:p w14:paraId="49BEF510" w14:textId="72BA7A60" w:rsidR="003E1BA1" w:rsidRPr="006B0497" w:rsidRDefault="003E1BA1"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Low or intermediate</w:t>
                        </w:r>
                        <w:r>
                          <w:rPr>
                            <w:rFonts w:ascii="Arial Narrow" w:hAnsi="Arial Narrow"/>
                            <w:i/>
                            <w:iCs/>
                            <w:color w:val="000000" w:themeColor="text1"/>
                            <w:kern w:val="24"/>
                            <w:sz w:val="16"/>
                            <w:szCs w:val="16"/>
                          </w:rPr>
                          <w:t xml:space="preserve"> </w:t>
                        </w:r>
                        <w:r w:rsidRPr="006B0497">
                          <w:rPr>
                            <w:rFonts w:ascii="Arial Narrow" w:hAnsi="Arial Narrow"/>
                            <w:i/>
                            <w:iCs/>
                            <w:color w:val="000000" w:themeColor="text1"/>
                            <w:kern w:val="24"/>
                            <w:sz w:val="16"/>
                            <w:szCs w:val="16"/>
                          </w:rPr>
                          <w:t>Lp(a) &lt;</w:t>
                        </w:r>
                        <w:r w:rsidR="00230F67">
                          <w:rPr>
                            <w:rFonts w:ascii="Arial Narrow" w:hAnsi="Arial Narrow"/>
                            <w:i/>
                            <w:iCs/>
                            <w:color w:val="000000" w:themeColor="text1"/>
                            <w:kern w:val="24"/>
                            <w:sz w:val="16"/>
                            <w:szCs w:val="16"/>
                          </w:rPr>
                          <w:t>200</w:t>
                        </w:r>
                        <w:r w:rsidR="00230F67" w:rsidRPr="006B0497">
                          <w:rPr>
                            <w:rFonts w:ascii="Arial Narrow" w:hAnsi="Arial Narrow"/>
                            <w:i/>
                            <w:iCs/>
                            <w:color w:val="000000" w:themeColor="text1"/>
                            <w:kern w:val="24"/>
                            <w:sz w:val="16"/>
                            <w:szCs w:val="16"/>
                          </w:rPr>
                          <w:t xml:space="preserve"> </w:t>
                        </w:r>
                        <w:r w:rsidRPr="006B0497">
                          <w:rPr>
                            <w:rFonts w:ascii="Arial Narrow" w:hAnsi="Arial Narrow"/>
                            <w:i/>
                            <w:iCs/>
                            <w:color w:val="000000" w:themeColor="text1"/>
                            <w:kern w:val="24"/>
                            <w:sz w:val="16"/>
                            <w:szCs w:val="16"/>
                          </w:rPr>
                          <w:t>nmol/L</w:t>
                        </w:r>
                      </w:p>
                    </w:txbxContent>
                  </v:textbox>
                </v:shape>
                <v:shape id="Text Box 322" o:spid="_x0000_s1074" type="#_x0000_t202" style="position:absolute;left:44960;top:39516;width:9007;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" fillcolor="white [3212]" strokecolor="red" strokeweight="1.25pt">
                  <v:textbox inset="0,,0">
                    <w:txbxContent>
                      <w:p w14:paraId="60ED22ED" w14:textId="7B0C3BC7" w:rsidR="003E1BA1" w:rsidRPr="006B0497" w:rsidRDefault="003E1BA1"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High</w:t>
                        </w:r>
                      </w:p>
                      <w:p w14:paraId="0461C8CD" w14:textId="1F5E416C" w:rsidR="003E1BA1" w:rsidRPr="006B0497" w:rsidRDefault="003E1BA1"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Lp(a) &gt;</w:t>
                        </w:r>
                        <w:r w:rsidR="00105B36">
                          <w:rPr>
                            <w:rFonts w:ascii="Arial Narrow" w:hAnsi="Arial Narrow"/>
                            <w:i/>
                            <w:iCs/>
                            <w:color w:val="000000" w:themeColor="text1"/>
                            <w:kern w:val="24"/>
                            <w:sz w:val="16"/>
                            <w:szCs w:val="16"/>
                          </w:rPr>
                          <w:t>2</w:t>
                        </w:r>
                        <w:r w:rsidRPr="006B0497">
                          <w:rPr>
                            <w:rFonts w:ascii="Arial Narrow" w:hAnsi="Arial Narrow"/>
                            <w:i/>
                            <w:iCs/>
                            <w:color w:val="000000" w:themeColor="text1"/>
                            <w:kern w:val="24"/>
                            <w:sz w:val="16"/>
                            <w:szCs w:val="16"/>
                          </w:rPr>
                          <w:t>00 nmol/L</w:t>
                        </w:r>
                      </w:p>
                    </w:txbxContent>
                  </v:textbox>
                </v:shape>
                <v:shape id="Text Box 41" o:spid="_x0000_s1075" type="#_x0000_t202" style="position:absolute;left:44960;top:45914;width:9007;height:6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" filled="f" strokecolor="red" strokeweight="1.25pt">
                  <v:textbox inset="0,,0">
                    <w:txbxContent>
                      <w:p w14:paraId="434D39B6" w14:textId="77777777" w:rsidR="003E1BA1" w:rsidRPr="006B0497" w:rsidRDefault="003E1BA1"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Intensified risk factor management and therapy</w:t>
                        </w:r>
                      </w:p>
                    </w:txbxContent>
                  </v:textbox>
                </v:shape>
                <v:shape id="Straight Arrow Connector 69" o:spid="_x0000_s1076" type="#_x0000_t32" style="position:absolute;left:59079;top:28321;width:91;height:24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" strokecolor="black [3200]" strokeweight="1pt">
                  <v:stroke endarrow="block" joinstyle="miter"/>
                  <o:lock v:ext="edit" shapetype="f"/>
                </v:shape>
                <v:shape id="Text Box 335" o:spid="_x0000_s1077" type="#_x0000_t202" style="position:absolute;left:66341;top:6235;width:13598;height:4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" fillcolor="window" stroked="f" strokeweight=".5pt">
                  <v:textbox inset="0,,0">
                    <w:txbxContent>
                      <w:p w14:paraId="4E7A53A9" w14:textId="77777777" w:rsidR="003E1BA1" w:rsidRPr="006B0497" w:rsidRDefault="003E1BA1" w:rsidP="006B0497">
                        <w:pPr>
                          <w:spacing w:after="0" w:line="240" w:lineRule="auto"/>
                          <w:jc w:val="center"/>
                          <w:rPr>
                            <w:rFonts w:ascii="Arial Narrow" w:hAnsi="Arial Narrow"/>
                            <w:color w:val="000000" w:themeColor="text1"/>
                            <w:kern w:val="24"/>
                            <w:sz w:val="16"/>
                            <w:szCs w:val="16"/>
                            <w:lang w:val="en-NZ"/>
                          </w:rPr>
                        </w:pPr>
                        <w:r w:rsidRPr="006B0497">
                          <w:rPr>
                            <w:rFonts w:ascii="Arial Narrow" w:hAnsi="Arial Narrow"/>
                            <w:color w:val="000000" w:themeColor="text1"/>
                            <w:kern w:val="24"/>
                            <w:sz w:val="16"/>
                            <w:szCs w:val="16"/>
                            <w:lang w:val="en-NZ"/>
                          </w:rPr>
                          <w:t>Proposed clinical management pathway</w:t>
                        </w:r>
                      </w:p>
                    </w:txbxContent>
                  </v:textbox>
                </v:shape>
                <v:shape id="Text Box 382" o:spid="_x0000_s1078" type="#_x0000_t202" style="position:absolute;left:64344;top:46121;width:9007;height:8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" filled="f" strokecolor="#ed7d31" strokeweight="1.25pt">
                  <v:stroke linestyle="thinThin"/>
                  <v:textbox inset="0,,0">
                    <w:txbxContent>
                      <w:p w14:paraId="7BBDE16F" w14:textId="7F95EA29" w:rsidR="003E1BA1" w:rsidRPr="006B0497" w:rsidRDefault="003E1BA1" w:rsidP="006B0497">
                        <w:pPr>
                          <w:spacing w:after="0" w:line="240" w:lineRule="auto"/>
                          <w:jc w:val="center"/>
                          <w:rPr>
                            <w:rFonts w:ascii="Arial Narrow" w:hAnsi="Arial Narrow"/>
                            <w:i/>
                            <w:iCs/>
                            <w:color w:val="000000" w:themeColor="text1"/>
                            <w:kern w:val="24"/>
                            <w:sz w:val="16"/>
                            <w:szCs w:val="16"/>
                          </w:rPr>
                        </w:pPr>
                        <w:r w:rsidRPr="004A1852">
                          <w:rPr>
                            <w:rFonts w:ascii="Arial Narrow" w:hAnsi="Arial Narrow"/>
                            <w:i/>
                            <w:iCs/>
                            <w:color w:val="000000" w:themeColor="text1"/>
                            <w:kern w:val="24"/>
                            <w:sz w:val="16"/>
                            <w:szCs w:val="16"/>
                          </w:rPr>
                          <w:t>Risk management strategies recommended</w:t>
                        </w:r>
                        <w:r>
                          <w:rPr>
                            <w:rFonts w:ascii="Arial Narrow" w:hAnsi="Arial Narrow"/>
                            <w:i/>
                            <w:iCs/>
                            <w:color w:val="000000" w:themeColor="text1"/>
                            <w:kern w:val="24"/>
                            <w:sz w:val="16"/>
                            <w:szCs w:val="16"/>
                          </w:rPr>
                          <w:t xml:space="preserve"> by guid</w:t>
                        </w:r>
                        <w:r w:rsidR="00693611">
                          <w:rPr>
                            <w:rFonts w:ascii="Arial Narrow" w:hAnsi="Arial Narrow"/>
                            <w:i/>
                            <w:iCs/>
                            <w:color w:val="000000" w:themeColor="text1"/>
                            <w:kern w:val="24"/>
                            <w:sz w:val="16"/>
                            <w:szCs w:val="16"/>
                          </w:rPr>
                          <w:t>e</w:t>
                        </w:r>
                        <w:r>
                          <w:rPr>
                            <w:rFonts w:ascii="Arial Narrow" w:hAnsi="Arial Narrow"/>
                            <w:i/>
                            <w:iCs/>
                            <w:color w:val="000000" w:themeColor="text1"/>
                            <w:kern w:val="24"/>
                            <w:sz w:val="16"/>
                            <w:szCs w:val="16"/>
                          </w:rPr>
                          <w:t>line</w:t>
                        </w:r>
                      </w:p>
                    </w:txbxContent>
                  </v:textbox>
                </v:shape>
                <v:shape id="Straight Arrow Connector 73" o:spid="_x0000_s1079" type="#_x0000_t32" style="position:absolute;left:68847;top:44019;width:3;height:21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" strokecolor="black [3200]" strokeweight="1pt">
                  <v:stroke endarrow="block" joinstyle="miter"/>
                  <o:lock v:ext="edit" shapetype="f"/>
                </v:shape>
                <v:shape id="Straight Arrow Connector 74" o:spid="_x0000_s1080" type="#_x0000_t34" style="position:absolute;left:62569;top:33235;width:2783;height:977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" strokecolor="black [3200]" strokeweight="1pt">
                  <v:stroke endarrow="block"/>
                  <o:lock v:ext="edit" shapetype="f"/>
                </v:shape>
                <v:shape id="Connector: Elbow 75" o:spid="_x0000_s1081" type="#_x0000_t33" style="position:absolute;left:4503;top:10038;width:22020;height:623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" strokecolor="black [3213]" strokeweight=".5pt">
                  <v:stroke endarrow="block"/>
                  <o:lock v:ext="edit" shapetype="f"/>
                </v:shape>
                <v:shape id="Straight Arrow Connector 76" o:spid="_x0000_s1082" type="#_x0000_t32" style="position:absolute;left:4503;top:18376;width:0;height:32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" strokecolor="black [3200]" strokeweight="1pt">
                  <v:stroke endarrow="block" joinstyle="miter"/>
                  <o:lock v:ext="edit" shapetype="f"/>
                </v:shape>
                <v:shape id="Text Box 20" o:spid="_x0000_s1083" type="#_x0000_t202" style="position:absolute;left:54565;top:16273;width:9007;height:2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" fillcolor="window" strokecolor="red" strokeweight="1.25pt">
                  <v:textbox inset="0,,0">
                    <w:txbxContent>
                      <w:p w14:paraId="0EC7EAF4" w14:textId="77777777" w:rsidR="003E1BA1" w:rsidRPr="006B0497" w:rsidRDefault="003E1BA1"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High CVD risk</w:t>
                        </w:r>
                      </w:p>
                    </w:txbxContent>
                  </v:textbox>
                </v:shape>
                <v:shape id="Connector: Elbow 78" o:spid="_x0000_s1084" type="#_x0000_t33" style="position:absolute;left:57457;top:10038;width:1614;height:623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" strokecolor="black [3213]" strokeweight=".5pt">
                  <v:stroke endarrow="block"/>
                  <o:lock v:ext="edit" shapetype="f"/>
                </v:shape>
                <v:shape id="Connector: Elbow 79" o:spid="_x0000_s1085" type="#_x0000_t33" style="position:absolute;left:57457;top:10038;width:1614;height:623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" strokecolor="black [3213]" strokeweight=".5pt">
                  <v:stroke endarrow="block"/>
                  <o:lock v:ext="edit" shapetype="f"/>
                </v:shape>
                <v:shape id="Straight Arrow Connector 140" o:spid="_x0000_s1086" type="#_x0000_t34" style="position:absolute;left:52875;top:33321;width:2783;height:960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" strokecolor="black [3200]" strokeweight="1pt">
                  <v:stroke endarrow="block"/>
                  <o:lock v:ext="edit" shapetype="f"/>
                </v:shape>
                <v:shape id="Text Box 335" o:spid="_x0000_s1087" type="#_x0000_t202" style="position:absolute;left:7610;top:5920;width:13598;height:4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" fillcolor="window" stroked="f" strokeweight=".5pt">
                  <v:textbox inset="0,,0">
                    <w:txbxContent>
                      <w:p w14:paraId="1338308D" w14:textId="77777777" w:rsidR="003E1BA1" w:rsidRPr="006B0497" w:rsidRDefault="003E1BA1" w:rsidP="006B0497">
                        <w:pPr>
                          <w:spacing w:after="0" w:line="240" w:lineRule="auto"/>
                          <w:jc w:val="center"/>
                          <w:rPr>
                            <w:rFonts w:ascii="Arial Narrow" w:hAnsi="Arial Narrow"/>
                            <w:color w:val="000000" w:themeColor="text1"/>
                            <w:kern w:val="24"/>
                            <w:sz w:val="16"/>
                            <w:szCs w:val="16"/>
                            <w:lang w:val="en-NZ"/>
                          </w:rPr>
                        </w:pPr>
                        <w:r w:rsidRPr="006B0497">
                          <w:rPr>
                            <w:rFonts w:ascii="Arial Narrow" w:hAnsi="Arial Narrow"/>
                            <w:color w:val="000000" w:themeColor="text1"/>
                            <w:kern w:val="24"/>
                            <w:sz w:val="16"/>
                            <w:szCs w:val="16"/>
                            <w:lang w:val="en-NZ"/>
                          </w:rPr>
                          <w:t>Current clinical management pathway</w:t>
                        </w:r>
                      </w:p>
                    </w:txbxContent>
                  </v:textbox>
                </v:shape>
                <v:shape id="Text Box 41" o:spid="_x0000_s1088" type="#_x0000_t202" style="position:absolute;left:52889;top:21438;width:13027;height:6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" filled="f" strokecolor="red" strokeweight="1.25pt">
                  <v:textbox inset="0,,0">
                    <w:txbxContent>
                      <w:p w14:paraId="5E017E00" w14:textId="77777777" w:rsidR="003E1BA1" w:rsidRPr="006B0497" w:rsidRDefault="003E1BA1"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Risk management strategies recommended by the guideline</w:t>
                        </w:r>
                        <w:r>
                          <w:rPr>
                            <w:rFonts w:ascii="Arial Narrow" w:hAnsi="Arial Narrow"/>
                            <w:i/>
                            <w:iCs/>
                            <w:color w:val="000000" w:themeColor="text1"/>
                            <w:kern w:val="24"/>
                            <w:sz w:val="16"/>
                            <w:szCs w:val="16"/>
                          </w:rPr>
                          <w:t xml:space="preserve">, </w:t>
                        </w:r>
                        <w:r w:rsidRPr="002A3A61">
                          <w:rPr>
                            <w:rFonts w:ascii="Arial Narrow" w:hAnsi="Arial Narrow"/>
                            <w:b/>
                            <w:i/>
                            <w:strike/>
                            <w:color w:val="000000" w:themeColor="text1"/>
                            <w:kern w:val="24"/>
                            <w:sz w:val="16"/>
                          </w:rPr>
                          <w:t>but not optimally managed</w:t>
                        </w:r>
                        <w:r>
                          <w:rPr>
                            <w:rFonts w:ascii="Arial Narrow" w:hAnsi="Arial Narrow"/>
                            <w:i/>
                            <w:iCs/>
                            <w:color w:val="000000" w:themeColor="text1"/>
                            <w:kern w:val="24"/>
                            <w:sz w:val="16"/>
                            <w:szCs w:val="16"/>
                          </w:rPr>
                          <w:t xml:space="preserve"> </w:t>
                        </w:r>
                      </w:p>
                    </w:txbxContent>
                  </v:textbox>
                </v:shape>
                <v:shape id="Straight Arrow Connector 84" o:spid="_x0000_s1089" type="#_x0000_t32" style="position:absolute;left:49463;top:44019;width:0;height:18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" strokecolor="black [3200]" strokeweight="1pt">
                  <v:stroke endarrow="block" joinstyle="miter"/>
                  <o:lock v:ext="edit" shapetype="f"/>
                </v:shape>
                <v:shape id="Straight Arrow Connector 86" o:spid="_x0000_s1090" type="#_x0000_t32" style="position:absolute;left:59064;top:18571;width:4;height:2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" strokecolor="black [3200]" strokeweight="1pt">
                  <v:stroke endarrow="block" joinstyle="miter"/>
                  <o:lock v:ext="edit" shapetype="f"/>
                </v:shape>
                <w10:anchorlock/>
              </v:group>
            </w:pict>
          </mc:Fallback>
        </mc:AlternateContent>
      </w:r>
    </w:p>
    <w:p w14:paraId="2DD80023" w14:textId="04CE71E7" w:rsidR="004A2752" w:rsidRDefault="004A2752" w:rsidP="00695B36">
      <w:pPr>
        <w:pStyle w:val="Caption"/>
        <w:jc w:val="left"/>
        <w:rPr>
          <w:lang w:val="en-AU"/>
        </w:rPr>
      </w:pPr>
      <w:r>
        <w:lastRenderedPageBreak/>
        <w:t xml:space="preserve">Figure </w:t>
      </w:r>
      <w:r>
        <w:fldChar w:fldCharType="begin"/>
      </w:r>
      <w:r>
        <w:instrText xml:space="preserve"> SEQ Figure \* ARABIC </w:instrText>
      </w:r>
      <w:r>
        <w:fldChar w:fldCharType="separate"/>
      </w:r>
      <w:r w:rsidR="00F66CE7">
        <w:rPr>
          <w:noProof/>
        </w:rPr>
        <w:t>7</w:t>
      </w:r>
      <w:r>
        <w:fldChar w:fldCharType="end"/>
      </w:r>
      <w:r>
        <w:tab/>
      </w:r>
      <w:r w:rsidRPr="003164E7">
        <w:rPr>
          <w:lang w:val="en-AU"/>
        </w:rPr>
        <w:t xml:space="preserve">Current and proposed clinical management algorithms for Population </w:t>
      </w:r>
      <w:r w:rsidR="00897010">
        <w:rPr>
          <w:lang w:val="en-AU"/>
        </w:rPr>
        <w:t>C</w:t>
      </w:r>
      <w:r w:rsidRPr="003164E7">
        <w:rPr>
          <w:lang w:val="en-AU"/>
        </w:rPr>
        <w:t xml:space="preserve"> </w:t>
      </w:r>
    </w:p>
    <w:p w14:paraId="169D941B" w14:textId="7D587812" w:rsidR="00E95380" w:rsidRDefault="00DB3DF3" w:rsidP="00695B36">
      <w:pPr>
        <w:jc w:val="left"/>
        <w:rPr>
          <w:b/>
          <w:szCs w:val="20"/>
        </w:rPr>
      </w:pPr>
      <w:r>
        <w:rPr>
          <w:noProof/>
          <w:lang w:val="en-GB" w:eastAsia="ja-JP"/>
        </w:rPr>
        <mc:AlternateContent>
          <mc:Choice Requires="wpc">
            <w:drawing>
              <wp:inline distT="0" distB="0" distL="0" distR="0" wp14:anchorId="0CFAFE1C" wp14:editId="2EBCB6AA">
                <wp:extent cx="9405832" cy="5486736"/>
                <wp:effectExtent l="0" t="0" r="5080" b="19050"/>
                <wp:docPr id="83" name="Canvas 83" descr="Figure 7 Current and proposed clinical management algorithms for Population C "/>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7" name="Text Box 16">
                          <a:extLst>
                            <a:ext uri="{FF2B5EF4-FFF2-40B4-BE49-F238E27FC236}">
                              <a16:creationId xmlns:a16="http://schemas.microsoft.com/office/drawing/2014/main" id="{FBC0EBBE-B666-FE29-BD13-9B21C47ACA00}"/>
                            </a:ext>
                          </a:extLst>
                        </wps:cNvPr>
                        <wps:cNvSpPr txBox="1"/>
                        <wps:spPr>
                          <a:xfrm>
                            <a:off x="2054553" y="970666"/>
                            <a:ext cx="3360631" cy="511438"/>
                          </a:xfrm>
                          <a:prstGeom prst="rect">
                            <a:avLst/>
                          </a:prstGeom>
                          <a:solidFill>
                            <a:sysClr val="window" lastClr="FFFFFF"/>
                          </a:solidFill>
                          <a:ln w="15875" cmpd="dbl">
                            <a:solidFill>
                              <a:srgbClr val="FF0000"/>
                            </a:solidFill>
                          </a:ln>
                        </wps:spPr>
                        <wps:txbx>
                          <w:txbxContent>
                            <w:p w14:paraId="25B0E20C" w14:textId="77777777" w:rsidR="00CB3E7F" w:rsidRPr="006B0497" w:rsidRDefault="00CB3E7F"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Risk assessment of the first degree relative</w:t>
                              </w:r>
                            </w:p>
                            <w:p w14:paraId="0DDCA3BB" w14:textId="77777777" w:rsidR="00CB3E7F" w:rsidRPr="006B0497" w:rsidRDefault="00CB3E7F"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 xml:space="preserve">With or without </w:t>
                              </w:r>
                            </w:p>
                            <w:p w14:paraId="6481E757" w14:textId="77777777" w:rsidR="00CB3E7F" w:rsidRPr="006B0497" w:rsidRDefault="00CB3E7F"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CVD risk assessment on the individual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8" name="Text Box 42">
                          <a:extLst>
                            <a:ext uri="{FF2B5EF4-FFF2-40B4-BE49-F238E27FC236}">
                              <a16:creationId xmlns:a16="http://schemas.microsoft.com/office/drawing/2014/main" id="{DF02512F-F794-AF48-3864-82AAA38ADC60}"/>
                            </a:ext>
                          </a:extLst>
                        </wps:cNvPr>
                        <wps:cNvSpPr txBox="1"/>
                        <wps:spPr>
                          <a:xfrm>
                            <a:off x="6148676" y="2932616"/>
                            <a:ext cx="978471" cy="652315"/>
                          </a:xfrm>
                          <a:prstGeom prst="rect">
                            <a:avLst/>
                          </a:prstGeom>
                          <a:solidFill>
                            <a:schemeClr val="tx2">
                              <a:lumMod val="20000"/>
                              <a:lumOff val="80000"/>
                            </a:schemeClr>
                          </a:solidFill>
                          <a:ln w="15875">
                            <a:solidFill>
                              <a:schemeClr val="tx2"/>
                            </a:solidFill>
                          </a:ln>
                        </wps:spPr>
                        <wps:txbx>
                          <w:txbxContent>
                            <w:p w14:paraId="54020D1E" w14:textId="77777777" w:rsidR="00CB3E7F" w:rsidRPr="006B0497" w:rsidRDefault="00CB3E7F"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Risk assessment using Lp(a)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1" name="Text Box 335">
                          <a:extLst>
                            <a:ext uri="{FF2B5EF4-FFF2-40B4-BE49-F238E27FC236}">
                              <a16:creationId xmlns:a16="http://schemas.microsoft.com/office/drawing/2014/main" id="{1815BC50-C0D9-4B6C-AF5D-A525451E2990}"/>
                            </a:ext>
                          </a:extLst>
                        </wps:cNvPr>
                        <wps:cNvSpPr txBox="1"/>
                        <wps:spPr>
                          <a:xfrm>
                            <a:off x="6380220" y="813256"/>
                            <a:ext cx="1477213" cy="438264"/>
                          </a:xfrm>
                          <a:prstGeom prst="rect">
                            <a:avLst/>
                          </a:prstGeom>
                          <a:solidFill>
                            <a:sysClr val="window" lastClr="FFFFFF"/>
                          </a:solidFill>
                          <a:ln w="6350">
                            <a:noFill/>
                          </a:ln>
                        </wps:spPr>
                        <wps:txbx>
                          <w:txbxContent>
                            <w:p w14:paraId="63DD69D9" w14:textId="77777777" w:rsidR="00CB3E7F" w:rsidRPr="006B0497" w:rsidRDefault="00CB3E7F" w:rsidP="006B0497">
                              <w:pPr>
                                <w:spacing w:after="0" w:line="240" w:lineRule="auto"/>
                                <w:jc w:val="center"/>
                                <w:rPr>
                                  <w:rFonts w:ascii="Arial Narrow" w:hAnsi="Arial Narrow"/>
                                  <w:color w:val="000000" w:themeColor="text1"/>
                                  <w:kern w:val="24"/>
                                  <w:sz w:val="16"/>
                                  <w:szCs w:val="16"/>
                                  <w:lang w:val="en-NZ"/>
                                </w:rPr>
                              </w:pPr>
                              <w:r w:rsidRPr="006B0497">
                                <w:rPr>
                                  <w:rFonts w:ascii="Arial Narrow" w:hAnsi="Arial Narrow"/>
                                  <w:color w:val="000000" w:themeColor="text1"/>
                                  <w:kern w:val="24"/>
                                  <w:sz w:val="16"/>
                                  <w:szCs w:val="16"/>
                                  <w:lang w:val="en-NZ"/>
                                </w:rPr>
                                <w:t>Proposed clinical management pathway</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3" name="Connector: Elbow 93">
                          <a:extLst>
                            <a:ext uri="{FF2B5EF4-FFF2-40B4-BE49-F238E27FC236}">
                              <a16:creationId xmlns:a16="http://schemas.microsoft.com/office/drawing/2014/main" id="{9BB43DF7-6509-A267-3C5A-26ECB2DF75B2}"/>
                            </a:ext>
                          </a:extLst>
                        </wps:cNvPr>
                        <wps:cNvCnPr>
                          <a:cxnSpLocks/>
                          <a:stCxn id="87" idx="1"/>
                          <a:endCxn id="105" idx="0"/>
                        </wps:cNvCnPr>
                        <wps:spPr>
                          <a:xfrm rot="10800000" flipV="1">
                            <a:off x="863273" y="1226385"/>
                            <a:ext cx="1191280" cy="673474"/>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 name="Text Box 20">
                          <a:extLst>
                            <a:ext uri="{FF2B5EF4-FFF2-40B4-BE49-F238E27FC236}">
                              <a16:creationId xmlns:a16="http://schemas.microsoft.com/office/drawing/2014/main" id="{3CEE660F-A59D-6544-6DA4-B97613CF2326}"/>
                            </a:ext>
                          </a:extLst>
                        </wps:cNvPr>
                        <wps:cNvSpPr txBox="1"/>
                        <wps:spPr>
                          <a:xfrm>
                            <a:off x="6148676" y="1903833"/>
                            <a:ext cx="978471" cy="489236"/>
                          </a:xfrm>
                          <a:prstGeom prst="rect">
                            <a:avLst/>
                          </a:prstGeom>
                          <a:solidFill>
                            <a:sysClr val="window" lastClr="FFFFFF"/>
                          </a:solidFill>
                          <a:ln w="15875">
                            <a:solidFill>
                              <a:srgbClr val="FF0000"/>
                            </a:solidFill>
                          </a:ln>
                        </wps:spPr>
                        <wps:txbx>
                          <w:txbxContent>
                            <w:p w14:paraId="48AD4DBC" w14:textId="77777777" w:rsidR="00CB3E7F" w:rsidRPr="006B0497" w:rsidRDefault="00CB3E7F"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First degree relative with high Lp(a)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5" name="Text Box 21">
                          <a:extLst>
                            <a:ext uri="{FF2B5EF4-FFF2-40B4-BE49-F238E27FC236}">
                              <a16:creationId xmlns:a16="http://schemas.microsoft.com/office/drawing/2014/main" id="{F8874F8D-C1A6-5DE2-B4BD-B9774081486A}"/>
                            </a:ext>
                          </a:extLst>
                        </wps:cNvPr>
                        <wps:cNvSpPr txBox="1"/>
                        <wps:spPr>
                          <a:xfrm>
                            <a:off x="7705758" y="1903833"/>
                            <a:ext cx="978471" cy="489236"/>
                          </a:xfrm>
                          <a:prstGeom prst="rect">
                            <a:avLst/>
                          </a:prstGeom>
                          <a:noFill/>
                          <a:ln w="15875">
                            <a:solidFill>
                              <a:srgbClr val="00B050"/>
                            </a:solidFill>
                          </a:ln>
                        </wps:spPr>
                        <wps:txbx>
                          <w:txbxContent>
                            <w:p w14:paraId="45836748" w14:textId="77777777" w:rsidR="00CB3E7F" w:rsidRPr="006B0497" w:rsidRDefault="00CB3E7F"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First degree relative with low Lp(a)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8" name="Connector: Elbow 98">
                          <a:extLst>
                            <a:ext uri="{FF2B5EF4-FFF2-40B4-BE49-F238E27FC236}">
                              <a16:creationId xmlns:a16="http://schemas.microsoft.com/office/drawing/2014/main" id="{64D97FCB-3FAE-0D97-BB27-E1B0B4DF4B4A}"/>
                            </a:ext>
                          </a:extLst>
                        </wps:cNvPr>
                        <wps:cNvCnPr>
                          <a:cxnSpLocks/>
                          <a:stCxn id="87" idx="3"/>
                          <a:endCxn id="94" idx="0"/>
                        </wps:cNvCnPr>
                        <wps:spPr>
                          <a:xfrm>
                            <a:off x="5415184" y="1226385"/>
                            <a:ext cx="1222728" cy="677448"/>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 name="Connector: Elbow 99">
                          <a:extLst>
                            <a:ext uri="{FF2B5EF4-FFF2-40B4-BE49-F238E27FC236}">
                              <a16:creationId xmlns:a16="http://schemas.microsoft.com/office/drawing/2014/main" id="{36E8FC1B-F770-7F11-D9D6-7C41B4DE0A5F}"/>
                            </a:ext>
                          </a:extLst>
                        </wps:cNvPr>
                        <wps:cNvCnPr>
                          <a:cxnSpLocks/>
                          <a:stCxn id="87" idx="3"/>
                          <a:endCxn id="94" idx="0"/>
                        </wps:cNvCnPr>
                        <wps:spPr>
                          <a:xfrm>
                            <a:off x="5415184" y="1226385"/>
                            <a:ext cx="1222728" cy="677448"/>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 name="Connector: Elbow 100">
                          <a:extLst>
                            <a:ext uri="{FF2B5EF4-FFF2-40B4-BE49-F238E27FC236}">
                              <a16:creationId xmlns:a16="http://schemas.microsoft.com/office/drawing/2014/main" id="{7B0FBF03-7B7A-4B8E-899E-E5F6700D6A1A}"/>
                            </a:ext>
                          </a:extLst>
                        </wps:cNvPr>
                        <wps:cNvCnPr>
                          <a:cxnSpLocks/>
                          <a:stCxn id="87" idx="3"/>
                          <a:endCxn id="95" idx="0"/>
                        </wps:cNvCnPr>
                        <wps:spPr>
                          <a:xfrm>
                            <a:off x="5415184" y="1226385"/>
                            <a:ext cx="2779809" cy="677448"/>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 name="Text Box 24">
                          <a:extLst>
                            <a:ext uri="{FF2B5EF4-FFF2-40B4-BE49-F238E27FC236}">
                              <a16:creationId xmlns:a16="http://schemas.microsoft.com/office/drawing/2014/main" id="{6060FE1C-58D0-BB11-686B-A47F6369C641}"/>
                            </a:ext>
                          </a:extLst>
                        </wps:cNvPr>
                        <wps:cNvSpPr txBox="1"/>
                        <wps:spPr>
                          <a:xfrm>
                            <a:off x="7705758" y="2932616"/>
                            <a:ext cx="978471" cy="652315"/>
                          </a:xfrm>
                          <a:prstGeom prst="rect">
                            <a:avLst/>
                          </a:prstGeom>
                          <a:noFill/>
                          <a:ln w="15875">
                            <a:solidFill>
                              <a:srgbClr val="00B050"/>
                            </a:solidFill>
                          </a:ln>
                        </wps:spPr>
                        <wps:txbx>
                          <w:txbxContent>
                            <w:p w14:paraId="227DBE0A" w14:textId="7E009716" w:rsidR="00CB3E7F" w:rsidRPr="006B0497" w:rsidRDefault="0087245F" w:rsidP="006B0497">
                              <w:pPr>
                                <w:spacing w:after="0" w:line="240" w:lineRule="auto"/>
                                <w:jc w:val="center"/>
                                <w:rPr>
                                  <w:rFonts w:ascii="Arial Narrow" w:hAnsi="Arial Narrow"/>
                                  <w:i/>
                                  <w:iCs/>
                                  <w:color w:val="000000" w:themeColor="text1"/>
                                  <w:kern w:val="24"/>
                                  <w:sz w:val="16"/>
                                  <w:szCs w:val="16"/>
                                </w:rPr>
                              </w:pPr>
                              <w:r>
                                <w:rPr>
                                  <w:rFonts w:ascii="Arial Narrow" w:hAnsi="Arial Narrow"/>
                                  <w:i/>
                                  <w:iCs/>
                                  <w:color w:val="000000" w:themeColor="text1"/>
                                  <w:kern w:val="24"/>
                                  <w:sz w:val="16"/>
                                  <w:szCs w:val="16"/>
                                </w:rPr>
                                <w:t xml:space="preserve">Managed according to the </w:t>
                              </w:r>
                              <w:r w:rsidR="00441925">
                                <w:rPr>
                                  <w:rFonts w:ascii="Arial Narrow" w:hAnsi="Arial Narrow"/>
                                  <w:i/>
                                  <w:iCs/>
                                  <w:color w:val="000000" w:themeColor="text1"/>
                                  <w:kern w:val="24"/>
                                  <w:sz w:val="16"/>
                                  <w:szCs w:val="16"/>
                                </w:rPr>
                                <w:t>clinical practice guideline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3" name="Straight Arrow Connector 103">
                          <a:extLst>
                            <a:ext uri="{FF2B5EF4-FFF2-40B4-BE49-F238E27FC236}">
                              <a16:creationId xmlns:a16="http://schemas.microsoft.com/office/drawing/2014/main" id="{A1A3CD69-B0B4-D884-F52D-AE99A2738883}"/>
                            </a:ext>
                          </a:extLst>
                        </wps:cNvPr>
                        <wps:cNvCnPr>
                          <a:cxnSpLocks/>
                          <a:stCxn id="95" idx="2"/>
                          <a:endCxn id="102" idx="0"/>
                        </wps:cNvCnPr>
                        <wps:spPr>
                          <a:xfrm>
                            <a:off x="8194993" y="2393069"/>
                            <a:ext cx="0" cy="53954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05" name="Text Box 11">
                          <a:extLst>
                            <a:ext uri="{FF2B5EF4-FFF2-40B4-BE49-F238E27FC236}">
                              <a16:creationId xmlns:a16="http://schemas.microsoft.com/office/drawing/2014/main" id="{2BEC8EE8-916D-D633-CEFE-C14E13F8D913}"/>
                            </a:ext>
                          </a:extLst>
                        </wps:cNvPr>
                        <wps:cNvSpPr txBox="1"/>
                        <wps:spPr>
                          <a:xfrm>
                            <a:off x="249365" y="1899859"/>
                            <a:ext cx="1227815" cy="652315"/>
                          </a:xfrm>
                          <a:prstGeom prst="rect">
                            <a:avLst/>
                          </a:prstGeom>
                          <a:noFill/>
                          <a:ln w="15875">
                            <a:solidFill>
                              <a:srgbClr val="A5A5A5">
                                <a:lumMod val="50000"/>
                              </a:srgbClr>
                            </a:solidFill>
                          </a:ln>
                        </wps:spPr>
                        <wps:txbx>
                          <w:txbxContent>
                            <w:p w14:paraId="65810F76" w14:textId="77777777" w:rsidR="00CB3E7F" w:rsidRPr="006B0497" w:rsidRDefault="00CB3E7F" w:rsidP="006B0497">
                              <w:pPr>
                                <w:spacing w:after="0" w:line="240" w:lineRule="auto"/>
                                <w:jc w:val="center"/>
                                <w:rPr>
                                  <w:rFonts w:ascii="Arial Narrow" w:hAnsi="Arial Narrow"/>
                                  <w:color w:val="000000" w:themeColor="text1"/>
                                  <w:kern w:val="24"/>
                                  <w:sz w:val="16"/>
                                  <w:szCs w:val="16"/>
                                </w:rPr>
                              </w:pPr>
                              <w:r w:rsidRPr="006B0497">
                                <w:rPr>
                                  <w:rFonts w:ascii="Arial Narrow" w:hAnsi="Arial Narrow"/>
                                  <w:color w:val="000000" w:themeColor="text1"/>
                                  <w:kern w:val="24"/>
                                  <w:sz w:val="16"/>
                                  <w:szCs w:val="16"/>
                                </w:rPr>
                                <w:t>Not tested based on family history or inherent risk factors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6" name="Straight Arrow Connector 106">
                          <a:extLst>
                            <a:ext uri="{FF2B5EF4-FFF2-40B4-BE49-F238E27FC236}">
                              <a16:creationId xmlns:a16="http://schemas.microsoft.com/office/drawing/2014/main" id="{F126DCFC-245C-742F-AA32-F09A6E79FB07}"/>
                            </a:ext>
                          </a:extLst>
                        </wps:cNvPr>
                        <wps:cNvCnPr>
                          <a:cxnSpLocks/>
                          <a:stCxn id="94" idx="2"/>
                          <a:endCxn id="88" idx="0"/>
                        </wps:cNvCnPr>
                        <wps:spPr>
                          <a:xfrm>
                            <a:off x="6637912" y="2393069"/>
                            <a:ext cx="0" cy="53954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07" name="Text Box 20">
                          <a:extLst>
                            <a:ext uri="{FF2B5EF4-FFF2-40B4-BE49-F238E27FC236}">
                              <a16:creationId xmlns:a16="http://schemas.microsoft.com/office/drawing/2014/main" id="{0176C2FE-DAE1-1403-64DF-618210C05D1A}"/>
                            </a:ext>
                          </a:extLst>
                        </wps:cNvPr>
                        <wps:cNvSpPr txBox="1"/>
                        <wps:spPr>
                          <a:xfrm>
                            <a:off x="5468956" y="4156944"/>
                            <a:ext cx="978471" cy="228569"/>
                          </a:xfrm>
                          <a:prstGeom prst="rect">
                            <a:avLst/>
                          </a:prstGeom>
                          <a:solidFill>
                            <a:sysClr val="window" lastClr="FFFFFF"/>
                          </a:solidFill>
                          <a:ln w="15875">
                            <a:solidFill>
                              <a:srgbClr val="FF0000"/>
                            </a:solidFill>
                          </a:ln>
                        </wps:spPr>
                        <wps:txbx>
                          <w:txbxContent>
                            <w:p w14:paraId="4577858E" w14:textId="77B11270" w:rsidR="00CB3E7F" w:rsidRPr="006B0497" w:rsidRDefault="00CB3E7F"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High Lp(a)</w:t>
                              </w:r>
                              <w:r w:rsidR="00EC370E" w:rsidRPr="00EC370E">
                                <w:rPr>
                                  <w:rFonts w:ascii="Arial Narrow" w:hAnsi="Arial Narrow"/>
                                  <w:i/>
                                  <w:iCs/>
                                  <w:color w:val="000000" w:themeColor="text1"/>
                                  <w:kern w:val="24"/>
                                  <w:sz w:val="16"/>
                                  <w:szCs w:val="16"/>
                                </w:rPr>
                                <w:t>&gt;200 nmol/L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8" name="Text Box 21">
                          <a:extLst>
                            <a:ext uri="{FF2B5EF4-FFF2-40B4-BE49-F238E27FC236}">
                              <a16:creationId xmlns:a16="http://schemas.microsoft.com/office/drawing/2014/main" id="{0C1BC3D2-1126-C800-EB70-7FF432C0B8D9}"/>
                            </a:ext>
                          </a:extLst>
                        </wps:cNvPr>
                        <wps:cNvSpPr txBox="1"/>
                        <wps:spPr>
                          <a:xfrm>
                            <a:off x="6682599" y="4157455"/>
                            <a:ext cx="978471" cy="228310"/>
                          </a:xfrm>
                          <a:prstGeom prst="rect">
                            <a:avLst/>
                          </a:prstGeom>
                          <a:noFill/>
                          <a:ln w="15875">
                            <a:solidFill>
                              <a:srgbClr val="00B050"/>
                            </a:solidFill>
                          </a:ln>
                        </wps:spPr>
                        <wps:txbx>
                          <w:txbxContent>
                            <w:p w14:paraId="385C6923" w14:textId="5F1D3ECF" w:rsidR="00CB3E7F" w:rsidRPr="006B0497" w:rsidRDefault="00CB3E7F"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Low Lp(a)</w:t>
                              </w:r>
                              <w:r w:rsidR="00EC370E">
                                <w:rPr>
                                  <w:rFonts w:ascii="Arial Narrow" w:hAnsi="Arial Narrow"/>
                                  <w:i/>
                                  <w:iCs/>
                                  <w:color w:val="000000" w:themeColor="text1"/>
                                  <w:kern w:val="24"/>
                                  <w:sz w:val="16"/>
                                  <w:szCs w:val="16"/>
                                </w:rPr>
                                <w:t>&lt;</w:t>
                              </w:r>
                              <w:r w:rsidR="00EC370E" w:rsidRPr="00EC370E">
                                <w:rPr>
                                  <w:rFonts w:ascii="Arial Narrow" w:hAnsi="Arial Narrow"/>
                                  <w:i/>
                                  <w:iCs/>
                                  <w:color w:val="000000" w:themeColor="text1"/>
                                  <w:kern w:val="24"/>
                                  <w:sz w:val="16"/>
                                  <w:szCs w:val="16"/>
                                </w:rPr>
                                <w:t>200 nmol/L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9" name="Straight Arrow Connector 21">
                          <a:extLst>
                            <a:ext uri="{FF2B5EF4-FFF2-40B4-BE49-F238E27FC236}">
                              <a16:creationId xmlns:a16="http://schemas.microsoft.com/office/drawing/2014/main" id="{FE42DF5A-DDF5-E1D0-DF74-22111CBA9513}"/>
                            </a:ext>
                          </a:extLst>
                        </wps:cNvPr>
                        <wps:cNvCnPr>
                          <a:cxnSpLocks/>
                          <a:stCxn id="88" idx="2"/>
                          <a:endCxn id="108" idx="0"/>
                        </wps:cNvCnPr>
                        <wps:spPr>
                          <a:xfrm rot="16200000" flipH="1">
                            <a:off x="6618611" y="3604231"/>
                            <a:ext cx="572525" cy="533923"/>
                          </a:xfrm>
                          <a:prstGeom prst="bentConnector3">
                            <a:avLst>
                              <a:gd name="adj1" fmla="val 50000"/>
                            </a:avLst>
                          </a:prstGeom>
                          <a:ln>
                            <a:tailEnd type="triangle"/>
                          </a:ln>
                        </wps:spPr>
                        <wps:style>
                          <a:lnRef idx="2">
                            <a:schemeClr val="dk1"/>
                          </a:lnRef>
                          <a:fillRef idx="0">
                            <a:schemeClr val="dk1"/>
                          </a:fillRef>
                          <a:effectRef idx="1">
                            <a:schemeClr val="dk1"/>
                          </a:effectRef>
                          <a:fontRef idx="minor">
                            <a:schemeClr val="tx1"/>
                          </a:fontRef>
                        </wps:style>
                        <wps:bodyPr/>
                      </wps:wsp>
                      <wps:wsp>
                        <wps:cNvPr id="110" name="Straight Arrow Connector 21">
                          <a:extLst>
                            <a:ext uri="{FF2B5EF4-FFF2-40B4-BE49-F238E27FC236}">
                              <a16:creationId xmlns:a16="http://schemas.microsoft.com/office/drawing/2014/main" id="{7A5DD23E-CB48-EBFE-8F04-FA53FEC839B3}"/>
                            </a:ext>
                          </a:extLst>
                        </wps:cNvPr>
                        <wps:cNvCnPr>
                          <a:cxnSpLocks/>
                          <a:stCxn id="88" idx="2"/>
                          <a:endCxn id="107" idx="0"/>
                        </wps:cNvCnPr>
                        <wps:spPr>
                          <a:xfrm rot="5400000">
                            <a:off x="6012041" y="3531072"/>
                            <a:ext cx="572013" cy="679731"/>
                          </a:xfrm>
                          <a:prstGeom prst="bentConnector3">
                            <a:avLst>
                              <a:gd name="adj1" fmla="val 50000"/>
                            </a:avLst>
                          </a:prstGeom>
                          <a:ln>
                            <a:tailEnd type="triangle"/>
                          </a:ln>
                        </wps:spPr>
                        <wps:style>
                          <a:lnRef idx="2">
                            <a:schemeClr val="dk1"/>
                          </a:lnRef>
                          <a:fillRef idx="0">
                            <a:schemeClr val="dk1"/>
                          </a:fillRef>
                          <a:effectRef idx="1">
                            <a:schemeClr val="dk1"/>
                          </a:effectRef>
                          <a:fontRef idx="minor">
                            <a:schemeClr val="tx1"/>
                          </a:fontRef>
                        </wps:style>
                        <wps:bodyPr/>
                      </wps:wsp>
                      <wps:wsp>
                        <wps:cNvPr id="111" name="Text Box 33">
                          <a:extLst>
                            <a:ext uri="{FF2B5EF4-FFF2-40B4-BE49-F238E27FC236}">
                              <a16:creationId xmlns:a16="http://schemas.microsoft.com/office/drawing/2014/main" id="{DFA85B79-3AE6-78B5-F4C3-9886E882A37A}"/>
                            </a:ext>
                          </a:extLst>
                        </wps:cNvPr>
                        <wps:cNvSpPr txBox="1"/>
                        <wps:spPr>
                          <a:xfrm>
                            <a:off x="5469202" y="4834086"/>
                            <a:ext cx="978471" cy="652314"/>
                          </a:xfrm>
                          <a:prstGeom prst="rect">
                            <a:avLst/>
                          </a:prstGeom>
                          <a:noFill/>
                          <a:ln w="15875" cmpd="dbl">
                            <a:solidFill>
                              <a:schemeClr val="accent5"/>
                            </a:solidFill>
                          </a:ln>
                        </wps:spPr>
                        <wps:txbx>
                          <w:txbxContent>
                            <w:p w14:paraId="076BE4C2" w14:textId="03102DF4" w:rsidR="00CB3E7F" w:rsidRPr="006B0497" w:rsidRDefault="00CB3E7F"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 xml:space="preserve">Early intervention to </w:t>
                              </w:r>
                              <w:r w:rsidR="00DF4881" w:rsidRPr="00DF4881">
                                <w:rPr>
                                  <w:rFonts w:ascii="Arial Narrow" w:hAnsi="Arial Narrow"/>
                                  <w:i/>
                                  <w:iCs/>
                                  <w:color w:val="000000" w:themeColor="text1"/>
                                  <w:kern w:val="24"/>
                                  <w:sz w:val="16"/>
                                  <w:szCs w:val="16"/>
                                </w:rPr>
                                <w:t>offset the ongoing CVD risk directly or indirectly</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2" name="Straight Arrow Connector 112">
                          <a:extLst>
                            <a:ext uri="{FF2B5EF4-FFF2-40B4-BE49-F238E27FC236}">
                              <a16:creationId xmlns:a16="http://schemas.microsoft.com/office/drawing/2014/main" id="{4E25FA3F-232A-A144-D5DC-4D640A93DEC0}"/>
                            </a:ext>
                          </a:extLst>
                        </wps:cNvPr>
                        <wps:cNvCnPr>
                          <a:cxnSpLocks/>
                          <a:stCxn id="107" idx="2"/>
                          <a:endCxn id="111" idx="0"/>
                        </wps:cNvCnPr>
                        <wps:spPr>
                          <a:xfrm>
                            <a:off x="5958181" y="4385513"/>
                            <a:ext cx="257" cy="44857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13" name="Straight Arrow Connector 21">
                          <a:extLst>
                            <a:ext uri="{FF2B5EF4-FFF2-40B4-BE49-F238E27FC236}">
                              <a16:creationId xmlns:a16="http://schemas.microsoft.com/office/drawing/2014/main" id="{139B4DB3-4BB0-8EDB-C5FA-83746C70CB1D}"/>
                            </a:ext>
                          </a:extLst>
                        </wps:cNvPr>
                        <wps:cNvCnPr>
                          <a:cxnSpLocks/>
                          <a:stCxn id="108" idx="2"/>
                          <a:endCxn id="102" idx="2"/>
                        </wps:cNvCnPr>
                        <wps:spPr>
                          <a:xfrm rot="5400000" flipH="1" flipV="1">
                            <a:off x="7282996" y="3473769"/>
                            <a:ext cx="800835" cy="1023159"/>
                          </a:xfrm>
                          <a:prstGeom prst="bentConnector3">
                            <a:avLst>
                              <a:gd name="adj1" fmla="val -25862"/>
                            </a:avLst>
                          </a:prstGeom>
                          <a:ln>
                            <a:tailEnd type="triangle"/>
                          </a:ln>
                        </wps:spPr>
                        <wps:style>
                          <a:lnRef idx="2">
                            <a:schemeClr val="dk1"/>
                          </a:lnRef>
                          <a:fillRef idx="0">
                            <a:schemeClr val="dk1"/>
                          </a:fillRef>
                          <a:effectRef idx="1">
                            <a:schemeClr val="dk1"/>
                          </a:effectRef>
                          <a:fontRef idx="minor">
                            <a:schemeClr val="tx1"/>
                          </a:fontRef>
                        </wps:style>
                        <wps:bodyPr/>
                      </wps:wsp>
                    </wpc:wpc>
                  </a:graphicData>
                </a:graphic>
              </wp:inline>
            </w:drawing>
          </mc:Choice>
          <mc:Fallback>
            <w:pict>
              <v:group w14:anchorId="0CFAFE1C" id="Canvas 83" o:spid="_x0000_s1091" editas="canvas" alt="Figure 7 Current and proposed clinical management algorithms for Population C " style="width:740.6pt;height:432.05pt;mso-position-horizontal-relative:char;mso-position-vertical-relative:line" coordsize="94056,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">
                <v:shape id="_x0000_s1092" type="#_x0000_t75" alt="Figure 7 Current and proposed clinical management algorithms for Population C " style="position:absolute;width:94056;height:54864;visibility:visible;mso-wrap-style:square" filled="t">
                  <v:fill o:detectmouseclick="t"/>
                  <v:path o:connecttype="none"/>
                </v:shape>
                <v:shape id="Text Box 16" o:spid="_x0000_s1093" type="#_x0000_t202" style="position:absolute;left:20545;top:9706;width:33606;height:5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" fillcolor="window" strokecolor="red" strokeweight="1.25pt">
                  <v:stroke linestyle="thinThin"/>
                  <v:textbox inset="0,0,0,0">
                    <w:txbxContent>
                      <w:p w14:paraId="25B0E20C" w14:textId="77777777" w:rsidR="00CB3E7F" w:rsidRPr="006B0497" w:rsidRDefault="00CB3E7F"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Risk assessment of the first degree relative</w:t>
                        </w:r>
                      </w:p>
                      <w:p w14:paraId="0DDCA3BB" w14:textId="77777777" w:rsidR="00CB3E7F" w:rsidRPr="006B0497" w:rsidRDefault="00CB3E7F"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 xml:space="preserve">With or without </w:t>
                        </w:r>
                      </w:p>
                      <w:p w14:paraId="6481E757" w14:textId="77777777" w:rsidR="00CB3E7F" w:rsidRPr="006B0497" w:rsidRDefault="00CB3E7F"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CVD risk assessment on the individual</w:t>
                        </w:r>
                      </w:p>
                    </w:txbxContent>
                  </v:textbox>
                </v:shape>
                <v:shape id="Text Box 42" o:spid="_x0000_s1094" type="#_x0000_t202" style="position:absolute;left:61486;top:29326;width:9785;height:6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" fillcolor="#d5dce4 [671]" strokecolor="#44546a [3215]" strokeweight="1.25pt">
                  <v:textbox inset="0,0,0,0">
                    <w:txbxContent>
                      <w:p w14:paraId="54020D1E" w14:textId="77777777" w:rsidR="00CB3E7F" w:rsidRPr="006B0497" w:rsidRDefault="00CB3E7F"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Risk assessment using Lp(a)</w:t>
                        </w:r>
                      </w:p>
                    </w:txbxContent>
                  </v:textbox>
                </v:shape>
                <v:shape id="Text Box 335" o:spid="_x0000_s1095" type="#_x0000_t202" style="position:absolute;left:63802;top:8132;width:14772;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" fillcolor="window" stroked="f" strokeweight=".5pt">
                  <v:textbox inset="0,0,0,0">
                    <w:txbxContent>
                      <w:p w14:paraId="63DD69D9" w14:textId="77777777" w:rsidR="00CB3E7F" w:rsidRPr="006B0497" w:rsidRDefault="00CB3E7F" w:rsidP="006B0497">
                        <w:pPr>
                          <w:spacing w:after="0" w:line="240" w:lineRule="auto"/>
                          <w:jc w:val="center"/>
                          <w:rPr>
                            <w:rFonts w:ascii="Arial Narrow" w:hAnsi="Arial Narrow"/>
                            <w:color w:val="000000" w:themeColor="text1"/>
                            <w:kern w:val="24"/>
                            <w:sz w:val="16"/>
                            <w:szCs w:val="16"/>
                            <w:lang w:val="en-NZ"/>
                          </w:rPr>
                        </w:pPr>
                        <w:r w:rsidRPr="006B0497">
                          <w:rPr>
                            <w:rFonts w:ascii="Arial Narrow" w:hAnsi="Arial Narrow"/>
                            <w:color w:val="000000" w:themeColor="text1"/>
                            <w:kern w:val="24"/>
                            <w:sz w:val="16"/>
                            <w:szCs w:val="16"/>
                            <w:lang w:val="en-NZ"/>
                          </w:rPr>
                          <w:t>Proposed clinical management pathway</w:t>
                        </w:r>
                      </w:p>
                    </w:txbxContent>
                  </v:textbox>
                </v:shape>
                <v:shape id="Connector: Elbow 93" o:spid="_x0000_s1096" type="#_x0000_t33" style="position:absolute;left:8632;top:12263;width:11913;height:67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" strokecolor="black [3213]" strokeweight=".5pt">
                  <v:stroke endarrow="block"/>
                  <o:lock v:ext="edit" shapetype="f"/>
                </v:shape>
                <v:shape id="Text Box 20" o:spid="_x0000_s1097" type="#_x0000_t202" style="position:absolute;left:61486;top:19038;width:9785;height:4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" fillcolor="window" strokecolor="red" strokeweight="1.25pt">
                  <v:textbox inset="0,0,0,0">
                    <w:txbxContent>
                      <w:p w14:paraId="48AD4DBC" w14:textId="77777777" w:rsidR="00CB3E7F" w:rsidRPr="006B0497" w:rsidRDefault="00CB3E7F"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First degree relative with high Lp(a)</w:t>
                        </w:r>
                      </w:p>
                    </w:txbxContent>
                  </v:textbox>
                </v:shape>
                <v:shape id="Text Box 21" o:spid="_x0000_s1098" type="#_x0000_t202" style="position:absolute;left:77057;top:19038;width:9785;height:4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" filled="f" strokecolor="#00b050" strokeweight="1.25pt">
                  <v:textbox inset="0,0,0,0">
                    <w:txbxContent>
                      <w:p w14:paraId="45836748" w14:textId="77777777" w:rsidR="00CB3E7F" w:rsidRPr="006B0497" w:rsidRDefault="00CB3E7F"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First degree relative with low Lp(a)</w:t>
                        </w:r>
                      </w:p>
                    </w:txbxContent>
                  </v:textbox>
                </v:shape>
                <v:shape id="Connector: Elbow 98" o:spid="_x0000_s1099" type="#_x0000_t33" style="position:absolute;left:54151;top:12263;width:12228;height:677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" strokecolor="black [3213]" strokeweight=".5pt">
                  <v:stroke endarrow="block"/>
                  <o:lock v:ext="edit" shapetype="f"/>
                </v:shape>
                <v:shape id="Connector: Elbow 99" o:spid="_x0000_s1100" type="#_x0000_t33" style="position:absolute;left:54151;top:12263;width:12228;height:677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" strokecolor="black [3213]" strokeweight=".5pt">
                  <v:stroke endarrow="block"/>
                  <o:lock v:ext="edit" shapetype="f"/>
                </v:shape>
                <v:shape id="Connector: Elbow 100" o:spid="_x0000_s1101" type="#_x0000_t33" style="position:absolute;left:54151;top:12263;width:27798;height:677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" strokecolor="black [3213]" strokeweight=".5pt">
                  <v:stroke endarrow="block"/>
                  <o:lock v:ext="edit" shapetype="f"/>
                </v:shape>
                <v:shape id="Text Box 24" o:spid="_x0000_s1102" type="#_x0000_t202" style="position:absolute;left:77057;top:29326;width:9785;height:6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" filled="f" strokecolor="#00b050" strokeweight="1.25pt">
                  <v:textbox inset="0,0,0,0">
                    <w:txbxContent>
                      <w:p w14:paraId="227DBE0A" w14:textId="7E009716" w:rsidR="00CB3E7F" w:rsidRPr="006B0497" w:rsidRDefault="0087245F" w:rsidP="006B0497">
                        <w:pPr>
                          <w:spacing w:after="0" w:line="240" w:lineRule="auto"/>
                          <w:jc w:val="center"/>
                          <w:rPr>
                            <w:rFonts w:ascii="Arial Narrow" w:hAnsi="Arial Narrow"/>
                            <w:i/>
                            <w:iCs/>
                            <w:color w:val="000000" w:themeColor="text1"/>
                            <w:kern w:val="24"/>
                            <w:sz w:val="16"/>
                            <w:szCs w:val="16"/>
                          </w:rPr>
                        </w:pPr>
                        <w:r>
                          <w:rPr>
                            <w:rFonts w:ascii="Arial Narrow" w:hAnsi="Arial Narrow"/>
                            <w:i/>
                            <w:iCs/>
                            <w:color w:val="000000" w:themeColor="text1"/>
                            <w:kern w:val="24"/>
                            <w:sz w:val="16"/>
                            <w:szCs w:val="16"/>
                          </w:rPr>
                          <w:t xml:space="preserve">Managed according to the </w:t>
                        </w:r>
                        <w:r w:rsidR="00441925">
                          <w:rPr>
                            <w:rFonts w:ascii="Arial Narrow" w:hAnsi="Arial Narrow"/>
                            <w:i/>
                            <w:iCs/>
                            <w:color w:val="000000" w:themeColor="text1"/>
                            <w:kern w:val="24"/>
                            <w:sz w:val="16"/>
                            <w:szCs w:val="16"/>
                          </w:rPr>
                          <w:t>clinical practice guideline</w:t>
                        </w:r>
                      </w:p>
                    </w:txbxContent>
                  </v:textbox>
                </v:shape>
                <v:shape id="Straight Arrow Connector 103" o:spid="_x0000_s1103" type="#_x0000_t32" style="position:absolute;left:81949;top:23930;width:0;height:5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" strokecolor="black [3200]" strokeweight="1pt">
                  <v:stroke endarrow="block" joinstyle="miter"/>
                  <o:lock v:ext="edit" shapetype="f"/>
                </v:shape>
                <v:shape id="Text Box 11" o:spid="_x0000_s1104" type="#_x0000_t202" style="position:absolute;left:2493;top:18998;width:12278;height:6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" filled="f" strokecolor="#525252" strokeweight="1.25pt">
                  <v:textbox inset="0,0,0,0">
                    <w:txbxContent>
                      <w:p w14:paraId="65810F76" w14:textId="77777777" w:rsidR="00CB3E7F" w:rsidRPr="006B0497" w:rsidRDefault="00CB3E7F" w:rsidP="006B0497">
                        <w:pPr>
                          <w:spacing w:after="0" w:line="240" w:lineRule="auto"/>
                          <w:jc w:val="center"/>
                          <w:rPr>
                            <w:rFonts w:ascii="Arial Narrow" w:hAnsi="Arial Narrow"/>
                            <w:color w:val="000000" w:themeColor="text1"/>
                            <w:kern w:val="24"/>
                            <w:sz w:val="16"/>
                            <w:szCs w:val="16"/>
                          </w:rPr>
                        </w:pPr>
                        <w:r w:rsidRPr="006B0497">
                          <w:rPr>
                            <w:rFonts w:ascii="Arial Narrow" w:hAnsi="Arial Narrow"/>
                            <w:color w:val="000000" w:themeColor="text1"/>
                            <w:kern w:val="24"/>
                            <w:sz w:val="16"/>
                            <w:szCs w:val="16"/>
                          </w:rPr>
                          <w:t>Not tested based on family history or inherent risk factors</w:t>
                        </w:r>
                      </w:p>
                    </w:txbxContent>
                  </v:textbox>
                </v:shape>
                <v:shape id="Straight Arrow Connector 106" o:spid="_x0000_s1105" type="#_x0000_t32" style="position:absolute;left:66379;top:23930;width:0;height:5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" strokecolor="black [3200]" strokeweight="1pt">
                  <v:stroke endarrow="block" joinstyle="miter"/>
                  <o:lock v:ext="edit" shapetype="f"/>
                </v:shape>
                <v:shape id="Text Box 20" o:spid="_x0000_s1106" type="#_x0000_t202" style="position:absolute;left:54689;top:41569;width:978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" fillcolor="window" strokecolor="red" strokeweight="1.25pt">
                  <v:textbox inset="0,0,0,0">
                    <w:txbxContent>
                      <w:p w14:paraId="4577858E" w14:textId="77B11270" w:rsidR="00CB3E7F" w:rsidRPr="006B0497" w:rsidRDefault="00CB3E7F"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High Lp(a)</w:t>
                        </w:r>
                        <w:r w:rsidR="00EC370E" w:rsidRPr="00EC370E">
                          <w:rPr>
                            <w:rFonts w:ascii="Arial Narrow" w:hAnsi="Arial Narrow"/>
                            <w:i/>
                            <w:iCs/>
                            <w:color w:val="000000" w:themeColor="text1"/>
                            <w:kern w:val="24"/>
                            <w:sz w:val="16"/>
                            <w:szCs w:val="16"/>
                          </w:rPr>
                          <w:t>&gt;200 nmol/L</w:t>
                        </w:r>
                      </w:p>
                    </w:txbxContent>
                  </v:textbox>
                </v:shape>
                <v:shape id="Text Box 21" o:spid="_x0000_s1107" type="#_x0000_t202" style="position:absolute;left:66825;top:41574;width:9785;height:2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" filled="f" strokecolor="#00b050" strokeweight="1.25pt">
                  <v:textbox inset="0,0,0,0">
                    <w:txbxContent>
                      <w:p w14:paraId="385C6923" w14:textId="5F1D3ECF" w:rsidR="00CB3E7F" w:rsidRPr="006B0497" w:rsidRDefault="00CB3E7F"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Low Lp(a)</w:t>
                        </w:r>
                        <w:r w:rsidR="00EC370E">
                          <w:rPr>
                            <w:rFonts w:ascii="Arial Narrow" w:hAnsi="Arial Narrow"/>
                            <w:i/>
                            <w:iCs/>
                            <w:color w:val="000000" w:themeColor="text1"/>
                            <w:kern w:val="24"/>
                            <w:sz w:val="16"/>
                            <w:szCs w:val="16"/>
                          </w:rPr>
                          <w:t>&lt;</w:t>
                        </w:r>
                        <w:r w:rsidR="00EC370E" w:rsidRPr="00EC370E">
                          <w:rPr>
                            <w:rFonts w:ascii="Arial Narrow" w:hAnsi="Arial Narrow"/>
                            <w:i/>
                            <w:iCs/>
                            <w:color w:val="000000" w:themeColor="text1"/>
                            <w:kern w:val="24"/>
                            <w:sz w:val="16"/>
                            <w:szCs w:val="16"/>
                          </w:rPr>
                          <w:t>200 nmol/L</w:t>
                        </w:r>
                      </w:p>
                    </w:txbxContent>
                  </v:textbox>
                </v:shape>
                <v:shape id="Straight Arrow Connector 21" o:spid="_x0000_s1108" type="#_x0000_t34" style="position:absolute;left:66186;top:36042;width:5725;height:533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" strokecolor="black [3200]" strokeweight="1pt">
                  <v:stroke endarrow="block"/>
                  <o:lock v:ext="edit" shapetype="f"/>
                </v:shape>
                <v:shape id="Straight Arrow Connector 21" o:spid="_x0000_s1109" type="#_x0000_t34" style="position:absolute;left:60120;top:35310;width:5720;height:679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" strokecolor="black [3200]" strokeweight="1pt">
                  <v:stroke endarrow="block"/>
                  <o:lock v:ext="edit" shapetype="f"/>
                </v:shape>
                <v:shape id="Text Box 33" o:spid="_x0000_s1110" type="#_x0000_t202" style="position:absolute;left:54692;top:48340;width:9784;height:6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" filled="f" strokecolor="#4472c4 [3208]" strokeweight="1.25pt">
                  <v:stroke linestyle="thinThin"/>
                  <v:textbox inset="0,0,0,0">
                    <w:txbxContent>
                      <w:p w14:paraId="076BE4C2" w14:textId="03102DF4" w:rsidR="00CB3E7F" w:rsidRPr="006B0497" w:rsidRDefault="00CB3E7F" w:rsidP="006B0497">
                        <w:pPr>
                          <w:spacing w:after="0" w:line="240" w:lineRule="auto"/>
                          <w:jc w:val="center"/>
                          <w:rPr>
                            <w:rFonts w:ascii="Arial Narrow" w:hAnsi="Arial Narrow"/>
                            <w:i/>
                            <w:iCs/>
                            <w:color w:val="000000" w:themeColor="text1"/>
                            <w:kern w:val="24"/>
                            <w:sz w:val="16"/>
                            <w:szCs w:val="16"/>
                          </w:rPr>
                        </w:pPr>
                        <w:r w:rsidRPr="006B0497">
                          <w:rPr>
                            <w:rFonts w:ascii="Arial Narrow" w:hAnsi="Arial Narrow"/>
                            <w:i/>
                            <w:iCs/>
                            <w:color w:val="000000" w:themeColor="text1"/>
                            <w:kern w:val="24"/>
                            <w:sz w:val="16"/>
                            <w:szCs w:val="16"/>
                          </w:rPr>
                          <w:t xml:space="preserve">Early intervention to </w:t>
                        </w:r>
                        <w:r w:rsidR="00DF4881" w:rsidRPr="00DF4881">
                          <w:rPr>
                            <w:rFonts w:ascii="Arial Narrow" w:hAnsi="Arial Narrow"/>
                            <w:i/>
                            <w:iCs/>
                            <w:color w:val="000000" w:themeColor="text1"/>
                            <w:kern w:val="24"/>
                            <w:sz w:val="16"/>
                            <w:szCs w:val="16"/>
                          </w:rPr>
                          <w:t>offset the ongoing CVD risk directly or indirectly</w:t>
                        </w:r>
                      </w:p>
                    </w:txbxContent>
                  </v:textbox>
                </v:shape>
                <v:shape id="Straight Arrow Connector 112" o:spid="_x0000_s1111" type="#_x0000_t32" style="position:absolute;left:59581;top:43855;width:3;height:44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" strokecolor="black [3200]" strokeweight="1pt">
                  <v:stroke endarrow="block" joinstyle="miter"/>
                  <o:lock v:ext="edit" shapetype="f"/>
                </v:shape>
                <v:shape id="Straight Arrow Connector 21" o:spid="_x0000_s1112" type="#_x0000_t34" style="position:absolute;left:72830;top:34737;width:8008;height:1023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" adj="-5586" strokecolor="black [3200]" strokeweight="1pt">
                  <v:stroke endarrow="block"/>
                  <o:lock v:ext="edit" shapetype="f"/>
                </v:shape>
                <w10:anchorlock/>
              </v:group>
            </w:pict>
          </mc:Fallback>
        </mc:AlternateContent>
      </w:r>
    </w:p>
    <w:p w14:paraId="7E70F2DD" w14:textId="77777777" w:rsidR="004A2752" w:rsidRPr="0015087E" w:rsidRDefault="004A2752" w:rsidP="00695B36">
      <w:pPr>
        <w:jc w:val="left"/>
        <w:rPr>
          <w:b/>
          <w:szCs w:val="20"/>
        </w:rPr>
        <w:sectPr w:rsidR="004A2752" w:rsidRPr="0015087E" w:rsidSect="00F710AC">
          <w:pgSz w:w="16838" w:h="11906" w:orient="landscape"/>
          <w:pgMar w:top="1134" w:right="1021" w:bottom="1191" w:left="682" w:header="709" w:footer="709" w:gutter="0"/>
          <w:cols w:space="708"/>
          <w:docGrid w:linePitch="360"/>
        </w:sectPr>
      </w:pPr>
    </w:p>
    <w:p w14:paraId="43028612" w14:textId="77777777" w:rsidR="00EC1854" w:rsidRDefault="00EC1854" w:rsidP="00695B36">
      <w:pPr>
        <w:jc w:val="left"/>
        <w:rPr>
          <w:i/>
          <w:iCs/>
        </w:rPr>
      </w:pPr>
      <w:r w:rsidRPr="00AD795A">
        <w:rPr>
          <w:i/>
          <w:iCs/>
        </w:rPr>
        <w:lastRenderedPageBreak/>
        <w:t>PASC suggested that the clinical management algorithm for population A should not be everyone but only the moderate risk group. This change has been reflected in the PICO. High and low risk groups were not removed from the algorithm</w:t>
      </w:r>
      <w:r>
        <w:rPr>
          <w:i/>
          <w:iCs/>
        </w:rPr>
        <w:t xml:space="preserve"> but greyed out, as they were depicted to reflect the result of CVD risk assessment as an integral part of the testing process.</w:t>
      </w:r>
    </w:p>
    <w:p w14:paraId="52DE29E5" w14:textId="77777777" w:rsidR="00EC1854" w:rsidRDefault="00EC1854" w:rsidP="00695B36">
      <w:pPr>
        <w:jc w:val="left"/>
        <w:rPr>
          <w:i/>
          <w:iCs/>
        </w:rPr>
      </w:pPr>
      <w:r>
        <w:rPr>
          <w:i/>
          <w:iCs/>
        </w:rPr>
        <w:t xml:space="preserve">PASC raised that the clinical management algorithm for population B is not correct. Given the uncertain definition for this population, changes have not been made against the current algorithm illustrated in the PICO. Until the population definition could be clarified, the algorithm could not be finalised. </w:t>
      </w:r>
    </w:p>
    <w:p w14:paraId="2FFA095D" w14:textId="77777777" w:rsidR="00EC1854" w:rsidRDefault="00EC1854" w:rsidP="00695B36">
      <w:pPr>
        <w:jc w:val="left"/>
        <w:rPr>
          <w:i/>
          <w:iCs/>
        </w:rPr>
      </w:pPr>
      <w:r w:rsidRPr="00AD795A">
        <w:rPr>
          <w:i/>
          <w:iCs/>
        </w:rPr>
        <w:t>PASC raised that the clinical management algorithm for population C needs to be rectified for patients with low Lp(a). Patients should be managed according to the clinical practice guidelines instead of “no action required”. This is reflected in the updated algorithm above.</w:t>
      </w:r>
      <w:r>
        <w:rPr>
          <w:i/>
          <w:iCs/>
        </w:rPr>
        <w:t xml:space="preserve"> </w:t>
      </w:r>
    </w:p>
    <w:p w14:paraId="6F99DA69" w14:textId="272FE9E4" w:rsidR="00EC1854" w:rsidRDefault="00EC1854" w:rsidP="00695B36">
      <w:pPr>
        <w:jc w:val="left"/>
        <w:rPr>
          <w:i/>
          <w:iCs/>
        </w:rPr>
      </w:pPr>
      <w:r>
        <w:rPr>
          <w:i/>
          <w:iCs/>
        </w:rPr>
        <w:t>PASC has accepted that 200nmol/L would be acceptable as the cut off for high Lp(a). The figure has been updated accordingly.</w:t>
      </w:r>
      <w:r w:rsidR="001D7217">
        <w:rPr>
          <w:i/>
          <w:iCs/>
        </w:rPr>
        <w:t xml:space="preserve"> </w:t>
      </w:r>
    </w:p>
    <w:p w14:paraId="364790C6" w14:textId="77777777" w:rsidR="004A2752" w:rsidRDefault="004A2752" w:rsidP="00695B36">
      <w:pPr>
        <w:pStyle w:val="Heading2"/>
        <w:jc w:val="left"/>
        <w:rPr>
          <w:b/>
          <w:bCs/>
          <w:i/>
        </w:rPr>
      </w:pPr>
      <w:r w:rsidRPr="00490FBB">
        <w:t>Proposed economic evaluation</w:t>
      </w:r>
    </w:p>
    <w:p w14:paraId="7289C1E9" w14:textId="7C70E242" w:rsidR="004A2752" w:rsidRDefault="004A2752" w:rsidP="00695B36">
      <w:pPr>
        <w:jc w:val="left"/>
      </w:pPr>
      <w:r>
        <w:t xml:space="preserve">The applicant claims that Lp(a) testing (versus no comparator) will lead to improved patient care and lower rates of CVD. The applicant notes that by achieving an understanding of Lp(a) </w:t>
      </w:r>
      <w:r w:rsidR="00461887">
        <w:t>concentration</w:t>
      </w:r>
      <w:r>
        <w:t xml:space="preserve">, a greater number of moderate-risk patients will be reclassified as high risk and receive lifestyle modification advice and therapeutic intervention to lower LDL-C, leading indirectly to reduced risk of CVD events, noting that this may not reduce Lp(a) using the currently available interventions. </w:t>
      </w:r>
      <w:r w:rsidR="006E4685" w:rsidRPr="006E4685">
        <w:t xml:space="preserve"> The application also states that </w:t>
      </w:r>
      <w:r w:rsidR="006E4685">
        <w:t xml:space="preserve">the </w:t>
      </w:r>
      <w:r w:rsidR="006E4685" w:rsidRPr="006E4685">
        <w:t>benefit of Lp(a) testing lies in the cascade testing of first-degree relatives of the index case</w:t>
      </w:r>
      <w:r w:rsidR="006E4685">
        <w:t xml:space="preserve"> where early intervention may be directed to patients with high Lp(a) and associated with elevated CVD risk</w:t>
      </w:r>
      <w:r w:rsidR="006E4685" w:rsidRPr="006E4685">
        <w:t>.</w:t>
      </w:r>
    </w:p>
    <w:p w14:paraId="7F4C9B66" w14:textId="0CF5E7DA" w:rsidR="0015087E" w:rsidRDefault="004A2752" w:rsidP="00695B36">
      <w:pPr>
        <w:spacing w:after="120"/>
        <w:jc w:val="left"/>
      </w:pPr>
      <w:r>
        <w:t xml:space="preserve">The clinical claim in the application leads to a cost-effectiveness analysis (CEA) or cost-utility analysis (CUA) for the economic evaluation; however, due to uncertainties around the technologies in translating the testing results to patient outcomes, there may not be sufficient information to substantiate this claim, which renders the appropriate economic evaluation to be uncertain. The CEA and CUA cell is highlighted for noting purposes only. </w:t>
      </w:r>
      <w:bookmarkStart w:id="16" w:name="_Ref118409022"/>
    </w:p>
    <w:p w14:paraId="36F7389A" w14:textId="06F8511E" w:rsidR="004A2752" w:rsidRDefault="004A2752" w:rsidP="0063790F">
      <w:pPr>
        <w:pStyle w:val="Caption"/>
        <w:jc w:val="left"/>
      </w:pPr>
      <w:r>
        <w:t xml:space="preserve">Table </w:t>
      </w:r>
      <w:r w:rsidR="005D72A5">
        <w:fldChar w:fldCharType="begin"/>
      </w:r>
      <w:r w:rsidR="005D72A5">
        <w:instrText xml:space="preserve"> SEQ Table \* ARABIC </w:instrText>
      </w:r>
      <w:r w:rsidR="005D72A5">
        <w:fldChar w:fldCharType="separate"/>
      </w:r>
      <w:r w:rsidR="002F6340">
        <w:t>6</w:t>
      </w:r>
      <w:r w:rsidR="005D72A5">
        <w:fldChar w:fldCharType="end"/>
      </w:r>
      <w:bookmarkEnd w:id="16"/>
      <w:r>
        <w:tab/>
        <w:t>Classification of</w:t>
      </w:r>
      <w:r w:rsidRPr="00490FBB">
        <w:t xml:space="preserve"> comparative effectiveness and safety of the proposed intervention</w:t>
      </w:r>
      <w:r>
        <w:t>,</w:t>
      </w:r>
      <w:r w:rsidRPr="00490FBB">
        <w:t xml:space="preserve"> compared with its main comparator</w:t>
      </w:r>
      <w:r>
        <w:t>,</w:t>
      </w:r>
      <w:r w:rsidRPr="00490FBB">
        <w:t xml:space="preserve"> and guide to the suitable type of economic evaluation</w:t>
      </w:r>
    </w:p>
    <w:tbl>
      <w:tblPr>
        <w:tblW w:w="5000" w:type="pct"/>
        <w:tblCellMar>
          <w:left w:w="115" w:type="dxa"/>
          <w:right w:w="115" w:type="dxa"/>
        </w:tblCellMar>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2065"/>
        <w:gridCol w:w="1954"/>
        <w:gridCol w:w="2286"/>
        <w:gridCol w:w="1794"/>
        <w:gridCol w:w="1472"/>
      </w:tblGrid>
      <w:tr w:rsidR="004A2752" w:rsidRPr="00490FBB" w14:paraId="3280640C" w14:textId="77777777">
        <w:trPr>
          <w:cantSplit/>
          <w:tblHeader/>
        </w:trPr>
        <w:tc>
          <w:tcPr>
            <w:tcW w:w="1079" w:type="pct"/>
            <w:vMerge w:val="restart"/>
            <w:tcBorders>
              <w:top w:val="single" w:sz="4" w:space="0" w:color="auto"/>
              <w:left w:val="single" w:sz="4" w:space="0" w:color="auto"/>
              <w:right w:val="single" w:sz="4" w:space="0" w:color="auto"/>
            </w:tcBorders>
          </w:tcPr>
          <w:p w14:paraId="45432A96" w14:textId="77777777" w:rsidR="004A2752" w:rsidRPr="002B2838" w:rsidRDefault="004A2752" w:rsidP="00695B36">
            <w:pPr>
              <w:pStyle w:val="Tabletext"/>
              <w:jc w:val="left"/>
              <w:rPr>
                <w:b/>
              </w:rPr>
            </w:pPr>
            <w:bookmarkStart w:id="17" w:name="Title_Table2" w:colFirst="0" w:colLast="0"/>
            <w:r w:rsidRPr="002B2838">
              <w:rPr>
                <w:b/>
              </w:rPr>
              <w:t>Comparative safety</w:t>
            </w:r>
            <w:r w:rsidRPr="002B2838">
              <w:rPr>
                <w:b/>
                <w:color w:val="FFFFFF" w:themeColor="background1"/>
              </w:rPr>
              <w:t>-</w:t>
            </w:r>
          </w:p>
        </w:tc>
        <w:tc>
          <w:tcPr>
            <w:tcW w:w="1021" w:type="pct"/>
            <w:tcBorders>
              <w:top w:val="single" w:sz="4" w:space="0" w:color="auto"/>
              <w:left w:val="single" w:sz="4" w:space="0" w:color="auto"/>
              <w:bottom w:val="single" w:sz="4" w:space="0" w:color="auto"/>
              <w:right w:val="nil"/>
            </w:tcBorders>
          </w:tcPr>
          <w:p w14:paraId="3CC590A3" w14:textId="77777777" w:rsidR="004A2752" w:rsidRPr="002B2838" w:rsidRDefault="004A2752" w:rsidP="00695B36">
            <w:pPr>
              <w:pStyle w:val="Tabletext"/>
              <w:jc w:val="left"/>
              <w:rPr>
                <w:b/>
              </w:rPr>
            </w:pPr>
          </w:p>
        </w:tc>
        <w:tc>
          <w:tcPr>
            <w:tcW w:w="1194" w:type="pct"/>
            <w:tcBorders>
              <w:top w:val="single" w:sz="4" w:space="0" w:color="auto"/>
              <w:left w:val="nil"/>
              <w:bottom w:val="single" w:sz="4" w:space="0" w:color="auto"/>
            </w:tcBorders>
          </w:tcPr>
          <w:p w14:paraId="024A9662" w14:textId="77777777" w:rsidR="004A2752" w:rsidRPr="002B2838" w:rsidRDefault="004A2752" w:rsidP="00695B36">
            <w:pPr>
              <w:pStyle w:val="Tabletext"/>
              <w:jc w:val="left"/>
              <w:rPr>
                <w:b/>
              </w:rPr>
            </w:pPr>
            <w:r w:rsidRPr="002B2838">
              <w:rPr>
                <w:b/>
              </w:rPr>
              <w:t>Comparative effectiveness</w:t>
            </w:r>
          </w:p>
        </w:tc>
        <w:tc>
          <w:tcPr>
            <w:tcW w:w="937" w:type="pct"/>
            <w:tcBorders>
              <w:top w:val="single" w:sz="4" w:space="0" w:color="auto"/>
              <w:left w:val="nil"/>
              <w:bottom w:val="single" w:sz="4" w:space="0" w:color="auto"/>
            </w:tcBorders>
          </w:tcPr>
          <w:p w14:paraId="0277E6ED" w14:textId="77777777" w:rsidR="004A2752" w:rsidRPr="002B2838" w:rsidRDefault="004A2752" w:rsidP="00695B36">
            <w:pPr>
              <w:pStyle w:val="Tabletext"/>
              <w:jc w:val="left"/>
              <w:rPr>
                <w:b/>
              </w:rPr>
            </w:pPr>
          </w:p>
        </w:tc>
        <w:tc>
          <w:tcPr>
            <w:tcW w:w="769" w:type="pct"/>
            <w:tcBorders>
              <w:top w:val="single" w:sz="4" w:space="0" w:color="auto"/>
              <w:left w:val="nil"/>
              <w:bottom w:val="single" w:sz="4" w:space="0" w:color="auto"/>
              <w:right w:val="single" w:sz="4" w:space="0" w:color="auto"/>
            </w:tcBorders>
          </w:tcPr>
          <w:p w14:paraId="4CE2C3DA" w14:textId="77777777" w:rsidR="004A2752" w:rsidRPr="002B2838" w:rsidRDefault="004A2752" w:rsidP="00695B36">
            <w:pPr>
              <w:pStyle w:val="Tabletext"/>
              <w:jc w:val="left"/>
              <w:rPr>
                <w:b/>
              </w:rPr>
            </w:pPr>
          </w:p>
        </w:tc>
      </w:tr>
      <w:bookmarkEnd w:id="17"/>
      <w:tr w:rsidR="004A2752" w:rsidRPr="00490FBB" w14:paraId="6CA92987" w14:textId="77777777">
        <w:trPr>
          <w:cantSplit/>
          <w:tblHeader/>
        </w:trPr>
        <w:tc>
          <w:tcPr>
            <w:tcW w:w="1079" w:type="pct"/>
            <w:vMerge/>
            <w:tcBorders>
              <w:left w:val="single" w:sz="4" w:space="0" w:color="auto"/>
              <w:bottom w:val="single" w:sz="4" w:space="0" w:color="auto"/>
              <w:right w:val="single" w:sz="4" w:space="0" w:color="auto"/>
            </w:tcBorders>
          </w:tcPr>
          <w:p w14:paraId="028AFB1A" w14:textId="77777777" w:rsidR="004A2752" w:rsidRPr="002B2838" w:rsidRDefault="004A2752" w:rsidP="00695B36">
            <w:pPr>
              <w:pStyle w:val="Tabletext"/>
              <w:jc w:val="left"/>
              <w:rPr>
                <w:b/>
              </w:rPr>
            </w:pPr>
          </w:p>
        </w:tc>
        <w:tc>
          <w:tcPr>
            <w:tcW w:w="1021" w:type="pct"/>
            <w:tcBorders>
              <w:left w:val="single" w:sz="4" w:space="0" w:color="auto"/>
              <w:bottom w:val="single" w:sz="4" w:space="0" w:color="auto"/>
              <w:right w:val="single" w:sz="4" w:space="0" w:color="auto"/>
            </w:tcBorders>
          </w:tcPr>
          <w:p w14:paraId="28CFC6A6" w14:textId="77777777" w:rsidR="004A2752" w:rsidRPr="002B2838" w:rsidRDefault="004A2752" w:rsidP="00695B36">
            <w:pPr>
              <w:pStyle w:val="Tabletext"/>
              <w:jc w:val="left"/>
              <w:rPr>
                <w:b/>
              </w:rPr>
            </w:pPr>
            <w:r w:rsidRPr="002B2838">
              <w:rPr>
                <w:b/>
              </w:rPr>
              <w:t>Inferior</w:t>
            </w:r>
          </w:p>
        </w:tc>
        <w:tc>
          <w:tcPr>
            <w:tcW w:w="1194" w:type="pct"/>
            <w:tcBorders>
              <w:top w:val="single" w:sz="4" w:space="0" w:color="auto"/>
              <w:left w:val="single" w:sz="4" w:space="0" w:color="auto"/>
              <w:bottom w:val="single" w:sz="4" w:space="0" w:color="auto"/>
              <w:right w:val="single" w:sz="4" w:space="0" w:color="auto"/>
            </w:tcBorders>
          </w:tcPr>
          <w:p w14:paraId="46049C9B" w14:textId="77777777" w:rsidR="004A2752" w:rsidRPr="002B2838" w:rsidRDefault="004A2752" w:rsidP="00695B36">
            <w:pPr>
              <w:pStyle w:val="Tabletext"/>
              <w:jc w:val="left"/>
              <w:rPr>
                <w:b/>
              </w:rPr>
            </w:pPr>
            <w:r w:rsidRPr="002B2838">
              <w:rPr>
                <w:b/>
              </w:rPr>
              <w:t>Uncertain</w:t>
            </w:r>
            <w:r w:rsidRPr="002B2838">
              <w:rPr>
                <w:b/>
                <w:vertAlign w:val="superscript"/>
              </w:rPr>
              <w:t>a</w:t>
            </w:r>
          </w:p>
        </w:tc>
        <w:tc>
          <w:tcPr>
            <w:tcW w:w="937" w:type="pct"/>
            <w:tcBorders>
              <w:top w:val="single" w:sz="4" w:space="0" w:color="auto"/>
              <w:left w:val="single" w:sz="4" w:space="0" w:color="auto"/>
              <w:bottom w:val="single" w:sz="4" w:space="0" w:color="auto"/>
              <w:right w:val="single" w:sz="4" w:space="0" w:color="auto"/>
            </w:tcBorders>
          </w:tcPr>
          <w:p w14:paraId="39F8D008" w14:textId="77777777" w:rsidR="004A2752" w:rsidRPr="002B2838" w:rsidRDefault="004A2752" w:rsidP="00695B36">
            <w:pPr>
              <w:pStyle w:val="Tabletext"/>
              <w:jc w:val="left"/>
              <w:rPr>
                <w:b/>
              </w:rPr>
            </w:pPr>
            <w:r w:rsidRPr="002B2838">
              <w:rPr>
                <w:b/>
              </w:rPr>
              <w:t>Noninferior</w:t>
            </w:r>
            <w:r w:rsidRPr="002B2838">
              <w:rPr>
                <w:b/>
                <w:vertAlign w:val="superscript"/>
              </w:rPr>
              <w:t>b</w:t>
            </w:r>
          </w:p>
        </w:tc>
        <w:tc>
          <w:tcPr>
            <w:tcW w:w="769" w:type="pct"/>
            <w:tcBorders>
              <w:top w:val="single" w:sz="4" w:space="0" w:color="auto"/>
              <w:left w:val="single" w:sz="4" w:space="0" w:color="auto"/>
              <w:bottom w:val="single" w:sz="4" w:space="0" w:color="auto"/>
              <w:right w:val="single" w:sz="4" w:space="0" w:color="auto"/>
            </w:tcBorders>
          </w:tcPr>
          <w:p w14:paraId="1951A810" w14:textId="77777777" w:rsidR="004A2752" w:rsidRPr="002B2838" w:rsidRDefault="004A2752" w:rsidP="00695B36">
            <w:pPr>
              <w:pStyle w:val="Tabletext"/>
              <w:jc w:val="left"/>
              <w:rPr>
                <w:b/>
              </w:rPr>
            </w:pPr>
            <w:r w:rsidRPr="002B2838">
              <w:rPr>
                <w:b/>
              </w:rPr>
              <w:t>Superior</w:t>
            </w:r>
          </w:p>
        </w:tc>
      </w:tr>
      <w:tr w:rsidR="004A2752" w:rsidRPr="00490FBB" w14:paraId="59BFF976" w14:textId="77777777">
        <w:tc>
          <w:tcPr>
            <w:tcW w:w="1079" w:type="pct"/>
            <w:tcBorders>
              <w:top w:val="single" w:sz="4" w:space="0" w:color="auto"/>
              <w:left w:val="single" w:sz="4" w:space="0" w:color="auto"/>
              <w:bottom w:val="single" w:sz="4" w:space="0" w:color="auto"/>
              <w:right w:val="single" w:sz="4" w:space="0" w:color="auto"/>
            </w:tcBorders>
            <w:vAlign w:val="center"/>
          </w:tcPr>
          <w:p w14:paraId="30AB1754" w14:textId="77777777" w:rsidR="004A2752" w:rsidRPr="002B2838" w:rsidRDefault="004A2752" w:rsidP="00695B36">
            <w:pPr>
              <w:pStyle w:val="Tabletext"/>
              <w:jc w:val="left"/>
              <w:rPr>
                <w:b/>
              </w:rPr>
            </w:pPr>
            <w:r w:rsidRPr="002B2838">
              <w:rPr>
                <w:b/>
              </w:rPr>
              <w:t>Inferior</w:t>
            </w:r>
          </w:p>
        </w:tc>
        <w:tc>
          <w:tcPr>
            <w:tcW w:w="1021" w:type="pct"/>
            <w:tcBorders>
              <w:top w:val="single" w:sz="4" w:space="0" w:color="auto"/>
              <w:left w:val="single" w:sz="4" w:space="0" w:color="auto"/>
              <w:bottom w:val="single" w:sz="4" w:space="0" w:color="auto"/>
              <w:right w:val="single" w:sz="4" w:space="0" w:color="auto"/>
            </w:tcBorders>
            <w:vAlign w:val="center"/>
          </w:tcPr>
          <w:p w14:paraId="2EAAD1F3" w14:textId="77777777" w:rsidR="004A2752" w:rsidRPr="00490FBB" w:rsidRDefault="004A2752" w:rsidP="00695B36">
            <w:pPr>
              <w:pStyle w:val="Tabletext"/>
              <w:jc w:val="left"/>
            </w:pPr>
            <w:r w:rsidRPr="00490FBB">
              <w:t>Health forgone: need other supportive factors</w:t>
            </w:r>
          </w:p>
        </w:tc>
        <w:tc>
          <w:tcPr>
            <w:tcW w:w="1194" w:type="pct"/>
            <w:tcBorders>
              <w:top w:val="single" w:sz="4" w:space="0" w:color="auto"/>
              <w:left w:val="single" w:sz="4" w:space="0" w:color="auto"/>
              <w:bottom w:val="single" w:sz="4" w:space="0" w:color="auto"/>
              <w:right w:val="single" w:sz="4" w:space="0" w:color="auto"/>
            </w:tcBorders>
            <w:vAlign w:val="center"/>
          </w:tcPr>
          <w:p w14:paraId="6A452859" w14:textId="77777777" w:rsidR="004A2752" w:rsidRPr="00490FBB" w:rsidRDefault="004A2752" w:rsidP="00695B36">
            <w:pPr>
              <w:pStyle w:val="Tabletext"/>
              <w:jc w:val="left"/>
            </w:pPr>
            <w:r w:rsidRPr="00490FBB">
              <w:t>Health forgone possible: need other supportive factors</w:t>
            </w:r>
          </w:p>
        </w:tc>
        <w:tc>
          <w:tcPr>
            <w:tcW w:w="937" w:type="pct"/>
            <w:tcBorders>
              <w:top w:val="single" w:sz="4" w:space="0" w:color="auto"/>
              <w:left w:val="single" w:sz="4" w:space="0" w:color="auto"/>
              <w:bottom w:val="single" w:sz="4" w:space="0" w:color="auto"/>
              <w:right w:val="single" w:sz="4" w:space="0" w:color="auto"/>
            </w:tcBorders>
            <w:vAlign w:val="center"/>
          </w:tcPr>
          <w:p w14:paraId="7A29CCB3" w14:textId="77777777" w:rsidR="004A2752" w:rsidRPr="00490FBB" w:rsidRDefault="004A2752" w:rsidP="00695B36">
            <w:pPr>
              <w:pStyle w:val="Tabletext"/>
              <w:jc w:val="left"/>
            </w:pPr>
            <w:r w:rsidRPr="00490FBB">
              <w:t>Health forgone: need other supportive factors</w:t>
            </w:r>
          </w:p>
        </w:tc>
        <w:tc>
          <w:tcPr>
            <w:tcW w:w="769" w:type="pct"/>
            <w:tcBorders>
              <w:top w:val="single" w:sz="4" w:space="0" w:color="auto"/>
              <w:left w:val="single" w:sz="4" w:space="0" w:color="auto"/>
              <w:bottom w:val="single" w:sz="4" w:space="0" w:color="auto"/>
              <w:right w:val="single" w:sz="4" w:space="0" w:color="auto"/>
            </w:tcBorders>
            <w:vAlign w:val="center"/>
          </w:tcPr>
          <w:p w14:paraId="309EDE39" w14:textId="77777777" w:rsidR="004A2752" w:rsidRPr="00490FBB" w:rsidRDefault="004A2752" w:rsidP="00695B36">
            <w:pPr>
              <w:pStyle w:val="Tabletext"/>
              <w:jc w:val="left"/>
            </w:pPr>
            <w:r w:rsidRPr="00490FBB">
              <w:t>? Likely CUA</w:t>
            </w:r>
          </w:p>
        </w:tc>
      </w:tr>
      <w:tr w:rsidR="004A2752" w:rsidRPr="00490FBB" w14:paraId="64698CA5" w14:textId="77777777">
        <w:tc>
          <w:tcPr>
            <w:tcW w:w="1079" w:type="pct"/>
            <w:tcBorders>
              <w:top w:val="single" w:sz="4" w:space="0" w:color="auto"/>
              <w:left w:val="single" w:sz="4" w:space="0" w:color="auto"/>
              <w:bottom w:val="single" w:sz="4" w:space="0" w:color="auto"/>
              <w:right w:val="single" w:sz="4" w:space="0" w:color="auto"/>
            </w:tcBorders>
            <w:vAlign w:val="center"/>
          </w:tcPr>
          <w:p w14:paraId="34D20C05" w14:textId="77777777" w:rsidR="004A2752" w:rsidRPr="002B2838" w:rsidRDefault="004A2752" w:rsidP="00695B36">
            <w:pPr>
              <w:pStyle w:val="Tabletext"/>
              <w:jc w:val="left"/>
              <w:rPr>
                <w:b/>
              </w:rPr>
            </w:pPr>
            <w:r w:rsidRPr="002B2838">
              <w:rPr>
                <w:b/>
              </w:rPr>
              <w:t>Uncertain</w:t>
            </w:r>
            <w:r w:rsidRPr="002B2838">
              <w:rPr>
                <w:b/>
                <w:vertAlign w:val="superscript"/>
              </w:rPr>
              <w:t>a</w:t>
            </w:r>
          </w:p>
        </w:tc>
        <w:tc>
          <w:tcPr>
            <w:tcW w:w="1021" w:type="pct"/>
            <w:tcBorders>
              <w:top w:val="single" w:sz="4" w:space="0" w:color="auto"/>
              <w:left w:val="single" w:sz="4" w:space="0" w:color="auto"/>
              <w:bottom w:val="single" w:sz="4" w:space="0" w:color="auto"/>
              <w:right w:val="single" w:sz="4" w:space="0" w:color="auto"/>
            </w:tcBorders>
            <w:vAlign w:val="center"/>
          </w:tcPr>
          <w:p w14:paraId="7923E1B9" w14:textId="77777777" w:rsidR="004A2752" w:rsidRPr="00490FBB" w:rsidRDefault="004A2752" w:rsidP="00695B36">
            <w:pPr>
              <w:pStyle w:val="Tabletext"/>
              <w:jc w:val="left"/>
            </w:pPr>
            <w:r w:rsidRPr="00490FBB">
              <w:t>Health forgone possible: need other supportive factors</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7097621A" w14:textId="77777777" w:rsidR="004A2752" w:rsidRPr="00490FBB" w:rsidRDefault="004A2752" w:rsidP="00695B36">
            <w:pPr>
              <w:pStyle w:val="Tabletext"/>
              <w:jc w:val="left"/>
            </w:pPr>
            <w:r w:rsidRPr="00490FBB">
              <w:t>?</w:t>
            </w: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14:paraId="7A9B6EDC" w14:textId="77777777" w:rsidR="004A2752" w:rsidRPr="00490FBB" w:rsidRDefault="004A2752" w:rsidP="00695B36">
            <w:pPr>
              <w:pStyle w:val="Tabletext"/>
              <w:jc w:val="left"/>
            </w:pPr>
            <w:r w:rsidRPr="00490FBB">
              <w:t>?</w:t>
            </w:r>
          </w:p>
        </w:tc>
        <w:tc>
          <w:tcPr>
            <w:tcW w:w="769" w:type="pct"/>
            <w:tcBorders>
              <w:top w:val="single" w:sz="4" w:space="0" w:color="auto"/>
              <w:left w:val="single" w:sz="4" w:space="0" w:color="auto"/>
              <w:bottom w:val="single" w:sz="4" w:space="0" w:color="auto"/>
              <w:right w:val="single" w:sz="4" w:space="0" w:color="auto"/>
            </w:tcBorders>
            <w:vAlign w:val="center"/>
          </w:tcPr>
          <w:p w14:paraId="37F8F205" w14:textId="77777777" w:rsidR="004A2752" w:rsidRPr="00490FBB" w:rsidRDefault="004A2752" w:rsidP="00695B36">
            <w:pPr>
              <w:pStyle w:val="Tabletext"/>
              <w:jc w:val="left"/>
            </w:pPr>
            <w:r w:rsidRPr="00490FBB">
              <w:t>? Likely CEA/CUA</w:t>
            </w:r>
          </w:p>
        </w:tc>
      </w:tr>
      <w:tr w:rsidR="004A2752" w:rsidRPr="00490FBB" w14:paraId="2D1B7630" w14:textId="77777777">
        <w:tc>
          <w:tcPr>
            <w:tcW w:w="1079" w:type="pct"/>
            <w:tcBorders>
              <w:top w:val="single" w:sz="4" w:space="0" w:color="auto"/>
              <w:left w:val="single" w:sz="4" w:space="0" w:color="auto"/>
              <w:bottom w:val="single" w:sz="4" w:space="0" w:color="auto"/>
              <w:right w:val="single" w:sz="4" w:space="0" w:color="auto"/>
            </w:tcBorders>
            <w:vAlign w:val="center"/>
          </w:tcPr>
          <w:p w14:paraId="4045862F" w14:textId="77777777" w:rsidR="004A2752" w:rsidRPr="002B2838" w:rsidRDefault="004A2752" w:rsidP="00695B36">
            <w:pPr>
              <w:pStyle w:val="Tabletext"/>
              <w:jc w:val="left"/>
              <w:rPr>
                <w:b/>
              </w:rPr>
            </w:pPr>
            <w:r w:rsidRPr="002B2838">
              <w:rPr>
                <w:b/>
              </w:rPr>
              <w:t>Noninferior</w:t>
            </w:r>
            <w:r w:rsidRPr="002B2838">
              <w:rPr>
                <w:b/>
                <w:vertAlign w:val="superscript"/>
              </w:rPr>
              <w:t>b</w:t>
            </w:r>
          </w:p>
        </w:tc>
        <w:tc>
          <w:tcPr>
            <w:tcW w:w="1021" w:type="pct"/>
            <w:tcBorders>
              <w:top w:val="single" w:sz="4" w:space="0" w:color="auto"/>
              <w:left w:val="single" w:sz="4" w:space="0" w:color="auto"/>
              <w:bottom w:val="single" w:sz="4" w:space="0" w:color="auto"/>
              <w:right w:val="single" w:sz="4" w:space="0" w:color="auto"/>
            </w:tcBorders>
            <w:vAlign w:val="center"/>
          </w:tcPr>
          <w:p w14:paraId="463996A9" w14:textId="77777777" w:rsidR="004A2752" w:rsidRPr="00490FBB" w:rsidRDefault="004A2752" w:rsidP="00695B36">
            <w:pPr>
              <w:pStyle w:val="Tabletext"/>
              <w:jc w:val="left"/>
            </w:pPr>
            <w:r w:rsidRPr="00490FBB">
              <w:t>Health forgone: need other supportive factors</w:t>
            </w:r>
          </w:p>
        </w:tc>
        <w:tc>
          <w:tcPr>
            <w:tcW w:w="1194" w:type="pct"/>
            <w:tcBorders>
              <w:top w:val="single" w:sz="4" w:space="0" w:color="auto"/>
              <w:left w:val="single" w:sz="4" w:space="0" w:color="auto"/>
              <w:bottom w:val="single" w:sz="4" w:space="0" w:color="auto"/>
              <w:right w:val="single" w:sz="4" w:space="0" w:color="auto"/>
            </w:tcBorders>
            <w:vAlign w:val="center"/>
          </w:tcPr>
          <w:p w14:paraId="2A55A637" w14:textId="77777777" w:rsidR="004A2752" w:rsidRPr="00490FBB" w:rsidRDefault="004A2752" w:rsidP="00695B36">
            <w:pPr>
              <w:pStyle w:val="Tabletext"/>
              <w:jc w:val="left"/>
            </w:pPr>
            <w:r w:rsidRPr="00490FBB">
              <w:t>?</w:t>
            </w: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14:paraId="32D65722" w14:textId="77777777" w:rsidR="004A2752" w:rsidRPr="00490FBB" w:rsidRDefault="004A2752" w:rsidP="00695B36">
            <w:pPr>
              <w:pStyle w:val="Tabletext"/>
              <w:jc w:val="left"/>
            </w:pPr>
            <w:r w:rsidRPr="00490FBB">
              <w:t>CMA</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63D9944F" w14:textId="77777777" w:rsidR="004A2752" w:rsidRPr="00490FBB" w:rsidRDefault="004A2752" w:rsidP="00695B36">
            <w:pPr>
              <w:pStyle w:val="Tabletext"/>
              <w:jc w:val="left"/>
            </w:pPr>
            <w:r w:rsidRPr="00490FBB">
              <w:t>CEA/CUA</w:t>
            </w:r>
          </w:p>
        </w:tc>
      </w:tr>
      <w:tr w:rsidR="004A2752" w:rsidRPr="00490FBB" w14:paraId="79AEECFD" w14:textId="77777777">
        <w:tc>
          <w:tcPr>
            <w:tcW w:w="1079" w:type="pct"/>
            <w:tcBorders>
              <w:top w:val="single" w:sz="4" w:space="0" w:color="auto"/>
              <w:left w:val="single" w:sz="4" w:space="0" w:color="auto"/>
              <w:bottom w:val="single" w:sz="4" w:space="0" w:color="auto"/>
              <w:right w:val="single" w:sz="4" w:space="0" w:color="auto"/>
            </w:tcBorders>
            <w:vAlign w:val="center"/>
          </w:tcPr>
          <w:p w14:paraId="1191E0F6" w14:textId="77777777" w:rsidR="004A2752" w:rsidRPr="002B2838" w:rsidRDefault="004A2752" w:rsidP="00695B36">
            <w:pPr>
              <w:pStyle w:val="Tabletext"/>
              <w:jc w:val="left"/>
              <w:rPr>
                <w:b/>
              </w:rPr>
            </w:pPr>
            <w:r w:rsidRPr="002B2838">
              <w:rPr>
                <w:b/>
              </w:rPr>
              <w:t>Superior</w:t>
            </w:r>
          </w:p>
        </w:tc>
        <w:tc>
          <w:tcPr>
            <w:tcW w:w="1021" w:type="pct"/>
            <w:tcBorders>
              <w:top w:val="single" w:sz="4" w:space="0" w:color="auto"/>
              <w:left w:val="single" w:sz="4" w:space="0" w:color="auto"/>
              <w:bottom w:val="single" w:sz="4" w:space="0" w:color="auto"/>
              <w:right w:val="single" w:sz="4" w:space="0" w:color="auto"/>
            </w:tcBorders>
            <w:vAlign w:val="center"/>
          </w:tcPr>
          <w:p w14:paraId="247008D2" w14:textId="77777777" w:rsidR="004A2752" w:rsidRPr="00490FBB" w:rsidRDefault="004A2752" w:rsidP="00695B36">
            <w:pPr>
              <w:pStyle w:val="Tabletext"/>
              <w:jc w:val="left"/>
            </w:pPr>
            <w:r w:rsidRPr="00490FBB">
              <w:t>? Likely CUA</w:t>
            </w:r>
          </w:p>
        </w:tc>
        <w:tc>
          <w:tcPr>
            <w:tcW w:w="1194" w:type="pct"/>
            <w:tcBorders>
              <w:top w:val="single" w:sz="4" w:space="0" w:color="auto"/>
              <w:left w:val="single" w:sz="4" w:space="0" w:color="auto"/>
              <w:bottom w:val="single" w:sz="4" w:space="0" w:color="auto"/>
              <w:right w:val="single" w:sz="4" w:space="0" w:color="auto"/>
            </w:tcBorders>
            <w:vAlign w:val="center"/>
          </w:tcPr>
          <w:p w14:paraId="790F36C1" w14:textId="77777777" w:rsidR="004A2752" w:rsidRPr="00490FBB" w:rsidRDefault="004A2752" w:rsidP="00695B36">
            <w:pPr>
              <w:pStyle w:val="Tabletext"/>
              <w:jc w:val="left"/>
            </w:pPr>
            <w:r w:rsidRPr="00490FBB">
              <w:t>? Likely CEA/CUA</w:t>
            </w: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14:paraId="57B47B7B" w14:textId="77777777" w:rsidR="004A2752" w:rsidRPr="00490FBB" w:rsidRDefault="004A2752" w:rsidP="00695B36">
            <w:pPr>
              <w:pStyle w:val="Tabletext"/>
              <w:jc w:val="left"/>
            </w:pPr>
            <w:r w:rsidRPr="00490FBB">
              <w:t>CEA/CUA</w:t>
            </w:r>
          </w:p>
        </w:tc>
        <w:tc>
          <w:tcPr>
            <w:tcW w:w="769" w:type="pct"/>
            <w:tcBorders>
              <w:top w:val="single" w:sz="4" w:space="0" w:color="auto"/>
              <w:left w:val="single" w:sz="4" w:space="0" w:color="auto"/>
              <w:bottom w:val="single" w:sz="4" w:space="0" w:color="auto"/>
              <w:right w:val="single" w:sz="4" w:space="0" w:color="auto"/>
            </w:tcBorders>
            <w:shd w:val="clear" w:color="auto" w:fill="FFFF00"/>
            <w:vAlign w:val="center"/>
          </w:tcPr>
          <w:p w14:paraId="41F1F0C7" w14:textId="77777777" w:rsidR="004A2752" w:rsidRPr="00A11CB8" w:rsidRDefault="004A2752" w:rsidP="00695B36">
            <w:pPr>
              <w:pStyle w:val="Tabletext"/>
              <w:jc w:val="left"/>
              <w:rPr>
                <w:b/>
                <w:bCs/>
              </w:rPr>
            </w:pPr>
            <w:r w:rsidRPr="00A11CB8">
              <w:rPr>
                <w:b/>
                <w:bCs/>
              </w:rPr>
              <w:t>CEA/CUA</w:t>
            </w:r>
          </w:p>
        </w:tc>
      </w:tr>
    </w:tbl>
    <w:p w14:paraId="46C698ED" w14:textId="09DE7B3F" w:rsidR="004A2752" w:rsidRDefault="004A2752" w:rsidP="00695B36">
      <w:pPr>
        <w:pStyle w:val="Tablenotes"/>
        <w:jc w:val="left"/>
      </w:pPr>
      <w:r w:rsidRPr="00275260">
        <w:rPr>
          <w:b/>
          <w:bCs/>
          <w:u w:val="single"/>
        </w:rPr>
        <w:t>Abbreviations</w:t>
      </w:r>
      <w:r>
        <w:br/>
      </w:r>
      <w:r w:rsidRPr="00275260">
        <w:rPr>
          <w:b/>
          <w:bCs/>
        </w:rPr>
        <w:t>CEA</w:t>
      </w:r>
      <w:r w:rsidRPr="00D66B8B">
        <w:t xml:space="preserve"> =</w:t>
      </w:r>
      <w:r>
        <w:t xml:space="preserve"> </w:t>
      </w:r>
      <w:r w:rsidRPr="0042588F">
        <w:t>cost-effectiveness analysis</w:t>
      </w:r>
      <w:r>
        <w:t>,</w:t>
      </w:r>
      <w:r w:rsidRPr="0042588F">
        <w:t xml:space="preserve"> </w:t>
      </w:r>
      <w:r w:rsidRPr="00275260">
        <w:rPr>
          <w:b/>
          <w:bCs/>
        </w:rPr>
        <w:t>CMA</w:t>
      </w:r>
      <w:r>
        <w:t xml:space="preserve"> </w:t>
      </w:r>
      <w:r w:rsidRPr="0042588F">
        <w:t>=</w:t>
      </w:r>
      <w:r>
        <w:t xml:space="preserve"> </w:t>
      </w:r>
      <w:r w:rsidRPr="0042588F">
        <w:t>cost-minimisation analysis</w:t>
      </w:r>
      <w:r>
        <w:t>,</w:t>
      </w:r>
      <w:r w:rsidRPr="0042588F">
        <w:t xml:space="preserve"> </w:t>
      </w:r>
      <w:r w:rsidRPr="00275260">
        <w:rPr>
          <w:b/>
          <w:bCs/>
        </w:rPr>
        <w:t>CUA</w:t>
      </w:r>
      <w:r w:rsidRPr="00275260">
        <w:t xml:space="preserve"> </w:t>
      </w:r>
      <w:r w:rsidRPr="0042588F">
        <w:t>=</w:t>
      </w:r>
      <w:r>
        <w:t xml:space="preserve"> </w:t>
      </w:r>
      <w:r w:rsidRPr="0042588F">
        <w:t>cost-utility analysis</w:t>
      </w:r>
      <w:r>
        <w:t xml:space="preserve">, </w:t>
      </w:r>
      <w:r w:rsidRPr="00275260">
        <w:rPr>
          <w:b/>
          <w:bCs/>
        </w:rPr>
        <w:t>?</w:t>
      </w:r>
      <w:r w:rsidRPr="0042588F">
        <w:t xml:space="preserve"> = reflect uncertainties and any identified health trade-offs in the economic evaluation, as a minimum in a cost-consequences analysis </w:t>
      </w:r>
      <w:r>
        <w:br/>
      </w:r>
      <w:r w:rsidRPr="00275260">
        <w:rPr>
          <w:b/>
          <w:bCs/>
          <w:u w:val="single"/>
        </w:rPr>
        <w:t>Notes</w:t>
      </w:r>
      <w:r>
        <w:br/>
      </w:r>
      <w:r w:rsidRPr="00275260">
        <w:rPr>
          <w:b/>
          <w:bCs/>
        </w:rPr>
        <w:t>a</w:t>
      </w:r>
      <w:r>
        <w:t xml:space="preserve"> = </w:t>
      </w:r>
      <w:r w:rsidRPr="0042588F">
        <w:t xml:space="preserve">‘Uncertainty’ covers concepts such as inadequate minimisation of important sources of bias, lack of statistical significance in an underpowered </w:t>
      </w:r>
      <w:r w:rsidRPr="0042588F">
        <w:lastRenderedPageBreak/>
        <w:t>trial, detecting clinically unimportant therapeutic differences, inconsistent results across trials, and trade-offs within the comparative effectiveness and/or the comparative safety considerations</w:t>
      </w:r>
      <w:r>
        <w:br/>
      </w:r>
      <w:r w:rsidRPr="00275260">
        <w:rPr>
          <w:b/>
          <w:bCs/>
        </w:rPr>
        <w:t>b</w:t>
      </w:r>
      <w:r>
        <w:t xml:space="preserve"> = </w:t>
      </w:r>
      <w:r w:rsidRPr="0042588F">
        <w:t>An adequate assessment of ‘noninferiority’ is the preferred basis for demonstrating equivalence</w:t>
      </w:r>
    </w:p>
    <w:p w14:paraId="481A2911" w14:textId="678AADD2" w:rsidR="00EC1854" w:rsidRDefault="00EC1854" w:rsidP="00695B36">
      <w:pPr>
        <w:jc w:val="left"/>
        <w:rPr>
          <w:i/>
          <w:iCs/>
        </w:rPr>
      </w:pPr>
      <w:r>
        <w:rPr>
          <w:i/>
          <w:iCs/>
        </w:rPr>
        <w:t>PASC agreed that the CEA/CUA is appropriate for the proposed economic evaluation. However, due to the absence of the direct evidence, a linked approach will be adopted to demonstrate the cost-effectiveness of the test.</w:t>
      </w:r>
    </w:p>
    <w:p w14:paraId="4BE58F0B" w14:textId="2632E428" w:rsidR="004A2752" w:rsidRPr="00DE762F" w:rsidRDefault="004A2752" w:rsidP="00695B36">
      <w:pPr>
        <w:pStyle w:val="Heading2"/>
        <w:jc w:val="left"/>
      </w:pPr>
      <w:r w:rsidRPr="00F132BC">
        <w:t>Proposal f</w:t>
      </w:r>
      <w:r w:rsidRPr="00DE762F">
        <w:t>or public funding</w:t>
      </w:r>
    </w:p>
    <w:p w14:paraId="40AD75C2" w14:textId="2E305846" w:rsidR="004A2752" w:rsidRDefault="004A2752" w:rsidP="00695B36">
      <w:pPr>
        <w:jc w:val="left"/>
      </w:pPr>
      <w:r w:rsidRPr="00F52F71">
        <w:t xml:space="preserve">The </w:t>
      </w:r>
      <w:r>
        <w:t>a</w:t>
      </w:r>
      <w:r w:rsidRPr="00F52F71">
        <w:t xml:space="preserve">pplicant has proposed </w:t>
      </w:r>
      <w:r>
        <w:t>3</w:t>
      </w:r>
      <w:r w:rsidRPr="00F52F71">
        <w:t xml:space="preserve"> MBS item</w:t>
      </w:r>
      <w:r>
        <w:t>s</w:t>
      </w:r>
      <w:r w:rsidRPr="00F52F71">
        <w:t xml:space="preserve"> for</w:t>
      </w:r>
      <w:r>
        <w:t xml:space="preserve"> Lp(a) testing in the application material. After the pre-PASC meeting discussion, the last item for patients on Lp(a)-lowering therapy was </w:t>
      </w:r>
      <w:r w:rsidR="002A54E2">
        <w:t>removed</w:t>
      </w:r>
      <w:r>
        <w:t>. The applicant advises that because</w:t>
      </w:r>
      <w:r w:rsidRPr="004F5A9A">
        <w:t xml:space="preserve"> Lp(a) </w:t>
      </w:r>
      <w:r w:rsidR="00461887">
        <w:t xml:space="preserve">concentration </w:t>
      </w:r>
      <w:r w:rsidRPr="004F5A9A">
        <w:t>tend</w:t>
      </w:r>
      <w:r w:rsidR="00461887">
        <w:t>s</w:t>
      </w:r>
      <w:r w:rsidRPr="004F5A9A">
        <w:t xml:space="preserve"> to remain relatively constant over a person’s lifetime and </w:t>
      </w:r>
      <w:r w:rsidR="00461887">
        <w:t>is</w:t>
      </w:r>
      <w:r w:rsidRPr="004F5A9A">
        <w:t xml:space="preserve"> not significantly influenced by age, sex, physical activity</w:t>
      </w:r>
      <w:r>
        <w:t xml:space="preserve">, </w:t>
      </w:r>
      <w:r w:rsidRPr="004F5A9A">
        <w:t xml:space="preserve">changes in diet nor with most drugs used to treat high cholesterol, Lp(a) should usually only be tested </w:t>
      </w:r>
      <w:r w:rsidR="00D46545">
        <w:t xml:space="preserve">for </w:t>
      </w:r>
      <w:r w:rsidRPr="004F5A9A">
        <w:t>once per lifetime</w:t>
      </w:r>
      <w:r>
        <w:t xml:space="preserve"> </w:t>
      </w:r>
      <w:r>
        <w:fldChar w:fldCharType="begin"/>
      </w:r>
      <w:r>
        <w:instrText xml:space="preserve"> ADDIN EN.CITE &lt;EndNote&gt;&lt;Cite&gt;&lt;Author&gt;Lab Tests Online Australasia&lt;/Author&gt;&lt;Year&gt;2021&lt;/Year&gt;&lt;RecNum&gt;15&lt;/RecNum&gt;&lt;DisplayText&gt;(Lab Tests Online Australasia 2021)&lt;/DisplayText&gt;&lt;record&gt;&lt;rec-number&gt;15&lt;/rec-number&gt;&lt;foreign-keys&gt;&lt;key app="EN" db-id="p5dp00za8apvt8e25vqv22rzzpwt5tvtsr0r" timestamp="1667522842"&gt;15&lt;/key&gt;&lt;/foreign-keys&gt;&lt;ref-type name="Web Page"&gt;12&lt;/ref-type&gt;&lt;contributors&gt;&lt;authors&gt;&lt;author&gt;Lab Tests Online Australasia,&lt;/author&gt;&lt;/authors&gt;&lt;/contributors&gt;&lt;titles&gt;&lt;title&gt;Lipoprotein (a)&lt;/title&gt;&lt;/titles&gt;&lt;dates&gt;&lt;year&gt;2021&lt;/year&gt;&lt;/dates&gt;&lt;urls&gt;&lt;related-urls&gt;&lt;url&gt;https://www.labtestsonline.org.au/learning/test-index/lp-a#thetest &lt;/url&gt;&lt;/related-urls&gt;&lt;/urls&gt;&lt;/record&gt;&lt;/Cite&gt;&lt;/EndNote&gt;</w:instrText>
      </w:r>
      <w:r>
        <w:fldChar w:fldCharType="separate"/>
      </w:r>
      <w:r>
        <w:rPr>
          <w:noProof/>
        </w:rPr>
        <w:t>(Lab Tests Online Australasia 2021)</w:t>
      </w:r>
      <w:r>
        <w:fldChar w:fldCharType="end"/>
      </w:r>
      <w:r>
        <w:t>;</w:t>
      </w:r>
      <w:r w:rsidRPr="004F5A9A">
        <w:t xml:space="preserve"> </w:t>
      </w:r>
      <w:r>
        <w:t xml:space="preserve">however, the applicant also states that when Lp(a)-lowering therapies are available in Australia, patients who receive these interventions will require annual testing to monitor progress. </w:t>
      </w:r>
    </w:p>
    <w:p w14:paraId="598B685E" w14:textId="77777777" w:rsidR="004A2752" w:rsidRPr="0063464F" w:rsidRDefault="004A2752" w:rsidP="00695B36">
      <w:pPr>
        <w:jc w:val="left"/>
      </w:pPr>
      <w:r>
        <w:t>Based on the discussion around population subgroups, the MBS item descriptors have been amended to be in line with the appropriate patient characteristics for either the index or the cascade population. The modified descriptors are presented in the tables below.</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4A2752" w:rsidRPr="00666E0D" w14:paraId="4A49E1B0" w14:textId="77777777">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542FD6A2" w14:textId="5CCF4697" w:rsidR="004A2752" w:rsidRPr="00666E0D" w:rsidRDefault="004A2752" w:rsidP="00695B36">
            <w:pPr>
              <w:spacing w:before="40" w:after="40" w:line="240" w:lineRule="auto"/>
              <w:jc w:val="left"/>
              <w:rPr>
                <w:rFonts w:ascii="Arial Narrow" w:hAnsi="Arial Narrow"/>
                <w:b/>
                <w:bCs/>
                <w:sz w:val="20"/>
                <w:szCs w:val="20"/>
              </w:rPr>
            </w:pPr>
            <w:r w:rsidRPr="00666E0D">
              <w:rPr>
                <w:rFonts w:ascii="Arial Narrow" w:hAnsi="Arial Narrow"/>
                <w:b/>
                <w:bCs/>
                <w:sz w:val="20"/>
                <w:szCs w:val="20"/>
              </w:rPr>
              <w:t xml:space="preserve">Category 6 – Pathology Services – Group P2 </w:t>
            </w:r>
            <w:r>
              <w:rPr>
                <w:rFonts w:ascii="Arial Narrow" w:hAnsi="Arial Narrow"/>
                <w:b/>
                <w:bCs/>
                <w:sz w:val="20"/>
                <w:szCs w:val="20"/>
              </w:rPr>
              <w:t>–</w:t>
            </w:r>
            <w:r w:rsidRPr="00666E0D">
              <w:rPr>
                <w:rFonts w:ascii="Arial Narrow" w:hAnsi="Arial Narrow"/>
                <w:b/>
                <w:bCs/>
                <w:sz w:val="20"/>
                <w:szCs w:val="20"/>
              </w:rPr>
              <w:t xml:space="preserve"> Chemical</w:t>
            </w:r>
          </w:p>
        </w:tc>
      </w:tr>
      <w:tr w:rsidR="004A2752" w:rsidRPr="005771DC" w14:paraId="6B2C9DB5" w14:textId="77777777">
        <w:trPr>
          <w:cantSplit/>
          <w:tblHeader/>
        </w:trPr>
        <w:tc>
          <w:tcPr>
            <w:tcW w:w="9242" w:type="dxa"/>
            <w:tcBorders>
              <w:top w:val="single" w:sz="4" w:space="0" w:color="auto"/>
              <w:left w:val="single" w:sz="4" w:space="0" w:color="auto"/>
              <w:bottom w:val="single" w:sz="4" w:space="0" w:color="auto"/>
              <w:right w:val="single" w:sz="4" w:space="0" w:color="auto"/>
            </w:tcBorders>
          </w:tcPr>
          <w:p w14:paraId="0F63F8CE" w14:textId="77777777" w:rsidR="004A2752" w:rsidRPr="00DE762F" w:rsidRDefault="004A2752" w:rsidP="00695B36">
            <w:pPr>
              <w:spacing w:before="120" w:after="120" w:line="240" w:lineRule="auto"/>
              <w:jc w:val="left"/>
              <w:rPr>
                <w:rFonts w:ascii="Arial Narrow" w:hAnsi="Arial Narrow"/>
                <w:sz w:val="20"/>
                <w:szCs w:val="20"/>
              </w:rPr>
            </w:pPr>
            <w:r w:rsidRPr="00DE762F">
              <w:rPr>
                <w:rFonts w:ascii="Arial Narrow" w:hAnsi="Arial Narrow"/>
                <w:sz w:val="20"/>
                <w:szCs w:val="20"/>
              </w:rPr>
              <w:t xml:space="preserve">MBS item </w:t>
            </w:r>
            <w:r>
              <w:rPr>
                <w:rFonts w:ascii="Arial Narrow" w:hAnsi="Arial Narrow"/>
                <w:sz w:val="20"/>
                <w:szCs w:val="20"/>
              </w:rPr>
              <w:t>AAAA</w:t>
            </w:r>
          </w:p>
          <w:p w14:paraId="5B68652B" w14:textId="0226138C" w:rsidR="004A2752" w:rsidRPr="006E375F" w:rsidRDefault="00DE7F40" w:rsidP="00695B36">
            <w:pPr>
              <w:spacing w:after="120" w:line="240" w:lineRule="auto"/>
              <w:jc w:val="left"/>
              <w:rPr>
                <w:rFonts w:ascii="Arial Narrow" w:hAnsi="Arial Narrow"/>
                <w:sz w:val="20"/>
                <w:szCs w:val="20"/>
              </w:rPr>
            </w:pPr>
            <w:r>
              <w:rPr>
                <w:rFonts w:ascii="Arial Narrow" w:hAnsi="Arial Narrow"/>
                <w:sz w:val="20"/>
                <w:szCs w:val="20"/>
              </w:rPr>
              <w:t>Quantification of</w:t>
            </w:r>
            <w:r w:rsidR="004A2752">
              <w:rPr>
                <w:rFonts w:ascii="Arial Narrow" w:hAnsi="Arial Narrow"/>
                <w:sz w:val="20"/>
                <w:szCs w:val="20"/>
              </w:rPr>
              <w:t xml:space="preserve"> </w:t>
            </w:r>
            <w:r>
              <w:rPr>
                <w:rFonts w:ascii="Arial Narrow" w:hAnsi="Arial Narrow"/>
                <w:sz w:val="20"/>
                <w:szCs w:val="20"/>
              </w:rPr>
              <w:t>l</w:t>
            </w:r>
            <w:r w:rsidRPr="00DE7F40">
              <w:rPr>
                <w:rFonts w:ascii="Arial Narrow" w:hAnsi="Arial Narrow"/>
                <w:sz w:val="20"/>
                <w:szCs w:val="20"/>
              </w:rPr>
              <w:t>ipoprotein(a)</w:t>
            </w:r>
            <w:r>
              <w:rPr>
                <w:rFonts w:ascii="Arial Narrow" w:hAnsi="Arial Narrow"/>
                <w:sz w:val="20"/>
                <w:szCs w:val="20"/>
              </w:rPr>
              <w:t xml:space="preserve"> (</w:t>
            </w:r>
            <w:r w:rsidR="004A2752">
              <w:rPr>
                <w:rFonts w:ascii="Arial Narrow" w:hAnsi="Arial Narrow"/>
                <w:sz w:val="20"/>
                <w:szCs w:val="20"/>
              </w:rPr>
              <w:t>Lp(a)</w:t>
            </w:r>
            <w:r>
              <w:rPr>
                <w:rFonts w:ascii="Arial Narrow" w:hAnsi="Arial Narrow"/>
                <w:sz w:val="20"/>
                <w:szCs w:val="20"/>
              </w:rPr>
              <w:t>)</w:t>
            </w:r>
            <w:r w:rsidR="004A2752">
              <w:rPr>
                <w:rFonts w:ascii="Arial Narrow" w:hAnsi="Arial Narrow"/>
                <w:sz w:val="20"/>
                <w:szCs w:val="20"/>
              </w:rPr>
              <w:t xml:space="preserve"> </w:t>
            </w:r>
            <w:r w:rsidR="00361B4E">
              <w:rPr>
                <w:rFonts w:ascii="Arial Narrow" w:hAnsi="Arial Narrow"/>
                <w:sz w:val="20"/>
                <w:szCs w:val="20"/>
              </w:rPr>
              <w:t>concentration</w:t>
            </w:r>
            <w:r w:rsidR="004A2752">
              <w:rPr>
                <w:rFonts w:ascii="Arial Narrow" w:hAnsi="Arial Narrow"/>
                <w:sz w:val="20"/>
                <w:szCs w:val="20"/>
              </w:rPr>
              <w:t xml:space="preserve"> for the assessment of CVD risk</w:t>
            </w:r>
            <w:r w:rsidR="008855EF">
              <w:rPr>
                <w:rFonts w:ascii="Arial Narrow" w:hAnsi="Arial Narrow"/>
                <w:sz w:val="20"/>
                <w:szCs w:val="20"/>
              </w:rPr>
              <w:t xml:space="preserve"> in a</w:t>
            </w:r>
            <w:r w:rsidR="00417B21">
              <w:rPr>
                <w:rFonts w:ascii="Arial Narrow" w:hAnsi="Arial Narrow"/>
                <w:sz w:val="20"/>
                <w:szCs w:val="20"/>
              </w:rPr>
              <w:t xml:space="preserve"> </w:t>
            </w:r>
            <w:r w:rsidR="008855EF">
              <w:rPr>
                <w:rFonts w:ascii="Arial Narrow" w:hAnsi="Arial Narrow"/>
                <w:sz w:val="20"/>
                <w:szCs w:val="20"/>
              </w:rPr>
              <w:t>patient</w:t>
            </w:r>
            <w:r w:rsidR="001C192A">
              <w:rPr>
                <w:rFonts w:ascii="Arial Narrow" w:hAnsi="Arial Narrow"/>
                <w:sz w:val="20"/>
                <w:szCs w:val="20"/>
              </w:rPr>
              <w:t xml:space="preserve"> </w:t>
            </w:r>
            <w:r w:rsidR="004A2752" w:rsidRPr="304CD952">
              <w:rPr>
                <w:rFonts w:ascii="Arial Narrow" w:hAnsi="Arial Narrow"/>
                <w:sz w:val="20"/>
                <w:szCs w:val="20"/>
              </w:rPr>
              <w:t>with</w:t>
            </w:r>
            <w:r w:rsidR="00755861" w:rsidRPr="304CD952">
              <w:rPr>
                <w:rFonts w:ascii="Arial Narrow" w:hAnsi="Arial Narrow"/>
                <w:sz w:val="20"/>
                <w:szCs w:val="20"/>
              </w:rPr>
              <w:t xml:space="preserve"> </w:t>
            </w:r>
            <w:r w:rsidR="004A2752" w:rsidRPr="304CD952">
              <w:rPr>
                <w:rFonts w:ascii="Arial Narrow" w:hAnsi="Arial Narrow"/>
                <w:sz w:val="20"/>
                <w:szCs w:val="20"/>
              </w:rPr>
              <w:t>moderate</w:t>
            </w:r>
            <w:r w:rsidR="001C192A" w:rsidRPr="006B0497">
              <w:rPr>
                <w:rFonts w:ascii="Arial Narrow" w:hAnsi="Arial Narrow"/>
                <w:sz w:val="20"/>
                <w:szCs w:val="20"/>
              </w:rPr>
              <w:t xml:space="preserve"> or high</w:t>
            </w:r>
            <w:r w:rsidR="004A2752" w:rsidRPr="304CD952">
              <w:rPr>
                <w:rFonts w:ascii="Arial Narrow" w:hAnsi="Arial Narrow"/>
                <w:sz w:val="20"/>
                <w:szCs w:val="20"/>
              </w:rPr>
              <w:t xml:space="preserve"> CVD risk </w:t>
            </w:r>
            <w:r w:rsidR="00847FBA" w:rsidRPr="304CD952">
              <w:rPr>
                <w:rFonts w:ascii="Arial Narrow" w:hAnsi="Arial Narrow"/>
                <w:sz w:val="20"/>
                <w:szCs w:val="20"/>
              </w:rPr>
              <w:t>using the</w:t>
            </w:r>
            <w:r w:rsidR="00755861" w:rsidRPr="304CD952">
              <w:rPr>
                <w:rFonts w:ascii="Arial Narrow" w:hAnsi="Arial Narrow"/>
                <w:sz w:val="20"/>
                <w:szCs w:val="20"/>
              </w:rPr>
              <w:t xml:space="preserve"> risk</w:t>
            </w:r>
            <w:r w:rsidR="00847FBA" w:rsidRPr="304CD952">
              <w:rPr>
                <w:rFonts w:ascii="Arial Narrow" w:hAnsi="Arial Narrow"/>
                <w:sz w:val="20"/>
                <w:szCs w:val="20"/>
              </w:rPr>
              <w:t xml:space="preserve"> assessment tool currently recommended by the Australian clinical practice guideline</w:t>
            </w:r>
          </w:p>
          <w:p w14:paraId="00918F21" w14:textId="28577BAC" w:rsidR="004A2752" w:rsidRPr="000D4228" w:rsidRDefault="004A2752" w:rsidP="00695B36">
            <w:pPr>
              <w:spacing w:after="120" w:line="240" w:lineRule="auto"/>
              <w:jc w:val="left"/>
              <w:rPr>
                <w:rFonts w:ascii="Arial Narrow" w:hAnsi="Arial Narrow"/>
                <w:sz w:val="20"/>
                <w:szCs w:val="20"/>
              </w:rPr>
            </w:pPr>
            <w:r w:rsidRPr="005650DD">
              <w:rPr>
                <w:rFonts w:ascii="Arial Narrow" w:hAnsi="Arial Narrow"/>
                <w:sz w:val="20"/>
                <w:szCs w:val="20"/>
              </w:rPr>
              <w:t>Applicable once per lifetime</w:t>
            </w:r>
          </w:p>
        </w:tc>
      </w:tr>
      <w:tr w:rsidR="004A2752" w:rsidRPr="005771DC" w14:paraId="23721D32" w14:textId="77777777">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29AB15DA" w14:textId="77777777" w:rsidR="004A2752" w:rsidRPr="00DE762F" w:rsidRDefault="004A2752" w:rsidP="00695B36">
            <w:pPr>
              <w:spacing w:before="40" w:after="40" w:line="240" w:lineRule="auto"/>
              <w:jc w:val="left"/>
              <w:rPr>
                <w:rFonts w:ascii="Arial Narrow" w:hAnsi="Arial Narrow"/>
                <w:sz w:val="20"/>
                <w:szCs w:val="20"/>
              </w:rPr>
            </w:pPr>
            <w:r w:rsidRPr="0081636D">
              <w:rPr>
                <w:rFonts w:ascii="Arial Narrow" w:hAnsi="Arial Narrow"/>
                <w:b/>
                <w:bCs/>
                <w:sz w:val="20"/>
                <w:szCs w:val="20"/>
              </w:rPr>
              <w:t>Fee:</w:t>
            </w:r>
            <w:r w:rsidRPr="00DE762F">
              <w:rPr>
                <w:rFonts w:ascii="Arial Narrow" w:hAnsi="Arial Narrow"/>
                <w:sz w:val="20"/>
                <w:szCs w:val="20"/>
              </w:rPr>
              <w:t xml:space="preserve"> </w:t>
            </w:r>
            <w:r>
              <w:rPr>
                <w:rFonts w:ascii="Arial Narrow" w:hAnsi="Arial Narrow"/>
                <w:sz w:val="20"/>
                <w:szCs w:val="20"/>
              </w:rPr>
              <w:t xml:space="preserve">$30.00 </w:t>
            </w:r>
            <w:r w:rsidRPr="0081636D">
              <w:rPr>
                <w:rFonts w:ascii="Arial Narrow" w:hAnsi="Arial Narrow"/>
                <w:b/>
                <w:bCs/>
                <w:sz w:val="20"/>
                <w:szCs w:val="20"/>
              </w:rPr>
              <w:t>Benefit:</w:t>
            </w:r>
            <w:r>
              <w:rPr>
                <w:rFonts w:ascii="Arial Narrow" w:hAnsi="Arial Narrow"/>
                <w:sz w:val="20"/>
                <w:szCs w:val="20"/>
              </w:rPr>
              <w:t xml:space="preserve"> 75% = $22.50 85% = $25.50</w:t>
            </w:r>
          </w:p>
        </w:tc>
      </w:tr>
    </w:tbl>
    <w:p w14:paraId="6BD6C833" w14:textId="77777777" w:rsidR="004A2752" w:rsidRDefault="004A2752" w:rsidP="00695B36">
      <w:pPr>
        <w:jc w:val="left"/>
      </w:pP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4A2752" w:rsidRPr="00666E0D" w14:paraId="755D09EC" w14:textId="77777777">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29CB3FD8" w14:textId="6E81AA22" w:rsidR="004A2752" w:rsidRPr="00666E0D" w:rsidRDefault="004A2752" w:rsidP="00695B36">
            <w:pPr>
              <w:spacing w:before="40" w:after="40" w:line="240" w:lineRule="auto"/>
              <w:jc w:val="left"/>
              <w:rPr>
                <w:rFonts w:ascii="Arial Narrow" w:hAnsi="Arial Narrow"/>
                <w:b/>
                <w:bCs/>
                <w:sz w:val="20"/>
                <w:szCs w:val="20"/>
              </w:rPr>
            </w:pPr>
            <w:r w:rsidRPr="00666E0D">
              <w:rPr>
                <w:rFonts w:ascii="Arial Narrow" w:hAnsi="Arial Narrow"/>
                <w:b/>
                <w:bCs/>
                <w:sz w:val="20"/>
                <w:szCs w:val="20"/>
              </w:rPr>
              <w:t xml:space="preserve">Category 6 – Pathology Services – Group P2 </w:t>
            </w:r>
            <w:r>
              <w:rPr>
                <w:rFonts w:ascii="Arial Narrow" w:hAnsi="Arial Narrow"/>
                <w:b/>
                <w:bCs/>
                <w:sz w:val="20"/>
                <w:szCs w:val="20"/>
              </w:rPr>
              <w:t>–</w:t>
            </w:r>
            <w:r w:rsidRPr="00666E0D">
              <w:rPr>
                <w:rFonts w:ascii="Arial Narrow" w:hAnsi="Arial Narrow"/>
                <w:b/>
                <w:bCs/>
                <w:sz w:val="20"/>
                <w:szCs w:val="20"/>
              </w:rPr>
              <w:t xml:space="preserve"> Chemical</w:t>
            </w:r>
          </w:p>
        </w:tc>
      </w:tr>
      <w:tr w:rsidR="004A2752" w:rsidRPr="005771DC" w14:paraId="6D3A3F40" w14:textId="77777777">
        <w:trPr>
          <w:cantSplit/>
          <w:tblHeader/>
        </w:trPr>
        <w:tc>
          <w:tcPr>
            <w:tcW w:w="9242" w:type="dxa"/>
            <w:tcBorders>
              <w:top w:val="single" w:sz="4" w:space="0" w:color="auto"/>
              <w:left w:val="single" w:sz="4" w:space="0" w:color="auto"/>
              <w:bottom w:val="single" w:sz="4" w:space="0" w:color="auto"/>
              <w:right w:val="single" w:sz="4" w:space="0" w:color="auto"/>
            </w:tcBorders>
          </w:tcPr>
          <w:p w14:paraId="0D529561" w14:textId="77777777" w:rsidR="004A2752" w:rsidRPr="00DE762F" w:rsidRDefault="004A2752" w:rsidP="00695B36">
            <w:pPr>
              <w:spacing w:before="120" w:after="120" w:line="240" w:lineRule="auto"/>
              <w:jc w:val="left"/>
              <w:rPr>
                <w:rFonts w:ascii="Arial Narrow" w:hAnsi="Arial Narrow"/>
                <w:sz w:val="20"/>
                <w:szCs w:val="20"/>
              </w:rPr>
            </w:pPr>
            <w:r w:rsidRPr="00DE762F">
              <w:rPr>
                <w:rFonts w:ascii="Arial Narrow" w:hAnsi="Arial Narrow"/>
                <w:sz w:val="20"/>
                <w:szCs w:val="20"/>
              </w:rPr>
              <w:t xml:space="preserve">MBS item </w:t>
            </w:r>
            <w:r>
              <w:rPr>
                <w:rFonts w:ascii="Arial Narrow" w:hAnsi="Arial Narrow"/>
                <w:sz w:val="20"/>
                <w:szCs w:val="20"/>
              </w:rPr>
              <w:t>BBBB</w:t>
            </w:r>
          </w:p>
          <w:p w14:paraId="174E8CD8" w14:textId="70E003D0" w:rsidR="004A2752" w:rsidRPr="000D4228" w:rsidRDefault="00E55193" w:rsidP="00695B36">
            <w:pPr>
              <w:spacing w:before="120" w:after="120" w:line="240" w:lineRule="auto"/>
              <w:jc w:val="left"/>
              <w:rPr>
                <w:rFonts w:ascii="Arial Narrow" w:hAnsi="Arial Narrow"/>
                <w:sz w:val="20"/>
                <w:szCs w:val="20"/>
              </w:rPr>
            </w:pPr>
            <w:r>
              <w:rPr>
                <w:rFonts w:ascii="Arial Narrow" w:hAnsi="Arial Narrow"/>
                <w:sz w:val="20"/>
                <w:szCs w:val="20"/>
              </w:rPr>
              <w:t>Quantification of l</w:t>
            </w:r>
            <w:r w:rsidRPr="00DE7F40">
              <w:rPr>
                <w:rFonts w:ascii="Arial Narrow" w:hAnsi="Arial Narrow"/>
                <w:sz w:val="20"/>
                <w:szCs w:val="20"/>
              </w:rPr>
              <w:t>ipoprotein(a)</w:t>
            </w:r>
            <w:r>
              <w:rPr>
                <w:rFonts w:ascii="Arial Narrow" w:hAnsi="Arial Narrow"/>
                <w:sz w:val="20"/>
                <w:szCs w:val="20"/>
              </w:rPr>
              <w:t xml:space="preserve"> (</w:t>
            </w:r>
            <w:r w:rsidR="004A2752">
              <w:rPr>
                <w:rFonts w:ascii="Arial Narrow" w:hAnsi="Arial Narrow"/>
                <w:sz w:val="20"/>
                <w:szCs w:val="20"/>
              </w:rPr>
              <w:t>Lp(a)</w:t>
            </w:r>
            <w:r>
              <w:rPr>
                <w:rFonts w:ascii="Arial Narrow" w:hAnsi="Arial Narrow"/>
                <w:sz w:val="20"/>
                <w:szCs w:val="20"/>
              </w:rPr>
              <w:t>)</w:t>
            </w:r>
            <w:r w:rsidR="004A2752">
              <w:rPr>
                <w:rFonts w:ascii="Arial Narrow" w:hAnsi="Arial Narrow"/>
                <w:sz w:val="20"/>
                <w:szCs w:val="20"/>
              </w:rPr>
              <w:t xml:space="preserve"> </w:t>
            </w:r>
            <w:r w:rsidR="00361B4E">
              <w:rPr>
                <w:rFonts w:ascii="Arial Narrow" w:hAnsi="Arial Narrow"/>
                <w:sz w:val="20"/>
                <w:szCs w:val="20"/>
              </w:rPr>
              <w:t>concentration</w:t>
            </w:r>
            <w:r w:rsidR="004A2752">
              <w:rPr>
                <w:rFonts w:ascii="Arial Narrow" w:hAnsi="Arial Narrow"/>
                <w:sz w:val="20"/>
                <w:szCs w:val="20"/>
              </w:rPr>
              <w:t xml:space="preserve"> for the assessment of </w:t>
            </w:r>
            <w:r>
              <w:rPr>
                <w:rFonts w:ascii="Arial Narrow" w:hAnsi="Arial Narrow"/>
                <w:sz w:val="20"/>
                <w:szCs w:val="20"/>
              </w:rPr>
              <w:t>c</w:t>
            </w:r>
            <w:r w:rsidRPr="00DE7F40">
              <w:rPr>
                <w:rFonts w:ascii="Arial Narrow" w:hAnsi="Arial Narrow"/>
                <w:sz w:val="20"/>
                <w:szCs w:val="20"/>
              </w:rPr>
              <w:t xml:space="preserve">ardiovascular disease </w:t>
            </w:r>
            <w:r>
              <w:rPr>
                <w:rFonts w:ascii="Arial Narrow" w:hAnsi="Arial Narrow"/>
                <w:sz w:val="20"/>
                <w:szCs w:val="20"/>
              </w:rPr>
              <w:t>(</w:t>
            </w:r>
            <w:r w:rsidR="004A2752">
              <w:rPr>
                <w:rFonts w:ascii="Arial Narrow" w:hAnsi="Arial Narrow"/>
                <w:sz w:val="20"/>
                <w:szCs w:val="20"/>
              </w:rPr>
              <w:t>CVD</w:t>
            </w:r>
            <w:r>
              <w:rPr>
                <w:rFonts w:ascii="Arial Narrow" w:hAnsi="Arial Narrow"/>
                <w:sz w:val="20"/>
                <w:szCs w:val="20"/>
              </w:rPr>
              <w:t>)</w:t>
            </w:r>
            <w:r w:rsidR="004A2752">
              <w:rPr>
                <w:rFonts w:ascii="Arial Narrow" w:hAnsi="Arial Narrow"/>
                <w:sz w:val="20"/>
                <w:szCs w:val="20"/>
              </w:rPr>
              <w:t xml:space="preserve"> risk </w:t>
            </w:r>
            <w:r w:rsidR="004A562C">
              <w:rPr>
                <w:rFonts w:ascii="Arial Narrow" w:hAnsi="Arial Narrow"/>
                <w:sz w:val="20"/>
                <w:szCs w:val="20"/>
              </w:rPr>
              <w:t>in a patient who has a first-degree relative</w:t>
            </w:r>
            <w:r w:rsidR="004A2752">
              <w:rPr>
                <w:rFonts w:ascii="Arial Narrow" w:hAnsi="Arial Narrow"/>
                <w:sz w:val="20"/>
                <w:szCs w:val="20"/>
              </w:rPr>
              <w:t xml:space="preserve"> </w:t>
            </w:r>
            <w:r w:rsidR="004A562C">
              <w:rPr>
                <w:rFonts w:ascii="Arial Narrow" w:hAnsi="Arial Narrow"/>
                <w:sz w:val="20"/>
                <w:szCs w:val="20"/>
              </w:rPr>
              <w:t>with l</w:t>
            </w:r>
            <w:r w:rsidR="004A562C" w:rsidRPr="00DE7F40">
              <w:rPr>
                <w:rFonts w:ascii="Arial Narrow" w:hAnsi="Arial Narrow"/>
                <w:sz w:val="20"/>
                <w:szCs w:val="20"/>
              </w:rPr>
              <w:t>ipoprotein(a)</w:t>
            </w:r>
            <w:r w:rsidR="004A562C">
              <w:rPr>
                <w:rFonts w:ascii="Arial Narrow" w:hAnsi="Arial Narrow"/>
                <w:sz w:val="20"/>
                <w:szCs w:val="20"/>
              </w:rPr>
              <w:t xml:space="preserve"> (</w:t>
            </w:r>
            <w:r w:rsidR="004A2752" w:rsidRPr="000D4228">
              <w:rPr>
                <w:rFonts w:ascii="Arial Narrow" w:hAnsi="Arial Narrow"/>
                <w:sz w:val="20"/>
                <w:szCs w:val="20"/>
              </w:rPr>
              <w:t>Lp(a</w:t>
            </w:r>
            <w:r w:rsidR="004A562C">
              <w:rPr>
                <w:rFonts w:ascii="Arial Narrow" w:hAnsi="Arial Narrow"/>
                <w:sz w:val="20"/>
                <w:szCs w:val="20"/>
              </w:rPr>
              <w:t xml:space="preserve">)) </w:t>
            </w:r>
            <w:r w:rsidR="001434F9">
              <w:rPr>
                <w:rFonts w:ascii="Arial Narrow" w:hAnsi="Arial Narrow"/>
                <w:sz w:val="20"/>
                <w:szCs w:val="20"/>
              </w:rPr>
              <w:t>concentration</w:t>
            </w:r>
            <w:r w:rsidR="004A562C">
              <w:rPr>
                <w:rFonts w:ascii="Arial Narrow" w:hAnsi="Arial Narrow"/>
                <w:sz w:val="20"/>
                <w:szCs w:val="20"/>
              </w:rPr>
              <w:t xml:space="preserve"> greater than </w:t>
            </w:r>
            <w:r w:rsidR="004A2752" w:rsidRPr="000D4228">
              <w:rPr>
                <w:rFonts w:ascii="Arial Narrow" w:hAnsi="Arial Narrow"/>
                <w:sz w:val="20"/>
                <w:szCs w:val="20"/>
              </w:rPr>
              <w:t>200</w:t>
            </w:r>
            <w:r w:rsidR="004A2752">
              <w:rPr>
                <w:rFonts w:ascii="Arial Narrow" w:hAnsi="Arial Narrow"/>
                <w:sz w:val="20"/>
                <w:szCs w:val="20"/>
              </w:rPr>
              <w:t> </w:t>
            </w:r>
            <w:r w:rsidR="004A2752" w:rsidRPr="000D4228">
              <w:rPr>
                <w:rFonts w:ascii="Arial Narrow" w:hAnsi="Arial Narrow"/>
                <w:sz w:val="20"/>
                <w:szCs w:val="20"/>
              </w:rPr>
              <w:t>nmol/L</w:t>
            </w:r>
            <w:r w:rsidR="004A562C">
              <w:rPr>
                <w:rFonts w:ascii="Arial Narrow" w:hAnsi="Arial Narrow"/>
                <w:sz w:val="20"/>
                <w:szCs w:val="20"/>
              </w:rPr>
              <w:t>.</w:t>
            </w:r>
          </w:p>
          <w:p w14:paraId="3B7E095E" w14:textId="77777777" w:rsidR="004A2752" w:rsidRPr="000D4228" w:rsidRDefault="004A2752" w:rsidP="00695B36">
            <w:pPr>
              <w:spacing w:after="120" w:line="240" w:lineRule="auto"/>
              <w:jc w:val="left"/>
              <w:rPr>
                <w:rFonts w:ascii="Arial Narrow" w:hAnsi="Arial Narrow"/>
                <w:sz w:val="20"/>
                <w:szCs w:val="20"/>
              </w:rPr>
            </w:pPr>
            <w:r w:rsidRPr="005650DD">
              <w:rPr>
                <w:rFonts w:ascii="Arial Narrow" w:hAnsi="Arial Narrow"/>
                <w:sz w:val="20"/>
                <w:szCs w:val="20"/>
              </w:rPr>
              <w:t>Applicable once per lifetime</w:t>
            </w:r>
          </w:p>
        </w:tc>
      </w:tr>
      <w:tr w:rsidR="004A2752" w:rsidRPr="005771DC" w14:paraId="0F189B9E" w14:textId="77777777">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6E996DDD" w14:textId="77777777" w:rsidR="004A2752" w:rsidRPr="00DE762F" w:rsidRDefault="004A2752" w:rsidP="00695B36">
            <w:pPr>
              <w:spacing w:before="40" w:after="40" w:line="240" w:lineRule="auto"/>
              <w:jc w:val="left"/>
              <w:rPr>
                <w:rFonts w:ascii="Arial Narrow" w:hAnsi="Arial Narrow"/>
                <w:sz w:val="20"/>
                <w:szCs w:val="20"/>
              </w:rPr>
            </w:pPr>
            <w:r w:rsidRPr="0081636D">
              <w:rPr>
                <w:rFonts w:ascii="Arial Narrow" w:hAnsi="Arial Narrow"/>
                <w:b/>
                <w:bCs/>
                <w:sz w:val="20"/>
                <w:szCs w:val="20"/>
              </w:rPr>
              <w:t>Fee:</w:t>
            </w:r>
            <w:r w:rsidRPr="00DE762F">
              <w:rPr>
                <w:rFonts w:ascii="Arial Narrow" w:hAnsi="Arial Narrow"/>
                <w:sz w:val="20"/>
                <w:szCs w:val="20"/>
              </w:rPr>
              <w:t xml:space="preserve"> </w:t>
            </w:r>
            <w:r>
              <w:rPr>
                <w:rFonts w:ascii="Arial Narrow" w:hAnsi="Arial Narrow"/>
                <w:sz w:val="20"/>
                <w:szCs w:val="20"/>
              </w:rPr>
              <w:t xml:space="preserve">$30.00 </w:t>
            </w:r>
            <w:r w:rsidRPr="0081636D">
              <w:rPr>
                <w:rFonts w:ascii="Arial Narrow" w:hAnsi="Arial Narrow"/>
                <w:b/>
                <w:bCs/>
                <w:sz w:val="20"/>
                <w:szCs w:val="20"/>
              </w:rPr>
              <w:t>Benefit:</w:t>
            </w:r>
            <w:r>
              <w:rPr>
                <w:rFonts w:ascii="Arial Narrow" w:hAnsi="Arial Narrow"/>
                <w:sz w:val="20"/>
                <w:szCs w:val="20"/>
              </w:rPr>
              <w:t xml:space="preserve"> 75% = $22.50 85% = $25.50</w:t>
            </w:r>
          </w:p>
        </w:tc>
      </w:tr>
    </w:tbl>
    <w:p w14:paraId="08A7E791" w14:textId="2B8A894E" w:rsidR="004A2752" w:rsidRPr="006F4FD7" w:rsidRDefault="004A2752" w:rsidP="00695B36">
      <w:pPr>
        <w:spacing w:before="240"/>
        <w:jc w:val="left"/>
      </w:pPr>
      <w:r w:rsidRPr="007538B8">
        <w:t>While the proposed item descriptor requires that CVD risk results (</w:t>
      </w:r>
      <w:r w:rsidR="003135FA">
        <w:t xml:space="preserve">for the index population, </w:t>
      </w:r>
      <w:r w:rsidRPr="007538B8">
        <w:t xml:space="preserve">including </w:t>
      </w:r>
      <w:r w:rsidRPr="008B2CE8">
        <w:t>measurement of total cholesterol, HDL cholesterol, non</w:t>
      </w:r>
      <w:r w:rsidRPr="008B2CE8">
        <w:rPr>
          <w:rFonts w:ascii="Cambria Math" w:hAnsi="Cambria Math" w:cs="Cambria Math"/>
        </w:rPr>
        <w:t>‑</w:t>
      </w:r>
      <w:r w:rsidRPr="008B2CE8">
        <w:t>HDL cholesterol and triglyceride concentrations</w:t>
      </w:r>
      <w:r w:rsidRPr="007538B8">
        <w:t xml:space="preserve">) are available, the application did not state within what timeframe this risk assessment should be conducted. </w:t>
      </w:r>
      <w:r>
        <w:t xml:space="preserve">If recently calculated risk scores are not available to clinicians, </w:t>
      </w:r>
      <w:r w:rsidRPr="006F4FD7">
        <w:t xml:space="preserve">tests required to </w:t>
      </w:r>
      <w:r>
        <w:t>ascertain risk</w:t>
      </w:r>
      <w:r w:rsidRPr="002E3BF1">
        <w:t xml:space="preserve"> will need to be repeated. </w:t>
      </w:r>
    </w:p>
    <w:p w14:paraId="2C6B5781" w14:textId="77777777" w:rsidR="004A2752" w:rsidRDefault="004A2752" w:rsidP="00695B36">
      <w:pPr>
        <w:jc w:val="left"/>
      </w:pPr>
      <w:r w:rsidRPr="00BD06EC">
        <w:t xml:space="preserve">There are no tests similar to </w:t>
      </w:r>
      <w:r>
        <w:t>Lp(a)</w:t>
      </w:r>
      <w:r w:rsidRPr="00BD06EC">
        <w:t xml:space="preserve"> currently listed on the MBS with which to compare MBS fees</w:t>
      </w:r>
      <w:r>
        <w:t>.</w:t>
      </w:r>
    </w:p>
    <w:p w14:paraId="53AF0260" w14:textId="433C4312" w:rsidR="007F0DB5" w:rsidRPr="005D559B" w:rsidRDefault="007F0DB5" w:rsidP="00695B36">
      <w:pPr>
        <w:spacing w:after="240"/>
        <w:jc w:val="left"/>
        <w:rPr>
          <w:i/>
          <w:iCs/>
        </w:rPr>
      </w:pPr>
      <w:r>
        <w:rPr>
          <w:i/>
          <w:iCs/>
        </w:rPr>
        <w:t>PASC noted that the proposed MBS fee was based on the applicant</w:t>
      </w:r>
      <w:r w:rsidR="0084599A">
        <w:rPr>
          <w:i/>
          <w:iCs/>
        </w:rPr>
        <w:t>’</w:t>
      </w:r>
      <w:r>
        <w:rPr>
          <w:i/>
          <w:iCs/>
        </w:rPr>
        <w:t xml:space="preserve">s estimate of the current cost to the patients of Lp(a) testing in Australia ($25-35 per test as per application). </w:t>
      </w:r>
      <w:r w:rsidRPr="005D559B">
        <w:rPr>
          <w:i/>
          <w:iCs/>
        </w:rPr>
        <w:t xml:space="preserve">PASC considered that fee justification should be provided in the assessment phase. </w:t>
      </w:r>
    </w:p>
    <w:p w14:paraId="7BFB02A0" w14:textId="109AB0AA" w:rsidR="007F0DB5" w:rsidRDefault="007F0DB5" w:rsidP="00695B36">
      <w:pPr>
        <w:jc w:val="left"/>
        <w:rPr>
          <w:i/>
          <w:iCs/>
        </w:rPr>
      </w:pPr>
      <w:r w:rsidRPr="005D559B">
        <w:rPr>
          <w:i/>
          <w:iCs/>
        </w:rPr>
        <w:lastRenderedPageBreak/>
        <w:t>PASC noted that the wording “asymptomatic” should be removed as a qualifier to ensure all moderate or high-risk patients with the CVD symptoms could be captured.</w:t>
      </w:r>
      <w:r>
        <w:rPr>
          <w:i/>
          <w:iCs/>
        </w:rPr>
        <w:t xml:space="preserve"> This change has been incorporated into the descriptor above.</w:t>
      </w:r>
      <w:r w:rsidR="001D7217" w:rsidRPr="001D7217">
        <w:rPr>
          <w:i/>
          <w:iCs/>
        </w:rPr>
        <w:t xml:space="preserve"> </w:t>
      </w:r>
      <w:r w:rsidR="001D7217">
        <w:rPr>
          <w:i/>
          <w:iCs/>
        </w:rPr>
        <w:t xml:space="preserve">This would ensure for example that current MBS item AAAA includes </w:t>
      </w:r>
      <w:r w:rsidR="001D7217" w:rsidRPr="001D7217">
        <w:rPr>
          <w:i/>
          <w:iCs/>
        </w:rPr>
        <w:t xml:space="preserve">patients with premature CVD and aortic stenosis, </w:t>
      </w:r>
      <w:r w:rsidR="001D7217">
        <w:rPr>
          <w:i/>
          <w:iCs/>
        </w:rPr>
        <w:t xml:space="preserve">and </w:t>
      </w:r>
      <w:r w:rsidR="001D7217" w:rsidRPr="001D7217">
        <w:rPr>
          <w:i/>
          <w:iCs/>
        </w:rPr>
        <w:t xml:space="preserve">thus </w:t>
      </w:r>
      <w:r w:rsidR="001D7217">
        <w:rPr>
          <w:i/>
          <w:iCs/>
        </w:rPr>
        <w:t>includes</w:t>
      </w:r>
      <w:r w:rsidR="001D7217" w:rsidRPr="001D7217">
        <w:rPr>
          <w:i/>
          <w:iCs/>
        </w:rPr>
        <w:t xml:space="preserve"> the chance to test their relatives</w:t>
      </w:r>
      <w:r w:rsidR="001D7217">
        <w:rPr>
          <w:i/>
          <w:iCs/>
        </w:rPr>
        <w:t xml:space="preserve"> under MBS item BBBB</w:t>
      </w:r>
      <w:r w:rsidR="00965149">
        <w:rPr>
          <w:i/>
          <w:iCs/>
        </w:rPr>
        <w:t xml:space="preserve">. </w:t>
      </w:r>
      <w:r w:rsidR="00965149" w:rsidRPr="00EE2EEC">
        <w:rPr>
          <w:i/>
          <w:iCs/>
        </w:rPr>
        <w:t>Additionally, there is a lack of clarity about how the cascade population fits into these MBS descriptors</w:t>
      </w:r>
      <w:r w:rsidR="001D7217">
        <w:rPr>
          <w:i/>
          <w:iCs/>
        </w:rPr>
        <w:t xml:space="preserve"> </w:t>
      </w:r>
    </w:p>
    <w:p w14:paraId="2CB4940D" w14:textId="251E9662" w:rsidR="00AB7AAE" w:rsidRDefault="00965149" w:rsidP="00695B36">
      <w:pPr>
        <w:jc w:val="left"/>
        <w:rPr>
          <w:i/>
          <w:iCs/>
        </w:rPr>
      </w:pPr>
      <w:r w:rsidRPr="00772211">
        <w:rPr>
          <w:i/>
          <w:iCs/>
        </w:rPr>
        <w:t>PASC noted that the item descriptors may need to be amended based on clarification of the patient populations</w:t>
      </w:r>
      <w:r w:rsidRPr="006B47E6">
        <w:rPr>
          <w:i/>
          <w:iCs/>
        </w:rPr>
        <w:t>.</w:t>
      </w:r>
    </w:p>
    <w:p w14:paraId="2D08C1B0" w14:textId="77777777" w:rsidR="004A2752" w:rsidRDefault="004A2752" w:rsidP="00BE7793">
      <w:pPr>
        <w:pStyle w:val="Heading2"/>
        <w:jc w:val="left"/>
      </w:pPr>
      <w:r>
        <w:t>Summary of public consultation input</w:t>
      </w:r>
    </w:p>
    <w:p w14:paraId="2CA61300" w14:textId="1E9CB3AF" w:rsidR="007F0DB5" w:rsidRDefault="70077796" w:rsidP="00695B36">
      <w:pPr>
        <w:spacing w:line="257" w:lineRule="auto"/>
        <w:jc w:val="left"/>
      </w:pPr>
      <w:r w:rsidRPr="01517254">
        <w:rPr>
          <w:rFonts w:cs="Calibri"/>
          <w:b/>
          <w:bCs/>
        </w:rPr>
        <w:t>Consultation Feedback</w:t>
      </w:r>
    </w:p>
    <w:p w14:paraId="38C4743B" w14:textId="4260DE81" w:rsidR="007F0DB5" w:rsidRPr="00F71AE4" w:rsidRDefault="70077796" w:rsidP="00695B36">
      <w:pPr>
        <w:spacing w:after="120" w:line="257" w:lineRule="auto"/>
        <w:jc w:val="left"/>
      </w:pPr>
      <w:r w:rsidRPr="00F71AE4">
        <w:rPr>
          <w:rFonts w:cs="Calibri"/>
        </w:rPr>
        <w:t xml:space="preserve">PASC noted and welcomed consultation input from </w:t>
      </w:r>
      <w:r w:rsidR="00046DA3" w:rsidRPr="00F71AE4">
        <w:rPr>
          <w:rFonts w:cs="Calibri"/>
        </w:rPr>
        <w:t xml:space="preserve">2 </w:t>
      </w:r>
      <w:r w:rsidRPr="00F71AE4">
        <w:rPr>
          <w:rFonts w:cs="Calibri"/>
        </w:rPr>
        <w:t>professional organisation</w:t>
      </w:r>
      <w:r w:rsidR="00046DA3" w:rsidRPr="00F71AE4">
        <w:rPr>
          <w:rFonts w:cs="Calibri"/>
        </w:rPr>
        <w:t>s</w:t>
      </w:r>
      <w:r w:rsidRPr="00F71AE4">
        <w:rPr>
          <w:rFonts w:cs="Calibri"/>
        </w:rPr>
        <w:t xml:space="preserve">, and </w:t>
      </w:r>
      <w:r w:rsidR="00046DA3" w:rsidRPr="00F71AE4">
        <w:rPr>
          <w:rFonts w:cs="Calibri"/>
        </w:rPr>
        <w:t xml:space="preserve">1 </w:t>
      </w:r>
      <w:r w:rsidRPr="00F71AE4">
        <w:rPr>
          <w:rFonts w:cs="Calibri"/>
        </w:rPr>
        <w:t xml:space="preserve">consumer organisations. The organisations that submitted input were: </w:t>
      </w:r>
    </w:p>
    <w:p w14:paraId="4691D594" w14:textId="5136EDEE" w:rsidR="007F0DB5" w:rsidRPr="00F71AE4" w:rsidRDefault="70077796" w:rsidP="00695B36">
      <w:pPr>
        <w:pStyle w:val="ListParagraph"/>
        <w:numPr>
          <w:ilvl w:val="0"/>
          <w:numId w:val="3"/>
        </w:numPr>
        <w:jc w:val="left"/>
        <w:rPr>
          <w:rFonts w:cs="Calibri"/>
        </w:rPr>
      </w:pPr>
      <w:r w:rsidRPr="00F71AE4">
        <w:rPr>
          <w:rFonts w:cs="Calibri"/>
        </w:rPr>
        <w:t>The Royal Australian College of General Practitioners (RACGP)</w:t>
      </w:r>
    </w:p>
    <w:p w14:paraId="21F13BE5" w14:textId="5C07182F" w:rsidR="007F0DB5" w:rsidRPr="00F71AE4" w:rsidRDefault="70077796" w:rsidP="00695B36">
      <w:pPr>
        <w:pStyle w:val="ListParagraph"/>
        <w:numPr>
          <w:ilvl w:val="0"/>
          <w:numId w:val="3"/>
        </w:numPr>
        <w:jc w:val="left"/>
        <w:rPr>
          <w:rFonts w:cs="Calibri"/>
        </w:rPr>
      </w:pPr>
      <w:r w:rsidRPr="00F71AE4">
        <w:rPr>
          <w:rFonts w:cs="Calibri"/>
        </w:rPr>
        <w:t>Pathology Technology Australia (PTA)</w:t>
      </w:r>
    </w:p>
    <w:p w14:paraId="6F8E0642" w14:textId="6CD0B00E" w:rsidR="007F0DB5" w:rsidRPr="00F71AE4" w:rsidRDefault="70077796" w:rsidP="00695B36">
      <w:pPr>
        <w:pStyle w:val="ListParagraph"/>
        <w:numPr>
          <w:ilvl w:val="0"/>
          <w:numId w:val="3"/>
        </w:numPr>
        <w:jc w:val="left"/>
        <w:rPr>
          <w:rFonts w:cs="Calibri"/>
        </w:rPr>
      </w:pPr>
      <w:r w:rsidRPr="00F71AE4">
        <w:rPr>
          <w:rFonts w:cs="Calibri"/>
        </w:rPr>
        <w:t>The Heart Foundation</w:t>
      </w:r>
    </w:p>
    <w:p w14:paraId="70ACC4F2" w14:textId="75F5FA3A" w:rsidR="007F0DB5" w:rsidRDefault="70077796" w:rsidP="00695B36">
      <w:pPr>
        <w:spacing w:line="257" w:lineRule="auto"/>
        <w:jc w:val="left"/>
      </w:pPr>
      <w:r w:rsidRPr="01517254">
        <w:rPr>
          <w:rFonts w:cs="Calibri"/>
        </w:rPr>
        <w:t xml:space="preserve">The consultation feedback received was mixed: PTA and the Heart Foundation supported the application. The RACGP did not support public funding.  </w:t>
      </w:r>
    </w:p>
    <w:p w14:paraId="60D622C7" w14:textId="0A725BFD" w:rsidR="007F0DB5" w:rsidRDefault="70077796" w:rsidP="00695B36">
      <w:pPr>
        <w:spacing w:line="257" w:lineRule="auto"/>
        <w:jc w:val="left"/>
      </w:pPr>
      <w:r w:rsidRPr="01517254">
        <w:rPr>
          <w:rFonts w:cs="Calibri"/>
          <w:b/>
          <w:bCs/>
        </w:rPr>
        <w:t>Clinical need and public health significance</w:t>
      </w:r>
    </w:p>
    <w:p w14:paraId="1D828789" w14:textId="75698E5E" w:rsidR="007F0DB5" w:rsidRDefault="70077796" w:rsidP="00695B36">
      <w:pPr>
        <w:pStyle w:val="ListParagraph"/>
        <w:numPr>
          <w:ilvl w:val="0"/>
          <w:numId w:val="2"/>
        </w:numPr>
        <w:jc w:val="left"/>
        <w:rPr>
          <w:rFonts w:cs="Calibri"/>
        </w:rPr>
      </w:pPr>
      <w:r w:rsidRPr="01517254">
        <w:rPr>
          <w:rFonts w:cs="Calibri"/>
        </w:rPr>
        <w:t xml:space="preserve">The main benefits of public funding received in the consultation feedback included: </w:t>
      </w:r>
    </w:p>
    <w:p w14:paraId="0A46881F" w14:textId="1E656114" w:rsidR="007F0DB5" w:rsidRDefault="70077796" w:rsidP="00695B36">
      <w:pPr>
        <w:pStyle w:val="ListParagraph"/>
        <w:numPr>
          <w:ilvl w:val="1"/>
          <w:numId w:val="2"/>
        </w:numPr>
        <w:jc w:val="left"/>
        <w:rPr>
          <w:rFonts w:cs="Calibri"/>
        </w:rPr>
      </w:pPr>
      <w:r w:rsidRPr="01517254">
        <w:rPr>
          <w:rFonts w:cs="Calibri"/>
        </w:rPr>
        <w:t>Prognostic value including critical information about an individual’s risk profile which may have otherwise been missed by traditional risk equations</w:t>
      </w:r>
    </w:p>
    <w:p w14:paraId="3249F450" w14:textId="77777777" w:rsidR="00CA7A55" w:rsidRDefault="00CA7A55" w:rsidP="00CA7A55">
      <w:pPr>
        <w:pStyle w:val="ListParagraph"/>
        <w:ind w:left="1440"/>
        <w:jc w:val="left"/>
        <w:rPr>
          <w:rFonts w:cs="Calibri"/>
        </w:rPr>
      </w:pPr>
    </w:p>
    <w:p w14:paraId="257597F7" w14:textId="2206EEDB" w:rsidR="007F0DB5" w:rsidRDefault="70077796" w:rsidP="00695B36">
      <w:pPr>
        <w:pStyle w:val="ListParagraph"/>
        <w:numPr>
          <w:ilvl w:val="1"/>
          <w:numId w:val="2"/>
        </w:numPr>
        <w:jc w:val="left"/>
        <w:rPr>
          <w:rFonts w:cs="Calibri"/>
        </w:rPr>
      </w:pPr>
      <w:r w:rsidRPr="01517254">
        <w:rPr>
          <w:rFonts w:cs="Calibri"/>
        </w:rPr>
        <w:t>Management of risk factors including targeting of intensive CVD risk modification strategies to individuals that need it most</w:t>
      </w:r>
    </w:p>
    <w:p w14:paraId="7A4111AE" w14:textId="011A147B" w:rsidR="007F0DB5" w:rsidRDefault="70077796" w:rsidP="00695B36">
      <w:pPr>
        <w:pStyle w:val="ListParagraph"/>
        <w:numPr>
          <w:ilvl w:val="1"/>
          <w:numId w:val="2"/>
        </w:numPr>
        <w:jc w:val="left"/>
        <w:rPr>
          <w:rFonts w:cs="Calibri"/>
        </w:rPr>
      </w:pPr>
      <w:r w:rsidRPr="01517254">
        <w:rPr>
          <w:rFonts w:cs="Calibri"/>
        </w:rPr>
        <w:t>Allows for monitoring of those at risk</w:t>
      </w:r>
    </w:p>
    <w:p w14:paraId="2053EE88" w14:textId="4C6A31BF" w:rsidR="007F0DB5" w:rsidRDefault="70077796" w:rsidP="00695B36">
      <w:pPr>
        <w:pStyle w:val="ListParagraph"/>
        <w:numPr>
          <w:ilvl w:val="0"/>
          <w:numId w:val="2"/>
        </w:numPr>
        <w:jc w:val="left"/>
        <w:rPr>
          <w:rFonts w:cs="Calibri"/>
        </w:rPr>
      </w:pPr>
      <w:r w:rsidRPr="01517254">
        <w:rPr>
          <w:rFonts w:cs="Calibri"/>
        </w:rPr>
        <w:t>The main disadvantages of public funding received in the consultation feedback included:</w:t>
      </w:r>
    </w:p>
    <w:p w14:paraId="53908695" w14:textId="236209CB" w:rsidR="007F0DB5" w:rsidRDefault="70077796" w:rsidP="00695B36">
      <w:pPr>
        <w:pStyle w:val="ListParagraph"/>
        <w:numPr>
          <w:ilvl w:val="1"/>
          <w:numId w:val="2"/>
        </w:numPr>
        <w:jc w:val="left"/>
        <w:rPr>
          <w:rFonts w:cs="Calibri"/>
        </w:rPr>
      </w:pPr>
      <w:r w:rsidRPr="01517254">
        <w:rPr>
          <w:rFonts w:cs="Calibri"/>
        </w:rPr>
        <w:t xml:space="preserve">The new draft Australian CVD risk calculator including several risk modifiers, with considerable overlap with indications for Lipoprotein (A) testing, making the proposed test superfluous. </w:t>
      </w:r>
    </w:p>
    <w:p w14:paraId="4BED742F" w14:textId="63A68C38" w:rsidR="007F0DB5" w:rsidRDefault="70077796" w:rsidP="00695B36">
      <w:pPr>
        <w:pStyle w:val="ListParagraph"/>
        <w:numPr>
          <w:ilvl w:val="1"/>
          <w:numId w:val="2"/>
        </w:numPr>
        <w:jc w:val="left"/>
        <w:rPr>
          <w:rFonts w:cs="Calibri"/>
        </w:rPr>
      </w:pPr>
      <w:r w:rsidRPr="01517254">
        <w:rPr>
          <w:rFonts w:cs="Calibri"/>
        </w:rPr>
        <w:t>There are currently no treatments indicated for Lp(a) lowering</w:t>
      </w:r>
    </w:p>
    <w:p w14:paraId="0883E0B7" w14:textId="42A78A8A" w:rsidR="007F0DB5" w:rsidRDefault="70077796" w:rsidP="00695B36">
      <w:pPr>
        <w:pStyle w:val="ListParagraph"/>
        <w:numPr>
          <w:ilvl w:val="0"/>
          <w:numId w:val="2"/>
        </w:numPr>
        <w:jc w:val="left"/>
        <w:rPr>
          <w:rFonts w:cs="Calibri"/>
        </w:rPr>
      </w:pPr>
      <w:r w:rsidRPr="01517254">
        <w:rPr>
          <w:rFonts w:cs="Calibri"/>
        </w:rPr>
        <w:t>Other services identified in the consultation feedback as being needed to be delivered before or after the intervention included:</w:t>
      </w:r>
    </w:p>
    <w:p w14:paraId="2103034A" w14:textId="6658AE37" w:rsidR="007F0DB5" w:rsidRDefault="70077796" w:rsidP="00695B36">
      <w:pPr>
        <w:pStyle w:val="ListParagraph"/>
        <w:numPr>
          <w:ilvl w:val="1"/>
          <w:numId w:val="2"/>
        </w:numPr>
        <w:jc w:val="left"/>
        <w:rPr>
          <w:rFonts w:cs="Calibri"/>
        </w:rPr>
      </w:pPr>
      <w:r w:rsidRPr="01517254">
        <w:rPr>
          <w:rFonts w:cs="Calibri"/>
        </w:rPr>
        <w:t xml:space="preserve">Management of cardiovascular health including comprehensive CVD risk assessment, chronic disease management plans, and consultation with a cardiologist. </w:t>
      </w:r>
    </w:p>
    <w:p w14:paraId="1635EE41" w14:textId="7211D154" w:rsidR="007F0DB5" w:rsidRDefault="70077796" w:rsidP="00695B36">
      <w:pPr>
        <w:pStyle w:val="ListParagraph"/>
        <w:numPr>
          <w:ilvl w:val="1"/>
          <w:numId w:val="2"/>
        </w:numPr>
        <w:jc w:val="left"/>
        <w:rPr>
          <w:rFonts w:cs="Calibri"/>
        </w:rPr>
      </w:pPr>
      <w:r w:rsidRPr="01517254">
        <w:rPr>
          <w:rFonts w:cs="Calibri"/>
        </w:rPr>
        <w:t>Genetic counselling for individuals living with FH</w:t>
      </w:r>
    </w:p>
    <w:p w14:paraId="69FD42D2" w14:textId="352E59E4" w:rsidR="007F0DB5" w:rsidRDefault="70077796" w:rsidP="00695B36">
      <w:pPr>
        <w:spacing w:line="257" w:lineRule="auto"/>
        <w:jc w:val="left"/>
      </w:pPr>
      <w:r w:rsidRPr="01517254">
        <w:rPr>
          <w:rFonts w:cs="Calibri"/>
          <w:b/>
          <w:bCs/>
        </w:rPr>
        <w:t>Indication(s) for the proposed medical service and clinical claim</w:t>
      </w:r>
    </w:p>
    <w:p w14:paraId="22D824A5" w14:textId="509295B6" w:rsidR="007F0DB5" w:rsidRDefault="70077796" w:rsidP="00695B36">
      <w:pPr>
        <w:pStyle w:val="ListParagraph"/>
        <w:numPr>
          <w:ilvl w:val="0"/>
          <w:numId w:val="1"/>
        </w:numPr>
        <w:jc w:val="left"/>
        <w:rPr>
          <w:rFonts w:cs="Calibri"/>
        </w:rPr>
      </w:pPr>
      <w:r w:rsidRPr="01517254">
        <w:rPr>
          <w:rFonts w:cs="Calibri"/>
        </w:rPr>
        <w:t xml:space="preserve">The consultation feedback ranged agreeing to strongly agreeing with the proposed population(s). </w:t>
      </w:r>
    </w:p>
    <w:p w14:paraId="71C4B394" w14:textId="0516CA47" w:rsidR="007F0DB5" w:rsidRDefault="70077796" w:rsidP="00695B36">
      <w:pPr>
        <w:pStyle w:val="ListParagraph"/>
        <w:numPr>
          <w:ilvl w:val="1"/>
          <w:numId w:val="1"/>
        </w:numPr>
        <w:jc w:val="left"/>
        <w:rPr>
          <w:rFonts w:cs="Calibri"/>
        </w:rPr>
      </w:pPr>
      <w:r w:rsidRPr="01517254">
        <w:rPr>
          <w:rFonts w:cs="Calibri"/>
        </w:rPr>
        <w:t>PTA stated that the proposed population is consistent with evidence and European Atherosclerotic Society guidance.</w:t>
      </w:r>
    </w:p>
    <w:p w14:paraId="7E0B3509" w14:textId="0B2A5E8A" w:rsidR="007F0DB5" w:rsidRDefault="70077796" w:rsidP="00695B36">
      <w:pPr>
        <w:pStyle w:val="ListParagraph"/>
        <w:numPr>
          <w:ilvl w:val="1"/>
          <w:numId w:val="1"/>
        </w:numPr>
        <w:jc w:val="left"/>
        <w:rPr>
          <w:rFonts w:cs="Calibri"/>
        </w:rPr>
      </w:pPr>
      <w:r w:rsidRPr="54DAAD2F">
        <w:rPr>
          <w:rFonts w:cs="Calibri"/>
        </w:rPr>
        <w:lastRenderedPageBreak/>
        <w:t xml:space="preserve">The Heart Foundation stated that they largely agree, however, the criteria should be clearer to aid with implementation, such as distinguishing between features specific to a family history vs </w:t>
      </w:r>
      <w:bookmarkStart w:id="18" w:name="_Int_Omuhd9jT"/>
      <w:r w:rsidRPr="54DAAD2F">
        <w:rPr>
          <w:rFonts w:cs="Calibri"/>
        </w:rPr>
        <w:t>current clinical features</w:t>
      </w:r>
      <w:bookmarkEnd w:id="18"/>
      <w:r w:rsidRPr="54DAAD2F">
        <w:rPr>
          <w:rFonts w:cs="Calibri"/>
        </w:rPr>
        <w:t>.</w:t>
      </w:r>
    </w:p>
    <w:p w14:paraId="283460C7" w14:textId="0C974C1A" w:rsidR="007F0DB5" w:rsidRDefault="70077796" w:rsidP="00695B36">
      <w:pPr>
        <w:pStyle w:val="ListParagraph"/>
        <w:numPr>
          <w:ilvl w:val="0"/>
          <w:numId w:val="1"/>
        </w:numPr>
        <w:jc w:val="left"/>
        <w:rPr>
          <w:rFonts w:cs="Calibri"/>
        </w:rPr>
      </w:pPr>
      <w:r w:rsidRPr="01517254">
        <w:rPr>
          <w:rFonts w:cs="Calibri"/>
        </w:rPr>
        <w:t xml:space="preserve">The consultation feedback generally agreed with the proposed comparator(s). </w:t>
      </w:r>
    </w:p>
    <w:p w14:paraId="2F3B3387" w14:textId="66E6B9DF" w:rsidR="007F0DB5" w:rsidRDefault="70077796" w:rsidP="00695B36">
      <w:pPr>
        <w:pStyle w:val="ListParagraph"/>
        <w:numPr>
          <w:ilvl w:val="0"/>
          <w:numId w:val="1"/>
        </w:numPr>
        <w:jc w:val="left"/>
        <w:rPr>
          <w:rFonts w:cs="Calibri"/>
        </w:rPr>
      </w:pPr>
      <w:r w:rsidRPr="01517254">
        <w:rPr>
          <w:rFonts w:cs="Calibri"/>
        </w:rPr>
        <w:t xml:space="preserve">The consultation feedback generally agreed with the clinical claim. </w:t>
      </w:r>
    </w:p>
    <w:p w14:paraId="396A3269" w14:textId="745DAAF3" w:rsidR="007F0DB5" w:rsidRDefault="70077796" w:rsidP="00695B36">
      <w:pPr>
        <w:spacing w:line="257" w:lineRule="auto"/>
        <w:jc w:val="left"/>
      </w:pPr>
      <w:r w:rsidRPr="01517254">
        <w:rPr>
          <w:rFonts w:cs="Calibri"/>
          <w:b/>
          <w:bCs/>
        </w:rPr>
        <w:t>Cost information for the proposed medical service</w:t>
      </w:r>
    </w:p>
    <w:p w14:paraId="2D933030" w14:textId="2FEB250A" w:rsidR="007F0DB5" w:rsidRDefault="70077796" w:rsidP="00695B36">
      <w:pPr>
        <w:pStyle w:val="ListParagraph"/>
        <w:numPr>
          <w:ilvl w:val="0"/>
          <w:numId w:val="1"/>
        </w:numPr>
        <w:jc w:val="left"/>
        <w:rPr>
          <w:rFonts w:cs="Calibri"/>
        </w:rPr>
      </w:pPr>
      <w:r w:rsidRPr="01517254">
        <w:rPr>
          <w:rFonts w:cs="Calibri"/>
        </w:rPr>
        <w:t xml:space="preserve">The consultation feedback generally agreed with the proposed service descriptor. </w:t>
      </w:r>
    </w:p>
    <w:p w14:paraId="643C0FB3" w14:textId="5998CC7B" w:rsidR="007F0DB5" w:rsidRDefault="70077796" w:rsidP="00695B36">
      <w:pPr>
        <w:pStyle w:val="ListParagraph"/>
        <w:numPr>
          <w:ilvl w:val="0"/>
          <w:numId w:val="1"/>
        </w:numPr>
        <w:jc w:val="left"/>
        <w:rPr>
          <w:rFonts w:cs="Calibri"/>
        </w:rPr>
      </w:pPr>
      <w:r w:rsidRPr="01517254">
        <w:rPr>
          <w:rFonts w:cs="Calibri"/>
        </w:rPr>
        <w:t xml:space="preserve">The consultation feedback generally agreed with the proposed service fee. </w:t>
      </w:r>
    </w:p>
    <w:p w14:paraId="64B8C1B9" w14:textId="7372C1AA" w:rsidR="007F0DB5" w:rsidRDefault="007F0DB5" w:rsidP="00695B36">
      <w:pPr>
        <w:jc w:val="left"/>
        <w:rPr>
          <w:i/>
          <w:iCs/>
        </w:rPr>
      </w:pPr>
      <w:r w:rsidRPr="01517254">
        <w:rPr>
          <w:i/>
          <w:iCs/>
        </w:rPr>
        <w:t>PASC noted that:</w:t>
      </w:r>
    </w:p>
    <w:p w14:paraId="1EECCC72" w14:textId="77777777" w:rsidR="007F0DB5" w:rsidRPr="00EE2EEC" w:rsidRDefault="007F0DB5" w:rsidP="00695B36">
      <w:pPr>
        <w:pStyle w:val="ListParagraph"/>
        <w:numPr>
          <w:ilvl w:val="0"/>
          <w:numId w:val="7"/>
        </w:numPr>
        <w:jc w:val="left"/>
        <w:rPr>
          <w:i/>
          <w:iCs/>
        </w:rPr>
      </w:pPr>
      <w:r>
        <w:rPr>
          <w:i/>
          <w:iCs/>
        </w:rPr>
        <w:t xml:space="preserve">the </w:t>
      </w:r>
      <w:r w:rsidRPr="00EE2EEC">
        <w:rPr>
          <w:i/>
          <w:iCs/>
        </w:rPr>
        <w:t>National Heart Foundation suggested that the new guidelines will consider the place of Lp(a) testing in a primary prevention setting and it would be helpful if there was an MBS subsidy for Lp(a) testing. They suggest that Lp(a) testing may provide additional risk profiling for patients who are missed by traditional risk equations, particularly patients with an individual or family history of premature CVD.</w:t>
      </w:r>
    </w:p>
    <w:p w14:paraId="7D6BFD03" w14:textId="77777777" w:rsidR="007F0DB5" w:rsidRPr="00EE2EEC" w:rsidRDefault="007F0DB5" w:rsidP="00695B36">
      <w:pPr>
        <w:pStyle w:val="ListParagraph"/>
        <w:numPr>
          <w:ilvl w:val="0"/>
          <w:numId w:val="7"/>
        </w:numPr>
        <w:jc w:val="left"/>
        <w:rPr>
          <w:i/>
          <w:iCs/>
        </w:rPr>
      </w:pPr>
      <w:r>
        <w:rPr>
          <w:i/>
          <w:iCs/>
        </w:rPr>
        <w:t>t</w:t>
      </w:r>
      <w:r w:rsidRPr="00EE2EEC">
        <w:rPr>
          <w:i/>
          <w:iCs/>
        </w:rPr>
        <w:t>he Australian Atherosclerosis Society are preparing a position paper on Lp(a) testing and are supportive of the application suggesting that it is a clinically relevant service where the benefit is primarily in cascade testing.</w:t>
      </w:r>
    </w:p>
    <w:p w14:paraId="32D666DC" w14:textId="77777777" w:rsidR="007F0DB5" w:rsidRPr="006B47E6" w:rsidRDefault="007F0DB5" w:rsidP="00695B36">
      <w:pPr>
        <w:pStyle w:val="ListParagraph"/>
        <w:numPr>
          <w:ilvl w:val="0"/>
          <w:numId w:val="7"/>
        </w:numPr>
        <w:jc w:val="left"/>
        <w:rPr>
          <w:i/>
          <w:iCs/>
          <w:color w:val="000000" w:themeColor="text1"/>
        </w:rPr>
      </w:pPr>
      <w:r>
        <w:rPr>
          <w:i/>
          <w:iCs/>
        </w:rPr>
        <w:t>t</w:t>
      </w:r>
      <w:r w:rsidRPr="00EE2EEC">
        <w:rPr>
          <w:i/>
          <w:iCs/>
        </w:rPr>
        <w:t>he Cardiac Society Australia and New Zealand suggested the Lp(a) was generally accepted as having clinical utility.</w:t>
      </w:r>
    </w:p>
    <w:p w14:paraId="42F7B88D" w14:textId="77777777" w:rsidR="007F0DB5" w:rsidRPr="00C31FE5" w:rsidRDefault="007F0DB5" w:rsidP="00695B36">
      <w:pPr>
        <w:pStyle w:val="ListParagraph"/>
        <w:numPr>
          <w:ilvl w:val="0"/>
          <w:numId w:val="7"/>
        </w:numPr>
        <w:jc w:val="left"/>
        <w:rPr>
          <w:i/>
          <w:iCs/>
          <w:color w:val="000000" w:themeColor="text1"/>
        </w:rPr>
      </w:pPr>
      <w:r w:rsidRPr="006B47E6">
        <w:rPr>
          <w:i/>
          <w:iCs/>
          <w:color w:val="000000" w:themeColor="text1"/>
        </w:rPr>
        <w:t xml:space="preserve">the Royal College of General Practitioners claim that the new guidelines include several risk modifiers </w:t>
      </w:r>
      <w:r w:rsidRPr="00C215D7">
        <w:rPr>
          <w:i/>
          <w:iCs/>
          <w:color w:val="000000" w:themeColor="text1"/>
        </w:rPr>
        <w:t xml:space="preserve">with considerable overlap with the indications for Lp(a) testing making the test superfluous. </w:t>
      </w:r>
      <w:r w:rsidRPr="00C31FE5">
        <w:rPr>
          <w:i/>
          <w:iCs/>
          <w:color w:val="000000" w:themeColor="text1"/>
        </w:rPr>
        <w:t>PASC noted that this group appear not to have considered cascade testing.</w:t>
      </w:r>
    </w:p>
    <w:p w14:paraId="11528F90" w14:textId="7C185EE9" w:rsidR="007F0DB5" w:rsidRDefault="007F0DB5" w:rsidP="00695B36">
      <w:pPr>
        <w:pStyle w:val="ListParagraph"/>
        <w:numPr>
          <w:ilvl w:val="0"/>
          <w:numId w:val="7"/>
        </w:numPr>
        <w:jc w:val="left"/>
        <w:rPr>
          <w:i/>
          <w:color w:val="000000" w:themeColor="text1"/>
        </w:rPr>
      </w:pPr>
      <w:r w:rsidRPr="00C215D7">
        <w:rPr>
          <w:i/>
          <w:iCs/>
          <w:color w:val="000000" w:themeColor="text1"/>
        </w:rPr>
        <w:t>Pathologists provided the feedback where testing manufacturers were supportive but did not comment on the issues around different testing assays and reference ranges. They also pointed out that the pathologists do not have access to patients’ risk status and individual disease history. They suggest restrictions on the testing should be removed from the MBS</w:t>
      </w:r>
      <w:r w:rsidR="001E456C" w:rsidRPr="00C215D7">
        <w:rPr>
          <w:i/>
          <w:iCs/>
          <w:color w:val="000000" w:themeColor="text1"/>
        </w:rPr>
        <w:t xml:space="preserve"> item descriptor as ensuring the patient is an appropriate candidate for the test is the responsibility of the requesting clinician, not the pathologist</w:t>
      </w:r>
      <w:r w:rsidRPr="00C215D7">
        <w:rPr>
          <w:i/>
          <w:color w:val="000000" w:themeColor="text1"/>
        </w:rPr>
        <w:t>.</w:t>
      </w:r>
    </w:p>
    <w:p w14:paraId="18828CE7" w14:textId="77777777" w:rsidR="004A2752" w:rsidRDefault="004A2752" w:rsidP="00695B36">
      <w:pPr>
        <w:pStyle w:val="Heading2"/>
        <w:jc w:val="left"/>
      </w:pPr>
      <w:r w:rsidRPr="00D37A3F">
        <w:t>Next steps</w:t>
      </w:r>
    </w:p>
    <w:p w14:paraId="7002157A" w14:textId="77777777" w:rsidR="00425C85" w:rsidRPr="00425C85" w:rsidRDefault="00425C85" w:rsidP="00695B36">
      <w:pPr>
        <w:jc w:val="left"/>
        <w:rPr>
          <w:i/>
          <w:iCs/>
        </w:rPr>
      </w:pPr>
      <w:r w:rsidRPr="00425C85">
        <w:rPr>
          <w:i/>
          <w:iCs/>
        </w:rPr>
        <w:t>Following the December PASC meeting, PASC noted that out of session discussions have not sufficiently defined the populations or clinical algorithms. PASC recommend that additional work is required to better define the PICO before it can progress to the assessment phase. Specifically, the following need to be addressed:</w:t>
      </w:r>
    </w:p>
    <w:p w14:paraId="1AFECB54" w14:textId="77777777" w:rsidR="00425C85" w:rsidRPr="00425C85" w:rsidRDefault="00425C85" w:rsidP="00695B36">
      <w:pPr>
        <w:pStyle w:val="ListParagraph"/>
        <w:numPr>
          <w:ilvl w:val="0"/>
          <w:numId w:val="24"/>
        </w:numPr>
        <w:autoSpaceDE w:val="0"/>
        <w:autoSpaceDN w:val="0"/>
        <w:adjustRightInd w:val="0"/>
        <w:spacing w:line="23" w:lineRule="atLeast"/>
        <w:jc w:val="left"/>
        <w:rPr>
          <w:rFonts w:asciiTheme="minorHAnsi" w:hAnsiTheme="minorHAnsi" w:cstheme="minorHAnsi"/>
          <w:i/>
          <w:iCs/>
        </w:rPr>
      </w:pPr>
      <w:r w:rsidRPr="00425C85">
        <w:rPr>
          <w:i/>
          <w:iCs/>
        </w:rPr>
        <w:t>Population B needs considerable re-framing (which may impact the clinical management algorithm)</w:t>
      </w:r>
    </w:p>
    <w:p w14:paraId="3BCB1F78" w14:textId="77777777" w:rsidR="00425C85" w:rsidRPr="00425C85" w:rsidRDefault="00425C85" w:rsidP="00695B36">
      <w:pPr>
        <w:pStyle w:val="ListParagraph"/>
        <w:numPr>
          <w:ilvl w:val="0"/>
          <w:numId w:val="24"/>
        </w:numPr>
        <w:autoSpaceDE w:val="0"/>
        <w:autoSpaceDN w:val="0"/>
        <w:adjustRightInd w:val="0"/>
        <w:spacing w:line="23" w:lineRule="atLeast"/>
        <w:jc w:val="left"/>
        <w:rPr>
          <w:rFonts w:asciiTheme="minorHAnsi" w:hAnsiTheme="minorHAnsi" w:cstheme="minorHAnsi"/>
          <w:i/>
          <w:iCs/>
        </w:rPr>
      </w:pPr>
      <w:r w:rsidRPr="00425C85">
        <w:rPr>
          <w:i/>
          <w:iCs/>
        </w:rPr>
        <w:t xml:space="preserve">The proposed number of tests needs work </w:t>
      </w:r>
    </w:p>
    <w:p w14:paraId="7A832325" w14:textId="77777777" w:rsidR="00425C85" w:rsidRPr="00425C85" w:rsidRDefault="00425C85" w:rsidP="00695B36">
      <w:pPr>
        <w:pStyle w:val="ListParagraph"/>
        <w:numPr>
          <w:ilvl w:val="0"/>
          <w:numId w:val="24"/>
        </w:numPr>
        <w:autoSpaceDE w:val="0"/>
        <w:autoSpaceDN w:val="0"/>
        <w:adjustRightInd w:val="0"/>
        <w:spacing w:line="23" w:lineRule="atLeast"/>
        <w:jc w:val="left"/>
        <w:rPr>
          <w:rFonts w:asciiTheme="minorHAnsi" w:hAnsiTheme="minorHAnsi" w:cstheme="minorHAnsi"/>
          <w:i/>
          <w:iCs/>
        </w:rPr>
      </w:pPr>
      <w:r w:rsidRPr="00425C85">
        <w:rPr>
          <w:i/>
          <w:iCs/>
        </w:rPr>
        <w:t>The MBS item descriptors require clarifications to ensure the three proposed populations are reflected and adequately captured.</w:t>
      </w:r>
    </w:p>
    <w:p w14:paraId="49A098DD" w14:textId="1CD281B9" w:rsidR="007F0DB5" w:rsidRDefault="00425C85" w:rsidP="00695B36">
      <w:pPr>
        <w:autoSpaceDE w:val="0"/>
        <w:autoSpaceDN w:val="0"/>
        <w:adjustRightInd w:val="0"/>
        <w:spacing w:line="23" w:lineRule="atLeast"/>
        <w:jc w:val="left"/>
        <w:rPr>
          <w:rFonts w:asciiTheme="minorHAnsi" w:hAnsiTheme="minorHAnsi" w:cstheme="minorHAnsi"/>
          <w:i/>
          <w:iCs/>
        </w:rPr>
      </w:pPr>
      <w:r w:rsidRPr="00425C85">
        <w:rPr>
          <w:rFonts w:asciiTheme="minorHAnsi" w:hAnsiTheme="minorHAnsi" w:cstheme="minorHAnsi"/>
          <w:i/>
          <w:iCs/>
        </w:rPr>
        <w:t xml:space="preserve">PASC note that the application relies on the Australian and New Zealand guidelines for the management of absolute cardiovascular disease risk to determine the populations and clinical algorithms. As these </w:t>
      </w:r>
      <w:r w:rsidRPr="00425C85">
        <w:rPr>
          <w:rFonts w:asciiTheme="minorHAnsi" w:hAnsiTheme="minorHAnsi" w:cstheme="minorHAnsi"/>
          <w:i/>
          <w:iCs/>
        </w:rPr>
        <w:lastRenderedPageBreak/>
        <w:t xml:space="preserve">guidelines are currently under review, PASC recommend that this application is reconsidered at a second PASC meeting once the updated guidelines are available for consideration.  </w:t>
      </w:r>
    </w:p>
    <w:p w14:paraId="27204F27" w14:textId="77777777" w:rsidR="00252757" w:rsidRPr="005F79BA" w:rsidRDefault="00252757" w:rsidP="00252757">
      <w:pPr>
        <w:keepNext/>
        <w:keepLines/>
        <w:tabs>
          <w:tab w:val="left" w:pos="1701"/>
        </w:tabs>
        <w:spacing w:before="360" w:after="120" w:line="240" w:lineRule="auto"/>
        <w:outlineLvl w:val="1"/>
        <w:rPr>
          <w:rFonts w:ascii="Franklin Gothic Medium" w:eastAsiaTheme="majorEastAsia" w:hAnsi="Franklin Gothic Medium" w:cstheme="majorBidi"/>
          <w:color w:val="000000" w:themeColor="text1"/>
          <w:sz w:val="32"/>
          <w:szCs w:val="26"/>
        </w:rPr>
      </w:pPr>
      <w:r w:rsidRPr="005F79BA">
        <w:rPr>
          <w:rFonts w:ascii="Franklin Gothic Medium" w:eastAsiaTheme="majorEastAsia" w:hAnsi="Franklin Gothic Medium" w:cstheme="majorBidi"/>
          <w:color w:val="000000" w:themeColor="text1"/>
          <w:sz w:val="32"/>
          <w:szCs w:val="26"/>
        </w:rPr>
        <w:t>Applicant comment on the ratified PICO Confirmation</w:t>
      </w:r>
    </w:p>
    <w:p w14:paraId="0CD636EF" w14:textId="49A3B693" w:rsidR="00252757" w:rsidRDefault="00252757" w:rsidP="00252757">
      <w:pPr>
        <w:spacing w:after="160" w:line="259" w:lineRule="auto"/>
      </w:pPr>
      <w:r>
        <w:t xml:space="preserve">The applicant agrees that there is a great deal of uncertainty around the definition of Population B and that it should be removed from consideration, with only Population A and C considered for assessment. </w:t>
      </w:r>
    </w:p>
    <w:p w14:paraId="11062094" w14:textId="77777777" w:rsidR="00252757" w:rsidRPr="00D01FF4" w:rsidRDefault="00252757" w:rsidP="00252757">
      <w:pPr>
        <w:pStyle w:val="ListParagraph"/>
        <w:numPr>
          <w:ilvl w:val="0"/>
          <w:numId w:val="19"/>
        </w:numPr>
        <w:spacing w:after="160" w:line="259" w:lineRule="auto"/>
        <w:jc w:val="left"/>
        <w:rPr>
          <w:rFonts w:eastAsiaTheme="minorHAnsi" w:cstheme="minorBidi"/>
          <w:color w:val="000000" w:themeColor="text1"/>
        </w:rPr>
      </w:pPr>
      <w:r w:rsidRPr="00D01FF4">
        <w:rPr>
          <w:rFonts w:eastAsiaTheme="minorHAnsi" w:cstheme="minorBidi"/>
          <w:b/>
          <w:color w:val="000000" w:themeColor="text1"/>
        </w:rPr>
        <w:t>Population A (index population)</w:t>
      </w:r>
      <w:r w:rsidRPr="00D01FF4">
        <w:rPr>
          <w:rFonts w:eastAsiaTheme="minorHAnsi" w:cstheme="minorBidi"/>
          <w:color w:val="000000" w:themeColor="text1"/>
        </w:rPr>
        <w:t>: adults at moderate CVD risk as assessed by the currently available CVD risk assessment tool recommended by the Australian clinical practice guideline.</w:t>
      </w:r>
    </w:p>
    <w:p w14:paraId="331C989F" w14:textId="77777777" w:rsidR="00252757" w:rsidRPr="00473BF9" w:rsidRDefault="00252757" w:rsidP="00252757">
      <w:pPr>
        <w:pStyle w:val="ListParagraph"/>
        <w:numPr>
          <w:ilvl w:val="0"/>
          <w:numId w:val="11"/>
        </w:numPr>
        <w:spacing w:after="160" w:line="259" w:lineRule="auto"/>
        <w:jc w:val="left"/>
        <w:rPr>
          <w:rFonts w:eastAsiaTheme="minorHAnsi" w:cstheme="minorBidi"/>
          <w:color w:val="000000" w:themeColor="text1"/>
        </w:rPr>
      </w:pPr>
      <w:r w:rsidRPr="006B0497">
        <w:rPr>
          <w:rFonts w:eastAsiaTheme="minorHAnsi" w:cstheme="minorBidi"/>
          <w:b/>
          <w:color w:val="000000" w:themeColor="text1"/>
        </w:rPr>
        <w:t>Population C (cascade population)</w:t>
      </w:r>
      <w:r w:rsidRPr="006B0497">
        <w:rPr>
          <w:rFonts w:eastAsiaTheme="minorHAnsi" w:cstheme="minorBidi"/>
          <w:color w:val="000000" w:themeColor="text1"/>
        </w:rPr>
        <w:t>: Patients at any age with a first-degree relative with significantly elevated Lp(a) (&gt;200 nmol/L)</w:t>
      </w:r>
      <w:r>
        <w:rPr>
          <w:rFonts w:eastAsiaTheme="minorHAnsi" w:cstheme="minorBidi"/>
          <w:color w:val="000000" w:themeColor="text1"/>
        </w:rPr>
        <w:t>.</w:t>
      </w:r>
    </w:p>
    <w:p w14:paraId="43E26894" w14:textId="78771A22" w:rsidR="00252757" w:rsidRDefault="00252757" w:rsidP="00252757">
      <w:r>
        <w:t>As previously stated, the applicant agrees with PASC</w:t>
      </w:r>
      <w:r w:rsidRPr="004B2036">
        <w:t xml:space="preserve"> that the clinical utility of Lp(a) in children and adolescents under 18 years is low and </w:t>
      </w:r>
      <w:r>
        <w:t>therefore children should not be tested for Lp(a)</w:t>
      </w:r>
      <w:r w:rsidRPr="004B2036">
        <w:t>.</w:t>
      </w:r>
      <w:r>
        <w:t xml:space="preserve"> The one important exception to this; however, are individuals </w:t>
      </w:r>
      <w:r w:rsidRPr="00EC0D6C">
        <w:t>under 18 years who have familial hypercholesterolaemia</w:t>
      </w:r>
      <w:r>
        <w:t>, who would also be considered to be at  moderate risk of CVD but elevated Lp(a) levels may indicate a risk of premature CVD that would require treatment.</w:t>
      </w:r>
    </w:p>
    <w:p w14:paraId="71DB0E03" w14:textId="15B4A3EA" w:rsidR="00921462" w:rsidRPr="00921462" w:rsidRDefault="00252757" w:rsidP="00921462">
      <w:r>
        <w:t>The applicant agrees that Population A should only be those individuals considered to be at moderate risk according to current CVD clinical risk assessment tools. The applicant also agrees with changing the wording in the Population C clinical algorithm from “no action” to “managed according to guidelines”, which was the intent.</w:t>
      </w:r>
    </w:p>
    <w:p w14:paraId="2023DCB0" w14:textId="77777777" w:rsidR="00252757" w:rsidRDefault="00252757">
      <w:pPr>
        <w:spacing w:after="160" w:line="259" w:lineRule="auto"/>
        <w:jc w:val="left"/>
      </w:pPr>
      <w:r>
        <w:t>The applicant agrees that a CEA/CUA is appropriate.</w:t>
      </w:r>
    </w:p>
    <w:p w14:paraId="1AD5FDB1" w14:textId="77777777" w:rsidR="00252757" w:rsidRDefault="00252757" w:rsidP="00252757">
      <w:pPr>
        <w:spacing w:after="160" w:line="259" w:lineRule="auto"/>
      </w:pPr>
      <w:r>
        <w:t>Although the market has determined the cost of Lp(a) in the private pathology space, the applicant can provide advice to the HTA team regarding the appropriate fee for Lp(a) testing.</w:t>
      </w:r>
    </w:p>
    <w:p w14:paraId="1E723A28" w14:textId="77777777" w:rsidR="00252757" w:rsidRPr="00C60F27" w:rsidRDefault="00252757" w:rsidP="00252757">
      <w:pPr>
        <w:spacing w:after="160" w:line="259" w:lineRule="auto"/>
      </w:pPr>
      <w:r>
        <w:t>Retention of “asymptomatic” in the proposed item number descriptor would be appropriate with the removal of Population B. Population A intends to capture those patients who are otherwise symptom free and are considered to be at moderate risk.</w:t>
      </w:r>
    </w:p>
    <w:p w14:paraId="1F2DD59E" w14:textId="77777777" w:rsidR="00252757" w:rsidRDefault="00252757" w:rsidP="00252757">
      <w:pPr>
        <w:spacing w:after="160" w:line="259" w:lineRule="auto"/>
      </w:pPr>
      <w:r w:rsidRPr="00B00D74">
        <w:t xml:space="preserve">It should be noted that an additional item number should be developed in order to facilitate testing in individuals with familial </w:t>
      </w:r>
      <w:r w:rsidRPr="00A82F3E">
        <w:t>hypercholesterolaemia</w:t>
      </w:r>
      <w:r>
        <w:t xml:space="preserve"> &lt;18 years of age. These patients would be considered to be at moderate risk of CVD; however, as previously noted by PASC, individuals under 18 years are excluded from assessment by current clinical CVD risk calculators. FH patients &gt;18 years would be covered under item number AAAA.</w:t>
      </w:r>
    </w:p>
    <w:p w14:paraId="3C68D402" w14:textId="77777777" w:rsidR="00252757" w:rsidRDefault="00252757" w:rsidP="00252757">
      <w:pPr>
        <w:spacing w:after="160" w:line="259" w:lineRule="auto"/>
      </w:pPr>
      <w:r>
        <w:t>It would be appropriate to place a &gt;18 years age restriction on the proposed item numbers AAAA and BBBB; however, the new FH item number should not be age restricted.</w:t>
      </w:r>
    </w:p>
    <w:p w14:paraId="1C9A20C1" w14:textId="77777777" w:rsidR="00252757" w:rsidRPr="00DE762F" w:rsidRDefault="00252757" w:rsidP="00252757">
      <w:pPr>
        <w:spacing w:before="120" w:after="120" w:line="240" w:lineRule="auto"/>
        <w:jc w:val="left"/>
        <w:rPr>
          <w:rFonts w:ascii="Arial Narrow" w:hAnsi="Arial Narrow"/>
          <w:sz w:val="20"/>
          <w:szCs w:val="20"/>
        </w:rPr>
      </w:pPr>
      <w:r w:rsidRPr="00DE762F">
        <w:rPr>
          <w:rFonts w:ascii="Arial Narrow" w:hAnsi="Arial Narrow"/>
          <w:sz w:val="20"/>
          <w:szCs w:val="20"/>
        </w:rPr>
        <w:t xml:space="preserve">MBS item </w:t>
      </w:r>
      <w:r>
        <w:rPr>
          <w:rFonts w:ascii="Arial Narrow" w:hAnsi="Arial Narrow"/>
          <w:sz w:val="20"/>
          <w:szCs w:val="20"/>
        </w:rPr>
        <w:t>CCCC</w:t>
      </w:r>
    </w:p>
    <w:p w14:paraId="5FE73F4A" w14:textId="77777777" w:rsidR="00252757" w:rsidRDefault="00252757" w:rsidP="00252757">
      <w:pPr>
        <w:spacing w:after="120" w:line="240" w:lineRule="auto"/>
        <w:jc w:val="left"/>
        <w:rPr>
          <w:rFonts w:ascii="Arial Narrow" w:hAnsi="Arial Narrow"/>
          <w:sz w:val="20"/>
          <w:szCs w:val="20"/>
        </w:rPr>
      </w:pPr>
      <w:r>
        <w:rPr>
          <w:rFonts w:ascii="Arial Narrow" w:hAnsi="Arial Narrow"/>
          <w:sz w:val="20"/>
          <w:szCs w:val="20"/>
        </w:rPr>
        <w:t>Quantification of l</w:t>
      </w:r>
      <w:r w:rsidRPr="00DE7F40">
        <w:rPr>
          <w:rFonts w:ascii="Arial Narrow" w:hAnsi="Arial Narrow"/>
          <w:sz w:val="20"/>
          <w:szCs w:val="20"/>
        </w:rPr>
        <w:t>ipoprotein(a)</w:t>
      </w:r>
      <w:r>
        <w:rPr>
          <w:rFonts w:ascii="Arial Narrow" w:hAnsi="Arial Narrow"/>
          <w:sz w:val="20"/>
          <w:szCs w:val="20"/>
        </w:rPr>
        <w:t xml:space="preserve"> (Lp(a)) concentration for the assessment of CVD risk in a patient less than 18 years of age diagnosed with familial </w:t>
      </w:r>
      <w:r w:rsidRPr="00C31FE5">
        <w:rPr>
          <w:rFonts w:ascii="Arial Narrow" w:hAnsi="Arial Narrow"/>
          <w:sz w:val="20"/>
          <w:szCs w:val="20"/>
        </w:rPr>
        <w:t>hypercholesterolaemia</w:t>
      </w:r>
    </w:p>
    <w:p w14:paraId="5F2C9332" w14:textId="77777777" w:rsidR="00252757" w:rsidRDefault="00252757" w:rsidP="00252757">
      <w:pPr>
        <w:spacing w:after="160" w:line="259" w:lineRule="auto"/>
        <w:jc w:val="left"/>
        <w:rPr>
          <w:rFonts w:ascii="Arial Narrow" w:hAnsi="Arial Narrow"/>
          <w:sz w:val="20"/>
          <w:szCs w:val="20"/>
        </w:rPr>
      </w:pPr>
      <w:r w:rsidRPr="005650DD">
        <w:rPr>
          <w:rFonts w:ascii="Arial Narrow" w:hAnsi="Arial Narrow"/>
          <w:sz w:val="20"/>
          <w:szCs w:val="20"/>
        </w:rPr>
        <w:t>Applicable once per lifetime</w:t>
      </w:r>
    </w:p>
    <w:p w14:paraId="4C17D781" w14:textId="77777777" w:rsidR="00252757" w:rsidRDefault="00252757" w:rsidP="00252757">
      <w:pPr>
        <w:spacing w:after="160" w:line="259" w:lineRule="auto"/>
      </w:pPr>
      <w:r>
        <w:t xml:space="preserve">It is disappointing that the </w:t>
      </w:r>
      <w:r w:rsidRPr="00EC29E4">
        <w:t>RACGP</w:t>
      </w:r>
      <w:r>
        <w:t xml:space="preserve"> did not support this application, as Lp(a) is strongly heritable and testing of Lp(a) has been demonstrated to be an independent causative risk factor for CVD. Testing of Lp(a) would be highly beneficial to patients in the general practice setting who may otherwise remain unaware of their elevated risk of CVD. </w:t>
      </w:r>
    </w:p>
    <w:p w14:paraId="0780A21F" w14:textId="77777777" w:rsidR="00884476" w:rsidRDefault="00252757" w:rsidP="00884476">
      <w:pPr>
        <w:spacing w:after="160" w:line="259" w:lineRule="auto"/>
      </w:pPr>
      <w:r>
        <w:t>The value of Lp(a) testing is supported by peak bodies such as the AAS and HF.</w:t>
      </w:r>
      <w:r w:rsidR="00884476" w:rsidRPr="00884476">
        <w:t xml:space="preserve"> </w:t>
      </w:r>
    </w:p>
    <w:p w14:paraId="074A8E1E" w14:textId="44518C50" w:rsidR="00884476" w:rsidRDefault="00884476" w:rsidP="00884476">
      <w:pPr>
        <w:spacing w:after="160" w:line="259" w:lineRule="auto"/>
      </w:pPr>
      <w:r>
        <w:lastRenderedPageBreak/>
        <w:t xml:space="preserve">The applicant would like to confirm that to ensure the best chance of the application’s success for Lp(a) testing in Population A, that Population B should be removed from consideration. The applicant may consider an additional MSAC submission for this population in the future once further evidence is collected on the impact of Lp(a) testing in high-risk </w:t>
      </w:r>
      <w:r w:rsidRPr="00E80C81">
        <w:t>patients who are not receiving optimal management for their assessed CVD risk</w:t>
      </w:r>
      <w:r>
        <w:t>.</w:t>
      </w:r>
    </w:p>
    <w:p w14:paraId="645E3285" w14:textId="138C7893" w:rsidR="00921462" w:rsidRDefault="00884476" w:rsidP="00884476">
      <w:pPr>
        <w:spacing w:after="160" w:line="259" w:lineRule="auto"/>
        <w:jc w:val="left"/>
        <w:rPr>
          <w:rFonts w:ascii="Franklin Gothic Medium" w:eastAsiaTheme="majorEastAsia" w:hAnsi="Franklin Gothic Medium" w:cstheme="majorBidi"/>
          <w:color w:val="000000" w:themeColor="text1"/>
          <w:sz w:val="32"/>
          <w:szCs w:val="26"/>
        </w:rPr>
      </w:pPr>
      <w:r>
        <w:t xml:space="preserve">The applicant looks forward to discussing this amended application further </w:t>
      </w:r>
      <w:r w:rsidRPr="00A372DF">
        <w:t>at</w:t>
      </w:r>
      <w:r w:rsidR="00A42DB6" w:rsidRPr="00A372DF">
        <w:t xml:space="preserve"> a future</w:t>
      </w:r>
      <w:r w:rsidRPr="00A372DF">
        <w:t xml:space="preserve"> PASC </w:t>
      </w:r>
      <w:r w:rsidR="00A42DB6" w:rsidRPr="00A372DF">
        <w:t>meeting</w:t>
      </w:r>
      <w:r w:rsidR="00A42DB6">
        <w:t>.</w:t>
      </w:r>
      <w:r w:rsidR="00921462">
        <w:br w:type="page"/>
      </w:r>
    </w:p>
    <w:p w14:paraId="0C38E9A9" w14:textId="42FAE964" w:rsidR="004A2752" w:rsidRDefault="004A2752" w:rsidP="00695B36">
      <w:pPr>
        <w:pStyle w:val="Heading2"/>
        <w:jc w:val="left"/>
      </w:pPr>
      <w:r w:rsidRPr="00A33126">
        <w:lastRenderedPageBreak/>
        <w:t>References</w:t>
      </w:r>
    </w:p>
    <w:p w14:paraId="6BC876B6" w14:textId="76A9B0CD" w:rsidR="006C25D8" w:rsidRPr="00130FBB" w:rsidRDefault="00056769" w:rsidP="00695B36">
      <w:pPr>
        <w:pStyle w:val="EndNoteBibliography"/>
        <w:spacing w:after="0"/>
        <w:jc w:val="left"/>
        <w:rPr>
          <w:color w:val="000000" w:themeColor="text1"/>
        </w:rPr>
      </w:pPr>
      <w:r w:rsidRPr="00130FBB">
        <w:rPr>
          <w:color w:val="000000" w:themeColor="text1"/>
        </w:rPr>
        <w:fldChar w:fldCharType="begin"/>
      </w:r>
      <w:r w:rsidRPr="00130FBB">
        <w:rPr>
          <w:color w:val="000000" w:themeColor="text1"/>
        </w:rPr>
        <w:instrText xml:space="preserve"> ADDIN EN.REFLIST </w:instrText>
      </w:r>
      <w:r w:rsidRPr="00130FBB">
        <w:rPr>
          <w:color w:val="000000" w:themeColor="text1"/>
        </w:rPr>
        <w:fldChar w:fldCharType="separate"/>
      </w:r>
    </w:p>
    <w:p w14:paraId="1987D33C" w14:textId="77777777" w:rsidR="006C25D8" w:rsidRPr="00130FBB" w:rsidRDefault="006C25D8" w:rsidP="00695B36">
      <w:pPr>
        <w:pStyle w:val="EndNoteBibliography"/>
        <w:spacing w:after="0"/>
        <w:jc w:val="left"/>
        <w:rPr>
          <w:color w:val="000000" w:themeColor="text1"/>
        </w:rPr>
      </w:pPr>
      <w:r w:rsidRPr="00130FBB">
        <w:rPr>
          <w:color w:val="000000" w:themeColor="text1"/>
        </w:rPr>
        <w:t xml:space="preserve">Cegla, J, France, M, Marcovina, SM &amp; Neely, RDG 2021, 'Lp(a): When and how to measure it', </w:t>
      </w:r>
      <w:r w:rsidRPr="00130FBB">
        <w:rPr>
          <w:i/>
          <w:color w:val="000000" w:themeColor="text1"/>
        </w:rPr>
        <w:t>Ann Clin Biochem</w:t>
      </w:r>
      <w:r w:rsidRPr="00130FBB">
        <w:rPr>
          <w:color w:val="000000" w:themeColor="text1"/>
        </w:rPr>
        <w:t>, vol. 58, no. 1, pp. 16-21.</w:t>
      </w:r>
    </w:p>
    <w:p w14:paraId="689EF320" w14:textId="77777777" w:rsidR="006C25D8" w:rsidRPr="00130FBB" w:rsidRDefault="006C25D8" w:rsidP="00695B36">
      <w:pPr>
        <w:pStyle w:val="EndNoteBibliography"/>
        <w:spacing w:after="0"/>
        <w:jc w:val="left"/>
        <w:rPr>
          <w:color w:val="000000" w:themeColor="text1"/>
        </w:rPr>
      </w:pPr>
    </w:p>
    <w:p w14:paraId="36614C88" w14:textId="77777777" w:rsidR="006C25D8" w:rsidRPr="00130FBB" w:rsidRDefault="006C25D8" w:rsidP="00695B36">
      <w:pPr>
        <w:pStyle w:val="EndNoteBibliography"/>
        <w:spacing w:after="0"/>
        <w:jc w:val="left"/>
        <w:rPr>
          <w:color w:val="000000" w:themeColor="text1"/>
        </w:rPr>
      </w:pPr>
      <w:r w:rsidRPr="00130FBB">
        <w:rPr>
          <w:color w:val="000000" w:themeColor="text1"/>
        </w:rPr>
        <w:t xml:space="preserve">Erqou, S, Kaptoge, S, Perry, PL, Di Angelantonio, E, Thompson, A, White, IR, Marcovina, SM, Collins, R, Thompson, SG &amp; Danesh, J 2009, 'Lipoprotein(a) concentration and the risk of coronary heart disease, stroke, and nonvascular mortality', </w:t>
      </w:r>
      <w:r w:rsidRPr="00130FBB">
        <w:rPr>
          <w:i/>
          <w:color w:val="000000" w:themeColor="text1"/>
        </w:rPr>
        <w:t>Jama</w:t>
      </w:r>
      <w:r w:rsidRPr="00130FBB">
        <w:rPr>
          <w:color w:val="000000" w:themeColor="text1"/>
        </w:rPr>
        <w:t>, vol. 302, no. 4, pp. 412-23.</w:t>
      </w:r>
    </w:p>
    <w:p w14:paraId="1E0FB8B8" w14:textId="77777777" w:rsidR="006C25D8" w:rsidRPr="00130FBB" w:rsidRDefault="006C25D8" w:rsidP="00695B36">
      <w:pPr>
        <w:pStyle w:val="EndNoteBibliography"/>
        <w:spacing w:after="0"/>
        <w:jc w:val="left"/>
        <w:rPr>
          <w:color w:val="000000" w:themeColor="text1"/>
        </w:rPr>
      </w:pPr>
    </w:p>
    <w:p w14:paraId="189EB6A5" w14:textId="77777777" w:rsidR="006C25D8" w:rsidRPr="00130FBB" w:rsidRDefault="006C25D8" w:rsidP="00695B36">
      <w:pPr>
        <w:pStyle w:val="EndNoteBibliography"/>
        <w:spacing w:after="0"/>
        <w:jc w:val="left"/>
        <w:rPr>
          <w:color w:val="000000" w:themeColor="text1"/>
        </w:rPr>
      </w:pPr>
      <w:r w:rsidRPr="00130FBB">
        <w:rPr>
          <w:color w:val="000000" w:themeColor="text1"/>
        </w:rPr>
        <w:t xml:space="preserve">Forbes, CA, Quek, RG, Deshpande, S, Worthy, G, Wolff, R, Stirk, L, Kleijnen, J, Gandra, SR, Djedjos, S &amp; Wong, ND 2016, 'The relationship between Lp(a) and CVD outcomes: a systematic review', </w:t>
      </w:r>
      <w:r w:rsidRPr="00130FBB">
        <w:rPr>
          <w:i/>
          <w:color w:val="000000" w:themeColor="text1"/>
        </w:rPr>
        <w:t>Lipids Health Dis</w:t>
      </w:r>
      <w:r w:rsidRPr="00130FBB">
        <w:rPr>
          <w:color w:val="000000" w:themeColor="text1"/>
        </w:rPr>
        <w:t>, vol. 15, p. 95.</w:t>
      </w:r>
    </w:p>
    <w:p w14:paraId="535C7CD5" w14:textId="77777777" w:rsidR="006C25D8" w:rsidRPr="00130FBB" w:rsidRDefault="006C25D8" w:rsidP="00695B36">
      <w:pPr>
        <w:pStyle w:val="EndNoteBibliography"/>
        <w:spacing w:after="0"/>
        <w:jc w:val="left"/>
        <w:rPr>
          <w:color w:val="000000" w:themeColor="text1"/>
        </w:rPr>
      </w:pPr>
    </w:p>
    <w:p w14:paraId="0FD9F1F9" w14:textId="07F88898" w:rsidR="006C25D8" w:rsidRDefault="006C25D8" w:rsidP="00695B36">
      <w:pPr>
        <w:pStyle w:val="EndNoteBibliography"/>
        <w:spacing w:after="0"/>
        <w:jc w:val="left"/>
        <w:rPr>
          <w:color w:val="000000" w:themeColor="text1"/>
        </w:rPr>
      </w:pPr>
      <w:r w:rsidRPr="00130FBB">
        <w:rPr>
          <w:color w:val="000000" w:themeColor="text1"/>
        </w:rPr>
        <w:t xml:space="preserve">Greif, M, Arnoldt, T, von Ziegler, F, Ruemmler, J, Becker, C, Wakili, R, D'Anastasi, M, Schenzle, J, Leber, AW &amp; Becker, A 2013, 'Lipoprotein (a) is independently correlated with coronary artery calcification', </w:t>
      </w:r>
      <w:r w:rsidRPr="00130FBB">
        <w:rPr>
          <w:i/>
          <w:color w:val="000000" w:themeColor="text1"/>
        </w:rPr>
        <w:t>Eur J Intern Med</w:t>
      </w:r>
      <w:r w:rsidRPr="00130FBB">
        <w:rPr>
          <w:color w:val="000000" w:themeColor="text1"/>
        </w:rPr>
        <w:t>, vol. 24, no. 1, pp. 75-9.</w:t>
      </w:r>
    </w:p>
    <w:p w14:paraId="649CD9DA" w14:textId="77777777" w:rsidR="00583E38" w:rsidRPr="00130FBB" w:rsidRDefault="00583E38" w:rsidP="00695B36">
      <w:pPr>
        <w:pStyle w:val="EndNoteBibliography"/>
        <w:spacing w:after="0"/>
        <w:jc w:val="left"/>
        <w:rPr>
          <w:color w:val="000000" w:themeColor="text1"/>
        </w:rPr>
      </w:pPr>
    </w:p>
    <w:p w14:paraId="53A78FDE" w14:textId="77777777" w:rsidR="006C25D8" w:rsidRPr="00130FBB" w:rsidRDefault="006C25D8" w:rsidP="00695B36">
      <w:pPr>
        <w:pStyle w:val="EndNoteBibliography"/>
        <w:spacing w:after="0"/>
        <w:jc w:val="left"/>
        <w:rPr>
          <w:color w:val="000000" w:themeColor="text1"/>
        </w:rPr>
      </w:pPr>
      <w:r w:rsidRPr="00130FBB">
        <w:rPr>
          <w:color w:val="000000" w:themeColor="text1"/>
        </w:rPr>
        <w:t xml:space="preserve">Liu, HH, Cao, YX, Jin, JL, Zhang, HW, Hua, Q, Li, YF, Guo, YL, Zhu, CG, Wu, NQ, Xu, RX, Chen, XH &amp; Li, JJ 2020, 'Predicting Cardiovascular Outcomes by Baseline Lipoprotein(a) Concentrations: A Large Cohort and Long-Term Follow-up Study on Real-World Patients Receiving Percutaneous Coronary Intervention', </w:t>
      </w:r>
      <w:r w:rsidRPr="00130FBB">
        <w:rPr>
          <w:i/>
          <w:color w:val="000000" w:themeColor="text1"/>
        </w:rPr>
        <w:t>J Am Heart Assoc</w:t>
      </w:r>
      <w:r w:rsidRPr="00130FBB">
        <w:rPr>
          <w:color w:val="000000" w:themeColor="text1"/>
        </w:rPr>
        <w:t>, vol. 9, no. 3, p. e014581.</w:t>
      </w:r>
    </w:p>
    <w:p w14:paraId="067C77AE" w14:textId="77777777" w:rsidR="006C25D8" w:rsidRPr="00130FBB" w:rsidRDefault="006C25D8" w:rsidP="00695B36">
      <w:pPr>
        <w:pStyle w:val="EndNoteBibliography"/>
        <w:spacing w:after="0"/>
        <w:jc w:val="left"/>
        <w:rPr>
          <w:color w:val="000000" w:themeColor="text1"/>
        </w:rPr>
      </w:pPr>
    </w:p>
    <w:p w14:paraId="5C4377D4" w14:textId="77777777" w:rsidR="006C25D8" w:rsidRPr="00130FBB" w:rsidRDefault="006C25D8" w:rsidP="00695B36">
      <w:pPr>
        <w:pStyle w:val="EndNoteBibliography"/>
        <w:spacing w:after="0"/>
        <w:jc w:val="left"/>
        <w:rPr>
          <w:color w:val="000000" w:themeColor="text1"/>
        </w:rPr>
      </w:pPr>
      <w:r w:rsidRPr="00130FBB">
        <w:rPr>
          <w:color w:val="000000" w:themeColor="text1"/>
        </w:rPr>
        <w:t xml:space="preserve">O'Donoghue, ML, Fazio, S, Giugliano, RP, Stroes, ESG, Kanevsky, E, Gouni-Berthold, I, Im, K, Lira Pineda, A, Wasserman, SM, Češka, R, Ezhov, MV, Jukema, JW, Jensen, HK, Tokgözoğlu, SL, Mach, F, Huber, K, Sever, PS, Keech, AC, Pedersen, TR &amp; Sabatine, MS 2019, 'Lipoprotein(a), PCSK9 Inhibition, and Cardiovascular Risk', </w:t>
      </w:r>
      <w:r w:rsidRPr="00130FBB">
        <w:rPr>
          <w:i/>
          <w:color w:val="000000" w:themeColor="text1"/>
        </w:rPr>
        <w:t>Circulation</w:t>
      </w:r>
      <w:r w:rsidRPr="00130FBB">
        <w:rPr>
          <w:color w:val="000000" w:themeColor="text1"/>
        </w:rPr>
        <w:t>, vol. 139, no. 12, pp. 1483-92.</w:t>
      </w:r>
    </w:p>
    <w:p w14:paraId="22657B56" w14:textId="77777777" w:rsidR="006C25D8" w:rsidRPr="00130FBB" w:rsidRDefault="006C25D8" w:rsidP="00695B36">
      <w:pPr>
        <w:pStyle w:val="EndNoteBibliography"/>
        <w:spacing w:after="0"/>
        <w:jc w:val="left"/>
        <w:rPr>
          <w:color w:val="000000" w:themeColor="text1"/>
        </w:rPr>
      </w:pPr>
    </w:p>
    <w:p w14:paraId="4D5116A2" w14:textId="77777777" w:rsidR="006C25D8" w:rsidRPr="00130FBB" w:rsidRDefault="006C25D8" w:rsidP="00695B36">
      <w:pPr>
        <w:pStyle w:val="EndNoteBibliography"/>
        <w:spacing w:after="0"/>
        <w:jc w:val="left"/>
        <w:rPr>
          <w:color w:val="000000" w:themeColor="text1"/>
        </w:rPr>
      </w:pPr>
      <w:r w:rsidRPr="00130FBB">
        <w:rPr>
          <w:color w:val="000000" w:themeColor="text1"/>
        </w:rPr>
        <w:t xml:space="preserve">Paré, G, Çaku, A, McQueen, M, Anand, SS, Enas, E, Clarke, R, Boffa, MB, Koschinsky, M, Wang, X &amp; Yusuf, S 2019, 'Lipoprotein(a) Levels and the Risk of Myocardial Infarction Among 7 Ethnic Groups', </w:t>
      </w:r>
      <w:r w:rsidRPr="00130FBB">
        <w:rPr>
          <w:i/>
          <w:color w:val="000000" w:themeColor="text1"/>
        </w:rPr>
        <w:t>Circulation</w:t>
      </w:r>
      <w:r w:rsidRPr="00130FBB">
        <w:rPr>
          <w:color w:val="000000" w:themeColor="text1"/>
        </w:rPr>
        <w:t>, vol. 139, no. 12, pp. 1472-82.</w:t>
      </w:r>
    </w:p>
    <w:p w14:paraId="795A1ACB" w14:textId="77777777" w:rsidR="006C25D8" w:rsidRPr="00130FBB" w:rsidRDefault="006C25D8" w:rsidP="00695B36">
      <w:pPr>
        <w:pStyle w:val="EndNoteBibliography"/>
        <w:spacing w:after="0"/>
        <w:jc w:val="left"/>
        <w:rPr>
          <w:color w:val="000000" w:themeColor="text1"/>
        </w:rPr>
      </w:pPr>
    </w:p>
    <w:p w14:paraId="5F8C4870" w14:textId="05E75EBC" w:rsidR="006C25D8" w:rsidRPr="00130FBB" w:rsidRDefault="006C25D8" w:rsidP="00695B36">
      <w:pPr>
        <w:pStyle w:val="EndNoteBibliography"/>
        <w:spacing w:after="0"/>
        <w:jc w:val="left"/>
        <w:rPr>
          <w:color w:val="000000" w:themeColor="text1"/>
        </w:rPr>
      </w:pPr>
      <w:r w:rsidRPr="00130FBB">
        <w:rPr>
          <w:color w:val="000000" w:themeColor="text1"/>
        </w:rPr>
        <w:t xml:space="preserve">The National Vascular Disease Prevention Alliance 2022, </w:t>
      </w:r>
      <w:r w:rsidRPr="00130FBB">
        <w:rPr>
          <w:i/>
          <w:color w:val="000000" w:themeColor="text1"/>
        </w:rPr>
        <w:t>Australian absolute cardiovascular disease risk calculator</w:t>
      </w:r>
      <w:r w:rsidRPr="00130FBB">
        <w:rPr>
          <w:color w:val="000000" w:themeColor="text1"/>
        </w:rPr>
        <w:t>.</w:t>
      </w:r>
    </w:p>
    <w:p w14:paraId="2BC151BF" w14:textId="77777777" w:rsidR="006C25D8" w:rsidRPr="00130FBB" w:rsidRDefault="006C25D8" w:rsidP="00695B36">
      <w:pPr>
        <w:pStyle w:val="EndNoteBibliography"/>
        <w:spacing w:after="0"/>
        <w:jc w:val="left"/>
        <w:rPr>
          <w:color w:val="000000" w:themeColor="text1"/>
        </w:rPr>
      </w:pPr>
    </w:p>
    <w:p w14:paraId="2344D5A9" w14:textId="77777777" w:rsidR="006C25D8" w:rsidRPr="00130FBB" w:rsidRDefault="006C25D8" w:rsidP="00695B36">
      <w:pPr>
        <w:pStyle w:val="EndNoteBibliography"/>
        <w:spacing w:after="0"/>
        <w:jc w:val="left"/>
        <w:rPr>
          <w:color w:val="000000" w:themeColor="text1"/>
        </w:rPr>
      </w:pPr>
      <w:r w:rsidRPr="00130FBB">
        <w:rPr>
          <w:color w:val="000000" w:themeColor="text1"/>
        </w:rPr>
        <w:t xml:space="preserve">The Royal College of Pathologists of Australasia 2022, </w:t>
      </w:r>
      <w:r w:rsidRPr="00130FBB">
        <w:rPr>
          <w:i/>
          <w:color w:val="000000" w:themeColor="text1"/>
        </w:rPr>
        <w:t>Application form for Applicaion 1736</w:t>
      </w:r>
      <w:r w:rsidRPr="00130FBB">
        <w:rPr>
          <w:color w:val="000000" w:themeColor="text1"/>
        </w:rPr>
        <w:t>.</w:t>
      </w:r>
    </w:p>
    <w:p w14:paraId="0A962308" w14:textId="77777777" w:rsidR="006C25D8" w:rsidRPr="00130FBB" w:rsidRDefault="006C25D8" w:rsidP="00695B36">
      <w:pPr>
        <w:pStyle w:val="EndNoteBibliography"/>
        <w:spacing w:after="0"/>
        <w:jc w:val="left"/>
        <w:rPr>
          <w:color w:val="000000" w:themeColor="text1"/>
        </w:rPr>
      </w:pPr>
    </w:p>
    <w:p w14:paraId="32471E0B" w14:textId="77777777" w:rsidR="006C25D8" w:rsidRPr="00130FBB" w:rsidRDefault="006C25D8" w:rsidP="00695B36">
      <w:pPr>
        <w:pStyle w:val="EndNoteBibliography"/>
        <w:spacing w:after="0"/>
        <w:jc w:val="left"/>
        <w:rPr>
          <w:color w:val="000000" w:themeColor="text1"/>
        </w:rPr>
      </w:pPr>
      <w:r w:rsidRPr="00130FBB">
        <w:rPr>
          <w:color w:val="000000" w:themeColor="text1"/>
        </w:rPr>
        <w:t xml:space="preserve">Tonkin, A, Barter, P, Best, J, Boyden, A, Furler, J, Hossack, K, Sullivan, D, Thompson, P, Vale, M, Cooper, C, Robinson, M &amp; Clune, E 2005, 'National Heart Foundation of Australia and the Cardiac Society of Australia and New Zealand: position statement on lipid management--2005', </w:t>
      </w:r>
      <w:r w:rsidRPr="00130FBB">
        <w:rPr>
          <w:i/>
          <w:color w:val="000000" w:themeColor="text1"/>
        </w:rPr>
        <w:t>Heart Lung Circ</w:t>
      </w:r>
      <w:r w:rsidRPr="00130FBB">
        <w:rPr>
          <w:color w:val="000000" w:themeColor="text1"/>
        </w:rPr>
        <w:t>, vol. 14, no. 4, pp. 275-91.</w:t>
      </w:r>
    </w:p>
    <w:p w14:paraId="6F456295" w14:textId="77777777" w:rsidR="006C25D8" w:rsidRPr="00130FBB" w:rsidRDefault="006C25D8" w:rsidP="00695B36">
      <w:pPr>
        <w:pStyle w:val="EndNoteBibliography"/>
        <w:spacing w:after="0"/>
        <w:jc w:val="left"/>
        <w:rPr>
          <w:color w:val="000000" w:themeColor="text1"/>
        </w:rPr>
      </w:pPr>
    </w:p>
    <w:p w14:paraId="5C357F70" w14:textId="77777777" w:rsidR="006C25D8" w:rsidRPr="00130FBB" w:rsidRDefault="006C25D8" w:rsidP="00695B36">
      <w:pPr>
        <w:pStyle w:val="EndNoteBibliography"/>
        <w:spacing w:after="0"/>
        <w:jc w:val="left"/>
        <w:rPr>
          <w:color w:val="000000" w:themeColor="text1"/>
        </w:rPr>
      </w:pPr>
      <w:r w:rsidRPr="00130FBB">
        <w:rPr>
          <w:color w:val="000000" w:themeColor="text1"/>
        </w:rPr>
        <w:t xml:space="preserve">Wilson, PW, D'Agostino, RB, Levy, D, Belanger, AM, Silbershatz, H &amp; Kannel, WB 1998, 'Prediction of coronary heart disease using risk factor categories', </w:t>
      </w:r>
      <w:r w:rsidRPr="00130FBB">
        <w:rPr>
          <w:i/>
          <w:color w:val="000000" w:themeColor="text1"/>
        </w:rPr>
        <w:t>Circulation</w:t>
      </w:r>
      <w:r w:rsidRPr="00130FBB">
        <w:rPr>
          <w:color w:val="000000" w:themeColor="text1"/>
        </w:rPr>
        <w:t>, vol. 97, no. 18, pp. 1837-47.</w:t>
      </w:r>
    </w:p>
    <w:p w14:paraId="025E0A94" w14:textId="77777777" w:rsidR="006C25D8" w:rsidRPr="00130FBB" w:rsidRDefault="006C25D8" w:rsidP="00695B36">
      <w:pPr>
        <w:pStyle w:val="EndNoteBibliography"/>
        <w:spacing w:after="0"/>
        <w:jc w:val="left"/>
        <w:rPr>
          <w:color w:val="000000" w:themeColor="text1"/>
        </w:rPr>
      </w:pPr>
    </w:p>
    <w:p w14:paraId="647DDE0E" w14:textId="77777777" w:rsidR="006C25D8" w:rsidRPr="00130FBB" w:rsidRDefault="006C25D8" w:rsidP="00695B36">
      <w:pPr>
        <w:pStyle w:val="EndNoteBibliography"/>
        <w:spacing w:after="0"/>
        <w:jc w:val="left"/>
        <w:rPr>
          <w:color w:val="000000" w:themeColor="text1"/>
        </w:rPr>
      </w:pPr>
      <w:r w:rsidRPr="00130FBB">
        <w:rPr>
          <w:color w:val="000000" w:themeColor="text1"/>
        </w:rPr>
        <w:t xml:space="preserve">Wyness, SP &amp; Genzen, JR 2021, 'Performance evaluation of five lipoprotein(a) immunoassays on the Roche cobas c501 chemistry analyzer', </w:t>
      </w:r>
      <w:r w:rsidRPr="00130FBB">
        <w:rPr>
          <w:i/>
          <w:color w:val="000000" w:themeColor="text1"/>
        </w:rPr>
        <w:t>Pract Lab Med</w:t>
      </w:r>
      <w:r w:rsidRPr="00130FBB">
        <w:rPr>
          <w:color w:val="000000" w:themeColor="text1"/>
        </w:rPr>
        <w:t>, vol. 25, p. e00218.</w:t>
      </w:r>
    </w:p>
    <w:p w14:paraId="1F1818B1" w14:textId="77777777" w:rsidR="006C25D8" w:rsidRPr="00130FBB" w:rsidRDefault="006C25D8" w:rsidP="00695B36">
      <w:pPr>
        <w:pStyle w:val="EndNoteBibliography"/>
        <w:spacing w:after="0"/>
        <w:jc w:val="left"/>
        <w:rPr>
          <w:color w:val="000000" w:themeColor="text1"/>
        </w:rPr>
      </w:pPr>
    </w:p>
    <w:p w14:paraId="32790E09" w14:textId="77777777" w:rsidR="006C25D8" w:rsidRPr="00130FBB" w:rsidRDefault="006C25D8" w:rsidP="00695B36">
      <w:pPr>
        <w:pStyle w:val="EndNoteBibliography"/>
        <w:spacing w:after="0"/>
        <w:jc w:val="left"/>
        <w:rPr>
          <w:color w:val="000000" w:themeColor="text1"/>
        </w:rPr>
      </w:pPr>
      <w:r w:rsidRPr="00130FBB">
        <w:rPr>
          <w:color w:val="000000" w:themeColor="text1"/>
        </w:rPr>
        <w:t xml:space="preserve">Zhang, Y, Pletcher, MJ, Vittinghoff, E, Clemons, AM, Jacobs, DR, Jr., Allen, NB, Alonso, A, Bellows, BK, Oelsner, EC, Zeki Al Hazzouri, A, Kazi, DS, de Ferranti, SD &amp; Moran, AE 2021, 'Association Between Cumulative Low-Density Lipoprotein Cholesterol Exposure During Young Adulthood and Middle Age and Risk of Cardiovascular Events', </w:t>
      </w:r>
      <w:r w:rsidRPr="00130FBB">
        <w:rPr>
          <w:i/>
          <w:color w:val="000000" w:themeColor="text1"/>
        </w:rPr>
        <w:t>JAMA Cardiol</w:t>
      </w:r>
      <w:r w:rsidRPr="00130FBB">
        <w:rPr>
          <w:color w:val="000000" w:themeColor="text1"/>
        </w:rPr>
        <w:t>, vol. 6, no. 12, pp. 1406-13.</w:t>
      </w:r>
    </w:p>
    <w:p w14:paraId="46874F8E" w14:textId="691C4A75" w:rsidR="0054718C" w:rsidRDefault="00056769" w:rsidP="00695B36">
      <w:pPr>
        <w:spacing w:after="0"/>
        <w:jc w:val="left"/>
      </w:pPr>
      <w:r w:rsidRPr="00130FBB">
        <w:rPr>
          <w:color w:val="000000" w:themeColor="text1"/>
        </w:rPr>
        <w:fldChar w:fldCharType="end"/>
      </w:r>
    </w:p>
    <w:sectPr w:rsidR="0054718C" w:rsidSect="0015087E">
      <w:headerReference w:type="default" r:id="rId25"/>
      <w:footerReference w:type="even" r:id="rId26"/>
      <w:footerReference w:type="default" r:id="rId27"/>
      <w:pgSz w:w="11906" w:h="16838"/>
      <w:pgMar w:top="682" w:right="1134" w:bottom="1021" w:left="1191"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64906" w14:textId="77777777" w:rsidR="00347359" w:rsidRDefault="00347359" w:rsidP="0016315C">
      <w:pPr>
        <w:spacing w:after="0" w:line="240" w:lineRule="auto"/>
      </w:pPr>
      <w:r>
        <w:separator/>
      </w:r>
    </w:p>
  </w:endnote>
  <w:endnote w:type="continuationSeparator" w:id="0">
    <w:p w14:paraId="51F7A79B" w14:textId="77777777" w:rsidR="00347359" w:rsidRDefault="00347359" w:rsidP="0016315C">
      <w:pPr>
        <w:spacing w:after="0" w:line="240" w:lineRule="auto"/>
      </w:pPr>
      <w:r>
        <w:continuationSeparator/>
      </w:r>
    </w:p>
  </w:endnote>
  <w:endnote w:type="continuationNotice" w:id="1">
    <w:p w14:paraId="1BD79282" w14:textId="77777777" w:rsidR="00347359" w:rsidRDefault="003473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AA37" w14:textId="77777777" w:rsidR="004A2752" w:rsidRDefault="004A27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F8FDB52" w14:textId="77777777" w:rsidR="004A2752" w:rsidRDefault="004A2752" w:rsidP="006853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9260035"/>
      <w:docPartObj>
        <w:docPartGallery w:val="Page Numbers (Bottom of Page)"/>
        <w:docPartUnique/>
      </w:docPartObj>
    </w:sdtPr>
    <w:sdtEndPr>
      <w:rPr>
        <w:rStyle w:val="PageNumber"/>
      </w:rPr>
    </w:sdtEndPr>
    <w:sdtContent>
      <w:p w14:paraId="2CC4E292" w14:textId="77777777" w:rsidR="004A2752" w:rsidRDefault="004A27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922D6A" w14:textId="60FA5130" w:rsidR="00F71AE4" w:rsidRDefault="00F71AE4" w:rsidP="00D314D1">
    <w:pPr>
      <w:spacing w:after="0"/>
      <w:contextualSpacing/>
      <w:jc w:val="center"/>
    </w:pPr>
    <w:r>
      <w:t>Ratified</w:t>
    </w:r>
    <w:r w:rsidR="003073FC">
      <w:t xml:space="preserve"> </w:t>
    </w:r>
    <w:r w:rsidR="004A2752" w:rsidRPr="00685355">
      <w:t xml:space="preserve">PICO </w:t>
    </w:r>
    <w:r w:rsidR="004A2752">
      <w:t>C</w:t>
    </w:r>
    <w:r w:rsidR="004A2752" w:rsidRPr="00685355">
      <w:t>onfirmation</w:t>
    </w:r>
    <w:r>
      <w:t xml:space="preserve"> </w:t>
    </w:r>
    <w:r w:rsidR="00D314D1">
      <w:t>– December 2022 PASC Meeting</w:t>
    </w:r>
  </w:p>
  <w:p w14:paraId="284089A4" w14:textId="06F2863F" w:rsidR="00D314D1" w:rsidRPr="00D314D1" w:rsidRDefault="004A2752" w:rsidP="0063790F">
    <w:pPr>
      <w:spacing w:after="0"/>
      <w:jc w:val="center"/>
      <w:rPr>
        <w:b/>
        <w:bCs/>
        <w:lang w:val="en-US"/>
      </w:rPr>
    </w:pPr>
    <w:r>
      <w:t xml:space="preserve">Application 1736 </w:t>
    </w:r>
    <w:r w:rsidRPr="00D314D1">
      <w:t xml:space="preserve">– </w:t>
    </w:r>
    <w:r w:rsidR="00D314D1" w:rsidRPr="00D314D1">
      <w:rPr>
        <w:lang w:val="en-US"/>
      </w:rPr>
      <w:t>Lipoprotein(a) testing as an independent predictor of cardiovascular disease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1B5D9" w14:textId="77777777" w:rsidR="0015087E" w:rsidRDefault="001508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1D3D2" w14:textId="26F5D100" w:rsidR="00685355" w:rsidRDefault="006853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77A37">
      <w:rPr>
        <w:rStyle w:val="PageNumber"/>
        <w:noProof/>
      </w:rPr>
      <w:t>1</w:t>
    </w:r>
    <w:r>
      <w:rPr>
        <w:rStyle w:val="PageNumber"/>
      </w:rPr>
      <w:fldChar w:fldCharType="end"/>
    </w:r>
  </w:p>
  <w:p w14:paraId="74E72C2D" w14:textId="77777777" w:rsidR="00685355" w:rsidRDefault="00685355" w:rsidP="0068535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3382827"/>
      <w:docPartObj>
        <w:docPartGallery w:val="Page Numbers (Bottom of Page)"/>
        <w:docPartUnique/>
      </w:docPartObj>
    </w:sdtPr>
    <w:sdtEndPr>
      <w:rPr>
        <w:rStyle w:val="PageNumber"/>
      </w:rPr>
    </w:sdtEndPr>
    <w:sdtContent>
      <w:p w14:paraId="4DE593B1" w14:textId="39D5A86A" w:rsidR="00685355" w:rsidRDefault="006853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A23343A" w14:textId="41F8DA5F" w:rsidR="0015087E" w:rsidRDefault="0015087E" w:rsidP="0015087E">
    <w:pPr>
      <w:spacing w:after="0"/>
      <w:contextualSpacing/>
      <w:jc w:val="center"/>
    </w:pPr>
    <w:r>
      <w:t xml:space="preserve">Ratified </w:t>
    </w:r>
    <w:r w:rsidRPr="00685355">
      <w:t xml:space="preserve">PICO </w:t>
    </w:r>
    <w:r>
      <w:t>C</w:t>
    </w:r>
    <w:r w:rsidRPr="00685355">
      <w:t>onfirmation</w:t>
    </w:r>
    <w:r>
      <w:t xml:space="preserve"> – December 2022 PASC Meeting</w:t>
    </w:r>
  </w:p>
  <w:p w14:paraId="23976D57" w14:textId="77777777" w:rsidR="0015087E" w:rsidRPr="00D314D1" w:rsidRDefault="0015087E" w:rsidP="0015087E">
    <w:pPr>
      <w:jc w:val="center"/>
      <w:rPr>
        <w:b/>
        <w:bCs/>
        <w:lang w:val="en-US"/>
      </w:rPr>
    </w:pPr>
    <w:r>
      <w:t xml:space="preserve">MSAC Application 1736 </w:t>
    </w:r>
    <w:r w:rsidRPr="00D314D1">
      <w:t xml:space="preserve">– </w:t>
    </w:r>
    <w:r w:rsidRPr="00D314D1">
      <w:rPr>
        <w:lang w:val="en-US"/>
      </w:rPr>
      <w:t>Lipoprotein(a) testing as an independent predictor of cardiovascular disease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B2BA5" w14:textId="77777777" w:rsidR="00347359" w:rsidRDefault="00347359" w:rsidP="0016315C">
      <w:pPr>
        <w:spacing w:after="0" w:line="240" w:lineRule="auto"/>
      </w:pPr>
      <w:r>
        <w:separator/>
      </w:r>
    </w:p>
  </w:footnote>
  <w:footnote w:type="continuationSeparator" w:id="0">
    <w:p w14:paraId="6608D55D" w14:textId="77777777" w:rsidR="00347359" w:rsidRDefault="00347359" w:rsidP="0016315C">
      <w:pPr>
        <w:spacing w:after="0" w:line="240" w:lineRule="auto"/>
      </w:pPr>
      <w:r>
        <w:continuationSeparator/>
      </w:r>
    </w:p>
  </w:footnote>
  <w:footnote w:type="continuationNotice" w:id="1">
    <w:p w14:paraId="7D22140F" w14:textId="77777777" w:rsidR="00347359" w:rsidRDefault="003473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CEC8F" w14:textId="77777777" w:rsidR="0015087E" w:rsidRDefault="001508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D3F97" w14:textId="77777777" w:rsidR="0015087E" w:rsidRDefault="001508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120E2" w14:textId="77777777" w:rsidR="0015087E" w:rsidRDefault="001508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67621" w14:textId="03AC8610" w:rsidR="00AC1D8E" w:rsidRDefault="00AC1D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8AF1F"/>
    <w:multiLevelType w:val="hybridMultilevel"/>
    <w:tmpl w:val="FFFFFFFF"/>
    <w:lvl w:ilvl="0" w:tplc="13F888E8">
      <w:start w:val="1"/>
      <w:numFmt w:val="bullet"/>
      <w:lvlText w:val="·"/>
      <w:lvlJc w:val="left"/>
      <w:pPr>
        <w:ind w:left="720" w:hanging="360"/>
      </w:pPr>
      <w:rPr>
        <w:rFonts w:ascii="Symbol" w:hAnsi="Symbol" w:hint="default"/>
      </w:rPr>
    </w:lvl>
    <w:lvl w:ilvl="1" w:tplc="AE880B20">
      <w:start w:val="1"/>
      <w:numFmt w:val="bullet"/>
      <w:lvlText w:val="o"/>
      <w:lvlJc w:val="left"/>
      <w:pPr>
        <w:ind w:left="1440" w:hanging="360"/>
      </w:pPr>
      <w:rPr>
        <w:rFonts w:ascii="Courier New" w:hAnsi="Courier New" w:hint="default"/>
      </w:rPr>
    </w:lvl>
    <w:lvl w:ilvl="2" w:tplc="400C56AA">
      <w:start w:val="1"/>
      <w:numFmt w:val="bullet"/>
      <w:lvlText w:val=""/>
      <w:lvlJc w:val="left"/>
      <w:pPr>
        <w:ind w:left="2160" w:hanging="360"/>
      </w:pPr>
      <w:rPr>
        <w:rFonts w:ascii="Wingdings" w:hAnsi="Wingdings" w:hint="default"/>
      </w:rPr>
    </w:lvl>
    <w:lvl w:ilvl="3" w:tplc="1B38AFE8">
      <w:start w:val="1"/>
      <w:numFmt w:val="bullet"/>
      <w:lvlText w:val=""/>
      <w:lvlJc w:val="left"/>
      <w:pPr>
        <w:ind w:left="2880" w:hanging="360"/>
      </w:pPr>
      <w:rPr>
        <w:rFonts w:ascii="Symbol" w:hAnsi="Symbol" w:hint="default"/>
      </w:rPr>
    </w:lvl>
    <w:lvl w:ilvl="4" w:tplc="EF1C9476">
      <w:start w:val="1"/>
      <w:numFmt w:val="bullet"/>
      <w:lvlText w:val="o"/>
      <w:lvlJc w:val="left"/>
      <w:pPr>
        <w:ind w:left="3600" w:hanging="360"/>
      </w:pPr>
      <w:rPr>
        <w:rFonts w:ascii="Courier New" w:hAnsi="Courier New" w:hint="default"/>
      </w:rPr>
    </w:lvl>
    <w:lvl w:ilvl="5" w:tplc="095449D8">
      <w:start w:val="1"/>
      <w:numFmt w:val="bullet"/>
      <w:lvlText w:val=""/>
      <w:lvlJc w:val="left"/>
      <w:pPr>
        <w:ind w:left="4320" w:hanging="360"/>
      </w:pPr>
      <w:rPr>
        <w:rFonts w:ascii="Wingdings" w:hAnsi="Wingdings" w:hint="default"/>
      </w:rPr>
    </w:lvl>
    <w:lvl w:ilvl="6" w:tplc="4D1A5502">
      <w:start w:val="1"/>
      <w:numFmt w:val="bullet"/>
      <w:lvlText w:val=""/>
      <w:lvlJc w:val="left"/>
      <w:pPr>
        <w:ind w:left="5040" w:hanging="360"/>
      </w:pPr>
      <w:rPr>
        <w:rFonts w:ascii="Symbol" w:hAnsi="Symbol" w:hint="default"/>
      </w:rPr>
    </w:lvl>
    <w:lvl w:ilvl="7" w:tplc="B05C2F1C">
      <w:start w:val="1"/>
      <w:numFmt w:val="bullet"/>
      <w:lvlText w:val="o"/>
      <w:lvlJc w:val="left"/>
      <w:pPr>
        <w:ind w:left="5760" w:hanging="360"/>
      </w:pPr>
      <w:rPr>
        <w:rFonts w:ascii="Courier New" w:hAnsi="Courier New" w:hint="default"/>
      </w:rPr>
    </w:lvl>
    <w:lvl w:ilvl="8" w:tplc="A7F05394">
      <w:start w:val="1"/>
      <w:numFmt w:val="bullet"/>
      <w:lvlText w:val=""/>
      <w:lvlJc w:val="left"/>
      <w:pPr>
        <w:ind w:left="6480" w:hanging="360"/>
      </w:pPr>
      <w:rPr>
        <w:rFonts w:ascii="Wingdings" w:hAnsi="Wingdings" w:hint="default"/>
      </w:rPr>
    </w:lvl>
  </w:abstractNum>
  <w:abstractNum w:abstractNumId="1" w15:restartNumberingAfterBreak="0">
    <w:nsid w:val="0A8A74F4"/>
    <w:multiLevelType w:val="hybridMultilevel"/>
    <w:tmpl w:val="B0648BDA"/>
    <w:lvl w:ilvl="0" w:tplc="B502A3D4">
      <w:start w:val="1"/>
      <w:numFmt w:val="bullet"/>
      <w:lvlText w:val=""/>
      <w:lvlJc w:val="left"/>
      <w:pPr>
        <w:ind w:left="720" w:hanging="360"/>
      </w:pPr>
      <w:rPr>
        <w:rFonts w:ascii="Symbol" w:hAnsi="Symbol" w:hint="default"/>
        <w:b w:val="0"/>
        <w:bCs w:val="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851086"/>
    <w:multiLevelType w:val="hybridMultilevel"/>
    <w:tmpl w:val="27DC85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5800ABC"/>
    <w:multiLevelType w:val="hybridMultilevel"/>
    <w:tmpl w:val="002C1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F84A86"/>
    <w:multiLevelType w:val="hybridMultilevel"/>
    <w:tmpl w:val="965601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F85933"/>
    <w:multiLevelType w:val="hybridMultilevel"/>
    <w:tmpl w:val="C4B26F94"/>
    <w:lvl w:ilvl="0" w:tplc="1A1E74E4">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314673"/>
    <w:multiLevelType w:val="hybridMultilevel"/>
    <w:tmpl w:val="BE82139C"/>
    <w:lvl w:ilvl="0" w:tplc="9322E948">
      <w:start w:val="1"/>
      <w:numFmt w:val="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0F564A"/>
    <w:multiLevelType w:val="hybridMultilevel"/>
    <w:tmpl w:val="1FECE4A0"/>
    <w:lvl w:ilvl="0" w:tplc="4792151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400D85"/>
    <w:multiLevelType w:val="hybridMultilevel"/>
    <w:tmpl w:val="671C06C6"/>
    <w:lvl w:ilvl="0" w:tplc="4A3E9E90">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A50672"/>
    <w:multiLevelType w:val="hybridMultilevel"/>
    <w:tmpl w:val="FFD65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7C5E3A"/>
    <w:multiLevelType w:val="hybridMultilevel"/>
    <w:tmpl w:val="5CD6EC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2192EC8"/>
    <w:multiLevelType w:val="hybridMultilevel"/>
    <w:tmpl w:val="BDE69656"/>
    <w:lvl w:ilvl="0" w:tplc="0C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2953732"/>
    <w:multiLevelType w:val="hybridMultilevel"/>
    <w:tmpl w:val="9280A7CE"/>
    <w:lvl w:ilvl="0" w:tplc="104EE1F2">
      <w:start w:val="1"/>
      <w:numFmt w:val="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FC0FD6"/>
    <w:multiLevelType w:val="hybridMultilevel"/>
    <w:tmpl w:val="E5AA41DE"/>
    <w:lvl w:ilvl="0" w:tplc="0C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8AD0E29"/>
    <w:multiLevelType w:val="hybridMultilevel"/>
    <w:tmpl w:val="C1E86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CD0366"/>
    <w:multiLevelType w:val="hybridMultilevel"/>
    <w:tmpl w:val="230A7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FB09F7"/>
    <w:multiLevelType w:val="hybridMultilevel"/>
    <w:tmpl w:val="132A77CE"/>
    <w:lvl w:ilvl="0" w:tplc="4792151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8C0EAF"/>
    <w:multiLevelType w:val="hybridMultilevel"/>
    <w:tmpl w:val="010ED58E"/>
    <w:lvl w:ilvl="0" w:tplc="4792151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F22E87"/>
    <w:multiLevelType w:val="hybridMultilevel"/>
    <w:tmpl w:val="359C0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D57811"/>
    <w:multiLevelType w:val="hybridMultilevel"/>
    <w:tmpl w:val="F66AF0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A264BB"/>
    <w:multiLevelType w:val="hybridMultilevel"/>
    <w:tmpl w:val="1938F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FF0110"/>
    <w:multiLevelType w:val="hybridMultilevel"/>
    <w:tmpl w:val="DBA873F8"/>
    <w:lvl w:ilvl="0" w:tplc="03DA1D4E">
      <w:start w:val="1"/>
      <w:numFmt w:val="bullet"/>
      <w:pStyle w:val="Instructionaltext-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22" w15:restartNumberingAfterBreak="0">
    <w:nsid w:val="6B723619"/>
    <w:multiLevelType w:val="hybridMultilevel"/>
    <w:tmpl w:val="FFFFFFFF"/>
    <w:lvl w:ilvl="0" w:tplc="00BEB82A">
      <w:start w:val="1"/>
      <w:numFmt w:val="bullet"/>
      <w:lvlText w:val="·"/>
      <w:lvlJc w:val="left"/>
      <w:pPr>
        <w:ind w:left="720" w:hanging="360"/>
      </w:pPr>
      <w:rPr>
        <w:rFonts w:ascii="Symbol" w:hAnsi="Symbol" w:hint="default"/>
      </w:rPr>
    </w:lvl>
    <w:lvl w:ilvl="1" w:tplc="9F945B28">
      <w:start w:val="1"/>
      <w:numFmt w:val="bullet"/>
      <w:lvlText w:val="o"/>
      <w:lvlJc w:val="left"/>
      <w:pPr>
        <w:ind w:left="1440" w:hanging="360"/>
      </w:pPr>
      <w:rPr>
        <w:rFonts w:ascii="Courier New" w:hAnsi="Courier New" w:hint="default"/>
      </w:rPr>
    </w:lvl>
    <w:lvl w:ilvl="2" w:tplc="901AC624">
      <w:start w:val="1"/>
      <w:numFmt w:val="bullet"/>
      <w:lvlText w:val=""/>
      <w:lvlJc w:val="left"/>
      <w:pPr>
        <w:ind w:left="2160" w:hanging="360"/>
      </w:pPr>
      <w:rPr>
        <w:rFonts w:ascii="Wingdings" w:hAnsi="Wingdings" w:hint="default"/>
      </w:rPr>
    </w:lvl>
    <w:lvl w:ilvl="3" w:tplc="D8665BF6">
      <w:start w:val="1"/>
      <w:numFmt w:val="bullet"/>
      <w:lvlText w:val=""/>
      <w:lvlJc w:val="left"/>
      <w:pPr>
        <w:ind w:left="2880" w:hanging="360"/>
      </w:pPr>
      <w:rPr>
        <w:rFonts w:ascii="Symbol" w:hAnsi="Symbol" w:hint="default"/>
      </w:rPr>
    </w:lvl>
    <w:lvl w:ilvl="4" w:tplc="6F6297D4">
      <w:start w:val="1"/>
      <w:numFmt w:val="bullet"/>
      <w:lvlText w:val="o"/>
      <w:lvlJc w:val="left"/>
      <w:pPr>
        <w:ind w:left="3600" w:hanging="360"/>
      </w:pPr>
      <w:rPr>
        <w:rFonts w:ascii="Courier New" w:hAnsi="Courier New" w:hint="default"/>
      </w:rPr>
    </w:lvl>
    <w:lvl w:ilvl="5" w:tplc="269801AC">
      <w:start w:val="1"/>
      <w:numFmt w:val="bullet"/>
      <w:lvlText w:val=""/>
      <w:lvlJc w:val="left"/>
      <w:pPr>
        <w:ind w:left="4320" w:hanging="360"/>
      </w:pPr>
      <w:rPr>
        <w:rFonts w:ascii="Wingdings" w:hAnsi="Wingdings" w:hint="default"/>
      </w:rPr>
    </w:lvl>
    <w:lvl w:ilvl="6" w:tplc="8C66AF2E">
      <w:start w:val="1"/>
      <w:numFmt w:val="bullet"/>
      <w:lvlText w:val=""/>
      <w:lvlJc w:val="left"/>
      <w:pPr>
        <w:ind w:left="5040" w:hanging="360"/>
      </w:pPr>
      <w:rPr>
        <w:rFonts w:ascii="Symbol" w:hAnsi="Symbol" w:hint="default"/>
      </w:rPr>
    </w:lvl>
    <w:lvl w:ilvl="7" w:tplc="1550F0E8">
      <w:start w:val="1"/>
      <w:numFmt w:val="bullet"/>
      <w:lvlText w:val="o"/>
      <w:lvlJc w:val="left"/>
      <w:pPr>
        <w:ind w:left="5760" w:hanging="360"/>
      </w:pPr>
      <w:rPr>
        <w:rFonts w:ascii="Courier New" w:hAnsi="Courier New" w:hint="default"/>
      </w:rPr>
    </w:lvl>
    <w:lvl w:ilvl="8" w:tplc="7F2C3F3C">
      <w:start w:val="1"/>
      <w:numFmt w:val="bullet"/>
      <w:lvlText w:val=""/>
      <w:lvlJc w:val="left"/>
      <w:pPr>
        <w:ind w:left="6480" w:hanging="360"/>
      </w:pPr>
      <w:rPr>
        <w:rFonts w:ascii="Wingdings" w:hAnsi="Wingdings" w:hint="default"/>
      </w:rPr>
    </w:lvl>
  </w:abstractNum>
  <w:abstractNum w:abstractNumId="23" w15:restartNumberingAfterBreak="0">
    <w:nsid w:val="70A8AA76"/>
    <w:multiLevelType w:val="hybridMultilevel"/>
    <w:tmpl w:val="FFFFFFFF"/>
    <w:lvl w:ilvl="0" w:tplc="6688EAF2">
      <w:start w:val="1"/>
      <w:numFmt w:val="bullet"/>
      <w:lvlText w:val="·"/>
      <w:lvlJc w:val="left"/>
      <w:pPr>
        <w:ind w:left="720" w:hanging="360"/>
      </w:pPr>
      <w:rPr>
        <w:rFonts w:ascii="Symbol" w:hAnsi="Symbol" w:hint="default"/>
      </w:rPr>
    </w:lvl>
    <w:lvl w:ilvl="1" w:tplc="E44A93BA">
      <w:start w:val="1"/>
      <w:numFmt w:val="bullet"/>
      <w:lvlText w:val="o"/>
      <w:lvlJc w:val="left"/>
      <w:pPr>
        <w:ind w:left="1440" w:hanging="360"/>
      </w:pPr>
      <w:rPr>
        <w:rFonts w:ascii="Courier New" w:hAnsi="Courier New" w:hint="default"/>
      </w:rPr>
    </w:lvl>
    <w:lvl w:ilvl="2" w:tplc="D69CBFEA">
      <w:start w:val="1"/>
      <w:numFmt w:val="bullet"/>
      <w:lvlText w:val=""/>
      <w:lvlJc w:val="left"/>
      <w:pPr>
        <w:ind w:left="2160" w:hanging="360"/>
      </w:pPr>
      <w:rPr>
        <w:rFonts w:ascii="Wingdings" w:hAnsi="Wingdings" w:hint="default"/>
      </w:rPr>
    </w:lvl>
    <w:lvl w:ilvl="3" w:tplc="209AFEFE">
      <w:start w:val="1"/>
      <w:numFmt w:val="bullet"/>
      <w:lvlText w:val=""/>
      <w:lvlJc w:val="left"/>
      <w:pPr>
        <w:ind w:left="2880" w:hanging="360"/>
      </w:pPr>
      <w:rPr>
        <w:rFonts w:ascii="Symbol" w:hAnsi="Symbol" w:hint="default"/>
      </w:rPr>
    </w:lvl>
    <w:lvl w:ilvl="4" w:tplc="FD30DB20">
      <w:start w:val="1"/>
      <w:numFmt w:val="bullet"/>
      <w:lvlText w:val="o"/>
      <w:lvlJc w:val="left"/>
      <w:pPr>
        <w:ind w:left="3600" w:hanging="360"/>
      </w:pPr>
      <w:rPr>
        <w:rFonts w:ascii="Courier New" w:hAnsi="Courier New" w:hint="default"/>
      </w:rPr>
    </w:lvl>
    <w:lvl w:ilvl="5" w:tplc="FA10E5C8">
      <w:start w:val="1"/>
      <w:numFmt w:val="bullet"/>
      <w:lvlText w:val=""/>
      <w:lvlJc w:val="left"/>
      <w:pPr>
        <w:ind w:left="4320" w:hanging="360"/>
      </w:pPr>
      <w:rPr>
        <w:rFonts w:ascii="Wingdings" w:hAnsi="Wingdings" w:hint="default"/>
      </w:rPr>
    </w:lvl>
    <w:lvl w:ilvl="6" w:tplc="D854C762">
      <w:start w:val="1"/>
      <w:numFmt w:val="bullet"/>
      <w:lvlText w:val=""/>
      <w:lvlJc w:val="left"/>
      <w:pPr>
        <w:ind w:left="5040" w:hanging="360"/>
      </w:pPr>
      <w:rPr>
        <w:rFonts w:ascii="Symbol" w:hAnsi="Symbol" w:hint="default"/>
      </w:rPr>
    </w:lvl>
    <w:lvl w:ilvl="7" w:tplc="AE30DD42">
      <w:start w:val="1"/>
      <w:numFmt w:val="bullet"/>
      <w:lvlText w:val="o"/>
      <w:lvlJc w:val="left"/>
      <w:pPr>
        <w:ind w:left="5760" w:hanging="360"/>
      </w:pPr>
      <w:rPr>
        <w:rFonts w:ascii="Courier New" w:hAnsi="Courier New" w:hint="default"/>
      </w:rPr>
    </w:lvl>
    <w:lvl w:ilvl="8" w:tplc="D59446D8">
      <w:start w:val="1"/>
      <w:numFmt w:val="bullet"/>
      <w:lvlText w:val=""/>
      <w:lvlJc w:val="left"/>
      <w:pPr>
        <w:ind w:left="6480" w:hanging="360"/>
      </w:pPr>
      <w:rPr>
        <w:rFonts w:ascii="Wingdings" w:hAnsi="Wingdings" w:hint="default"/>
      </w:rPr>
    </w:lvl>
  </w:abstractNum>
  <w:abstractNum w:abstractNumId="24" w15:restartNumberingAfterBreak="0">
    <w:nsid w:val="735B4B9F"/>
    <w:multiLevelType w:val="hybridMultilevel"/>
    <w:tmpl w:val="AE242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0"/>
  </w:num>
  <w:num w:numId="4">
    <w:abstractNumId w:val="21"/>
  </w:num>
  <w:num w:numId="5">
    <w:abstractNumId w:val="7"/>
  </w:num>
  <w:num w:numId="6">
    <w:abstractNumId w:val="16"/>
  </w:num>
  <w:num w:numId="7">
    <w:abstractNumId w:val="4"/>
  </w:num>
  <w:num w:numId="8">
    <w:abstractNumId w:val="17"/>
  </w:num>
  <w:num w:numId="9">
    <w:abstractNumId w:val="8"/>
  </w:num>
  <w:num w:numId="10">
    <w:abstractNumId w:val="11"/>
  </w:num>
  <w:num w:numId="11">
    <w:abstractNumId w:val="13"/>
  </w:num>
  <w:num w:numId="12">
    <w:abstractNumId w:val="24"/>
  </w:num>
  <w:num w:numId="13">
    <w:abstractNumId w:val="19"/>
  </w:num>
  <w:num w:numId="14">
    <w:abstractNumId w:val="1"/>
  </w:num>
  <w:num w:numId="15">
    <w:abstractNumId w:val="5"/>
  </w:num>
  <w:num w:numId="16">
    <w:abstractNumId w:val="12"/>
  </w:num>
  <w:num w:numId="17">
    <w:abstractNumId w:val="14"/>
  </w:num>
  <w:num w:numId="18">
    <w:abstractNumId w:val="20"/>
  </w:num>
  <w:num w:numId="19">
    <w:abstractNumId w:val="15"/>
  </w:num>
  <w:num w:numId="20">
    <w:abstractNumId w:val="3"/>
  </w:num>
  <w:num w:numId="21">
    <w:abstractNumId w:val="9"/>
  </w:num>
  <w:num w:numId="22">
    <w:abstractNumId w:val="6"/>
  </w:num>
  <w:num w:numId="23">
    <w:abstractNumId w:val="2"/>
  </w:num>
  <w:num w:numId="24">
    <w:abstractNumId w:val="10"/>
  </w:num>
  <w:num w:numId="25">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ytTSyMDcxMjIyMzJV0lEKTi0uzszPAykwMqsFAB9Yfs8tAAAA"/>
    <w:docVar w:name="EN.InstantFormat" w:val="&lt;ENInstantFormat&gt;&lt;Enabled&gt;1&lt;/Enabled&gt;&lt;ScanUnformatted&gt;1&lt;/ScanUnformatted&gt;&lt;ScanChanges&gt;1&lt;/ScanChanges&gt;&lt;Suspended&gt;1&lt;/Suspended&gt;&lt;/ENInstantFormat&gt;"/>
    <w:docVar w:name="EN.Layout" w:val="&lt;ENLayout&gt;&lt;Style&gt;Harvard Do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5dp00za8apvt8e25vqv22rzzpwt5tvtsr0r&quot;&gt;1736 Lp(a)&lt;record-ids&gt;&lt;item&gt;1&lt;/item&gt;&lt;item&gt;2&lt;/item&gt;&lt;item&gt;3&lt;/item&gt;&lt;item&gt;4&lt;/item&gt;&lt;item&gt;5&lt;/item&gt;&lt;item&gt;6&lt;/item&gt;&lt;item&gt;7&lt;/item&gt;&lt;item&gt;8&lt;/item&gt;&lt;item&gt;9&lt;/item&gt;&lt;item&gt;10&lt;/item&gt;&lt;item&gt;11&lt;/item&gt;&lt;item&gt;12&lt;/item&gt;&lt;item&gt;13&lt;/item&gt;&lt;/record-ids&gt;&lt;/item&gt;&lt;/Libraries&gt;"/>
  </w:docVars>
  <w:rsids>
    <w:rsidRoot w:val="001E5F9C"/>
    <w:rsid w:val="0000034A"/>
    <w:rsid w:val="0000046F"/>
    <w:rsid w:val="000007A4"/>
    <w:rsid w:val="0000146C"/>
    <w:rsid w:val="00001B85"/>
    <w:rsid w:val="00002FBD"/>
    <w:rsid w:val="00004D96"/>
    <w:rsid w:val="000052C1"/>
    <w:rsid w:val="000062CA"/>
    <w:rsid w:val="000069EE"/>
    <w:rsid w:val="00006D05"/>
    <w:rsid w:val="000073AA"/>
    <w:rsid w:val="00010299"/>
    <w:rsid w:val="00010A8E"/>
    <w:rsid w:val="00011644"/>
    <w:rsid w:val="00012CD6"/>
    <w:rsid w:val="00012CFB"/>
    <w:rsid w:val="000144D8"/>
    <w:rsid w:val="00015687"/>
    <w:rsid w:val="00015F76"/>
    <w:rsid w:val="000162BA"/>
    <w:rsid w:val="000162D2"/>
    <w:rsid w:val="000163D4"/>
    <w:rsid w:val="00016DA3"/>
    <w:rsid w:val="00017520"/>
    <w:rsid w:val="0002070C"/>
    <w:rsid w:val="00020F15"/>
    <w:rsid w:val="0002156C"/>
    <w:rsid w:val="00021FB7"/>
    <w:rsid w:val="00022760"/>
    <w:rsid w:val="00023F4A"/>
    <w:rsid w:val="00024F01"/>
    <w:rsid w:val="000250AF"/>
    <w:rsid w:val="00026E3C"/>
    <w:rsid w:val="00027748"/>
    <w:rsid w:val="00030332"/>
    <w:rsid w:val="00030766"/>
    <w:rsid w:val="000308B8"/>
    <w:rsid w:val="0003176B"/>
    <w:rsid w:val="00033008"/>
    <w:rsid w:val="000338F9"/>
    <w:rsid w:val="00035A51"/>
    <w:rsid w:val="0003627D"/>
    <w:rsid w:val="00036E86"/>
    <w:rsid w:val="00041070"/>
    <w:rsid w:val="00041A91"/>
    <w:rsid w:val="00041C57"/>
    <w:rsid w:val="00042367"/>
    <w:rsid w:val="00044007"/>
    <w:rsid w:val="00044072"/>
    <w:rsid w:val="00044F08"/>
    <w:rsid w:val="00045A24"/>
    <w:rsid w:val="00045DDC"/>
    <w:rsid w:val="00046DA3"/>
    <w:rsid w:val="0004744A"/>
    <w:rsid w:val="00052110"/>
    <w:rsid w:val="0005250D"/>
    <w:rsid w:val="00054A13"/>
    <w:rsid w:val="00055272"/>
    <w:rsid w:val="00055538"/>
    <w:rsid w:val="00056769"/>
    <w:rsid w:val="00056E3D"/>
    <w:rsid w:val="00057AD5"/>
    <w:rsid w:val="00057D84"/>
    <w:rsid w:val="00057FB5"/>
    <w:rsid w:val="00060A0D"/>
    <w:rsid w:val="0006254A"/>
    <w:rsid w:val="00062734"/>
    <w:rsid w:val="00062C97"/>
    <w:rsid w:val="000639F7"/>
    <w:rsid w:val="00063C15"/>
    <w:rsid w:val="00064803"/>
    <w:rsid w:val="00064EA8"/>
    <w:rsid w:val="00065541"/>
    <w:rsid w:val="00065C11"/>
    <w:rsid w:val="000667FF"/>
    <w:rsid w:val="00067BBA"/>
    <w:rsid w:val="00070492"/>
    <w:rsid w:val="00070540"/>
    <w:rsid w:val="000707BA"/>
    <w:rsid w:val="00070B7A"/>
    <w:rsid w:val="0007213C"/>
    <w:rsid w:val="000726E1"/>
    <w:rsid w:val="000733AB"/>
    <w:rsid w:val="00074368"/>
    <w:rsid w:val="00074731"/>
    <w:rsid w:val="00075475"/>
    <w:rsid w:val="000762D1"/>
    <w:rsid w:val="0007650D"/>
    <w:rsid w:val="0007703F"/>
    <w:rsid w:val="00077A4D"/>
    <w:rsid w:val="000806B0"/>
    <w:rsid w:val="00081B4F"/>
    <w:rsid w:val="00082B14"/>
    <w:rsid w:val="0008349C"/>
    <w:rsid w:val="00083F40"/>
    <w:rsid w:val="00084572"/>
    <w:rsid w:val="00085C6C"/>
    <w:rsid w:val="00086DE4"/>
    <w:rsid w:val="00087C63"/>
    <w:rsid w:val="00087DBD"/>
    <w:rsid w:val="00090D0F"/>
    <w:rsid w:val="0009181D"/>
    <w:rsid w:val="00091BC2"/>
    <w:rsid w:val="000939E0"/>
    <w:rsid w:val="00094738"/>
    <w:rsid w:val="00095847"/>
    <w:rsid w:val="00095868"/>
    <w:rsid w:val="00095BAD"/>
    <w:rsid w:val="0009740D"/>
    <w:rsid w:val="00097BCB"/>
    <w:rsid w:val="00097BF7"/>
    <w:rsid w:val="000A0C57"/>
    <w:rsid w:val="000A168C"/>
    <w:rsid w:val="000A2044"/>
    <w:rsid w:val="000A29F1"/>
    <w:rsid w:val="000A3242"/>
    <w:rsid w:val="000A3408"/>
    <w:rsid w:val="000A4089"/>
    <w:rsid w:val="000A40AF"/>
    <w:rsid w:val="000A430A"/>
    <w:rsid w:val="000A4679"/>
    <w:rsid w:val="000A59A6"/>
    <w:rsid w:val="000A7DBD"/>
    <w:rsid w:val="000B040F"/>
    <w:rsid w:val="000B063C"/>
    <w:rsid w:val="000B1023"/>
    <w:rsid w:val="000B10C0"/>
    <w:rsid w:val="000B1236"/>
    <w:rsid w:val="000B148E"/>
    <w:rsid w:val="000B3DA8"/>
    <w:rsid w:val="000B3E67"/>
    <w:rsid w:val="000B40BA"/>
    <w:rsid w:val="000B625E"/>
    <w:rsid w:val="000B70A3"/>
    <w:rsid w:val="000B71BE"/>
    <w:rsid w:val="000B7399"/>
    <w:rsid w:val="000B79A2"/>
    <w:rsid w:val="000B7DF3"/>
    <w:rsid w:val="000C3CCF"/>
    <w:rsid w:val="000C4C14"/>
    <w:rsid w:val="000C615D"/>
    <w:rsid w:val="000C62F6"/>
    <w:rsid w:val="000C646C"/>
    <w:rsid w:val="000C649A"/>
    <w:rsid w:val="000C65CC"/>
    <w:rsid w:val="000C6D6A"/>
    <w:rsid w:val="000C7D27"/>
    <w:rsid w:val="000D1782"/>
    <w:rsid w:val="000D1FCF"/>
    <w:rsid w:val="000D3E92"/>
    <w:rsid w:val="000D3F94"/>
    <w:rsid w:val="000D3FE4"/>
    <w:rsid w:val="000D412E"/>
    <w:rsid w:val="000D414E"/>
    <w:rsid w:val="000D4228"/>
    <w:rsid w:val="000D47DB"/>
    <w:rsid w:val="000D4825"/>
    <w:rsid w:val="000D5159"/>
    <w:rsid w:val="000D537D"/>
    <w:rsid w:val="000D7BAD"/>
    <w:rsid w:val="000D7DCB"/>
    <w:rsid w:val="000E05C7"/>
    <w:rsid w:val="000E214F"/>
    <w:rsid w:val="000E34C2"/>
    <w:rsid w:val="000E3EEF"/>
    <w:rsid w:val="000E4D2F"/>
    <w:rsid w:val="000E623D"/>
    <w:rsid w:val="000E79B7"/>
    <w:rsid w:val="000F128A"/>
    <w:rsid w:val="000F28BC"/>
    <w:rsid w:val="000F3819"/>
    <w:rsid w:val="000F56FD"/>
    <w:rsid w:val="000F5995"/>
    <w:rsid w:val="000F5F94"/>
    <w:rsid w:val="000F74B6"/>
    <w:rsid w:val="000F7C35"/>
    <w:rsid w:val="001008A0"/>
    <w:rsid w:val="0010109F"/>
    <w:rsid w:val="00101DB5"/>
    <w:rsid w:val="00101DC8"/>
    <w:rsid w:val="00101F3C"/>
    <w:rsid w:val="001024E5"/>
    <w:rsid w:val="001027D7"/>
    <w:rsid w:val="00103AC6"/>
    <w:rsid w:val="0010453E"/>
    <w:rsid w:val="00104582"/>
    <w:rsid w:val="00104D3C"/>
    <w:rsid w:val="00105B36"/>
    <w:rsid w:val="001064BB"/>
    <w:rsid w:val="00112472"/>
    <w:rsid w:val="00112973"/>
    <w:rsid w:val="0011298E"/>
    <w:rsid w:val="00112E48"/>
    <w:rsid w:val="00112E7F"/>
    <w:rsid w:val="00113374"/>
    <w:rsid w:val="00113EB0"/>
    <w:rsid w:val="0011432E"/>
    <w:rsid w:val="00114951"/>
    <w:rsid w:val="001149CA"/>
    <w:rsid w:val="001151C3"/>
    <w:rsid w:val="00115264"/>
    <w:rsid w:val="00115BDE"/>
    <w:rsid w:val="00115CE7"/>
    <w:rsid w:val="0011684C"/>
    <w:rsid w:val="00116D63"/>
    <w:rsid w:val="00117260"/>
    <w:rsid w:val="00117DE1"/>
    <w:rsid w:val="00120430"/>
    <w:rsid w:val="00120831"/>
    <w:rsid w:val="00120F8A"/>
    <w:rsid w:val="00121348"/>
    <w:rsid w:val="00121C7A"/>
    <w:rsid w:val="001229E8"/>
    <w:rsid w:val="00122D3B"/>
    <w:rsid w:val="00122D8C"/>
    <w:rsid w:val="00123E56"/>
    <w:rsid w:val="00124630"/>
    <w:rsid w:val="0012495F"/>
    <w:rsid w:val="00124B75"/>
    <w:rsid w:val="00125C96"/>
    <w:rsid w:val="00125FDD"/>
    <w:rsid w:val="0012682B"/>
    <w:rsid w:val="001268D4"/>
    <w:rsid w:val="00130EB5"/>
    <w:rsid w:val="00130FBB"/>
    <w:rsid w:val="001314F1"/>
    <w:rsid w:val="00132B6C"/>
    <w:rsid w:val="00135E2D"/>
    <w:rsid w:val="00136B92"/>
    <w:rsid w:val="001372A0"/>
    <w:rsid w:val="0013754D"/>
    <w:rsid w:val="00140F05"/>
    <w:rsid w:val="00141950"/>
    <w:rsid w:val="00142CF2"/>
    <w:rsid w:val="00143391"/>
    <w:rsid w:val="001434F9"/>
    <w:rsid w:val="0014421C"/>
    <w:rsid w:val="00145E8B"/>
    <w:rsid w:val="00146098"/>
    <w:rsid w:val="0015036C"/>
    <w:rsid w:val="0015087E"/>
    <w:rsid w:val="00151290"/>
    <w:rsid w:val="001519A7"/>
    <w:rsid w:val="0015284F"/>
    <w:rsid w:val="001529B2"/>
    <w:rsid w:val="0015599C"/>
    <w:rsid w:val="00155E8D"/>
    <w:rsid w:val="00155FFF"/>
    <w:rsid w:val="00156B26"/>
    <w:rsid w:val="001575AD"/>
    <w:rsid w:val="00157B16"/>
    <w:rsid w:val="0016025F"/>
    <w:rsid w:val="00160C8A"/>
    <w:rsid w:val="00160C8B"/>
    <w:rsid w:val="00161727"/>
    <w:rsid w:val="00161A9F"/>
    <w:rsid w:val="00161CFC"/>
    <w:rsid w:val="00162F20"/>
    <w:rsid w:val="0016315C"/>
    <w:rsid w:val="001644F7"/>
    <w:rsid w:val="00165F4B"/>
    <w:rsid w:val="00166D82"/>
    <w:rsid w:val="0016707C"/>
    <w:rsid w:val="001678D2"/>
    <w:rsid w:val="00170520"/>
    <w:rsid w:val="00170613"/>
    <w:rsid w:val="001712B3"/>
    <w:rsid w:val="00171F97"/>
    <w:rsid w:val="0017235B"/>
    <w:rsid w:val="001725DA"/>
    <w:rsid w:val="0017362A"/>
    <w:rsid w:val="00173763"/>
    <w:rsid w:val="00173850"/>
    <w:rsid w:val="00173974"/>
    <w:rsid w:val="00173B5D"/>
    <w:rsid w:val="001742D6"/>
    <w:rsid w:val="0017440B"/>
    <w:rsid w:val="001749A2"/>
    <w:rsid w:val="00174A7B"/>
    <w:rsid w:val="001754C4"/>
    <w:rsid w:val="00175EA4"/>
    <w:rsid w:val="00176949"/>
    <w:rsid w:val="00176EC6"/>
    <w:rsid w:val="0017758E"/>
    <w:rsid w:val="001775CC"/>
    <w:rsid w:val="001778E1"/>
    <w:rsid w:val="0018287F"/>
    <w:rsid w:val="0018302E"/>
    <w:rsid w:val="001841B1"/>
    <w:rsid w:val="0018529B"/>
    <w:rsid w:val="00185849"/>
    <w:rsid w:val="00191354"/>
    <w:rsid w:val="00191756"/>
    <w:rsid w:val="00191BAF"/>
    <w:rsid w:val="00191C4C"/>
    <w:rsid w:val="001921A0"/>
    <w:rsid w:val="0019250F"/>
    <w:rsid w:val="00192B01"/>
    <w:rsid w:val="001931E5"/>
    <w:rsid w:val="001966FC"/>
    <w:rsid w:val="001973ED"/>
    <w:rsid w:val="00197E48"/>
    <w:rsid w:val="001A19C7"/>
    <w:rsid w:val="001A2216"/>
    <w:rsid w:val="001A37AE"/>
    <w:rsid w:val="001A416E"/>
    <w:rsid w:val="001A48C4"/>
    <w:rsid w:val="001A56A5"/>
    <w:rsid w:val="001A5D2F"/>
    <w:rsid w:val="001A5D78"/>
    <w:rsid w:val="001A62C5"/>
    <w:rsid w:val="001A6576"/>
    <w:rsid w:val="001A69BE"/>
    <w:rsid w:val="001A7A30"/>
    <w:rsid w:val="001A7CB9"/>
    <w:rsid w:val="001A7F4B"/>
    <w:rsid w:val="001B0305"/>
    <w:rsid w:val="001B16E6"/>
    <w:rsid w:val="001B490C"/>
    <w:rsid w:val="001B5EE6"/>
    <w:rsid w:val="001B6937"/>
    <w:rsid w:val="001B6CEA"/>
    <w:rsid w:val="001B74E0"/>
    <w:rsid w:val="001C0EC7"/>
    <w:rsid w:val="001C1241"/>
    <w:rsid w:val="001C192A"/>
    <w:rsid w:val="001C20CE"/>
    <w:rsid w:val="001C25B1"/>
    <w:rsid w:val="001C2C0D"/>
    <w:rsid w:val="001C2D4C"/>
    <w:rsid w:val="001C374A"/>
    <w:rsid w:val="001C3897"/>
    <w:rsid w:val="001C3917"/>
    <w:rsid w:val="001C45DF"/>
    <w:rsid w:val="001C5930"/>
    <w:rsid w:val="001C5ADA"/>
    <w:rsid w:val="001C5D1E"/>
    <w:rsid w:val="001C70AE"/>
    <w:rsid w:val="001D0D9F"/>
    <w:rsid w:val="001D124C"/>
    <w:rsid w:val="001D1428"/>
    <w:rsid w:val="001D1E5B"/>
    <w:rsid w:val="001D2198"/>
    <w:rsid w:val="001D247E"/>
    <w:rsid w:val="001D25D9"/>
    <w:rsid w:val="001D2725"/>
    <w:rsid w:val="001D2BD4"/>
    <w:rsid w:val="001D38F9"/>
    <w:rsid w:val="001D446E"/>
    <w:rsid w:val="001D5716"/>
    <w:rsid w:val="001D5E54"/>
    <w:rsid w:val="001D5F05"/>
    <w:rsid w:val="001D7190"/>
    <w:rsid w:val="001D7217"/>
    <w:rsid w:val="001E032A"/>
    <w:rsid w:val="001E0DA9"/>
    <w:rsid w:val="001E12CC"/>
    <w:rsid w:val="001E173E"/>
    <w:rsid w:val="001E456C"/>
    <w:rsid w:val="001E4FB5"/>
    <w:rsid w:val="001E5A30"/>
    <w:rsid w:val="001E5F9C"/>
    <w:rsid w:val="001E66D8"/>
    <w:rsid w:val="001E6E05"/>
    <w:rsid w:val="001F04D4"/>
    <w:rsid w:val="001F179D"/>
    <w:rsid w:val="001F25DA"/>
    <w:rsid w:val="001F3A6C"/>
    <w:rsid w:val="001F3AB1"/>
    <w:rsid w:val="001F3B52"/>
    <w:rsid w:val="001F518E"/>
    <w:rsid w:val="001F5769"/>
    <w:rsid w:val="001F5D6B"/>
    <w:rsid w:val="001F699A"/>
    <w:rsid w:val="001F6E40"/>
    <w:rsid w:val="001F7067"/>
    <w:rsid w:val="001F714B"/>
    <w:rsid w:val="001F7500"/>
    <w:rsid w:val="00200282"/>
    <w:rsid w:val="002005CF"/>
    <w:rsid w:val="002008B0"/>
    <w:rsid w:val="002016C0"/>
    <w:rsid w:val="00201CCF"/>
    <w:rsid w:val="00202F49"/>
    <w:rsid w:val="002040CF"/>
    <w:rsid w:val="00204BC8"/>
    <w:rsid w:val="002051BF"/>
    <w:rsid w:val="00206790"/>
    <w:rsid w:val="00206A00"/>
    <w:rsid w:val="00206DDD"/>
    <w:rsid w:val="0020745A"/>
    <w:rsid w:val="00207809"/>
    <w:rsid w:val="002078EF"/>
    <w:rsid w:val="00210CEA"/>
    <w:rsid w:val="00210E33"/>
    <w:rsid w:val="002110C9"/>
    <w:rsid w:val="002113BB"/>
    <w:rsid w:val="002143FF"/>
    <w:rsid w:val="00214C7F"/>
    <w:rsid w:val="002156C8"/>
    <w:rsid w:val="0021698C"/>
    <w:rsid w:val="00216D78"/>
    <w:rsid w:val="0021714D"/>
    <w:rsid w:val="00217B32"/>
    <w:rsid w:val="002203A5"/>
    <w:rsid w:val="00223639"/>
    <w:rsid w:val="00224932"/>
    <w:rsid w:val="0022582A"/>
    <w:rsid w:val="00226E28"/>
    <w:rsid w:val="00227919"/>
    <w:rsid w:val="00227A06"/>
    <w:rsid w:val="00227FE7"/>
    <w:rsid w:val="00230493"/>
    <w:rsid w:val="00230F67"/>
    <w:rsid w:val="0023183F"/>
    <w:rsid w:val="00232C93"/>
    <w:rsid w:val="002335D0"/>
    <w:rsid w:val="00233908"/>
    <w:rsid w:val="00234843"/>
    <w:rsid w:val="0023580B"/>
    <w:rsid w:val="00235B21"/>
    <w:rsid w:val="00237B56"/>
    <w:rsid w:val="002404D8"/>
    <w:rsid w:val="00240E52"/>
    <w:rsid w:val="0024354F"/>
    <w:rsid w:val="002440F8"/>
    <w:rsid w:val="00244727"/>
    <w:rsid w:val="00244D07"/>
    <w:rsid w:val="00246603"/>
    <w:rsid w:val="00250008"/>
    <w:rsid w:val="00251C25"/>
    <w:rsid w:val="00251CC8"/>
    <w:rsid w:val="00252757"/>
    <w:rsid w:val="00252A1D"/>
    <w:rsid w:val="00253655"/>
    <w:rsid w:val="0025402D"/>
    <w:rsid w:val="0025452C"/>
    <w:rsid w:val="00254A38"/>
    <w:rsid w:val="00255D55"/>
    <w:rsid w:val="002567D6"/>
    <w:rsid w:val="00257238"/>
    <w:rsid w:val="00260C56"/>
    <w:rsid w:val="00260D71"/>
    <w:rsid w:val="00260E21"/>
    <w:rsid w:val="00262695"/>
    <w:rsid w:val="002637B2"/>
    <w:rsid w:val="00263B7F"/>
    <w:rsid w:val="00265DE7"/>
    <w:rsid w:val="00266393"/>
    <w:rsid w:val="002668CB"/>
    <w:rsid w:val="00267815"/>
    <w:rsid w:val="00267859"/>
    <w:rsid w:val="00267D6B"/>
    <w:rsid w:val="00270891"/>
    <w:rsid w:val="00270BFB"/>
    <w:rsid w:val="002713B4"/>
    <w:rsid w:val="0027170F"/>
    <w:rsid w:val="00271899"/>
    <w:rsid w:val="00271B81"/>
    <w:rsid w:val="00271C94"/>
    <w:rsid w:val="00272A1D"/>
    <w:rsid w:val="00272B0D"/>
    <w:rsid w:val="00274243"/>
    <w:rsid w:val="002749D9"/>
    <w:rsid w:val="00274FA0"/>
    <w:rsid w:val="00275260"/>
    <w:rsid w:val="00276AC7"/>
    <w:rsid w:val="0028146C"/>
    <w:rsid w:val="00281881"/>
    <w:rsid w:val="00283845"/>
    <w:rsid w:val="00283D49"/>
    <w:rsid w:val="00283F19"/>
    <w:rsid w:val="00285319"/>
    <w:rsid w:val="002856D6"/>
    <w:rsid w:val="00285F74"/>
    <w:rsid w:val="00286452"/>
    <w:rsid w:val="00290186"/>
    <w:rsid w:val="002905FA"/>
    <w:rsid w:val="00290AC4"/>
    <w:rsid w:val="00290AF2"/>
    <w:rsid w:val="00291634"/>
    <w:rsid w:val="00292FC2"/>
    <w:rsid w:val="00294F8F"/>
    <w:rsid w:val="002964BF"/>
    <w:rsid w:val="002964CD"/>
    <w:rsid w:val="002966BE"/>
    <w:rsid w:val="002A0D57"/>
    <w:rsid w:val="002A0E44"/>
    <w:rsid w:val="002A1228"/>
    <w:rsid w:val="002A1C20"/>
    <w:rsid w:val="002A1E42"/>
    <w:rsid w:val="002A1EBF"/>
    <w:rsid w:val="002A3089"/>
    <w:rsid w:val="002A3A61"/>
    <w:rsid w:val="002A3D34"/>
    <w:rsid w:val="002A3E7F"/>
    <w:rsid w:val="002A3F79"/>
    <w:rsid w:val="002A4A5F"/>
    <w:rsid w:val="002A54E2"/>
    <w:rsid w:val="002A5E42"/>
    <w:rsid w:val="002A784A"/>
    <w:rsid w:val="002A7EFD"/>
    <w:rsid w:val="002A7F38"/>
    <w:rsid w:val="002B067D"/>
    <w:rsid w:val="002B07CD"/>
    <w:rsid w:val="002B0B81"/>
    <w:rsid w:val="002B103E"/>
    <w:rsid w:val="002B2838"/>
    <w:rsid w:val="002B3D48"/>
    <w:rsid w:val="002B3FC0"/>
    <w:rsid w:val="002B4358"/>
    <w:rsid w:val="002B4A65"/>
    <w:rsid w:val="002B4CD0"/>
    <w:rsid w:val="002B4FE2"/>
    <w:rsid w:val="002B519E"/>
    <w:rsid w:val="002B5DB5"/>
    <w:rsid w:val="002B5E97"/>
    <w:rsid w:val="002B6077"/>
    <w:rsid w:val="002B6918"/>
    <w:rsid w:val="002C03F8"/>
    <w:rsid w:val="002C09FF"/>
    <w:rsid w:val="002C0BDA"/>
    <w:rsid w:val="002C31EC"/>
    <w:rsid w:val="002C3B03"/>
    <w:rsid w:val="002C4639"/>
    <w:rsid w:val="002C4D6B"/>
    <w:rsid w:val="002C5C29"/>
    <w:rsid w:val="002C7A56"/>
    <w:rsid w:val="002C7E1E"/>
    <w:rsid w:val="002D05F0"/>
    <w:rsid w:val="002D11BE"/>
    <w:rsid w:val="002D11DF"/>
    <w:rsid w:val="002D21EE"/>
    <w:rsid w:val="002D2CAB"/>
    <w:rsid w:val="002D4CCB"/>
    <w:rsid w:val="002D552B"/>
    <w:rsid w:val="002D5CFE"/>
    <w:rsid w:val="002D5D59"/>
    <w:rsid w:val="002D60BA"/>
    <w:rsid w:val="002D78D0"/>
    <w:rsid w:val="002D7E39"/>
    <w:rsid w:val="002E157C"/>
    <w:rsid w:val="002E1DFF"/>
    <w:rsid w:val="002E2641"/>
    <w:rsid w:val="002E284A"/>
    <w:rsid w:val="002E3A30"/>
    <w:rsid w:val="002E3BF1"/>
    <w:rsid w:val="002E3F7D"/>
    <w:rsid w:val="002E3F9D"/>
    <w:rsid w:val="002E411C"/>
    <w:rsid w:val="002E7293"/>
    <w:rsid w:val="002F0AD5"/>
    <w:rsid w:val="002F0D21"/>
    <w:rsid w:val="002F1127"/>
    <w:rsid w:val="002F11CB"/>
    <w:rsid w:val="002F1F70"/>
    <w:rsid w:val="002F2256"/>
    <w:rsid w:val="002F2D00"/>
    <w:rsid w:val="002F2E3D"/>
    <w:rsid w:val="002F3B7C"/>
    <w:rsid w:val="002F3E40"/>
    <w:rsid w:val="002F4D60"/>
    <w:rsid w:val="002F50FB"/>
    <w:rsid w:val="002F51C0"/>
    <w:rsid w:val="002F5383"/>
    <w:rsid w:val="002F6340"/>
    <w:rsid w:val="002F6BB2"/>
    <w:rsid w:val="002F6D3B"/>
    <w:rsid w:val="002F73C5"/>
    <w:rsid w:val="002F75D7"/>
    <w:rsid w:val="002F7D04"/>
    <w:rsid w:val="00300648"/>
    <w:rsid w:val="00301022"/>
    <w:rsid w:val="003019E5"/>
    <w:rsid w:val="00301F32"/>
    <w:rsid w:val="0030201A"/>
    <w:rsid w:val="003022FF"/>
    <w:rsid w:val="003029AC"/>
    <w:rsid w:val="00302BAB"/>
    <w:rsid w:val="0030326A"/>
    <w:rsid w:val="003037E8"/>
    <w:rsid w:val="0030458E"/>
    <w:rsid w:val="003045E1"/>
    <w:rsid w:val="0030476A"/>
    <w:rsid w:val="0030486C"/>
    <w:rsid w:val="0030578A"/>
    <w:rsid w:val="00305DEE"/>
    <w:rsid w:val="00306335"/>
    <w:rsid w:val="003073FC"/>
    <w:rsid w:val="003076F4"/>
    <w:rsid w:val="003077D0"/>
    <w:rsid w:val="003078E8"/>
    <w:rsid w:val="003108FA"/>
    <w:rsid w:val="00310A37"/>
    <w:rsid w:val="003117C1"/>
    <w:rsid w:val="0031198E"/>
    <w:rsid w:val="003134CF"/>
    <w:rsid w:val="003135FA"/>
    <w:rsid w:val="00313AF6"/>
    <w:rsid w:val="00314C6D"/>
    <w:rsid w:val="00314D58"/>
    <w:rsid w:val="00314DCD"/>
    <w:rsid w:val="003156CD"/>
    <w:rsid w:val="003164E7"/>
    <w:rsid w:val="00316520"/>
    <w:rsid w:val="003168E8"/>
    <w:rsid w:val="00317266"/>
    <w:rsid w:val="0032146C"/>
    <w:rsid w:val="00321A25"/>
    <w:rsid w:val="00321CDE"/>
    <w:rsid w:val="0032338D"/>
    <w:rsid w:val="00323FC0"/>
    <w:rsid w:val="00324324"/>
    <w:rsid w:val="003244AA"/>
    <w:rsid w:val="00324EF8"/>
    <w:rsid w:val="00324FCD"/>
    <w:rsid w:val="00325310"/>
    <w:rsid w:val="00325400"/>
    <w:rsid w:val="0032596E"/>
    <w:rsid w:val="00325A17"/>
    <w:rsid w:val="003262AD"/>
    <w:rsid w:val="00326519"/>
    <w:rsid w:val="00330F88"/>
    <w:rsid w:val="00331347"/>
    <w:rsid w:val="003317D7"/>
    <w:rsid w:val="003321DB"/>
    <w:rsid w:val="00333B24"/>
    <w:rsid w:val="00334197"/>
    <w:rsid w:val="00334544"/>
    <w:rsid w:val="00334904"/>
    <w:rsid w:val="00334B8B"/>
    <w:rsid w:val="003359D7"/>
    <w:rsid w:val="00336EE3"/>
    <w:rsid w:val="00336F49"/>
    <w:rsid w:val="003372B2"/>
    <w:rsid w:val="003374A0"/>
    <w:rsid w:val="00337CEF"/>
    <w:rsid w:val="00340221"/>
    <w:rsid w:val="00340FB2"/>
    <w:rsid w:val="00341980"/>
    <w:rsid w:val="00341F4A"/>
    <w:rsid w:val="00343FB7"/>
    <w:rsid w:val="003441B0"/>
    <w:rsid w:val="00344719"/>
    <w:rsid w:val="0034505F"/>
    <w:rsid w:val="00345B8D"/>
    <w:rsid w:val="00345D3F"/>
    <w:rsid w:val="00346217"/>
    <w:rsid w:val="0034653F"/>
    <w:rsid w:val="00346EBA"/>
    <w:rsid w:val="0034704A"/>
    <w:rsid w:val="00347359"/>
    <w:rsid w:val="003501BD"/>
    <w:rsid w:val="003502BD"/>
    <w:rsid w:val="00350400"/>
    <w:rsid w:val="00351732"/>
    <w:rsid w:val="0035176B"/>
    <w:rsid w:val="00352C0E"/>
    <w:rsid w:val="003535FC"/>
    <w:rsid w:val="00353905"/>
    <w:rsid w:val="00353B0E"/>
    <w:rsid w:val="0035422A"/>
    <w:rsid w:val="003568BC"/>
    <w:rsid w:val="00356BFD"/>
    <w:rsid w:val="00356FA5"/>
    <w:rsid w:val="00361B4E"/>
    <w:rsid w:val="00363944"/>
    <w:rsid w:val="003657B5"/>
    <w:rsid w:val="00366030"/>
    <w:rsid w:val="003664E7"/>
    <w:rsid w:val="0036672B"/>
    <w:rsid w:val="00366C3A"/>
    <w:rsid w:val="0036770A"/>
    <w:rsid w:val="003704C3"/>
    <w:rsid w:val="0037057C"/>
    <w:rsid w:val="003710F1"/>
    <w:rsid w:val="00371A64"/>
    <w:rsid w:val="00371A66"/>
    <w:rsid w:val="00372630"/>
    <w:rsid w:val="003728C3"/>
    <w:rsid w:val="00373F49"/>
    <w:rsid w:val="003765E7"/>
    <w:rsid w:val="00376E0B"/>
    <w:rsid w:val="00380A4E"/>
    <w:rsid w:val="00380BAE"/>
    <w:rsid w:val="00380DAD"/>
    <w:rsid w:val="00381A50"/>
    <w:rsid w:val="00382675"/>
    <w:rsid w:val="003839E7"/>
    <w:rsid w:val="0038416A"/>
    <w:rsid w:val="003858D5"/>
    <w:rsid w:val="00385A41"/>
    <w:rsid w:val="00390DE0"/>
    <w:rsid w:val="00392B5B"/>
    <w:rsid w:val="00393ECE"/>
    <w:rsid w:val="00394E76"/>
    <w:rsid w:val="0039505F"/>
    <w:rsid w:val="00395966"/>
    <w:rsid w:val="0039642E"/>
    <w:rsid w:val="003968FA"/>
    <w:rsid w:val="003A113D"/>
    <w:rsid w:val="003A1C35"/>
    <w:rsid w:val="003A1D68"/>
    <w:rsid w:val="003A20B9"/>
    <w:rsid w:val="003A24A6"/>
    <w:rsid w:val="003A261F"/>
    <w:rsid w:val="003A2D9A"/>
    <w:rsid w:val="003A3043"/>
    <w:rsid w:val="003A3AF1"/>
    <w:rsid w:val="003A4111"/>
    <w:rsid w:val="003A5838"/>
    <w:rsid w:val="003A6ACF"/>
    <w:rsid w:val="003A6AD6"/>
    <w:rsid w:val="003A6E42"/>
    <w:rsid w:val="003B0650"/>
    <w:rsid w:val="003B1285"/>
    <w:rsid w:val="003B240F"/>
    <w:rsid w:val="003B2E5D"/>
    <w:rsid w:val="003B3D78"/>
    <w:rsid w:val="003B4446"/>
    <w:rsid w:val="003B69FE"/>
    <w:rsid w:val="003B7EA6"/>
    <w:rsid w:val="003C135C"/>
    <w:rsid w:val="003C156B"/>
    <w:rsid w:val="003C18C1"/>
    <w:rsid w:val="003C2071"/>
    <w:rsid w:val="003C25A9"/>
    <w:rsid w:val="003C3340"/>
    <w:rsid w:val="003C6246"/>
    <w:rsid w:val="003D0462"/>
    <w:rsid w:val="003D0A5B"/>
    <w:rsid w:val="003D0D5F"/>
    <w:rsid w:val="003D1015"/>
    <w:rsid w:val="003D1226"/>
    <w:rsid w:val="003D179D"/>
    <w:rsid w:val="003D1DEB"/>
    <w:rsid w:val="003D25A7"/>
    <w:rsid w:val="003D2707"/>
    <w:rsid w:val="003D3ADA"/>
    <w:rsid w:val="003D42F9"/>
    <w:rsid w:val="003D53FA"/>
    <w:rsid w:val="003D55FE"/>
    <w:rsid w:val="003D60B1"/>
    <w:rsid w:val="003D652D"/>
    <w:rsid w:val="003D6A6D"/>
    <w:rsid w:val="003D73E3"/>
    <w:rsid w:val="003D7E3B"/>
    <w:rsid w:val="003E0737"/>
    <w:rsid w:val="003E1BA1"/>
    <w:rsid w:val="003E1E17"/>
    <w:rsid w:val="003E2791"/>
    <w:rsid w:val="003E283E"/>
    <w:rsid w:val="003E2CBD"/>
    <w:rsid w:val="003E2EA9"/>
    <w:rsid w:val="003E3031"/>
    <w:rsid w:val="003E4950"/>
    <w:rsid w:val="003E5591"/>
    <w:rsid w:val="003E6014"/>
    <w:rsid w:val="003E6342"/>
    <w:rsid w:val="003E7645"/>
    <w:rsid w:val="003E7774"/>
    <w:rsid w:val="003F08D0"/>
    <w:rsid w:val="003F0A39"/>
    <w:rsid w:val="003F18C0"/>
    <w:rsid w:val="003F1CCB"/>
    <w:rsid w:val="003F1DE6"/>
    <w:rsid w:val="003F1E32"/>
    <w:rsid w:val="003F1FA5"/>
    <w:rsid w:val="003F3EDD"/>
    <w:rsid w:val="003F4A5D"/>
    <w:rsid w:val="003F5494"/>
    <w:rsid w:val="003F5A81"/>
    <w:rsid w:val="003F63D9"/>
    <w:rsid w:val="003F6B2A"/>
    <w:rsid w:val="003F6C5E"/>
    <w:rsid w:val="003F779B"/>
    <w:rsid w:val="003F7ABE"/>
    <w:rsid w:val="004004EE"/>
    <w:rsid w:val="00401ACB"/>
    <w:rsid w:val="00402051"/>
    <w:rsid w:val="0040229C"/>
    <w:rsid w:val="004023B6"/>
    <w:rsid w:val="00402AF9"/>
    <w:rsid w:val="00402EEC"/>
    <w:rsid w:val="0040302D"/>
    <w:rsid w:val="0040377B"/>
    <w:rsid w:val="00404793"/>
    <w:rsid w:val="004056EB"/>
    <w:rsid w:val="00405AB8"/>
    <w:rsid w:val="00406B41"/>
    <w:rsid w:val="00410D91"/>
    <w:rsid w:val="004129F3"/>
    <w:rsid w:val="004135CA"/>
    <w:rsid w:val="0041407C"/>
    <w:rsid w:val="00414BB2"/>
    <w:rsid w:val="00414E28"/>
    <w:rsid w:val="00415813"/>
    <w:rsid w:val="00415B55"/>
    <w:rsid w:val="00415B65"/>
    <w:rsid w:val="00416022"/>
    <w:rsid w:val="00416528"/>
    <w:rsid w:val="0041748C"/>
    <w:rsid w:val="004178AA"/>
    <w:rsid w:val="00417B21"/>
    <w:rsid w:val="004202DA"/>
    <w:rsid w:val="0042095F"/>
    <w:rsid w:val="00421136"/>
    <w:rsid w:val="004218F2"/>
    <w:rsid w:val="0042199C"/>
    <w:rsid w:val="00421D6E"/>
    <w:rsid w:val="004223C9"/>
    <w:rsid w:val="00422A4E"/>
    <w:rsid w:val="00422F93"/>
    <w:rsid w:val="004233EE"/>
    <w:rsid w:val="00424F39"/>
    <w:rsid w:val="00425720"/>
    <w:rsid w:val="0042588F"/>
    <w:rsid w:val="00425976"/>
    <w:rsid w:val="00425C85"/>
    <w:rsid w:val="00425EC1"/>
    <w:rsid w:val="00426374"/>
    <w:rsid w:val="00430B3A"/>
    <w:rsid w:val="00432225"/>
    <w:rsid w:val="004324D4"/>
    <w:rsid w:val="00432F25"/>
    <w:rsid w:val="004330F6"/>
    <w:rsid w:val="00433205"/>
    <w:rsid w:val="004339D2"/>
    <w:rsid w:val="004340F2"/>
    <w:rsid w:val="0043461E"/>
    <w:rsid w:val="00434DD2"/>
    <w:rsid w:val="00434FC9"/>
    <w:rsid w:val="004351F9"/>
    <w:rsid w:val="004361B9"/>
    <w:rsid w:val="0043681C"/>
    <w:rsid w:val="004372D4"/>
    <w:rsid w:val="00437BEA"/>
    <w:rsid w:val="004401BA"/>
    <w:rsid w:val="004406B5"/>
    <w:rsid w:val="00441925"/>
    <w:rsid w:val="004425CA"/>
    <w:rsid w:val="004432E0"/>
    <w:rsid w:val="00443E64"/>
    <w:rsid w:val="00443EA0"/>
    <w:rsid w:val="00445E83"/>
    <w:rsid w:val="00446738"/>
    <w:rsid w:val="00446945"/>
    <w:rsid w:val="00447967"/>
    <w:rsid w:val="00447A2F"/>
    <w:rsid w:val="00447AD5"/>
    <w:rsid w:val="00447D82"/>
    <w:rsid w:val="0045018C"/>
    <w:rsid w:val="00450394"/>
    <w:rsid w:val="00450F07"/>
    <w:rsid w:val="0045134A"/>
    <w:rsid w:val="00451554"/>
    <w:rsid w:val="004515F9"/>
    <w:rsid w:val="00451D09"/>
    <w:rsid w:val="00452E06"/>
    <w:rsid w:val="004545F1"/>
    <w:rsid w:val="00454714"/>
    <w:rsid w:val="00454A25"/>
    <w:rsid w:val="004553DB"/>
    <w:rsid w:val="00455749"/>
    <w:rsid w:val="004557A0"/>
    <w:rsid w:val="0045595C"/>
    <w:rsid w:val="004560CA"/>
    <w:rsid w:val="0045685F"/>
    <w:rsid w:val="0045758F"/>
    <w:rsid w:val="00460700"/>
    <w:rsid w:val="00460C15"/>
    <w:rsid w:val="00460EF9"/>
    <w:rsid w:val="00461397"/>
    <w:rsid w:val="00461887"/>
    <w:rsid w:val="00461A0E"/>
    <w:rsid w:val="004620C1"/>
    <w:rsid w:val="004624D3"/>
    <w:rsid w:val="0046264F"/>
    <w:rsid w:val="00462EE1"/>
    <w:rsid w:val="0046384B"/>
    <w:rsid w:val="004644DE"/>
    <w:rsid w:val="00464CDA"/>
    <w:rsid w:val="00465261"/>
    <w:rsid w:val="004675CC"/>
    <w:rsid w:val="00470412"/>
    <w:rsid w:val="00470432"/>
    <w:rsid w:val="004723FF"/>
    <w:rsid w:val="004732FA"/>
    <w:rsid w:val="00473BF9"/>
    <w:rsid w:val="00474242"/>
    <w:rsid w:val="00475977"/>
    <w:rsid w:val="00477053"/>
    <w:rsid w:val="00477082"/>
    <w:rsid w:val="0047716A"/>
    <w:rsid w:val="00477798"/>
    <w:rsid w:val="004802AE"/>
    <w:rsid w:val="004806FD"/>
    <w:rsid w:val="00480EDA"/>
    <w:rsid w:val="00480F9D"/>
    <w:rsid w:val="0048164E"/>
    <w:rsid w:val="00481729"/>
    <w:rsid w:val="00481A38"/>
    <w:rsid w:val="00483B03"/>
    <w:rsid w:val="00483ED3"/>
    <w:rsid w:val="00485484"/>
    <w:rsid w:val="0048581E"/>
    <w:rsid w:val="00485A8F"/>
    <w:rsid w:val="00487F8B"/>
    <w:rsid w:val="00487F9C"/>
    <w:rsid w:val="00490F41"/>
    <w:rsid w:val="00490FBB"/>
    <w:rsid w:val="00491463"/>
    <w:rsid w:val="004932F1"/>
    <w:rsid w:val="004938D6"/>
    <w:rsid w:val="004940BE"/>
    <w:rsid w:val="00495D95"/>
    <w:rsid w:val="0049689F"/>
    <w:rsid w:val="00496EE2"/>
    <w:rsid w:val="00497233"/>
    <w:rsid w:val="004972DC"/>
    <w:rsid w:val="00497D28"/>
    <w:rsid w:val="004A08BF"/>
    <w:rsid w:val="004A099B"/>
    <w:rsid w:val="004A198E"/>
    <w:rsid w:val="004A1E14"/>
    <w:rsid w:val="004A2752"/>
    <w:rsid w:val="004A3B6F"/>
    <w:rsid w:val="004A4052"/>
    <w:rsid w:val="004A4841"/>
    <w:rsid w:val="004A48F6"/>
    <w:rsid w:val="004A562C"/>
    <w:rsid w:val="004A577D"/>
    <w:rsid w:val="004A5785"/>
    <w:rsid w:val="004B00A6"/>
    <w:rsid w:val="004B0717"/>
    <w:rsid w:val="004B07ED"/>
    <w:rsid w:val="004B1619"/>
    <w:rsid w:val="004B2036"/>
    <w:rsid w:val="004B214C"/>
    <w:rsid w:val="004B225B"/>
    <w:rsid w:val="004B2E54"/>
    <w:rsid w:val="004B3676"/>
    <w:rsid w:val="004B5591"/>
    <w:rsid w:val="004B6507"/>
    <w:rsid w:val="004B74D9"/>
    <w:rsid w:val="004B7EDC"/>
    <w:rsid w:val="004C1145"/>
    <w:rsid w:val="004C2C5E"/>
    <w:rsid w:val="004C34EE"/>
    <w:rsid w:val="004C3B13"/>
    <w:rsid w:val="004C3CA1"/>
    <w:rsid w:val="004C47A2"/>
    <w:rsid w:val="004C5760"/>
    <w:rsid w:val="004C6D6A"/>
    <w:rsid w:val="004C7458"/>
    <w:rsid w:val="004C77B4"/>
    <w:rsid w:val="004C7AAC"/>
    <w:rsid w:val="004D09BB"/>
    <w:rsid w:val="004D0BDD"/>
    <w:rsid w:val="004D0F91"/>
    <w:rsid w:val="004D2E48"/>
    <w:rsid w:val="004D3319"/>
    <w:rsid w:val="004D46D0"/>
    <w:rsid w:val="004D484C"/>
    <w:rsid w:val="004D5357"/>
    <w:rsid w:val="004D6065"/>
    <w:rsid w:val="004D6505"/>
    <w:rsid w:val="004D6595"/>
    <w:rsid w:val="004D6876"/>
    <w:rsid w:val="004D6922"/>
    <w:rsid w:val="004E04AE"/>
    <w:rsid w:val="004E19C8"/>
    <w:rsid w:val="004E23AA"/>
    <w:rsid w:val="004E2AC4"/>
    <w:rsid w:val="004E2F74"/>
    <w:rsid w:val="004E32BC"/>
    <w:rsid w:val="004E3ABF"/>
    <w:rsid w:val="004E45EC"/>
    <w:rsid w:val="004E4D4D"/>
    <w:rsid w:val="004E5690"/>
    <w:rsid w:val="004E59AF"/>
    <w:rsid w:val="004E6A59"/>
    <w:rsid w:val="004E6A79"/>
    <w:rsid w:val="004E74B5"/>
    <w:rsid w:val="004E7F57"/>
    <w:rsid w:val="004F0413"/>
    <w:rsid w:val="004F09E3"/>
    <w:rsid w:val="004F0F80"/>
    <w:rsid w:val="004F114E"/>
    <w:rsid w:val="004F270C"/>
    <w:rsid w:val="004F44EA"/>
    <w:rsid w:val="004F4706"/>
    <w:rsid w:val="004F4AAA"/>
    <w:rsid w:val="004F4EB0"/>
    <w:rsid w:val="004F5930"/>
    <w:rsid w:val="004F5A9A"/>
    <w:rsid w:val="004F7986"/>
    <w:rsid w:val="004F7DBE"/>
    <w:rsid w:val="004F7E1C"/>
    <w:rsid w:val="0050024F"/>
    <w:rsid w:val="0050110A"/>
    <w:rsid w:val="005021BF"/>
    <w:rsid w:val="00504756"/>
    <w:rsid w:val="0050637F"/>
    <w:rsid w:val="00510666"/>
    <w:rsid w:val="005106BC"/>
    <w:rsid w:val="00511174"/>
    <w:rsid w:val="00511D2F"/>
    <w:rsid w:val="005123A7"/>
    <w:rsid w:val="00512702"/>
    <w:rsid w:val="00513FCA"/>
    <w:rsid w:val="00514C1D"/>
    <w:rsid w:val="00515632"/>
    <w:rsid w:val="0051688D"/>
    <w:rsid w:val="00516CBE"/>
    <w:rsid w:val="00520187"/>
    <w:rsid w:val="0052079B"/>
    <w:rsid w:val="00521076"/>
    <w:rsid w:val="00521B13"/>
    <w:rsid w:val="00521FD9"/>
    <w:rsid w:val="00522FDF"/>
    <w:rsid w:val="00523374"/>
    <w:rsid w:val="0052396A"/>
    <w:rsid w:val="00523EE0"/>
    <w:rsid w:val="00523F52"/>
    <w:rsid w:val="005244F5"/>
    <w:rsid w:val="00524A9E"/>
    <w:rsid w:val="00524D12"/>
    <w:rsid w:val="005253A3"/>
    <w:rsid w:val="00526737"/>
    <w:rsid w:val="00526A0F"/>
    <w:rsid w:val="00527D64"/>
    <w:rsid w:val="00532EB0"/>
    <w:rsid w:val="00533A28"/>
    <w:rsid w:val="00533BDF"/>
    <w:rsid w:val="00534AFD"/>
    <w:rsid w:val="00535D12"/>
    <w:rsid w:val="00536022"/>
    <w:rsid w:val="00536C05"/>
    <w:rsid w:val="0053713B"/>
    <w:rsid w:val="00540FCA"/>
    <w:rsid w:val="005412CB"/>
    <w:rsid w:val="00541B8F"/>
    <w:rsid w:val="00541F7B"/>
    <w:rsid w:val="005431ED"/>
    <w:rsid w:val="00544336"/>
    <w:rsid w:val="00544E67"/>
    <w:rsid w:val="0054590E"/>
    <w:rsid w:val="005461A9"/>
    <w:rsid w:val="005466C3"/>
    <w:rsid w:val="0054718C"/>
    <w:rsid w:val="00547EBF"/>
    <w:rsid w:val="00550220"/>
    <w:rsid w:val="005506C6"/>
    <w:rsid w:val="0055071B"/>
    <w:rsid w:val="0055138B"/>
    <w:rsid w:val="005523B2"/>
    <w:rsid w:val="00552732"/>
    <w:rsid w:val="005533BC"/>
    <w:rsid w:val="0055350B"/>
    <w:rsid w:val="005538CF"/>
    <w:rsid w:val="00553FDE"/>
    <w:rsid w:val="00555147"/>
    <w:rsid w:val="00555740"/>
    <w:rsid w:val="00556A99"/>
    <w:rsid w:val="00557014"/>
    <w:rsid w:val="00557451"/>
    <w:rsid w:val="005603B3"/>
    <w:rsid w:val="00560D5D"/>
    <w:rsid w:val="00560E8D"/>
    <w:rsid w:val="00561F21"/>
    <w:rsid w:val="00563D9D"/>
    <w:rsid w:val="00564598"/>
    <w:rsid w:val="0056475C"/>
    <w:rsid w:val="005650DD"/>
    <w:rsid w:val="00566E4D"/>
    <w:rsid w:val="00570221"/>
    <w:rsid w:val="005718AD"/>
    <w:rsid w:val="005727F3"/>
    <w:rsid w:val="005728D9"/>
    <w:rsid w:val="00573055"/>
    <w:rsid w:val="005733A3"/>
    <w:rsid w:val="0057463A"/>
    <w:rsid w:val="00574FB9"/>
    <w:rsid w:val="0057525C"/>
    <w:rsid w:val="005754F3"/>
    <w:rsid w:val="00576320"/>
    <w:rsid w:val="005771DC"/>
    <w:rsid w:val="00577A76"/>
    <w:rsid w:val="00577B2F"/>
    <w:rsid w:val="00581035"/>
    <w:rsid w:val="0058167D"/>
    <w:rsid w:val="005826A0"/>
    <w:rsid w:val="005837A5"/>
    <w:rsid w:val="0058396C"/>
    <w:rsid w:val="00583AF7"/>
    <w:rsid w:val="00583E38"/>
    <w:rsid w:val="005841DB"/>
    <w:rsid w:val="00585586"/>
    <w:rsid w:val="0058593C"/>
    <w:rsid w:val="00585C0E"/>
    <w:rsid w:val="00585F71"/>
    <w:rsid w:val="005860A4"/>
    <w:rsid w:val="005872CD"/>
    <w:rsid w:val="00587523"/>
    <w:rsid w:val="00590C31"/>
    <w:rsid w:val="00590E49"/>
    <w:rsid w:val="0059173C"/>
    <w:rsid w:val="00592719"/>
    <w:rsid w:val="0059437E"/>
    <w:rsid w:val="00595A07"/>
    <w:rsid w:val="00596B7E"/>
    <w:rsid w:val="005A0BC5"/>
    <w:rsid w:val="005A2CEE"/>
    <w:rsid w:val="005A381B"/>
    <w:rsid w:val="005A38DD"/>
    <w:rsid w:val="005A3EFB"/>
    <w:rsid w:val="005A50CD"/>
    <w:rsid w:val="005A5745"/>
    <w:rsid w:val="005A596D"/>
    <w:rsid w:val="005A685F"/>
    <w:rsid w:val="005A692D"/>
    <w:rsid w:val="005A6F90"/>
    <w:rsid w:val="005A70C5"/>
    <w:rsid w:val="005A7ACF"/>
    <w:rsid w:val="005A7B03"/>
    <w:rsid w:val="005A7BA4"/>
    <w:rsid w:val="005A7EFC"/>
    <w:rsid w:val="005B02B8"/>
    <w:rsid w:val="005B05DC"/>
    <w:rsid w:val="005B1F28"/>
    <w:rsid w:val="005B2B6B"/>
    <w:rsid w:val="005B2DA0"/>
    <w:rsid w:val="005B2DE1"/>
    <w:rsid w:val="005B32A7"/>
    <w:rsid w:val="005B37E5"/>
    <w:rsid w:val="005B3F7D"/>
    <w:rsid w:val="005B5E6E"/>
    <w:rsid w:val="005B6921"/>
    <w:rsid w:val="005B6CBD"/>
    <w:rsid w:val="005B769A"/>
    <w:rsid w:val="005B7978"/>
    <w:rsid w:val="005C0438"/>
    <w:rsid w:val="005C0E6E"/>
    <w:rsid w:val="005C1767"/>
    <w:rsid w:val="005C18F6"/>
    <w:rsid w:val="005C1E1F"/>
    <w:rsid w:val="005C3E9A"/>
    <w:rsid w:val="005C4550"/>
    <w:rsid w:val="005C55D3"/>
    <w:rsid w:val="005C5DB9"/>
    <w:rsid w:val="005C60F0"/>
    <w:rsid w:val="005C639D"/>
    <w:rsid w:val="005C64B2"/>
    <w:rsid w:val="005C6723"/>
    <w:rsid w:val="005C6DF2"/>
    <w:rsid w:val="005C6F5C"/>
    <w:rsid w:val="005C7E5A"/>
    <w:rsid w:val="005D15DF"/>
    <w:rsid w:val="005D17FD"/>
    <w:rsid w:val="005D2DB4"/>
    <w:rsid w:val="005D2DB5"/>
    <w:rsid w:val="005D322E"/>
    <w:rsid w:val="005D49EC"/>
    <w:rsid w:val="005D4FC7"/>
    <w:rsid w:val="005D559B"/>
    <w:rsid w:val="005D5E65"/>
    <w:rsid w:val="005D65EA"/>
    <w:rsid w:val="005D7082"/>
    <w:rsid w:val="005D72A5"/>
    <w:rsid w:val="005E04EC"/>
    <w:rsid w:val="005E0956"/>
    <w:rsid w:val="005E0AE1"/>
    <w:rsid w:val="005E11DE"/>
    <w:rsid w:val="005E148D"/>
    <w:rsid w:val="005E1AC4"/>
    <w:rsid w:val="005E1BA5"/>
    <w:rsid w:val="005E2170"/>
    <w:rsid w:val="005E29EC"/>
    <w:rsid w:val="005E3312"/>
    <w:rsid w:val="005E3DF1"/>
    <w:rsid w:val="005E4789"/>
    <w:rsid w:val="005E5F53"/>
    <w:rsid w:val="005E705F"/>
    <w:rsid w:val="005E7FEA"/>
    <w:rsid w:val="005F0449"/>
    <w:rsid w:val="005F0FC1"/>
    <w:rsid w:val="005F17F3"/>
    <w:rsid w:val="005F333F"/>
    <w:rsid w:val="005F35ED"/>
    <w:rsid w:val="005F399B"/>
    <w:rsid w:val="005F3A5B"/>
    <w:rsid w:val="005F3FAE"/>
    <w:rsid w:val="005F46B8"/>
    <w:rsid w:val="005F5A24"/>
    <w:rsid w:val="005F5CAF"/>
    <w:rsid w:val="0060063B"/>
    <w:rsid w:val="00600688"/>
    <w:rsid w:val="00602055"/>
    <w:rsid w:val="006021F3"/>
    <w:rsid w:val="00602877"/>
    <w:rsid w:val="00603204"/>
    <w:rsid w:val="00603AA7"/>
    <w:rsid w:val="00603C68"/>
    <w:rsid w:val="00604BC4"/>
    <w:rsid w:val="00605936"/>
    <w:rsid w:val="00605943"/>
    <w:rsid w:val="00605E3D"/>
    <w:rsid w:val="006074C8"/>
    <w:rsid w:val="00607722"/>
    <w:rsid w:val="006077F5"/>
    <w:rsid w:val="00607AD1"/>
    <w:rsid w:val="00610FAA"/>
    <w:rsid w:val="00610FAE"/>
    <w:rsid w:val="006116B3"/>
    <w:rsid w:val="00611919"/>
    <w:rsid w:val="006125BF"/>
    <w:rsid w:val="00612848"/>
    <w:rsid w:val="0061506A"/>
    <w:rsid w:val="006150E2"/>
    <w:rsid w:val="0061534D"/>
    <w:rsid w:val="00615442"/>
    <w:rsid w:val="00616901"/>
    <w:rsid w:val="00617990"/>
    <w:rsid w:val="006204AD"/>
    <w:rsid w:val="00620FA4"/>
    <w:rsid w:val="00621382"/>
    <w:rsid w:val="00621750"/>
    <w:rsid w:val="006222B8"/>
    <w:rsid w:val="006229E8"/>
    <w:rsid w:val="00622A09"/>
    <w:rsid w:val="00623345"/>
    <w:rsid w:val="00623B96"/>
    <w:rsid w:val="0062431A"/>
    <w:rsid w:val="006246AC"/>
    <w:rsid w:val="006250F3"/>
    <w:rsid w:val="00627061"/>
    <w:rsid w:val="00630BDC"/>
    <w:rsid w:val="00630C62"/>
    <w:rsid w:val="00631B63"/>
    <w:rsid w:val="00631CA2"/>
    <w:rsid w:val="00631E2E"/>
    <w:rsid w:val="006325E6"/>
    <w:rsid w:val="00632B45"/>
    <w:rsid w:val="00633069"/>
    <w:rsid w:val="0063386B"/>
    <w:rsid w:val="00633964"/>
    <w:rsid w:val="00634192"/>
    <w:rsid w:val="0063464F"/>
    <w:rsid w:val="0063572B"/>
    <w:rsid w:val="006358DF"/>
    <w:rsid w:val="006359DF"/>
    <w:rsid w:val="00636251"/>
    <w:rsid w:val="006363D0"/>
    <w:rsid w:val="00636547"/>
    <w:rsid w:val="00636FF6"/>
    <w:rsid w:val="00637122"/>
    <w:rsid w:val="0063728D"/>
    <w:rsid w:val="006378A9"/>
    <w:rsid w:val="0063790F"/>
    <w:rsid w:val="006401E1"/>
    <w:rsid w:val="00641910"/>
    <w:rsid w:val="00641B01"/>
    <w:rsid w:val="006426A8"/>
    <w:rsid w:val="006428B8"/>
    <w:rsid w:val="00646AC7"/>
    <w:rsid w:val="0064729A"/>
    <w:rsid w:val="006478E7"/>
    <w:rsid w:val="00650109"/>
    <w:rsid w:val="006511C5"/>
    <w:rsid w:val="006518AA"/>
    <w:rsid w:val="00651C34"/>
    <w:rsid w:val="0065205D"/>
    <w:rsid w:val="00653499"/>
    <w:rsid w:val="00653D75"/>
    <w:rsid w:val="00653D8C"/>
    <w:rsid w:val="00654425"/>
    <w:rsid w:val="0065446E"/>
    <w:rsid w:val="00655213"/>
    <w:rsid w:val="00655D57"/>
    <w:rsid w:val="006568EF"/>
    <w:rsid w:val="00657B66"/>
    <w:rsid w:val="0066000F"/>
    <w:rsid w:val="0066075E"/>
    <w:rsid w:val="00660D1C"/>
    <w:rsid w:val="00661121"/>
    <w:rsid w:val="00661CCC"/>
    <w:rsid w:val="00662244"/>
    <w:rsid w:val="00662AC5"/>
    <w:rsid w:val="00662EAC"/>
    <w:rsid w:val="00663BE7"/>
    <w:rsid w:val="00664A1E"/>
    <w:rsid w:val="006653FC"/>
    <w:rsid w:val="00665FD5"/>
    <w:rsid w:val="0066659E"/>
    <w:rsid w:val="00666E0D"/>
    <w:rsid w:val="00666E82"/>
    <w:rsid w:val="006678EA"/>
    <w:rsid w:val="00667A2E"/>
    <w:rsid w:val="00667A56"/>
    <w:rsid w:val="00667A72"/>
    <w:rsid w:val="0067043D"/>
    <w:rsid w:val="00670DC4"/>
    <w:rsid w:val="006720C5"/>
    <w:rsid w:val="00672444"/>
    <w:rsid w:val="00672616"/>
    <w:rsid w:val="006743FD"/>
    <w:rsid w:val="006753B5"/>
    <w:rsid w:val="006768CC"/>
    <w:rsid w:val="00676BB2"/>
    <w:rsid w:val="00677AE3"/>
    <w:rsid w:val="006802CC"/>
    <w:rsid w:val="00683E46"/>
    <w:rsid w:val="00683FE7"/>
    <w:rsid w:val="00684497"/>
    <w:rsid w:val="00684763"/>
    <w:rsid w:val="00685355"/>
    <w:rsid w:val="00685AF1"/>
    <w:rsid w:val="00685C4D"/>
    <w:rsid w:val="0068665B"/>
    <w:rsid w:val="00686EED"/>
    <w:rsid w:val="00686F13"/>
    <w:rsid w:val="006871A6"/>
    <w:rsid w:val="00687A5C"/>
    <w:rsid w:val="00690DF3"/>
    <w:rsid w:val="00690EAA"/>
    <w:rsid w:val="006919BD"/>
    <w:rsid w:val="00691EFC"/>
    <w:rsid w:val="00692E88"/>
    <w:rsid w:val="00692EBE"/>
    <w:rsid w:val="00693472"/>
    <w:rsid w:val="00693611"/>
    <w:rsid w:val="00693E60"/>
    <w:rsid w:val="006947C3"/>
    <w:rsid w:val="00694FB5"/>
    <w:rsid w:val="00695A69"/>
    <w:rsid w:val="00695B36"/>
    <w:rsid w:val="0069610C"/>
    <w:rsid w:val="006967F1"/>
    <w:rsid w:val="00696AE6"/>
    <w:rsid w:val="00697089"/>
    <w:rsid w:val="00697913"/>
    <w:rsid w:val="006A03F5"/>
    <w:rsid w:val="006A0661"/>
    <w:rsid w:val="006A066F"/>
    <w:rsid w:val="006A0D9B"/>
    <w:rsid w:val="006A11F6"/>
    <w:rsid w:val="006A1514"/>
    <w:rsid w:val="006A1BFD"/>
    <w:rsid w:val="006A3811"/>
    <w:rsid w:val="006A467F"/>
    <w:rsid w:val="006A549D"/>
    <w:rsid w:val="006A5935"/>
    <w:rsid w:val="006A6AB0"/>
    <w:rsid w:val="006A73BD"/>
    <w:rsid w:val="006A73C0"/>
    <w:rsid w:val="006B0497"/>
    <w:rsid w:val="006B0A28"/>
    <w:rsid w:val="006B0FE8"/>
    <w:rsid w:val="006B1655"/>
    <w:rsid w:val="006B18D3"/>
    <w:rsid w:val="006B233C"/>
    <w:rsid w:val="006B306C"/>
    <w:rsid w:val="006B3705"/>
    <w:rsid w:val="006B47E6"/>
    <w:rsid w:val="006B4E6E"/>
    <w:rsid w:val="006B4F99"/>
    <w:rsid w:val="006B62C9"/>
    <w:rsid w:val="006B6AC5"/>
    <w:rsid w:val="006B70CB"/>
    <w:rsid w:val="006C0028"/>
    <w:rsid w:val="006C0E2B"/>
    <w:rsid w:val="006C1B19"/>
    <w:rsid w:val="006C1BBE"/>
    <w:rsid w:val="006C1F9B"/>
    <w:rsid w:val="006C2035"/>
    <w:rsid w:val="006C211A"/>
    <w:rsid w:val="006C23DA"/>
    <w:rsid w:val="006C25D8"/>
    <w:rsid w:val="006C2B7C"/>
    <w:rsid w:val="006C403E"/>
    <w:rsid w:val="006C4317"/>
    <w:rsid w:val="006C53BF"/>
    <w:rsid w:val="006C5AE6"/>
    <w:rsid w:val="006C5DDA"/>
    <w:rsid w:val="006C6934"/>
    <w:rsid w:val="006C76CD"/>
    <w:rsid w:val="006D0719"/>
    <w:rsid w:val="006D0807"/>
    <w:rsid w:val="006D0A9A"/>
    <w:rsid w:val="006D0FEC"/>
    <w:rsid w:val="006D1305"/>
    <w:rsid w:val="006D154F"/>
    <w:rsid w:val="006D23BB"/>
    <w:rsid w:val="006D246D"/>
    <w:rsid w:val="006D329D"/>
    <w:rsid w:val="006D3603"/>
    <w:rsid w:val="006D5536"/>
    <w:rsid w:val="006D6005"/>
    <w:rsid w:val="006E0171"/>
    <w:rsid w:val="006E06D9"/>
    <w:rsid w:val="006E1307"/>
    <w:rsid w:val="006E1745"/>
    <w:rsid w:val="006E2970"/>
    <w:rsid w:val="006E375F"/>
    <w:rsid w:val="006E4685"/>
    <w:rsid w:val="006E79AE"/>
    <w:rsid w:val="006F01C4"/>
    <w:rsid w:val="006F09AC"/>
    <w:rsid w:val="006F3A32"/>
    <w:rsid w:val="006F4197"/>
    <w:rsid w:val="006F4FD7"/>
    <w:rsid w:val="006F6188"/>
    <w:rsid w:val="006F6F67"/>
    <w:rsid w:val="006F76E1"/>
    <w:rsid w:val="006F7FF5"/>
    <w:rsid w:val="00700C33"/>
    <w:rsid w:val="00702013"/>
    <w:rsid w:val="007029DC"/>
    <w:rsid w:val="00702A80"/>
    <w:rsid w:val="007039A6"/>
    <w:rsid w:val="00705000"/>
    <w:rsid w:val="00705083"/>
    <w:rsid w:val="0070514C"/>
    <w:rsid w:val="0070609C"/>
    <w:rsid w:val="007060B2"/>
    <w:rsid w:val="007061B2"/>
    <w:rsid w:val="00707AB4"/>
    <w:rsid w:val="007115D1"/>
    <w:rsid w:val="00711720"/>
    <w:rsid w:val="007121AE"/>
    <w:rsid w:val="00712583"/>
    <w:rsid w:val="00712E8E"/>
    <w:rsid w:val="00712FB1"/>
    <w:rsid w:val="00713728"/>
    <w:rsid w:val="007138FE"/>
    <w:rsid w:val="00714A8D"/>
    <w:rsid w:val="00714BBA"/>
    <w:rsid w:val="0071523D"/>
    <w:rsid w:val="0071531A"/>
    <w:rsid w:val="00716E33"/>
    <w:rsid w:val="00717290"/>
    <w:rsid w:val="00717443"/>
    <w:rsid w:val="00717610"/>
    <w:rsid w:val="00720D25"/>
    <w:rsid w:val="007210CC"/>
    <w:rsid w:val="00721731"/>
    <w:rsid w:val="0072182B"/>
    <w:rsid w:val="00721DD7"/>
    <w:rsid w:val="00723813"/>
    <w:rsid w:val="007248D4"/>
    <w:rsid w:val="00725D67"/>
    <w:rsid w:val="00726A36"/>
    <w:rsid w:val="00727E8D"/>
    <w:rsid w:val="00730C04"/>
    <w:rsid w:val="007326AE"/>
    <w:rsid w:val="007326FC"/>
    <w:rsid w:val="00732833"/>
    <w:rsid w:val="00732B57"/>
    <w:rsid w:val="0073323D"/>
    <w:rsid w:val="00733504"/>
    <w:rsid w:val="0073369B"/>
    <w:rsid w:val="0073385F"/>
    <w:rsid w:val="00734312"/>
    <w:rsid w:val="007345DF"/>
    <w:rsid w:val="00734977"/>
    <w:rsid w:val="007349E8"/>
    <w:rsid w:val="0073693E"/>
    <w:rsid w:val="00736C3F"/>
    <w:rsid w:val="0073711F"/>
    <w:rsid w:val="007402D2"/>
    <w:rsid w:val="00740FA7"/>
    <w:rsid w:val="00741CB6"/>
    <w:rsid w:val="00743158"/>
    <w:rsid w:val="007439B2"/>
    <w:rsid w:val="007447DE"/>
    <w:rsid w:val="0074484B"/>
    <w:rsid w:val="00745CA8"/>
    <w:rsid w:val="00746B87"/>
    <w:rsid w:val="00746FC2"/>
    <w:rsid w:val="007476AD"/>
    <w:rsid w:val="0074783D"/>
    <w:rsid w:val="0075047E"/>
    <w:rsid w:val="0075048E"/>
    <w:rsid w:val="007508A2"/>
    <w:rsid w:val="00750EFA"/>
    <w:rsid w:val="00752DF0"/>
    <w:rsid w:val="007537CA"/>
    <w:rsid w:val="007538B8"/>
    <w:rsid w:val="0075397B"/>
    <w:rsid w:val="00754574"/>
    <w:rsid w:val="007545B3"/>
    <w:rsid w:val="007551DA"/>
    <w:rsid w:val="00755861"/>
    <w:rsid w:val="00757791"/>
    <w:rsid w:val="00757ABC"/>
    <w:rsid w:val="00757B0B"/>
    <w:rsid w:val="00757C95"/>
    <w:rsid w:val="00757CD9"/>
    <w:rsid w:val="00760623"/>
    <w:rsid w:val="00761D10"/>
    <w:rsid w:val="00763828"/>
    <w:rsid w:val="00764314"/>
    <w:rsid w:val="0076629E"/>
    <w:rsid w:val="00766310"/>
    <w:rsid w:val="00766750"/>
    <w:rsid w:val="0076677C"/>
    <w:rsid w:val="0076740E"/>
    <w:rsid w:val="00767723"/>
    <w:rsid w:val="0076772D"/>
    <w:rsid w:val="00770701"/>
    <w:rsid w:val="00770A4B"/>
    <w:rsid w:val="0077157F"/>
    <w:rsid w:val="00771634"/>
    <w:rsid w:val="0077189D"/>
    <w:rsid w:val="00772222"/>
    <w:rsid w:val="00772470"/>
    <w:rsid w:val="007736D0"/>
    <w:rsid w:val="00773AD6"/>
    <w:rsid w:val="00773C4D"/>
    <w:rsid w:val="00774209"/>
    <w:rsid w:val="00777651"/>
    <w:rsid w:val="00777C44"/>
    <w:rsid w:val="0078107C"/>
    <w:rsid w:val="00781264"/>
    <w:rsid w:val="007815D8"/>
    <w:rsid w:val="00781C7F"/>
    <w:rsid w:val="00781D6B"/>
    <w:rsid w:val="00782297"/>
    <w:rsid w:val="00782BF9"/>
    <w:rsid w:val="00782FF8"/>
    <w:rsid w:val="00783423"/>
    <w:rsid w:val="00783C8E"/>
    <w:rsid w:val="00784F31"/>
    <w:rsid w:val="007870B7"/>
    <w:rsid w:val="00787A43"/>
    <w:rsid w:val="00787F74"/>
    <w:rsid w:val="00790E2C"/>
    <w:rsid w:val="00790FA4"/>
    <w:rsid w:val="00791A24"/>
    <w:rsid w:val="00791DAF"/>
    <w:rsid w:val="0079262E"/>
    <w:rsid w:val="00792FE8"/>
    <w:rsid w:val="00794C3F"/>
    <w:rsid w:val="00794CF9"/>
    <w:rsid w:val="00794DE7"/>
    <w:rsid w:val="007950EB"/>
    <w:rsid w:val="007955E0"/>
    <w:rsid w:val="00795809"/>
    <w:rsid w:val="00795CBB"/>
    <w:rsid w:val="007966F1"/>
    <w:rsid w:val="00797811"/>
    <w:rsid w:val="00797B0C"/>
    <w:rsid w:val="007A008A"/>
    <w:rsid w:val="007A1EA1"/>
    <w:rsid w:val="007A266D"/>
    <w:rsid w:val="007A3CFD"/>
    <w:rsid w:val="007A3E99"/>
    <w:rsid w:val="007A49BF"/>
    <w:rsid w:val="007A4CBB"/>
    <w:rsid w:val="007A532E"/>
    <w:rsid w:val="007A61CB"/>
    <w:rsid w:val="007A66C8"/>
    <w:rsid w:val="007A68F1"/>
    <w:rsid w:val="007A6BCF"/>
    <w:rsid w:val="007A743D"/>
    <w:rsid w:val="007A77D3"/>
    <w:rsid w:val="007B04C6"/>
    <w:rsid w:val="007B0C99"/>
    <w:rsid w:val="007B1BC2"/>
    <w:rsid w:val="007B1C3E"/>
    <w:rsid w:val="007B24FD"/>
    <w:rsid w:val="007B2A5F"/>
    <w:rsid w:val="007B2D20"/>
    <w:rsid w:val="007B4291"/>
    <w:rsid w:val="007B4553"/>
    <w:rsid w:val="007B4BDE"/>
    <w:rsid w:val="007B606B"/>
    <w:rsid w:val="007B6EB6"/>
    <w:rsid w:val="007C21C3"/>
    <w:rsid w:val="007C26B4"/>
    <w:rsid w:val="007C30AA"/>
    <w:rsid w:val="007C40A7"/>
    <w:rsid w:val="007C5319"/>
    <w:rsid w:val="007C5B5F"/>
    <w:rsid w:val="007C5DDB"/>
    <w:rsid w:val="007C6AC9"/>
    <w:rsid w:val="007C7E90"/>
    <w:rsid w:val="007D017C"/>
    <w:rsid w:val="007D14E2"/>
    <w:rsid w:val="007D1B60"/>
    <w:rsid w:val="007D1DD7"/>
    <w:rsid w:val="007D1FFD"/>
    <w:rsid w:val="007D29CF"/>
    <w:rsid w:val="007D2B77"/>
    <w:rsid w:val="007D2D0E"/>
    <w:rsid w:val="007D3406"/>
    <w:rsid w:val="007D4B0F"/>
    <w:rsid w:val="007D5864"/>
    <w:rsid w:val="007D6279"/>
    <w:rsid w:val="007D6793"/>
    <w:rsid w:val="007D6B83"/>
    <w:rsid w:val="007D716C"/>
    <w:rsid w:val="007D752D"/>
    <w:rsid w:val="007D7CC0"/>
    <w:rsid w:val="007E0C2B"/>
    <w:rsid w:val="007E0F37"/>
    <w:rsid w:val="007E1D00"/>
    <w:rsid w:val="007E1F1A"/>
    <w:rsid w:val="007E2286"/>
    <w:rsid w:val="007E268D"/>
    <w:rsid w:val="007E2CED"/>
    <w:rsid w:val="007E3049"/>
    <w:rsid w:val="007E38C1"/>
    <w:rsid w:val="007E6A61"/>
    <w:rsid w:val="007E6B91"/>
    <w:rsid w:val="007E78A3"/>
    <w:rsid w:val="007F03E3"/>
    <w:rsid w:val="007F0DB5"/>
    <w:rsid w:val="007F0F17"/>
    <w:rsid w:val="007F259F"/>
    <w:rsid w:val="007F2AC5"/>
    <w:rsid w:val="007F343F"/>
    <w:rsid w:val="007F354C"/>
    <w:rsid w:val="007F4326"/>
    <w:rsid w:val="007F5BD3"/>
    <w:rsid w:val="007F60FB"/>
    <w:rsid w:val="007F6338"/>
    <w:rsid w:val="007F70D0"/>
    <w:rsid w:val="007F71A6"/>
    <w:rsid w:val="00800374"/>
    <w:rsid w:val="008014D4"/>
    <w:rsid w:val="00801DD4"/>
    <w:rsid w:val="00801E48"/>
    <w:rsid w:val="0080315C"/>
    <w:rsid w:val="00803D9B"/>
    <w:rsid w:val="00805BDE"/>
    <w:rsid w:val="00807BE2"/>
    <w:rsid w:val="00811A54"/>
    <w:rsid w:val="00811DC9"/>
    <w:rsid w:val="008122CC"/>
    <w:rsid w:val="008123AE"/>
    <w:rsid w:val="00813313"/>
    <w:rsid w:val="00813AEE"/>
    <w:rsid w:val="00813C85"/>
    <w:rsid w:val="0081636D"/>
    <w:rsid w:val="0081751F"/>
    <w:rsid w:val="00817978"/>
    <w:rsid w:val="00820CEE"/>
    <w:rsid w:val="00820DAD"/>
    <w:rsid w:val="0082171E"/>
    <w:rsid w:val="0082192D"/>
    <w:rsid w:val="00821FD4"/>
    <w:rsid w:val="008220C7"/>
    <w:rsid w:val="00822113"/>
    <w:rsid w:val="008237AB"/>
    <w:rsid w:val="00823875"/>
    <w:rsid w:val="00823F31"/>
    <w:rsid w:val="008279B1"/>
    <w:rsid w:val="00830507"/>
    <w:rsid w:val="00831F8E"/>
    <w:rsid w:val="00832B78"/>
    <w:rsid w:val="00832F63"/>
    <w:rsid w:val="008331A2"/>
    <w:rsid w:val="00833E45"/>
    <w:rsid w:val="008340EF"/>
    <w:rsid w:val="0083443F"/>
    <w:rsid w:val="008347AA"/>
    <w:rsid w:val="00834954"/>
    <w:rsid w:val="0083585D"/>
    <w:rsid w:val="008361BE"/>
    <w:rsid w:val="0084035E"/>
    <w:rsid w:val="00841921"/>
    <w:rsid w:val="008423B6"/>
    <w:rsid w:val="00844368"/>
    <w:rsid w:val="0084599A"/>
    <w:rsid w:val="00845BE2"/>
    <w:rsid w:val="00845CF5"/>
    <w:rsid w:val="0084648A"/>
    <w:rsid w:val="00846650"/>
    <w:rsid w:val="00847FBA"/>
    <w:rsid w:val="00850C9F"/>
    <w:rsid w:val="00850F6B"/>
    <w:rsid w:val="008511C6"/>
    <w:rsid w:val="0085133F"/>
    <w:rsid w:val="00851A11"/>
    <w:rsid w:val="00852FB3"/>
    <w:rsid w:val="0085356C"/>
    <w:rsid w:val="00853880"/>
    <w:rsid w:val="008539FB"/>
    <w:rsid w:val="00854979"/>
    <w:rsid w:val="0085583E"/>
    <w:rsid w:val="008562EF"/>
    <w:rsid w:val="0085712A"/>
    <w:rsid w:val="008572F6"/>
    <w:rsid w:val="00861C60"/>
    <w:rsid w:val="008621DB"/>
    <w:rsid w:val="00862A15"/>
    <w:rsid w:val="00864901"/>
    <w:rsid w:val="008661F8"/>
    <w:rsid w:val="008669CF"/>
    <w:rsid w:val="00870064"/>
    <w:rsid w:val="008704FB"/>
    <w:rsid w:val="00870735"/>
    <w:rsid w:val="00870881"/>
    <w:rsid w:val="00870E23"/>
    <w:rsid w:val="008715DF"/>
    <w:rsid w:val="008717E3"/>
    <w:rsid w:val="0087245F"/>
    <w:rsid w:val="008724B4"/>
    <w:rsid w:val="00872553"/>
    <w:rsid w:val="00872CBA"/>
    <w:rsid w:val="00874FF0"/>
    <w:rsid w:val="00875537"/>
    <w:rsid w:val="008757F0"/>
    <w:rsid w:val="00877D95"/>
    <w:rsid w:val="008811EB"/>
    <w:rsid w:val="00882DF2"/>
    <w:rsid w:val="0088347C"/>
    <w:rsid w:val="00883E3E"/>
    <w:rsid w:val="00884476"/>
    <w:rsid w:val="008847E2"/>
    <w:rsid w:val="008852B7"/>
    <w:rsid w:val="008855EF"/>
    <w:rsid w:val="00885CB9"/>
    <w:rsid w:val="00886438"/>
    <w:rsid w:val="008903D1"/>
    <w:rsid w:val="00890756"/>
    <w:rsid w:val="00891380"/>
    <w:rsid w:val="00891488"/>
    <w:rsid w:val="008936C8"/>
    <w:rsid w:val="00893B47"/>
    <w:rsid w:val="0089402B"/>
    <w:rsid w:val="00894F05"/>
    <w:rsid w:val="00895A37"/>
    <w:rsid w:val="00897010"/>
    <w:rsid w:val="008A0698"/>
    <w:rsid w:val="008A13DC"/>
    <w:rsid w:val="008A172D"/>
    <w:rsid w:val="008A246F"/>
    <w:rsid w:val="008A260E"/>
    <w:rsid w:val="008A569E"/>
    <w:rsid w:val="008A692A"/>
    <w:rsid w:val="008A6BB0"/>
    <w:rsid w:val="008A6BF0"/>
    <w:rsid w:val="008A730B"/>
    <w:rsid w:val="008A77E7"/>
    <w:rsid w:val="008B1ADD"/>
    <w:rsid w:val="008B1E2F"/>
    <w:rsid w:val="008B1E38"/>
    <w:rsid w:val="008B22BB"/>
    <w:rsid w:val="008B2CE8"/>
    <w:rsid w:val="008B374B"/>
    <w:rsid w:val="008B3983"/>
    <w:rsid w:val="008B4B58"/>
    <w:rsid w:val="008B5B7D"/>
    <w:rsid w:val="008B5CED"/>
    <w:rsid w:val="008B5D11"/>
    <w:rsid w:val="008B5DA8"/>
    <w:rsid w:val="008B5F18"/>
    <w:rsid w:val="008B6279"/>
    <w:rsid w:val="008B655A"/>
    <w:rsid w:val="008B6755"/>
    <w:rsid w:val="008B688D"/>
    <w:rsid w:val="008B6950"/>
    <w:rsid w:val="008B78C2"/>
    <w:rsid w:val="008B7CF5"/>
    <w:rsid w:val="008B7DBC"/>
    <w:rsid w:val="008C12D2"/>
    <w:rsid w:val="008C168D"/>
    <w:rsid w:val="008C194F"/>
    <w:rsid w:val="008C2416"/>
    <w:rsid w:val="008C2463"/>
    <w:rsid w:val="008C2C52"/>
    <w:rsid w:val="008C30B1"/>
    <w:rsid w:val="008C3DF0"/>
    <w:rsid w:val="008C42EA"/>
    <w:rsid w:val="008C4B3C"/>
    <w:rsid w:val="008C4B4C"/>
    <w:rsid w:val="008C4C9F"/>
    <w:rsid w:val="008C4FF4"/>
    <w:rsid w:val="008C54BE"/>
    <w:rsid w:val="008C5D07"/>
    <w:rsid w:val="008C6520"/>
    <w:rsid w:val="008C77EB"/>
    <w:rsid w:val="008D0539"/>
    <w:rsid w:val="008D0692"/>
    <w:rsid w:val="008D0A74"/>
    <w:rsid w:val="008D19DC"/>
    <w:rsid w:val="008D1C82"/>
    <w:rsid w:val="008D2234"/>
    <w:rsid w:val="008D3724"/>
    <w:rsid w:val="008D3B67"/>
    <w:rsid w:val="008D43F6"/>
    <w:rsid w:val="008D490F"/>
    <w:rsid w:val="008D4BD4"/>
    <w:rsid w:val="008D4F1F"/>
    <w:rsid w:val="008D5D9B"/>
    <w:rsid w:val="008D6FC0"/>
    <w:rsid w:val="008D7EAD"/>
    <w:rsid w:val="008E097C"/>
    <w:rsid w:val="008E0CC0"/>
    <w:rsid w:val="008E11EB"/>
    <w:rsid w:val="008E12B4"/>
    <w:rsid w:val="008E186E"/>
    <w:rsid w:val="008E2626"/>
    <w:rsid w:val="008E38DE"/>
    <w:rsid w:val="008E3A03"/>
    <w:rsid w:val="008E4319"/>
    <w:rsid w:val="008E4D57"/>
    <w:rsid w:val="008E61CE"/>
    <w:rsid w:val="008E6BBF"/>
    <w:rsid w:val="008F02C0"/>
    <w:rsid w:val="008F0FED"/>
    <w:rsid w:val="008F1027"/>
    <w:rsid w:val="008F1532"/>
    <w:rsid w:val="008F155B"/>
    <w:rsid w:val="008F1E91"/>
    <w:rsid w:val="008F2E48"/>
    <w:rsid w:val="008F41F9"/>
    <w:rsid w:val="008F4C65"/>
    <w:rsid w:val="008F6322"/>
    <w:rsid w:val="00901C69"/>
    <w:rsid w:val="00902C54"/>
    <w:rsid w:val="0090307D"/>
    <w:rsid w:val="009036DB"/>
    <w:rsid w:val="0090621B"/>
    <w:rsid w:val="00906A94"/>
    <w:rsid w:val="00907714"/>
    <w:rsid w:val="00910197"/>
    <w:rsid w:val="009103D4"/>
    <w:rsid w:val="00910532"/>
    <w:rsid w:val="00911444"/>
    <w:rsid w:val="0091190F"/>
    <w:rsid w:val="00911F4D"/>
    <w:rsid w:val="00912660"/>
    <w:rsid w:val="00912CB9"/>
    <w:rsid w:val="00914682"/>
    <w:rsid w:val="00914702"/>
    <w:rsid w:val="00914FED"/>
    <w:rsid w:val="00915D92"/>
    <w:rsid w:val="00915EEE"/>
    <w:rsid w:val="009160A3"/>
    <w:rsid w:val="00917746"/>
    <w:rsid w:val="00917B23"/>
    <w:rsid w:val="00917B92"/>
    <w:rsid w:val="009203BE"/>
    <w:rsid w:val="00921462"/>
    <w:rsid w:val="00921F00"/>
    <w:rsid w:val="00922D12"/>
    <w:rsid w:val="00922F6F"/>
    <w:rsid w:val="00923421"/>
    <w:rsid w:val="0092344F"/>
    <w:rsid w:val="00923BDA"/>
    <w:rsid w:val="00924892"/>
    <w:rsid w:val="009260D2"/>
    <w:rsid w:val="00926175"/>
    <w:rsid w:val="00926887"/>
    <w:rsid w:val="009269B5"/>
    <w:rsid w:val="00926E85"/>
    <w:rsid w:val="00927A0B"/>
    <w:rsid w:val="0093066B"/>
    <w:rsid w:val="00930A7B"/>
    <w:rsid w:val="00930AF6"/>
    <w:rsid w:val="0093182C"/>
    <w:rsid w:val="00931C23"/>
    <w:rsid w:val="0093308E"/>
    <w:rsid w:val="009337CB"/>
    <w:rsid w:val="00933860"/>
    <w:rsid w:val="00933D7C"/>
    <w:rsid w:val="00936CD4"/>
    <w:rsid w:val="00937115"/>
    <w:rsid w:val="00937A50"/>
    <w:rsid w:val="00937E0F"/>
    <w:rsid w:val="00937E33"/>
    <w:rsid w:val="00940146"/>
    <w:rsid w:val="00940F45"/>
    <w:rsid w:val="00940F87"/>
    <w:rsid w:val="00941710"/>
    <w:rsid w:val="00942427"/>
    <w:rsid w:val="009434EA"/>
    <w:rsid w:val="00943670"/>
    <w:rsid w:val="009440C4"/>
    <w:rsid w:val="00944941"/>
    <w:rsid w:val="0094495F"/>
    <w:rsid w:val="00944D23"/>
    <w:rsid w:val="00946684"/>
    <w:rsid w:val="0094756B"/>
    <w:rsid w:val="00947732"/>
    <w:rsid w:val="00950523"/>
    <w:rsid w:val="00950AF7"/>
    <w:rsid w:val="00950DF3"/>
    <w:rsid w:val="00950F4C"/>
    <w:rsid w:val="0095173A"/>
    <w:rsid w:val="0095261E"/>
    <w:rsid w:val="009529CE"/>
    <w:rsid w:val="009531BF"/>
    <w:rsid w:val="00953B93"/>
    <w:rsid w:val="00954366"/>
    <w:rsid w:val="009548A0"/>
    <w:rsid w:val="00955236"/>
    <w:rsid w:val="00956087"/>
    <w:rsid w:val="009563B8"/>
    <w:rsid w:val="00956994"/>
    <w:rsid w:val="0095757E"/>
    <w:rsid w:val="00957D2D"/>
    <w:rsid w:val="00961E4E"/>
    <w:rsid w:val="0096222E"/>
    <w:rsid w:val="00963B4E"/>
    <w:rsid w:val="009644C9"/>
    <w:rsid w:val="009647AA"/>
    <w:rsid w:val="009648D9"/>
    <w:rsid w:val="00964C65"/>
    <w:rsid w:val="00965149"/>
    <w:rsid w:val="00965DFE"/>
    <w:rsid w:val="0096656E"/>
    <w:rsid w:val="009666C9"/>
    <w:rsid w:val="00967FD4"/>
    <w:rsid w:val="009708F7"/>
    <w:rsid w:val="00970C48"/>
    <w:rsid w:val="0097153A"/>
    <w:rsid w:val="009720A3"/>
    <w:rsid w:val="0097222A"/>
    <w:rsid w:val="0097229C"/>
    <w:rsid w:val="00973E40"/>
    <w:rsid w:val="0097421C"/>
    <w:rsid w:val="00974AD1"/>
    <w:rsid w:val="009763CB"/>
    <w:rsid w:val="00976E64"/>
    <w:rsid w:val="00980861"/>
    <w:rsid w:val="00980C79"/>
    <w:rsid w:val="009831E7"/>
    <w:rsid w:val="009839BF"/>
    <w:rsid w:val="00983C93"/>
    <w:rsid w:val="00984072"/>
    <w:rsid w:val="0098482C"/>
    <w:rsid w:val="00985577"/>
    <w:rsid w:val="0098558D"/>
    <w:rsid w:val="00985C5D"/>
    <w:rsid w:val="00986CA6"/>
    <w:rsid w:val="009879DD"/>
    <w:rsid w:val="00987D4A"/>
    <w:rsid w:val="00987EBA"/>
    <w:rsid w:val="0099071C"/>
    <w:rsid w:val="00991009"/>
    <w:rsid w:val="009913A4"/>
    <w:rsid w:val="00991A21"/>
    <w:rsid w:val="009929C2"/>
    <w:rsid w:val="00993024"/>
    <w:rsid w:val="00993538"/>
    <w:rsid w:val="00995875"/>
    <w:rsid w:val="00995CA2"/>
    <w:rsid w:val="00995ECA"/>
    <w:rsid w:val="00997445"/>
    <w:rsid w:val="00997A4D"/>
    <w:rsid w:val="009A0066"/>
    <w:rsid w:val="009A082F"/>
    <w:rsid w:val="009A10CB"/>
    <w:rsid w:val="009A1E64"/>
    <w:rsid w:val="009A2705"/>
    <w:rsid w:val="009A281B"/>
    <w:rsid w:val="009A306C"/>
    <w:rsid w:val="009A393F"/>
    <w:rsid w:val="009A3E20"/>
    <w:rsid w:val="009A4110"/>
    <w:rsid w:val="009A4669"/>
    <w:rsid w:val="009A4E1F"/>
    <w:rsid w:val="009A720B"/>
    <w:rsid w:val="009B0237"/>
    <w:rsid w:val="009B0A9A"/>
    <w:rsid w:val="009B0C30"/>
    <w:rsid w:val="009B0DA8"/>
    <w:rsid w:val="009B1273"/>
    <w:rsid w:val="009B28D0"/>
    <w:rsid w:val="009B2AB1"/>
    <w:rsid w:val="009B2B03"/>
    <w:rsid w:val="009B2F88"/>
    <w:rsid w:val="009B31CC"/>
    <w:rsid w:val="009B321D"/>
    <w:rsid w:val="009B3692"/>
    <w:rsid w:val="009B407B"/>
    <w:rsid w:val="009B4B6D"/>
    <w:rsid w:val="009B532E"/>
    <w:rsid w:val="009B6371"/>
    <w:rsid w:val="009B64AA"/>
    <w:rsid w:val="009C0E0D"/>
    <w:rsid w:val="009C1125"/>
    <w:rsid w:val="009C1170"/>
    <w:rsid w:val="009C24EA"/>
    <w:rsid w:val="009C2D2E"/>
    <w:rsid w:val="009C2DAB"/>
    <w:rsid w:val="009C3573"/>
    <w:rsid w:val="009C4AF2"/>
    <w:rsid w:val="009C5257"/>
    <w:rsid w:val="009C52A7"/>
    <w:rsid w:val="009C5FC9"/>
    <w:rsid w:val="009C665A"/>
    <w:rsid w:val="009C6D23"/>
    <w:rsid w:val="009C7620"/>
    <w:rsid w:val="009D0773"/>
    <w:rsid w:val="009D0890"/>
    <w:rsid w:val="009D10E1"/>
    <w:rsid w:val="009D15C9"/>
    <w:rsid w:val="009D1B59"/>
    <w:rsid w:val="009D339F"/>
    <w:rsid w:val="009D3986"/>
    <w:rsid w:val="009D41EA"/>
    <w:rsid w:val="009D4879"/>
    <w:rsid w:val="009D4F3D"/>
    <w:rsid w:val="009D5644"/>
    <w:rsid w:val="009D5748"/>
    <w:rsid w:val="009D60C1"/>
    <w:rsid w:val="009D6446"/>
    <w:rsid w:val="009D7002"/>
    <w:rsid w:val="009D7354"/>
    <w:rsid w:val="009E0921"/>
    <w:rsid w:val="009E0C8C"/>
    <w:rsid w:val="009E1DCA"/>
    <w:rsid w:val="009E1FDF"/>
    <w:rsid w:val="009E2581"/>
    <w:rsid w:val="009E2A20"/>
    <w:rsid w:val="009E3399"/>
    <w:rsid w:val="009E33B6"/>
    <w:rsid w:val="009E359D"/>
    <w:rsid w:val="009E4664"/>
    <w:rsid w:val="009E4A99"/>
    <w:rsid w:val="009E4C74"/>
    <w:rsid w:val="009E4DE6"/>
    <w:rsid w:val="009E61D6"/>
    <w:rsid w:val="009E6880"/>
    <w:rsid w:val="009E69CD"/>
    <w:rsid w:val="009E69F4"/>
    <w:rsid w:val="009E7725"/>
    <w:rsid w:val="009E7960"/>
    <w:rsid w:val="009E7AC7"/>
    <w:rsid w:val="009E7D1B"/>
    <w:rsid w:val="009F0517"/>
    <w:rsid w:val="009F1D3C"/>
    <w:rsid w:val="009F339C"/>
    <w:rsid w:val="009F3454"/>
    <w:rsid w:val="009F3879"/>
    <w:rsid w:val="009F3F6E"/>
    <w:rsid w:val="009F5A00"/>
    <w:rsid w:val="009F6C5E"/>
    <w:rsid w:val="00A015AA"/>
    <w:rsid w:val="00A03058"/>
    <w:rsid w:val="00A031C3"/>
    <w:rsid w:val="00A0322F"/>
    <w:rsid w:val="00A0370A"/>
    <w:rsid w:val="00A03CE9"/>
    <w:rsid w:val="00A03FA4"/>
    <w:rsid w:val="00A04207"/>
    <w:rsid w:val="00A04878"/>
    <w:rsid w:val="00A06E4A"/>
    <w:rsid w:val="00A073B9"/>
    <w:rsid w:val="00A0794C"/>
    <w:rsid w:val="00A103F2"/>
    <w:rsid w:val="00A1097C"/>
    <w:rsid w:val="00A10C79"/>
    <w:rsid w:val="00A117EA"/>
    <w:rsid w:val="00A11CB8"/>
    <w:rsid w:val="00A12746"/>
    <w:rsid w:val="00A12879"/>
    <w:rsid w:val="00A12EE3"/>
    <w:rsid w:val="00A13334"/>
    <w:rsid w:val="00A14A89"/>
    <w:rsid w:val="00A14E73"/>
    <w:rsid w:val="00A15BF1"/>
    <w:rsid w:val="00A17EA9"/>
    <w:rsid w:val="00A203FF"/>
    <w:rsid w:val="00A207D6"/>
    <w:rsid w:val="00A20CF9"/>
    <w:rsid w:val="00A218C6"/>
    <w:rsid w:val="00A21A74"/>
    <w:rsid w:val="00A21BC0"/>
    <w:rsid w:val="00A228F6"/>
    <w:rsid w:val="00A24623"/>
    <w:rsid w:val="00A25715"/>
    <w:rsid w:val="00A25FE4"/>
    <w:rsid w:val="00A26048"/>
    <w:rsid w:val="00A27511"/>
    <w:rsid w:val="00A27BC0"/>
    <w:rsid w:val="00A305BE"/>
    <w:rsid w:val="00A30D84"/>
    <w:rsid w:val="00A32365"/>
    <w:rsid w:val="00A33126"/>
    <w:rsid w:val="00A33977"/>
    <w:rsid w:val="00A34899"/>
    <w:rsid w:val="00A35464"/>
    <w:rsid w:val="00A35E27"/>
    <w:rsid w:val="00A365D5"/>
    <w:rsid w:val="00A36BE3"/>
    <w:rsid w:val="00A36E0E"/>
    <w:rsid w:val="00A372DF"/>
    <w:rsid w:val="00A3742F"/>
    <w:rsid w:val="00A40910"/>
    <w:rsid w:val="00A40AB6"/>
    <w:rsid w:val="00A41660"/>
    <w:rsid w:val="00A41979"/>
    <w:rsid w:val="00A41DC4"/>
    <w:rsid w:val="00A41F2C"/>
    <w:rsid w:val="00A42DB6"/>
    <w:rsid w:val="00A44EA7"/>
    <w:rsid w:val="00A44F8A"/>
    <w:rsid w:val="00A45605"/>
    <w:rsid w:val="00A45B15"/>
    <w:rsid w:val="00A46199"/>
    <w:rsid w:val="00A464CA"/>
    <w:rsid w:val="00A467B4"/>
    <w:rsid w:val="00A46A5F"/>
    <w:rsid w:val="00A476C7"/>
    <w:rsid w:val="00A50892"/>
    <w:rsid w:val="00A52E69"/>
    <w:rsid w:val="00A53227"/>
    <w:rsid w:val="00A53725"/>
    <w:rsid w:val="00A5451D"/>
    <w:rsid w:val="00A55561"/>
    <w:rsid w:val="00A55907"/>
    <w:rsid w:val="00A5655D"/>
    <w:rsid w:val="00A57200"/>
    <w:rsid w:val="00A5787E"/>
    <w:rsid w:val="00A57AA9"/>
    <w:rsid w:val="00A600AE"/>
    <w:rsid w:val="00A6047A"/>
    <w:rsid w:val="00A60557"/>
    <w:rsid w:val="00A6073C"/>
    <w:rsid w:val="00A610CD"/>
    <w:rsid w:val="00A618D8"/>
    <w:rsid w:val="00A62163"/>
    <w:rsid w:val="00A634F2"/>
    <w:rsid w:val="00A63602"/>
    <w:rsid w:val="00A64D29"/>
    <w:rsid w:val="00A65AB3"/>
    <w:rsid w:val="00A65B04"/>
    <w:rsid w:val="00A65EBE"/>
    <w:rsid w:val="00A667AB"/>
    <w:rsid w:val="00A66CC1"/>
    <w:rsid w:val="00A67126"/>
    <w:rsid w:val="00A67520"/>
    <w:rsid w:val="00A707DB"/>
    <w:rsid w:val="00A70DDB"/>
    <w:rsid w:val="00A70DEA"/>
    <w:rsid w:val="00A713E3"/>
    <w:rsid w:val="00A71C1A"/>
    <w:rsid w:val="00A72106"/>
    <w:rsid w:val="00A734DD"/>
    <w:rsid w:val="00A7362E"/>
    <w:rsid w:val="00A738C3"/>
    <w:rsid w:val="00A7464B"/>
    <w:rsid w:val="00A74EFA"/>
    <w:rsid w:val="00A75665"/>
    <w:rsid w:val="00A756AC"/>
    <w:rsid w:val="00A7580E"/>
    <w:rsid w:val="00A75F3E"/>
    <w:rsid w:val="00A76C85"/>
    <w:rsid w:val="00A76DA1"/>
    <w:rsid w:val="00A772A4"/>
    <w:rsid w:val="00A7774B"/>
    <w:rsid w:val="00A77D4D"/>
    <w:rsid w:val="00A80212"/>
    <w:rsid w:val="00A8029B"/>
    <w:rsid w:val="00A808F9"/>
    <w:rsid w:val="00A809D6"/>
    <w:rsid w:val="00A80B0B"/>
    <w:rsid w:val="00A81234"/>
    <w:rsid w:val="00A814ED"/>
    <w:rsid w:val="00A81B94"/>
    <w:rsid w:val="00A8210E"/>
    <w:rsid w:val="00A82545"/>
    <w:rsid w:val="00A82F3E"/>
    <w:rsid w:val="00A84339"/>
    <w:rsid w:val="00A84D40"/>
    <w:rsid w:val="00A85762"/>
    <w:rsid w:val="00A85D11"/>
    <w:rsid w:val="00A86157"/>
    <w:rsid w:val="00A861AA"/>
    <w:rsid w:val="00A86A47"/>
    <w:rsid w:val="00A86ACE"/>
    <w:rsid w:val="00A8701C"/>
    <w:rsid w:val="00A8717C"/>
    <w:rsid w:val="00A87A70"/>
    <w:rsid w:val="00A9073D"/>
    <w:rsid w:val="00A9160E"/>
    <w:rsid w:val="00A9208E"/>
    <w:rsid w:val="00A926AF"/>
    <w:rsid w:val="00A92C34"/>
    <w:rsid w:val="00A93C8C"/>
    <w:rsid w:val="00A94082"/>
    <w:rsid w:val="00A95B13"/>
    <w:rsid w:val="00A976E5"/>
    <w:rsid w:val="00A97F94"/>
    <w:rsid w:val="00AA051A"/>
    <w:rsid w:val="00AA06FE"/>
    <w:rsid w:val="00AA0B5D"/>
    <w:rsid w:val="00AA0C42"/>
    <w:rsid w:val="00AA0D96"/>
    <w:rsid w:val="00AA0E37"/>
    <w:rsid w:val="00AA261F"/>
    <w:rsid w:val="00AA2E57"/>
    <w:rsid w:val="00AA42DF"/>
    <w:rsid w:val="00AA601D"/>
    <w:rsid w:val="00AA7017"/>
    <w:rsid w:val="00AA740F"/>
    <w:rsid w:val="00AA7833"/>
    <w:rsid w:val="00AA7863"/>
    <w:rsid w:val="00AA787D"/>
    <w:rsid w:val="00AA7AA2"/>
    <w:rsid w:val="00AA7DC0"/>
    <w:rsid w:val="00AB1FFB"/>
    <w:rsid w:val="00AB2147"/>
    <w:rsid w:val="00AB27C4"/>
    <w:rsid w:val="00AB2D13"/>
    <w:rsid w:val="00AB2EE0"/>
    <w:rsid w:val="00AB49E6"/>
    <w:rsid w:val="00AB4F30"/>
    <w:rsid w:val="00AB552D"/>
    <w:rsid w:val="00AB5C8A"/>
    <w:rsid w:val="00AB6743"/>
    <w:rsid w:val="00AB6849"/>
    <w:rsid w:val="00AB7525"/>
    <w:rsid w:val="00AB7AAE"/>
    <w:rsid w:val="00AC100C"/>
    <w:rsid w:val="00AC1D8E"/>
    <w:rsid w:val="00AC44F6"/>
    <w:rsid w:val="00AC55F7"/>
    <w:rsid w:val="00AC6132"/>
    <w:rsid w:val="00AC628E"/>
    <w:rsid w:val="00AC6FD1"/>
    <w:rsid w:val="00AD050F"/>
    <w:rsid w:val="00AD0A65"/>
    <w:rsid w:val="00AD0F34"/>
    <w:rsid w:val="00AD105C"/>
    <w:rsid w:val="00AD1157"/>
    <w:rsid w:val="00AD1198"/>
    <w:rsid w:val="00AD32E3"/>
    <w:rsid w:val="00AD336C"/>
    <w:rsid w:val="00AD38B3"/>
    <w:rsid w:val="00AD4F5E"/>
    <w:rsid w:val="00AD5AA2"/>
    <w:rsid w:val="00AD6591"/>
    <w:rsid w:val="00AD6EEA"/>
    <w:rsid w:val="00AD795A"/>
    <w:rsid w:val="00AE05A3"/>
    <w:rsid w:val="00AE082A"/>
    <w:rsid w:val="00AE154E"/>
    <w:rsid w:val="00AE2152"/>
    <w:rsid w:val="00AE2363"/>
    <w:rsid w:val="00AE2E35"/>
    <w:rsid w:val="00AE37EE"/>
    <w:rsid w:val="00AE437E"/>
    <w:rsid w:val="00AE44AB"/>
    <w:rsid w:val="00AE44E3"/>
    <w:rsid w:val="00AE4753"/>
    <w:rsid w:val="00AE47F4"/>
    <w:rsid w:val="00AE4DB9"/>
    <w:rsid w:val="00AE55D1"/>
    <w:rsid w:val="00AE5C94"/>
    <w:rsid w:val="00AE6F52"/>
    <w:rsid w:val="00AE6FE0"/>
    <w:rsid w:val="00AE7A1F"/>
    <w:rsid w:val="00AE7CE4"/>
    <w:rsid w:val="00AF1283"/>
    <w:rsid w:val="00AF21F0"/>
    <w:rsid w:val="00AF2A0C"/>
    <w:rsid w:val="00AF2AFB"/>
    <w:rsid w:val="00AF37BB"/>
    <w:rsid w:val="00AF3B86"/>
    <w:rsid w:val="00AF3D9E"/>
    <w:rsid w:val="00AF4C57"/>
    <w:rsid w:val="00AF4F68"/>
    <w:rsid w:val="00AF4F7B"/>
    <w:rsid w:val="00AF5C30"/>
    <w:rsid w:val="00AF5CE3"/>
    <w:rsid w:val="00AF614E"/>
    <w:rsid w:val="00AF6211"/>
    <w:rsid w:val="00AF6A88"/>
    <w:rsid w:val="00AF6BCB"/>
    <w:rsid w:val="00AF6F81"/>
    <w:rsid w:val="00B00494"/>
    <w:rsid w:val="00B00D74"/>
    <w:rsid w:val="00B0279E"/>
    <w:rsid w:val="00B028C1"/>
    <w:rsid w:val="00B03742"/>
    <w:rsid w:val="00B03CA1"/>
    <w:rsid w:val="00B042B8"/>
    <w:rsid w:val="00B04B78"/>
    <w:rsid w:val="00B04BCA"/>
    <w:rsid w:val="00B06674"/>
    <w:rsid w:val="00B07C48"/>
    <w:rsid w:val="00B07EAF"/>
    <w:rsid w:val="00B10AC6"/>
    <w:rsid w:val="00B12052"/>
    <w:rsid w:val="00B122DF"/>
    <w:rsid w:val="00B123BE"/>
    <w:rsid w:val="00B13522"/>
    <w:rsid w:val="00B137E3"/>
    <w:rsid w:val="00B138CA"/>
    <w:rsid w:val="00B13A23"/>
    <w:rsid w:val="00B154BE"/>
    <w:rsid w:val="00B1562A"/>
    <w:rsid w:val="00B15BBA"/>
    <w:rsid w:val="00B16D8A"/>
    <w:rsid w:val="00B17B75"/>
    <w:rsid w:val="00B20163"/>
    <w:rsid w:val="00B22825"/>
    <w:rsid w:val="00B22B6D"/>
    <w:rsid w:val="00B238F6"/>
    <w:rsid w:val="00B23BD6"/>
    <w:rsid w:val="00B25E29"/>
    <w:rsid w:val="00B26866"/>
    <w:rsid w:val="00B27580"/>
    <w:rsid w:val="00B2786C"/>
    <w:rsid w:val="00B302A0"/>
    <w:rsid w:val="00B30598"/>
    <w:rsid w:val="00B30DE9"/>
    <w:rsid w:val="00B30FA1"/>
    <w:rsid w:val="00B3171D"/>
    <w:rsid w:val="00B33582"/>
    <w:rsid w:val="00B36449"/>
    <w:rsid w:val="00B378B8"/>
    <w:rsid w:val="00B37BFC"/>
    <w:rsid w:val="00B4169B"/>
    <w:rsid w:val="00B419EB"/>
    <w:rsid w:val="00B42396"/>
    <w:rsid w:val="00B42CCA"/>
    <w:rsid w:val="00B435E5"/>
    <w:rsid w:val="00B4444F"/>
    <w:rsid w:val="00B45AE0"/>
    <w:rsid w:val="00B46ADB"/>
    <w:rsid w:val="00B479B9"/>
    <w:rsid w:val="00B50868"/>
    <w:rsid w:val="00B509AA"/>
    <w:rsid w:val="00B50AD2"/>
    <w:rsid w:val="00B51088"/>
    <w:rsid w:val="00B51941"/>
    <w:rsid w:val="00B5208C"/>
    <w:rsid w:val="00B52E61"/>
    <w:rsid w:val="00B53317"/>
    <w:rsid w:val="00B5376B"/>
    <w:rsid w:val="00B55BEA"/>
    <w:rsid w:val="00B5658F"/>
    <w:rsid w:val="00B56EA5"/>
    <w:rsid w:val="00B5716C"/>
    <w:rsid w:val="00B575D7"/>
    <w:rsid w:val="00B5797C"/>
    <w:rsid w:val="00B57FB8"/>
    <w:rsid w:val="00B6055C"/>
    <w:rsid w:val="00B60F1E"/>
    <w:rsid w:val="00B6169E"/>
    <w:rsid w:val="00B61830"/>
    <w:rsid w:val="00B627DD"/>
    <w:rsid w:val="00B63024"/>
    <w:rsid w:val="00B63AA6"/>
    <w:rsid w:val="00B63DFA"/>
    <w:rsid w:val="00B64B0B"/>
    <w:rsid w:val="00B66792"/>
    <w:rsid w:val="00B66D5F"/>
    <w:rsid w:val="00B66FCB"/>
    <w:rsid w:val="00B670C4"/>
    <w:rsid w:val="00B679B3"/>
    <w:rsid w:val="00B70714"/>
    <w:rsid w:val="00B7165E"/>
    <w:rsid w:val="00B71F0D"/>
    <w:rsid w:val="00B72736"/>
    <w:rsid w:val="00B73905"/>
    <w:rsid w:val="00B73B9E"/>
    <w:rsid w:val="00B758F3"/>
    <w:rsid w:val="00B761F2"/>
    <w:rsid w:val="00B76713"/>
    <w:rsid w:val="00B768E2"/>
    <w:rsid w:val="00B76E70"/>
    <w:rsid w:val="00B77443"/>
    <w:rsid w:val="00B7785C"/>
    <w:rsid w:val="00B77A37"/>
    <w:rsid w:val="00B77BD8"/>
    <w:rsid w:val="00B819B1"/>
    <w:rsid w:val="00B82101"/>
    <w:rsid w:val="00B82A03"/>
    <w:rsid w:val="00B82AE9"/>
    <w:rsid w:val="00B83A2F"/>
    <w:rsid w:val="00B84082"/>
    <w:rsid w:val="00B853F8"/>
    <w:rsid w:val="00B866EF"/>
    <w:rsid w:val="00B87232"/>
    <w:rsid w:val="00B905A7"/>
    <w:rsid w:val="00B906AA"/>
    <w:rsid w:val="00B917A9"/>
    <w:rsid w:val="00B94DDB"/>
    <w:rsid w:val="00B95C2C"/>
    <w:rsid w:val="00B97BF5"/>
    <w:rsid w:val="00BA0D84"/>
    <w:rsid w:val="00BA0DB0"/>
    <w:rsid w:val="00BA1977"/>
    <w:rsid w:val="00BA1AFE"/>
    <w:rsid w:val="00BA1D59"/>
    <w:rsid w:val="00BA1E0F"/>
    <w:rsid w:val="00BA1FB7"/>
    <w:rsid w:val="00BA2011"/>
    <w:rsid w:val="00BA2F8D"/>
    <w:rsid w:val="00BA4146"/>
    <w:rsid w:val="00BA5BA5"/>
    <w:rsid w:val="00BA76F9"/>
    <w:rsid w:val="00BB0139"/>
    <w:rsid w:val="00BB029E"/>
    <w:rsid w:val="00BB0697"/>
    <w:rsid w:val="00BB1698"/>
    <w:rsid w:val="00BB2BF1"/>
    <w:rsid w:val="00BB3207"/>
    <w:rsid w:val="00BB382A"/>
    <w:rsid w:val="00BB388E"/>
    <w:rsid w:val="00BB43A1"/>
    <w:rsid w:val="00BB44FA"/>
    <w:rsid w:val="00BB454A"/>
    <w:rsid w:val="00BB4791"/>
    <w:rsid w:val="00BB4BD7"/>
    <w:rsid w:val="00BB4E34"/>
    <w:rsid w:val="00BB51EB"/>
    <w:rsid w:val="00BB556C"/>
    <w:rsid w:val="00BB7B21"/>
    <w:rsid w:val="00BB7B4E"/>
    <w:rsid w:val="00BC09EF"/>
    <w:rsid w:val="00BC0CE9"/>
    <w:rsid w:val="00BC3089"/>
    <w:rsid w:val="00BC4259"/>
    <w:rsid w:val="00BC4343"/>
    <w:rsid w:val="00BC5C5E"/>
    <w:rsid w:val="00BC6825"/>
    <w:rsid w:val="00BC72CE"/>
    <w:rsid w:val="00BC73A3"/>
    <w:rsid w:val="00BD06EC"/>
    <w:rsid w:val="00BD080A"/>
    <w:rsid w:val="00BD167E"/>
    <w:rsid w:val="00BD1C25"/>
    <w:rsid w:val="00BD376C"/>
    <w:rsid w:val="00BD37B7"/>
    <w:rsid w:val="00BD388E"/>
    <w:rsid w:val="00BD511B"/>
    <w:rsid w:val="00BD5145"/>
    <w:rsid w:val="00BD5B51"/>
    <w:rsid w:val="00BD6801"/>
    <w:rsid w:val="00BD7395"/>
    <w:rsid w:val="00BD776B"/>
    <w:rsid w:val="00BE01D5"/>
    <w:rsid w:val="00BE0436"/>
    <w:rsid w:val="00BE1118"/>
    <w:rsid w:val="00BE1182"/>
    <w:rsid w:val="00BE130E"/>
    <w:rsid w:val="00BE1768"/>
    <w:rsid w:val="00BE2952"/>
    <w:rsid w:val="00BE34F1"/>
    <w:rsid w:val="00BE434D"/>
    <w:rsid w:val="00BE4549"/>
    <w:rsid w:val="00BE53BE"/>
    <w:rsid w:val="00BE72CD"/>
    <w:rsid w:val="00BE7793"/>
    <w:rsid w:val="00BE7C20"/>
    <w:rsid w:val="00BF1742"/>
    <w:rsid w:val="00BF24C7"/>
    <w:rsid w:val="00BF365F"/>
    <w:rsid w:val="00BF3E52"/>
    <w:rsid w:val="00BF3F30"/>
    <w:rsid w:val="00BF5158"/>
    <w:rsid w:val="00BF5FED"/>
    <w:rsid w:val="00BF76BE"/>
    <w:rsid w:val="00C01E13"/>
    <w:rsid w:val="00C02A2F"/>
    <w:rsid w:val="00C02B8D"/>
    <w:rsid w:val="00C03E74"/>
    <w:rsid w:val="00C045B3"/>
    <w:rsid w:val="00C0497E"/>
    <w:rsid w:val="00C04B5E"/>
    <w:rsid w:val="00C04C98"/>
    <w:rsid w:val="00C06921"/>
    <w:rsid w:val="00C06FBF"/>
    <w:rsid w:val="00C1190A"/>
    <w:rsid w:val="00C11C3B"/>
    <w:rsid w:val="00C1261C"/>
    <w:rsid w:val="00C15BE5"/>
    <w:rsid w:val="00C1660D"/>
    <w:rsid w:val="00C17267"/>
    <w:rsid w:val="00C209D8"/>
    <w:rsid w:val="00C20D69"/>
    <w:rsid w:val="00C21070"/>
    <w:rsid w:val="00C21333"/>
    <w:rsid w:val="00C2156D"/>
    <w:rsid w:val="00C215D7"/>
    <w:rsid w:val="00C229A3"/>
    <w:rsid w:val="00C23C90"/>
    <w:rsid w:val="00C23FEA"/>
    <w:rsid w:val="00C24236"/>
    <w:rsid w:val="00C24A67"/>
    <w:rsid w:val="00C24E9D"/>
    <w:rsid w:val="00C25115"/>
    <w:rsid w:val="00C251A1"/>
    <w:rsid w:val="00C2589C"/>
    <w:rsid w:val="00C25D52"/>
    <w:rsid w:val="00C26091"/>
    <w:rsid w:val="00C26FAE"/>
    <w:rsid w:val="00C277F7"/>
    <w:rsid w:val="00C30951"/>
    <w:rsid w:val="00C30EC8"/>
    <w:rsid w:val="00C313F4"/>
    <w:rsid w:val="00C31A34"/>
    <w:rsid w:val="00C31FE5"/>
    <w:rsid w:val="00C332B5"/>
    <w:rsid w:val="00C33A2A"/>
    <w:rsid w:val="00C33D3D"/>
    <w:rsid w:val="00C33E7C"/>
    <w:rsid w:val="00C348F2"/>
    <w:rsid w:val="00C3669A"/>
    <w:rsid w:val="00C366F1"/>
    <w:rsid w:val="00C379FB"/>
    <w:rsid w:val="00C40CC4"/>
    <w:rsid w:val="00C41694"/>
    <w:rsid w:val="00C41949"/>
    <w:rsid w:val="00C41DCE"/>
    <w:rsid w:val="00C436E8"/>
    <w:rsid w:val="00C4404B"/>
    <w:rsid w:val="00C444F3"/>
    <w:rsid w:val="00C463E1"/>
    <w:rsid w:val="00C47313"/>
    <w:rsid w:val="00C47F50"/>
    <w:rsid w:val="00C500B7"/>
    <w:rsid w:val="00C5042F"/>
    <w:rsid w:val="00C504B6"/>
    <w:rsid w:val="00C50995"/>
    <w:rsid w:val="00C50D1D"/>
    <w:rsid w:val="00C51E79"/>
    <w:rsid w:val="00C540C4"/>
    <w:rsid w:val="00C54349"/>
    <w:rsid w:val="00C54445"/>
    <w:rsid w:val="00C54B73"/>
    <w:rsid w:val="00C54C83"/>
    <w:rsid w:val="00C54CE2"/>
    <w:rsid w:val="00C55941"/>
    <w:rsid w:val="00C559FF"/>
    <w:rsid w:val="00C56D2F"/>
    <w:rsid w:val="00C57989"/>
    <w:rsid w:val="00C6041D"/>
    <w:rsid w:val="00C60C6A"/>
    <w:rsid w:val="00C60F68"/>
    <w:rsid w:val="00C6130E"/>
    <w:rsid w:val="00C627B4"/>
    <w:rsid w:val="00C6287F"/>
    <w:rsid w:val="00C629CF"/>
    <w:rsid w:val="00C6314D"/>
    <w:rsid w:val="00C6365C"/>
    <w:rsid w:val="00C63819"/>
    <w:rsid w:val="00C64764"/>
    <w:rsid w:val="00C64F7C"/>
    <w:rsid w:val="00C658C6"/>
    <w:rsid w:val="00C67A0D"/>
    <w:rsid w:val="00C704E1"/>
    <w:rsid w:val="00C70831"/>
    <w:rsid w:val="00C70998"/>
    <w:rsid w:val="00C70E6B"/>
    <w:rsid w:val="00C70F9D"/>
    <w:rsid w:val="00C71EB0"/>
    <w:rsid w:val="00C72387"/>
    <w:rsid w:val="00C7297A"/>
    <w:rsid w:val="00C743E9"/>
    <w:rsid w:val="00C7601C"/>
    <w:rsid w:val="00C7609B"/>
    <w:rsid w:val="00C767FE"/>
    <w:rsid w:val="00C76E4B"/>
    <w:rsid w:val="00C76FFC"/>
    <w:rsid w:val="00C776BD"/>
    <w:rsid w:val="00C8038D"/>
    <w:rsid w:val="00C80595"/>
    <w:rsid w:val="00C81180"/>
    <w:rsid w:val="00C827E8"/>
    <w:rsid w:val="00C83183"/>
    <w:rsid w:val="00C831CE"/>
    <w:rsid w:val="00C83792"/>
    <w:rsid w:val="00C841E6"/>
    <w:rsid w:val="00C84910"/>
    <w:rsid w:val="00C84E1A"/>
    <w:rsid w:val="00C8500B"/>
    <w:rsid w:val="00C85326"/>
    <w:rsid w:val="00C8574D"/>
    <w:rsid w:val="00C85C47"/>
    <w:rsid w:val="00C860BA"/>
    <w:rsid w:val="00C86663"/>
    <w:rsid w:val="00C86CA3"/>
    <w:rsid w:val="00C933E0"/>
    <w:rsid w:val="00C948A6"/>
    <w:rsid w:val="00C95785"/>
    <w:rsid w:val="00C97B30"/>
    <w:rsid w:val="00CA098F"/>
    <w:rsid w:val="00CA18A3"/>
    <w:rsid w:val="00CA351A"/>
    <w:rsid w:val="00CA55D7"/>
    <w:rsid w:val="00CA5E0E"/>
    <w:rsid w:val="00CA61DE"/>
    <w:rsid w:val="00CA627B"/>
    <w:rsid w:val="00CA6521"/>
    <w:rsid w:val="00CA65A3"/>
    <w:rsid w:val="00CA79BC"/>
    <w:rsid w:val="00CA7A12"/>
    <w:rsid w:val="00CA7A55"/>
    <w:rsid w:val="00CB0A91"/>
    <w:rsid w:val="00CB12C0"/>
    <w:rsid w:val="00CB1A5B"/>
    <w:rsid w:val="00CB201E"/>
    <w:rsid w:val="00CB3E7F"/>
    <w:rsid w:val="00CB5C3A"/>
    <w:rsid w:val="00CB78D3"/>
    <w:rsid w:val="00CC182C"/>
    <w:rsid w:val="00CC296B"/>
    <w:rsid w:val="00CC2E21"/>
    <w:rsid w:val="00CC32BA"/>
    <w:rsid w:val="00CC3511"/>
    <w:rsid w:val="00CC3E02"/>
    <w:rsid w:val="00CC477D"/>
    <w:rsid w:val="00CC47E3"/>
    <w:rsid w:val="00CC549D"/>
    <w:rsid w:val="00CC6A7A"/>
    <w:rsid w:val="00CC706E"/>
    <w:rsid w:val="00CC7077"/>
    <w:rsid w:val="00CC7083"/>
    <w:rsid w:val="00CC7527"/>
    <w:rsid w:val="00CC7736"/>
    <w:rsid w:val="00CC7756"/>
    <w:rsid w:val="00CD09F9"/>
    <w:rsid w:val="00CD2045"/>
    <w:rsid w:val="00CD45A6"/>
    <w:rsid w:val="00CD5F11"/>
    <w:rsid w:val="00CD62E3"/>
    <w:rsid w:val="00CD6AF5"/>
    <w:rsid w:val="00CD6C45"/>
    <w:rsid w:val="00CD7DC9"/>
    <w:rsid w:val="00CD7EC0"/>
    <w:rsid w:val="00CE0DF2"/>
    <w:rsid w:val="00CE1B13"/>
    <w:rsid w:val="00CE1BBB"/>
    <w:rsid w:val="00CE1CFE"/>
    <w:rsid w:val="00CE28EC"/>
    <w:rsid w:val="00CE2A43"/>
    <w:rsid w:val="00CE4041"/>
    <w:rsid w:val="00CE4DD9"/>
    <w:rsid w:val="00CE5006"/>
    <w:rsid w:val="00CE65CE"/>
    <w:rsid w:val="00CE6C5C"/>
    <w:rsid w:val="00CF04E2"/>
    <w:rsid w:val="00CF27DA"/>
    <w:rsid w:val="00CF2B64"/>
    <w:rsid w:val="00CF3170"/>
    <w:rsid w:val="00CF382B"/>
    <w:rsid w:val="00CF38D7"/>
    <w:rsid w:val="00CF45A2"/>
    <w:rsid w:val="00CF4EC1"/>
    <w:rsid w:val="00CF4EE4"/>
    <w:rsid w:val="00CF5629"/>
    <w:rsid w:val="00CF61BE"/>
    <w:rsid w:val="00CF70A8"/>
    <w:rsid w:val="00CF7182"/>
    <w:rsid w:val="00CF7CC7"/>
    <w:rsid w:val="00D01FF4"/>
    <w:rsid w:val="00D03599"/>
    <w:rsid w:val="00D03A34"/>
    <w:rsid w:val="00D04F59"/>
    <w:rsid w:val="00D05C1B"/>
    <w:rsid w:val="00D06260"/>
    <w:rsid w:val="00D1063D"/>
    <w:rsid w:val="00D10F52"/>
    <w:rsid w:val="00D12AD8"/>
    <w:rsid w:val="00D12B4F"/>
    <w:rsid w:val="00D1314A"/>
    <w:rsid w:val="00D131FD"/>
    <w:rsid w:val="00D13354"/>
    <w:rsid w:val="00D13395"/>
    <w:rsid w:val="00D14357"/>
    <w:rsid w:val="00D1442C"/>
    <w:rsid w:val="00D1449C"/>
    <w:rsid w:val="00D147F0"/>
    <w:rsid w:val="00D14F41"/>
    <w:rsid w:val="00D1573F"/>
    <w:rsid w:val="00D15A80"/>
    <w:rsid w:val="00D15E4F"/>
    <w:rsid w:val="00D16982"/>
    <w:rsid w:val="00D16B9E"/>
    <w:rsid w:val="00D16BAC"/>
    <w:rsid w:val="00D16FBB"/>
    <w:rsid w:val="00D176E4"/>
    <w:rsid w:val="00D17A2E"/>
    <w:rsid w:val="00D17D13"/>
    <w:rsid w:val="00D17E14"/>
    <w:rsid w:val="00D208FE"/>
    <w:rsid w:val="00D20FC3"/>
    <w:rsid w:val="00D21F99"/>
    <w:rsid w:val="00D220AB"/>
    <w:rsid w:val="00D224B3"/>
    <w:rsid w:val="00D23177"/>
    <w:rsid w:val="00D256E0"/>
    <w:rsid w:val="00D25871"/>
    <w:rsid w:val="00D25D65"/>
    <w:rsid w:val="00D2670B"/>
    <w:rsid w:val="00D26D68"/>
    <w:rsid w:val="00D27220"/>
    <w:rsid w:val="00D2757A"/>
    <w:rsid w:val="00D27829"/>
    <w:rsid w:val="00D27CA0"/>
    <w:rsid w:val="00D30EAF"/>
    <w:rsid w:val="00D314D1"/>
    <w:rsid w:val="00D315D2"/>
    <w:rsid w:val="00D31ABE"/>
    <w:rsid w:val="00D31F25"/>
    <w:rsid w:val="00D32970"/>
    <w:rsid w:val="00D32DD4"/>
    <w:rsid w:val="00D337C9"/>
    <w:rsid w:val="00D344FC"/>
    <w:rsid w:val="00D345D7"/>
    <w:rsid w:val="00D34E57"/>
    <w:rsid w:val="00D35584"/>
    <w:rsid w:val="00D35728"/>
    <w:rsid w:val="00D35DD0"/>
    <w:rsid w:val="00D369B4"/>
    <w:rsid w:val="00D374D6"/>
    <w:rsid w:val="00D37800"/>
    <w:rsid w:val="00D37A3F"/>
    <w:rsid w:val="00D40201"/>
    <w:rsid w:val="00D41367"/>
    <w:rsid w:val="00D41751"/>
    <w:rsid w:val="00D42342"/>
    <w:rsid w:val="00D4281B"/>
    <w:rsid w:val="00D42BBC"/>
    <w:rsid w:val="00D431C2"/>
    <w:rsid w:val="00D435AF"/>
    <w:rsid w:val="00D441CC"/>
    <w:rsid w:val="00D45377"/>
    <w:rsid w:val="00D45532"/>
    <w:rsid w:val="00D46545"/>
    <w:rsid w:val="00D47930"/>
    <w:rsid w:val="00D47C01"/>
    <w:rsid w:val="00D5126B"/>
    <w:rsid w:val="00D5151F"/>
    <w:rsid w:val="00D51C4A"/>
    <w:rsid w:val="00D51C77"/>
    <w:rsid w:val="00D52956"/>
    <w:rsid w:val="00D538E1"/>
    <w:rsid w:val="00D53BFF"/>
    <w:rsid w:val="00D53EA5"/>
    <w:rsid w:val="00D54253"/>
    <w:rsid w:val="00D54B4B"/>
    <w:rsid w:val="00D56144"/>
    <w:rsid w:val="00D561B2"/>
    <w:rsid w:val="00D56AB1"/>
    <w:rsid w:val="00D57550"/>
    <w:rsid w:val="00D579C1"/>
    <w:rsid w:val="00D57C37"/>
    <w:rsid w:val="00D57CA2"/>
    <w:rsid w:val="00D61B0F"/>
    <w:rsid w:val="00D61E6E"/>
    <w:rsid w:val="00D6237E"/>
    <w:rsid w:val="00D64994"/>
    <w:rsid w:val="00D65285"/>
    <w:rsid w:val="00D66199"/>
    <w:rsid w:val="00D6634E"/>
    <w:rsid w:val="00D6699E"/>
    <w:rsid w:val="00D67369"/>
    <w:rsid w:val="00D70186"/>
    <w:rsid w:val="00D70E03"/>
    <w:rsid w:val="00D710BE"/>
    <w:rsid w:val="00D714AD"/>
    <w:rsid w:val="00D71E3D"/>
    <w:rsid w:val="00D71EB0"/>
    <w:rsid w:val="00D73332"/>
    <w:rsid w:val="00D737FC"/>
    <w:rsid w:val="00D73F0C"/>
    <w:rsid w:val="00D74245"/>
    <w:rsid w:val="00D7433B"/>
    <w:rsid w:val="00D75740"/>
    <w:rsid w:val="00D75CF6"/>
    <w:rsid w:val="00D773CD"/>
    <w:rsid w:val="00D77B31"/>
    <w:rsid w:val="00D80256"/>
    <w:rsid w:val="00D80324"/>
    <w:rsid w:val="00D814D2"/>
    <w:rsid w:val="00D829FB"/>
    <w:rsid w:val="00D82A3E"/>
    <w:rsid w:val="00D83062"/>
    <w:rsid w:val="00D83170"/>
    <w:rsid w:val="00D8348C"/>
    <w:rsid w:val="00D839E1"/>
    <w:rsid w:val="00D83C5B"/>
    <w:rsid w:val="00D844F1"/>
    <w:rsid w:val="00D84E12"/>
    <w:rsid w:val="00D85150"/>
    <w:rsid w:val="00D85825"/>
    <w:rsid w:val="00D867D5"/>
    <w:rsid w:val="00D86CC2"/>
    <w:rsid w:val="00D87C87"/>
    <w:rsid w:val="00D87CBA"/>
    <w:rsid w:val="00D90A69"/>
    <w:rsid w:val="00D9125E"/>
    <w:rsid w:val="00D93B72"/>
    <w:rsid w:val="00D945C5"/>
    <w:rsid w:val="00D9482A"/>
    <w:rsid w:val="00D94D58"/>
    <w:rsid w:val="00D96325"/>
    <w:rsid w:val="00D965E4"/>
    <w:rsid w:val="00D97F28"/>
    <w:rsid w:val="00DA055F"/>
    <w:rsid w:val="00DA10BB"/>
    <w:rsid w:val="00DA20FF"/>
    <w:rsid w:val="00DA2AB0"/>
    <w:rsid w:val="00DA2FDC"/>
    <w:rsid w:val="00DA34B0"/>
    <w:rsid w:val="00DA56AE"/>
    <w:rsid w:val="00DA5DC1"/>
    <w:rsid w:val="00DA6E52"/>
    <w:rsid w:val="00DA74FA"/>
    <w:rsid w:val="00DB001C"/>
    <w:rsid w:val="00DB02C7"/>
    <w:rsid w:val="00DB0B8A"/>
    <w:rsid w:val="00DB1FA1"/>
    <w:rsid w:val="00DB2E66"/>
    <w:rsid w:val="00DB303A"/>
    <w:rsid w:val="00DB30CD"/>
    <w:rsid w:val="00DB30F8"/>
    <w:rsid w:val="00DB3463"/>
    <w:rsid w:val="00DB3DF3"/>
    <w:rsid w:val="00DB445C"/>
    <w:rsid w:val="00DB5174"/>
    <w:rsid w:val="00DB57C7"/>
    <w:rsid w:val="00DB6077"/>
    <w:rsid w:val="00DB7213"/>
    <w:rsid w:val="00DC0113"/>
    <w:rsid w:val="00DC0293"/>
    <w:rsid w:val="00DC11FB"/>
    <w:rsid w:val="00DC1BEC"/>
    <w:rsid w:val="00DC1CE7"/>
    <w:rsid w:val="00DC4731"/>
    <w:rsid w:val="00DC4780"/>
    <w:rsid w:val="00DC4856"/>
    <w:rsid w:val="00DC53FD"/>
    <w:rsid w:val="00DC616A"/>
    <w:rsid w:val="00DC6EAC"/>
    <w:rsid w:val="00DC6EE9"/>
    <w:rsid w:val="00DC7319"/>
    <w:rsid w:val="00DD0624"/>
    <w:rsid w:val="00DD0853"/>
    <w:rsid w:val="00DD11A7"/>
    <w:rsid w:val="00DD163C"/>
    <w:rsid w:val="00DD1827"/>
    <w:rsid w:val="00DD2252"/>
    <w:rsid w:val="00DD2A60"/>
    <w:rsid w:val="00DD331A"/>
    <w:rsid w:val="00DD341F"/>
    <w:rsid w:val="00DD3E17"/>
    <w:rsid w:val="00DD4250"/>
    <w:rsid w:val="00DD4ACA"/>
    <w:rsid w:val="00DD4E9A"/>
    <w:rsid w:val="00DD5A45"/>
    <w:rsid w:val="00DD5CCA"/>
    <w:rsid w:val="00DD6041"/>
    <w:rsid w:val="00DD620D"/>
    <w:rsid w:val="00DD6512"/>
    <w:rsid w:val="00DD66E4"/>
    <w:rsid w:val="00DD67CE"/>
    <w:rsid w:val="00DD7127"/>
    <w:rsid w:val="00DD72A5"/>
    <w:rsid w:val="00DD772E"/>
    <w:rsid w:val="00DD7D53"/>
    <w:rsid w:val="00DE00F1"/>
    <w:rsid w:val="00DE1F30"/>
    <w:rsid w:val="00DE2B57"/>
    <w:rsid w:val="00DE326D"/>
    <w:rsid w:val="00DE452B"/>
    <w:rsid w:val="00DE4FBA"/>
    <w:rsid w:val="00DE618C"/>
    <w:rsid w:val="00DE762F"/>
    <w:rsid w:val="00DE7ED9"/>
    <w:rsid w:val="00DE7F40"/>
    <w:rsid w:val="00DF06B4"/>
    <w:rsid w:val="00DF0939"/>
    <w:rsid w:val="00DF0CD0"/>
    <w:rsid w:val="00DF19F9"/>
    <w:rsid w:val="00DF1F90"/>
    <w:rsid w:val="00DF2275"/>
    <w:rsid w:val="00DF27EA"/>
    <w:rsid w:val="00DF4762"/>
    <w:rsid w:val="00DF47AB"/>
    <w:rsid w:val="00DF4881"/>
    <w:rsid w:val="00DF52B4"/>
    <w:rsid w:val="00DF5762"/>
    <w:rsid w:val="00DF5EFE"/>
    <w:rsid w:val="00DF6174"/>
    <w:rsid w:val="00DF633C"/>
    <w:rsid w:val="00DF7858"/>
    <w:rsid w:val="00E01349"/>
    <w:rsid w:val="00E01983"/>
    <w:rsid w:val="00E01EE0"/>
    <w:rsid w:val="00E033AE"/>
    <w:rsid w:val="00E033F5"/>
    <w:rsid w:val="00E0347E"/>
    <w:rsid w:val="00E03982"/>
    <w:rsid w:val="00E03AB4"/>
    <w:rsid w:val="00E04A4F"/>
    <w:rsid w:val="00E05751"/>
    <w:rsid w:val="00E05E2D"/>
    <w:rsid w:val="00E06632"/>
    <w:rsid w:val="00E0675E"/>
    <w:rsid w:val="00E0776E"/>
    <w:rsid w:val="00E10426"/>
    <w:rsid w:val="00E11B98"/>
    <w:rsid w:val="00E1235D"/>
    <w:rsid w:val="00E14317"/>
    <w:rsid w:val="00E14B10"/>
    <w:rsid w:val="00E15436"/>
    <w:rsid w:val="00E164F0"/>
    <w:rsid w:val="00E1679F"/>
    <w:rsid w:val="00E17C1B"/>
    <w:rsid w:val="00E20371"/>
    <w:rsid w:val="00E20458"/>
    <w:rsid w:val="00E20607"/>
    <w:rsid w:val="00E20AE9"/>
    <w:rsid w:val="00E20EF2"/>
    <w:rsid w:val="00E2114F"/>
    <w:rsid w:val="00E21BDE"/>
    <w:rsid w:val="00E2296E"/>
    <w:rsid w:val="00E22BF1"/>
    <w:rsid w:val="00E24045"/>
    <w:rsid w:val="00E303F4"/>
    <w:rsid w:val="00E30F94"/>
    <w:rsid w:val="00E313FD"/>
    <w:rsid w:val="00E3317D"/>
    <w:rsid w:val="00E33386"/>
    <w:rsid w:val="00E336C9"/>
    <w:rsid w:val="00E352AD"/>
    <w:rsid w:val="00E367C8"/>
    <w:rsid w:val="00E40087"/>
    <w:rsid w:val="00E4091C"/>
    <w:rsid w:val="00E428AB"/>
    <w:rsid w:val="00E43AD8"/>
    <w:rsid w:val="00E446F2"/>
    <w:rsid w:val="00E449B6"/>
    <w:rsid w:val="00E45CC8"/>
    <w:rsid w:val="00E460BC"/>
    <w:rsid w:val="00E46D03"/>
    <w:rsid w:val="00E46FC5"/>
    <w:rsid w:val="00E470B0"/>
    <w:rsid w:val="00E47353"/>
    <w:rsid w:val="00E50E3A"/>
    <w:rsid w:val="00E50F10"/>
    <w:rsid w:val="00E51301"/>
    <w:rsid w:val="00E519EB"/>
    <w:rsid w:val="00E51D0D"/>
    <w:rsid w:val="00E53CD1"/>
    <w:rsid w:val="00E54114"/>
    <w:rsid w:val="00E5487C"/>
    <w:rsid w:val="00E54A26"/>
    <w:rsid w:val="00E550A6"/>
    <w:rsid w:val="00E55193"/>
    <w:rsid w:val="00E57557"/>
    <w:rsid w:val="00E575E3"/>
    <w:rsid w:val="00E578A1"/>
    <w:rsid w:val="00E606F3"/>
    <w:rsid w:val="00E607F3"/>
    <w:rsid w:val="00E61F92"/>
    <w:rsid w:val="00E62140"/>
    <w:rsid w:val="00E6291F"/>
    <w:rsid w:val="00E62F5A"/>
    <w:rsid w:val="00E64A69"/>
    <w:rsid w:val="00E65236"/>
    <w:rsid w:val="00E65F18"/>
    <w:rsid w:val="00E65F27"/>
    <w:rsid w:val="00E67423"/>
    <w:rsid w:val="00E67EC3"/>
    <w:rsid w:val="00E706F7"/>
    <w:rsid w:val="00E713A3"/>
    <w:rsid w:val="00E7149E"/>
    <w:rsid w:val="00E71639"/>
    <w:rsid w:val="00E71A27"/>
    <w:rsid w:val="00E7316F"/>
    <w:rsid w:val="00E73A9A"/>
    <w:rsid w:val="00E7484F"/>
    <w:rsid w:val="00E7505A"/>
    <w:rsid w:val="00E75806"/>
    <w:rsid w:val="00E75AF8"/>
    <w:rsid w:val="00E75E5F"/>
    <w:rsid w:val="00E762D9"/>
    <w:rsid w:val="00E763BB"/>
    <w:rsid w:val="00E766C6"/>
    <w:rsid w:val="00E76B4A"/>
    <w:rsid w:val="00E77347"/>
    <w:rsid w:val="00E80666"/>
    <w:rsid w:val="00E80C81"/>
    <w:rsid w:val="00E81683"/>
    <w:rsid w:val="00E82B55"/>
    <w:rsid w:val="00E82B70"/>
    <w:rsid w:val="00E83AB8"/>
    <w:rsid w:val="00E84BAA"/>
    <w:rsid w:val="00E84DB8"/>
    <w:rsid w:val="00E8674E"/>
    <w:rsid w:val="00E86CF9"/>
    <w:rsid w:val="00E879F6"/>
    <w:rsid w:val="00E87FCE"/>
    <w:rsid w:val="00E90E2F"/>
    <w:rsid w:val="00E91FC2"/>
    <w:rsid w:val="00E9386E"/>
    <w:rsid w:val="00E94668"/>
    <w:rsid w:val="00E94C26"/>
    <w:rsid w:val="00E95155"/>
    <w:rsid w:val="00E95380"/>
    <w:rsid w:val="00E95C50"/>
    <w:rsid w:val="00E95CEF"/>
    <w:rsid w:val="00E96B9E"/>
    <w:rsid w:val="00E96DC8"/>
    <w:rsid w:val="00E97517"/>
    <w:rsid w:val="00E97D86"/>
    <w:rsid w:val="00EA00D0"/>
    <w:rsid w:val="00EA0F1D"/>
    <w:rsid w:val="00EA0F4E"/>
    <w:rsid w:val="00EA155E"/>
    <w:rsid w:val="00EA15D7"/>
    <w:rsid w:val="00EA423B"/>
    <w:rsid w:val="00EA4D44"/>
    <w:rsid w:val="00EA5143"/>
    <w:rsid w:val="00EA52DD"/>
    <w:rsid w:val="00EA7F61"/>
    <w:rsid w:val="00EB037F"/>
    <w:rsid w:val="00EB1142"/>
    <w:rsid w:val="00EB21A2"/>
    <w:rsid w:val="00EB27BF"/>
    <w:rsid w:val="00EB2C78"/>
    <w:rsid w:val="00EB3EBE"/>
    <w:rsid w:val="00EB416A"/>
    <w:rsid w:val="00EB4F8A"/>
    <w:rsid w:val="00EB50AF"/>
    <w:rsid w:val="00EB5EF7"/>
    <w:rsid w:val="00EB6445"/>
    <w:rsid w:val="00EB6FF9"/>
    <w:rsid w:val="00EC0798"/>
    <w:rsid w:val="00EC0894"/>
    <w:rsid w:val="00EC0C2C"/>
    <w:rsid w:val="00EC0D6C"/>
    <w:rsid w:val="00EC1854"/>
    <w:rsid w:val="00EC29E4"/>
    <w:rsid w:val="00EC3602"/>
    <w:rsid w:val="00EC370E"/>
    <w:rsid w:val="00EC3B56"/>
    <w:rsid w:val="00EC3CCC"/>
    <w:rsid w:val="00EC4E38"/>
    <w:rsid w:val="00EC67DC"/>
    <w:rsid w:val="00EC6CE9"/>
    <w:rsid w:val="00EC7A5A"/>
    <w:rsid w:val="00ED02CD"/>
    <w:rsid w:val="00ED03E5"/>
    <w:rsid w:val="00ED1394"/>
    <w:rsid w:val="00ED1C76"/>
    <w:rsid w:val="00ED1D72"/>
    <w:rsid w:val="00ED2095"/>
    <w:rsid w:val="00ED4AED"/>
    <w:rsid w:val="00ED705F"/>
    <w:rsid w:val="00ED7535"/>
    <w:rsid w:val="00EE0035"/>
    <w:rsid w:val="00EE0636"/>
    <w:rsid w:val="00EE0D7A"/>
    <w:rsid w:val="00EE16B3"/>
    <w:rsid w:val="00EE3F20"/>
    <w:rsid w:val="00EE434D"/>
    <w:rsid w:val="00EE4761"/>
    <w:rsid w:val="00EE49AD"/>
    <w:rsid w:val="00EE4E99"/>
    <w:rsid w:val="00EE770E"/>
    <w:rsid w:val="00EF092C"/>
    <w:rsid w:val="00EF0C4A"/>
    <w:rsid w:val="00EF1DA0"/>
    <w:rsid w:val="00EF20A8"/>
    <w:rsid w:val="00EF44B4"/>
    <w:rsid w:val="00EF5015"/>
    <w:rsid w:val="00EF592F"/>
    <w:rsid w:val="00EF6E97"/>
    <w:rsid w:val="00EF6F92"/>
    <w:rsid w:val="00F00068"/>
    <w:rsid w:val="00F00BB1"/>
    <w:rsid w:val="00F010FB"/>
    <w:rsid w:val="00F01ED5"/>
    <w:rsid w:val="00F02A6B"/>
    <w:rsid w:val="00F02BB7"/>
    <w:rsid w:val="00F046EF"/>
    <w:rsid w:val="00F06681"/>
    <w:rsid w:val="00F07715"/>
    <w:rsid w:val="00F07A2D"/>
    <w:rsid w:val="00F1013F"/>
    <w:rsid w:val="00F103CE"/>
    <w:rsid w:val="00F13909"/>
    <w:rsid w:val="00F13E01"/>
    <w:rsid w:val="00F16225"/>
    <w:rsid w:val="00F162FB"/>
    <w:rsid w:val="00F16835"/>
    <w:rsid w:val="00F17875"/>
    <w:rsid w:val="00F2073A"/>
    <w:rsid w:val="00F2096F"/>
    <w:rsid w:val="00F20C95"/>
    <w:rsid w:val="00F20DA3"/>
    <w:rsid w:val="00F211BC"/>
    <w:rsid w:val="00F228E3"/>
    <w:rsid w:val="00F22F52"/>
    <w:rsid w:val="00F2364F"/>
    <w:rsid w:val="00F24558"/>
    <w:rsid w:val="00F24C5C"/>
    <w:rsid w:val="00F2574D"/>
    <w:rsid w:val="00F261B2"/>
    <w:rsid w:val="00F2621E"/>
    <w:rsid w:val="00F262F8"/>
    <w:rsid w:val="00F2660C"/>
    <w:rsid w:val="00F26F56"/>
    <w:rsid w:val="00F274A0"/>
    <w:rsid w:val="00F27FD1"/>
    <w:rsid w:val="00F303B4"/>
    <w:rsid w:val="00F30615"/>
    <w:rsid w:val="00F30AEB"/>
    <w:rsid w:val="00F32213"/>
    <w:rsid w:val="00F32551"/>
    <w:rsid w:val="00F32AD7"/>
    <w:rsid w:val="00F32ADE"/>
    <w:rsid w:val="00F32D83"/>
    <w:rsid w:val="00F3430B"/>
    <w:rsid w:val="00F34391"/>
    <w:rsid w:val="00F343B7"/>
    <w:rsid w:val="00F3485C"/>
    <w:rsid w:val="00F35051"/>
    <w:rsid w:val="00F3513B"/>
    <w:rsid w:val="00F35632"/>
    <w:rsid w:val="00F35B15"/>
    <w:rsid w:val="00F37532"/>
    <w:rsid w:val="00F37A52"/>
    <w:rsid w:val="00F409B8"/>
    <w:rsid w:val="00F42D6B"/>
    <w:rsid w:val="00F44133"/>
    <w:rsid w:val="00F441BE"/>
    <w:rsid w:val="00F44A5F"/>
    <w:rsid w:val="00F4530D"/>
    <w:rsid w:val="00F457B5"/>
    <w:rsid w:val="00F45FCC"/>
    <w:rsid w:val="00F465E6"/>
    <w:rsid w:val="00F52098"/>
    <w:rsid w:val="00F52344"/>
    <w:rsid w:val="00F52594"/>
    <w:rsid w:val="00F52705"/>
    <w:rsid w:val="00F52D5A"/>
    <w:rsid w:val="00F544C7"/>
    <w:rsid w:val="00F547B0"/>
    <w:rsid w:val="00F561EE"/>
    <w:rsid w:val="00F56B40"/>
    <w:rsid w:val="00F57486"/>
    <w:rsid w:val="00F621FA"/>
    <w:rsid w:val="00F631F9"/>
    <w:rsid w:val="00F64718"/>
    <w:rsid w:val="00F660E8"/>
    <w:rsid w:val="00F668D7"/>
    <w:rsid w:val="00F66CE7"/>
    <w:rsid w:val="00F67618"/>
    <w:rsid w:val="00F67F64"/>
    <w:rsid w:val="00F70808"/>
    <w:rsid w:val="00F70FA0"/>
    <w:rsid w:val="00F710AC"/>
    <w:rsid w:val="00F71AE4"/>
    <w:rsid w:val="00F73A3F"/>
    <w:rsid w:val="00F73B86"/>
    <w:rsid w:val="00F74324"/>
    <w:rsid w:val="00F74E0F"/>
    <w:rsid w:val="00F77699"/>
    <w:rsid w:val="00F77D0A"/>
    <w:rsid w:val="00F814CB"/>
    <w:rsid w:val="00F8342E"/>
    <w:rsid w:val="00F83F87"/>
    <w:rsid w:val="00F849C8"/>
    <w:rsid w:val="00F84C5E"/>
    <w:rsid w:val="00F859F8"/>
    <w:rsid w:val="00F86156"/>
    <w:rsid w:val="00F866F6"/>
    <w:rsid w:val="00F86797"/>
    <w:rsid w:val="00F87C2D"/>
    <w:rsid w:val="00F9028F"/>
    <w:rsid w:val="00F91F3F"/>
    <w:rsid w:val="00F92C07"/>
    <w:rsid w:val="00F93E4A"/>
    <w:rsid w:val="00F94689"/>
    <w:rsid w:val="00F94865"/>
    <w:rsid w:val="00F94EA9"/>
    <w:rsid w:val="00F9501F"/>
    <w:rsid w:val="00F95DDE"/>
    <w:rsid w:val="00F964BC"/>
    <w:rsid w:val="00FA03BF"/>
    <w:rsid w:val="00FA0DD0"/>
    <w:rsid w:val="00FA27A5"/>
    <w:rsid w:val="00FA283F"/>
    <w:rsid w:val="00FA2961"/>
    <w:rsid w:val="00FA326F"/>
    <w:rsid w:val="00FA530D"/>
    <w:rsid w:val="00FA5B52"/>
    <w:rsid w:val="00FA5E01"/>
    <w:rsid w:val="00FA5FF7"/>
    <w:rsid w:val="00FA66D0"/>
    <w:rsid w:val="00FA6A3A"/>
    <w:rsid w:val="00FA7CA1"/>
    <w:rsid w:val="00FB04B0"/>
    <w:rsid w:val="00FB0BED"/>
    <w:rsid w:val="00FB13AB"/>
    <w:rsid w:val="00FB22D6"/>
    <w:rsid w:val="00FB2B33"/>
    <w:rsid w:val="00FB2DEE"/>
    <w:rsid w:val="00FB37FF"/>
    <w:rsid w:val="00FB40FE"/>
    <w:rsid w:val="00FB4392"/>
    <w:rsid w:val="00FB50DF"/>
    <w:rsid w:val="00FB6359"/>
    <w:rsid w:val="00FB66C7"/>
    <w:rsid w:val="00FB66C8"/>
    <w:rsid w:val="00FB6812"/>
    <w:rsid w:val="00FB6E51"/>
    <w:rsid w:val="00FB711E"/>
    <w:rsid w:val="00FC0850"/>
    <w:rsid w:val="00FC0F62"/>
    <w:rsid w:val="00FC1884"/>
    <w:rsid w:val="00FC3BD0"/>
    <w:rsid w:val="00FC3CB4"/>
    <w:rsid w:val="00FC496E"/>
    <w:rsid w:val="00FC4E0F"/>
    <w:rsid w:val="00FC5F1F"/>
    <w:rsid w:val="00FC6D81"/>
    <w:rsid w:val="00FC71E5"/>
    <w:rsid w:val="00FD0BE0"/>
    <w:rsid w:val="00FD198D"/>
    <w:rsid w:val="00FD38DA"/>
    <w:rsid w:val="00FD4C65"/>
    <w:rsid w:val="00FD4C86"/>
    <w:rsid w:val="00FD4E33"/>
    <w:rsid w:val="00FD5379"/>
    <w:rsid w:val="00FD5E38"/>
    <w:rsid w:val="00FD7131"/>
    <w:rsid w:val="00FD767D"/>
    <w:rsid w:val="00FD7783"/>
    <w:rsid w:val="00FE00FA"/>
    <w:rsid w:val="00FE041F"/>
    <w:rsid w:val="00FE1B9E"/>
    <w:rsid w:val="00FE1FA9"/>
    <w:rsid w:val="00FE2409"/>
    <w:rsid w:val="00FE32DA"/>
    <w:rsid w:val="00FE3482"/>
    <w:rsid w:val="00FE3C04"/>
    <w:rsid w:val="00FE467B"/>
    <w:rsid w:val="00FE4B11"/>
    <w:rsid w:val="00FE4DA1"/>
    <w:rsid w:val="00FE50C6"/>
    <w:rsid w:val="00FE536B"/>
    <w:rsid w:val="00FE5603"/>
    <w:rsid w:val="00FE5EF9"/>
    <w:rsid w:val="00FE6B89"/>
    <w:rsid w:val="00FE6E14"/>
    <w:rsid w:val="00FF0D6A"/>
    <w:rsid w:val="00FF1B0F"/>
    <w:rsid w:val="00FF1BD4"/>
    <w:rsid w:val="00FF1D60"/>
    <w:rsid w:val="00FF2389"/>
    <w:rsid w:val="00FF2B60"/>
    <w:rsid w:val="00FF3632"/>
    <w:rsid w:val="00FF3CAB"/>
    <w:rsid w:val="00FF4862"/>
    <w:rsid w:val="00FF6A17"/>
    <w:rsid w:val="01517254"/>
    <w:rsid w:val="03D11F7D"/>
    <w:rsid w:val="083F9621"/>
    <w:rsid w:val="0A70E71E"/>
    <w:rsid w:val="0EF47525"/>
    <w:rsid w:val="1238C7CF"/>
    <w:rsid w:val="12E9E42C"/>
    <w:rsid w:val="1673C82D"/>
    <w:rsid w:val="190DBB85"/>
    <w:rsid w:val="1A2A9C23"/>
    <w:rsid w:val="1AEE3876"/>
    <w:rsid w:val="1B02EFD0"/>
    <w:rsid w:val="1B2169A2"/>
    <w:rsid w:val="1B9E8643"/>
    <w:rsid w:val="1D96D865"/>
    <w:rsid w:val="20F6CE08"/>
    <w:rsid w:val="21B1340B"/>
    <w:rsid w:val="234C54F3"/>
    <w:rsid w:val="2678DC87"/>
    <w:rsid w:val="279490A8"/>
    <w:rsid w:val="294DE874"/>
    <w:rsid w:val="2B7B556B"/>
    <w:rsid w:val="2BE0510F"/>
    <w:rsid w:val="2D0E0AFE"/>
    <w:rsid w:val="2F06A8B9"/>
    <w:rsid w:val="304CD952"/>
    <w:rsid w:val="35F4B98A"/>
    <w:rsid w:val="35FBE12A"/>
    <w:rsid w:val="3A4C9773"/>
    <w:rsid w:val="3CE252FC"/>
    <w:rsid w:val="43081DB4"/>
    <w:rsid w:val="43183A0B"/>
    <w:rsid w:val="44A74B5B"/>
    <w:rsid w:val="47274725"/>
    <w:rsid w:val="482A3C00"/>
    <w:rsid w:val="4834E890"/>
    <w:rsid w:val="48954005"/>
    <w:rsid w:val="493AE51D"/>
    <w:rsid w:val="494F9AB4"/>
    <w:rsid w:val="496F43D0"/>
    <w:rsid w:val="4ACE16FC"/>
    <w:rsid w:val="4E35E21C"/>
    <w:rsid w:val="522F7617"/>
    <w:rsid w:val="52340CA6"/>
    <w:rsid w:val="541996B4"/>
    <w:rsid w:val="54DAAD2F"/>
    <w:rsid w:val="5B766CF5"/>
    <w:rsid w:val="5D044ADA"/>
    <w:rsid w:val="61165ED3"/>
    <w:rsid w:val="6183A58C"/>
    <w:rsid w:val="61DE163F"/>
    <w:rsid w:val="62D1A660"/>
    <w:rsid w:val="633D34DA"/>
    <w:rsid w:val="65A60E29"/>
    <w:rsid w:val="687A87B5"/>
    <w:rsid w:val="6B1D1E2E"/>
    <w:rsid w:val="6D023262"/>
    <w:rsid w:val="6EA5B579"/>
    <w:rsid w:val="6EDFF9EB"/>
    <w:rsid w:val="6FCB659F"/>
    <w:rsid w:val="70077796"/>
    <w:rsid w:val="708319A0"/>
    <w:rsid w:val="70C786F3"/>
    <w:rsid w:val="74BEBC0D"/>
    <w:rsid w:val="75C2026B"/>
    <w:rsid w:val="78696B36"/>
    <w:rsid w:val="79726F21"/>
    <w:rsid w:val="7CED1AA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435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725"/>
    <w:pPr>
      <w:spacing w:after="200" w:line="276" w:lineRule="auto"/>
      <w:jc w:val="both"/>
    </w:pPr>
    <w:rPr>
      <w:rFonts w:ascii="Calibri" w:eastAsia="Calibri" w:hAnsi="Calibri" w:cs="Times New Roman"/>
    </w:rPr>
  </w:style>
  <w:style w:type="paragraph" w:styleId="Heading1">
    <w:name w:val="heading 1"/>
    <w:basedOn w:val="Heading10"/>
    <w:next w:val="Normal"/>
    <w:link w:val="Heading1Char"/>
    <w:uiPriority w:val="9"/>
    <w:qFormat/>
    <w:rsid w:val="008C4B3C"/>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4C7458"/>
    <w:pPr>
      <w:keepNext/>
      <w:keepLines/>
      <w:tabs>
        <w:tab w:val="left" w:pos="1701"/>
      </w:tabs>
      <w:spacing w:before="360" w:after="12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Heading2"/>
    <w:next w:val="Normal"/>
    <w:link w:val="Heading3Char"/>
    <w:uiPriority w:val="9"/>
    <w:unhideWhenUsed/>
    <w:qFormat/>
    <w:rsid w:val="00713728"/>
    <w:pPr>
      <w:tabs>
        <w:tab w:val="clear" w:pos="1701"/>
      </w:tabs>
      <w:spacing w:line="276" w:lineRule="auto"/>
      <w:outlineLvl w:val="2"/>
    </w:pPr>
    <w:rPr>
      <w:rFonts w:ascii="Calibri" w:eastAsia="MS Gothic" w:hAnsi="Calibri" w:cs="Times New Roman"/>
      <w:b/>
      <w:bCs/>
      <w:i/>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8E7"/>
    <w:rPr>
      <w:rFonts w:ascii="Times New Roman" w:hAnsi="Times New Roman" w:cs="Times New Roman" w:hint="default"/>
      <w:color w:val="0000FF"/>
      <w:u w:val="single"/>
    </w:rPr>
  </w:style>
  <w:style w:type="paragraph" w:customStyle="1" w:styleId="Heading10">
    <w:name w:val="Heading1"/>
    <w:rsid w:val="006478E7"/>
    <w:pPr>
      <w:spacing w:after="200" w:line="240" w:lineRule="auto"/>
    </w:pPr>
    <w:rPr>
      <w:rFonts w:ascii="Calibri" w:eastAsia="Calibri" w:hAnsi="Calibri" w:cs="Calibri"/>
      <w:b/>
      <w:bCs/>
      <w:color w:val="000000"/>
      <w:sz w:val="36"/>
      <w:szCs w:val="36"/>
      <w:u w:color="000000"/>
      <w:lang w:val="en-US" w:eastAsia="en-AU"/>
    </w:rPr>
  </w:style>
  <w:style w:type="character" w:customStyle="1" w:styleId="Heading2Char">
    <w:name w:val="Heading 2 Char"/>
    <w:basedOn w:val="DefaultParagraphFont"/>
    <w:link w:val="Heading2"/>
    <w:uiPriority w:val="9"/>
    <w:rsid w:val="004C7458"/>
    <w:rPr>
      <w:rFonts w:ascii="Franklin Gothic Medium" w:eastAsiaTheme="majorEastAsia" w:hAnsi="Franklin Gothic Medium" w:cstheme="majorBidi"/>
      <w:color w:val="000000" w:themeColor="text1"/>
      <w:sz w:val="32"/>
      <w:szCs w:val="26"/>
    </w:rPr>
  </w:style>
  <w:style w:type="table" w:customStyle="1" w:styleId="TableGrid1">
    <w:name w:val="Table Grid1"/>
    <w:basedOn w:val="TableNormal"/>
    <w:uiPriority w:val="59"/>
    <w:rsid w:val="006478E7"/>
    <w:pPr>
      <w:spacing w:after="240" w:line="240" w:lineRule="auto"/>
      <w:ind w:left="72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478E7"/>
    <w:pPr>
      <w:ind w:left="720"/>
      <w:contextualSpacing/>
    </w:pPr>
  </w:style>
  <w:style w:type="table" w:styleId="TableGrid">
    <w:name w:val="Table Grid"/>
    <w:aliases w:val="HealthConsult"/>
    <w:basedOn w:val="TableNormal"/>
    <w:uiPriority w:val="59"/>
    <w:rsid w:val="002F3E4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447AD5"/>
    <w:pPr>
      <w:keepNext/>
      <w:tabs>
        <w:tab w:val="left" w:pos="1134"/>
      </w:tabs>
      <w:spacing w:before="360" w:after="120" w:line="240" w:lineRule="auto"/>
    </w:pPr>
    <w:rPr>
      <w:rFonts w:ascii="Arial Narrow" w:eastAsia="Times New Roman" w:hAnsi="Arial Narrow" w:cs="Tahoma"/>
      <w:b/>
      <w:sz w:val="20"/>
      <w:szCs w:val="20"/>
      <w:lang w:val="en-GB" w:eastAsia="ja-JP"/>
    </w:rPr>
  </w:style>
  <w:style w:type="paragraph" w:customStyle="1" w:styleId="TableHeading">
    <w:name w:val="TableHeading"/>
    <w:basedOn w:val="Normal"/>
    <w:link w:val="TableHeadingChar"/>
    <w:qFormat/>
    <w:rsid w:val="000939E0"/>
    <w:pPr>
      <w:keepNext/>
      <w:spacing w:before="40" w:after="40" w:line="240" w:lineRule="auto"/>
    </w:pPr>
    <w:rPr>
      <w:rFonts w:ascii="Arial Narrow" w:eastAsia="Times New Roman" w:hAnsi="Arial Narrow" w:cs="Tahoma"/>
      <w:b/>
      <w:sz w:val="20"/>
      <w:szCs w:val="20"/>
      <w:lang w:eastAsia="en-AU"/>
    </w:rPr>
  </w:style>
  <w:style w:type="character" w:customStyle="1" w:styleId="TableHeadingChar">
    <w:name w:val="TableHeading Char"/>
    <w:link w:val="TableHeading"/>
    <w:rsid w:val="000939E0"/>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0939E0"/>
    <w:pPr>
      <w:spacing w:before="40" w:after="40" w:line="240" w:lineRule="auto"/>
    </w:pPr>
    <w:rPr>
      <w:rFonts w:ascii="Arial Narrow" w:eastAsia="Times New Roman" w:hAnsi="Arial Narrow" w:cs="Tahoma"/>
      <w:sz w:val="20"/>
      <w:szCs w:val="20"/>
      <w:lang w:eastAsia="en-AU"/>
    </w:rPr>
  </w:style>
  <w:style w:type="character" w:customStyle="1" w:styleId="TabletextChar">
    <w:name w:val="Table text Char"/>
    <w:link w:val="Tabletext"/>
    <w:rsid w:val="000939E0"/>
    <w:rPr>
      <w:rFonts w:ascii="Arial Narrow" w:eastAsia="Times New Roman" w:hAnsi="Arial Narrow" w:cs="Tahoma"/>
      <w:sz w:val="20"/>
      <w:szCs w:val="20"/>
      <w:lang w:eastAsia="en-AU"/>
    </w:rPr>
  </w:style>
  <w:style w:type="paragraph" w:customStyle="1" w:styleId="Tablenotes">
    <w:name w:val="Tablenotes"/>
    <w:basedOn w:val="Normal"/>
    <w:link w:val="TablenotesChar"/>
    <w:qFormat/>
    <w:rsid w:val="0042588F"/>
    <w:pPr>
      <w:widowControl w:val="0"/>
      <w:spacing w:after="120" w:line="240" w:lineRule="auto"/>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42588F"/>
    <w:rPr>
      <w:rFonts w:ascii="Arial Narrow" w:eastAsia="Times New Roman" w:hAnsi="Arial Narrow" w:cs="Arial"/>
      <w:snapToGrid w:val="0"/>
      <w:sz w:val="18"/>
      <w:szCs w:val="20"/>
    </w:rPr>
  </w:style>
  <w:style w:type="paragraph" w:customStyle="1" w:styleId="TableName">
    <w:name w:val="TableName"/>
    <w:basedOn w:val="Normal"/>
    <w:qFormat/>
    <w:rsid w:val="00891488"/>
    <w:pPr>
      <w:keepNext/>
      <w:spacing w:after="240" w:line="240" w:lineRule="auto"/>
      <w:ind w:left="1134" w:hanging="1134"/>
    </w:pPr>
    <w:rPr>
      <w:rFonts w:ascii="Franklin Gothic Medium" w:eastAsiaTheme="minorHAnsi" w:hAnsi="Franklin Gothic Medium" w:cstheme="minorBidi"/>
    </w:rPr>
  </w:style>
  <w:style w:type="character" w:customStyle="1" w:styleId="ListParagraphChar">
    <w:name w:val="List Paragraph Char"/>
    <w:basedOn w:val="DefaultParagraphFont"/>
    <w:link w:val="ListParagraph"/>
    <w:uiPriority w:val="34"/>
    <w:rsid w:val="00D867D5"/>
    <w:rPr>
      <w:rFonts w:ascii="Calibri" w:eastAsia="Calibri" w:hAnsi="Calibri" w:cs="Times New Roman"/>
    </w:rPr>
  </w:style>
  <w:style w:type="paragraph" w:styleId="Header">
    <w:name w:val="header"/>
    <w:basedOn w:val="Normal"/>
    <w:link w:val="HeaderChar"/>
    <w:uiPriority w:val="99"/>
    <w:unhideWhenUsed/>
    <w:rsid w:val="00163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5C"/>
    <w:rPr>
      <w:rFonts w:ascii="Calibri" w:eastAsia="Calibri" w:hAnsi="Calibri" w:cs="Times New Roman"/>
    </w:rPr>
  </w:style>
  <w:style w:type="paragraph" w:styleId="Footer">
    <w:name w:val="footer"/>
    <w:basedOn w:val="Normal"/>
    <w:link w:val="FooterChar"/>
    <w:uiPriority w:val="99"/>
    <w:unhideWhenUsed/>
    <w:rsid w:val="00163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5C"/>
    <w:rPr>
      <w:rFonts w:ascii="Calibri" w:eastAsia="Calibri" w:hAnsi="Calibri" w:cs="Times New Roman"/>
    </w:rPr>
  </w:style>
  <w:style w:type="paragraph" w:styleId="Subtitle">
    <w:name w:val="Subtitle"/>
    <w:basedOn w:val="Normal"/>
    <w:next w:val="Normal"/>
    <w:link w:val="SubtitleChar"/>
    <w:uiPriority w:val="11"/>
    <w:qFormat/>
    <w:rsid w:val="006F01C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F01C4"/>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A33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26"/>
    <w:rPr>
      <w:rFonts w:ascii="Segoe UI" w:eastAsia="Calibri" w:hAnsi="Segoe UI" w:cs="Segoe UI"/>
      <w:sz w:val="18"/>
      <w:szCs w:val="18"/>
    </w:rPr>
  </w:style>
  <w:style w:type="character" w:styleId="CommentReference">
    <w:name w:val="annotation reference"/>
    <w:aliases w:val="Table Title"/>
    <w:basedOn w:val="DefaultParagraphFont"/>
    <w:uiPriority w:val="99"/>
    <w:unhideWhenUsed/>
    <w:qFormat/>
    <w:rsid w:val="00D84E12"/>
    <w:rPr>
      <w:sz w:val="16"/>
      <w:szCs w:val="16"/>
    </w:rPr>
  </w:style>
  <w:style w:type="paragraph" w:styleId="CommentText">
    <w:name w:val="annotation text"/>
    <w:basedOn w:val="Normal"/>
    <w:link w:val="CommentTextChar"/>
    <w:uiPriority w:val="99"/>
    <w:unhideWhenUsed/>
    <w:rsid w:val="00D84E12"/>
    <w:pPr>
      <w:spacing w:line="240" w:lineRule="auto"/>
    </w:pPr>
    <w:rPr>
      <w:sz w:val="20"/>
      <w:szCs w:val="20"/>
    </w:rPr>
  </w:style>
  <w:style w:type="character" w:customStyle="1" w:styleId="CommentTextChar">
    <w:name w:val="Comment Text Char"/>
    <w:basedOn w:val="DefaultParagraphFont"/>
    <w:link w:val="CommentText"/>
    <w:uiPriority w:val="99"/>
    <w:rsid w:val="00D84E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4E12"/>
    <w:rPr>
      <w:b/>
      <w:bCs/>
    </w:rPr>
  </w:style>
  <w:style w:type="character" w:customStyle="1" w:styleId="CommentSubjectChar">
    <w:name w:val="Comment Subject Char"/>
    <w:basedOn w:val="CommentTextChar"/>
    <w:link w:val="CommentSubject"/>
    <w:uiPriority w:val="99"/>
    <w:semiHidden/>
    <w:rsid w:val="00D84E12"/>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C4B3C"/>
    <w:rPr>
      <w:color w:val="954F72" w:themeColor="followedHyperlink"/>
      <w:u w:val="single"/>
    </w:rPr>
  </w:style>
  <w:style w:type="character" w:customStyle="1" w:styleId="Heading1Char">
    <w:name w:val="Heading 1 Char"/>
    <w:basedOn w:val="DefaultParagraphFont"/>
    <w:link w:val="Heading1"/>
    <w:uiPriority w:val="9"/>
    <w:rsid w:val="008C4B3C"/>
    <w:rPr>
      <w:rFonts w:ascii="Calibri" w:eastAsia="Calibri" w:hAnsi="Calibri" w:cs="Calibri"/>
      <w:b/>
      <w:bCs/>
      <w:color w:val="000000"/>
      <w:sz w:val="72"/>
      <w:szCs w:val="72"/>
      <w:u w:color="000000"/>
      <w:lang w:val="en-US" w:eastAsia="en-AU"/>
    </w:rPr>
  </w:style>
  <w:style w:type="paragraph" w:customStyle="1" w:styleId="Instructionaltext">
    <w:name w:val="Instructional text"/>
    <w:basedOn w:val="Normal"/>
    <w:link w:val="InstructionaltextChar"/>
    <w:qFormat/>
    <w:rsid w:val="006A467F"/>
    <w:pPr>
      <w:spacing w:before="120"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6A467F"/>
    <w:rPr>
      <w:rFonts w:ascii="Calibri" w:hAnsi="Calibri"/>
      <w:color w:val="258221"/>
    </w:rPr>
  </w:style>
  <w:style w:type="character" w:customStyle="1" w:styleId="Heading3Char">
    <w:name w:val="Heading 3 Char"/>
    <w:basedOn w:val="DefaultParagraphFont"/>
    <w:link w:val="Heading3"/>
    <w:uiPriority w:val="9"/>
    <w:rsid w:val="00713728"/>
    <w:rPr>
      <w:rFonts w:ascii="Calibri" w:eastAsia="MS Gothic" w:hAnsi="Calibri" w:cs="Times New Roman"/>
      <w:b/>
      <w:bCs/>
      <w:i/>
      <w:sz w:val="24"/>
      <w:szCs w:val="24"/>
    </w:rPr>
  </w:style>
  <w:style w:type="paragraph" w:customStyle="1" w:styleId="Instructionaltext-bullet">
    <w:name w:val="Instructional text - bullet"/>
    <w:basedOn w:val="Instructionaltext"/>
    <w:qFormat/>
    <w:rsid w:val="006A467F"/>
    <w:pPr>
      <w:numPr>
        <w:numId w:val="4"/>
      </w:numPr>
      <w:spacing w:before="0" w:after="0"/>
    </w:pPr>
  </w:style>
  <w:style w:type="paragraph" w:customStyle="1" w:styleId="Guidelinescross-ref">
    <w:name w:val="Guidelines cross-ref"/>
    <w:basedOn w:val="Normal"/>
    <w:qFormat/>
    <w:rsid w:val="00E01349"/>
    <w:pPr>
      <w:keepNext/>
      <w:spacing w:before="240" w:after="240" w:line="259" w:lineRule="auto"/>
    </w:pPr>
    <w:rPr>
      <w:rFonts w:eastAsiaTheme="minorHAnsi" w:cstheme="minorBidi"/>
      <w:b/>
      <w:color w:val="0070C0"/>
      <w:sz w:val="24"/>
    </w:rPr>
  </w:style>
  <w:style w:type="paragraph" w:customStyle="1" w:styleId="Instructionaltext-afterfiguretable">
    <w:name w:val="Instructional text - after figure/table"/>
    <w:basedOn w:val="Instructionaltext"/>
    <w:qFormat/>
    <w:rsid w:val="00E01349"/>
    <w:pPr>
      <w:spacing w:before="360"/>
    </w:pPr>
  </w:style>
  <w:style w:type="paragraph" w:styleId="Revision">
    <w:name w:val="Revision"/>
    <w:hidden/>
    <w:uiPriority w:val="99"/>
    <w:semiHidden/>
    <w:rsid w:val="004E3ABF"/>
    <w:pPr>
      <w:spacing w:after="0" w:line="240" w:lineRule="auto"/>
    </w:pPr>
    <w:rPr>
      <w:rFonts w:ascii="Calibri" w:eastAsia="Calibri" w:hAnsi="Calibri" w:cs="Times New Roman"/>
    </w:rPr>
  </w:style>
  <w:style w:type="paragraph" w:customStyle="1" w:styleId="TableText0">
    <w:name w:val="Table Text"/>
    <w:basedOn w:val="Normal"/>
    <w:link w:val="TableTextChar0"/>
    <w:qFormat/>
    <w:rsid w:val="000D1FCF"/>
    <w:pPr>
      <w:spacing w:before="40" w:after="40" w:line="240" w:lineRule="auto"/>
    </w:pPr>
    <w:rPr>
      <w:rFonts w:ascii="Arial Narrow" w:eastAsiaTheme="minorHAnsi" w:hAnsi="Arial Narrow" w:cstheme="minorBidi"/>
      <w:sz w:val="20"/>
    </w:rPr>
  </w:style>
  <w:style w:type="character" w:customStyle="1" w:styleId="TableTextChar0">
    <w:name w:val="Table Text Char"/>
    <w:basedOn w:val="DefaultParagraphFont"/>
    <w:link w:val="TableText0"/>
    <w:rsid w:val="000D1FCF"/>
    <w:rPr>
      <w:rFonts w:ascii="Arial Narrow" w:hAnsi="Arial Narrow"/>
      <w:sz w:val="20"/>
    </w:rPr>
  </w:style>
  <w:style w:type="character" w:styleId="PageNumber">
    <w:name w:val="page number"/>
    <w:basedOn w:val="DefaultParagraphFont"/>
    <w:uiPriority w:val="99"/>
    <w:semiHidden/>
    <w:unhideWhenUsed/>
    <w:rsid w:val="00685355"/>
  </w:style>
  <w:style w:type="character" w:styleId="Mention">
    <w:name w:val="Mention"/>
    <w:basedOn w:val="DefaultParagraphFont"/>
    <w:uiPriority w:val="99"/>
    <w:unhideWhenUsed/>
    <w:rsid w:val="003E4950"/>
    <w:rPr>
      <w:color w:val="2B579A"/>
      <w:shd w:val="clear" w:color="auto" w:fill="E1DFDD"/>
    </w:rPr>
  </w:style>
  <w:style w:type="paragraph" w:styleId="FootnoteText">
    <w:name w:val="footnote text"/>
    <w:basedOn w:val="Normal"/>
    <w:link w:val="FootnoteTextChar"/>
    <w:uiPriority w:val="99"/>
    <w:semiHidden/>
    <w:unhideWhenUsed/>
    <w:rsid w:val="00A41660"/>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41660"/>
    <w:rPr>
      <w:sz w:val="20"/>
      <w:szCs w:val="20"/>
    </w:rPr>
  </w:style>
  <w:style w:type="character" w:styleId="FootnoteReference">
    <w:name w:val="footnote reference"/>
    <w:basedOn w:val="DefaultParagraphFont"/>
    <w:uiPriority w:val="99"/>
    <w:semiHidden/>
    <w:unhideWhenUsed/>
    <w:rsid w:val="00A41660"/>
    <w:rPr>
      <w:vertAlign w:val="superscript"/>
    </w:rPr>
  </w:style>
  <w:style w:type="paragraph" w:customStyle="1" w:styleId="EndNoteBibliographyTitle">
    <w:name w:val="EndNote Bibliography Title"/>
    <w:basedOn w:val="Normal"/>
    <w:link w:val="EndNoteBibliographyTitleChar"/>
    <w:rsid w:val="00044072"/>
    <w:pPr>
      <w:spacing w:after="0"/>
      <w:jc w:val="center"/>
    </w:pPr>
    <w:rPr>
      <w:rFonts w:cs="Calibri"/>
      <w:noProof/>
      <w:color w:val="258221"/>
      <w:lang w:val="en-US"/>
    </w:rPr>
  </w:style>
  <w:style w:type="character" w:customStyle="1" w:styleId="EndNoteBibliographyTitleChar">
    <w:name w:val="EndNote Bibliography Title Char"/>
    <w:basedOn w:val="InstructionaltextChar"/>
    <w:link w:val="EndNoteBibliographyTitle"/>
    <w:rsid w:val="00044072"/>
    <w:rPr>
      <w:rFonts w:ascii="Calibri" w:eastAsia="Calibri" w:hAnsi="Calibri" w:cs="Calibri"/>
      <w:noProof/>
      <w:color w:val="258221"/>
      <w:lang w:val="en-US"/>
    </w:rPr>
  </w:style>
  <w:style w:type="paragraph" w:customStyle="1" w:styleId="EndNoteBibliography">
    <w:name w:val="EndNote Bibliography"/>
    <w:basedOn w:val="Normal"/>
    <w:link w:val="EndNoteBibliographyChar"/>
    <w:rsid w:val="00044072"/>
    <w:pPr>
      <w:spacing w:line="240" w:lineRule="auto"/>
    </w:pPr>
    <w:rPr>
      <w:rFonts w:cs="Calibri"/>
      <w:noProof/>
      <w:color w:val="258221"/>
      <w:lang w:val="en-US"/>
    </w:rPr>
  </w:style>
  <w:style w:type="character" w:customStyle="1" w:styleId="EndNoteBibliographyChar">
    <w:name w:val="EndNote Bibliography Char"/>
    <w:basedOn w:val="InstructionaltextChar"/>
    <w:link w:val="EndNoteBibliography"/>
    <w:rsid w:val="00044072"/>
    <w:rPr>
      <w:rFonts w:ascii="Calibri" w:eastAsia="Calibri" w:hAnsi="Calibri" w:cs="Calibri"/>
      <w:noProof/>
      <w:color w:val="258221"/>
      <w:lang w:val="en-US"/>
    </w:rPr>
  </w:style>
  <w:style w:type="character" w:styleId="UnresolvedMention">
    <w:name w:val="Unresolved Mention"/>
    <w:basedOn w:val="DefaultParagraphFont"/>
    <w:uiPriority w:val="99"/>
    <w:semiHidden/>
    <w:unhideWhenUsed/>
    <w:rsid w:val="00044072"/>
    <w:rPr>
      <w:color w:val="605E5C"/>
      <w:shd w:val="clear" w:color="auto" w:fill="E1DFDD"/>
    </w:rPr>
  </w:style>
  <w:style w:type="paragraph" w:customStyle="1" w:styleId="TableHEADER">
    <w:name w:val="Table HEADER"/>
    <w:basedOn w:val="Normal"/>
    <w:qFormat/>
    <w:rsid w:val="009E4C74"/>
    <w:pPr>
      <w:spacing w:before="120" w:after="120" w:line="240" w:lineRule="auto"/>
      <w:ind w:right="82"/>
      <w:jc w:val="left"/>
    </w:pPr>
    <w:rPr>
      <w:rFonts w:eastAsiaTheme="minorHAnsi" w:cs="Tahoma"/>
      <w:b/>
      <w:sz w:val="20"/>
      <w:szCs w:val="20"/>
      <w:lang w:eastAsia="en-AU"/>
    </w:rPr>
  </w:style>
  <w:style w:type="paragraph" w:styleId="BodyText">
    <w:name w:val="Body Text"/>
    <w:basedOn w:val="Normal"/>
    <w:link w:val="BodyTextChar"/>
    <w:uiPriority w:val="1"/>
    <w:qFormat/>
    <w:rsid w:val="004A2752"/>
    <w:pPr>
      <w:widowControl w:val="0"/>
      <w:autoSpaceDE w:val="0"/>
      <w:autoSpaceDN w:val="0"/>
      <w:spacing w:after="120" w:line="240" w:lineRule="auto"/>
      <w:ind w:left="115"/>
      <w:jc w:val="left"/>
    </w:pPr>
    <w:rPr>
      <w:rFonts w:ascii="Arial" w:eastAsia="Arial" w:hAnsi="Arial" w:cs="Arial"/>
      <w:sz w:val="20"/>
      <w:szCs w:val="20"/>
      <w:lang w:eastAsia="en-AU" w:bidi="en-AU"/>
    </w:rPr>
  </w:style>
  <w:style w:type="character" w:customStyle="1" w:styleId="BodyTextChar">
    <w:name w:val="Body Text Char"/>
    <w:basedOn w:val="DefaultParagraphFont"/>
    <w:link w:val="BodyText"/>
    <w:uiPriority w:val="1"/>
    <w:rsid w:val="004A2752"/>
    <w:rPr>
      <w:rFonts w:ascii="Arial" w:eastAsia="Arial" w:hAnsi="Arial" w:cs="Arial"/>
      <w:sz w:val="20"/>
      <w:szCs w:val="20"/>
      <w:lang w:eastAsia="en-AU" w:bidi="en-AU"/>
    </w:rPr>
  </w:style>
  <w:style w:type="paragraph" w:customStyle="1" w:styleId="Tablenotes0">
    <w:name w:val="Table notes"/>
    <w:basedOn w:val="Normal"/>
    <w:link w:val="TablenotesChar0"/>
    <w:qFormat/>
    <w:rsid w:val="004A2752"/>
    <w:pPr>
      <w:suppressAutoHyphens/>
      <w:spacing w:after="0" w:line="240" w:lineRule="auto"/>
      <w:ind w:left="23"/>
    </w:pPr>
    <w:rPr>
      <w:rFonts w:ascii="Arial Narrow" w:eastAsia="SimSun" w:hAnsi="Arial Narrow" w:cs="Tahoma"/>
      <w:bCs/>
      <w:snapToGrid w:val="0"/>
      <w:sz w:val="20"/>
      <w:szCs w:val="20"/>
      <w:lang w:eastAsia="en-AU"/>
    </w:rPr>
  </w:style>
  <w:style w:type="character" w:customStyle="1" w:styleId="TablenotesChar0">
    <w:name w:val="Table notes Char"/>
    <w:basedOn w:val="DefaultParagraphFont"/>
    <w:link w:val="Tablenotes0"/>
    <w:rsid w:val="004A2752"/>
    <w:rPr>
      <w:rFonts w:ascii="Arial Narrow" w:eastAsia="SimSun" w:hAnsi="Arial Narrow" w:cs="Tahoma"/>
      <w:bCs/>
      <w:snapToGrid w:val="0"/>
      <w:sz w:val="20"/>
      <w:szCs w:val="20"/>
      <w:lang w:eastAsia="en-AU"/>
    </w:rPr>
  </w:style>
  <w:style w:type="paragraph" w:styleId="NormalWeb">
    <w:name w:val="Normal (Web)"/>
    <w:basedOn w:val="Normal"/>
    <w:uiPriority w:val="99"/>
    <w:semiHidden/>
    <w:unhideWhenUsed/>
    <w:rsid w:val="002964BF"/>
    <w:pPr>
      <w:spacing w:before="100" w:beforeAutospacing="1" w:after="100" w:afterAutospacing="1" w:line="240" w:lineRule="auto"/>
      <w:jc w:val="left"/>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00520">
      <w:bodyDiv w:val="1"/>
      <w:marLeft w:val="0"/>
      <w:marRight w:val="0"/>
      <w:marTop w:val="0"/>
      <w:marBottom w:val="0"/>
      <w:divBdr>
        <w:top w:val="none" w:sz="0" w:space="0" w:color="auto"/>
        <w:left w:val="none" w:sz="0" w:space="0" w:color="auto"/>
        <w:bottom w:val="none" w:sz="0" w:space="0" w:color="auto"/>
        <w:right w:val="none" w:sz="0" w:space="0" w:color="auto"/>
      </w:divBdr>
    </w:div>
    <w:div w:id="116920213">
      <w:bodyDiv w:val="1"/>
      <w:marLeft w:val="0"/>
      <w:marRight w:val="0"/>
      <w:marTop w:val="0"/>
      <w:marBottom w:val="0"/>
      <w:divBdr>
        <w:top w:val="none" w:sz="0" w:space="0" w:color="auto"/>
        <w:left w:val="none" w:sz="0" w:space="0" w:color="auto"/>
        <w:bottom w:val="none" w:sz="0" w:space="0" w:color="auto"/>
        <w:right w:val="none" w:sz="0" w:space="0" w:color="auto"/>
      </w:divBdr>
    </w:div>
    <w:div w:id="378169523">
      <w:bodyDiv w:val="1"/>
      <w:marLeft w:val="0"/>
      <w:marRight w:val="0"/>
      <w:marTop w:val="0"/>
      <w:marBottom w:val="0"/>
      <w:divBdr>
        <w:top w:val="none" w:sz="0" w:space="0" w:color="auto"/>
        <w:left w:val="none" w:sz="0" w:space="0" w:color="auto"/>
        <w:bottom w:val="none" w:sz="0" w:space="0" w:color="auto"/>
        <w:right w:val="none" w:sz="0" w:space="0" w:color="auto"/>
      </w:divBdr>
    </w:div>
    <w:div w:id="402030214">
      <w:bodyDiv w:val="1"/>
      <w:marLeft w:val="0"/>
      <w:marRight w:val="0"/>
      <w:marTop w:val="0"/>
      <w:marBottom w:val="0"/>
      <w:divBdr>
        <w:top w:val="none" w:sz="0" w:space="0" w:color="auto"/>
        <w:left w:val="none" w:sz="0" w:space="0" w:color="auto"/>
        <w:bottom w:val="none" w:sz="0" w:space="0" w:color="auto"/>
        <w:right w:val="none" w:sz="0" w:space="0" w:color="auto"/>
      </w:divBdr>
    </w:div>
    <w:div w:id="448818961">
      <w:bodyDiv w:val="1"/>
      <w:marLeft w:val="0"/>
      <w:marRight w:val="0"/>
      <w:marTop w:val="0"/>
      <w:marBottom w:val="0"/>
      <w:divBdr>
        <w:top w:val="none" w:sz="0" w:space="0" w:color="auto"/>
        <w:left w:val="none" w:sz="0" w:space="0" w:color="auto"/>
        <w:bottom w:val="none" w:sz="0" w:space="0" w:color="auto"/>
        <w:right w:val="none" w:sz="0" w:space="0" w:color="auto"/>
      </w:divBdr>
    </w:div>
    <w:div w:id="510267069">
      <w:bodyDiv w:val="1"/>
      <w:marLeft w:val="0"/>
      <w:marRight w:val="0"/>
      <w:marTop w:val="0"/>
      <w:marBottom w:val="0"/>
      <w:divBdr>
        <w:top w:val="none" w:sz="0" w:space="0" w:color="auto"/>
        <w:left w:val="none" w:sz="0" w:space="0" w:color="auto"/>
        <w:bottom w:val="none" w:sz="0" w:space="0" w:color="auto"/>
        <w:right w:val="none" w:sz="0" w:space="0" w:color="auto"/>
      </w:divBdr>
    </w:div>
    <w:div w:id="557087695">
      <w:bodyDiv w:val="1"/>
      <w:marLeft w:val="0"/>
      <w:marRight w:val="0"/>
      <w:marTop w:val="0"/>
      <w:marBottom w:val="0"/>
      <w:divBdr>
        <w:top w:val="none" w:sz="0" w:space="0" w:color="auto"/>
        <w:left w:val="none" w:sz="0" w:space="0" w:color="auto"/>
        <w:bottom w:val="none" w:sz="0" w:space="0" w:color="auto"/>
        <w:right w:val="none" w:sz="0" w:space="0" w:color="auto"/>
      </w:divBdr>
    </w:div>
    <w:div w:id="575087486">
      <w:bodyDiv w:val="1"/>
      <w:marLeft w:val="0"/>
      <w:marRight w:val="0"/>
      <w:marTop w:val="0"/>
      <w:marBottom w:val="0"/>
      <w:divBdr>
        <w:top w:val="none" w:sz="0" w:space="0" w:color="auto"/>
        <w:left w:val="none" w:sz="0" w:space="0" w:color="auto"/>
        <w:bottom w:val="none" w:sz="0" w:space="0" w:color="auto"/>
        <w:right w:val="none" w:sz="0" w:space="0" w:color="auto"/>
      </w:divBdr>
    </w:div>
    <w:div w:id="647901149">
      <w:bodyDiv w:val="1"/>
      <w:marLeft w:val="0"/>
      <w:marRight w:val="0"/>
      <w:marTop w:val="0"/>
      <w:marBottom w:val="0"/>
      <w:divBdr>
        <w:top w:val="none" w:sz="0" w:space="0" w:color="auto"/>
        <w:left w:val="none" w:sz="0" w:space="0" w:color="auto"/>
        <w:bottom w:val="none" w:sz="0" w:space="0" w:color="auto"/>
        <w:right w:val="none" w:sz="0" w:space="0" w:color="auto"/>
      </w:divBdr>
    </w:div>
    <w:div w:id="688532201">
      <w:bodyDiv w:val="1"/>
      <w:marLeft w:val="0"/>
      <w:marRight w:val="0"/>
      <w:marTop w:val="0"/>
      <w:marBottom w:val="0"/>
      <w:divBdr>
        <w:top w:val="none" w:sz="0" w:space="0" w:color="auto"/>
        <w:left w:val="none" w:sz="0" w:space="0" w:color="auto"/>
        <w:bottom w:val="none" w:sz="0" w:space="0" w:color="auto"/>
        <w:right w:val="none" w:sz="0" w:space="0" w:color="auto"/>
      </w:divBdr>
    </w:div>
    <w:div w:id="778136752">
      <w:bodyDiv w:val="1"/>
      <w:marLeft w:val="0"/>
      <w:marRight w:val="0"/>
      <w:marTop w:val="0"/>
      <w:marBottom w:val="0"/>
      <w:divBdr>
        <w:top w:val="none" w:sz="0" w:space="0" w:color="auto"/>
        <w:left w:val="none" w:sz="0" w:space="0" w:color="auto"/>
        <w:bottom w:val="none" w:sz="0" w:space="0" w:color="auto"/>
        <w:right w:val="none" w:sz="0" w:space="0" w:color="auto"/>
      </w:divBdr>
    </w:div>
    <w:div w:id="800535667">
      <w:bodyDiv w:val="1"/>
      <w:marLeft w:val="0"/>
      <w:marRight w:val="0"/>
      <w:marTop w:val="0"/>
      <w:marBottom w:val="0"/>
      <w:divBdr>
        <w:top w:val="none" w:sz="0" w:space="0" w:color="auto"/>
        <w:left w:val="none" w:sz="0" w:space="0" w:color="auto"/>
        <w:bottom w:val="none" w:sz="0" w:space="0" w:color="auto"/>
        <w:right w:val="none" w:sz="0" w:space="0" w:color="auto"/>
      </w:divBdr>
    </w:div>
    <w:div w:id="1023242140">
      <w:bodyDiv w:val="1"/>
      <w:marLeft w:val="0"/>
      <w:marRight w:val="0"/>
      <w:marTop w:val="0"/>
      <w:marBottom w:val="0"/>
      <w:divBdr>
        <w:top w:val="none" w:sz="0" w:space="0" w:color="auto"/>
        <w:left w:val="none" w:sz="0" w:space="0" w:color="auto"/>
        <w:bottom w:val="none" w:sz="0" w:space="0" w:color="auto"/>
        <w:right w:val="none" w:sz="0" w:space="0" w:color="auto"/>
      </w:divBdr>
    </w:div>
    <w:div w:id="1258444929">
      <w:bodyDiv w:val="1"/>
      <w:marLeft w:val="0"/>
      <w:marRight w:val="0"/>
      <w:marTop w:val="0"/>
      <w:marBottom w:val="0"/>
      <w:divBdr>
        <w:top w:val="none" w:sz="0" w:space="0" w:color="auto"/>
        <w:left w:val="none" w:sz="0" w:space="0" w:color="auto"/>
        <w:bottom w:val="none" w:sz="0" w:space="0" w:color="auto"/>
        <w:right w:val="none" w:sz="0" w:space="0" w:color="auto"/>
      </w:divBdr>
    </w:div>
    <w:div w:id="1511987132">
      <w:bodyDiv w:val="1"/>
      <w:marLeft w:val="0"/>
      <w:marRight w:val="0"/>
      <w:marTop w:val="0"/>
      <w:marBottom w:val="0"/>
      <w:divBdr>
        <w:top w:val="none" w:sz="0" w:space="0" w:color="auto"/>
        <w:left w:val="none" w:sz="0" w:space="0" w:color="auto"/>
        <w:bottom w:val="none" w:sz="0" w:space="0" w:color="auto"/>
        <w:right w:val="none" w:sz="0" w:space="0" w:color="auto"/>
      </w:divBdr>
    </w:div>
    <w:div w:id="1516844507">
      <w:bodyDiv w:val="1"/>
      <w:marLeft w:val="0"/>
      <w:marRight w:val="0"/>
      <w:marTop w:val="0"/>
      <w:marBottom w:val="0"/>
      <w:divBdr>
        <w:top w:val="none" w:sz="0" w:space="0" w:color="auto"/>
        <w:left w:val="none" w:sz="0" w:space="0" w:color="auto"/>
        <w:bottom w:val="none" w:sz="0" w:space="0" w:color="auto"/>
        <w:right w:val="none" w:sz="0" w:space="0" w:color="auto"/>
      </w:divBdr>
    </w:div>
    <w:div w:id="1559246317">
      <w:bodyDiv w:val="1"/>
      <w:marLeft w:val="0"/>
      <w:marRight w:val="0"/>
      <w:marTop w:val="0"/>
      <w:marBottom w:val="0"/>
      <w:divBdr>
        <w:top w:val="none" w:sz="0" w:space="0" w:color="auto"/>
        <w:left w:val="none" w:sz="0" w:space="0" w:color="auto"/>
        <w:bottom w:val="none" w:sz="0" w:space="0" w:color="auto"/>
        <w:right w:val="none" w:sz="0" w:space="0" w:color="auto"/>
      </w:divBdr>
    </w:div>
    <w:div w:id="1689982625">
      <w:bodyDiv w:val="1"/>
      <w:marLeft w:val="0"/>
      <w:marRight w:val="0"/>
      <w:marTop w:val="0"/>
      <w:marBottom w:val="0"/>
      <w:divBdr>
        <w:top w:val="none" w:sz="0" w:space="0" w:color="auto"/>
        <w:left w:val="none" w:sz="0" w:space="0" w:color="auto"/>
        <w:bottom w:val="none" w:sz="0" w:space="0" w:color="auto"/>
        <w:right w:val="none" w:sz="0" w:space="0" w:color="auto"/>
      </w:divBdr>
    </w:div>
    <w:div w:id="1776095209">
      <w:bodyDiv w:val="1"/>
      <w:marLeft w:val="0"/>
      <w:marRight w:val="0"/>
      <w:marTop w:val="0"/>
      <w:marBottom w:val="0"/>
      <w:divBdr>
        <w:top w:val="none" w:sz="0" w:space="0" w:color="auto"/>
        <w:left w:val="none" w:sz="0" w:space="0" w:color="auto"/>
        <w:bottom w:val="none" w:sz="0" w:space="0" w:color="auto"/>
        <w:right w:val="none" w:sz="0" w:space="0" w:color="auto"/>
      </w:divBdr>
    </w:div>
    <w:div w:id="2032880099">
      <w:bodyDiv w:val="1"/>
      <w:marLeft w:val="0"/>
      <w:marRight w:val="0"/>
      <w:marTop w:val="0"/>
      <w:marBottom w:val="0"/>
      <w:divBdr>
        <w:top w:val="none" w:sz="0" w:space="0" w:color="auto"/>
        <w:left w:val="none" w:sz="0" w:space="0" w:color="auto"/>
        <w:bottom w:val="none" w:sz="0" w:space="0" w:color="auto"/>
        <w:right w:val="none" w:sz="0" w:space="0" w:color="auto"/>
      </w:divBdr>
    </w:div>
    <w:div w:id="204991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eartfoundation.org.au/getmedia/4342a70f-4487-496e-bbb0-dae33a47fcb2/Absolute-CVD-Risk-Full-Guidelines_2.pdf" TargetMode="External"/><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heartfoundation.org.au/getmedia/4342a70f-4487-496e-bbb0-dae33a47fcb2/Absolute-CVD-Risk-Full-Guidelines_2.pdf"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08223-21A4-4AF3-96A0-33C2A4D04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13108</Words>
  <Characters>74718</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2023-06-19T01:36:00Z</dcterms:created>
  <dcterms:modified xsi:type="dcterms:W3CDTF">2023-06-19T01:36:00Z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dbee35744da68d71f89ac69117322e37125df09fe4bd1c7a7e0d6e0c42d41aab</vt:lpwstr>
  </property>
</Properties>
</file>