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8181" w14:textId="77777777" w:rsidR="00965F3C" w:rsidRDefault="00965F3C" w:rsidP="00806A24">
      <w:pPr>
        <w:spacing w:before="360" w:after="240" w:line="240" w:lineRule="auto"/>
        <w:jc w:val="center"/>
        <w:rPr>
          <w:rFonts w:ascii="Arial" w:eastAsia="SimSun" w:hAnsi="Arial" w:cs="Arial"/>
          <w:b/>
          <w:bCs/>
          <w:color w:val="000080"/>
          <w:sz w:val="36"/>
          <w:szCs w:val="36"/>
        </w:rPr>
      </w:pPr>
      <w:bookmarkStart w:id="0" w:name="_Toc69491414"/>
      <w:bookmarkStart w:id="1" w:name="_Toc94262707"/>
      <w:r>
        <w:rPr>
          <w:noProof/>
        </w:rPr>
        <w:drawing>
          <wp:inline distT="0" distB="0" distL="0" distR="0" wp14:anchorId="1DEB5022" wp14:editId="676DE0B2">
            <wp:extent cx="2627630" cy="1078865"/>
            <wp:effectExtent l="0" t="0" r="1270" b="6985"/>
            <wp:docPr id="4" name="Picture 4"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0B9D5AB" w14:textId="252C8413" w:rsidR="00806A24" w:rsidRPr="00806A24" w:rsidRDefault="00806A24" w:rsidP="00806A24">
      <w:pPr>
        <w:spacing w:before="360" w:after="240" w:line="240" w:lineRule="auto"/>
        <w:jc w:val="center"/>
        <w:rPr>
          <w:rFonts w:ascii="Arial" w:eastAsia="SimSun" w:hAnsi="Arial" w:cs="Arial"/>
          <w:b/>
          <w:bCs/>
          <w:color w:val="000080"/>
          <w:sz w:val="36"/>
          <w:szCs w:val="36"/>
        </w:rPr>
      </w:pPr>
      <w:r w:rsidRPr="00806A24">
        <w:rPr>
          <w:rFonts w:ascii="Arial" w:eastAsia="SimSun" w:hAnsi="Arial" w:cs="Arial"/>
          <w:b/>
          <w:bCs/>
          <w:color w:val="000080"/>
          <w:sz w:val="36"/>
          <w:szCs w:val="36"/>
        </w:rPr>
        <w:t>Public Summary Document</w:t>
      </w:r>
    </w:p>
    <w:p w14:paraId="6446C00F" w14:textId="77777777" w:rsidR="00806A24" w:rsidRPr="00806A24" w:rsidRDefault="00806A24" w:rsidP="00806A24">
      <w:pPr>
        <w:spacing w:after="240" w:line="240" w:lineRule="auto"/>
        <w:jc w:val="center"/>
        <w:rPr>
          <w:rFonts w:ascii="Arial" w:eastAsia="SimSun" w:hAnsi="Arial" w:cs="Arial"/>
          <w:b/>
          <w:bCs/>
          <w:i/>
          <w:iCs/>
          <w:color w:val="000080"/>
          <w:sz w:val="28"/>
          <w:szCs w:val="28"/>
        </w:rPr>
      </w:pPr>
      <w:r w:rsidRPr="00806A24">
        <w:rPr>
          <w:rFonts w:ascii="Arial" w:eastAsia="SimSun" w:hAnsi="Arial" w:cs="Arial"/>
          <w:b/>
          <w:bCs/>
          <w:i/>
          <w:iCs/>
          <w:color w:val="000080"/>
          <w:sz w:val="28"/>
          <w:szCs w:val="28"/>
        </w:rPr>
        <w:t>Application No. 1699 – National Lung Cancer Screening Program</w:t>
      </w:r>
    </w:p>
    <w:p w14:paraId="344B7F7D" w14:textId="77777777" w:rsidR="00CF687D" w:rsidRPr="00D52603" w:rsidRDefault="00CF687D" w:rsidP="00CF687D">
      <w:pPr>
        <w:tabs>
          <w:tab w:val="left" w:pos="3686"/>
        </w:tabs>
        <w:spacing w:before="240"/>
        <w:rPr>
          <w:rFonts w:ascii="Arial" w:hAnsi="Arial" w:cs="Arial"/>
          <w:b/>
        </w:rPr>
      </w:pPr>
      <w:r w:rsidRPr="00D52603">
        <w:rPr>
          <w:rFonts w:ascii="Arial" w:hAnsi="Arial" w:cs="Arial"/>
          <w:b/>
        </w:rPr>
        <w:t xml:space="preserve">Applicant: </w:t>
      </w:r>
      <w:r>
        <w:rPr>
          <w:rFonts w:ascii="Arial" w:hAnsi="Arial" w:cs="Arial"/>
          <w:b/>
        </w:rPr>
        <w:tab/>
      </w:r>
      <w:r w:rsidRPr="00D52603">
        <w:rPr>
          <w:rFonts w:ascii="Arial" w:hAnsi="Arial" w:cs="Arial"/>
          <w:b/>
        </w:rPr>
        <w:t>Cancer Australia</w:t>
      </w:r>
    </w:p>
    <w:p w14:paraId="4F66AB36" w14:textId="5AF2C7A0" w:rsidR="00CF687D" w:rsidRPr="00D52603" w:rsidRDefault="00CF687D" w:rsidP="00CF687D">
      <w:pPr>
        <w:tabs>
          <w:tab w:val="left" w:pos="3686"/>
        </w:tabs>
        <w:spacing w:before="240"/>
        <w:rPr>
          <w:rFonts w:ascii="Arial" w:hAnsi="Arial" w:cs="Arial"/>
          <w:b/>
        </w:rPr>
      </w:pPr>
      <w:r w:rsidRPr="00D52603">
        <w:rPr>
          <w:rFonts w:ascii="Arial" w:hAnsi="Arial" w:cs="Arial"/>
          <w:b/>
        </w:rPr>
        <w:t xml:space="preserve">Date of </w:t>
      </w:r>
      <w:r>
        <w:rPr>
          <w:rFonts w:ascii="Arial" w:hAnsi="Arial" w:cs="Arial"/>
          <w:b/>
        </w:rPr>
        <w:t>MSAC</w:t>
      </w:r>
      <w:r w:rsidRPr="00D52603">
        <w:rPr>
          <w:rFonts w:ascii="Arial" w:hAnsi="Arial" w:cs="Arial"/>
          <w:b/>
        </w:rPr>
        <w:t xml:space="preserve"> consideration: </w:t>
      </w:r>
      <w:r>
        <w:rPr>
          <w:rFonts w:ascii="Arial" w:hAnsi="Arial" w:cs="Arial"/>
          <w:b/>
        </w:rPr>
        <w:tab/>
      </w:r>
      <w:r w:rsidR="00806A24">
        <w:rPr>
          <w:rFonts w:ascii="Arial" w:hAnsi="Arial" w:cs="Arial"/>
          <w:b/>
        </w:rPr>
        <w:t>28-29</w:t>
      </w:r>
      <w:r w:rsidRPr="00A513B1">
        <w:rPr>
          <w:rFonts w:ascii="Arial" w:hAnsi="Arial" w:cs="Arial"/>
          <w:b/>
        </w:rPr>
        <w:t xml:space="preserve"> </w:t>
      </w:r>
      <w:r w:rsidR="00806A24">
        <w:rPr>
          <w:rFonts w:ascii="Arial" w:hAnsi="Arial" w:cs="Arial"/>
          <w:b/>
        </w:rPr>
        <w:t>July</w:t>
      </w:r>
      <w:r w:rsidRPr="00A513B1">
        <w:rPr>
          <w:rFonts w:ascii="Arial" w:hAnsi="Arial" w:cs="Arial"/>
          <w:b/>
        </w:rPr>
        <w:t xml:space="preserve"> 2022</w:t>
      </w:r>
    </w:p>
    <w:p w14:paraId="56A1DA56" w14:textId="77777777" w:rsidR="00F47136" w:rsidRPr="00777EBF" w:rsidRDefault="00F47136" w:rsidP="00F47136">
      <w:pPr>
        <w:spacing w:before="240" w:after="360"/>
        <w:rPr>
          <w:szCs w:val="24"/>
          <w:u w:val="single"/>
        </w:rPr>
      </w:pPr>
      <w:bookmarkStart w:id="2" w:name="_Toc69491415"/>
      <w:bookmarkStart w:id="3" w:name="_Toc94262708"/>
      <w:bookmarkEnd w:id="0"/>
      <w:bookmarkEnd w:id="1"/>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069F8776" w14:textId="77777777" w:rsidR="00806A24" w:rsidRPr="003749B0" w:rsidRDefault="00806A24" w:rsidP="00806A24">
      <w:pPr>
        <w:pStyle w:val="Heading2"/>
      </w:pPr>
      <w:r w:rsidRPr="003749B0">
        <w:t>1.</w:t>
      </w:r>
      <w:r w:rsidRPr="003749B0">
        <w:tab/>
        <w:t xml:space="preserve">Purpose </w:t>
      </w:r>
      <w:r w:rsidRPr="003749B0">
        <w:rPr>
          <w:szCs w:val="32"/>
        </w:rPr>
        <w:t>of</w:t>
      </w:r>
      <w:r w:rsidRPr="003749B0">
        <w:t xml:space="preserve"> application</w:t>
      </w:r>
      <w:bookmarkEnd w:id="2"/>
      <w:bookmarkEnd w:id="3"/>
    </w:p>
    <w:p w14:paraId="69FEE492" w14:textId="05776024" w:rsidR="00806A24" w:rsidRPr="002E1E38" w:rsidRDefault="00806A24" w:rsidP="00806A24">
      <w:r w:rsidRPr="003749B0">
        <w:t>This application s</w:t>
      </w:r>
      <w:r>
        <w:t>ought</w:t>
      </w:r>
      <w:r w:rsidRPr="003749B0">
        <w:t xml:space="preserve"> MSAC’s advice in relation to a proposed national lung cancer screening program (the Program) for Australia. </w:t>
      </w:r>
      <w:r>
        <w:t>The application was deferred by MSAC at its 31 March – 1 April</w:t>
      </w:r>
      <w:r w:rsidR="00ED3A4A">
        <w:t> </w:t>
      </w:r>
      <w:r>
        <w:t xml:space="preserve">2022 meeting to seek </w:t>
      </w:r>
      <w:r w:rsidRPr="002E1E38">
        <w:t>the following information expeditiously:</w:t>
      </w:r>
    </w:p>
    <w:p w14:paraId="7293B46A" w14:textId="77577A75" w:rsidR="00806A24" w:rsidRPr="00F16425" w:rsidRDefault="00806A24" w:rsidP="00E37822">
      <w:pPr>
        <w:pStyle w:val="ListParagraph"/>
        <w:numPr>
          <w:ilvl w:val="0"/>
          <w:numId w:val="11"/>
        </w:numPr>
      </w:pPr>
      <w:r w:rsidRPr="00F16425">
        <w:t xml:space="preserve">clarification </w:t>
      </w:r>
      <w:r w:rsidRPr="00F16425">
        <w:rPr>
          <w:bCs/>
        </w:rPr>
        <w:t>regarding</w:t>
      </w:r>
      <w:r w:rsidRPr="00F16425">
        <w:t xml:space="preserve"> the validity of the Australian modelled economic evaluation</w:t>
      </w:r>
    </w:p>
    <w:p w14:paraId="277D3E9F" w14:textId="77777777" w:rsidR="00806A24" w:rsidRPr="00F16425" w:rsidRDefault="00806A24" w:rsidP="00E37822">
      <w:pPr>
        <w:pStyle w:val="ListParagraph"/>
        <w:numPr>
          <w:ilvl w:val="0"/>
          <w:numId w:val="11"/>
        </w:numPr>
      </w:pPr>
      <w:r w:rsidRPr="00F16425">
        <w:rPr>
          <w:bCs/>
        </w:rPr>
        <w:t>an</w:t>
      </w:r>
      <w:r w:rsidRPr="00F16425">
        <w:t xml:space="preserve"> investigation of whether a lower ICER is achievable with adjustments to the definition of the population eligible for screening and/or screening intervals</w:t>
      </w:r>
    </w:p>
    <w:p w14:paraId="0AD813D6" w14:textId="404214E1" w:rsidR="00806A24" w:rsidRDefault="00806A24" w:rsidP="00E37822">
      <w:pPr>
        <w:pStyle w:val="ListParagraph"/>
        <w:numPr>
          <w:ilvl w:val="0"/>
          <w:numId w:val="11"/>
        </w:numPr>
      </w:pPr>
      <w:r w:rsidRPr="00E37822">
        <w:t>associated</w:t>
      </w:r>
      <w:r w:rsidRPr="00F16425">
        <w:t xml:space="preserve"> with and contingent on this, a more complete financial analysis of the proposed Program.</w:t>
      </w:r>
    </w:p>
    <w:p w14:paraId="4227E2EA" w14:textId="4FAFFA47" w:rsidR="00806A24" w:rsidRPr="00F16425" w:rsidRDefault="00806A24" w:rsidP="00806A24">
      <w:pPr>
        <w:pStyle w:val="Instructionaltext"/>
        <w:rPr>
          <w:color w:val="auto"/>
        </w:rPr>
      </w:pPr>
      <w:r>
        <w:rPr>
          <w:color w:val="auto"/>
        </w:rPr>
        <w:t>The requested additional information was provided in time for MSAC reconsideration of the application in July</w:t>
      </w:r>
      <w:r w:rsidR="00ED3A4A">
        <w:rPr>
          <w:color w:val="auto"/>
        </w:rPr>
        <w:t> </w:t>
      </w:r>
      <w:r>
        <w:rPr>
          <w:color w:val="auto"/>
        </w:rPr>
        <w:t>2022.</w:t>
      </w:r>
    </w:p>
    <w:p w14:paraId="6AA080EE" w14:textId="49F697E9" w:rsidR="00AF46D8" w:rsidRPr="00DF3BBC" w:rsidRDefault="00806A24" w:rsidP="00DF3BBC">
      <w:pPr>
        <w:pStyle w:val="Heading2"/>
      </w:pPr>
      <w:r>
        <w:t>2</w:t>
      </w:r>
      <w:r w:rsidRPr="003749B0">
        <w:t>.</w:t>
      </w:r>
      <w:r w:rsidRPr="003749B0">
        <w:tab/>
      </w:r>
      <w:r w:rsidR="00AF46D8">
        <w:t>MSAC’s advice to the Minister</w:t>
      </w:r>
    </w:p>
    <w:p w14:paraId="2A7F21D3" w14:textId="489FC010" w:rsidR="00DF3BBC" w:rsidRDefault="00716321" w:rsidP="00DF3BBC">
      <w:pPr>
        <w:rPr>
          <w:szCs w:val="24"/>
        </w:rPr>
      </w:pPr>
      <w:r w:rsidRPr="00D81A81">
        <w:t>After considering the strength of the available evidence in relation to comparative safety, clinical effectiveness</w:t>
      </w:r>
      <w:r w:rsidR="00FD388E">
        <w:t>,</w:t>
      </w:r>
      <w:r w:rsidRPr="00D81A81">
        <w:t xml:space="preserve"> cost-effectiveness</w:t>
      </w:r>
      <w:r w:rsidR="00FD388E">
        <w:t xml:space="preserve"> and total cost</w:t>
      </w:r>
      <w:r w:rsidRPr="00D81A81">
        <w:t xml:space="preserve">, </w:t>
      </w:r>
      <w:r w:rsidR="006D50B3" w:rsidRPr="008040F8">
        <w:t xml:space="preserve">MSAC supported the introduction of a National Lung Cancer Screening Program, including the creation of a new Medicare Benefits Schedule (MBS) item for </w:t>
      </w:r>
      <w:proofErr w:type="gramStart"/>
      <w:r w:rsidR="006D50B3" w:rsidRPr="008040F8">
        <w:t>low-dose</w:t>
      </w:r>
      <w:proofErr w:type="gramEnd"/>
      <w:r w:rsidR="006D50B3" w:rsidRPr="008040F8">
        <w:t xml:space="preserve"> computed tomography </w:t>
      </w:r>
      <w:r>
        <w:t xml:space="preserve">(LDCT) </w:t>
      </w:r>
      <w:r w:rsidR="006D50B3" w:rsidRPr="008040F8">
        <w:t xml:space="preserve">scans, to support the early detection of lung cancer in asymptomatic high-risk individuals. MSAC considered that its previous uncertainties regarding the economic and financial analyses of the proposed Program had been resolved. MSAC advised that the proposed screening should be on a biennial basis, with individuals eligible for the program being aged 50 to 70 years who </w:t>
      </w:r>
      <w:r w:rsidR="006D50B3">
        <w:t xml:space="preserve">have a history of cigarette </w:t>
      </w:r>
      <w:r w:rsidR="006D50B3" w:rsidRPr="008040F8">
        <w:t xml:space="preserve">smoking </w:t>
      </w:r>
      <w:r w:rsidR="006D50B3">
        <w:t xml:space="preserve">of at least </w:t>
      </w:r>
      <w:r w:rsidR="006D50B3" w:rsidRPr="008040F8">
        <w:t>30 pack</w:t>
      </w:r>
      <w:r w:rsidR="006D50B3">
        <w:t>-year</w:t>
      </w:r>
      <w:r w:rsidR="006D50B3" w:rsidRPr="008040F8">
        <w:t>s</w:t>
      </w:r>
      <w:r w:rsidR="006D50B3">
        <w:t>, and, if former smokers, had quit within the previous</w:t>
      </w:r>
      <w:r w:rsidR="006D50B3" w:rsidRPr="008040F8">
        <w:t xml:space="preserve"> 10 years. MSAC </w:t>
      </w:r>
      <w:r w:rsidR="006D50B3">
        <w:t>advised</w:t>
      </w:r>
      <w:r w:rsidR="006D50B3" w:rsidRPr="008040F8">
        <w:t xml:space="preserve"> that there was high certainty clinical evidence that the proposed Program would lead to a reduction in lung cancer mortality</w:t>
      </w:r>
      <w:r w:rsidR="006D50B3">
        <w:t>. MSAC also advised</w:t>
      </w:r>
      <w:r w:rsidR="006D50B3" w:rsidRPr="008040F8">
        <w:t xml:space="preserve"> that the defined eligibility criteria produced an acceptable and robust incremental cost-effectiveness ratio (ICER) per quality-adjusted life-year (QALY) gained of approximately $65,000 as well as optimising the consequences for lung cancer deaths avoided, overdiagnoses, false positive diagnoses and total net cost to the Australian Government health budget</w:t>
      </w:r>
      <w:r w:rsidR="0044701D" w:rsidRPr="0044701D">
        <w:rPr>
          <w:szCs w:val="24"/>
        </w:rPr>
        <w:t>.</w:t>
      </w:r>
    </w:p>
    <w:p w14:paraId="43681A78" w14:textId="5802B2D9" w:rsidR="00380967" w:rsidRDefault="00380967" w:rsidP="00DF3BBC">
      <w:pPr>
        <w:rPr>
          <w:szCs w:val="24"/>
        </w:rPr>
      </w:pPr>
      <w:r>
        <w:rPr>
          <w:szCs w:val="24"/>
        </w:rPr>
        <w:lastRenderedPageBreak/>
        <w:t xml:space="preserve">MSAC supported the following </w:t>
      </w:r>
      <w:r w:rsidR="00ED3A4A">
        <w:rPr>
          <w:szCs w:val="24"/>
        </w:rPr>
        <w:t xml:space="preserve">new </w:t>
      </w:r>
      <w:r>
        <w:rPr>
          <w:szCs w:val="24"/>
        </w:rPr>
        <w:t>MBS item</w:t>
      </w:r>
      <w:r w:rsidR="00ED3A4A">
        <w:rPr>
          <w:szCs w:val="24"/>
        </w:rPr>
        <w:t xml:space="preserve"> as part of the new Program</w:t>
      </w:r>
      <w:r>
        <w:rPr>
          <w:szCs w:val="24"/>
        </w:rPr>
        <w:t>:</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0967" w14:paraId="6E4CDE40" w14:textId="77777777" w:rsidTr="00344673">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BCE8EE5" w14:textId="77777777" w:rsidR="00380967" w:rsidRDefault="00380967" w:rsidP="00344673">
            <w:pPr>
              <w:pStyle w:val="TableText"/>
              <w:keepNext/>
              <w:rPr>
                <w:sz w:val="24"/>
              </w:rPr>
            </w:pPr>
            <w:r>
              <w:t>Category 5 – DIAGNOSTIC IMAGING SERVICES</w:t>
            </w:r>
          </w:p>
        </w:tc>
      </w:tr>
      <w:tr w:rsidR="00380967" w14:paraId="47B2949B" w14:textId="77777777" w:rsidTr="00344673">
        <w:tc>
          <w:tcPr>
            <w:tcW w:w="5000" w:type="pct"/>
            <w:tcBorders>
              <w:top w:val="single" w:sz="4" w:space="0" w:color="000000"/>
              <w:left w:val="single" w:sz="4" w:space="0" w:color="000000"/>
              <w:bottom w:val="single" w:sz="4" w:space="0" w:color="000000"/>
              <w:right w:val="single" w:sz="4" w:space="0" w:color="000000"/>
            </w:tcBorders>
            <w:hideMark/>
          </w:tcPr>
          <w:p w14:paraId="15F72F38" w14:textId="77777777" w:rsidR="00380967" w:rsidRPr="00207DE9" w:rsidRDefault="00380967" w:rsidP="00344673">
            <w:pPr>
              <w:keepNext/>
              <w:spacing w:after="120"/>
              <w:rPr>
                <w:rFonts w:ascii="Arial Narrow" w:hAnsi="Arial Narrow"/>
                <w:lang w:val="en-US" w:eastAsia="ja-JP"/>
              </w:rPr>
            </w:pPr>
            <w:r w:rsidRPr="00207DE9">
              <w:rPr>
                <w:rFonts w:ascii="Arial Narrow" w:hAnsi="Arial Narrow"/>
                <w:lang w:val="en-US" w:eastAsia="ja-JP"/>
              </w:rPr>
              <w:t>MBS item *56XXX</w:t>
            </w:r>
          </w:p>
          <w:p w14:paraId="46DB3576" w14:textId="6AB7148C" w:rsidR="00380967" w:rsidRPr="002F3906" w:rsidRDefault="00380967" w:rsidP="00344673">
            <w:pPr>
              <w:keepNext/>
              <w:spacing w:after="120"/>
              <w:rPr>
                <w:rFonts w:ascii="Arial Narrow" w:hAnsi="Arial Narrow"/>
                <w:lang w:val="en-US" w:eastAsia="ja-JP"/>
              </w:rPr>
            </w:pPr>
            <w:r w:rsidRPr="00207DE9">
              <w:rPr>
                <w:rFonts w:ascii="Arial Narrow" w:hAnsi="Arial Narrow"/>
                <w:lang w:val="en-US" w:eastAsia="ja-JP"/>
              </w:rPr>
              <w:t>Computed tomography, low dose for lung cancer screening, without contrast material(s)</w:t>
            </w:r>
            <w:r w:rsidR="00207DE9" w:rsidRPr="002F3906">
              <w:rPr>
                <w:rFonts w:ascii="Arial Narrow" w:hAnsi="Arial Narrow"/>
                <w:lang w:val="en-US" w:eastAsia="ja-JP"/>
              </w:rPr>
              <w:t>:</w:t>
            </w:r>
          </w:p>
          <w:p w14:paraId="629EB998" w14:textId="77777777" w:rsidR="00380967" w:rsidRPr="00E73086" w:rsidRDefault="00380967" w:rsidP="00344673">
            <w:pPr>
              <w:pStyle w:val="ListParagraph"/>
              <w:keepNext/>
              <w:numPr>
                <w:ilvl w:val="0"/>
                <w:numId w:val="5"/>
              </w:numPr>
              <w:spacing w:after="120"/>
              <w:rPr>
                <w:rFonts w:ascii="Arial Narrow" w:hAnsi="Arial Narrow"/>
                <w:lang w:val="en-US" w:eastAsia="ja-JP"/>
              </w:rPr>
            </w:pPr>
            <w:r w:rsidRPr="00E73086">
              <w:rPr>
                <w:rFonts w:ascii="Arial Narrow" w:hAnsi="Arial Narrow"/>
                <w:lang w:val="en-US" w:eastAsia="ja-JP"/>
              </w:rPr>
              <w:t>Where the patient:</w:t>
            </w:r>
          </w:p>
          <w:p w14:paraId="7E42F23A" w14:textId="6C6E3006" w:rsidR="00380967" w:rsidRPr="00207DE9" w:rsidRDefault="00380967" w:rsidP="00344673">
            <w:pPr>
              <w:pStyle w:val="ListParagraph"/>
              <w:keepNext/>
              <w:numPr>
                <w:ilvl w:val="1"/>
                <w:numId w:val="5"/>
              </w:numPr>
              <w:spacing w:after="120"/>
              <w:rPr>
                <w:rFonts w:ascii="Arial Narrow" w:hAnsi="Arial Narrow"/>
                <w:lang w:val="en-US" w:eastAsia="ja-JP"/>
              </w:rPr>
            </w:pPr>
            <w:r w:rsidRPr="00E73086">
              <w:rPr>
                <w:rFonts w:ascii="Arial Narrow" w:hAnsi="Arial Narrow"/>
                <w:lang w:val="en-US" w:eastAsia="ja-JP"/>
              </w:rPr>
              <w:t xml:space="preserve">Is aged </w:t>
            </w:r>
            <w:r w:rsidRPr="00207DE9">
              <w:rPr>
                <w:rFonts w:ascii="Arial Narrow" w:hAnsi="Arial Narrow"/>
                <w:lang w:val="en-US" w:eastAsia="ja-JP"/>
              </w:rPr>
              <w:t>50 to 70 years</w:t>
            </w:r>
            <w:r w:rsidRPr="00344673">
              <w:rPr>
                <w:rFonts w:ascii="Arial Narrow" w:hAnsi="Arial Narrow"/>
                <w:lang w:val="en-US" w:eastAsia="ja-JP"/>
              </w:rPr>
              <w:t>;</w:t>
            </w:r>
            <w:r w:rsidR="00207DE9" w:rsidRPr="00207DE9">
              <w:rPr>
                <w:rFonts w:ascii="Arial Narrow" w:hAnsi="Arial Narrow"/>
                <w:lang w:val="en-US" w:eastAsia="ja-JP"/>
              </w:rPr>
              <w:t xml:space="preserve"> and</w:t>
            </w:r>
          </w:p>
          <w:p w14:paraId="69539E7E" w14:textId="77777777" w:rsidR="00380967" w:rsidRPr="00207DE9" w:rsidRDefault="00380967" w:rsidP="00344673">
            <w:pPr>
              <w:pStyle w:val="ListParagraph"/>
              <w:keepNext/>
              <w:numPr>
                <w:ilvl w:val="1"/>
                <w:numId w:val="5"/>
              </w:numPr>
              <w:spacing w:after="120"/>
              <w:rPr>
                <w:rFonts w:ascii="Arial Narrow" w:hAnsi="Arial Narrow"/>
                <w:lang w:val="en-US" w:eastAsia="ja-JP"/>
              </w:rPr>
            </w:pPr>
            <w:r w:rsidRPr="00207DE9">
              <w:rPr>
                <w:rFonts w:ascii="Arial Narrow" w:hAnsi="Arial Narrow"/>
                <w:lang w:val="en-US" w:eastAsia="ja-JP"/>
              </w:rPr>
              <w:t>Is asymptomatic (no signs or symptoms of lung cancer); and</w:t>
            </w:r>
          </w:p>
          <w:p w14:paraId="16150CC8" w14:textId="78271A81" w:rsidR="00207DE9" w:rsidRPr="00207DE9" w:rsidRDefault="00207DE9" w:rsidP="00344673">
            <w:pPr>
              <w:pStyle w:val="ListParagraph"/>
              <w:keepNext/>
              <w:numPr>
                <w:ilvl w:val="1"/>
                <w:numId w:val="5"/>
              </w:numPr>
              <w:spacing w:after="120"/>
              <w:rPr>
                <w:rFonts w:ascii="Arial Narrow" w:hAnsi="Arial Narrow"/>
                <w:lang w:val="en-US" w:eastAsia="ja-JP"/>
              </w:rPr>
            </w:pPr>
            <w:r w:rsidRPr="00207DE9">
              <w:rPr>
                <w:rFonts w:ascii="Arial Narrow" w:hAnsi="Arial Narrow"/>
                <w:lang w:val="en-US" w:eastAsia="ja-JP"/>
              </w:rPr>
              <w:t xml:space="preserve">Has </w:t>
            </w:r>
            <w:r w:rsidR="00380967" w:rsidRPr="00207DE9">
              <w:rPr>
                <w:rFonts w:ascii="Arial Narrow" w:hAnsi="Arial Narrow"/>
                <w:lang w:val="en-US" w:eastAsia="ja-JP"/>
              </w:rPr>
              <w:t xml:space="preserve">a </w:t>
            </w:r>
            <w:r w:rsidRPr="00207DE9">
              <w:rPr>
                <w:rFonts w:ascii="Arial Narrow" w:hAnsi="Arial Narrow"/>
                <w:lang w:val="en-US" w:eastAsia="ja-JP"/>
              </w:rPr>
              <w:t xml:space="preserve">history of cigarette smoking of at least </w:t>
            </w:r>
            <w:r w:rsidR="00380967" w:rsidRPr="00207DE9">
              <w:rPr>
                <w:rFonts w:ascii="Arial Narrow" w:hAnsi="Arial Narrow"/>
                <w:lang w:val="en-US" w:eastAsia="ja-JP"/>
              </w:rPr>
              <w:t>30 pack-years</w:t>
            </w:r>
            <w:r w:rsidRPr="00207DE9">
              <w:rPr>
                <w:rFonts w:ascii="Arial Narrow" w:hAnsi="Arial Narrow"/>
                <w:lang w:val="en-US" w:eastAsia="ja-JP"/>
              </w:rPr>
              <w:t>; and</w:t>
            </w:r>
          </w:p>
          <w:p w14:paraId="47F438B1" w14:textId="623A2C8D" w:rsidR="00380967" w:rsidRPr="00207DE9" w:rsidRDefault="00207DE9" w:rsidP="00344673">
            <w:pPr>
              <w:pStyle w:val="ListParagraph"/>
              <w:keepNext/>
              <w:numPr>
                <w:ilvl w:val="1"/>
                <w:numId w:val="5"/>
              </w:numPr>
              <w:spacing w:after="120"/>
              <w:rPr>
                <w:rFonts w:ascii="Arial Narrow" w:hAnsi="Arial Narrow"/>
                <w:lang w:val="en-US" w:eastAsia="ja-JP"/>
              </w:rPr>
            </w:pPr>
            <w:r w:rsidRPr="00207DE9">
              <w:rPr>
                <w:rFonts w:ascii="Arial Narrow" w:hAnsi="Arial Narrow"/>
                <w:lang w:val="en-US" w:eastAsia="ja-JP"/>
              </w:rPr>
              <w:t xml:space="preserve">If a former </w:t>
            </w:r>
            <w:r w:rsidR="00380967" w:rsidRPr="00207DE9">
              <w:rPr>
                <w:rFonts w:ascii="Arial Narrow" w:hAnsi="Arial Narrow"/>
                <w:lang w:val="en-US" w:eastAsia="ja-JP"/>
              </w:rPr>
              <w:t>smoker</w:t>
            </w:r>
            <w:r w:rsidRPr="00207DE9">
              <w:rPr>
                <w:rFonts w:ascii="Arial Narrow" w:hAnsi="Arial Narrow"/>
                <w:lang w:val="en-US" w:eastAsia="ja-JP"/>
              </w:rPr>
              <w:t>,</w:t>
            </w:r>
            <w:r w:rsidR="00380967" w:rsidRPr="00207DE9">
              <w:rPr>
                <w:rFonts w:ascii="Arial Narrow" w:hAnsi="Arial Narrow"/>
                <w:lang w:val="en-US" w:eastAsia="ja-JP"/>
              </w:rPr>
              <w:t xml:space="preserve"> </w:t>
            </w:r>
            <w:r w:rsidRPr="00207DE9">
              <w:rPr>
                <w:rFonts w:ascii="Arial Narrow" w:hAnsi="Arial Narrow"/>
                <w:lang w:val="en-US" w:eastAsia="ja-JP"/>
              </w:rPr>
              <w:t>h</w:t>
            </w:r>
            <w:r w:rsidR="00380967" w:rsidRPr="00207DE9">
              <w:rPr>
                <w:rFonts w:ascii="Arial Narrow" w:hAnsi="Arial Narrow"/>
                <w:lang w:val="en-US" w:eastAsia="ja-JP"/>
              </w:rPr>
              <w:t xml:space="preserve">as </w:t>
            </w:r>
            <w:r w:rsidRPr="00207DE9">
              <w:rPr>
                <w:rFonts w:ascii="Arial Narrow" w:hAnsi="Arial Narrow"/>
                <w:lang w:val="en-US" w:eastAsia="ja-JP"/>
              </w:rPr>
              <w:t xml:space="preserve">quit within </w:t>
            </w:r>
            <w:r w:rsidR="00380967" w:rsidRPr="00207DE9">
              <w:rPr>
                <w:rFonts w:ascii="Arial Narrow" w:hAnsi="Arial Narrow"/>
                <w:lang w:val="en-US" w:eastAsia="ja-JP"/>
              </w:rPr>
              <w:t>the past 10 years.</w:t>
            </w:r>
          </w:p>
          <w:p w14:paraId="632E4077" w14:textId="77777777" w:rsidR="00380967" w:rsidRPr="00207DE9" w:rsidRDefault="00380967" w:rsidP="00344673">
            <w:pPr>
              <w:pStyle w:val="ListParagraph"/>
              <w:keepNext/>
              <w:numPr>
                <w:ilvl w:val="0"/>
                <w:numId w:val="5"/>
              </w:numPr>
              <w:spacing w:after="120"/>
              <w:rPr>
                <w:rFonts w:ascii="Arial Narrow" w:hAnsi="Arial Narrow"/>
                <w:lang w:val="en-US" w:eastAsia="ja-JP"/>
              </w:rPr>
            </w:pPr>
            <w:r w:rsidRPr="00207DE9">
              <w:rPr>
                <w:rFonts w:ascii="Arial Narrow" w:hAnsi="Arial Narrow"/>
                <w:lang w:val="en-US" w:eastAsia="ja-JP"/>
              </w:rPr>
              <w:t>Where the service is reported by a specialist in the specialty of diagnostic radiology who:</w:t>
            </w:r>
          </w:p>
          <w:p w14:paraId="006C0A33" w14:textId="77777777" w:rsidR="00380967" w:rsidRPr="002F3906" w:rsidRDefault="00380967" w:rsidP="00344673">
            <w:pPr>
              <w:pStyle w:val="ListParagraph"/>
              <w:keepNext/>
              <w:numPr>
                <w:ilvl w:val="1"/>
                <w:numId w:val="5"/>
              </w:numPr>
              <w:spacing w:after="120"/>
              <w:rPr>
                <w:rFonts w:ascii="Arial Narrow" w:hAnsi="Arial Narrow"/>
                <w:lang w:val="en-US" w:eastAsia="ja-JP"/>
              </w:rPr>
            </w:pPr>
            <w:r w:rsidRPr="002F3906">
              <w:rPr>
                <w:rFonts w:ascii="Arial Narrow" w:hAnsi="Arial Narrow"/>
                <w:lang w:val="en-US" w:eastAsia="ja-JP"/>
              </w:rPr>
              <w:t>Is available to monitor and influence the conduct and diagnostic quality of the examination; and</w:t>
            </w:r>
          </w:p>
          <w:p w14:paraId="4BCFE865" w14:textId="743853E6" w:rsidR="00380967" w:rsidRPr="00207DE9" w:rsidRDefault="00380967" w:rsidP="00344673">
            <w:pPr>
              <w:pStyle w:val="ListParagraph"/>
              <w:keepNext/>
              <w:numPr>
                <w:ilvl w:val="1"/>
                <w:numId w:val="5"/>
              </w:numPr>
              <w:spacing w:after="120"/>
              <w:rPr>
                <w:rFonts w:ascii="Arial Narrow" w:hAnsi="Arial Narrow"/>
                <w:lang w:val="en-US" w:eastAsia="ja-JP"/>
              </w:rPr>
            </w:pPr>
            <w:r w:rsidRPr="00E73086">
              <w:rPr>
                <w:rFonts w:ascii="Arial Narrow" w:hAnsi="Arial Narrow"/>
                <w:lang w:val="en-US" w:eastAsia="ja-JP"/>
              </w:rPr>
              <w:t>I</w:t>
            </w:r>
            <w:r w:rsidRPr="00207DE9">
              <w:rPr>
                <w:rFonts w:ascii="Arial Narrow" w:hAnsi="Arial Narrow"/>
                <w:lang w:val="en-US" w:eastAsia="ja-JP"/>
              </w:rPr>
              <w:t>s available</w:t>
            </w:r>
            <w:r w:rsidR="00207DE9" w:rsidRPr="00207DE9">
              <w:rPr>
                <w:rFonts w:ascii="Arial Narrow" w:hAnsi="Arial Narrow"/>
                <w:lang w:val="en-US" w:eastAsia="ja-JP"/>
              </w:rPr>
              <w:t>,</w:t>
            </w:r>
            <w:r w:rsidRPr="00207DE9">
              <w:rPr>
                <w:rFonts w:ascii="Arial Narrow" w:hAnsi="Arial Narrow"/>
                <w:lang w:val="en-US" w:eastAsia="ja-JP"/>
              </w:rPr>
              <w:t xml:space="preserve"> </w:t>
            </w:r>
            <w:r w:rsidR="00207DE9" w:rsidRPr="00207DE9">
              <w:rPr>
                <w:rFonts w:ascii="Arial Narrow" w:hAnsi="Arial Narrow"/>
                <w:lang w:val="en-US" w:eastAsia="ja-JP"/>
              </w:rPr>
              <w:t xml:space="preserve">if necessary, </w:t>
            </w:r>
            <w:r w:rsidRPr="00207DE9">
              <w:rPr>
                <w:rFonts w:ascii="Arial Narrow" w:hAnsi="Arial Narrow"/>
                <w:lang w:val="en-US" w:eastAsia="ja-JP"/>
              </w:rPr>
              <w:t>to attend on the patient personally; and</w:t>
            </w:r>
          </w:p>
          <w:p w14:paraId="0213486F" w14:textId="77777777" w:rsidR="00380967" w:rsidRPr="00207DE9" w:rsidRDefault="00380967" w:rsidP="00344673">
            <w:pPr>
              <w:pStyle w:val="ListParagraph"/>
              <w:keepNext/>
              <w:numPr>
                <w:ilvl w:val="1"/>
                <w:numId w:val="5"/>
              </w:numPr>
              <w:spacing w:after="120"/>
              <w:rPr>
                <w:rFonts w:ascii="Arial Narrow" w:hAnsi="Arial Narrow"/>
                <w:lang w:val="en-US" w:eastAsia="ja-JP"/>
              </w:rPr>
            </w:pPr>
            <w:r w:rsidRPr="00207DE9">
              <w:rPr>
                <w:rFonts w:ascii="Arial Narrow" w:hAnsi="Arial Narrow"/>
                <w:lang w:val="en-US" w:eastAsia="ja-JP"/>
              </w:rPr>
              <w:t>Is involved in the ongoing supervision and interpretation of chest computed tomography acquisitions in the past 3 years.</w:t>
            </w:r>
          </w:p>
          <w:p w14:paraId="38CE6BD1" w14:textId="4FD4AA68" w:rsidR="00380967" w:rsidRPr="00207DE9" w:rsidRDefault="00380967" w:rsidP="00344673">
            <w:pPr>
              <w:pStyle w:val="ListParagraph"/>
              <w:keepNext/>
              <w:numPr>
                <w:ilvl w:val="0"/>
                <w:numId w:val="5"/>
              </w:numPr>
              <w:spacing w:after="120"/>
              <w:rPr>
                <w:rFonts w:ascii="Arial Narrow" w:hAnsi="Arial Narrow"/>
                <w:lang w:val="en-US" w:eastAsia="ja-JP"/>
              </w:rPr>
            </w:pPr>
            <w:r w:rsidRPr="00207DE9">
              <w:rPr>
                <w:rFonts w:ascii="Arial Narrow" w:hAnsi="Arial Narrow"/>
                <w:lang w:val="en-US" w:eastAsia="ja-JP"/>
              </w:rPr>
              <w:t xml:space="preserve">Where the service is performed at a comprehensive practice </w:t>
            </w:r>
            <w:r w:rsidR="004865DC">
              <w:rPr>
                <w:rFonts w:ascii="Arial Narrow" w:hAnsi="Arial Narrow"/>
                <w:lang w:val="en-US" w:eastAsia="ja-JP"/>
              </w:rPr>
              <w:t>and the CT</w:t>
            </w:r>
            <w:r w:rsidRPr="00207DE9">
              <w:rPr>
                <w:rFonts w:ascii="Arial Narrow" w:hAnsi="Arial Narrow"/>
                <w:lang w:val="en-US" w:eastAsia="ja-JP"/>
              </w:rPr>
              <w:t>:</w:t>
            </w:r>
          </w:p>
          <w:p w14:paraId="620B122F" w14:textId="4AAEDD7F" w:rsidR="00380967" w:rsidRPr="00207DE9" w:rsidRDefault="00380967" w:rsidP="00344673">
            <w:pPr>
              <w:pStyle w:val="ListParagraph"/>
              <w:keepNext/>
              <w:numPr>
                <w:ilvl w:val="1"/>
                <w:numId w:val="5"/>
              </w:numPr>
              <w:spacing w:after="120"/>
              <w:rPr>
                <w:rFonts w:ascii="Arial Narrow" w:hAnsi="Arial Narrow"/>
                <w:lang w:val="en-US" w:eastAsia="ja-JP"/>
              </w:rPr>
            </w:pPr>
            <w:r w:rsidRPr="00207DE9">
              <w:rPr>
                <w:rFonts w:ascii="Arial Narrow" w:hAnsi="Arial Narrow"/>
                <w:lang w:val="en-US" w:eastAsia="ja-JP"/>
              </w:rPr>
              <w:t xml:space="preserve">Performs LDCT with </w:t>
            </w:r>
            <w:r w:rsidR="00207DE9">
              <w:rPr>
                <w:rFonts w:ascii="Arial Narrow" w:hAnsi="Arial Narrow"/>
                <w:lang w:val="en-US" w:eastAsia="ja-JP"/>
              </w:rPr>
              <w:t xml:space="preserve">a </w:t>
            </w:r>
            <w:r w:rsidRPr="00207DE9">
              <w:rPr>
                <w:rFonts w:ascii="Arial Narrow" w:hAnsi="Arial Narrow"/>
                <w:lang w:val="en-US" w:eastAsia="ja-JP"/>
              </w:rPr>
              <w:t>volumetric CT dose index (</w:t>
            </w:r>
            <w:proofErr w:type="spellStart"/>
            <w:r w:rsidRPr="00207DE9">
              <w:rPr>
                <w:rFonts w:ascii="Arial Narrow" w:hAnsi="Arial Narrow"/>
                <w:lang w:val="en-US" w:eastAsia="ja-JP"/>
              </w:rPr>
              <w:t>CTDIvol</w:t>
            </w:r>
            <w:proofErr w:type="spellEnd"/>
            <w:r w:rsidRPr="00207DE9">
              <w:rPr>
                <w:rFonts w:ascii="Arial Narrow" w:hAnsi="Arial Narrow"/>
                <w:lang w:val="en-US" w:eastAsia="ja-JP"/>
              </w:rPr>
              <w:t xml:space="preserve">) of </w:t>
            </w:r>
            <w:r w:rsidRPr="00207DE9">
              <w:rPr>
                <w:rFonts w:ascii="Arial Narrow" w:hAnsi="Arial Narrow"/>
              </w:rPr>
              <w:t>≤</w:t>
            </w:r>
            <w:r w:rsidRPr="00207DE9">
              <w:rPr>
                <w:rFonts w:ascii="Arial Narrow" w:hAnsi="Arial Narrow"/>
                <w:lang w:val="en-US" w:eastAsia="ja-JP"/>
              </w:rPr>
              <w:t>3.0 </w:t>
            </w:r>
            <w:proofErr w:type="spellStart"/>
            <w:r w:rsidRPr="00207DE9">
              <w:rPr>
                <w:rFonts w:ascii="Arial Narrow" w:hAnsi="Arial Narrow"/>
                <w:lang w:val="en-US" w:eastAsia="ja-JP"/>
              </w:rPr>
              <w:t>mGy</w:t>
            </w:r>
            <w:proofErr w:type="spellEnd"/>
            <w:r w:rsidRPr="00207DE9">
              <w:rPr>
                <w:rFonts w:ascii="Arial Narrow" w:hAnsi="Arial Narrow"/>
                <w:lang w:val="en-US" w:eastAsia="ja-JP"/>
              </w:rPr>
              <w:t xml:space="preserve"> (</w:t>
            </w:r>
            <w:proofErr w:type="spellStart"/>
            <w:r w:rsidRPr="00207DE9">
              <w:rPr>
                <w:rFonts w:ascii="Arial Narrow" w:hAnsi="Arial Narrow"/>
                <w:lang w:val="en-US" w:eastAsia="ja-JP"/>
              </w:rPr>
              <w:t>milligray</w:t>
            </w:r>
            <w:proofErr w:type="spellEnd"/>
            <w:r w:rsidRPr="00207DE9">
              <w:rPr>
                <w:rFonts w:ascii="Arial Narrow" w:hAnsi="Arial Narrow"/>
                <w:lang w:val="en-US" w:eastAsia="ja-JP"/>
              </w:rPr>
              <w:t xml:space="preserve">) for </w:t>
            </w:r>
            <w:r w:rsidR="00207DE9">
              <w:rPr>
                <w:rFonts w:ascii="Arial Narrow" w:hAnsi="Arial Narrow"/>
                <w:lang w:val="en-US" w:eastAsia="ja-JP"/>
              </w:rPr>
              <w:t xml:space="preserve">a </w:t>
            </w:r>
            <w:r w:rsidRPr="00207DE9">
              <w:rPr>
                <w:rFonts w:ascii="Arial Narrow" w:hAnsi="Arial Narrow"/>
                <w:lang w:val="en-US" w:eastAsia="ja-JP"/>
              </w:rPr>
              <w:t xml:space="preserve">standard size patient (defined to be 170 cm and approximately 70 kg) with appropriate reductions in </w:t>
            </w:r>
            <w:proofErr w:type="spellStart"/>
            <w:r w:rsidRPr="00207DE9">
              <w:rPr>
                <w:rFonts w:ascii="Arial Narrow" w:hAnsi="Arial Narrow"/>
                <w:lang w:val="en-US" w:eastAsia="ja-JP"/>
              </w:rPr>
              <w:t>CTDIvol</w:t>
            </w:r>
            <w:proofErr w:type="spellEnd"/>
            <w:r w:rsidRPr="00207DE9">
              <w:rPr>
                <w:rFonts w:ascii="Arial Narrow" w:hAnsi="Arial Narrow"/>
                <w:lang w:val="en-US" w:eastAsia="ja-JP"/>
              </w:rPr>
              <w:t xml:space="preserve"> for smaller patients and appropriate increases in </w:t>
            </w:r>
            <w:proofErr w:type="spellStart"/>
            <w:r w:rsidRPr="00207DE9">
              <w:rPr>
                <w:rFonts w:ascii="Arial Narrow" w:hAnsi="Arial Narrow"/>
                <w:lang w:val="en-US" w:eastAsia="ja-JP"/>
              </w:rPr>
              <w:t>CTDIvol</w:t>
            </w:r>
            <w:proofErr w:type="spellEnd"/>
            <w:r w:rsidRPr="00207DE9">
              <w:rPr>
                <w:rFonts w:ascii="Arial Narrow" w:hAnsi="Arial Narrow"/>
                <w:lang w:val="en-US" w:eastAsia="ja-JP"/>
              </w:rPr>
              <w:t xml:space="preserve"> for larger patients; and</w:t>
            </w:r>
          </w:p>
          <w:p w14:paraId="5DC57D13" w14:textId="77777777" w:rsidR="00380967" w:rsidRPr="002F3906" w:rsidRDefault="00380967" w:rsidP="00344673">
            <w:pPr>
              <w:pStyle w:val="ListParagraph"/>
              <w:keepNext/>
              <w:numPr>
                <w:ilvl w:val="1"/>
                <w:numId w:val="5"/>
              </w:numPr>
              <w:spacing w:after="120"/>
              <w:rPr>
                <w:rFonts w:ascii="Arial Narrow" w:hAnsi="Arial Narrow"/>
                <w:lang w:val="en-US" w:eastAsia="ja-JP"/>
              </w:rPr>
            </w:pPr>
            <w:proofErr w:type="spellStart"/>
            <w:r w:rsidRPr="002F3906">
              <w:rPr>
                <w:rFonts w:ascii="Arial Narrow" w:hAnsi="Arial Narrow"/>
                <w:lang w:val="en-US" w:eastAsia="ja-JP"/>
              </w:rPr>
              <w:t>Utilises</w:t>
            </w:r>
            <w:proofErr w:type="spellEnd"/>
            <w:r w:rsidRPr="002F3906">
              <w:rPr>
                <w:rFonts w:ascii="Arial Narrow" w:hAnsi="Arial Narrow"/>
                <w:lang w:val="en-US" w:eastAsia="ja-JP"/>
              </w:rPr>
              <w:t xml:space="preserve"> a </w:t>
            </w:r>
            <w:proofErr w:type="spellStart"/>
            <w:r w:rsidRPr="002F3906">
              <w:rPr>
                <w:rFonts w:ascii="Arial Narrow" w:hAnsi="Arial Narrow"/>
                <w:lang w:val="en-US" w:eastAsia="ja-JP"/>
              </w:rPr>
              <w:t>standardised</w:t>
            </w:r>
            <w:proofErr w:type="spellEnd"/>
            <w:r w:rsidRPr="002F3906">
              <w:rPr>
                <w:rFonts w:ascii="Arial Narrow" w:hAnsi="Arial Narrow"/>
                <w:lang w:val="en-US" w:eastAsia="ja-JP"/>
              </w:rPr>
              <w:t xml:space="preserve"> lung nodule identification, classification, and reporting system.</w:t>
            </w:r>
          </w:p>
          <w:p w14:paraId="754D91EF" w14:textId="77777777" w:rsidR="00380967" w:rsidRPr="00207DE9" w:rsidRDefault="00380967" w:rsidP="00344673">
            <w:pPr>
              <w:pStyle w:val="ListParagraph"/>
              <w:keepNext/>
              <w:numPr>
                <w:ilvl w:val="0"/>
                <w:numId w:val="5"/>
              </w:numPr>
              <w:spacing w:after="120"/>
              <w:rPr>
                <w:rFonts w:ascii="Arial Narrow" w:hAnsi="Arial Narrow"/>
                <w:lang w:val="en-US" w:eastAsia="ja-JP"/>
              </w:rPr>
            </w:pPr>
            <w:r w:rsidRPr="00207DE9">
              <w:rPr>
                <w:rFonts w:ascii="Arial Narrow" w:hAnsi="Arial Narrow"/>
                <w:lang w:val="en-US" w:eastAsia="ja-JP"/>
              </w:rPr>
              <w:t>Where information on the service must be submitted to a Department of Health approved register for each LDCT lung cancer screening performed with details on the patient</w:t>
            </w:r>
            <w:r w:rsidRPr="00207DE9">
              <w:rPr>
                <w:rFonts w:ascii="Arial Narrow" w:hAnsi="Arial Narrow"/>
                <w:i/>
                <w:iCs/>
                <w:lang w:val="en-US" w:eastAsia="ja-JP"/>
              </w:rPr>
              <w:t xml:space="preserve"> (noting the register is still under development)</w:t>
            </w:r>
            <w:r w:rsidRPr="00207DE9">
              <w:rPr>
                <w:rFonts w:ascii="Arial Narrow" w:hAnsi="Arial Narrow"/>
                <w:lang w:val="en-US" w:eastAsia="ja-JP"/>
              </w:rPr>
              <w:t>.</w:t>
            </w:r>
          </w:p>
          <w:p w14:paraId="3BE46CA5" w14:textId="77777777" w:rsidR="00380967" w:rsidRPr="00207DE9" w:rsidRDefault="00380967" w:rsidP="00ED3A4A">
            <w:pPr>
              <w:pStyle w:val="ListParagraph"/>
              <w:keepNext/>
              <w:numPr>
                <w:ilvl w:val="0"/>
                <w:numId w:val="5"/>
              </w:numPr>
              <w:spacing w:after="120"/>
              <w:ind w:left="714" w:hanging="357"/>
              <w:rPr>
                <w:rFonts w:ascii="Arial Narrow" w:hAnsi="Arial Narrow"/>
                <w:lang w:val="en-US" w:eastAsia="ja-JP"/>
              </w:rPr>
            </w:pPr>
            <w:r w:rsidRPr="00207DE9">
              <w:rPr>
                <w:rFonts w:ascii="Arial Narrow" w:hAnsi="Arial Narrow"/>
                <w:lang w:val="en-US" w:eastAsia="ja-JP"/>
              </w:rPr>
              <w:t>(R) (</w:t>
            </w:r>
            <w:proofErr w:type="spellStart"/>
            <w:r w:rsidRPr="00207DE9">
              <w:rPr>
                <w:rFonts w:ascii="Arial Narrow" w:hAnsi="Arial Narrow"/>
                <w:lang w:val="en-US" w:eastAsia="ja-JP"/>
              </w:rPr>
              <w:t>Anaes</w:t>
            </w:r>
            <w:proofErr w:type="spellEnd"/>
            <w:r w:rsidRPr="00207DE9">
              <w:rPr>
                <w:rFonts w:ascii="Arial Narrow" w:hAnsi="Arial Narrow"/>
                <w:lang w:val="en-US" w:eastAsia="ja-JP"/>
              </w:rPr>
              <w:t>.)</w:t>
            </w:r>
          </w:p>
          <w:p w14:paraId="4528C24B" w14:textId="1CBFCAA5" w:rsidR="00380967" w:rsidRPr="002F3906" w:rsidRDefault="002F3906" w:rsidP="00ED3A4A">
            <w:pPr>
              <w:keepNext/>
              <w:rPr>
                <w:rFonts w:ascii="Arial Narrow" w:hAnsi="Arial Narrow"/>
                <w:lang w:val="en-US" w:eastAsia="ja-JP"/>
              </w:rPr>
            </w:pPr>
            <w:r w:rsidRPr="002F3906">
              <w:rPr>
                <w:rFonts w:ascii="Arial Narrow" w:hAnsi="Arial Narrow"/>
                <w:lang w:val="en-US" w:eastAsia="ja-JP"/>
              </w:rPr>
              <w:t>Eligible for screening every 2 years</w:t>
            </w:r>
            <w:r w:rsidR="00207DE9">
              <w:rPr>
                <w:rFonts w:ascii="Arial Narrow" w:hAnsi="Arial Narrow"/>
                <w:lang w:val="en-US" w:eastAsia="ja-JP"/>
              </w:rPr>
              <w:t>.</w:t>
            </w:r>
          </w:p>
        </w:tc>
      </w:tr>
      <w:tr w:rsidR="00380967" w14:paraId="627D2602" w14:textId="77777777" w:rsidTr="00344673">
        <w:tc>
          <w:tcPr>
            <w:tcW w:w="5000" w:type="pct"/>
            <w:tcBorders>
              <w:top w:val="single" w:sz="4" w:space="0" w:color="000000"/>
              <w:left w:val="single" w:sz="4" w:space="0" w:color="000000"/>
              <w:bottom w:val="single" w:sz="4" w:space="0" w:color="000000"/>
              <w:right w:val="single" w:sz="4" w:space="0" w:color="000000"/>
            </w:tcBorders>
            <w:vAlign w:val="center"/>
            <w:hideMark/>
          </w:tcPr>
          <w:p w14:paraId="28FBE496" w14:textId="77777777" w:rsidR="00380967" w:rsidRDefault="00380967" w:rsidP="00344673">
            <w:pPr>
              <w:pStyle w:val="TableText"/>
            </w:pPr>
            <w:r>
              <w:t xml:space="preserve">Fee: </w:t>
            </w:r>
            <w:r>
              <w:rPr>
                <w:lang w:val="en-US" w:eastAsia="ja-JP"/>
              </w:rPr>
              <w:t>$302.10 Benefit: 75% = $226.60 85% = $256.80</w:t>
            </w:r>
          </w:p>
        </w:tc>
      </w:tr>
    </w:tbl>
    <w:p w14:paraId="38BDFE38" w14:textId="0EDCECA1" w:rsidR="00380967" w:rsidRDefault="00380967" w:rsidP="00B43B93">
      <w:pPr>
        <w:spacing w:before="0" w:after="0"/>
        <w:rPr>
          <w:szCs w:val="24"/>
        </w:rPr>
      </w:pPr>
    </w:p>
    <w:tbl>
      <w:tblPr>
        <w:tblStyle w:val="TableGrid"/>
        <w:tblW w:w="0" w:type="auto"/>
        <w:tblLook w:val="04A0" w:firstRow="1" w:lastRow="0" w:firstColumn="1" w:lastColumn="0" w:noHBand="0" w:noVBand="1"/>
      </w:tblPr>
      <w:tblGrid>
        <w:gridCol w:w="9016"/>
      </w:tblGrid>
      <w:tr w:rsidR="007457CF" w14:paraId="384E289B" w14:textId="77777777" w:rsidTr="007457CF">
        <w:trPr>
          <w:tblHeader/>
        </w:trPr>
        <w:tc>
          <w:tcPr>
            <w:tcW w:w="9016" w:type="dxa"/>
          </w:tcPr>
          <w:p w14:paraId="4F70DFFF" w14:textId="522D27F6" w:rsidR="007457CF" w:rsidRPr="007457CF" w:rsidRDefault="007457CF" w:rsidP="007457CF">
            <w:pPr>
              <w:spacing w:after="120"/>
              <w:rPr>
                <w:b/>
                <w:bCs/>
                <w:szCs w:val="24"/>
              </w:rPr>
            </w:pPr>
            <w:r w:rsidRPr="007457CF">
              <w:rPr>
                <w:b/>
                <w:bCs/>
                <w:szCs w:val="24"/>
              </w:rPr>
              <w:t>Consumer summary</w:t>
            </w:r>
          </w:p>
        </w:tc>
      </w:tr>
      <w:tr w:rsidR="007457CF" w14:paraId="13198ED5" w14:textId="77777777" w:rsidTr="007457CF">
        <w:tc>
          <w:tcPr>
            <w:tcW w:w="9016" w:type="dxa"/>
          </w:tcPr>
          <w:p w14:paraId="705A45BE" w14:textId="77777777" w:rsidR="007457CF" w:rsidRPr="007457CF" w:rsidRDefault="007457CF" w:rsidP="007457CF">
            <w:pPr>
              <w:rPr>
                <w:szCs w:val="24"/>
              </w:rPr>
            </w:pPr>
            <w:r w:rsidRPr="007457CF">
              <w:rPr>
                <w:szCs w:val="24"/>
              </w:rPr>
              <w:t>This application was from Cancer Australia to implement a national lung cancer screening program targeted to people who are at high risk of developing lung cancer. The screening component would be provided primarily through the Medicare Benefits Schedule (MBS).</w:t>
            </w:r>
          </w:p>
          <w:p w14:paraId="52326F8D" w14:textId="77777777" w:rsidR="007457CF" w:rsidRPr="007457CF" w:rsidRDefault="007457CF" w:rsidP="007457CF">
            <w:pPr>
              <w:rPr>
                <w:szCs w:val="24"/>
              </w:rPr>
            </w:pPr>
            <w:r w:rsidRPr="007457CF">
              <w:rPr>
                <w:szCs w:val="24"/>
              </w:rPr>
              <w:t>The 31 March–1 April 2022 MSAC meeting deferred a decision pending more information from the applicant.</w:t>
            </w:r>
          </w:p>
          <w:p w14:paraId="73EE52DB" w14:textId="77777777" w:rsidR="007457CF" w:rsidRPr="007457CF" w:rsidRDefault="007457CF" w:rsidP="007457CF">
            <w:pPr>
              <w:rPr>
                <w:szCs w:val="24"/>
              </w:rPr>
            </w:pPr>
            <w:r w:rsidRPr="007457CF">
              <w:rPr>
                <w:szCs w:val="24"/>
              </w:rPr>
              <w:t>In its reconsideration, MSAC remained confident that the available evidence showed that the proposed Program would lead to a reduction in the number of deaths caused by lung cancer. Based on the further information supplied, MSAC was confident to rely on the results of the revised economic and financial analyses. MSAC used these analyses to judge the value for money and total net cost of the proposed Program to the Commonwealth government.</w:t>
            </w:r>
          </w:p>
          <w:p w14:paraId="18ED8536" w14:textId="77777777" w:rsidR="007457CF" w:rsidRPr="007457CF" w:rsidRDefault="007457CF" w:rsidP="007457CF">
            <w:pPr>
              <w:rPr>
                <w:szCs w:val="24"/>
              </w:rPr>
            </w:pPr>
            <w:r w:rsidRPr="007457CF">
              <w:rPr>
                <w:szCs w:val="24"/>
              </w:rPr>
              <w:t>MSAC examined many options for defining the proposed Program. MSAC supported the proposal for biennial (every two years) screening and recommended that individuals eligible for the program be aged 50 to 70 years who have a history of cigarette smoking of at least 30 pack-years, and, if former smokers, had quit within the previous 10 years. MSAC advised that its recommendations for the Program would lead to acceptable value for money while also minimising the risk and costs of unnecessary further diagnostic tests and treatments.</w:t>
            </w:r>
          </w:p>
          <w:p w14:paraId="6B1C2096" w14:textId="77777777" w:rsidR="007457CF" w:rsidRPr="007457CF" w:rsidRDefault="007457CF" w:rsidP="007457CF">
            <w:pPr>
              <w:rPr>
                <w:szCs w:val="24"/>
              </w:rPr>
            </w:pPr>
            <w:r w:rsidRPr="007457CF">
              <w:rPr>
                <w:szCs w:val="24"/>
              </w:rPr>
              <w:t>MSAC also advised that its proposed eligibility criteria would be simpler to implement as well as better aligned with lung cancer screening programs in other countries and the key lung cancer screening trials provided as evidence for the effectiveness of lung cancer screening.</w:t>
            </w:r>
          </w:p>
          <w:p w14:paraId="311B0EA2" w14:textId="4C2298C9" w:rsidR="007457CF" w:rsidRPr="007457CF" w:rsidRDefault="007457CF" w:rsidP="00B43B93">
            <w:pPr>
              <w:spacing w:before="240"/>
              <w:rPr>
                <w:b/>
                <w:bCs/>
                <w:szCs w:val="24"/>
              </w:rPr>
            </w:pPr>
            <w:r w:rsidRPr="007457CF">
              <w:rPr>
                <w:b/>
                <w:bCs/>
                <w:szCs w:val="24"/>
              </w:rPr>
              <w:t xml:space="preserve">MSAC’s advice to the </w:t>
            </w:r>
            <w:proofErr w:type="gramStart"/>
            <w:r w:rsidRPr="007457CF">
              <w:rPr>
                <w:b/>
                <w:bCs/>
                <w:szCs w:val="24"/>
              </w:rPr>
              <w:t>Commonwealth Minister</w:t>
            </w:r>
            <w:proofErr w:type="gramEnd"/>
            <w:r w:rsidRPr="007457CF">
              <w:rPr>
                <w:b/>
                <w:bCs/>
                <w:szCs w:val="24"/>
              </w:rPr>
              <w:t xml:space="preserve"> for Health</w:t>
            </w:r>
            <w:r w:rsidR="0023697A">
              <w:rPr>
                <w:b/>
                <w:bCs/>
                <w:szCs w:val="24"/>
              </w:rPr>
              <w:t xml:space="preserve"> and Aged Care</w:t>
            </w:r>
          </w:p>
          <w:p w14:paraId="29789C86" w14:textId="760D254E" w:rsidR="007457CF" w:rsidRDefault="007457CF" w:rsidP="00B43B93">
            <w:pPr>
              <w:spacing w:after="120"/>
              <w:rPr>
                <w:szCs w:val="24"/>
              </w:rPr>
            </w:pPr>
            <w:r w:rsidRPr="007457CF">
              <w:rPr>
                <w:szCs w:val="24"/>
              </w:rPr>
              <w:t xml:space="preserve">MSAC supported the creation of a National Lung Cancer Screening Program, including a new item on the MBS to fund the LDCT scan. MSAC advised that the Program would be effective, </w:t>
            </w:r>
            <w:proofErr w:type="gramStart"/>
            <w:r w:rsidRPr="007457CF">
              <w:rPr>
                <w:szCs w:val="24"/>
              </w:rPr>
              <w:t>safe</w:t>
            </w:r>
            <w:proofErr w:type="gramEnd"/>
            <w:r w:rsidRPr="007457CF">
              <w:rPr>
                <w:szCs w:val="24"/>
              </w:rPr>
              <w:t xml:space="preserve"> and good value for money for individuals meeting MSAC’s proposed eligibility criteria.</w:t>
            </w:r>
          </w:p>
        </w:tc>
      </w:tr>
    </w:tbl>
    <w:p w14:paraId="79D7B718" w14:textId="2FB13B0A" w:rsidR="00AF46D8" w:rsidRDefault="00ED3A4A" w:rsidP="00DF3BBC">
      <w:pPr>
        <w:pStyle w:val="Heading2"/>
      </w:pPr>
      <w:r>
        <w:lastRenderedPageBreak/>
        <w:t>3.</w:t>
      </w:r>
      <w:r>
        <w:tab/>
      </w:r>
      <w:r w:rsidR="00AF46D8" w:rsidRPr="005F6A3D">
        <w:t>Summary of consideration and rationale for MSAC’s advice</w:t>
      </w:r>
    </w:p>
    <w:p w14:paraId="5CA95893" w14:textId="0A725797" w:rsidR="00A73286" w:rsidRDefault="008539EE" w:rsidP="00344673">
      <w:r>
        <w:t xml:space="preserve">MSAC noted that this application </w:t>
      </w:r>
      <w:r w:rsidR="0044701D">
        <w:t>wa</w:t>
      </w:r>
      <w:r>
        <w:t xml:space="preserve">s to </w:t>
      </w:r>
      <w:r w:rsidR="0085448E">
        <w:t>re-</w:t>
      </w:r>
      <w:r>
        <w:t xml:space="preserve">consider </w:t>
      </w:r>
      <w:r w:rsidR="0085448E">
        <w:t>a</w:t>
      </w:r>
      <w:r w:rsidR="00E73086">
        <w:t>n</w:t>
      </w:r>
      <w:r w:rsidR="0085448E">
        <w:t xml:space="preserve"> application for </w:t>
      </w:r>
      <w:r w:rsidR="0047461C">
        <w:t>the</w:t>
      </w:r>
      <w:r w:rsidR="0085448E">
        <w:t xml:space="preserve"> </w:t>
      </w:r>
      <w:r>
        <w:t>proposed National Lung Cancer Screening Program</w:t>
      </w:r>
      <w:r w:rsidR="0085448E">
        <w:t xml:space="preserve"> </w:t>
      </w:r>
      <w:proofErr w:type="gramStart"/>
      <w:r w:rsidR="0085448E">
        <w:t>in light of</w:t>
      </w:r>
      <w:proofErr w:type="gramEnd"/>
      <w:r w:rsidR="0085448E">
        <w:t xml:space="preserve"> additional clarifying </w:t>
      </w:r>
      <w:r w:rsidR="00E73086">
        <w:t>information</w:t>
      </w:r>
      <w:r>
        <w:t>, and to advise on its safety, effectiveness, cost-effectiveness and sustainable implementation if funded by the Australian Government.</w:t>
      </w:r>
    </w:p>
    <w:p w14:paraId="12A229D5" w14:textId="43C27739" w:rsidR="00A73286" w:rsidRDefault="008539EE" w:rsidP="00344673">
      <w:r w:rsidRPr="00E372BA">
        <w:t xml:space="preserve">The </w:t>
      </w:r>
      <w:r w:rsidR="0044701D">
        <w:t>P</w:t>
      </w:r>
      <w:r w:rsidRPr="00E372BA">
        <w:t xml:space="preserve">rogram would support the early detection of lung cancer through the </w:t>
      </w:r>
      <w:r w:rsidR="0085448E">
        <w:t>MBS listing</w:t>
      </w:r>
      <w:r w:rsidRPr="00E372BA">
        <w:t xml:space="preserve"> of LDCT scans </w:t>
      </w:r>
      <w:r w:rsidR="00EF714F" w:rsidRPr="00E372BA">
        <w:t>using existing radiology facilities</w:t>
      </w:r>
      <w:r w:rsidRPr="00E372BA">
        <w:t>.</w:t>
      </w:r>
      <w:r w:rsidR="00B1012E">
        <w:t xml:space="preserve"> </w:t>
      </w:r>
      <w:r w:rsidR="00A73286">
        <w:t xml:space="preserve">MSAC noted the </w:t>
      </w:r>
      <w:r w:rsidR="00B1012E">
        <w:t>proposed</w:t>
      </w:r>
      <w:r w:rsidR="00A73286">
        <w:t xml:space="preserve"> MBS item </w:t>
      </w:r>
      <w:r w:rsidR="00B1012E">
        <w:t xml:space="preserve">included </w:t>
      </w:r>
      <w:r w:rsidR="0085448E">
        <w:t xml:space="preserve">a </w:t>
      </w:r>
      <w:r w:rsidR="00A73286">
        <w:t>proposed fee of $302.10</w:t>
      </w:r>
      <w:r w:rsidR="00427432">
        <w:t xml:space="preserve"> </w:t>
      </w:r>
      <w:r w:rsidR="00452FFA">
        <w:t xml:space="preserve">based on the current </w:t>
      </w:r>
      <w:r w:rsidR="00427432">
        <w:t>MBS item</w:t>
      </w:r>
      <w:r w:rsidR="00452FFA">
        <w:t xml:space="preserve"> for a CT chest scan</w:t>
      </w:r>
      <w:r w:rsidR="00427432">
        <w:t xml:space="preserve">. </w:t>
      </w:r>
      <w:r w:rsidR="00E849F5">
        <w:t>MSAC noted the application</w:t>
      </w:r>
      <w:r w:rsidR="0085448E">
        <w:t xml:space="preserve"> was</w:t>
      </w:r>
      <w:r w:rsidR="00E849F5">
        <w:t xml:space="preserve"> for</w:t>
      </w:r>
      <w:r w:rsidR="0085448E">
        <w:t xml:space="preserve"> </w:t>
      </w:r>
      <w:r w:rsidR="008625DC">
        <w:t xml:space="preserve">biennial screening of </w:t>
      </w:r>
      <w:r w:rsidR="0085448E">
        <w:t>a population of</w:t>
      </w:r>
      <w:r w:rsidR="00E849F5">
        <w:t xml:space="preserve"> c</w:t>
      </w:r>
      <w:r w:rsidR="00E849F5" w:rsidRPr="00E849F5">
        <w:t>urrent or former smoker</w:t>
      </w:r>
      <w:r w:rsidR="00E849F5">
        <w:t xml:space="preserve">s aged </w:t>
      </w:r>
      <w:r w:rsidR="00E849F5" w:rsidRPr="00E849F5">
        <w:t>55</w:t>
      </w:r>
      <w:r w:rsidR="00E849F5">
        <w:t>–</w:t>
      </w:r>
      <w:r w:rsidR="00E849F5" w:rsidRPr="00E849F5">
        <w:t>74 years</w:t>
      </w:r>
      <w:r w:rsidR="00E849F5">
        <w:t xml:space="preserve"> (</w:t>
      </w:r>
      <w:r w:rsidR="000E38ED">
        <w:t xml:space="preserve">or </w:t>
      </w:r>
      <w:r w:rsidR="00E849F5" w:rsidRPr="00E849F5">
        <w:t>50</w:t>
      </w:r>
      <w:r w:rsidR="00E849F5">
        <w:t>–</w:t>
      </w:r>
      <w:r w:rsidR="00E849F5" w:rsidRPr="00E849F5">
        <w:t>74</w:t>
      </w:r>
      <w:r w:rsidR="00B1012E">
        <w:t xml:space="preserve"> years </w:t>
      </w:r>
      <w:r w:rsidR="00D34D51">
        <w:t xml:space="preserve">for </w:t>
      </w:r>
      <w:r w:rsidR="00E849F5" w:rsidRPr="00E849F5">
        <w:t>Aboriginal/Torres Strait Islander</w:t>
      </w:r>
      <w:r w:rsidR="002D4607">
        <w:t xml:space="preserve"> people</w:t>
      </w:r>
      <w:r w:rsidR="00E849F5">
        <w:t xml:space="preserve">) </w:t>
      </w:r>
      <w:r w:rsidR="00413A91">
        <w:t xml:space="preserve">with a </w:t>
      </w:r>
      <w:r w:rsidR="00E849F5" w:rsidRPr="00E849F5">
        <w:t>6-year risk ≥1.51%</w:t>
      </w:r>
      <w:r w:rsidR="007449C6">
        <w:t xml:space="preserve"> based on the PLCOm2012 risk </w:t>
      </w:r>
      <w:r w:rsidR="00B1012E">
        <w:t>prediction tool</w:t>
      </w:r>
      <w:r w:rsidR="00E849F5">
        <w:t>.</w:t>
      </w:r>
      <w:r w:rsidR="00637D22">
        <w:t xml:space="preserve"> MSAC </w:t>
      </w:r>
      <w:r w:rsidR="00E37822">
        <w:t xml:space="preserve">again </w:t>
      </w:r>
      <w:r w:rsidR="00637D22">
        <w:t xml:space="preserve">supported </w:t>
      </w:r>
      <w:r w:rsidR="008E46B0">
        <w:t>the proposed specifications of LDCT service delivery</w:t>
      </w:r>
      <w:r w:rsidR="008625DC">
        <w:t>, the proposed MBS fee,</w:t>
      </w:r>
      <w:r w:rsidR="008E46B0">
        <w:t xml:space="preserve"> and </w:t>
      </w:r>
      <w:r w:rsidR="00637D22">
        <w:t>the proposed nodule management system (</w:t>
      </w:r>
      <w:proofErr w:type="spellStart"/>
      <w:r w:rsidR="00637D22">
        <w:t>PanCan</w:t>
      </w:r>
      <w:proofErr w:type="spellEnd"/>
      <w:r w:rsidR="00637D22">
        <w:t xml:space="preserve"> for baseline nodule management and </w:t>
      </w:r>
      <w:proofErr w:type="spellStart"/>
      <w:r w:rsidR="00637D22">
        <w:t>LungRADS</w:t>
      </w:r>
      <w:proofErr w:type="spellEnd"/>
      <w:r w:rsidR="00637D22">
        <w:t xml:space="preserve"> for subsequent nodule management)</w:t>
      </w:r>
      <w:r w:rsidR="00792871">
        <w:t xml:space="preserve"> </w:t>
      </w:r>
      <w:r w:rsidR="008625DC">
        <w:t>associated with the Program</w:t>
      </w:r>
      <w:r w:rsidR="00637D22">
        <w:t>.</w:t>
      </w:r>
    </w:p>
    <w:p w14:paraId="5FCD9169" w14:textId="12A758C2" w:rsidR="009F2EB4" w:rsidRDefault="00A73286" w:rsidP="007C765A">
      <w:r>
        <w:t xml:space="preserve">MSAC </w:t>
      </w:r>
      <w:r w:rsidR="00637D22">
        <w:t xml:space="preserve">recalled from </w:t>
      </w:r>
      <w:r>
        <w:t>its March–April 2022 meeting</w:t>
      </w:r>
      <w:r w:rsidR="00C40DDC">
        <w:t xml:space="preserve"> that the proposed Program demonstrated clinical effectiveness based on </w:t>
      </w:r>
      <w:r w:rsidR="008047C8">
        <w:t>nine</w:t>
      </w:r>
      <w:r w:rsidR="00F7303B" w:rsidRPr="00F7303B">
        <w:t xml:space="preserve"> </w:t>
      </w:r>
      <w:r w:rsidR="008047C8">
        <w:t>randomised controlled trials (</w:t>
      </w:r>
      <w:r w:rsidR="00F7303B" w:rsidRPr="00F7303B">
        <w:t>RCTs</w:t>
      </w:r>
      <w:r w:rsidR="008047C8">
        <w:t>)</w:t>
      </w:r>
      <w:r w:rsidR="00F7303B" w:rsidRPr="00F7303B">
        <w:t xml:space="preserve"> (including </w:t>
      </w:r>
      <w:r w:rsidR="00CA220B">
        <w:t xml:space="preserve">the </w:t>
      </w:r>
      <w:r w:rsidR="00D00603">
        <w:t xml:space="preserve">large </w:t>
      </w:r>
      <w:r w:rsidR="0011623F">
        <w:t>National Lung Screening Trial [</w:t>
      </w:r>
      <w:r w:rsidR="00F7303B" w:rsidRPr="00F7303B">
        <w:t>NLST</w:t>
      </w:r>
      <w:r w:rsidR="0011623F">
        <w:t>]</w:t>
      </w:r>
      <w:r w:rsidR="00F7303B" w:rsidRPr="00F7303B">
        <w:t xml:space="preserve"> </w:t>
      </w:r>
      <w:r w:rsidR="00D00603">
        <w:t xml:space="preserve">started in </w:t>
      </w:r>
      <w:r w:rsidR="008047C8">
        <w:t>2002</w:t>
      </w:r>
      <w:r w:rsidR="00B4518A">
        <w:rPr>
          <w:rStyle w:val="FootnoteReference"/>
        </w:rPr>
        <w:footnoteReference w:id="1"/>
      </w:r>
      <w:r w:rsidR="008047C8">
        <w:t xml:space="preserve"> and </w:t>
      </w:r>
      <w:r w:rsidR="00F7303B" w:rsidRPr="00F7303B">
        <w:t>N</w:t>
      </w:r>
      <w:r w:rsidR="0017696F">
        <w:t xml:space="preserve">ELSON </w:t>
      </w:r>
      <w:r w:rsidR="00D00603">
        <w:t xml:space="preserve">trial started </w:t>
      </w:r>
      <w:r w:rsidR="0017696F">
        <w:t>i</w:t>
      </w:r>
      <w:r w:rsidR="00F7303B" w:rsidRPr="00F7303B">
        <w:t>n</w:t>
      </w:r>
      <w:r w:rsidR="008047C8">
        <w:t xml:space="preserve"> 2003</w:t>
      </w:r>
      <w:r w:rsidR="00B4518A">
        <w:rPr>
          <w:rStyle w:val="FootnoteReference"/>
        </w:rPr>
        <w:footnoteReference w:id="2"/>
      </w:r>
      <w:r w:rsidR="00F7303B" w:rsidRPr="00F7303B">
        <w:t>)</w:t>
      </w:r>
      <w:r w:rsidR="00EF714F">
        <w:t xml:space="preserve">, comprising a total of </w:t>
      </w:r>
      <w:r w:rsidR="008047C8">
        <w:t>90,000</w:t>
      </w:r>
      <w:r w:rsidR="00F7303B" w:rsidRPr="00F7303B">
        <w:t xml:space="preserve"> participants</w:t>
      </w:r>
      <w:r w:rsidR="00FF4B2C">
        <w:t>. These studies</w:t>
      </w:r>
      <w:r w:rsidR="00CA220B">
        <w:t xml:space="preserve"> </w:t>
      </w:r>
      <w:r w:rsidR="008047C8">
        <w:t>showed that lung cancer screening reduces lung cancer mortality.</w:t>
      </w:r>
      <w:r w:rsidR="0062357F">
        <w:t xml:space="preserve"> </w:t>
      </w:r>
      <w:r w:rsidR="00666ACB">
        <w:t xml:space="preserve">A summary of the key effectiveness outcomes of these trials is provided in Table 1. </w:t>
      </w:r>
      <w:r w:rsidR="00E37822">
        <w:t xml:space="preserve">Although the trials also showed </w:t>
      </w:r>
      <w:r w:rsidR="007C765A">
        <w:t xml:space="preserve">that </w:t>
      </w:r>
      <w:r w:rsidR="007A04A4">
        <w:t xml:space="preserve">lung cancer screening </w:t>
      </w:r>
      <w:r w:rsidR="007C765A">
        <w:t>does not decreas</w:t>
      </w:r>
      <w:r w:rsidR="00767E56">
        <w:t>e</w:t>
      </w:r>
      <w:r w:rsidR="0075159F">
        <w:t xml:space="preserve"> all</w:t>
      </w:r>
      <w:r w:rsidR="00CD5FDC">
        <w:t>-</w:t>
      </w:r>
      <w:r w:rsidR="0075159F">
        <w:t>cause mortality</w:t>
      </w:r>
      <w:r w:rsidR="00767E56">
        <w:t xml:space="preserve">, </w:t>
      </w:r>
      <w:r w:rsidR="00E37822">
        <w:t xml:space="preserve">MSAC accepted </w:t>
      </w:r>
      <w:r w:rsidR="008625DC">
        <w:t xml:space="preserve">as reasonable </w:t>
      </w:r>
      <w:r w:rsidR="00767E56">
        <w:t>that the model</w:t>
      </w:r>
      <w:r w:rsidR="008625DC">
        <w:t>led economic evaluation</w:t>
      </w:r>
      <w:r w:rsidR="00767E56">
        <w:t xml:space="preserve"> does </w:t>
      </w:r>
      <w:r w:rsidR="00E37822">
        <w:t xml:space="preserve">estimate a net increase in overall </w:t>
      </w:r>
      <w:r w:rsidR="00767E56">
        <w:t xml:space="preserve">life-years </w:t>
      </w:r>
      <w:r w:rsidR="00794A41">
        <w:t>gained</w:t>
      </w:r>
      <w:r w:rsidR="00767E56">
        <w:t xml:space="preserve"> (LY</w:t>
      </w:r>
      <w:r w:rsidR="00794A41">
        <w:t>G</w:t>
      </w:r>
      <w:r w:rsidR="00767E56">
        <w:t>)</w:t>
      </w:r>
      <w:r w:rsidR="007C765A">
        <w:t>.</w:t>
      </w:r>
    </w:p>
    <w:p w14:paraId="2071C2E5" w14:textId="68688281" w:rsidR="00666ACB" w:rsidRDefault="00666ACB" w:rsidP="00B43B93">
      <w:pPr>
        <w:keepNext/>
        <w:spacing w:before="0" w:after="0" w:line="254" w:lineRule="auto"/>
        <w:rPr>
          <w:rFonts w:ascii="Arial Narrow" w:hAnsi="Arial Narrow"/>
          <w:b/>
          <w:sz w:val="20"/>
          <w:szCs w:val="20"/>
        </w:rPr>
      </w:pPr>
      <w:r>
        <w:rPr>
          <w:rFonts w:ascii="Arial Narrow" w:hAnsi="Arial Narrow"/>
          <w:b/>
          <w:sz w:val="20"/>
          <w:szCs w:val="20"/>
        </w:rPr>
        <w:lastRenderedPageBreak/>
        <w:t>Table 1:</w:t>
      </w:r>
      <w:r>
        <w:rPr>
          <w:rFonts w:ascii="Arial Narrow" w:hAnsi="Arial Narrow"/>
          <w:b/>
          <w:sz w:val="20"/>
          <w:szCs w:val="20"/>
        </w:rPr>
        <w:tab/>
        <w:t>Comparative effectiveness outcomes of randomised controlled trials of LDCT-based lung cancer screening programs</w:t>
      </w:r>
    </w:p>
    <w:tbl>
      <w:tblPr>
        <w:tblStyle w:val="TableGrid"/>
        <w:tblW w:w="0" w:type="auto"/>
        <w:tblLook w:val="04A0" w:firstRow="1" w:lastRow="0" w:firstColumn="1" w:lastColumn="0" w:noHBand="0" w:noVBand="1"/>
      </w:tblPr>
      <w:tblGrid>
        <w:gridCol w:w="2254"/>
        <w:gridCol w:w="2254"/>
        <w:gridCol w:w="2254"/>
        <w:gridCol w:w="2254"/>
      </w:tblGrid>
      <w:tr w:rsidR="00240F89" w:rsidRPr="00666ACB" w14:paraId="0FC321FD" w14:textId="77777777" w:rsidTr="00240F89">
        <w:tc>
          <w:tcPr>
            <w:tcW w:w="2254" w:type="dxa"/>
          </w:tcPr>
          <w:p w14:paraId="3794B3F0" w14:textId="79C5A136" w:rsidR="00240F89" w:rsidRPr="00666ACB" w:rsidRDefault="00240F89" w:rsidP="00B43B93">
            <w:pPr>
              <w:keepNext/>
              <w:spacing w:before="0"/>
              <w:rPr>
                <w:rFonts w:ascii="Arial Narrow" w:hAnsi="Arial Narrow"/>
                <w:b/>
                <w:bCs/>
                <w:sz w:val="20"/>
                <w:szCs w:val="20"/>
              </w:rPr>
            </w:pPr>
            <w:r w:rsidRPr="00666ACB">
              <w:rPr>
                <w:rFonts w:ascii="Arial Narrow" w:hAnsi="Arial Narrow"/>
                <w:b/>
                <w:bCs/>
                <w:sz w:val="20"/>
                <w:szCs w:val="20"/>
              </w:rPr>
              <w:t>Trial ID</w:t>
            </w:r>
          </w:p>
        </w:tc>
        <w:tc>
          <w:tcPr>
            <w:tcW w:w="2254" w:type="dxa"/>
          </w:tcPr>
          <w:p w14:paraId="5EC7CE82" w14:textId="2DC69053" w:rsidR="00240F89" w:rsidRPr="00666ACB" w:rsidRDefault="00240F89" w:rsidP="00B43B93">
            <w:pPr>
              <w:keepNext/>
              <w:spacing w:before="0"/>
              <w:jc w:val="center"/>
              <w:rPr>
                <w:rFonts w:ascii="Arial Narrow" w:hAnsi="Arial Narrow"/>
                <w:b/>
                <w:bCs/>
                <w:sz w:val="20"/>
                <w:szCs w:val="20"/>
              </w:rPr>
            </w:pPr>
            <w:r w:rsidRPr="00666ACB">
              <w:rPr>
                <w:rFonts w:ascii="Arial Narrow" w:hAnsi="Arial Narrow"/>
                <w:b/>
                <w:bCs/>
                <w:sz w:val="20"/>
                <w:szCs w:val="20"/>
              </w:rPr>
              <w:t>Lung cancer deaths</w:t>
            </w:r>
          </w:p>
        </w:tc>
        <w:tc>
          <w:tcPr>
            <w:tcW w:w="2254" w:type="dxa"/>
          </w:tcPr>
          <w:p w14:paraId="324A46A4" w14:textId="359B95CC" w:rsidR="00240F89" w:rsidRPr="00666ACB" w:rsidRDefault="00240F89" w:rsidP="00B43B93">
            <w:pPr>
              <w:keepNext/>
              <w:spacing w:before="0"/>
              <w:jc w:val="center"/>
              <w:rPr>
                <w:rFonts w:ascii="Arial Narrow" w:hAnsi="Arial Narrow"/>
                <w:b/>
                <w:bCs/>
                <w:sz w:val="20"/>
                <w:szCs w:val="20"/>
              </w:rPr>
            </w:pPr>
            <w:r w:rsidRPr="00666ACB">
              <w:rPr>
                <w:rFonts w:ascii="Arial Narrow" w:hAnsi="Arial Narrow"/>
                <w:b/>
                <w:bCs/>
                <w:sz w:val="20"/>
                <w:szCs w:val="20"/>
              </w:rPr>
              <w:t>Overall deaths</w:t>
            </w:r>
          </w:p>
        </w:tc>
        <w:tc>
          <w:tcPr>
            <w:tcW w:w="2254" w:type="dxa"/>
          </w:tcPr>
          <w:p w14:paraId="6684CD41" w14:textId="2CCE7E30" w:rsidR="00240F89" w:rsidRPr="00666ACB" w:rsidRDefault="00240F89" w:rsidP="00B43B93">
            <w:pPr>
              <w:keepNext/>
              <w:spacing w:before="0"/>
              <w:jc w:val="center"/>
              <w:rPr>
                <w:rFonts w:ascii="Arial Narrow" w:hAnsi="Arial Narrow"/>
                <w:b/>
                <w:bCs/>
                <w:sz w:val="20"/>
                <w:szCs w:val="20"/>
              </w:rPr>
            </w:pPr>
            <w:r w:rsidRPr="00666ACB">
              <w:rPr>
                <w:rFonts w:ascii="Arial Narrow" w:hAnsi="Arial Narrow"/>
                <w:b/>
                <w:bCs/>
                <w:sz w:val="20"/>
                <w:szCs w:val="20"/>
              </w:rPr>
              <w:t>Lung cancers detected</w:t>
            </w:r>
          </w:p>
        </w:tc>
      </w:tr>
      <w:tr w:rsidR="00240F89" w:rsidRPr="00666ACB" w14:paraId="05588882" w14:textId="77777777" w:rsidTr="00240F89">
        <w:tc>
          <w:tcPr>
            <w:tcW w:w="2254" w:type="dxa"/>
          </w:tcPr>
          <w:p w14:paraId="4BFBA58D" w14:textId="63898EE2" w:rsidR="00240F89" w:rsidRPr="00666ACB" w:rsidRDefault="00240F89" w:rsidP="00B43B93">
            <w:pPr>
              <w:keepNext/>
              <w:spacing w:before="0"/>
              <w:rPr>
                <w:rFonts w:ascii="Arial Narrow" w:hAnsi="Arial Narrow"/>
                <w:sz w:val="20"/>
                <w:szCs w:val="20"/>
              </w:rPr>
            </w:pPr>
            <w:r w:rsidRPr="00666ACB">
              <w:rPr>
                <w:rFonts w:ascii="Arial Narrow" w:hAnsi="Arial Narrow"/>
                <w:sz w:val="20"/>
                <w:szCs w:val="20"/>
              </w:rPr>
              <w:t>AME</w:t>
            </w:r>
            <w:r w:rsidR="00666ACB">
              <w:rPr>
                <w:rFonts w:ascii="Arial Narrow" w:hAnsi="Arial Narrow"/>
                <w:sz w:val="20"/>
                <w:szCs w:val="20"/>
              </w:rPr>
              <w:t xml:space="preserve"> </w:t>
            </w:r>
            <w:r w:rsidRPr="00666ACB">
              <w:rPr>
                <w:rFonts w:ascii="Arial Narrow" w:hAnsi="Arial Narrow"/>
                <w:sz w:val="20"/>
                <w:szCs w:val="20"/>
              </w:rPr>
              <w:t>2013</w:t>
            </w:r>
          </w:p>
        </w:tc>
        <w:tc>
          <w:tcPr>
            <w:tcW w:w="2254" w:type="dxa"/>
          </w:tcPr>
          <w:p w14:paraId="100AE65F" w14:textId="77777777" w:rsidR="00240F89" w:rsidRPr="00666ACB" w:rsidRDefault="00240F89" w:rsidP="00B43B93">
            <w:pPr>
              <w:keepNext/>
              <w:spacing w:before="0"/>
              <w:jc w:val="center"/>
              <w:rPr>
                <w:rFonts w:ascii="Arial Narrow" w:hAnsi="Arial Narrow"/>
                <w:sz w:val="20"/>
                <w:szCs w:val="20"/>
              </w:rPr>
            </w:pPr>
          </w:p>
        </w:tc>
        <w:tc>
          <w:tcPr>
            <w:tcW w:w="2254" w:type="dxa"/>
          </w:tcPr>
          <w:p w14:paraId="0D347D51" w14:textId="77777777" w:rsidR="00240F89" w:rsidRPr="00666ACB" w:rsidRDefault="00240F89" w:rsidP="00B43B93">
            <w:pPr>
              <w:keepNext/>
              <w:spacing w:before="0"/>
              <w:jc w:val="center"/>
              <w:rPr>
                <w:rFonts w:ascii="Arial Narrow" w:hAnsi="Arial Narrow"/>
                <w:sz w:val="20"/>
                <w:szCs w:val="20"/>
              </w:rPr>
            </w:pPr>
          </w:p>
        </w:tc>
        <w:tc>
          <w:tcPr>
            <w:tcW w:w="2254" w:type="dxa"/>
          </w:tcPr>
          <w:p w14:paraId="31B845BF" w14:textId="1344DE4D"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Calibri"/>
                <w:sz w:val="20"/>
                <w:szCs w:val="20"/>
                <w:lang w:val="en-GB"/>
              </w:rPr>
              <w:t>LDCT: 1.5% (51/3512)</w:t>
            </w:r>
            <w:r w:rsidRPr="00666ACB">
              <w:rPr>
                <w:rFonts w:ascii="Arial Narrow" w:eastAsia="Calibri" w:hAnsi="Arial Narrow" w:cs="Calibri"/>
                <w:sz w:val="20"/>
                <w:szCs w:val="20"/>
                <w:lang w:val="en-GB"/>
              </w:rPr>
              <w:br/>
            </w:r>
            <w:r w:rsidRPr="00666ACB">
              <w:rPr>
                <w:rFonts w:ascii="Arial Narrow" w:eastAsia="Calibri" w:hAnsi="Arial Narrow" w:cs="Times New Roman"/>
                <w:sz w:val="20"/>
                <w:szCs w:val="20"/>
              </w:rPr>
              <w:t>Control: 0.3% (10/3145)</w:t>
            </w:r>
          </w:p>
        </w:tc>
      </w:tr>
      <w:tr w:rsidR="00240F89" w:rsidRPr="00666ACB" w14:paraId="021281DB" w14:textId="77777777" w:rsidTr="00240F89">
        <w:tc>
          <w:tcPr>
            <w:tcW w:w="2254" w:type="dxa"/>
          </w:tcPr>
          <w:p w14:paraId="307987B8" w14:textId="12073E45" w:rsidR="00240F89" w:rsidRPr="00666ACB" w:rsidRDefault="00240F89" w:rsidP="00B43B93">
            <w:pPr>
              <w:keepNext/>
              <w:spacing w:before="0"/>
              <w:rPr>
                <w:rFonts w:ascii="Arial Narrow" w:hAnsi="Arial Narrow"/>
                <w:sz w:val="20"/>
                <w:szCs w:val="20"/>
              </w:rPr>
            </w:pPr>
            <w:r w:rsidRPr="00666ACB">
              <w:rPr>
                <w:rFonts w:ascii="Arial Narrow" w:hAnsi="Arial Narrow"/>
                <w:sz w:val="20"/>
                <w:szCs w:val="20"/>
              </w:rPr>
              <w:t>DANTE</w:t>
            </w:r>
            <w:r w:rsidR="00666ACB">
              <w:rPr>
                <w:rFonts w:ascii="Arial Narrow" w:hAnsi="Arial Narrow"/>
                <w:sz w:val="20"/>
                <w:szCs w:val="20"/>
              </w:rPr>
              <w:t xml:space="preserve"> </w:t>
            </w:r>
            <w:r w:rsidRPr="00666ACB">
              <w:rPr>
                <w:rFonts w:ascii="Arial Narrow" w:hAnsi="Arial Narrow"/>
                <w:sz w:val="20"/>
                <w:szCs w:val="20"/>
              </w:rPr>
              <w:t>2001</w:t>
            </w:r>
          </w:p>
        </w:tc>
        <w:tc>
          <w:tcPr>
            <w:tcW w:w="2254" w:type="dxa"/>
          </w:tcPr>
          <w:p w14:paraId="415862EE" w14:textId="06DB3EC8"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rPr>
              <w:t>LDCT: 4.7% (59/1264)</w:t>
            </w:r>
            <w:r w:rsidRPr="00666ACB">
              <w:rPr>
                <w:rFonts w:ascii="Arial Narrow" w:eastAsia="Calibri" w:hAnsi="Arial Narrow" w:cs="Times New Roman"/>
                <w:bCs/>
                <w:sz w:val="20"/>
                <w:szCs w:val="20"/>
              </w:rPr>
              <w:br/>
              <w:t>Control: 4.6% (55/1186)</w:t>
            </w:r>
            <w:r w:rsidRPr="00666ACB">
              <w:rPr>
                <w:rFonts w:ascii="Arial Narrow" w:eastAsia="Calibri" w:hAnsi="Arial Narrow" w:cs="Times New Roman"/>
                <w:bCs/>
                <w:sz w:val="20"/>
                <w:szCs w:val="20"/>
              </w:rPr>
              <w:br/>
              <w:t>HR: 0.99</w:t>
            </w:r>
            <w:r w:rsidRPr="00666ACB">
              <w:rPr>
                <w:rFonts w:ascii="Arial Narrow" w:eastAsia="Calibri" w:hAnsi="Arial Narrow" w:cs="Times New Roman"/>
                <w:bCs/>
                <w:sz w:val="20"/>
                <w:szCs w:val="20"/>
              </w:rPr>
              <w:br/>
              <w:t>95% CI: 0.69 to 1.43</w:t>
            </w:r>
          </w:p>
        </w:tc>
        <w:tc>
          <w:tcPr>
            <w:tcW w:w="2254" w:type="dxa"/>
          </w:tcPr>
          <w:p w14:paraId="76D80A11" w14:textId="42E4D49E"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rPr>
              <w:t>LDCT: 14.2% (180/1264)</w:t>
            </w:r>
            <w:r w:rsidRPr="00666ACB">
              <w:rPr>
                <w:rFonts w:ascii="Arial Narrow" w:eastAsia="Calibri" w:hAnsi="Arial Narrow" w:cs="Times New Roman"/>
                <w:bCs/>
                <w:sz w:val="20"/>
                <w:szCs w:val="20"/>
              </w:rPr>
              <w:br/>
              <w:t>Control: 14.8% (176/1186)</w:t>
            </w:r>
            <w:r w:rsidRPr="00666ACB">
              <w:rPr>
                <w:rFonts w:ascii="Arial Narrow" w:eastAsia="Calibri" w:hAnsi="Arial Narrow" w:cs="Times New Roman"/>
                <w:bCs/>
                <w:sz w:val="20"/>
                <w:szCs w:val="20"/>
              </w:rPr>
              <w:br/>
              <w:t>HR: 0.95</w:t>
            </w:r>
            <w:r w:rsidRPr="00666ACB">
              <w:rPr>
                <w:rFonts w:ascii="Arial Narrow" w:eastAsia="Calibri" w:hAnsi="Arial Narrow" w:cs="Times New Roman"/>
                <w:bCs/>
                <w:sz w:val="20"/>
                <w:szCs w:val="20"/>
              </w:rPr>
              <w:br/>
              <w:t>95% CI: 0.77 to 1.16</w:t>
            </w:r>
          </w:p>
        </w:tc>
        <w:tc>
          <w:tcPr>
            <w:tcW w:w="2254" w:type="dxa"/>
          </w:tcPr>
          <w:p w14:paraId="59072490" w14:textId="422D1B2C"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rPr>
              <w:t>LDCT: 8.23% (104/1264)</w:t>
            </w:r>
            <w:r w:rsidRPr="00666ACB">
              <w:rPr>
                <w:rFonts w:ascii="Arial Narrow" w:eastAsia="Calibri" w:hAnsi="Arial Narrow" w:cs="Times New Roman"/>
                <w:bCs/>
                <w:sz w:val="20"/>
                <w:szCs w:val="20"/>
              </w:rPr>
              <w:br/>
              <w:t>Control: 6.07% (72/1186)</w:t>
            </w:r>
            <w:r w:rsidRPr="00666ACB">
              <w:rPr>
                <w:rFonts w:ascii="Arial Narrow" w:eastAsia="Calibri" w:hAnsi="Arial Narrow" w:cs="Times New Roman"/>
                <w:bCs/>
                <w:sz w:val="20"/>
                <w:szCs w:val="20"/>
              </w:rPr>
              <w:br/>
              <w:t>p = 0.0418</w:t>
            </w:r>
          </w:p>
        </w:tc>
      </w:tr>
      <w:tr w:rsidR="00240F89" w:rsidRPr="00666ACB" w14:paraId="5A6D07EB" w14:textId="77777777" w:rsidTr="00240F89">
        <w:tc>
          <w:tcPr>
            <w:tcW w:w="2254" w:type="dxa"/>
          </w:tcPr>
          <w:p w14:paraId="1B0C645C" w14:textId="1ED128EC" w:rsidR="00240F89" w:rsidRPr="00666ACB" w:rsidRDefault="00240F89" w:rsidP="00B43B93">
            <w:pPr>
              <w:keepNext/>
              <w:spacing w:before="0"/>
              <w:rPr>
                <w:rFonts w:ascii="Arial Narrow" w:hAnsi="Arial Narrow"/>
                <w:sz w:val="20"/>
                <w:szCs w:val="20"/>
              </w:rPr>
            </w:pPr>
            <w:r w:rsidRPr="00666ACB">
              <w:rPr>
                <w:rFonts w:ascii="Arial Narrow" w:hAnsi="Arial Narrow"/>
                <w:sz w:val="20"/>
                <w:szCs w:val="20"/>
              </w:rPr>
              <w:t>DLCST</w:t>
            </w:r>
            <w:r w:rsidR="00666ACB">
              <w:rPr>
                <w:rFonts w:ascii="Arial Narrow" w:hAnsi="Arial Narrow"/>
                <w:sz w:val="20"/>
                <w:szCs w:val="20"/>
              </w:rPr>
              <w:t xml:space="preserve"> </w:t>
            </w:r>
            <w:r w:rsidRPr="00666ACB">
              <w:rPr>
                <w:rFonts w:ascii="Arial Narrow" w:hAnsi="Arial Narrow"/>
                <w:sz w:val="20"/>
                <w:szCs w:val="20"/>
              </w:rPr>
              <w:t>2004</w:t>
            </w:r>
          </w:p>
        </w:tc>
        <w:tc>
          <w:tcPr>
            <w:tcW w:w="2254" w:type="dxa"/>
          </w:tcPr>
          <w:p w14:paraId="4572E0EF" w14:textId="68D133FD"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rPr>
              <w:t>LDCT: 1.9% (39/2052)</w:t>
            </w:r>
            <w:r w:rsidRPr="00666ACB">
              <w:rPr>
                <w:rFonts w:ascii="Arial Narrow" w:eastAsia="Calibri" w:hAnsi="Arial Narrow" w:cs="Times New Roman"/>
                <w:bCs/>
                <w:sz w:val="20"/>
                <w:szCs w:val="20"/>
              </w:rPr>
              <w:br/>
              <w:t>Control: 1.9% (38/2052)</w:t>
            </w:r>
            <w:r w:rsidRPr="00666ACB">
              <w:rPr>
                <w:rFonts w:ascii="Arial Narrow" w:eastAsia="Calibri" w:hAnsi="Arial Narrow" w:cs="Times New Roman"/>
                <w:bCs/>
                <w:sz w:val="20"/>
                <w:szCs w:val="20"/>
              </w:rPr>
              <w:br/>
              <w:t>HR: 1.03</w:t>
            </w:r>
            <w:r w:rsidRPr="00666ACB">
              <w:rPr>
                <w:rFonts w:ascii="Arial Narrow" w:eastAsia="Calibri" w:hAnsi="Arial Narrow" w:cs="Times New Roman"/>
                <w:bCs/>
                <w:sz w:val="20"/>
                <w:szCs w:val="20"/>
              </w:rPr>
              <w:br/>
              <w:t>95% CI: 0.66 to 1.60</w:t>
            </w:r>
          </w:p>
        </w:tc>
        <w:tc>
          <w:tcPr>
            <w:tcW w:w="2254" w:type="dxa"/>
          </w:tcPr>
          <w:p w14:paraId="632C148D" w14:textId="48624BDF"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rPr>
              <w:t>LDCT: 8.0% (165/2052)</w:t>
            </w:r>
            <w:r w:rsidRPr="00666ACB">
              <w:rPr>
                <w:rFonts w:ascii="Arial Narrow" w:eastAsia="Calibri" w:hAnsi="Arial Narrow" w:cs="Times New Roman"/>
                <w:bCs/>
                <w:sz w:val="20"/>
                <w:szCs w:val="20"/>
              </w:rPr>
              <w:br/>
              <w:t>Control: 7.9% (163/2052)</w:t>
            </w:r>
            <w:r w:rsidRPr="00666ACB">
              <w:rPr>
                <w:rFonts w:ascii="Arial Narrow" w:eastAsia="Calibri" w:hAnsi="Arial Narrow" w:cs="Times New Roman"/>
                <w:bCs/>
                <w:sz w:val="20"/>
                <w:szCs w:val="20"/>
              </w:rPr>
              <w:br/>
              <w:t>HR: 1.02</w:t>
            </w:r>
            <w:r w:rsidRPr="00666ACB">
              <w:rPr>
                <w:rFonts w:ascii="Arial Narrow" w:eastAsia="Calibri" w:hAnsi="Arial Narrow" w:cs="Times New Roman"/>
                <w:bCs/>
                <w:sz w:val="20"/>
                <w:szCs w:val="20"/>
              </w:rPr>
              <w:br/>
              <w:t>95% CI: 0.82 to 1.27</w:t>
            </w:r>
          </w:p>
        </w:tc>
        <w:tc>
          <w:tcPr>
            <w:tcW w:w="2254" w:type="dxa"/>
          </w:tcPr>
          <w:p w14:paraId="2D1D5C5C" w14:textId="77777777" w:rsidR="00240F89" w:rsidRPr="00666ACB" w:rsidRDefault="00240F89" w:rsidP="00B43B93">
            <w:pPr>
              <w:keepNext/>
              <w:spacing w:before="0"/>
              <w:jc w:val="center"/>
              <w:rPr>
                <w:rFonts w:ascii="Arial Narrow" w:hAnsi="Arial Narrow"/>
                <w:sz w:val="20"/>
                <w:szCs w:val="20"/>
              </w:rPr>
            </w:pPr>
          </w:p>
        </w:tc>
      </w:tr>
      <w:tr w:rsidR="00240F89" w:rsidRPr="00666ACB" w14:paraId="56ECAD33" w14:textId="77777777" w:rsidTr="00240F89">
        <w:tc>
          <w:tcPr>
            <w:tcW w:w="2254" w:type="dxa"/>
          </w:tcPr>
          <w:p w14:paraId="23D59BB0" w14:textId="161038EB" w:rsidR="00240F89" w:rsidRPr="00666ACB" w:rsidRDefault="00240F89" w:rsidP="00B43B93">
            <w:pPr>
              <w:keepNext/>
              <w:spacing w:before="0"/>
              <w:rPr>
                <w:rFonts w:ascii="Arial Narrow" w:hAnsi="Arial Narrow"/>
                <w:sz w:val="20"/>
                <w:szCs w:val="20"/>
              </w:rPr>
            </w:pPr>
            <w:r w:rsidRPr="00666ACB">
              <w:rPr>
                <w:rFonts w:ascii="Arial Narrow" w:hAnsi="Arial Narrow"/>
                <w:sz w:val="20"/>
                <w:szCs w:val="20"/>
              </w:rPr>
              <w:t>ITALUNG</w:t>
            </w:r>
            <w:r w:rsidR="00666ACB">
              <w:rPr>
                <w:rFonts w:ascii="Arial Narrow" w:hAnsi="Arial Narrow"/>
                <w:sz w:val="20"/>
                <w:szCs w:val="20"/>
              </w:rPr>
              <w:t xml:space="preserve"> </w:t>
            </w:r>
            <w:r w:rsidRPr="00666ACB">
              <w:rPr>
                <w:rFonts w:ascii="Arial Narrow" w:hAnsi="Arial Narrow"/>
                <w:sz w:val="20"/>
                <w:szCs w:val="20"/>
              </w:rPr>
              <w:t>2004</w:t>
            </w:r>
          </w:p>
        </w:tc>
        <w:tc>
          <w:tcPr>
            <w:tcW w:w="2254" w:type="dxa"/>
          </w:tcPr>
          <w:p w14:paraId="54C27632" w14:textId="2F5789C8"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 xml:space="preserve">LDCT: </w:t>
            </w:r>
            <w:r w:rsidRPr="00666ACB">
              <w:rPr>
                <w:rFonts w:ascii="Arial Narrow" w:eastAsia="Calibri" w:hAnsi="Arial Narrow" w:cs="Calibri"/>
                <w:sz w:val="20"/>
                <w:szCs w:val="20"/>
                <w:lang w:val="en-GB"/>
              </w:rPr>
              <w:t>43 (29.3 per 10,000 person-years)</w:t>
            </w:r>
            <w:r w:rsidRPr="00666ACB">
              <w:rPr>
                <w:rFonts w:ascii="Arial Narrow" w:eastAsia="Calibri" w:hAnsi="Arial Narrow" w:cs="Calibri"/>
                <w:sz w:val="20"/>
                <w:szCs w:val="20"/>
                <w:lang w:val="en-GB"/>
              </w:rPr>
              <w:br/>
              <w:t>Control: 60 (42.1 per 10,000 person-years)</w:t>
            </w:r>
            <w:r w:rsidRPr="00666ACB">
              <w:rPr>
                <w:rFonts w:ascii="Arial Narrow" w:eastAsia="Calibri" w:hAnsi="Arial Narrow" w:cs="Calibri"/>
                <w:sz w:val="20"/>
                <w:szCs w:val="20"/>
                <w:lang w:val="en-GB"/>
              </w:rPr>
              <w:br/>
              <w:t>RR: 0.70</w:t>
            </w:r>
            <w:r w:rsidRPr="00666ACB">
              <w:rPr>
                <w:rFonts w:ascii="Arial Narrow" w:eastAsia="Calibri" w:hAnsi="Arial Narrow" w:cs="Calibri"/>
                <w:sz w:val="20"/>
                <w:szCs w:val="20"/>
                <w:lang w:val="en-GB"/>
              </w:rPr>
              <w:br/>
              <w:t>95% CI: 0.47 to 1.03</w:t>
            </w:r>
          </w:p>
        </w:tc>
        <w:tc>
          <w:tcPr>
            <w:tcW w:w="2254" w:type="dxa"/>
          </w:tcPr>
          <w:p w14:paraId="433D2C0A" w14:textId="4B0AF1AE"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 xml:space="preserve">LDCT: </w:t>
            </w:r>
            <w:r w:rsidRPr="00666ACB">
              <w:rPr>
                <w:rFonts w:ascii="Arial Narrow" w:eastAsia="Calibri" w:hAnsi="Arial Narrow" w:cs="Calibri"/>
                <w:sz w:val="20"/>
                <w:szCs w:val="20"/>
                <w:lang w:val="en-GB"/>
              </w:rPr>
              <w:t>154 (105.1 per 10,000 person-years)</w:t>
            </w:r>
            <w:r w:rsidRPr="00666ACB">
              <w:rPr>
                <w:rFonts w:ascii="Arial Narrow" w:eastAsia="Calibri" w:hAnsi="Arial Narrow" w:cs="Calibri"/>
                <w:sz w:val="20"/>
                <w:szCs w:val="20"/>
                <w:lang w:val="en-GB"/>
              </w:rPr>
              <w:br/>
              <w:t>Control: 181 (127.0 per 10,000 person-years)</w:t>
            </w:r>
            <w:r w:rsidRPr="00666ACB">
              <w:rPr>
                <w:rFonts w:ascii="Arial Narrow" w:eastAsia="Calibri" w:hAnsi="Arial Narrow" w:cs="Calibri"/>
                <w:sz w:val="20"/>
                <w:szCs w:val="20"/>
                <w:lang w:val="en-GB"/>
              </w:rPr>
              <w:br/>
              <w:t>RR: 0.83</w:t>
            </w:r>
            <w:r w:rsidRPr="00666ACB">
              <w:rPr>
                <w:rFonts w:ascii="Arial Narrow" w:eastAsia="Calibri" w:hAnsi="Arial Narrow" w:cs="Calibri"/>
                <w:sz w:val="20"/>
                <w:szCs w:val="20"/>
                <w:lang w:val="en-GB"/>
              </w:rPr>
              <w:br/>
              <w:t>95% CI: 0.67 to 1.03</w:t>
            </w:r>
          </w:p>
        </w:tc>
        <w:tc>
          <w:tcPr>
            <w:tcW w:w="2254" w:type="dxa"/>
          </w:tcPr>
          <w:p w14:paraId="1CCF473D" w14:textId="5E0CCD27"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Calibri"/>
                <w:sz w:val="20"/>
                <w:szCs w:val="20"/>
                <w:lang w:val="en-GB"/>
              </w:rPr>
              <w:t xml:space="preserve">LDCT: </w:t>
            </w:r>
            <w:r w:rsidRPr="00666ACB">
              <w:rPr>
                <w:rFonts w:ascii="Arial Narrow" w:eastAsia="Calibri" w:hAnsi="Arial Narrow" w:cs="Times New Roman"/>
                <w:sz w:val="20"/>
                <w:szCs w:val="20"/>
                <w:shd w:val="clear" w:color="auto" w:fill="FFFFFF"/>
              </w:rPr>
              <w:t>7 (49.9 per 10</w:t>
            </w:r>
            <w:r w:rsidRPr="00666ACB">
              <w:rPr>
                <w:rFonts w:ascii="Arial Narrow" w:eastAsia="Calibri" w:hAnsi="Arial Narrow" w:cs="Arial"/>
                <w:sz w:val="20"/>
                <w:szCs w:val="20"/>
                <w:shd w:val="clear" w:color="auto" w:fill="FFFFFF"/>
              </w:rPr>
              <w:t>,</w:t>
            </w:r>
            <w:r w:rsidRPr="00666ACB">
              <w:rPr>
                <w:rFonts w:ascii="Arial Narrow" w:eastAsia="Calibri" w:hAnsi="Arial Narrow" w:cs="Times New Roman"/>
                <w:sz w:val="20"/>
                <w:szCs w:val="20"/>
                <w:shd w:val="clear" w:color="auto" w:fill="FFFFFF"/>
              </w:rPr>
              <w:t>000 person-years)</w:t>
            </w:r>
            <w:r w:rsidRPr="00666ACB">
              <w:rPr>
                <w:rFonts w:ascii="Arial Narrow" w:eastAsia="Calibri" w:hAnsi="Arial Narrow" w:cs="Times New Roman"/>
                <w:sz w:val="20"/>
                <w:szCs w:val="20"/>
                <w:shd w:val="clear" w:color="auto" w:fill="FFFFFF"/>
              </w:rPr>
              <w:br/>
              <w:t>No screening: 1 (53.7 per 10,000 person-years)</w:t>
            </w:r>
            <w:r w:rsidRPr="00666ACB">
              <w:rPr>
                <w:rFonts w:ascii="Arial Narrow" w:eastAsia="Calibri" w:hAnsi="Arial Narrow" w:cs="Times New Roman"/>
                <w:sz w:val="20"/>
                <w:szCs w:val="20"/>
                <w:shd w:val="clear" w:color="auto" w:fill="FFFFFF"/>
              </w:rPr>
              <w:br/>
              <w:t>RR: 0.93</w:t>
            </w:r>
            <w:r w:rsidRPr="00666ACB">
              <w:rPr>
                <w:rFonts w:ascii="Arial Narrow" w:eastAsia="Calibri" w:hAnsi="Arial Narrow" w:cs="Times New Roman"/>
                <w:sz w:val="20"/>
                <w:szCs w:val="20"/>
                <w:shd w:val="clear" w:color="auto" w:fill="FFFFFF"/>
              </w:rPr>
              <w:br/>
              <w:t>95% CI: 0.67 to 1.30</w:t>
            </w:r>
          </w:p>
        </w:tc>
      </w:tr>
      <w:tr w:rsidR="00240F89" w:rsidRPr="00666ACB" w14:paraId="6BFB13B6" w14:textId="77777777" w:rsidTr="00240F89">
        <w:tc>
          <w:tcPr>
            <w:tcW w:w="2254" w:type="dxa"/>
          </w:tcPr>
          <w:p w14:paraId="50BD66A7" w14:textId="2C11F442" w:rsidR="00240F89" w:rsidRPr="00666ACB" w:rsidRDefault="00240F89" w:rsidP="00B43B93">
            <w:pPr>
              <w:keepNext/>
              <w:spacing w:before="0"/>
              <w:rPr>
                <w:rFonts w:ascii="Arial Narrow" w:hAnsi="Arial Narrow"/>
                <w:sz w:val="20"/>
                <w:szCs w:val="20"/>
              </w:rPr>
            </w:pPr>
            <w:r w:rsidRPr="00666ACB">
              <w:rPr>
                <w:rFonts w:ascii="Arial Narrow" w:eastAsia="Calibri" w:hAnsi="Arial Narrow" w:cs="Times New Roman"/>
                <w:sz w:val="20"/>
                <w:szCs w:val="20"/>
              </w:rPr>
              <w:t>LUSI</w:t>
            </w:r>
            <w:r w:rsidR="00666ACB">
              <w:rPr>
                <w:rFonts w:ascii="Arial Narrow" w:eastAsia="Calibri" w:hAnsi="Arial Narrow" w:cs="Times New Roman"/>
                <w:sz w:val="20"/>
                <w:szCs w:val="20"/>
              </w:rPr>
              <w:t xml:space="preserve"> </w:t>
            </w:r>
            <w:r w:rsidRPr="00666ACB">
              <w:rPr>
                <w:rFonts w:ascii="Arial Narrow" w:eastAsia="Calibri" w:hAnsi="Arial Narrow" w:cs="Times New Roman"/>
                <w:sz w:val="20"/>
                <w:szCs w:val="20"/>
              </w:rPr>
              <w:t>2007</w:t>
            </w:r>
          </w:p>
        </w:tc>
        <w:tc>
          <w:tcPr>
            <w:tcW w:w="2254" w:type="dxa"/>
          </w:tcPr>
          <w:p w14:paraId="0D17E871" w14:textId="287957EC"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1.4% (29/2029)</w:t>
            </w:r>
            <w:r w:rsidRPr="00666ACB">
              <w:rPr>
                <w:rFonts w:ascii="Arial Narrow" w:eastAsia="Calibri" w:hAnsi="Arial Narrow" w:cs="Times New Roman"/>
                <w:sz w:val="20"/>
                <w:szCs w:val="20"/>
              </w:rPr>
              <w:br/>
              <w:t>Control: 2.0% (40/2023)</w:t>
            </w:r>
            <w:r w:rsidRPr="00666ACB">
              <w:rPr>
                <w:rFonts w:ascii="Arial Narrow" w:eastAsia="Calibri" w:hAnsi="Arial Narrow" w:cs="Times New Roman"/>
                <w:sz w:val="20"/>
                <w:szCs w:val="20"/>
              </w:rPr>
              <w:br/>
              <w:t>RR: 0.72</w:t>
            </w:r>
            <w:r w:rsidRPr="00666ACB">
              <w:rPr>
                <w:rFonts w:ascii="Arial Narrow" w:eastAsia="Calibri" w:hAnsi="Arial Narrow" w:cs="Times New Roman"/>
                <w:sz w:val="20"/>
                <w:szCs w:val="20"/>
              </w:rPr>
              <w:br/>
              <w:t>95% CI: 0.45 to 1.16</w:t>
            </w:r>
          </w:p>
        </w:tc>
        <w:tc>
          <w:tcPr>
            <w:tcW w:w="2254" w:type="dxa"/>
          </w:tcPr>
          <w:p w14:paraId="693CED5F" w14:textId="62110BD1"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7.3% (148/2029)</w:t>
            </w:r>
            <w:r w:rsidRPr="00666ACB">
              <w:rPr>
                <w:rFonts w:ascii="Arial Narrow" w:eastAsia="Calibri" w:hAnsi="Arial Narrow" w:cs="Times New Roman"/>
                <w:sz w:val="20"/>
                <w:szCs w:val="20"/>
              </w:rPr>
              <w:br/>
              <w:t>Control: 7.4% (150/2023)</w:t>
            </w:r>
            <w:r w:rsidRPr="00666ACB">
              <w:rPr>
                <w:rFonts w:ascii="Arial Narrow" w:eastAsia="Calibri" w:hAnsi="Arial Narrow" w:cs="Times New Roman"/>
                <w:sz w:val="20"/>
                <w:szCs w:val="20"/>
              </w:rPr>
              <w:br/>
              <w:t>RR: 0.98</w:t>
            </w:r>
            <w:r w:rsidRPr="00666ACB">
              <w:rPr>
                <w:rFonts w:ascii="Arial Narrow" w:eastAsia="Calibri" w:hAnsi="Arial Narrow" w:cs="Times New Roman"/>
                <w:sz w:val="20"/>
                <w:szCs w:val="20"/>
              </w:rPr>
              <w:br/>
              <w:t>95% CI: 0.79 to 1.22</w:t>
            </w:r>
          </w:p>
        </w:tc>
        <w:tc>
          <w:tcPr>
            <w:tcW w:w="2254" w:type="dxa"/>
          </w:tcPr>
          <w:p w14:paraId="616B49CC" w14:textId="7A9809B3"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4.2% (85/2029)</w:t>
            </w:r>
            <w:r w:rsidRPr="00666ACB">
              <w:rPr>
                <w:rFonts w:ascii="Arial Narrow" w:eastAsia="Calibri" w:hAnsi="Arial Narrow" w:cs="Times New Roman"/>
                <w:sz w:val="20"/>
                <w:szCs w:val="20"/>
              </w:rPr>
              <w:br/>
              <w:t>Control: 3.3% (67/2023)</w:t>
            </w:r>
            <w:r w:rsidRPr="00666ACB">
              <w:rPr>
                <w:rFonts w:ascii="Arial Narrow" w:eastAsia="Calibri" w:hAnsi="Arial Narrow" w:cs="Times New Roman"/>
                <w:sz w:val="20"/>
                <w:szCs w:val="20"/>
              </w:rPr>
              <w:br/>
              <w:t>p = 0.16</w:t>
            </w:r>
          </w:p>
        </w:tc>
      </w:tr>
      <w:tr w:rsidR="00240F89" w:rsidRPr="00666ACB" w14:paraId="55BB5F0A" w14:textId="77777777" w:rsidTr="00240F89">
        <w:tc>
          <w:tcPr>
            <w:tcW w:w="2254" w:type="dxa"/>
          </w:tcPr>
          <w:p w14:paraId="1A302FF2" w14:textId="3491FBF6" w:rsidR="00240F89" w:rsidRPr="00666ACB" w:rsidRDefault="00240F89" w:rsidP="00B43B93">
            <w:pPr>
              <w:keepNext/>
              <w:spacing w:before="0"/>
              <w:rPr>
                <w:rFonts w:ascii="Arial Narrow" w:hAnsi="Arial Narrow"/>
                <w:sz w:val="20"/>
                <w:szCs w:val="20"/>
              </w:rPr>
            </w:pPr>
            <w:r w:rsidRPr="00666ACB">
              <w:rPr>
                <w:rFonts w:ascii="Arial Narrow" w:eastAsia="Calibri" w:hAnsi="Arial Narrow" w:cs="Calibri"/>
                <w:color w:val="000000"/>
                <w:sz w:val="20"/>
                <w:szCs w:val="20"/>
              </w:rPr>
              <w:t>MILD</w:t>
            </w:r>
            <w:r w:rsidR="00666ACB">
              <w:rPr>
                <w:rFonts w:ascii="Arial Narrow" w:eastAsia="Calibri" w:hAnsi="Arial Narrow" w:cs="Calibri"/>
                <w:color w:val="000000"/>
                <w:sz w:val="20"/>
                <w:szCs w:val="20"/>
              </w:rPr>
              <w:t xml:space="preserve"> </w:t>
            </w:r>
            <w:r w:rsidRPr="00666ACB">
              <w:rPr>
                <w:rFonts w:ascii="Arial Narrow" w:eastAsia="Calibri" w:hAnsi="Arial Narrow" w:cs="Calibri"/>
                <w:color w:val="000000"/>
                <w:sz w:val="20"/>
                <w:szCs w:val="20"/>
              </w:rPr>
              <w:t>2005</w:t>
            </w:r>
          </w:p>
        </w:tc>
        <w:tc>
          <w:tcPr>
            <w:tcW w:w="2254" w:type="dxa"/>
          </w:tcPr>
          <w:p w14:paraId="45AC1016" w14:textId="0C4CDFAC"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2.3% (40/1723)</w:t>
            </w:r>
            <w:r w:rsidRPr="00666ACB">
              <w:rPr>
                <w:rFonts w:ascii="Arial Narrow" w:eastAsia="Calibri" w:hAnsi="Arial Narrow" w:cs="Times New Roman"/>
                <w:sz w:val="20"/>
                <w:szCs w:val="20"/>
              </w:rPr>
              <w:br/>
              <w:t>Control: 1.7% (40/2376)</w:t>
            </w:r>
            <w:r w:rsidRPr="00666ACB">
              <w:rPr>
                <w:rFonts w:ascii="Arial Narrow" w:eastAsia="Calibri" w:hAnsi="Arial Narrow" w:cs="Times New Roman"/>
                <w:sz w:val="20"/>
                <w:szCs w:val="20"/>
              </w:rPr>
              <w:br/>
              <w:t>p = 0.14</w:t>
            </w:r>
          </w:p>
        </w:tc>
        <w:tc>
          <w:tcPr>
            <w:tcW w:w="2254" w:type="dxa"/>
          </w:tcPr>
          <w:p w14:paraId="74F1E62B" w14:textId="63728287"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6.2% (106/1723)</w:t>
            </w:r>
            <w:r w:rsidRPr="00666ACB">
              <w:rPr>
                <w:rFonts w:ascii="Arial Narrow" w:eastAsia="Calibri" w:hAnsi="Arial Narrow" w:cs="Times New Roman"/>
                <w:sz w:val="20"/>
                <w:szCs w:val="20"/>
              </w:rPr>
              <w:br/>
              <w:t>Control: 5.8% (137/2376)</w:t>
            </w:r>
            <w:r w:rsidRPr="00666ACB">
              <w:rPr>
                <w:rFonts w:ascii="Arial Narrow" w:eastAsia="Calibri" w:hAnsi="Arial Narrow" w:cs="Times New Roman"/>
                <w:sz w:val="20"/>
                <w:szCs w:val="20"/>
              </w:rPr>
              <w:br/>
              <w:t>p = 0.61</w:t>
            </w:r>
          </w:p>
        </w:tc>
        <w:tc>
          <w:tcPr>
            <w:tcW w:w="2254" w:type="dxa"/>
          </w:tcPr>
          <w:p w14:paraId="7F17F914" w14:textId="09DF0F48"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Calibri"/>
                <w:sz w:val="20"/>
                <w:szCs w:val="20"/>
                <w:lang w:val="en-GB"/>
              </w:rPr>
              <w:t>LDCT: 3.5% (60/1723)</w:t>
            </w:r>
            <w:r w:rsidRPr="00666ACB">
              <w:rPr>
                <w:rFonts w:ascii="Arial Narrow" w:eastAsia="Calibri" w:hAnsi="Arial Narrow" w:cs="Calibri"/>
                <w:sz w:val="20"/>
                <w:szCs w:val="20"/>
                <w:lang w:val="en-GB"/>
              </w:rPr>
              <w:br/>
              <w:t>Control: 4.1% (98/2376)</w:t>
            </w:r>
            <w:r w:rsidRPr="00666ACB">
              <w:rPr>
                <w:rFonts w:ascii="Arial Narrow" w:eastAsia="Calibri" w:hAnsi="Arial Narrow" w:cs="Calibri"/>
                <w:sz w:val="20"/>
                <w:szCs w:val="20"/>
                <w:lang w:val="en-GB"/>
              </w:rPr>
              <w:br/>
            </w:r>
            <w:r w:rsidRPr="00666ACB">
              <w:rPr>
                <w:rFonts w:ascii="Arial Narrow" w:eastAsia="Calibri" w:hAnsi="Arial Narrow" w:cs="Times New Roman"/>
                <w:sz w:val="20"/>
                <w:szCs w:val="20"/>
              </w:rPr>
              <w:t>p = 0.29</w:t>
            </w:r>
          </w:p>
        </w:tc>
      </w:tr>
      <w:tr w:rsidR="00240F89" w:rsidRPr="00666ACB" w14:paraId="2B61003A" w14:textId="77777777" w:rsidTr="00240F89">
        <w:tc>
          <w:tcPr>
            <w:tcW w:w="2254" w:type="dxa"/>
          </w:tcPr>
          <w:p w14:paraId="1039D655" w14:textId="2B2D9F9D" w:rsidR="00240F89" w:rsidRPr="00666ACB" w:rsidRDefault="00240F89" w:rsidP="00B43B93">
            <w:pPr>
              <w:keepNext/>
              <w:spacing w:before="0"/>
              <w:rPr>
                <w:rFonts w:ascii="Arial Narrow" w:hAnsi="Arial Narrow"/>
                <w:sz w:val="20"/>
                <w:szCs w:val="20"/>
              </w:rPr>
            </w:pPr>
            <w:r w:rsidRPr="00666ACB">
              <w:rPr>
                <w:rFonts w:ascii="Arial Narrow" w:eastAsia="Calibri" w:hAnsi="Arial Narrow" w:cs="Times New Roman"/>
                <w:bCs/>
                <w:sz w:val="20"/>
                <w:szCs w:val="20"/>
              </w:rPr>
              <w:t>NELSON</w:t>
            </w:r>
            <w:r w:rsidR="00666ACB">
              <w:rPr>
                <w:rFonts w:ascii="Arial Narrow" w:eastAsia="Calibri" w:hAnsi="Arial Narrow" w:cs="Times New Roman"/>
                <w:bCs/>
                <w:sz w:val="20"/>
                <w:szCs w:val="20"/>
              </w:rPr>
              <w:t xml:space="preserve"> </w:t>
            </w:r>
            <w:r w:rsidRPr="00666ACB">
              <w:rPr>
                <w:rFonts w:ascii="Arial Narrow" w:eastAsia="Calibri" w:hAnsi="Arial Narrow" w:cs="Times New Roman"/>
                <w:bCs/>
                <w:sz w:val="20"/>
                <w:szCs w:val="20"/>
              </w:rPr>
              <w:t>2003</w:t>
            </w:r>
          </w:p>
        </w:tc>
        <w:tc>
          <w:tcPr>
            <w:tcW w:w="2254" w:type="dxa"/>
          </w:tcPr>
          <w:p w14:paraId="15E02A3D" w14:textId="075CE6AE"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lang w:val="en-GB"/>
              </w:rPr>
              <w:t xml:space="preserve">LDCT: </w:t>
            </w:r>
            <w:r w:rsidRPr="00666ACB">
              <w:rPr>
                <w:rFonts w:ascii="Arial Narrow" w:eastAsia="Calibri" w:hAnsi="Arial Narrow" w:cs="Calibri"/>
                <w:bCs/>
                <w:sz w:val="20"/>
                <w:szCs w:val="20"/>
                <w:lang w:val="en-GB"/>
              </w:rPr>
              <w:t>156 (2.5 per 1000 person-years)</w:t>
            </w:r>
            <w:r w:rsidRPr="00666ACB">
              <w:rPr>
                <w:rFonts w:ascii="Arial Narrow" w:eastAsia="Calibri" w:hAnsi="Arial Narrow" w:cs="Calibri"/>
                <w:bCs/>
                <w:sz w:val="20"/>
                <w:szCs w:val="20"/>
                <w:lang w:val="en-GB"/>
              </w:rPr>
              <w:br/>
              <w:t>Control: 206 (3.3 per 1000 person-years)</w:t>
            </w:r>
            <w:r w:rsidRPr="00666ACB">
              <w:rPr>
                <w:rFonts w:ascii="Arial Narrow" w:eastAsia="Calibri" w:hAnsi="Arial Narrow" w:cs="Calibri"/>
                <w:bCs/>
                <w:sz w:val="20"/>
                <w:szCs w:val="20"/>
                <w:lang w:val="en-GB"/>
              </w:rPr>
              <w:br/>
            </w:r>
            <w:r w:rsidRPr="00666ACB">
              <w:rPr>
                <w:rFonts w:ascii="Arial Narrow" w:eastAsia="Calibri" w:hAnsi="Arial Narrow" w:cs="Times New Roman"/>
                <w:bCs/>
                <w:sz w:val="20"/>
                <w:szCs w:val="20"/>
                <w:lang w:val="en-GB"/>
              </w:rPr>
              <w:t>RR: 0.76</w:t>
            </w:r>
            <w:r w:rsidRPr="00666ACB">
              <w:rPr>
                <w:rFonts w:ascii="Arial Narrow" w:eastAsia="Calibri" w:hAnsi="Arial Narrow" w:cs="Times New Roman"/>
                <w:bCs/>
                <w:sz w:val="20"/>
                <w:szCs w:val="20"/>
                <w:lang w:val="en-GB"/>
              </w:rPr>
              <w:br/>
              <w:t>95% CI: 0.61 to 0.94</w:t>
            </w:r>
          </w:p>
        </w:tc>
        <w:tc>
          <w:tcPr>
            <w:tcW w:w="2254" w:type="dxa"/>
          </w:tcPr>
          <w:p w14:paraId="53C111D8" w14:textId="77777777" w:rsidR="00240F89" w:rsidRPr="00666ACB" w:rsidRDefault="00240F89" w:rsidP="00B43B93">
            <w:pPr>
              <w:keepNext/>
              <w:spacing w:before="0"/>
              <w:jc w:val="center"/>
              <w:rPr>
                <w:rFonts w:ascii="Arial Narrow" w:hAnsi="Arial Narrow"/>
                <w:sz w:val="20"/>
                <w:szCs w:val="20"/>
              </w:rPr>
            </w:pPr>
          </w:p>
        </w:tc>
        <w:tc>
          <w:tcPr>
            <w:tcW w:w="2254" w:type="dxa"/>
          </w:tcPr>
          <w:p w14:paraId="30D66156" w14:textId="092A993C"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lang w:val="en-GB"/>
              </w:rPr>
              <w:t>5.2% (341 of 6583*)</w:t>
            </w:r>
            <w:r w:rsidRPr="00666ACB">
              <w:rPr>
                <w:rFonts w:ascii="Arial Narrow" w:eastAsia="Calibri" w:hAnsi="Arial Narrow" w:cs="Times New Roman"/>
                <w:bCs/>
                <w:sz w:val="20"/>
                <w:szCs w:val="20"/>
                <w:lang w:val="en-GB"/>
              </w:rPr>
              <w:br/>
            </w:r>
            <w:r w:rsidRPr="00666ACB">
              <w:rPr>
                <w:rFonts w:ascii="Arial Narrow" w:eastAsia="Calibri" w:hAnsi="Arial Narrow" w:cs="Times New Roman"/>
                <w:bCs/>
                <w:sz w:val="20"/>
                <w:szCs w:val="20"/>
              </w:rPr>
              <w:t>*NELSON male cohort</w:t>
            </w:r>
          </w:p>
        </w:tc>
      </w:tr>
      <w:tr w:rsidR="00240F89" w:rsidRPr="00666ACB" w14:paraId="1937245F" w14:textId="77777777" w:rsidTr="00240F89">
        <w:tc>
          <w:tcPr>
            <w:tcW w:w="2254" w:type="dxa"/>
          </w:tcPr>
          <w:p w14:paraId="118D4DEA" w14:textId="12840971" w:rsidR="00240F89" w:rsidRPr="00666ACB" w:rsidRDefault="00240F89" w:rsidP="00B43B93">
            <w:pPr>
              <w:keepNext/>
              <w:spacing w:before="0"/>
              <w:rPr>
                <w:rFonts w:ascii="Arial Narrow" w:hAnsi="Arial Narrow"/>
                <w:sz w:val="20"/>
                <w:szCs w:val="20"/>
              </w:rPr>
            </w:pPr>
            <w:r w:rsidRPr="00666ACB">
              <w:rPr>
                <w:rFonts w:ascii="Arial Narrow" w:eastAsia="Calibri" w:hAnsi="Arial Narrow" w:cs="Times New Roman"/>
                <w:bCs/>
                <w:sz w:val="20"/>
                <w:szCs w:val="20"/>
              </w:rPr>
              <w:t>NLST</w:t>
            </w:r>
            <w:r w:rsidR="00666ACB">
              <w:rPr>
                <w:rFonts w:ascii="Arial Narrow" w:eastAsia="Calibri" w:hAnsi="Arial Narrow" w:cs="Times New Roman"/>
                <w:bCs/>
                <w:sz w:val="20"/>
                <w:szCs w:val="20"/>
              </w:rPr>
              <w:t xml:space="preserve"> </w:t>
            </w:r>
            <w:r w:rsidRPr="00666ACB">
              <w:rPr>
                <w:rFonts w:ascii="Arial Narrow" w:eastAsia="Calibri" w:hAnsi="Arial Narrow" w:cs="Times New Roman"/>
                <w:bCs/>
                <w:sz w:val="20"/>
                <w:szCs w:val="20"/>
              </w:rPr>
              <w:t>2002</w:t>
            </w:r>
          </w:p>
        </w:tc>
        <w:tc>
          <w:tcPr>
            <w:tcW w:w="2254" w:type="dxa"/>
          </w:tcPr>
          <w:p w14:paraId="74F2BF81" w14:textId="26175858"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lang w:val="en-GB"/>
              </w:rPr>
              <w:t>LDCT: 247 deaths per 100,000 person-years</w:t>
            </w:r>
            <w:r w:rsidRPr="00666ACB">
              <w:rPr>
                <w:rFonts w:ascii="Arial Narrow" w:eastAsia="Calibri" w:hAnsi="Arial Narrow" w:cs="Times New Roman"/>
                <w:bCs/>
                <w:sz w:val="20"/>
                <w:szCs w:val="20"/>
                <w:lang w:val="en-GB"/>
              </w:rPr>
              <w:br/>
              <w:t>CXR: 309 deaths per 100,000 person-years</w:t>
            </w:r>
            <w:r w:rsidRPr="00666ACB">
              <w:rPr>
                <w:rFonts w:ascii="Arial Narrow" w:eastAsia="Calibri" w:hAnsi="Arial Narrow" w:cs="Times New Roman"/>
                <w:bCs/>
                <w:sz w:val="20"/>
                <w:szCs w:val="20"/>
                <w:lang w:val="en-GB"/>
              </w:rPr>
              <w:br/>
              <w:t>RRR: 20.0%</w:t>
            </w:r>
            <w:r w:rsidRPr="00666ACB">
              <w:rPr>
                <w:rFonts w:ascii="Arial Narrow" w:eastAsia="Calibri" w:hAnsi="Arial Narrow" w:cs="Times New Roman"/>
                <w:bCs/>
                <w:sz w:val="20"/>
                <w:szCs w:val="20"/>
                <w:lang w:val="en-GB"/>
              </w:rPr>
              <w:br/>
              <w:t>95% CI: 6.8% to 26.7%</w:t>
            </w:r>
          </w:p>
        </w:tc>
        <w:tc>
          <w:tcPr>
            <w:tcW w:w="2254" w:type="dxa"/>
          </w:tcPr>
          <w:p w14:paraId="1FA9AC3B" w14:textId="0583B42D"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Calibri"/>
                <w:bCs/>
                <w:sz w:val="20"/>
                <w:szCs w:val="20"/>
                <w:lang w:val="en-GB"/>
              </w:rPr>
              <w:t>LDCT: 1877</w:t>
            </w:r>
            <w:r w:rsidRPr="00666ACB">
              <w:rPr>
                <w:rFonts w:ascii="Arial Narrow" w:eastAsia="Calibri" w:hAnsi="Arial Narrow" w:cs="Calibri"/>
                <w:bCs/>
                <w:sz w:val="20"/>
                <w:szCs w:val="20"/>
                <w:lang w:val="en-GB"/>
              </w:rPr>
              <w:br/>
              <w:t>CXR: 2000</w:t>
            </w:r>
            <w:r w:rsidRPr="00666ACB">
              <w:rPr>
                <w:rFonts w:ascii="Arial Narrow" w:eastAsia="Calibri" w:hAnsi="Arial Narrow" w:cs="Calibri"/>
                <w:bCs/>
                <w:sz w:val="20"/>
                <w:szCs w:val="20"/>
                <w:lang w:val="en-GB"/>
              </w:rPr>
              <w:br/>
            </w:r>
            <w:r w:rsidRPr="00666ACB">
              <w:rPr>
                <w:rFonts w:ascii="Arial Narrow" w:eastAsia="Calibri" w:hAnsi="Arial Narrow" w:cs="Segoe UI"/>
                <w:bCs/>
                <w:sz w:val="20"/>
                <w:szCs w:val="20"/>
                <w:lang w:val="en-GB"/>
              </w:rPr>
              <w:t>RRR: 6.7%</w:t>
            </w:r>
            <w:r w:rsidRPr="00666ACB">
              <w:rPr>
                <w:rFonts w:ascii="Arial Narrow" w:eastAsia="Calibri" w:hAnsi="Arial Narrow" w:cs="Segoe UI"/>
                <w:bCs/>
                <w:sz w:val="20"/>
                <w:szCs w:val="20"/>
                <w:lang w:val="en-GB"/>
              </w:rPr>
              <w:br/>
              <w:t>95% CI: 1.2% to 13.6%</w:t>
            </w:r>
          </w:p>
        </w:tc>
        <w:tc>
          <w:tcPr>
            <w:tcW w:w="2254" w:type="dxa"/>
          </w:tcPr>
          <w:p w14:paraId="4B410A5B" w14:textId="1C2DFA9B"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bCs/>
                <w:sz w:val="20"/>
                <w:szCs w:val="20"/>
                <w:lang w:val="en-GB"/>
              </w:rPr>
              <w:t>LDCT: 645 lung cancers per 100,000 person-years</w:t>
            </w:r>
            <w:r w:rsidRPr="00666ACB">
              <w:rPr>
                <w:rFonts w:ascii="Arial Narrow" w:eastAsia="Calibri" w:hAnsi="Arial Narrow" w:cs="Times New Roman"/>
                <w:bCs/>
                <w:sz w:val="20"/>
                <w:szCs w:val="20"/>
                <w:lang w:val="en-GB"/>
              </w:rPr>
              <w:br/>
              <w:t>CXR: 572 lung cancers per 100,000 person-years</w:t>
            </w:r>
            <w:r w:rsidRPr="00666ACB">
              <w:rPr>
                <w:rFonts w:ascii="Arial Narrow" w:eastAsia="Calibri" w:hAnsi="Arial Narrow" w:cs="Times New Roman"/>
                <w:bCs/>
                <w:sz w:val="20"/>
                <w:szCs w:val="20"/>
                <w:lang w:val="en-GB"/>
              </w:rPr>
              <w:br/>
              <w:t>RR: 1.13</w:t>
            </w:r>
            <w:r w:rsidRPr="00666ACB">
              <w:rPr>
                <w:rFonts w:ascii="Arial Narrow" w:eastAsia="Calibri" w:hAnsi="Arial Narrow" w:cs="Times New Roman"/>
                <w:bCs/>
                <w:sz w:val="20"/>
                <w:szCs w:val="20"/>
                <w:lang w:val="en-GB"/>
              </w:rPr>
              <w:br/>
              <w:t>95% CI: 1.03 to 1.23</w:t>
            </w:r>
          </w:p>
        </w:tc>
      </w:tr>
      <w:tr w:rsidR="00240F89" w:rsidRPr="00666ACB" w14:paraId="690367E9" w14:textId="77777777" w:rsidTr="00240F89">
        <w:tc>
          <w:tcPr>
            <w:tcW w:w="2254" w:type="dxa"/>
          </w:tcPr>
          <w:p w14:paraId="3DD254C6" w14:textId="14F0A6D9" w:rsidR="00240F89" w:rsidRPr="00666ACB" w:rsidRDefault="00240F89" w:rsidP="00B43B93">
            <w:pPr>
              <w:keepNext/>
              <w:spacing w:before="0"/>
              <w:rPr>
                <w:rFonts w:ascii="Arial Narrow" w:hAnsi="Arial Narrow"/>
                <w:sz w:val="20"/>
                <w:szCs w:val="20"/>
              </w:rPr>
            </w:pPr>
            <w:r w:rsidRPr="00666ACB">
              <w:rPr>
                <w:rFonts w:ascii="Arial Narrow" w:eastAsia="Calibri" w:hAnsi="Arial Narrow" w:cs="Calibri"/>
                <w:color w:val="000000"/>
                <w:sz w:val="20"/>
                <w:szCs w:val="20"/>
              </w:rPr>
              <w:t>UKLS</w:t>
            </w:r>
            <w:r w:rsidR="00666ACB">
              <w:rPr>
                <w:rFonts w:ascii="Arial Narrow" w:eastAsia="Calibri" w:hAnsi="Arial Narrow" w:cs="Calibri"/>
                <w:color w:val="000000"/>
                <w:sz w:val="20"/>
                <w:szCs w:val="20"/>
              </w:rPr>
              <w:t xml:space="preserve"> </w:t>
            </w:r>
            <w:r w:rsidRPr="00666ACB">
              <w:rPr>
                <w:rFonts w:ascii="Arial Narrow" w:eastAsia="Calibri" w:hAnsi="Arial Narrow" w:cs="Calibri"/>
                <w:color w:val="000000"/>
                <w:sz w:val="20"/>
                <w:szCs w:val="20"/>
              </w:rPr>
              <w:t>2011</w:t>
            </w:r>
          </w:p>
        </w:tc>
        <w:tc>
          <w:tcPr>
            <w:tcW w:w="2254" w:type="dxa"/>
          </w:tcPr>
          <w:p w14:paraId="490B10F6" w14:textId="4215DABA"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1.5% (30/1987)</w:t>
            </w:r>
            <w:r w:rsidRPr="00666ACB">
              <w:rPr>
                <w:rFonts w:ascii="Arial Narrow" w:eastAsia="Calibri" w:hAnsi="Arial Narrow" w:cs="Times New Roman"/>
                <w:sz w:val="20"/>
                <w:szCs w:val="20"/>
              </w:rPr>
              <w:br/>
              <w:t>Control: 2.3% (46/1981)</w:t>
            </w:r>
            <w:r w:rsidRPr="00666ACB">
              <w:rPr>
                <w:rFonts w:ascii="Arial Narrow" w:eastAsia="Calibri" w:hAnsi="Arial Narrow" w:cs="Times New Roman"/>
                <w:sz w:val="20"/>
                <w:szCs w:val="20"/>
              </w:rPr>
              <w:br/>
              <w:t>RR: 0.65</w:t>
            </w:r>
            <w:r w:rsidRPr="00666ACB">
              <w:rPr>
                <w:rFonts w:ascii="Arial Narrow" w:eastAsia="Calibri" w:hAnsi="Arial Narrow" w:cs="Times New Roman"/>
                <w:sz w:val="20"/>
                <w:szCs w:val="20"/>
              </w:rPr>
              <w:br/>
              <w:t>95% CI: 0.41 to 1.02</w:t>
            </w:r>
          </w:p>
        </w:tc>
        <w:tc>
          <w:tcPr>
            <w:tcW w:w="2254" w:type="dxa"/>
          </w:tcPr>
          <w:p w14:paraId="48968FD3" w14:textId="41DB27B3"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LDCT: 12.4% (246/1987)</w:t>
            </w:r>
            <w:r w:rsidRPr="00666ACB">
              <w:rPr>
                <w:rFonts w:ascii="Arial Narrow" w:eastAsia="Calibri" w:hAnsi="Arial Narrow" w:cs="Times New Roman"/>
                <w:sz w:val="20"/>
                <w:szCs w:val="20"/>
              </w:rPr>
              <w:br/>
              <w:t>Control: 13.4% (266/1981)</w:t>
            </w:r>
            <w:r w:rsidRPr="00666ACB">
              <w:rPr>
                <w:rFonts w:ascii="Arial Narrow" w:eastAsia="Calibri" w:hAnsi="Arial Narrow" w:cs="Times New Roman"/>
                <w:sz w:val="20"/>
                <w:szCs w:val="20"/>
              </w:rPr>
              <w:br/>
              <w:t>RR: 0.91</w:t>
            </w:r>
            <w:r w:rsidRPr="00666ACB">
              <w:rPr>
                <w:rFonts w:ascii="Arial Narrow" w:eastAsia="Calibri" w:hAnsi="Arial Narrow" w:cs="Times New Roman"/>
                <w:sz w:val="20"/>
                <w:szCs w:val="20"/>
              </w:rPr>
              <w:br/>
              <w:t>95% CI: 0.77 to 1.09</w:t>
            </w:r>
          </w:p>
        </w:tc>
        <w:tc>
          <w:tcPr>
            <w:tcW w:w="2254" w:type="dxa"/>
          </w:tcPr>
          <w:p w14:paraId="53185F0D" w14:textId="2A09160C" w:rsidR="00240F89" w:rsidRPr="00666ACB" w:rsidRDefault="00E1251D" w:rsidP="00B43B93">
            <w:pPr>
              <w:keepNext/>
              <w:spacing w:before="0"/>
              <w:jc w:val="center"/>
              <w:rPr>
                <w:rFonts w:ascii="Arial Narrow" w:hAnsi="Arial Narrow"/>
                <w:sz w:val="20"/>
                <w:szCs w:val="20"/>
              </w:rPr>
            </w:pPr>
            <w:r w:rsidRPr="00666ACB">
              <w:rPr>
                <w:rFonts w:ascii="Arial Narrow" w:eastAsia="Calibri" w:hAnsi="Arial Narrow" w:cs="Times New Roman"/>
                <w:sz w:val="20"/>
                <w:szCs w:val="20"/>
              </w:rPr>
              <w:t xml:space="preserve">LDCT: </w:t>
            </w:r>
            <w:r w:rsidRPr="00666ACB">
              <w:rPr>
                <w:rFonts w:ascii="Arial Narrow" w:eastAsia="Calibri" w:hAnsi="Arial Narrow" w:cs="Times New Roman"/>
                <w:color w:val="505050"/>
                <w:sz w:val="20"/>
                <w:szCs w:val="20"/>
                <w:shd w:val="clear" w:color="auto" w:fill="FFFFFF"/>
              </w:rPr>
              <w:t>4.3% (86/1987)</w:t>
            </w:r>
            <w:r w:rsidRPr="00666ACB">
              <w:rPr>
                <w:rFonts w:ascii="Arial Narrow" w:eastAsia="Calibri" w:hAnsi="Arial Narrow" w:cs="Times New Roman"/>
                <w:color w:val="505050"/>
                <w:sz w:val="20"/>
                <w:szCs w:val="20"/>
                <w:shd w:val="clear" w:color="auto" w:fill="FFFFFF"/>
              </w:rPr>
              <w:br/>
              <w:t>Control</w:t>
            </w:r>
            <w:r w:rsidRPr="00666ACB">
              <w:rPr>
                <w:rFonts w:ascii="Arial Narrow" w:eastAsia="Calibri" w:hAnsi="Arial Narrow" w:cs="Times New Roman"/>
                <w:sz w:val="20"/>
                <w:szCs w:val="20"/>
                <w:shd w:val="clear" w:color="auto" w:fill="FFFFFF"/>
              </w:rPr>
              <w:t>: 3.8% (75/1981)</w:t>
            </w:r>
            <w:r w:rsidRPr="00666ACB">
              <w:rPr>
                <w:rFonts w:ascii="Arial Narrow" w:eastAsia="Calibri" w:hAnsi="Arial Narrow" w:cs="Times New Roman"/>
                <w:sz w:val="20"/>
                <w:szCs w:val="20"/>
                <w:shd w:val="clear" w:color="auto" w:fill="FFFFFF"/>
              </w:rPr>
              <w:br/>
            </w:r>
            <w:r w:rsidRPr="00666ACB">
              <w:rPr>
                <w:rFonts w:ascii="Arial Narrow" w:eastAsia="Calibri" w:hAnsi="Arial Narrow" w:cs="Times New Roman"/>
                <w:sz w:val="20"/>
                <w:szCs w:val="20"/>
              </w:rPr>
              <w:t>RR: 1.15</w:t>
            </w:r>
            <w:r w:rsidRPr="00666ACB">
              <w:rPr>
                <w:rFonts w:ascii="Arial Narrow" w:eastAsia="Calibri" w:hAnsi="Arial Narrow" w:cs="Times New Roman"/>
                <w:sz w:val="20"/>
                <w:szCs w:val="20"/>
              </w:rPr>
              <w:br/>
              <w:t>95% CI: 0.84 to 1.57</w:t>
            </w:r>
          </w:p>
        </w:tc>
      </w:tr>
    </w:tbl>
    <w:p w14:paraId="4A3C9429" w14:textId="68DE84A6" w:rsidR="00240F89" w:rsidRDefault="00666ACB" w:rsidP="00B43B93">
      <w:pPr>
        <w:keepNext/>
        <w:spacing w:before="0" w:after="0"/>
        <w:rPr>
          <w:rFonts w:ascii="Arial Narrow" w:hAnsi="Arial Narrow"/>
          <w:sz w:val="18"/>
          <w:szCs w:val="18"/>
        </w:rPr>
      </w:pPr>
      <w:r w:rsidRPr="00666ACB">
        <w:rPr>
          <w:rFonts w:ascii="Arial Narrow" w:hAnsi="Arial Narrow"/>
          <w:sz w:val="18"/>
          <w:szCs w:val="18"/>
        </w:rPr>
        <w:t>Abbreviations: CXR = chest x-ray; HR = hazard ratio; LDCT = low dose computed tomography; RR = relative risk; RRR = relative risk reduction</w:t>
      </w:r>
    </w:p>
    <w:p w14:paraId="3B93C6CC" w14:textId="298AC398" w:rsidR="00666ACB" w:rsidRPr="00666ACB" w:rsidRDefault="00666ACB" w:rsidP="00666ACB">
      <w:pPr>
        <w:spacing w:before="0"/>
        <w:rPr>
          <w:rFonts w:ascii="Arial Narrow" w:hAnsi="Arial Narrow"/>
          <w:sz w:val="18"/>
          <w:szCs w:val="18"/>
        </w:rPr>
      </w:pPr>
      <w:r>
        <w:rPr>
          <w:rFonts w:ascii="Arial Narrow" w:hAnsi="Arial Narrow"/>
          <w:sz w:val="18"/>
          <w:szCs w:val="18"/>
        </w:rPr>
        <w:t>Source: Table 3, Attachment 2, Attachments to the March-April 2022 Public Summary Document for MSAC Application 1699</w:t>
      </w:r>
    </w:p>
    <w:p w14:paraId="19F2C596" w14:textId="43C72754" w:rsidR="004F475E" w:rsidRDefault="004F475E" w:rsidP="007C765A">
      <w:r>
        <w:t>MSAC also noted that all these RCTs enrolled participants with reference to age ranges that overlapped with those examined for the proposed Program and</w:t>
      </w:r>
      <w:r w:rsidR="009B4ACB">
        <w:t>,</w:t>
      </w:r>
      <w:r>
        <w:t xml:space="preserve"> except for one smalle</w:t>
      </w:r>
      <w:r w:rsidR="009B4ACB">
        <w:t xml:space="preserve">r RCT, </w:t>
      </w:r>
      <w:r>
        <w:t>all enrolled participants with reference to smoker history defined by pack-years and years since smoking cessation.</w:t>
      </w:r>
    </w:p>
    <w:p w14:paraId="4146250C" w14:textId="4E57ACE7" w:rsidR="00E37822" w:rsidRDefault="00001E3D" w:rsidP="00C6494D">
      <w:pPr>
        <w:keepNext/>
      </w:pPr>
      <w:r>
        <w:t xml:space="preserve">MSAC </w:t>
      </w:r>
      <w:r w:rsidR="009B4ACB">
        <w:t xml:space="preserve">considered </w:t>
      </w:r>
      <w:r>
        <w:t xml:space="preserve">that the applicant had satisfied </w:t>
      </w:r>
      <w:r w:rsidR="009B4ACB">
        <w:t>its previous</w:t>
      </w:r>
      <w:r>
        <w:t xml:space="preserve"> concerns on the validity of the </w:t>
      </w:r>
      <w:r w:rsidR="009B4ACB">
        <w:t xml:space="preserve">MISCAN </w:t>
      </w:r>
      <w:r>
        <w:t>model</w:t>
      </w:r>
      <w:r w:rsidR="009B4ACB">
        <w:t>led economic evaluation</w:t>
      </w:r>
      <w:r>
        <w:t xml:space="preserve"> with respect to the U-shaped </w:t>
      </w:r>
      <w:r w:rsidRPr="00572C7F">
        <w:t>relationship between the risk threshold and the ICER per QALY</w:t>
      </w:r>
      <w:r>
        <w:t xml:space="preserve">. MSAC agreed with the applicant’s response, that this </w:t>
      </w:r>
      <w:r w:rsidR="009B4ACB">
        <w:t xml:space="preserve">relationship </w:t>
      </w:r>
      <w:r>
        <w:t xml:space="preserve">was </w:t>
      </w:r>
      <w:proofErr w:type="gramStart"/>
      <w:r>
        <w:t>due to</w:t>
      </w:r>
      <w:r w:rsidR="009B4ACB">
        <w:t xml:space="preserve"> the effects</w:t>
      </w:r>
      <w:proofErr w:type="gramEnd"/>
      <w:r w:rsidR="009B4ACB">
        <w:t xml:space="preserve"> of</w:t>
      </w:r>
      <w:r w:rsidR="00E37822">
        <w:t>:</w:t>
      </w:r>
    </w:p>
    <w:p w14:paraId="07ADF275" w14:textId="432FCF2D" w:rsidR="00E37822" w:rsidRDefault="00E37822" w:rsidP="00E37822">
      <w:pPr>
        <w:pStyle w:val="ListParagraph"/>
        <w:numPr>
          <w:ilvl w:val="0"/>
          <w:numId w:val="11"/>
        </w:numPr>
      </w:pPr>
      <w:r>
        <w:t>the fixed Program costs which would not reduce with smaller high-risk populations being screened</w:t>
      </w:r>
      <w:r w:rsidR="00C3669A">
        <w:t xml:space="preserve"> and thus contributing a greater proportion to incremental costs</w:t>
      </w:r>
    </w:p>
    <w:p w14:paraId="4061C48D" w14:textId="3901CC6E" w:rsidR="00001E3D" w:rsidRDefault="00C3669A" w:rsidP="00E37822">
      <w:pPr>
        <w:pStyle w:val="ListParagraph"/>
        <w:numPr>
          <w:ilvl w:val="0"/>
          <w:numId w:val="11"/>
        </w:numPr>
      </w:pPr>
      <w:r>
        <w:t>the fact that the PLCOm2012 risk prediction tool includes age, which means that</w:t>
      </w:r>
      <w:r w:rsidR="009B4ACB">
        <w:t>,</w:t>
      </w:r>
      <w:r>
        <w:t xml:space="preserve"> after reaching an optimal point as the inflection in this U-shaped relationship, </w:t>
      </w:r>
      <w:r w:rsidR="00001E3D" w:rsidRPr="00572C7F">
        <w:t>the potential for overdiagnosis increas</w:t>
      </w:r>
      <w:r>
        <w:t>es</w:t>
      </w:r>
      <w:r w:rsidR="00001E3D" w:rsidRPr="00572C7F">
        <w:t xml:space="preserve"> with increasing risk</w:t>
      </w:r>
      <w:r w:rsidR="00001E3D">
        <w:t xml:space="preserve"> </w:t>
      </w:r>
      <w:r w:rsidR="00001E3D" w:rsidRPr="00572C7F">
        <w:t>thresholds</w:t>
      </w:r>
      <w:r w:rsidR="003C3A49">
        <w:t xml:space="preserve">. This is </w:t>
      </w:r>
      <w:r w:rsidR="00001E3D">
        <w:t>because</w:t>
      </w:r>
      <w:r w:rsidR="00001E3D" w:rsidRPr="00572C7F">
        <w:t xml:space="preserve"> older people are </w:t>
      </w:r>
      <w:r w:rsidR="00001E3D" w:rsidRPr="00572C7F">
        <w:lastRenderedPageBreak/>
        <w:t xml:space="preserve">more likely to meet </w:t>
      </w:r>
      <w:r w:rsidR="00001E3D">
        <w:t xml:space="preserve">these </w:t>
      </w:r>
      <w:r w:rsidR="00001E3D" w:rsidRPr="00572C7F">
        <w:t>higher risk thresholds</w:t>
      </w:r>
      <w:r w:rsidR="00001E3D">
        <w:t xml:space="preserve"> </w:t>
      </w:r>
      <w:r w:rsidR="003C3A49">
        <w:t xml:space="preserve">but </w:t>
      </w:r>
      <w:r w:rsidR="00001E3D">
        <w:t xml:space="preserve">are also more likely to be </w:t>
      </w:r>
      <w:proofErr w:type="spellStart"/>
      <w:r w:rsidR="00001E3D">
        <w:t>overdiagnosed</w:t>
      </w:r>
      <w:proofErr w:type="spellEnd"/>
      <w:r w:rsidR="00DB528C">
        <w:t xml:space="preserve"> </w:t>
      </w:r>
      <w:r w:rsidR="00663622">
        <w:t>as</w:t>
      </w:r>
      <w:r w:rsidR="00DB528C">
        <w:t xml:space="preserve"> they</w:t>
      </w:r>
      <w:r w:rsidR="00663622">
        <w:t xml:space="preserve"> face</w:t>
      </w:r>
      <w:r w:rsidR="00DB528C">
        <w:t xml:space="preserve"> high</w:t>
      </w:r>
      <w:r w:rsidR="00663622">
        <w:t>er</w:t>
      </w:r>
      <w:r w:rsidR="00DB528C">
        <w:t xml:space="preserve"> additional non-cancer mortality risks</w:t>
      </w:r>
      <w:r w:rsidR="003C3A49">
        <w:t xml:space="preserve">. The consequence of these factors is </w:t>
      </w:r>
      <w:r w:rsidR="00001E3D" w:rsidRPr="00572C7F">
        <w:t xml:space="preserve">additional costs </w:t>
      </w:r>
      <w:r w:rsidR="003C3A49">
        <w:t xml:space="preserve">incurred </w:t>
      </w:r>
      <w:r w:rsidR="00001E3D" w:rsidRPr="00572C7F">
        <w:t xml:space="preserve">and </w:t>
      </w:r>
      <w:r w:rsidR="003C3A49" w:rsidRPr="00572C7F">
        <w:t>reduce</w:t>
      </w:r>
      <w:r w:rsidR="003C3A49">
        <w:t>d</w:t>
      </w:r>
      <w:r w:rsidR="003C3A49" w:rsidRPr="00572C7F">
        <w:t xml:space="preserve"> </w:t>
      </w:r>
      <w:r w:rsidR="00001E3D" w:rsidRPr="00572C7F">
        <w:t>QALY</w:t>
      </w:r>
      <w:r w:rsidR="00001E3D">
        <w:t>s</w:t>
      </w:r>
      <w:r w:rsidR="00001E3D" w:rsidRPr="00572C7F">
        <w:t xml:space="preserve"> gained</w:t>
      </w:r>
      <w:r w:rsidR="00001E3D">
        <w:t xml:space="preserve"> from screening.</w:t>
      </w:r>
    </w:p>
    <w:p w14:paraId="3F694217" w14:textId="7AABEEB9" w:rsidR="00001E3D" w:rsidRDefault="000F2657" w:rsidP="00C6494D">
      <w:pPr>
        <w:keepNext/>
      </w:pPr>
      <w:r>
        <w:t>MSAC noted the</w:t>
      </w:r>
      <w:r w:rsidR="00001E3D">
        <w:t xml:space="preserve"> applicant had </w:t>
      </w:r>
      <w:r w:rsidR="002043C4">
        <w:t xml:space="preserve">therefore retained the structure of </w:t>
      </w:r>
      <w:r w:rsidR="00001E3D">
        <w:t xml:space="preserve">its economic </w:t>
      </w:r>
      <w:r w:rsidRPr="008340CB">
        <w:t>MISCAN mode</w:t>
      </w:r>
      <w:r w:rsidR="00001E3D">
        <w:t xml:space="preserve">l </w:t>
      </w:r>
      <w:r w:rsidR="002043C4">
        <w:t xml:space="preserve">but had appropriately respecified key parameter inputs </w:t>
      </w:r>
      <w:proofErr w:type="gramStart"/>
      <w:r w:rsidR="00001E3D">
        <w:t>in order to</w:t>
      </w:r>
      <w:proofErr w:type="gramEnd"/>
      <w:r w:rsidR="00001E3D">
        <w:t xml:space="preserve"> address </w:t>
      </w:r>
      <w:r>
        <w:t>MSAC’s remaining queries</w:t>
      </w:r>
      <w:r w:rsidR="00001E3D">
        <w:t xml:space="preserve">. These </w:t>
      </w:r>
      <w:proofErr w:type="spellStart"/>
      <w:r w:rsidR="00001E3D">
        <w:t>respecifications</w:t>
      </w:r>
      <w:proofErr w:type="spellEnd"/>
      <w:r w:rsidR="00001E3D">
        <w:t xml:space="preserve"> included:</w:t>
      </w:r>
    </w:p>
    <w:p w14:paraId="1A250CA3" w14:textId="77A17EFE" w:rsidR="00001E3D" w:rsidRDefault="00001E3D" w:rsidP="00E37822">
      <w:pPr>
        <w:pStyle w:val="ListParagraph"/>
        <w:numPr>
          <w:ilvl w:val="0"/>
          <w:numId w:val="11"/>
        </w:numPr>
      </w:pPr>
      <w:r>
        <w:t>adopting a more realistic uptake assumption (r</w:t>
      </w:r>
      <w:r w:rsidRPr="008340CB">
        <w:t xml:space="preserve">educed </w:t>
      </w:r>
      <w:r>
        <w:t>f</w:t>
      </w:r>
      <w:r w:rsidRPr="008340CB">
        <w:t>rom 100% to 65%</w:t>
      </w:r>
      <w:r>
        <w:t>)</w:t>
      </w:r>
    </w:p>
    <w:p w14:paraId="71C1D295" w14:textId="1490EC1E" w:rsidR="00001E3D" w:rsidRDefault="00C6494D" w:rsidP="00E37822">
      <w:pPr>
        <w:pStyle w:val="ListParagraph"/>
        <w:numPr>
          <w:ilvl w:val="0"/>
          <w:numId w:val="11"/>
        </w:numPr>
      </w:pPr>
      <w:proofErr w:type="gramStart"/>
      <w:r>
        <w:t>t</w:t>
      </w:r>
      <w:r w:rsidR="00001E3D">
        <w:t>aking into account</w:t>
      </w:r>
      <w:proofErr w:type="gramEnd"/>
      <w:r w:rsidR="00001E3D">
        <w:t xml:space="preserve"> the</w:t>
      </w:r>
      <w:r w:rsidR="00001E3D" w:rsidRPr="00001E3D">
        <w:t xml:space="preserve"> costs and consequences </w:t>
      </w:r>
      <w:r w:rsidR="00C3669A">
        <w:t xml:space="preserve">(including survival improvements) </w:t>
      </w:r>
      <w:r w:rsidR="00001E3D" w:rsidRPr="00001E3D">
        <w:t xml:space="preserve">of contemporary </w:t>
      </w:r>
      <w:r w:rsidR="00C3669A">
        <w:t xml:space="preserve">treatment with </w:t>
      </w:r>
      <w:r w:rsidR="00233B1A">
        <w:t>immunotherap</w:t>
      </w:r>
      <w:r w:rsidR="00C3669A">
        <w:t>ies</w:t>
      </w:r>
      <w:r w:rsidR="001E535E">
        <w:t xml:space="preserve"> and targeted therap</w:t>
      </w:r>
      <w:r w:rsidR="00C3669A">
        <w:t>ies</w:t>
      </w:r>
      <w:r w:rsidR="00001E3D">
        <w:t xml:space="preserve"> </w:t>
      </w:r>
      <w:r w:rsidR="00001E3D" w:rsidRPr="00001E3D">
        <w:t xml:space="preserve">by stage of diagnosis using the most up to date MBS and Pharmaceutical Benefits Scheme </w:t>
      </w:r>
      <w:r>
        <w:t>(</w:t>
      </w:r>
      <w:r w:rsidR="00001E3D" w:rsidRPr="00001E3D">
        <w:t>PBS</w:t>
      </w:r>
      <w:r>
        <w:t>)</w:t>
      </w:r>
      <w:r w:rsidR="00001E3D" w:rsidRPr="00001E3D">
        <w:t xml:space="preserve"> cost data and the application of hazard ratios to capture immunotherapy effects on overall survival</w:t>
      </w:r>
    </w:p>
    <w:p w14:paraId="538CA0FE" w14:textId="4B5BBF96" w:rsidR="00001E3D" w:rsidRDefault="00C6494D" w:rsidP="00E37822">
      <w:pPr>
        <w:pStyle w:val="ListParagraph"/>
        <w:numPr>
          <w:ilvl w:val="0"/>
          <w:numId w:val="11"/>
        </w:numPr>
      </w:pPr>
      <w:r>
        <w:t>a</w:t>
      </w:r>
      <w:r w:rsidR="00620BFF">
        <w:t xml:space="preserve">djusting </w:t>
      </w:r>
      <w:r w:rsidR="00620BFF" w:rsidRPr="00620BFF">
        <w:t>fixed program costs for the first two years (limited period costs</w:t>
      </w:r>
      <w:r w:rsidR="00620BFF">
        <w:t xml:space="preserve">) to </w:t>
      </w:r>
      <w:proofErr w:type="gramStart"/>
      <w:r w:rsidR="00620BFF">
        <w:t>take into account</w:t>
      </w:r>
      <w:proofErr w:type="gramEnd"/>
      <w:r w:rsidR="00620BFF">
        <w:t xml:space="preserve"> </w:t>
      </w:r>
      <w:r w:rsidR="00620BFF" w:rsidRPr="00620BFF">
        <w:t>additional information provided</w:t>
      </w:r>
      <w:r w:rsidR="00620BFF">
        <w:t xml:space="preserve"> </w:t>
      </w:r>
      <w:r w:rsidR="00002752">
        <w:t xml:space="preserve">in the commentary </w:t>
      </w:r>
      <w:r w:rsidR="00620BFF">
        <w:t xml:space="preserve">on the </w:t>
      </w:r>
      <w:r w:rsidR="00C3669A">
        <w:t>initial</w:t>
      </w:r>
      <w:r w:rsidR="00620BFF">
        <w:t xml:space="preserve"> application, resulting in increases in these limited period costs.</w:t>
      </w:r>
    </w:p>
    <w:p w14:paraId="1476864F" w14:textId="16BC1693" w:rsidR="009B4ACB" w:rsidRDefault="009B4ACB" w:rsidP="008B493F">
      <w:r>
        <w:t>MSAC therefore had greater confidence in relying on this revision of the MISCAN model for its decision-making</w:t>
      </w:r>
      <w:r w:rsidR="00DC68E4">
        <w:t>. MSAC also noted</w:t>
      </w:r>
      <w:r>
        <w:t xml:space="preserve"> that </w:t>
      </w:r>
      <w:r w:rsidR="00DC68E4">
        <w:t xml:space="preserve">the revised </w:t>
      </w:r>
      <w:r>
        <w:t>results were broadly consistent with those of other economic evaluations of lung cancer screening in the Australian context provided by the applicant as part of its additional information</w:t>
      </w:r>
      <w:r w:rsidR="008B493F">
        <w:t>. MSAC noted that the results of the MISCAN model were also concordant with those from three other microsimulation models of lung cancer screening</w:t>
      </w:r>
      <w:r w:rsidR="00E2532C">
        <w:t xml:space="preserve"> namely</w:t>
      </w:r>
      <w:r w:rsidR="008B493F" w:rsidRPr="008B493F">
        <w:t xml:space="preserve"> </w:t>
      </w:r>
      <w:r w:rsidR="008B493F">
        <w:t>the Massachusetts General Hospital–Harvard Medical School model, the Lung Cancer Outcomes Simulation model from Stanford University, and the University of Michigan model.</w:t>
      </w:r>
      <w:r w:rsidR="008B493F">
        <w:rPr>
          <w:rStyle w:val="FootnoteReference"/>
        </w:rPr>
        <w:footnoteReference w:id="3"/>
      </w:r>
    </w:p>
    <w:p w14:paraId="7D06F55B" w14:textId="6D82C375" w:rsidR="00382A8D" w:rsidRDefault="00E4170D" w:rsidP="0039510E">
      <w:pPr>
        <w:keepNext/>
      </w:pPr>
      <w:r>
        <w:t xml:space="preserve">MSAC noted that the </w:t>
      </w:r>
      <w:r w:rsidR="002043C4">
        <w:t xml:space="preserve">additional information from the </w:t>
      </w:r>
      <w:r>
        <w:t>applicant in</w:t>
      </w:r>
      <w:r w:rsidR="002043C4">
        <w:t>cluded</w:t>
      </w:r>
      <w:r w:rsidR="00620BFF">
        <w:t xml:space="preserve"> the </w:t>
      </w:r>
      <w:r w:rsidR="001B7853">
        <w:t xml:space="preserve">results of this respecified </w:t>
      </w:r>
      <w:r w:rsidR="009B4ACB">
        <w:t>MISCAN</w:t>
      </w:r>
      <w:r w:rsidR="001B7853">
        <w:t xml:space="preserve"> model </w:t>
      </w:r>
      <w:r w:rsidR="00620BFF">
        <w:t xml:space="preserve">as applied to a </w:t>
      </w:r>
      <w:r w:rsidRPr="00E4170D">
        <w:t>comprehensive set of</w:t>
      </w:r>
      <w:r w:rsidR="00620BFF">
        <w:t xml:space="preserve"> screening </w:t>
      </w:r>
      <w:r w:rsidR="002043C4">
        <w:t>scenarios</w:t>
      </w:r>
      <w:r w:rsidR="00382A8D">
        <w:t xml:space="preserve"> by varying parameters of</w:t>
      </w:r>
      <w:r w:rsidR="004F475E">
        <w:t>:</w:t>
      </w:r>
    </w:p>
    <w:p w14:paraId="336DE913" w14:textId="77777777" w:rsidR="00382A8D" w:rsidRDefault="00E647C8" w:rsidP="00382A8D">
      <w:pPr>
        <w:pStyle w:val="ListParagraph"/>
        <w:numPr>
          <w:ilvl w:val="0"/>
          <w:numId w:val="14"/>
        </w:numPr>
      </w:pPr>
      <w:r>
        <w:t xml:space="preserve">the </w:t>
      </w:r>
      <w:r w:rsidR="00002752">
        <w:t>PLCOm2012</w:t>
      </w:r>
      <w:r>
        <w:t xml:space="preserve"> risk assessment tool</w:t>
      </w:r>
    </w:p>
    <w:p w14:paraId="7642525D" w14:textId="09FF114E" w:rsidR="00382A8D" w:rsidRDefault="00E647C8" w:rsidP="00382A8D">
      <w:pPr>
        <w:pStyle w:val="ListParagraph"/>
        <w:numPr>
          <w:ilvl w:val="0"/>
          <w:numId w:val="14"/>
        </w:numPr>
      </w:pPr>
      <w:r>
        <w:t xml:space="preserve">eligibility </w:t>
      </w:r>
      <w:r w:rsidR="00916368">
        <w:t>criteria</w:t>
      </w:r>
      <w:r>
        <w:t xml:space="preserve"> based on </w:t>
      </w:r>
      <w:r w:rsidR="00E4170D" w:rsidRPr="00E4170D">
        <w:t>pack-years</w:t>
      </w:r>
      <w:r w:rsidR="00916368">
        <w:t xml:space="preserve"> smoked and years since smoking cessation </w:t>
      </w:r>
      <w:r>
        <w:t xml:space="preserve">(hitherto known as NLST-like criteria as </w:t>
      </w:r>
      <w:r w:rsidR="002043C4">
        <w:t xml:space="preserve">they adopted </w:t>
      </w:r>
      <w:r>
        <w:t xml:space="preserve">the </w:t>
      </w:r>
      <w:r w:rsidR="002043C4">
        <w:t xml:space="preserve">structure of the </w:t>
      </w:r>
      <w:r>
        <w:t>criteria specified in the NLST trial</w:t>
      </w:r>
      <w:r w:rsidR="002043C4">
        <w:t xml:space="preserve"> but varied the numerical parameters defined for the NLST trial</w:t>
      </w:r>
      <w:r>
        <w:t>)</w:t>
      </w:r>
    </w:p>
    <w:p w14:paraId="5A003DD0" w14:textId="676EE58C" w:rsidR="00382A8D" w:rsidRDefault="00E4170D" w:rsidP="00382A8D">
      <w:pPr>
        <w:pStyle w:val="ListParagraph"/>
        <w:numPr>
          <w:ilvl w:val="0"/>
          <w:numId w:val="14"/>
        </w:numPr>
      </w:pPr>
      <w:r w:rsidRPr="00E4170D">
        <w:t>alternative combinations of starting and stopping ages</w:t>
      </w:r>
    </w:p>
    <w:p w14:paraId="513EDC2C" w14:textId="6D1AA98A" w:rsidR="00382A8D" w:rsidRDefault="00E4170D" w:rsidP="00382A8D">
      <w:pPr>
        <w:pStyle w:val="ListParagraph"/>
        <w:numPr>
          <w:ilvl w:val="0"/>
          <w:numId w:val="14"/>
        </w:numPr>
      </w:pPr>
      <w:r w:rsidRPr="00E4170D">
        <w:t>annual and biennial s</w:t>
      </w:r>
      <w:r w:rsidR="00382A8D">
        <w:t>creening frequency</w:t>
      </w:r>
      <w:r w:rsidRPr="00E4170D">
        <w:t>.</w:t>
      </w:r>
    </w:p>
    <w:p w14:paraId="5D7CFA4C" w14:textId="48BABC66" w:rsidR="00E4170D" w:rsidRDefault="005B3C76" w:rsidP="00382A8D">
      <w:r>
        <w:t>The</w:t>
      </w:r>
      <w:r w:rsidR="001E535E">
        <w:t xml:space="preserve"> </w:t>
      </w:r>
      <w:r>
        <w:t xml:space="preserve">results </w:t>
      </w:r>
      <w:r w:rsidR="00382A8D">
        <w:t xml:space="preserve">of these modelled scenarios </w:t>
      </w:r>
      <w:r>
        <w:t xml:space="preserve">were </w:t>
      </w:r>
      <w:r w:rsidR="00767562">
        <w:t xml:space="preserve">relied on by MSAC </w:t>
      </w:r>
      <w:r w:rsidR="001E535E">
        <w:t xml:space="preserve">to select the most appropriate specifications for a screening strategy for the proposed Program which ultimately led to </w:t>
      </w:r>
      <w:r w:rsidR="00382A8D">
        <w:t xml:space="preserve">MSAC supporting </w:t>
      </w:r>
      <w:r w:rsidR="001E535E">
        <w:t>a differently specified target population from what was proposed in the application</w:t>
      </w:r>
      <w:r>
        <w:t>.</w:t>
      </w:r>
    </w:p>
    <w:p w14:paraId="1EA39426" w14:textId="5A32383B" w:rsidR="008E3153" w:rsidRDefault="008E3153" w:rsidP="00C6494D">
      <w:pPr>
        <w:keepNext/>
      </w:pPr>
      <w:r>
        <w:t xml:space="preserve">MSAC observed that in choosing the most appropriate </w:t>
      </w:r>
      <w:r w:rsidR="00417F9F">
        <w:t>scenario</w:t>
      </w:r>
      <w:r w:rsidR="00767562">
        <w:t xml:space="preserve"> for </w:t>
      </w:r>
      <w:r w:rsidR="00336FA3">
        <w:t xml:space="preserve">the </w:t>
      </w:r>
      <w:r w:rsidR="008F1CE4">
        <w:t>Program</w:t>
      </w:r>
      <w:r>
        <w:t xml:space="preserve">, </w:t>
      </w:r>
      <w:r w:rsidR="00E647C8">
        <w:t xml:space="preserve">some key trade-offs should be </w:t>
      </w:r>
      <w:proofErr w:type="gramStart"/>
      <w:r>
        <w:t>take</w:t>
      </w:r>
      <w:r w:rsidR="00E647C8">
        <w:t>n</w:t>
      </w:r>
      <w:r>
        <w:t xml:space="preserve"> into account</w:t>
      </w:r>
      <w:proofErr w:type="gramEnd"/>
      <w:r>
        <w:t>:</w:t>
      </w:r>
    </w:p>
    <w:p w14:paraId="2E485547" w14:textId="50347652" w:rsidR="00404007" w:rsidRDefault="00C6494D" w:rsidP="00E37822">
      <w:pPr>
        <w:pStyle w:val="ListParagraph"/>
        <w:numPr>
          <w:ilvl w:val="0"/>
          <w:numId w:val="11"/>
        </w:numPr>
      </w:pPr>
      <w:r>
        <w:t>h</w:t>
      </w:r>
      <w:r w:rsidR="00404007">
        <w:t>igher risk thresholds are more efficient resulting in reduced costs, reduced false positive screens</w:t>
      </w:r>
      <w:r w:rsidR="00336FA3">
        <w:t>,</w:t>
      </w:r>
      <w:r w:rsidR="00404007">
        <w:t xml:space="preserve"> reduced number of overdiagnoses (to a point)</w:t>
      </w:r>
      <w:r w:rsidR="00336FA3">
        <w:t>,</w:t>
      </w:r>
      <w:r w:rsidR="00404007">
        <w:t xml:space="preserve"> and reduced </w:t>
      </w:r>
      <w:r w:rsidR="00F20441">
        <w:t xml:space="preserve">the incremental cost per </w:t>
      </w:r>
      <w:r w:rsidR="00404007">
        <w:t xml:space="preserve">QALY and </w:t>
      </w:r>
      <w:r w:rsidR="00F20441">
        <w:t xml:space="preserve">the incremental cost per </w:t>
      </w:r>
      <w:r w:rsidR="00404007">
        <w:t xml:space="preserve">LYG. They also result in </w:t>
      </w:r>
      <w:r w:rsidR="00336FA3">
        <w:t xml:space="preserve">increased </w:t>
      </w:r>
      <w:r w:rsidR="00E647C8">
        <w:t xml:space="preserve">LYG </w:t>
      </w:r>
      <w:r w:rsidR="00404007">
        <w:t xml:space="preserve">per death prevented, increased QALYs </w:t>
      </w:r>
      <w:r w:rsidR="00A824A0">
        <w:t xml:space="preserve">gained </w:t>
      </w:r>
      <w:r w:rsidR="00404007">
        <w:t>per death prevented and increased deaths avoided per overdiagnosis</w:t>
      </w:r>
    </w:p>
    <w:p w14:paraId="398D3AC5" w14:textId="1CA2471A" w:rsidR="00ED3A4A" w:rsidRDefault="00C6494D" w:rsidP="00E37822">
      <w:pPr>
        <w:pStyle w:val="ListParagraph"/>
        <w:numPr>
          <w:ilvl w:val="0"/>
          <w:numId w:val="11"/>
        </w:numPr>
      </w:pPr>
      <w:r>
        <w:lastRenderedPageBreak/>
        <w:t>o</w:t>
      </w:r>
      <w:r w:rsidR="008E3153">
        <w:t xml:space="preserve">n the </w:t>
      </w:r>
      <w:r w:rsidR="00404007">
        <w:t>other</w:t>
      </w:r>
      <w:r w:rsidR="008E3153">
        <w:t xml:space="preserve"> hand, </w:t>
      </w:r>
      <w:r w:rsidR="00A824A0">
        <w:t xml:space="preserve">although </w:t>
      </w:r>
      <w:r w:rsidR="008E3153">
        <w:t>lower risk thresholds for screening</w:t>
      </w:r>
      <w:r w:rsidR="00404007">
        <w:t xml:space="preserve"> are less efficient than higher risk thresholds</w:t>
      </w:r>
      <w:r w:rsidR="00A824A0">
        <w:t>, they</w:t>
      </w:r>
      <w:r w:rsidR="00404007">
        <w:t xml:space="preserve"> </w:t>
      </w:r>
      <w:r w:rsidR="008E3153">
        <w:t>resul</w:t>
      </w:r>
      <w:r w:rsidR="00404007">
        <w:t xml:space="preserve">t </w:t>
      </w:r>
      <w:r w:rsidR="008E3153">
        <w:t>in increased number</w:t>
      </w:r>
      <w:r w:rsidR="00A824A0">
        <w:t>s</w:t>
      </w:r>
      <w:r w:rsidR="008E3153">
        <w:t xml:space="preserve"> of </w:t>
      </w:r>
      <w:r w:rsidR="00336FA3">
        <w:t xml:space="preserve">extra </w:t>
      </w:r>
      <w:r w:rsidR="008E3153">
        <w:t>lung cancer deaths avoided and increased number</w:t>
      </w:r>
      <w:r w:rsidR="00A824A0">
        <w:t>s</w:t>
      </w:r>
      <w:r w:rsidR="008E3153">
        <w:t xml:space="preserve"> of</w:t>
      </w:r>
      <w:r w:rsidR="00E647C8">
        <w:t xml:space="preserve"> </w:t>
      </w:r>
      <w:r w:rsidR="00336FA3">
        <w:t xml:space="preserve">extra </w:t>
      </w:r>
      <w:r w:rsidR="00E647C8">
        <w:t>LYG</w:t>
      </w:r>
      <w:r w:rsidR="008E3153">
        <w:t>.</w:t>
      </w:r>
    </w:p>
    <w:p w14:paraId="6FF76ACE" w14:textId="3EDA7B55" w:rsidR="006654C9" w:rsidRDefault="006654C9" w:rsidP="006654C9">
      <w:pPr>
        <w:pStyle w:val="NormalBeforeBullet"/>
        <w:keepNext w:val="0"/>
      </w:pPr>
      <w:r>
        <w:t>In explicitly basing its decision making on multiple factors</w:t>
      </w:r>
      <w:r w:rsidR="003635FD">
        <w:t>,</w:t>
      </w:r>
      <w:r>
        <w:t xml:space="preserve"> MSAC acknowledged that some of these factors were being considered more than once. For example, false positive screens are also accounted for in the ICER insofar as the costs associated with false positives were </w:t>
      </w:r>
      <w:proofErr w:type="gramStart"/>
      <w:r>
        <w:t>taken into account</w:t>
      </w:r>
      <w:proofErr w:type="gramEnd"/>
      <w:r>
        <w:t xml:space="preserve"> in estimating the ICER</w:t>
      </w:r>
      <w:r w:rsidR="00D95545">
        <w:t>. The</w:t>
      </w:r>
      <w:r>
        <w:t xml:space="preserve"> reason the MISCAN model did not attribute a utility or quality of life decrement to a false positive screening result was because the </w:t>
      </w:r>
      <w:proofErr w:type="gramStart"/>
      <w:r>
        <w:t>quality of life</w:t>
      </w:r>
      <w:proofErr w:type="gramEnd"/>
      <w:r>
        <w:t xml:space="preserve"> data in the NLST trial did not detect a statistically significant difference in those with false positive screening results. MSAC therefore acknowledged that separately taking the number of false positives into account necessarily involved an extra weighting of the cost and quality of life implications of false positives independently of their impacts on ICER per </w:t>
      </w:r>
      <w:proofErr w:type="gramStart"/>
      <w:r>
        <w:t>QALY, but</w:t>
      </w:r>
      <w:proofErr w:type="gramEnd"/>
      <w:r>
        <w:t xml:space="preserve"> considered that such extra weighting may be appropriate given the clinical context.</w:t>
      </w:r>
    </w:p>
    <w:p w14:paraId="5DB70DDC" w14:textId="31B2661F" w:rsidR="008625DC" w:rsidRDefault="008625DC" w:rsidP="007D2B5A">
      <w:r>
        <w:t xml:space="preserve">MSAC </w:t>
      </w:r>
      <w:r w:rsidR="006654C9">
        <w:t xml:space="preserve">therefore relied on </w:t>
      </w:r>
      <w:r w:rsidR="00777EBF">
        <w:t xml:space="preserve">the respecified model to </w:t>
      </w:r>
      <w:r>
        <w:t xml:space="preserve">compare the various </w:t>
      </w:r>
      <w:r w:rsidR="00F47136">
        <w:t xml:space="preserve">reported </w:t>
      </w:r>
      <w:r>
        <w:t xml:space="preserve">scenarios, </w:t>
      </w:r>
      <w:r w:rsidR="00777EBF">
        <w:t>re</w:t>
      </w:r>
      <w:r w:rsidR="006654C9">
        <w:t>ferr</w:t>
      </w:r>
      <w:r w:rsidR="00777EBF">
        <w:t xml:space="preserve">ing </w:t>
      </w:r>
      <w:r w:rsidR="00553948">
        <w:t>to</w:t>
      </w:r>
      <w:r w:rsidR="00777EBF">
        <w:t xml:space="preserve"> the </w:t>
      </w:r>
      <w:r w:rsidR="00F47136">
        <w:t xml:space="preserve">additional information </w:t>
      </w:r>
      <w:r>
        <w:t xml:space="preserve">which </w:t>
      </w:r>
      <w:r w:rsidR="006654C9">
        <w:t xml:space="preserve">separately </w:t>
      </w:r>
      <w:r>
        <w:t xml:space="preserve">reported results for each of these </w:t>
      </w:r>
      <w:r w:rsidR="00F47136">
        <w:t xml:space="preserve">identified </w:t>
      </w:r>
      <w:r>
        <w:t xml:space="preserve">relevant factors. </w:t>
      </w:r>
      <w:r w:rsidR="00105A4A">
        <w:t xml:space="preserve">From these comparisons, </w:t>
      </w:r>
      <w:r>
        <w:t>MSA</w:t>
      </w:r>
      <w:r w:rsidR="00F47136">
        <w:t xml:space="preserve">C sought to discern the optimal balance of </w:t>
      </w:r>
      <w:r w:rsidR="0093002B">
        <w:t xml:space="preserve">Program performance </w:t>
      </w:r>
      <w:r w:rsidR="00F47136">
        <w:t>across all</w:t>
      </w:r>
      <w:r w:rsidR="0093002B">
        <w:t xml:space="preserve"> the trade-</w:t>
      </w:r>
      <w:r w:rsidR="00D95545">
        <w:t xml:space="preserve">off choices. It was on this basis that MSAC’s </w:t>
      </w:r>
      <w:r w:rsidR="006654C9">
        <w:t>advice</w:t>
      </w:r>
      <w:r w:rsidR="00D95545">
        <w:t xml:space="preserve"> was formulated</w:t>
      </w:r>
      <w:r w:rsidR="00F47136">
        <w:t>.</w:t>
      </w:r>
    </w:p>
    <w:p w14:paraId="2DE4C647" w14:textId="1664ACBC" w:rsidR="000D7DEE" w:rsidRDefault="008625DC" w:rsidP="007D2B5A">
      <w:proofErr w:type="gramStart"/>
      <w:r>
        <w:t xml:space="preserve">In particular, </w:t>
      </w:r>
      <w:r w:rsidR="005B3C76">
        <w:t>MSAC</w:t>
      </w:r>
      <w:proofErr w:type="gramEnd"/>
      <w:r w:rsidR="005B3C76">
        <w:t xml:space="preserve"> </w:t>
      </w:r>
      <w:r w:rsidR="00336FA3">
        <w:t xml:space="preserve">considered </w:t>
      </w:r>
      <w:r w:rsidR="005B3C76">
        <w:t xml:space="preserve">that </w:t>
      </w:r>
      <w:r w:rsidR="00336FA3">
        <w:t xml:space="preserve">several of </w:t>
      </w:r>
      <w:r w:rsidR="005B3C76">
        <w:t>these trade</w:t>
      </w:r>
      <w:r w:rsidR="00767562">
        <w:t>-</w:t>
      </w:r>
      <w:r w:rsidR="005B3C76">
        <w:t xml:space="preserve">offs </w:t>
      </w:r>
      <w:r w:rsidR="00336FA3">
        <w:t xml:space="preserve">can be discerned </w:t>
      </w:r>
      <w:r w:rsidR="005B3C76">
        <w:t>in the shape of the curve</w:t>
      </w:r>
      <w:r w:rsidR="00336FA3">
        <w:t>s depicted</w:t>
      </w:r>
      <w:r w:rsidR="005B3C76">
        <w:t xml:space="preserve"> in </w:t>
      </w:r>
      <w:r w:rsidR="005B3C76" w:rsidRPr="007457CF">
        <w:t>Figure 1</w:t>
      </w:r>
      <w:r w:rsidR="005B3C76">
        <w:t xml:space="preserve">. The blue curve and the </w:t>
      </w:r>
      <w:r w:rsidR="00F07152">
        <w:t xml:space="preserve">orange </w:t>
      </w:r>
      <w:r w:rsidR="005B3C76">
        <w:t xml:space="preserve">curve represent the ‘efficient frontier’ for all scenarios and </w:t>
      </w:r>
      <w:r w:rsidR="00336FA3">
        <w:t xml:space="preserve">for </w:t>
      </w:r>
      <w:r w:rsidR="005B3C76">
        <w:t>biennial scenarios only</w:t>
      </w:r>
      <w:r w:rsidR="00336FA3">
        <w:t>,</w:t>
      </w:r>
      <w:r w:rsidR="00767562">
        <w:t xml:space="preserve"> respectively</w:t>
      </w:r>
      <w:r w:rsidR="005B3C76">
        <w:t xml:space="preserve">. The efficient frontier contains only those scenarios which are ‘non dominated’ in the sense of providing the highest returns (in this case </w:t>
      </w:r>
      <w:r w:rsidR="00336FA3">
        <w:t xml:space="preserve">extra </w:t>
      </w:r>
      <w:r w:rsidR="005B3C76">
        <w:t xml:space="preserve">QALYs </w:t>
      </w:r>
      <w:r w:rsidR="00336FA3">
        <w:t xml:space="preserve">gained </w:t>
      </w:r>
      <w:r w:rsidR="005B3C76">
        <w:t xml:space="preserve">as represented on the vertical axis) for defined levels of </w:t>
      </w:r>
      <w:r w:rsidR="00336FA3">
        <w:t xml:space="preserve">incremental </w:t>
      </w:r>
      <w:r w:rsidR="005B3C76">
        <w:t xml:space="preserve">cost </w:t>
      </w:r>
      <w:r w:rsidR="00336FA3">
        <w:t xml:space="preserve">over </w:t>
      </w:r>
      <w:r w:rsidR="00E647C8">
        <w:t xml:space="preserve">no screening </w:t>
      </w:r>
      <w:r w:rsidR="005B3C76">
        <w:t xml:space="preserve">(as represented by the horizontal axis). The higher up on each curve a scenario is, the </w:t>
      </w:r>
      <w:r w:rsidR="00336FA3">
        <w:t xml:space="preserve">greater </w:t>
      </w:r>
      <w:r w:rsidR="00766561">
        <w:t xml:space="preserve">the </w:t>
      </w:r>
      <w:r w:rsidR="00336FA3">
        <w:t xml:space="preserve">extra QALY gained; the further to the left on each curve a scenario is, the smaller the incremental cost. </w:t>
      </w:r>
      <w:r w:rsidR="00282408">
        <w:t>The most efficient scenario is the one associated with the steepest line from the origin of the figure (where the vertical and horizontal axes meet) giving the most favourable</w:t>
      </w:r>
      <w:r w:rsidR="00766561">
        <w:t xml:space="preserve"> ICER per QALY (the value on the horizontal axis divided by the value on the vertical axis)</w:t>
      </w:r>
      <w:r w:rsidR="00695367">
        <w:t>. From this point the curves concave down from left to right and bottom to top</w:t>
      </w:r>
      <w:r w:rsidR="00766561">
        <w:t xml:space="preserve"> because the gain in</w:t>
      </w:r>
      <w:r w:rsidR="00E37822">
        <w:t xml:space="preserve"> </w:t>
      </w:r>
      <w:r w:rsidR="00766561">
        <w:t>the QALY (movement up the vertical axis) is proportionate</w:t>
      </w:r>
      <w:r w:rsidR="00E647C8">
        <w:t xml:space="preserve">ly less than </w:t>
      </w:r>
      <w:r w:rsidR="00766561">
        <w:t>the increase in costs (movement to the right</w:t>
      </w:r>
      <w:r w:rsidR="00767562">
        <w:t xml:space="preserve"> on the horizontal axis</w:t>
      </w:r>
      <w:r w:rsidR="00766561">
        <w:t xml:space="preserve">). </w:t>
      </w:r>
      <w:r w:rsidR="00F379C7">
        <w:t>The shape of these curves also demonstrates that more QALYs can be gained with other scenarios on the efficient frontier, but with less efficiency because the proportional increase in costs is greater for these other scenarios. As a result, there is lower marginal QALY gain with decreasing risk of individuals identified for screening.</w:t>
      </w:r>
    </w:p>
    <w:p w14:paraId="64DF26CF" w14:textId="2F4378C5" w:rsidR="005B3C76" w:rsidRDefault="00766561" w:rsidP="00344673">
      <w:r>
        <w:t xml:space="preserve">Because the </w:t>
      </w:r>
      <w:r w:rsidR="00D34D51">
        <w:t>orange</w:t>
      </w:r>
      <w:r>
        <w:t xml:space="preserve"> curve</w:t>
      </w:r>
      <w:r w:rsidR="000D7DEE">
        <w:t xml:space="preserve"> in </w:t>
      </w:r>
      <w:r w:rsidR="000D7DEE" w:rsidRPr="007457CF">
        <w:t>Figure 1</w:t>
      </w:r>
      <w:r>
        <w:t xml:space="preserve"> (representing</w:t>
      </w:r>
      <w:r w:rsidR="00E647C8">
        <w:t xml:space="preserve"> </w:t>
      </w:r>
      <w:r>
        <w:t>the efficient frontier for biennial screening scenarios</w:t>
      </w:r>
      <w:r w:rsidR="00E647C8">
        <w:t xml:space="preserve"> only</w:t>
      </w:r>
      <w:r>
        <w:t xml:space="preserve">) is lower than the blue curve (representing the efficient frontier for all scenarios, which </w:t>
      </w:r>
      <w:r w:rsidR="00E647C8">
        <w:t xml:space="preserve">happens to contain only </w:t>
      </w:r>
      <w:r w:rsidR="00AE6EF6">
        <w:t>annual screening scenarios)</w:t>
      </w:r>
      <w:r w:rsidR="00282408">
        <w:t>,</w:t>
      </w:r>
      <w:r w:rsidR="00AE6EF6">
        <w:t xml:space="preserve"> </w:t>
      </w:r>
      <w:r w:rsidR="00AE6EF6" w:rsidRPr="007457CF">
        <w:t>Figure 1</w:t>
      </w:r>
      <w:r w:rsidR="00AE6EF6">
        <w:t xml:space="preserve"> also shows that annual screening scenarios are more efficient</w:t>
      </w:r>
      <w:r w:rsidR="00CC3B32">
        <w:t xml:space="preserve"> (in terms of ICER)</w:t>
      </w:r>
      <w:r w:rsidR="00AE6EF6">
        <w:t xml:space="preserve"> than </w:t>
      </w:r>
      <w:r w:rsidR="00F379C7">
        <w:t xml:space="preserve">the corresponding </w:t>
      </w:r>
      <w:r w:rsidR="00AE6EF6">
        <w:t xml:space="preserve">biennial screening scenarios, </w:t>
      </w:r>
      <w:r w:rsidR="00CC3B32">
        <w:t xml:space="preserve">though at higher </w:t>
      </w:r>
      <w:r w:rsidR="00AE6EF6">
        <w:t>risk thresholds</w:t>
      </w:r>
      <w:r w:rsidR="00CC3B32">
        <w:t xml:space="preserve"> these differences become smaller</w:t>
      </w:r>
      <w:r w:rsidR="00AE6EF6">
        <w:t xml:space="preserve"> (i.e. the gap between the curves gets </w:t>
      </w:r>
      <w:r w:rsidR="00CC3B32">
        <w:t>smaller</w:t>
      </w:r>
      <w:r w:rsidR="008F1CE4">
        <w:t xml:space="preserve"> </w:t>
      </w:r>
      <w:r w:rsidR="00777EBF">
        <w:t xml:space="preserve">when </w:t>
      </w:r>
      <w:r w:rsidR="008F1CE4">
        <w:t xml:space="preserve">following them </w:t>
      </w:r>
      <w:r w:rsidR="00CC3B32">
        <w:t>downwards</w:t>
      </w:r>
      <w:r w:rsidR="008F1CE4">
        <w:t xml:space="preserve"> and towards the </w:t>
      </w:r>
      <w:r w:rsidR="00CC3B32">
        <w:t>left</w:t>
      </w:r>
      <w:r w:rsidR="00AE6EF6">
        <w:t>).</w:t>
      </w:r>
    </w:p>
    <w:p w14:paraId="22DFBB94" w14:textId="78E6F9CD" w:rsidR="004E16F5" w:rsidRDefault="004E16F5" w:rsidP="004E16F5">
      <w:r w:rsidRPr="00D14E32">
        <w:rPr>
          <w:rFonts w:asciiTheme="minorHAnsi" w:hAnsiTheme="minorHAnsi" w:cstheme="minorHAnsi"/>
          <w:noProof/>
          <w:lang w:eastAsia="en-AU"/>
        </w:rPr>
        <w:lastRenderedPageBreak/>
        <w:drawing>
          <wp:inline distT="0" distB="0" distL="0" distR="0" wp14:anchorId="631D6AE7" wp14:editId="35632308">
            <wp:extent cx="5731510" cy="3676650"/>
            <wp:effectExtent l="0" t="0" r="2540" b="0"/>
            <wp:docPr id="16" name="Chart 16" descr="Screening scenarios on the efficient frontier for the analysis of all scenarios and the analysis of biennial scenarios only, assuming a 65% uptake rate; contemporary costs">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E3B057" w14:textId="1EA5E4FD" w:rsidR="004E16F5" w:rsidRPr="003873DB" w:rsidRDefault="004E16F5" w:rsidP="00C6494D">
      <w:pPr>
        <w:spacing w:after="240"/>
        <w:rPr>
          <w:rFonts w:ascii="Arial Narrow" w:hAnsi="Arial Narrow"/>
          <w:b/>
          <w:bCs/>
          <w:sz w:val="20"/>
          <w:szCs w:val="20"/>
        </w:rPr>
      </w:pPr>
      <w:bookmarkStart w:id="4" w:name="_Ref106888828"/>
      <w:r w:rsidRPr="003873DB">
        <w:rPr>
          <w:rFonts w:ascii="Arial Narrow" w:hAnsi="Arial Narrow" w:cstheme="minorHAnsi"/>
          <w:b/>
          <w:bCs/>
          <w:sz w:val="20"/>
          <w:szCs w:val="20"/>
        </w:rPr>
        <w:t xml:space="preserve">Figure </w:t>
      </w:r>
      <w:bookmarkEnd w:id="4"/>
      <w:r w:rsidRPr="003873DB">
        <w:rPr>
          <w:rFonts w:ascii="Arial Narrow" w:hAnsi="Arial Narrow" w:cstheme="minorHAnsi"/>
          <w:b/>
          <w:bCs/>
          <w:sz w:val="20"/>
          <w:szCs w:val="20"/>
        </w:rPr>
        <w:t>1: Screening scenarios on the efficient frontier for the analysis of all scenarios and the analysis of biennial scenarios only, assuming a 65% uptake rate; contemporary costs</w:t>
      </w:r>
    </w:p>
    <w:p w14:paraId="0FC66BCA" w14:textId="0D972512" w:rsidR="00F0686D" w:rsidRDefault="00F0686D" w:rsidP="00C6494D">
      <w:pPr>
        <w:keepNext/>
      </w:pPr>
      <w:r>
        <w:t>MSAC considered that</w:t>
      </w:r>
      <w:r w:rsidR="008F1CE4">
        <w:t>,</w:t>
      </w:r>
      <w:r>
        <w:t xml:space="preserve"> in choosing the </w:t>
      </w:r>
      <w:r w:rsidR="00767562">
        <w:t xml:space="preserve">most appropriate </w:t>
      </w:r>
      <w:r w:rsidR="008F1CE4">
        <w:t>scenario</w:t>
      </w:r>
      <w:r w:rsidR="00767562">
        <w:t xml:space="preserve"> for </w:t>
      </w:r>
      <w:r w:rsidR="008F1CE4">
        <w:t>the Program</w:t>
      </w:r>
      <w:r>
        <w:t xml:space="preserve"> based on these results</w:t>
      </w:r>
      <w:r w:rsidR="00767562">
        <w:t>,</w:t>
      </w:r>
      <w:r>
        <w:t xml:space="preserve"> there were f</w:t>
      </w:r>
      <w:r w:rsidR="008E46B0">
        <w:t>ive</w:t>
      </w:r>
      <w:r>
        <w:t xml:space="preserve"> different </w:t>
      </w:r>
      <w:r w:rsidR="002B1FD0">
        <w:t xml:space="preserve">modifiable elements of the </w:t>
      </w:r>
      <w:r w:rsidR="008F1CE4">
        <w:t xml:space="preserve">intervention </w:t>
      </w:r>
      <w:r>
        <w:t>to consider</w:t>
      </w:r>
      <w:r w:rsidR="002B1FD0">
        <w:t xml:space="preserve"> defining</w:t>
      </w:r>
      <w:r>
        <w:t>:</w:t>
      </w:r>
    </w:p>
    <w:p w14:paraId="7D34CE3A" w14:textId="20FD4231" w:rsidR="00352E8B" w:rsidRDefault="00352E8B" w:rsidP="008F1CE4">
      <w:pPr>
        <w:pStyle w:val="ListParagraph"/>
        <w:numPr>
          <w:ilvl w:val="0"/>
          <w:numId w:val="11"/>
        </w:numPr>
      </w:pPr>
      <w:r>
        <w:t>whether to have separate eligibility criteria for Aboriginal or Torres Strait Islander individuals compared to the general population</w:t>
      </w:r>
    </w:p>
    <w:p w14:paraId="4A21E0DA" w14:textId="02F58CD1" w:rsidR="00F0686D" w:rsidRDefault="00C6494D" w:rsidP="00E37822">
      <w:pPr>
        <w:pStyle w:val="ListParagraph"/>
        <w:numPr>
          <w:ilvl w:val="0"/>
          <w:numId w:val="11"/>
        </w:numPr>
      </w:pPr>
      <w:r>
        <w:t>w</w:t>
      </w:r>
      <w:r w:rsidR="00F0686D">
        <w:t>hether to use inclusion criteria based on NLST-like criteria (</w:t>
      </w:r>
      <w:proofErr w:type="gramStart"/>
      <w:r w:rsidR="00F0686D">
        <w:t>i.e.</w:t>
      </w:r>
      <w:proofErr w:type="gramEnd"/>
      <w:r w:rsidR="00F0686D">
        <w:t xml:space="preserve"> pack</w:t>
      </w:r>
      <w:r w:rsidR="008F1CE4">
        <w:t>-</w:t>
      </w:r>
      <w:r w:rsidR="00F0686D">
        <w:t xml:space="preserve">years smoked and years since smoking cessation if non-smoker) or </w:t>
      </w:r>
      <w:r w:rsidR="00F0686D" w:rsidRPr="00862AC0">
        <w:t>PLCOm2012</w:t>
      </w:r>
      <w:r w:rsidR="00F0686D">
        <w:t xml:space="preserve"> criteria</w:t>
      </w:r>
    </w:p>
    <w:p w14:paraId="10BBD514" w14:textId="25D27230" w:rsidR="00F0686D" w:rsidDel="008F1CE4" w:rsidRDefault="00C6494D" w:rsidP="00E37822">
      <w:pPr>
        <w:pStyle w:val="ListParagraph"/>
        <w:numPr>
          <w:ilvl w:val="0"/>
          <w:numId w:val="11"/>
        </w:numPr>
      </w:pPr>
      <w:r w:rsidDel="008F1CE4">
        <w:t>w</w:t>
      </w:r>
      <w:r w:rsidR="00F0686D" w:rsidDel="008F1CE4">
        <w:t>hether the frequency of screening should be annual or biennial</w:t>
      </w:r>
    </w:p>
    <w:p w14:paraId="5E2191AC" w14:textId="1492F3F7" w:rsidR="00D07F0A" w:rsidRDefault="00C6494D" w:rsidP="00E37822">
      <w:pPr>
        <w:pStyle w:val="ListParagraph"/>
        <w:numPr>
          <w:ilvl w:val="0"/>
          <w:numId w:val="11"/>
        </w:numPr>
      </w:pPr>
      <w:r>
        <w:t>i</w:t>
      </w:r>
      <w:r w:rsidR="00D07F0A">
        <w:t xml:space="preserve">f the decision is taken to adopt NLST-like criteria, </w:t>
      </w:r>
      <w:r w:rsidR="00E96DB7">
        <w:t xml:space="preserve">what should be the </w:t>
      </w:r>
      <w:r w:rsidR="002B1FD0">
        <w:t xml:space="preserve">minimum thresholds </w:t>
      </w:r>
      <w:r w:rsidR="00E96DB7">
        <w:t>of number of pack</w:t>
      </w:r>
      <w:r w:rsidR="00352E8B">
        <w:t>-</w:t>
      </w:r>
      <w:r w:rsidR="00E96DB7">
        <w:t>years and</w:t>
      </w:r>
      <w:r w:rsidR="002B1FD0">
        <w:t>, if an ex</w:t>
      </w:r>
      <w:r w:rsidR="00216233">
        <w:t>-</w:t>
      </w:r>
      <w:r w:rsidR="002B1FD0">
        <w:t>smoker, the</w:t>
      </w:r>
      <w:r w:rsidR="00E96DB7">
        <w:t xml:space="preserve"> number of years since smoking cessation</w:t>
      </w:r>
    </w:p>
    <w:p w14:paraId="10EA177E" w14:textId="5BE6136B" w:rsidR="00F0686D" w:rsidRDefault="00C6494D" w:rsidP="00E37822">
      <w:pPr>
        <w:pStyle w:val="ListParagraph"/>
        <w:numPr>
          <w:ilvl w:val="0"/>
          <w:numId w:val="11"/>
        </w:numPr>
      </w:pPr>
      <w:r>
        <w:t>w</w:t>
      </w:r>
      <w:r w:rsidR="00E96DB7">
        <w:t>hat should be the minimum and maximum screening age</w:t>
      </w:r>
      <w:r w:rsidR="002B1FD0">
        <w:t xml:space="preserve"> thresholds</w:t>
      </w:r>
      <w:r w:rsidR="00E96DB7">
        <w:t>.</w:t>
      </w:r>
    </w:p>
    <w:p w14:paraId="507FC337" w14:textId="5070FC3B" w:rsidR="00E342BB" w:rsidRDefault="00352E8B" w:rsidP="00E342BB">
      <w:pPr>
        <w:pStyle w:val="NormalBeforeBullet"/>
        <w:keepNext w:val="0"/>
      </w:pPr>
      <w:r>
        <w:t>MSAC advised against separate eligibility criteria for Aboriginal or Torres Strait Islander individuals</w:t>
      </w:r>
      <w:r w:rsidR="00676B90">
        <w:t xml:space="preserve">, recalling that </w:t>
      </w:r>
      <w:r w:rsidR="00133832">
        <w:t xml:space="preserve">the </w:t>
      </w:r>
      <w:r w:rsidR="00676B90">
        <w:t xml:space="preserve">ICER results for this subgroup were much less favourable than those for the general population. As these differences are mostly due to the reduced life expectancy in this population resulting </w:t>
      </w:r>
      <w:r w:rsidR="005C44B6">
        <w:t xml:space="preserve">in </w:t>
      </w:r>
      <w:r w:rsidR="00676B90">
        <w:t>much greater proportions of overdiagnoses, MSAC considered that this reality should not be used to discriminate against this subgroup. MSAC also noted that its supported minimum screening age of 50 years for the general population (see below) matched that proposed in the application for this subgroup.</w:t>
      </w:r>
      <w:r w:rsidR="00E342BB">
        <w:br w:type="page"/>
      </w:r>
    </w:p>
    <w:p w14:paraId="1F0D509E" w14:textId="270045BA" w:rsidR="00770EA3" w:rsidRDefault="00770EA3" w:rsidP="00F0686D">
      <w:pPr>
        <w:pStyle w:val="NormalBeforeBullet"/>
      </w:pPr>
      <w:r>
        <w:lastRenderedPageBreak/>
        <w:t xml:space="preserve">In </w:t>
      </w:r>
      <w:r w:rsidR="00924B78">
        <w:t xml:space="preserve">relation to </w:t>
      </w:r>
      <w:r>
        <w:t xml:space="preserve">the most appropriate inclusion criteria, </w:t>
      </w:r>
      <w:r w:rsidR="00F0686D">
        <w:t>MSAC</w:t>
      </w:r>
      <w:r>
        <w:t xml:space="preserve"> </w:t>
      </w:r>
      <w:r w:rsidR="00924B78">
        <w:t xml:space="preserve">advised that </w:t>
      </w:r>
      <w:r w:rsidR="00BF5CBA">
        <w:t xml:space="preserve">adopting </w:t>
      </w:r>
      <w:r w:rsidR="00924B78">
        <w:t xml:space="preserve">the approach of the </w:t>
      </w:r>
      <w:r w:rsidR="00BF5CBA">
        <w:t>NLST-like inclusion criteria</w:t>
      </w:r>
      <w:r w:rsidR="004C2E44">
        <w:t xml:space="preserve"> </w:t>
      </w:r>
      <w:r w:rsidR="00924B78">
        <w:t xml:space="preserve">be preferred </w:t>
      </w:r>
      <w:r w:rsidR="00924B78" w:rsidRPr="00E96DB7">
        <w:t xml:space="preserve">over the </w:t>
      </w:r>
      <w:r w:rsidR="00924B78">
        <w:t xml:space="preserve">approach of the </w:t>
      </w:r>
      <w:r w:rsidR="00924B78" w:rsidRPr="00E96DB7">
        <w:t>PLCOm2012</w:t>
      </w:r>
      <w:r w:rsidR="00924B78">
        <w:t xml:space="preserve"> criteria </w:t>
      </w:r>
      <w:r w:rsidR="004C2E44">
        <w:t>for the following reasons</w:t>
      </w:r>
      <w:r w:rsidR="00BF5CBA">
        <w:t>:</w:t>
      </w:r>
    </w:p>
    <w:p w14:paraId="0F8CCF24" w14:textId="23AFE7AF" w:rsidR="00F0686D" w:rsidRDefault="004C2E44" w:rsidP="00E37822">
      <w:pPr>
        <w:pStyle w:val="ListParagraph"/>
        <w:numPr>
          <w:ilvl w:val="0"/>
          <w:numId w:val="11"/>
        </w:numPr>
      </w:pPr>
      <w:r>
        <w:t xml:space="preserve">they </w:t>
      </w:r>
      <w:r w:rsidR="00D06CC9">
        <w:t>a</w:t>
      </w:r>
      <w:r w:rsidR="00F0686D">
        <w:t>lign with nearly all trials included in the evidence base</w:t>
      </w:r>
    </w:p>
    <w:p w14:paraId="0C52B44F" w14:textId="0E50EC2B" w:rsidR="004C2E44" w:rsidRDefault="004C2E44" w:rsidP="00E37822">
      <w:pPr>
        <w:pStyle w:val="ListParagraph"/>
        <w:numPr>
          <w:ilvl w:val="0"/>
          <w:numId w:val="11"/>
        </w:numPr>
      </w:pPr>
      <w:r>
        <w:t xml:space="preserve">they define the eligible patient population without reintroducing age as a factor in calculating the </w:t>
      </w:r>
      <w:r w:rsidRPr="00862AC0">
        <w:t>PLCOm2012</w:t>
      </w:r>
      <w:r>
        <w:t xml:space="preserve"> criteria and thus reduce the effect of the U-shaped </w:t>
      </w:r>
      <w:r w:rsidRPr="00572C7F">
        <w:t>relationship between the risk threshold and the ICER per QALY</w:t>
      </w:r>
    </w:p>
    <w:p w14:paraId="5345F263" w14:textId="654AF904" w:rsidR="004C2E44" w:rsidRDefault="004C2E44" w:rsidP="00E37822">
      <w:pPr>
        <w:pStyle w:val="ListParagraph"/>
        <w:numPr>
          <w:ilvl w:val="0"/>
          <w:numId w:val="11"/>
        </w:numPr>
      </w:pPr>
      <w:r>
        <w:t xml:space="preserve">they are simpler for health practitioners to use, </w:t>
      </w:r>
      <w:proofErr w:type="gramStart"/>
      <w:r>
        <w:t>similar to</w:t>
      </w:r>
      <w:proofErr w:type="gramEnd"/>
      <w:r>
        <w:t xml:space="preserve"> the intent of definitions in existing Australian cancer screening programs</w:t>
      </w:r>
      <w:r w:rsidR="00924B78">
        <w:t>,</w:t>
      </w:r>
      <w:r>
        <w:t xml:space="preserve"> thus </w:t>
      </w:r>
      <w:r w:rsidR="00924B78">
        <w:t xml:space="preserve">are more likely to </w:t>
      </w:r>
      <w:r>
        <w:t>improv</w:t>
      </w:r>
      <w:r w:rsidR="00924B78">
        <w:t>e</w:t>
      </w:r>
      <w:r>
        <w:t xml:space="preserve"> screening feasibility and uptake</w:t>
      </w:r>
    </w:p>
    <w:p w14:paraId="27F33F1E" w14:textId="2CA4AD34" w:rsidR="00F0686D" w:rsidRDefault="00924B78" w:rsidP="00E37822">
      <w:pPr>
        <w:pStyle w:val="ListParagraph"/>
        <w:numPr>
          <w:ilvl w:val="0"/>
          <w:numId w:val="11"/>
        </w:numPr>
      </w:pPr>
      <w:r>
        <w:t xml:space="preserve">they reflect </w:t>
      </w:r>
      <w:r w:rsidR="00F0686D">
        <w:t xml:space="preserve">the </w:t>
      </w:r>
      <w:r>
        <w:t>approach</w:t>
      </w:r>
      <w:r w:rsidR="00F0686D">
        <w:t xml:space="preserve"> </w:t>
      </w:r>
      <w:r w:rsidR="00031A9C">
        <w:t>adopted</w:t>
      </w:r>
      <w:r w:rsidR="00F0686D">
        <w:t xml:space="preserve"> in the </w:t>
      </w:r>
      <w:r w:rsidR="004C2E44">
        <w:t>US</w:t>
      </w:r>
      <w:r w:rsidR="00F0686D">
        <w:t xml:space="preserve"> and Canadian lung cancer screening programs</w:t>
      </w:r>
      <w:r w:rsidR="00EA2C49">
        <w:rPr>
          <w:rStyle w:val="FootnoteReference"/>
        </w:rPr>
        <w:footnoteReference w:id="4"/>
      </w:r>
      <w:r w:rsidR="00D06CC9">
        <w:t>.</w:t>
      </w:r>
    </w:p>
    <w:p w14:paraId="02E1F413" w14:textId="06672F05" w:rsidR="0085056F" w:rsidRDefault="0085056F" w:rsidP="003873DB">
      <w:pPr>
        <w:pStyle w:val="Bullet"/>
        <w:numPr>
          <w:ilvl w:val="0"/>
          <w:numId w:val="0"/>
        </w:numPr>
        <w:spacing w:after="160"/>
      </w:pPr>
      <w:r>
        <w:t>MSAC noted that adopting the</w:t>
      </w:r>
      <w:r w:rsidR="00C76830">
        <w:t xml:space="preserve"> NLST-like </w:t>
      </w:r>
      <w:r>
        <w:t xml:space="preserve">criteria would require the exercise of judgement because </w:t>
      </w:r>
      <w:r w:rsidR="00C76830">
        <w:t>the type and volume of smoking varies over time, and smokers may attempt to quit several times. However, MSAC considered that these judgements were also implicit in completing the questionnaire to determine the PLCOm2012 criteria, so making them explicit was not a disadvantage for the NLST-like criteria.</w:t>
      </w:r>
    </w:p>
    <w:p w14:paraId="3AC938BA" w14:textId="70E78165" w:rsidR="004C2E44" w:rsidRDefault="00E96DB7" w:rsidP="003873DB">
      <w:pPr>
        <w:pStyle w:val="Bullet"/>
        <w:numPr>
          <w:ilvl w:val="0"/>
          <w:numId w:val="0"/>
        </w:numPr>
        <w:spacing w:after="160"/>
      </w:pPr>
      <w:r w:rsidRPr="00E96DB7">
        <w:t xml:space="preserve">MSAC </w:t>
      </w:r>
      <w:r w:rsidR="004C2E44">
        <w:t xml:space="preserve">noted that </w:t>
      </w:r>
      <w:r w:rsidR="00924B78">
        <w:t xml:space="preserve">the approach of the NLST inclusion criteria generated similar efficiency results. For example, </w:t>
      </w:r>
      <w:r w:rsidR="00105A4A">
        <w:t xml:space="preserve">scenario </w:t>
      </w:r>
      <w:r w:rsidR="004C2E44">
        <w:t>NLST#11 (one of the two NLST-like criteria on the efficient frontier) had the lowest ICER per QALY gained of $60,606 (</w:t>
      </w:r>
      <w:r w:rsidR="004C2E44" w:rsidRPr="004C188F">
        <w:t xml:space="preserve">Table </w:t>
      </w:r>
      <w:r w:rsidR="004C188F">
        <w:t>2</w:t>
      </w:r>
      <w:r w:rsidR="004C2E44">
        <w:t xml:space="preserve">). This NLST scenario also had the lowest number of false positive screens (63,308) and </w:t>
      </w:r>
      <w:proofErr w:type="spellStart"/>
      <w:r w:rsidR="004C2E44">
        <w:t>overdiagnosed</w:t>
      </w:r>
      <w:proofErr w:type="spellEnd"/>
      <w:r w:rsidR="004C2E44">
        <w:t xml:space="preserve"> cancers (2464) and yet at the same time had the highest number of lung cancer deaths prevented per </w:t>
      </w:r>
      <w:proofErr w:type="spellStart"/>
      <w:r w:rsidR="004C2E44">
        <w:t>overdiagnosed</w:t>
      </w:r>
      <w:proofErr w:type="spellEnd"/>
      <w:r w:rsidR="004C2E44">
        <w:t xml:space="preserve"> case (2.54) and highest LYG per lung cancer death prevented (9.55) (</w:t>
      </w:r>
      <w:r w:rsidR="004C2E44" w:rsidRPr="004C188F">
        <w:t xml:space="preserve">Table </w:t>
      </w:r>
      <w:r w:rsidR="004C188F">
        <w:t>3</w:t>
      </w:r>
      <w:r w:rsidR="004C2E44">
        <w:t>). MSAC considered that these comparisons demonstrat</w:t>
      </w:r>
      <w:r w:rsidR="00B40512">
        <w:t>ed</w:t>
      </w:r>
      <w:r w:rsidR="004C2E44">
        <w:t xml:space="preserve"> that scenarios using NLST-like criteria were capable of at least comparable (and in this case superior) performance to scenarios using </w:t>
      </w:r>
      <w:r w:rsidR="004C2E44" w:rsidRPr="00862AC0">
        <w:t>PLCOm2012</w:t>
      </w:r>
      <w:r w:rsidR="004C2E44">
        <w:t xml:space="preserve"> criteria on efficiency and clinical considerations</w:t>
      </w:r>
      <w:r w:rsidR="00924B78">
        <w:t>.</w:t>
      </w:r>
    </w:p>
    <w:p w14:paraId="1D98F332" w14:textId="4E03E21A" w:rsidR="003B34C9" w:rsidRDefault="003B34C9" w:rsidP="00E342BB">
      <w:pPr>
        <w:pStyle w:val="NormalBeforeBullet"/>
        <w:spacing w:before="240"/>
        <w:rPr>
          <w:rFonts w:ascii="Arial Narrow" w:hAnsi="Arial Narrow"/>
          <w:b/>
          <w:bCs/>
          <w:sz w:val="20"/>
          <w:szCs w:val="20"/>
        </w:rPr>
      </w:pPr>
      <w:r w:rsidRPr="003873DB">
        <w:rPr>
          <w:rFonts w:ascii="Arial Narrow" w:hAnsi="Arial Narrow"/>
          <w:b/>
          <w:bCs/>
          <w:sz w:val="20"/>
          <w:szCs w:val="20"/>
        </w:rPr>
        <w:t xml:space="preserve">Table </w:t>
      </w:r>
      <w:r w:rsidR="004C188F">
        <w:rPr>
          <w:rFonts w:ascii="Arial Narrow" w:hAnsi="Arial Narrow"/>
          <w:b/>
          <w:bCs/>
          <w:sz w:val="20"/>
          <w:szCs w:val="20"/>
        </w:rPr>
        <w:t>2</w:t>
      </w:r>
      <w:r w:rsidRPr="003873DB">
        <w:rPr>
          <w:rFonts w:ascii="Arial Narrow" w:hAnsi="Arial Narrow"/>
          <w:b/>
          <w:bCs/>
          <w:sz w:val="20"/>
          <w:szCs w:val="20"/>
        </w:rPr>
        <w:t>: Characteristics of risk based (PLCO) and NLST-like screening scenarios on the efficient frontier assuming a 65% uptake rate; contemporary costs</w:t>
      </w:r>
    </w:p>
    <w:p w14:paraId="41367A5D" w14:textId="77777777" w:rsidR="00304817" w:rsidRDefault="00304817" w:rsidP="00304817">
      <w:pPr>
        <w:pStyle w:val="NormalBeforeBullet"/>
        <w:rPr>
          <w:rFonts w:ascii="Arial Narrow" w:hAnsi="Arial Narrow"/>
          <w:b/>
          <w:bCs/>
          <w:sz w:val="20"/>
          <w:szCs w:val="20"/>
        </w:rPr>
      </w:pPr>
      <w:r>
        <w:rPr>
          <w:rFonts w:ascii="Arial Narrow" w:hAnsi="Arial Narrow"/>
          <w:b/>
          <w:bCs/>
          <w:noProof/>
          <w:sz w:val="20"/>
          <w:szCs w:val="20"/>
        </w:rPr>
        <w:drawing>
          <wp:inline distT="0" distB="0" distL="0" distR="0" wp14:anchorId="62012AAF" wp14:editId="5F8DFAB1">
            <wp:extent cx="5731510" cy="2524125"/>
            <wp:effectExtent l="0" t="0" r="2540" b="9525"/>
            <wp:docPr id="9" name="Picture 9" descr="Table of the characteristics of risk based (PLCO) and NLST-like screening scenarios on the efficient frontier assuming a 65% uptake rate; contemporary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of the characteristics of risk based (PLCO) and NLST-like screening scenarios on the efficient frontier assuming a 65% uptake rate; contemporary cos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24125"/>
                    </a:xfrm>
                    <a:prstGeom prst="rect">
                      <a:avLst/>
                    </a:prstGeom>
                  </pic:spPr>
                </pic:pic>
              </a:graphicData>
            </a:graphic>
          </wp:inline>
        </w:drawing>
      </w:r>
    </w:p>
    <w:p w14:paraId="0FB68083" w14:textId="0232CD7C" w:rsidR="003B34C9" w:rsidRDefault="003B34C9" w:rsidP="003B34C9">
      <w:pPr>
        <w:pStyle w:val="NormalBeforeBullet"/>
        <w:keepNext w:val="0"/>
      </w:pPr>
    </w:p>
    <w:p w14:paraId="74121868" w14:textId="26071FA8" w:rsidR="00D3045F" w:rsidRPr="003873DB" w:rsidRDefault="00D3045F" w:rsidP="00D3045F">
      <w:pPr>
        <w:pStyle w:val="NormalBeforeBullet"/>
        <w:rPr>
          <w:rFonts w:ascii="Arial Narrow" w:hAnsi="Arial Narrow"/>
          <w:b/>
          <w:bCs/>
          <w:sz w:val="20"/>
          <w:szCs w:val="20"/>
        </w:rPr>
      </w:pPr>
      <w:r w:rsidRPr="003873DB">
        <w:rPr>
          <w:rFonts w:ascii="Arial Narrow" w:hAnsi="Arial Narrow"/>
          <w:b/>
          <w:bCs/>
          <w:sz w:val="20"/>
          <w:szCs w:val="20"/>
        </w:rPr>
        <w:lastRenderedPageBreak/>
        <w:t xml:space="preserve">Table </w:t>
      </w:r>
      <w:r w:rsidR="004C188F">
        <w:rPr>
          <w:rFonts w:ascii="Arial Narrow" w:hAnsi="Arial Narrow"/>
          <w:b/>
          <w:bCs/>
          <w:sz w:val="20"/>
          <w:szCs w:val="20"/>
        </w:rPr>
        <w:t>3</w:t>
      </w:r>
      <w:r w:rsidRPr="003873DB">
        <w:rPr>
          <w:rFonts w:ascii="Arial Narrow" w:hAnsi="Arial Narrow"/>
          <w:b/>
          <w:bCs/>
          <w:sz w:val="20"/>
          <w:szCs w:val="20"/>
        </w:rPr>
        <w:t>: Overview of selected outcomes of the risk based (PLCO) and NLST-like screening scenarios on the efficient frontier assuming a 65% uptake rate; contemporary costs</w:t>
      </w:r>
    </w:p>
    <w:p w14:paraId="1674C755" w14:textId="51AE70B7" w:rsidR="00D3045F" w:rsidRDefault="00815532" w:rsidP="003873DB">
      <w:pPr>
        <w:pStyle w:val="NormalBeforeBullet"/>
        <w:keepNext w:val="0"/>
      </w:pPr>
      <w:r>
        <w:rPr>
          <w:noProof/>
        </w:rPr>
        <w:drawing>
          <wp:inline distT="0" distB="0" distL="0" distR="0" wp14:anchorId="3BC6A303" wp14:editId="2618AC1F">
            <wp:extent cx="5616427" cy="2430991"/>
            <wp:effectExtent l="0" t="0" r="3810" b="7620"/>
            <wp:docPr id="1" name="Picture 1" descr="Table 3: Overview of selected outcomes of the risk based (PLCO) and NLST-like screening scenarios on the efficient frontier assuming a 65% uptake rate; contemporary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 Overview of selected outcomes of the risk based (PLCO) and NLST-like screening scenarios on the efficient frontier assuming a 65% uptake rate; contemporary costs"/>
                    <pic:cNvPicPr/>
                  </pic:nvPicPr>
                  <pic:blipFill>
                    <a:blip r:embed="rId12">
                      <a:extLst>
                        <a:ext uri="{28A0092B-C50C-407E-A947-70E740481C1C}">
                          <a14:useLocalDpi xmlns:a14="http://schemas.microsoft.com/office/drawing/2010/main" val="0"/>
                        </a:ext>
                      </a:extLst>
                    </a:blip>
                    <a:stretch>
                      <a:fillRect/>
                    </a:stretch>
                  </pic:blipFill>
                  <pic:spPr>
                    <a:xfrm>
                      <a:off x="0" y="0"/>
                      <a:ext cx="5616427" cy="2430991"/>
                    </a:xfrm>
                    <a:prstGeom prst="rect">
                      <a:avLst/>
                    </a:prstGeom>
                  </pic:spPr>
                </pic:pic>
              </a:graphicData>
            </a:graphic>
          </wp:inline>
        </w:drawing>
      </w:r>
    </w:p>
    <w:p w14:paraId="4D5DA96B" w14:textId="5AE6E6FC" w:rsidR="00563915" w:rsidRPr="00344673" w:rsidRDefault="00563915" w:rsidP="00563915">
      <w:pPr>
        <w:pStyle w:val="Bullet"/>
        <w:numPr>
          <w:ilvl w:val="0"/>
          <w:numId w:val="0"/>
        </w:numPr>
        <w:spacing w:after="160"/>
      </w:pPr>
      <w:r>
        <w:t xml:space="preserve">MSAC noted that, if </w:t>
      </w:r>
      <w:r w:rsidR="00105A4A">
        <w:t>its</w:t>
      </w:r>
      <w:r>
        <w:t xml:space="preserve"> decision on which set of screening criteria to select were to be based solely on ICER per QALY, then the s</w:t>
      </w:r>
      <w:r w:rsidRPr="000D7DEE">
        <w:rPr>
          <w:rFonts w:eastAsiaTheme="minorHAnsi"/>
        </w:rPr>
        <w:t>cenario NLST#11</w:t>
      </w:r>
      <w:r>
        <w:rPr>
          <w:rFonts w:eastAsiaTheme="minorHAnsi"/>
        </w:rPr>
        <w:t xml:space="preserve"> depicted in </w:t>
      </w:r>
      <w:r w:rsidRPr="004C188F">
        <w:rPr>
          <w:rFonts w:eastAsiaTheme="minorHAnsi"/>
        </w:rPr>
        <w:t xml:space="preserve">Table </w:t>
      </w:r>
      <w:r w:rsidR="004C188F" w:rsidRPr="004C188F">
        <w:rPr>
          <w:rFonts w:eastAsiaTheme="minorHAnsi"/>
        </w:rPr>
        <w:t>2</w:t>
      </w:r>
      <w:r w:rsidRPr="000D7DEE">
        <w:rPr>
          <w:rFonts w:eastAsiaTheme="minorHAnsi"/>
        </w:rPr>
        <w:t xml:space="preserve"> w</w:t>
      </w:r>
      <w:r>
        <w:t xml:space="preserve">ould have been the most appropriate and that would have concluded the basis for its advice. Under this scenario, </w:t>
      </w:r>
      <w:r w:rsidRPr="000D7DEE">
        <w:rPr>
          <w:rFonts w:eastAsiaTheme="minorHAnsi"/>
        </w:rPr>
        <w:t>current and former smokers (who quit ≤10 years ago) between ages 55 and 70 who smoked ≥30 pack-years would be screened annually</w:t>
      </w:r>
      <w:r>
        <w:rPr>
          <w:rFonts w:eastAsiaTheme="minorHAnsi"/>
        </w:rPr>
        <w:t>.</w:t>
      </w:r>
    </w:p>
    <w:p w14:paraId="1DF19A34" w14:textId="287EF197" w:rsidR="00007BAC" w:rsidRDefault="00917820" w:rsidP="000270A8">
      <w:pPr>
        <w:pStyle w:val="NormalBeforeBullet"/>
      </w:pPr>
      <w:r>
        <w:t xml:space="preserve">In </w:t>
      </w:r>
      <w:r w:rsidR="00105A4A">
        <w:t xml:space="preserve">relation to the choice </w:t>
      </w:r>
      <w:r>
        <w:t xml:space="preserve">between annual screening and biennial screening, MSAC </w:t>
      </w:r>
      <w:r w:rsidR="00007BAC">
        <w:t>advised that adopting biennial screening be preferred for the following reasons:</w:t>
      </w:r>
    </w:p>
    <w:p w14:paraId="63FB170B" w14:textId="6B84C4D2" w:rsidR="00007BAC" w:rsidRDefault="00007BAC" w:rsidP="00007BAC">
      <w:pPr>
        <w:pStyle w:val="ListParagraph"/>
        <w:numPr>
          <w:ilvl w:val="0"/>
          <w:numId w:val="11"/>
        </w:numPr>
      </w:pPr>
      <w:r>
        <w:t xml:space="preserve">it </w:t>
      </w:r>
      <w:r w:rsidRPr="009E6EBC">
        <w:t xml:space="preserve">aligns with </w:t>
      </w:r>
      <w:r w:rsidR="00E96536">
        <w:t xml:space="preserve">the breast and colorectal </w:t>
      </w:r>
      <w:r w:rsidR="00BE4E16">
        <w:t xml:space="preserve">cancer </w:t>
      </w:r>
      <w:r w:rsidRPr="009E6EBC">
        <w:t>screening programs in Australia</w:t>
      </w:r>
    </w:p>
    <w:p w14:paraId="272ABF45" w14:textId="41A83104" w:rsidR="003E1046" w:rsidRDefault="003E1046" w:rsidP="00007BAC">
      <w:pPr>
        <w:pStyle w:val="ListParagraph"/>
        <w:numPr>
          <w:ilvl w:val="0"/>
          <w:numId w:val="11"/>
        </w:numPr>
      </w:pPr>
      <w:r>
        <w:t>it is consistent with the design of the NELSON trial</w:t>
      </w:r>
    </w:p>
    <w:p w14:paraId="32AFE720" w14:textId="5D1F283C" w:rsidR="00007BAC" w:rsidRDefault="00007BAC" w:rsidP="00007BAC">
      <w:pPr>
        <w:pStyle w:val="ListParagraph"/>
        <w:numPr>
          <w:ilvl w:val="0"/>
          <w:numId w:val="11"/>
        </w:numPr>
      </w:pPr>
      <w:r>
        <w:t>it is a more feasible and acceptable expectation for the screened population than annual screening.</w:t>
      </w:r>
    </w:p>
    <w:p w14:paraId="19DB4873" w14:textId="0AC24E06" w:rsidR="00917820" w:rsidRDefault="00007BAC" w:rsidP="000270A8">
      <w:pPr>
        <w:pStyle w:val="NormalBeforeBullet"/>
      </w:pPr>
      <w:r>
        <w:t xml:space="preserve">Acknowledging that this screening frequency differs from those in the Canadian and US screening programs, and </w:t>
      </w:r>
      <w:r w:rsidR="00261990">
        <w:t xml:space="preserve">does not provide the most efficient scenarios, MSAC examined the consequences for </w:t>
      </w:r>
      <w:r w:rsidR="00E96536">
        <w:t xml:space="preserve">the </w:t>
      </w:r>
      <w:r w:rsidR="00261990">
        <w:t xml:space="preserve">other </w:t>
      </w:r>
      <w:r w:rsidR="00E96536">
        <w:t xml:space="preserve">identified </w:t>
      </w:r>
      <w:r w:rsidR="00261990">
        <w:t xml:space="preserve">relevant factors by </w:t>
      </w:r>
      <w:r w:rsidR="00917820">
        <w:t>compar</w:t>
      </w:r>
      <w:r w:rsidR="00261990">
        <w:t>ing</w:t>
      </w:r>
      <w:r w:rsidR="00917820">
        <w:t xml:space="preserve"> the</w:t>
      </w:r>
      <w:r w:rsidR="00261990">
        <w:t>se</w:t>
      </w:r>
      <w:r w:rsidR="00917820">
        <w:t xml:space="preserve"> outcomes of NLST#11 (annual screening) as seen in </w:t>
      </w:r>
      <w:r w:rsidR="00917820" w:rsidRPr="004C188F">
        <w:t xml:space="preserve">Table </w:t>
      </w:r>
      <w:r w:rsidR="004C188F" w:rsidRPr="004C188F">
        <w:t>2</w:t>
      </w:r>
      <w:r w:rsidR="00917820" w:rsidRPr="00344673">
        <w:rPr>
          <w:b/>
          <w:bCs/>
        </w:rPr>
        <w:t xml:space="preserve"> </w:t>
      </w:r>
      <w:r w:rsidR="00917820">
        <w:t>against those of NLST#122</w:t>
      </w:r>
      <w:r w:rsidR="00261990">
        <w:t>,</w:t>
      </w:r>
      <w:r w:rsidR="00917820">
        <w:t xml:space="preserve"> which </w:t>
      </w:r>
      <w:r w:rsidR="00001BFB">
        <w:t>is</w:t>
      </w:r>
      <w:r w:rsidR="00917820">
        <w:t xml:space="preserve"> one of</w:t>
      </w:r>
      <w:r w:rsidR="00D5543D">
        <w:t xml:space="preserve"> the non-dominated </w:t>
      </w:r>
      <w:r w:rsidR="00917820">
        <w:t xml:space="preserve">biennial screening scenarios modelled in </w:t>
      </w:r>
      <w:r w:rsidR="00917820" w:rsidRPr="004C188F">
        <w:t xml:space="preserve">Table </w:t>
      </w:r>
      <w:r w:rsidR="004C188F" w:rsidRPr="004C188F">
        <w:t>4</w:t>
      </w:r>
      <w:r w:rsidR="00D5543D">
        <w:rPr>
          <w:b/>
          <w:bCs/>
        </w:rPr>
        <w:t xml:space="preserve"> </w:t>
      </w:r>
      <w:r w:rsidR="00D5543D" w:rsidRPr="00344673">
        <w:t xml:space="preserve">at </w:t>
      </w:r>
      <w:bookmarkStart w:id="6" w:name="_Hlk113607209"/>
      <w:r w:rsidR="00D5543D" w:rsidRPr="00344673">
        <w:t>MSAC’s request</w:t>
      </w:r>
      <w:r w:rsidR="00553D7E">
        <w:t xml:space="preserve"> to </w:t>
      </w:r>
      <w:r w:rsidR="00031A9C">
        <w:t xml:space="preserve">focus the </w:t>
      </w:r>
      <w:r w:rsidR="00553D7E">
        <w:t>model on NLST-like screening scenarios</w:t>
      </w:r>
      <w:r w:rsidR="00031A9C">
        <w:t xml:space="preserve"> only</w:t>
      </w:r>
      <w:bookmarkEnd w:id="6"/>
      <w:r w:rsidR="00917820">
        <w:t xml:space="preserve">. </w:t>
      </w:r>
      <w:r w:rsidR="00261990">
        <w:t xml:space="preserve">This comparison was selected </w:t>
      </w:r>
      <w:proofErr w:type="gramStart"/>
      <w:r w:rsidR="00261990">
        <w:t>on the basis of</w:t>
      </w:r>
      <w:proofErr w:type="gramEnd"/>
      <w:r w:rsidR="00261990">
        <w:t xml:space="preserve"> having broadly similar coverage of the population (6.1% of the population for NLST#11 vs 6.2% for NLST#122). Further, w</w:t>
      </w:r>
      <w:r w:rsidR="00917820">
        <w:t>ith the exception of the maximum years since cessation criteria (NLST#122 specifie</w:t>
      </w:r>
      <w:r w:rsidR="00001BFB">
        <w:t>s</w:t>
      </w:r>
      <w:r w:rsidR="00917820">
        <w:t xml:space="preserve"> 15 years</w:t>
      </w:r>
      <w:r w:rsidR="00001BFB">
        <w:t xml:space="preserve"> since cessation</w:t>
      </w:r>
      <w:r w:rsidR="00D5543D">
        <w:t xml:space="preserve"> compared to </w:t>
      </w:r>
      <w:r w:rsidR="00917820">
        <w:t>10 years for NLST#11)</w:t>
      </w:r>
      <w:r w:rsidR="00105A4A">
        <w:t>,</w:t>
      </w:r>
      <w:r w:rsidR="00917820">
        <w:t xml:space="preserve"> these two scenarios </w:t>
      </w:r>
      <w:r w:rsidR="00001BFB">
        <w:t>are</w:t>
      </w:r>
      <w:r w:rsidR="00917820">
        <w:t xml:space="preserve"> </w:t>
      </w:r>
      <w:r w:rsidR="00105A4A">
        <w:t xml:space="preserve">well </w:t>
      </w:r>
      <w:r w:rsidR="00917820">
        <w:t xml:space="preserve">matched in terms of other </w:t>
      </w:r>
      <w:r w:rsidR="00261990">
        <w:t>eligibility criteria</w:t>
      </w:r>
      <w:r w:rsidR="00917820">
        <w:t xml:space="preserve"> unrelated to screening frequency (</w:t>
      </w:r>
      <w:proofErr w:type="gramStart"/>
      <w:r w:rsidR="00001BFB">
        <w:t>i.e.</w:t>
      </w:r>
      <w:proofErr w:type="gramEnd"/>
      <w:r w:rsidR="00001BFB">
        <w:t xml:space="preserve"> </w:t>
      </w:r>
      <w:r w:rsidR="00917820">
        <w:t>similar starting and stopping screening age</w:t>
      </w:r>
      <w:r w:rsidR="00001BFB">
        <w:t>s</w:t>
      </w:r>
      <w:r w:rsidR="00917820">
        <w:t xml:space="preserve">, </w:t>
      </w:r>
      <w:r w:rsidR="001A6BCB">
        <w:t xml:space="preserve">and </w:t>
      </w:r>
      <w:r w:rsidR="00917820">
        <w:t>similar numbers of pack years smoked)</w:t>
      </w:r>
      <w:r w:rsidR="001A6BCB">
        <w:t xml:space="preserve">. </w:t>
      </w:r>
      <w:r w:rsidR="00261990">
        <w:t>Compared to the annual scenario (NLST#11), the biennial scenario (NLST#122)</w:t>
      </w:r>
      <w:r w:rsidR="00917820">
        <w:t>:</w:t>
      </w:r>
    </w:p>
    <w:p w14:paraId="5050C60D" w14:textId="4E6A7C64" w:rsidR="00917820" w:rsidRDefault="00917820" w:rsidP="00261990">
      <w:pPr>
        <w:pStyle w:val="ListParagraph"/>
        <w:numPr>
          <w:ilvl w:val="0"/>
          <w:numId w:val="11"/>
        </w:numPr>
      </w:pPr>
      <w:r>
        <w:t xml:space="preserve">was associated with two thirds the </w:t>
      </w:r>
      <w:r w:rsidR="001F20C2">
        <w:t xml:space="preserve">6-year </w:t>
      </w:r>
      <w:r w:rsidRPr="00704D20">
        <w:t xml:space="preserve">total </w:t>
      </w:r>
      <w:r w:rsidR="001F20C2">
        <w:t xml:space="preserve">net </w:t>
      </w:r>
      <w:r w:rsidRPr="00704D20">
        <w:t>cost</w:t>
      </w:r>
      <w:r>
        <w:t xml:space="preserve"> ($</w:t>
      </w:r>
      <w:r w:rsidR="00B40512">
        <w:t>740</w:t>
      </w:r>
      <w:r>
        <w:t xml:space="preserve"> million vs </w:t>
      </w:r>
      <w:r w:rsidRPr="00704D20">
        <w:t>$1</w:t>
      </w:r>
      <w:r>
        <w:t>.2 billion)</w:t>
      </w:r>
    </w:p>
    <w:p w14:paraId="29767D17" w14:textId="7B0FF387" w:rsidR="00917820" w:rsidRDefault="00917820" w:rsidP="00E37822">
      <w:pPr>
        <w:pStyle w:val="ListParagraph"/>
        <w:numPr>
          <w:ilvl w:val="0"/>
          <w:numId w:val="11"/>
        </w:numPr>
      </w:pPr>
      <w:r>
        <w:t>had a slightly higher ICER per QALY ($65,</w:t>
      </w:r>
      <w:r w:rsidR="00261990">
        <w:t>728</w:t>
      </w:r>
      <w:r>
        <w:t xml:space="preserve"> vs $60,</w:t>
      </w:r>
      <w:r w:rsidR="00261990">
        <w:t>606</w:t>
      </w:r>
      <w:r>
        <w:t>)</w:t>
      </w:r>
    </w:p>
    <w:p w14:paraId="76D678CC" w14:textId="268B1D51" w:rsidR="00261990" w:rsidRDefault="00CC6859" w:rsidP="00E37822">
      <w:pPr>
        <w:pStyle w:val="ListParagraph"/>
        <w:numPr>
          <w:ilvl w:val="0"/>
          <w:numId w:val="11"/>
        </w:numPr>
      </w:pPr>
      <w:r>
        <w:t xml:space="preserve">resulted in </w:t>
      </w:r>
      <w:r w:rsidR="00805A81">
        <w:t>fewer</w:t>
      </w:r>
      <w:r>
        <w:t xml:space="preserve"> lung cancer deaths prevented (</w:t>
      </w:r>
      <w:r w:rsidRPr="00704D20">
        <w:t>40</w:t>
      </w:r>
      <w:r>
        <w:t>95</w:t>
      </w:r>
      <w:r w:rsidRPr="00704D20">
        <w:t xml:space="preserve"> vs 6255</w:t>
      </w:r>
      <w:r>
        <w:t>)</w:t>
      </w:r>
    </w:p>
    <w:p w14:paraId="797A4A0F" w14:textId="41F085F7" w:rsidR="00261990" w:rsidRDefault="006043FE" w:rsidP="00E37822">
      <w:pPr>
        <w:pStyle w:val="ListParagraph"/>
        <w:numPr>
          <w:ilvl w:val="0"/>
          <w:numId w:val="11"/>
        </w:numPr>
      </w:pPr>
      <w:r>
        <w:t xml:space="preserve">had </w:t>
      </w:r>
      <w:r w:rsidR="00805A81">
        <w:t xml:space="preserve">fewer </w:t>
      </w:r>
      <w:r w:rsidR="00CC6859" w:rsidRPr="00704D20">
        <w:t xml:space="preserve">overdiagnoses </w:t>
      </w:r>
      <w:r w:rsidR="00CC6859">
        <w:t>(</w:t>
      </w:r>
      <w:r w:rsidR="00CC6859" w:rsidRPr="00704D20">
        <w:t>1563 vs 2464</w:t>
      </w:r>
      <w:r w:rsidR="00CC6859">
        <w:t>)</w:t>
      </w:r>
    </w:p>
    <w:p w14:paraId="18DE4AD0" w14:textId="435030E4" w:rsidR="00261990" w:rsidRDefault="006043FE" w:rsidP="00E37822">
      <w:pPr>
        <w:pStyle w:val="ListParagraph"/>
        <w:numPr>
          <w:ilvl w:val="0"/>
          <w:numId w:val="11"/>
        </w:numPr>
      </w:pPr>
      <w:r>
        <w:t xml:space="preserve">had </w:t>
      </w:r>
      <w:r w:rsidR="00805A81">
        <w:t xml:space="preserve">fewer </w:t>
      </w:r>
      <w:r w:rsidR="00CC6859" w:rsidRPr="00704D20">
        <w:t xml:space="preserve">false positives </w:t>
      </w:r>
      <w:r w:rsidR="00CC6859">
        <w:t>(</w:t>
      </w:r>
      <w:r w:rsidR="00CC6859" w:rsidRPr="00704D20">
        <w:t>34</w:t>
      </w:r>
      <w:r w:rsidR="00CC6859">
        <w:t>,</w:t>
      </w:r>
      <w:r w:rsidR="00CC6859" w:rsidRPr="00704D20">
        <w:t>790 vs 63</w:t>
      </w:r>
      <w:r w:rsidR="00CC6859">
        <w:t>,</w:t>
      </w:r>
      <w:r w:rsidR="00CC6859" w:rsidRPr="00704D20">
        <w:t>308</w:t>
      </w:r>
      <w:r w:rsidR="00CC6859">
        <w:t>)</w:t>
      </w:r>
    </w:p>
    <w:p w14:paraId="17471EC7" w14:textId="7C5BECC9" w:rsidR="00261990" w:rsidRDefault="006043FE" w:rsidP="00E37822">
      <w:pPr>
        <w:pStyle w:val="ListParagraph"/>
        <w:numPr>
          <w:ilvl w:val="0"/>
          <w:numId w:val="11"/>
        </w:numPr>
      </w:pPr>
      <w:r>
        <w:t xml:space="preserve">had </w:t>
      </w:r>
      <w:r w:rsidR="00261990">
        <w:t xml:space="preserve">more </w:t>
      </w:r>
      <w:r w:rsidR="00CC6859">
        <w:t xml:space="preserve">lung cancer deaths prevented per </w:t>
      </w:r>
      <w:r w:rsidR="00CC6859" w:rsidRPr="00704D20">
        <w:t xml:space="preserve">overdiagnosis </w:t>
      </w:r>
      <w:r w:rsidR="00CC6859">
        <w:t>(</w:t>
      </w:r>
      <w:r w:rsidR="00CC6859" w:rsidRPr="00704D20">
        <w:t>2.6</w:t>
      </w:r>
      <w:r w:rsidR="001F20C2">
        <w:t>2</w:t>
      </w:r>
      <w:r w:rsidR="00CC6859" w:rsidRPr="00704D20">
        <w:t xml:space="preserve"> vs 2.5</w:t>
      </w:r>
      <w:r w:rsidR="001F20C2">
        <w:t>4</w:t>
      </w:r>
      <w:r w:rsidR="00CC6859">
        <w:t>)</w:t>
      </w:r>
    </w:p>
    <w:p w14:paraId="678730F4" w14:textId="4D580AF8" w:rsidR="00CC6859" w:rsidRDefault="006043FE" w:rsidP="00E37822">
      <w:pPr>
        <w:pStyle w:val="ListParagraph"/>
        <w:numPr>
          <w:ilvl w:val="0"/>
          <w:numId w:val="11"/>
        </w:numPr>
      </w:pPr>
      <w:r>
        <w:t xml:space="preserve">had </w:t>
      </w:r>
      <w:r w:rsidR="00261990">
        <w:t xml:space="preserve">fewer </w:t>
      </w:r>
      <w:r w:rsidR="00CC6859" w:rsidRPr="00704D20">
        <w:t>false positives</w:t>
      </w:r>
      <w:r w:rsidR="00CC6859">
        <w:t xml:space="preserve"> per lung cancer death prevented</w:t>
      </w:r>
      <w:r w:rsidR="00CC6859" w:rsidRPr="00704D20">
        <w:t xml:space="preserve"> </w:t>
      </w:r>
      <w:r w:rsidR="008D464C">
        <w:t>(</w:t>
      </w:r>
      <w:r w:rsidR="00CC6859" w:rsidRPr="00704D20">
        <w:t>8.5 vs 10.1</w:t>
      </w:r>
      <w:r w:rsidR="008D464C">
        <w:t>)</w:t>
      </w:r>
      <w:r w:rsidR="00CC6859">
        <w:t>.</w:t>
      </w:r>
      <w:r w:rsidR="00CC6859">
        <w:rPr>
          <w:rStyle w:val="FootnoteReference"/>
        </w:rPr>
        <w:footnoteReference w:id="5"/>
      </w:r>
    </w:p>
    <w:p w14:paraId="4E579223" w14:textId="006B4190" w:rsidR="0060745F" w:rsidRDefault="00CC6859" w:rsidP="0060745F">
      <w:pPr>
        <w:pStyle w:val="NormalBeforeBullet"/>
      </w:pPr>
      <w:r>
        <w:lastRenderedPageBreak/>
        <w:t>MSAC noted from these findings that</w:t>
      </w:r>
      <w:r w:rsidR="004D7C4D">
        <w:t>,</w:t>
      </w:r>
      <w:r>
        <w:t xml:space="preserve"> while annual screening resulted in a lower ICER than biennial screening, biennial screening was associated with significantly lower total costs despite covering approximately a similar share of the population and </w:t>
      </w:r>
      <w:r w:rsidR="001A6BCB">
        <w:t>was also associated with</w:t>
      </w:r>
      <w:r>
        <w:t xml:space="preserve"> some improvements on a range of non-ICER related outcomes relat</w:t>
      </w:r>
      <w:r w:rsidR="006E3A0F">
        <w:t>ing</w:t>
      </w:r>
      <w:r>
        <w:t xml:space="preserve"> to false positives and overdiagnoses</w:t>
      </w:r>
      <w:r w:rsidR="001A6BCB">
        <w:t xml:space="preserve">. This is also </w:t>
      </w:r>
      <w:proofErr w:type="gramStart"/>
      <w:r w:rsidR="001A6BCB">
        <w:t>despite the fact that</w:t>
      </w:r>
      <w:proofErr w:type="gramEnd"/>
      <w:r w:rsidR="001A6BCB">
        <w:t xml:space="preserve"> the biennial strategy had a lower risk threshold than the annual strategy it was being compared </w:t>
      </w:r>
      <w:r w:rsidR="006E3A0F">
        <w:t>against</w:t>
      </w:r>
      <w:r w:rsidR="001A6BCB">
        <w:t xml:space="preserve"> (15 years since smoking cessation vs 10 years since smoking cessation).</w:t>
      </w:r>
      <w:r w:rsidRPr="00CC6859">
        <w:t xml:space="preserve"> </w:t>
      </w:r>
      <w:r w:rsidR="00B40512">
        <w:t xml:space="preserve">MSAC considered that </w:t>
      </w:r>
      <w:r>
        <w:t xml:space="preserve">these </w:t>
      </w:r>
      <w:r w:rsidR="001E6F7A">
        <w:t xml:space="preserve">results </w:t>
      </w:r>
      <w:r w:rsidR="00B40512">
        <w:t xml:space="preserve">demonstrated </w:t>
      </w:r>
      <w:r>
        <w:t xml:space="preserve">that </w:t>
      </w:r>
      <w:r w:rsidR="008D464C">
        <w:t xml:space="preserve">scenarios based on </w:t>
      </w:r>
      <w:r>
        <w:t xml:space="preserve">biennial screening </w:t>
      </w:r>
      <w:r w:rsidR="008D464C">
        <w:t>are at</w:t>
      </w:r>
      <w:r w:rsidR="001E6F7A">
        <w:t xml:space="preserve"> least </w:t>
      </w:r>
      <w:r>
        <w:t>comparable</w:t>
      </w:r>
      <w:r w:rsidR="008D464C">
        <w:t xml:space="preserve"> </w:t>
      </w:r>
      <w:r w:rsidR="00B40512">
        <w:t xml:space="preserve">overall </w:t>
      </w:r>
      <w:r w:rsidR="008D464C">
        <w:t>to scenarios based o</w:t>
      </w:r>
      <w:r w:rsidR="001E6F7A">
        <w:t>n</w:t>
      </w:r>
      <w:r>
        <w:t xml:space="preserve"> annual screening </w:t>
      </w:r>
      <w:r w:rsidR="0060745F">
        <w:t>in terms of</w:t>
      </w:r>
      <w:r>
        <w:t xml:space="preserve"> economic, </w:t>
      </w:r>
      <w:proofErr w:type="gramStart"/>
      <w:r>
        <w:t>clinical</w:t>
      </w:r>
      <w:proofErr w:type="gramEnd"/>
      <w:r>
        <w:t xml:space="preserve"> and total cost outcomes</w:t>
      </w:r>
      <w:r w:rsidR="00B40512">
        <w:t>.</w:t>
      </w:r>
    </w:p>
    <w:p w14:paraId="2A8E2100" w14:textId="746E935C" w:rsidR="00E936D4" w:rsidRDefault="00D86163" w:rsidP="003873DB">
      <w:pPr>
        <w:pStyle w:val="NormalBeforeBullet"/>
        <w:keepNext w:val="0"/>
      </w:pPr>
      <w:r>
        <w:t>Given MSAC’s choice of NLST-like criteria and a biennial screening frequency.</w:t>
      </w:r>
      <w:r w:rsidR="000D5638">
        <w:t xml:space="preserve"> MSAC next considered how the </w:t>
      </w:r>
      <w:r w:rsidR="00E936D4">
        <w:t xml:space="preserve">recommended </w:t>
      </w:r>
      <w:r w:rsidR="000D5638">
        <w:t xml:space="preserve">NLST-like inclusion criteria should be specified. In </w:t>
      </w:r>
      <w:r w:rsidR="00B40512">
        <w:t>selecting from the options</w:t>
      </w:r>
      <w:r w:rsidR="000D5638">
        <w:t xml:space="preserve">, </w:t>
      </w:r>
      <w:r w:rsidR="00E936D4">
        <w:t>MSAC considered that the best approach was to start with the most cost</w:t>
      </w:r>
      <w:r w:rsidR="00D06CC9">
        <w:t>-</w:t>
      </w:r>
      <w:r w:rsidR="00E936D4">
        <w:t xml:space="preserve">effective scenario in </w:t>
      </w:r>
      <w:r w:rsidR="00E936D4" w:rsidRPr="004C188F">
        <w:t xml:space="preserve">Table </w:t>
      </w:r>
      <w:r w:rsidR="004C188F" w:rsidRPr="004C188F">
        <w:t>4</w:t>
      </w:r>
      <w:r w:rsidR="001E6F7A">
        <w:rPr>
          <w:b/>
          <w:bCs/>
        </w:rPr>
        <w:t xml:space="preserve"> </w:t>
      </w:r>
      <w:r w:rsidR="001E6F7A">
        <w:t xml:space="preserve">(in this case NLST#116 which has an ICER per QALY of $65,584) </w:t>
      </w:r>
      <w:r w:rsidR="00E936D4">
        <w:t xml:space="preserve">which </w:t>
      </w:r>
      <w:r w:rsidR="001E6F7A">
        <w:t xml:space="preserve">lists all the </w:t>
      </w:r>
      <w:r w:rsidR="00E936D4">
        <w:t xml:space="preserve">non-dominated biennial screening scenarios and </w:t>
      </w:r>
      <w:r w:rsidR="00B40512">
        <w:t xml:space="preserve">examine </w:t>
      </w:r>
      <w:r w:rsidR="00E936D4">
        <w:t>how increases in risk thresholds affect the ICER and non-ICER outcomes.</w:t>
      </w:r>
    </w:p>
    <w:p w14:paraId="541FB040" w14:textId="3004C600" w:rsidR="00EC50BE" w:rsidRPr="003873DB" w:rsidRDefault="00EC50BE" w:rsidP="00E342BB">
      <w:pPr>
        <w:pStyle w:val="NormalBeforeBullet"/>
        <w:spacing w:before="240"/>
        <w:rPr>
          <w:rFonts w:ascii="Arial Narrow" w:hAnsi="Arial Narrow"/>
          <w:b/>
          <w:bCs/>
          <w:sz w:val="20"/>
          <w:szCs w:val="20"/>
        </w:rPr>
      </w:pPr>
      <w:r w:rsidRPr="003873DB">
        <w:rPr>
          <w:rFonts w:ascii="Arial Narrow" w:hAnsi="Arial Narrow"/>
          <w:b/>
          <w:bCs/>
          <w:sz w:val="20"/>
          <w:szCs w:val="20"/>
        </w:rPr>
        <w:t xml:space="preserve">Table </w:t>
      </w:r>
      <w:r w:rsidR="004C188F">
        <w:rPr>
          <w:rFonts w:ascii="Arial Narrow" w:hAnsi="Arial Narrow"/>
          <w:b/>
          <w:bCs/>
          <w:sz w:val="20"/>
          <w:szCs w:val="20"/>
        </w:rPr>
        <w:t>4</w:t>
      </w:r>
      <w:r w:rsidRPr="003873DB">
        <w:rPr>
          <w:rFonts w:ascii="Arial Narrow" w:hAnsi="Arial Narrow"/>
          <w:b/>
          <w:bCs/>
          <w:sz w:val="20"/>
          <w:szCs w:val="20"/>
        </w:rPr>
        <w:t>: Characteristics of NLST</w:t>
      </w:r>
      <w:r w:rsidR="00B93F07">
        <w:rPr>
          <w:rFonts w:ascii="Arial Narrow" w:hAnsi="Arial Narrow"/>
          <w:b/>
          <w:bCs/>
          <w:sz w:val="20"/>
          <w:szCs w:val="20"/>
        </w:rPr>
        <w:t>-</w:t>
      </w:r>
      <w:r w:rsidRPr="003873DB">
        <w:rPr>
          <w:rFonts w:ascii="Arial Narrow" w:hAnsi="Arial Narrow"/>
          <w:b/>
          <w:bCs/>
          <w:sz w:val="20"/>
          <w:szCs w:val="20"/>
        </w:rPr>
        <w:t>like biennial screening scenarios (simple non-dominated)</w:t>
      </w:r>
    </w:p>
    <w:p w14:paraId="5EB972EC" w14:textId="767084B3" w:rsidR="00EC50BE" w:rsidRDefault="00815532" w:rsidP="003873DB">
      <w:pPr>
        <w:pStyle w:val="NormalBeforeBullet"/>
        <w:keepNext w:val="0"/>
      </w:pPr>
      <w:r>
        <w:rPr>
          <w:rFonts w:ascii="Arial Narrow" w:hAnsi="Arial Narrow"/>
          <w:b/>
          <w:bCs/>
          <w:noProof/>
          <w:sz w:val="20"/>
          <w:szCs w:val="20"/>
        </w:rPr>
        <w:drawing>
          <wp:inline distT="0" distB="0" distL="0" distR="0" wp14:anchorId="024F333E" wp14:editId="45D728EF">
            <wp:extent cx="5731510" cy="3538220"/>
            <wp:effectExtent l="0" t="0" r="2540" b="5080"/>
            <wp:docPr id="7" name="Picture 7" descr="Table 4: Characteristics of NLST like biennial screening scenarios (simple non-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4: Characteristics of NLST like biennial screening scenarios (simple non-domin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538220"/>
                    </a:xfrm>
                    <a:prstGeom prst="rect">
                      <a:avLst/>
                    </a:prstGeom>
                  </pic:spPr>
                </pic:pic>
              </a:graphicData>
            </a:graphic>
          </wp:inline>
        </w:drawing>
      </w:r>
    </w:p>
    <w:p w14:paraId="3151FD32" w14:textId="27564427" w:rsidR="00E936D4" w:rsidRDefault="00E60148" w:rsidP="00E342BB">
      <w:pPr>
        <w:pStyle w:val="NormalBeforeBullet"/>
        <w:spacing w:before="240"/>
      </w:pPr>
      <w:r>
        <w:t xml:space="preserve">MSAC noted that the ‘top three’ scenarios in </w:t>
      </w:r>
      <w:r w:rsidRPr="004C188F">
        <w:t xml:space="preserve">Table </w:t>
      </w:r>
      <w:r w:rsidR="004C188F" w:rsidRPr="004C188F">
        <w:t>4</w:t>
      </w:r>
      <w:r>
        <w:t xml:space="preserve"> in terms of lowest ICERs per QALY, namely </w:t>
      </w:r>
      <w:r w:rsidR="00105A4A">
        <w:t>NLST</w:t>
      </w:r>
      <w:r>
        <w:t xml:space="preserve">#116, </w:t>
      </w:r>
      <w:r w:rsidR="00105A4A">
        <w:t>NLST</w:t>
      </w:r>
      <w:r>
        <w:t xml:space="preserve">#113 and </w:t>
      </w:r>
      <w:r w:rsidR="00105A4A">
        <w:t>NLST</w:t>
      </w:r>
      <w:r>
        <w:t xml:space="preserve">#110, all had the same starting and stopping ages (50 and 70 years) but there was an increase in the risk thresholds </w:t>
      </w:r>
      <w:r w:rsidR="00E936D4">
        <w:t>in moving down the list</w:t>
      </w:r>
      <w:r w:rsidR="00D06CC9">
        <w:t>:</w:t>
      </w:r>
    </w:p>
    <w:p w14:paraId="1D3B26FA" w14:textId="1632FF10" w:rsidR="00E936D4" w:rsidRDefault="00105A4A" w:rsidP="00E37822">
      <w:pPr>
        <w:pStyle w:val="ListParagraph"/>
        <w:numPr>
          <w:ilvl w:val="0"/>
          <w:numId w:val="11"/>
        </w:numPr>
      </w:pPr>
      <w:r>
        <w:t>NLST</w:t>
      </w:r>
      <w:r w:rsidR="00E936D4">
        <w:t>#1</w:t>
      </w:r>
      <w:r w:rsidR="00E60148">
        <w:t>16</w:t>
      </w:r>
      <w:r w:rsidR="00E936D4">
        <w:t xml:space="preserve"> specifie</w:t>
      </w:r>
      <w:r w:rsidR="001E6F7A">
        <w:t>s</w:t>
      </w:r>
      <w:r w:rsidR="00E936D4">
        <w:t xml:space="preserve"> </w:t>
      </w:r>
      <w:r w:rsidR="00E60148">
        <w:t xml:space="preserve">30 pack years and </w:t>
      </w:r>
      <w:r w:rsidR="001E6F7A">
        <w:t xml:space="preserve">a </w:t>
      </w:r>
      <w:r w:rsidR="00E60148">
        <w:t>maximum of 20 years since smoking cessation</w:t>
      </w:r>
    </w:p>
    <w:p w14:paraId="396F9B93" w14:textId="717ECB6A" w:rsidR="00E936D4" w:rsidRDefault="00105A4A" w:rsidP="00E37822">
      <w:pPr>
        <w:pStyle w:val="ListParagraph"/>
        <w:numPr>
          <w:ilvl w:val="0"/>
          <w:numId w:val="11"/>
        </w:numPr>
      </w:pPr>
      <w:r>
        <w:t>NLST</w:t>
      </w:r>
      <w:r w:rsidR="00E936D4">
        <w:t>#</w:t>
      </w:r>
      <w:r w:rsidR="00E60148">
        <w:t xml:space="preserve">113 </w:t>
      </w:r>
      <w:r w:rsidR="00E936D4">
        <w:t>specifie</w:t>
      </w:r>
      <w:r w:rsidR="001E6F7A">
        <w:t>s</w:t>
      </w:r>
      <w:r w:rsidR="00E936D4">
        <w:t xml:space="preserve"> </w:t>
      </w:r>
      <w:r w:rsidR="00E60148">
        <w:t>30 pack years and</w:t>
      </w:r>
      <w:r w:rsidR="00E936D4">
        <w:t xml:space="preserve"> </w:t>
      </w:r>
      <w:r w:rsidR="00B40512">
        <w:t xml:space="preserve">a maximum of </w:t>
      </w:r>
      <w:r w:rsidR="00E60148">
        <w:t>15 years since smoking cessation</w:t>
      </w:r>
    </w:p>
    <w:p w14:paraId="4C2E9EE8" w14:textId="284E919A" w:rsidR="001E6F7A" w:rsidRDefault="00105A4A" w:rsidP="00E37822">
      <w:pPr>
        <w:pStyle w:val="ListParagraph"/>
        <w:numPr>
          <w:ilvl w:val="0"/>
          <w:numId w:val="11"/>
        </w:numPr>
      </w:pPr>
      <w:r>
        <w:t>NLST</w:t>
      </w:r>
      <w:r w:rsidR="00E936D4">
        <w:t>#</w:t>
      </w:r>
      <w:r w:rsidR="00E60148">
        <w:t xml:space="preserve">110 </w:t>
      </w:r>
      <w:r w:rsidR="00E936D4">
        <w:t>specifie</w:t>
      </w:r>
      <w:r w:rsidR="001E6F7A">
        <w:t>s</w:t>
      </w:r>
      <w:r w:rsidR="00E936D4">
        <w:t xml:space="preserve"> </w:t>
      </w:r>
      <w:r w:rsidR="00E60148">
        <w:t xml:space="preserve">30 pack years and </w:t>
      </w:r>
      <w:r w:rsidR="00B40512">
        <w:t xml:space="preserve">a maximum of </w:t>
      </w:r>
      <w:r w:rsidR="00E60148">
        <w:t>10 years since smoking cessation</w:t>
      </w:r>
      <w:r w:rsidR="00E936D4">
        <w:t>.</w:t>
      </w:r>
    </w:p>
    <w:p w14:paraId="1A1B3ACA" w14:textId="20366F0F" w:rsidR="003759EE" w:rsidRDefault="00E60148" w:rsidP="003873DB">
      <w:pPr>
        <w:pStyle w:val="NormalBeforeBullet"/>
        <w:keepNext w:val="0"/>
      </w:pPr>
      <w:r>
        <w:t>MSAC noted that</w:t>
      </w:r>
      <w:r w:rsidR="003759EE">
        <w:t xml:space="preserve"> based on these comparisons, </w:t>
      </w:r>
      <w:r w:rsidR="000D5638">
        <w:t>increasing the risk threshold from 20 years since smoking cessation to 10 years since smoking cessation resulted in substantial reductions in the number of LDCT screens (from almost 1.5 million to around 900,000)</w:t>
      </w:r>
      <w:r w:rsidR="00D34D51">
        <w:t>,</w:t>
      </w:r>
      <w:r w:rsidR="000D5638">
        <w:t xml:space="preserve"> false positives (from 47,134 to 28,914)</w:t>
      </w:r>
      <w:r w:rsidR="003759EE">
        <w:t xml:space="preserve"> and overdiagnoses (from 2057 to 1644)</w:t>
      </w:r>
      <w:r w:rsidR="000D5638">
        <w:t xml:space="preserve"> but only resulted in a small reduction in the number of lung cancer deaths prevented (from 5112 to 4080</w:t>
      </w:r>
      <w:r w:rsidR="003759EE">
        <w:t>)</w:t>
      </w:r>
      <w:r w:rsidR="00EC50BE">
        <w:t xml:space="preserve"> – see </w:t>
      </w:r>
      <w:r w:rsidR="00EC50BE" w:rsidRPr="004C188F">
        <w:t xml:space="preserve">Table </w:t>
      </w:r>
      <w:r w:rsidR="004C188F" w:rsidRPr="004C188F">
        <w:t>5</w:t>
      </w:r>
      <w:r w:rsidR="000D5638">
        <w:t xml:space="preserve">. </w:t>
      </w:r>
      <w:r w:rsidR="00E90DCA">
        <w:t>D</w:t>
      </w:r>
      <w:r w:rsidR="003759EE">
        <w:t xml:space="preserve">iscounted </w:t>
      </w:r>
      <w:r w:rsidR="00E90DCA">
        <w:t xml:space="preserve">incremental </w:t>
      </w:r>
      <w:r w:rsidR="003759EE">
        <w:t xml:space="preserve">costs associated with these three scenarios </w:t>
      </w:r>
      <w:r w:rsidR="00E90DCA">
        <w:t xml:space="preserve">in </w:t>
      </w:r>
      <w:r w:rsidR="00E90DCA" w:rsidRPr="004C188F">
        <w:t xml:space="preserve">Table </w:t>
      </w:r>
      <w:r w:rsidR="004C188F" w:rsidRPr="004C188F">
        <w:t>4</w:t>
      </w:r>
      <w:r w:rsidR="00E90DCA" w:rsidRPr="00E90DCA">
        <w:t xml:space="preserve"> </w:t>
      </w:r>
      <w:r w:rsidR="003759EE">
        <w:t>were</w:t>
      </w:r>
      <w:r w:rsidR="00D86680">
        <w:t xml:space="preserve"> also</w:t>
      </w:r>
      <w:r w:rsidR="003759EE">
        <w:t xml:space="preserve"> </w:t>
      </w:r>
      <w:r w:rsidR="00B40512">
        <w:t>similar</w:t>
      </w:r>
      <w:r w:rsidR="003759EE">
        <w:t>.</w:t>
      </w:r>
    </w:p>
    <w:p w14:paraId="09CCA453" w14:textId="534D18FC" w:rsidR="00EC50BE" w:rsidRPr="003873DB" w:rsidRDefault="00EC50BE" w:rsidP="00E342BB">
      <w:pPr>
        <w:pStyle w:val="NormalBeforeBullet"/>
        <w:spacing w:before="240"/>
        <w:rPr>
          <w:rFonts w:ascii="Arial Narrow" w:hAnsi="Arial Narrow"/>
          <w:b/>
          <w:bCs/>
          <w:sz w:val="20"/>
          <w:szCs w:val="20"/>
        </w:rPr>
      </w:pPr>
      <w:r w:rsidRPr="003873DB">
        <w:rPr>
          <w:rFonts w:ascii="Arial Narrow" w:hAnsi="Arial Narrow"/>
          <w:b/>
          <w:bCs/>
          <w:sz w:val="20"/>
          <w:szCs w:val="20"/>
        </w:rPr>
        <w:lastRenderedPageBreak/>
        <w:t xml:space="preserve">Table </w:t>
      </w:r>
      <w:r w:rsidR="004C188F">
        <w:rPr>
          <w:rFonts w:ascii="Arial Narrow" w:hAnsi="Arial Narrow"/>
          <w:b/>
          <w:bCs/>
          <w:sz w:val="20"/>
          <w:szCs w:val="20"/>
        </w:rPr>
        <w:t>5</w:t>
      </w:r>
      <w:r w:rsidRPr="003873DB">
        <w:rPr>
          <w:rFonts w:ascii="Arial Narrow" w:hAnsi="Arial Narrow"/>
          <w:b/>
          <w:bCs/>
          <w:sz w:val="20"/>
          <w:szCs w:val="20"/>
        </w:rPr>
        <w:t>: Overview of selected outcomes of NLST</w:t>
      </w:r>
      <w:r w:rsidR="00B93F07">
        <w:rPr>
          <w:rFonts w:ascii="Arial Narrow" w:hAnsi="Arial Narrow"/>
          <w:b/>
          <w:bCs/>
          <w:sz w:val="20"/>
          <w:szCs w:val="20"/>
        </w:rPr>
        <w:t>-</w:t>
      </w:r>
      <w:r w:rsidRPr="003873DB">
        <w:rPr>
          <w:rFonts w:ascii="Arial Narrow" w:hAnsi="Arial Narrow"/>
          <w:b/>
          <w:bCs/>
          <w:sz w:val="20"/>
          <w:szCs w:val="20"/>
        </w:rPr>
        <w:t>like biennial screening scenarios (simple non-dominated)</w:t>
      </w:r>
    </w:p>
    <w:p w14:paraId="0AC8B0F7" w14:textId="559FBA1E" w:rsidR="00EC50BE" w:rsidRDefault="00815532" w:rsidP="003873DB">
      <w:pPr>
        <w:pStyle w:val="NormalBeforeBullet"/>
        <w:keepNext w:val="0"/>
      </w:pPr>
      <w:r>
        <w:rPr>
          <w:noProof/>
        </w:rPr>
        <w:drawing>
          <wp:inline distT="0" distB="0" distL="0" distR="0" wp14:anchorId="73727A9C" wp14:editId="2410B239">
            <wp:extent cx="5731510" cy="2602865"/>
            <wp:effectExtent l="0" t="0" r="2540" b="6985"/>
            <wp:docPr id="8" name="Picture 8" descr="Table 5: Overview of selected outcomes of NLST like biennial screening scenarios (simple non-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5: Overview of selected outcomes of NLST like biennial screening scenarios (simple non-domin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2602865"/>
                    </a:xfrm>
                    <a:prstGeom prst="rect">
                      <a:avLst/>
                    </a:prstGeom>
                  </pic:spPr>
                </pic:pic>
              </a:graphicData>
            </a:graphic>
          </wp:inline>
        </w:drawing>
      </w:r>
    </w:p>
    <w:p w14:paraId="33104A93" w14:textId="05183C60" w:rsidR="003759EE" w:rsidRDefault="000D5638" w:rsidP="00E342BB">
      <w:pPr>
        <w:pStyle w:val="NormalBeforeBullet"/>
        <w:keepNext w:val="0"/>
        <w:spacing w:before="240"/>
      </w:pPr>
      <w:proofErr w:type="gramStart"/>
      <w:r>
        <w:t>Accordingly</w:t>
      </w:r>
      <w:proofErr w:type="gramEnd"/>
      <w:r>
        <w:t xml:space="preserve"> MSAC </w:t>
      </w:r>
      <w:r w:rsidR="00E90DCA">
        <w:t xml:space="preserve">advised that </w:t>
      </w:r>
      <w:r w:rsidR="00D86680">
        <w:t xml:space="preserve">the NLST-like criteria </w:t>
      </w:r>
      <w:r w:rsidR="00E90DCA">
        <w:t xml:space="preserve">be specified as </w:t>
      </w:r>
      <w:r w:rsidR="003759EE">
        <w:t xml:space="preserve">a smoking history of 30 pack-years and if former smokers, 10 years or less since smoking cessation </w:t>
      </w:r>
      <w:r w:rsidR="00E90DCA">
        <w:t>because</w:t>
      </w:r>
      <w:r w:rsidR="00522B23">
        <w:t xml:space="preserve"> scenarios using this specification relative to specifications based on lower risk thresholds</w:t>
      </w:r>
      <w:r w:rsidR="003759EE">
        <w:t xml:space="preserve"> yielded </w:t>
      </w:r>
      <w:r w:rsidR="00E90DCA">
        <w:t>similar</w:t>
      </w:r>
      <w:r w:rsidR="003759EE">
        <w:t xml:space="preserve"> ICERs and </w:t>
      </w:r>
      <w:r w:rsidR="00E90DCA">
        <w:t xml:space="preserve">discounted incremental </w:t>
      </w:r>
      <w:r w:rsidR="003759EE">
        <w:t>costs</w:t>
      </w:r>
      <w:r w:rsidR="00E90DCA">
        <w:t>,</w:t>
      </w:r>
      <w:r w:rsidR="003759EE">
        <w:t xml:space="preserve"> but more efficient outcomes in terms of measures </w:t>
      </w:r>
      <w:r w:rsidR="00E936D4">
        <w:t>of</w:t>
      </w:r>
      <w:r w:rsidR="003759EE">
        <w:t xml:space="preserve"> false positives</w:t>
      </w:r>
      <w:r w:rsidR="00D86680">
        <w:t xml:space="preserve">, </w:t>
      </w:r>
      <w:r w:rsidR="003759EE">
        <w:t>overdiagnoses</w:t>
      </w:r>
      <w:r w:rsidR="00D86680">
        <w:t xml:space="preserve"> and </w:t>
      </w:r>
      <w:r w:rsidR="00E90DCA">
        <w:t xml:space="preserve">numbers of </w:t>
      </w:r>
      <w:r w:rsidR="00D86680">
        <w:t>LDCT screens</w:t>
      </w:r>
      <w:r w:rsidR="003759EE">
        <w:t>.</w:t>
      </w:r>
    </w:p>
    <w:p w14:paraId="3597372B" w14:textId="24047C52" w:rsidR="003B506C" w:rsidRDefault="00C85BC1" w:rsidP="00414672">
      <w:pPr>
        <w:pStyle w:val="NormalBeforeBullet"/>
      </w:pPr>
      <w:r>
        <w:t xml:space="preserve">As a final step, MSAC </w:t>
      </w:r>
      <w:r w:rsidR="00E90DCA">
        <w:t xml:space="preserve">considered </w:t>
      </w:r>
      <w:r w:rsidR="00105A4A">
        <w:t xml:space="preserve">the </w:t>
      </w:r>
      <w:r>
        <w:t xml:space="preserve">choice of the </w:t>
      </w:r>
      <w:r w:rsidR="00E936D4">
        <w:t xml:space="preserve">most </w:t>
      </w:r>
      <w:r>
        <w:t>appropriate starting and stopping ages</w:t>
      </w:r>
      <w:r w:rsidR="00D86680">
        <w:t xml:space="preserve">. Starting the analysis by identifying the </w:t>
      </w:r>
      <w:r w:rsidR="003B506C">
        <w:t>most cost</w:t>
      </w:r>
      <w:r w:rsidR="0039510E">
        <w:t>-</w:t>
      </w:r>
      <w:r w:rsidR="003B506C">
        <w:t>effective scenarios</w:t>
      </w:r>
      <w:r w:rsidR="00D86680">
        <w:t xml:space="preserve"> in terms of ICER</w:t>
      </w:r>
      <w:r w:rsidR="0039510E">
        <w:t>s</w:t>
      </w:r>
      <w:r w:rsidR="003B506C">
        <w:t xml:space="preserve"> in </w:t>
      </w:r>
      <w:r w:rsidR="003B506C" w:rsidRPr="004C188F">
        <w:t xml:space="preserve">Table </w:t>
      </w:r>
      <w:r w:rsidR="004C188F">
        <w:t>4</w:t>
      </w:r>
      <w:r w:rsidR="003B506C" w:rsidRPr="00344673">
        <w:t xml:space="preserve"> reduced this choice to </w:t>
      </w:r>
      <w:r w:rsidR="00E90DCA">
        <w:t xml:space="preserve">two options: (a) </w:t>
      </w:r>
      <w:r w:rsidR="003B506C" w:rsidRPr="00344673">
        <w:t xml:space="preserve">a starting and stopping age of 50 and 70 years versus </w:t>
      </w:r>
      <w:r w:rsidR="00E90DCA">
        <w:t xml:space="preserve">(b) </w:t>
      </w:r>
      <w:r w:rsidR="003B506C" w:rsidRPr="00344673">
        <w:t>a starting and stopping age of 55 and 70 years</w:t>
      </w:r>
      <w:r w:rsidR="00E90DCA">
        <w:t>. This was</w:t>
      </w:r>
      <w:r w:rsidR="003B506C" w:rsidRPr="00344673">
        <w:t xml:space="preserve"> </w:t>
      </w:r>
      <w:r w:rsidR="00D86680">
        <w:t>because scenario</w:t>
      </w:r>
      <w:r w:rsidR="007E532F">
        <w:t>s</w:t>
      </w:r>
      <w:r w:rsidR="00D86680">
        <w:t xml:space="preserve"> with a stopping age of </w:t>
      </w:r>
      <w:r w:rsidR="003B506C" w:rsidRPr="00344673">
        <w:t>74 years</w:t>
      </w:r>
      <w:r w:rsidR="007E532F">
        <w:t xml:space="preserve"> on average tended to have higher total costs and higher ICERs, </w:t>
      </w:r>
      <w:r w:rsidR="001324BB">
        <w:t xml:space="preserve">with the best </w:t>
      </w:r>
      <w:r w:rsidR="007E532F">
        <w:t>scenario</w:t>
      </w:r>
      <w:r w:rsidR="00B7042F">
        <w:t>, NLST#146, having</w:t>
      </w:r>
      <w:r w:rsidR="007E532F">
        <w:t xml:space="preserve"> a stopping age of 74</w:t>
      </w:r>
      <w:r w:rsidR="003B506C" w:rsidRPr="00344673">
        <w:t xml:space="preserve">. </w:t>
      </w:r>
      <w:r w:rsidR="003B506C">
        <w:t xml:space="preserve">MSAC </w:t>
      </w:r>
      <w:r w:rsidR="001324BB">
        <w:t xml:space="preserve">therefore </w:t>
      </w:r>
      <w:r w:rsidR="00BE4E16">
        <w:t xml:space="preserve">confined this aspect of its </w:t>
      </w:r>
      <w:r w:rsidR="001324BB">
        <w:t>consider</w:t>
      </w:r>
      <w:r w:rsidR="00BE4E16">
        <w:t xml:space="preserve">ation </w:t>
      </w:r>
      <w:r w:rsidR="001324BB">
        <w:t>to compar</w:t>
      </w:r>
      <w:r w:rsidR="00BE4E16">
        <w:t>ing</w:t>
      </w:r>
      <w:r w:rsidR="001324BB">
        <w:t xml:space="preserve"> </w:t>
      </w:r>
      <w:r w:rsidR="00105A4A">
        <w:t>NLST</w:t>
      </w:r>
      <w:r w:rsidR="00BB09CB">
        <w:t xml:space="preserve">#110 against </w:t>
      </w:r>
      <w:r w:rsidR="00105A4A">
        <w:t>NLST</w:t>
      </w:r>
      <w:r w:rsidR="00BB09CB">
        <w:t>#119 because:</w:t>
      </w:r>
    </w:p>
    <w:p w14:paraId="3D9F3435" w14:textId="5A595ACE" w:rsidR="00C85BC1" w:rsidRDefault="00C85BC1" w:rsidP="00E37822">
      <w:pPr>
        <w:pStyle w:val="ListParagraph"/>
        <w:numPr>
          <w:ilvl w:val="0"/>
          <w:numId w:val="11"/>
        </w:numPr>
      </w:pPr>
      <w:r>
        <w:t xml:space="preserve">#110 has a starting and stopping age of 50 and 70 years and is the NLST scenario which would </w:t>
      </w:r>
      <w:r w:rsidR="00BB09CB">
        <w:t>have been chosen based on the other specifications already recommended (</w:t>
      </w:r>
      <w:r>
        <w:t>biennial screening with inclusion criteria of 30 pack years and a maximum 10 years since smoking cessatio</w:t>
      </w:r>
      <w:r w:rsidR="00BB09CB">
        <w:t>n)</w:t>
      </w:r>
    </w:p>
    <w:p w14:paraId="77606108" w14:textId="6BB3EABC" w:rsidR="003759EE" w:rsidRDefault="00C85BC1" w:rsidP="00E37822">
      <w:pPr>
        <w:pStyle w:val="ListParagraph"/>
        <w:numPr>
          <w:ilvl w:val="0"/>
          <w:numId w:val="11"/>
        </w:numPr>
      </w:pPr>
      <w:r>
        <w:t xml:space="preserve">#119 has </w:t>
      </w:r>
      <w:r w:rsidR="00BB09CB">
        <w:t xml:space="preserve">directly </w:t>
      </w:r>
      <w:r>
        <w:t>comparable inclusion criteria (30 pack years and a maximum 10 years since smoking cessation) but a different starting age of 55</w:t>
      </w:r>
      <w:r w:rsidR="001324BB">
        <w:t xml:space="preserve"> </w:t>
      </w:r>
      <w:r w:rsidR="00D64CC8">
        <w:t xml:space="preserve">and </w:t>
      </w:r>
      <w:r w:rsidR="004D7C4D">
        <w:t>the same</w:t>
      </w:r>
      <w:r w:rsidR="00D64CC8">
        <w:t xml:space="preserve"> stopping age of 70 </w:t>
      </w:r>
      <w:r>
        <w:t xml:space="preserve">as well as being the biennial version of </w:t>
      </w:r>
      <w:r w:rsidR="00007BAC">
        <w:t>NLST</w:t>
      </w:r>
      <w:r>
        <w:t xml:space="preserve">#11 which </w:t>
      </w:r>
      <w:r w:rsidR="007E532F">
        <w:t>was</w:t>
      </w:r>
      <w:r>
        <w:t xml:space="preserve"> the annual screening scenario with the lowest ICER per QALY.</w:t>
      </w:r>
    </w:p>
    <w:p w14:paraId="230C5A68" w14:textId="70412654" w:rsidR="00BD640B" w:rsidRDefault="00BB09CB" w:rsidP="00D06CC9">
      <w:pPr>
        <w:pStyle w:val="NormalBeforeBullet"/>
        <w:keepNext w:val="0"/>
      </w:pPr>
      <w:r>
        <w:t>MSAC noted that</w:t>
      </w:r>
      <w:r w:rsidR="005235BB">
        <w:t xml:space="preserve"> </w:t>
      </w:r>
      <w:r w:rsidR="00D00603">
        <w:t xml:space="preserve">although </w:t>
      </w:r>
      <w:r w:rsidR="00007BAC">
        <w:t>NLST</w:t>
      </w:r>
      <w:r>
        <w:t xml:space="preserve">#119 performed better than </w:t>
      </w:r>
      <w:r w:rsidR="00007BAC">
        <w:t>NLST</w:t>
      </w:r>
      <w:r>
        <w:t xml:space="preserve">#110 on </w:t>
      </w:r>
      <w:r w:rsidR="00D64CC8">
        <w:t xml:space="preserve">the </w:t>
      </w:r>
      <w:r>
        <w:t xml:space="preserve">number of false </w:t>
      </w:r>
      <w:r w:rsidR="00AC2BAB">
        <w:t>positives (26,5</w:t>
      </w:r>
      <w:r w:rsidR="007E532F">
        <w:t>3</w:t>
      </w:r>
      <w:r w:rsidR="00AC2BAB">
        <w:t>8</w:t>
      </w:r>
      <w:r>
        <w:t xml:space="preserve"> vs</w:t>
      </w:r>
      <w:r w:rsidR="007E532F">
        <w:t xml:space="preserve"> </w:t>
      </w:r>
      <w:r>
        <w:t>28,914</w:t>
      </w:r>
      <w:r w:rsidR="00AC2BAB">
        <w:t>)</w:t>
      </w:r>
      <w:r w:rsidR="00D64CC8">
        <w:t xml:space="preserve"> and </w:t>
      </w:r>
      <w:r w:rsidR="00AC2BAB">
        <w:t>overdiagnos</w:t>
      </w:r>
      <w:r>
        <w:t>e</w:t>
      </w:r>
      <w:r w:rsidR="00AC2BAB">
        <w:t>s (1371</w:t>
      </w:r>
      <w:r>
        <w:t xml:space="preserve"> vs 1644</w:t>
      </w:r>
      <w:r w:rsidR="00AC2BAB">
        <w:t>)</w:t>
      </w:r>
      <w:r>
        <w:t xml:space="preserve"> and resulted in small savings in terms of </w:t>
      </w:r>
      <w:r w:rsidR="00BE4E16">
        <w:t xml:space="preserve">the 6-year </w:t>
      </w:r>
      <w:r>
        <w:t xml:space="preserve">total </w:t>
      </w:r>
      <w:r w:rsidR="00BE4E16">
        <w:t xml:space="preserve">net </w:t>
      </w:r>
      <w:r>
        <w:t>costs (</w:t>
      </w:r>
      <w:r w:rsidRPr="00BB09CB">
        <w:rPr>
          <w:lang w:val="en-US"/>
        </w:rPr>
        <w:t>$786M vs $79</w:t>
      </w:r>
      <w:r w:rsidR="00BE4E16">
        <w:rPr>
          <w:lang w:val="en-US"/>
        </w:rPr>
        <w:t>9</w:t>
      </w:r>
      <w:r w:rsidRPr="00BB09CB">
        <w:rPr>
          <w:lang w:val="en-US"/>
        </w:rPr>
        <w:t>M</w:t>
      </w:r>
      <w:r>
        <w:rPr>
          <w:lang w:val="en-US"/>
        </w:rPr>
        <w:t>)</w:t>
      </w:r>
      <w:r w:rsidR="00D00603">
        <w:rPr>
          <w:lang w:val="en-US"/>
        </w:rPr>
        <w:t>, it</w:t>
      </w:r>
      <w:r w:rsidR="00B7042F">
        <w:rPr>
          <w:lang w:val="en-US"/>
        </w:rPr>
        <w:t xml:space="preserve"> resulted in a similar ICER ($65,859 vs $65,663) and </w:t>
      </w:r>
      <w:r w:rsidR="005235BB">
        <w:rPr>
          <w:lang w:val="en-US"/>
        </w:rPr>
        <w:t xml:space="preserve">performed </w:t>
      </w:r>
      <w:r w:rsidR="005235BB">
        <w:t>worse on number of lung cancer deaths prevented (3644 vs 4080).</w:t>
      </w:r>
      <w:r w:rsidR="007E532F">
        <w:rPr>
          <w:rStyle w:val="FootnoteReference"/>
          <w:lang w:val="en-US"/>
        </w:rPr>
        <w:footnoteReference w:id="6"/>
      </w:r>
      <w:r w:rsidR="005235BB">
        <w:t xml:space="preserve"> </w:t>
      </w:r>
      <w:r w:rsidR="00D00603">
        <w:t>Overall</w:t>
      </w:r>
      <w:r w:rsidR="00D64CC8">
        <w:t xml:space="preserve">, </w:t>
      </w:r>
      <w:r w:rsidR="005235BB">
        <w:t>MSAC consider</w:t>
      </w:r>
      <w:r w:rsidR="00BE4E16">
        <w:t>ed</w:t>
      </w:r>
      <w:r w:rsidR="005235BB">
        <w:t xml:space="preserve"> that the performance advantages of the later starting age of </w:t>
      </w:r>
      <w:r w:rsidR="00D64CC8">
        <w:t xml:space="preserve">55 </w:t>
      </w:r>
      <w:r w:rsidR="005235BB">
        <w:t>on these non-ICER based outcomes and the small savings in financial cost</w:t>
      </w:r>
      <w:r w:rsidR="007E532F">
        <w:t xml:space="preserve"> </w:t>
      </w:r>
      <w:r w:rsidR="00BE4E16">
        <w:t xml:space="preserve">did not </w:t>
      </w:r>
      <w:r w:rsidR="005235BB">
        <w:t>outweigh other advantages associated with a lower commencing age</w:t>
      </w:r>
      <w:r w:rsidR="00D64CC8">
        <w:t xml:space="preserve"> of 50</w:t>
      </w:r>
      <w:r w:rsidR="005235BB">
        <w:t xml:space="preserve"> (given </w:t>
      </w:r>
      <w:r w:rsidR="00BE4E16">
        <w:t>similar</w:t>
      </w:r>
      <w:r w:rsidR="007E532F">
        <w:t xml:space="preserve"> ICERs</w:t>
      </w:r>
      <w:r w:rsidR="005235BB">
        <w:t>).</w:t>
      </w:r>
    </w:p>
    <w:p w14:paraId="418598A1" w14:textId="1190F7A4" w:rsidR="00AB4F19" w:rsidRDefault="005235BB" w:rsidP="00D06CC9">
      <w:pPr>
        <w:pStyle w:val="NormalBeforeBullet"/>
        <w:keepNext w:val="0"/>
      </w:pPr>
      <w:r>
        <w:t xml:space="preserve">In </w:t>
      </w:r>
      <w:r w:rsidR="00BE4E16">
        <w:t xml:space="preserve">addition, </w:t>
      </w:r>
      <w:r>
        <w:t xml:space="preserve">MSAC </w:t>
      </w:r>
      <w:r w:rsidR="00BE4E16">
        <w:t>advised</w:t>
      </w:r>
      <w:r>
        <w:t xml:space="preserve"> that the starting age of 50 years was </w:t>
      </w:r>
      <w:r w:rsidR="00D64CC8">
        <w:t xml:space="preserve">preferable because it </w:t>
      </w:r>
      <w:r>
        <w:t xml:space="preserve">aligned with the starting age of </w:t>
      </w:r>
      <w:r w:rsidR="00BE4E16">
        <w:t xml:space="preserve">the breast and colorectal cancer </w:t>
      </w:r>
      <w:r>
        <w:t xml:space="preserve">screening programs. MSAC </w:t>
      </w:r>
      <w:r w:rsidR="00685D22">
        <w:t xml:space="preserve">also </w:t>
      </w:r>
      <w:r w:rsidR="00BE4E16">
        <w:t xml:space="preserve">considered </w:t>
      </w:r>
      <w:r>
        <w:t>that</w:t>
      </w:r>
      <w:r w:rsidR="00BE4E16">
        <w:t>, al</w:t>
      </w:r>
      <w:r>
        <w:t>though its specification in</w:t>
      </w:r>
      <w:r w:rsidR="00BE4E16">
        <w:t>volved</w:t>
      </w:r>
      <w:r>
        <w:t xml:space="preserve"> </w:t>
      </w:r>
      <w:r w:rsidR="00EC50BE">
        <w:t>a lower stopping age of 70 (</w:t>
      </w:r>
      <w:r w:rsidR="00D64CC8">
        <w:t>compared to</w:t>
      </w:r>
      <w:r w:rsidR="00EC50BE">
        <w:t xml:space="preserve"> 74</w:t>
      </w:r>
      <w:r w:rsidR="00B43B93">
        <w:t> </w:t>
      </w:r>
      <w:r w:rsidR="00EC50BE">
        <w:t xml:space="preserve">years in </w:t>
      </w:r>
      <w:r w:rsidR="00BD640B">
        <w:t xml:space="preserve">these </w:t>
      </w:r>
      <w:r w:rsidR="00EC50BE">
        <w:t xml:space="preserve">other programs) this could </w:t>
      </w:r>
      <w:r w:rsidR="007E532F">
        <w:t xml:space="preserve">also </w:t>
      </w:r>
      <w:r w:rsidR="00EC50BE">
        <w:t xml:space="preserve">be justified given that the scenarios with a </w:t>
      </w:r>
      <w:r w:rsidR="00EC50BE">
        <w:lastRenderedPageBreak/>
        <w:t>stopping age of 7</w:t>
      </w:r>
      <w:r w:rsidR="00BD640B">
        <w:t>4</w:t>
      </w:r>
      <w:r w:rsidR="00EC50BE">
        <w:t xml:space="preserve"> produced </w:t>
      </w:r>
      <w:r w:rsidR="00BD640B">
        <w:t xml:space="preserve">higher </w:t>
      </w:r>
      <w:r w:rsidR="00EC50BE">
        <w:t xml:space="preserve">ICERs and </w:t>
      </w:r>
      <w:r w:rsidR="00BD640B">
        <w:t>higher total costs as already noted. T</w:t>
      </w:r>
      <w:r w:rsidR="00EC50BE">
        <w:t xml:space="preserve">he lower stopping age was </w:t>
      </w:r>
      <w:r w:rsidR="00BD640B">
        <w:t xml:space="preserve">also </w:t>
      </w:r>
      <w:r w:rsidR="00EC50BE">
        <w:t>clinically justified given the competing risks and co-morbidities of the screened population</w:t>
      </w:r>
      <w:r w:rsidR="00685D22">
        <w:t xml:space="preserve"> (these competing risks and co-morbidities mean that a </w:t>
      </w:r>
      <w:r w:rsidR="00BD640B">
        <w:t>higher</w:t>
      </w:r>
      <w:r w:rsidR="00685D22">
        <w:t xml:space="preserve"> stopping age would be associated with a greater number of overdiagnoses which is also evident from </w:t>
      </w:r>
      <w:r w:rsidR="00685D22" w:rsidRPr="004C188F">
        <w:t xml:space="preserve">Table </w:t>
      </w:r>
      <w:r w:rsidR="004C188F">
        <w:t>5</w:t>
      </w:r>
      <w:r w:rsidR="00685D22">
        <w:t>)</w:t>
      </w:r>
      <w:r w:rsidR="00EC50BE">
        <w:t>.</w:t>
      </w:r>
    </w:p>
    <w:p w14:paraId="03648E2C" w14:textId="445CE0C8" w:rsidR="00A91963" w:rsidRDefault="00A91963" w:rsidP="00D06CC9">
      <w:pPr>
        <w:pStyle w:val="NormalBeforeBullet"/>
        <w:keepNext w:val="0"/>
      </w:pPr>
      <w:r w:rsidRPr="00A91963">
        <w:t xml:space="preserve">MSAC noted that </w:t>
      </w:r>
      <w:r w:rsidR="00A35BF1">
        <w:t xml:space="preserve">using the </w:t>
      </w:r>
      <w:r>
        <w:t>above</w:t>
      </w:r>
      <w:r w:rsidRPr="00A91963">
        <w:t xml:space="preserve"> parameters</w:t>
      </w:r>
      <w:r>
        <w:t xml:space="preserve"> in combination</w:t>
      </w:r>
      <w:r w:rsidRPr="00A91963">
        <w:t xml:space="preserve"> would </w:t>
      </w:r>
      <w:r w:rsidR="003E1046">
        <w:t>screen</w:t>
      </w:r>
      <w:r w:rsidRPr="00A91963">
        <w:t xml:space="preserve"> </w:t>
      </w:r>
      <w:r w:rsidR="004E1D15">
        <w:t>5.3</w:t>
      </w:r>
      <w:r w:rsidRPr="00A91963">
        <w:t>% of the population</w:t>
      </w:r>
      <w:r w:rsidR="004E1D15">
        <w:t xml:space="preserve"> and yield the optimal combination of clinical, </w:t>
      </w:r>
      <w:proofErr w:type="gramStart"/>
      <w:r w:rsidR="004E1D15">
        <w:t>economic</w:t>
      </w:r>
      <w:proofErr w:type="gramEnd"/>
      <w:r w:rsidR="004E1D15">
        <w:t xml:space="preserve"> and total cost results</w:t>
      </w:r>
      <w:r w:rsidRPr="00A91963">
        <w:t xml:space="preserve">. </w:t>
      </w:r>
      <w:r w:rsidR="00E9085B">
        <w:t>While i</w:t>
      </w:r>
      <w:r w:rsidRPr="00A91963">
        <w:t>ncreasing this percentage</w:t>
      </w:r>
      <w:r w:rsidR="00E9085B">
        <w:t xml:space="preserve"> of the population </w:t>
      </w:r>
      <w:r w:rsidR="003E1046">
        <w:t>screened</w:t>
      </w:r>
      <w:r w:rsidR="00E9085B">
        <w:t xml:space="preserve"> </w:t>
      </w:r>
      <w:r w:rsidR="004E1D15">
        <w:t>(by changing the parameters)</w:t>
      </w:r>
      <w:r w:rsidRPr="00A91963">
        <w:t xml:space="preserve"> </w:t>
      </w:r>
      <w:r w:rsidR="00E9085B">
        <w:t xml:space="preserve">would </w:t>
      </w:r>
      <w:r w:rsidR="007E1763">
        <w:t xml:space="preserve">result in </w:t>
      </w:r>
      <w:r w:rsidRPr="00A91963">
        <w:t xml:space="preserve">more cancers </w:t>
      </w:r>
      <w:r w:rsidR="00E9085B">
        <w:t xml:space="preserve">being </w:t>
      </w:r>
      <w:r w:rsidRPr="00A91963">
        <w:t>detected</w:t>
      </w:r>
      <w:r w:rsidR="00E9085B">
        <w:t>, it would</w:t>
      </w:r>
      <w:r w:rsidR="007E1763">
        <w:t xml:space="preserve"> also result</w:t>
      </w:r>
      <w:r w:rsidR="00E9085B">
        <w:t xml:space="preserve"> </w:t>
      </w:r>
      <w:r w:rsidR="007E1763">
        <w:t xml:space="preserve">in </w:t>
      </w:r>
      <w:r w:rsidRPr="00A91963">
        <w:t xml:space="preserve">more overdiagnoses and </w:t>
      </w:r>
      <w:r w:rsidR="003E1046">
        <w:t xml:space="preserve">more </w:t>
      </w:r>
      <w:r w:rsidRPr="00A91963">
        <w:t>false positive results.</w:t>
      </w:r>
    </w:p>
    <w:p w14:paraId="5D132508" w14:textId="196DE8A1" w:rsidR="009E1BE5" w:rsidRDefault="00C1172E" w:rsidP="00D06CC9">
      <w:pPr>
        <w:pStyle w:val="NormalBeforeBullet"/>
        <w:keepNext w:val="0"/>
      </w:pPr>
      <w:r>
        <w:t xml:space="preserve">Combining all these steps, MSAC decided that the definitions for the overall optimal performance of the proposed Program were best represented by scenario NLST#110, with </w:t>
      </w:r>
      <w:r w:rsidR="003E1046">
        <w:t>its specifications</w:t>
      </w:r>
      <w:r>
        <w:t xml:space="preserve"> as defined in Table </w:t>
      </w:r>
      <w:r w:rsidR="004C188F">
        <w:t>4</w:t>
      </w:r>
      <w:r>
        <w:t xml:space="preserve">. </w:t>
      </w:r>
      <w:r w:rsidR="009E1BE5">
        <w:t xml:space="preserve">To further scrutinise the </w:t>
      </w:r>
      <w:r w:rsidR="003E1046">
        <w:t>specifications</w:t>
      </w:r>
      <w:r w:rsidR="009E1BE5">
        <w:t xml:space="preserve"> it had chosen,</w:t>
      </w:r>
      <w:r w:rsidR="00F903AE">
        <w:t xml:space="preserve"> in</w:t>
      </w:r>
      <w:r w:rsidR="00F903AE" w:rsidRPr="00344673">
        <w:rPr>
          <w:b/>
          <w:bCs/>
        </w:rPr>
        <w:t xml:space="preserve"> </w:t>
      </w:r>
      <w:r w:rsidR="00F903AE" w:rsidRPr="004C188F">
        <w:t xml:space="preserve">Table </w:t>
      </w:r>
      <w:r w:rsidR="004C188F" w:rsidRPr="004C188F">
        <w:t>6</w:t>
      </w:r>
      <w:r w:rsidR="009E1BE5">
        <w:t xml:space="preserve"> MSAC compared </w:t>
      </w:r>
      <w:r w:rsidR="00F903AE">
        <w:t xml:space="preserve">selected performance measures based on </w:t>
      </w:r>
      <w:r w:rsidR="009E1BE5">
        <w:t>these parameters against</w:t>
      </w:r>
      <w:r w:rsidR="00F903AE">
        <w:t xml:space="preserve"> performance measures for the </w:t>
      </w:r>
      <w:r w:rsidR="00F448E7">
        <w:t xml:space="preserve">available non-dominated </w:t>
      </w:r>
      <w:r w:rsidR="00F903AE">
        <w:t xml:space="preserve">scenarios which </w:t>
      </w:r>
      <w:r w:rsidR="00F448E7">
        <w:t xml:space="preserve">MSAC considered </w:t>
      </w:r>
      <w:r w:rsidR="00F903AE">
        <w:t xml:space="preserve">most resembled </w:t>
      </w:r>
      <w:r w:rsidR="009E1BE5">
        <w:t xml:space="preserve">the </w:t>
      </w:r>
      <w:r w:rsidR="00C04B7C">
        <w:t xml:space="preserve">existing </w:t>
      </w:r>
      <w:r w:rsidR="009E1BE5">
        <w:t>US and Canadian lung cancer screening programs</w:t>
      </w:r>
      <w:r w:rsidR="00F903AE">
        <w:t xml:space="preserve">, </w:t>
      </w:r>
      <w:r w:rsidR="009E1BE5">
        <w:t xml:space="preserve">namely PLCO#19 and </w:t>
      </w:r>
      <w:r w:rsidR="00105A4A">
        <w:t>PLCO</w:t>
      </w:r>
      <w:r w:rsidR="009E1BE5">
        <w:t>#47</w:t>
      </w:r>
      <w:r w:rsidR="00C04B7C">
        <w:t>,</w:t>
      </w:r>
      <w:r w:rsidR="009E1BE5">
        <w:t xml:space="preserve"> respectively</w:t>
      </w:r>
      <w:r w:rsidR="00F903AE">
        <w:t xml:space="preserve"> </w:t>
      </w:r>
      <w:r w:rsidR="00F903AE" w:rsidRPr="00F903AE">
        <w:t xml:space="preserve">(thus </w:t>
      </w:r>
      <w:r w:rsidR="00F903AE" w:rsidRPr="00344673">
        <w:t xml:space="preserve">the values reported for the various performance measures </w:t>
      </w:r>
      <w:r w:rsidR="00C365FB">
        <w:t xml:space="preserve">in this table are </w:t>
      </w:r>
      <w:r w:rsidR="00F903AE" w:rsidRPr="00344673">
        <w:t xml:space="preserve">for how these programs would perform if implemented in Australia </w:t>
      </w:r>
      <w:r w:rsidR="00F903AE" w:rsidRPr="00F903AE">
        <w:t>rather than the</w:t>
      </w:r>
      <w:r w:rsidR="00C365FB">
        <w:t>ir</w:t>
      </w:r>
      <w:r w:rsidR="00F903AE" w:rsidRPr="00F903AE">
        <w:t xml:space="preserve"> actual outcomes in the US</w:t>
      </w:r>
      <w:r w:rsidR="00BD640B">
        <w:t xml:space="preserve"> and </w:t>
      </w:r>
      <w:r w:rsidR="00BD640B" w:rsidRPr="00F903AE">
        <w:t>Canada</w:t>
      </w:r>
      <w:r w:rsidR="00F903AE" w:rsidRPr="00F903AE">
        <w:t>)</w:t>
      </w:r>
      <w:r w:rsidR="009E1BE5">
        <w:t xml:space="preserve">. MSAC </w:t>
      </w:r>
      <w:r w:rsidR="00C04B7C">
        <w:t>considered</w:t>
      </w:r>
      <w:r w:rsidR="009E1BE5">
        <w:t xml:space="preserve"> that </w:t>
      </w:r>
      <w:r w:rsidR="00BD640B">
        <w:t xml:space="preserve">its supported </w:t>
      </w:r>
      <w:r w:rsidR="009E1BE5">
        <w:t xml:space="preserve">NLST#110 compared favourably </w:t>
      </w:r>
      <w:r w:rsidR="00C04B7C">
        <w:t>with</w:t>
      </w:r>
      <w:r w:rsidR="009E1BE5">
        <w:t xml:space="preserve"> lung cancer screening programs in these two other countries</w:t>
      </w:r>
      <w:r w:rsidR="00C365FB">
        <w:t xml:space="preserve"> in terms of overdiagnoses, false positives and ICER</w:t>
      </w:r>
      <w:r w:rsidR="00173A5C">
        <w:t>.</w:t>
      </w:r>
    </w:p>
    <w:p w14:paraId="36390036" w14:textId="0A2AA478" w:rsidR="009E1BE5" w:rsidRPr="003873DB" w:rsidRDefault="009E1BE5" w:rsidP="00E342BB">
      <w:pPr>
        <w:pStyle w:val="NormalBeforeBullet"/>
        <w:keepLines/>
        <w:spacing w:before="240"/>
        <w:rPr>
          <w:rFonts w:ascii="Arial Narrow" w:hAnsi="Arial Narrow"/>
          <w:b/>
          <w:bCs/>
          <w:sz w:val="20"/>
          <w:szCs w:val="20"/>
        </w:rPr>
      </w:pPr>
      <w:r w:rsidRPr="003873DB">
        <w:rPr>
          <w:rFonts w:ascii="Arial Narrow" w:hAnsi="Arial Narrow"/>
          <w:b/>
          <w:bCs/>
          <w:sz w:val="20"/>
          <w:szCs w:val="20"/>
        </w:rPr>
        <w:t xml:space="preserve">Table </w:t>
      </w:r>
      <w:r w:rsidR="004C188F">
        <w:rPr>
          <w:rFonts w:ascii="Arial Narrow" w:hAnsi="Arial Narrow"/>
          <w:b/>
          <w:bCs/>
          <w:sz w:val="20"/>
          <w:szCs w:val="20"/>
        </w:rPr>
        <w:t>6</w:t>
      </w:r>
      <w:r w:rsidRPr="003873DB">
        <w:rPr>
          <w:rFonts w:ascii="Arial Narrow" w:hAnsi="Arial Narrow"/>
          <w:b/>
          <w:bCs/>
          <w:sz w:val="20"/>
          <w:szCs w:val="20"/>
        </w:rPr>
        <w:t>: Co</w:t>
      </w:r>
      <w:r w:rsidR="007432A6">
        <w:rPr>
          <w:rFonts w:ascii="Arial Narrow" w:hAnsi="Arial Narrow"/>
          <w:b/>
          <w:bCs/>
          <w:sz w:val="20"/>
          <w:szCs w:val="20"/>
        </w:rPr>
        <w:t xml:space="preserve">mparison of consequences for an Australian Program </w:t>
      </w:r>
      <w:r w:rsidR="00C04B7C">
        <w:rPr>
          <w:rFonts w:ascii="Arial Narrow" w:hAnsi="Arial Narrow"/>
          <w:b/>
          <w:bCs/>
          <w:sz w:val="20"/>
          <w:szCs w:val="20"/>
        </w:rPr>
        <w:t xml:space="preserve">of </w:t>
      </w:r>
      <w:r w:rsidR="007432A6">
        <w:rPr>
          <w:rFonts w:ascii="Arial Narrow" w:hAnsi="Arial Narrow"/>
          <w:b/>
          <w:bCs/>
          <w:sz w:val="20"/>
          <w:szCs w:val="20"/>
        </w:rPr>
        <w:t>adopting other co</w:t>
      </w:r>
      <w:r w:rsidRPr="003873DB">
        <w:rPr>
          <w:rFonts w:ascii="Arial Narrow" w:hAnsi="Arial Narrow"/>
          <w:b/>
          <w:bCs/>
          <w:sz w:val="20"/>
          <w:szCs w:val="20"/>
        </w:rPr>
        <w:t xml:space="preserve">untry </w:t>
      </w:r>
      <w:r w:rsidR="007432A6">
        <w:rPr>
          <w:rFonts w:ascii="Arial Narrow" w:hAnsi="Arial Narrow"/>
          <w:b/>
          <w:bCs/>
          <w:sz w:val="20"/>
          <w:szCs w:val="20"/>
        </w:rPr>
        <w:t>definitions</w:t>
      </w:r>
    </w:p>
    <w:tbl>
      <w:tblPr>
        <w:tblStyle w:val="TableGrid"/>
        <w:tblW w:w="0" w:type="auto"/>
        <w:tblLayout w:type="fixed"/>
        <w:tblLook w:val="04A0" w:firstRow="1" w:lastRow="0" w:firstColumn="1" w:lastColumn="0" w:noHBand="0" w:noVBand="1"/>
      </w:tblPr>
      <w:tblGrid>
        <w:gridCol w:w="1046"/>
        <w:gridCol w:w="1075"/>
        <w:gridCol w:w="754"/>
        <w:gridCol w:w="1515"/>
        <w:gridCol w:w="1524"/>
        <w:gridCol w:w="864"/>
        <w:gridCol w:w="836"/>
        <w:gridCol w:w="1402"/>
      </w:tblGrid>
      <w:tr w:rsidR="003873DB" w:rsidRPr="003873DB" w14:paraId="17B93673" w14:textId="77777777" w:rsidTr="00865B5A">
        <w:tc>
          <w:tcPr>
            <w:tcW w:w="1046" w:type="dxa"/>
          </w:tcPr>
          <w:p w14:paraId="2B6AFD07" w14:textId="7CA648F3" w:rsidR="009E1BE5" w:rsidRPr="003873DB" w:rsidRDefault="009E1BE5" w:rsidP="00B43B93">
            <w:pPr>
              <w:pStyle w:val="NormalBeforeBullet"/>
              <w:keepLines/>
              <w:spacing w:before="0" w:after="0"/>
              <w:rPr>
                <w:rFonts w:ascii="Arial Narrow" w:hAnsi="Arial Narrow"/>
                <w:b/>
                <w:bCs/>
                <w:sz w:val="20"/>
                <w:szCs w:val="20"/>
              </w:rPr>
            </w:pPr>
            <w:r w:rsidRPr="003873DB">
              <w:rPr>
                <w:rFonts w:ascii="Arial Narrow" w:hAnsi="Arial Narrow"/>
                <w:b/>
                <w:bCs/>
                <w:sz w:val="20"/>
                <w:szCs w:val="20"/>
              </w:rPr>
              <w:t>Country</w:t>
            </w:r>
          </w:p>
        </w:tc>
        <w:tc>
          <w:tcPr>
            <w:tcW w:w="1075" w:type="dxa"/>
          </w:tcPr>
          <w:p w14:paraId="4279D05B" w14:textId="504A634F" w:rsidR="009E1BE5" w:rsidRPr="003873DB" w:rsidRDefault="009E1BE5" w:rsidP="00B43B93">
            <w:pPr>
              <w:pStyle w:val="NormalBeforeBullet"/>
              <w:keepLines/>
              <w:spacing w:before="0" w:after="0"/>
              <w:rPr>
                <w:rFonts w:ascii="Arial Narrow" w:hAnsi="Arial Narrow"/>
                <w:b/>
                <w:bCs/>
                <w:sz w:val="20"/>
                <w:szCs w:val="20"/>
              </w:rPr>
            </w:pPr>
            <w:r w:rsidRPr="003873DB">
              <w:rPr>
                <w:rFonts w:ascii="Arial Narrow" w:hAnsi="Arial Narrow"/>
                <w:b/>
                <w:bCs/>
                <w:sz w:val="20"/>
                <w:szCs w:val="20"/>
              </w:rPr>
              <w:t>Frequency</w:t>
            </w:r>
          </w:p>
        </w:tc>
        <w:tc>
          <w:tcPr>
            <w:tcW w:w="754" w:type="dxa"/>
          </w:tcPr>
          <w:p w14:paraId="563B1297" w14:textId="03193CA3"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Age</w:t>
            </w:r>
            <w:r w:rsidR="00865B5A">
              <w:rPr>
                <w:rFonts w:ascii="Arial Narrow" w:hAnsi="Arial Narrow"/>
                <w:b/>
                <w:bCs/>
                <w:sz w:val="20"/>
                <w:szCs w:val="20"/>
              </w:rPr>
              <w:br/>
              <w:t>(years)</w:t>
            </w:r>
          </w:p>
        </w:tc>
        <w:tc>
          <w:tcPr>
            <w:tcW w:w="1515" w:type="dxa"/>
          </w:tcPr>
          <w:p w14:paraId="33451B66" w14:textId="0D8ECD99"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Smoking history (pack</w:t>
            </w:r>
            <w:r w:rsidR="00865B5A">
              <w:rPr>
                <w:rFonts w:ascii="Arial Narrow" w:hAnsi="Arial Narrow"/>
                <w:b/>
                <w:bCs/>
                <w:sz w:val="20"/>
                <w:szCs w:val="20"/>
              </w:rPr>
              <w:t>-</w:t>
            </w:r>
            <w:r w:rsidRPr="003873DB">
              <w:rPr>
                <w:rFonts w:ascii="Arial Narrow" w:hAnsi="Arial Narrow"/>
                <w:b/>
                <w:bCs/>
                <w:sz w:val="20"/>
                <w:szCs w:val="20"/>
              </w:rPr>
              <w:t>years,</w:t>
            </w:r>
            <w:r w:rsidR="00865B5A">
              <w:rPr>
                <w:rFonts w:ascii="Arial Narrow" w:hAnsi="Arial Narrow"/>
                <w:b/>
                <w:bCs/>
                <w:sz w:val="20"/>
                <w:szCs w:val="20"/>
              </w:rPr>
              <w:t xml:space="preserve"> cessation</w:t>
            </w:r>
            <w:r w:rsidRPr="003873DB">
              <w:rPr>
                <w:rFonts w:ascii="Arial Narrow" w:hAnsi="Arial Narrow"/>
                <w:b/>
                <w:bCs/>
                <w:sz w:val="20"/>
                <w:szCs w:val="20"/>
              </w:rPr>
              <w:t>)</w:t>
            </w:r>
          </w:p>
        </w:tc>
        <w:tc>
          <w:tcPr>
            <w:tcW w:w="1524" w:type="dxa"/>
          </w:tcPr>
          <w:p w14:paraId="7D38EB26" w14:textId="3EFAA510"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w:t>
            </w:r>
            <w:r w:rsidR="001E3A4B" w:rsidRPr="003873DB">
              <w:rPr>
                <w:rFonts w:ascii="Arial Narrow" w:hAnsi="Arial Narrow"/>
                <w:b/>
                <w:bCs/>
                <w:sz w:val="20"/>
                <w:szCs w:val="20"/>
              </w:rPr>
              <w:t xml:space="preserve"> </w:t>
            </w:r>
            <w:proofErr w:type="gramStart"/>
            <w:r w:rsidR="001E3A4B" w:rsidRPr="003873DB">
              <w:rPr>
                <w:rFonts w:ascii="Arial Narrow" w:hAnsi="Arial Narrow"/>
                <w:b/>
                <w:bCs/>
                <w:sz w:val="20"/>
                <w:szCs w:val="20"/>
              </w:rPr>
              <w:t>of</w:t>
            </w:r>
            <w:proofErr w:type="gramEnd"/>
            <w:r w:rsidR="001E3A4B" w:rsidRPr="003873DB">
              <w:rPr>
                <w:rFonts w:ascii="Arial Narrow" w:hAnsi="Arial Narrow"/>
                <w:b/>
                <w:bCs/>
                <w:sz w:val="20"/>
                <w:szCs w:val="20"/>
              </w:rPr>
              <w:t xml:space="preserve"> pop</w:t>
            </w:r>
            <w:r w:rsidR="00865B5A">
              <w:rPr>
                <w:rFonts w:ascii="Arial Narrow" w:hAnsi="Arial Narrow"/>
                <w:b/>
                <w:bCs/>
                <w:sz w:val="20"/>
                <w:szCs w:val="20"/>
              </w:rPr>
              <w:t>ulatio</w:t>
            </w:r>
            <w:r w:rsidR="001E3A4B" w:rsidRPr="003873DB">
              <w:rPr>
                <w:rFonts w:ascii="Arial Narrow" w:hAnsi="Arial Narrow"/>
                <w:b/>
                <w:bCs/>
                <w:sz w:val="20"/>
                <w:szCs w:val="20"/>
              </w:rPr>
              <w:t>n covered</w:t>
            </w:r>
            <w:r w:rsidRPr="003873DB">
              <w:rPr>
                <w:rFonts w:ascii="Arial Narrow" w:hAnsi="Arial Narrow"/>
                <w:b/>
                <w:bCs/>
                <w:sz w:val="20"/>
                <w:szCs w:val="20"/>
              </w:rPr>
              <w:t>, #CTs,</w:t>
            </w:r>
            <w:r w:rsidR="003B19E7">
              <w:rPr>
                <w:rFonts w:ascii="Arial Narrow" w:hAnsi="Arial Narrow"/>
                <w:b/>
                <w:bCs/>
                <w:sz w:val="20"/>
                <w:szCs w:val="20"/>
              </w:rPr>
              <w:br/>
              <w:t xml:space="preserve">6-year </w:t>
            </w:r>
            <w:r w:rsidRPr="003873DB">
              <w:rPr>
                <w:rFonts w:ascii="Arial Narrow" w:hAnsi="Arial Narrow"/>
                <w:b/>
                <w:bCs/>
                <w:sz w:val="20"/>
                <w:szCs w:val="20"/>
              </w:rPr>
              <w:t>cost</w:t>
            </w:r>
          </w:p>
        </w:tc>
        <w:tc>
          <w:tcPr>
            <w:tcW w:w="864" w:type="dxa"/>
          </w:tcPr>
          <w:p w14:paraId="0BA1FB82" w14:textId="5C941D0E"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ICER</w:t>
            </w:r>
            <w:r w:rsidR="003873DB" w:rsidRPr="003873DB">
              <w:rPr>
                <w:rFonts w:ascii="Arial Narrow" w:hAnsi="Arial Narrow"/>
                <w:b/>
                <w:bCs/>
                <w:sz w:val="20"/>
                <w:szCs w:val="20"/>
              </w:rPr>
              <w:t>/</w:t>
            </w:r>
            <w:r w:rsidR="003873DB" w:rsidRPr="003873DB">
              <w:rPr>
                <w:rFonts w:ascii="Arial Narrow" w:hAnsi="Arial Narrow"/>
                <w:b/>
                <w:bCs/>
                <w:sz w:val="20"/>
                <w:szCs w:val="20"/>
              </w:rPr>
              <w:br/>
            </w:r>
            <w:r w:rsidRPr="003873DB">
              <w:rPr>
                <w:rFonts w:ascii="Arial Narrow" w:hAnsi="Arial Narrow"/>
                <w:b/>
                <w:bCs/>
                <w:sz w:val="20"/>
                <w:szCs w:val="20"/>
              </w:rPr>
              <w:t>QALY</w:t>
            </w:r>
            <w:r w:rsidR="00865B5A" w:rsidRPr="003873DB">
              <w:rPr>
                <w:rFonts w:ascii="Arial Narrow" w:hAnsi="Arial Narrow"/>
                <w:b/>
                <w:bCs/>
                <w:sz w:val="20"/>
                <w:szCs w:val="20"/>
              </w:rPr>
              <w:br/>
              <w:t>(‘000s)</w:t>
            </w:r>
          </w:p>
        </w:tc>
        <w:tc>
          <w:tcPr>
            <w:tcW w:w="836" w:type="dxa"/>
          </w:tcPr>
          <w:p w14:paraId="603A5083" w14:textId="03D71AB1"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Deaths avoided</w:t>
            </w:r>
            <w:r w:rsidR="003873DB" w:rsidRPr="003873DB">
              <w:rPr>
                <w:rFonts w:ascii="Arial Narrow" w:hAnsi="Arial Narrow"/>
                <w:b/>
                <w:bCs/>
                <w:sz w:val="20"/>
                <w:szCs w:val="20"/>
              </w:rPr>
              <w:br/>
            </w:r>
            <w:r w:rsidRPr="003873DB">
              <w:rPr>
                <w:rFonts w:ascii="Arial Narrow" w:hAnsi="Arial Narrow"/>
                <w:b/>
                <w:bCs/>
                <w:sz w:val="20"/>
                <w:szCs w:val="20"/>
              </w:rPr>
              <w:t>(‘000s)</w:t>
            </w:r>
          </w:p>
        </w:tc>
        <w:tc>
          <w:tcPr>
            <w:tcW w:w="1402" w:type="dxa"/>
          </w:tcPr>
          <w:p w14:paraId="382FAAD3" w14:textId="6E455B7C" w:rsidR="009E1BE5" w:rsidRPr="003873DB" w:rsidRDefault="009E1BE5" w:rsidP="00B43B93">
            <w:pPr>
              <w:pStyle w:val="NormalBeforeBullet"/>
              <w:keepLines/>
              <w:spacing w:before="0" w:after="0"/>
              <w:jc w:val="center"/>
              <w:rPr>
                <w:rFonts w:ascii="Arial Narrow" w:hAnsi="Arial Narrow"/>
                <w:b/>
                <w:bCs/>
                <w:sz w:val="20"/>
                <w:szCs w:val="20"/>
              </w:rPr>
            </w:pPr>
            <w:r w:rsidRPr="003873DB">
              <w:rPr>
                <w:rFonts w:ascii="Arial Narrow" w:hAnsi="Arial Narrow"/>
                <w:b/>
                <w:bCs/>
                <w:sz w:val="20"/>
                <w:szCs w:val="20"/>
              </w:rPr>
              <w:t>Overdiagnosis/</w:t>
            </w:r>
            <w:r w:rsidR="003873DB" w:rsidRPr="003873DB">
              <w:rPr>
                <w:rFonts w:ascii="Arial Narrow" w:hAnsi="Arial Narrow"/>
                <w:b/>
                <w:bCs/>
                <w:sz w:val="20"/>
                <w:szCs w:val="20"/>
              </w:rPr>
              <w:br/>
            </w:r>
            <w:r w:rsidRPr="003873DB">
              <w:rPr>
                <w:rFonts w:ascii="Arial Narrow" w:hAnsi="Arial Narrow"/>
                <w:b/>
                <w:bCs/>
                <w:sz w:val="20"/>
                <w:szCs w:val="20"/>
              </w:rPr>
              <w:t>F</w:t>
            </w:r>
            <w:r w:rsidR="001E3A4B" w:rsidRPr="003873DB">
              <w:rPr>
                <w:rFonts w:ascii="Arial Narrow" w:hAnsi="Arial Narrow"/>
                <w:b/>
                <w:bCs/>
                <w:sz w:val="20"/>
                <w:szCs w:val="20"/>
              </w:rPr>
              <w:t>alse positives</w:t>
            </w:r>
            <w:r w:rsidRPr="003873DB">
              <w:rPr>
                <w:rFonts w:ascii="Arial Narrow" w:hAnsi="Arial Narrow"/>
                <w:b/>
                <w:bCs/>
                <w:sz w:val="20"/>
                <w:szCs w:val="20"/>
              </w:rPr>
              <w:t xml:space="preserve"> (‘000s)</w:t>
            </w:r>
          </w:p>
        </w:tc>
      </w:tr>
      <w:tr w:rsidR="003873DB" w:rsidRPr="003873DB" w14:paraId="1DB47F93" w14:textId="77777777" w:rsidTr="00153DD9">
        <w:trPr>
          <w:trHeight w:val="463"/>
        </w:trPr>
        <w:tc>
          <w:tcPr>
            <w:tcW w:w="1046" w:type="dxa"/>
            <w:hideMark/>
          </w:tcPr>
          <w:p w14:paraId="75031FD7" w14:textId="7E9CF7BB" w:rsidR="009E1BE5" w:rsidRPr="003873DB" w:rsidRDefault="009E1BE5" w:rsidP="00B43B93">
            <w:pPr>
              <w:pStyle w:val="NormalBeforeBullet"/>
              <w:keepLines/>
              <w:spacing w:before="0" w:after="0"/>
              <w:rPr>
                <w:rFonts w:ascii="Arial Narrow" w:hAnsi="Arial Narrow"/>
                <w:sz w:val="20"/>
                <w:szCs w:val="20"/>
              </w:rPr>
            </w:pPr>
            <w:r w:rsidRPr="003873DB">
              <w:rPr>
                <w:rFonts w:ascii="Arial Narrow" w:hAnsi="Arial Narrow"/>
                <w:sz w:val="20"/>
                <w:szCs w:val="20"/>
                <w:lang w:val="en-US"/>
              </w:rPr>
              <w:t>Canada</w:t>
            </w:r>
            <w:r w:rsidR="00C365FB" w:rsidRPr="003873DB">
              <w:rPr>
                <w:rFonts w:ascii="Arial Narrow" w:hAnsi="Arial Narrow"/>
                <w:sz w:val="20"/>
                <w:szCs w:val="20"/>
                <w:lang w:val="en-US"/>
              </w:rPr>
              <w:t>*</w:t>
            </w:r>
          </w:p>
        </w:tc>
        <w:tc>
          <w:tcPr>
            <w:tcW w:w="1075" w:type="dxa"/>
            <w:hideMark/>
          </w:tcPr>
          <w:p w14:paraId="13E96EB9" w14:textId="31A41C46" w:rsidR="009E1BE5" w:rsidRPr="003873DB" w:rsidRDefault="00193793" w:rsidP="00B43B93">
            <w:pPr>
              <w:pStyle w:val="NormalBeforeBullet"/>
              <w:keepLines/>
              <w:spacing w:before="0" w:after="0"/>
              <w:rPr>
                <w:rFonts w:ascii="Arial Narrow" w:hAnsi="Arial Narrow"/>
                <w:sz w:val="20"/>
                <w:szCs w:val="20"/>
              </w:rPr>
            </w:pPr>
            <w:r>
              <w:rPr>
                <w:rFonts w:ascii="Arial Narrow" w:hAnsi="Arial Narrow"/>
                <w:sz w:val="20"/>
                <w:szCs w:val="20"/>
                <w:lang w:val="en-US"/>
              </w:rPr>
              <w:t>A</w:t>
            </w:r>
            <w:r w:rsidRPr="003873DB">
              <w:rPr>
                <w:rFonts w:ascii="Arial Narrow" w:hAnsi="Arial Narrow"/>
                <w:sz w:val="20"/>
                <w:szCs w:val="20"/>
                <w:lang w:val="en-US"/>
              </w:rPr>
              <w:t>nnual</w:t>
            </w:r>
            <w:r w:rsidR="00C5241D">
              <w:rPr>
                <w:rFonts w:ascii="Arial Narrow" w:hAnsi="Arial Narrow"/>
                <w:sz w:val="20"/>
                <w:szCs w:val="20"/>
                <w:lang w:val="en-US"/>
              </w:rPr>
              <w:t>****</w:t>
            </w:r>
          </w:p>
        </w:tc>
        <w:tc>
          <w:tcPr>
            <w:tcW w:w="754" w:type="dxa"/>
            <w:hideMark/>
          </w:tcPr>
          <w:p w14:paraId="7D496D2B"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55-74</w:t>
            </w:r>
          </w:p>
        </w:tc>
        <w:tc>
          <w:tcPr>
            <w:tcW w:w="1515" w:type="dxa"/>
            <w:hideMark/>
          </w:tcPr>
          <w:p w14:paraId="04EE1325" w14:textId="0DC9C272"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30, &lt;15</w:t>
            </w:r>
            <w:r w:rsidR="003873DB">
              <w:rPr>
                <w:rFonts w:ascii="Arial Narrow" w:hAnsi="Arial Narrow"/>
                <w:sz w:val="20"/>
                <w:szCs w:val="20"/>
                <w:lang w:val="en-US"/>
              </w:rPr>
              <w:t xml:space="preserve"> years</w:t>
            </w:r>
          </w:p>
        </w:tc>
        <w:tc>
          <w:tcPr>
            <w:tcW w:w="1524" w:type="dxa"/>
            <w:hideMark/>
          </w:tcPr>
          <w:p w14:paraId="3C61241F" w14:textId="7EA273E4"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14%,</w:t>
            </w:r>
            <w:r w:rsidR="00865B5A">
              <w:rPr>
                <w:rFonts w:ascii="Arial Narrow" w:hAnsi="Arial Narrow"/>
                <w:sz w:val="20"/>
                <w:szCs w:val="20"/>
                <w:lang w:val="en-US"/>
              </w:rPr>
              <w:t xml:space="preserve"> </w:t>
            </w:r>
            <w:r w:rsidRPr="003873DB">
              <w:rPr>
                <w:rFonts w:ascii="Arial Narrow" w:hAnsi="Arial Narrow"/>
                <w:sz w:val="20"/>
                <w:szCs w:val="20"/>
                <w:lang w:val="en-US"/>
              </w:rPr>
              <w:t>4.</w:t>
            </w:r>
            <w:r w:rsidR="00C365FB" w:rsidRPr="003873DB">
              <w:rPr>
                <w:rFonts w:ascii="Arial Narrow" w:hAnsi="Arial Narrow"/>
                <w:sz w:val="20"/>
                <w:szCs w:val="20"/>
                <w:lang w:val="en-US"/>
              </w:rPr>
              <w:t>6</w:t>
            </w:r>
            <w:r w:rsidRPr="003873DB">
              <w:rPr>
                <w:rFonts w:ascii="Arial Narrow" w:hAnsi="Arial Narrow"/>
                <w:sz w:val="20"/>
                <w:szCs w:val="20"/>
                <w:lang w:val="en-US"/>
              </w:rPr>
              <w:t>M</w:t>
            </w:r>
            <w:r w:rsidR="00865B5A">
              <w:rPr>
                <w:rFonts w:ascii="Arial Narrow" w:hAnsi="Arial Narrow"/>
                <w:sz w:val="20"/>
                <w:szCs w:val="20"/>
                <w:lang w:val="en-US"/>
              </w:rPr>
              <w:t>,</w:t>
            </w:r>
            <w:r w:rsidRPr="003873DB">
              <w:rPr>
                <w:rFonts w:ascii="Arial Narrow" w:hAnsi="Arial Narrow"/>
                <w:sz w:val="20"/>
                <w:szCs w:val="20"/>
                <w:lang w:val="en-US"/>
              </w:rPr>
              <w:t xml:space="preserve"> $4.</w:t>
            </w:r>
            <w:r w:rsidR="00F435CC">
              <w:rPr>
                <w:rFonts w:ascii="Arial Narrow" w:hAnsi="Arial Narrow"/>
                <w:sz w:val="20"/>
                <w:szCs w:val="20"/>
                <w:lang w:val="en-US"/>
              </w:rPr>
              <w:t>0</w:t>
            </w:r>
            <w:r w:rsidR="00865B5A">
              <w:rPr>
                <w:rFonts w:ascii="Arial Narrow" w:hAnsi="Arial Narrow"/>
                <w:sz w:val="20"/>
                <w:szCs w:val="20"/>
                <w:lang w:val="en-US"/>
              </w:rPr>
              <w:t>B</w:t>
            </w:r>
          </w:p>
        </w:tc>
        <w:tc>
          <w:tcPr>
            <w:tcW w:w="864" w:type="dxa"/>
            <w:hideMark/>
          </w:tcPr>
          <w:p w14:paraId="75B37D25" w14:textId="3944F999"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6</w:t>
            </w:r>
            <w:r w:rsidR="008D74E3">
              <w:rPr>
                <w:rFonts w:ascii="Arial Narrow" w:hAnsi="Arial Narrow"/>
                <w:sz w:val="20"/>
                <w:szCs w:val="20"/>
                <w:lang w:val="en-US"/>
              </w:rPr>
              <w:t>8</w:t>
            </w:r>
          </w:p>
        </w:tc>
        <w:tc>
          <w:tcPr>
            <w:tcW w:w="836" w:type="dxa"/>
            <w:hideMark/>
          </w:tcPr>
          <w:p w14:paraId="01D4E404"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13</w:t>
            </w:r>
          </w:p>
        </w:tc>
        <w:tc>
          <w:tcPr>
            <w:tcW w:w="1402" w:type="dxa"/>
            <w:hideMark/>
          </w:tcPr>
          <w:p w14:paraId="5F3C0C66"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7.4/162</w:t>
            </w:r>
          </w:p>
        </w:tc>
      </w:tr>
      <w:tr w:rsidR="003873DB" w:rsidRPr="003873DB" w14:paraId="77E9A71B" w14:textId="77777777" w:rsidTr="00865B5A">
        <w:trPr>
          <w:trHeight w:val="437"/>
        </w:trPr>
        <w:tc>
          <w:tcPr>
            <w:tcW w:w="1046" w:type="dxa"/>
            <w:hideMark/>
          </w:tcPr>
          <w:p w14:paraId="308EDEB4" w14:textId="339978E2" w:rsidR="009E1BE5" w:rsidRPr="003873DB" w:rsidRDefault="009E1BE5" w:rsidP="00B43B93">
            <w:pPr>
              <w:pStyle w:val="NormalBeforeBullet"/>
              <w:keepLines/>
              <w:spacing w:before="0" w:after="0"/>
              <w:rPr>
                <w:rFonts w:ascii="Arial Narrow" w:hAnsi="Arial Narrow"/>
                <w:sz w:val="20"/>
                <w:szCs w:val="20"/>
              </w:rPr>
            </w:pPr>
            <w:r w:rsidRPr="003873DB">
              <w:rPr>
                <w:rFonts w:ascii="Arial Narrow" w:hAnsi="Arial Narrow"/>
                <w:sz w:val="20"/>
                <w:szCs w:val="20"/>
                <w:lang w:val="en-US"/>
              </w:rPr>
              <w:t>US</w:t>
            </w:r>
            <w:r w:rsidR="00604A9F" w:rsidRPr="003873DB">
              <w:rPr>
                <w:rFonts w:ascii="Arial Narrow" w:hAnsi="Arial Narrow"/>
                <w:sz w:val="20"/>
                <w:szCs w:val="20"/>
                <w:lang w:val="en-US"/>
              </w:rPr>
              <w:t>**</w:t>
            </w:r>
          </w:p>
        </w:tc>
        <w:tc>
          <w:tcPr>
            <w:tcW w:w="1075" w:type="dxa"/>
            <w:hideMark/>
          </w:tcPr>
          <w:p w14:paraId="740270FC" w14:textId="77777777" w:rsidR="009E1BE5" w:rsidRPr="003873DB" w:rsidRDefault="009E1BE5" w:rsidP="00B43B93">
            <w:pPr>
              <w:pStyle w:val="NormalBeforeBullet"/>
              <w:keepLines/>
              <w:spacing w:before="0" w:after="0"/>
              <w:rPr>
                <w:rFonts w:ascii="Arial Narrow" w:hAnsi="Arial Narrow"/>
                <w:sz w:val="20"/>
                <w:szCs w:val="20"/>
              </w:rPr>
            </w:pPr>
            <w:r w:rsidRPr="003873DB">
              <w:rPr>
                <w:rFonts w:ascii="Arial Narrow" w:hAnsi="Arial Narrow"/>
                <w:sz w:val="20"/>
                <w:szCs w:val="20"/>
                <w:lang w:val="en-US"/>
              </w:rPr>
              <w:t>Annual</w:t>
            </w:r>
          </w:p>
        </w:tc>
        <w:tc>
          <w:tcPr>
            <w:tcW w:w="754" w:type="dxa"/>
            <w:hideMark/>
          </w:tcPr>
          <w:p w14:paraId="1CB56C55"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50-80</w:t>
            </w:r>
          </w:p>
        </w:tc>
        <w:tc>
          <w:tcPr>
            <w:tcW w:w="1515" w:type="dxa"/>
            <w:hideMark/>
          </w:tcPr>
          <w:p w14:paraId="7709CB39" w14:textId="5FE0A961"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20, &lt;15</w:t>
            </w:r>
            <w:r w:rsidR="003873DB">
              <w:rPr>
                <w:rFonts w:ascii="Arial Narrow" w:hAnsi="Arial Narrow"/>
                <w:sz w:val="20"/>
                <w:szCs w:val="20"/>
                <w:lang w:val="en-US"/>
              </w:rPr>
              <w:t xml:space="preserve"> years</w:t>
            </w:r>
          </w:p>
        </w:tc>
        <w:tc>
          <w:tcPr>
            <w:tcW w:w="1524" w:type="dxa"/>
            <w:hideMark/>
          </w:tcPr>
          <w:p w14:paraId="4DC63B73" w14:textId="7166441C"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22%,</w:t>
            </w:r>
            <w:r w:rsidR="00865B5A">
              <w:rPr>
                <w:rFonts w:ascii="Arial Narrow" w:hAnsi="Arial Narrow"/>
                <w:sz w:val="20"/>
                <w:szCs w:val="20"/>
                <w:lang w:val="en-US"/>
              </w:rPr>
              <w:t xml:space="preserve"> </w:t>
            </w:r>
            <w:r w:rsidR="00CD3055">
              <w:rPr>
                <w:rFonts w:ascii="Arial Narrow" w:hAnsi="Arial Narrow"/>
                <w:sz w:val="20"/>
                <w:szCs w:val="20"/>
                <w:lang w:val="en-US"/>
              </w:rPr>
              <w:t>8.5</w:t>
            </w:r>
            <w:r w:rsidRPr="003873DB">
              <w:rPr>
                <w:rFonts w:ascii="Arial Narrow" w:hAnsi="Arial Narrow"/>
                <w:sz w:val="20"/>
                <w:szCs w:val="20"/>
                <w:lang w:val="en-US"/>
              </w:rPr>
              <w:t>M</w:t>
            </w:r>
            <w:r w:rsidR="00865B5A">
              <w:rPr>
                <w:rFonts w:ascii="Arial Narrow" w:hAnsi="Arial Narrow"/>
                <w:sz w:val="20"/>
                <w:szCs w:val="20"/>
                <w:lang w:val="en-US"/>
              </w:rPr>
              <w:t>,</w:t>
            </w:r>
            <w:r w:rsidRPr="003873DB">
              <w:rPr>
                <w:rFonts w:ascii="Arial Narrow" w:hAnsi="Arial Narrow"/>
                <w:sz w:val="20"/>
                <w:szCs w:val="20"/>
                <w:lang w:val="en-US"/>
              </w:rPr>
              <w:t xml:space="preserve"> $</w:t>
            </w:r>
            <w:r w:rsidR="00F435CC">
              <w:rPr>
                <w:rFonts w:ascii="Arial Narrow" w:hAnsi="Arial Narrow"/>
                <w:sz w:val="20"/>
                <w:szCs w:val="20"/>
                <w:lang w:val="en-US"/>
              </w:rPr>
              <w:t>7.5</w:t>
            </w:r>
            <w:r w:rsidR="00865B5A">
              <w:rPr>
                <w:rFonts w:ascii="Arial Narrow" w:hAnsi="Arial Narrow"/>
                <w:sz w:val="20"/>
                <w:szCs w:val="20"/>
                <w:lang w:val="en-US"/>
              </w:rPr>
              <w:t>B</w:t>
            </w:r>
          </w:p>
        </w:tc>
        <w:tc>
          <w:tcPr>
            <w:tcW w:w="864" w:type="dxa"/>
            <w:hideMark/>
          </w:tcPr>
          <w:p w14:paraId="48E37A6D" w14:textId="7B4FDA3C" w:rsidR="009E1BE5" w:rsidRPr="003873DB" w:rsidRDefault="00595276" w:rsidP="00B43B93">
            <w:pPr>
              <w:pStyle w:val="NormalBeforeBullet"/>
              <w:keepLines/>
              <w:spacing w:before="0" w:after="0"/>
              <w:jc w:val="center"/>
              <w:rPr>
                <w:rFonts w:ascii="Arial Narrow" w:hAnsi="Arial Narrow"/>
                <w:sz w:val="20"/>
                <w:szCs w:val="20"/>
              </w:rPr>
            </w:pPr>
            <w:r>
              <w:rPr>
                <w:rFonts w:ascii="Arial Narrow" w:hAnsi="Arial Narrow"/>
                <w:sz w:val="20"/>
                <w:szCs w:val="20"/>
              </w:rPr>
              <w:t>8</w:t>
            </w:r>
            <w:r w:rsidR="00604A9F" w:rsidRPr="003873DB">
              <w:rPr>
                <w:rFonts w:ascii="Arial Narrow" w:hAnsi="Arial Narrow"/>
                <w:sz w:val="20"/>
                <w:szCs w:val="20"/>
              </w:rPr>
              <w:t>4</w:t>
            </w:r>
          </w:p>
        </w:tc>
        <w:tc>
          <w:tcPr>
            <w:tcW w:w="836" w:type="dxa"/>
            <w:hideMark/>
          </w:tcPr>
          <w:p w14:paraId="59DC84A8" w14:textId="41741793"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2</w:t>
            </w:r>
            <w:r w:rsidR="00CD3055">
              <w:rPr>
                <w:rFonts w:ascii="Arial Narrow" w:hAnsi="Arial Narrow"/>
                <w:sz w:val="20"/>
                <w:szCs w:val="20"/>
                <w:lang w:val="en-US"/>
              </w:rPr>
              <w:t>1</w:t>
            </w:r>
          </w:p>
        </w:tc>
        <w:tc>
          <w:tcPr>
            <w:tcW w:w="1402" w:type="dxa"/>
            <w:hideMark/>
          </w:tcPr>
          <w:p w14:paraId="7BDA11CC" w14:textId="2E0A7364" w:rsidR="009E1BE5" w:rsidRPr="003873DB" w:rsidRDefault="00226E2E" w:rsidP="00B43B93">
            <w:pPr>
              <w:pStyle w:val="NormalBeforeBullet"/>
              <w:keepLines/>
              <w:spacing w:before="0" w:after="0"/>
              <w:jc w:val="center"/>
              <w:rPr>
                <w:rFonts w:ascii="Arial Narrow" w:hAnsi="Arial Narrow"/>
                <w:sz w:val="20"/>
                <w:szCs w:val="20"/>
              </w:rPr>
            </w:pPr>
            <w:r>
              <w:rPr>
                <w:rFonts w:ascii="Arial Narrow" w:hAnsi="Arial Narrow"/>
                <w:sz w:val="20"/>
                <w:szCs w:val="20"/>
                <w:lang w:val="en-US"/>
              </w:rPr>
              <w:t>16</w:t>
            </w:r>
            <w:r w:rsidR="009E1BE5" w:rsidRPr="003873DB">
              <w:rPr>
                <w:rFonts w:ascii="Arial Narrow" w:hAnsi="Arial Narrow"/>
                <w:sz w:val="20"/>
                <w:szCs w:val="20"/>
                <w:lang w:val="en-US"/>
              </w:rPr>
              <w:t>/3</w:t>
            </w:r>
            <w:r w:rsidR="00CD3055">
              <w:rPr>
                <w:rFonts w:ascii="Arial Narrow" w:hAnsi="Arial Narrow"/>
                <w:sz w:val="20"/>
                <w:szCs w:val="20"/>
                <w:lang w:val="en-US"/>
              </w:rPr>
              <w:t>11</w:t>
            </w:r>
          </w:p>
        </w:tc>
      </w:tr>
      <w:tr w:rsidR="003873DB" w:rsidRPr="003873DB" w14:paraId="1604EE1B" w14:textId="77777777" w:rsidTr="00865B5A">
        <w:trPr>
          <w:trHeight w:val="387"/>
        </w:trPr>
        <w:tc>
          <w:tcPr>
            <w:tcW w:w="1046" w:type="dxa"/>
            <w:hideMark/>
          </w:tcPr>
          <w:p w14:paraId="59BCBB81" w14:textId="27AABC7A" w:rsidR="009E1BE5" w:rsidRPr="003873DB" w:rsidRDefault="009E1BE5" w:rsidP="00B43B93">
            <w:pPr>
              <w:pStyle w:val="NormalBeforeBullet"/>
              <w:keepLines/>
              <w:spacing w:before="0" w:after="0"/>
              <w:rPr>
                <w:rFonts w:ascii="Arial Narrow" w:hAnsi="Arial Narrow"/>
                <w:sz w:val="20"/>
                <w:szCs w:val="20"/>
              </w:rPr>
            </w:pPr>
            <w:r w:rsidRPr="003873DB">
              <w:rPr>
                <w:rFonts w:ascii="Arial Narrow" w:hAnsi="Arial Narrow"/>
                <w:sz w:val="20"/>
                <w:szCs w:val="20"/>
                <w:lang w:val="en-US"/>
              </w:rPr>
              <w:t>Australia</w:t>
            </w:r>
            <w:r w:rsidR="00604A9F" w:rsidRPr="003873DB">
              <w:rPr>
                <w:rFonts w:ascii="Arial Narrow" w:hAnsi="Arial Narrow"/>
                <w:sz w:val="20"/>
                <w:szCs w:val="20"/>
                <w:lang w:val="en-US"/>
              </w:rPr>
              <w:t>***</w:t>
            </w:r>
          </w:p>
        </w:tc>
        <w:tc>
          <w:tcPr>
            <w:tcW w:w="1075" w:type="dxa"/>
            <w:hideMark/>
          </w:tcPr>
          <w:p w14:paraId="38723814" w14:textId="77777777" w:rsidR="009E1BE5" w:rsidRPr="003873DB" w:rsidRDefault="009E1BE5" w:rsidP="00B43B93">
            <w:pPr>
              <w:pStyle w:val="NormalBeforeBullet"/>
              <w:keepLines/>
              <w:spacing w:before="0" w:after="0"/>
              <w:rPr>
                <w:rFonts w:ascii="Arial Narrow" w:hAnsi="Arial Narrow"/>
                <w:sz w:val="20"/>
                <w:szCs w:val="20"/>
              </w:rPr>
            </w:pPr>
            <w:r w:rsidRPr="003873DB">
              <w:rPr>
                <w:rFonts w:ascii="Arial Narrow" w:hAnsi="Arial Narrow"/>
                <w:sz w:val="20"/>
                <w:szCs w:val="20"/>
                <w:lang w:val="en-US"/>
              </w:rPr>
              <w:t>Biennial</w:t>
            </w:r>
          </w:p>
        </w:tc>
        <w:tc>
          <w:tcPr>
            <w:tcW w:w="754" w:type="dxa"/>
            <w:hideMark/>
          </w:tcPr>
          <w:p w14:paraId="10DE268B"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50-70</w:t>
            </w:r>
          </w:p>
        </w:tc>
        <w:tc>
          <w:tcPr>
            <w:tcW w:w="1515" w:type="dxa"/>
            <w:hideMark/>
          </w:tcPr>
          <w:p w14:paraId="35795CB7" w14:textId="5B2173C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30, &lt;10</w:t>
            </w:r>
            <w:r w:rsidR="00865B5A">
              <w:rPr>
                <w:rFonts w:ascii="Arial Narrow" w:hAnsi="Arial Narrow"/>
                <w:sz w:val="20"/>
                <w:szCs w:val="20"/>
                <w:lang w:val="en-US"/>
              </w:rPr>
              <w:t xml:space="preserve"> years</w:t>
            </w:r>
          </w:p>
        </w:tc>
        <w:tc>
          <w:tcPr>
            <w:tcW w:w="1524" w:type="dxa"/>
            <w:hideMark/>
          </w:tcPr>
          <w:p w14:paraId="0BE6B77E" w14:textId="700EF768" w:rsidR="009E1BE5" w:rsidRPr="003873DB" w:rsidRDefault="009E1BE5" w:rsidP="00B43B93">
            <w:pPr>
              <w:pStyle w:val="NormalBeforeBullet"/>
              <w:keepLines/>
              <w:spacing w:before="0" w:after="0"/>
              <w:ind w:left="-104" w:right="-7"/>
              <w:jc w:val="center"/>
              <w:rPr>
                <w:rFonts w:ascii="Arial Narrow" w:hAnsi="Arial Narrow"/>
                <w:sz w:val="20"/>
                <w:szCs w:val="20"/>
              </w:rPr>
            </w:pPr>
            <w:r w:rsidRPr="003873DB">
              <w:rPr>
                <w:rFonts w:ascii="Arial Narrow" w:hAnsi="Arial Narrow"/>
                <w:sz w:val="20"/>
                <w:szCs w:val="20"/>
                <w:lang w:val="en-US"/>
              </w:rPr>
              <w:t>5.3%,</w:t>
            </w:r>
            <w:r w:rsidR="00865B5A">
              <w:rPr>
                <w:rFonts w:ascii="Arial Narrow" w:hAnsi="Arial Narrow"/>
                <w:sz w:val="20"/>
                <w:szCs w:val="20"/>
                <w:lang w:val="en-US"/>
              </w:rPr>
              <w:t xml:space="preserve"> </w:t>
            </w:r>
            <w:r w:rsidRPr="003873DB">
              <w:rPr>
                <w:rFonts w:ascii="Arial Narrow" w:hAnsi="Arial Narrow"/>
                <w:sz w:val="20"/>
                <w:szCs w:val="20"/>
                <w:lang w:val="en-US"/>
              </w:rPr>
              <w:t>0.9M</w:t>
            </w:r>
            <w:r w:rsidR="00865B5A">
              <w:rPr>
                <w:rFonts w:ascii="Arial Narrow" w:hAnsi="Arial Narrow"/>
                <w:sz w:val="20"/>
                <w:szCs w:val="20"/>
                <w:lang w:val="en-US"/>
              </w:rPr>
              <w:t>,</w:t>
            </w:r>
            <w:r w:rsidRPr="003873DB">
              <w:rPr>
                <w:rFonts w:ascii="Arial Narrow" w:hAnsi="Arial Narrow"/>
                <w:sz w:val="20"/>
                <w:szCs w:val="20"/>
                <w:lang w:val="en-US"/>
              </w:rPr>
              <w:t xml:space="preserve"> $0.8</w:t>
            </w:r>
            <w:r w:rsidR="00865B5A">
              <w:rPr>
                <w:rFonts w:ascii="Arial Narrow" w:hAnsi="Arial Narrow"/>
                <w:sz w:val="20"/>
                <w:szCs w:val="20"/>
                <w:lang w:val="en-US"/>
              </w:rPr>
              <w:t>B</w:t>
            </w:r>
          </w:p>
        </w:tc>
        <w:tc>
          <w:tcPr>
            <w:tcW w:w="864" w:type="dxa"/>
            <w:hideMark/>
          </w:tcPr>
          <w:p w14:paraId="2D1A1C8A" w14:textId="61F98C9B"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6</w:t>
            </w:r>
            <w:r w:rsidR="00C1172E">
              <w:rPr>
                <w:rFonts w:ascii="Arial Narrow" w:hAnsi="Arial Narrow"/>
                <w:sz w:val="20"/>
                <w:szCs w:val="20"/>
                <w:lang w:val="en-US"/>
              </w:rPr>
              <w:t>6</w:t>
            </w:r>
          </w:p>
        </w:tc>
        <w:tc>
          <w:tcPr>
            <w:tcW w:w="836" w:type="dxa"/>
            <w:hideMark/>
          </w:tcPr>
          <w:p w14:paraId="5DC5A3B6"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4</w:t>
            </w:r>
          </w:p>
        </w:tc>
        <w:tc>
          <w:tcPr>
            <w:tcW w:w="1402" w:type="dxa"/>
            <w:hideMark/>
          </w:tcPr>
          <w:p w14:paraId="02266532" w14:textId="77777777" w:rsidR="009E1BE5" w:rsidRPr="003873DB" w:rsidRDefault="009E1BE5" w:rsidP="00B43B93">
            <w:pPr>
              <w:pStyle w:val="NormalBeforeBullet"/>
              <w:keepLines/>
              <w:spacing w:before="0" w:after="0"/>
              <w:jc w:val="center"/>
              <w:rPr>
                <w:rFonts w:ascii="Arial Narrow" w:hAnsi="Arial Narrow"/>
                <w:sz w:val="20"/>
                <w:szCs w:val="20"/>
              </w:rPr>
            </w:pPr>
            <w:r w:rsidRPr="003873DB">
              <w:rPr>
                <w:rFonts w:ascii="Arial Narrow" w:hAnsi="Arial Narrow"/>
                <w:sz w:val="20"/>
                <w:szCs w:val="20"/>
                <w:lang w:val="en-US"/>
              </w:rPr>
              <w:t>1.6/29</w:t>
            </w:r>
          </w:p>
        </w:tc>
      </w:tr>
    </w:tbl>
    <w:p w14:paraId="3CE093C7" w14:textId="034D3083" w:rsidR="004A4AB3" w:rsidRPr="00865B5A" w:rsidRDefault="00C365FB" w:rsidP="00B04EF6">
      <w:pPr>
        <w:pStyle w:val="NormalBeforeBullet"/>
        <w:keepLines/>
        <w:spacing w:before="0" w:after="0"/>
        <w:rPr>
          <w:rFonts w:ascii="Arial Narrow" w:hAnsi="Arial Narrow"/>
          <w:sz w:val="18"/>
          <w:szCs w:val="18"/>
        </w:rPr>
      </w:pPr>
      <w:r w:rsidRPr="00865B5A">
        <w:rPr>
          <w:rFonts w:ascii="Arial Narrow" w:hAnsi="Arial Narrow"/>
          <w:sz w:val="18"/>
          <w:szCs w:val="18"/>
        </w:rPr>
        <w:t>*</w:t>
      </w:r>
      <w:r w:rsidR="0039510E">
        <w:rPr>
          <w:rFonts w:ascii="Arial Narrow" w:hAnsi="Arial Narrow"/>
          <w:sz w:val="18"/>
          <w:szCs w:val="18"/>
        </w:rPr>
        <w:t xml:space="preserve"> </w:t>
      </w:r>
      <w:r w:rsidR="00604A9F" w:rsidRPr="00865B5A">
        <w:rPr>
          <w:rFonts w:ascii="Arial Narrow" w:hAnsi="Arial Narrow"/>
          <w:sz w:val="18"/>
          <w:szCs w:val="18"/>
        </w:rPr>
        <w:t xml:space="preserve">Values are </w:t>
      </w:r>
      <w:r w:rsidR="00C04B7C">
        <w:rPr>
          <w:rFonts w:ascii="Arial Narrow" w:hAnsi="Arial Narrow"/>
          <w:sz w:val="18"/>
          <w:szCs w:val="18"/>
        </w:rPr>
        <w:t xml:space="preserve">estimated by PLCO#47 </w:t>
      </w:r>
      <w:r w:rsidR="00115337" w:rsidRPr="00865B5A">
        <w:rPr>
          <w:rFonts w:ascii="Arial Narrow" w:hAnsi="Arial Narrow"/>
          <w:sz w:val="18"/>
          <w:szCs w:val="18"/>
        </w:rPr>
        <w:t xml:space="preserve">from </w:t>
      </w:r>
      <w:proofErr w:type="gramStart"/>
      <w:r w:rsidR="00115337" w:rsidRPr="00865B5A">
        <w:rPr>
          <w:rFonts w:ascii="Arial Narrow" w:hAnsi="Arial Narrow"/>
          <w:i/>
          <w:iCs/>
          <w:sz w:val="18"/>
          <w:szCs w:val="18"/>
        </w:rPr>
        <w:t>The</w:t>
      </w:r>
      <w:proofErr w:type="gramEnd"/>
      <w:r w:rsidR="00115337" w:rsidRPr="00865B5A">
        <w:rPr>
          <w:rFonts w:ascii="Arial Narrow" w:hAnsi="Arial Narrow"/>
          <w:i/>
          <w:iCs/>
          <w:sz w:val="18"/>
          <w:szCs w:val="18"/>
        </w:rPr>
        <w:t xml:space="preserve"> economic evaluation of targeted lung cancer screening in Australia: Response to request for additional analyses by MSAC</w:t>
      </w:r>
      <w:r w:rsidR="00115337" w:rsidRPr="009E6BDC">
        <w:rPr>
          <w:rFonts w:ascii="Arial Narrow" w:hAnsi="Arial Narrow"/>
          <w:sz w:val="18"/>
          <w:szCs w:val="18"/>
        </w:rPr>
        <w:t xml:space="preserve">. </w:t>
      </w:r>
      <w:r w:rsidR="009E6BDC">
        <w:rPr>
          <w:rFonts w:ascii="Arial Narrow" w:hAnsi="Arial Narrow"/>
          <w:sz w:val="18"/>
          <w:szCs w:val="18"/>
        </w:rPr>
        <w:t>ICER</w:t>
      </w:r>
      <w:r w:rsidRPr="00865B5A">
        <w:rPr>
          <w:rFonts w:ascii="Arial Narrow" w:hAnsi="Arial Narrow"/>
          <w:sz w:val="18"/>
          <w:szCs w:val="18"/>
        </w:rPr>
        <w:t xml:space="preserve"> value is from Table 1</w:t>
      </w:r>
      <w:r w:rsidR="00FA7CEA">
        <w:rPr>
          <w:rFonts w:ascii="Arial Narrow" w:hAnsi="Arial Narrow"/>
          <w:sz w:val="18"/>
          <w:szCs w:val="18"/>
        </w:rPr>
        <w:t>2</w:t>
      </w:r>
      <w:r w:rsidRPr="00865B5A">
        <w:rPr>
          <w:rFonts w:ascii="Arial Narrow" w:hAnsi="Arial Narrow"/>
          <w:sz w:val="18"/>
          <w:szCs w:val="18"/>
        </w:rPr>
        <w:t xml:space="preserve">, % of population </w:t>
      </w:r>
      <w:r w:rsidR="00193793">
        <w:rPr>
          <w:rFonts w:ascii="Arial Narrow" w:hAnsi="Arial Narrow"/>
          <w:sz w:val="18"/>
          <w:szCs w:val="18"/>
        </w:rPr>
        <w:t>covered</w:t>
      </w:r>
      <w:r w:rsidRPr="00865B5A">
        <w:rPr>
          <w:rFonts w:ascii="Arial Narrow" w:hAnsi="Arial Narrow"/>
          <w:sz w:val="18"/>
          <w:szCs w:val="18"/>
        </w:rPr>
        <w:t>, n</w:t>
      </w:r>
      <w:r w:rsidR="00F435CC">
        <w:rPr>
          <w:rFonts w:ascii="Arial Narrow" w:hAnsi="Arial Narrow"/>
          <w:sz w:val="18"/>
          <w:szCs w:val="18"/>
        </w:rPr>
        <w:t>umbers</w:t>
      </w:r>
      <w:r w:rsidRPr="00865B5A">
        <w:rPr>
          <w:rFonts w:ascii="Arial Narrow" w:hAnsi="Arial Narrow"/>
          <w:sz w:val="18"/>
          <w:szCs w:val="18"/>
        </w:rPr>
        <w:t xml:space="preserve"> of CTs, deaths avoided, overdiagnosis and false positives </w:t>
      </w:r>
      <w:r w:rsidR="009E6BDC">
        <w:rPr>
          <w:rFonts w:ascii="Arial Narrow" w:hAnsi="Arial Narrow"/>
          <w:sz w:val="18"/>
          <w:szCs w:val="18"/>
        </w:rPr>
        <w:t>are</w:t>
      </w:r>
      <w:r w:rsidRPr="00865B5A">
        <w:rPr>
          <w:rFonts w:ascii="Arial Narrow" w:hAnsi="Arial Narrow"/>
          <w:sz w:val="18"/>
          <w:szCs w:val="18"/>
        </w:rPr>
        <w:t xml:space="preserve"> from Table 1</w:t>
      </w:r>
      <w:r w:rsidR="00FA7CEA">
        <w:rPr>
          <w:rFonts w:ascii="Arial Narrow" w:hAnsi="Arial Narrow"/>
          <w:sz w:val="18"/>
          <w:szCs w:val="18"/>
        </w:rPr>
        <w:t>3</w:t>
      </w:r>
      <w:r w:rsidRPr="00865B5A">
        <w:rPr>
          <w:rFonts w:ascii="Arial Narrow" w:hAnsi="Arial Narrow"/>
          <w:sz w:val="18"/>
          <w:szCs w:val="18"/>
        </w:rPr>
        <w:t xml:space="preserve">, </w:t>
      </w:r>
      <w:r w:rsidR="00F435CC">
        <w:rPr>
          <w:rFonts w:ascii="Arial Narrow" w:hAnsi="Arial Narrow"/>
          <w:sz w:val="18"/>
          <w:szCs w:val="18"/>
        </w:rPr>
        <w:t xml:space="preserve">6-year </w:t>
      </w:r>
      <w:r w:rsidR="003269C3">
        <w:rPr>
          <w:rFonts w:ascii="Arial Narrow" w:hAnsi="Arial Narrow"/>
          <w:sz w:val="18"/>
          <w:szCs w:val="18"/>
        </w:rPr>
        <w:t xml:space="preserve">total net </w:t>
      </w:r>
      <w:r w:rsidRPr="00865B5A">
        <w:rPr>
          <w:rFonts w:ascii="Arial Narrow" w:hAnsi="Arial Narrow"/>
          <w:sz w:val="18"/>
          <w:szCs w:val="18"/>
        </w:rPr>
        <w:t xml:space="preserve">cost </w:t>
      </w:r>
      <w:r w:rsidR="00421DC0">
        <w:rPr>
          <w:rFonts w:ascii="Arial Narrow" w:hAnsi="Arial Narrow"/>
          <w:sz w:val="18"/>
          <w:szCs w:val="18"/>
        </w:rPr>
        <w:t xml:space="preserve">is </w:t>
      </w:r>
      <w:r w:rsidR="00F435CC">
        <w:rPr>
          <w:rFonts w:ascii="Arial Narrow" w:hAnsi="Arial Narrow"/>
          <w:sz w:val="18"/>
          <w:szCs w:val="18"/>
        </w:rPr>
        <w:t>estimated</w:t>
      </w:r>
      <w:r w:rsidR="00421DC0">
        <w:rPr>
          <w:rFonts w:ascii="Arial Narrow" w:hAnsi="Arial Narrow"/>
          <w:sz w:val="18"/>
          <w:szCs w:val="18"/>
        </w:rPr>
        <w:t xml:space="preserve"> as </w:t>
      </w:r>
      <w:r w:rsidR="003269C3">
        <w:rPr>
          <w:rFonts w:ascii="Arial Narrow" w:hAnsi="Arial Narrow"/>
          <w:sz w:val="18"/>
          <w:szCs w:val="18"/>
        </w:rPr>
        <w:t xml:space="preserve">the </w:t>
      </w:r>
      <w:r w:rsidR="00F435CC">
        <w:rPr>
          <w:rFonts w:ascii="Arial Narrow" w:hAnsi="Arial Narrow"/>
          <w:sz w:val="18"/>
          <w:szCs w:val="18"/>
        </w:rPr>
        <w:t xml:space="preserve">Australian cost divided by </w:t>
      </w:r>
      <w:r w:rsidR="003269C3">
        <w:rPr>
          <w:rFonts w:ascii="Arial Narrow" w:hAnsi="Arial Narrow"/>
          <w:sz w:val="18"/>
          <w:szCs w:val="18"/>
        </w:rPr>
        <w:t xml:space="preserve">the </w:t>
      </w:r>
      <w:r w:rsidR="00F435CC">
        <w:rPr>
          <w:rFonts w:ascii="Arial Narrow" w:hAnsi="Arial Narrow"/>
          <w:sz w:val="18"/>
          <w:szCs w:val="18"/>
        </w:rPr>
        <w:t xml:space="preserve">Australian number of CTs multiplied by </w:t>
      </w:r>
      <w:r w:rsidR="003269C3">
        <w:rPr>
          <w:rFonts w:ascii="Arial Narrow" w:hAnsi="Arial Narrow"/>
          <w:sz w:val="18"/>
          <w:szCs w:val="18"/>
        </w:rPr>
        <w:t xml:space="preserve">the </w:t>
      </w:r>
      <w:r w:rsidR="00F435CC">
        <w:rPr>
          <w:rFonts w:ascii="Arial Narrow" w:hAnsi="Arial Narrow"/>
          <w:sz w:val="18"/>
          <w:szCs w:val="18"/>
        </w:rPr>
        <w:t>Canadian estimated number of CTs</w:t>
      </w:r>
    </w:p>
    <w:p w14:paraId="4353A342" w14:textId="2873B7F6" w:rsidR="00604A9F" w:rsidRPr="00865B5A" w:rsidRDefault="00604A9F" w:rsidP="00B04EF6">
      <w:pPr>
        <w:pStyle w:val="NormalBeforeBullet"/>
        <w:keepLines/>
        <w:spacing w:before="0" w:after="0"/>
        <w:rPr>
          <w:rFonts w:ascii="Arial Narrow" w:hAnsi="Arial Narrow"/>
          <w:sz w:val="18"/>
          <w:szCs w:val="18"/>
        </w:rPr>
      </w:pPr>
      <w:r w:rsidRPr="00865B5A">
        <w:rPr>
          <w:rFonts w:ascii="Arial Narrow" w:hAnsi="Arial Narrow"/>
          <w:sz w:val="18"/>
          <w:szCs w:val="18"/>
        </w:rPr>
        <w:t>**</w:t>
      </w:r>
      <w:r w:rsidRPr="00865B5A">
        <w:rPr>
          <w:rFonts w:ascii="Arial Narrow" w:hAnsi="Arial Narrow"/>
          <w:i/>
          <w:iCs/>
          <w:sz w:val="18"/>
          <w:szCs w:val="18"/>
        </w:rPr>
        <w:t xml:space="preserve"> </w:t>
      </w:r>
      <w:r w:rsidRPr="00865B5A">
        <w:rPr>
          <w:rFonts w:ascii="Arial Narrow" w:hAnsi="Arial Narrow"/>
          <w:sz w:val="18"/>
          <w:szCs w:val="18"/>
        </w:rPr>
        <w:t xml:space="preserve">Values are </w:t>
      </w:r>
      <w:r w:rsidR="00C04B7C">
        <w:rPr>
          <w:rFonts w:ascii="Arial Narrow" w:hAnsi="Arial Narrow"/>
          <w:sz w:val="18"/>
          <w:szCs w:val="18"/>
        </w:rPr>
        <w:t xml:space="preserve">estimated by PLCO#19 </w:t>
      </w:r>
      <w:r w:rsidRPr="00865B5A">
        <w:rPr>
          <w:rFonts w:ascii="Arial Narrow" w:hAnsi="Arial Narrow"/>
          <w:sz w:val="18"/>
          <w:szCs w:val="18"/>
        </w:rPr>
        <w:t xml:space="preserve">from </w:t>
      </w:r>
      <w:proofErr w:type="gramStart"/>
      <w:r w:rsidRPr="00865B5A">
        <w:rPr>
          <w:rFonts w:ascii="Arial Narrow" w:hAnsi="Arial Narrow"/>
          <w:i/>
          <w:iCs/>
          <w:sz w:val="18"/>
          <w:szCs w:val="18"/>
        </w:rPr>
        <w:t>The</w:t>
      </w:r>
      <w:proofErr w:type="gramEnd"/>
      <w:r w:rsidRPr="00865B5A">
        <w:rPr>
          <w:rFonts w:ascii="Arial Narrow" w:hAnsi="Arial Narrow"/>
          <w:i/>
          <w:iCs/>
          <w:sz w:val="18"/>
          <w:szCs w:val="18"/>
        </w:rPr>
        <w:t xml:space="preserve"> economic evaluation of targeted lung cancer screening in Australia: Response to request for additional analyses by MSAC</w:t>
      </w:r>
      <w:r w:rsidR="0039510E">
        <w:rPr>
          <w:rFonts w:ascii="Arial Narrow" w:hAnsi="Arial Narrow"/>
          <w:sz w:val="18"/>
          <w:szCs w:val="18"/>
        </w:rPr>
        <w:t xml:space="preserve">. </w:t>
      </w:r>
      <w:r w:rsidR="009E6BDC">
        <w:rPr>
          <w:rFonts w:ascii="Arial Narrow" w:hAnsi="Arial Narrow"/>
          <w:sz w:val="18"/>
          <w:szCs w:val="18"/>
        </w:rPr>
        <w:t>ICER</w:t>
      </w:r>
      <w:r w:rsidRPr="00865B5A">
        <w:rPr>
          <w:rFonts w:ascii="Arial Narrow" w:hAnsi="Arial Narrow"/>
          <w:sz w:val="18"/>
          <w:szCs w:val="18"/>
        </w:rPr>
        <w:t xml:space="preserve"> value is from Table 1</w:t>
      </w:r>
      <w:r w:rsidR="00FA7CEA">
        <w:rPr>
          <w:rFonts w:ascii="Arial Narrow" w:hAnsi="Arial Narrow"/>
          <w:sz w:val="18"/>
          <w:szCs w:val="18"/>
        </w:rPr>
        <w:t>2</w:t>
      </w:r>
      <w:r w:rsidRPr="00865B5A">
        <w:rPr>
          <w:rFonts w:ascii="Arial Narrow" w:hAnsi="Arial Narrow"/>
          <w:sz w:val="18"/>
          <w:szCs w:val="18"/>
        </w:rPr>
        <w:t xml:space="preserve">, % of population </w:t>
      </w:r>
      <w:r w:rsidR="00F435CC">
        <w:rPr>
          <w:rFonts w:ascii="Arial Narrow" w:hAnsi="Arial Narrow"/>
          <w:sz w:val="18"/>
          <w:szCs w:val="18"/>
        </w:rPr>
        <w:t>covered</w:t>
      </w:r>
      <w:r w:rsidRPr="00865B5A">
        <w:rPr>
          <w:rFonts w:ascii="Arial Narrow" w:hAnsi="Arial Narrow"/>
          <w:sz w:val="18"/>
          <w:szCs w:val="18"/>
        </w:rPr>
        <w:t>, n</w:t>
      </w:r>
      <w:r w:rsidR="00F435CC">
        <w:rPr>
          <w:rFonts w:ascii="Arial Narrow" w:hAnsi="Arial Narrow"/>
          <w:sz w:val="18"/>
          <w:szCs w:val="18"/>
        </w:rPr>
        <w:t>umbers</w:t>
      </w:r>
      <w:r w:rsidRPr="00865B5A">
        <w:rPr>
          <w:rFonts w:ascii="Arial Narrow" w:hAnsi="Arial Narrow"/>
          <w:sz w:val="18"/>
          <w:szCs w:val="18"/>
        </w:rPr>
        <w:t xml:space="preserve"> of CTs, deaths avoided, overdiagnosis and false positives </w:t>
      </w:r>
      <w:r w:rsidR="009E6BDC">
        <w:rPr>
          <w:rFonts w:ascii="Arial Narrow" w:hAnsi="Arial Narrow"/>
          <w:sz w:val="18"/>
          <w:szCs w:val="18"/>
        </w:rPr>
        <w:t>are</w:t>
      </w:r>
      <w:r w:rsidRPr="00865B5A">
        <w:rPr>
          <w:rFonts w:ascii="Arial Narrow" w:hAnsi="Arial Narrow"/>
          <w:sz w:val="18"/>
          <w:szCs w:val="18"/>
        </w:rPr>
        <w:t xml:space="preserve"> from Table 1</w:t>
      </w:r>
      <w:r w:rsidR="00FA7CEA">
        <w:rPr>
          <w:rFonts w:ascii="Arial Narrow" w:hAnsi="Arial Narrow"/>
          <w:sz w:val="18"/>
          <w:szCs w:val="18"/>
        </w:rPr>
        <w:t>3</w:t>
      </w:r>
      <w:r w:rsidRPr="00865B5A">
        <w:rPr>
          <w:rFonts w:ascii="Arial Narrow" w:hAnsi="Arial Narrow"/>
          <w:sz w:val="18"/>
          <w:szCs w:val="18"/>
        </w:rPr>
        <w:t xml:space="preserve">, </w:t>
      </w:r>
      <w:r w:rsidR="00F435CC">
        <w:rPr>
          <w:rFonts w:ascii="Arial Narrow" w:hAnsi="Arial Narrow"/>
          <w:sz w:val="18"/>
          <w:szCs w:val="18"/>
        </w:rPr>
        <w:t xml:space="preserve">6-year </w:t>
      </w:r>
      <w:r w:rsidR="003269C3">
        <w:rPr>
          <w:rFonts w:ascii="Arial Narrow" w:hAnsi="Arial Narrow"/>
          <w:sz w:val="18"/>
          <w:szCs w:val="18"/>
        </w:rPr>
        <w:t xml:space="preserve">total net </w:t>
      </w:r>
      <w:r w:rsidRPr="00865B5A">
        <w:rPr>
          <w:rFonts w:ascii="Arial Narrow" w:hAnsi="Arial Narrow"/>
          <w:sz w:val="18"/>
          <w:szCs w:val="18"/>
        </w:rPr>
        <w:t xml:space="preserve">cost </w:t>
      </w:r>
      <w:r w:rsidR="00CD5DF2">
        <w:rPr>
          <w:rFonts w:ascii="Arial Narrow" w:hAnsi="Arial Narrow"/>
          <w:sz w:val="18"/>
          <w:szCs w:val="18"/>
        </w:rPr>
        <w:t xml:space="preserve">is </w:t>
      </w:r>
      <w:r w:rsidR="00F435CC">
        <w:rPr>
          <w:rFonts w:ascii="Arial Narrow" w:hAnsi="Arial Narrow"/>
          <w:sz w:val="18"/>
          <w:szCs w:val="18"/>
        </w:rPr>
        <w:t>estimate</w:t>
      </w:r>
      <w:r w:rsidR="00CD5DF2">
        <w:rPr>
          <w:rFonts w:ascii="Arial Narrow" w:hAnsi="Arial Narrow"/>
          <w:sz w:val="18"/>
          <w:szCs w:val="18"/>
        </w:rPr>
        <w:t xml:space="preserve"> as </w:t>
      </w:r>
      <w:r w:rsidR="003269C3">
        <w:rPr>
          <w:rFonts w:ascii="Arial Narrow" w:hAnsi="Arial Narrow"/>
          <w:sz w:val="18"/>
          <w:szCs w:val="18"/>
        </w:rPr>
        <w:t xml:space="preserve">the </w:t>
      </w:r>
      <w:r w:rsidR="00F435CC">
        <w:rPr>
          <w:rFonts w:ascii="Arial Narrow" w:hAnsi="Arial Narrow"/>
          <w:sz w:val="18"/>
          <w:szCs w:val="18"/>
        </w:rPr>
        <w:t xml:space="preserve">Australian cost divided by </w:t>
      </w:r>
      <w:r w:rsidR="003269C3">
        <w:rPr>
          <w:rFonts w:ascii="Arial Narrow" w:hAnsi="Arial Narrow"/>
          <w:sz w:val="18"/>
          <w:szCs w:val="18"/>
        </w:rPr>
        <w:t xml:space="preserve">the </w:t>
      </w:r>
      <w:r w:rsidR="00F435CC">
        <w:rPr>
          <w:rFonts w:ascii="Arial Narrow" w:hAnsi="Arial Narrow"/>
          <w:sz w:val="18"/>
          <w:szCs w:val="18"/>
        </w:rPr>
        <w:t xml:space="preserve">Australian number of CTs multiplied by </w:t>
      </w:r>
      <w:r w:rsidR="003269C3">
        <w:rPr>
          <w:rFonts w:ascii="Arial Narrow" w:hAnsi="Arial Narrow"/>
          <w:sz w:val="18"/>
          <w:szCs w:val="18"/>
        </w:rPr>
        <w:t xml:space="preserve">the </w:t>
      </w:r>
      <w:r w:rsidR="00F435CC">
        <w:rPr>
          <w:rFonts w:ascii="Arial Narrow" w:hAnsi="Arial Narrow"/>
          <w:sz w:val="18"/>
          <w:szCs w:val="18"/>
        </w:rPr>
        <w:t>US estimated number of CTs</w:t>
      </w:r>
    </w:p>
    <w:p w14:paraId="668CCEE4" w14:textId="14D1491F" w:rsidR="00C5241D" w:rsidRDefault="00604A9F" w:rsidP="00B04EF6">
      <w:pPr>
        <w:pStyle w:val="NormalBeforeBullet"/>
        <w:keepLines/>
        <w:spacing w:before="0" w:after="0"/>
        <w:rPr>
          <w:rFonts w:ascii="Arial Narrow" w:hAnsi="Arial Narrow"/>
          <w:sz w:val="18"/>
          <w:szCs w:val="18"/>
        </w:rPr>
      </w:pPr>
      <w:r w:rsidRPr="00865B5A">
        <w:rPr>
          <w:rFonts w:ascii="Arial Narrow" w:hAnsi="Arial Narrow"/>
          <w:sz w:val="18"/>
          <w:szCs w:val="18"/>
        </w:rPr>
        <w:t xml:space="preserve">*** </w:t>
      </w:r>
      <w:r w:rsidR="009B1882" w:rsidRPr="00865B5A">
        <w:rPr>
          <w:rFonts w:ascii="Arial Narrow" w:hAnsi="Arial Narrow"/>
          <w:sz w:val="18"/>
          <w:szCs w:val="18"/>
        </w:rPr>
        <w:t xml:space="preserve">Values are </w:t>
      </w:r>
      <w:r w:rsidR="00C04B7C">
        <w:rPr>
          <w:rFonts w:ascii="Arial Narrow" w:hAnsi="Arial Narrow"/>
          <w:sz w:val="18"/>
          <w:szCs w:val="18"/>
        </w:rPr>
        <w:t xml:space="preserve">for NLST#110 </w:t>
      </w:r>
      <w:r w:rsidR="009B1882" w:rsidRPr="00865B5A">
        <w:rPr>
          <w:rFonts w:ascii="Arial Narrow" w:hAnsi="Arial Narrow"/>
          <w:sz w:val="18"/>
          <w:szCs w:val="18"/>
        </w:rPr>
        <w:t xml:space="preserve">from </w:t>
      </w:r>
      <w:bookmarkStart w:id="7" w:name="_Hlk110933097"/>
      <w:proofErr w:type="gramStart"/>
      <w:r w:rsidR="009B1882" w:rsidRPr="00865B5A">
        <w:rPr>
          <w:rFonts w:ascii="Arial Narrow" w:hAnsi="Arial Narrow"/>
          <w:i/>
          <w:iCs/>
          <w:sz w:val="18"/>
          <w:szCs w:val="18"/>
        </w:rPr>
        <w:t>The</w:t>
      </w:r>
      <w:proofErr w:type="gramEnd"/>
      <w:r w:rsidR="009B1882" w:rsidRPr="00865B5A">
        <w:rPr>
          <w:rFonts w:ascii="Arial Narrow" w:hAnsi="Arial Narrow"/>
          <w:i/>
          <w:iCs/>
          <w:sz w:val="18"/>
          <w:szCs w:val="18"/>
        </w:rPr>
        <w:t xml:space="preserve"> economic evaluation of targeted lung cancer screening in Australia: Additional analyses requested for NLST-like biennial scenarios only</w:t>
      </w:r>
      <w:bookmarkEnd w:id="7"/>
      <w:r w:rsidR="00C6494D" w:rsidRPr="00865B5A">
        <w:rPr>
          <w:rFonts w:ascii="Arial Narrow" w:hAnsi="Arial Narrow"/>
          <w:sz w:val="18"/>
          <w:szCs w:val="18"/>
        </w:rPr>
        <w:t xml:space="preserve">. </w:t>
      </w:r>
      <w:r w:rsidR="009E6BDC">
        <w:rPr>
          <w:rFonts w:ascii="Arial Narrow" w:hAnsi="Arial Narrow"/>
          <w:sz w:val="18"/>
          <w:szCs w:val="18"/>
        </w:rPr>
        <w:t>ICER</w:t>
      </w:r>
      <w:r w:rsidRPr="00865B5A">
        <w:rPr>
          <w:rFonts w:ascii="Arial Narrow" w:hAnsi="Arial Narrow"/>
          <w:sz w:val="18"/>
          <w:szCs w:val="18"/>
        </w:rPr>
        <w:t xml:space="preserve"> value is from Table </w:t>
      </w:r>
      <w:r w:rsidR="00FA7CEA">
        <w:rPr>
          <w:rFonts w:ascii="Arial Narrow" w:hAnsi="Arial Narrow"/>
          <w:sz w:val="18"/>
          <w:szCs w:val="18"/>
        </w:rPr>
        <w:t>1</w:t>
      </w:r>
      <w:r w:rsidRPr="00865B5A">
        <w:rPr>
          <w:rFonts w:ascii="Arial Narrow" w:hAnsi="Arial Narrow"/>
          <w:sz w:val="18"/>
          <w:szCs w:val="18"/>
        </w:rPr>
        <w:t xml:space="preserve">, % of population </w:t>
      </w:r>
      <w:r w:rsidR="00193793">
        <w:rPr>
          <w:rFonts w:ascii="Arial Narrow" w:hAnsi="Arial Narrow"/>
          <w:sz w:val="18"/>
          <w:szCs w:val="18"/>
        </w:rPr>
        <w:t>covered</w:t>
      </w:r>
      <w:r w:rsidRPr="00865B5A">
        <w:rPr>
          <w:rFonts w:ascii="Arial Narrow" w:hAnsi="Arial Narrow"/>
          <w:sz w:val="18"/>
          <w:szCs w:val="18"/>
        </w:rPr>
        <w:t>, n</w:t>
      </w:r>
      <w:r w:rsidR="00F435CC">
        <w:rPr>
          <w:rFonts w:ascii="Arial Narrow" w:hAnsi="Arial Narrow"/>
          <w:sz w:val="18"/>
          <w:szCs w:val="18"/>
        </w:rPr>
        <w:t>umbers</w:t>
      </w:r>
      <w:r w:rsidRPr="00865B5A">
        <w:rPr>
          <w:rFonts w:ascii="Arial Narrow" w:hAnsi="Arial Narrow"/>
          <w:sz w:val="18"/>
          <w:szCs w:val="18"/>
        </w:rPr>
        <w:t xml:space="preserve"> of CTs, deaths avoided, overdiagnosis and false positives is from Table </w:t>
      </w:r>
      <w:r w:rsidR="00FA7CEA">
        <w:rPr>
          <w:rFonts w:ascii="Arial Narrow" w:hAnsi="Arial Narrow"/>
          <w:sz w:val="18"/>
          <w:szCs w:val="18"/>
        </w:rPr>
        <w:t>2</w:t>
      </w:r>
      <w:r w:rsidR="009E6BDC">
        <w:rPr>
          <w:rFonts w:ascii="Arial Narrow" w:hAnsi="Arial Narrow"/>
          <w:sz w:val="18"/>
          <w:szCs w:val="18"/>
        </w:rPr>
        <w:t>,</w:t>
      </w:r>
      <w:r w:rsidRPr="00865B5A">
        <w:rPr>
          <w:rFonts w:ascii="Arial Narrow" w:hAnsi="Arial Narrow"/>
          <w:sz w:val="18"/>
          <w:szCs w:val="18"/>
        </w:rPr>
        <w:t xml:space="preserve"> </w:t>
      </w:r>
      <w:r w:rsidR="00F435CC">
        <w:rPr>
          <w:rFonts w:ascii="Arial Narrow" w:hAnsi="Arial Narrow"/>
          <w:sz w:val="18"/>
          <w:szCs w:val="18"/>
        </w:rPr>
        <w:t xml:space="preserve">6-year </w:t>
      </w:r>
      <w:r w:rsidR="003269C3">
        <w:rPr>
          <w:rFonts w:ascii="Arial Narrow" w:hAnsi="Arial Narrow"/>
          <w:sz w:val="18"/>
          <w:szCs w:val="18"/>
        </w:rPr>
        <w:t xml:space="preserve">total net </w:t>
      </w:r>
      <w:r w:rsidRPr="00865B5A">
        <w:rPr>
          <w:rFonts w:ascii="Arial Narrow" w:hAnsi="Arial Narrow"/>
          <w:sz w:val="18"/>
          <w:szCs w:val="18"/>
        </w:rPr>
        <w:t xml:space="preserve">cost is </w:t>
      </w:r>
      <w:r w:rsidR="002E73C1" w:rsidRPr="00865B5A">
        <w:rPr>
          <w:rFonts w:ascii="Arial Narrow" w:hAnsi="Arial Narrow"/>
          <w:sz w:val="18"/>
          <w:szCs w:val="18"/>
        </w:rPr>
        <w:t xml:space="preserve">from Table </w:t>
      </w:r>
      <w:r w:rsidR="00FA7CEA">
        <w:rPr>
          <w:rFonts w:ascii="Arial Narrow" w:hAnsi="Arial Narrow"/>
          <w:sz w:val="18"/>
          <w:szCs w:val="18"/>
        </w:rPr>
        <w:t>8</w:t>
      </w:r>
      <w:r w:rsidR="002E73C1" w:rsidRPr="00865B5A">
        <w:rPr>
          <w:rFonts w:ascii="Arial Narrow" w:hAnsi="Arial Narrow"/>
          <w:sz w:val="18"/>
          <w:szCs w:val="18"/>
        </w:rPr>
        <w:t>.</w:t>
      </w:r>
    </w:p>
    <w:p w14:paraId="12AC0186" w14:textId="5813526E" w:rsidR="00C5241D" w:rsidRPr="00865B5A" w:rsidRDefault="00C5241D" w:rsidP="00B04EF6">
      <w:pPr>
        <w:pStyle w:val="NormalBeforeBullet"/>
        <w:keepNext w:val="0"/>
        <w:keepLines/>
        <w:spacing w:before="0" w:after="160"/>
        <w:rPr>
          <w:rFonts w:ascii="Arial Narrow" w:hAnsi="Arial Narrow"/>
          <w:sz w:val="18"/>
          <w:szCs w:val="18"/>
        </w:rPr>
      </w:pPr>
      <w:r>
        <w:rPr>
          <w:rFonts w:ascii="Arial Narrow" w:hAnsi="Arial Narrow"/>
          <w:sz w:val="18"/>
          <w:szCs w:val="18"/>
        </w:rPr>
        <w:t>****</w:t>
      </w:r>
      <w:r w:rsidR="00043DE6">
        <w:rPr>
          <w:rFonts w:ascii="Arial Narrow" w:hAnsi="Arial Narrow"/>
          <w:sz w:val="18"/>
          <w:szCs w:val="18"/>
        </w:rPr>
        <w:t xml:space="preserve"> The f</w:t>
      </w:r>
      <w:r>
        <w:rPr>
          <w:rFonts w:ascii="Arial Narrow" w:hAnsi="Arial Narrow"/>
          <w:sz w:val="18"/>
          <w:szCs w:val="18"/>
        </w:rPr>
        <w:t xml:space="preserve">requency of screening </w:t>
      </w:r>
      <w:r w:rsidR="00043DE6">
        <w:rPr>
          <w:rFonts w:ascii="Arial Narrow" w:hAnsi="Arial Narrow"/>
          <w:sz w:val="18"/>
          <w:szCs w:val="18"/>
        </w:rPr>
        <w:t>was</w:t>
      </w:r>
      <w:r>
        <w:rPr>
          <w:rFonts w:ascii="Arial Narrow" w:hAnsi="Arial Narrow"/>
          <w:sz w:val="18"/>
          <w:szCs w:val="18"/>
        </w:rPr>
        <w:t xml:space="preserve"> assumed to be </w:t>
      </w:r>
      <w:r w:rsidR="00043DE6">
        <w:rPr>
          <w:rFonts w:ascii="Arial Narrow" w:hAnsi="Arial Narrow"/>
          <w:sz w:val="18"/>
          <w:szCs w:val="18"/>
        </w:rPr>
        <w:t xml:space="preserve">on an </w:t>
      </w:r>
      <w:r>
        <w:rPr>
          <w:rFonts w:ascii="Arial Narrow" w:hAnsi="Arial Narrow"/>
          <w:sz w:val="18"/>
          <w:szCs w:val="18"/>
        </w:rPr>
        <w:t xml:space="preserve">annual </w:t>
      </w:r>
      <w:r w:rsidR="00043DE6">
        <w:rPr>
          <w:rFonts w:ascii="Arial Narrow" w:hAnsi="Arial Narrow"/>
          <w:sz w:val="18"/>
          <w:szCs w:val="18"/>
        </w:rPr>
        <w:t xml:space="preserve">basis </w:t>
      </w:r>
      <w:r>
        <w:rPr>
          <w:rFonts w:ascii="Arial Narrow" w:hAnsi="Arial Narrow"/>
          <w:sz w:val="18"/>
          <w:szCs w:val="18"/>
        </w:rPr>
        <w:t>as per PLCO#19</w:t>
      </w:r>
      <w:r w:rsidR="00043DE6">
        <w:rPr>
          <w:rFonts w:ascii="Arial Narrow" w:hAnsi="Arial Narrow"/>
          <w:sz w:val="18"/>
          <w:szCs w:val="18"/>
        </w:rPr>
        <w:t xml:space="preserve"> and so does not fully reflect the</w:t>
      </w:r>
      <w:r>
        <w:rPr>
          <w:rFonts w:ascii="Arial Narrow" w:hAnsi="Arial Narrow"/>
          <w:sz w:val="18"/>
          <w:szCs w:val="18"/>
        </w:rPr>
        <w:t xml:space="preserve"> reality </w:t>
      </w:r>
      <w:r w:rsidR="00043DE6">
        <w:rPr>
          <w:rFonts w:ascii="Arial Narrow" w:hAnsi="Arial Narrow"/>
          <w:sz w:val="18"/>
          <w:szCs w:val="18"/>
        </w:rPr>
        <w:t xml:space="preserve">of </w:t>
      </w:r>
      <w:r>
        <w:rPr>
          <w:rFonts w:ascii="Arial Narrow" w:hAnsi="Arial Narrow"/>
          <w:sz w:val="18"/>
          <w:szCs w:val="18"/>
        </w:rPr>
        <w:t>the Canadian approach</w:t>
      </w:r>
      <w:r w:rsidR="00043DE6">
        <w:rPr>
          <w:rFonts w:ascii="Arial Narrow" w:hAnsi="Arial Narrow"/>
          <w:sz w:val="18"/>
          <w:szCs w:val="18"/>
        </w:rPr>
        <w:t>, which</w:t>
      </w:r>
      <w:r>
        <w:rPr>
          <w:rFonts w:ascii="Arial Narrow" w:hAnsi="Arial Narrow"/>
          <w:sz w:val="18"/>
          <w:szCs w:val="18"/>
        </w:rPr>
        <w:t xml:space="preserve"> recommends </w:t>
      </w:r>
      <w:r w:rsidRPr="00C5241D">
        <w:rPr>
          <w:rFonts w:ascii="Arial Narrow" w:hAnsi="Arial Narrow"/>
          <w:sz w:val="18"/>
          <w:szCs w:val="18"/>
        </w:rPr>
        <w:t xml:space="preserve">screening with three consecutive annual </w:t>
      </w:r>
      <w:r>
        <w:rPr>
          <w:rFonts w:ascii="Arial Narrow" w:hAnsi="Arial Narrow"/>
          <w:sz w:val="18"/>
          <w:szCs w:val="18"/>
        </w:rPr>
        <w:t>scans</w:t>
      </w:r>
      <w:r w:rsidR="00043DE6">
        <w:rPr>
          <w:rFonts w:ascii="Arial Narrow" w:hAnsi="Arial Narrow"/>
          <w:sz w:val="18"/>
          <w:szCs w:val="18"/>
        </w:rPr>
        <w:t xml:space="preserve"> only.</w:t>
      </w:r>
    </w:p>
    <w:p w14:paraId="5E16D772" w14:textId="56E0FAF5" w:rsidR="009E1BE5" w:rsidRDefault="004A6F3D" w:rsidP="00E342BB">
      <w:pPr>
        <w:pStyle w:val="NormalBeforeBullet"/>
        <w:keepNext w:val="0"/>
        <w:spacing w:before="240"/>
      </w:pPr>
      <w:r>
        <w:t>To further contextualise the parameters it had chosen, in</w:t>
      </w:r>
      <w:r w:rsidRPr="00344673">
        <w:rPr>
          <w:b/>
          <w:bCs/>
        </w:rPr>
        <w:t xml:space="preserve"> </w:t>
      </w:r>
      <w:r w:rsidRPr="00FA7CEA">
        <w:t xml:space="preserve">Table </w:t>
      </w:r>
      <w:r w:rsidR="00FA7CEA">
        <w:t>7</w:t>
      </w:r>
      <w:r>
        <w:t xml:space="preserve"> </w:t>
      </w:r>
      <w:r w:rsidR="009E1BE5">
        <w:t>MSAC</w:t>
      </w:r>
      <w:r w:rsidR="003D4A08">
        <w:t xml:space="preserve"> </w:t>
      </w:r>
      <w:r w:rsidR="008530D9">
        <w:t xml:space="preserve">compared </w:t>
      </w:r>
      <w:r>
        <w:t>its</w:t>
      </w:r>
      <w:r w:rsidR="008530D9">
        <w:t xml:space="preserve"> proposed program with other Australian cancer screening programs</w:t>
      </w:r>
      <w:r w:rsidR="00F903AE">
        <w:t xml:space="preserve">. </w:t>
      </w:r>
      <w:r>
        <w:t>these comparisons were obtained by translating the outcomes from the proposed Program into an annualised basis whereas the outcomes from the other programs were derived from Lew et al (2019).</w:t>
      </w:r>
      <w:r>
        <w:rPr>
          <w:rStyle w:val="FootnoteReference"/>
        </w:rPr>
        <w:footnoteReference w:id="7"/>
      </w:r>
      <w:r>
        <w:t xml:space="preserve"> MSAC considered that </w:t>
      </w:r>
      <w:r w:rsidR="008530D9">
        <w:t xml:space="preserve">this </w:t>
      </w:r>
      <w:r w:rsidR="00AD72FD">
        <w:t xml:space="preserve">shows that lung cancer screening compares favourably </w:t>
      </w:r>
      <w:r w:rsidR="0030546A">
        <w:t xml:space="preserve">or is </w:t>
      </w:r>
      <w:r>
        <w:t>similar</w:t>
      </w:r>
      <w:r w:rsidR="0030546A">
        <w:t xml:space="preserve"> to most of the other screening programs, especially in terms of deaths prevented (except with cervi</w:t>
      </w:r>
      <w:r w:rsidR="00173A5C">
        <w:t>c</w:t>
      </w:r>
      <w:r w:rsidR="0030546A">
        <w:t xml:space="preserve">al before HPV and colorectal cancer screening), cost (lower than the others), </w:t>
      </w:r>
      <w:r w:rsidR="000568D2">
        <w:t xml:space="preserve">and </w:t>
      </w:r>
      <w:r w:rsidR="0030546A">
        <w:t>number needed to screen per death avoided (lower than the other</w:t>
      </w:r>
      <w:r w:rsidR="000568D2">
        <w:t>s).</w:t>
      </w:r>
    </w:p>
    <w:p w14:paraId="45AE1CFC" w14:textId="2C409017" w:rsidR="00CC3245" w:rsidRPr="00865B5A" w:rsidRDefault="00CC3245" w:rsidP="00E342BB">
      <w:pPr>
        <w:pStyle w:val="NormalBeforeBullet"/>
        <w:spacing w:before="240"/>
        <w:rPr>
          <w:rFonts w:ascii="Arial Narrow" w:hAnsi="Arial Narrow"/>
          <w:b/>
          <w:bCs/>
          <w:sz w:val="20"/>
          <w:szCs w:val="20"/>
        </w:rPr>
      </w:pPr>
      <w:r w:rsidRPr="00865B5A">
        <w:rPr>
          <w:rFonts w:ascii="Arial Narrow" w:hAnsi="Arial Narrow"/>
          <w:b/>
          <w:bCs/>
          <w:sz w:val="20"/>
          <w:szCs w:val="20"/>
        </w:rPr>
        <w:lastRenderedPageBreak/>
        <w:t xml:space="preserve">Table </w:t>
      </w:r>
      <w:r w:rsidR="00FA7CEA">
        <w:rPr>
          <w:rFonts w:ascii="Arial Narrow" w:hAnsi="Arial Narrow"/>
          <w:b/>
          <w:bCs/>
          <w:sz w:val="20"/>
          <w:szCs w:val="20"/>
        </w:rPr>
        <w:t>7</w:t>
      </w:r>
      <w:r w:rsidRPr="00865B5A">
        <w:rPr>
          <w:rFonts w:ascii="Arial Narrow" w:hAnsi="Arial Narrow"/>
          <w:b/>
          <w:bCs/>
          <w:sz w:val="20"/>
          <w:szCs w:val="20"/>
        </w:rPr>
        <w:t>: Comparison (annualised) of Australian cancer screening programs</w:t>
      </w:r>
    </w:p>
    <w:tbl>
      <w:tblPr>
        <w:tblStyle w:val="TableGrid"/>
        <w:tblW w:w="9016" w:type="dxa"/>
        <w:tblLayout w:type="fixed"/>
        <w:tblLook w:val="04A0" w:firstRow="1" w:lastRow="0" w:firstColumn="1" w:lastColumn="0" w:noHBand="0" w:noVBand="1"/>
      </w:tblPr>
      <w:tblGrid>
        <w:gridCol w:w="3539"/>
        <w:gridCol w:w="992"/>
        <w:gridCol w:w="1560"/>
        <w:gridCol w:w="850"/>
        <w:gridCol w:w="1134"/>
        <w:gridCol w:w="941"/>
      </w:tblGrid>
      <w:tr w:rsidR="00CC3245" w:rsidRPr="00CC3245" w14:paraId="2B1CDAEB" w14:textId="77777777" w:rsidTr="00865B5A">
        <w:trPr>
          <w:trHeight w:val="388"/>
        </w:trPr>
        <w:tc>
          <w:tcPr>
            <w:tcW w:w="3539" w:type="dxa"/>
            <w:hideMark/>
          </w:tcPr>
          <w:p w14:paraId="63AAEDA1" w14:textId="77777777" w:rsidR="00CC3245" w:rsidRPr="00865B5A" w:rsidRDefault="00CC3245" w:rsidP="00CC3245">
            <w:pPr>
              <w:pStyle w:val="NormalBeforeBullet"/>
              <w:rPr>
                <w:rFonts w:ascii="Arial Narrow" w:hAnsi="Arial Narrow"/>
                <w:sz w:val="20"/>
                <w:szCs w:val="20"/>
              </w:rPr>
            </w:pPr>
            <w:r w:rsidRPr="00865B5A">
              <w:rPr>
                <w:rFonts w:ascii="Arial Narrow" w:hAnsi="Arial Narrow"/>
                <w:b/>
                <w:bCs/>
                <w:sz w:val="20"/>
                <w:szCs w:val="20"/>
                <w:lang w:val="en-US"/>
              </w:rPr>
              <w:t>Program</w:t>
            </w:r>
          </w:p>
        </w:tc>
        <w:tc>
          <w:tcPr>
            <w:tcW w:w="992" w:type="dxa"/>
            <w:hideMark/>
          </w:tcPr>
          <w:p w14:paraId="2F6B1C05"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b/>
                <w:bCs/>
                <w:sz w:val="20"/>
                <w:szCs w:val="20"/>
                <w:lang w:val="en-US"/>
              </w:rPr>
              <w:t>Cervical</w:t>
            </w:r>
          </w:p>
        </w:tc>
        <w:tc>
          <w:tcPr>
            <w:tcW w:w="1560" w:type="dxa"/>
            <w:hideMark/>
          </w:tcPr>
          <w:p w14:paraId="3B1EC030" w14:textId="77777777" w:rsidR="00CC3245" w:rsidRPr="00865B5A" w:rsidRDefault="00CC3245" w:rsidP="00865B5A">
            <w:pPr>
              <w:pStyle w:val="NormalBeforeBullet"/>
              <w:ind w:left="-104" w:right="-111"/>
              <w:jc w:val="center"/>
              <w:rPr>
                <w:rFonts w:ascii="Arial Narrow" w:hAnsi="Arial Narrow"/>
                <w:sz w:val="20"/>
                <w:szCs w:val="20"/>
              </w:rPr>
            </w:pPr>
            <w:r w:rsidRPr="00865B5A">
              <w:rPr>
                <w:rFonts w:ascii="Arial Narrow" w:hAnsi="Arial Narrow"/>
                <w:b/>
                <w:bCs/>
                <w:sz w:val="20"/>
                <w:szCs w:val="20"/>
                <w:lang w:val="en-US"/>
              </w:rPr>
              <w:t>Cervical post HPV</w:t>
            </w:r>
          </w:p>
        </w:tc>
        <w:tc>
          <w:tcPr>
            <w:tcW w:w="850" w:type="dxa"/>
            <w:hideMark/>
          </w:tcPr>
          <w:p w14:paraId="25BFB925"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b/>
                <w:bCs/>
                <w:sz w:val="20"/>
                <w:szCs w:val="20"/>
                <w:lang w:val="en-US"/>
              </w:rPr>
              <w:t>Breast</w:t>
            </w:r>
          </w:p>
        </w:tc>
        <w:tc>
          <w:tcPr>
            <w:tcW w:w="1134" w:type="dxa"/>
            <w:hideMark/>
          </w:tcPr>
          <w:p w14:paraId="472E93C3"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b/>
                <w:bCs/>
                <w:sz w:val="20"/>
                <w:szCs w:val="20"/>
                <w:lang w:val="en-US"/>
              </w:rPr>
              <w:t>Colorectal</w:t>
            </w:r>
          </w:p>
        </w:tc>
        <w:tc>
          <w:tcPr>
            <w:tcW w:w="941" w:type="dxa"/>
            <w:hideMark/>
          </w:tcPr>
          <w:p w14:paraId="60E77914"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b/>
                <w:bCs/>
                <w:sz w:val="20"/>
                <w:szCs w:val="20"/>
                <w:lang w:val="en-US"/>
              </w:rPr>
              <w:t>Lung</w:t>
            </w:r>
          </w:p>
        </w:tc>
      </w:tr>
      <w:tr w:rsidR="00CC3245" w:rsidRPr="00CC3245" w14:paraId="685C18DA" w14:textId="77777777" w:rsidTr="00865B5A">
        <w:trPr>
          <w:trHeight w:val="337"/>
        </w:trPr>
        <w:tc>
          <w:tcPr>
            <w:tcW w:w="3539" w:type="dxa"/>
            <w:hideMark/>
          </w:tcPr>
          <w:p w14:paraId="1ECCEB6D" w14:textId="3AB580B4" w:rsidR="00CC3245" w:rsidRPr="00865B5A" w:rsidRDefault="00CC3245" w:rsidP="00CC3245">
            <w:pPr>
              <w:pStyle w:val="NormalBeforeBullet"/>
              <w:rPr>
                <w:rFonts w:ascii="Arial Narrow" w:hAnsi="Arial Narrow"/>
                <w:sz w:val="20"/>
                <w:szCs w:val="20"/>
              </w:rPr>
            </w:pPr>
            <w:r w:rsidRPr="00865B5A">
              <w:rPr>
                <w:rFonts w:ascii="Arial Narrow" w:hAnsi="Arial Narrow"/>
                <w:sz w:val="20"/>
                <w:szCs w:val="20"/>
                <w:lang w:val="en-US"/>
              </w:rPr>
              <w:t>Number screened</w:t>
            </w:r>
            <w:r w:rsidR="00D06CC9">
              <w:rPr>
                <w:rFonts w:ascii="Arial Narrow" w:hAnsi="Arial Narrow"/>
                <w:sz w:val="20"/>
                <w:szCs w:val="20"/>
                <w:lang w:val="en-US"/>
              </w:rPr>
              <w:t xml:space="preserve"> </w:t>
            </w:r>
            <w:r w:rsidRPr="00865B5A">
              <w:rPr>
                <w:rFonts w:ascii="Arial Narrow" w:hAnsi="Arial Narrow"/>
                <w:sz w:val="20"/>
                <w:szCs w:val="20"/>
                <w:lang w:val="en-US"/>
              </w:rPr>
              <w:t>(M)</w:t>
            </w:r>
          </w:p>
        </w:tc>
        <w:tc>
          <w:tcPr>
            <w:tcW w:w="992" w:type="dxa"/>
            <w:hideMark/>
          </w:tcPr>
          <w:p w14:paraId="367084B2"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2.47</w:t>
            </w:r>
          </w:p>
        </w:tc>
        <w:tc>
          <w:tcPr>
            <w:tcW w:w="1560" w:type="dxa"/>
            <w:hideMark/>
          </w:tcPr>
          <w:p w14:paraId="159F812D"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1.34</w:t>
            </w:r>
          </w:p>
        </w:tc>
        <w:tc>
          <w:tcPr>
            <w:tcW w:w="850" w:type="dxa"/>
            <w:hideMark/>
          </w:tcPr>
          <w:p w14:paraId="232B4D07" w14:textId="1D5467D6"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0.8</w:t>
            </w:r>
            <w:r w:rsidR="00A21089">
              <w:rPr>
                <w:rFonts w:ascii="Arial Narrow" w:hAnsi="Arial Narrow"/>
                <w:sz w:val="20"/>
                <w:szCs w:val="20"/>
                <w:lang w:val="en-US"/>
              </w:rPr>
              <w:t>9</w:t>
            </w:r>
          </w:p>
        </w:tc>
        <w:tc>
          <w:tcPr>
            <w:tcW w:w="1134" w:type="dxa"/>
            <w:hideMark/>
          </w:tcPr>
          <w:p w14:paraId="4F36C96D"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1.44</w:t>
            </w:r>
          </w:p>
        </w:tc>
        <w:tc>
          <w:tcPr>
            <w:tcW w:w="941" w:type="dxa"/>
            <w:hideMark/>
          </w:tcPr>
          <w:p w14:paraId="03DA4A2B" w14:textId="4277200B"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0.11</w:t>
            </w:r>
            <w:r w:rsidR="00C17C4C" w:rsidRPr="00865B5A">
              <w:rPr>
                <w:rStyle w:val="FootnoteReference"/>
                <w:rFonts w:ascii="Arial Narrow" w:hAnsi="Arial Narrow"/>
                <w:sz w:val="20"/>
                <w:szCs w:val="20"/>
              </w:rPr>
              <w:footnoteReference w:id="8"/>
            </w:r>
          </w:p>
        </w:tc>
      </w:tr>
      <w:tr w:rsidR="00CC3245" w:rsidRPr="00CC3245" w14:paraId="5AB0903B" w14:textId="77777777" w:rsidTr="00865B5A">
        <w:trPr>
          <w:trHeight w:val="414"/>
        </w:trPr>
        <w:tc>
          <w:tcPr>
            <w:tcW w:w="3539" w:type="dxa"/>
            <w:hideMark/>
          </w:tcPr>
          <w:p w14:paraId="30325D1B" w14:textId="77777777" w:rsidR="00CC3245" w:rsidRPr="00865B5A" w:rsidRDefault="00CC3245" w:rsidP="00CC3245">
            <w:pPr>
              <w:pStyle w:val="NormalBeforeBullet"/>
              <w:rPr>
                <w:rFonts w:ascii="Arial Narrow" w:hAnsi="Arial Narrow"/>
                <w:sz w:val="20"/>
                <w:szCs w:val="20"/>
              </w:rPr>
            </w:pPr>
            <w:r w:rsidRPr="00865B5A">
              <w:rPr>
                <w:rFonts w:ascii="Arial Narrow" w:hAnsi="Arial Narrow"/>
                <w:sz w:val="20"/>
                <w:szCs w:val="20"/>
                <w:lang w:val="en-US"/>
              </w:rPr>
              <w:t>Deaths prevented</w:t>
            </w:r>
          </w:p>
        </w:tc>
        <w:tc>
          <w:tcPr>
            <w:tcW w:w="992" w:type="dxa"/>
            <w:hideMark/>
          </w:tcPr>
          <w:p w14:paraId="172A9C98"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1185</w:t>
            </w:r>
          </w:p>
        </w:tc>
        <w:tc>
          <w:tcPr>
            <w:tcW w:w="1560" w:type="dxa"/>
            <w:hideMark/>
          </w:tcPr>
          <w:p w14:paraId="58C62725" w14:textId="2F6D5A6A" w:rsidR="00CC3245" w:rsidRPr="00865B5A" w:rsidRDefault="00A21089" w:rsidP="00865B5A">
            <w:pPr>
              <w:pStyle w:val="NormalBeforeBullet"/>
              <w:jc w:val="center"/>
              <w:rPr>
                <w:rFonts w:ascii="Arial Narrow" w:hAnsi="Arial Narrow"/>
                <w:sz w:val="20"/>
                <w:szCs w:val="20"/>
              </w:rPr>
            </w:pPr>
            <w:r>
              <w:rPr>
                <w:rFonts w:ascii="Arial Narrow" w:hAnsi="Arial Narrow"/>
                <w:sz w:val="20"/>
                <w:szCs w:val="20"/>
                <w:lang w:val="en-US"/>
              </w:rPr>
              <w:t>153</w:t>
            </w:r>
          </w:p>
        </w:tc>
        <w:tc>
          <w:tcPr>
            <w:tcW w:w="850" w:type="dxa"/>
            <w:hideMark/>
          </w:tcPr>
          <w:p w14:paraId="44D88B8F"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580</w:t>
            </w:r>
          </w:p>
        </w:tc>
        <w:tc>
          <w:tcPr>
            <w:tcW w:w="1134" w:type="dxa"/>
            <w:hideMark/>
          </w:tcPr>
          <w:p w14:paraId="426ED3FA"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2519</w:t>
            </w:r>
          </w:p>
        </w:tc>
        <w:tc>
          <w:tcPr>
            <w:tcW w:w="941" w:type="dxa"/>
            <w:hideMark/>
          </w:tcPr>
          <w:p w14:paraId="30C6EE4B" w14:textId="368F0932"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504</w:t>
            </w:r>
            <w:r w:rsidR="00C17C4C" w:rsidRPr="00865B5A">
              <w:rPr>
                <w:rStyle w:val="FootnoteReference"/>
                <w:rFonts w:ascii="Arial Narrow" w:hAnsi="Arial Narrow"/>
                <w:sz w:val="20"/>
                <w:szCs w:val="20"/>
                <w:lang w:val="en-US"/>
              </w:rPr>
              <w:footnoteReference w:id="9"/>
            </w:r>
          </w:p>
        </w:tc>
      </w:tr>
      <w:tr w:rsidR="00CC3245" w:rsidRPr="00CC3245" w14:paraId="2787E8FC" w14:textId="77777777" w:rsidTr="00865B5A">
        <w:trPr>
          <w:trHeight w:val="365"/>
        </w:trPr>
        <w:tc>
          <w:tcPr>
            <w:tcW w:w="3539" w:type="dxa"/>
            <w:hideMark/>
          </w:tcPr>
          <w:p w14:paraId="429A113C" w14:textId="77777777" w:rsidR="00CC3245" w:rsidRPr="00865B5A" w:rsidRDefault="00CC3245" w:rsidP="00CC3245">
            <w:pPr>
              <w:pStyle w:val="NormalBeforeBullet"/>
              <w:rPr>
                <w:rFonts w:ascii="Arial Narrow" w:hAnsi="Arial Narrow"/>
                <w:sz w:val="20"/>
                <w:szCs w:val="20"/>
              </w:rPr>
            </w:pPr>
            <w:r w:rsidRPr="00865B5A">
              <w:rPr>
                <w:rFonts w:ascii="Arial Narrow" w:hAnsi="Arial Narrow"/>
                <w:sz w:val="20"/>
                <w:szCs w:val="20"/>
                <w:lang w:val="en-US"/>
              </w:rPr>
              <w:t>Cost ($M)</w:t>
            </w:r>
          </w:p>
        </w:tc>
        <w:tc>
          <w:tcPr>
            <w:tcW w:w="992" w:type="dxa"/>
            <w:hideMark/>
          </w:tcPr>
          <w:p w14:paraId="2B93F08F"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223</w:t>
            </w:r>
          </w:p>
        </w:tc>
        <w:tc>
          <w:tcPr>
            <w:tcW w:w="1560" w:type="dxa"/>
            <w:hideMark/>
          </w:tcPr>
          <w:p w14:paraId="6580558B"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126</w:t>
            </w:r>
          </w:p>
        </w:tc>
        <w:tc>
          <w:tcPr>
            <w:tcW w:w="850" w:type="dxa"/>
            <w:hideMark/>
          </w:tcPr>
          <w:p w14:paraId="075EAD29"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316</w:t>
            </w:r>
          </w:p>
        </w:tc>
        <w:tc>
          <w:tcPr>
            <w:tcW w:w="1134" w:type="dxa"/>
            <w:hideMark/>
          </w:tcPr>
          <w:p w14:paraId="5625B471"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1410</w:t>
            </w:r>
          </w:p>
        </w:tc>
        <w:tc>
          <w:tcPr>
            <w:tcW w:w="941" w:type="dxa"/>
            <w:hideMark/>
          </w:tcPr>
          <w:p w14:paraId="7F8835E1" w14:textId="38D1731D"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80 (Y6)</w:t>
            </w:r>
            <w:r w:rsidR="00C17C4C" w:rsidRPr="00865B5A">
              <w:rPr>
                <w:rStyle w:val="FootnoteReference"/>
                <w:rFonts w:ascii="Arial Narrow" w:hAnsi="Arial Narrow"/>
                <w:sz w:val="20"/>
                <w:szCs w:val="20"/>
                <w:lang w:val="en-US"/>
              </w:rPr>
              <w:footnoteReference w:id="10"/>
            </w:r>
          </w:p>
        </w:tc>
      </w:tr>
      <w:tr w:rsidR="00CC3245" w:rsidRPr="00CC3245" w14:paraId="131B51F6" w14:textId="77777777" w:rsidTr="00865B5A">
        <w:trPr>
          <w:trHeight w:val="315"/>
        </w:trPr>
        <w:tc>
          <w:tcPr>
            <w:tcW w:w="3539" w:type="dxa"/>
            <w:hideMark/>
          </w:tcPr>
          <w:p w14:paraId="2401C2EC" w14:textId="33943DA7" w:rsidR="00CC3245" w:rsidRPr="00865B5A" w:rsidRDefault="00CC3245" w:rsidP="00CC3245">
            <w:pPr>
              <w:pStyle w:val="NormalBeforeBullet"/>
              <w:rPr>
                <w:rFonts w:ascii="Arial Narrow" w:hAnsi="Arial Narrow"/>
                <w:sz w:val="20"/>
                <w:szCs w:val="20"/>
              </w:rPr>
            </w:pPr>
            <w:r w:rsidRPr="00865B5A">
              <w:rPr>
                <w:rFonts w:ascii="Arial Narrow" w:hAnsi="Arial Narrow"/>
                <w:sz w:val="20"/>
                <w:szCs w:val="20"/>
                <w:lang w:val="en-US"/>
              </w:rPr>
              <w:t>N</w:t>
            </w:r>
            <w:r w:rsidR="00647DE3" w:rsidRPr="00865B5A">
              <w:rPr>
                <w:rFonts w:ascii="Arial Narrow" w:hAnsi="Arial Narrow"/>
                <w:sz w:val="20"/>
                <w:szCs w:val="20"/>
                <w:lang w:val="en-US"/>
              </w:rPr>
              <w:t xml:space="preserve">umber needed to screen per </w:t>
            </w:r>
            <w:r w:rsidRPr="00865B5A">
              <w:rPr>
                <w:rFonts w:ascii="Arial Narrow" w:hAnsi="Arial Narrow"/>
                <w:sz w:val="20"/>
                <w:szCs w:val="20"/>
                <w:lang w:val="en-US"/>
              </w:rPr>
              <w:t>death avoided</w:t>
            </w:r>
          </w:p>
        </w:tc>
        <w:tc>
          <w:tcPr>
            <w:tcW w:w="992" w:type="dxa"/>
            <w:hideMark/>
          </w:tcPr>
          <w:p w14:paraId="729F9420"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2085</w:t>
            </w:r>
          </w:p>
        </w:tc>
        <w:tc>
          <w:tcPr>
            <w:tcW w:w="1560" w:type="dxa"/>
            <w:hideMark/>
          </w:tcPr>
          <w:p w14:paraId="6F0278E6"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8776</w:t>
            </w:r>
          </w:p>
        </w:tc>
        <w:tc>
          <w:tcPr>
            <w:tcW w:w="850" w:type="dxa"/>
            <w:hideMark/>
          </w:tcPr>
          <w:p w14:paraId="4CE4F156"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1528</w:t>
            </w:r>
          </w:p>
        </w:tc>
        <w:tc>
          <w:tcPr>
            <w:tcW w:w="1134" w:type="dxa"/>
            <w:hideMark/>
          </w:tcPr>
          <w:p w14:paraId="060B4BBC"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572</w:t>
            </w:r>
          </w:p>
        </w:tc>
        <w:tc>
          <w:tcPr>
            <w:tcW w:w="941" w:type="dxa"/>
            <w:hideMark/>
          </w:tcPr>
          <w:p w14:paraId="7A651674" w14:textId="3729C3C9"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85</w:t>
            </w:r>
            <w:r w:rsidR="00647DE3" w:rsidRPr="00865B5A">
              <w:rPr>
                <w:rStyle w:val="FootnoteReference"/>
                <w:rFonts w:ascii="Arial Narrow" w:hAnsi="Arial Narrow"/>
                <w:sz w:val="20"/>
                <w:szCs w:val="20"/>
                <w:lang w:val="en-US"/>
              </w:rPr>
              <w:footnoteReference w:id="11"/>
            </w:r>
          </w:p>
        </w:tc>
      </w:tr>
      <w:tr w:rsidR="00CC3245" w:rsidRPr="00CC3245" w14:paraId="54899BBF" w14:textId="77777777" w:rsidTr="00865B5A">
        <w:trPr>
          <w:trHeight w:val="251"/>
        </w:trPr>
        <w:tc>
          <w:tcPr>
            <w:tcW w:w="3539" w:type="dxa"/>
            <w:hideMark/>
          </w:tcPr>
          <w:p w14:paraId="1A23FA8C" w14:textId="385276CA" w:rsidR="00CC3245" w:rsidRPr="00865B5A" w:rsidRDefault="00CC3245" w:rsidP="00CC3245">
            <w:pPr>
              <w:pStyle w:val="NormalBeforeBullet"/>
              <w:rPr>
                <w:rFonts w:ascii="Arial Narrow" w:hAnsi="Arial Narrow"/>
                <w:sz w:val="20"/>
                <w:szCs w:val="20"/>
              </w:rPr>
            </w:pPr>
            <w:r w:rsidRPr="00865B5A">
              <w:rPr>
                <w:rFonts w:ascii="Arial Narrow" w:hAnsi="Arial Narrow"/>
                <w:sz w:val="20"/>
                <w:szCs w:val="20"/>
                <w:lang w:val="en-US"/>
              </w:rPr>
              <w:t>I</w:t>
            </w:r>
            <w:r w:rsidR="00D06CC9">
              <w:rPr>
                <w:rFonts w:ascii="Arial Narrow" w:hAnsi="Arial Narrow"/>
                <w:sz w:val="20"/>
                <w:szCs w:val="20"/>
                <w:lang w:val="en-US"/>
              </w:rPr>
              <w:t>ncremental cost per life-year gained</w:t>
            </w:r>
            <w:r w:rsidRPr="00865B5A">
              <w:rPr>
                <w:rFonts w:ascii="Arial Narrow" w:hAnsi="Arial Narrow"/>
                <w:sz w:val="20"/>
                <w:szCs w:val="20"/>
                <w:lang w:val="en-US"/>
              </w:rPr>
              <w:t xml:space="preserve"> ($)</w:t>
            </w:r>
          </w:p>
        </w:tc>
        <w:tc>
          <w:tcPr>
            <w:tcW w:w="992" w:type="dxa"/>
            <w:hideMark/>
          </w:tcPr>
          <w:p w14:paraId="714F9ED4"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23,244</w:t>
            </w:r>
          </w:p>
        </w:tc>
        <w:tc>
          <w:tcPr>
            <w:tcW w:w="1560" w:type="dxa"/>
            <w:hideMark/>
          </w:tcPr>
          <w:p w14:paraId="168D2048"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102,897</w:t>
            </w:r>
          </w:p>
        </w:tc>
        <w:tc>
          <w:tcPr>
            <w:tcW w:w="850" w:type="dxa"/>
            <w:hideMark/>
          </w:tcPr>
          <w:p w14:paraId="3F1C27F9"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40,279**</w:t>
            </w:r>
          </w:p>
        </w:tc>
        <w:tc>
          <w:tcPr>
            <w:tcW w:w="1134" w:type="dxa"/>
            <w:hideMark/>
          </w:tcPr>
          <w:p w14:paraId="36364FAD" w14:textId="77777777" w:rsidR="00CC3245" w:rsidRPr="00865B5A" w:rsidRDefault="00CC3245" w:rsidP="00865B5A">
            <w:pPr>
              <w:pStyle w:val="NormalBeforeBullet"/>
              <w:jc w:val="center"/>
              <w:rPr>
                <w:rFonts w:ascii="Arial Narrow" w:hAnsi="Arial Narrow"/>
                <w:sz w:val="20"/>
                <w:szCs w:val="20"/>
              </w:rPr>
            </w:pPr>
            <w:r w:rsidRPr="00865B5A">
              <w:rPr>
                <w:rFonts w:ascii="Arial Narrow" w:hAnsi="Arial Narrow"/>
                <w:sz w:val="20"/>
                <w:szCs w:val="20"/>
                <w:lang w:val="en-US"/>
              </w:rPr>
              <w:t>3,380</w:t>
            </w:r>
          </w:p>
        </w:tc>
        <w:tc>
          <w:tcPr>
            <w:tcW w:w="941" w:type="dxa"/>
            <w:hideMark/>
          </w:tcPr>
          <w:p w14:paraId="5C9B7FFB" w14:textId="2C38C6A6" w:rsidR="00CC3245" w:rsidRPr="00865B5A" w:rsidRDefault="000568D2" w:rsidP="00865B5A">
            <w:pPr>
              <w:pStyle w:val="NormalBeforeBullet"/>
              <w:jc w:val="center"/>
              <w:rPr>
                <w:rFonts w:ascii="Arial Narrow" w:hAnsi="Arial Narrow"/>
                <w:sz w:val="20"/>
                <w:szCs w:val="20"/>
              </w:rPr>
            </w:pPr>
            <w:r w:rsidRPr="00865B5A">
              <w:rPr>
                <w:rFonts w:ascii="Arial Narrow" w:hAnsi="Arial Narrow"/>
                <w:sz w:val="20"/>
                <w:szCs w:val="20"/>
              </w:rPr>
              <w:t>56,891</w:t>
            </w:r>
            <w:r w:rsidR="00220C2A" w:rsidRPr="00865B5A">
              <w:rPr>
                <w:rStyle w:val="FootnoteReference"/>
                <w:rFonts w:ascii="Arial Narrow" w:hAnsi="Arial Narrow"/>
                <w:sz w:val="20"/>
                <w:szCs w:val="20"/>
              </w:rPr>
              <w:footnoteReference w:id="12"/>
            </w:r>
          </w:p>
        </w:tc>
      </w:tr>
    </w:tbl>
    <w:p w14:paraId="4734729D" w14:textId="562C4C97" w:rsidR="00CC3245" w:rsidRPr="00865B5A" w:rsidRDefault="00CC3245" w:rsidP="00865B5A">
      <w:pPr>
        <w:pStyle w:val="NormalBeforeBullet"/>
        <w:spacing w:before="0" w:after="0"/>
        <w:rPr>
          <w:rFonts w:ascii="Arial Narrow" w:hAnsi="Arial Narrow"/>
          <w:sz w:val="18"/>
          <w:szCs w:val="18"/>
        </w:rPr>
      </w:pPr>
      <w:r w:rsidRPr="00865B5A">
        <w:rPr>
          <w:rFonts w:ascii="Arial Narrow" w:hAnsi="Arial Narrow"/>
          <w:sz w:val="18"/>
          <w:szCs w:val="18"/>
        </w:rPr>
        <w:t>Cervical</w:t>
      </w:r>
      <w:r w:rsidR="00A21089">
        <w:rPr>
          <w:rFonts w:ascii="Arial Narrow" w:hAnsi="Arial Narrow"/>
          <w:sz w:val="18"/>
          <w:szCs w:val="18"/>
        </w:rPr>
        <w:t xml:space="preserve"> from </w:t>
      </w:r>
      <w:r w:rsidR="00A21089" w:rsidRPr="00A21089">
        <w:rPr>
          <w:rFonts w:ascii="Arial Narrow" w:hAnsi="Arial Narrow"/>
          <w:sz w:val="18"/>
          <w:szCs w:val="18"/>
        </w:rPr>
        <w:t>Lew et al (2019)</w:t>
      </w:r>
      <w:r w:rsidRPr="00865B5A">
        <w:rPr>
          <w:rFonts w:ascii="Arial Narrow" w:hAnsi="Arial Narrow"/>
          <w:sz w:val="18"/>
          <w:szCs w:val="18"/>
        </w:rPr>
        <w:t xml:space="preserve"> – 5 yearly HPV/cytology 25-74</w:t>
      </w:r>
      <w:r w:rsidR="00D06CC9">
        <w:rPr>
          <w:rFonts w:ascii="Arial Narrow" w:hAnsi="Arial Narrow"/>
          <w:sz w:val="18"/>
          <w:szCs w:val="18"/>
        </w:rPr>
        <w:t xml:space="preserve"> years of age</w:t>
      </w:r>
    </w:p>
    <w:p w14:paraId="421DD5DA" w14:textId="7C394FB9" w:rsidR="00CC3245" w:rsidRPr="00865B5A" w:rsidRDefault="00CC3245" w:rsidP="00865B5A">
      <w:pPr>
        <w:pStyle w:val="NormalBeforeBullet"/>
        <w:spacing w:before="0" w:after="0"/>
        <w:rPr>
          <w:rFonts w:ascii="Arial Narrow" w:hAnsi="Arial Narrow"/>
          <w:sz w:val="18"/>
          <w:szCs w:val="18"/>
        </w:rPr>
      </w:pPr>
      <w:r w:rsidRPr="00865B5A">
        <w:rPr>
          <w:rFonts w:ascii="Arial Narrow" w:hAnsi="Arial Narrow"/>
          <w:sz w:val="18"/>
          <w:szCs w:val="18"/>
        </w:rPr>
        <w:t>Breast</w:t>
      </w:r>
      <w:r w:rsidR="00A21089">
        <w:rPr>
          <w:rFonts w:ascii="Arial Narrow" w:hAnsi="Arial Narrow"/>
          <w:sz w:val="18"/>
          <w:szCs w:val="18"/>
        </w:rPr>
        <w:t xml:space="preserve"> from </w:t>
      </w:r>
      <w:r w:rsidR="00A21089" w:rsidRPr="00A21089">
        <w:rPr>
          <w:rFonts w:ascii="Arial Narrow" w:hAnsi="Arial Narrow"/>
          <w:sz w:val="18"/>
          <w:szCs w:val="18"/>
        </w:rPr>
        <w:t>Lew et al (2019)</w:t>
      </w:r>
      <w:r w:rsidRPr="00865B5A">
        <w:rPr>
          <w:rFonts w:ascii="Arial Narrow" w:hAnsi="Arial Narrow"/>
          <w:sz w:val="18"/>
          <w:szCs w:val="18"/>
        </w:rPr>
        <w:t xml:space="preserve"> – biennial mammography 50-74</w:t>
      </w:r>
      <w:r w:rsidR="00D06CC9">
        <w:rPr>
          <w:rFonts w:ascii="Arial Narrow" w:hAnsi="Arial Narrow"/>
          <w:sz w:val="18"/>
          <w:szCs w:val="18"/>
        </w:rPr>
        <w:t xml:space="preserve"> years of age</w:t>
      </w:r>
      <w:r w:rsidRPr="00865B5A">
        <w:rPr>
          <w:rFonts w:ascii="Arial Narrow" w:hAnsi="Arial Narrow"/>
          <w:sz w:val="18"/>
          <w:szCs w:val="18"/>
        </w:rPr>
        <w:t xml:space="preserve">, **underestimate, only </w:t>
      </w:r>
      <w:r w:rsidR="00A21089">
        <w:rPr>
          <w:rFonts w:ascii="Arial Narrow" w:hAnsi="Arial Narrow"/>
          <w:sz w:val="18"/>
          <w:szCs w:val="18"/>
        </w:rPr>
        <w:t xml:space="preserve">includes </w:t>
      </w:r>
      <w:proofErr w:type="spellStart"/>
      <w:r w:rsidRPr="00865B5A">
        <w:rPr>
          <w:rFonts w:ascii="Arial Narrow" w:hAnsi="Arial Narrow"/>
          <w:sz w:val="18"/>
          <w:szCs w:val="18"/>
        </w:rPr>
        <w:t>BreastScreen</w:t>
      </w:r>
      <w:proofErr w:type="spellEnd"/>
      <w:r w:rsidRPr="00865B5A">
        <w:rPr>
          <w:rFonts w:ascii="Arial Narrow" w:hAnsi="Arial Narrow"/>
          <w:sz w:val="18"/>
          <w:szCs w:val="18"/>
        </w:rPr>
        <w:t xml:space="preserve"> costs, not </w:t>
      </w:r>
      <w:r w:rsidR="00A21089">
        <w:rPr>
          <w:rFonts w:ascii="Arial Narrow" w:hAnsi="Arial Narrow"/>
          <w:sz w:val="18"/>
          <w:szCs w:val="18"/>
        </w:rPr>
        <w:t>costs for</w:t>
      </w:r>
      <w:r w:rsidR="00A21089" w:rsidRPr="00865B5A">
        <w:rPr>
          <w:rFonts w:ascii="Arial Narrow" w:hAnsi="Arial Narrow"/>
          <w:sz w:val="18"/>
          <w:szCs w:val="18"/>
        </w:rPr>
        <w:t xml:space="preserve"> breast cancer treatment </w:t>
      </w:r>
      <w:r w:rsidR="00A21089">
        <w:rPr>
          <w:rFonts w:ascii="Arial Narrow" w:hAnsi="Arial Narrow"/>
          <w:sz w:val="18"/>
          <w:szCs w:val="18"/>
        </w:rPr>
        <w:t xml:space="preserve">including </w:t>
      </w:r>
      <w:r w:rsidRPr="00865B5A">
        <w:rPr>
          <w:rFonts w:ascii="Arial Narrow" w:hAnsi="Arial Narrow"/>
          <w:sz w:val="18"/>
          <w:szCs w:val="18"/>
        </w:rPr>
        <w:t>to state</w:t>
      </w:r>
      <w:r w:rsidR="00A21089">
        <w:rPr>
          <w:rFonts w:ascii="Arial Narrow" w:hAnsi="Arial Narrow"/>
          <w:sz w:val="18"/>
          <w:szCs w:val="18"/>
        </w:rPr>
        <w:t>s</w:t>
      </w:r>
      <w:r w:rsidRPr="00865B5A">
        <w:rPr>
          <w:rFonts w:ascii="Arial Narrow" w:hAnsi="Arial Narrow"/>
          <w:sz w:val="18"/>
          <w:szCs w:val="18"/>
        </w:rPr>
        <w:t xml:space="preserve">/territories </w:t>
      </w:r>
      <w:r w:rsidR="00D06CC9">
        <w:rPr>
          <w:rFonts w:ascii="Arial Narrow" w:hAnsi="Arial Narrow"/>
          <w:sz w:val="18"/>
          <w:szCs w:val="18"/>
        </w:rPr>
        <w:t xml:space="preserve">via the </w:t>
      </w:r>
      <w:r w:rsidRPr="00865B5A">
        <w:rPr>
          <w:rFonts w:ascii="Arial Narrow" w:hAnsi="Arial Narrow"/>
          <w:sz w:val="18"/>
          <w:szCs w:val="18"/>
        </w:rPr>
        <w:t>National Health</w:t>
      </w:r>
      <w:r w:rsidR="00D06CC9">
        <w:rPr>
          <w:rFonts w:ascii="Arial Narrow" w:hAnsi="Arial Narrow"/>
          <w:sz w:val="18"/>
          <w:szCs w:val="18"/>
        </w:rPr>
        <w:t>c</w:t>
      </w:r>
      <w:r w:rsidRPr="00865B5A">
        <w:rPr>
          <w:rFonts w:ascii="Arial Narrow" w:hAnsi="Arial Narrow"/>
          <w:sz w:val="18"/>
          <w:szCs w:val="18"/>
        </w:rPr>
        <w:t xml:space="preserve">are </w:t>
      </w:r>
      <w:r w:rsidR="00D06CC9">
        <w:rPr>
          <w:rFonts w:ascii="Arial Narrow" w:hAnsi="Arial Narrow"/>
          <w:sz w:val="18"/>
          <w:szCs w:val="18"/>
        </w:rPr>
        <w:t>Reform A</w:t>
      </w:r>
      <w:r w:rsidRPr="00865B5A">
        <w:rPr>
          <w:rFonts w:ascii="Arial Narrow" w:hAnsi="Arial Narrow"/>
          <w:sz w:val="18"/>
          <w:szCs w:val="18"/>
        </w:rPr>
        <w:t>greement</w:t>
      </w:r>
    </w:p>
    <w:p w14:paraId="7E68AD52" w14:textId="3DB45C73" w:rsidR="00CC3245" w:rsidRPr="00865B5A" w:rsidRDefault="00CC3245" w:rsidP="00865B5A">
      <w:pPr>
        <w:pStyle w:val="NormalBeforeBullet"/>
        <w:keepNext w:val="0"/>
        <w:spacing w:before="0" w:after="160"/>
        <w:rPr>
          <w:rFonts w:ascii="Arial Narrow" w:hAnsi="Arial Narrow"/>
          <w:sz w:val="18"/>
          <w:szCs w:val="18"/>
        </w:rPr>
      </w:pPr>
      <w:r w:rsidRPr="00865B5A">
        <w:rPr>
          <w:rFonts w:ascii="Arial Narrow" w:hAnsi="Arial Narrow"/>
          <w:sz w:val="18"/>
          <w:szCs w:val="18"/>
        </w:rPr>
        <w:t>Colorectal</w:t>
      </w:r>
      <w:r w:rsidR="00A21089">
        <w:rPr>
          <w:rFonts w:ascii="Arial Narrow" w:hAnsi="Arial Narrow"/>
          <w:sz w:val="18"/>
          <w:szCs w:val="18"/>
        </w:rPr>
        <w:t xml:space="preserve"> from </w:t>
      </w:r>
      <w:r w:rsidR="00A21089" w:rsidRPr="00A21089">
        <w:rPr>
          <w:rFonts w:ascii="Arial Narrow" w:hAnsi="Arial Narrow"/>
          <w:sz w:val="18"/>
          <w:szCs w:val="18"/>
        </w:rPr>
        <w:t>Lew et al (2019)</w:t>
      </w:r>
      <w:r w:rsidRPr="00865B5A">
        <w:rPr>
          <w:rFonts w:ascii="Arial Narrow" w:hAnsi="Arial Narrow"/>
          <w:sz w:val="18"/>
          <w:szCs w:val="18"/>
        </w:rPr>
        <w:t xml:space="preserve"> – biennial </w:t>
      </w:r>
      <w:proofErr w:type="spellStart"/>
      <w:r w:rsidRPr="00865B5A">
        <w:rPr>
          <w:rFonts w:ascii="Arial Narrow" w:hAnsi="Arial Narrow"/>
          <w:sz w:val="18"/>
          <w:szCs w:val="18"/>
        </w:rPr>
        <w:t>iFOBT</w:t>
      </w:r>
      <w:proofErr w:type="spellEnd"/>
      <w:r w:rsidRPr="00865B5A">
        <w:rPr>
          <w:rFonts w:ascii="Arial Narrow" w:hAnsi="Arial Narrow"/>
          <w:sz w:val="18"/>
          <w:szCs w:val="18"/>
        </w:rPr>
        <w:t xml:space="preserve"> 50-74</w:t>
      </w:r>
      <w:r w:rsidR="00D06CC9">
        <w:rPr>
          <w:rFonts w:ascii="Arial Narrow" w:hAnsi="Arial Narrow"/>
          <w:sz w:val="18"/>
          <w:szCs w:val="18"/>
        </w:rPr>
        <w:t xml:space="preserve"> years of age</w:t>
      </w:r>
    </w:p>
    <w:p w14:paraId="5A256A0A" w14:textId="37A4DD06" w:rsidR="000028E8" w:rsidRDefault="00F903AE" w:rsidP="00E342BB">
      <w:pPr>
        <w:pStyle w:val="NormalBeforeBullet"/>
        <w:keepNext w:val="0"/>
        <w:spacing w:before="240"/>
      </w:pPr>
      <w:r>
        <w:t xml:space="preserve">MSAC </w:t>
      </w:r>
      <w:r w:rsidR="00382A8D">
        <w:t>recalled</w:t>
      </w:r>
      <w:r>
        <w:t xml:space="preserve"> that it had deferred its consideration of the application to seek further information from the applicant </w:t>
      </w:r>
      <w:r w:rsidR="004A6F3D">
        <w:t xml:space="preserve">including </w:t>
      </w:r>
      <w:r>
        <w:t xml:space="preserve">on whether a lower ICER closer to $20,000 was achievable by redefining population </w:t>
      </w:r>
      <w:r w:rsidR="004A6F3D">
        <w:t xml:space="preserve">criteria </w:t>
      </w:r>
      <w:r>
        <w:t xml:space="preserve">and screening intervals. MSAC noted that it was now clear from the comprehensive modelling undertaken by the applicant that an ICER closer to $20,000 was not feasible for a </w:t>
      </w:r>
      <w:r w:rsidR="004A6F3D">
        <w:t xml:space="preserve">lung </w:t>
      </w:r>
      <w:r>
        <w:t xml:space="preserve">cancer screening program. MSAC </w:t>
      </w:r>
      <w:r w:rsidR="00C1172E">
        <w:t>considered</w:t>
      </w:r>
      <w:r>
        <w:t xml:space="preserve"> that while it had </w:t>
      </w:r>
      <w:r w:rsidR="00DF5070">
        <w:t xml:space="preserve">not accepted </w:t>
      </w:r>
      <w:r>
        <w:t>ICER</w:t>
      </w:r>
      <w:r w:rsidR="00DF5070">
        <w:t>s</w:t>
      </w:r>
      <w:r>
        <w:t xml:space="preserve"> of $51,</w:t>
      </w:r>
      <w:r w:rsidR="00510879">
        <w:t>501</w:t>
      </w:r>
      <w:r>
        <w:t xml:space="preserve">/QALY </w:t>
      </w:r>
      <w:r w:rsidR="00DF5070">
        <w:t xml:space="preserve">to $83,545/QALY </w:t>
      </w:r>
      <w:r>
        <w:t xml:space="preserve">in the </w:t>
      </w:r>
      <w:r w:rsidR="00382A8D">
        <w:t xml:space="preserve">initial </w:t>
      </w:r>
      <w:r>
        <w:t xml:space="preserve">application, </w:t>
      </w:r>
      <w:r w:rsidR="00DF5070">
        <w:t>these previous ICERs were</w:t>
      </w:r>
      <w:r>
        <w:t xml:space="preserve"> subject to considerable uncertainty. By contrast</w:t>
      </w:r>
      <w:r w:rsidR="00C1172E">
        <w:t>, MSAC considered that</w:t>
      </w:r>
      <w:r>
        <w:t xml:space="preserve"> the </w:t>
      </w:r>
      <w:r w:rsidR="00510879">
        <w:t xml:space="preserve">base case </w:t>
      </w:r>
      <w:r>
        <w:t xml:space="preserve">ICER </w:t>
      </w:r>
      <w:r w:rsidR="00C1172E">
        <w:t xml:space="preserve">for MSAC’s supported </w:t>
      </w:r>
      <w:r w:rsidR="00684B30">
        <w:t xml:space="preserve">scenario </w:t>
      </w:r>
      <w:r w:rsidR="00C1172E">
        <w:t xml:space="preserve">NLST#110 </w:t>
      </w:r>
      <w:r>
        <w:t>of $65,</w:t>
      </w:r>
      <w:r w:rsidR="00C1172E">
        <w:t>663</w:t>
      </w:r>
      <w:r>
        <w:t xml:space="preserve">/QALY associated with </w:t>
      </w:r>
      <w:r w:rsidR="00C1172E">
        <w:t>its chosen</w:t>
      </w:r>
      <w:r>
        <w:t xml:space="preserve"> specifications, although </w:t>
      </w:r>
      <w:r w:rsidR="00DF5070">
        <w:t>in the same range</w:t>
      </w:r>
      <w:r>
        <w:t xml:space="preserve">, was based on a greater level of confidence than the </w:t>
      </w:r>
      <w:r w:rsidR="00382A8D">
        <w:t xml:space="preserve">initial consideration </w:t>
      </w:r>
      <w:r w:rsidR="00510879">
        <w:t xml:space="preserve">because it more plausibly included all the expected substantial cost and QALY consequences. </w:t>
      </w:r>
      <w:r w:rsidR="00C1172E">
        <w:t>MSAC</w:t>
      </w:r>
      <w:r w:rsidR="00684B30">
        <w:t xml:space="preserve"> therefore advised that this ICER was </w:t>
      </w:r>
      <w:r>
        <w:t xml:space="preserve">acceptable </w:t>
      </w:r>
      <w:r w:rsidR="00684B30">
        <w:t>on the ground</w:t>
      </w:r>
      <w:r w:rsidR="003A7D20">
        <w:t>s</w:t>
      </w:r>
      <w:r w:rsidR="00684B30">
        <w:t xml:space="preserve"> of being comprehensively scrutinised </w:t>
      </w:r>
      <w:proofErr w:type="gramStart"/>
      <w:r w:rsidR="00684B30">
        <w:t xml:space="preserve">and </w:t>
      </w:r>
      <w:r w:rsidR="003A7D20">
        <w:t>also</w:t>
      </w:r>
      <w:proofErr w:type="gramEnd"/>
      <w:r w:rsidR="003A7D20">
        <w:t xml:space="preserve"> </w:t>
      </w:r>
      <w:r w:rsidR="00684B30">
        <w:t xml:space="preserve">contextualised </w:t>
      </w:r>
      <w:r>
        <w:t xml:space="preserve">in terms of </w:t>
      </w:r>
      <w:r w:rsidR="003A7D20">
        <w:t>other</w:t>
      </w:r>
      <w:r w:rsidR="001C5CBC">
        <w:t xml:space="preserve"> trade</w:t>
      </w:r>
      <w:r w:rsidR="00865B5A">
        <w:t>-</w:t>
      </w:r>
      <w:r w:rsidR="001C5CBC">
        <w:t xml:space="preserve">offs </w:t>
      </w:r>
      <w:r w:rsidR="00684B30">
        <w:t xml:space="preserve">across </w:t>
      </w:r>
      <w:r>
        <w:t>clinical benefits and health outcomes</w:t>
      </w:r>
      <w:r w:rsidR="00684B30">
        <w:t xml:space="preserve"> not fully captured in this ratio</w:t>
      </w:r>
      <w:r>
        <w:t>.</w:t>
      </w:r>
      <w:r w:rsidR="001C5CBC">
        <w:t xml:space="preserve"> MSAC </w:t>
      </w:r>
      <w:r w:rsidR="003A7D20">
        <w:t>considered</w:t>
      </w:r>
      <w:r w:rsidR="00684B30">
        <w:t xml:space="preserve"> </w:t>
      </w:r>
      <w:r w:rsidR="001C5CBC">
        <w:t xml:space="preserve">that the </w:t>
      </w:r>
      <w:r w:rsidR="00684B30">
        <w:t xml:space="preserve">more fully </w:t>
      </w:r>
      <w:r w:rsidR="001C5CBC">
        <w:t>reported results</w:t>
      </w:r>
      <w:r w:rsidR="00AD1C7A">
        <w:t xml:space="preserve"> (particularly for non-ICER outcomes)</w:t>
      </w:r>
      <w:r w:rsidR="001C5CBC">
        <w:t xml:space="preserve"> </w:t>
      </w:r>
      <w:r w:rsidR="00684B30">
        <w:t xml:space="preserve">across all the potential candidate scenarios </w:t>
      </w:r>
      <w:r w:rsidR="00106125">
        <w:t xml:space="preserve">enabled it </w:t>
      </w:r>
      <w:r w:rsidR="001C5CBC">
        <w:t>to</w:t>
      </w:r>
      <w:r w:rsidR="00B55535">
        <w:t xml:space="preserve"> make</w:t>
      </w:r>
      <w:r w:rsidR="001C5CBC">
        <w:t xml:space="preserve"> these trade</w:t>
      </w:r>
      <w:r w:rsidR="00865B5A">
        <w:t>-</w:t>
      </w:r>
      <w:r w:rsidR="001C5CBC">
        <w:t xml:space="preserve">offs </w:t>
      </w:r>
      <w:r w:rsidR="00106125">
        <w:t xml:space="preserve">transparently when nominating </w:t>
      </w:r>
      <w:r w:rsidR="001C5CBC">
        <w:t xml:space="preserve">the </w:t>
      </w:r>
      <w:r w:rsidR="00684B30">
        <w:t>optimal</w:t>
      </w:r>
      <w:r w:rsidR="001C5CBC">
        <w:t xml:space="preserve"> </w:t>
      </w:r>
      <w:r w:rsidR="00106125">
        <w:t>scenario</w:t>
      </w:r>
      <w:r w:rsidR="008273D2">
        <w:t>.</w:t>
      </w:r>
    </w:p>
    <w:p w14:paraId="7B066474" w14:textId="0739C754" w:rsidR="002370A2" w:rsidRDefault="00821964" w:rsidP="00B543D4">
      <w:r w:rsidRPr="003E0769">
        <w:t>MSAC also</w:t>
      </w:r>
      <w:r w:rsidR="003E0769" w:rsidRPr="00344673">
        <w:t xml:space="preserve"> </w:t>
      </w:r>
      <w:r w:rsidR="00684B30">
        <w:t xml:space="preserve">advised </w:t>
      </w:r>
      <w:r w:rsidR="003E0769" w:rsidRPr="00344673">
        <w:t xml:space="preserve">that a </w:t>
      </w:r>
      <w:proofErr w:type="gramStart"/>
      <w:r w:rsidR="00BD1FC7" w:rsidRPr="003E0769">
        <w:t>higher</w:t>
      </w:r>
      <w:proofErr w:type="gramEnd"/>
      <w:r w:rsidR="00BD1FC7" w:rsidRPr="003E0769">
        <w:t xml:space="preserve"> but more </w:t>
      </w:r>
      <w:r w:rsidR="003A7D20">
        <w:t xml:space="preserve">robust </w:t>
      </w:r>
      <w:r w:rsidR="00DC1E43">
        <w:t xml:space="preserve">base case </w:t>
      </w:r>
      <w:r w:rsidRPr="003E0769">
        <w:t>ICER</w:t>
      </w:r>
      <w:r w:rsidR="00BD1FC7">
        <w:t xml:space="preserve"> </w:t>
      </w:r>
      <w:r w:rsidR="00684B30">
        <w:t xml:space="preserve">was acceptable in the context of related </w:t>
      </w:r>
      <w:r>
        <w:t xml:space="preserve">equity </w:t>
      </w:r>
      <w:r w:rsidR="00EE142D">
        <w:t>issues</w:t>
      </w:r>
      <w:r w:rsidR="00BD1FC7">
        <w:t xml:space="preserve"> – in particular there </w:t>
      </w:r>
      <w:r w:rsidR="00684B30">
        <w:t>is</w:t>
      </w:r>
      <w:r w:rsidR="00BD1FC7">
        <w:t xml:space="preserve"> a </w:t>
      </w:r>
      <w:r w:rsidR="00B543D4">
        <w:t>higher risk of lung cancer in r</w:t>
      </w:r>
      <w:r w:rsidR="00B543D4" w:rsidRPr="00B543D4">
        <w:t>ural and remote settings</w:t>
      </w:r>
      <w:r w:rsidR="00B543D4">
        <w:t xml:space="preserve">, </w:t>
      </w:r>
      <w:r w:rsidR="00B543D4" w:rsidRPr="00B543D4">
        <w:t>Australians of lower socioeconomic status</w:t>
      </w:r>
      <w:r w:rsidR="00B543D4">
        <w:t xml:space="preserve"> and </w:t>
      </w:r>
      <w:r w:rsidR="00B543D4" w:rsidRPr="00B543D4">
        <w:t>Aboriginal and Torres Strait Islander people</w:t>
      </w:r>
      <w:r w:rsidR="007910B4">
        <w:t>.</w:t>
      </w:r>
      <w:r w:rsidR="00B543D4">
        <w:t xml:space="preserve"> </w:t>
      </w:r>
      <w:r w:rsidR="00BD1FC7">
        <w:t xml:space="preserve">MSAC </w:t>
      </w:r>
      <w:r w:rsidR="00B543D4">
        <w:t>considered th</w:t>
      </w:r>
      <w:r w:rsidR="00BD1FC7">
        <w:t xml:space="preserve">at an </w:t>
      </w:r>
      <w:r w:rsidR="00B543D4">
        <w:t>ICER</w:t>
      </w:r>
      <w:r w:rsidR="00BD1FC7">
        <w:t xml:space="preserve"> of this magnitude was </w:t>
      </w:r>
      <w:r w:rsidR="00B543D4">
        <w:t xml:space="preserve">acceptable </w:t>
      </w:r>
      <w:r w:rsidR="00BD1FC7">
        <w:t xml:space="preserve">as a </w:t>
      </w:r>
      <w:r w:rsidR="00B543D4">
        <w:t xml:space="preserve">screening program </w:t>
      </w:r>
      <w:r w:rsidR="00684B30">
        <w:t>that encompassed</w:t>
      </w:r>
      <w:r w:rsidR="00B543D4">
        <w:t xml:space="preserve"> these groups.</w:t>
      </w:r>
      <w:r w:rsidR="009471D3" w:rsidRPr="009471D3">
        <w:t xml:space="preserve"> </w:t>
      </w:r>
      <w:r w:rsidR="00F02153">
        <w:t xml:space="preserve">As noted in </w:t>
      </w:r>
      <w:r w:rsidR="00F02153" w:rsidRPr="00FA7CEA">
        <w:t xml:space="preserve">Table </w:t>
      </w:r>
      <w:r w:rsidR="00FA7CEA">
        <w:t>7</w:t>
      </w:r>
      <w:r w:rsidR="00F02153">
        <w:t xml:space="preserve">, the outcomes of the proposed Program are </w:t>
      </w:r>
      <w:proofErr w:type="gramStart"/>
      <w:r w:rsidR="00684B30">
        <w:t>similar</w:t>
      </w:r>
      <w:r w:rsidR="00F02153">
        <w:t xml:space="preserve"> to</w:t>
      </w:r>
      <w:proofErr w:type="gramEnd"/>
      <w:r w:rsidR="007910B4">
        <w:t>,</w:t>
      </w:r>
      <w:r w:rsidR="00F02153">
        <w:t xml:space="preserve"> and in the case of some outcomes, superior to those of other Australian cancer screening programs. </w:t>
      </w:r>
      <w:r w:rsidR="009471D3">
        <w:t>MSAC also noted</w:t>
      </w:r>
      <w:r w:rsidR="00F02153">
        <w:t xml:space="preserve"> the context of unavoidably high total costs and opportunity costs associated with screening programs and that there are also </w:t>
      </w:r>
      <w:r w:rsidR="009471D3">
        <w:t>opportunity costs</w:t>
      </w:r>
      <w:r w:rsidR="004A55F9">
        <w:t xml:space="preserve"> associated with not supporting this </w:t>
      </w:r>
      <w:r w:rsidR="0044701D">
        <w:t>P</w:t>
      </w:r>
      <w:r w:rsidR="009471D3">
        <w:t>rogram</w:t>
      </w:r>
      <w:r w:rsidR="00F02153">
        <w:t xml:space="preserve">, </w:t>
      </w:r>
      <w:proofErr w:type="gramStart"/>
      <w:r w:rsidR="00F02153">
        <w:t>e.g.</w:t>
      </w:r>
      <w:proofErr w:type="gramEnd"/>
      <w:r w:rsidR="00F02153">
        <w:t xml:space="preserve"> </w:t>
      </w:r>
      <w:r w:rsidR="009471D3">
        <w:t>it is more cost-effective to screen for and treat earlier</w:t>
      </w:r>
      <w:r w:rsidR="00C31064">
        <w:t>-</w:t>
      </w:r>
      <w:r w:rsidR="009471D3">
        <w:t xml:space="preserve">stage lung cancer than late-stage lung cancer. </w:t>
      </w:r>
      <w:r w:rsidR="009471D3" w:rsidRPr="00962E24">
        <w:t xml:space="preserve">MSAC </w:t>
      </w:r>
      <w:r w:rsidR="00684B30">
        <w:t xml:space="preserve">also </w:t>
      </w:r>
      <w:r w:rsidR="009471D3" w:rsidRPr="00962E24">
        <w:t xml:space="preserve">queried whether economies of scale in CT </w:t>
      </w:r>
      <w:r w:rsidR="009471D3" w:rsidRPr="00962E24">
        <w:lastRenderedPageBreak/>
        <w:t xml:space="preserve">scans may allow the MBS fee to be reduced at </w:t>
      </w:r>
      <w:r w:rsidR="00C31064">
        <w:t xml:space="preserve">a </w:t>
      </w:r>
      <w:r w:rsidR="009471D3" w:rsidRPr="00962E24">
        <w:t xml:space="preserve">later point in the </w:t>
      </w:r>
      <w:r w:rsidR="0044701D">
        <w:t>P</w:t>
      </w:r>
      <w:r w:rsidR="009471D3" w:rsidRPr="00962E24">
        <w:t xml:space="preserve">rogram’s delivery, which </w:t>
      </w:r>
      <w:r w:rsidR="00EE142D">
        <w:t>may result in a</w:t>
      </w:r>
      <w:r w:rsidR="009471D3" w:rsidRPr="00962E24">
        <w:t xml:space="preserve"> lower ICER in the future.</w:t>
      </w:r>
    </w:p>
    <w:p w14:paraId="1DDFC40A" w14:textId="5A5D5DC0" w:rsidR="002115EE" w:rsidRDefault="002115EE" w:rsidP="00B543D4">
      <w:r>
        <w:t xml:space="preserve">MSAC </w:t>
      </w:r>
      <w:r w:rsidR="00DC1E43">
        <w:t xml:space="preserve">further advised that its acceptance of the base case ICER was influenced by </w:t>
      </w:r>
      <w:r>
        <w:t>the updated sensitivity analys</w:t>
      </w:r>
      <w:r w:rsidR="00DC1E43">
        <w:t>e</w:t>
      </w:r>
      <w:r>
        <w:t>s</w:t>
      </w:r>
      <w:r w:rsidR="00DC1E43">
        <w:t xml:space="preserve"> involving </w:t>
      </w:r>
      <w:proofErr w:type="gramStart"/>
      <w:r w:rsidR="00DC1E43">
        <w:t>less</w:t>
      </w:r>
      <w:proofErr w:type="gramEnd"/>
      <w:r w:rsidR="00DC1E43">
        <w:t xml:space="preserve"> conservative assumptions against the proposed Program. For example</w:t>
      </w:r>
      <w:r w:rsidR="00EC5D23">
        <w:t xml:space="preserve">, that </w:t>
      </w:r>
      <w:r w:rsidR="00F02153">
        <w:t xml:space="preserve">assuming </w:t>
      </w:r>
      <w:r w:rsidR="00EC5D23">
        <w:t>a</w:t>
      </w:r>
      <w:r w:rsidR="00DC1E43">
        <w:t>n annual</w:t>
      </w:r>
      <w:r w:rsidR="00EC5D23">
        <w:t xml:space="preserve"> discount rate of 3% instead of 5%</w:t>
      </w:r>
      <w:r w:rsidR="00DE3E39">
        <w:t xml:space="preserve">, </w:t>
      </w:r>
      <w:r w:rsidR="00F02153">
        <w:t>a decrease in initial phase</w:t>
      </w:r>
      <w:r w:rsidR="00986FF0">
        <w:t xml:space="preserve"> of care</w:t>
      </w:r>
      <w:r w:rsidR="00F02153">
        <w:t xml:space="preserve"> </w:t>
      </w:r>
      <w:r w:rsidR="00DE3E39">
        <w:t xml:space="preserve">costs </w:t>
      </w:r>
      <w:r w:rsidR="00986FF0">
        <w:t xml:space="preserve">for stage I and II cancers </w:t>
      </w:r>
      <w:r w:rsidR="00F02153">
        <w:t xml:space="preserve">of 20% and a </w:t>
      </w:r>
      <w:r w:rsidR="00DE3E39">
        <w:t xml:space="preserve">life expectancy </w:t>
      </w:r>
      <w:r w:rsidR="00F02153">
        <w:t>threshold of 5 years</w:t>
      </w:r>
      <w:r w:rsidR="00986FF0">
        <w:t xml:space="preserve"> (</w:t>
      </w:r>
      <w:proofErr w:type="gramStart"/>
      <w:r w:rsidR="00986FF0">
        <w:t>i.e.</w:t>
      </w:r>
      <w:proofErr w:type="gramEnd"/>
      <w:r w:rsidR="00986FF0">
        <w:t xml:space="preserve"> assuming that </w:t>
      </w:r>
      <w:r w:rsidR="00986FF0" w:rsidRPr="00986FF0">
        <w:t>people with a life-expectancy of less than 5</w:t>
      </w:r>
      <w:r w:rsidR="00417F9F">
        <w:t xml:space="preserve"> </w:t>
      </w:r>
      <w:r w:rsidR="00986FF0" w:rsidRPr="00986FF0">
        <w:t>years would not uptake screening</w:t>
      </w:r>
      <w:r w:rsidR="00986FF0">
        <w:t xml:space="preserve">) </w:t>
      </w:r>
      <w:r w:rsidR="00DE3E39">
        <w:t>the ICE</w:t>
      </w:r>
      <w:r w:rsidR="00986FF0">
        <w:t>R</w:t>
      </w:r>
      <w:r w:rsidR="00DE3E39">
        <w:t xml:space="preserve"> decreased to as low as $3</w:t>
      </w:r>
      <w:r w:rsidR="00F02153">
        <w:t>9</w:t>
      </w:r>
      <w:r w:rsidR="00DE3E39">
        <w:t>,</w:t>
      </w:r>
      <w:r w:rsidR="00F02153">
        <w:t>059</w:t>
      </w:r>
      <w:r w:rsidR="00DE3E39">
        <w:t>/QALY</w:t>
      </w:r>
      <w:r w:rsidR="00F02153">
        <w:t xml:space="preserve"> for NLST#110</w:t>
      </w:r>
      <w:r w:rsidR="00694DFC">
        <w:rPr>
          <w:rStyle w:val="FootnoteReference"/>
        </w:rPr>
        <w:footnoteReference w:id="13"/>
      </w:r>
      <w:r w:rsidR="00DE3E39">
        <w:t>.</w:t>
      </w:r>
      <w:r w:rsidR="00DC1E43">
        <w:t xml:space="preserve"> In relation to the annual discount rate</w:t>
      </w:r>
      <w:r w:rsidR="001568F1">
        <w:t xml:space="preserve"> and other relevant factors</w:t>
      </w:r>
      <w:r w:rsidR="00DC1E43">
        <w:t xml:space="preserve">, </w:t>
      </w:r>
      <w:r w:rsidR="00B73E37">
        <w:t xml:space="preserve">MSAC noted that the </w:t>
      </w:r>
      <w:r w:rsidR="001568F1">
        <w:t xml:space="preserve">November 2019 </w:t>
      </w:r>
      <w:r w:rsidR="00B73E37">
        <w:t xml:space="preserve">Pharmaceutical Benefits Advisory Committee </w:t>
      </w:r>
      <w:r w:rsidR="001568F1">
        <w:t xml:space="preserve">meeting </w:t>
      </w:r>
      <w:r w:rsidR="00DC1E43">
        <w:t xml:space="preserve">had </w:t>
      </w:r>
      <w:r w:rsidR="00B73E37">
        <w:t>previously considered a 3</w:t>
      </w:r>
      <w:r w:rsidR="00DF5070">
        <w:t>.5</w:t>
      </w:r>
      <w:r w:rsidR="00B73E37">
        <w:t xml:space="preserve">% </w:t>
      </w:r>
      <w:r w:rsidR="00DC1E43">
        <w:t xml:space="preserve">annual </w:t>
      </w:r>
      <w:r w:rsidR="00B73E37">
        <w:t xml:space="preserve">discount </w:t>
      </w:r>
      <w:r w:rsidR="00DC1E43">
        <w:t xml:space="preserve">rate </w:t>
      </w:r>
      <w:r w:rsidR="00DF5070">
        <w:t xml:space="preserve">and other consequences beyond those captured in an ICER </w:t>
      </w:r>
      <w:r w:rsidR="00B73E37">
        <w:t xml:space="preserve">to be informative when considering a population-based </w:t>
      </w:r>
      <w:r w:rsidR="00DF5070">
        <w:t>intervention (a vaccine for meningococcal group B)</w:t>
      </w:r>
      <w:r w:rsidR="00B73E37">
        <w:t>.</w:t>
      </w:r>
      <w:r w:rsidR="004A55F9">
        <w:t xml:space="preserve"> However</w:t>
      </w:r>
      <w:r w:rsidR="001568F1">
        <w:t>,</w:t>
      </w:r>
      <w:r w:rsidR="004A55F9">
        <w:t xml:space="preserve"> MSAC also considered that </w:t>
      </w:r>
      <w:r w:rsidR="001568F1">
        <w:t xml:space="preserve">it would not </w:t>
      </w:r>
      <w:r w:rsidR="00DF5070">
        <w:t xml:space="preserve">rely exclusively on an </w:t>
      </w:r>
      <w:r w:rsidR="004A55F9">
        <w:t xml:space="preserve">ICER based on a lower </w:t>
      </w:r>
      <w:r w:rsidR="00DC1E43">
        <w:t xml:space="preserve">annual </w:t>
      </w:r>
      <w:r w:rsidR="004A55F9">
        <w:t xml:space="preserve">discount rate of 3% as it was more appropriate to compare the current base case ICER with the base case ICER </w:t>
      </w:r>
      <w:r w:rsidR="00DF5070">
        <w:t xml:space="preserve">from </w:t>
      </w:r>
      <w:r w:rsidR="004A55F9">
        <w:t xml:space="preserve">the </w:t>
      </w:r>
      <w:r w:rsidR="00382A8D">
        <w:t>initial</w:t>
      </w:r>
      <w:r w:rsidR="004A55F9">
        <w:t xml:space="preserve"> application </w:t>
      </w:r>
      <w:r w:rsidR="00DC1E43">
        <w:t xml:space="preserve">and </w:t>
      </w:r>
      <w:r w:rsidR="00DF5070">
        <w:t xml:space="preserve">with </w:t>
      </w:r>
      <w:r w:rsidR="00DC1E43">
        <w:t xml:space="preserve">all other MSAC and PBAC applications relying on an ICER </w:t>
      </w:r>
      <w:r w:rsidR="004A55F9">
        <w:t xml:space="preserve">using the same </w:t>
      </w:r>
      <w:r w:rsidR="00DC1E43">
        <w:t xml:space="preserve">annual </w:t>
      </w:r>
      <w:r w:rsidR="004A55F9">
        <w:t>discount rate of 5%.</w:t>
      </w:r>
    </w:p>
    <w:p w14:paraId="2FEB1F07" w14:textId="54CE5E71" w:rsidR="00FA1724" w:rsidRDefault="00FA1724" w:rsidP="00B543D4">
      <w:r>
        <w:t>MSAC considered from an equity perspective that it was appropriate that the ICER was agnostic of whether smoking induced lung cancer could be described as a self-inflicted disease. MSAC considered that the ethical issues raised by this description needed to be balanced against the addictive nature of smoking and that the timing of a decision to start smoking is far removed from the later negative consequences.</w:t>
      </w:r>
    </w:p>
    <w:p w14:paraId="418C0650" w14:textId="1AC5C434" w:rsidR="000254DD" w:rsidRDefault="00196F8A" w:rsidP="00196F8A">
      <w:r>
        <w:t xml:space="preserve">MSAC noted that the </w:t>
      </w:r>
      <w:r w:rsidR="00777EBF">
        <w:t xml:space="preserve">revised </w:t>
      </w:r>
      <w:r w:rsidR="006A4BB6">
        <w:t xml:space="preserve">financial </w:t>
      </w:r>
      <w:r>
        <w:t>analys</w:t>
      </w:r>
      <w:r w:rsidR="00D00603">
        <w:t>e</w:t>
      </w:r>
      <w:r>
        <w:t xml:space="preserve">s </w:t>
      </w:r>
      <w:r w:rsidR="00777EBF">
        <w:t>w</w:t>
      </w:r>
      <w:r w:rsidR="00D00603">
        <w:t>ere</w:t>
      </w:r>
      <w:r>
        <w:t xml:space="preserve"> m</w:t>
      </w:r>
      <w:r w:rsidRPr="00196F8A">
        <w:t>ore comprehensive</w:t>
      </w:r>
      <w:r>
        <w:t xml:space="preserve"> than </w:t>
      </w:r>
      <w:r w:rsidR="00777EBF">
        <w:t xml:space="preserve">those </w:t>
      </w:r>
      <w:r>
        <w:t>presented</w:t>
      </w:r>
      <w:r w:rsidR="000028E8">
        <w:t xml:space="preserve"> in the </w:t>
      </w:r>
      <w:r w:rsidR="00382A8D">
        <w:t xml:space="preserve">initial </w:t>
      </w:r>
      <w:r w:rsidR="000028E8">
        <w:t>application</w:t>
      </w:r>
      <w:r>
        <w:t xml:space="preserve">. </w:t>
      </w:r>
      <w:r w:rsidR="006E11D6">
        <w:t xml:space="preserve">MSAC considered that </w:t>
      </w:r>
      <w:r w:rsidR="003A7D20">
        <w:t>these analyses were more plausible as they appropriately</w:t>
      </w:r>
      <w:r w:rsidR="00777EBF">
        <w:t xml:space="preserve"> </w:t>
      </w:r>
      <w:r w:rsidRPr="00196F8A">
        <w:t>include</w:t>
      </w:r>
      <w:r w:rsidR="00777EBF">
        <w:t xml:space="preserve">d </w:t>
      </w:r>
      <w:r w:rsidRPr="00196F8A">
        <w:t>downstream cost consequences including contemporary treatment costs</w:t>
      </w:r>
      <w:r w:rsidR="003A7D20">
        <w:t xml:space="preserve">. MSAC </w:t>
      </w:r>
      <w:r w:rsidR="006E11D6">
        <w:t>accepted that</w:t>
      </w:r>
      <w:r w:rsidR="00777EBF">
        <w:t xml:space="preserve">, for consistency with the economic evaluation, </w:t>
      </w:r>
      <w:r w:rsidR="006E11D6">
        <w:t>th</w:t>
      </w:r>
      <w:r w:rsidR="003A7D20">
        <w:t xml:space="preserve">ese </w:t>
      </w:r>
      <w:r w:rsidR="006E11D6">
        <w:t>analys</w:t>
      </w:r>
      <w:r w:rsidR="003A7D20">
        <w:t>e</w:t>
      </w:r>
      <w:r w:rsidR="006E11D6">
        <w:t xml:space="preserve">s </w:t>
      </w:r>
      <w:r w:rsidR="003A7D20">
        <w:t xml:space="preserve">did </w:t>
      </w:r>
      <w:r w:rsidR="00777EBF">
        <w:t>no</w:t>
      </w:r>
      <w:r w:rsidR="003A7D20">
        <w:t>t</w:t>
      </w:r>
      <w:r w:rsidR="00777EBF">
        <w:t xml:space="preserve"> estimate the financial implications of a phased </w:t>
      </w:r>
      <w:r w:rsidR="006E11D6">
        <w:t>implementation of the proposed Program</w:t>
      </w:r>
      <w:r w:rsidRPr="00196F8A">
        <w:t xml:space="preserve">. </w:t>
      </w:r>
      <w:r w:rsidR="007C6C77">
        <w:t>MSAC noted that t</w:t>
      </w:r>
      <w:r w:rsidRPr="00196F8A">
        <w:t xml:space="preserve">reatment costs decrease over the </w:t>
      </w:r>
      <w:r w:rsidR="00EE142D">
        <w:t>6</w:t>
      </w:r>
      <w:r w:rsidRPr="00196F8A">
        <w:t>-year time horizon</w:t>
      </w:r>
      <w:r w:rsidR="007C6C77">
        <w:t xml:space="preserve">, due to </w:t>
      </w:r>
      <w:r w:rsidR="000028E8">
        <w:t xml:space="preserve">an increase in </w:t>
      </w:r>
      <w:r w:rsidR="007C6C77">
        <w:t>earlier</w:t>
      </w:r>
      <w:r w:rsidR="008C5645">
        <w:t>-</w:t>
      </w:r>
      <w:r w:rsidR="007C6C77">
        <w:t xml:space="preserve">stage detection </w:t>
      </w:r>
      <w:r w:rsidR="006A4BB6">
        <w:t xml:space="preserve">enhancing the </w:t>
      </w:r>
      <w:r w:rsidR="007C6C77">
        <w:t>cost-effective</w:t>
      </w:r>
      <w:r w:rsidR="006A4BB6">
        <w:t>ness of</w:t>
      </w:r>
      <w:r w:rsidR="007C6C77">
        <w:t xml:space="preserve"> treat</w:t>
      </w:r>
      <w:r w:rsidR="006A4BB6">
        <w:t>ment</w:t>
      </w:r>
      <w:r w:rsidR="007C6C77">
        <w:t>.</w:t>
      </w:r>
      <w:r w:rsidR="006B5F58">
        <w:t xml:space="preserve"> MSAC </w:t>
      </w:r>
      <w:r w:rsidR="006E11D6">
        <w:t xml:space="preserve">also </w:t>
      </w:r>
      <w:r w:rsidR="006B5F58">
        <w:t xml:space="preserve">noted that the </w:t>
      </w:r>
      <w:r w:rsidR="006E11D6">
        <w:t xml:space="preserve">Program costs, including the relatively large </w:t>
      </w:r>
      <w:r w:rsidR="006B5F58">
        <w:t>upfront costs in year</w:t>
      </w:r>
      <w:r w:rsidR="006E11D6">
        <w:t>s</w:t>
      </w:r>
      <w:r w:rsidR="006B5F58">
        <w:t xml:space="preserve"> 1 </w:t>
      </w:r>
      <w:r w:rsidR="006E11D6">
        <w:t xml:space="preserve">and 2, </w:t>
      </w:r>
      <w:r w:rsidR="006B5F58">
        <w:t xml:space="preserve">would not change if the </w:t>
      </w:r>
      <w:r w:rsidR="0044701D">
        <w:t>P</w:t>
      </w:r>
      <w:r w:rsidR="006B5F58">
        <w:t>rogram eligibility criteria changed.</w:t>
      </w:r>
    </w:p>
    <w:p w14:paraId="01224EB1" w14:textId="6921BB05" w:rsidR="00BF112B" w:rsidRDefault="00BF112B" w:rsidP="00196F8A">
      <w:r>
        <w:t>MSAC considered that the c</w:t>
      </w:r>
      <w:r w:rsidRPr="00196F8A">
        <w:t>umulative net costs for the Commonwealth budget</w:t>
      </w:r>
      <w:r>
        <w:t>,</w:t>
      </w:r>
      <w:r w:rsidRPr="00196F8A">
        <w:t xml:space="preserve"> </w:t>
      </w:r>
      <w:r>
        <w:t xml:space="preserve">which were </w:t>
      </w:r>
      <w:r w:rsidRPr="00196F8A">
        <w:t>$800 million</w:t>
      </w:r>
      <w:r>
        <w:t xml:space="preserve"> over 6 years (</w:t>
      </w:r>
      <w:r w:rsidRPr="002370A2">
        <w:t>$255</w:t>
      </w:r>
      <w:r>
        <w:t> million in</w:t>
      </w:r>
      <w:r w:rsidRPr="002370A2">
        <w:t xml:space="preserve"> year 1 to $80</w:t>
      </w:r>
      <w:r>
        <w:t> million in</w:t>
      </w:r>
      <w:r w:rsidRPr="002370A2">
        <w:t xml:space="preserve"> year</w:t>
      </w:r>
      <w:r>
        <w:t xml:space="preserve"> </w:t>
      </w:r>
      <w:r w:rsidRPr="002370A2">
        <w:t>6</w:t>
      </w:r>
      <w:r>
        <w:t xml:space="preserve"> – see </w:t>
      </w:r>
      <w:r w:rsidRPr="00FA7CEA">
        <w:t xml:space="preserve">Table </w:t>
      </w:r>
      <w:r>
        <w:t>8) represented a substantial opportunity cost for the government.</w:t>
      </w:r>
    </w:p>
    <w:p w14:paraId="7E444E4F" w14:textId="228FD032" w:rsidR="000254DD" w:rsidRPr="00A377BB" w:rsidRDefault="000254DD" w:rsidP="00B04EF6">
      <w:pPr>
        <w:pStyle w:val="Caption"/>
        <w:keepNext/>
        <w:rPr>
          <w:rFonts w:ascii="Arial Narrow" w:hAnsi="Arial Narrow"/>
          <w:b/>
          <w:bCs/>
          <w:i w:val="0"/>
          <w:iCs w:val="0"/>
          <w:color w:val="auto"/>
          <w:sz w:val="20"/>
          <w:szCs w:val="20"/>
        </w:rPr>
      </w:pPr>
      <w:r w:rsidRPr="00A377BB">
        <w:rPr>
          <w:rFonts w:ascii="Arial Narrow" w:hAnsi="Arial Narrow"/>
          <w:b/>
          <w:bCs/>
          <w:i w:val="0"/>
          <w:iCs w:val="0"/>
          <w:color w:val="auto"/>
          <w:sz w:val="20"/>
          <w:szCs w:val="20"/>
        </w:rPr>
        <w:lastRenderedPageBreak/>
        <w:t xml:space="preserve">Table </w:t>
      </w:r>
      <w:r>
        <w:rPr>
          <w:rFonts w:ascii="Arial Narrow" w:hAnsi="Arial Narrow"/>
          <w:b/>
          <w:bCs/>
          <w:i w:val="0"/>
          <w:iCs w:val="0"/>
          <w:color w:val="auto"/>
          <w:sz w:val="20"/>
          <w:szCs w:val="20"/>
        </w:rPr>
        <w:t>8</w:t>
      </w:r>
      <w:r w:rsidRPr="00A377BB">
        <w:rPr>
          <w:rFonts w:ascii="Arial Narrow" w:hAnsi="Arial Narrow"/>
          <w:b/>
          <w:bCs/>
          <w:i w:val="0"/>
          <w:iCs w:val="0"/>
          <w:color w:val="auto"/>
          <w:sz w:val="20"/>
          <w:szCs w:val="20"/>
        </w:rPr>
        <w:t>:</w:t>
      </w:r>
      <w:r w:rsidR="008513E0">
        <w:rPr>
          <w:rFonts w:ascii="Arial Narrow" w:hAnsi="Arial Narrow"/>
          <w:b/>
          <w:bCs/>
          <w:i w:val="0"/>
          <w:iCs w:val="0"/>
          <w:color w:val="auto"/>
          <w:sz w:val="20"/>
          <w:szCs w:val="20"/>
        </w:rPr>
        <w:t xml:space="preserve"> </w:t>
      </w:r>
      <w:r>
        <w:rPr>
          <w:rFonts w:ascii="Arial Narrow" w:hAnsi="Arial Narrow"/>
          <w:b/>
          <w:bCs/>
          <w:i w:val="0"/>
          <w:iCs w:val="0"/>
          <w:color w:val="auto"/>
          <w:sz w:val="20"/>
          <w:szCs w:val="20"/>
        </w:rPr>
        <w:t>MBS/PBS c</w:t>
      </w:r>
      <w:r w:rsidRPr="00A377BB">
        <w:rPr>
          <w:rFonts w:ascii="Arial Narrow" w:hAnsi="Arial Narrow"/>
          <w:b/>
          <w:bCs/>
          <w:i w:val="0"/>
          <w:iCs w:val="0"/>
          <w:color w:val="auto"/>
          <w:sz w:val="20"/>
          <w:szCs w:val="20"/>
        </w:rPr>
        <w:t>osts</w:t>
      </w:r>
      <w:r w:rsidR="00EF1F5E">
        <w:rPr>
          <w:rFonts w:ascii="Arial Narrow" w:hAnsi="Arial Narrow"/>
          <w:b/>
          <w:bCs/>
          <w:i w:val="0"/>
          <w:iCs w:val="0"/>
          <w:color w:val="auto"/>
          <w:sz w:val="20"/>
          <w:szCs w:val="20"/>
        </w:rPr>
        <w:t xml:space="preserve"> and program costs</w:t>
      </w:r>
      <w:r w:rsidRPr="00A377BB">
        <w:rPr>
          <w:rFonts w:ascii="Arial Narrow" w:hAnsi="Arial Narrow"/>
          <w:b/>
          <w:bCs/>
          <w:i w:val="0"/>
          <w:iCs w:val="0"/>
          <w:color w:val="auto"/>
          <w:sz w:val="20"/>
          <w:szCs w:val="20"/>
        </w:rPr>
        <w:t xml:space="preserve"> per year and category for the first 6 years (2023-2028) of a national lung cancer screening program for </w:t>
      </w:r>
      <w:r w:rsidR="008513E0">
        <w:rPr>
          <w:rFonts w:ascii="Arial Narrow" w:hAnsi="Arial Narrow"/>
          <w:b/>
          <w:bCs/>
          <w:i w:val="0"/>
          <w:iCs w:val="0"/>
          <w:color w:val="auto"/>
          <w:sz w:val="20"/>
          <w:szCs w:val="20"/>
        </w:rPr>
        <w:t xml:space="preserve">MSAC-supported </w:t>
      </w:r>
      <w:r w:rsidRPr="00A377BB">
        <w:rPr>
          <w:rFonts w:ascii="Arial Narrow" w:hAnsi="Arial Narrow"/>
          <w:b/>
          <w:bCs/>
          <w:i w:val="0"/>
          <w:iCs w:val="0"/>
          <w:color w:val="auto"/>
          <w:sz w:val="20"/>
          <w:szCs w:val="20"/>
        </w:rPr>
        <w:t>screening scenario NLST#110: PY 30-10; 50-70 (non-discounted)</w:t>
      </w:r>
    </w:p>
    <w:tbl>
      <w:tblPr>
        <w:tblStyle w:val="TableGrid"/>
        <w:tblW w:w="0" w:type="auto"/>
        <w:tblLook w:val="04A0" w:firstRow="1" w:lastRow="0" w:firstColumn="1" w:lastColumn="0" w:noHBand="0" w:noVBand="1"/>
      </w:tblPr>
      <w:tblGrid>
        <w:gridCol w:w="1231"/>
        <w:gridCol w:w="1129"/>
        <w:gridCol w:w="1129"/>
        <w:gridCol w:w="1129"/>
        <w:gridCol w:w="1114"/>
        <w:gridCol w:w="1114"/>
        <w:gridCol w:w="1041"/>
        <w:gridCol w:w="1129"/>
      </w:tblGrid>
      <w:tr w:rsidR="000254DD" w:rsidRPr="00643D9B" w14:paraId="4995CD68" w14:textId="77777777" w:rsidTr="00153DD9">
        <w:tc>
          <w:tcPr>
            <w:tcW w:w="1241" w:type="dxa"/>
          </w:tcPr>
          <w:p w14:paraId="07CF7065" w14:textId="6055B137" w:rsidR="000254DD" w:rsidRPr="00153DD9" w:rsidRDefault="000254DD" w:rsidP="00B43B93">
            <w:pPr>
              <w:keepNext/>
              <w:spacing w:before="0"/>
              <w:rPr>
                <w:rFonts w:ascii="Arial Narrow" w:hAnsi="Arial Narrow"/>
                <w:sz w:val="18"/>
                <w:szCs w:val="18"/>
              </w:rPr>
            </w:pPr>
            <w:r w:rsidRPr="00153DD9">
              <w:rPr>
                <w:rFonts w:ascii="Arial Narrow" w:hAnsi="Arial Narrow" w:cstheme="minorHAnsi"/>
                <w:b/>
                <w:bCs/>
                <w:sz w:val="18"/>
                <w:szCs w:val="18"/>
              </w:rPr>
              <w:t>NLST#110: PY 30-10; 50-70</w:t>
            </w:r>
          </w:p>
        </w:tc>
        <w:tc>
          <w:tcPr>
            <w:tcW w:w="1129" w:type="dxa"/>
          </w:tcPr>
          <w:p w14:paraId="3C177BD4" w14:textId="70E2EC06"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Year 1</w:t>
            </w:r>
          </w:p>
        </w:tc>
        <w:tc>
          <w:tcPr>
            <w:tcW w:w="1119" w:type="dxa"/>
          </w:tcPr>
          <w:p w14:paraId="6BF64323" w14:textId="4C85A3CE"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Year 2</w:t>
            </w:r>
          </w:p>
        </w:tc>
        <w:tc>
          <w:tcPr>
            <w:tcW w:w="1119" w:type="dxa"/>
          </w:tcPr>
          <w:p w14:paraId="617A8EB9" w14:textId="3DE9F8F7"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Year 3</w:t>
            </w:r>
          </w:p>
        </w:tc>
        <w:tc>
          <w:tcPr>
            <w:tcW w:w="1119" w:type="dxa"/>
          </w:tcPr>
          <w:p w14:paraId="35C23689" w14:textId="5401017B"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Year 4</w:t>
            </w:r>
          </w:p>
        </w:tc>
        <w:tc>
          <w:tcPr>
            <w:tcW w:w="1119" w:type="dxa"/>
          </w:tcPr>
          <w:p w14:paraId="76B2EBC0" w14:textId="45A2BF26"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Year 5</w:t>
            </w:r>
          </w:p>
        </w:tc>
        <w:tc>
          <w:tcPr>
            <w:tcW w:w="1041" w:type="dxa"/>
          </w:tcPr>
          <w:p w14:paraId="06FAE865" w14:textId="2C2283C1" w:rsidR="000254DD" w:rsidRPr="00153DD9" w:rsidRDefault="000254DD" w:rsidP="00B43B93">
            <w:pPr>
              <w:keepNext/>
              <w:spacing w:before="0"/>
              <w:jc w:val="center"/>
              <w:rPr>
                <w:rFonts w:ascii="Arial Narrow" w:hAnsi="Arial Narrow" w:cstheme="minorHAnsi"/>
                <w:b/>
                <w:bCs/>
                <w:sz w:val="18"/>
                <w:szCs w:val="18"/>
                <w:lang w:eastAsia="en-AU"/>
              </w:rPr>
            </w:pPr>
            <w:r w:rsidRPr="00153DD9">
              <w:rPr>
                <w:rFonts w:ascii="Arial Narrow" w:hAnsi="Arial Narrow" w:cstheme="minorHAnsi"/>
                <w:b/>
                <w:bCs/>
                <w:sz w:val="18"/>
                <w:szCs w:val="18"/>
                <w:lang w:eastAsia="en-AU"/>
              </w:rPr>
              <w:t>Year 6</w:t>
            </w:r>
          </w:p>
        </w:tc>
        <w:tc>
          <w:tcPr>
            <w:tcW w:w="1129" w:type="dxa"/>
          </w:tcPr>
          <w:p w14:paraId="490B179D" w14:textId="5724627E" w:rsidR="000254DD" w:rsidRPr="00153DD9" w:rsidRDefault="000254DD" w:rsidP="00B43B93">
            <w:pPr>
              <w:keepNext/>
              <w:spacing w:before="0"/>
              <w:jc w:val="center"/>
              <w:rPr>
                <w:rFonts w:ascii="Arial Narrow" w:hAnsi="Arial Narrow"/>
                <w:sz w:val="18"/>
                <w:szCs w:val="18"/>
              </w:rPr>
            </w:pPr>
            <w:r w:rsidRPr="00153DD9">
              <w:rPr>
                <w:rFonts w:ascii="Arial Narrow" w:hAnsi="Arial Narrow" w:cstheme="minorHAnsi"/>
                <w:b/>
                <w:bCs/>
                <w:sz w:val="18"/>
                <w:szCs w:val="18"/>
                <w:lang w:eastAsia="en-AU"/>
              </w:rPr>
              <w:t>Total</w:t>
            </w:r>
          </w:p>
        </w:tc>
      </w:tr>
      <w:tr w:rsidR="00A33D79" w:rsidRPr="00643D9B" w14:paraId="32EA4510" w14:textId="77777777" w:rsidTr="00153DD9">
        <w:tc>
          <w:tcPr>
            <w:tcW w:w="1241" w:type="dxa"/>
            <w:vAlign w:val="center"/>
          </w:tcPr>
          <w:p w14:paraId="12F5F3CA" w14:textId="28520B2B" w:rsidR="00A33D79" w:rsidRPr="00153DD9" w:rsidRDefault="00A33D79" w:rsidP="00B43B93">
            <w:pPr>
              <w:keepNext/>
              <w:spacing w:before="0"/>
              <w:rPr>
                <w:rFonts w:ascii="Arial Narrow" w:hAnsi="Arial Narrow"/>
                <w:sz w:val="18"/>
                <w:szCs w:val="18"/>
              </w:rPr>
            </w:pPr>
            <w:r w:rsidRPr="00153DD9">
              <w:rPr>
                <w:rFonts w:ascii="Arial Narrow" w:hAnsi="Arial Narrow" w:cstheme="minorHAnsi"/>
                <w:b/>
                <w:bCs/>
                <w:sz w:val="18"/>
                <w:szCs w:val="18"/>
                <w:lang w:eastAsia="en-AU"/>
              </w:rPr>
              <w:t>Additional treatment costs (MBS/PBS)</w:t>
            </w:r>
          </w:p>
        </w:tc>
        <w:tc>
          <w:tcPr>
            <w:tcW w:w="1129" w:type="dxa"/>
            <w:vAlign w:val="center"/>
          </w:tcPr>
          <w:p w14:paraId="00963A2B" w14:textId="3B42E5C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30,472,378</w:t>
            </w:r>
          </w:p>
        </w:tc>
        <w:tc>
          <w:tcPr>
            <w:tcW w:w="1119" w:type="dxa"/>
            <w:vAlign w:val="center"/>
          </w:tcPr>
          <w:p w14:paraId="1E42366D" w14:textId="1075F5F0"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48,803,023</w:t>
            </w:r>
          </w:p>
        </w:tc>
        <w:tc>
          <w:tcPr>
            <w:tcW w:w="1119" w:type="dxa"/>
            <w:vAlign w:val="center"/>
          </w:tcPr>
          <w:p w14:paraId="6D2EACEB" w14:textId="1868A83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36,585,782</w:t>
            </w:r>
          </w:p>
        </w:tc>
        <w:tc>
          <w:tcPr>
            <w:tcW w:w="1119" w:type="dxa"/>
            <w:vAlign w:val="center"/>
          </w:tcPr>
          <w:p w14:paraId="32AC96FD" w14:textId="020A306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27,863,446</w:t>
            </w:r>
          </w:p>
        </w:tc>
        <w:tc>
          <w:tcPr>
            <w:tcW w:w="1119" w:type="dxa"/>
            <w:vAlign w:val="center"/>
          </w:tcPr>
          <w:p w14:paraId="22294174" w14:textId="5BEED061"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19,796,900</w:t>
            </w:r>
          </w:p>
        </w:tc>
        <w:tc>
          <w:tcPr>
            <w:tcW w:w="1041" w:type="dxa"/>
            <w:vAlign w:val="center"/>
          </w:tcPr>
          <w:p w14:paraId="63BB2621" w14:textId="73BCFC9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12,647,954</w:t>
            </w:r>
          </w:p>
        </w:tc>
        <w:tc>
          <w:tcPr>
            <w:tcW w:w="1129" w:type="dxa"/>
            <w:vAlign w:val="center"/>
          </w:tcPr>
          <w:p w14:paraId="23C0B4F1" w14:textId="34333E8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176,169,483</w:t>
            </w:r>
          </w:p>
        </w:tc>
      </w:tr>
      <w:tr w:rsidR="00A33D79" w:rsidRPr="00643D9B" w14:paraId="362B1EB6" w14:textId="77777777" w:rsidTr="00153DD9">
        <w:tc>
          <w:tcPr>
            <w:tcW w:w="1241" w:type="dxa"/>
            <w:vAlign w:val="center"/>
          </w:tcPr>
          <w:p w14:paraId="6068438A" w14:textId="1B26E609" w:rsidR="00A33D79" w:rsidRPr="00153DD9" w:rsidRDefault="00A33D79" w:rsidP="00B43B93">
            <w:pPr>
              <w:keepNext/>
              <w:spacing w:before="0"/>
              <w:rPr>
                <w:rFonts w:ascii="Arial Narrow" w:hAnsi="Arial Narrow"/>
                <w:sz w:val="18"/>
                <w:szCs w:val="18"/>
              </w:rPr>
            </w:pPr>
            <w:r w:rsidRPr="00153DD9">
              <w:rPr>
                <w:rFonts w:ascii="Arial Narrow" w:hAnsi="Arial Narrow" w:cstheme="minorHAnsi"/>
                <w:b/>
                <w:bCs/>
                <w:sz w:val="18"/>
                <w:szCs w:val="18"/>
                <w:lang w:eastAsia="en-AU"/>
              </w:rPr>
              <w:t>False positive costs</w:t>
            </w:r>
            <w:r>
              <w:rPr>
                <w:rFonts w:ascii="Arial Narrow" w:hAnsi="Arial Narrow" w:cstheme="minorHAnsi"/>
                <w:b/>
                <w:bCs/>
                <w:sz w:val="18"/>
                <w:szCs w:val="18"/>
                <w:lang w:eastAsia="en-AU"/>
              </w:rPr>
              <w:t xml:space="preserve"> </w:t>
            </w:r>
            <w:r w:rsidRPr="00AA1A36">
              <w:rPr>
                <w:rFonts w:ascii="Arial Narrow" w:hAnsi="Arial Narrow" w:cstheme="minorHAnsi"/>
                <w:b/>
                <w:bCs/>
                <w:sz w:val="18"/>
                <w:szCs w:val="18"/>
                <w:lang w:eastAsia="en-AU"/>
              </w:rPr>
              <w:t>(MBS/PBS)</w:t>
            </w:r>
          </w:p>
        </w:tc>
        <w:tc>
          <w:tcPr>
            <w:tcW w:w="1129" w:type="dxa"/>
            <w:vAlign w:val="center"/>
          </w:tcPr>
          <w:p w14:paraId="1AF3DEF9" w14:textId="268D235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1,932,026</w:t>
            </w:r>
          </w:p>
        </w:tc>
        <w:tc>
          <w:tcPr>
            <w:tcW w:w="1119" w:type="dxa"/>
            <w:vAlign w:val="center"/>
          </w:tcPr>
          <w:p w14:paraId="18BDC822" w14:textId="0F9124CF"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1,664,694</w:t>
            </w:r>
          </w:p>
        </w:tc>
        <w:tc>
          <w:tcPr>
            <w:tcW w:w="1119" w:type="dxa"/>
            <w:vAlign w:val="center"/>
          </w:tcPr>
          <w:p w14:paraId="43B37361" w14:textId="4E3DE421"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3,385,061</w:t>
            </w:r>
          </w:p>
        </w:tc>
        <w:tc>
          <w:tcPr>
            <w:tcW w:w="1119" w:type="dxa"/>
            <w:vAlign w:val="center"/>
          </w:tcPr>
          <w:p w14:paraId="565E1E76" w14:textId="3765920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3,010,902</w:t>
            </w:r>
          </w:p>
        </w:tc>
        <w:tc>
          <w:tcPr>
            <w:tcW w:w="1119" w:type="dxa"/>
            <w:vAlign w:val="center"/>
          </w:tcPr>
          <w:p w14:paraId="73C386FB" w14:textId="4EA0717C"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3,329,703</w:t>
            </w:r>
          </w:p>
        </w:tc>
        <w:tc>
          <w:tcPr>
            <w:tcW w:w="1041" w:type="dxa"/>
            <w:vAlign w:val="center"/>
          </w:tcPr>
          <w:p w14:paraId="6D308D38" w14:textId="7C2E7271"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2,884,823</w:t>
            </w:r>
          </w:p>
        </w:tc>
        <w:tc>
          <w:tcPr>
            <w:tcW w:w="1129" w:type="dxa"/>
            <w:vAlign w:val="center"/>
          </w:tcPr>
          <w:p w14:paraId="2F1E3D87" w14:textId="1CE9556F"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16,207,210</w:t>
            </w:r>
          </w:p>
        </w:tc>
      </w:tr>
      <w:tr w:rsidR="00A33D79" w:rsidRPr="00643D9B" w14:paraId="460FF3A9" w14:textId="77777777" w:rsidTr="00153DD9">
        <w:tc>
          <w:tcPr>
            <w:tcW w:w="1241" w:type="dxa"/>
            <w:vAlign w:val="center"/>
          </w:tcPr>
          <w:p w14:paraId="2F460E93" w14:textId="2C4F95ED"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LDCT screen costs</w:t>
            </w:r>
            <w:r>
              <w:rPr>
                <w:rFonts w:ascii="Arial Narrow" w:hAnsi="Arial Narrow"/>
                <w:b/>
                <w:bCs/>
                <w:sz w:val="18"/>
                <w:szCs w:val="18"/>
              </w:rPr>
              <w:t xml:space="preserve"> </w:t>
            </w:r>
            <w:r w:rsidRPr="00AA1A36">
              <w:rPr>
                <w:rFonts w:ascii="Arial Narrow" w:hAnsi="Arial Narrow" w:cstheme="minorHAnsi"/>
                <w:b/>
                <w:bCs/>
                <w:sz w:val="18"/>
                <w:szCs w:val="18"/>
                <w:lang w:eastAsia="en-AU"/>
              </w:rPr>
              <w:t>(MBS/PBS)</w:t>
            </w:r>
          </w:p>
        </w:tc>
        <w:tc>
          <w:tcPr>
            <w:tcW w:w="1129" w:type="dxa"/>
            <w:vAlign w:val="center"/>
          </w:tcPr>
          <w:p w14:paraId="2DA9EACE" w14:textId="4C55BEED"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34,718,868</w:t>
            </w:r>
          </w:p>
        </w:tc>
        <w:tc>
          <w:tcPr>
            <w:tcW w:w="1119" w:type="dxa"/>
            <w:vAlign w:val="center"/>
          </w:tcPr>
          <w:p w14:paraId="6AA1ACA9" w14:textId="108A67D6"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29,963,887</w:t>
            </w:r>
          </w:p>
        </w:tc>
        <w:tc>
          <w:tcPr>
            <w:tcW w:w="1119" w:type="dxa"/>
            <w:vAlign w:val="center"/>
          </w:tcPr>
          <w:p w14:paraId="5769C8B4" w14:textId="28BE392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33,411,796</w:t>
            </w:r>
          </w:p>
        </w:tc>
        <w:tc>
          <w:tcPr>
            <w:tcW w:w="1119" w:type="dxa"/>
            <w:vAlign w:val="center"/>
          </w:tcPr>
          <w:p w14:paraId="10457E28" w14:textId="24A2B6A1"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29,754,985</w:t>
            </w:r>
          </w:p>
        </w:tc>
        <w:tc>
          <w:tcPr>
            <w:tcW w:w="1119" w:type="dxa"/>
            <w:vAlign w:val="center"/>
          </w:tcPr>
          <w:p w14:paraId="55057310" w14:textId="1144F9D6"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31,361,771</w:t>
            </w:r>
          </w:p>
        </w:tc>
        <w:tc>
          <w:tcPr>
            <w:tcW w:w="1041" w:type="dxa"/>
            <w:vAlign w:val="center"/>
          </w:tcPr>
          <w:p w14:paraId="658F2EAD" w14:textId="1E3134D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27,063,895</w:t>
            </w:r>
          </w:p>
        </w:tc>
        <w:tc>
          <w:tcPr>
            <w:tcW w:w="1129" w:type="dxa"/>
            <w:vAlign w:val="center"/>
          </w:tcPr>
          <w:p w14:paraId="4D1BFEEF" w14:textId="60C4515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186,275,201</w:t>
            </w:r>
          </w:p>
        </w:tc>
      </w:tr>
      <w:tr w:rsidR="00A33D79" w:rsidRPr="00643D9B" w14:paraId="685BC870" w14:textId="77777777" w:rsidTr="00153DD9">
        <w:tc>
          <w:tcPr>
            <w:tcW w:w="1241" w:type="dxa"/>
            <w:vAlign w:val="center"/>
          </w:tcPr>
          <w:p w14:paraId="6D037641" w14:textId="5D2AD018"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Follow-up LDCT costs</w:t>
            </w:r>
            <w:r>
              <w:rPr>
                <w:rFonts w:ascii="Arial Narrow" w:hAnsi="Arial Narrow"/>
                <w:b/>
                <w:bCs/>
                <w:sz w:val="18"/>
                <w:szCs w:val="18"/>
              </w:rPr>
              <w:t xml:space="preserve"> </w:t>
            </w:r>
            <w:r w:rsidRPr="00AA1A36">
              <w:rPr>
                <w:rFonts w:ascii="Arial Narrow" w:hAnsi="Arial Narrow" w:cstheme="minorHAnsi"/>
                <w:b/>
                <w:bCs/>
                <w:sz w:val="18"/>
                <w:szCs w:val="18"/>
                <w:lang w:eastAsia="en-AU"/>
              </w:rPr>
              <w:t>(MBS/PBS)</w:t>
            </w:r>
          </w:p>
        </w:tc>
        <w:tc>
          <w:tcPr>
            <w:tcW w:w="1129" w:type="dxa"/>
            <w:vAlign w:val="center"/>
          </w:tcPr>
          <w:p w14:paraId="38DC8FFA" w14:textId="71B7C28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1,949,194</w:t>
            </w:r>
          </w:p>
        </w:tc>
        <w:tc>
          <w:tcPr>
            <w:tcW w:w="1119" w:type="dxa"/>
            <w:vAlign w:val="center"/>
          </w:tcPr>
          <w:p w14:paraId="008C471C" w14:textId="31AE0F9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1,679,486</w:t>
            </w:r>
          </w:p>
        </w:tc>
        <w:tc>
          <w:tcPr>
            <w:tcW w:w="1119" w:type="dxa"/>
            <w:vAlign w:val="center"/>
          </w:tcPr>
          <w:p w14:paraId="2090B61F" w14:textId="7D98817F"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1,502,726</w:t>
            </w:r>
          </w:p>
        </w:tc>
        <w:tc>
          <w:tcPr>
            <w:tcW w:w="1119" w:type="dxa"/>
            <w:vAlign w:val="center"/>
          </w:tcPr>
          <w:p w14:paraId="6AA77889" w14:textId="5EACD215"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1,338,013</w:t>
            </w:r>
          </w:p>
        </w:tc>
        <w:tc>
          <w:tcPr>
            <w:tcW w:w="1119" w:type="dxa"/>
            <w:vAlign w:val="center"/>
          </w:tcPr>
          <w:p w14:paraId="35C80ABB" w14:textId="27044DAA"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1,338,818</w:t>
            </w:r>
          </w:p>
        </w:tc>
        <w:tc>
          <w:tcPr>
            <w:tcW w:w="1041" w:type="dxa"/>
            <w:vAlign w:val="center"/>
          </w:tcPr>
          <w:p w14:paraId="7FB729F3" w14:textId="6B244B05"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1,150,594</w:t>
            </w:r>
          </w:p>
        </w:tc>
        <w:tc>
          <w:tcPr>
            <w:tcW w:w="1129" w:type="dxa"/>
            <w:vAlign w:val="center"/>
          </w:tcPr>
          <w:p w14:paraId="565079C1" w14:textId="6A5EFDF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8,958,831</w:t>
            </w:r>
          </w:p>
        </w:tc>
      </w:tr>
      <w:tr w:rsidR="00A33D79" w:rsidRPr="00643D9B" w14:paraId="219ECB7D" w14:textId="77777777" w:rsidTr="00153DD9">
        <w:tc>
          <w:tcPr>
            <w:tcW w:w="1241" w:type="dxa"/>
            <w:vAlign w:val="center"/>
          </w:tcPr>
          <w:p w14:paraId="24255D09" w14:textId="56A1B22D"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True positive diagnostic costs</w:t>
            </w:r>
            <w:r>
              <w:rPr>
                <w:rFonts w:ascii="Arial Narrow" w:hAnsi="Arial Narrow"/>
                <w:b/>
                <w:bCs/>
                <w:sz w:val="18"/>
                <w:szCs w:val="18"/>
              </w:rPr>
              <w:t xml:space="preserve"> </w:t>
            </w:r>
            <w:r w:rsidRPr="00AA1A36">
              <w:rPr>
                <w:rFonts w:ascii="Arial Narrow" w:hAnsi="Arial Narrow" w:cstheme="minorHAnsi"/>
                <w:b/>
                <w:bCs/>
                <w:sz w:val="18"/>
                <w:szCs w:val="18"/>
                <w:lang w:eastAsia="en-AU"/>
              </w:rPr>
              <w:t>(MBS/PBS)</w:t>
            </w:r>
          </w:p>
        </w:tc>
        <w:tc>
          <w:tcPr>
            <w:tcW w:w="1129" w:type="dxa"/>
            <w:vAlign w:val="center"/>
          </w:tcPr>
          <w:p w14:paraId="486EEEC5" w14:textId="14F3908C"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2,274,070</w:t>
            </w:r>
          </w:p>
        </w:tc>
        <w:tc>
          <w:tcPr>
            <w:tcW w:w="1119" w:type="dxa"/>
            <w:vAlign w:val="center"/>
          </w:tcPr>
          <w:p w14:paraId="62CAE6DD" w14:textId="5EFCFD6F"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2,192,416</w:t>
            </w:r>
          </w:p>
        </w:tc>
        <w:tc>
          <w:tcPr>
            <w:tcW w:w="1119" w:type="dxa"/>
            <w:vAlign w:val="center"/>
          </w:tcPr>
          <w:p w14:paraId="1D078A53" w14:textId="2A937C7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2,006,975</w:t>
            </w:r>
          </w:p>
        </w:tc>
        <w:tc>
          <w:tcPr>
            <w:tcW w:w="1119" w:type="dxa"/>
            <w:vAlign w:val="center"/>
          </w:tcPr>
          <w:p w14:paraId="4552440E" w14:textId="771AC5B5"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1,864,438</w:t>
            </w:r>
          </w:p>
        </w:tc>
        <w:tc>
          <w:tcPr>
            <w:tcW w:w="1119" w:type="dxa"/>
            <w:vAlign w:val="center"/>
          </w:tcPr>
          <w:p w14:paraId="0009A5E1" w14:textId="591FA0D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1,820,409</w:t>
            </w:r>
          </w:p>
        </w:tc>
        <w:tc>
          <w:tcPr>
            <w:tcW w:w="1041" w:type="dxa"/>
            <w:vAlign w:val="center"/>
          </w:tcPr>
          <w:p w14:paraId="66EEC9EE" w14:textId="2D6A747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1,694,325</w:t>
            </w:r>
          </w:p>
        </w:tc>
        <w:tc>
          <w:tcPr>
            <w:tcW w:w="1129" w:type="dxa"/>
            <w:vAlign w:val="center"/>
          </w:tcPr>
          <w:p w14:paraId="0D2D6595" w14:textId="68036FBE"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11,852,632</w:t>
            </w:r>
          </w:p>
        </w:tc>
      </w:tr>
      <w:tr w:rsidR="00A33D79" w:rsidRPr="00643D9B" w14:paraId="1E1E45E6" w14:textId="77777777" w:rsidTr="00153DD9">
        <w:tc>
          <w:tcPr>
            <w:tcW w:w="1241" w:type="dxa"/>
            <w:vAlign w:val="center"/>
          </w:tcPr>
          <w:p w14:paraId="63F1510B" w14:textId="0E6B8E3D"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First risk assessment costs</w:t>
            </w:r>
            <w:r>
              <w:rPr>
                <w:rFonts w:ascii="Arial Narrow" w:hAnsi="Arial Narrow"/>
                <w:b/>
                <w:bCs/>
                <w:sz w:val="18"/>
                <w:szCs w:val="18"/>
              </w:rPr>
              <w:t xml:space="preserve"> </w:t>
            </w:r>
            <w:r w:rsidRPr="00AA1A36">
              <w:rPr>
                <w:rFonts w:ascii="Arial Narrow" w:hAnsi="Arial Narrow" w:cstheme="minorHAnsi"/>
                <w:b/>
                <w:bCs/>
                <w:sz w:val="18"/>
                <w:szCs w:val="18"/>
                <w:lang w:eastAsia="en-AU"/>
              </w:rPr>
              <w:t>(MBS/PBS)</w:t>
            </w:r>
          </w:p>
        </w:tc>
        <w:tc>
          <w:tcPr>
            <w:tcW w:w="1129" w:type="dxa"/>
            <w:vAlign w:val="center"/>
          </w:tcPr>
          <w:p w14:paraId="3BBF0A6F" w14:textId="38E3B1B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103,086,922</w:t>
            </w:r>
          </w:p>
        </w:tc>
        <w:tc>
          <w:tcPr>
            <w:tcW w:w="1119" w:type="dxa"/>
            <w:vAlign w:val="center"/>
          </w:tcPr>
          <w:p w14:paraId="2B000C55" w14:textId="1225C04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w:t>
            </w:r>
          </w:p>
        </w:tc>
        <w:tc>
          <w:tcPr>
            <w:tcW w:w="1119" w:type="dxa"/>
            <w:vAlign w:val="center"/>
          </w:tcPr>
          <w:p w14:paraId="3BE5E1B6" w14:textId="4D4E34DD"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w:t>
            </w:r>
          </w:p>
        </w:tc>
        <w:tc>
          <w:tcPr>
            <w:tcW w:w="1119" w:type="dxa"/>
            <w:vAlign w:val="center"/>
          </w:tcPr>
          <w:p w14:paraId="7D10CBDF" w14:textId="4C4EF0A7"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w:t>
            </w:r>
          </w:p>
        </w:tc>
        <w:tc>
          <w:tcPr>
            <w:tcW w:w="1119" w:type="dxa"/>
            <w:vAlign w:val="center"/>
          </w:tcPr>
          <w:p w14:paraId="086A122A" w14:textId="0B7325DD"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w:t>
            </w:r>
          </w:p>
        </w:tc>
        <w:tc>
          <w:tcPr>
            <w:tcW w:w="1041" w:type="dxa"/>
            <w:vAlign w:val="center"/>
          </w:tcPr>
          <w:p w14:paraId="4724C79D" w14:textId="5B80580A"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w:t>
            </w:r>
          </w:p>
        </w:tc>
        <w:tc>
          <w:tcPr>
            <w:tcW w:w="1129" w:type="dxa"/>
            <w:vAlign w:val="center"/>
          </w:tcPr>
          <w:p w14:paraId="68479B50" w14:textId="65BE5FC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103,086,922</w:t>
            </w:r>
          </w:p>
        </w:tc>
      </w:tr>
      <w:tr w:rsidR="00A33D79" w:rsidRPr="00643D9B" w14:paraId="1EDEA5BF" w14:textId="77777777" w:rsidTr="00153DD9">
        <w:tc>
          <w:tcPr>
            <w:tcW w:w="1241" w:type="dxa"/>
            <w:vAlign w:val="center"/>
          </w:tcPr>
          <w:p w14:paraId="0A6C495F" w14:textId="5FED0DDB" w:rsidR="00A33D79" w:rsidRPr="00153DD9" w:rsidRDefault="00A33D79" w:rsidP="00B43B93">
            <w:pPr>
              <w:keepNext/>
              <w:spacing w:before="0"/>
              <w:rPr>
                <w:rFonts w:ascii="Arial Narrow" w:hAnsi="Arial Narrow"/>
                <w:sz w:val="18"/>
                <w:szCs w:val="18"/>
              </w:rPr>
            </w:pPr>
            <w:r w:rsidRPr="00153DD9">
              <w:rPr>
                <w:rFonts w:ascii="Arial Narrow" w:hAnsi="Arial Narrow" w:cstheme="minorHAnsi"/>
                <w:b/>
                <w:bCs/>
                <w:sz w:val="18"/>
                <w:szCs w:val="18"/>
                <w:lang w:eastAsia="en-AU"/>
              </w:rPr>
              <w:t>Re-risk assessment costs</w:t>
            </w:r>
            <w:r>
              <w:rPr>
                <w:rFonts w:ascii="Arial Narrow" w:hAnsi="Arial Narrow" w:cstheme="minorHAnsi"/>
                <w:b/>
                <w:bCs/>
                <w:sz w:val="18"/>
                <w:szCs w:val="18"/>
                <w:lang w:eastAsia="en-AU"/>
              </w:rPr>
              <w:t xml:space="preserve"> </w:t>
            </w:r>
            <w:r w:rsidRPr="00AA1A36">
              <w:rPr>
                <w:rFonts w:ascii="Arial Narrow" w:hAnsi="Arial Narrow" w:cstheme="minorHAnsi"/>
                <w:b/>
                <w:bCs/>
                <w:sz w:val="18"/>
                <w:szCs w:val="18"/>
                <w:lang w:eastAsia="en-AU"/>
              </w:rPr>
              <w:t>(MBS/PBS)</w:t>
            </w:r>
          </w:p>
        </w:tc>
        <w:tc>
          <w:tcPr>
            <w:tcW w:w="1129" w:type="dxa"/>
            <w:vAlign w:val="center"/>
          </w:tcPr>
          <w:p w14:paraId="7747798E" w14:textId="777B48A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5,212,529</w:t>
            </w:r>
          </w:p>
        </w:tc>
        <w:tc>
          <w:tcPr>
            <w:tcW w:w="1119" w:type="dxa"/>
            <w:vAlign w:val="center"/>
          </w:tcPr>
          <w:p w14:paraId="0C0F37B2" w14:textId="4F9E6B0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4,498,638</w:t>
            </w:r>
          </w:p>
        </w:tc>
        <w:tc>
          <w:tcPr>
            <w:tcW w:w="1119" w:type="dxa"/>
            <w:vAlign w:val="center"/>
          </w:tcPr>
          <w:p w14:paraId="3ED86BED" w14:textId="0B7C04D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5,016,291</w:t>
            </w:r>
          </w:p>
        </w:tc>
        <w:tc>
          <w:tcPr>
            <w:tcW w:w="1119" w:type="dxa"/>
            <w:vAlign w:val="center"/>
          </w:tcPr>
          <w:p w14:paraId="0FB128C9" w14:textId="2FD19EA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4,467,274</w:t>
            </w:r>
          </w:p>
        </w:tc>
        <w:tc>
          <w:tcPr>
            <w:tcW w:w="1119" w:type="dxa"/>
            <w:vAlign w:val="center"/>
          </w:tcPr>
          <w:p w14:paraId="1A7657A7" w14:textId="17BFD5D1"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4,708,510</w:t>
            </w:r>
          </w:p>
        </w:tc>
        <w:tc>
          <w:tcPr>
            <w:tcW w:w="1041" w:type="dxa"/>
            <w:vAlign w:val="center"/>
          </w:tcPr>
          <w:p w14:paraId="573D1B65" w14:textId="357A7D6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4,063,247</w:t>
            </w:r>
          </w:p>
        </w:tc>
        <w:tc>
          <w:tcPr>
            <w:tcW w:w="1129" w:type="dxa"/>
            <w:vAlign w:val="center"/>
          </w:tcPr>
          <w:p w14:paraId="490D50B9" w14:textId="3729C76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27,966,488</w:t>
            </w:r>
          </w:p>
        </w:tc>
      </w:tr>
      <w:tr w:rsidR="00A33D79" w:rsidRPr="00643D9B" w14:paraId="41E09F90" w14:textId="77777777" w:rsidTr="00153DD9">
        <w:tc>
          <w:tcPr>
            <w:tcW w:w="1241" w:type="dxa"/>
            <w:vAlign w:val="center"/>
          </w:tcPr>
          <w:p w14:paraId="5E895060" w14:textId="493D89AF"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Incidental findings costs</w:t>
            </w:r>
            <w:r>
              <w:rPr>
                <w:rFonts w:ascii="Arial Narrow" w:hAnsi="Arial Narrow"/>
                <w:b/>
                <w:bCs/>
                <w:sz w:val="18"/>
                <w:szCs w:val="18"/>
              </w:rPr>
              <w:t xml:space="preserve"> </w:t>
            </w:r>
            <w:r w:rsidRPr="00AA1A36">
              <w:rPr>
                <w:rFonts w:ascii="Arial Narrow" w:hAnsi="Arial Narrow" w:cstheme="minorHAnsi"/>
                <w:b/>
                <w:bCs/>
                <w:sz w:val="18"/>
                <w:szCs w:val="18"/>
                <w:lang w:eastAsia="en-AU"/>
              </w:rPr>
              <w:t>(MBS/PBS)</w:t>
            </w:r>
          </w:p>
        </w:tc>
        <w:tc>
          <w:tcPr>
            <w:tcW w:w="1129" w:type="dxa"/>
            <w:vAlign w:val="center"/>
          </w:tcPr>
          <w:p w14:paraId="54DD515C" w14:textId="1484EEC5"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5,281,245</w:t>
            </w:r>
          </w:p>
        </w:tc>
        <w:tc>
          <w:tcPr>
            <w:tcW w:w="1119" w:type="dxa"/>
            <w:vAlign w:val="center"/>
          </w:tcPr>
          <w:p w14:paraId="49871222" w14:textId="4AC8C046"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4,550,485</w:t>
            </w:r>
          </w:p>
        </w:tc>
        <w:tc>
          <w:tcPr>
            <w:tcW w:w="1119" w:type="dxa"/>
            <w:vAlign w:val="center"/>
          </w:tcPr>
          <w:p w14:paraId="5DCF88C7" w14:textId="12852CED"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5,088,309</w:t>
            </w:r>
          </w:p>
        </w:tc>
        <w:tc>
          <w:tcPr>
            <w:tcW w:w="1119" w:type="dxa"/>
            <w:vAlign w:val="center"/>
          </w:tcPr>
          <w:p w14:paraId="7DBF1FBE" w14:textId="1A193E5E"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4,528,908</w:t>
            </w:r>
          </w:p>
        </w:tc>
        <w:tc>
          <w:tcPr>
            <w:tcW w:w="1119" w:type="dxa"/>
            <w:vAlign w:val="center"/>
          </w:tcPr>
          <w:p w14:paraId="2831B9FB" w14:textId="557A4D7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4,778,168</w:t>
            </w:r>
          </w:p>
        </w:tc>
        <w:tc>
          <w:tcPr>
            <w:tcW w:w="1041" w:type="dxa"/>
            <w:vAlign w:val="center"/>
          </w:tcPr>
          <w:p w14:paraId="5CDC2F3B" w14:textId="4FFA228C"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4,119,354</w:t>
            </w:r>
          </w:p>
        </w:tc>
        <w:tc>
          <w:tcPr>
            <w:tcW w:w="1129" w:type="dxa"/>
            <w:vAlign w:val="center"/>
          </w:tcPr>
          <w:p w14:paraId="16B892B3" w14:textId="4A0C32A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28,346,469</w:t>
            </w:r>
          </w:p>
        </w:tc>
      </w:tr>
      <w:tr w:rsidR="00A33D79" w:rsidRPr="00643D9B" w14:paraId="52FBEAEA" w14:textId="77777777" w:rsidTr="00153DD9">
        <w:tc>
          <w:tcPr>
            <w:tcW w:w="1241" w:type="dxa"/>
          </w:tcPr>
          <w:p w14:paraId="61563C8A" w14:textId="1ED9BF62"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Total</w:t>
            </w:r>
            <w:r w:rsidR="008513E0">
              <w:rPr>
                <w:rFonts w:ascii="Arial Narrow" w:hAnsi="Arial Narrow"/>
                <w:b/>
                <w:bCs/>
                <w:sz w:val="18"/>
                <w:szCs w:val="18"/>
              </w:rPr>
              <w:t xml:space="preserve"> </w:t>
            </w:r>
            <w:r>
              <w:rPr>
                <w:rFonts w:ascii="Arial Narrow" w:hAnsi="Arial Narrow"/>
                <w:b/>
                <w:bCs/>
                <w:sz w:val="18"/>
                <w:szCs w:val="18"/>
              </w:rPr>
              <w:t>costs</w:t>
            </w:r>
            <w:r w:rsidR="008513E0">
              <w:rPr>
                <w:rFonts w:ascii="Arial Narrow" w:hAnsi="Arial Narrow"/>
                <w:b/>
                <w:bCs/>
                <w:sz w:val="18"/>
                <w:szCs w:val="18"/>
              </w:rPr>
              <w:t xml:space="preserve"> (MBS/PBS)</w:t>
            </w:r>
          </w:p>
        </w:tc>
        <w:tc>
          <w:tcPr>
            <w:tcW w:w="1129" w:type="dxa"/>
            <w:vAlign w:val="center"/>
          </w:tcPr>
          <w:p w14:paraId="445D632F" w14:textId="480DD38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184,927,231</w:t>
            </w:r>
          </w:p>
        </w:tc>
        <w:tc>
          <w:tcPr>
            <w:tcW w:w="1119" w:type="dxa"/>
            <w:vAlign w:val="center"/>
          </w:tcPr>
          <w:p w14:paraId="4DB2CEE0" w14:textId="5577FE0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93,352,628</w:t>
            </w:r>
          </w:p>
        </w:tc>
        <w:tc>
          <w:tcPr>
            <w:tcW w:w="1119" w:type="dxa"/>
            <w:vAlign w:val="center"/>
          </w:tcPr>
          <w:p w14:paraId="5FB7482E" w14:textId="7758A67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86,996,940</w:t>
            </w:r>
          </w:p>
        </w:tc>
        <w:tc>
          <w:tcPr>
            <w:tcW w:w="1119" w:type="dxa"/>
            <w:vAlign w:val="center"/>
          </w:tcPr>
          <w:p w14:paraId="155900A1" w14:textId="1EF7C46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72,827,967</w:t>
            </w:r>
          </w:p>
        </w:tc>
        <w:tc>
          <w:tcPr>
            <w:tcW w:w="1119" w:type="dxa"/>
            <w:vAlign w:val="center"/>
          </w:tcPr>
          <w:p w14:paraId="1279D3E4" w14:textId="22359548"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67,134,278</w:t>
            </w:r>
          </w:p>
        </w:tc>
        <w:tc>
          <w:tcPr>
            <w:tcW w:w="1041" w:type="dxa"/>
            <w:vAlign w:val="center"/>
          </w:tcPr>
          <w:p w14:paraId="366A59B8" w14:textId="7CACAF0A"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53,624,192</w:t>
            </w:r>
          </w:p>
        </w:tc>
        <w:tc>
          <w:tcPr>
            <w:tcW w:w="1129" w:type="dxa"/>
            <w:vAlign w:val="center"/>
          </w:tcPr>
          <w:p w14:paraId="66C29C88" w14:textId="07C4023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558,863,236</w:t>
            </w:r>
          </w:p>
        </w:tc>
      </w:tr>
      <w:tr w:rsidR="00A33D79" w:rsidRPr="00643D9B" w14:paraId="4789C108" w14:textId="77777777" w:rsidTr="00153DD9">
        <w:tc>
          <w:tcPr>
            <w:tcW w:w="1241" w:type="dxa"/>
          </w:tcPr>
          <w:p w14:paraId="25700739" w14:textId="67845718" w:rsidR="00A33D79" w:rsidRPr="00153DD9" w:rsidRDefault="00A33D79" w:rsidP="00B43B93">
            <w:pPr>
              <w:keepNext/>
              <w:spacing w:before="0"/>
              <w:rPr>
                <w:rFonts w:ascii="Arial Narrow" w:hAnsi="Arial Narrow"/>
                <w:sz w:val="18"/>
                <w:szCs w:val="18"/>
              </w:rPr>
            </w:pPr>
            <w:r w:rsidRPr="00153DD9">
              <w:rPr>
                <w:rFonts w:ascii="Arial Narrow" w:hAnsi="Arial Narrow"/>
                <w:b/>
                <w:bCs/>
                <w:sz w:val="18"/>
                <w:szCs w:val="18"/>
              </w:rPr>
              <w:t>Program costs</w:t>
            </w:r>
          </w:p>
        </w:tc>
        <w:tc>
          <w:tcPr>
            <w:tcW w:w="1129" w:type="dxa"/>
            <w:vAlign w:val="center"/>
          </w:tcPr>
          <w:p w14:paraId="55D1E4FB" w14:textId="3C3F45C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70,298,654</w:t>
            </w:r>
          </w:p>
        </w:tc>
        <w:tc>
          <w:tcPr>
            <w:tcW w:w="1119" w:type="dxa"/>
            <w:vAlign w:val="center"/>
          </w:tcPr>
          <w:p w14:paraId="704A51C3" w14:textId="62655084"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70,298,654</w:t>
            </w:r>
          </w:p>
        </w:tc>
        <w:tc>
          <w:tcPr>
            <w:tcW w:w="1119" w:type="dxa"/>
            <w:vAlign w:val="center"/>
          </w:tcPr>
          <w:p w14:paraId="6E2FAB36" w14:textId="63CEB4A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23,682,794</w:t>
            </w:r>
          </w:p>
        </w:tc>
        <w:tc>
          <w:tcPr>
            <w:tcW w:w="1119" w:type="dxa"/>
            <w:vAlign w:val="center"/>
          </w:tcPr>
          <w:p w14:paraId="35C81CBF" w14:textId="0BF4C582"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24,998,504</w:t>
            </w:r>
          </w:p>
        </w:tc>
        <w:tc>
          <w:tcPr>
            <w:tcW w:w="1119" w:type="dxa"/>
            <w:vAlign w:val="center"/>
          </w:tcPr>
          <w:p w14:paraId="5903950A" w14:textId="4849BC1B"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25,145,554</w:t>
            </w:r>
          </w:p>
        </w:tc>
        <w:tc>
          <w:tcPr>
            <w:tcW w:w="1041" w:type="dxa"/>
            <w:vAlign w:val="center"/>
          </w:tcPr>
          <w:p w14:paraId="1ADA01DB" w14:textId="4FC23445"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25,310,986</w:t>
            </w:r>
          </w:p>
        </w:tc>
        <w:tc>
          <w:tcPr>
            <w:tcW w:w="1129" w:type="dxa"/>
            <w:vAlign w:val="center"/>
          </w:tcPr>
          <w:p w14:paraId="79798FAC" w14:textId="685C1A73" w:rsidR="00A33D79" w:rsidRPr="00153DD9" w:rsidRDefault="00A33D79" w:rsidP="00B43B93">
            <w:pPr>
              <w:keepNext/>
              <w:spacing w:before="0"/>
              <w:jc w:val="center"/>
              <w:rPr>
                <w:rFonts w:ascii="Arial Narrow" w:hAnsi="Arial Narrow"/>
                <w:sz w:val="18"/>
                <w:szCs w:val="18"/>
              </w:rPr>
            </w:pPr>
            <w:r w:rsidRPr="00A377BB">
              <w:rPr>
                <w:rFonts w:ascii="Arial Narrow" w:hAnsi="Arial Narrow"/>
                <w:sz w:val="20"/>
                <w:szCs w:val="20"/>
              </w:rPr>
              <w:t>239,735,146</w:t>
            </w:r>
          </w:p>
        </w:tc>
      </w:tr>
      <w:tr w:rsidR="00A33D79" w:rsidRPr="00643D9B" w14:paraId="5D021380" w14:textId="77777777" w:rsidTr="00153DD9">
        <w:tc>
          <w:tcPr>
            <w:tcW w:w="1241" w:type="dxa"/>
          </w:tcPr>
          <w:p w14:paraId="2B6805EF" w14:textId="41A74E43" w:rsidR="00A33D79" w:rsidRPr="00153DD9" w:rsidRDefault="00A33D79" w:rsidP="00B43B93">
            <w:pPr>
              <w:spacing w:before="0"/>
              <w:rPr>
                <w:rFonts w:ascii="Arial Narrow" w:hAnsi="Arial Narrow"/>
                <w:b/>
                <w:bCs/>
                <w:sz w:val="18"/>
                <w:szCs w:val="18"/>
              </w:rPr>
            </w:pPr>
            <w:r w:rsidRPr="00153DD9">
              <w:rPr>
                <w:rFonts w:ascii="Arial Narrow" w:hAnsi="Arial Narrow" w:cstheme="minorHAnsi"/>
                <w:b/>
                <w:bCs/>
                <w:sz w:val="18"/>
                <w:szCs w:val="18"/>
                <w:lang w:eastAsia="en-AU"/>
              </w:rPr>
              <w:t xml:space="preserve">Total </w:t>
            </w:r>
            <w:r w:rsidR="008513E0">
              <w:rPr>
                <w:rFonts w:ascii="Arial Narrow" w:hAnsi="Arial Narrow" w:cstheme="minorHAnsi"/>
                <w:b/>
                <w:bCs/>
                <w:sz w:val="18"/>
                <w:szCs w:val="18"/>
                <w:lang w:eastAsia="en-AU"/>
              </w:rPr>
              <w:t>cost</w:t>
            </w:r>
            <w:r w:rsidRPr="00153DD9">
              <w:rPr>
                <w:rFonts w:ascii="Arial Narrow" w:hAnsi="Arial Narrow" w:cstheme="minorHAnsi"/>
                <w:b/>
                <w:bCs/>
                <w:sz w:val="18"/>
                <w:szCs w:val="18"/>
                <w:lang w:eastAsia="en-AU"/>
              </w:rPr>
              <w:t>s</w:t>
            </w:r>
          </w:p>
        </w:tc>
        <w:tc>
          <w:tcPr>
            <w:tcW w:w="1129" w:type="dxa"/>
            <w:vAlign w:val="center"/>
          </w:tcPr>
          <w:p w14:paraId="50B872D2" w14:textId="6B4EEF62"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255,225,885</w:t>
            </w:r>
          </w:p>
        </w:tc>
        <w:tc>
          <w:tcPr>
            <w:tcW w:w="1119" w:type="dxa"/>
            <w:vAlign w:val="center"/>
          </w:tcPr>
          <w:p w14:paraId="4F19C9B1" w14:textId="4E4276E4"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163,651,282</w:t>
            </w:r>
          </w:p>
        </w:tc>
        <w:tc>
          <w:tcPr>
            <w:tcW w:w="1119" w:type="dxa"/>
            <w:vAlign w:val="center"/>
          </w:tcPr>
          <w:p w14:paraId="2B5B5841" w14:textId="66D7DF12"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110,679,734</w:t>
            </w:r>
          </w:p>
        </w:tc>
        <w:tc>
          <w:tcPr>
            <w:tcW w:w="1119" w:type="dxa"/>
            <w:vAlign w:val="center"/>
          </w:tcPr>
          <w:p w14:paraId="6A557DFE" w14:textId="02959201"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97,826,471</w:t>
            </w:r>
          </w:p>
        </w:tc>
        <w:tc>
          <w:tcPr>
            <w:tcW w:w="1119" w:type="dxa"/>
            <w:vAlign w:val="center"/>
          </w:tcPr>
          <w:p w14:paraId="6CCF64F1" w14:textId="3F0EE962"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92,279,832</w:t>
            </w:r>
          </w:p>
        </w:tc>
        <w:tc>
          <w:tcPr>
            <w:tcW w:w="1041" w:type="dxa"/>
            <w:vAlign w:val="center"/>
          </w:tcPr>
          <w:p w14:paraId="6B60726D" w14:textId="3A1C3736"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78,935,178</w:t>
            </w:r>
          </w:p>
        </w:tc>
        <w:tc>
          <w:tcPr>
            <w:tcW w:w="1129" w:type="dxa"/>
            <w:vAlign w:val="center"/>
          </w:tcPr>
          <w:p w14:paraId="6E12A99E" w14:textId="677EDE98" w:rsidR="00A33D79" w:rsidRPr="00153DD9" w:rsidRDefault="00A33D79" w:rsidP="00B43B93">
            <w:pPr>
              <w:spacing w:before="0"/>
              <w:jc w:val="center"/>
              <w:rPr>
                <w:rFonts w:ascii="Arial Narrow" w:hAnsi="Arial Narrow"/>
                <w:sz w:val="18"/>
                <w:szCs w:val="18"/>
              </w:rPr>
            </w:pPr>
            <w:r w:rsidRPr="00A377BB">
              <w:rPr>
                <w:rFonts w:ascii="Arial Narrow" w:hAnsi="Arial Narrow"/>
                <w:sz w:val="20"/>
                <w:szCs w:val="20"/>
              </w:rPr>
              <w:t>798,598,382</w:t>
            </w:r>
          </w:p>
        </w:tc>
      </w:tr>
    </w:tbl>
    <w:p w14:paraId="3926E07E" w14:textId="459D0D38" w:rsidR="00D03615" w:rsidRDefault="00D03615" w:rsidP="00E342BB">
      <w:pPr>
        <w:spacing w:before="240"/>
      </w:pPr>
      <w:r>
        <w:t xml:space="preserve">MSAC </w:t>
      </w:r>
      <w:r w:rsidR="000028E8">
        <w:t xml:space="preserve">was satisfied from the applicant’s modelling that </w:t>
      </w:r>
      <w:r>
        <w:t xml:space="preserve">moving from annual to biennial screening </w:t>
      </w:r>
      <w:r w:rsidR="006E11D6">
        <w:t>would</w:t>
      </w:r>
      <w:r>
        <w:t xml:space="preserve"> not result in a significant reduction in total costs because:</w:t>
      </w:r>
    </w:p>
    <w:p w14:paraId="0D634D59" w14:textId="667A5CA9" w:rsidR="00D03615" w:rsidRDefault="00D03615" w:rsidP="00E37822">
      <w:pPr>
        <w:pStyle w:val="ListParagraph"/>
        <w:numPr>
          <w:ilvl w:val="0"/>
          <w:numId w:val="11"/>
        </w:numPr>
      </w:pPr>
      <w:r>
        <w:t>there w</w:t>
      </w:r>
      <w:r w:rsidR="006E11D6">
        <w:t>ould be</w:t>
      </w:r>
      <w:r>
        <w:t xml:space="preserve"> fixed costs that </w:t>
      </w:r>
      <w:r w:rsidR="006E11D6">
        <w:t xml:space="preserve">would </w:t>
      </w:r>
      <w:r>
        <w:t>be incurred regardless of screening frequency</w:t>
      </w:r>
    </w:p>
    <w:p w14:paraId="759A9F34" w14:textId="256120D1" w:rsidR="00196F8A" w:rsidRDefault="00D03615" w:rsidP="00E37822">
      <w:pPr>
        <w:pStyle w:val="ListParagraph"/>
        <w:numPr>
          <w:ilvl w:val="0"/>
          <w:numId w:val="11"/>
        </w:numPr>
      </w:pPr>
      <w:r>
        <w:t>annual screening w</w:t>
      </w:r>
      <w:r w:rsidR="006E11D6">
        <w:t xml:space="preserve">ould be </w:t>
      </w:r>
      <w:r>
        <w:t xml:space="preserve">associated with a greater magnitude of stage shift which </w:t>
      </w:r>
      <w:r w:rsidR="006E11D6">
        <w:t xml:space="preserve">would lead </w:t>
      </w:r>
      <w:r>
        <w:t xml:space="preserve">to </w:t>
      </w:r>
      <w:r w:rsidR="006E11D6">
        <w:t xml:space="preserve">greater uptake of </w:t>
      </w:r>
      <w:r>
        <w:t>cost</w:t>
      </w:r>
      <w:r w:rsidR="00777EBF">
        <w:t>-</w:t>
      </w:r>
      <w:r>
        <w:t>effective treatment.</w:t>
      </w:r>
    </w:p>
    <w:p w14:paraId="7A90C2BE" w14:textId="3CAF7410" w:rsidR="007C62BB" w:rsidRDefault="00E55A6F" w:rsidP="00196F8A">
      <w:r>
        <w:t xml:space="preserve">MSAC recommended that </w:t>
      </w:r>
      <w:r w:rsidR="008C5645">
        <w:t xml:space="preserve">the </w:t>
      </w:r>
      <w:r w:rsidR="0044701D">
        <w:t>P</w:t>
      </w:r>
      <w:r>
        <w:t xml:space="preserve">rogram be reviewed in 5 years to ensure clinical effectiveness, safety and cost-effectiveness are </w:t>
      </w:r>
      <w:r w:rsidR="00B7042F">
        <w:t>realised</w:t>
      </w:r>
      <w:r w:rsidR="006E11D6">
        <w:t xml:space="preserve">, preferably with collection of </w:t>
      </w:r>
      <w:r w:rsidR="00B7042F">
        <w:t xml:space="preserve">relevant </w:t>
      </w:r>
      <w:r w:rsidR="006E11D6">
        <w:t>data in a registry</w:t>
      </w:r>
      <w:r w:rsidR="00B7042F">
        <w:t>, such as actual screening rates,</w:t>
      </w:r>
      <w:r w:rsidR="006E11D6">
        <w:t xml:space="preserve"> to update the relevant factors considered by MSAC where possible</w:t>
      </w:r>
      <w:r>
        <w:t xml:space="preserve">. </w:t>
      </w:r>
      <w:r w:rsidR="00767E56">
        <w:t xml:space="preserve">This review should </w:t>
      </w:r>
      <w:r w:rsidR="006E11D6">
        <w:t xml:space="preserve">therefore </w:t>
      </w:r>
      <w:r w:rsidR="00767E56">
        <w:t>include a refresh of the model</w:t>
      </w:r>
      <w:r w:rsidR="006E11D6">
        <w:t>led economic evaluation</w:t>
      </w:r>
      <w:r w:rsidR="00767E56">
        <w:t xml:space="preserve"> using </w:t>
      </w:r>
      <w:r w:rsidR="00C76830">
        <w:t xml:space="preserve">relevant </w:t>
      </w:r>
      <w:r w:rsidR="00767E56">
        <w:t>registry data</w:t>
      </w:r>
      <w:r w:rsidR="00C76830">
        <w:t xml:space="preserve"> and updated</w:t>
      </w:r>
      <w:r>
        <w:t xml:space="preserve"> smoking rates</w:t>
      </w:r>
      <w:r w:rsidR="00C76830">
        <w:t>, given that these</w:t>
      </w:r>
      <w:r>
        <w:t xml:space="preserve"> are declining in Australia</w:t>
      </w:r>
      <w:r w:rsidR="00C76830">
        <w:t xml:space="preserve"> and</w:t>
      </w:r>
      <w:r w:rsidR="007A3C61">
        <w:t xml:space="preserve"> </w:t>
      </w:r>
      <w:r>
        <w:t xml:space="preserve">may alter the </w:t>
      </w:r>
      <w:r w:rsidR="00B7042F">
        <w:t xml:space="preserve">related </w:t>
      </w:r>
      <w:r>
        <w:t xml:space="preserve">parameters of this </w:t>
      </w:r>
      <w:r w:rsidR="0044701D">
        <w:t>P</w:t>
      </w:r>
      <w:r>
        <w:t>rogram</w:t>
      </w:r>
      <w:r w:rsidR="00767E56">
        <w:t xml:space="preserve"> in the future</w:t>
      </w:r>
      <w:r>
        <w:t>.</w:t>
      </w:r>
    </w:p>
    <w:p w14:paraId="2A3BF345" w14:textId="1E626BB0" w:rsidR="00F47136" w:rsidRPr="0073525C" w:rsidRDefault="007910B4" w:rsidP="00F47136">
      <w:pPr>
        <w:pStyle w:val="Heading2"/>
        <w:rPr>
          <w:rFonts w:eastAsia="Times New Roman" w:cs="Arial"/>
          <w:bCs/>
          <w:iCs/>
          <w:color w:val="000000"/>
          <w:szCs w:val="32"/>
          <w:lang w:eastAsia="en-AU"/>
        </w:rPr>
      </w:pPr>
      <w:r>
        <w:rPr>
          <w:rFonts w:eastAsia="Times New Roman" w:cs="Arial"/>
          <w:bCs/>
          <w:iCs/>
          <w:color w:val="000000"/>
          <w:szCs w:val="32"/>
          <w:lang w:eastAsia="en-AU"/>
        </w:rPr>
        <w:t>4</w:t>
      </w:r>
      <w:r w:rsidR="00F47136">
        <w:rPr>
          <w:rFonts w:eastAsia="Times New Roman" w:cs="Arial"/>
          <w:bCs/>
          <w:iCs/>
          <w:color w:val="000000"/>
          <w:szCs w:val="32"/>
          <w:lang w:eastAsia="en-AU"/>
        </w:rPr>
        <w:t>.</w:t>
      </w:r>
      <w:r w:rsidR="00F47136">
        <w:rPr>
          <w:rFonts w:eastAsia="Times New Roman" w:cs="Arial"/>
          <w:bCs/>
          <w:iCs/>
          <w:color w:val="000000"/>
          <w:szCs w:val="32"/>
          <w:lang w:eastAsia="en-AU"/>
        </w:rPr>
        <w:tab/>
      </w:r>
      <w:r w:rsidR="00F47136" w:rsidRPr="0073525C">
        <w:rPr>
          <w:rFonts w:eastAsia="Times New Roman" w:cs="Arial"/>
          <w:bCs/>
          <w:iCs/>
          <w:color w:val="000000"/>
          <w:szCs w:val="32"/>
          <w:lang w:eastAsia="en-AU"/>
        </w:rPr>
        <w:t>Further information on MSAC</w:t>
      </w:r>
    </w:p>
    <w:p w14:paraId="58F05609" w14:textId="77777777" w:rsidR="00F47136" w:rsidRDefault="00F47136" w:rsidP="00F47136">
      <w:pPr>
        <w:rPr>
          <w:rFonts w:eastAsia="Calibri" w:cs="Times New Roman"/>
          <w:color w:val="0070C0"/>
          <w:u w:val="single"/>
        </w:rPr>
      </w:pPr>
      <w:r w:rsidRPr="0073525C">
        <w:rPr>
          <w:rFonts w:eastAsia="Calibri" w:cs="Times New Roman"/>
        </w:rPr>
        <w:t xml:space="preserve">MSAC Terms of Reference and other information are available on the MSAC Website: </w:t>
      </w:r>
      <w:hyperlink r:id="rId15" w:tooltip="Link to the MSAC website" w:history="1">
        <w:r w:rsidRPr="0073525C">
          <w:rPr>
            <w:rFonts w:eastAsia="Calibri" w:cs="Times New Roman"/>
            <w:color w:val="0070C0"/>
            <w:u w:val="single"/>
          </w:rPr>
          <w:t>visit the MSAC website</w:t>
        </w:r>
      </w:hyperlink>
    </w:p>
    <w:sectPr w:rsidR="00F47136" w:rsidSect="00965F3C">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B960" w14:textId="77777777" w:rsidR="004E73FD" w:rsidRDefault="004E73FD" w:rsidP="00CC6859">
      <w:pPr>
        <w:spacing w:before="0" w:after="0" w:line="240" w:lineRule="auto"/>
      </w:pPr>
      <w:r>
        <w:separator/>
      </w:r>
    </w:p>
  </w:endnote>
  <w:endnote w:type="continuationSeparator" w:id="0">
    <w:p w14:paraId="790062E3" w14:textId="77777777" w:rsidR="004E73FD" w:rsidRDefault="004E73FD" w:rsidP="00CC68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E626" w14:textId="77777777" w:rsidR="004838C4" w:rsidRDefault="0048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FDA" w14:textId="289D82DD" w:rsidR="00945E52" w:rsidRPr="009A5348" w:rsidRDefault="00945E52" w:rsidP="009A5348">
    <w:pPr>
      <w:pStyle w:val="Footer"/>
      <w:jc w:val="right"/>
      <w:rPr>
        <w:caps/>
        <w:noProof/>
      </w:rPr>
    </w:pPr>
    <w:r w:rsidRPr="009A5348">
      <w:rPr>
        <w:caps/>
      </w:rPr>
      <w:fldChar w:fldCharType="begin"/>
    </w:r>
    <w:r w:rsidRPr="009A5348">
      <w:rPr>
        <w:caps/>
      </w:rPr>
      <w:instrText xml:space="preserve"> PAGE   \* MERGEFORMAT </w:instrText>
    </w:r>
    <w:r w:rsidRPr="009A5348">
      <w:rPr>
        <w:caps/>
      </w:rPr>
      <w:fldChar w:fldCharType="separate"/>
    </w:r>
    <w:r>
      <w:rPr>
        <w:caps/>
        <w:noProof/>
      </w:rPr>
      <w:t>1</w:t>
    </w:r>
    <w:r w:rsidRPr="009A5348">
      <w:rPr>
        <w:caps/>
        <w:noProof/>
      </w:rPr>
      <w:fldChar w:fldCharType="end"/>
    </w:r>
  </w:p>
  <w:p w14:paraId="023C7962" w14:textId="77777777" w:rsidR="00945E52" w:rsidRPr="009A5348" w:rsidRDefault="00945E52" w:rsidP="009A534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A4C7" w14:textId="77777777" w:rsidR="004838C4" w:rsidRDefault="0048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9F2B" w14:textId="77777777" w:rsidR="004E73FD" w:rsidRDefault="004E73FD" w:rsidP="00CC6859">
      <w:pPr>
        <w:spacing w:before="0" w:after="0" w:line="240" w:lineRule="auto"/>
      </w:pPr>
      <w:r>
        <w:separator/>
      </w:r>
    </w:p>
  </w:footnote>
  <w:footnote w:type="continuationSeparator" w:id="0">
    <w:p w14:paraId="0F8E8507" w14:textId="77777777" w:rsidR="004E73FD" w:rsidRDefault="004E73FD" w:rsidP="00CC6859">
      <w:pPr>
        <w:spacing w:before="0" w:after="0" w:line="240" w:lineRule="auto"/>
      </w:pPr>
      <w:r>
        <w:continuationSeparator/>
      </w:r>
    </w:p>
  </w:footnote>
  <w:footnote w:id="1">
    <w:p w14:paraId="7EB8783E" w14:textId="0CCB0620"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Aberle DR, Adams AM, Berg CD, et al. Reduced lung-cancer mortality with low-dose computed tomographic screening. N Engl J Med. 2011 Aug 4;365(5):395-409.</w:t>
      </w:r>
    </w:p>
  </w:footnote>
  <w:footnote w:id="2">
    <w:p w14:paraId="318498EA" w14:textId="64F1E04E"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De Koning H, Van Der Aalst C, Ten Haaf K, Oudkerk M. PL02.05 Effects of Volume CT Lung Cancer Screening: Mortality Results of the NELSON Randomised-Controlled Population Based Trial. Journal of Thoracic Oncology. 2018;13(10):S185.</w:t>
      </w:r>
    </w:p>
  </w:footnote>
  <w:footnote w:id="3">
    <w:p w14:paraId="5A2A4AB5" w14:textId="078B2103"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Meza R, Jeon J, Toumazis I, et al. Evaluation of the Benefits and Harms of Lung Cancer Screening With Low-Dose Computed Tomography: Modelling Study for the US Preventive Services Task Force. JAMA. 2021 Mar 9;325(10):988-997.</w:t>
      </w:r>
    </w:p>
  </w:footnote>
  <w:footnote w:id="4">
    <w:p w14:paraId="7414909A" w14:textId="4341FF0F" w:rsidR="00EA2C49" w:rsidRPr="00965F3C" w:rsidRDefault="00EA2C49">
      <w:pPr>
        <w:pStyle w:val="FootnoteText"/>
        <w:rPr>
          <w:sz w:val="16"/>
          <w:szCs w:val="16"/>
        </w:rPr>
      </w:pPr>
      <w:r w:rsidRPr="00965F3C">
        <w:rPr>
          <w:rStyle w:val="FootnoteReference"/>
          <w:sz w:val="16"/>
          <w:szCs w:val="16"/>
        </w:rPr>
        <w:footnoteRef/>
      </w:r>
      <w:r w:rsidRPr="00965F3C">
        <w:rPr>
          <w:sz w:val="16"/>
          <w:szCs w:val="16"/>
        </w:rPr>
        <w:t xml:space="preserve"> </w:t>
      </w:r>
      <w:bookmarkStart w:id="5" w:name="_Hlk113606889"/>
      <w:r w:rsidR="00E906E4" w:rsidRPr="00965F3C">
        <w:rPr>
          <w:sz w:val="16"/>
          <w:szCs w:val="16"/>
        </w:rPr>
        <w:t xml:space="preserve">Two </w:t>
      </w:r>
      <w:r w:rsidRPr="00965F3C">
        <w:rPr>
          <w:sz w:val="16"/>
          <w:szCs w:val="16"/>
        </w:rPr>
        <w:t xml:space="preserve">provincial screening programs in Canada </w:t>
      </w:r>
      <w:r w:rsidR="00031A9C" w:rsidRPr="00965F3C">
        <w:rPr>
          <w:sz w:val="16"/>
          <w:szCs w:val="16"/>
        </w:rPr>
        <w:t xml:space="preserve">now use </w:t>
      </w:r>
      <w:r w:rsidRPr="00965F3C">
        <w:rPr>
          <w:sz w:val="16"/>
          <w:szCs w:val="16"/>
        </w:rPr>
        <w:t>a two</w:t>
      </w:r>
      <w:r w:rsidR="00E906E4" w:rsidRPr="00965F3C">
        <w:rPr>
          <w:sz w:val="16"/>
          <w:szCs w:val="16"/>
        </w:rPr>
        <w:t>-</w:t>
      </w:r>
      <w:r w:rsidRPr="00965F3C">
        <w:rPr>
          <w:sz w:val="16"/>
          <w:szCs w:val="16"/>
        </w:rPr>
        <w:t xml:space="preserve">stage </w:t>
      </w:r>
      <w:r w:rsidR="00054462" w:rsidRPr="00965F3C">
        <w:rPr>
          <w:sz w:val="16"/>
          <w:szCs w:val="16"/>
        </w:rPr>
        <w:t xml:space="preserve">approach </w:t>
      </w:r>
      <w:r w:rsidRPr="00965F3C">
        <w:rPr>
          <w:sz w:val="16"/>
          <w:szCs w:val="16"/>
        </w:rPr>
        <w:t xml:space="preserve">with PLCOm2012 </w:t>
      </w:r>
      <w:r w:rsidR="00054462" w:rsidRPr="00965F3C">
        <w:rPr>
          <w:sz w:val="16"/>
          <w:szCs w:val="16"/>
        </w:rPr>
        <w:t>as</w:t>
      </w:r>
      <w:r w:rsidRPr="00965F3C">
        <w:rPr>
          <w:sz w:val="16"/>
          <w:szCs w:val="16"/>
        </w:rPr>
        <w:t xml:space="preserve"> the second stage assessment</w:t>
      </w:r>
      <w:r w:rsidR="00054462" w:rsidRPr="00965F3C">
        <w:rPr>
          <w:sz w:val="16"/>
          <w:szCs w:val="16"/>
        </w:rPr>
        <w:t xml:space="preserve"> </w:t>
      </w:r>
      <w:r w:rsidR="00031A9C" w:rsidRPr="00965F3C">
        <w:rPr>
          <w:sz w:val="16"/>
          <w:szCs w:val="16"/>
        </w:rPr>
        <w:t>of risk</w:t>
      </w:r>
      <w:r w:rsidRPr="00965F3C">
        <w:rPr>
          <w:sz w:val="16"/>
          <w:szCs w:val="16"/>
        </w:rPr>
        <w:t>.</w:t>
      </w:r>
      <w:bookmarkEnd w:id="5"/>
    </w:p>
  </w:footnote>
  <w:footnote w:id="5">
    <w:p w14:paraId="16B763E4" w14:textId="6CB2C931"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All these values can be read off Tables 2, 3, 4 and 5 (false positives per lung cancer death prevented can be calculated from the values provided for each of these scenarios) except the 6-year total net costs, which were obtained from Table 22 of </w:t>
      </w:r>
      <w:r w:rsidRPr="00965F3C">
        <w:rPr>
          <w:i/>
          <w:iCs/>
          <w:sz w:val="16"/>
          <w:szCs w:val="16"/>
        </w:rPr>
        <w:t>The economic</w:t>
      </w:r>
      <w:r w:rsidRPr="00E96536">
        <w:rPr>
          <w:i/>
          <w:iCs/>
        </w:rPr>
        <w:t xml:space="preserve"> </w:t>
      </w:r>
      <w:r w:rsidRPr="00965F3C">
        <w:rPr>
          <w:i/>
          <w:iCs/>
          <w:sz w:val="16"/>
          <w:szCs w:val="16"/>
        </w:rPr>
        <w:t>evaluation of targeted lung cancer screening in Australia: Response to request for additional analyses by MSAC</w:t>
      </w:r>
      <w:r w:rsidRPr="00965F3C">
        <w:rPr>
          <w:sz w:val="16"/>
          <w:szCs w:val="16"/>
        </w:rPr>
        <w:t xml:space="preserve"> (for NLST#11), or calculated as the NLST#11 cost divided by the NLST#11 number of CTs multiplied by the NLST#122 number of CTs (for NLST#122).</w:t>
      </w:r>
    </w:p>
  </w:footnote>
  <w:footnote w:id="6">
    <w:p w14:paraId="1F0B172F" w14:textId="4EB848EA" w:rsidR="00945E52" w:rsidRPr="00965F3C" w:rsidRDefault="00945E52" w:rsidP="007E532F">
      <w:pPr>
        <w:pStyle w:val="FootnoteText"/>
        <w:rPr>
          <w:sz w:val="16"/>
          <w:szCs w:val="16"/>
        </w:rPr>
      </w:pPr>
      <w:r w:rsidRPr="00965F3C">
        <w:rPr>
          <w:rStyle w:val="FootnoteReference"/>
          <w:sz w:val="16"/>
          <w:szCs w:val="16"/>
        </w:rPr>
        <w:footnoteRef/>
      </w:r>
      <w:r w:rsidRPr="00965F3C">
        <w:rPr>
          <w:sz w:val="16"/>
          <w:szCs w:val="16"/>
        </w:rPr>
        <w:t xml:space="preserve"> All of these figures are from Tables 4 and 5 with the exception of the 6-year total net costs which are from Tables 7 and 8 of </w:t>
      </w:r>
      <w:r w:rsidRPr="00965F3C">
        <w:rPr>
          <w:i/>
          <w:iCs/>
          <w:sz w:val="16"/>
          <w:szCs w:val="16"/>
        </w:rPr>
        <w:t>The economic evaluation of targeted lung cancer screening in Australia: Additional analyses requested for NLST-like biennial scenarios only</w:t>
      </w:r>
      <w:r w:rsidRPr="00965F3C">
        <w:rPr>
          <w:sz w:val="16"/>
          <w:szCs w:val="16"/>
        </w:rPr>
        <w:t>.</w:t>
      </w:r>
    </w:p>
  </w:footnote>
  <w:footnote w:id="7">
    <w:p w14:paraId="0347AE66" w14:textId="77777777" w:rsidR="00945E52" w:rsidRPr="00965F3C" w:rsidRDefault="00945E52" w:rsidP="004A6F3D">
      <w:pPr>
        <w:pStyle w:val="FootnoteText"/>
        <w:rPr>
          <w:sz w:val="16"/>
          <w:szCs w:val="16"/>
        </w:rPr>
      </w:pPr>
      <w:r w:rsidRPr="00965F3C">
        <w:rPr>
          <w:rStyle w:val="FootnoteReference"/>
          <w:sz w:val="16"/>
          <w:szCs w:val="16"/>
        </w:rPr>
        <w:footnoteRef/>
      </w:r>
      <w:r w:rsidRPr="00965F3C">
        <w:rPr>
          <w:sz w:val="16"/>
          <w:szCs w:val="16"/>
        </w:rPr>
        <w:t xml:space="preserve"> Lew JB, Feletto E, Wade S, et al. Benefits, harms and cost-effectiveness of cancer screening in Australia: an overview of modelling estimates. Public Health Res Pract. 2019 Jul 31;29(2):e2921913.</w:t>
      </w:r>
    </w:p>
  </w:footnote>
  <w:footnote w:id="8">
    <w:p w14:paraId="6F152B12" w14:textId="584A92B8" w:rsidR="00945E52" w:rsidRPr="00965F3C" w:rsidRDefault="00945E52" w:rsidP="00C17C4C">
      <w:pPr>
        <w:pStyle w:val="FootnoteText"/>
        <w:rPr>
          <w:sz w:val="16"/>
          <w:szCs w:val="16"/>
        </w:rPr>
      </w:pPr>
      <w:r w:rsidRPr="00965F3C">
        <w:rPr>
          <w:rStyle w:val="FootnoteReference"/>
          <w:sz w:val="16"/>
          <w:szCs w:val="16"/>
        </w:rPr>
        <w:footnoteRef/>
      </w:r>
      <w:r w:rsidRPr="00965F3C">
        <w:rPr>
          <w:sz w:val="16"/>
          <w:szCs w:val="16"/>
        </w:rPr>
        <w:t xml:space="preserve"> The number of screens per year was estimated by dividing the total number of screens for birth cohorts born in 1945 to 1969 (906,158) by the number of years of screening per person (8.1). The first value (906,158) was an output of the MISCAN model. The second value was estimated by first estimating the total number of screening rounds each individual within the birth cohort would undertake over their lifetime (81) and dividing this by the number of cohorts that would be screened in a year (10).</w:t>
      </w:r>
    </w:p>
  </w:footnote>
  <w:footnote w:id="9">
    <w:p w14:paraId="286097C3" w14:textId="2F99F9E1"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The annual number of deaths prevented was estimated by dividing the number of lung cancer deaths prevented across birth cohorts (4080) by the number of years of screening (8.1). The first value is a direct output of the model and is also reported in Table 5 and the second value was estimated as per the previous footnote.</w:t>
      </w:r>
    </w:p>
  </w:footnote>
  <w:footnote w:id="10">
    <w:p w14:paraId="5639E957" w14:textId="534EEB0D"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The cost is as reported in Table 8 (rounded up to the nearest $10m).</w:t>
      </w:r>
    </w:p>
  </w:footnote>
  <w:footnote w:id="11">
    <w:p w14:paraId="5848CEF5" w14:textId="60BAE731"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The NNS per death avoided was estimated by dividing the total number of people screened over their lifetime (346,500) by the number of lung cancer deaths prevented. The first value was estimated by the product of the percentage of people ever screened (5.25% which is a direct output of the model and can also be read off Table 5 where it has been rounded up) by the total number of births between 1945 and 1969 which is the MISCAN model population (6,600,000 which is a direct output of the model).</w:t>
      </w:r>
    </w:p>
  </w:footnote>
  <w:footnote w:id="12">
    <w:p w14:paraId="19299E8E" w14:textId="05141CB6"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The ICER per LYG was a direct output of the model and is from the corrected Table 1 of</w:t>
      </w:r>
      <w:r w:rsidRPr="00AB3E0F">
        <w:rPr>
          <w:i/>
          <w:iCs/>
          <w:sz w:val="16"/>
          <w:szCs w:val="16"/>
        </w:rPr>
        <w:t xml:space="preserve"> </w:t>
      </w:r>
      <w:r w:rsidRPr="00965F3C">
        <w:rPr>
          <w:i/>
          <w:iCs/>
          <w:sz w:val="16"/>
          <w:szCs w:val="16"/>
        </w:rPr>
        <w:t>The economic evaluation of targeted lung cancer screening in Australia: Additional analyses requested for NLST-like biennial scenarios only</w:t>
      </w:r>
      <w:r w:rsidRPr="00965F3C">
        <w:rPr>
          <w:sz w:val="16"/>
          <w:szCs w:val="16"/>
        </w:rPr>
        <w:t>.</w:t>
      </w:r>
    </w:p>
  </w:footnote>
  <w:footnote w:id="13">
    <w:p w14:paraId="3529DF6E" w14:textId="7EE8689B" w:rsidR="00945E52" w:rsidRPr="00965F3C" w:rsidRDefault="00945E52">
      <w:pPr>
        <w:pStyle w:val="FootnoteText"/>
        <w:rPr>
          <w:sz w:val="16"/>
          <w:szCs w:val="16"/>
        </w:rPr>
      </w:pPr>
      <w:r w:rsidRPr="00965F3C">
        <w:rPr>
          <w:rStyle w:val="FootnoteReference"/>
          <w:sz w:val="16"/>
          <w:szCs w:val="16"/>
        </w:rPr>
        <w:footnoteRef/>
      </w:r>
      <w:r w:rsidRPr="00965F3C">
        <w:rPr>
          <w:sz w:val="16"/>
          <w:szCs w:val="16"/>
        </w:rPr>
        <w:t xml:space="preserve"> Table 4 of </w:t>
      </w:r>
      <w:r w:rsidRPr="00965F3C">
        <w:rPr>
          <w:i/>
          <w:iCs/>
          <w:sz w:val="16"/>
          <w:szCs w:val="16"/>
        </w:rPr>
        <w:t>The economic evaluation of targeted lung cancer screening in Australia: Additional analyses requested for NLST-like biennial scenarios only</w:t>
      </w:r>
      <w:r w:rsidRPr="00965F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060" w14:textId="77777777" w:rsidR="004838C4" w:rsidRDefault="0048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FD46" w14:textId="77777777" w:rsidR="004838C4" w:rsidRDefault="0048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A914" w14:textId="77777777" w:rsidR="004838C4" w:rsidRDefault="0048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20B"/>
    <w:multiLevelType w:val="hybridMultilevel"/>
    <w:tmpl w:val="D5DA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037258"/>
    <w:multiLevelType w:val="hybridMultilevel"/>
    <w:tmpl w:val="E0BA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91085"/>
    <w:multiLevelType w:val="hybridMultilevel"/>
    <w:tmpl w:val="EAC64D02"/>
    <w:lvl w:ilvl="0" w:tplc="F92A747A">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371DC"/>
    <w:multiLevelType w:val="multilevel"/>
    <w:tmpl w:val="4A02812C"/>
    <w:lvl w:ilvl="0">
      <w:start w:val="1"/>
      <w:numFmt w:val="decimal"/>
      <w:lvlText w:val="Section %1"/>
      <w:lvlJc w:val="left"/>
      <w:pPr>
        <w:ind w:left="786"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861898"/>
    <w:multiLevelType w:val="hybridMultilevel"/>
    <w:tmpl w:val="FA4CE0A8"/>
    <w:lvl w:ilvl="0" w:tplc="C23C0A8C">
      <w:start w:val="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7400C"/>
    <w:multiLevelType w:val="hybridMultilevel"/>
    <w:tmpl w:val="A202C4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D7F758D"/>
    <w:multiLevelType w:val="hybridMultilevel"/>
    <w:tmpl w:val="E2C0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317E0"/>
    <w:multiLevelType w:val="hybridMultilevel"/>
    <w:tmpl w:val="ED103278"/>
    <w:lvl w:ilvl="0" w:tplc="41129DA2">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337D2C"/>
    <w:multiLevelType w:val="hybridMultilevel"/>
    <w:tmpl w:val="D4844D0A"/>
    <w:lvl w:ilvl="0" w:tplc="8EE4587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5E360056"/>
    <w:multiLevelType w:val="hybridMultilevel"/>
    <w:tmpl w:val="2934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D32A0"/>
    <w:multiLevelType w:val="hybridMultilevel"/>
    <w:tmpl w:val="303AAC22"/>
    <w:lvl w:ilvl="0" w:tplc="5AF84C5E">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11"/>
  </w:num>
  <w:num w:numId="5">
    <w:abstractNumId w:val="6"/>
  </w:num>
  <w:num w:numId="6">
    <w:abstractNumId w:val="10"/>
  </w:num>
  <w:num w:numId="7">
    <w:abstractNumId w:val="7"/>
  </w:num>
  <w:num w:numId="8">
    <w:abstractNumId w:val="2"/>
  </w:num>
  <w:num w:numId="9">
    <w:abstractNumId w:val="4"/>
  </w:num>
  <w:num w:numId="10">
    <w:abstractNumId w:val="0"/>
  </w:num>
  <w:num w:numId="11">
    <w:abstractNumId w:val="5"/>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C0"/>
    <w:rsid w:val="00001067"/>
    <w:rsid w:val="00001BFB"/>
    <w:rsid w:val="00001E3D"/>
    <w:rsid w:val="00002752"/>
    <w:rsid w:val="000028E8"/>
    <w:rsid w:val="00005DDD"/>
    <w:rsid w:val="00007BAC"/>
    <w:rsid w:val="0001533A"/>
    <w:rsid w:val="000254DD"/>
    <w:rsid w:val="000270A8"/>
    <w:rsid w:val="00031A9C"/>
    <w:rsid w:val="00043DE6"/>
    <w:rsid w:val="0005310A"/>
    <w:rsid w:val="00054462"/>
    <w:rsid w:val="000568D2"/>
    <w:rsid w:val="00063767"/>
    <w:rsid w:val="00073E6C"/>
    <w:rsid w:val="00082823"/>
    <w:rsid w:val="00085C2E"/>
    <w:rsid w:val="00085CCC"/>
    <w:rsid w:val="000870C0"/>
    <w:rsid w:val="00087CF7"/>
    <w:rsid w:val="00091B2C"/>
    <w:rsid w:val="000A55C8"/>
    <w:rsid w:val="000B05C2"/>
    <w:rsid w:val="000C086E"/>
    <w:rsid w:val="000D5638"/>
    <w:rsid w:val="000D7DEE"/>
    <w:rsid w:val="000E2DDE"/>
    <w:rsid w:val="000E326D"/>
    <w:rsid w:val="000E38ED"/>
    <w:rsid w:val="000F2657"/>
    <w:rsid w:val="000F69B9"/>
    <w:rsid w:val="0010133F"/>
    <w:rsid w:val="00105A4A"/>
    <w:rsid w:val="00106125"/>
    <w:rsid w:val="0011376F"/>
    <w:rsid w:val="00115337"/>
    <w:rsid w:val="0011623F"/>
    <w:rsid w:val="0012675E"/>
    <w:rsid w:val="00130733"/>
    <w:rsid w:val="00130EAD"/>
    <w:rsid w:val="001324BB"/>
    <w:rsid w:val="00133832"/>
    <w:rsid w:val="00140C6F"/>
    <w:rsid w:val="001503DD"/>
    <w:rsid w:val="00153294"/>
    <w:rsid w:val="00153DD9"/>
    <w:rsid w:val="001568F1"/>
    <w:rsid w:val="00173A5C"/>
    <w:rsid w:val="001767C2"/>
    <w:rsid w:val="0017696F"/>
    <w:rsid w:val="00193793"/>
    <w:rsid w:val="00196F8A"/>
    <w:rsid w:val="001A542D"/>
    <w:rsid w:val="001A6BCB"/>
    <w:rsid w:val="001B1E28"/>
    <w:rsid w:val="001B29D3"/>
    <w:rsid w:val="001B3F6E"/>
    <w:rsid w:val="001B573B"/>
    <w:rsid w:val="001B7853"/>
    <w:rsid w:val="001C1442"/>
    <w:rsid w:val="001C5BA2"/>
    <w:rsid w:val="001C5CBC"/>
    <w:rsid w:val="001D6BD0"/>
    <w:rsid w:val="001E3A4B"/>
    <w:rsid w:val="001E535E"/>
    <w:rsid w:val="001E6F7A"/>
    <w:rsid w:val="001F20C2"/>
    <w:rsid w:val="002043C4"/>
    <w:rsid w:val="00204F74"/>
    <w:rsid w:val="002064FE"/>
    <w:rsid w:val="00207DE9"/>
    <w:rsid w:val="002115EE"/>
    <w:rsid w:val="00212EBB"/>
    <w:rsid w:val="00216233"/>
    <w:rsid w:val="00220C2A"/>
    <w:rsid w:val="00225DEE"/>
    <w:rsid w:val="00226E2E"/>
    <w:rsid w:val="002274A3"/>
    <w:rsid w:val="00230523"/>
    <w:rsid w:val="00233A7F"/>
    <w:rsid w:val="00233B1A"/>
    <w:rsid w:val="0023697A"/>
    <w:rsid w:val="002370A2"/>
    <w:rsid w:val="00240F89"/>
    <w:rsid w:val="00261990"/>
    <w:rsid w:val="00282408"/>
    <w:rsid w:val="00291BE6"/>
    <w:rsid w:val="002B1FD0"/>
    <w:rsid w:val="002B32FB"/>
    <w:rsid w:val="002B7804"/>
    <w:rsid w:val="002C3E50"/>
    <w:rsid w:val="002D4607"/>
    <w:rsid w:val="002E73C1"/>
    <w:rsid w:val="002F3906"/>
    <w:rsid w:val="00304817"/>
    <w:rsid w:val="0030546A"/>
    <w:rsid w:val="003269C3"/>
    <w:rsid w:val="00336FA3"/>
    <w:rsid w:val="00344673"/>
    <w:rsid w:val="0034623F"/>
    <w:rsid w:val="00352E8B"/>
    <w:rsid w:val="003635FD"/>
    <w:rsid w:val="00373A0A"/>
    <w:rsid w:val="003759EE"/>
    <w:rsid w:val="00380967"/>
    <w:rsid w:val="00382A8D"/>
    <w:rsid w:val="003873DB"/>
    <w:rsid w:val="0039510E"/>
    <w:rsid w:val="00396C02"/>
    <w:rsid w:val="003975AA"/>
    <w:rsid w:val="003A7D20"/>
    <w:rsid w:val="003B19E7"/>
    <w:rsid w:val="003B34C9"/>
    <w:rsid w:val="003B3BC6"/>
    <w:rsid w:val="003B506C"/>
    <w:rsid w:val="003B5078"/>
    <w:rsid w:val="003B5960"/>
    <w:rsid w:val="003C2A0A"/>
    <w:rsid w:val="003C3A49"/>
    <w:rsid w:val="003D05D0"/>
    <w:rsid w:val="003D4A08"/>
    <w:rsid w:val="003E0769"/>
    <w:rsid w:val="003E1046"/>
    <w:rsid w:val="003E1702"/>
    <w:rsid w:val="003F5C82"/>
    <w:rsid w:val="00404007"/>
    <w:rsid w:val="004126E5"/>
    <w:rsid w:val="00413A91"/>
    <w:rsid w:val="00414599"/>
    <w:rsid w:val="00414672"/>
    <w:rsid w:val="00417F9F"/>
    <w:rsid w:val="00421DC0"/>
    <w:rsid w:val="004246C9"/>
    <w:rsid w:val="00427432"/>
    <w:rsid w:val="00443C94"/>
    <w:rsid w:val="0044701D"/>
    <w:rsid w:val="0045177B"/>
    <w:rsid w:val="00452FFA"/>
    <w:rsid w:val="00460C07"/>
    <w:rsid w:val="00465048"/>
    <w:rsid w:val="00466713"/>
    <w:rsid w:val="00472B4E"/>
    <w:rsid w:val="0047461C"/>
    <w:rsid w:val="00477964"/>
    <w:rsid w:val="004838C4"/>
    <w:rsid w:val="00483BBB"/>
    <w:rsid w:val="004865DC"/>
    <w:rsid w:val="004950EE"/>
    <w:rsid w:val="004A1AAF"/>
    <w:rsid w:val="004A4AB3"/>
    <w:rsid w:val="004A55F9"/>
    <w:rsid w:val="004A6F3D"/>
    <w:rsid w:val="004C188F"/>
    <w:rsid w:val="004C2E44"/>
    <w:rsid w:val="004D7C4D"/>
    <w:rsid w:val="004E0568"/>
    <w:rsid w:val="004E16F5"/>
    <w:rsid w:val="004E1D15"/>
    <w:rsid w:val="004E5A41"/>
    <w:rsid w:val="004E73FD"/>
    <w:rsid w:val="004F475E"/>
    <w:rsid w:val="004F4DBA"/>
    <w:rsid w:val="00510879"/>
    <w:rsid w:val="00522B23"/>
    <w:rsid w:val="005235BB"/>
    <w:rsid w:val="00524632"/>
    <w:rsid w:val="00530D4E"/>
    <w:rsid w:val="005316B0"/>
    <w:rsid w:val="00531E2C"/>
    <w:rsid w:val="00553948"/>
    <w:rsid w:val="00553D7E"/>
    <w:rsid w:val="00556BC8"/>
    <w:rsid w:val="00563915"/>
    <w:rsid w:val="0056397B"/>
    <w:rsid w:val="0056699C"/>
    <w:rsid w:val="00572C7F"/>
    <w:rsid w:val="00593728"/>
    <w:rsid w:val="00593DCD"/>
    <w:rsid w:val="00595276"/>
    <w:rsid w:val="005B380B"/>
    <w:rsid w:val="005B3C76"/>
    <w:rsid w:val="005C44B6"/>
    <w:rsid w:val="005C7730"/>
    <w:rsid w:val="005D06A1"/>
    <w:rsid w:val="005D2813"/>
    <w:rsid w:val="005F59D6"/>
    <w:rsid w:val="006043FE"/>
    <w:rsid w:val="00604684"/>
    <w:rsid w:val="00604A9F"/>
    <w:rsid w:val="0060745F"/>
    <w:rsid w:val="00616F13"/>
    <w:rsid w:val="00620BFF"/>
    <w:rsid w:val="0062357F"/>
    <w:rsid w:val="00625ED4"/>
    <w:rsid w:val="00637D22"/>
    <w:rsid w:val="00643D9B"/>
    <w:rsid w:val="00647DE3"/>
    <w:rsid w:val="00652E66"/>
    <w:rsid w:val="00663622"/>
    <w:rsid w:val="006654C9"/>
    <w:rsid w:val="00666ACB"/>
    <w:rsid w:val="00676B90"/>
    <w:rsid w:val="00684B30"/>
    <w:rsid w:val="00685D22"/>
    <w:rsid w:val="00691E2F"/>
    <w:rsid w:val="00693080"/>
    <w:rsid w:val="00694DFC"/>
    <w:rsid w:val="00695367"/>
    <w:rsid w:val="006A4BB6"/>
    <w:rsid w:val="006B5F58"/>
    <w:rsid w:val="006D50B3"/>
    <w:rsid w:val="006D766F"/>
    <w:rsid w:val="006E11D6"/>
    <w:rsid w:val="006E3A0F"/>
    <w:rsid w:val="006F3CCE"/>
    <w:rsid w:val="006F62F5"/>
    <w:rsid w:val="006F72C5"/>
    <w:rsid w:val="006F7410"/>
    <w:rsid w:val="00704D20"/>
    <w:rsid w:val="00716321"/>
    <w:rsid w:val="007300AE"/>
    <w:rsid w:val="007432A6"/>
    <w:rsid w:val="00744488"/>
    <w:rsid w:val="007449C6"/>
    <w:rsid w:val="007457CF"/>
    <w:rsid w:val="0075159F"/>
    <w:rsid w:val="00761D77"/>
    <w:rsid w:val="00766561"/>
    <w:rsid w:val="00767562"/>
    <w:rsid w:val="00767E56"/>
    <w:rsid w:val="00770EA3"/>
    <w:rsid w:val="00776D71"/>
    <w:rsid w:val="00776FEA"/>
    <w:rsid w:val="00777EBF"/>
    <w:rsid w:val="00780E04"/>
    <w:rsid w:val="007910B4"/>
    <w:rsid w:val="00792871"/>
    <w:rsid w:val="00794A41"/>
    <w:rsid w:val="007966FB"/>
    <w:rsid w:val="007A04A4"/>
    <w:rsid w:val="007A3C61"/>
    <w:rsid w:val="007A7B4E"/>
    <w:rsid w:val="007B1D68"/>
    <w:rsid w:val="007B5E05"/>
    <w:rsid w:val="007B6F12"/>
    <w:rsid w:val="007C37ED"/>
    <w:rsid w:val="007C62BB"/>
    <w:rsid w:val="007C6C77"/>
    <w:rsid w:val="007C765A"/>
    <w:rsid w:val="007D2B5A"/>
    <w:rsid w:val="007E1763"/>
    <w:rsid w:val="007E532F"/>
    <w:rsid w:val="007F4779"/>
    <w:rsid w:val="008047C8"/>
    <w:rsid w:val="00805A81"/>
    <w:rsid w:val="00805D91"/>
    <w:rsid w:val="00806A24"/>
    <w:rsid w:val="00815532"/>
    <w:rsid w:val="008162F8"/>
    <w:rsid w:val="00821964"/>
    <w:rsid w:val="008229F4"/>
    <w:rsid w:val="008273D2"/>
    <w:rsid w:val="008340CB"/>
    <w:rsid w:val="0084448B"/>
    <w:rsid w:val="0085056F"/>
    <w:rsid w:val="008513E0"/>
    <w:rsid w:val="008530D9"/>
    <w:rsid w:val="008539EE"/>
    <w:rsid w:val="0085448E"/>
    <w:rsid w:val="008625DC"/>
    <w:rsid w:val="00862AC0"/>
    <w:rsid w:val="00865B5A"/>
    <w:rsid w:val="00890BDE"/>
    <w:rsid w:val="0089412B"/>
    <w:rsid w:val="008A33B2"/>
    <w:rsid w:val="008B493F"/>
    <w:rsid w:val="008B71BE"/>
    <w:rsid w:val="008C5645"/>
    <w:rsid w:val="008D464C"/>
    <w:rsid w:val="008D74E3"/>
    <w:rsid w:val="008E1E4B"/>
    <w:rsid w:val="008E3153"/>
    <w:rsid w:val="008E46B0"/>
    <w:rsid w:val="008F1CE4"/>
    <w:rsid w:val="00901082"/>
    <w:rsid w:val="00916368"/>
    <w:rsid w:val="00916C32"/>
    <w:rsid w:val="00917820"/>
    <w:rsid w:val="00924B78"/>
    <w:rsid w:val="009271C0"/>
    <w:rsid w:val="0093002B"/>
    <w:rsid w:val="00932F1C"/>
    <w:rsid w:val="00945E52"/>
    <w:rsid w:val="009471D3"/>
    <w:rsid w:val="00962E24"/>
    <w:rsid w:val="00965F3C"/>
    <w:rsid w:val="00976AD6"/>
    <w:rsid w:val="009845BD"/>
    <w:rsid w:val="00986FF0"/>
    <w:rsid w:val="00990D90"/>
    <w:rsid w:val="0099493A"/>
    <w:rsid w:val="009A5348"/>
    <w:rsid w:val="009B1882"/>
    <w:rsid w:val="009B4ACB"/>
    <w:rsid w:val="009B5C23"/>
    <w:rsid w:val="009D68C9"/>
    <w:rsid w:val="009D7745"/>
    <w:rsid w:val="009E1BE5"/>
    <w:rsid w:val="009E6BDC"/>
    <w:rsid w:val="009E6EBC"/>
    <w:rsid w:val="009F2EB4"/>
    <w:rsid w:val="009F6BF4"/>
    <w:rsid w:val="009F7156"/>
    <w:rsid w:val="00A00DE8"/>
    <w:rsid w:val="00A21089"/>
    <w:rsid w:val="00A23E53"/>
    <w:rsid w:val="00A33D79"/>
    <w:rsid w:val="00A35BF1"/>
    <w:rsid w:val="00A377BB"/>
    <w:rsid w:val="00A43295"/>
    <w:rsid w:val="00A531F2"/>
    <w:rsid w:val="00A544D1"/>
    <w:rsid w:val="00A64AC1"/>
    <w:rsid w:val="00A73286"/>
    <w:rsid w:val="00A73B5A"/>
    <w:rsid w:val="00A824A0"/>
    <w:rsid w:val="00A91963"/>
    <w:rsid w:val="00AB368C"/>
    <w:rsid w:val="00AB3E0F"/>
    <w:rsid w:val="00AB4F19"/>
    <w:rsid w:val="00AC2BAB"/>
    <w:rsid w:val="00AD1C7A"/>
    <w:rsid w:val="00AD72FD"/>
    <w:rsid w:val="00AE18EC"/>
    <w:rsid w:val="00AE6EF6"/>
    <w:rsid w:val="00AF1AB0"/>
    <w:rsid w:val="00AF46D8"/>
    <w:rsid w:val="00B04EF6"/>
    <w:rsid w:val="00B1012E"/>
    <w:rsid w:val="00B155E3"/>
    <w:rsid w:val="00B32278"/>
    <w:rsid w:val="00B40512"/>
    <w:rsid w:val="00B43B93"/>
    <w:rsid w:val="00B4518A"/>
    <w:rsid w:val="00B52B3B"/>
    <w:rsid w:val="00B543D4"/>
    <w:rsid w:val="00B55535"/>
    <w:rsid w:val="00B7042F"/>
    <w:rsid w:val="00B73E37"/>
    <w:rsid w:val="00B76DA4"/>
    <w:rsid w:val="00B77D78"/>
    <w:rsid w:val="00B81ADA"/>
    <w:rsid w:val="00B83D2E"/>
    <w:rsid w:val="00B93B9E"/>
    <w:rsid w:val="00B93F07"/>
    <w:rsid w:val="00BA4471"/>
    <w:rsid w:val="00BA680F"/>
    <w:rsid w:val="00BB09CB"/>
    <w:rsid w:val="00BB0BF5"/>
    <w:rsid w:val="00BB216F"/>
    <w:rsid w:val="00BB7BCD"/>
    <w:rsid w:val="00BD151E"/>
    <w:rsid w:val="00BD1FC7"/>
    <w:rsid w:val="00BD640B"/>
    <w:rsid w:val="00BE4E16"/>
    <w:rsid w:val="00BF0006"/>
    <w:rsid w:val="00BF112B"/>
    <w:rsid w:val="00BF1C1C"/>
    <w:rsid w:val="00BF5CBA"/>
    <w:rsid w:val="00C04B7C"/>
    <w:rsid w:val="00C1172E"/>
    <w:rsid w:val="00C17C4C"/>
    <w:rsid w:val="00C20279"/>
    <w:rsid w:val="00C22174"/>
    <w:rsid w:val="00C258FA"/>
    <w:rsid w:val="00C31064"/>
    <w:rsid w:val="00C318FB"/>
    <w:rsid w:val="00C3490B"/>
    <w:rsid w:val="00C3607A"/>
    <w:rsid w:val="00C365FB"/>
    <w:rsid w:val="00C3669A"/>
    <w:rsid w:val="00C40DDC"/>
    <w:rsid w:val="00C42286"/>
    <w:rsid w:val="00C5241D"/>
    <w:rsid w:val="00C54071"/>
    <w:rsid w:val="00C63CD8"/>
    <w:rsid w:val="00C6494D"/>
    <w:rsid w:val="00C74940"/>
    <w:rsid w:val="00C752A5"/>
    <w:rsid w:val="00C75AB5"/>
    <w:rsid w:val="00C76830"/>
    <w:rsid w:val="00C77B18"/>
    <w:rsid w:val="00C85BC1"/>
    <w:rsid w:val="00C947FD"/>
    <w:rsid w:val="00CA220B"/>
    <w:rsid w:val="00CB3E09"/>
    <w:rsid w:val="00CC3245"/>
    <w:rsid w:val="00CC3B32"/>
    <w:rsid w:val="00CC6859"/>
    <w:rsid w:val="00CD3055"/>
    <w:rsid w:val="00CD5DF2"/>
    <w:rsid w:val="00CD5FDC"/>
    <w:rsid w:val="00CD66DF"/>
    <w:rsid w:val="00CF0730"/>
    <w:rsid w:val="00CF687D"/>
    <w:rsid w:val="00D00603"/>
    <w:rsid w:val="00D03615"/>
    <w:rsid w:val="00D03699"/>
    <w:rsid w:val="00D03CE4"/>
    <w:rsid w:val="00D06CC9"/>
    <w:rsid w:val="00D07F0A"/>
    <w:rsid w:val="00D13471"/>
    <w:rsid w:val="00D3045F"/>
    <w:rsid w:val="00D34D51"/>
    <w:rsid w:val="00D35CDD"/>
    <w:rsid w:val="00D36D1C"/>
    <w:rsid w:val="00D47DDF"/>
    <w:rsid w:val="00D52100"/>
    <w:rsid w:val="00D5543D"/>
    <w:rsid w:val="00D60D9C"/>
    <w:rsid w:val="00D64CC8"/>
    <w:rsid w:val="00D838EC"/>
    <w:rsid w:val="00D86163"/>
    <w:rsid w:val="00D86680"/>
    <w:rsid w:val="00D95545"/>
    <w:rsid w:val="00DA1031"/>
    <w:rsid w:val="00DA4202"/>
    <w:rsid w:val="00DB528C"/>
    <w:rsid w:val="00DB7D1B"/>
    <w:rsid w:val="00DC1E43"/>
    <w:rsid w:val="00DC68E4"/>
    <w:rsid w:val="00DE150D"/>
    <w:rsid w:val="00DE3E39"/>
    <w:rsid w:val="00DF2294"/>
    <w:rsid w:val="00DF3BBC"/>
    <w:rsid w:val="00DF5070"/>
    <w:rsid w:val="00DF7CAE"/>
    <w:rsid w:val="00E0170C"/>
    <w:rsid w:val="00E1251D"/>
    <w:rsid w:val="00E14E45"/>
    <w:rsid w:val="00E2532C"/>
    <w:rsid w:val="00E342BB"/>
    <w:rsid w:val="00E34402"/>
    <w:rsid w:val="00E372BA"/>
    <w:rsid w:val="00E37822"/>
    <w:rsid w:val="00E4170D"/>
    <w:rsid w:val="00E46DF7"/>
    <w:rsid w:val="00E55A6F"/>
    <w:rsid w:val="00E5633A"/>
    <w:rsid w:val="00E56F4C"/>
    <w:rsid w:val="00E60148"/>
    <w:rsid w:val="00E647C8"/>
    <w:rsid w:val="00E7129A"/>
    <w:rsid w:val="00E73086"/>
    <w:rsid w:val="00E849F5"/>
    <w:rsid w:val="00E850E7"/>
    <w:rsid w:val="00E906E4"/>
    <w:rsid w:val="00E9085B"/>
    <w:rsid w:val="00E90DCA"/>
    <w:rsid w:val="00E936D4"/>
    <w:rsid w:val="00E96536"/>
    <w:rsid w:val="00E96DB7"/>
    <w:rsid w:val="00EA2C49"/>
    <w:rsid w:val="00EA2EF7"/>
    <w:rsid w:val="00EA582E"/>
    <w:rsid w:val="00EC1D74"/>
    <w:rsid w:val="00EC4479"/>
    <w:rsid w:val="00EC50BE"/>
    <w:rsid w:val="00EC5D23"/>
    <w:rsid w:val="00EC7200"/>
    <w:rsid w:val="00ED0E54"/>
    <w:rsid w:val="00ED3A4A"/>
    <w:rsid w:val="00EE135A"/>
    <w:rsid w:val="00EE142D"/>
    <w:rsid w:val="00EF1F5E"/>
    <w:rsid w:val="00EF49B9"/>
    <w:rsid w:val="00EF714F"/>
    <w:rsid w:val="00F00173"/>
    <w:rsid w:val="00F02153"/>
    <w:rsid w:val="00F0686D"/>
    <w:rsid w:val="00F07152"/>
    <w:rsid w:val="00F20441"/>
    <w:rsid w:val="00F36773"/>
    <w:rsid w:val="00F379C7"/>
    <w:rsid w:val="00F435CC"/>
    <w:rsid w:val="00F448E7"/>
    <w:rsid w:val="00F47136"/>
    <w:rsid w:val="00F47582"/>
    <w:rsid w:val="00F47B60"/>
    <w:rsid w:val="00F7303B"/>
    <w:rsid w:val="00F75DB5"/>
    <w:rsid w:val="00F80B42"/>
    <w:rsid w:val="00F903AE"/>
    <w:rsid w:val="00FA1724"/>
    <w:rsid w:val="00FA5533"/>
    <w:rsid w:val="00FA7CEA"/>
    <w:rsid w:val="00FD388E"/>
    <w:rsid w:val="00FD3CA7"/>
    <w:rsid w:val="00FD4423"/>
    <w:rsid w:val="00FD7CF8"/>
    <w:rsid w:val="00FF4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1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BC"/>
    <w:pPr>
      <w:spacing w:before="120"/>
    </w:pPr>
    <w:rPr>
      <w:rFonts w:ascii="Franklin Gothic Book" w:hAnsi="Franklin Gothic Book"/>
    </w:rPr>
  </w:style>
  <w:style w:type="paragraph" w:styleId="Heading1">
    <w:name w:val="heading 1"/>
    <w:basedOn w:val="Heading2"/>
    <w:next w:val="Normal"/>
    <w:link w:val="Heading1Char"/>
    <w:uiPriority w:val="9"/>
    <w:qFormat/>
    <w:rsid w:val="00DF3BBC"/>
    <w:pPr>
      <w:outlineLvl w:val="0"/>
    </w:pPr>
  </w:style>
  <w:style w:type="paragraph" w:styleId="Heading2">
    <w:name w:val="heading 2"/>
    <w:basedOn w:val="Normal"/>
    <w:next w:val="Normal"/>
    <w:link w:val="Heading2Char"/>
    <w:uiPriority w:val="9"/>
    <w:unhideWhenUsed/>
    <w:qFormat/>
    <w:rsid w:val="00DF3BBC"/>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semiHidden/>
    <w:unhideWhenUsed/>
    <w:qFormat/>
    <w:rsid w:val="00AF46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BBC"/>
    <w:rPr>
      <w:rFonts w:ascii="Franklin Gothic Medium" w:eastAsiaTheme="majorEastAsia" w:hAnsi="Franklin Gothic Medium" w:cstheme="majorBidi"/>
      <w:color w:val="000000" w:themeColor="text1"/>
      <w:sz w:val="32"/>
      <w:szCs w:val="26"/>
    </w:rPr>
  </w:style>
  <w:style w:type="character" w:customStyle="1" w:styleId="Heading2Char">
    <w:name w:val="Heading 2 Char"/>
    <w:basedOn w:val="DefaultParagraphFont"/>
    <w:link w:val="Heading2"/>
    <w:uiPriority w:val="9"/>
    <w:rsid w:val="00DF3BBC"/>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semiHidden/>
    <w:rsid w:val="00AF46D8"/>
    <w:rPr>
      <w:rFonts w:asciiTheme="majorHAnsi" w:eastAsiaTheme="majorEastAsia" w:hAnsiTheme="majorHAnsi" w:cstheme="majorBidi"/>
      <w:color w:val="1F3763" w:themeColor="accent1" w:themeShade="7F"/>
      <w:sz w:val="24"/>
      <w:szCs w:val="24"/>
    </w:rPr>
  </w:style>
  <w:style w:type="table" w:styleId="TableGrid">
    <w:name w:val="Table Grid"/>
    <w:aliases w:val="Summary box,Table Gridbeth,RTI AMCP Table,new style,ASD Table,HTAtableplain"/>
    <w:basedOn w:val="TableNormal"/>
    <w:uiPriority w:val="59"/>
    <w:rsid w:val="00AF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6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Name">
    <w:name w:val="BoxName"/>
    <w:basedOn w:val="Normal"/>
    <w:qFormat/>
    <w:rsid w:val="00DF3BBC"/>
    <w:pPr>
      <w:pBdr>
        <w:top w:val="single" w:sz="4" w:space="4" w:color="auto"/>
        <w:left w:val="single" w:sz="4" w:space="4" w:color="auto"/>
        <w:bottom w:val="single" w:sz="4" w:space="4" w:color="auto"/>
        <w:right w:val="single" w:sz="4" w:space="4" w:color="auto"/>
      </w:pBdr>
      <w:spacing w:before="20" w:after="0"/>
    </w:pPr>
    <w:rPr>
      <w:b/>
      <w:sz w:val="24"/>
      <w:szCs w:val="24"/>
    </w:rPr>
  </w:style>
  <w:style w:type="paragraph" w:customStyle="1" w:styleId="BoxText">
    <w:name w:val="BoxText"/>
    <w:basedOn w:val="Normal"/>
    <w:qFormat/>
    <w:rsid w:val="00DF3BBC"/>
    <w:pPr>
      <w:pBdr>
        <w:top w:val="single" w:sz="4" w:space="4" w:color="auto"/>
        <w:left w:val="single" w:sz="4" w:space="4" w:color="auto"/>
        <w:bottom w:val="single" w:sz="4" w:space="4" w:color="auto"/>
        <w:right w:val="single" w:sz="4" w:space="4" w:color="auto"/>
      </w:pBdr>
    </w:pPr>
  </w:style>
  <w:style w:type="paragraph" w:customStyle="1" w:styleId="BulletBeforeDash">
    <w:name w:val="BulletBeforeDash"/>
    <w:basedOn w:val="Normal"/>
    <w:rsid w:val="00DF3BBC"/>
    <w:pPr>
      <w:numPr>
        <w:numId w:val="4"/>
      </w:numPr>
      <w:spacing w:before="0" w:after="0" w:line="240" w:lineRule="auto"/>
      <w:ind w:left="720"/>
    </w:pPr>
    <w:rPr>
      <w:rFonts w:ascii="Times New Roman" w:eastAsia="Times New Roman" w:hAnsi="Times New Roman" w:cs="Times New Roman"/>
      <w:color w:val="000000"/>
      <w:sz w:val="24"/>
      <w:szCs w:val="20"/>
      <w:lang w:eastAsia="en-AU"/>
    </w:rPr>
  </w:style>
  <w:style w:type="paragraph" w:customStyle="1" w:styleId="Bullet">
    <w:name w:val="Bullet"/>
    <w:basedOn w:val="BulletBeforeDash"/>
    <w:qFormat/>
    <w:rsid w:val="00DF3BBC"/>
    <w:pPr>
      <w:spacing w:after="120"/>
    </w:pPr>
    <w:rPr>
      <w:rFonts w:ascii="Franklin Gothic Book" w:hAnsi="Franklin Gothic Book"/>
      <w:sz w:val="22"/>
    </w:rPr>
  </w:style>
  <w:style w:type="paragraph" w:customStyle="1" w:styleId="NormalBeforeBullet">
    <w:name w:val="NormalBeforeBullet"/>
    <w:basedOn w:val="Normal"/>
    <w:qFormat/>
    <w:rsid w:val="00BA4471"/>
    <w:pPr>
      <w:keepNext/>
      <w:spacing w:after="120"/>
    </w:pPr>
  </w:style>
  <w:style w:type="paragraph" w:customStyle="1" w:styleId="TableText">
    <w:name w:val="Table Text"/>
    <w:basedOn w:val="Normal"/>
    <w:link w:val="TableTextChar"/>
    <w:qFormat/>
    <w:rsid w:val="00A73286"/>
    <w:pPr>
      <w:spacing w:before="40" w:after="40" w:line="240" w:lineRule="auto"/>
    </w:pPr>
    <w:rPr>
      <w:rFonts w:ascii="Arial Narrow" w:hAnsi="Arial Narrow"/>
      <w:sz w:val="20"/>
    </w:rPr>
  </w:style>
  <w:style w:type="character" w:customStyle="1" w:styleId="TableTextChar">
    <w:name w:val="Table Text Char"/>
    <w:basedOn w:val="DefaultParagraphFont"/>
    <w:link w:val="TableText"/>
    <w:rsid w:val="00A73286"/>
    <w:rPr>
      <w:rFonts w:ascii="Arial Narrow" w:hAnsi="Arial Narrow"/>
      <w:sz w:val="20"/>
    </w:rPr>
  </w:style>
  <w:style w:type="table" w:customStyle="1" w:styleId="TableGrid1">
    <w:name w:val="Table Grid1"/>
    <w:basedOn w:val="TableNormal"/>
    <w:next w:val="TableGrid"/>
    <w:uiPriority w:val="39"/>
    <w:locked/>
    <w:rsid w:val="00A73286"/>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styleId="ListParagraph">
    <w:name w:val="List Paragraph"/>
    <w:aliases w:val="Body text,Bullet Point,Bullet point,Bullet- First level,Figure_name,L,List NUmber,List Paragraph Number,List Paragraph1,List Paragraph11,Listenabsatz1,NAST Quote,Numbered Indented Text,Recommendation,bullet point list,lp1,standard lewis"/>
    <w:basedOn w:val="Normal"/>
    <w:link w:val="ListParagraphChar"/>
    <w:uiPriority w:val="34"/>
    <w:qFormat/>
    <w:rsid w:val="00A73286"/>
    <w:pPr>
      <w:ind w:left="720"/>
      <w:contextualSpacing/>
    </w:pPr>
  </w:style>
  <w:style w:type="character" w:customStyle="1" w:styleId="ListParagraphChar">
    <w:name w:val="List Paragraph Char"/>
    <w:aliases w:val="Body text Char,Bullet Point Char,Bullet point Char,Bullet- First level Char,Figure_name Char,L Char,List NUmber Char,List Paragraph Number Char,List Paragraph1 Char,List Paragraph11 Char,Listenabsatz1 Char,NAST Quote Char,lp1 Char"/>
    <w:basedOn w:val="DefaultParagraphFont"/>
    <w:link w:val="ListParagraph"/>
    <w:uiPriority w:val="34"/>
    <w:qFormat/>
    <w:rsid w:val="00A73286"/>
    <w:rPr>
      <w:rFonts w:ascii="Franklin Gothic Book" w:hAnsi="Franklin Gothic Book"/>
    </w:rPr>
  </w:style>
  <w:style w:type="character" w:styleId="CommentReference">
    <w:name w:val="annotation reference"/>
    <w:basedOn w:val="DefaultParagraphFont"/>
    <w:uiPriority w:val="99"/>
    <w:semiHidden/>
    <w:unhideWhenUsed/>
    <w:rsid w:val="001C1442"/>
    <w:rPr>
      <w:sz w:val="16"/>
      <w:szCs w:val="16"/>
    </w:rPr>
  </w:style>
  <w:style w:type="paragraph" w:styleId="CommentText">
    <w:name w:val="annotation text"/>
    <w:basedOn w:val="Normal"/>
    <w:link w:val="CommentTextChar"/>
    <w:uiPriority w:val="99"/>
    <w:unhideWhenUsed/>
    <w:rsid w:val="001C1442"/>
    <w:pPr>
      <w:spacing w:line="240" w:lineRule="auto"/>
    </w:pPr>
    <w:rPr>
      <w:sz w:val="20"/>
      <w:szCs w:val="20"/>
    </w:rPr>
  </w:style>
  <w:style w:type="character" w:customStyle="1" w:styleId="CommentTextChar">
    <w:name w:val="Comment Text Char"/>
    <w:basedOn w:val="DefaultParagraphFont"/>
    <w:link w:val="CommentText"/>
    <w:uiPriority w:val="99"/>
    <w:rsid w:val="001C1442"/>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C1442"/>
    <w:rPr>
      <w:b/>
      <w:bCs/>
    </w:rPr>
  </w:style>
  <w:style w:type="character" w:customStyle="1" w:styleId="CommentSubjectChar">
    <w:name w:val="Comment Subject Char"/>
    <w:basedOn w:val="CommentTextChar"/>
    <w:link w:val="CommentSubject"/>
    <w:uiPriority w:val="99"/>
    <w:semiHidden/>
    <w:rsid w:val="001C1442"/>
    <w:rPr>
      <w:rFonts w:ascii="Franklin Gothic Book" w:hAnsi="Franklin Gothic Book"/>
      <w:b/>
      <w:bCs/>
      <w:sz w:val="20"/>
      <w:szCs w:val="20"/>
    </w:rPr>
  </w:style>
  <w:style w:type="paragraph" w:styleId="Revision">
    <w:name w:val="Revision"/>
    <w:hidden/>
    <w:uiPriority w:val="99"/>
    <w:semiHidden/>
    <w:rsid w:val="005316B0"/>
    <w:pPr>
      <w:spacing w:after="0" w:line="240" w:lineRule="auto"/>
    </w:pPr>
    <w:rPr>
      <w:rFonts w:ascii="Franklin Gothic Book" w:hAnsi="Franklin Gothic Book"/>
    </w:rPr>
  </w:style>
  <w:style w:type="paragraph" w:styleId="FootnoteText">
    <w:name w:val="footnote text"/>
    <w:basedOn w:val="Normal"/>
    <w:link w:val="FootnoteTextChar"/>
    <w:uiPriority w:val="99"/>
    <w:semiHidden/>
    <w:unhideWhenUsed/>
    <w:rsid w:val="00CC685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6859"/>
    <w:rPr>
      <w:rFonts w:ascii="Franklin Gothic Book" w:hAnsi="Franklin Gothic Book"/>
      <w:sz w:val="20"/>
      <w:szCs w:val="20"/>
    </w:rPr>
  </w:style>
  <w:style w:type="character" w:styleId="FootnoteReference">
    <w:name w:val="footnote reference"/>
    <w:basedOn w:val="DefaultParagraphFont"/>
    <w:uiPriority w:val="99"/>
    <w:semiHidden/>
    <w:unhideWhenUsed/>
    <w:rsid w:val="00CC6859"/>
    <w:rPr>
      <w:vertAlign w:val="superscript"/>
    </w:rPr>
  </w:style>
  <w:style w:type="paragraph" w:styleId="Title">
    <w:name w:val="Title"/>
    <w:basedOn w:val="Normal"/>
    <w:next w:val="Normal"/>
    <w:link w:val="TitleChar"/>
    <w:uiPriority w:val="10"/>
    <w:qFormat/>
    <w:rsid w:val="0011533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3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153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rsid w:val="00115337"/>
    <w:rPr>
      <w:rFonts w:eastAsiaTheme="minorEastAsia"/>
      <w:color w:val="5A5A5A" w:themeColor="text1" w:themeTint="A5"/>
      <w:spacing w:val="15"/>
    </w:rPr>
  </w:style>
  <w:style w:type="paragraph" w:styleId="Caption">
    <w:name w:val="caption"/>
    <w:basedOn w:val="Normal"/>
    <w:next w:val="Normal"/>
    <w:uiPriority w:val="35"/>
    <w:unhideWhenUsed/>
    <w:qFormat/>
    <w:rsid w:val="007C62BB"/>
    <w:pPr>
      <w:spacing w:before="0" w:after="200" w:line="240" w:lineRule="auto"/>
    </w:pPr>
    <w:rPr>
      <w:rFonts w:asciiTheme="minorHAnsi" w:hAnsiTheme="minorHAnsi"/>
      <w:i/>
      <w:iCs/>
      <w:color w:val="44546A" w:themeColor="text2"/>
      <w:sz w:val="18"/>
      <w:szCs w:val="18"/>
    </w:rPr>
  </w:style>
  <w:style w:type="paragraph" w:customStyle="1" w:styleId="Instructionaltext">
    <w:name w:val="Instructional text"/>
    <w:basedOn w:val="Normal"/>
    <w:link w:val="InstructionaltextChar"/>
    <w:qFormat/>
    <w:rsid w:val="00806A24"/>
    <w:rPr>
      <w:color w:val="258221"/>
    </w:rPr>
  </w:style>
  <w:style w:type="character" w:customStyle="1" w:styleId="InstructionaltextChar">
    <w:name w:val="Instructional text Char"/>
    <w:basedOn w:val="DefaultParagraphFont"/>
    <w:link w:val="Instructionaltext"/>
    <w:rsid w:val="00806A24"/>
    <w:rPr>
      <w:rFonts w:ascii="Franklin Gothic Book" w:hAnsi="Franklin Gothic Book"/>
      <w:color w:val="258221"/>
    </w:rPr>
  </w:style>
  <w:style w:type="character" w:styleId="Hyperlink">
    <w:name w:val="Hyperlink"/>
    <w:basedOn w:val="DefaultParagraphFont"/>
    <w:uiPriority w:val="99"/>
    <w:unhideWhenUsed/>
    <w:rsid w:val="00F47136"/>
    <w:rPr>
      <w:color w:val="0070C0"/>
      <w:u w:val="single"/>
    </w:rPr>
  </w:style>
  <w:style w:type="paragraph" w:styleId="Header">
    <w:name w:val="header"/>
    <w:basedOn w:val="Normal"/>
    <w:link w:val="HeaderChar"/>
    <w:uiPriority w:val="99"/>
    <w:unhideWhenUsed/>
    <w:rsid w:val="009A534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348"/>
    <w:rPr>
      <w:rFonts w:ascii="Franklin Gothic Book" w:hAnsi="Franklin Gothic Book"/>
    </w:rPr>
  </w:style>
  <w:style w:type="paragraph" w:styleId="Footer">
    <w:name w:val="footer"/>
    <w:basedOn w:val="Normal"/>
    <w:link w:val="FooterChar"/>
    <w:uiPriority w:val="99"/>
    <w:unhideWhenUsed/>
    <w:rsid w:val="009A534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A5348"/>
    <w:rPr>
      <w:rFonts w:ascii="Franklin Gothic Book" w:hAnsi="Franklin Gothic Book"/>
    </w:rPr>
  </w:style>
  <w:style w:type="paragraph" w:styleId="BalloonText">
    <w:name w:val="Balloon Text"/>
    <w:basedOn w:val="Normal"/>
    <w:link w:val="BalloonTextChar"/>
    <w:uiPriority w:val="99"/>
    <w:semiHidden/>
    <w:unhideWhenUsed/>
    <w:rsid w:val="00691E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2F"/>
    <w:rPr>
      <w:rFonts w:ascii="Segoe UI" w:hAnsi="Segoe UI" w:cs="Segoe UI"/>
      <w:sz w:val="18"/>
      <w:szCs w:val="18"/>
    </w:rPr>
  </w:style>
  <w:style w:type="table" w:customStyle="1" w:styleId="ASDTable1">
    <w:name w:val="ASD Table1"/>
    <w:basedOn w:val="TableNormal"/>
    <w:next w:val="TableGrid"/>
    <w:uiPriority w:val="59"/>
    <w:rsid w:val="00A377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871">
      <w:bodyDiv w:val="1"/>
      <w:marLeft w:val="0"/>
      <w:marRight w:val="0"/>
      <w:marTop w:val="0"/>
      <w:marBottom w:val="0"/>
      <w:divBdr>
        <w:top w:val="none" w:sz="0" w:space="0" w:color="auto"/>
        <w:left w:val="none" w:sz="0" w:space="0" w:color="auto"/>
        <w:bottom w:val="none" w:sz="0" w:space="0" w:color="auto"/>
        <w:right w:val="none" w:sz="0" w:space="0" w:color="auto"/>
      </w:divBdr>
    </w:div>
    <w:div w:id="129590119">
      <w:bodyDiv w:val="1"/>
      <w:marLeft w:val="0"/>
      <w:marRight w:val="0"/>
      <w:marTop w:val="0"/>
      <w:marBottom w:val="0"/>
      <w:divBdr>
        <w:top w:val="none" w:sz="0" w:space="0" w:color="auto"/>
        <w:left w:val="none" w:sz="0" w:space="0" w:color="auto"/>
        <w:bottom w:val="none" w:sz="0" w:space="0" w:color="auto"/>
        <w:right w:val="none" w:sz="0" w:space="0" w:color="auto"/>
      </w:divBdr>
    </w:div>
    <w:div w:id="227376604">
      <w:bodyDiv w:val="1"/>
      <w:marLeft w:val="0"/>
      <w:marRight w:val="0"/>
      <w:marTop w:val="0"/>
      <w:marBottom w:val="0"/>
      <w:divBdr>
        <w:top w:val="none" w:sz="0" w:space="0" w:color="auto"/>
        <w:left w:val="none" w:sz="0" w:space="0" w:color="auto"/>
        <w:bottom w:val="none" w:sz="0" w:space="0" w:color="auto"/>
        <w:right w:val="none" w:sz="0" w:space="0" w:color="auto"/>
      </w:divBdr>
    </w:div>
    <w:div w:id="384839144">
      <w:bodyDiv w:val="1"/>
      <w:marLeft w:val="0"/>
      <w:marRight w:val="0"/>
      <w:marTop w:val="0"/>
      <w:marBottom w:val="0"/>
      <w:divBdr>
        <w:top w:val="none" w:sz="0" w:space="0" w:color="auto"/>
        <w:left w:val="none" w:sz="0" w:space="0" w:color="auto"/>
        <w:bottom w:val="none" w:sz="0" w:space="0" w:color="auto"/>
        <w:right w:val="none" w:sz="0" w:space="0" w:color="auto"/>
      </w:divBdr>
    </w:div>
    <w:div w:id="389618084">
      <w:bodyDiv w:val="1"/>
      <w:marLeft w:val="0"/>
      <w:marRight w:val="0"/>
      <w:marTop w:val="0"/>
      <w:marBottom w:val="0"/>
      <w:divBdr>
        <w:top w:val="none" w:sz="0" w:space="0" w:color="auto"/>
        <w:left w:val="none" w:sz="0" w:space="0" w:color="auto"/>
        <w:bottom w:val="none" w:sz="0" w:space="0" w:color="auto"/>
        <w:right w:val="none" w:sz="0" w:space="0" w:color="auto"/>
      </w:divBdr>
    </w:div>
    <w:div w:id="404643921">
      <w:bodyDiv w:val="1"/>
      <w:marLeft w:val="0"/>
      <w:marRight w:val="0"/>
      <w:marTop w:val="0"/>
      <w:marBottom w:val="0"/>
      <w:divBdr>
        <w:top w:val="none" w:sz="0" w:space="0" w:color="auto"/>
        <w:left w:val="none" w:sz="0" w:space="0" w:color="auto"/>
        <w:bottom w:val="none" w:sz="0" w:space="0" w:color="auto"/>
        <w:right w:val="none" w:sz="0" w:space="0" w:color="auto"/>
      </w:divBdr>
    </w:div>
    <w:div w:id="499319950">
      <w:bodyDiv w:val="1"/>
      <w:marLeft w:val="0"/>
      <w:marRight w:val="0"/>
      <w:marTop w:val="0"/>
      <w:marBottom w:val="0"/>
      <w:divBdr>
        <w:top w:val="none" w:sz="0" w:space="0" w:color="auto"/>
        <w:left w:val="none" w:sz="0" w:space="0" w:color="auto"/>
        <w:bottom w:val="none" w:sz="0" w:space="0" w:color="auto"/>
        <w:right w:val="none" w:sz="0" w:space="0" w:color="auto"/>
      </w:divBdr>
    </w:div>
    <w:div w:id="537007340">
      <w:bodyDiv w:val="1"/>
      <w:marLeft w:val="0"/>
      <w:marRight w:val="0"/>
      <w:marTop w:val="0"/>
      <w:marBottom w:val="0"/>
      <w:divBdr>
        <w:top w:val="none" w:sz="0" w:space="0" w:color="auto"/>
        <w:left w:val="none" w:sz="0" w:space="0" w:color="auto"/>
        <w:bottom w:val="none" w:sz="0" w:space="0" w:color="auto"/>
        <w:right w:val="none" w:sz="0" w:space="0" w:color="auto"/>
      </w:divBdr>
    </w:div>
    <w:div w:id="585892352">
      <w:bodyDiv w:val="1"/>
      <w:marLeft w:val="0"/>
      <w:marRight w:val="0"/>
      <w:marTop w:val="0"/>
      <w:marBottom w:val="0"/>
      <w:divBdr>
        <w:top w:val="none" w:sz="0" w:space="0" w:color="auto"/>
        <w:left w:val="none" w:sz="0" w:space="0" w:color="auto"/>
        <w:bottom w:val="none" w:sz="0" w:space="0" w:color="auto"/>
        <w:right w:val="none" w:sz="0" w:space="0" w:color="auto"/>
      </w:divBdr>
    </w:div>
    <w:div w:id="598561920">
      <w:bodyDiv w:val="1"/>
      <w:marLeft w:val="0"/>
      <w:marRight w:val="0"/>
      <w:marTop w:val="0"/>
      <w:marBottom w:val="0"/>
      <w:divBdr>
        <w:top w:val="none" w:sz="0" w:space="0" w:color="auto"/>
        <w:left w:val="none" w:sz="0" w:space="0" w:color="auto"/>
        <w:bottom w:val="none" w:sz="0" w:space="0" w:color="auto"/>
        <w:right w:val="none" w:sz="0" w:space="0" w:color="auto"/>
      </w:divBdr>
    </w:div>
    <w:div w:id="614484670">
      <w:bodyDiv w:val="1"/>
      <w:marLeft w:val="0"/>
      <w:marRight w:val="0"/>
      <w:marTop w:val="0"/>
      <w:marBottom w:val="0"/>
      <w:divBdr>
        <w:top w:val="none" w:sz="0" w:space="0" w:color="auto"/>
        <w:left w:val="none" w:sz="0" w:space="0" w:color="auto"/>
        <w:bottom w:val="none" w:sz="0" w:space="0" w:color="auto"/>
        <w:right w:val="none" w:sz="0" w:space="0" w:color="auto"/>
      </w:divBdr>
    </w:div>
    <w:div w:id="649944066">
      <w:bodyDiv w:val="1"/>
      <w:marLeft w:val="0"/>
      <w:marRight w:val="0"/>
      <w:marTop w:val="0"/>
      <w:marBottom w:val="0"/>
      <w:divBdr>
        <w:top w:val="none" w:sz="0" w:space="0" w:color="auto"/>
        <w:left w:val="none" w:sz="0" w:space="0" w:color="auto"/>
        <w:bottom w:val="none" w:sz="0" w:space="0" w:color="auto"/>
        <w:right w:val="none" w:sz="0" w:space="0" w:color="auto"/>
      </w:divBdr>
    </w:div>
    <w:div w:id="710543511">
      <w:bodyDiv w:val="1"/>
      <w:marLeft w:val="0"/>
      <w:marRight w:val="0"/>
      <w:marTop w:val="0"/>
      <w:marBottom w:val="0"/>
      <w:divBdr>
        <w:top w:val="none" w:sz="0" w:space="0" w:color="auto"/>
        <w:left w:val="none" w:sz="0" w:space="0" w:color="auto"/>
        <w:bottom w:val="none" w:sz="0" w:space="0" w:color="auto"/>
        <w:right w:val="none" w:sz="0" w:space="0" w:color="auto"/>
      </w:divBdr>
    </w:div>
    <w:div w:id="784422038">
      <w:bodyDiv w:val="1"/>
      <w:marLeft w:val="0"/>
      <w:marRight w:val="0"/>
      <w:marTop w:val="0"/>
      <w:marBottom w:val="0"/>
      <w:divBdr>
        <w:top w:val="none" w:sz="0" w:space="0" w:color="auto"/>
        <w:left w:val="none" w:sz="0" w:space="0" w:color="auto"/>
        <w:bottom w:val="none" w:sz="0" w:space="0" w:color="auto"/>
        <w:right w:val="none" w:sz="0" w:space="0" w:color="auto"/>
      </w:divBdr>
    </w:div>
    <w:div w:id="796802701">
      <w:bodyDiv w:val="1"/>
      <w:marLeft w:val="0"/>
      <w:marRight w:val="0"/>
      <w:marTop w:val="0"/>
      <w:marBottom w:val="0"/>
      <w:divBdr>
        <w:top w:val="none" w:sz="0" w:space="0" w:color="auto"/>
        <w:left w:val="none" w:sz="0" w:space="0" w:color="auto"/>
        <w:bottom w:val="none" w:sz="0" w:space="0" w:color="auto"/>
        <w:right w:val="none" w:sz="0" w:space="0" w:color="auto"/>
      </w:divBdr>
    </w:div>
    <w:div w:id="927228863">
      <w:bodyDiv w:val="1"/>
      <w:marLeft w:val="0"/>
      <w:marRight w:val="0"/>
      <w:marTop w:val="0"/>
      <w:marBottom w:val="0"/>
      <w:divBdr>
        <w:top w:val="none" w:sz="0" w:space="0" w:color="auto"/>
        <w:left w:val="none" w:sz="0" w:space="0" w:color="auto"/>
        <w:bottom w:val="none" w:sz="0" w:space="0" w:color="auto"/>
        <w:right w:val="none" w:sz="0" w:space="0" w:color="auto"/>
      </w:divBdr>
    </w:div>
    <w:div w:id="989943126">
      <w:bodyDiv w:val="1"/>
      <w:marLeft w:val="0"/>
      <w:marRight w:val="0"/>
      <w:marTop w:val="0"/>
      <w:marBottom w:val="0"/>
      <w:divBdr>
        <w:top w:val="none" w:sz="0" w:space="0" w:color="auto"/>
        <w:left w:val="none" w:sz="0" w:space="0" w:color="auto"/>
        <w:bottom w:val="none" w:sz="0" w:space="0" w:color="auto"/>
        <w:right w:val="none" w:sz="0" w:space="0" w:color="auto"/>
      </w:divBdr>
    </w:div>
    <w:div w:id="1067991228">
      <w:bodyDiv w:val="1"/>
      <w:marLeft w:val="0"/>
      <w:marRight w:val="0"/>
      <w:marTop w:val="0"/>
      <w:marBottom w:val="0"/>
      <w:divBdr>
        <w:top w:val="none" w:sz="0" w:space="0" w:color="auto"/>
        <w:left w:val="none" w:sz="0" w:space="0" w:color="auto"/>
        <w:bottom w:val="none" w:sz="0" w:space="0" w:color="auto"/>
        <w:right w:val="none" w:sz="0" w:space="0" w:color="auto"/>
      </w:divBdr>
    </w:div>
    <w:div w:id="1119683609">
      <w:bodyDiv w:val="1"/>
      <w:marLeft w:val="0"/>
      <w:marRight w:val="0"/>
      <w:marTop w:val="0"/>
      <w:marBottom w:val="0"/>
      <w:divBdr>
        <w:top w:val="none" w:sz="0" w:space="0" w:color="auto"/>
        <w:left w:val="none" w:sz="0" w:space="0" w:color="auto"/>
        <w:bottom w:val="none" w:sz="0" w:space="0" w:color="auto"/>
        <w:right w:val="none" w:sz="0" w:space="0" w:color="auto"/>
      </w:divBdr>
    </w:div>
    <w:div w:id="1127044225">
      <w:bodyDiv w:val="1"/>
      <w:marLeft w:val="0"/>
      <w:marRight w:val="0"/>
      <w:marTop w:val="0"/>
      <w:marBottom w:val="0"/>
      <w:divBdr>
        <w:top w:val="none" w:sz="0" w:space="0" w:color="auto"/>
        <w:left w:val="none" w:sz="0" w:space="0" w:color="auto"/>
        <w:bottom w:val="none" w:sz="0" w:space="0" w:color="auto"/>
        <w:right w:val="none" w:sz="0" w:space="0" w:color="auto"/>
      </w:divBdr>
    </w:div>
    <w:div w:id="1145969681">
      <w:bodyDiv w:val="1"/>
      <w:marLeft w:val="0"/>
      <w:marRight w:val="0"/>
      <w:marTop w:val="0"/>
      <w:marBottom w:val="0"/>
      <w:divBdr>
        <w:top w:val="none" w:sz="0" w:space="0" w:color="auto"/>
        <w:left w:val="none" w:sz="0" w:space="0" w:color="auto"/>
        <w:bottom w:val="none" w:sz="0" w:space="0" w:color="auto"/>
        <w:right w:val="none" w:sz="0" w:space="0" w:color="auto"/>
      </w:divBdr>
    </w:div>
    <w:div w:id="1228105915">
      <w:bodyDiv w:val="1"/>
      <w:marLeft w:val="0"/>
      <w:marRight w:val="0"/>
      <w:marTop w:val="0"/>
      <w:marBottom w:val="0"/>
      <w:divBdr>
        <w:top w:val="none" w:sz="0" w:space="0" w:color="auto"/>
        <w:left w:val="none" w:sz="0" w:space="0" w:color="auto"/>
        <w:bottom w:val="none" w:sz="0" w:space="0" w:color="auto"/>
        <w:right w:val="none" w:sz="0" w:space="0" w:color="auto"/>
      </w:divBdr>
    </w:div>
    <w:div w:id="1320037906">
      <w:bodyDiv w:val="1"/>
      <w:marLeft w:val="0"/>
      <w:marRight w:val="0"/>
      <w:marTop w:val="0"/>
      <w:marBottom w:val="0"/>
      <w:divBdr>
        <w:top w:val="none" w:sz="0" w:space="0" w:color="auto"/>
        <w:left w:val="none" w:sz="0" w:space="0" w:color="auto"/>
        <w:bottom w:val="none" w:sz="0" w:space="0" w:color="auto"/>
        <w:right w:val="none" w:sz="0" w:space="0" w:color="auto"/>
      </w:divBdr>
    </w:div>
    <w:div w:id="1329363978">
      <w:bodyDiv w:val="1"/>
      <w:marLeft w:val="0"/>
      <w:marRight w:val="0"/>
      <w:marTop w:val="0"/>
      <w:marBottom w:val="0"/>
      <w:divBdr>
        <w:top w:val="none" w:sz="0" w:space="0" w:color="auto"/>
        <w:left w:val="none" w:sz="0" w:space="0" w:color="auto"/>
        <w:bottom w:val="none" w:sz="0" w:space="0" w:color="auto"/>
        <w:right w:val="none" w:sz="0" w:space="0" w:color="auto"/>
      </w:divBdr>
    </w:div>
    <w:div w:id="1368917267">
      <w:bodyDiv w:val="1"/>
      <w:marLeft w:val="0"/>
      <w:marRight w:val="0"/>
      <w:marTop w:val="0"/>
      <w:marBottom w:val="0"/>
      <w:divBdr>
        <w:top w:val="none" w:sz="0" w:space="0" w:color="auto"/>
        <w:left w:val="none" w:sz="0" w:space="0" w:color="auto"/>
        <w:bottom w:val="none" w:sz="0" w:space="0" w:color="auto"/>
        <w:right w:val="none" w:sz="0" w:space="0" w:color="auto"/>
      </w:divBdr>
    </w:div>
    <w:div w:id="1421834861">
      <w:bodyDiv w:val="1"/>
      <w:marLeft w:val="0"/>
      <w:marRight w:val="0"/>
      <w:marTop w:val="0"/>
      <w:marBottom w:val="0"/>
      <w:divBdr>
        <w:top w:val="none" w:sz="0" w:space="0" w:color="auto"/>
        <w:left w:val="none" w:sz="0" w:space="0" w:color="auto"/>
        <w:bottom w:val="none" w:sz="0" w:space="0" w:color="auto"/>
        <w:right w:val="none" w:sz="0" w:space="0" w:color="auto"/>
      </w:divBdr>
    </w:div>
    <w:div w:id="1459375748">
      <w:bodyDiv w:val="1"/>
      <w:marLeft w:val="0"/>
      <w:marRight w:val="0"/>
      <w:marTop w:val="0"/>
      <w:marBottom w:val="0"/>
      <w:divBdr>
        <w:top w:val="none" w:sz="0" w:space="0" w:color="auto"/>
        <w:left w:val="none" w:sz="0" w:space="0" w:color="auto"/>
        <w:bottom w:val="none" w:sz="0" w:space="0" w:color="auto"/>
        <w:right w:val="none" w:sz="0" w:space="0" w:color="auto"/>
      </w:divBdr>
    </w:div>
    <w:div w:id="1463424926">
      <w:bodyDiv w:val="1"/>
      <w:marLeft w:val="0"/>
      <w:marRight w:val="0"/>
      <w:marTop w:val="0"/>
      <w:marBottom w:val="0"/>
      <w:divBdr>
        <w:top w:val="none" w:sz="0" w:space="0" w:color="auto"/>
        <w:left w:val="none" w:sz="0" w:space="0" w:color="auto"/>
        <w:bottom w:val="none" w:sz="0" w:space="0" w:color="auto"/>
        <w:right w:val="none" w:sz="0" w:space="0" w:color="auto"/>
      </w:divBdr>
    </w:div>
    <w:div w:id="1532917401">
      <w:bodyDiv w:val="1"/>
      <w:marLeft w:val="0"/>
      <w:marRight w:val="0"/>
      <w:marTop w:val="0"/>
      <w:marBottom w:val="0"/>
      <w:divBdr>
        <w:top w:val="none" w:sz="0" w:space="0" w:color="auto"/>
        <w:left w:val="none" w:sz="0" w:space="0" w:color="auto"/>
        <w:bottom w:val="none" w:sz="0" w:space="0" w:color="auto"/>
        <w:right w:val="none" w:sz="0" w:space="0" w:color="auto"/>
      </w:divBdr>
    </w:div>
    <w:div w:id="1536845316">
      <w:bodyDiv w:val="1"/>
      <w:marLeft w:val="0"/>
      <w:marRight w:val="0"/>
      <w:marTop w:val="0"/>
      <w:marBottom w:val="0"/>
      <w:divBdr>
        <w:top w:val="none" w:sz="0" w:space="0" w:color="auto"/>
        <w:left w:val="none" w:sz="0" w:space="0" w:color="auto"/>
        <w:bottom w:val="none" w:sz="0" w:space="0" w:color="auto"/>
        <w:right w:val="none" w:sz="0" w:space="0" w:color="auto"/>
      </w:divBdr>
    </w:div>
    <w:div w:id="1584147568">
      <w:bodyDiv w:val="1"/>
      <w:marLeft w:val="0"/>
      <w:marRight w:val="0"/>
      <w:marTop w:val="0"/>
      <w:marBottom w:val="0"/>
      <w:divBdr>
        <w:top w:val="none" w:sz="0" w:space="0" w:color="auto"/>
        <w:left w:val="none" w:sz="0" w:space="0" w:color="auto"/>
        <w:bottom w:val="none" w:sz="0" w:space="0" w:color="auto"/>
        <w:right w:val="none" w:sz="0" w:space="0" w:color="auto"/>
      </w:divBdr>
    </w:div>
    <w:div w:id="1745028686">
      <w:bodyDiv w:val="1"/>
      <w:marLeft w:val="0"/>
      <w:marRight w:val="0"/>
      <w:marTop w:val="0"/>
      <w:marBottom w:val="0"/>
      <w:divBdr>
        <w:top w:val="none" w:sz="0" w:space="0" w:color="auto"/>
        <w:left w:val="none" w:sz="0" w:space="0" w:color="auto"/>
        <w:bottom w:val="none" w:sz="0" w:space="0" w:color="auto"/>
        <w:right w:val="none" w:sz="0" w:space="0" w:color="auto"/>
      </w:divBdr>
    </w:div>
    <w:div w:id="1863278626">
      <w:bodyDiv w:val="1"/>
      <w:marLeft w:val="0"/>
      <w:marRight w:val="0"/>
      <w:marTop w:val="0"/>
      <w:marBottom w:val="0"/>
      <w:divBdr>
        <w:top w:val="none" w:sz="0" w:space="0" w:color="auto"/>
        <w:left w:val="none" w:sz="0" w:space="0" w:color="auto"/>
        <w:bottom w:val="none" w:sz="0" w:space="0" w:color="auto"/>
        <w:right w:val="none" w:sz="0" w:space="0" w:color="auto"/>
      </w:divBdr>
    </w:div>
    <w:div w:id="1910380886">
      <w:bodyDiv w:val="1"/>
      <w:marLeft w:val="0"/>
      <w:marRight w:val="0"/>
      <w:marTop w:val="0"/>
      <w:marBottom w:val="0"/>
      <w:divBdr>
        <w:top w:val="none" w:sz="0" w:space="0" w:color="auto"/>
        <w:left w:val="none" w:sz="0" w:space="0" w:color="auto"/>
        <w:bottom w:val="none" w:sz="0" w:space="0" w:color="auto"/>
        <w:right w:val="none" w:sz="0" w:space="0" w:color="auto"/>
      </w:divBdr>
    </w:div>
    <w:div w:id="1920674837">
      <w:bodyDiv w:val="1"/>
      <w:marLeft w:val="0"/>
      <w:marRight w:val="0"/>
      <w:marTop w:val="0"/>
      <w:marBottom w:val="0"/>
      <w:divBdr>
        <w:top w:val="none" w:sz="0" w:space="0" w:color="auto"/>
        <w:left w:val="none" w:sz="0" w:space="0" w:color="auto"/>
        <w:bottom w:val="none" w:sz="0" w:space="0" w:color="auto"/>
        <w:right w:val="none" w:sz="0" w:space="0" w:color="auto"/>
      </w:divBdr>
    </w:div>
    <w:div w:id="1940407012">
      <w:bodyDiv w:val="1"/>
      <w:marLeft w:val="0"/>
      <w:marRight w:val="0"/>
      <w:marTop w:val="0"/>
      <w:marBottom w:val="0"/>
      <w:divBdr>
        <w:top w:val="none" w:sz="0" w:space="0" w:color="auto"/>
        <w:left w:val="none" w:sz="0" w:space="0" w:color="auto"/>
        <w:bottom w:val="none" w:sz="0" w:space="0" w:color="auto"/>
        <w:right w:val="none" w:sz="0" w:space="0" w:color="auto"/>
      </w:divBdr>
    </w:div>
    <w:div w:id="1945923090">
      <w:bodyDiv w:val="1"/>
      <w:marLeft w:val="0"/>
      <w:marRight w:val="0"/>
      <w:marTop w:val="0"/>
      <w:marBottom w:val="0"/>
      <w:divBdr>
        <w:top w:val="none" w:sz="0" w:space="0" w:color="auto"/>
        <w:left w:val="none" w:sz="0" w:space="0" w:color="auto"/>
        <w:bottom w:val="none" w:sz="0" w:space="0" w:color="auto"/>
        <w:right w:val="none" w:sz="0" w:space="0" w:color="auto"/>
      </w:divBdr>
    </w:div>
    <w:div w:id="2010404283">
      <w:bodyDiv w:val="1"/>
      <w:marLeft w:val="0"/>
      <w:marRight w:val="0"/>
      <w:marTop w:val="0"/>
      <w:marBottom w:val="0"/>
      <w:divBdr>
        <w:top w:val="none" w:sz="0" w:space="0" w:color="auto"/>
        <w:left w:val="none" w:sz="0" w:space="0" w:color="auto"/>
        <w:bottom w:val="none" w:sz="0" w:space="0" w:color="auto"/>
        <w:right w:val="none" w:sz="0" w:space="0" w:color="auto"/>
      </w:divBdr>
    </w:div>
    <w:div w:id="2063942067">
      <w:bodyDiv w:val="1"/>
      <w:marLeft w:val="0"/>
      <w:marRight w:val="0"/>
      <w:marTop w:val="0"/>
      <w:marBottom w:val="0"/>
      <w:divBdr>
        <w:top w:val="none" w:sz="0" w:space="0" w:color="auto"/>
        <w:left w:val="none" w:sz="0" w:space="0" w:color="auto"/>
        <w:bottom w:val="none" w:sz="0" w:space="0" w:color="auto"/>
        <w:right w:val="none" w:sz="0" w:space="0" w:color="auto"/>
      </w:divBdr>
    </w:div>
    <w:div w:id="2104959522">
      <w:bodyDiv w:val="1"/>
      <w:marLeft w:val="0"/>
      <w:marRight w:val="0"/>
      <w:marTop w:val="0"/>
      <w:marBottom w:val="0"/>
      <w:divBdr>
        <w:top w:val="none" w:sz="0" w:space="0" w:color="auto"/>
        <w:left w:val="none" w:sz="0" w:space="0" w:color="auto"/>
        <w:bottom w:val="none" w:sz="0" w:space="0" w:color="auto"/>
        <w:right w:val="none" w:sz="0" w:space="0" w:color="auto"/>
      </w:divBdr>
    </w:div>
    <w:div w:id="21322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msac.gov.au/internet/msac/publishing.nsf/Content/Home-1"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flinders-my.sharepoint.com/personal/rose0270_flinders_edu_au/Documents/Projects/Cancer%20-%20Lung%20cancer%20screening/Analyses/MSAC%20Respecified%20Contemporary/Base%20case%20Australian%20pop%20-%20contemporary%2065%25%20-%202022.06.22.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70304160683667E-2"/>
          <c:y val="7.1380468633130703E-2"/>
          <c:w val="0.84609169311403121"/>
          <c:h val="0.78583683516244407"/>
        </c:manualLayout>
      </c:layout>
      <c:scatterChart>
        <c:scatterStyle val="lineMarker"/>
        <c:varyColors val="0"/>
        <c:ser>
          <c:idx val="4"/>
          <c:order val="0"/>
          <c:tx>
            <c:v>Efficient frontier - all scenarios</c:v>
          </c:tx>
          <c:spPr>
            <a:ln w="19050" cap="rnd">
              <a:solidFill>
                <a:schemeClr val="accent5"/>
              </a:solidFill>
              <a:round/>
            </a:ln>
            <a:effectLst/>
          </c:spPr>
          <c:marker>
            <c:symbol val="circle"/>
            <c:size val="5"/>
            <c:spPr>
              <a:solidFill>
                <a:srgbClr val="FF0000"/>
              </a:solidFill>
              <a:ln w="9525">
                <a:solidFill>
                  <a:srgbClr val="FF0000"/>
                </a:solidFill>
              </a:ln>
              <a:effectLst/>
            </c:spPr>
          </c:marker>
          <c:dLbls>
            <c:dLbl>
              <c:idx val="0"/>
              <c:tx>
                <c:rich>
                  <a:bodyPr/>
                  <a:lstStyle/>
                  <a:p>
                    <a:fld id="{5C655166-AE68-4AD5-8B8D-323642C48BC0}" type="CELLRANGE">
                      <a:rPr lang="en-US"/>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EF4-4C41-A157-25D1AF02FC71}"/>
                </c:ext>
              </c:extLst>
            </c:dLbl>
            <c:dLbl>
              <c:idx val="1"/>
              <c:tx>
                <c:rich>
                  <a:bodyPr/>
                  <a:lstStyle/>
                  <a:p>
                    <a:fld id="{8A378AD7-DCC0-4B15-A0C1-4F9D90E8C1C5}"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EF4-4C41-A157-25D1AF02FC71}"/>
                </c:ext>
              </c:extLst>
            </c:dLbl>
            <c:dLbl>
              <c:idx val="2"/>
              <c:tx>
                <c:rich>
                  <a:bodyPr/>
                  <a:lstStyle/>
                  <a:p>
                    <a:fld id="{FFE1AEFD-47CE-4B2A-8E25-A587A6B1C40E}"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EF4-4C41-A157-25D1AF02FC71}"/>
                </c:ext>
              </c:extLst>
            </c:dLbl>
            <c:dLbl>
              <c:idx val="3"/>
              <c:tx>
                <c:rich>
                  <a:bodyPr/>
                  <a:lstStyle/>
                  <a:p>
                    <a:fld id="{E70CF65A-0BD9-4A7E-A7CE-8B432054BF3F}"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EF4-4C41-A157-25D1AF02FC71}"/>
                </c:ext>
              </c:extLst>
            </c:dLbl>
            <c:dLbl>
              <c:idx val="4"/>
              <c:tx>
                <c:rich>
                  <a:bodyPr/>
                  <a:lstStyle/>
                  <a:p>
                    <a:fld id="{91C439DB-FE38-4351-9BE0-F1D562917116}"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EF4-4C41-A157-25D1AF02FC71}"/>
                </c:ext>
              </c:extLst>
            </c:dLbl>
            <c:dLbl>
              <c:idx val="5"/>
              <c:tx>
                <c:rich>
                  <a:bodyPr/>
                  <a:lstStyle/>
                  <a:p>
                    <a:fld id="{9A6A5725-1BBA-4809-B76A-28265580136A}"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EF4-4C41-A157-25D1AF02FC71}"/>
                </c:ext>
              </c:extLst>
            </c:dLbl>
            <c:dLbl>
              <c:idx val="6"/>
              <c:tx>
                <c:rich>
                  <a:bodyPr/>
                  <a:lstStyle/>
                  <a:p>
                    <a:fld id="{EFD136AC-8637-49D6-83A2-F0D76C146A77}"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EF4-4C41-A157-25D1AF02FC71}"/>
                </c:ext>
              </c:extLst>
            </c:dLbl>
            <c:dLbl>
              <c:idx val="7"/>
              <c:tx>
                <c:rich>
                  <a:bodyPr/>
                  <a:lstStyle/>
                  <a:p>
                    <a:fld id="{03641586-5095-4489-A928-0CF17F28B9E4}"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EF4-4C41-A157-25D1AF02FC71}"/>
                </c:ext>
              </c:extLst>
            </c:dLbl>
            <c:dLbl>
              <c:idx val="8"/>
              <c:tx>
                <c:rich>
                  <a:bodyPr/>
                  <a:lstStyle/>
                  <a:p>
                    <a:fld id="{7D1DC797-5610-48AE-ABAC-1108D1284C7D}"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EF4-4C41-A157-25D1AF02FC71}"/>
                </c:ext>
              </c:extLst>
            </c:dLbl>
            <c:dLbl>
              <c:idx val="9"/>
              <c:tx>
                <c:rich>
                  <a:bodyPr/>
                  <a:lstStyle/>
                  <a:p>
                    <a:fld id="{4E532DE9-6DD1-4E98-9285-195F37DB6768}" type="CELLRANGE">
                      <a:rPr lang="en-AU"/>
                      <a:pPr/>
                      <a:t>[CELLRANGE]</a:t>
                    </a:fld>
                    <a:endParaRPr lang="en-AU"/>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EF4-4C41-A157-25D1AF02FC71}"/>
                </c:ext>
              </c:extLst>
            </c:dLbl>
            <c:dLbl>
              <c:idx val="10"/>
              <c:tx>
                <c:rich>
                  <a:bodyPr/>
                  <a:lstStyle/>
                  <a:p>
                    <a:endParaRPr lang="en-US"/>
                  </a:p>
                </c:rich>
              </c:tx>
              <c:dLblPos val="l"/>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0EF4-4C41-A157-25D1AF02FC71}"/>
                </c:ext>
              </c:extLst>
            </c:dLbl>
            <c:dLbl>
              <c:idx val="11"/>
              <c:tx>
                <c:rich>
                  <a:bodyPr/>
                  <a:lstStyle/>
                  <a:p>
                    <a:endParaRPr lang="en-US"/>
                  </a:p>
                </c:rich>
              </c:tx>
              <c:dLblPos val="l"/>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EF4-4C41-A157-25D1AF02FC71}"/>
                </c:ext>
              </c:extLst>
            </c:dLbl>
            <c:dLbl>
              <c:idx val="12"/>
              <c:tx>
                <c:rich>
                  <a:bodyPr/>
                  <a:lstStyle/>
                  <a:p>
                    <a:endParaRPr lang="en-US"/>
                  </a:p>
                </c:rich>
              </c:tx>
              <c:dLblPos val="l"/>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0EF4-4C41-A157-25D1AF02FC71}"/>
                </c:ext>
              </c:extLst>
            </c:dLbl>
            <c:spPr>
              <a:noFill/>
              <a:ln>
                <a:noFill/>
              </a:ln>
              <a:effectLst/>
            </c:spPr>
            <c:txPr>
              <a:bodyPr rot="0" spcFirstLastPara="1" vertOverflow="ellipsis" horzOverflow="clip"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xVal>
            <c:numRef>
              <c:f>'figure data'!$AQ$4:$AQ$16</c:f>
              <c:numCache>
                <c:formatCode>_-"$"* #,##0_-;\-"$"* #,##0_-;_-"$"* "-"??_-;_-@_-</c:formatCode>
                <c:ptCount val="13"/>
                <c:pt idx="0" formatCode="General">
                  <c:v>0</c:v>
                </c:pt>
                <c:pt idx="1">
                  <c:v>23393753.013696797</c:v>
                </c:pt>
                <c:pt idx="2">
                  <c:v>26723801.187373802</c:v>
                </c:pt>
                <c:pt idx="3">
                  <c:v>30587500.587607585</c:v>
                </c:pt>
                <c:pt idx="4">
                  <c:v>35127991.3644237</c:v>
                </c:pt>
                <c:pt idx="5">
                  <c:v>46763447.701931849</c:v>
                </c:pt>
                <c:pt idx="6">
                  <c:v>54641447.406489298</c:v>
                </c:pt>
                <c:pt idx="7">
                  <c:v>63153624.839432217</c:v>
                </c:pt>
                <c:pt idx="8">
                  <c:v>78537861.912382349</c:v>
                </c:pt>
                <c:pt idx="9">
                  <c:v>93505071.940238774</c:v>
                </c:pt>
              </c:numCache>
            </c:numRef>
          </c:xVal>
          <c:yVal>
            <c:numRef>
              <c:f>'figure data'!$AP$4:$AP$16</c:f>
              <c:numCache>
                <c:formatCode>General</c:formatCode>
                <c:ptCount val="13"/>
                <c:pt idx="0">
                  <c:v>0</c:v>
                </c:pt>
                <c:pt idx="1">
                  <c:v>386</c:v>
                </c:pt>
                <c:pt idx="2">
                  <c:v>438</c:v>
                </c:pt>
                <c:pt idx="3">
                  <c:v>492</c:v>
                </c:pt>
                <c:pt idx="4">
                  <c:v>549</c:v>
                </c:pt>
                <c:pt idx="5">
                  <c:v>691</c:v>
                </c:pt>
                <c:pt idx="6">
                  <c:v>766</c:v>
                </c:pt>
                <c:pt idx="7">
                  <c:v>831</c:v>
                </c:pt>
                <c:pt idx="8">
                  <c:v>939</c:v>
                </c:pt>
                <c:pt idx="9">
                  <c:v>996</c:v>
                </c:pt>
              </c:numCache>
            </c:numRef>
          </c:yVal>
          <c:smooth val="0"/>
          <c:extLst>
            <c:ext xmlns:c15="http://schemas.microsoft.com/office/drawing/2012/chart" uri="{02D57815-91ED-43cb-92C2-25804820EDAC}">
              <c15:datalabelsRange>
                <c15:f>'figure data'!$AO$4:$AO$16</c15:f>
                <c15:dlblRangeCache>
                  <c:ptCount val="13"/>
                  <c:pt idx="1">
                    <c:v>PY 30-10 Annual 55-70</c:v>
                  </c:pt>
                  <c:pt idx="2">
                    <c:v>PLCO 1.50% Annual 55-70</c:v>
                  </c:pt>
                  <c:pt idx="3">
                    <c:v>PLCO 1.25% Annual 55-70</c:v>
                  </c:pt>
                  <c:pt idx="4">
                    <c:v>PY 20-10 Annual 55-74</c:v>
                  </c:pt>
                  <c:pt idx="5">
                    <c:v>PLCO 1.25% Annual 55-74</c:v>
                  </c:pt>
                  <c:pt idx="6">
                    <c:v>PLCO 1.00% Annual 50-74</c:v>
                  </c:pt>
                  <c:pt idx="7">
                    <c:v>PY 20-20 Annual 55-79</c:v>
                  </c:pt>
                  <c:pt idx="8">
                    <c:v>PLCO 1.00% Annual 50-79</c:v>
                  </c:pt>
                  <c:pt idx="9">
                    <c:v>PLCO 1.00% Annual 50-84</c:v>
                  </c:pt>
                </c15:dlblRangeCache>
              </c15:datalabelsRange>
            </c:ext>
            <c:ext xmlns:c16="http://schemas.microsoft.com/office/drawing/2014/chart" uri="{C3380CC4-5D6E-409C-BE32-E72D297353CC}">
              <c16:uniqueId val="{0000000D-0EF4-4C41-A157-25D1AF02FC71}"/>
            </c:ext>
          </c:extLst>
        </c:ser>
        <c:ser>
          <c:idx val="1"/>
          <c:order val="1"/>
          <c:tx>
            <c:v>Efficient frontier - biennial scenarios only</c:v>
          </c:tx>
          <c:spPr>
            <a:ln w="19050" cap="rnd">
              <a:solidFill>
                <a:schemeClr val="accent2"/>
              </a:solidFill>
              <a:round/>
            </a:ln>
            <a:effectLst/>
          </c:spPr>
          <c:marker>
            <c:symbol val="circle"/>
            <c:size val="5"/>
            <c:spPr>
              <a:solidFill>
                <a:srgbClr val="0070C0"/>
              </a:solidFill>
              <a:ln w="9525">
                <a:solidFill>
                  <a:srgbClr val="0070C0"/>
                </a:solidFill>
              </a:ln>
              <a:effectLst/>
            </c:spPr>
          </c:marker>
          <c:dLbls>
            <c:dLbl>
              <c:idx val="0"/>
              <c:tx>
                <c:rich>
                  <a:bodyPr/>
                  <a:lstStyle/>
                  <a:p>
                    <a:fld id="{6539EFB2-018C-4FC8-9C73-32C168FF58BC}"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0EF4-4C41-A157-25D1AF02FC71}"/>
                </c:ext>
              </c:extLst>
            </c:dLbl>
            <c:dLbl>
              <c:idx val="1"/>
              <c:layout>
                <c:manualLayout>
                  <c:x val="-1.3685239491691105E-2"/>
                  <c:y val="2.8608210556429693E-3"/>
                </c:manualLayout>
              </c:layout>
              <c:tx>
                <c:rich>
                  <a:bodyPr/>
                  <a:lstStyle/>
                  <a:p>
                    <a:fld id="{27FD6935-52B6-4A2A-88A2-792215E3D2AF}"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layout>
                    <c:manualLayout>
                      <c:w val="0.24222873900293254"/>
                      <c:h val="7.1434701759404945E-2"/>
                    </c:manualLayout>
                  </c15:layout>
                  <c15:dlblFieldTable/>
                  <c15:showDataLabelsRange val="1"/>
                </c:ext>
                <c:ext xmlns:c16="http://schemas.microsoft.com/office/drawing/2014/chart" uri="{C3380CC4-5D6E-409C-BE32-E72D297353CC}">
                  <c16:uniqueId val="{0000000F-0EF4-4C41-A157-25D1AF02FC71}"/>
                </c:ext>
              </c:extLst>
            </c:dLbl>
            <c:dLbl>
              <c:idx val="2"/>
              <c:layout>
                <c:manualLayout>
                  <c:x val="-3.1280470439728793E-2"/>
                  <c:y val="2.2886568445143651E-2"/>
                </c:manualLayout>
              </c:layout>
              <c:tx>
                <c:rich>
                  <a:bodyPr/>
                  <a:lstStyle/>
                  <a:p>
                    <a:fld id="{352724BE-5D45-496C-AC16-58CF8268D7B5}"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layout>
                    <c:manualLayout>
                      <c:w val="0.23636363636363633"/>
                      <c:h val="7.1434701759404945E-2"/>
                    </c:manualLayout>
                  </c15:layout>
                  <c15:dlblFieldTable/>
                  <c15:showDataLabelsRange val="1"/>
                </c:ext>
                <c:ext xmlns:c16="http://schemas.microsoft.com/office/drawing/2014/chart" uri="{C3380CC4-5D6E-409C-BE32-E72D297353CC}">
                  <c16:uniqueId val="{00000010-0EF4-4C41-A157-25D1AF02FC71}"/>
                </c:ext>
              </c:extLst>
            </c:dLbl>
            <c:dLbl>
              <c:idx val="3"/>
              <c:layout>
                <c:manualLayout>
                  <c:x val="-1.7595307917888565E-2"/>
                  <c:y val="2.8608210556429696E-2"/>
                </c:manualLayout>
              </c:layout>
              <c:tx>
                <c:rich>
                  <a:bodyPr/>
                  <a:lstStyle/>
                  <a:p>
                    <a:fld id="{C1A5282A-DECB-442C-8D8A-FD8C0562B413}"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0EF4-4C41-A157-25D1AF02FC71}"/>
                </c:ext>
              </c:extLst>
            </c:dLbl>
            <c:dLbl>
              <c:idx val="4"/>
              <c:layout>
                <c:manualLayout>
                  <c:x val="-3.1280470439728793E-2"/>
                  <c:y val="5.7216421112859387E-3"/>
                </c:manualLayout>
              </c:layout>
              <c:tx>
                <c:rich>
                  <a:bodyPr/>
                  <a:lstStyle/>
                  <a:p>
                    <a:fld id="{84838342-6B5A-44BA-99FC-F37F417CFD43}"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layout>
                    <c:manualLayout>
                      <c:w val="0.23636363636363633"/>
                      <c:h val="7.1434701759404945E-2"/>
                    </c:manualLayout>
                  </c15:layout>
                  <c15:dlblFieldTable/>
                  <c15:showDataLabelsRange val="1"/>
                </c:ext>
                <c:ext xmlns:c16="http://schemas.microsoft.com/office/drawing/2014/chart" uri="{C3380CC4-5D6E-409C-BE32-E72D297353CC}">
                  <c16:uniqueId val="{00000012-0EF4-4C41-A157-25D1AF02FC71}"/>
                </c:ext>
              </c:extLst>
            </c:dLbl>
            <c:dLbl>
              <c:idx val="5"/>
              <c:layout>
                <c:manualLayout>
                  <c:x val="-3.7145650048875857E-2"/>
                  <c:y val="1.1263075022216416E-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00AA425-25B8-45E6-B79E-DFC5B859CF70}" type="CELLRANGE">
                      <a:rPr lang="en-US"/>
                      <a:pPr>
                        <a:defRPr/>
                      </a:pPr>
                      <a:t>[CELLRANGE]</a:t>
                    </a:fld>
                    <a:endParaRPr lang="en-A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layout>
                    <c:manualLayout>
                      <c:w val="0.26289345063538611"/>
                      <c:h val="4.8591158260846055E-2"/>
                    </c:manualLayout>
                  </c15:layout>
                  <c15:dlblFieldTable/>
                  <c15:showDataLabelsRange val="1"/>
                </c:ext>
                <c:ext xmlns:c16="http://schemas.microsoft.com/office/drawing/2014/chart" uri="{C3380CC4-5D6E-409C-BE32-E72D297353CC}">
                  <c16:uniqueId val="{00000013-0EF4-4C41-A157-25D1AF02FC71}"/>
                </c:ext>
              </c:extLst>
            </c:dLbl>
            <c:dLbl>
              <c:idx val="6"/>
              <c:layout>
                <c:manualLayout>
                  <c:x val="-3.519053886592622E-2"/>
                  <c:y val="-2.8608210556429693E-3"/>
                </c:manualLayout>
              </c:layout>
              <c:tx>
                <c:rich>
                  <a:bodyPr/>
                  <a:lstStyle/>
                  <a:p>
                    <a:fld id="{07188BA9-632D-4557-8A19-04F046486963}"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layout>
                    <c:manualLayout>
                      <c:w val="0.26568914956011724"/>
                      <c:h val="7.1434701759404945E-2"/>
                    </c:manualLayout>
                  </c15:layout>
                  <c15:dlblFieldTable/>
                  <c15:showDataLabelsRange val="1"/>
                </c:ext>
                <c:ext xmlns:c16="http://schemas.microsoft.com/office/drawing/2014/chart" uri="{C3380CC4-5D6E-409C-BE32-E72D297353CC}">
                  <c16:uniqueId val="{00000014-0EF4-4C41-A157-25D1AF02FC71}"/>
                </c:ext>
              </c:extLst>
            </c:dLbl>
            <c:dLbl>
              <c:idx val="7"/>
              <c:layout>
                <c:manualLayout>
                  <c:x val="-3.1280470439728827E-2"/>
                  <c:y val="-1.1443284222571931E-2"/>
                </c:manualLayout>
              </c:layout>
              <c:tx>
                <c:rich>
                  <a:bodyPr/>
                  <a:lstStyle/>
                  <a:p>
                    <a:fld id="{7AD57129-B4E3-43D8-8120-CE8A8AD3724D}" type="CELLRANGE">
                      <a:rPr lang="en-US"/>
                      <a:pPr/>
                      <a:t>[CELLRANGE]</a:t>
                    </a:fld>
                    <a:endParaRPr lang="en-AU"/>
                  </a:p>
                </c:rich>
              </c:tx>
              <c:dLblPos val="r"/>
              <c:showLegendKey val="0"/>
              <c:showVal val="0"/>
              <c:showCatName val="0"/>
              <c:showSerName val="0"/>
              <c:showPercent val="0"/>
              <c:showBubbleSize val="0"/>
              <c:extLst>
                <c:ext xmlns:c15="http://schemas.microsoft.com/office/drawing/2012/chart" uri="{CE6537A1-D6FC-4f65-9D91-7224C49458BB}">
                  <c15:layout>
                    <c:manualLayout>
                      <c:w val="0.26177908113391979"/>
                      <c:h val="7.1434701759404945E-2"/>
                    </c:manualLayout>
                  </c15:layout>
                  <c15:dlblFieldTable/>
                  <c15:showDataLabelsRange val="1"/>
                </c:ext>
                <c:ext xmlns:c16="http://schemas.microsoft.com/office/drawing/2014/chart" uri="{C3380CC4-5D6E-409C-BE32-E72D297353CC}">
                  <c16:uniqueId val="{00000015-0EF4-4C41-A157-25D1AF02FC71}"/>
                </c:ext>
              </c:extLst>
            </c:dLbl>
            <c:dLbl>
              <c:idx val="8"/>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0EF4-4C41-A157-25D1AF02FC71}"/>
                </c:ext>
              </c:extLst>
            </c:dLbl>
            <c:dLbl>
              <c:idx val="9"/>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0EF4-4C41-A157-25D1AF02FC71}"/>
                </c:ext>
              </c:extLst>
            </c:dLbl>
            <c:dLbl>
              <c:idx val="10"/>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0EF4-4C41-A157-25D1AF02FC71}"/>
                </c:ext>
              </c:extLst>
            </c:dLbl>
            <c:dLbl>
              <c:idx val="11"/>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0EF4-4C41-A157-25D1AF02FC71}"/>
                </c:ext>
              </c:extLst>
            </c:dLbl>
            <c:dLbl>
              <c:idx val="12"/>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0EF4-4C41-A157-25D1AF02FC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Ref>
              <c:f>'figure data'!$BO$4:$BO$16</c:f>
              <c:numCache>
                <c:formatCode>_-"$"* #,##0_-;\-"$"* #,##0_-;_-"$"* "-"??_-;_-@_-</c:formatCode>
                <c:ptCount val="13"/>
                <c:pt idx="0" formatCode="General">
                  <c:v>0</c:v>
                </c:pt>
                <c:pt idx="1">
                  <c:v>18027261.212960847</c:v>
                </c:pt>
                <c:pt idx="2">
                  <c:v>27129188.467949834</c:v>
                </c:pt>
                <c:pt idx="3">
                  <c:v>31703547.981263589</c:v>
                </c:pt>
                <c:pt idx="4">
                  <c:v>33997912.958927974</c:v>
                </c:pt>
                <c:pt idx="5">
                  <c:v>37740937.716846488</c:v>
                </c:pt>
                <c:pt idx="6">
                  <c:v>45284885.534391634</c:v>
                </c:pt>
                <c:pt idx="7">
                  <c:v>56243334.950582817</c:v>
                </c:pt>
              </c:numCache>
            </c:numRef>
          </c:xVal>
          <c:yVal>
            <c:numRef>
              <c:f>'figure data'!$BN$4:$BN$16</c:f>
              <c:numCache>
                <c:formatCode>General</c:formatCode>
                <c:ptCount val="13"/>
                <c:pt idx="0">
                  <c:v>0</c:v>
                </c:pt>
                <c:pt idx="1">
                  <c:v>280</c:v>
                </c:pt>
                <c:pt idx="2">
                  <c:v>403</c:v>
                </c:pt>
                <c:pt idx="3">
                  <c:v>452</c:v>
                </c:pt>
                <c:pt idx="4">
                  <c:v>476</c:v>
                </c:pt>
                <c:pt idx="5">
                  <c:v>506</c:v>
                </c:pt>
                <c:pt idx="6">
                  <c:v>564</c:v>
                </c:pt>
                <c:pt idx="7">
                  <c:v>608</c:v>
                </c:pt>
              </c:numCache>
            </c:numRef>
          </c:yVal>
          <c:smooth val="0"/>
          <c:extLst>
            <c:ext xmlns:c15="http://schemas.microsoft.com/office/drawing/2012/chart" uri="{02D57815-91ED-43cb-92C2-25804820EDAC}">
              <c15:datalabelsRange>
                <c15:f>'figure data'!$BM$4:$BM$16</c15:f>
                <c15:dlblRangeCache>
                  <c:ptCount val="13"/>
                  <c:pt idx="1">
                    <c:v>PLCO 1.25% Biennial 55-70</c:v>
                  </c:pt>
                  <c:pt idx="2">
                    <c:v>PLCO 1.25% Biennial 55-74</c:v>
                  </c:pt>
                  <c:pt idx="3">
                    <c:v>PY 20-20 Biennial 50-74</c:v>
                  </c:pt>
                  <c:pt idx="4">
                    <c:v>PLCO 1.00% Biennial 50-74</c:v>
                  </c:pt>
                  <c:pt idx="5">
                    <c:v>PY 20-20 Biennial 50-79</c:v>
                  </c:pt>
                  <c:pt idx="6">
                    <c:v>PLCO 1.00% Biennial 50-79</c:v>
                  </c:pt>
                  <c:pt idx="7">
                    <c:v>PLCO 1.00% Biennial 50-84</c:v>
                  </c:pt>
                </c15:dlblRangeCache>
              </c15:datalabelsRange>
            </c:ext>
            <c:ext xmlns:c16="http://schemas.microsoft.com/office/drawing/2014/chart" uri="{C3380CC4-5D6E-409C-BE32-E72D297353CC}">
              <c16:uniqueId val="{0000001B-0EF4-4C41-A157-25D1AF02FC71}"/>
            </c:ext>
          </c:extLst>
        </c:ser>
        <c:ser>
          <c:idx val="0"/>
          <c:order val="2"/>
          <c:tx>
            <c:strRef>
              <c:f>'figure data'!$D$162</c:f>
              <c:strCache>
                <c:ptCount val="1"/>
                <c:pt idx="0">
                  <c:v>PLCO 1.50% Biennial 55-74</c:v>
                </c:pt>
              </c:strCache>
            </c:strRef>
          </c:tx>
          <c:spPr>
            <a:ln w="19050" cap="rnd">
              <a:solidFill>
                <a:schemeClr val="accent1"/>
              </a:solidFill>
              <a:round/>
            </a:ln>
            <a:effectLst/>
          </c:spPr>
          <c:marker>
            <c:symbol val="diamond"/>
            <c:size val="9"/>
            <c:spPr>
              <a:solidFill>
                <a:schemeClr val="accent6"/>
              </a:solidFill>
              <a:ln w="9525">
                <a:solidFill>
                  <a:srgbClr val="C00000"/>
                </a:solidFill>
              </a:ln>
              <a:effectLst/>
            </c:spPr>
          </c:marker>
          <c:xVal>
            <c:numRef>
              <c:f>'figure data'!$C$162</c:f>
              <c:numCache>
                <c:formatCode>_-"$"* #,##0_-;\-"$"* #,##0_-;_-"$"* "-"??_-;_-@_-</c:formatCode>
                <c:ptCount val="1"/>
                <c:pt idx="0">
                  <c:v>24238778.913787626</c:v>
                </c:pt>
              </c:numCache>
            </c:numRef>
          </c:xVal>
          <c:yVal>
            <c:numRef>
              <c:f>'figure data'!$B$162</c:f>
              <c:numCache>
                <c:formatCode>General</c:formatCode>
                <c:ptCount val="1"/>
                <c:pt idx="0">
                  <c:v>362</c:v>
                </c:pt>
              </c:numCache>
            </c:numRef>
          </c:yVal>
          <c:smooth val="0"/>
          <c:extLst>
            <c:ext xmlns:c16="http://schemas.microsoft.com/office/drawing/2014/chart" uri="{C3380CC4-5D6E-409C-BE32-E72D297353CC}">
              <c16:uniqueId val="{0000001C-0EF4-4C41-A157-25D1AF02FC71}"/>
            </c:ext>
          </c:extLst>
        </c:ser>
        <c:dLbls>
          <c:showLegendKey val="0"/>
          <c:showVal val="0"/>
          <c:showCatName val="0"/>
          <c:showSerName val="0"/>
          <c:showPercent val="0"/>
          <c:showBubbleSize val="0"/>
        </c:dLbls>
        <c:axId val="394617184"/>
        <c:axId val="394620712"/>
      </c:scatterChart>
      <c:valAx>
        <c:axId val="394617184"/>
        <c:scaling>
          <c:orientation val="minMax"/>
          <c:max val="120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en-AU" sz="1100" b="0" i="0" baseline="0">
                    <a:effectLst/>
                  </a:rPr>
                  <a:t>Discounted cost difference vs no screening (AUD per 100,000 population)</a:t>
                </a:r>
                <a:endParaRPr lang="en-AU"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620712"/>
        <c:crosses val="autoZero"/>
        <c:crossBetween val="midCat"/>
      </c:valAx>
      <c:valAx>
        <c:axId val="394620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en-AU" sz="1100" b="0" i="0" baseline="0">
                    <a:effectLst/>
                  </a:rPr>
                  <a:t>Discounted QALYs gained per 100,000 population</a:t>
                </a:r>
                <a:endParaRPr lang="en-AU" sz="1100">
                  <a:effectLst/>
                </a:endParaRPr>
              </a:p>
            </c:rich>
          </c:tx>
          <c:layout>
            <c:manualLayout>
              <c:xMode val="edge"/>
              <c:yMode val="edge"/>
              <c:x val="2.2158209616662972E-3"/>
              <c:y val="0.13284974093264248"/>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617184"/>
        <c:crosses val="autoZero"/>
        <c:crossBetween val="midCat"/>
      </c:valAx>
      <c:spPr>
        <a:noFill/>
        <a:ln>
          <a:noFill/>
        </a:ln>
        <a:effectLst/>
      </c:spPr>
    </c:plotArea>
    <c:legend>
      <c:legendPos val="r"/>
      <c:layout>
        <c:manualLayout>
          <c:xMode val="edge"/>
          <c:yMode val="edge"/>
          <c:x val="0.57750778454758112"/>
          <c:y val="0.64516602319726302"/>
          <c:w val="0.40665463408336799"/>
          <c:h val="0.25125567558893297"/>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1800-13C6-4048-A8AB-F107293B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6338</Words>
  <Characters>36133</Characters>
  <Application>Microsoft Office Word</Application>
  <DocSecurity>0</DocSecurity>
  <Lines>301</Lines>
  <Paragraphs>84</Paragraphs>
  <ScaleCrop>false</ScaleCrop>
  <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2022-09-29T02:41:00Z</dcterms:created>
  <dcterms:modified xsi:type="dcterms:W3CDTF">2022-10-10T22:39:00Z</dcterms:modified>
</cp:coreProperties>
</file>