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53760"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5F4CB7F2" wp14:editId="1D399F4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D4A1CE5" w14:textId="77777777" w:rsidR="008B2610" w:rsidRPr="006F20CF" w:rsidRDefault="008B2610" w:rsidP="00F971CC">
      <w:pPr>
        <w:pStyle w:val="Title"/>
        <w:spacing w:before="2600"/>
      </w:pPr>
      <w:r w:rsidRPr="001906CD">
        <w:t>Application Form</w:t>
      </w:r>
    </w:p>
    <w:p w14:paraId="0F4335D2"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207480EC"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3082AA16"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1FC3EB5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3A28C1F9"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8A644F9"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DB0E44B" w14:textId="77777777" w:rsidR="008B2610" w:rsidRPr="00154B00" w:rsidRDefault="009F5758" w:rsidP="003F7CB9">
      <w:pPr>
        <w:spacing w:before="0" w:after="0"/>
      </w:pPr>
      <w:r w:rsidRPr="00154B00">
        <w:t>Phone:  +61 2 6289 7550</w:t>
      </w:r>
    </w:p>
    <w:p w14:paraId="7632D0EF" w14:textId="77777777" w:rsidR="009F5758" w:rsidRPr="00154B00" w:rsidRDefault="009F5758" w:rsidP="003F7CB9">
      <w:pPr>
        <w:spacing w:before="0" w:after="0"/>
      </w:pPr>
      <w:r w:rsidRPr="00154B00">
        <w:t>Fax:  +61 2 6289 5540</w:t>
      </w:r>
    </w:p>
    <w:p w14:paraId="168649CD"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38CA0362"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8F08C23"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7F3CE3C4"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DFADA3A" w14:textId="1B480942"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6A2B21">
        <w:t>N/A</w:t>
      </w:r>
    </w:p>
    <w:p w14:paraId="7B92BF01" w14:textId="235C7532"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16044">
        <w:t xml:space="preserve">Genome Investigation P/L </w:t>
      </w:r>
    </w:p>
    <w:p w14:paraId="47B684B2" w14:textId="0DAC7E45"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016044" w:rsidRPr="00016044">
        <w:t>54 164 892 540</w:t>
      </w:r>
    </w:p>
    <w:p w14:paraId="400D79E7" w14:textId="7842B5B4"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016044">
        <w:t>Genome Investigation</w:t>
      </w:r>
    </w:p>
    <w:p w14:paraId="600A7991" w14:textId="77777777" w:rsidR="00C171FB" w:rsidRPr="00C171FB" w:rsidRDefault="00C171FB" w:rsidP="00C171FB"/>
    <w:p w14:paraId="0CE6AA0A" w14:textId="5AA6AE78" w:rsidR="00C171FB" w:rsidRPr="00C171FB" w:rsidRDefault="00C171FB" w:rsidP="00C171FB">
      <w:pPr>
        <w:rPr>
          <w:b/>
        </w:rPr>
      </w:pPr>
      <w:r>
        <w:rPr>
          <w:b/>
        </w:rPr>
        <w:t xml:space="preserve">Primary contact name: </w:t>
      </w:r>
      <w:r w:rsidR="002B3EA0">
        <w:t>REDACTED</w:t>
      </w:r>
    </w:p>
    <w:p w14:paraId="0815E680"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B387E10" w14:textId="153646AD"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44D37">
        <w:t>REDACTED</w:t>
      </w:r>
    </w:p>
    <w:p w14:paraId="5149032E" w14:textId="775B11F4"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A44D37">
        <w:t>REDACTED</w:t>
      </w:r>
    </w:p>
    <w:p w14:paraId="790BCD9B" w14:textId="3D13E432"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44D37">
        <w:t>REDACTED</w:t>
      </w:r>
    </w:p>
    <w:p w14:paraId="54DBA19A" w14:textId="77777777" w:rsidR="00C171FB" w:rsidRDefault="00C171FB" w:rsidP="00C171FB">
      <w:pPr>
        <w:rPr>
          <w:b/>
        </w:rPr>
      </w:pPr>
    </w:p>
    <w:p w14:paraId="08D3792D" w14:textId="17CFBDD1" w:rsidR="00C171FB" w:rsidRPr="00C171FB" w:rsidRDefault="00C171FB" w:rsidP="00C171FB">
      <w:pPr>
        <w:rPr>
          <w:b/>
        </w:rPr>
      </w:pPr>
      <w:r>
        <w:rPr>
          <w:b/>
        </w:rPr>
        <w:t xml:space="preserve">Alternative contact name: </w:t>
      </w:r>
      <w:r w:rsidR="00A44D37">
        <w:t>REDACTED</w:t>
      </w:r>
    </w:p>
    <w:p w14:paraId="33DC59DD"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277034B3" w14:textId="19F6EB99"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44D37">
        <w:t>REDACTED</w:t>
      </w:r>
    </w:p>
    <w:p w14:paraId="16A28076" w14:textId="5328DE62"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A44D37">
        <w:t>REDACTED</w:t>
      </w:r>
    </w:p>
    <w:p w14:paraId="7326E2A4" w14:textId="338E5755"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44D37">
        <w:t>REDACTED</w:t>
      </w:r>
    </w:p>
    <w:p w14:paraId="35D19B20" w14:textId="77777777" w:rsidR="00C171FB" w:rsidRPr="00C171FB" w:rsidRDefault="00C171FB" w:rsidP="00C171FB"/>
    <w:p w14:paraId="4538E3AE" w14:textId="77777777" w:rsidR="00534C5F" w:rsidRPr="00154B00" w:rsidRDefault="00494011" w:rsidP="004A0BF4">
      <w:pPr>
        <w:pStyle w:val="Heading2"/>
      </w:pPr>
      <w:r>
        <w:t xml:space="preserve">(a) </w:t>
      </w:r>
      <w:r w:rsidR="00534C5F">
        <w:t>Are you a lobbyist acting on behalf of an Applicant?</w:t>
      </w:r>
    </w:p>
    <w:p w14:paraId="328367DF" w14:textId="0A451C0D" w:rsidR="00A6491A" w:rsidRDefault="007604C8"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A6491A">
        <w:rPr>
          <w:szCs w:val="20"/>
        </w:rPr>
        <w:t xml:space="preserve"> Yes</w:t>
      </w:r>
    </w:p>
    <w:p w14:paraId="7634B1CC"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244E">
        <w:rPr>
          <w:szCs w:val="20"/>
        </w:rPr>
      </w:r>
      <w:r w:rsidR="0058244E">
        <w:rPr>
          <w:szCs w:val="20"/>
        </w:rPr>
        <w:fldChar w:fldCharType="separate"/>
      </w:r>
      <w:r w:rsidRPr="00753C44">
        <w:rPr>
          <w:szCs w:val="20"/>
        </w:rPr>
        <w:fldChar w:fldCharType="end"/>
      </w:r>
      <w:r>
        <w:rPr>
          <w:szCs w:val="20"/>
        </w:rPr>
        <w:t xml:space="preserve"> No</w:t>
      </w:r>
      <w:r w:rsidRPr="00753C44">
        <w:rPr>
          <w:szCs w:val="20"/>
        </w:rPr>
        <w:t xml:space="preserve">  </w:t>
      </w:r>
    </w:p>
    <w:p w14:paraId="5E95CC81"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33D35232" w14:textId="70C4F376" w:rsidR="00A6491A" w:rsidRDefault="007604C8"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A6491A">
        <w:rPr>
          <w:szCs w:val="20"/>
        </w:rPr>
        <w:t xml:space="preserve"> Yes</w:t>
      </w:r>
    </w:p>
    <w:p w14:paraId="4D052021"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244E">
        <w:rPr>
          <w:szCs w:val="20"/>
        </w:rPr>
      </w:r>
      <w:r w:rsidR="0058244E">
        <w:rPr>
          <w:szCs w:val="20"/>
        </w:rPr>
        <w:fldChar w:fldCharType="separate"/>
      </w:r>
      <w:r w:rsidRPr="00753C44">
        <w:rPr>
          <w:szCs w:val="20"/>
        </w:rPr>
        <w:fldChar w:fldCharType="end"/>
      </w:r>
      <w:r>
        <w:rPr>
          <w:szCs w:val="20"/>
        </w:rPr>
        <w:t xml:space="preserve"> No</w:t>
      </w:r>
      <w:r w:rsidRPr="00753C44">
        <w:rPr>
          <w:szCs w:val="20"/>
        </w:rPr>
        <w:t xml:space="preserve">  </w:t>
      </w:r>
    </w:p>
    <w:p w14:paraId="58AE7544" w14:textId="77777777" w:rsidR="00E04FB3" w:rsidRDefault="00E04FB3" w:rsidP="005C333E">
      <w:pPr>
        <w:spacing w:before="0" w:after="0"/>
        <w:ind w:left="426"/>
        <w:rPr>
          <w:b/>
          <w:szCs w:val="20"/>
        </w:rPr>
      </w:pPr>
      <w:r w:rsidRPr="00154B00">
        <w:rPr>
          <w:b/>
          <w:szCs w:val="20"/>
        </w:rPr>
        <w:br w:type="page"/>
      </w:r>
    </w:p>
    <w:p w14:paraId="37D5A565"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A36D88E" w14:textId="77777777" w:rsidR="000B3CD0" w:rsidRDefault="000B3CD0" w:rsidP="00730C04">
      <w:pPr>
        <w:pStyle w:val="Heading2"/>
      </w:pPr>
      <w:r w:rsidRPr="00154B00">
        <w:t>Application title</w:t>
      </w:r>
      <w:r w:rsidR="00A8732C">
        <w:t xml:space="preserve"> </w:t>
      </w:r>
    </w:p>
    <w:p w14:paraId="451E704A" w14:textId="3AC6031B" w:rsidR="009056C5" w:rsidRPr="009056C5" w:rsidRDefault="00F00E2D" w:rsidP="007604C8">
      <w:pPr>
        <w:ind w:left="329"/>
      </w:pPr>
      <w:proofErr w:type="gramStart"/>
      <w:r>
        <w:t>Application for funding</w:t>
      </w:r>
      <w:r w:rsidR="00015588" w:rsidRPr="00015588">
        <w:t xml:space="preserve"> </w:t>
      </w:r>
      <w:r>
        <w:t xml:space="preserve">of </w:t>
      </w:r>
      <w:r w:rsidR="00015588" w:rsidRPr="00015588">
        <w:t xml:space="preserve">the </w:t>
      </w:r>
      <w:r>
        <w:t>70 gene signature (</w:t>
      </w:r>
      <w:proofErr w:type="spellStart"/>
      <w:r>
        <w:t>MammaPrint</w:t>
      </w:r>
      <w:proofErr w:type="spellEnd"/>
      <w:r>
        <w:t>) for use</w:t>
      </w:r>
      <w:r w:rsidR="00015588" w:rsidRPr="00015588">
        <w:t xml:space="preserve"> in breast cancer to quantify the risk</w:t>
      </w:r>
      <w:r w:rsidR="0034266C">
        <w:t xml:space="preserve"> </w:t>
      </w:r>
      <w:r w:rsidR="00015588" w:rsidRPr="00015588">
        <w:t>of disease recurrence and predict adjuvant chemotherapy benefit.</w:t>
      </w:r>
      <w:proofErr w:type="gramEnd"/>
      <w:r w:rsidR="00015588" w:rsidRPr="009056C5">
        <w:t xml:space="preserve"> </w:t>
      </w:r>
    </w:p>
    <w:p w14:paraId="3BC6A345"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0DE7D56" w14:textId="699656DA" w:rsidR="005309B4" w:rsidRDefault="005309B4" w:rsidP="00530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sidRPr="005309B4">
        <w:rPr>
          <w:rFonts w:ascii="Calibri" w:hAnsi="Calibri" w:cs="Helvetica"/>
          <w:color w:val="000000"/>
          <w:szCs w:val="20"/>
          <w:lang w:val="en-US"/>
        </w:rPr>
        <w:t>In 2012, there were 15,166 new cases of breast cancer diagnosed in Australia and it is estimated that this number will rise to 16,084 in 2016 (Cancer Australia). In 2012 this made breast cancer the 2nd most commonly diagnosed cancer in Australia (AIHW). For those diagnosed in 2008-2012, their chance of surviving 5 years was 90% (AIHW).</w:t>
      </w:r>
    </w:p>
    <w:p w14:paraId="6BA14C3B" w14:textId="77777777" w:rsidR="005309B4" w:rsidRDefault="005309B4" w:rsidP="00530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p>
    <w:p w14:paraId="414722CB" w14:textId="4B19AA93" w:rsidR="00F00E2D" w:rsidRDefault="005309B4" w:rsidP="00F00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sidRPr="005309B4">
        <w:rPr>
          <w:rFonts w:ascii="Calibri" w:hAnsi="Calibri" w:cs="Helvetica"/>
          <w:color w:val="000000"/>
          <w:szCs w:val="20"/>
          <w:lang w:val="en-US"/>
        </w:rPr>
        <w:t>Surgery is usually considered as the first</w:t>
      </w:r>
      <w:r>
        <w:rPr>
          <w:rFonts w:ascii="Calibri" w:hAnsi="Calibri" w:cs="Helvetica"/>
          <w:color w:val="000000"/>
          <w:szCs w:val="20"/>
          <w:lang w:val="en-US"/>
        </w:rPr>
        <w:t xml:space="preserve"> </w:t>
      </w:r>
      <w:r w:rsidRPr="005309B4">
        <w:rPr>
          <w:rFonts w:ascii="Calibri" w:hAnsi="Calibri" w:cs="Helvetica"/>
          <w:color w:val="000000"/>
          <w:szCs w:val="20"/>
          <w:lang w:val="en-US"/>
        </w:rPr>
        <w:t>treatment option for primary breast cancer. Histological information obtained following surgery provides information relating to a number</w:t>
      </w:r>
      <w:r>
        <w:rPr>
          <w:rFonts w:ascii="Calibri" w:hAnsi="Calibri" w:cs="Helvetica"/>
          <w:color w:val="000000"/>
          <w:szCs w:val="20"/>
          <w:lang w:val="en-US"/>
        </w:rPr>
        <w:t xml:space="preserve"> </w:t>
      </w:r>
      <w:r w:rsidRPr="005309B4">
        <w:rPr>
          <w:rFonts w:ascii="Calibri" w:hAnsi="Calibri" w:cs="Helvetica"/>
          <w:color w:val="000000"/>
          <w:szCs w:val="20"/>
          <w:lang w:val="en-US"/>
        </w:rPr>
        <w:t xml:space="preserve">of prognostic factors including histological grade, nodal status, </w:t>
      </w:r>
      <w:proofErr w:type="spellStart"/>
      <w:r w:rsidRPr="005309B4">
        <w:rPr>
          <w:rFonts w:ascii="Calibri" w:hAnsi="Calibri" w:cs="Helvetica"/>
          <w:color w:val="000000"/>
          <w:szCs w:val="20"/>
          <w:lang w:val="en-US"/>
        </w:rPr>
        <w:t>tumour</w:t>
      </w:r>
      <w:proofErr w:type="spellEnd"/>
      <w:r w:rsidRPr="005309B4">
        <w:rPr>
          <w:rFonts w:ascii="Calibri" w:hAnsi="Calibri" w:cs="Helvetica"/>
          <w:color w:val="000000"/>
          <w:szCs w:val="20"/>
          <w:lang w:val="en-US"/>
        </w:rPr>
        <w:t xml:space="preserve"> size, hormone (ER</w:t>
      </w:r>
      <w:r>
        <w:rPr>
          <w:rFonts w:ascii="Calibri" w:hAnsi="Calibri" w:cs="Helvetica"/>
          <w:color w:val="000000"/>
          <w:szCs w:val="20"/>
          <w:lang w:val="en-US"/>
        </w:rPr>
        <w:t xml:space="preserve"> </w:t>
      </w:r>
      <w:r w:rsidRPr="005309B4">
        <w:rPr>
          <w:rFonts w:ascii="Calibri" w:hAnsi="Calibri" w:cs="Helvetica"/>
          <w:color w:val="000000"/>
          <w:szCs w:val="20"/>
          <w:lang w:val="en-US"/>
        </w:rPr>
        <w:t xml:space="preserve">and PR) receptor, HER-2 status and proliferation index (Ki67). </w:t>
      </w:r>
    </w:p>
    <w:p w14:paraId="0B4355B1" w14:textId="77777777" w:rsidR="00F00E2D" w:rsidRDefault="00F00E2D" w:rsidP="00530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p>
    <w:p w14:paraId="4E72667B" w14:textId="0365B7E8" w:rsidR="002C3345" w:rsidRDefault="005309B4" w:rsidP="00F00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sidRPr="005309B4">
        <w:rPr>
          <w:rFonts w:ascii="Calibri" w:hAnsi="Calibri" w:cs="Helvetica"/>
          <w:color w:val="000000"/>
          <w:szCs w:val="20"/>
          <w:lang w:val="en-US"/>
        </w:rPr>
        <w:t>Subsequent planning of</w:t>
      </w:r>
      <w:r>
        <w:rPr>
          <w:rFonts w:ascii="Calibri" w:hAnsi="Calibri" w:cs="Helvetica"/>
          <w:color w:val="000000"/>
          <w:szCs w:val="20"/>
          <w:lang w:val="en-US"/>
        </w:rPr>
        <w:t xml:space="preserve"> </w:t>
      </w:r>
      <w:r w:rsidRPr="005309B4">
        <w:rPr>
          <w:rFonts w:ascii="Calibri" w:hAnsi="Calibri" w:cs="Helvetica"/>
          <w:color w:val="000000"/>
          <w:szCs w:val="20"/>
          <w:lang w:val="en-US"/>
        </w:rPr>
        <w:t>treatment is then undertaken on the basis of these prognostic and predictive factors (in</w:t>
      </w:r>
      <w:r w:rsidR="00F00E2D">
        <w:rPr>
          <w:rFonts w:ascii="Calibri" w:hAnsi="Calibri" w:cs="Helvetica"/>
          <w:color w:val="000000"/>
          <w:szCs w:val="20"/>
          <w:lang w:val="en-US"/>
        </w:rPr>
        <w:t xml:space="preserve"> </w:t>
      </w:r>
      <w:r w:rsidRPr="005309B4">
        <w:rPr>
          <w:rFonts w:ascii="Calibri" w:hAnsi="Calibri" w:cs="Helvetica"/>
          <w:color w:val="000000"/>
          <w:szCs w:val="20"/>
          <w:lang w:val="en-US"/>
        </w:rPr>
        <w:t>combination with information on patient characteristics).</w:t>
      </w:r>
      <w:r w:rsidR="00F00E2D" w:rsidRPr="00F00E2D">
        <w:t xml:space="preserve"> </w:t>
      </w:r>
      <w:r w:rsidR="00F00E2D" w:rsidRPr="00F00E2D">
        <w:rPr>
          <w:rFonts w:ascii="Calibri" w:hAnsi="Calibri" w:cs="Helvetica"/>
          <w:color w:val="000000"/>
          <w:szCs w:val="20"/>
          <w:lang w:val="en-US"/>
        </w:rPr>
        <w:t>Systemic therapy options for breast cancer management include endocrine treatments, targeted bio</w:t>
      </w:r>
      <w:r w:rsidR="00F00E2D">
        <w:rPr>
          <w:rFonts w:ascii="Calibri" w:hAnsi="Calibri" w:cs="Helvetica"/>
          <w:color w:val="000000"/>
          <w:szCs w:val="20"/>
          <w:lang w:val="en-US"/>
        </w:rPr>
        <w:t>logical agents and chemotherapy, and genomic testing is now indicated to assist with choice of treatment.</w:t>
      </w:r>
    </w:p>
    <w:p w14:paraId="478ED970" w14:textId="77777777" w:rsidR="00903DFA" w:rsidRPr="00F00E2D" w:rsidRDefault="00903DFA" w:rsidP="00F00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p>
    <w:p w14:paraId="15D2636A"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2D96412" w14:textId="4EA1C9EE" w:rsidR="00E355D0" w:rsidRDefault="00E355D0" w:rsidP="00E355D0">
      <w:pPr>
        <w:pBdr>
          <w:top w:val="single" w:sz="4" w:space="1" w:color="auto"/>
          <w:left w:val="single" w:sz="4" w:space="4" w:color="auto"/>
          <w:bottom w:val="single" w:sz="4" w:space="1" w:color="auto"/>
          <w:right w:val="single" w:sz="4" w:space="4" w:color="auto"/>
        </w:pBdr>
      </w:pPr>
      <w:r>
        <w:t>Microarray 70 gene</w:t>
      </w:r>
      <w:r w:rsidR="0084693F">
        <w:t xml:space="preserve"> signature expression profiling </w:t>
      </w:r>
      <w:r>
        <w:t>of breast cancer, performed on either core biopsy or surgically resected formalin fixed paraffin embedded histological specimen.</w:t>
      </w:r>
    </w:p>
    <w:p w14:paraId="18E0EDDE" w14:textId="422982C8" w:rsidR="00E355D0" w:rsidRDefault="00E355D0" w:rsidP="00E355D0">
      <w:pPr>
        <w:pBdr>
          <w:top w:val="single" w:sz="4" w:space="1" w:color="auto"/>
          <w:left w:val="single" w:sz="4" w:space="4" w:color="auto"/>
          <w:bottom w:val="single" w:sz="4" w:space="1" w:color="auto"/>
          <w:right w:val="single" w:sz="4" w:space="4" w:color="auto"/>
        </w:pBdr>
      </w:pPr>
      <w:r>
        <w:t xml:space="preserve">May only be used </w:t>
      </w:r>
      <w:r w:rsidR="00AD6D0F">
        <w:t xml:space="preserve">once </w:t>
      </w:r>
      <w:r>
        <w:t xml:space="preserve">to test </w:t>
      </w:r>
      <w:r w:rsidR="00AD6D0F">
        <w:t>a breast cancer tissue sample</w:t>
      </w:r>
      <w:r>
        <w:t xml:space="preserve"> from </w:t>
      </w:r>
      <w:r w:rsidR="00AD6D0F">
        <w:t>a patient</w:t>
      </w:r>
      <w:r>
        <w:t xml:space="preserve"> considering chemotherapy treatment with the following characteristics as determined by the referring specialist oncologist:</w:t>
      </w:r>
    </w:p>
    <w:p w14:paraId="081223B6" w14:textId="77777777" w:rsidR="00E355D0" w:rsidRDefault="00E355D0" w:rsidP="00E355D0">
      <w:pPr>
        <w:pBdr>
          <w:top w:val="single" w:sz="4" w:space="1" w:color="auto"/>
          <w:left w:val="single" w:sz="4" w:space="4" w:color="auto"/>
          <w:bottom w:val="single" w:sz="4" w:space="1" w:color="auto"/>
          <w:right w:val="single" w:sz="4" w:space="4" w:color="auto"/>
        </w:pBdr>
      </w:pPr>
      <w:r>
        <w:t>·early stage breast cancer (stages I-II)</w:t>
      </w:r>
    </w:p>
    <w:p w14:paraId="3AF0AA3A" w14:textId="77777777" w:rsidR="00E355D0" w:rsidRDefault="00E355D0" w:rsidP="00E355D0">
      <w:pPr>
        <w:pBdr>
          <w:top w:val="single" w:sz="4" w:space="1" w:color="auto"/>
          <w:left w:val="single" w:sz="4" w:space="4" w:color="auto"/>
          <w:bottom w:val="single" w:sz="4" w:space="1" w:color="auto"/>
          <w:right w:val="single" w:sz="4" w:space="4" w:color="auto"/>
        </w:pBdr>
      </w:pPr>
      <w:r>
        <w:t>·invasive tumour size up to 50mm in diameter</w:t>
      </w:r>
    </w:p>
    <w:p w14:paraId="3DBF33E2" w14:textId="77777777" w:rsidR="00E355D0" w:rsidRDefault="00E355D0" w:rsidP="00E355D0">
      <w:pPr>
        <w:pBdr>
          <w:top w:val="single" w:sz="4" w:space="1" w:color="auto"/>
          <w:left w:val="single" w:sz="4" w:space="4" w:color="auto"/>
          <w:bottom w:val="single" w:sz="4" w:space="1" w:color="auto"/>
          <w:right w:val="single" w:sz="4" w:space="4" w:color="auto"/>
        </w:pBdr>
      </w:pPr>
      <w:r>
        <w:t>·node negative or up to 3 positive nodes</w:t>
      </w:r>
    </w:p>
    <w:p w14:paraId="6B364382" w14:textId="77777777" w:rsidR="00E355D0" w:rsidRDefault="00E355D0" w:rsidP="00E355D0">
      <w:pPr>
        <w:pBdr>
          <w:top w:val="single" w:sz="4" w:space="1" w:color="auto"/>
          <w:left w:val="single" w:sz="4" w:space="4" w:color="auto"/>
          <w:bottom w:val="single" w:sz="4" w:space="1" w:color="auto"/>
          <w:right w:val="single" w:sz="4" w:space="4" w:color="auto"/>
        </w:pBdr>
      </w:pPr>
      <w:r>
        <w:t>·oestrogen positive as determined by immunohistochemistry</w:t>
      </w:r>
    </w:p>
    <w:p w14:paraId="1BC8CD56" w14:textId="77777777" w:rsidR="00E355D0" w:rsidRDefault="00E355D0" w:rsidP="00E355D0">
      <w:pPr>
        <w:pBdr>
          <w:top w:val="single" w:sz="4" w:space="1" w:color="auto"/>
          <w:left w:val="single" w:sz="4" w:space="4" w:color="auto"/>
          <w:bottom w:val="single" w:sz="4" w:space="1" w:color="auto"/>
          <w:right w:val="single" w:sz="4" w:space="4" w:color="auto"/>
        </w:pBdr>
      </w:pPr>
      <w:r>
        <w:t>-HER2 negative as determined by immunohistochemistry</w:t>
      </w:r>
    </w:p>
    <w:p w14:paraId="05248F48" w14:textId="1CBB7F00" w:rsidR="00D11EB1" w:rsidRPr="0011036E" w:rsidRDefault="00730C04" w:rsidP="00E355D0">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6997F17" w14:textId="77777777" w:rsidR="00753C44" w:rsidRDefault="00791C2A" w:rsidP="00A6491A">
      <w:pPr>
        <w:spacing w:before="0" w:after="0"/>
        <w:ind w:left="284"/>
        <w:rPr>
          <w:szCs w:val="20"/>
        </w:rPr>
      </w:pPr>
      <w:r>
        <w:rPr>
          <w:szCs w:val="20"/>
        </w:rPr>
        <w:fldChar w:fldCharType="begin">
          <w:ffData>
            <w:name w:val="Check1"/>
            <w:enabled/>
            <w:calcOnExit w:val="0"/>
            <w:checkBox>
              <w:size w:val="20"/>
              <w:default w:val="1"/>
            </w:checkBox>
          </w:ffData>
        </w:fldChar>
      </w:r>
      <w:bookmarkStart w:id="2" w:name="Check1"/>
      <w:r>
        <w:rPr>
          <w:szCs w:val="20"/>
        </w:rPr>
        <w:instrText xml:space="preserve"> FORMCHECKBOX </w:instrText>
      </w:r>
      <w:r w:rsidR="0058244E">
        <w:rPr>
          <w:szCs w:val="20"/>
        </w:rPr>
      </w:r>
      <w:r w:rsidR="0058244E">
        <w:rPr>
          <w:szCs w:val="20"/>
        </w:rPr>
        <w:fldChar w:fldCharType="separate"/>
      </w:r>
      <w:r>
        <w:rPr>
          <w:szCs w:val="20"/>
        </w:rPr>
        <w:fldChar w:fldCharType="end"/>
      </w:r>
      <w:bookmarkEnd w:id="2"/>
      <w:r w:rsidR="006B6390">
        <w:rPr>
          <w:szCs w:val="20"/>
        </w:rPr>
        <w:t xml:space="preserve"> Yes</w:t>
      </w:r>
    </w:p>
    <w:p w14:paraId="29AD8F91"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244E">
        <w:rPr>
          <w:szCs w:val="20"/>
        </w:rPr>
      </w:r>
      <w:r w:rsidR="0058244E">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2696AF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13975E6"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244E">
        <w:rPr>
          <w:szCs w:val="20"/>
        </w:rPr>
      </w:r>
      <w:r w:rsidR="0058244E">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346CCF2D" w14:textId="77777777" w:rsidR="00753C44" w:rsidRPr="00753C44" w:rsidRDefault="00791C2A" w:rsidP="00A6491A">
      <w:pPr>
        <w:spacing w:before="0" w:after="0"/>
        <w:ind w:left="284"/>
        <w:rPr>
          <w:szCs w:val="20"/>
        </w:rPr>
      </w:pPr>
      <w:r>
        <w:rPr>
          <w:szCs w:val="20"/>
        </w:rPr>
        <w:fldChar w:fldCharType="begin">
          <w:ffData>
            <w:name w:val="Check2"/>
            <w:enabled/>
            <w:calcOnExit w:val="0"/>
            <w:checkBox>
              <w:size w:val="20"/>
              <w:default w:val="1"/>
            </w:checkBox>
          </w:ffData>
        </w:fldChar>
      </w:r>
      <w:bookmarkStart w:id="3" w:name="Check2"/>
      <w:r>
        <w:rPr>
          <w:szCs w:val="20"/>
        </w:rPr>
        <w:instrText xml:space="preserve"> FORMCHECKBOX </w:instrText>
      </w:r>
      <w:r w:rsidR="0058244E">
        <w:rPr>
          <w:szCs w:val="20"/>
        </w:rPr>
      </w:r>
      <w:r w:rsidR="0058244E">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14:paraId="4D54BAED"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4693FE2C" w14:textId="77777777" w:rsidR="003D795C" w:rsidRPr="00CB12EC" w:rsidRDefault="00791C2A" w:rsidP="00A6491A">
      <w:pPr>
        <w:ind w:left="284"/>
      </w:pPr>
      <w:r>
        <w:t>N/A</w:t>
      </w:r>
    </w:p>
    <w:p w14:paraId="368AC34A"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472B78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3FF7F1D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260499B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98AFE6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44F140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8C0437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2E9B7F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B42BF3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AAD9371"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8244E">
        <w:rPr>
          <w:b/>
          <w:szCs w:val="20"/>
        </w:rPr>
      </w:r>
      <w:r w:rsidR="0058244E">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FFE2B52" w14:textId="77777777" w:rsidR="002A270B" w:rsidRPr="00CB12EC" w:rsidRDefault="00791C2A" w:rsidP="00A6491A">
      <w:pPr>
        <w:ind w:left="284"/>
      </w:pPr>
      <w:r>
        <w:t>N/A</w:t>
      </w:r>
    </w:p>
    <w:p w14:paraId="64D0B763"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6183F8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8244E">
        <w:rPr>
          <w:b/>
          <w:szCs w:val="20"/>
        </w:rPr>
      </w:r>
      <w:r w:rsidR="0058244E">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B4B2EAF" w14:textId="6B36781B" w:rsidR="006B6390" w:rsidRPr="00AA2CFE" w:rsidRDefault="00F00E2D"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58244E">
        <w:rPr>
          <w:b/>
          <w:szCs w:val="20"/>
        </w:rPr>
      </w:r>
      <w:r w:rsidR="0058244E">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6E4AD25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8244E">
        <w:rPr>
          <w:b/>
          <w:szCs w:val="20"/>
        </w:rPr>
      </w:r>
      <w:r w:rsidR="0058244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773C9CA"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8244E">
        <w:rPr>
          <w:b/>
          <w:szCs w:val="20"/>
        </w:rPr>
      </w:r>
      <w:r w:rsidR="0058244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40112C2A"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DD822AB"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Yes</w:t>
      </w:r>
    </w:p>
    <w:p w14:paraId="5F63AE48" w14:textId="5F9A4FEE" w:rsidR="00626365" w:rsidRDefault="00791C2A" w:rsidP="00F00E2D">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0A5B32" w:rsidRPr="000A5B32">
        <w:rPr>
          <w:szCs w:val="20"/>
        </w:rPr>
        <w:t xml:space="preserve"> No</w:t>
      </w:r>
    </w:p>
    <w:p w14:paraId="0E21DD38"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443077BF"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26EC264" w14:textId="77777777" w:rsidR="000A5B32" w:rsidRPr="00855944" w:rsidRDefault="00791C2A" w:rsidP="00A6491A">
      <w:pPr>
        <w:ind w:left="284"/>
        <w:rPr>
          <w:rStyle w:val="Strong"/>
        </w:rPr>
      </w:pPr>
      <w:r>
        <w:t>N/A</w:t>
      </w:r>
    </w:p>
    <w:p w14:paraId="3E242E4D" w14:textId="77777777" w:rsidR="000B3CD0" w:rsidRDefault="000B3CD0" w:rsidP="00730C04">
      <w:pPr>
        <w:pStyle w:val="Heading2"/>
      </w:pPr>
      <w:r w:rsidRPr="00154B00">
        <w:t xml:space="preserve">What is the type of </w:t>
      </w:r>
      <w:proofErr w:type="gramStart"/>
      <w:r w:rsidRPr="00154B00">
        <w:t>service:</w:t>
      </w:r>
      <w:proofErr w:type="gramEnd"/>
    </w:p>
    <w:p w14:paraId="0D110DC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Therapeutic medical service</w:t>
      </w:r>
    </w:p>
    <w:p w14:paraId="6249470E" w14:textId="77777777" w:rsidR="00A6594E" w:rsidRDefault="00791C2A" w:rsidP="00A6491A">
      <w:pPr>
        <w:spacing w:before="0" w:after="0"/>
        <w:ind w:left="284"/>
      </w:pPr>
      <w:r>
        <w:rPr>
          <w:b/>
          <w:szCs w:val="20"/>
        </w:rPr>
        <w:fldChar w:fldCharType="begin">
          <w:ffData>
            <w:name w:val=""/>
            <w:enabled/>
            <w:calcOnExit w:val="0"/>
            <w:checkBox>
              <w:size w:val="20"/>
              <w:default w:val="1"/>
            </w:checkBox>
          </w:ffData>
        </w:fldChar>
      </w:r>
      <w:r>
        <w:rPr>
          <w:b/>
          <w:szCs w:val="20"/>
        </w:rPr>
        <w:instrText xml:space="preserve"> FORMCHECKBOX </w:instrText>
      </w:r>
      <w:r w:rsidR="0058244E">
        <w:rPr>
          <w:b/>
          <w:szCs w:val="20"/>
        </w:rPr>
      </w:r>
      <w:r w:rsidR="0058244E">
        <w:rPr>
          <w:b/>
          <w:szCs w:val="20"/>
        </w:rPr>
        <w:fldChar w:fldCharType="separate"/>
      </w:r>
      <w:r>
        <w:rPr>
          <w:b/>
          <w:szCs w:val="20"/>
        </w:rPr>
        <w:fldChar w:fldCharType="end"/>
      </w:r>
      <w:r w:rsidR="00A6594E" w:rsidRPr="0027105F">
        <w:rPr>
          <w:b/>
          <w:szCs w:val="20"/>
        </w:rPr>
        <w:t xml:space="preserve"> </w:t>
      </w:r>
      <w:r w:rsidR="00A6594E">
        <w:t>Investigative medical service</w:t>
      </w:r>
    </w:p>
    <w:p w14:paraId="3037C8C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Single consultation medical service</w:t>
      </w:r>
    </w:p>
    <w:p w14:paraId="671ECC0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Global consultation medical service</w:t>
      </w:r>
    </w:p>
    <w:p w14:paraId="23859F1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Allied health service</w:t>
      </w:r>
    </w:p>
    <w:p w14:paraId="583586A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Co-dependent technology</w:t>
      </w:r>
    </w:p>
    <w:p w14:paraId="187AB4B1"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Hybrid health technology</w:t>
      </w:r>
    </w:p>
    <w:p w14:paraId="3672BAD9"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A76FAC9"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8244E">
        <w:rPr>
          <w:b/>
          <w:szCs w:val="20"/>
        </w:rPr>
      </w:r>
      <w:r w:rsidR="0058244E">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717FD6B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8244E">
        <w:rPr>
          <w:b/>
          <w:szCs w:val="20"/>
        </w:rPr>
      </w:r>
      <w:r w:rsidR="0058244E">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505C5729" w14:textId="66E23E59" w:rsidR="00A6594E" w:rsidRDefault="0026304D"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8244E">
        <w:rPr>
          <w:b/>
          <w:szCs w:val="20"/>
        </w:rPr>
      </w:r>
      <w:r w:rsidR="0058244E">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01889A56" w14:textId="5264D2C7" w:rsidR="00A6594E" w:rsidRDefault="0026304D"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8244E">
        <w:rPr>
          <w:b/>
          <w:szCs w:val="20"/>
        </w:rPr>
      </w:r>
      <w:r w:rsidR="0058244E">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709591EE"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8244E">
        <w:rPr>
          <w:b/>
          <w:szCs w:val="20"/>
        </w:rPr>
      </w:r>
      <w:r w:rsidR="0058244E">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50C5C9C"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649A982"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Pharmaceutical / Biological</w:t>
      </w:r>
    </w:p>
    <w:p w14:paraId="42F8BC17"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244E">
        <w:rPr>
          <w:b/>
          <w:szCs w:val="20"/>
        </w:rPr>
      </w:r>
      <w:r w:rsidR="0058244E">
        <w:rPr>
          <w:b/>
          <w:szCs w:val="20"/>
        </w:rPr>
        <w:fldChar w:fldCharType="separate"/>
      </w:r>
      <w:r w:rsidRPr="0027105F">
        <w:rPr>
          <w:b/>
          <w:szCs w:val="20"/>
        </w:rPr>
        <w:fldChar w:fldCharType="end"/>
      </w:r>
      <w:r w:rsidRPr="0027105F">
        <w:rPr>
          <w:b/>
          <w:szCs w:val="20"/>
        </w:rPr>
        <w:t xml:space="preserve"> </w:t>
      </w:r>
      <w:r>
        <w:t>Prosthesis or device</w:t>
      </w:r>
    </w:p>
    <w:p w14:paraId="5B548C5B" w14:textId="77777777" w:rsidR="00FE16C1" w:rsidRPr="00FE16C1" w:rsidRDefault="00791C2A" w:rsidP="00A6491A">
      <w:pPr>
        <w:spacing w:before="0" w:after="0"/>
        <w:ind w:left="284"/>
      </w:pPr>
      <w:r>
        <w:rPr>
          <w:b/>
          <w:szCs w:val="20"/>
        </w:rPr>
        <w:fldChar w:fldCharType="begin">
          <w:ffData>
            <w:name w:val=""/>
            <w:enabled/>
            <w:calcOnExit w:val="0"/>
            <w:checkBox>
              <w:size w:val="20"/>
              <w:default w:val="1"/>
            </w:checkBox>
          </w:ffData>
        </w:fldChar>
      </w:r>
      <w:r>
        <w:rPr>
          <w:b/>
          <w:szCs w:val="20"/>
        </w:rPr>
        <w:instrText xml:space="preserve"> FORMCHECKBOX </w:instrText>
      </w:r>
      <w:r w:rsidR="0058244E">
        <w:rPr>
          <w:b/>
          <w:szCs w:val="20"/>
        </w:rPr>
      </w:r>
      <w:r w:rsidR="0058244E">
        <w:rPr>
          <w:b/>
          <w:szCs w:val="20"/>
        </w:rPr>
        <w:fldChar w:fldCharType="separate"/>
      </w:r>
      <w:r>
        <w:rPr>
          <w:b/>
          <w:szCs w:val="20"/>
        </w:rPr>
        <w:fldChar w:fldCharType="end"/>
      </w:r>
      <w:r w:rsidR="00FE16C1" w:rsidRPr="0027105F">
        <w:rPr>
          <w:b/>
          <w:szCs w:val="20"/>
        </w:rPr>
        <w:t xml:space="preserve"> </w:t>
      </w:r>
      <w:r w:rsidR="00FE16C1">
        <w:t>No</w:t>
      </w:r>
    </w:p>
    <w:p w14:paraId="55995C45"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7759B67"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Yes</w:t>
      </w:r>
    </w:p>
    <w:p w14:paraId="3638F288" w14:textId="3076CAA0" w:rsidR="0026304D" w:rsidRDefault="00FE16C1" w:rsidP="0026304D">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No</w:t>
      </w:r>
    </w:p>
    <w:p w14:paraId="19AD4FC9" w14:textId="77777777" w:rsidR="0026304D" w:rsidRDefault="0026304D" w:rsidP="0026304D">
      <w:pPr>
        <w:spacing w:before="0" w:after="0"/>
        <w:ind w:left="284"/>
        <w:rPr>
          <w:szCs w:val="20"/>
        </w:rPr>
      </w:pPr>
    </w:p>
    <w:p w14:paraId="28DAA138" w14:textId="6667BAF5" w:rsidR="0026304D" w:rsidRPr="00FE16C1" w:rsidRDefault="0026304D" w:rsidP="0026304D">
      <w:pPr>
        <w:spacing w:before="0" w:after="0"/>
        <w:ind w:left="284"/>
        <w:rPr>
          <w:szCs w:val="20"/>
        </w:rPr>
      </w:pPr>
      <w:r>
        <w:rPr>
          <w:szCs w:val="20"/>
        </w:rPr>
        <w:t>N/A</w:t>
      </w:r>
    </w:p>
    <w:p w14:paraId="719BC15D"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F5607E4" w14:textId="1E83BA0F" w:rsidR="007E39E4" w:rsidRPr="007E39E4" w:rsidRDefault="0026304D" w:rsidP="00A6491A">
      <w:pPr>
        <w:ind w:left="284"/>
        <w:rPr>
          <w:b/>
          <w:szCs w:val="20"/>
        </w:rPr>
      </w:pPr>
      <w:r>
        <w:lastRenderedPageBreak/>
        <w:t>N/A</w:t>
      </w:r>
    </w:p>
    <w:p w14:paraId="2279A074"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F0D47E6"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B8C2084"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001E6919">
        <w:rPr>
          <w:szCs w:val="20"/>
        </w:rPr>
        <w:t xml:space="preserve"> No</w:t>
      </w:r>
    </w:p>
    <w:p w14:paraId="39C83940" w14:textId="19CF067F" w:rsidR="001E6919" w:rsidRPr="007E39E4" w:rsidRDefault="0026304D" w:rsidP="00A6491A">
      <w:pPr>
        <w:spacing w:before="0" w:after="0"/>
        <w:ind w:left="284"/>
        <w:rPr>
          <w:szCs w:val="20"/>
        </w:rPr>
      </w:pPr>
      <w:r>
        <w:t>N/A</w:t>
      </w:r>
    </w:p>
    <w:p w14:paraId="51492929"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EBCECB9" w14:textId="0087027F" w:rsidR="001E6958" w:rsidRDefault="001E6958" w:rsidP="00A6491A">
      <w:pPr>
        <w:spacing w:before="0" w:after="0"/>
        <w:ind w:left="284"/>
      </w:pPr>
      <w:r>
        <w:t xml:space="preserve">Trade name: </w:t>
      </w:r>
      <w:r w:rsidR="0026304D">
        <w:t>N/A</w:t>
      </w:r>
    </w:p>
    <w:p w14:paraId="30D26573" w14:textId="2899FACC" w:rsidR="001E6958" w:rsidRPr="001E6958" w:rsidRDefault="001E6958" w:rsidP="00A6491A">
      <w:pPr>
        <w:spacing w:before="0" w:after="0"/>
        <w:ind w:left="284"/>
      </w:pPr>
      <w:r>
        <w:t xml:space="preserve">Generic name: </w:t>
      </w:r>
      <w:r w:rsidR="0026304D">
        <w:t>N/A</w:t>
      </w:r>
    </w:p>
    <w:p w14:paraId="128ACA84"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7187E658"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Yes</w:t>
      </w:r>
    </w:p>
    <w:p w14:paraId="059CA73F" w14:textId="542930C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No</w:t>
      </w:r>
    </w:p>
    <w:p w14:paraId="347C2C23" w14:textId="77777777" w:rsidR="0026304D" w:rsidRDefault="0026304D" w:rsidP="00A6491A">
      <w:pPr>
        <w:spacing w:before="0" w:after="0"/>
        <w:ind w:left="284"/>
        <w:rPr>
          <w:szCs w:val="20"/>
        </w:rPr>
      </w:pPr>
    </w:p>
    <w:p w14:paraId="64F8A6BF" w14:textId="1B2AAE90" w:rsidR="001E6919" w:rsidRPr="001E6958" w:rsidRDefault="0026304D" w:rsidP="0026304D">
      <w:pPr>
        <w:spacing w:before="0" w:after="0"/>
        <w:ind w:left="284"/>
        <w:rPr>
          <w:szCs w:val="20"/>
        </w:rPr>
      </w:pPr>
      <w:r>
        <w:rPr>
          <w:szCs w:val="20"/>
        </w:rPr>
        <w:t>N/A</w:t>
      </w:r>
    </w:p>
    <w:p w14:paraId="3221DE4E"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585A25E9" w14:textId="376C112F" w:rsidR="001E6958" w:rsidRDefault="001E6958" w:rsidP="00A6491A">
      <w:pPr>
        <w:spacing w:before="0" w:after="0"/>
        <w:ind w:left="284"/>
      </w:pPr>
      <w:r>
        <w:t xml:space="preserve">Billing code(s): </w:t>
      </w:r>
      <w:r w:rsidR="0026304D">
        <w:t>N/A</w:t>
      </w:r>
    </w:p>
    <w:p w14:paraId="156D31BD" w14:textId="5E8E87DD" w:rsidR="001E6958" w:rsidRDefault="001E6958" w:rsidP="00A6491A">
      <w:pPr>
        <w:spacing w:before="0" w:after="0"/>
        <w:ind w:left="284"/>
      </w:pPr>
      <w:r>
        <w:t xml:space="preserve">Trade name of prostheses: </w:t>
      </w:r>
      <w:r w:rsidR="0026304D">
        <w:t>N/A</w:t>
      </w:r>
    </w:p>
    <w:p w14:paraId="1919EE30" w14:textId="7E97CF40" w:rsidR="001E6958" w:rsidRDefault="001E6958" w:rsidP="00A6491A">
      <w:pPr>
        <w:spacing w:before="0" w:after="0"/>
        <w:ind w:left="284"/>
      </w:pPr>
      <w:r>
        <w:t xml:space="preserve">Clinical name of prostheses: </w:t>
      </w:r>
      <w:r w:rsidR="0026304D">
        <w:t>N/A</w:t>
      </w:r>
    </w:p>
    <w:p w14:paraId="53647CE2" w14:textId="5D488B36" w:rsidR="009939DC" w:rsidRDefault="001E6958" w:rsidP="0026304D">
      <w:pPr>
        <w:spacing w:before="0" w:after="0"/>
        <w:ind w:left="284"/>
      </w:pPr>
      <w:r>
        <w:t xml:space="preserve">Other device components delivered as part of the service: </w:t>
      </w:r>
      <w:r w:rsidR="0026304D">
        <w:t>N/A</w:t>
      </w:r>
    </w:p>
    <w:p w14:paraId="5117CC7B"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90C777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Yes</w:t>
      </w:r>
    </w:p>
    <w:p w14:paraId="0E5079A3" w14:textId="794D5273" w:rsid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No</w:t>
      </w:r>
    </w:p>
    <w:p w14:paraId="43118AFB" w14:textId="77777777" w:rsidR="0026304D" w:rsidRDefault="0026304D" w:rsidP="00A6491A">
      <w:pPr>
        <w:spacing w:before="0" w:after="0"/>
        <w:ind w:left="284"/>
        <w:rPr>
          <w:szCs w:val="20"/>
        </w:rPr>
      </w:pPr>
    </w:p>
    <w:p w14:paraId="130D9C66" w14:textId="0C35A709" w:rsidR="0026304D" w:rsidRPr="009939DC" w:rsidRDefault="0026304D" w:rsidP="00A6491A">
      <w:pPr>
        <w:spacing w:before="0" w:after="0"/>
        <w:ind w:left="284"/>
        <w:rPr>
          <w:szCs w:val="20"/>
        </w:rPr>
      </w:pPr>
      <w:r>
        <w:rPr>
          <w:szCs w:val="20"/>
        </w:rPr>
        <w:t>N/A</w:t>
      </w:r>
    </w:p>
    <w:p w14:paraId="40570E6C"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66D12584"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Yes</w:t>
      </w:r>
    </w:p>
    <w:p w14:paraId="00992275" w14:textId="3D78C947" w:rsid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No</w:t>
      </w:r>
    </w:p>
    <w:p w14:paraId="0155BDAB" w14:textId="77777777" w:rsidR="0026304D" w:rsidRDefault="0026304D" w:rsidP="00A6491A">
      <w:pPr>
        <w:spacing w:before="0" w:after="0"/>
        <w:ind w:left="284"/>
        <w:rPr>
          <w:szCs w:val="20"/>
        </w:rPr>
      </w:pPr>
    </w:p>
    <w:p w14:paraId="515A01D7" w14:textId="05058235" w:rsidR="0026304D" w:rsidRPr="001E6958" w:rsidRDefault="0026304D" w:rsidP="00A6491A">
      <w:pPr>
        <w:spacing w:before="0" w:after="0"/>
        <w:ind w:left="284"/>
        <w:rPr>
          <w:szCs w:val="20"/>
        </w:rPr>
      </w:pPr>
      <w:r>
        <w:rPr>
          <w:szCs w:val="20"/>
        </w:rPr>
        <w:t>N/A</w:t>
      </w:r>
    </w:p>
    <w:p w14:paraId="0DCB8C64"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54D5A069" w14:textId="00F76D00" w:rsidR="00016B6E" w:rsidRPr="009939DC" w:rsidRDefault="0026304D" w:rsidP="00A6491A">
      <w:pPr>
        <w:ind w:left="284"/>
      </w:pPr>
      <w:r>
        <w:t>N/A</w:t>
      </w:r>
    </w:p>
    <w:p w14:paraId="2277B772"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5C563BB" w14:textId="10BB6521" w:rsidR="009939DC" w:rsidRDefault="009939DC" w:rsidP="00A6491A">
      <w:pPr>
        <w:spacing w:before="0" w:after="0"/>
        <w:ind w:left="284"/>
      </w:pPr>
      <w:r>
        <w:t xml:space="preserve">Single use consumables: </w:t>
      </w:r>
      <w:r w:rsidR="0026304D">
        <w:t>N/A</w:t>
      </w:r>
    </w:p>
    <w:p w14:paraId="608FFC89" w14:textId="65E59E68" w:rsidR="00F301F1" w:rsidRPr="00855944" w:rsidRDefault="009939DC" w:rsidP="00A6491A">
      <w:pPr>
        <w:spacing w:before="0" w:after="0"/>
        <w:ind w:left="284"/>
      </w:pPr>
      <w:r>
        <w:t>Multi-use consumables:</w:t>
      </w:r>
      <w:r w:rsidRPr="009939DC">
        <w:t xml:space="preserve"> </w:t>
      </w:r>
      <w:r w:rsidR="0026304D">
        <w:t>N/A</w:t>
      </w:r>
      <w:r w:rsidR="00F301F1" w:rsidRPr="00855944">
        <w:br w:type="page"/>
      </w:r>
    </w:p>
    <w:p w14:paraId="0ED7FA6D"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0EAED53B"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43703A9" w14:textId="580EFA5D"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84693F">
        <w:t>Class III In vitro diagnostic device</w:t>
      </w:r>
    </w:p>
    <w:p w14:paraId="2D945252" w14:textId="3906FA88" w:rsidR="00A26343" w:rsidRPr="00A26343" w:rsidRDefault="00A26343" w:rsidP="00A6491A">
      <w:pPr>
        <w:spacing w:before="0" w:after="0"/>
        <w:ind w:left="284"/>
        <w:rPr>
          <w:szCs w:val="20"/>
        </w:rPr>
      </w:pPr>
      <w:r w:rsidRPr="00A26343">
        <w:rPr>
          <w:szCs w:val="20"/>
        </w:rPr>
        <w:t>Manufacturer’s name</w:t>
      </w:r>
      <w:r>
        <w:rPr>
          <w:szCs w:val="20"/>
        </w:rPr>
        <w:t xml:space="preserve">: </w:t>
      </w:r>
      <w:proofErr w:type="spellStart"/>
      <w:r w:rsidR="0048417F">
        <w:t>Agendia</w:t>
      </w:r>
      <w:proofErr w:type="spellEnd"/>
      <w:r w:rsidR="0048417F">
        <w:t xml:space="preserve"> Incorporated</w:t>
      </w:r>
    </w:p>
    <w:p w14:paraId="2E26EB28" w14:textId="56A0EAF3" w:rsidR="00A26343" w:rsidRPr="00A26343" w:rsidRDefault="00A26343" w:rsidP="00A6491A">
      <w:pPr>
        <w:spacing w:before="0" w:after="0"/>
        <w:ind w:left="284"/>
        <w:rPr>
          <w:szCs w:val="20"/>
        </w:rPr>
      </w:pPr>
      <w:r w:rsidRPr="00A26343">
        <w:rPr>
          <w:szCs w:val="20"/>
        </w:rPr>
        <w:t>Sponsor’s name</w:t>
      </w:r>
      <w:r>
        <w:rPr>
          <w:szCs w:val="20"/>
        </w:rPr>
        <w:t xml:space="preserve">: </w:t>
      </w:r>
      <w:r w:rsidR="0048417F">
        <w:t>Genome Investigation P/L</w:t>
      </w:r>
    </w:p>
    <w:p w14:paraId="26182F6E"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8E056E5" w14:textId="2221FCBB" w:rsidR="00615F42" w:rsidRPr="00615F42" w:rsidRDefault="0048417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172510E"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w:t>
      </w:r>
      <w:r w:rsidRPr="00615F42">
        <w:rPr>
          <w:szCs w:val="20"/>
        </w:rPr>
        <w:t>AIMD</w:t>
      </w:r>
    </w:p>
    <w:p w14:paraId="399C52F7"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sidRPr="000A5B32">
        <w:rPr>
          <w:szCs w:val="20"/>
        </w:rPr>
        <w:t xml:space="preserve"> </w:t>
      </w:r>
      <w:r w:rsidRPr="00615F42">
        <w:rPr>
          <w:szCs w:val="20"/>
        </w:rPr>
        <w:t>N/A</w:t>
      </w:r>
    </w:p>
    <w:p w14:paraId="3D278F25"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1AB47DF"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2F11027" w14:textId="26760210" w:rsidR="003421AE" w:rsidRPr="00615F42" w:rsidRDefault="0048417F"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615F42">
        <w:rPr>
          <w:szCs w:val="20"/>
        </w:rPr>
        <w:t xml:space="preserve"> No</w:t>
      </w:r>
    </w:p>
    <w:p w14:paraId="45056F5A"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C8D9899"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Yes (if yes, please provide details below)</w:t>
      </w:r>
    </w:p>
    <w:p w14:paraId="5F241BAB" w14:textId="24F738B4" w:rsidR="0043654D" w:rsidRDefault="0048417F"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43654D">
        <w:rPr>
          <w:szCs w:val="20"/>
        </w:rPr>
        <w:t xml:space="preserve"> No</w:t>
      </w:r>
    </w:p>
    <w:p w14:paraId="07465327" w14:textId="77777777" w:rsidR="0043654D" w:rsidRPr="00615F42" w:rsidRDefault="0043654D" w:rsidP="0043654D">
      <w:pPr>
        <w:spacing w:before="0" w:after="0"/>
        <w:ind w:left="284"/>
        <w:rPr>
          <w:b/>
          <w:szCs w:val="20"/>
        </w:rPr>
      </w:pPr>
    </w:p>
    <w:p w14:paraId="074343B9"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3A89B406" w14:textId="0B96CECB" w:rsidR="0047581D" w:rsidRDefault="0048417F"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47581D">
        <w:rPr>
          <w:szCs w:val="20"/>
        </w:rPr>
        <w:t xml:space="preserve"> Yes (please provide details below)</w:t>
      </w:r>
    </w:p>
    <w:p w14:paraId="4FCC1D46"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No</w:t>
      </w:r>
    </w:p>
    <w:p w14:paraId="648BF120" w14:textId="77777777" w:rsidR="0047581D" w:rsidRDefault="0047581D" w:rsidP="0047581D">
      <w:pPr>
        <w:spacing w:before="0" w:after="0"/>
        <w:rPr>
          <w:b/>
          <w:szCs w:val="20"/>
        </w:rPr>
      </w:pPr>
    </w:p>
    <w:p w14:paraId="67AE4BA3" w14:textId="59BD3238" w:rsidR="0047581D" w:rsidRPr="0047581D" w:rsidRDefault="0047581D" w:rsidP="0047581D">
      <w:pPr>
        <w:spacing w:before="0" w:after="0"/>
        <w:rPr>
          <w:szCs w:val="20"/>
        </w:rPr>
      </w:pPr>
      <w:r w:rsidRPr="0047581D">
        <w:rPr>
          <w:szCs w:val="20"/>
        </w:rPr>
        <w:t xml:space="preserve">Date of submission to TGA:  </w:t>
      </w:r>
      <w:r w:rsidR="007A43B5">
        <w:rPr>
          <w:color w:val="000000" w:themeColor="text1"/>
        </w:rPr>
        <w:t>November 2013</w:t>
      </w:r>
    </w:p>
    <w:p w14:paraId="2498A573" w14:textId="08FC9909"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48417F">
        <w:t>TBA</w:t>
      </w:r>
    </w:p>
    <w:p w14:paraId="0F100293" w14:textId="6093A8DD" w:rsidR="0047581D" w:rsidRPr="0047581D" w:rsidRDefault="0047581D" w:rsidP="0047581D">
      <w:pPr>
        <w:spacing w:before="0" w:after="0"/>
        <w:rPr>
          <w:szCs w:val="20"/>
        </w:rPr>
      </w:pPr>
      <w:r w:rsidRPr="0047581D">
        <w:rPr>
          <w:szCs w:val="20"/>
        </w:rPr>
        <w:t>TGA Application ID</w:t>
      </w:r>
      <w:r>
        <w:rPr>
          <w:szCs w:val="20"/>
        </w:rPr>
        <w:t xml:space="preserve">:  </w:t>
      </w:r>
      <w:r w:rsidR="00393943">
        <w:rPr>
          <w:color w:val="000000" w:themeColor="text1"/>
        </w:rPr>
        <w:t>DV-2014-IVA-02071-1</w:t>
      </w:r>
    </w:p>
    <w:p w14:paraId="743F740D" w14:textId="48497F00"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7A43B5">
        <w:rPr>
          <w:color w:val="000000" w:themeColor="text1"/>
        </w:rPr>
        <w:t>TBA</w:t>
      </w:r>
    </w:p>
    <w:p w14:paraId="41540ED5" w14:textId="41350995" w:rsidR="003433D1" w:rsidRPr="0047581D" w:rsidRDefault="0047581D" w:rsidP="0047581D">
      <w:pPr>
        <w:spacing w:before="0" w:after="0"/>
        <w:rPr>
          <w:szCs w:val="20"/>
        </w:rPr>
      </w:pPr>
      <w:r w:rsidRPr="0047581D">
        <w:rPr>
          <w:szCs w:val="20"/>
        </w:rPr>
        <w:t>TGA approved purpose(s), if applicable</w:t>
      </w:r>
      <w:r>
        <w:rPr>
          <w:szCs w:val="20"/>
        </w:rPr>
        <w:t xml:space="preserve">:  </w:t>
      </w:r>
      <w:r w:rsidR="00941089" w:rsidRPr="00941089">
        <w:rPr>
          <w:color w:val="000000" w:themeColor="text1"/>
        </w:rPr>
        <w:t>TBA</w:t>
      </w:r>
    </w:p>
    <w:p w14:paraId="50C9E1D0"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BE8B9A2"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Yes (please provide details below)</w:t>
      </w:r>
    </w:p>
    <w:p w14:paraId="5A266A38"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No</w:t>
      </w:r>
    </w:p>
    <w:p w14:paraId="0EC5D59E" w14:textId="77777777" w:rsidR="000A110D" w:rsidRDefault="000A110D" w:rsidP="00971EDB">
      <w:pPr>
        <w:spacing w:before="0" w:after="0"/>
        <w:rPr>
          <w:szCs w:val="20"/>
        </w:rPr>
      </w:pPr>
    </w:p>
    <w:p w14:paraId="682D4E82" w14:textId="00B22A93" w:rsidR="00971EDB" w:rsidRPr="00971EDB" w:rsidRDefault="0048417F" w:rsidP="00971EDB">
      <w:pPr>
        <w:spacing w:before="0" w:after="0"/>
        <w:rPr>
          <w:szCs w:val="20"/>
        </w:rPr>
      </w:pPr>
      <w:r>
        <w:rPr>
          <w:szCs w:val="20"/>
        </w:rPr>
        <w:t>N/A</w:t>
      </w:r>
    </w:p>
    <w:p w14:paraId="2D29B9C1" w14:textId="77777777" w:rsidR="00F83A9D" w:rsidRPr="00154B00" w:rsidRDefault="00F83A9D" w:rsidP="00F83A9D">
      <w:pPr>
        <w:rPr>
          <w:szCs w:val="20"/>
        </w:rPr>
      </w:pPr>
    </w:p>
    <w:p w14:paraId="34C7E380" w14:textId="77777777"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736F7CCA"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171342AD"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Description w:val="Summary of Evidence - Published"/>
      </w:tblPr>
      <w:tblGrid>
        <w:gridCol w:w="474"/>
        <w:gridCol w:w="1335"/>
        <w:gridCol w:w="2171"/>
        <w:gridCol w:w="2225"/>
        <w:gridCol w:w="6441"/>
        <w:gridCol w:w="1528"/>
      </w:tblGrid>
      <w:tr w:rsidR="000130A4" w14:paraId="2C83BD04" w14:textId="77777777" w:rsidTr="00BF6564">
        <w:trPr>
          <w:cantSplit/>
          <w:tblHeader/>
        </w:trPr>
        <w:tc>
          <w:tcPr>
            <w:tcW w:w="167" w:type="pct"/>
          </w:tcPr>
          <w:p w14:paraId="58F1B2E6" w14:textId="77777777" w:rsidR="00DD308E" w:rsidRDefault="00DD308E" w:rsidP="00855944">
            <w:pPr>
              <w:pStyle w:val="TableHEADER"/>
            </w:pPr>
          </w:p>
        </w:tc>
        <w:tc>
          <w:tcPr>
            <w:tcW w:w="471" w:type="pct"/>
          </w:tcPr>
          <w:p w14:paraId="4B690968" w14:textId="77777777" w:rsidR="00DD308E" w:rsidRDefault="00DD308E" w:rsidP="00855944">
            <w:pPr>
              <w:pStyle w:val="TableHEADER"/>
            </w:pPr>
            <w:r>
              <w:t>Type of study design*</w:t>
            </w:r>
          </w:p>
        </w:tc>
        <w:tc>
          <w:tcPr>
            <w:tcW w:w="766" w:type="pct"/>
          </w:tcPr>
          <w:p w14:paraId="179AAB2F" w14:textId="77777777" w:rsidR="00DD308E" w:rsidRDefault="00DD308E" w:rsidP="00855944">
            <w:pPr>
              <w:pStyle w:val="TableHEADER"/>
            </w:pPr>
            <w:r>
              <w:t>Title of journal article  or research project (including any trial identifier or study lead if relevant)</w:t>
            </w:r>
          </w:p>
        </w:tc>
        <w:tc>
          <w:tcPr>
            <w:tcW w:w="785" w:type="pct"/>
          </w:tcPr>
          <w:p w14:paraId="23A5D9BB" w14:textId="77777777" w:rsidR="00DD308E" w:rsidRDefault="00DD308E" w:rsidP="00855944">
            <w:pPr>
              <w:pStyle w:val="TableHEADER"/>
            </w:pPr>
            <w:r>
              <w:t>Short description of research  (max 50 words)**</w:t>
            </w:r>
          </w:p>
        </w:tc>
        <w:tc>
          <w:tcPr>
            <w:tcW w:w="2272" w:type="pct"/>
          </w:tcPr>
          <w:p w14:paraId="2C9EA27E" w14:textId="77777777" w:rsidR="00DD308E" w:rsidRDefault="00DD308E" w:rsidP="00855944">
            <w:pPr>
              <w:pStyle w:val="TableHEADER"/>
            </w:pPr>
            <w:r w:rsidRPr="00E82F54">
              <w:t xml:space="preserve">Website link to </w:t>
            </w:r>
            <w:r>
              <w:t>journal article or research (if available)</w:t>
            </w:r>
          </w:p>
        </w:tc>
        <w:tc>
          <w:tcPr>
            <w:tcW w:w="539" w:type="pct"/>
          </w:tcPr>
          <w:p w14:paraId="5CCC8128" w14:textId="77777777" w:rsidR="00DD308E" w:rsidRDefault="00DD308E" w:rsidP="00855944">
            <w:pPr>
              <w:pStyle w:val="TableHEADER"/>
            </w:pPr>
            <w:r w:rsidRPr="00E82F54">
              <w:t>Date</w:t>
            </w:r>
            <w:r>
              <w:t xml:space="preserve"> of publication</w:t>
            </w:r>
            <w:r w:rsidRPr="00E82F54">
              <w:t>*</w:t>
            </w:r>
            <w:r>
              <w:t>**</w:t>
            </w:r>
          </w:p>
        </w:tc>
      </w:tr>
      <w:tr w:rsidR="000130A4" w14:paraId="7475455A" w14:textId="77777777" w:rsidTr="00BF6564">
        <w:trPr>
          <w:cantSplit/>
        </w:trPr>
        <w:tc>
          <w:tcPr>
            <w:tcW w:w="167" w:type="pct"/>
          </w:tcPr>
          <w:p w14:paraId="54F701FE" w14:textId="77777777" w:rsidR="00DD308E" w:rsidRPr="00965B6B" w:rsidRDefault="00DD308E" w:rsidP="00DD308E">
            <w:pPr>
              <w:rPr>
                <w:szCs w:val="20"/>
              </w:rPr>
            </w:pPr>
            <w:r w:rsidRPr="00965B6B">
              <w:rPr>
                <w:szCs w:val="20"/>
              </w:rPr>
              <w:t>1</w:t>
            </w:r>
            <w:r>
              <w:rPr>
                <w:szCs w:val="20"/>
              </w:rPr>
              <w:t>.</w:t>
            </w:r>
          </w:p>
        </w:tc>
        <w:tc>
          <w:tcPr>
            <w:tcW w:w="471" w:type="pct"/>
          </w:tcPr>
          <w:p w14:paraId="23144850" w14:textId="1035ED45" w:rsidR="00DD308E" w:rsidRDefault="00791C2A" w:rsidP="00B00EE4">
            <w:pPr>
              <w:rPr>
                <w:b/>
                <w:szCs w:val="20"/>
              </w:rPr>
            </w:pPr>
            <w:r>
              <w:t xml:space="preserve">Randomised, phase-3, prospective </w:t>
            </w:r>
            <w:r w:rsidR="00015588">
              <w:t xml:space="preserve">randomised </w:t>
            </w:r>
            <w:r w:rsidR="00B00EE4">
              <w:t>trial</w:t>
            </w:r>
            <w:r>
              <w:t>.</w:t>
            </w:r>
          </w:p>
        </w:tc>
        <w:tc>
          <w:tcPr>
            <w:tcW w:w="766" w:type="pct"/>
          </w:tcPr>
          <w:p w14:paraId="47725511" w14:textId="77777777" w:rsidR="00DD308E" w:rsidRDefault="004E3BA1" w:rsidP="007A43B5">
            <w:pPr>
              <w:rPr>
                <w:rFonts w:ascii="Calibri" w:hAnsi="Calibri" w:cs="Helvetica"/>
                <w:color w:val="000000"/>
                <w:szCs w:val="20"/>
                <w:lang w:val="en-US"/>
              </w:rPr>
            </w:pPr>
            <w:r>
              <w:rPr>
                <w:rFonts w:ascii="Calibri" w:hAnsi="Calibri" w:cs="Helvetica"/>
                <w:color w:val="000000"/>
                <w:szCs w:val="20"/>
                <w:lang w:val="en-US"/>
              </w:rPr>
              <w:t xml:space="preserve">Cardoso et al </w:t>
            </w:r>
            <w:r w:rsidR="00415D1F">
              <w:rPr>
                <w:rFonts w:ascii="Calibri" w:hAnsi="Calibri" w:cs="Helvetica"/>
                <w:color w:val="000000"/>
                <w:szCs w:val="20"/>
                <w:lang w:val="en-US"/>
              </w:rPr>
              <w:t>(2016</w:t>
            </w:r>
            <w:proofErr w:type="gramStart"/>
            <w:r w:rsidR="00415D1F">
              <w:rPr>
                <w:rFonts w:ascii="Calibri" w:hAnsi="Calibri" w:cs="Helvetica"/>
                <w:color w:val="000000"/>
                <w:szCs w:val="20"/>
                <w:lang w:val="en-US"/>
              </w:rPr>
              <w:t>)</w:t>
            </w:r>
            <w:r>
              <w:rPr>
                <w:rFonts w:ascii="Calibri" w:hAnsi="Calibri" w:cs="Helvetica"/>
                <w:color w:val="000000"/>
                <w:szCs w:val="20"/>
                <w:lang w:val="en-US"/>
              </w:rPr>
              <w:t xml:space="preserve"> </w:t>
            </w:r>
            <w:r w:rsidR="00415D1F">
              <w:rPr>
                <w:rFonts w:ascii="Calibri" w:hAnsi="Calibri" w:cs="Helvetica"/>
                <w:color w:val="000000"/>
                <w:szCs w:val="20"/>
                <w:lang w:val="en-US"/>
              </w:rPr>
              <w:t xml:space="preserve"> </w:t>
            </w:r>
            <w:r w:rsidR="007A43B5">
              <w:rPr>
                <w:rFonts w:ascii="Calibri" w:hAnsi="Calibri" w:cs="Helvetica"/>
                <w:color w:val="000000"/>
                <w:szCs w:val="20"/>
                <w:lang w:val="en-US"/>
              </w:rPr>
              <w:t>MINDACT</w:t>
            </w:r>
            <w:proofErr w:type="gramEnd"/>
            <w:r w:rsidR="007A43B5">
              <w:rPr>
                <w:rFonts w:ascii="Calibri" w:hAnsi="Calibri" w:cs="Helvetica"/>
                <w:color w:val="000000"/>
                <w:szCs w:val="20"/>
                <w:lang w:val="en-US"/>
              </w:rPr>
              <w:t xml:space="preserve"> Trial. </w:t>
            </w:r>
            <w:r w:rsidR="00415D1F">
              <w:rPr>
                <w:rFonts w:ascii="Calibri" w:hAnsi="Calibri" w:cs="Helvetica"/>
                <w:color w:val="000000"/>
                <w:szCs w:val="20"/>
                <w:lang w:val="en-US"/>
              </w:rPr>
              <w:t>(</w:t>
            </w:r>
            <w:r w:rsidR="00791C2A" w:rsidRPr="00791C2A">
              <w:rPr>
                <w:rFonts w:ascii="Calibri" w:hAnsi="Calibri" w:cs="Helvetica"/>
                <w:color w:val="000000"/>
                <w:szCs w:val="20"/>
                <w:lang w:val="en-US"/>
              </w:rPr>
              <w:t>Microarray In Node negative and 1-3 lymph node</w:t>
            </w:r>
            <w:r w:rsidR="00015588">
              <w:rPr>
                <w:rFonts w:ascii="Calibri" w:hAnsi="Calibri" w:cs="Helvetica"/>
                <w:color w:val="000000"/>
                <w:szCs w:val="20"/>
                <w:lang w:val="en-US"/>
              </w:rPr>
              <w:t xml:space="preserve"> positive</w:t>
            </w:r>
            <w:r w:rsidR="00791C2A" w:rsidRPr="00791C2A">
              <w:rPr>
                <w:rFonts w:ascii="Calibri" w:hAnsi="Calibri" w:cs="Helvetica"/>
                <w:color w:val="000000"/>
                <w:szCs w:val="20"/>
                <w:lang w:val="en-US"/>
              </w:rPr>
              <w:t xml:space="preserve"> Disease ma</w:t>
            </w:r>
            <w:r w:rsidR="00015588">
              <w:rPr>
                <w:rFonts w:ascii="Calibri" w:hAnsi="Calibri" w:cs="Helvetica"/>
                <w:color w:val="000000"/>
                <w:szCs w:val="20"/>
                <w:lang w:val="en-US"/>
              </w:rPr>
              <w:t xml:space="preserve">y Avoid </w:t>
            </w:r>
            <w:proofErr w:type="spellStart"/>
            <w:r w:rsidR="00015588">
              <w:rPr>
                <w:rFonts w:ascii="Calibri" w:hAnsi="Calibri" w:cs="Helvetica"/>
                <w:color w:val="000000"/>
                <w:szCs w:val="20"/>
                <w:lang w:val="en-US"/>
              </w:rPr>
              <w:t>ChemoTherapy</w:t>
            </w:r>
            <w:proofErr w:type="spellEnd"/>
            <w:r w:rsidR="00015588">
              <w:rPr>
                <w:rFonts w:ascii="Calibri" w:hAnsi="Calibri" w:cs="Helvetica"/>
                <w:color w:val="000000"/>
                <w:szCs w:val="20"/>
                <w:lang w:val="en-US"/>
              </w:rPr>
              <w:t xml:space="preserve"> T</w:t>
            </w:r>
            <w:r w:rsidR="00791C2A" w:rsidRPr="00791C2A">
              <w:rPr>
                <w:rFonts w:ascii="Calibri" w:hAnsi="Calibri" w:cs="Helvetica"/>
                <w:color w:val="000000"/>
                <w:szCs w:val="20"/>
                <w:lang w:val="en-US"/>
              </w:rPr>
              <w:t>rial</w:t>
            </w:r>
            <w:r w:rsidR="007A43B5">
              <w:rPr>
                <w:rFonts w:ascii="Calibri" w:hAnsi="Calibri" w:cs="Helvetica"/>
                <w:color w:val="000000"/>
                <w:szCs w:val="20"/>
                <w:lang w:val="en-US"/>
              </w:rPr>
              <w:t>)</w:t>
            </w:r>
          </w:p>
          <w:p w14:paraId="5C26F323" w14:textId="54A1B559" w:rsidR="007A43B5" w:rsidRPr="007A43B5" w:rsidRDefault="007A43B5" w:rsidP="007A43B5">
            <w:pPr>
              <w:rPr>
                <w:rFonts w:ascii="Calibri" w:hAnsi="Calibri" w:cs="Helvetica"/>
                <w:color w:val="000000"/>
                <w:szCs w:val="20"/>
                <w:lang w:val="en-US"/>
              </w:rPr>
            </w:pPr>
            <w:r w:rsidRPr="007A43B5">
              <w:rPr>
                <w:rFonts w:ascii="Calibri" w:hAnsi="Calibri" w:cs="Helvetica"/>
                <w:color w:val="000000"/>
                <w:szCs w:val="20"/>
                <w:lang w:val="en-US"/>
              </w:rPr>
              <w:t>70-Gene Signature as an Aid to Treatment Decisions in Early-Stage Breast Cancer.</w:t>
            </w:r>
          </w:p>
        </w:tc>
        <w:tc>
          <w:tcPr>
            <w:tcW w:w="785" w:type="pct"/>
          </w:tcPr>
          <w:p w14:paraId="5D4A69E4" w14:textId="762305FE" w:rsidR="00DD308E" w:rsidRPr="00791C2A" w:rsidRDefault="00791C2A" w:rsidP="00015588">
            <w:pPr>
              <w:rPr>
                <w:rFonts w:ascii="Calibri" w:hAnsi="Calibri"/>
                <w:b/>
                <w:szCs w:val="20"/>
              </w:rPr>
            </w:pPr>
            <w:r w:rsidRPr="00791C2A">
              <w:rPr>
                <w:rFonts w:ascii="Calibri" w:hAnsi="Calibri" w:cs="Helvetica"/>
                <w:color w:val="000000"/>
                <w:szCs w:val="20"/>
                <w:lang w:val="en-US"/>
              </w:rPr>
              <w:t>MINDACT is a trial of 6,693 early stage breast cancer patients across 112 centers in Europe.</w:t>
            </w:r>
            <w:r>
              <w:rPr>
                <w:rFonts w:ascii="Calibri" w:hAnsi="Calibri" w:cs="Helvetica"/>
                <w:color w:val="000000"/>
                <w:szCs w:val="20"/>
                <w:lang w:val="en-US"/>
              </w:rPr>
              <w:t xml:space="preserve"> It is a</w:t>
            </w:r>
            <w:r w:rsidRPr="00791C2A">
              <w:rPr>
                <w:rFonts w:ascii="Calibri" w:hAnsi="Calibri" w:cs="Helvetica"/>
                <w:color w:val="000000"/>
                <w:szCs w:val="20"/>
                <w:lang w:val="en-US"/>
              </w:rPr>
              <w:t xml:space="preserve"> prospective randomized trial </w:t>
            </w:r>
            <w:r>
              <w:rPr>
                <w:rFonts w:ascii="Calibri" w:hAnsi="Calibri" w:cs="Helvetica"/>
                <w:color w:val="000000"/>
                <w:szCs w:val="20"/>
                <w:lang w:val="en-US"/>
              </w:rPr>
              <w:t xml:space="preserve">proving </w:t>
            </w:r>
            <w:r w:rsidRPr="00791C2A">
              <w:rPr>
                <w:rFonts w:ascii="Calibri" w:hAnsi="Calibri" w:cs="Helvetica"/>
                <w:color w:val="000000"/>
                <w:szCs w:val="20"/>
                <w:lang w:val="en-US"/>
              </w:rPr>
              <w:t>the clin</w:t>
            </w:r>
            <w:r w:rsidR="00015588">
              <w:rPr>
                <w:rFonts w:ascii="Calibri" w:hAnsi="Calibri" w:cs="Helvetica"/>
                <w:color w:val="000000"/>
                <w:szCs w:val="20"/>
                <w:lang w:val="en-US"/>
              </w:rPr>
              <w:t>ical utility of the 70 gene</w:t>
            </w:r>
            <w:r w:rsidRPr="00791C2A">
              <w:rPr>
                <w:rFonts w:ascii="Calibri" w:hAnsi="Calibri" w:cs="Helvetica"/>
                <w:color w:val="000000"/>
                <w:szCs w:val="20"/>
                <w:lang w:val="en-US"/>
              </w:rPr>
              <w:t xml:space="preserve"> assay, in helping to predict patient outcomes and response to chemotherapy</w:t>
            </w:r>
            <w:r>
              <w:rPr>
                <w:rFonts w:ascii="Calibri" w:hAnsi="Calibri" w:cs="Helvetica"/>
                <w:color w:val="000000"/>
                <w:szCs w:val="20"/>
                <w:lang w:val="en-US"/>
              </w:rPr>
              <w:t xml:space="preserve">. </w:t>
            </w:r>
          </w:p>
        </w:tc>
        <w:tc>
          <w:tcPr>
            <w:tcW w:w="2272" w:type="pct"/>
          </w:tcPr>
          <w:p w14:paraId="0ACD4A6A" w14:textId="77777777" w:rsidR="00DD308E" w:rsidRPr="00E82F54" w:rsidRDefault="00791C2A" w:rsidP="00DD308E">
            <w:pPr>
              <w:rPr>
                <w:b/>
                <w:szCs w:val="20"/>
              </w:rPr>
            </w:pPr>
            <w:r w:rsidRPr="00791C2A">
              <w:t>http://www.nejm.org/doi/full/10.1056/NEJMoa1602253</w:t>
            </w:r>
          </w:p>
        </w:tc>
        <w:tc>
          <w:tcPr>
            <w:tcW w:w="539" w:type="pct"/>
          </w:tcPr>
          <w:p w14:paraId="00AC7E48" w14:textId="77777777" w:rsidR="00DD308E" w:rsidRPr="00E82F54" w:rsidRDefault="00791C2A" w:rsidP="00DD308E">
            <w:pPr>
              <w:rPr>
                <w:b/>
                <w:szCs w:val="20"/>
              </w:rPr>
            </w:pPr>
            <w:r>
              <w:t>August 25, 2016.</w:t>
            </w:r>
          </w:p>
        </w:tc>
      </w:tr>
      <w:tr w:rsidR="000130A4" w14:paraId="6EC0C36C" w14:textId="77777777" w:rsidTr="00BF6564">
        <w:trPr>
          <w:cantSplit/>
        </w:trPr>
        <w:tc>
          <w:tcPr>
            <w:tcW w:w="167" w:type="pct"/>
          </w:tcPr>
          <w:p w14:paraId="51F28C8D" w14:textId="4DF4EAF6" w:rsidR="00DD308E" w:rsidRPr="00965B6B" w:rsidRDefault="00DD308E" w:rsidP="00DD308E">
            <w:pPr>
              <w:rPr>
                <w:szCs w:val="20"/>
              </w:rPr>
            </w:pPr>
            <w:r>
              <w:rPr>
                <w:szCs w:val="20"/>
              </w:rPr>
              <w:t>2.</w:t>
            </w:r>
          </w:p>
        </w:tc>
        <w:tc>
          <w:tcPr>
            <w:tcW w:w="471" w:type="pct"/>
          </w:tcPr>
          <w:p w14:paraId="6106D02B" w14:textId="77777777" w:rsidR="00DD308E" w:rsidRDefault="00B00EE4" w:rsidP="00DD308E">
            <w:pPr>
              <w:rPr>
                <w:b/>
                <w:szCs w:val="20"/>
              </w:rPr>
            </w:pPr>
            <w:r>
              <w:t>Editorial</w:t>
            </w:r>
          </w:p>
        </w:tc>
        <w:tc>
          <w:tcPr>
            <w:tcW w:w="766" w:type="pct"/>
          </w:tcPr>
          <w:p w14:paraId="5D6CDE61" w14:textId="77777777" w:rsidR="00DD308E" w:rsidRDefault="00B00EE4" w:rsidP="00DD308E">
            <w:pPr>
              <w:rPr>
                <w:b/>
                <w:szCs w:val="20"/>
              </w:rPr>
            </w:pPr>
            <w:r>
              <w:t>Increasing Precision in Adjuvant Therapy for Breast Cancer.</w:t>
            </w:r>
          </w:p>
        </w:tc>
        <w:tc>
          <w:tcPr>
            <w:tcW w:w="785" w:type="pct"/>
          </w:tcPr>
          <w:p w14:paraId="349C2A7F" w14:textId="0954D884" w:rsidR="00DD308E" w:rsidRDefault="00B00EE4" w:rsidP="004E3BA1">
            <w:pPr>
              <w:rPr>
                <w:b/>
                <w:szCs w:val="20"/>
              </w:rPr>
            </w:pPr>
            <w:r>
              <w:t>Editorial publish</w:t>
            </w:r>
            <w:r w:rsidR="00015588">
              <w:t>ed</w:t>
            </w:r>
            <w:r>
              <w:t xml:space="preserve"> in NEJM authored by </w:t>
            </w:r>
            <w:proofErr w:type="spellStart"/>
            <w:r>
              <w:t>Hudis</w:t>
            </w:r>
            <w:proofErr w:type="spellEnd"/>
            <w:r>
              <w:t xml:space="preserve"> and </w:t>
            </w:r>
            <w:proofErr w:type="spellStart"/>
            <w:r>
              <w:t>Dickler</w:t>
            </w:r>
            <w:proofErr w:type="spellEnd"/>
            <w:r>
              <w:t xml:space="preserve">. Concluded that the above MINDACT study allows clinicians to consider ordering </w:t>
            </w:r>
            <w:proofErr w:type="spellStart"/>
            <w:r>
              <w:t>MammaPrint</w:t>
            </w:r>
            <w:proofErr w:type="spellEnd"/>
            <w:r>
              <w:t xml:space="preserve"> for chemotherapy </w:t>
            </w:r>
            <w:r w:rsidR="004E3BA1">
              <w:t>patients</w:t>
            </w:r>
            <w:r>
              <w:t xml:space="preserve"> who wish to avoid it should they be </w:t>
            </w:r>
            <w:proofErr w:type="spellStart"/>
            <w:r>
              <w:t>genomically</w:t>
            </w:r>
            <w:proofErr w:type="spellEnd"/>
            <w:r>
              <w:t xml:space="preserve"> low-risk. </w:t>
            </w:r>
          </w:p>
        </w:tc>
        <w:tc>
          <w:tcPr>
            <w:tcW w:w="2272" w:type="pct"/>
          </w:tcPr>
          <w:p w14:paraId="66171C42" w14:textId="77777777" w:rsidR="00DD308E" w:rsidRPr="00E82F54" w:rsidRDefault="00B00EE4" w:rsidP="00DD308E">
            <w:pPr>
              <w:rPr>
                <w:b/>
                <w:szCs w:val="20"/>
              </w:rPr>
            </w:pPr>
            <w:r w:rsidRPr="00B00EE4">
              <w:t>http://www.nejm.org/doi/full/10.1056/NEJMe1607947</w:t>
            </w:r>
          </w:p>
        </w:tc>
        <w:tc>
          <w:tcPr>
            <w:tcW w:w="539" w:type="pct"/>
          </w:tcPr>
          <w:p w14:paraId="1FA3ECD1" w14:textId="77777777" w:rsidR="00DD308E" w:rsidRPr="00E82F54" w:rsidRDefault="00B00EE4" w:rsidP="00DD308E">
            <w:pPr>
              <w:rPr>
                <w:b/>
                <w:szCs w:val="20"/>
              </w:rPr>
            </w:pPr>
            <w:r>
              <w:t>August 25, 2016.</w:t>
            </w:r>
          </w:p>
        </w:tc>
      </w:tr>
      <w:tr w:rsidR="000130A4" w14:paraId="579D2B0E" w14:textId="77777777" w:rsidTr="00BF6564">
        <w:trPr>
          <w:cantSplit/>
        </w:trPr>
        <w:tc>
          <w:tcPr>
            <w:tcW w:w="167" w:type="pct"/>
          </w:tcPr>
          <w:p w14:paraId="7415FA98" w14:textId="77777777" w:rsidR="00DD308E" w:rsidRPr="00965B6B" w:rsidRDefault="00DD308E" w:rsidP="00DD308E">
            <w:pPr>
              <w:rPr>
                <w:szCs w:val="20"/>
              </w:rPr>
            </w:pPr>
            <w:r>
              <w:rPr>
                <w:szCs w:val="20"/>
              </w:rPr>
              <w:lastRenderedPageBreak/>
              <w:t>3.</w:t>
            </w:r>
          </w:p>
        </w:tc>
        <w:tc>
          <w:tcPr>
            <w:tcW w:w="471" w:type="pct"/>
          </w:tcPr>
          <w:p w14:paraId="0A3B9CDF" w14:textId="7A10ED37" w:rsidR="00DD308E" w:rsidRDefault="00015588" w:rsidP="00DD308E">
            <w:pPr>
              <w:rPr>
                <w:b/>
                <w:szCs w:val="20"/>
              </w:rPr>
            </w:pPr>
            <w:r>
              <w:t>5 Year Prospective observation study</w:t>
            </w:r>
          </w:p>
        </w:tc>
        <w:tc>
          <w:tcPr>
            <w:tcW w:w="766" w:type="pct"/>
          </w:tcPr>
          <w:p w14:paraId="2BFDD009" w14:textId="2FA78A9C" w:rsidR="00DD308E" w:rsidRDefault="00415D1F" w:rsidP="00415D1F">
            <w:pPr>
              <w:rPr>
                <w:b/>
                <w:szCs w:val="20"/>
              </w:rPr>
            </w:pPr>
            <w:proofErr w:type="spellStart"/>
            <w:r>
              <w:t>Drukker</w:t>
            </w:r>
            <w:proofErr w:type="spellEnd"/>
            <w:r>
              <w:t xml:space="preserve"> et al IJC 2013. A prospective evaluation of a breast cancer prognosis signature in the observational RASTER (</w:t>
            </w:r>
            <w:proofErr w:type="spellStart"/>
            <w:r w:rsidR="00791C2A">
              <w:t>MicroarRAy</w:t>
            </w:r>
            <w:proofErr w:type="spellEnd"/>
            <w:r w:rsidR="00791C2A">
              <w:t>-</w:t>
            </w:r>
            <w:proofErr w:type="spellStart"/>
            <w:r w:rsidR="00791C2A">
              <w:t>prognoSTics</w:t>
            </w:r>
            <w:proofErr w:type="spellEnd"/>
            <w:r w:rsidR="00791C2A">
              <w:t>-in-bre</w:t>
            </w:r>
            <w:r>
              <w:t>ast-</w:t>
            </w:r>
            <w:proofErr w:type="spellStart"/>
            <w:r>
              <w:t>cancER</w:t>
            </w:r>
            <w:proofErr w:type="spellEnd"/>
            <w:r>
              <w:t>) study.</w:t>
            </w:r>
          </w:p>
        </w:tc>
        <w:tc>
          <w:tcPr>
            <w:tcW w:w="785" w:type="pct"/>
          </w:tcPr>
          <w:p w14:paraId="4322A583" w14:textId="77777777" w:rsidR="00DD308E" w:rsidRPr="00791C2A" w:rsidRDefault="00791C2A" w:rsidP="00791C2A">
            <w:pPr>
              <w:spacing w:before="0" w:after="0"/>
              <w:rPr>
                <w:rFonts w:ascii="Calibri" w:eastAsia="Times New Roman" w:hAnsi="Calibri" w:cs="Times New Roman"/>
                <w:szCs w:val="20"/>
              </w:rPr>
            </w:pPr>
            <w:r w:rsidRPr="00791C2A">
              <w:rPr>
                <w:rFonts w:ascii="Calibri" w:hAnsi="Calibri"/>
                <w:szCs w:val="20"/>
              </w:rPr>
              <w:t xml:space="preserve">A prospective evaluation of the utility of the 70-gene signature to identify those breast cancer patients that may safely forgo chemotherapy. </w:t>
            </w:r>
            <w:r w:rsidRPr="00791C2A">
              <w:rPr>
                <w:rFonts w:ascii="Calibri" w:eastAsia="Times New Roman" w:hAnsi="Calibri" w:cs="Times New Roman"/>
                <w:color w:val="000000"/>
                <w:szCs w:val="20"/>
                <w:shd w:val="clear" w:color="auto" w:fill="FFFFFF"/>
              </w:rPr>
              <w:t xml:space="preserve">As compared to standard </w:t>
            </w:r>
            <w:proofErr w:type="spellStart"/>
            <w:r w:rsidRPr="00791C2A">
              <w:rPr>
                <w:rFonts w:ascii="Calibri" w:eastAsia="Times New Roman" w:hAnsi="Calibri" w:cs="Times New Roman"/>
                <w:color w:val="000000"/>
                <w:szCs w:val="20"/>
                <w:shd w:val="clear" w:color="auto" w:fill="FFFFFF"/>
              </w:rPr>
              <w:t>clincopathological</w:t>
            </w:r>
            <w:proofErr w:type="spellEnd"/>
            <w:r w:rsidRPr="00791C2A">
              <w:rPr>
                <w:rFonts w:ascii="Calibri" w:eastAsia="Times New Roman" w:hAnsi="Calibri" w:cs="Times New Roman"/>
                <w:color w:val="000000"/>
                <w:szCs w:val="20"/>
                <w:shd w:val="clear" w:color="auto" w:fill="FFFFFF"/>
              </w:rPr>
              <w:t xml:space="preserve"> classification, </w:t>
            </w:r>
            <w:proofErr w:type="spellStart"/>
            <w:r w:rsidRPr="00791C2A">
              <w:rPr>
                <w:rFonts w:ascii="Calibri" w:eastAsia="Times New Roman" w:hAnsi="Calibri" w:cs="Times New Roman"/>
                <w:color w:val="000000"/>
                <w:szCs w:val="20"/>
                <w:shd w:val="clear" w:color="auto" w:fill="FFFFFF"/>
              </w:rPr>
              <w:t>MammaPrint</w:t>
            </w:r>
            <w:proofErr w:type="spellEnd"/>
            <w:r w:rsidRPr="00791C2A">
              <w:rPr>
                <w:rFonts w:ascii="Calibri" w:eastAsia="Times New Roman" w:hAnsi="Calibri" w:cs="Times New Roman"/>
                <w:color w:val="000000"/>
                <w:szCs w:val="20"/>
                <w:shd w:val="clear" w:color="auto" w:fill="FFFFFF"/>
              </w:rPr>
              <w:t xml:space="preserve"> re-stratified 20% of Clinical High Risk patients to Low risk.  97% of this Low Risk patient group</w:t>
            </w:r>
            <w:r>
              <w:rPr>
                <w:rFonts w:ascii="Calibri" w:eastAsia="Times New Roman" w:hAnsi="Calibri" w:cs="Times New Roman"/>
                <w:color w:val="000000"/>
                <w:szCs w:val="20"/>
                <w:shd w:val="clear" w:color="auto" w:fill="FFFFFF"/>
              </w:rPr>
              <w:t xml:space="preserve"> which primarily chose to forgo </w:t>
            </w:r>
            <w:proofErr w:type="gramStart"/>
            <w:r w:rsidRPr="00791C2A">
              <w:rPr>
                <w:rFonts w:ascii="Calibri" w:eastAsia="Times New Roman" w:hAnsi="Calibri" w:cs="Times New Roman"/>
                <w:color w:val="000000"/>
                <w:szCs w:val="20"/>
                <w:shd w:val="clear" w:color="auto" w:fill="FFFFFF"/>
              </w:rPr>
              <w:t>chemotherapy,</w:t>
            </w:r>
            <w:proofErr w:type="gramEnd"/>
            <w:r w:rsidRPr="00791C2A">
              <w:rPr>
                <w:rFonts w:ascii="Calibri" w:eastAsia="Times New Roman" w:hAnsi="Calibri" w:cs="Times New Roman"/>
                <w:color w:val="000000"/>
                <w:szCs w:val="20"/>
                <w:shd w:val="clear" w:color="auto" w:fill="FFFFFF"/>
              </w:rPr>
              <w:t xml:space="preserve"> were disease free at 5 years.</w:t>
            </w:r>
          </w:p>
        </w:tc>
        <w:tc>
          <w:tcPr>
            <w:tcW w:w="2272" w:type="pct"/>
          </w:tcPr>
          <w:p w14:paraId="23346DEE" w14:textId="18F0305D" w:rsidR="00DD308E" w:rsidRPr="00E82F54" w:rsidRDefault="00415D1F" w:rsidP="00DD308E">
            <w:pPr>
              <w:rPr>
                <w:b/>
                <w:szCs w:val="20"/>
              </w:rPr>
            </w:pPr>
            <w:r w:rsidRPr="00415D1F">
              <w:t>https://www.ncbi.nlm.nih.gov/pmc/articles/PMC3734625/</w:t>
            </w:r>
          </w:p>
        </w:tc>
        <w:tc>
          <w:tcPr>
            <w:tcW w:w="539" w:type="pct"/>
          </w:tcPr>
          <w:p w14:paraId="2D6A070C" w14:textId="5247B63C" w:rsidR="00DD308E" w:rsidRPr="00E82F54" w:rsidRDefault="00415D1F" w:rsidP="00DD308E">
            <w:pPr>
              <w:rPr>
                <w:b/>
                <w:szCs w:val="20"/>
              </w:rPr>
            </w:pPr>
            <w:r>
              <w:t>March 2013</w:t>
            </w:r>
          </w:p>
        </w:tc>
      </w:tr>
      <w:tr w:rsidR="000130A4" w14:paraId="6B8E1058" w14:textId="77777777" w:rsidTr="00BF6564">
        <w:trPr>
          <w:cantSplit/>
        </w:trPr>
        <w:tc>
          <w:tcPr>
            <w:tcW w:w="167" w:type="pct"/>
          </w:tcPr>
          <w:p w14:paraId="78A495E8" w14:textId="77777777" w:rsidR="00DD308E" w:rsidRDefault="00DD308E" w:rsidP="00DD308E">
            <w:pPr>
              <w:rPr>
                <w:szCs w:val="20"/>
              </w:rPr>
            </w:pPr>
            <w:r>
              <w:rPr>
                <w:szCs w:val="20"/>
              </w:rPr>
              <w:lastRenderedPageBreak/>
              <w:t>6.</w:t>
            </w:r>
          </w:p>
        </w:tc>
        <w:tc>
          <w:tcPr>
            <w:tcW w:w="471" w:type="pct"/>
          </w:tcPr>
          <w:p w14:paraId="5D17E089" w14:textId="6625016F" w:rsidR="00DD308E" w:rsidRPr="00E355D0" w:rsidRDefault="004E3BA1" w:rsidP="00DD308E">
            <w:pPr>
              <w:rPr>
                <w:szCs w:val="20"/>
              </w:rPr>
            </w:pPr>
            <w:r>
              <w:t>Test Development</w:t>
            </w:r>
          </w:p>
        </w:tc>
        <w:tc>
          <w:tcPr>
            <w:tcW w:w="766" w:type="pct"/>
          </w:tcPr>
          <w:p w14:paraId="780DE053" w14:textId="77777777" w:rsidR="00DD308E" w:rsidRDefault="001305A4" w:rsidP="00DD308E">
            <w:pPr>
              <w:rPr>
                <w:b/>
                <w:szCs w:val="20"/>
              </w:rPr>
            </w:pPr>
            <w:proofErr w:type="spellStart"/>
            <w:r>
              <w:t>Van’t</w:t>
            </w:r>
            <w:proofErr w:type="spellEnd"/>
            <w:r>
              <w:t xml:space="preserve"> Veer et al (2002) </w:t>
            </w:r>
            <w:r w:rsidR="00467786">
              <w:t>Gene expression profiling predicts clinical outcome of breast cancer</w:t>
            </w:r>
            <w:r>
              <w:t>. Nature, 415:530-536.</w:t>
            </w:r>
          </w:p>
        </w:tc>
        <w:tc>
          <w:tcPr>
            <w:tcW w:w="785" w:type="pct"/>
          </w:tcPr>
          <w:p w14:paraId="4763DA52" w14:textId="77777777" w:rsidR="00DD308E" w:rsidRDefault="001305A4" w:rsidP="001305A4">
            <w:pPr>
              <w:rPr>
                <w:b/>
                <w:szCs w:val="20"/>
              </w:rPr>
            </w:pPr>
            <w:r>
              <w:t xml:space="preserve">Development of </w:t>
            </w:r>
            <w:proofErr w:type="spellStart"/>
            <w:r>
              <w:t>MammaPrint</w:t>
            </w:r>
            <w:proofErr w:type="spellEnd"/>
            <w:r>
              <w:t xml:space="preserve"> study</w:t>
            </w:r>
            <w:r w:rsidR="00B34D43">
              <w:t>, 78 patients</w:t>
            </w:r>
            <w:r>
              <w:t>. DNA microarray analysis on primary invasive breast carcinoma less than 5 cm (T1 or T2), no axillary metastases (N0), age at diagnosis less than 55 years. Results indicate that breast cancer prognosis can be derived from the gene expression profile of the primary tumour.</w:t>
            </w:r>
          </w:p>
        </w:tc>
        <w:tc>
          <w:tcPr>
            <w:tcW w:w="2272" w:type="pct"/>
          </w:tcPr>
          <w:p w14:paraId="5CBB5387" w14:textId="77777777" w:rsidR="00DD308E" w:rsidRPr="00E82F54" w:rsidRDefault="001305A4" w:rsidP="00DD308E">
            <w:pPr>
              <w:rPr>
                <w:b/>
                <w:szCs w:val="20"/>
              </w:rPr>
            </w:pPr>
            <w:r w:rsidRPr="001305A4">
              <w:t>http://www.nature.com/nature/journal/v415/n6871/full/415530a.html</w:t>
            </w:r>
          </w:p>
        </w:tc>
        <w:tc>
          <w:tcPr>
            <w:tcW w:w="539" w:type="pct"/>
          </w:tcPr>
          <w:p w14:paraId="198056C9" w14:textId="77777777" w:rsidR="00DD308E" w:rsidRPr="00E82F54" w:rsidRDefault="001305A4" w:rsidP="00DD308E">
            <w:pPr>
              <w:rPr>
                <w:b/>
                <w:szCs w:val="20"/>
              </w:rPr>
            </w:pPr>
            <w:r>
              <w:t>31 January, 2002.</w:t>
            </w:r>
          </w:p>
        </w:tc>
      </w:tr>
      <w:tr w:rsidR="000130A4" w14:paraId="6007D0E7" w14:textId="77777777" w:rsidTr="00BF6564">
        <w:trPr>
          <w:cantSplit/>
        </w:trPr>
        <w:tc>
          <w:tcPr>
            <w:tcW w:w="167" w:type="pct"/>
          </w:tcPr>
          <w:p w14:paraId="4415EA11" w14:textId="77777777" w:rsidR="00DD308E" w:rsidRDefault="00DD308E" w:rsidP="00DD308E">
            <w:pPr>
              <w:rPr>
                <w:szCs w:val="20"/>
              </w:rPr>
            </w:pPr>
            <w:r>
              <w:rPr>
                <w:szCs w:val="20"/>
              </w:rPr>
              <w:lastRenderedPageBreak/>
              <w:t>7.</w:t>
            </w:r>
          </w:p>
        </w:tc>
        <w:tc>
          <w:tcPr>
            <w:tcW w:w="471" w:type="pct"/>
          </w:tcPr>
          <w:p w14:paraId="17C16FCF" w14:textId="39143A1B" w:rsidR="00DD308E" w:rsidRPr="0060026C" w:rsidRDefault="004E3BA1" w:rsidP="00DD308E">
            <w:pPr>
              <w:rPr>
                <w:szCs w:val="20"/>
              </w:rPr>
            </w:pPr>
            <w:r>
              <w:rPr>
                <w:color w:val="000000" w:themeColor="text1"/>
              </w:rPr>
              <w:t>Observation</w:t>
            </w:r>
          </w:p>
        </w:tc>
        <w:tc>
          <w:tcPr>
            <w:tcW w:w="766" w:type="pct"/>
          </w:tcPr>
          <w:p w14:paraId="72EB25AC" w14:textId="77777777" w:rsidR="00DD308E" w:rsidRDefault="001305A4" w:rsidP="00DD308E">
            <w:pPr>
              <w:rPr>
                <w:b/>
                <w:szCs w:val="20"/>
              </w:rPr>
            </w:pPr>
            <w:r>
              <w:t xml:space="preserve">Van de </w:t>
            </w:r>
            <w:proofErr w:type="spellStart"/>
            <w:r>
              <w:t>Vijver</w:t>
            </w:r>
            <w:proofErr w:type="spellEnd"/>
            <w:r>
              <w:t xml:space="preserve"> et al (2002) A gene expression signature predicts survival in lymph node negative and positive breast cancer patients. NEJM</w:t>
            </w:r>
            <w:proofErr w:type="gramStart"/>
            <w:r w:rsidR="00487EBB">
              <w:t>;347</w:t>
            </w:r>
            <w:proofErr w:type="gramEnd"/>
            <w:r w:rsidR="00487EBB">
              <w:t>, 1999-2009.</w:t>
            </w:r>
          </w:p>
        </w:tc>
        <w:tc>
          <w:tcPr>
            <w:tcW w:w="785" w:type="pct"/>
          </w:tcPr>
          <w:p w14:paraId="421130A5" w14:textId="77777777" w:rsidR="00DD308E" w:rsidRDefault="00487EBB" w:rsidP="00DD308E">
            <w:r>
              <w:t xml:space="preserve">Clinical validation of </w:t>
            </w:r>
            <w:proofErr w:type="spellStart"/>
            <w:r>
              <w:t>MammaPrint</w:t>
            </w:r>
            <w:proofErr w:type="spellEnd"/>
            <w:r>
              <w:t xml:space="preserve"> in consecutive series of breast cancer patients. 295 patients (151 LN-, 144 LN+, 7.3yrs follow-up). Metastasis-free survival by </w:t>
            </w:r>
            <w:proofErr w:type="spellStart"/>
            <w:r>
              <w:t>MammaPrint</w:t>
            </w:r>
            <w:proofErr w:type="spellEnd"/>
            <w:r>
              <w:t xml:space="preserve"> at 10 years for LN- patients: Low risk: 87%, High risk: 44%. Indicates GEP may be a useful means of guiding adjuvant therapy.</w:t>
            </w:r>
          </w:p>
          <w:p w14:paraId="2883F8D8" w14:textId="366DEF98" w:rsidR="00487EBB" w:rsidRPr="00487EBB" w:rsidRDefault="00487EBB" w:rsidP="00DD308E">
            <w:pPr>
              <w:rPr>
                <w:b/>
                <w:color w:val="FF0000"/>
              </w:rPr>
            </w:pPr>
          </w:p>
        </w:tc>
        <w:tc>
          <w:tcPr>
            <w:tcW w:w="2272" w:type="pct"/>
          </w:tcPr>
          <w:p w14:paraId="69EE3435" w14:textId="77777777" w:rsidR="00DD308E" w:rsidRPr="00E82F54" w:rsidRDefault="00487EBB" w:rsidP="00DD308E">
            <w:pPr>
              <w:rPr>
                <w:b/>
                <w:szCs w:val="20"/>
              </w:rPr>
            </w:pPr>
            <w:r w:rsidRPr="00487EBB">
              <w:t>http://www.nejm.org/doi/full/10.1056/NEJMoa021967#t=article</w:t>
            </w:r>
          </w:p>
        </w:tc>
        <w:tc>
          <w:tcPr>
            <w:tcW w:w="539" w:type="pct"/>
          </w:tcPr>
          <w:p w14:paraId="7255C8DE" w14:textId="77777777" w:rsidR="00DD308E" w:rsidRPr="00E82F54" w:rsidRDefault="00487EBB" w:rsidP="00DD308E">
            <w:pPr>
              <w:rPr>
                <w:b/>
                <w:szCs w:val="20"/>
              </w:rPr>
            </w:pPr>
            <w:r>
              <w:t>December 19, 2002.</w:t>
            </w:r>
          </w:p>
        </w:tc>
      </w:tr>
      <w:tr w:rsidR="000130A4" w14:paraId="1C006D6F" w14:textId="77777777" w:rsidTr="00BF6564">
        <w:trPr>
          <w:cantSplit/>
          <w:trHeight w:val="3931"/>
        </w:trPr>
        <w:tc>
          <w:tcPr>
            <w:tcW w:w="167" w:type="pct"/>
          </w:tcPr>
          <w:p w14:paraId="26E60942" w14:textId="77777777" w:rsidR="00DD308E" w:rsidRDefault="00DD308E" w:rsidP="00DD308E">
            <w:pPr>
              <w:rPr>
                <w:szCs w:val="20"/>
              </w:rPr>
            </w:pPr>
            <w:r>
              <w:rPr>
                <w:szCs w:val="20"/>
              </w:rPr>
              <w:lastRenderedPageBreak/>
              <w:t>8.</w:t>
            </w:r>
          </w:p>
        </w:tc>
        <w:tc>
          <w:tcPr>
            <w:tcW w:w="471" w:type="pct"/>
          </w:tcPr>
          <w:p w14:paraId="61FDEC8F" w14:textId="71B16CB3" w:rsidR="00DD308E" w:rsidRPr="0060026C" w:rsidRDefault="00884BE0" w:rsidP="00DD308E">
            <w:pPr>
              <w:rPr>
                <w:szCs w:val="20"/>
              </w:rPr>
            </w:pPr>
            <w:r>
              <w:rPr>
                <w:color w:val="000000" w:themeColor="text1"/>
              </w:rPr>
              <w:t>Technical</w:t>
            </w:r>
          </w:p>
        </w:tc>
        <w:tc>
          <w:tcPr>
            <w:tcW w:w="766" w:type="pct"/>
          </w:tcPr>
          <w:p w14:paraId="65692401" w14:textId="77777777" w:rsidR="00DD308E" w:rsidRDefault="00487EBB" w:rsidP="00DD308E">
            <w:pPr>
              <w:rPr>
                <w:b/>
                <w:szCs w:val="20"/>
              </w:rPr>
            </w:pPr>
            <w:proofErr w:type="spellStart"/>
            <w:r>
              <w:t>Glas</w:t>
            </w:r>
            <w:proofErr w:type="spellEnd"/>
            <w:r>
              <w:t xml:space="preserve"> et al</w:t>
            </w:r>
            <w:r w:rsidR="00B34D43">
              <w:t>.</w:t>
            </w:r>
            <w:r>
              <w:t xml:space="preserve"> (2006) Converting a breast cancer microarray signature into a high-throughput diagnostic test. </w:t>
            </w:r>
            <w:r w:rsidR="00B34D43">
              <w:t>BMC Genomics; 7:278.</w:t>
            </w:r>
          </w:p>
        </w:tc>
        <w:tc>
          <w:tcPr>
            <w:tcW w:w="785" w:type="pct"/>
          </w:tcPr>
          <w:p w14:paraId="0D973673" w14:textId="2B249564" w:rsidR="00DD308E" w:rsidRPr="00B34D43" w:rsidRDefault="00B34D43" w:rsidP="00DD308E">
            <w:pPr>
              <w:rPr>
                <w:color w:val="000000" w:themeColor="text1"/>
                <w:szCs w:val="20"/>
              </w:rPr>
            </w:pPr>
            <w:r>
              <w:rPr>
                <w:color w:val="000000" w:themeColor="text1"/>
              </w:rPr>
              <w:t xml:space="preserve">Conversion to diagnostic test study. </w:t>
            </w:r>
            <w:r w:rsidRPr="0060026C">
              <w:rPr>
                <w:color w:val="000000" w:themeColor="text1"/>
              </w:rPr>
              <w:t xml:space="preserve">162 patients </w:t>
            </w:r>
            <w:r>
              <w:rPr>
                <w:color w:val="000000" w:themeColor="text1"/>
              </w:rPr>
              <w:t>used to compare data to original study (no. 6 above). Demonstrated reproducibility and robustness of microarray results suggesting its utility as a tool to predict disease outcome.</w:t>
            </w:r>
          </w:p>
        </w:tc>
        <w:tc>
          <w:tcPr>
            <w:tcW w:w="2272" w:type="pct"/>
          </w:tcPr>
          <w:p w14:paraId="7D108575" w14:textId="77777777" w:rsidR="00DD308E" w:rsidRPr="00E82F54" w:rsidRDefault="00487EBB" w:rsidP="00DD308E">
            <w:pPr>
              <w:rPr>
                <w:b/>
                <w:szCs w:val="20"/>
              </w:rPr>
            </w:pPr>
            <w:r w:rsidRPr="00487EBB">
              <w:t>http://bmcgenomics.biomedcentral.com/articles/10.1186/1471-2164-7-278</w:t>
            </w:r>
          </w:p>
        </w:tc>
        <w:tc>
          <w:tcPr>
            <w:tcW w:w="539" w:type="pct"/>
          </w:tcPr>
          <w:p w14:paraId="7DDCD5BB" w14:textId="77777777" w:rsidR="00DD308E" w:rsidRPr="00E82F54" w:rsidRDefault="00487EBB" w:rsidP="00DD308E">
            <w:pPr>
              <w:rPr>
                <w:b/>
                <w:szCs w:val="20"/>
              </w:rPr>
            </w:pPr>
            <w:r>
              <w:t>October 30, 2006.</w:t>
            </w:r>
          </w:p>
        </w:tc>
      </w:tr>
      <w:tr w:rsidR="000130A4" w14:paraId="11D23E2E" w14:textId="77777777" w:rsidTr="00BF6564">
        <w:trPr>
          <w:cantSplit/>
        </w:trPr>
        <w:tc>
          <w:tcPr>
            <w:tcW w:w="167" w:type="pct"/>
          </w:tcPr>
          <w:p w14:paraId="5772F099" w14:textId="77777777" w:rsidR="00DD308E" w:rsidRDefault="00DD308E" w:rsidP="00DD308E">
            <w:pPr>
              <w:rPr>
                <w:szCs w:val="20"/>
              </w:rPr>
            </w:pPr>
            <w:r>
              <w:rPr>
                <w:szCs w:val="20"/>
              </w:rPr>
              <w:t>9</w:t>
            </w:r>
          </w:p>
        </w:tc>
        <w:tc>
          <w:tcPr>
            <w:tcW w:w="471" w:type="pct"/>
          </w:tcPr>
          <w:p w14:paraId="6F84FD0A" w14:textId="3771751B" w:rsidR="00DD308E" w:rsidRPr="0060026C" w:rsidRDefault="007A43B5" w:rsidP="00DD308E">
            <w:pPr>
              <w:rPr>
                <w:szCs w:val="20"/>
              </w:rPr>
            </w:pPr>
            <w:r>
              <w:rPr>
                <w:color w:val="000000" w:themeColor="text1"/>
              </w:rPr>
              <w:t>Technical c</w:t>
            </w:r>
            <w:r w:rsidR="0060026C">
              <w:rPr>
                <w:color w:val="000000" w:themeColor="text1"/>
              </w:rPr>
              <w:t>omparison of methods.</w:t>
            </w:r>
          </w:p>
        </w:tc>
        <w:tc>
          <w:tcPr>
            <w:tcW w:w="766" w:type="pct"/>
          </w:tcPr>
          <w:p w14:paraId="5BEC5235" w14:textId="77777777" w:rsidR="00DD308E" w:rsidRDefault="00B34D43" w:rsidP="00B34D43">
            <w:pPr>
              <w:rPr>
                <w:b/>
                <w:szCs w:val="20"/>
              </w:rPr>
            </w:pPr>
            <w:proofErr w:type="spellStart"/>
            <w:r>
              <w:t>Sapino</w:t>
            </w:r>
            <w:proofErr w:type="spellEnd"/>
            <w:r>
              <w:t xml:space="preserve"> et al. (2014) </w:t>
            </w:r>
            <w:proofErr w:type="spellStart"/>
            <w:r>
              <w:t>MammaPrint</w:t>
            </w:r>
            <w:proofErr w:type="spellEnd"/>
            <w:r>
              <w:t xml:space="preserve"> Molecular Diagnostics on Formalin-Fixed, Paraffin-Embedded Tissue</w:t>
            </w:r>
            <w:r w:rsidR="0079630B">
              <w:t xml:space="preserve">. J </w:t>
            </w:r>
            <w:proofErr w:type="spellStart"/>
            <w:r w:rsidR="0079630B">
              <w:t>Mol</w:t>
            </w:r>
            <w:proofErr w:type="spellEnd"/>
            <w:r w:rsidR="0079630B">
              <w:t xml:space="preserve"> </w:t>
            </w:r>
            <w:proofErr w:type="spellStart"/>
            <w:r w:rsidR="0079630B">
              <w:t>Diagn</w:t>
            </w:r>
            <w:proofErr w:type="spellEnd"/>
            <w:r w:rsidR="0079630B">
              <w:t>; 16(2): 190-197.</w:t>
            </w:r>
          </w:p>
        </w:tc>
        <w:tc>
          <w:tcPr>
            <w:tcW w:w="785" w:type="pct"/>
          </w:tcPr>
          <w:p w14:paraId="141A928C" w14:textId="77777777" w:rsidR="00DD308E" w:rsidRDefault="0079630B" w:rsidP="0079630B">
            <w:pPr>
              <w:rPr>
                <w:b/>
                <w:szCs w:val="20"/>
              </w:rPr>
            </w:pPr>
            <w:r>
              <w:t xml:space="preserve">Validation of </w:t>
            </w:r>
            <w:proofErr w:type="spellStart"/>
            <w:r>
              <w:t>MammaPrint</w:t>
            </w:r>
            <w:proofErr w:type="spellEnd"/>
            <w:r>
              <w:t xml:space="preserve"> in FFPE specimen. 211 patients. Comparison made between FFPE and fresh tissue equivalents. Demonstrated FFPE results substantially equivalent to fresh tissue results.  </w:t>
            </w:r>
          </w:p>
        </w:tc>
        <w:tc>
          <w:tcPr>
            <w:tcW w:w="2272" w:type="pct"/>
          </w:tcPr>
          <w:p w14:paraId="5A74CFC9" w14:textId="77777777" w:rsidR="00DD308E" w:rsidRPr="00E82F54" w:rsidRDefault="00B34D43" w:rsidP="00DD308E">
            <w:pPr>
              <w:rPr>
                <w:b/>
                <w:szCs w:val="20"/>
              </w:rPr>
            </w:pPr>
            <w:r w:rsidRPr="00B34D43">
              <w:t>http://jmd.amjpathol.org/article/S1525-1578(13)00253-5/abstract</w:t>
            </w:r>
          </w:p>
        </w:tc>
        <w:tc>
          <w:tcPr>
            <w:tcW w:w="539" w:type="pct"/>
          </w:tcPr>
          <w:p w14:paraId="4E54446F" w14:textId="77777777" w:rsidR="00DD308E" w:rsidRPr="00E82F54" w:rsidRDefault="00B34D43" w:rsidP="00DD308E">
            <w:pPr>
              <w:rPr>
                <w:b/>
                <w:szCs w:val="20"/>
              </w:rPr>
            </w:pPr>
            <w:r>
              <w:t>March, 2014.</w:t>
            </w:r>
          </w:p>
        </w:tc>
      </w:tr>
      <w:tr w:rsidR="000130A4" w14:paraId="2D0B3B41" w14:textId="77777777" w:rsidTr="00BF6564">
        <w:trPr>
          <w:cantSplit/>
        </w:trPr>
        <w:tc>
          <w:tcPr>
            <w:tcW w:w="167" w:type="pct"/>
          </w:tcPr>
          <w:p w14:paraId="49A814BF" w14:textId="77777777" w:rsidR="00DD308E" w:rsidRDefault="00DD308E" w:rsidP="00DD308E">
            <w:pPr>
              <w:rPr>
                <w:szCs w:val="20"/>
              </w:rPr>
            </w:pPr>
            <w:r>
              <w:rPr>
                <w:szCs w:val="20"/>
              </w:rPr>
              <w:lastRenderedPageBreak/>
              <w:t>10.</w:t>
            </w:r>
          </w:p>
        </w:tc>
        <w:tc>
          <w:tcPr>
            <w:tcW w:w="471" w:type="pct"/>
          </w:tcPr>
          <w:p w14:paraId="5030B967" w14:textId="001F9E44" w:rsidR="00DD308E" w:rsidRPr="0060026C" w:rsidRDefault="00BF6564" w:rsidP="00DD308E">
            <w:pPr>
              <w:rPr>
                <w:szCs w:val="20"/>
              </w:rPr>
            </w:pPr>
            <w:r>
              <w:rPr>
                <w:color w:val="000000" w:themeColor="text1"/>
              </w:rPr>
              <w:t>Cost-effectivenes</w:t>
            </w:r>
            <w:r w:rsidR="0060026C">
              <w:rPr>
                <w:color w:val="000000" w:themeColor="text1"/>
              </w:rPr>
              <w:t>s study</w:t>
            </w:r>
          </w:p>
        </w:tc>
        <w:tc>
          <w:tcPr>
            <w:tcW w:w="766" w:type="pct"/>
          </w:tcPr>
          <w:p w14:paraId="78459256" w14:textId="77777777" w:rsidR="00DD308E" w:rsidRDefault="0079630B" w:rsidP="00DD308E">
            <w:pPr>
              <w:rPr>
                <w:b/>
                <w:szCs w:val="20"/>
              </w:rPr>
            </w:pPr>
            <w:proofErr w:type="spellStart"/>
            <w:r>
              <w:t>Retèl</w:t>
            </w:r>
            <w:proofErr w:type="spellEnd"/>
            <w:r>
              <w:t xml:space="preserve"> et al. (2013) </w:t>
            </w:r>
            <w:proofErr w:type="spellStart"/>
            <w:r>
              <w:t>Prspective</w:t>
            </w:r>
            <w:proofErr w:type="spellEnd"/>
            <w:r>
              <w:t xml:space="preserve"> cost-effectiveness analysis of genomic profiling in breast cancer.</w:t>
            </w:r>
          </w:p>
        </w:tc>
        <w:tc>
          <w:tcPr>
            <w:tcW w:w="785" w:type="pct"/>
          </w:tcPr>
          <w:p w14:paraId="200BD8FE" w14:textId="77777777" w:rsidR="00DD308E" w:rsidRDefault="0079630B" w:rsidP="00B00EE4">
            <w:pPr>
              <w:rPr>
                <w:b/>
                <w:szCs w:val="20"/>
              </w:rPr>
            </w:pPr>
            <w:r>
              <w:t xml:space="preserve">Prospective cost-effectiveness study based on 5-year survival date from the RASTER study. Costs and outcomes (QALYs) were calculated for 427 patients (node </w:t>
            </w:r>
            <w:proofErr w:type="spellStart"/>
            <w:r>
              <w:t>negatve</w:t>
            </w:r>
            <w:proofErr w:type="spellEnd"/>
            <w:r>
              <w:t xml:space="preserve">), subgroup analysis performed based on tumour characteristics. </w:t>
            </w:r>
            <w:r w:rsidR="00B00EE4">
              <w:t>The omission of chemotherapy for patients with a low risk score was both a cost-effective and oncological safe choice.</w:t>
            </w:r>
          </w:p>
        </w:tc>
        <w:tc>
          <w:tcPr>
            <w:tcW w:w="2272" w:type="pct"/>
          </w:tcPr>
          <w:p w14:paraId="0190438C" w14:textId="77777777" w:rsidR="00DD308E" w:rsidRPr="00E82F54" w:rsidRDefault="0079630B" w:rsidP="00DD308E">
            <w:pPr>
              <w:rPr>
                <w:b/>
                <w:szCs w:val="20"/>
              </w:rPr>
            </w:pPr>
            <w:r w:rsidRPr="0079630B">
              <w:t>http://www.ejcancer.com/article/S0959-8049(13)00735-1/abstract</w:t>
            </w:r>
          </w:p>
        </w:tc>
        <w:tc>
          <w:tcPr>
            <w:tcW w:w="539" w:type="pct"/>
          </w:tcPr>
          <w:p w14:paraId="167BF8FA" w14:textId="77777777" w:rsidR="00DD308E" w:rsidRPr="00E82F54" w:rsidRDefault="0079630B" w:rsidP="00DD308E">
            <w:pPr>
              <w:rPr>
                <w:b/>
                <w:szCs w:val="20"/>
              </w:rPr>
            </w:pPr>
            <w:r>
              <w:t>December, 2013</w:t>
            </w:r>
          </w:p>
        </w:tc>
      </w:tr>
      <w:tr w:rsidR="000130A4" w14:paraId="5627F2AE" w14:textId="77777777" w:rsidTr="00BF6564">
        <w:trPr>
          <w:cantSplit/>
        </w:trPr>
        <w:tc>
          <w:tcPr>
            <w:tcW w:w="167" w:type="pct"/>
          </w:tcPr>
          <w:p w14:paraId="22ED06F1" w14:textId="77777777" w:rsidR="00DD308E" w:rsidRDefault="00DD308E" w:rsidP="00DD308E">
            <w:pPr>
              <w:rPr>
                <w:szCs w:val="20"/>
              </w:rPr>
            </w:pPr>
            <w:r>
              <w:rPr>
                <w:szCs w:val="20"/>
              </w:rPr>
              <w:t>11.</w:t>
            </w:r>
          </w:p>
        </w:tc>
        <w:tc>
          <w:tcPr>
            <w:tcW w:w="471" w:type="pct"/>
          </w:tcPr>
          <w:p w14:paraId="7A3010F8" w14:textId="77777777" w:rsidR="00DD308E" w:rsidRDefault="000130A4" w:rsidP="00DD308E">
            <w:pPr>
              <w:rPr>
                <w:b/>
                <w:szCs w:val="20"/>
              </w:rPr>
            </w:pPr>
            <w:r>
              <w:t>Review</w:t>
            </w:r>
          </w:p>
        </w:tc>
        <w:tc>
          <w:tcPr>
            <w:tcW w:w="766" w:type="pct"/>
          </w:tcPr>
          <w:p w14:paraId="2107F23E" w14:textId="77777777" w:rsidR="00DD308E" w:rsidRDefault="00B00EE4" w:rsidP="00DD308E">
            <w:pPr>
              <w:rPr>
                <w:b/>
                <w:szCs w:val="20"/>
              </w:rPr>
            </w:pPr>
            <w:proofErr w:type="spellStart"/>
            <w:r>
              <w:t>Azim</w:t>
            </w:r>
            <w:proofErr w:type="spellEnd"/>
            <w:r>
              <w:t xml:space="preserve"> </w:t>
            </w:r>
            <w:proofErr w:type="spellStart"/>
            <w:r>
              <w:t>Jr</w:t>
            </w:r>
            <w:proofErr w:type="spellEnd"/>
            <w:r>
              <w:t xml:space="preserve"> et al. (2011) Long-term toxic effects of adjuvant chemotherapy in breast cancer.</w:t>
            </w:r>
          </w:p>
        </w:tc>
        <w:tc>
          <w:tcPr>
            <w:tcW w:w="785" w:type="pct"/>
          </w:tcPr>
          <w:p w14:paraId="48E50539" w14:textId="77777777" w:rsidR="00DD308E" w:rsidRDefault="000130A4" w:rsidP="00DD308E">
            <w:pPr>
              <w:rPr>
                <w:b/>
                <w:szCs w:val="20"/>
              </w:rPr>
            </w:pPr>
            <w:r>
              <w:t>A review of the long-term toxic effects of adjuvant chemotherapy, with focus on adverse events such as cardiac toxicity, secondary leukaemia, cognitive function, fertility, and neurotoxicity.</w:t>
            </w:r>
          </w:p>
        </w:tc>
        <w:tc>
          <w:tcPr>
            <w:tcW w:w="2272" w:type="pct"/>
          </w:tcPr>
          <w:p w14:paraId="1506273D" w14:textId="77777777" w:rsidR="00DD308E" w:rsidRPr="00E82F54" w:rsidRDefault="001F49BC" w:rsidP="00DD308E">
            <w:pPr>
              <w:rPr>
                <w:b/>
                <w:szCs w:val="20"/>
              </w:rPr>
            </w:pPr>
            <w:r w:rsidRPr="001F49BC">
              <w:t>http://annonc.oxfordjournals.org/content/early/2011/02/02/annonc.mdq683.full</w:t>
            </w:r>
          </w:p>
        </w:tc>
        <w:tc>
          <w:tcPr>
            <w:tcW w:w="539" w:type="pct"/>
          </w:tcPr>
          <w:p w14:paraId="281C063C" w14:textId="77777777" w:rsidR="00DD308E" w:rsidRPr="00E82F54" w:rsidRDefault="000130A4" w:rsidP="00DD308E">
            <w:pPr>
              <w:rPr>
                <w:b/>
                <w:szCs w:val="20"/>
              </w:rPr>
            </w:pPr>
            <w:r>
              <w:t>February 2, 2011.</w:t>
            </w:r>
          </w:p>
        </w:tc>
      </w:tr>
    </w:tbl>
    <w:p w14:paraId="6AAEC488"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DB69203" w14:textId="77777777" w:rsidR="00DD308E" w:rsidRDefault="00DD308E" w:rsidP="00DD308E">
      <w:pPr>
        <w:spacing w:after="0"/>
        <w:ind w:left="426"/>
        <w:rPr>
          <w:i/>
          <w:szCs w:val="20"/>
        </w:rPr>
      </w:pPr>
      <w:r>
        <w:rPr>
          <w:i/>
          <w:szCs w:val="20"/>
        </w:rPr>
        <w:lastRenderedPageBreak/>
        <w:t>**Provide high level information including population numbers and whether patients are being recruited or in post-recruitment, including providing the trial registration number to allow for tracking purposes.</w:t>
      </w:r>
    </w:p>
    <w:p w14:paraId="700C598C"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24D4559C" w14:textId="77777777" w:rsidR="00DD308E" w:rsidRDefault="00DD308E" w:rsidP="00DD308E">
      <w:pPr>
        <w:rPr>
          <w:i/>
          <w:szCs w:val="20"/>
        </w:rPr>
      </w:pPr>
      <w:r>
        <w:rPr>
          <w:i/>
          <w:szCs w:val="20"/>
        </w:rPr>
        <w:br w:type="page"/>
      </w:r>
    </w:p>
    <w:p w14:paraId="00E4FDFE"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6BF0B537"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Description w:val="Summary of Evidence - Yet to be Published"/>
      </w:tblPr>
      <w:tblGrid>
        <w:gridCol w:w="800"/>
        <w:gridCol w:w="2413"/>
        <w:gridCol w:w="3065"/>
        <w:gridCol w:w="2381"/>
        <w:gridCol w:w="4154"/>
        <w:gridCol w:w="1361"/>
      </w:tblGrid>
      <w:tr w:rsidR="004C49EF" w14:paraId="11D36FF8" w14:textId="77777777" w:rsidTr="00F94A46">
        <w:trPr>
          <w:cantSplit/>
          <w:tblHeader/>
        </w:trPr>
        <w:tc>
          <w:tcPr>
            <w:tcW w:w="282" w:type="pct"/>
          </w:tcPr>
          <w:p w14:paraId="0C64E4D0" w14:textId="77777777" w:rsidR="004C49EF" w:rsidRDefault="004C49EF" w:rsidP="00855944">
            <w:pPr>
              <w:pStyle w:val="TableHEADER"/>
            </w:pPr>
          </w:p>
        </w:tc>
        <w:tc>
          <w:tcPr>
            <w:tcW w:w="851" w:type="pct"/>
          </w:tcPr>
          <w:p w14:paraId="15AAB8E3" w14:textId="77777777" w:rsidR="004C49EF" w:rsidRDefault="004C49EF" w:rsidP="00855944">
            <w:pPr>
              <w:pStyle w:val="TableHEADER"/>
            </w:pPr>
            <w:r>
              <w:t>Type of study design*</w:t>
            </w:r>
          </w:p>
        </w:tc>
        <w:tc>
          <w:tcPr>
            <w:tcW w:w="1081" w:type="pct"/>
          </w:tcPr>
          <w:p w14:paraId="51838E37" w14:textId="77777777" w:rsidR="004C49EF" w:rsidRDefault="004C49EF" w:rsidP="00855944">
            <w:pPr>
              <w:pStyle w:val="TableHEADER"/>
            </w:pPr>
            <w:r>
              <w:t>Title of research (including any trial identifier if relevant)</w:t>
            </w:r>
          </w:p>
        </w:tc>
        <w:tc>
          <w:tcPr>
            <w:tcW w:w="840" w:type="pct"/>
          </w:tcPr>
          <w:p w14:paraId="3EF3C533" w14:textId="77777777" w:rsidR="004C49EF" w:rsidRDefault="00367C1B" w:rsidP="00855944">
            <w:pPr>
              <w:pStyle w:val="TableHEADER"/>
            </w:pPr>
            <w:r>
              <w:t xml:space="preserve">Short description of research </w:t>
            </w:r>
            <w:r w:rsidR="004C49EF">
              <w:t>(max 50 words)**</w:t>
            </w:r>
          </w:p>
        </w:tc>
        <w:tc>
          <w:tcPr>
            <w:tcW w:w="1465" w:type="pct"/>
          </w:tcPr>
          <w:p w14:paraId="28E0FA9D" w14:textId="77777777" w:rsidR="004C49EF" w:rsidRDefault="004C49EF" w:rsidP="00855944">
            <w:pPr>
              <w:pStyle w:val="TableHEADER"/>
            </w:pPr>
            <w:r w:rsidRPr="00E82F54">
              <w:t xml:space="preserve">Website link to </w:t>
            </w:r>
            <w:r>
              <w:t>research (if available)</w:t>
            </w:r>
          </w:p>
        </w:tc>
        <w:tc>
          <w:tcPr>
            <w:tcW w:w="480" w:type="pct"/>
          </w:tcPr>
          <w:p w14:paraId="59FB1EA4" w14:textId="77777777" w:rsidR="004C49EF" w:rsidRDefault="004C49EF" w:rsidP="00855944">
            <w:pPr>
              <w:pStyle w:val="TableHEADER"/>
            </w:pPr>
            <w:r w:rsidRPr="00E82F54">
              <w:t>Date*</w:t>
            </w:r>
            <w:r>
              <w:t>**</w:t>
            </w:r>
          </w:p>
        </w:tc>
      </w:tr>
      <w:tr w:rsidR="004C49EF" w14:paraId="7FA6E867" w14:textId="77777777" w:rsidTr="00F94A46">
        <w:trPr>
          <w:cantSplit/>
        </w:trPr>
        <w:tc>
          <w:tcPr>
            <w:tcW w:w="282" w:type="pct"/>
          </w:tcPr>
          <w:p w14:paraId="777B3044" w14:textId="77777777" w:rsidR="004C49EF" w:rsidRPr="00965B6B" w:rsidRDefault="004C49EF" w:rsidP="00526478">
            <w:pPr>
              <w:rPr>
                <w:szCs w:val="20"/>
              </w:rPr>
            </w:pPr>
            <w:r w:rsidRPr="00965B6B">
              <w:rPr>
                <w:szCs w:val="20"/>
              </w:rPr>
              <w:t>1</w:t>
            </w:r>
            <w:r>
              <w:rPr>
                <w:szCs w:val="20"/>
              </w:rPr>
              <w:t>.</w:t>
            </w:r>
          </w:p>
        </w:tc>
        <w:tc>
          <w:tcPr>
            <w:tcW w:w="851" w:type="pct"/>
          </w:tcPr>
          <w:p w14:paraId="4BF7A33A" w14:textId="69C650DF" w:rsidR="004C49EF" w:rsidRPr="00015588" w:rsidRDefault="00015588" w:rsidP="00526478">
            <w:pPr>
              <w:rPr>
                <w:szCs w:val="20"/>
              </w:rPr>
            </w:pPr>
            <w:r w:rsidRPr="00015588">
              <w:t>Observation study</w:t>
            </w:r>
          </w:p>
        </w:tc>
        <w:tc>
          <w:tcPr>
            <w:tcW w:w="1081" w:type="pct"/>
          </w:tcPr>
          <w:p w14:paraId="763DD217" w14:textId="77777777" w:rsidR="004C49EF" w:rsidRDefault="000130A4" w:rsidP="00526478">
            <w:pPr>
              <w:rPr>
                <w:b/>
                <w:szCs w:val="20"/>
              </w:rPr>
            </w:pPr>
            <w:r>
              <w:t>Tsai et al. The 70-gene signature provides risk stratification and treatment guidance for patients classified as intermediate by the 21-gene assay.</w:t>
            </w:r>
          </w:p>
        </w:tc>
        <w:tc>
          <w:tcPr>
            <w:tcW w:w="840" w:type="pct"/>
          </w:tcPr>
          <w:p w14:paraId="3CB1BD62" w14:textId="636F77CD" w:rsidR="004C49EF" w:rsidRDefault="00F94A46" w:rsidP="00F94A46">
            <w:pPr>
              <w:rPr>
                <w:b/>
                <w:szCs w:val="20"/>
              </w:rPr>
            </w:pPr>
            <w:r>
              <w:t>The PROMIS</w:t>
            </w:r>
            <w:r w:rsidR="000130A4">
              <w:t xml:space="preserve"> trial includes 840 ER+, LN+ or LN- women with an intermediate (18-30) score on the 21-gene assay. These patients obtained a risk categorisation based on the </w:t>
            </w:r>
            <w:proofErr w:type="spellStart"/>
            <w:r w:rsidR="000130A4">
              <w:t>MammaPrint</w:t>
            </w:r>
            <w:proofErr w:type="spellEnd"/>
            <w:r w:rsidR="000130A4">
              <w:t xml:space="preserve"> signature. Distribution </w:t>
            </w:r>
            <w:r>
              <w:t>and</w:t>
            </w:r>
            <w:r w:rsidR="000130A4">
              <w:t xml:space="preserve"> </w:t>
            </w:r>
            <w:r>
              <w:t>the impact the new score had on physician decisions was evaluated. Results showed a 33</w:t>
            </w:r>
            <w:r w:rsidR="0019273C">
              <w:t>% change in treatment decisions, following significant discordance.</w:t>
            </w:r>
          </w:p>
        </w:tc>
        <w:tc>
          <w:tcPr>
            <w:tcW w:w="1465" w:type="pct"/>
          </w:tcPr>
          <w:p w14:paraId="09BB2A5A" w14:textId="77777777" w:rsidR="004C49EF" w:rsidRPr="00E82F54" w:rsidRDefault="000130A4" w:rsidP="00526478">
            <w:pPr>
              <w:rPr>
                <w:b/>
                <w:szCs w:val="20"/>
              </w:rPr>
            </w:pPr>
            <w:r w:rsidRPr="000130A4">
              <w:t>http://meetinglibrary.asco.org/content/170416-176</w:t>
            </w:r>
          </w:p>
        </w:tc>
        <w:tc>
          <w:tcPr>
            <w:tcW w:w="480" w:type="pct"/>
          </w:tcPr>
          <w:p w14:paraId="6C5478B0" w14:textId="423CB814" w:rsidR="004C49EF" w:rsidRPr="00E82F54" w:rsidRDefault="00015588" w:rsidP="00526478">
            <w:pPr>
              <w:rPr>
                <w:b/>
                <w:szCs w:val="20"/>
              </w:rPr>
            </w:pPr>
            <w:r>
              <w:t>TBA</w:t>
            </w:r>
          </w:p>
        </w:tc>
      </w:tr>
    </w:tbl>
    <w:p w14:paraId="7D4A1025"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D5A4697"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2B52DF1B"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545D6E4"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0351B8A1"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7124BD1F"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97836CA" w14:textId="77777777" w:rsidR="00A727B6" w:rsidRDefault="00F94A46" w:rsidP="00A727B6">
      <w:pPr>
        <w:ind w:left="426"/>
      </w:pPr>
      <w:r>
        <w:t>MOGA – Medical Oncology Group of Australia</w:t>
      </w:r>
    </w:p>
    <w:p w14:paraId="03DABCC7" w14:textId="77777777" w:rsidR="00F94A46" w:rsidRDefault="00F94A46" w:rsidP="00A727B6">
      <w:pPr>
        <w:ind w:left="426"/>
      </w:pPr>
      <w:r>
        <w:t>RACP – Royal Australasian College of Physicians</w:t>
      </w:r>
    </w:p>
    <w:p w14:paraId="02FEB768" w14:textId="362B64B7" w:rsidR="009C0B2B" w:rsidRDefault="00884BE0" w:rsidP="00A727B6">
      <w:pPr>
        <w:ind w:left="426"/>
      </w:pPr>
      <w:proofErr w:type="spellStart"/>
      <w:r>
        <w:t>Breast</w:t>
      </w:r>
      <w:r w:rsidR="009C0B2B">
        <w:t>SurgANZ</w:t>
      </w:r>
      <w:proofErr w:type="spellEnd"/>
      <w:r w:rsidR="00015588">
        <w:t xml:space="preserve"> – Breast Surgeons of Australia and NZ</w:t>
      </w:r>
    </w:p>
    <w:p w14:paraId="78821AB9" w14:textId="6B7D25DD" w:rsidR="00D803B2" w:rsidRPr="00A727B6" w:rsidRDefault="00D803B2" w:rsidP="00A727B6">
      <w:pPr>
        <w:ind w:left="426"/>
      </w:pPr>
      <w:r w:rsidRPr="00D803B2">
        <w:t>RACS – Royal Australasian College of Surgeons</w:t>
      </w:r>
    </w:p>
    <w:p w14:paraId="7988C627" w14:textId="77777777" w:rsidR="00EA173C"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6DF76FD7" w14:textId="488A785A" w:rsidR="00D14049" w:rsidRPr="00D14049" w:rsidRDefault="00D14049" w:rsidP="00D14049">
      <w:pPr>
        <w:ind w:left="360"/>
      </w:pPr>
      <w:r>
        <w:t>N/A</w:t>
      </w:r>
    </w:p>
    <w:p w14:paraId="215AA217"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D0913EA" w14:textId="35857C43" w:rsidR="00E82F54" w:rsidRDefault="00A27294" w:rsidP="00A27294">
      <w:pPr>
        <w:ind w:left="360"/>
        <w:rPr>
          <w:szCs w:val="20"/>
        </w:rPr>
      </w:pPr>
      <w:r>
        <w:t>Breast Cancer Network of Australia</w:t>
      </w:r>
      <w:r w:rsidR="00EA62B8">
        <w:t xml:space="preserve"> </w:t>
      </w:r>
      <w:r w:rsidR="00D14049">
        <w:t xml:space="preserve">(see </w:t>
      </w:r>
      <w:r w:rsidR="00EA62B8">
        <w:t>letter attached)</w:t>
      </w:r>
    </w:p>
    <w:p w14:paraId="504DBD64"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3FC1D1E" w14:textId="4D377EE0" w:rsidR="007336F3" w:rsidRDefault="00F94A46" w:rsidP="007336F3">
      <w:pPr>
        <w:ind w:left="426"/>
      </w:pPr>
      <w:r>
        <w:t>Myriad Genetics</w:t>
      </w:r>
      <w:r w:rsidR="007336F3">
        <w:t xml:space="preserve"> – </w:t>
      </w:r>
      <w:proofErr w:type="spellStart"/>
      <w:r w:rsidR="007336F3">
        <w:t>EndoPredict</w:t>
      </w:r>
      <w:proofErr w:type="spellEnd"/>
    </w:p>
    <w:p w14:paraId="046F948D" w14:textId="73D585CE" w:rsidR="007336F3" w:rsidRDefault="00D14049" w:rsidP="007336F3">
      <w:pPr>
        <w:ind w:left="426"/>
      </w:pPr>
      <w:proofErr w:type="spellStart"/>
      <w:r>
        <w:t>Nanostring</w:t>
      </w:r>
      <w:proofErr w:type="spellEnd"/>
      <w:r>
        <w:t xml:space="preserve"> Technologies</w:t>
      </w:r>
      <w:r w:rsidR="007336F3">
        <w:t xml:space="preserve"> - </w:t>
      </w:r>
      <w:proofErr w:type="spellStart"/>
      <w:r>
        <w:t>Prosigna</w:t>
      </w:r>
      <w:proofErr w:type="spellEnd"/>
    </w:p>
    <w:p w14:paraId="0BAB991B" w14:textId="032BB26A" w:rsidR="00F94A46" w:rsidRDefault="00F94A46" w:rsidP="00F94A46">
      <w:pPr>
        <w:ind w:left="426"/>
      </w:pPr>
      <w:r>
        <w:t>Genomic Health</w:t>
      </w:r>
      <w:r w:rsidR="00D14049">
        <w:t xml:space="preserve"> – </w:t>
      </w:r>
      <w:proofErr w:type="spellStart"/>
      <w:r w:rsidR="00D14049">
        <w:t>OncotypeDX</w:t>
      </w:r>
      <w:proofErr w:type="spellEnd"/>
    </w:p>
    <w:p w14:paraId="60F33D70" w14:textId="4494FB15" w:rsidR="00A96329" w:rsidRPr="00A96329" w:rsidRDefault="00E82F54" w:rsidP="00A96329">
      <w:pPr>
        <w:pStyle w:val="Heading2"/>
      </w:pPr>
      <w:r w:rsidRPr="00154B00">
        <w:t>Nominate two experts who could be approached about the proposed medical service and the current clinical management of the service(s):</w:t>
      </w:r>
    </w:p>
    <w:p w14:paraId="2CDECCD4" w14:textId="11AC5359" w:rsidR="00987ABE" w:rsidRDefault="00232E7C" w:rsidP="00E82F54">
      <w:pPr>
        <w:ind w:left="426"/>
        <w:rPr>
          <w:i/>
          <w:szCs w:val="20"/>
        </w:rPr>
      </w:pPr>
      <w:r>
        <w:rPr>
          <w:szCs w:val="20"/>
        </w:rPr>
        <w:t>REDACTED</w:t>
      </w:r>
    </w:p>
    <w:p w14:paraId="7A64AB31"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03087043" w14:textId="77777777" w:rsidR="003433D1" w:rsidRDefault="003433D1">
      <w:pPr>
        <w:rPr>
          <w:b/>
          <w:sz w:val="32"/>
          <w:szCs w:val="32"/>
        </w:rPr>
      </w:pPr>
      <w:r>
        <w:rPr>
          <w:b/>
          <w:sz w:val="32"/>
          <w:szCs w:val="32"/>
        </w:rPr>
        <w:br w:type="page"/>
      </w:r>
    </w:p>
    <w:p w14:paraId="75C77EBF"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01565F60" w14:textId="77777777" w:rsidR="0021185D" w:rsidRPr="005C3AE7" w:rsidRDefault="005C3AE7" w:rsidP="005C3AE7">
      <w:pPr>
        <w:pStyle w:val="Subtitle"/>
      </w:pPr>
      <w:r w:rsidRPr="005C3AE7">
        <w:t xml:space="preserve">PART 6a – </w:t>
      </w:r>
      <w:r w:rsidR="0021185D" w:rsidRPr="005C3AE7">
        <w:t>INFORMATION ABOUT THE PROPOSED POPULATION</w:t>
      </w:r>
    </w:p>
    <w:p w14:paraId="6995A556"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FCBB38D" w14:textId="62C3694E" w:rsidR="00A92246" w:rsidRDefault="00B36597" w:rsidP="00A9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Pr>
          <w:rFonts w:ascii="Calibri" w:hAnsi="Calibri" w:cs="Helvetica"/>
          <w:color w:val="000000"/>
          <w:szCs w:val="20"/>
          <w:lang w:val="en-US"/>
        </w:rPr>
        <w:t xml:space="preserve">Breast cancer is a malignant neoplasm of the breast, resulting in a highly significant annual mortality and morbidity. </w:t>
      </w:r>
      <w:r w:rsidR="00A70A71">
        <w:rPr>
          <w:rFonts w:ascii="Calibri" w:hAnsi="Calibri" w:cs="Helvetica"/>
          <w:color w:val="000000"/>
          <w:szCs w:val="20"/>
          <w:lang w:val="en-US"/>
        </w:rPr>
        <w:t xml:space="preserve">It is a disease in which abnormal cells, most commonly originating from the terminal duct lobular unit of the breast, transform and </w:t>
      </w:r>
      <w:proofErr w:type="gramStart"/>
      <w:r w:rsidR="00A70A71">
        <w:rPr>
          <w:rFonts w:ascii="Calibri" w:hAnsi="Calibri" w:cs="Helvetica"/>
          <w:color w:val="000000"/>
          <w:szCs w:val="20"/>
          <w:lang w:val="en-US"/>
        </w:rPr>
        <w:t>develop</w:t>
      </w:r>
      <w:proofErr w:type="gramEnd"/>
      <w:r w:rsidR="00A70A71">
        <w:rPr>
          <w:rFonts w:ascii="Calibri" w:hAnsi="Calibri" w:cs="Helvetica"/>
          <w:color w:val="000000"/>
          <w:szCs w:val="20"/>
          <w:lang w:val="en-US"/>
        </w:rPr>
        <w:t xml:space="preserve"> into an invasive </w:t>
      </w:r>
      <w:proofErr w:type="spellStart"/>
      <w:r w:rsidR="00A70A71">
        <w:rPr>
          <w:rFonts w:ascii="Calibri" w:hAnsi="Calibri" w:cs="Helvetica"/>
          <w:color w:val="000000"/>
          <w:szCs w:val="20"/>
          <w:lang w:val="en-US"/>
        </w:rPr>
        <w:t>tumour</w:t>
      </w:r>
      <w:proofErr w:type="spellEnd"/>
      <w:r w:rsidR="00A70A71">
        <w:rPr>
          <w:rFonts w:ascii="Calibri" w:hAnsi="Calibri" w:cs="Helvetica"/>
          <w:color w:val="000000"/>
          <w:szCs w:val="20"/>
          <w:lang w:val="en-US"/>
        </w:rPr>
        <w:t xml:space="preserve">. These </w:t>
      </w:r>
      <w:proofErr w:type="spellStart"/>
      <w:r w:rsidR="00A70A71">
        <w:rPr>
          <w:rFonts w:ascii="Calibri" w:hAnsi="Calibri" w:cs="Helvetica"/>
          <w:color w:val="000000"/>
          <w:szCs w:val="20"/>
          <w:lang w:val="en-US"/>
        </w:rPr>
        <w:t>tumours</w:t>
      </w:r>
      <w:proofErr w:type="spellEnd"/>
      <w:r w:rsidR="00A70A71">
        <w:rPr>
          <w:rFonts w:ascii="Calibri" w:hAnsi="Calibri" w:cs="Helvetica"/>
          <w:color w:val="000000"/>
          <w:szCs w:val="20"/>
          <w:lang w:val="en-US"/>
        </w:rPr>
        <w:t xml:space="preserve"> can invade and damage the tissue around them, and spread to other parts of the body, such as the bones, liver, lung and brain, through the lymphatic or vascular systems (AIHW &amp; NBOCC 2009). </w:t>
      </w:r>
      <w:r w:rsidR="00A92246" w:rsidRPr="005309B4">
        <w:rPr>
          <w:rFonts w:ascii="Calibri" w:hAnsi="Calibri" w:cs="Helvetica"/>
          <w:color w:val="000000"/>
          <w:szCs w:val="20"/>
          <w:lang w:val="en-US"/>
        </w:rPr>
        <w:t>In 2012, there were 15,166 new cases of breast cancer diagnosed in Australia and it is estimated that this number will rise to 16,084 in 2016 (Cancer Australia). In 2012 this made breast cancer the 2nd most commonly diagnosed cancer in Australia (AIHW). For those diagnosed in 2008-2012, their chance of surviving 5 years was 90% (AIHW).</w:t>
      </w:r>
    </w:p>
    <w:p w14:paraId="11AC44C6" w14:textId="77777777" w:rsidR="00B36597" w:rsidRDefault="00B36597" w:rsidP="00A9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p>
    <w:p w14:paraId="120229E0" w14:textId="42B1CE28" w:rsidR="00B36597" w:rsidRDefault="00B36597" w:rsidP="00A9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Pr>
          <w:rFonts w:ascii="Calibri" w:hAnsi="Calibri" w:cs="Helvetica"/>
          <w:color w:val="000000"/>
          <w:szCs w:val="20"/>
          <w:lang w:val="en-US"/>
        </w:rPr>
        <w:t>Breast cancer can be further classified based upon a number of factors, primarily the histological type,</w:t>
      </w:r>
      <w:r w:rsidR="003A6FF2">
        <w:rPr>
          <w:rFonts w:ascii="Calibri" w:hAnsi="Calibri" w:cs="Helvetica"/>
          <w:color w:val="000000"/>
          <w:szCs w:val="20"/>
          <w:lang w:val="en-US"/>
        </w:rPr>
        <w:t xml:space="preserve"> size, lymph node involvement and receptor status.</w:t>
      </w:r>
    </w:p>
    <w:p w14:paraId="3F8DEC5F" w14:textId="77777777" w:rsidR="003A6FF2" w:rsidRDefault="003A6FF2" w:rsidP="00A9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p>
    <w:p w14:paraId="5D227953" w14:textId="6B6188DA" w:rsidR="00B36597" w:rsidRDefault="00B36597" w:rsidP="00B3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Pr>
          <w:rFonts w:ascii="Calibri" w:hAnsi="Calibri" w:cs="Helvetica"/>
          <w:color w:val="000000"/>
          <w:szCs w:val="20"/>
          <w:lang w:val="en-US"/>
        </w:rPr>
        <w:t>The number of deaths from breast cancer in 2013 was 2,892, an increase of nearly 1500 over the previous 45 years, in 2016, it is estimated that this number will rise to 3,073 (AIHW). For 2013, the age-</w:t>
      </w:r>
      <w:proofErr w:type="spellStart"/>
      <w:r>
        <w:rPr>
          <w:rFonts w:ascii="Calibri" w:hAnsi="Calibri" w:cs="Helvetica"/>
          <w:color w:val="000000"/>
          <w:szCs w:val="20"/>
          <w:lang w:val="en-US"/>
        </w:rPr>
        <w:t>standardised</w:t>
      </w:r>
      <w:proofErr w:type="spellEnd"/>
      <w:r>
        <w:rPr>
          <w:rFonts w:ascii="Calibri" w:hAnsi="Calibri" w:cs="Helvetica"/>
          <w:color w:val="000000"/>
          <w:szCs w:val="20"/>
          <w:lang w:val="en-US"/>
        </w:rPr>
        <w:t xml:space="preserve"> mortality rate was 11 deaths per 100,000 persons (AIHW).</w:t>
      </w:r>
      <w:r w:rsidR="003A6FF2">
        <w:rPr>
          <w:rFonts w:ascii="Calibri" w:hAnsi="Calibri" w:cs="Helvetica"/>
          <w:color w:val="000000"/>
          <w:szCs w:val="20"/>
          <w:lang w:val="en-US"/>
        </w:rPr>
        <w:t xml:space="preserve"> In 2007, the median age at death for this population was 68 (AIHW). “Breast cancer was the sixth leading cause of burden of disease for females, accounting for 61,300 DALYs, 4% of all female burden of diseases and 24% of all female burden due to cancer” (AIHW).</w:t>
      </w:r>
      <w:r w:rsidR="00F92613">
        <w:rPr>
          <w:rFonts w:ascii="Calibri" w:hAnsi="Calibri" w:cs="Helvetica"/>
          <w:color w:val="000000"/>
          <w:szCs w:val="20"/>
          <w:lang w:val="en-US"/>
        </w:rPr>
        <w:t xml:space="preserve"> The years of healthy life which these women are losing is primarily due to side effects during and after treatment (chemotherapy, radiotherapy etc.), potential changes in menopause, lymphedema and psychosocial changes (AIHW).</w:t>
      </w:r>
      <w:r w:rsidR="003A6FF2">
        <w:rPr>
          <w:rFonts w:ascii="Calibri" w:hAnsi="Calibri" w:cs="Helvetica"/>
          <w:color w:val="000000"/>
          <w:szCs w:val="20"/>
          <w:lang w:val="en-US"/>
        </w:rPr>
        <w:t xml:space="preserve"> Furthermore, “breast cancer is expected to contribute more years of life lost (40,800) (YLL) than years of health</w:t>
      </w:r>
      <w:r w:rsidR="00F92613">
        <w:rPr>
          <w:rFonts w:ascii="Calibri" w:hAnsi="Calibri" w:cs="Helvetica"/>
          <w:color w:val="000000"/>
          <w:szCs w:val="20"/>
          <w:lang w:val="en-US"/>
        </w:rPr>
        <w:t>y</w:t>
      </w:r>
      <w:r w:rsidR="003A6FF2">
        <w:rPr>
          <w:rFonts w:ascii="Calibri" w:hAnsi="Calibri" w:cs="Helvetica"/>
          <w:color w:val="000000"/>
          <w:szCs w:val="20"/>
          <w:lang w:val="en-US"/>
        </w:rPr>
        <w:t xml:space="preserve"> life lost disability (20,500) (YLD)” (AIHW).</w:t>
      </w:r>
      <w:r w:rsidR="00F92613">
        <w:rPr>
          <w:rFonts w:ascii="Calibri" w:hAnsi="Calibri" w:cs="Helvetica"/>
          <w:color w:val="000000"/>
          <w:szCs w:val="20"/>
          <w:lang w:val="en-US"/>
        </w:rPr>
        <w:t xml:space="preserve"> </w:t>
      </w:r>
    </w:p>
    <w:p w14:paraId="76E5D345" w14:textId="77777777" w:rsidR="003A6FF2" w:rsidRDefault="003A6FF2" w:rsidP="00B3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p>
    <w:p w14:paraId="26220E1D" w14:textId="25333232" w:rsidR="003A6FF2" w:rsidRDefault="003A6FF2" w:rsidP="00F92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Pr>
          <w:rFonts w:ascii="Calibri" w:hAnsi="Calibri" w:cs="Helvetica"/>
          <w:color w:val="000000"/>
          <w:szCs w:val="20"/>
          <w:lang w:val="en-US"/>
        </w:rPr>
        <w:t xml:space="preserve">Breast cancer causes a significant amount of </w:t>
      </w:r>
      <w:r w:rsidR="00833D24">
        <w:rPr>
          <w:rFonts w:ascii="Calibri" w:hAnsi="Calibri" w:cs="Helvetica"/>
          <w:color w:val="000000"/>
          <w:szCs w:val="20"/>
          <w:lang w:val="en-US"/>
        </w:rPr>
        <w:t>patient admissions for</w:t>
      </w:r>
      <w:r>
        <w:rPr>
          <w:rFonts w:ascii="Calibri" w:hAnsi="Calibri" w:cs="Helvetica"/>
          <w:color w:val="000000"/>
          <w:szCs w:val="20"/>
          <w:lang w:val="en-US"/>
        </w:rPr>
        <w:t xml:space="preserve"> women, specifically 113,000 in 2009-10, 85% of which were same-day, 56% were in females aged 50-69, 62% were in private </w:t>
      </w:r>
      <w:proofErr w:type="spellStart"/>
      <w:r>
        <w:rPr>
          <w:rFonts w:ascii="Calibri" w:hAnsi="Calibri" w:cs="Helvetica"/>
          <w:color w:val="000000"/>
          <w:szCs w:val="20"/>
          <w:lang w:val="en-US"/>
        </w:rPr>
        <w:t>hospitalisations</w:t>
      </w:r>
      <w:proofErr w:type="spellEnd"/>
      <w:r>
        <w:rPr>
          <w:rFonts w:ascii="Calibri" w:hAnsi="Calibri" w:cs="Helvetica"/>
          <w:color w:val="000000"/>
          <w:szCs w:val="20"/>
          <w:lang w:val="en-US"/>
        </w:rPr>
        <w:t>, 75% involved a surgical procedure and 91% involved administration of pharmacotherapy (AIHW).</w:t>
      </w:r>
      <w:r w:rsidR="00F92613">
        <w:rPr>
          <w:rFonts w:ascii="Calibri" w:hAnsi="Calibri" w:cs="Helvetica"/>
          <w:color w:val="000000"/>
          <w:szCs w:val="20"/>
          <w:lang w:val="en-US"/>
        </w:rPr>
        <w:t xml:space="preserve"> However the AIHW does note that </w:t>
      </w:r>
      <w:proofErr w:type="spellStart"/>
      <w:r w:rsidR="00F92613">
        <w:rPr>
          <w:rFonts w:ascii="Calibri" w:hAnsi="Calibri" w:cs="Helvetica"/>
          <w:color w:val="000000"/>
          <w:szCs w:val="20"/>
          <w:lang w:val="en-US"/>
        </w:rPr>
        <w:t>hospitalisations</w:t>
      </w:r>
      <w:proofErr w:type="spellEnd"/>
      <w:r w:rsidR="00F92613">
        <w:rPr>
          <w:rFonts w:ascii="Calibri" w:hAnsi="Calibri" w:cs="Helvetica"/>
          <w:color w:val="000000"/>
          <w:szCs w:val="20"/>
          <w:lang w:val="en-US"/>
        </w:rPr>
        <w:t xml:space="preserve"> involving same-day chemotherapy administration for breast cancer patients, who were coded with breast cancer as an additional diag</w:t>
      </w:r>
      <w:r w:rsidR="007217F4">
        <w:rPr>
          <w:rFonts w:ascii="Calibri" w:hAnsi="Calibri" w:cs="Helvetica"/>
          <w:color w:val="000000"/>
          <w:szCs w:val="20"/>
          <w:lang w:val="en-US"/>
        </w:rPr>
        <w:t>nosis, are not included in these numbers which likely represent a minimum (AIHW).</w:t>
      </w:r>
    </w:p>
    <w:p w14:paraId="37BAE596" w14:textId="77777777" w:rsidR="007217F4" w:rsidRDefault="007217F4" w:rsidP="00F92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p>
    <w:p w14:paraId="0384392B" w14:textId="41A41EAA" w:rsidR="003A6FF2" w:rsidRDefault="003A6FF2" w:rsidP="00B3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360"/>
        <w:rPr>
          <w:rFonts w:ascii="Calibri" w:hAnsi="Calibri" w:cs="Helvetica"/>
          <w:color w:val="000000"/>
          <w:szCs w:val="20"/>
          <w:lang w:val="en-US"/>
        </w:rPr>
      </w:pPr>
      <w:r>
        <w:rPr>
          <w:rFonts w:ascii="Calibri" w:hAnsi="Calibri" w:cs="Helvetica"/>
          <w:color w:val="000000"/>
          <w:szCs w:val="20"/>
          <w:lang w:val="en-US"/>
        </w:rPr>
        <w:t xml:space="preserve">This </w:t>
      </w:r>
      <w:proofErr w:type="gramStart"/>
      <w:r>
        <w:rPr>
          <w:rFonts w:ascii="Calibri" w:hAnsi="Calibri" w:cs="Helvetica"/>
          <w:color w:val="000000"/>
          <w:szCs w:val="20"/>
          <w:lang w:val="en-US"/>
        </w:rPr>
        <w:t>results</w:t>
      </w:r>
      <w:proofErr w:type="gramEnd"/>
      <w:r>
        <w:rPr>
          <w:rFonts w:ascii="Calibri" w:hAnsi="Calibri" w:cs="Helvetica"/>
          <w:color w:val="000000"/>
          <w:szCs w:val="20"/>
          <w:lang w:val="en-US"/>
        </w:rPr>
        <w:t xml:space="preserve"> in a high level of financial expenditure</w:t>
      </w:r>
      <w:r w:rsidR="00D55E2C">
        <w:rPr>
          <w:rFonts w:ascii="Calibri" w:hAnsi="Calibri" w:cs="Helvetica"/>
          <w:color w:val="000000"/>
          <w:szCs w:val="20"/>
          <w:lang w:val="en-US"/>
        </w:rPr>
        <w:t>, in the 2004-05 financial year, the total health expenditure on breast cancer for females was estimated to be $331 million, 16% of which was used for prescription pharmaceuticals (AIHW).</w:t>
      </w:r>
    </w:p>
    <w:p w14:paraId="2CF4CEAD" w14:textId="0760989F" w:rsidR="002A6753" w:rsidRPr="00154B00" w:rsidRDefault="002A6753" w:rsidP="00E357B9">
      <w:pPr>
        <w:ind w:left="426"/>
        <w:rPr>
          <w:szCs w:val="20"/>
        </w:rPr>
      </w:pPr>
    </w:p>
    <w:p w14:paraId="46A9A082"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47F7703" w14:textId="0787D044" w:rsidR="008302BD" w:rsidRDefault="008302BD" w:rsidP="007B2AB9">
      <w:pPr>
        <w:spacing w:before="0" w:after="0"/>
        <w:ind w:left="360"/>
        <w:rPr>
          <w:rFonts w:ascii="Calibri" w:eastAsia="Times New Roman" w:hAnsi="Calibri" w:cs="Times New Roman"/>
          <w:szCs w:val="20"/>
        </w:rPr>
      </w:pPr>
      <w:r>
        <w:rPr>
          <w:rFonts w:ascii="Calibri" w:eastAsia="Times New Roman" w:hAnsi="Calibri" w:cs="Times New Roman"/>
          <w:szCs w:val="20"/>
        </w:rPr>
        <w:t>In</w:t>
      </w:r>
      <w:r w:rsidRPr="008302BD">
        <w:rPr>
          <w:rFonts w:ascii="Calibri" w:eastAsia="Times New Roman" w:hAnsi="Calibri" w:cs="Times New Roman"/>
          <w:szCs w:val="20"/>
        </w:rPr>
        <w:t xml:space="preserve"> Australia there were 12,567 new cases of breast cancer in 2007, and it is estimated that this will increase to approximately 14,818 cases in 2011 and 15,409 cases by 2015 (Cancer Australia 2011). Based on data from the NSW Central Cancer Registry between 2004 and 2008, 51.2% of patients have localised disease at the time of diagnosis, while 36.5% have advanced disease with regional lymph node involvement, 5.4% have distant metastases, and the extent of disease in 6.9% is unknown (New South Wales Central Cancer Registry 2010). It is estimated that 60% of the women with regional lymph node involvement will have involvement in 0 to 3 nodes (</w:t>
      </w:r>
      <w:proofErr w:type="spellStart"/>
      <w:r w:rsidRPr="008302BD">
        <w:rPr>
          <w:rFonts w:ascii="Calibri" w:eastAsia="Times New Roman" w:hAnsi="Calibri" w:cs="Times New Roman"/>
          <w:szCs w:val="20"/>
        </w:rPr>
        <w:t>Albain</w:t>
      </w:r>
      <w:proofErr w:type="spellEnd"/>
      <w:r w:rsidRPr="008302BD">
        <w:rPr>
          <w:rFonts w:ascii="Calibri" w:eastAsia="Times New Roman" w:hAnsi="Calibri" w:cs="Times New Roman"/>
          <w:szCs w:val="20"/>
        </w:rPr>
        <w:t xml:space="preserve"> et al. 2010). Thus, approximately 70% of patients have breast cancer with either no lymph node involvement (50%) or 1-3 lymph nodes involved (60% of 36.5%). Based on the predicted incidence of breast cancer in 2011 this equates to approximately </w:t>
      </w:r>
      <w:r w:rsidRPr="008302BD">
        <w:rPr>
          <w:rFonts w:ascii="Calibri" w:eastAsia="Times New Roman" w:hAnsi="Calibri" w:cs="Times New Roman"/>
          <w:szCs w:val="20"/>
        </w:rPr>
        <w:lastRenderedPageBreak/>
        <w:t>10,372 per annum (14,818×0.70). It is estimated</w:t>
      </w:r>
      <w:r w:rsidR="00833D24">
        <w:rPr>
          <w:rFonts w:ascii="Calibri" w:eastAsia="Times New Roman" w:hAnsi="Calibri" w:cs="Times New Roman"/>
          <w:szCs w:val="20"/>
        </w:rPr>
        <w:t xml:space="preserve"> </w:t>
      </w:r>
      <w:r w:rsidRPr="008302BD">
        <w:rPr>
          <w:rFonts w:ascii="Calibri" w:eastAsia="Times New Roman" w:hAnsi="Calibri" w:cs="Times New Roman"/>
          <w:szCs w:val="20"/>
        </w:rPr>
        <w:t xml:space="preserve">that approximately </w:t>
      </w:r>
      <w:r w:rsidR="00833D24">
        <w:rPr>
          <w:rFonts w:ascii="Calibri" w:eastAsia="Times New Roman" w:hAnsi="Calibri" w:cs="Times New Roman"/>
          <w:szCs w:val="20"/>
        </w:rPr>
        <w:t>one third</w:t>
      </w:r>
      <w:r w:rsidRPr="008302BD">
        <w:rPr>
          <w:rFonts w:ascii="Calibri" w:eastAsia="Times New Roman" w:hAnsi="Calibri" w:cs="Times New Roman"/>
          <w:szCs w:val="20"/>
        </w:rPr>
        <w:t xml:space="preserve"> of these patients would be potentially eligible for </w:t>
      </w:r>
      <w:proofErr w:type="spellStart"/>
      <w:r w:rsidRPr="008302BD">
        <w:rPr>
          <w:rFonts w:ascii="Calibri" w:eastAsia="Times New Roman" w:hAnsi="Calibri" w:cs="Times New Roman"/>
          <w:szCs w:val="20"/>
        </w:rPr>
        <w:t>MammaPrint</w:t>
      </w:r>
      <w:proofErr w:type="spellEnd"/>
      <w:r w:rsidRPr="008302BD">
        <w:rPr>
          <w:rFonts w:ascii="Calibri" w:eastAsia="Times New Roman" w:hAnsi="Calibri" w:cs="Times New Roman"/>
          <w:szCs w:val="20"/>
        </w:rPr>
        <w:t xml:space="preserve"> testing based on </w:t>
      </w:r>
      <w:r w:rsidR="00833D24">
        <w:rPr>
          <w:rFonts w:ascii="Calibri" w:eastAsia="Times New Roman" w:hAnsi="Calibri" w:cs="Times New Roman"/>
          <w:szCs w:val="20"/>
        </w:rPr>
        <w:t>having ER+ positivity, HER2 negativity, 0-3 nodes involved and also</w:t>
      </w:r>
      <w:r w:rsidRPr="008302BD">
        <w:rPr>
          <w:rFonts w:ascii="Calibri" w:eastAsia="Times New Roman" w:hAnsi="Calibri" w:cs="Times New Roman"/>
          <w:szCs w:val="20"/>
        </w:rPr>
        <w:t xml:space="preserve"> be considered candidates for chemotherapy. Other reasons patients may not receive the test include patient/physician preference and contraindications or intolerance to chemotherapy. Patients are only tested if oncologists </w:t>
      </w:r>
      <w:r w:rsidR="00833D24">
        <w:rPr>
          <w:rFonts w:ascii="Calibri" w:eastAsia="Times New Roman" w:hAnsi="Calibri" w:cs="Times New Roman"/>
          <w:szCs w:val="20"/>
        </w:rPr>
        <w:t>are</w:t>
      </w:r>
      <w:r w:rsidRPr="008302BD">
        <w:rPr>
          <w:rFonts w:ascii="Calibri" w:eastAsia="Times New Roman" w:hAnsi="Calibri" w:cs="Times New Roman"/>
          <w:szCs w:val="20"/>
        </w:rPr>
        <w:t xml:space="preserve"> in doubt regarding the value of chemotherapy in their specific situation. The </w:t>
      </w:r>
      <w:proofErr w:type="spellStart"/>
      <w:r w:rsidRPr="008302BD">
        <w:rPr>
          <w:rFonts w:ascii="Calibri" w:eastAsia="Times New Roman" w:hAnsi="Calibri" w:cs="Times New Roman"/>
          <w:szCs w:val="20"/>
        </w:rPr>
        <w:t>MammaPrint</w:t>
      </w:r>
      <w:proofErr w:type="spellEnd"/>
      <w:r w:rsidR="00082D85">
        <w:rPr>
          <w:rFonts w:ascii="Calibri" w:eastAsia="Times New Roman" w:hAnsi="Calibri" w:cs="Times New Roman"/>
          <w:szCs w:val="20"/>
        </w:rPr>
        <w:sym w:font="Symbol" w:char="F0D2"/>
      </w:r>
      <w:r w:rsidRPr="008302BD">
        <w:rPr>
          <w:rFonts w:ascii="Calibri" w:eastAsia="Times New Roman" w:hAnsi="Calibri" w:cs="Times New Roman"/>
          <w:szCs w:val="20"/>
        </w:rPr>
        <w:t xml:space="preserve"> test will only be required once per new primary breast cancer diagnosis for patients who are eligible. </w:t>
      </w:r>
    </w:p>
    <w:p w14:paraId="384821AD" w14:textId="77777777" w:rsidR="003A6FF2" w:rsidRDefault="003A6FF2" w:rsidP="007B2AB9">
      <w:pPr>
        <w:spacing w:before="0" w:after="0"/>
        <w:ind w:left="360"/>
        <w:rPr>
          <w:rFonts w:ascii="Calibri" w:eastAsia="Times New Roman" w:hAnsi="Calibri" w:cs="Times New Roman"/>
          <w:szCs w:val="20"/>
        </w:rPr>
      </w:pPr>
    </w:p>
    <w:p w14:paraId="4EF8EFA4" w14:textId="716FAB3E" w:rsidR="007217F4" w:rsidRPr="000F2738" w:rsidRDefault="008A37D0" w:rsidP="000F2738">
      <w:pPr>
        <w:spacing w:before="0" w:after="0"/>
        <w:ind w:left="360"/>
        <w:rPr>
          <w:rFonts w:ascii="Calibri" w:eastAsia="Times New Roman" w:hAnsi="Calibri" w:cs="Times New Roman"/>
          <w:szCs w:val="20"/>
        </w:rPr>
      </w:pPr>
      <w:r>
        <w:rPr>
          <w:rFonts w:ascii="Calibri" w:eastAsia="Times New Roman" w:hAnsi="Calibri" w:cs="Times New Roman"/>
          <w:noProof/>
          <w:szCs w:val="20"/>
          <w:lang w:eastAsia="en-AU"/>
        </w:rPr>
        <w:drawing>
          <wp:anchor distT="0" distB="0" distL="114300" distR="114300" simplePos="0" relativeHeight="251658240" behindDoc="0" locked="0" layoutInCell="1" allowOverlap="1" wp14:anchorId="63900F3C" wp14:editId="3CFFFFB6">
            <wp:simplePos x="0" y="0"/>
            <wp:positionH relativeFrom="column">
              <wp:posOffset>-59690</wp:posOffset>
            </wp:positionH>
            <wp:positionV relativeFrom="paragraph">
              <wp:posOffset>696595</wp:posOffset>
            </wp:positionV>
            <wp:extent cx="5730240" cy="7030720"/>
            <wp:effectExtent l="0" t="0" r="3810" b="0"/>
            <wp:wrapTopAndBottom/>
            <wp:docPr id="2" name="Picture 2" descr="Table 1.  TNM staging of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9-11%20at%204.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703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F4">
        <w:rPr>
          <w:rFonts w:ascii="Calibri" w:eastAsia="Times New Roman" w:hAnsi="Calibri" w:cs="Times New Roman"/>
          <w:szCs w:val="20"/>
        </w:rPr>
        <w:t>With this in mind</w:t>
      </w:r>
      <w:r w:rsidR="00D55E2C">
        <w:rPr>
          <w:rFonts w:ascii="Calibri" w:eastAsia="Times New Roman" w:hAnsi="Calibri" w:cs="Times New Roman"/>
          <w:szCs w:val="20"/>
        </w:rPr>
        <w:t>, patients who have an early stage breast cancer (stages I-II), invasive tumour size up to 50mm, node negative or up to 3 positive nodes, ER positive and HER2 negati</w:t>
      </w:r>
      <w:r w:rsidR="000F2738">
        <w:rPr>
          <w:rFonts w:ascii="Calibri" w:eastAsia="Times New Roman" w:hAnsi="Calibri" w:cs="Times New Roman"/>
          <w:szCs w:val="20"/>
        </w:rPr>
        <w:t>ve will be eligible for the 70 gene test,</w:t>
      </w:r>
      <w:r w:rsidR="00D55E2C">
        <w:rPr>
          <w:rFonts w:ascii="Calibri" w:eastAsia="Times New Roman" w:hAnsi="Calibri" w:cs="Times New Roman"/>
          <w:szCs w:val="20"/>
        </w:rPr>
        <w:t xml:space="preserve"> provided they are candidates for chemotherapy.</w:t>
      </w:r>
      <w:r w:rsidR="000F2738">
        <w:rPr>
          <w:rFonts w:ascii="Calibri" w:eastAsia="Times New Roman" w:hAnsi="Calibri" w:cs="Times New Roman"/>
          <w:szCs w:val="20"/>
        </w:rPr>
        <w:t xml:space="preserve"> Referrals will be made by either surgical oncologists or medical oncologists.</w:t>
      </w:r>
    </w:p>
    <w:p w14:paraId="59059B7C" w14:textId="2F14A0F6" w:rsidR="00AA5FDA" w:rsidRPr="007217F4" w:rsidRDefault="008A37D0" w:rsidP="007217F4">
      <w:pPr>
        <w:spacing w:before="0" w:after="0"/>
        <w:ind w:left="360"/>
        <w:rPr>
          <w:rFonts w:ascii="Calibri" w:eastAsia="Times New Roman" w:hAnsi="Calibri" w:cs="Times New Roman"/>
          <w:szCs w:val="20"/>
        </w:rPr>
      </w:pPr>
      <w:r>
        <w:rPr>
          <w:rFonts w:ascii="Calibri" w:eastAsia="Times New Roman" w:hAnsi="Calibri" w:cs="Times New Roman"/>
          <w:noProof/>
          <w:szCs w:val="20"/>
          <w:lang w:eastAsia="en-AU"/>
        </w:rPr>
        <w:lastRenderedPageBreak/>
        <w:drawing>
          <wp:anchor distT="0" distB="0" distL="114300" distR="114300" simplePos="0" relativeHeight="251662336" behindDoc="0" locked="0" layoutInCell="1" allowOverlap="1" wp14:anchorId="4C9FE73E" wp14:editId="2903892D">
            <wp:simplePos x="0" y="0"/>
            <wp:positionH relativeFrom="column">
              <wp:posOffset>50800</wp:posOffset>
            </wp:positionH>
            <wp:positionV relativeFrom="paragraph">
              <wp:posOffset>2540</wp:posOffset>
            </wp:positionV>
            <wp:extent cx="5654040" cy="7598410"/>
            <wp:effectExtent l="0" t="0" r="3810" b="2540"/>
            <wp:wrapTopAndBottom/>
            <wp:docPr id="10" name="Picture 10" descr="Table 2 American Joint Committee on Breast Cancer TNM stage grou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09-12%20at%2010.2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4040" cy="759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AC561" w14:textId="77777777" w:rsidR="0018630F" w:rsidRPr="002A0928" w:rsidRDefault="0018630F" w:rsidP="00530204">
      <w:pPr>
        <w:pStyle w:val="Heading2"/>
        <w:rPr>
          <w:rFonts w:ascii="Calibri" w:hAnsi="Calibri"/>
        </w:rPr>
      </w:pPr>
      <w:r w:rsidRPr="002A0928">
        <w:rPr>
          <w:rFonts w:ascii="Calibri" w:hAnsi="Calibri"/>
        </w:rPr>
        <w:t xml:space="preserve">Define and summarise the current clinical management pathway </w:t>
      </w:r>
      <w:r w:rsidRPr="002A0928">
        <w:rPr>
          <w:rFonts w:ascii="Calibri" w:hAnsi="Calibri"/>
          <w:i/>
        </w:rPr>
        <w:t>before</w:t>
      </w:r>
      <w:r w:rsidRPr="002A0928">
        <w:rPr>
          <w:rFonts w:ascii="Calibri" w:hAnsi="Calibri"/>
        </w:rPr>
        <w:t xml:space="preserve"> patients would be eligible for the proposed medical service (supplement this summary with </w:t>
      </w:r>
      <w:r w:rsidR="00F33F1A" w:rsidRPr="002A0928">
        <w:rPr>
          <w:rFonts w:ascii="Calibri" w:hAnsi="Calibri"/>
        </w:rPr>
        <w:t xml:space="preserve">an easy to follow flowchart </w:t>
      </w:r>
      <w:r w:rsidR="00DF0C51" w:rsidRPr="002A0928">
        <w:rPr>
          <w:rFonts w:ascii="Calibri" w:hAnsi="Calibri"/>
        </w:rPr>
        <w:t xml:space="preserve">[as an attachment to the Application Form] </w:t>
      </w:r>
      <w:r w:rsidR="00F33F1A" w:rsidRPr="002A0928">
        <w:rPr>
          <w:rFonts w:ascii="Calibri" w:hAnsi="Calibri"/>
        </w:rPr>
        <w:t>dep</w:t>
      </w:r>
      <w:r w:rsidRPr="002A0928">
        <w:rPr>
          <w:rFonts w:ascii="Calibri" w:hAnsi="Calibri"/>
        </w:rPr>
        <w:t>icting the current clinical manag</w:t>
      </w:r>
      <w:r w:rsidR="00197D29" w:rsidRPr="002A0928">
        <w:rPr>
          <w:rFonts w:ascii="Calibri" w:hAnsi="Calibri"/>
        </w:rPr>
        <w:t>ement pathway up to this point):</w:t>
      </w:r>
    </w:p>
    <w:p w14:paraId="4EE2F234" w14:textId="7238F275" w:rsidR="002A0928" w:rsidRPr="00082D85" w:rsidRDefault="002A0928" w:rsidP="007336F3">
      <w:pPr>
        <w:spacing w:before="0" w:after="0"/>
        <w:ind w:left="360"/>
        <w:rPr>
          <w:rFonts w:ascii="Calibri" w:eastAsia="Times New Roman" w:hAnsi="Calibri" w:cs="Times New Roman"/>
          <w:szCs w:val="20"/>
        </w:rPr>
      </w:pPr>
      <w:r w:rsidRPr="002A0928">
        <w:rPr>
          <w:rFonts w:ascii="Calibri" w:eastAsia="Times New Roman" w:hAnsi="Calibri" w:cs="Times New Roman"/>
          <w:szCs w:val="20"/>
        </w:rPr>
        <w:t xml:space="preserve">Surgery is usually considered as the first treatment option for primary breast cancer. For patients who present with tumours that are considered too large for breast conservation surgery, guidelines </w:t>
      </w:r>
      <w:r w:rsidRPr="002A0928">
        <w:rPr>
          <w:rFonts w:ascii="Calibri" w:eastAsia="Times New Roman" w:hAnsi="Calibri" w:cs="Times New Roman"/>
          <w:szCs w:val="20"/>
        </w:rPr>
        <w:lastRenderedPageBreak/>
        <w:t>recommend that primary systemic therapy (</w:t>
      </w:r>
      <w:proofErr w:type="spellStart"/>
      <w:r w:rsidRPr="002A0928">
        <w:rPr>
          <w:rFonts w:ascii="Calibri" w:eastAsia="Times New Roman" w:hAnsi="Calibri" w:cs="Times New Roman"/>
          <w:szCs w:val="20"/>
        </w:rPr>
        <w:t>neoadjuvant</w:t>
      </w:r>
      <w:proofErr w:type="spellEnd"/>
      <w:r w:rsidRPr="002A0928">
        <w:rPr>
          <w:rFonts w:ascii="Calibri" w:eastAsia="Times New Roman" w:hAnsi="Calibri" w:cs="Times New Roman"/>
          <w:szCs w:val="20"/>
        </w:rPr>
        <w:t xml:space="preserve"> therapy) may be used in an attempt to shrink the size of the primary tumour to enable breast conserving treatment and surgery. In addition</w:t>
      </w:r>
      <w:r w:rsidRPr="00082D85">
        <w:rPr>
          <w:rFonts w:ascii="Calibri" w:eastAsia="Times New Roman" w:hAnsi="Calibri" w:cs="Times New Roman"/>
          <w:szCs w:val="20"/>
        </w:rPr>
        <w:t>,</w:t>
      </w:r>
      <w:r w:rsidRPr="002A0928">
        <w:rPr>
          <w:rFonts w:ascii="Calibri" w:eastAsia="Times New Roman" w:hAnsi="Calibri" w:cs="Times New Roman"/>
          <w:szCs w:val="20"/>
        </w:rPr>
        <w:t xml:space="preserve"> some patients are considered unfit for surgery, </w:t>
      </w:r>
      <w:r w:rsidR="002569B9">
        <w:rPr>
          <w:rFonts w:ascii="Calibri" w:eastAsia="Times New Roman" w:hAnsi="Calibri" w:cs="Times New Roman"/>
          <w:szCs w:val="20"/>
        </w:rPr>
        <w:t xml:space="preserve">and often </w:t>
      </w:r>
      <w:r w:rsidRPr="002A0928">
        <w:rPr>
          <w:rFonts w:ascii="Calibri" w:eastAsia="Times New Roman" w:hAnsi="Calibri" w:cs="Times New Roman"/>
          <w:szCs w:val="20"/>
        </w:rPr>
        <w:t>these patients are elderly</w:t>
      </w:r>
      <w:r w:rsidRPr="00082D85">
        <w:rPr>
          <w:rFonts w:ascii="Calibri" w:eastAsia="Times New Roman" w:hAnsi="Calibri" w:cs="Times New Roman"/>
          <w:szCs w:val="20"/>
        </w:rPr>
        <w:t>.</w:t>
      </w:r>
    </w:p>
    <w:p w14:paraId="7372982B" w14:textId="77777777" w:rsidR="002A0928" w:rsidRPr="00082D85" w:rsidRDefault="002A0928" w:rsidP="002A0928">
      <w:pPr>
        <w:spacing w:before="0" w:after="0"/>
        <w:rPr>
          <w:rFonts w:ascii="Calibri" w:eastAsia="Times New Roman" w:hAnsi="Calibri" w:cs="Times New Roman"/>
          <w:szCs w:val="20"/>
        </w:rPr>
      </w:pPr>
    </w:p>
    <w:p w14:paraId="0E449D50" w14:textId="3C6AABD9" w:rsidR="002A0928" w:rsidRPr="00082D85" w:rsidRDefault="002569B9" w:rsidP="007B2AB9">
      <w:pPr>
        <w:spacing w:before="0" w:after="0"/>
        <w:ind w:left="360"/>
        <w:rPr>
          <w:rFonts w:ascii="Calibri" w:eastAsia="Times New Roman" w:hAnsi="Calibri" w:cs="Times New Roman"/>
          <w:szCs w:val="20"/>
        </w:rPr>
      </w:pPr>
      <w:r>
        <w:rPr>
          <w:rFonts w:ascii="Calibri" w:eastAsia="Times New Roman" w:hAnsi="Calibri" w:cs="Times New Roman"/>
          <w:szCs w:val="20"/>
        </w:rPr>
        <w:t>A</w:t>
      </w:r>
      <w:r w:rsidR="002A0928" w:rsidRPr="00082D85">
        <w:rPr>
          <w:rFonts w:ascii="Calibri" w:eastAsia="Times New Roman" w:hAnsi="Calibri" w:cs="Times New Roman"/>
          <w:szCs w:val="20"/>
        </w:rPr>
        <w:t xml:space="preserve"> core biopsy is performed by the </w:t>
      </w:r>
      <w:r>
        <w:rPr>
          <w:rFonts w:ascii="Calibri" w:eastAsia="Times New Roman" w:hAnsi="Calibri" w:cs="Times New Roman"/>
          <w:szCs w:val="20"/>
        </w:rPr>
        <w:t xml:space="preserve">radiologist or </w:t>
      </w:r>
      <w:r w:rsidR="002A0928" w:rsidRPr="00082D85">
        <w:rPr>
          <w:rFonts w:ascii="Calibri" w:eastAsia="Times New Roman" w:hAnsi="Calibri" w:cs="Times New Roman"/>
          <w:szCs w:val="20"/>
        </w:rPr>
        <w:t>s</w:t>
      </w:r>
      <w:r w:rsidR="00FC790E">
        <w:rPr>
          <w:rFonts w:ascii="Calibri" w:eastAsia="Times New Roman" w:hAnsi="Calibri" w:cs="Times New Roman"/>
          <w:szCs w:val="20"/>
        </w:rPr>
        <w:t xml:space="preserve">urgeon </w:t>
      </w:r>
      <w:r>
        <w:rPr>
          <w:rFonts w:ascii="Calibri" w:eastAsia="Times New Roman" w:hAnsi="Calibri" w:cs="Times New Roman"/>
          <w:szCs w:val="20"/>
        </w:rPr>
        <w:t xml:space="preserve">preoperatively, </w:t>
      </w:r>
      <w:r w:rsidR="00FC790E">
        <w:rPr>
          <w:rFonts w:ascii="Calibri" w:eastAsia="Times New Roman" w:hAnsi="Calibri" w:cs="Times New Roman"/>
          <w:szCs w:val="20"/>
        </w:rPr>
        <w:t>and sent to a laboratory, at which point an FFPE sample is prepared.</w:t>
      </w:r>
      <w:r w:rsidRPr="002569B9">
        <w:t xml:space="preserve"> </w:t>
      </w:r>
      <w:r w:rsidRPr="002569B9">
        <w:rPr>
          <w:rFonts w:ascii="Calibri" w:eastAsia="Times New Roman" w:hAnsi="Calibri" w:cs="Times New Roman"/>
          <w:szCs w:val="20"/>
        </w:rPr>
        <w:t xml:space="preserve">During surgery the tumour </w:t>
      </w:r>
      <w:r>
        <w:rPr>
          <w:rFonts w:ascii="Calibri" w:eastAsia="Times New Roman" w:hAnsi="Calibri" w:cs="Times New Roman"/>
          <w:szCs w:val="20"/>
        </w:rPr>
        <w:t>plus or minus</w:t>
      </w:r>
      <w:r w:rsidRPr="002569B9">
        <w:rPr>
          <w:rFonts w:ascii="Calibri" w:eastAsia="Times New Roman" w:hAnsi="Calibri" w:cs="Times New Roman"/>
          <w:szCs w:val="20"/>
        </w:rPr>
        <w:t xml:space="preserve"> axillary lymph nodes are dissected. The aim of surgery is to eradicate the primary tumour and any local extension in the hope of achieving total disease control (NHRMC Clinical practice guidelines for the management of early breast cancer, 2001).</w:t>
      </w:r>
    </w:p>
    <w:p w14:paraId="7953CAEB" w14:textId="77777777" w:rsidR="002A0928" w:rsidRPr="00082D85" w:rsidRDefault="002A0928" w:rsidP="002A0928">
      <w:pPr>
        <w:spacing w:before="0" w:after="0"/>
        <w:rPr>
          <w:rFonts w:ascii="Calibri" w:eastAsia="Times New Roman" w:hAnsi="Calibri" w:cs="Times New Roman"/>
          <w:szCs w:val="20"/>
        </w:rPr>
      </w:pPr>
    </w:p>
    <w:p w14:paraId="1E9C96CE" w14:textId="7E179545" w:rsidR="002A0928" w:rsidRDefault="002A0928" w:rsidP="007B2AB9">
      <w:pPr>
        <w:spacing w:before="0" w:after="0"/>
        <w:ind w:left="360"/>
        <w:rPr>
          <w:rFonts w:ascii="Calibri" w:eastAsia="Times New Roman" w:hAnsi="Calibri" w:cs="Times New Roman"/>
          <w:szCs w:val="20"/>
        </w:rPr>
      </w:pPr>
      <w:r w:rsidRPr="002A0928">
        <w:rPr>
          <w:rFonts w:ascii="Calibri" w:eastAsia="Times New Roman" w:hAnsi="Calibri" w:cs="Times New Roman"/>
          <w:szCs w:val="20"/>
        </w:rPr>
        <w:t>Histological information obtained following surgery</w:t>
      </w:r>
      <w:r w:rsidRPr="00082D85">
        <w:rPr>
          <w:rFonts w:ascii="Calibri" w:eastAsia="Times New Roman" w:hAnsi="Calibri" w:cs="Times New Roman"/>
          <w:szCs w:val="20"/>
        </w:rPr>
        <w:t xml:space="preserve"> by a pathologist then</w:t>
      </w:r>
      <w:r w:rsidRPr="002A0928">
        <w:rPr>
          <w:rFonts w:ascii="Calibri" w:eastAsia="Times New Roman" w:hAnsi="Calibri" w:cs="Times New Roman"/>
          <w:szCs w:val="20"/>
        </w:rPr>
        <w:t xml:space="preserve"> provides information relating to a number of prognostic factors including histological grade, nodal status, tumour size, hormone (ER and PR) receptor, HER-2 status and proliferation index (Ki67).</w:t>
      </w:r>
    </w:p>
    <w:p w14:paraId="78521302" w14:textId="3C1277EC" w:rsidR="00082D85" w:rsidRDefault="00082D85" w:rsidP="002A0928">
      <w:pPr>
        <w:spacing w:before="0" w:after="0"/>
        <w:rPr>
          <w:rFonts w:ascii="Calibri" w:eastAsia="Times New Roman" w:hAnsi="Calibri" w:cs="Times New Roman"/>
          <w:szCs w:val="20"/>
        </w:rPr>
      </w:pPr>
    </w:p>
    <w:p w14:paraId="6992F2A0" w14:textId="266E0C5C" w:rsidR="00A70A71" w:rsidRDefault="00082D85" w:rsidP="007B2AB9">
      <w:pPr>
        <w:spacing w:before="0" w:after="0"/>
        <w:ind w:left="357"/>
        <w:rPr>
          <w:rFonts w:ascii="Calibri" w:eastAsia="Times New Roman" w:hAnsi="Calibri" w:cs="Times New Roman"/>
          <w:szCs w:val="20"/>
        </w:rPr>
      </w:pPr>
      <w:r>
        <w:rPr>
          <w:rFonts w:ascii="Calibri" w:eastAsia="Times New Roman" w:hAnsi="Calibri" w:cs="Times New Roman"/>
          <w:szCs w:val="20"/>
        </w:rPr>
        <w:t xml:space="preserve">It is at this stage that the classification of the patient’s stage of illness takes place. </w:t>
      </w:r>
      <w:r w:rsidR="00A70A71">
        <w:rPr>
          <w:rFonts w:ascii="Calibri" w:eastAsia="Times New Roman" w:hAnsi="Calibri" w:cs="Times New Roman"/>
          <w:szCs w:val="20"/>
        </w:rPr>
        <w:t xml:space="preserve">Planning of treatment is undertaken with the above information considered, along with patient characteristics. </w:t>
      </w:r>
    </w:p>
    <w:p w14:paraId="6385FDFF" w14:textId="77777777" w:rsidR="00A70A71" w:rsidRDefault="00A70A71" w:rsidP="007B2AB9">
      <w:pPr>
        <w:spacing w:before="0" w:after="0"/>
        <w:ind w:left="357"/>
        <w:rPr>
          <w:rFonts w:ascii="Calibri" w:eastAsia="Times New Roman" w:hAnsi="Calibri" w:cs="Times New Roman"/>
          <w:szCs w:val="20"/>
        </w:rPr>
      </w:pPr>
    </w:p>
    <w:p w14:paraId="03FBD88A" w14:textId="7C2C2AD3" w:rsidR="0067615F" w:rsidRDefault="00082D85" w:rsidP="007B2AB9">
      <w:pPr>
        <w:spacing w:before="0" w:after="0"/>
        <w:ind w:left="357"/>
        <w:rPr>
          <w:rFonts w:ascii="Calibri" w:eastAsia="Times New Roman" w:hAnsi="Calibri" w:cs="Times New Roman"/>
          <w:color w:val="FF0000"/>
          <w:szCs w:val="20"/>
        </w:rPr>
      </w:pPr>
      <w:r>
        <w:rPr>
          <w:rFonts w:ascii="Calibri" w:eastAsia="Times New Roman" w:hAnsi="Calibri" w:cs="Times New Roman"/>
          <w:szCs w:val="20"/>
        </w:rPr>
        <w:t>For patients who fit the aforementioned</w:t>
      </w:r>
      <w:r w:rsidR="00D55E2C">
        <w:rPr>
          <w:rFonts w:ascii="Calibri" w:eastAsia="Times New Roman" w:hAnsi="Calibri" w:cs="Times New Roman"/>
          <w:szCs w:val="20"/>
        </w:rPr>
        <w:t xml:space="preserve"> criteria of an ER+, HER2-, primary stage I or </w:t>
      </w:r>
      <w:r>
        <w:rPr>
          <w:rFonts w:ascii="Calibri" w:eastAsia="Times New Roman" w:hAnsi="Calibri" w:cs="Times New Roman"/>
          <w:szCs w:val="20"/>
        </w:rPr>
        <w:t xml:space="preserve">II </w:t>
      </w:r>
      <w:r w:rsidR="00D55E2C">
        <w:rPr>
          <w:rFonts w:ascii="Calibri" w:eastAsia="Times New Roman" w:hAnsi="Calibri" w:cs="Times New Roman"/>
          <w:szCs w:val="20"/>
        </w:rPr>
        <w:t xml:space="preserve">tumour, </w:t>
      </w:r>
      <w:r>
        <w:rPr>
          <w:rFonts w:ascii="Calibri" w:eastAsia="Times New Roman" w:hAnsi="Calibri" w:cs="Times New Roman"/>
          <w:szCs w:val="20"/>
        </w:rPr>
        <w:t xml:space="preserve">size up to 50mm and 0-3 </w:t>
      </w:r>
      <w:r w:rsidR="002569B9">
        <w:rPr>
          <w:rFonts w:ascii="Calibri" w:eastAsia="Times New Roman" w:hAnsi="Calibri" w:cs="Times New Roman"/>
          <w:szCs w:val="20"/>
        </w:rPr>
        <w:t xml:space="preserve">lymph nodes involved, the </w:t>
      </w:r>
      <w:proofErr w:type="spellStart"/>
      <w:r w:rsidR="002569B9">
        <w:rPr>
          <w:rFonts w:ascii="Calibri" w:eastAsia="Times New Roman" w:hAnsi="Calibri" w:cs="Times New Roman"/>
          <w:szCs w:val="20"/>
        </w:rPr>
        <w:t>MammaP</w:t>
      </w:r>
      <w:r>
        <w:rPr>
          <w:rFonts w:ascii="Calibri" w:eastAsia="Times New Roman" w:hAnsi="Calibri" w:cs="Times New Roman"/>
          <w:szCs w:val="20"/>
        </w:rPr>
        <w:t>rint</w:t>
      </w:r>
      <w:proofErr w:type="spellEnd"/>
      <w:r>
        <w:rPr>
          <w:rFonts w:ascii="Calibri" w:eastAsia="Times New Roman" w:hAnsi="Calibri" w:cs="Times New Roman"/>
          <w:szCs w:val="20"/>
        </w:rPr>
        <w:t xml:space="preserve"> 70-gene signature can be utilised to provide additional information to the multidisciplinary team, primarily the medical oncologist, </w:t>
      </w:r>
      <w:r w:rsidR="00DD002E">
        <w:rPr>
          <w:rFonts w:ascii="Calibri" w:eastAsia="Times New Roman" w:hAnsi="Calibri" w:cs="Times New Roman"/>
          <w:szCs w:val="20"/>
        </w:rPr>
        <w:t>who will subsequently use these factors to de</w:t>
      </w:r>
      <w:r w:rsidR="00A70A71">
        <w:rPr>
          <w:rFonts w:ascii="Calibri" w:eastAsia="Times New Roman" w:hAnsi="Calibri" w:cs="Times New Roman"/>
          <w:szCs w:val="20"/>
        </w:rPr>
        <w:t>termine the course of treatment from this point onwards.</w:t>
      </w:r>
    </w:p>
    <w:p w14:paraId="21E54FE7" w14:textId="4573D744" w:rsidR="002A0928" w:rsidRPr="002A0928" w:rsidRDefault="00C70454" w:rsidP="002A0928">
      <w:pPr>
        <w:spacing w:before="0" w:after="0"/>
        <w:rPr>
          <w:rFonts w:ascii="Calibri" w:eastAsia="Times New Roman" w:hAnsi="Calibri" w:cs="Times New Roman"/>
          <w:szCs w:val="20"/>
        </w:rPr>
      </w:pPr>
      <w:r>
        <w:rPr>
          <w:noProof/>
          <w:lang w:eastAsia="en-AU"/>
        </w:rPr>
        <w:drawing>
          <wp:anchor distT="0" distB="0" distL="114300" distR="114300" simplePos="0" relativeHeight="251660288" behindDoc="0" locked="0" layoutInCell="1" allowOverlap="1" wp14:anchorId="53AA65BF" wp14:editId="6BEDF282">
            <wp:simplePos x="0" y="0"/>
            <wp:positionH relativeFrom="column">
              <wp:posOffset>-62230</wp:posOffset>
            </wp:positionH>
            <wp:positionV relativeFrom="paragraph">
              <wp:posOffset>196215</wp:posOffset>
            </wp:positionV>
            <wp:extent cx="5723890" cy="4429760"/>
            <wp:effectExtent l="0" t="0" r="0" b="8890"/>
            <wp:wrapTopAndBottom/>
            <wp:docPr id="3" name="Picture 3" descr="current clinical management pathway before patients would be eligible for the proposed medical service - refer to abov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pps/drawio/Untitled%20Diagra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3890" cy="442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33E29" w14:textId="251C6EB9" w:rsidR="00C375FF" w:rsidRPr="00BC424B" w:rsidRDefault="00C375FF" w:rsidP="00C375FF"/>
    <w:p w14:paraId="1E480EE4" w14:textId="77777777" w:rsidR="008A37D0" w:rsidRPr="008A37D0" w:rsidRDefault="008A37D0" w:rsidP="008A37D0"/>
    <w:p w14:paraId="58257F20" w14:textId="77777777" w:rsidR="0034266C" w:rsidRDefault="0034266C">
      <w:pPr>
        <w:spacing w:before="0" w:after="200" w:line="276" w:lineRule="auto"/>
        <w:rPr>
          <w:b/>
          <w:i/>
          <w:szCs w:val="20"/>
          <w:u w:val="single"/>
        </w:rPr>
      </w:pPr>
      <w:r>
        <w:br w:type="page"/>
      </w:r>
    </w:p>
    <w:p w14:paraId="5D11CCF2" w14:textId="5DCE8DDF" w:rsidR="002A50FD" w:rsidRPr="00881F93" w:rsidRDefault="005C3AE7" w:rsidP="005C3AE7">
      <w:pPr>
        <w:pStyle w:val="Subtitle"/>
      </w:pPr>
      <w:r>
        <w:lastRenderedPageBreak/>
        <w:t xml:space="preserve">PART 6b – </w:t>
      </w:r>
      <w:r w:rsidR="002A50FD" w:rsidRPr="00881F93">
        <w:t>INFORMATION ABOUT THE INTERVENTION</w:t>
      </w:r>
    </w:p>
    <w:p w14:paraId="0EF04226" w14:textId="6382DB48"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692677B" w14:textId="59FDB983" w:rsidR="00E420C3" w:rsidRPr="00E420C3" w:rsidRDefault="00E420C3" w:rsidP="00E357B9">
      <w:pPr>
        <w:ind w:left="426"/>
        <w:rPr>
          <w:i/>
        </w:rPr>
      </w:pPr>
      <w:r>
        <w:rPr>
          <w:i/>
        </w:rPr>
        <w:t>Clinical S</w:t>
      </w:r>
      <w:r w:rsidRPr="00E420C3">
        <w:rPr>
          <w:i/>
        </w:rPr>
        <w:t>tep 1: Identification and request</w:t>
      </w:r>
    </w:p>
    <w:p w14:paraId="3226644D" w14:textId="39FB66C5" w:rsidR="002A50FD" w:rsidRDefault="007B2AB9" w:rsidP="00E357B9">
      <w:pPr>
        <w:ind w:left="426"/>
      </w:pPr>
      <w:r>
        <w:t xml:space="preserve">The first step is to identify a patient who is eligible for the test using the established criteria discussed in the above sections. </w:t>
      </w:r>
      <w:r w:rsidR="00B765AD">
        <w:t>The information required for this identification is already part of standard clinical practice and is routinely provided to all professionals involved in the care of the patient. No extra investigation is required to identify an eligible patient.</w:t>
      </w:r>
    </w:p>
    <w:p w14:paraId="7A6A4F3F" w14:textId="4CF15D65" w:rsidR="00B765AD" w:rsidRDefault="007B2AB9" w:rsidP="00E357B9">
      <w:pPr>
        <w:ind w:left="426"/>
      </w:pPr>
      <w:r>
        <w:t xml:space="preserve">For </w:t>
      </w:r>
      <w:r w:rsidR="00B765AD">
        <w:t>elig</w:t>
      </w:r>
      <w:r w:rsidR="007336F3">
        <w:t>i</w:t>
      </w:r>
      <w:r w:rsidR="00B765AD">
        <w:t>ble</w:t>
      </w:r>
      <w:r>
        <w:t xml:space="preserve"> patients, a medical or surgical oncologist </w:t>
      </w:r>
      <w:r w:rsidR="00D02093">
        <w:t>will</w:t>
      </w:r>
      <w:r>
        <w:t xml:space="preserve"> complete an </w:t>
      </w:r>
      <w:proofErr w:type="spellStart"/>
      <w:r>
        <w:t>Agendia</w:t>
      </w:r>
      <w:proofErr w:type="spellEnd"/>
      <w:r>
        <w:t xml:space="preserve"> Test Request Form and fax or email it to Genome Investigation. Along with the establishment of the specific nature of the tumour, this is the only active role required of the treating doctor. </w:t>
      </w:r>
    </w:p>
    <w:p w14:paraId="7F49CF62" w14:textId="34155D52" w:rsidR="007B2AB9" w:rsidRPr="00B765AD" w:rsidRDefault="007B2AB9" w:rsidP="00E357B9">
      <w:pPr>
        <w:ind w:left="426"/>
        <w:rPr>
          <w:rFonts w:ascii="Calibri" w:hAnsi="Calibri"/>
          <w:szCs w:val="20"/>
        </w:rPr>
      </w:pPr>
      <w:r>
        <w:t xml:space="preserve">Upon receipt of this request, Genome Investigation </w:t>
      </w:r>
      <w:r w:rsidR="00D02093">
        <w:t xml:space="preserve">will </w:t>
      </w:r>
      <w:r>
        <w:t>then immediate</w:t>
      </w:r>
      <w:r w:rsidR="00D02093">
        <w:t>ly contact</w:t>
      </w:r>
      <w:r>
        <w:t xml:space="preserve"> the Aus</w:t>
      </w:r>
      <w:r w:rsidR="00D02093">
        <w:t>tralian pathology laboratory which</w:t>
      </w:r>
      <w:r>
        <w:t xml:space="preserve"> initially reported the presence of invasive breast cancer on either the invasive tumour </w:t>
      </w:r>
      <w:r w:rsidRPr="00B765AD">
        <w:rPr>
          <w:rFonts w:ascii="Calibri" w:hAnsi="Calibri"/>
          <w:szCs w:val="20"/>
        </w:rPr>
        <w:t xml:space="preserve">core biopsy or invasive tumour resection specimen. The pathology laboratory is then requested to send the designated sample (with a minimum of 30% of representative invasive cancer), via conventional priority </w:t>
      </w:r>
      <w:r w:rsidR="009F34B9">
        <w:rPr>
          <w:rFonts w:ascii="Calibri" w:hAnsi="Calibri"/>
          <w:szCs w:val="20"/>
        </w:rPr>
        <w:t xml:space="preserve">international </w:t>
      </w:r>
      <w:r w:rsidRPr="00B765AD">
        <w:rPr>
          <w:rFonts w:ascii="Calibri" w:hAnsi="Calibri"/>
          <w:szCs w:val="20"/>
        </w:rPr>
        <w:t xml:space="preserve">courier methods, either inside the </w:t>
      </w:r>
      <w:proofErr w:type="spellStart"/>
      <w:r w:rsidRPr="00B765AD">
        <w:rPr>
          <w:rFonts w:ascii="Calibri" w:hAnsi="Calibri"/>
          <w:szCs w:val="20"/>
        </w:rPr>
        <w:t>MammaPrint</w:t>
      </w:r>
      <w:proofErr w:type="spellEnd"/>
      <w:r w:rsidRPr="00B765AD">
        <w:rPr>
          <w:rFonts w:ascii="Calibri" w:hAnsi="Calibri"/>
          <w:szCs w:val="20"/>
        </w:rPr>
        <w:t xml:space="preserve"> Specimen Kit or in conve</w:t>
      </w:r>
      <w:r w:rsidR="009F34B9">
        <w:rPr>
          <w:rFonts w:ascii="Calibri" w:hAnsi="Calibri"/>
          <w:szCs w:val="20"/>
        </w:rPr>
        <w:t>ntional FFPE packaging material,</w:t>
      </w:r>
      <w:r w:rsidRPr="00B765AD">
        <w:rPr>
          <w:rFonts w:ascii="Calibri" w:hAnsi="Calibri"/>
          <w:szCs w:val="20"/>
        </w:rPr>
        <w:t xml:space="preserve"> for export processing prior to sending on to the </w:t>
      </w:r>
      <w:proofErr w:type="spellStart"/>
      <w:r w:rsidRPr="00B765AD">
        <w:rPr>
          <w:rFonts w:ascii="Calibri" w:hAnsi="Calibri"/>
          <w:szCs w:val="20"/>
        </w:rPr>
        <w:t>Agendia</w:t>
      </w:r>
      <w:proofErr w:type="spellEnd"/>
      <w:r w:rsidRPr="00B765AD">
        <w:rPr>
          <w:rFonts w:ascii="Calibri" w:hAnsi="Calibri"/>
          <w:szCs w:val="20"/>
        </w:rPr>
        <w:t xml:space="preserve"> laboratory in </w:t>
      </w:r>
      <w:r w:rsidR="009F34B9">
        <w:rPr>
          <w:rFonts w:ascii="Calibri" w:hAnsi="Calibri"/>
          <w:szCs w:val="20"/>
        </w:rPr>
        <w:t xml:space="preserve">Los Angeles, </w:t>
      </w:r>
      <w:r w:rsidRPr="00B765AD">
        <w:rPr>
          <w:rFonts w:ascii="Calibri" w:hAnsi="Calibri"/>
          <w:szCs w:val="20"/>
        </w:rPr>
        <w:t>California.</w:t>
      </w:r>
    </w:p>
    <w:p w14:paraId="430ECB83" w14:textId="32A9D57A" w:rsidR="00B765AD" w:rsidRDefault="00B765AD" w:rsidP="00B765AD">
      <w:pPr>
        <w:spacing w:before="0" w:after="0"/>
        <w:ind w:left="360"/>
        <w:rPr>
          <w:rFonts w:ascii="Calibri" w:eastAsia="Times New Roman" w:hAnsi="Calibri" w:cs="Times New Roman"/>
          <w:szCs w:val="20"/>
        </w:rPr>
      </w:pPr>
      <w:r w:rsidRPr="00B765AD">
        <w:rPr>
          <w:rFonts w:ascii="Calibri" w:eastAsia="Times New Roman" w:hAnsi="Calibri" w:cs="Times New Roman"/>
          <w:szCs w:val="20"/>
        </w:rPr>
        <w:t xml:space="preserve">The Australian pathology laboratory </w:t>
      </w:r>
      <w:r>
        <w:rPr>
          <w:rFonts w:ascii="Calibri" w:eastAsia="Times New Roman" w:hAnsi="Calibri" w:cs="Times New Roman"/>
          <w:szCs w:val="20"/>
        </w:rPr>
        <w:t>must prepare the specimen</w:t>
      </w:r>
      <w:r w:rsidRPr="00B765AD">
        <w:rPr>
          <w:rFonts w:ascii="Calibri" w:eastAsia="Times New Roman" w:hAnsi="Calibri" w:cs="Times New Roman"/>
          <w:szCs w:val="20"/>
        </w:rPr>
        <w:t xml:space="preserve"> using the appropriate instructions </w:t>
      </w:r>
      <w:r>
        <w:rPr>
          <w:rFonts w:ascii="Calibri" w:eastAsia="Times New Roman" w:hAnsi="Calibri" w:cs="Times New Roman"/>
          <w:szCs w:val="20"/>
        </w:rPr>
        <w:t>provided with</w:t>
      </w:r>
      <w:r w:rsidRPr="00B765AD">
        <w:rPr>
          <w:rFonts w:ascii="Calibri" w:eastAsia="Times New Roman" w:hAnsi="Calibri" w:cs="Times New Roman"/>
          <w:szCs w:val="20"/>
        </w:rPr>
        <w:t xml:space="preserve"> the </w:t>
      </w:r>
      <w:proofErr w:type="spellStart"/>
      <w:r w:rsidRPr="00B765AD">
        <w:rPr>
          <w:rFonts w:ascii="Calibri" w:eastAsia="Times New Roman" w:hAnsi="Calibri" w:cs="Times New Roman"/>
          <w:szCs w:val="20"/>
        </w:rPr>
        <w:t>MammaPrint</w:t>
      </w:r>
      <w:proofErr w:type="spellEnd"/>
      <w:r w:rsidRPr="00B765AD">
        <w:rPr>
          <w:rFonts w:ascii="Calibri" w:eastAsia="Times New Roman" w:hAnsi="Calibri" w:cs="Times New Roman"/>
          <w:szCs w:val="20"/>
        </w:rPr>
        <w:t xml:space="preserve"> Specimen Kit, consisting of 10 unstained slides each with (5 microns) section of tissue.</w:t>
      </w:r>
      <w:r>
        <w:rPr>
          <w:rFonts w:ascii="Calibri" w:eastAsia="Times New Roman" w:hAnsi="Calibri" w:cs="Times New Roman"/>
          <w:szCs w:val="20"/>
        </w:rPr>
        <w:t xml:space="preserve"> </w:t>
      </w:r>
      <w:r w:rsidRPr="00B765AD">
        <w:rPr>
          <w:rFonts w:ascii="Calibri" w:eastAsia="Times New Roman" w:hAnsi="Calibri" w:cs="Times New Roman"/>
          <w:szCs w:val="20"/>
        </w:rPr>
        <w:t>Each slide must be numbered labe</w:t>
      </w:r>
      <w:r w:rsidR="00BF6564">
        <w:rPr>
          <w:rFonts w:ascii="Calibri" w:eastAsia="Times New Roman" w:hAnsi="Calibri" w:cs="Times New Roman"/>
          <w:szCs w:val="20"/>
        </w:rPr>
        <w:t>l</w:t>
      </w:r>
      <w:r w:rsidRPr="00B765AD">
        <w:rPr>
          <w:rFonts w:ascii="Calibri" w:eastAsia="Times New Roman" w:hAnsi="Calibri" w:cs="Times New Roman"/>
          <w:szCs w:val="20"/>
        </w:rPr>
        <w:t xml:space="preserve">led with the </w:t>
      </w:r>
      <w:proofErr w:type="spellStart"/>
      <w:r w:rsidRPr="00B765AD">
        <w:rPr>
          <w:rFonts w:ascii="Calibri" w:eastAsia="Times New Roman" w:hAnsi="Calibri" w:cs="Times New Roman"/>
          <w:szCs w:val="20"/>
        </w:rPr>
        <w:t>Agendia</w:t>
      </w:r>
      <w:proofErr w:type="spellEnd"/>
      <w:r w:rsidRPr="00B765AD">
        <w:rPr>
          <w:rFonts w:ascii="Calibri" w:eastAsia="Times New Roman" w:hAnsi="Calibri" w:cs="Times New Roman"/>
          <w:szCs w:val="20"/>
        </w:rPr>
        <w:t xml:space="preserve"> specific patient code label. Charged (coated) slides are preferred. All specimens are labe</w:t>
      </w:r>
      <w:r w:rsidR="00BF6564">
        <w:rPr>
          <w:rFonts w:ascii="Calibri" w:eastAsia="Times New Roman" w:hAnsi="Calibri" w:cs="Times New Roman"/>
          <w:szCs w:val="20"/>
        </w:rPr>
        <w:t>l</w:t>
      </w:r>
      <w:r w:rsidRPr="00B765AD">
        <w:rPr>
          <w:rFonts w:ascii="Calibri" w:eastAsia="Times New Roman" w:hAnsi="Calibri" w:cs="Times New Roman"/>
          <w:szCs w:val="20"/>
        </w:rPr>
        <w:t xml:space="preserve">led with barcode labels which are also placed on the patient’s </w:t>
      </w:r>
      <w:proofErr w:type="spellStart"/>
      <w:r w:rsidRPr="00B765AD">
        <w:rPr>
          <w:rFonts w:ascii="Calibri" w:eastAsia="Times New Roman" w:hAnsi="Calibri" w:cs="Times New Roman"/>
          <w:szCs w:val="20"/>
        </w:rPr>
        <w:t>MammaPrint</w:t>
      </w:r>
      <w:proofErr w:type="spellEnd"/>
      <w:r w:rsidRPr="00B765AD">
        <w:rPr>
          <w:rFonts w:ascii="Calibri" w:eastAsia="Times New Roman" w:hAnsi="Calibri" w:cs="Times New Roman"/>
          <w:szCs w:val="20"/>
        </w:rPr>
        <w:t xml:space="preserve"> Test Request Form. An arrangement currently exists whereby </w:t>
      </w:r>
      <w:proofErr w:type="spellStart"/>
      <w:r w:rsidRPr="00B765AD">
        <w:rPr>
          <w:rFonts w:ascii="Calibri" w:eastAsia="Times New Roman" w:hAnsi="Calibri" w:cs="Times New Roman"/>
          <w:szCs w:val="20"/>
        </w:rPr>
        <w:t>Agendia</w:t>
      </w:r>
      <w:proofErr w:type="spellEnd"/>
      <w:r w:rsidRPr="00B765AD">
        <w:rPr>
          <w:rFonts w:ascii="Calibri" w:eastAsia="Times New Roman" w:hAnsi="Calibri" w:cs="Times New Roman"/>
          <w:szCs w:val="20"/>
        </w:rPr>
        <w:t xml:space="preserve"> pays a commercial-in-confidence administrative fee to Genome Investigation who then reimburses the Australian pathology company for any costs of sample preparation. </w:t>
      </w:r>
    </w:p>
    <w:p w14:paraId="4FB0FF3F" w14:textId="1A7F23A7" w:rsidR="00B765AD" w:rsidRDefault="00B765AD" w:rsidP="00B765AD">
      <w:pPr>
        <w:spacing w:before="0" w:after="0"/>
        <w:ind w:left="360"/>
        <w:rPr>
          <w:rFonts w:ascii="Calibri" w:eastAsia="Times New Roman" w:hAnsi="Calibri" w:cs="Times New Roman"/>
          <w:szCs w:val="20"/>
        </w:rPr>
      </w:pPr>
    </w:p>
    <w:p w14:paraId="7F4DC434" w14:textId="5A47043D" w:rsidR="00B765AD" w:rsidRPr="00B765AD" w:rsidRDefault="00B765AD" w:rsidP="00B765AD">
      <w:pPr>
        <w:spacing w:before="0" w:after="0"/>
        <w:ind w:left="360"/>
        <w:rPr>
          <w:rFonts w:ascii="Calibri" w:eastAsia="Times New Roman" w:hAnsi="Calibri" w:cs="Times New Roman"/>
          <w:b/>
          <w:color w:val="FF0000"/>
          <w:szCs w:val="20"/>
        </w:rPr>
      </w:pPr>
      <w:r w:rsidRPr="00B765AD">
        <w:rPr>
          <w:rFonts w:ascii="Calibri" w:eastAsia="Times New Roman" w:hAnsi="Calibri" w:cs="Times New Roman"/>
          <w:szCs w:val="20"/>
        </w:rPr>
        <w:t xml:space="preserve">The main factor that influences the preparation of the specimen is the correct selection of invasive tumour sampling (not in-situ or </w:t>
      </w:r>
      <w:proofErr w:type="spellStart"/>
      <w:r w:rsidRPr="00B765AD">
        <w:rPr>
          <w:rFonts w:ascii="Calibri" w:eastAsia="Times New Roman" w:hAnsi="Calibri" w:cs="Times New Roman"/>
          <w:szCs w:val="20"/>
        </w:rPr>
        <w:t>non malignant</w:t>
      </w:r>
      <w:proofErr w:type="spellEnd"/>
      <w:r w:rsidRPr="00B765AD">
        <w:rPr>
          <w:rFonts w:ascii="Calibri" w:eastAsia="Times New Roman" w:hAnsi="Calibri" w:cs="Times New Roman"/>
          <w:szCs w:val="20"/>
        </w:rPr>
        <w:t xml:space="preserve"> tissue). However, even though the Australian pathology laboratory sends the exact portion of invasive tumour tissue, all tissue samples received by </w:t>
      </w:r>
      <w:proofErr w:type="spellStart"/>
      <w:r w:rsidRPr="00B765AD">
        <w:rPr>
          <w:rFonts w:ascii="Calibri" w:eastAsia="Times New Roman" w:hAnsi="Calibri" w:cs="Times New Roman"/>
          <w:szCs w:val="20"/>
        </w:rPr>
        <w:t>Agendia</w:t>
      </w:r>
      <w:proofErr w:type="spellEnd"/>
      <w:r w:rsidRPr="00B765AD">
        <w:rPr>
          <w:rFonts w:ascii="Calibri" w:eastAsia="Times New Roman" w:hAnsi="Calibri" w:cs="Times New Roman"/>
          <w:szCs w:val="20"/>
        </w:rPr>
        <w:t xml:space="preserve"> are assessed independently by a pathologist from </w:t>
      </w:r>
      <w:proofErr w:type="spellStart"/>
      <w:r w:rsidRPr="00B765AD">
        <w:rPr>
          <w:rFonts w:ascii="Calibri" w:eastAsia="Times New Roman" w:hAnsi="Calibri" w:cs="Times New Roman"/>
          <w:szCs w:val="20"/>
        </w:rPr>
        <w:t>Agendia</w:t>
      </w:r>
      <w:proofErr w:type="spellEnd"/>
      <w:r w:rsidRPr="00B765AD">
        <w:rPr>
          <w:rFonts w:ascii="Calibri" w:eastAsia="Times New Roman" w:hAnsi="Calibri" w:cs="Times New Roman"/>
          <w:szCs w:val="20"/>
        </w:rPr>
        <w:t xml:space="preserve"> to verify the diagnosis, review for adequ</w:t>
      </w:r>
      <w:r w:rsidR="009F34B9">
        <w:rPr>
          <w:rFonts w:ascii="Calibri" w:eastAsia="Times New Roman" w:hAnsi="Calibri" w:cs="Times New Roman"/>
          <w:szCs w:val="20"/>
        </w:rPr>
        <w:t>ate tumour content (&gt;30%) and</w:t>
      </w:r>
      <w:r w:rsidRPr="00B765AD">
        <w:rPr>
          <w:rFonts w:ascii="Calibri" w:eastAsia="Times New Roman" w:hAnsi="Calibri" w:cs="Times New Roman"/>
          <w:szCs w:val="20"/>
        </w:rPr>
        <w:t xml:space="preserve"> perform manual </w:t>
      </w:r>
      <w:proofErr w:type="spellStart"/>
      <w:r w:rsidRPr="00B765AD">
        <w:rPr>
          <w:rFonts w:ascii="Calibri" w:eastAsia="Times New Roman" w:hAnsi="Calibri" w:cs="Times New Roman"/>
          <w:szCs w:val="20"/>
        </w:rPr>
        <w:t>microdissection</w:t>
      </w:r>
      <w:proofErr w:type="spellEnd"/>
      <w:r w:rsidRPr="00B765AD">
        <w:rPr>
          <w:rFonts w:ascii="Calibri" w:eastAsia="Times New Roman" w:hAnsi="Calibri" w:cs="Times New Roman"/>
          <w:szCs w:val="20"/>
        </w:rPr>
        <w:t xml:space="preserve"> as needed in accordance with American pathology guidelines. Very rarely, the sending Australian pathologist is required to repeat the FFPE slide preparation and send these further slides to Genome Investigation and then on to </w:t>
      </w:r>
      <w:proofErr w:type="spellStart"/>
      <w:r w:rsidRPr="00B765AD">
        <w:rPr>
          <w:rFonts w:ascii="Calibri" w:eastAsia="Times New Roman" w:hAnsi="Calibri" w:cs="Times New Roman"/>
          <w:szCs w:val="20"/>
        </w:rPr>
        <w:t>Agendia</w:t>
      </w:r>
      <w:proofErr w:type="spellEnd"/>
      <w:r w:rsidRPr="00B765AD">
        <w:rPr>
          <w:rFonts w:ascii="Calibri" w:eastAsia="Times New Roman" w:hAnsi="Calibri" w:cs="Times New Roman"/>
          <w:szCs w:val="20"/>
        </w:rPr>
        <w:t xml:space="preserve"> in California for analysis. Genome Investigation will meet the separate cost of this repeated exercise in Australia. To date, this occurrence has only happened once - where in situ tumour was sent across rather than invasive tumour. </w:t>
      </w:r>
    </w:p>
    <w:p w14:paraId="3E8D405B" w14:textId="44F41318" w:rsidR="00B765AD" w:rsidRPr="00B765AD" w:rsidRDefault="00B765AD" w:rsidP="00B765AD">
      <w:pPr>
        <w:spacing w:before="0" w:after="0"/>
        <w:ind w:left="360"/>
        <w:rPr>
          <w:rFonts w:ascii="Calibri" w:eastAsia="Times New Roman" w:hAnsi="Calibri" w:cs="Times New Roman"/>
          <w:b/>
          <w:color w:val="FF0000"/>
          <w:szCs w:val="20"/>
        </w:rPr>
      </w:pPr>
    </w:p>
    <w:p w14:paraId="3846F329" w14:textId="1BEDB5AF" w:rsidR="00B765AD" w:rsidRPr="00B765AD" w:rsidRDefault="00B765AD" w:rsidP="00B765AD">
      <w:pPr>
        <w:spacing w:before="0" w:after="0"/>
        <w:ind w:left="360"/>
        <w:rPr>
          <w:rFonts w:ascii="Calibri" w:eastAsia="Times New Roman" w:hAnsi="Calibri" w:cs="Times New Roman"/>
          <w:szCs w:val="20"/>
        </w:rPr>
      </w:pPr>
      <w:r w:rsidRPr="00B765AD">
        <w:rPr>
          <w:rFonts w:ascii="Calibri" w:eastAsia="Times New Roman" w:hAnsi="Calibri" w:cs="Times New Roman"/>
          <w:szCs w:val="20"/>
        </w:rPr>
        <w:t xml:space="preserve">The results of the </w:t>
      </w:r>
      <w:proofErr w:type="spellStart"/>
      <w:r w:rsidRPr="00B765AD">
        <w:rPr>
          <w:rFonts w:ascii="Calibri" w:eastAsia="Times New Roman" w:hAnsi="Calibri" w:cs="Times New Roman"/>
          <w:szCs w:val="20"/>
        </w:rPr>
        <w:t>MammaPrint</w:t>
      </w:r>
      <w:proofErr w:type="spellEnd"/>
      <w:r w:rsidRPr="00B765AD">
        <w:rPr>
          <w:rFonts w:ascii="Calibri" w:eastAsia="Times New Roman" w:hAnsi="Calibri" w:cs="Times New Roman"/>
          <w:szCs w:val="20"/>
        </w:rPr>
        <w:t xml:space="preserve"> test should be available </w:t>
      </w:r>
      <w:r w:rsidR="008D5958">
        <w:rPr>
          <w:rFonts w:ascii="Calibri" w:eastAsia="Times New Roman" w:hAnsi="Calibri" w:cs="Times New Roman"/>
          <w:szCs w:val="20"/>
        </w:rPr>
        <w:t xml:space="preserve">in </w:t>
      </w:r>
      <w:r w:rsidRPr="00B765AD">
        <w:rPr>
          <w:rFonts w:ascii="Calibri" w:eastAsia="Times New Roman" w:hAnsi="Calibri" w:cs="Times New Roman"/>
          <w:szCs w:val="20"/>
        </w:rPr>
        <w:t xml:space="preserve">10 days from the date the tumour sample is sent. The results of the test will be returned immediately upon reporting by email securely online to the ordering medical or surgical oncologist as well as the submitting pathologist, and any additional specified physician, involved in the care of the patient as noted on the </w:t>
      </w:r>
      <w:proofErr w:type="spellStart"/>
      <w:r w:rsidRPr="00B765AD">
        <w:rPr>
          <w:rFonts w:ascii="Calibri" w:eastAsia="Times New Roman" w:hAnsi="Calibri" w:cs="Times New Roman"/>
          <w:szCs w:val="20"/>
        </w:rPr>
        <w:t>Agendia</w:t>
      </w:r>
      <w:proofErr w:type="spellEnd"/>
      <w:r w:rsidRPr="00B765AD">
        <w:rPr>
          <w:rFonts w:ascii="Calibri" w:eastAsia="Times New Roman" w:hAnsi="Calibri" w:cs="Times New Roman"/>
          <w:szCs w:val="20"/>
        </w:rPr>
        <w:t xml:space="preserve"> Test Request Form. The remaining tumour sample is then returned to the originating Australian pathology laboratory with costs covered by </w:t>
      </w:r>
      <w:proofErr w:type="spellStart"/>
      <w:r w:rsidRPr="00B765AD">
        <w:rPr>
          <w:rFonts w:ascii="Calibri" w:eastAsia="Times New Roman" w:hAnsi="Calibri" w:cs="Times New Roman"/>
          <w:szCs w:val="20"/>
        </w:rPr>
        <w:t>Agendia</w:t>
      </w:r>
      <w:proofErr w:type="spellEnd"/>
      <w:r w:rsidRPr="00B765AD">
        <w:rPr>
          <w:rFonts w:ascii="Calibri" w:eastAsia="Times New Roman" w:hAnsi="Calibri" w:cs="Times New Roman"/>
          <w:szCs w:val="20"/>
        </w:rPr>
        <w:t xml:space="preserve">. </w:t>
      </w:r>
    </w:p>
    <w:p w14:paraId="4BEACA9C" w14:textId="71DAF628" w:rsidR="00B765AD" w:rsidRPr="00B765AD" w:rsidRDefault="00B765AD" w:rsidP="00B765AD">
      <w:pPr>
        <w:spacing w:before="0" w:after="0"/>
        <w:ind w:left="360"/>
        <w:rPr>
          <w:rFonts w:ascii="Calibri" w:eastAsia="Times New Roman" w:hAnsi="Calibri" w:cs="Times New Roman"/>
          <w:szCs w:val="20"/>
        </w:rPr>
      </w:pPr>
    </w:p>
    <w:p w14:paraId="534F745A" w14:textId="119F40B0" w:rsidR="00B765AD" w:rsidRDefault="00B765AD" w:rsidP="00B765AD">
      <w:pPr>
        <w:spacing w:before="0" w:after="0"/>
        <w:ind w:left="360"/>
        <w:rPr>
          <w:rFonts w:ascii="Calibri" w:eastAsia="Times New Roman" w:hAnsi="Calibri" w:cs="Times New Roman"/>
          <w:szCs w:val="20"/>
        </w:rPr>
      </w:pPr>
      <w:r w:rsidRPr="00B765AD">
        <w:rPr>
          <w:rFonts w:ascii="Calibri" w:eastAsia="Times New Roman" w:hAnsi="Calibri" w:cs="Times New Roman"/>
          <w:szCs w:val="20"/>
        </w:rPr>
        <w:t xml:space="preserve">Although the 70 gene </w:t>
      </w:r>
      <w:proofErr w:type="spellStart"/>
      <w:r w:rsidRPr="00B765AD">
        <w:rPr>
          <w:rFonts w:ascii="Calibri" w:eastAsia="Times New Roman" w:hAnsi="Calibri" w:cs="Times New Roman"/>
          <w:szCs w:val="20"/>
        </w:rPr>
        <w:t>MammaPrint</w:t>
      </w:r>
      <w:proofErr w:type="spellEnd"/>
      <w:r w:rsidRPr="00B765AD">
        <w:rPr>
          <w:rFonts w:ascii="Calibri" w:eastAsia="Times New Roman" w:hAnsi="Calibri" w:cs="Times New Roman"/>
          <w:szCs w:val="20"/>
        </w:rPr>
        <w:t xml:space="preserve"> signature test is a compli</w:t>
      </w:r>
      <w:r w:rsidR="009F34B9">
        <w:rPr>
          <w:rFonts w:ascii="Calibri" w:eastAsia="Times New Roman" w:hAnsi="Calibri" w:cs="Times New Roman"/>
          <w:szCs w:val="20"/>
        </w:rPr>
        <w:t>cated microarray mRNA analysis which is performed in Irvine, California, USA</w:t>
      </w:r>
      <w:r w:rsidRPr="00B765AD">
        <w:rPr>
          <w:rFonts w:ascii="Calibri" w:eastAsia="Times New Roman" w:hAnsi="Calibri" w:cs="Times New Roman"/>
          <w:szCs w:val="20"/>
        </w:rPr>
        <w:t>, the report, by design, returns a straight for</w:t>
      </w:r>
      <w:r w:rsidR="009F34B9">
        <w:rPr>
          <w:rFonts w:ascii="Calibri" w:eastAsia="Times New Roman" w:hAnsi="Calibri" w:cs="Times New Roman"/>
          <w:szCs w:val="20"/>
        </w:rPr>
        <w:t>ward binary low risk result or</w:t>
      </w:r>
      <w:r w:rsidRPr="00B765AD">
        <w:rPr>
          <w:rFonts w:ascii="Calibri" w:eastAsia="Times New Roman" w:hAnsi="Calibri" w:cs="Times New Roman"/>
          <w:szCs w:val="20"/>
        </w:rPr>
        <w:t xml:space="preserve"> high ris</w:t>
      </w:r>
      <w:r w:rsidR="009F34B9">
        <w:rPr>
          <w:rFonts w:ascii="Calibri" w:eastAsia="Times New Roman" w:hAnsi="Calibri" w:cs="Times New Roman"/>
          <w:szCs w:val="20"/>
        </w:rPr>
        <w:t xml:space="preserve">k result. This binary </w:t>
      </w:r>
      <w:r w:rsidRPr="00B765AD">
        <w:rPr>
          <w:rFonts w:ascii="Calibri" w:eastAsia="Times New Roman" w:hAnsi="Calibri" w:cs="Times New Roman"/>
          <w:szCs w:val="20"/>
        </w:rPr>
        <w:t xml:space="preserve">result for both patients and specialist medical and surgical oncologists </w:t>
      </w:r>
      <w:r w:rsidR="009F34B9">
        <w:rPr>
          <w:rFonts w:ascii="Calibri" w:eastAsia="Times New Roman" w:hAnsi="Calibri" w:cs="Times New Roman"/>
          <w:szCs w:val="20"/>
        </w:rPr>
        <w:t>is straight forward to</w:t>
      </w:r>
      <w:r w:rsidRPr="00B765AD">
        <w:rPr>
          <w:rFonts w:ascii="Calibri" w:eastAsia="Times New Roman" w:hAnsi="Calibri" w:cs="Times New Roman"/>
          <w:szCs w:val="20"/>
        </w:rPr>
        <w:t xml:space="preserve"> understand, therefore professional training and accreditation in the area of GEP has not yet been recommended by either MOGA or </w:t>
      </w:r>
      <w:proofErr w:type="spellStart"/>
      <w:r w:rsidRPr="00B765AD">
        <w:rPr>
          <w:rFonts w:ascii="Calibri" w:eastAsia="Times New Roman" w:hAnsi="Calibri" w:cs="Times New Roman"/>
          <w:szCs w:val="20"/>
        </w:rPr>
        <w:t>BreastSurgANZ</w:t>
      </w:r>
      <w:proofErr w:type="spellEnd"/>
      <w:r w:rsidRPr="00B765AD">
        <w:rPr>
          <w:rFonts w:ascii="Calibri" w:eastAsia="Times New Roman" w:hAnsi="Calibri" w:cs="Times New Roman"/>
          <w:szCs w:val="20"/>
        </w:rPr>
        <w:t xml:space="preserve">. The simple binary low </w:t>
      </w:r>
      <w:proofErr w:type="spellStart"/>
      <w:r w:rsidRPr="00B765AD">
        <w:rPr>
          <w:rFonts w:ascii="Calibri" w:eastAsia="Times New Roman" w:hAnsi="Calibri" w:cs="Times New Roman"/>
          <w:szCs w:val="20"/>
        </w:rPr>
        <w:t>risk</w:t>
      </w:r>
      <w:proofErr w:type="gramStart"/>
      <w:r w:rsidRPr="00B765AD">
        <w:rPr>
          <w:rFonts w:ascii="Calibri" w:eastAsia="Times New Roman" w:hAnsi="Calibri" w:cs="Times New Roman"/>
          <w:szCs w:val="20"/>
        </w:rPr>
        <w:t>:high</w:t>
      </w:r>
      <w:proofErr w:type="spellEnd"/>
      <w:proofErr w:type="gramEnd"/>
      <w:r w:rsidRPr="00B765AD">
        <w:rPr>
          <w:rFonts w:ascii="Calibri" w:eastAsia="Times New Roman" w:hAnsi="Calibri" w:cs="Times New Roman"/>
          <w:szCs w:val="20"/>
        </w:rPr>
        <w:t xml:space="preserve"> risk 70 gene result has not lead to either MOGA or </w:t>
      </w:r>
      <w:proofErr w:type="spellStart"/>
      <w:r w:rsidRPr="00B765AD">
        <w:rPr>
          <w:rFonts w:ascii="Calibri" w:eastAsia="Times New Roman" w:hAnsi="Calibri" w:cs="Times New Roman"/>
          <w:szCs w:val="20"/>
        </w:rPr>
        <w:t>BreastSurgANZ</w:t>
      </w:r>
      <w:proofErr w:type="spellEnd"/>
      <w:r w:rsidRPr="00B765AD">
        <w:rPr>
          <w:rFonts w:ascii="Calibri" w:eastAsia="Times New Roman" w:hAnsi="Calibri" w:cs="Times New Roman"/>
          <w:szCs w:val="20"/>
        </w:rPr>
        <w:t xml:space="preserve"> recommending any particular accreditation for medical or surgical oncologists ordering the 70 gene assay. Further, as the pathological analysis is being conducted in California, there are no specific training or accreditation requirements for pathologists or Australian laboratories sending cancer specimens abroad over and above their current standards. </w:t>
      </w:r>
    </w:p>
    <w:p w14:paraId="3381572E" w14:textId="77777777" w:rsidR="0034266C" w:rsidRDefault="0034266C">
      <w:pPr>
        <w:spacing w:before="0" w:after="200" w:line="276" w:lineRule="auto"/>
        <w:rPr>
          <w:rFonts w:ascii="Calibri" w:eastAsia="Times New Roman" w:hAnsi="Calibri" w:cs="Times New Roman"/>
          <w:szCs w:val="20"/>
        </w:rPr>
      </w:pPr>
      <w:r>
        <w:rPr>
          <w:rFonts w:ascii="Calibri" w:eastAsia="Times New Roman" w:hAnsi="Calibri" w:cs="Times New Roman"/>
          <w:szCs w:val="20"/>
        </w:rPr>
        <w:br w:type="page"/>
      </w:r>
    </w:p>
    <w:p w14:paraId="75C2B106" w14:textId="318AC3AB" w:rsidR="00E420C3" w:rsidRDefault="00E420C3" w:rsidP="00B765AD">
      <w:pPr>
        <w:spacing w:before="0" w:after="0"/>
        <w:ind w:left="360"/>
        <w:rPr>
          <w:rFonts w:ascii="Calibri" w:eastAsia="Times New Roman" w:hAnsi="Calibri" w:cs="Times New Roman"/>
          <w:i/>
          <w:szCs w:val="20"/>
        </w:rPr>
      </w:pPr>
      <w:r>
        <w:rPr>
          <w:rFonts w:ascii="Calibri" w:eastAsia="Times New Roman" w:hAnsi="Calibri" w:cs="Times New Roman"/>
          <w:i/>
          <w:szCs w:val="20"/>
        </w:rPr>
        <w:lastRenderedPageBreak/>
        <w:t>Laboratory Process</w:t>
      </w:r>
    </w:p>
    <w:p w14:paraId="490E3C99" w14:textId="77777777" w:rsidR="00E420C3" w:rsidRPr="00E420C3" w:rsidRDefault="00E420C3" w:rsidP="00B765AD">
      <w:pPr>
        <w:spacing w:before="0" w:after="0"/>
        <w:ind w:left="360"/>
        <w:rPr>
          <w:rFonts w:ascii="Calibri" w:eastAsia="Times New Roman" w:hAnsi="Calibri" w:cs="Times New Roman"/>
          <w:i/>
          <w:szCs w:val="20"/>
        </w:rPr>
      </w:pPr>
    </w:p>
    <w:p w14:paraId="6C96218F" w14:textId="5C622046" w:rsidR="00E420C3" w:rsidRP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The single laboratory performing the test for Australian patients is located in Irvine, California, USA. There have been over 40,000 tests </w:t>
      </w:r>
      <w:r w:rsidR="007E03A7">
        <w:rPr>
          <w:rFonts w:ascii="Calibri" w:eastAsia="Times New Roman" w:hAnsi="Calibri" w:cs="Times New Roman"/>
          <w:szCs w:val="20"/>
        </w:rPr>
        <w:t xml:space="preserve">performed on </w:t>
      </w:r>
      <w:r w:rsidRPr="00E420C3">
        <w:rPr>
          <w:rFonts w:ascii="Calibri" w:eastAsia="Times New Roman" w:hAnsi="Calibri" w:cs="Times New Roman"/>
          <w:szCs w:val="20"/>
        </w:rPr>
        <w:t>breast cancer patients from many countries in Europe, North &amp; South America, Asia, Australia and New Zealand.</w:t>
      </w:r>
    </w:p>
    <w:p w14:paraId="1B7471D9" w14:textId="77777777" w:rsidR="00E420C3" w:rsidRPr="00E420C3" w:rsidRDefault="00E420C3" w:rsidP="00E420C3">
      <w:pPr>
        <w:spacing w:before="0" w:after="0"/>
        <w:rPr>
          <w:rFonts w:ascii="Calibri" w:eastAsia="Times New Roman" w:hAnsi="Calibri" w:cs="Times New Roman"/>
          <w:szCs w:val="20"/>
        </w:rPr>
      </w:pPr>
    </w:p>
    <w:p w14:paraId="30CD062D" w14:textId="20EB8352" w:rsidR="00E420C3" w:rsidRP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Gene expression levels are measured by a modern mRNA microarray analysis technique, as reported in </w:t>
      </w:r>
      <w:proofErr w:type="spellStart"/>
      <w:r w:rsidRPr="00E420C3">
        <w:rPr>
          <w:rFonts w:ascii="Calibri" w:eastAsia="Times New Roman" w:hAnsi="Calibri" w:cs="Times New Roman"/>
          <w:szCs w:val="20"/>
        </w:rPr>
        <w:t>Glas</w:t>
      </w:r>
      <w:proofErr w:type="spellEnd"/>
      <w:r w:rsidRPr="00E420C3">
        <w:rPr>
          <w:rFonts w:ascii="Calibri" w:eastAsia="Times New Roman" w:hAnsi="Calibri" w:cs="Times New Roman"/>
          <w:szCs w:val="20"/>
        </w:rPr>
        <w:t xml:space="preserve"> et al (BMC Genomics 2006). Fluorescent-dye label</w:t>
      </w:r>
      <w:r w:rsidR="00221093">
        <w:rPr>
          <w:rFonts w:ascii="Calibri" w:eastAsia="Times New Roman" w:hAnsi="Calibri" w:cs="Times New Roman"/>
          <w:szCs w:val="20"/>
        </w:rPr>
        <w:t>l</w:t>
      </w:r>
      <w:r w:rsidRPr="00E420C3">
        <w:rPr>
          <w:rFonts w:ascii="Calibri" w:eastAsia="Times New Roman" w:hAnsi="Calibri" w:cs="Times New Roman"/>
          <w:szCs w:val="20"/>
        </w:rPr>
        <w:t xml:space="preserve">ed RNA to microarrays containing 15,000 60-mer oligonucleotide probes </w:t>
      </w:r>
      <w:proofErr w:type="gramStart"/>
      <w:r w:rsidRPr="00E420C3">
        <w:rPr>
          <w:rFonts w:ascii="Calibri" w:eastAsia="Times New Roman" w:hAnsi="Calibri" w:cs="Times New Roman"/>
          <w:szCs w:val="20"/>
        </w:rPr>
        <w:t>are</w:t>
      </w:r>
      <w:proofErr w:type="gramEnd"/>
      <w:r w:rsidRPr="00E420C3">
        <w:rPr>
          <w:rFonts w:ascii="Calibri" w:eastAsia="Times New Roman" w:hAnsi="Calibri" w:cs="Times New Roman"/>
          <w:szCs w:val="20"/>
        </w:rPr>
        <w:t xml:space="preserve"> hybridized to perform this test. To increase measurement precision, each of the signature genes </w:t>
      </w:r>
      <w:proofErr w:type="gramStart"/>
      <w:r w:rsidRPr="00E420C3">
        <w:rPr>
          <w:rFonts w:ascii="Calibri" w:eastAsia="Times New Roman" w:hAnsi="Calibri" w:cs="Times New Roman"/>
          <w:szCs w:val="20"/>
        </w:rPr>
        <w:t>are</w:t>
      </w:r>
      <w:proofErr w:type="gramEnd"/>
      <w:r w:rsidRPr="00E420C3">
        <w:rPr>
          <w:rFonts w:ascii="Calibri" w:eastAsia="Times New Roman" w:hAnsi="Calibri" w:cs="Times New Roman"/>
          <w:szCs w:val="20"/>
        </w:rPr>
        <w:t xml:space="preserve"> spotted 9 times and an error-weighted average of the intensity ratios is calculated. Since different measurement quantities are used (</w:t>
      </w:r>
      <w:proofErr w:type="spellStart"/>
      <w:r w:rsidRPr="00E420C3">
        <w:rPr>
          <w:rFonts w:ascii="Calibri" w:eastAsia="Times New Roman" w:hAnsi="Calibri" w:cs="Times New Roman"/>
          <w:szCs w:val="20"/>
        </w:rPr>
        <w:t>Xdev</w:t>
      </w:r>
      <w:proofErr w:type="spellEnd"/>
      <w:r w:rsidRPr="00E420C3">
        <w:rPr>
          <w:rFonts w:ascii="Calibri" w:eastAsia="Times New Roman" w:hAnsi="Calibri" w:cs="Times New Roman"/>
          <w:szCs w:val="20"/>
        </w:rPr>
        <w:t xml:space="preserve"> versus Log Ratio), the 'good prognosis template' is constructed using the data of the 44 good outcome patients generated on the original mini-array based on log ratios. Disease outcome classification of individual samples is then determi</w:t>
      </w:r>
      <w:r w:rsidR="00221093">
        <w:rPr>
          <w:rFonts w:ascii="Calibri" w:eastAsia="Times New Roman" w:hAnsi="Calibri" w:cs="Times New Roman"/>
          <w:szCs w:val="20"/>
        </w:rPr>
        <w:t>ned by the cosine correlation of</w:t>
      </w:r>
      <w:r w:rsidRPr="00E420C3">
        <w:rPr>
          <w:rFonts w:ascii="Calibri" w:eastAsia="Times New Roman" w:hAnsi="Calibri" w:cs="Times New Roman"/>
          <w:szCs w:val="20"/>
        </w:rPr>
        <w:t xml:space="preserve"> this recrea</w:t>
      </w:r>
      <w:r w:rsidR="00221093">
        <w:rPr>
          <w:rFonts w:ascii="Calibri" w:eastAsia="Times New Roman" w:hAnsi="Calibri" w:cs="Times New Roman"/>
          <w:szCs w:val="20"/>
        </w:rPr>
        <w:t xml:space="preserve">ted template in a leave-one-out </w:t>
      </w:r>
      <w:r w:rsidRPr="00E420C3">
        <w:rPr>
          <w:rFonts w:ascii="Calibri" w:eastAsia="Times New Roman" w:hAnsi="Calibri" w:cs="Times New Roman"/>
          <w:szCs w:val="20"/>
        </w:rPr>
        <w:t xml:space="preserve">cross validation procedure. </w:t>
      </w:r>
    </w:p>
    <w:p w14:paraId="4472C9EF" w14:textId="77777777" w:rsidR="00E420C3" w:rsidRPr="00E420C3" w:rsidRDefault="00E420C3" w:rsidP="00E420C3">
      <w:pPr>
        <w:spacing w:before="0" w:after="0"/>
        <w:rPr>
          <w:rFonts w:ascii="Calibri" w:eastAsia="Times New Roman" w:hAnsi="Calibri" w:cs="Times New Roman"/>
          <w:szCs w:val="20"/>
        </w:rPr>
      </w:pPr>
    </w:p>
    <w:p w14:paraId="50D6C9B2" w14:textId="20119297" w:rsid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The expression intensities of the 70 signature genes for the 78 original samples are hybridized to the customized array. The tumours are rank-ordered according to their correlation coefficients with the re</w:t>
      </w:r>
      <w:r w:rsidR="00221093">
        <w:rPr>
          <w:rFonts w:ascii="Calibri" w:eastAsia="Times New Roman" w:hAnsi="Calibri" w:cs="Times New Roman"/>
          <w:szCs w:val="20"/>
        </w:rPr>
        <w:t>-</w:t>
      </w:r>
      <w:r w:rsidRPr="00E420C3">
        <w:rPr>
          <w:rFonts w:ascii="Calibri" w:eastAsia="Times New Roman" w:hAnsi="Calibri" w:cs="Times New Roman"/>
          <w:szCs w:val="20"/>
        </w:rPr>
        <w:t xml:space="preserve">established 'good prognosis template'. Genes are ordered according to their correlation coefficient with the two prognostic groups as described in the original 2002 Nature article by </w:t>
      </w:r>
      <w:proofErr w:type="spellStart"/>
      <w:r w:rsidRPr="00E420C3">
        <w:rPr>
          <w:rFonts w:ascii="Calibri" w:eastAsia="Times New Roman" w:hAnsi="Calibri" w:cs="Times New Roman"/>
          <w:szCs w:val="20"/>
        </w:rPr>
        <w:t>Van’t</w:t>
      </w:r>
      <w:proofErr w:type="spellEnd"/>
      <w:r w:rsidRPr="00E420C3">
        <w:rPr>
          <w:rFonts w:ascii="Calibri" w:eastAsia="Times New Roman" w:hAnsi="Calibri" w:cs="Times New Roman"/>
          <w:szCs w:val="20"/>
        </w:rPr>
        <w:t xml:space="preserve"> Veer et al. Tumours with correlation values above or below this original </w:t>
      </w:r>
      <w:proofErr w:type="spellStart"/>
      <w:r w:rsidRPr="00E420C3">
        <w:rPr>
          <w:rFonts w:ascii="Calibri" w:eastAsia="Times New Roman" w:hAnsi="Calibri" w:cs="Times New Roman"/>
          <w:szCs w:val="20"/>
        </w:rPr>
        <w:t>Van’t</w:t>
      </w:r>
      <w:proofErr w:type="spellEnd"/>
      <w:r w:rsidRPr="00E420C3">
        <w:rPr>
          <w:rFonts w:ascii="Calibri" w:eastAsia="Times New Roman" w:hAnsi="Calibri" w:cs="Times New Roman"/>
          <w:szCs w:val="20"/>
        </w:rPr>
        <w:t xml:space="preserve"> Veer et al determined threshold are assigned to the good or poor prognosis profile group, respectively. </w:t>
      </w:r>
    </w:p>
    <w:p w14:paraId="56BC58CE" w14:textId="77777777" w:rsidR="00E420C3" w:rsidRDefault="00E420C3" w:rsidP="00E420C3">
      <w:pPr>
        <w:spacing w:before="0" w:after="0"/>
        <w:ind w:left="360"/>
        <w:rPr>
          <w:rFonts w:ascii="Calibri" w:eastAsia="Times New Roman" w:hAnsi="Calibri" w:cs="Times New Roman"/>
          <w:szCs w:val="20"/>
        </w:rPr>
      </w:pPr>
    </w:p>
    <w:p w14:paraId="3D2910C9" w14:textId="5B048056" w:rsid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The 70 gene </w:t>
      </w:r>
      <w:proofErr w:type="spellStart"/>
      <w:r w:rsidRPr="00E420C3">
        <w:rPr>
          <w:rFonts w:ascii="Calibri" w:eastAsia="Times New Roman" w:hAnsi="Calibri" w:cs="Times New Roman"/>
          <w:szCs w:val="20"/>
        </w:rPr>
        <w:t>MammaPrint</w:t>
      </w:r>
      <w:proofErr w:type="spellEnd"/>
      <w:r w:rsidRPr="00E420C3">
        <w:rPr>
          <w:rFonts w:ascii="Calibri" w:eastAsia="Times New Roman" w:hAnsi="Calibri" w:cs="Times New Roman"/>
          <w:szCs w:val="20"/>
        </w:rPr>
        <w:t xml:space="preserve"> analysis is designed to determine the gene activity of specific genes in a tissue sample compared to a reference standard. The result is an expression profile, or fingerprint, of the sample. The correlation of the sample expression profile to a template (the mean expression profile of 44 tumours with a known good clinical outcome) is calculated and the molecular profile of the sample is determined (Low Risk, High Risk, Low Risk Borderline, High Risk Borderline). </w:t>
      </w:r>
    </w:p>
    <w:p w14:paraId="203FF640" w14:textId="77777777" w:rsidR="00E420C3" w:rsidRDefault="00E420C3" w:rsidP="00E420C3">
      <w:pPr>
        <w:spacing w:before="0" w:after="0"/>
        <w:ind w:left="360"/>
        <w:rPr>
          <w:rFonts w:ascii="Calibri" w:eastAsia="Times New Roman" w:hAnsi="Calibri" w:cs="Times New Roman"/>
          <w:szCs w:val="20"/>
        </w:rPr>
      </w:pPr>
    </w:p>
    <w:p w14:paraId="12A7B074" w14:textId="77777777" w:rsid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The algorithm used to calculate the risk of relapse is as follows. Data analysis is performed according to a specific 70 gene </w:t>
      </w:r>
      <w:proofErr w:type="spellStart"/>
      <w:r w:rsidRPr="00E420C3">
        <w:rPr>
          <w:rFonts w:ascii="Calibri" w:eastAsia="Times New Roman" w:hAnsi="Calibri" w:cs="Times New Roman"/>
          <w:szCs w:val="20"/>
        </w:rPr>
        <w:t>MammaPrint</w:t>
      </w:r>
      <w:proofErr w:type="spellEnd"/>
      <w:r w:rsidRPr="00E420C3">
        <w:rPr>
          <w:rFonts w:ascii="Calibri" w:eastAsia="Times New Roman" w:hAnsi="Calibri" w:cs="Times New Roman"/>
          <w:szCs w:val="20"/>
        </w:rPr>
        <w:t xml:space="preserve"> algorithm (the 70 gene </w:t>
      </w:r>
      <w:proofErr w:type="spellStart"/>
      <w:r w:rsidRPr="00E420C3">
        <w:rPr>
          <w:rFonts w:ascii="Calibri" w:eastAsia="Times New Roman" w:hAnsi="Calibri" w:cs="Times New Roman"/>
          <w:szCs w:val="20"/>
        </w:rPr>
        <w:t>MammaPrint</w:t>
      </w:r>
      <w:proofErr w:type="spellEnd"/>
      <w:r w:rsidRPr="00E420C3">
        <w:rPr>
          <w:rFonts w:ascii="Calibri" w:eastAsia="Times New Roman" w:hAnsi="Calibri" w:cs="Times New Roman"/>
          <w:szCs w:val="20"/>
        </w:rPr>
        <w:t xml:space="preserve"> Index). The algorithm calculates the similarity (“cosine correlation”) of the patient sample expression profile against two templates; a Low Risk template containing patient samples with a known good clinical outcome, and a High Risk Template containing patient samples with a known poor clinical outcome. This determines the correlation of the molecular profile of the patient sample to either Low Risk or High Risk. </w:t>
      </w:r>
    </w:p>
    <w:p w14:paraId="302DC009" w14:textId="77777777" w:rsidR="00E420C3" w:rsidRDefault="00E420C3" w:rsidP="00E420C3">
      <w:pPr>
        <w:spacing w:before="0" w:after="0"/>
        <w:ind w:left="360"/>
        <w:rPr>
          <w:rFonts w:ascii="Calibri" w:eastAsia="Times New Roman" w:hAnsi="Calibri" w:cs="Times New Roman"/>
          <w:szCs w:val="20"/>
        </w:rPr>
      </w:pPr>
    </w:p>
    <w:p w14:paraId="662CE65E" w14:textId="77777777" w:rsid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This algorithm is designed and programmed by </w:t>
      </w:r>
      <w:proofErr w:type="spellStart"/>
      <w:r w:rsidRPr="00E420C3">
        <w:rPr>
          <w:rFonts w:ascii="Calibri" w:eastAsia="Times New Roman" w:hAnsi="Calibri" w:cs="Times New Roman"/>
          <w:szCs w:val="20"/>
        </w:rPr>
        <w:t>Agendia</w:t>
      </w:r>
      <w:proofErr w:type="spellEnd"/>
      <w:r w:rsidRPr="00E420C3">
        <w:rPr>
          <w:rFonts w:ascii="Calibri" w:eastAsia="Times New Roman" w:hAnsi="Calibri" w:cs="Times New Roman"/>
          <w:szCs w:val="20"/>
        </w:rPr>
        <w:t xml:space="preserve"> and compiled into a </w:t>
      </w:r>
      <w:proofErr w:type="spellStart"/>
      <w:r w:rsidRPr="00E420C3">
        <w:rPr>
          <w:rFonts w:ascii="Calibri" w:eastAsia="Times New Roman" w:hAnsi="Calibri" w:cs="Times New Roman"/>
          <w:szCs w:val="20"/>
        </w:rPr>
        <w:t>stand alone</w:t>
      </w:r>
      <w:proofErr w:type="spellEnd"/>
      <w:r w:rsidRPr="00E420C3">
        <w:rPr>
          <w:rFonts w:ascii="Calibri" w:eastAsia="Times New Roman" w:hAnsi="Calibri" w:cs="Times New Roman"/>
          <w:szCs w:val="20"/>
        </w:rPr>
        <w:t xml:space="preserve"> software program called “X-Print Analysis Software”. The “X-Print Analysis Software” loads a data file (CSV) which is created by the laboratory technician by extracting specific information from the laboratory database. The CSV data file contains: external sample ID, internal sample ID, Technician name, Bio-</w:t>
      </w:r>
      <w:proofErr w:type="spellStart"/>
      <w:r w:rsidRPr="00E420C3">
        <w:rPr>
          <w:rFonts w:ascii="Calibri" w:eastAsia="Times New Roman" w:hAnsi="Calibri" w:cs="Times New Roman"/>
          <w:szCs w:val="20"/>
        </w:rPr>
        <w:t>analyzer</w:t>
      </w:r>
      <w:proofErr w:type="spellEnd"/>
      <w:r w:rsidRPr="00E420C3">
        <w:rPr>
          <w:rFonts w:ascii="Calibri" w:eastAsia="Times New Roman" w:hAnsi="Calibri" w:cs="Times New Roman"/>
          <w:szCs w:val="20"/>
        </w:rPr>
        <w:t xml:space="preserve"> ratio, RNA integrity number, location of straight and dye-swap data file (TXT), Microarray chip Layout (8-pack) and additional comments by the technician. The “X-Print Analysis Software” reads the CSV file, opens the Feature Extraction Software data files (TXT), performs quality control checks, determines the sample expression profile, calculates the correlation of sample profile to the “Low Risk” template profile on a scale of – 1 (High Risk) to + 1 (Low Risk). This is termed the </w:t>
      </w:r>
      <w:proofErr w:type="spellStart"/>
      <w:r w:rsidRPr="00E420C3">
        <w:rPr>
          <w:rFonts w:ascii="Calibri" w:eastAsia="Times New Roman" w:hAnsi="Calibri" w:cs="Times New Roman"/>
          <w:szCs w:val="20"/>
        </w:rPr>
        <w:t>MammaPrint</w:t>
      </w:r>
      <w:proofErr w:type="spellEnd"/>
      <w:r w:rsidRPr="00E420C3">
        <w:rPr>
          <w:rFonts w:ascii="Calibri" w:eastAsia="Times New Roman" w:hAnsi="Calibri" w:cs="Times New Roman"/>
          <w:szCs w:val="20"/>
        </w:rPr>
        <w:t xml:space="preserve"> Index, and it compares the calculated correlation to a pre-defined </w:t>
      </w:r>
      <w:proofErr w:type="spellStart"/>
      <w:r w:rsidRPr="00E420C3">
        <w:rPr>
          <w:rFonts w:ascii="Calibri" w:eastAsia="Times New Roman" w:hAnsi="Calibri" w:cs="Times New Roman"/>
          <w:szCs w:val="20"/>
        </w:rPr>
        <w:t>cutoff</w:t>
      </w:r>
      <w:proofErr w:type="spellEnd"/>
      <w:r w:rsidRPr="00E420C3">
        <w:rPr>
          <w:rFonts w:ascii="Calibri" w:eastAsia="Times New Roman" w:hAnsi="Calibri" w:cs="Times New Roman"/>
          <w:szCs w:val="20"/>
        </w:rPr>
        <w:t xml:space="preserve"> value and determines the samples prognostic profile (Low Risk or High Risk). The analysis software output is an internal report (PDF) for every sample. In this report quality control values and analysis results are reported. </w:t>
      </w:r>
    </w:p>
    <w:p w14:paraId="71BCC871" w14:textId="77777777" w:rsidR="00E420C3" w:rsidRDefault="00E420C3" w:rsidP="00E420C3">
      <w:pPr>
        <w:spacing w:before="0" w:after="0"/>
        <w:ind w:left="360"/>
        <w:rPr>
          <w:rFonts w:ascii="Calibri" w:eastAsia="Times New Roman" w:hAnsi="Calibri" w:cs="Times New Roman"/>
          <w:szCs w:val="20"/>
        </w:rPr>
      </w:pPr>
    </w:p>
    <w:p w14:paraId="726298AD" w14:textId="437CF21A" w:rsid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To determine the </w:t>
      </w:r>
      <w:proofErr w:type="spellStart"/>
      <w:r w:rsidRPr="00E420C3">
        <w:rPr>
          <w:rFonts w:ascii="Calibri" w:eastAsia="Times New Roman" w:hAnsi="Calibri" w:cs="Times New Roman"/>
          <w:szCs w:val="20"/>
        </w:rPr>
        <w:t>cutoff</w:t>
      </w:r>
      <w:proofErr w:type="spellEnd"/>
      <w:r w:rsidRPr="00E420C3">
        <w:rPr>
          <w:rFonts w:ascii="Calibri" w:eastAsia="Times New Roman" w:hAnsi="Calibri" w:cs="Times New Roman"/>
          <w:szCs w:val="20"/>
        </w:rPr>
        <w:t xml:space="preserve"> point used to categorize patients as low or high risk, the abovementioned 70 gene </w:t>
      </w:r>
      <w:proofErr w:type="spellStart"/>
      <w:r w:rsidRPr="00E420C3">
        <w:rPr>
          <w:rFonts w:ascii="Calibri" w:eastAsia="Times New Roman" w:hAnsi="Calibri" w:cs="Times New Roman"/>
          <w:szCs w:val="20"/>
        </w:rPr>
        <w:t>MammaPrint</w:t>
      </w:r>
      <w:proofErr w:type="spellEnd"/>
      <w:r w:rsidRPr="00E420C3">
        <w:rPr>
          <w:rFonts w:ascii="Calibri" w:eastAsia="Times New Roman" w:hAnsi="Calibri" w:cs="Times New Roman"/>
          <w:szCs w:val="20"/>
        </w:rPr>
        <w:t xml:space="preserve"> Index is used. This index ranges from -1.0 to +1.0. Tumour samples with the 70 gene </w:t>
      </w:r>
      <w:proofErr w:type="spellStart"/>
      <w:r w:rsidRPr="00E420C3">
        <w:rPr>
          <w:rFonts w:ascii="Calibri" w:eastAsia="Times New Roman" w:hAnsi="Calibri" w:cs="Times New Roman"/>
          <w:szCs w:val="20"/>
        </w:rPr>
        <w:t>MammaPrint</w:t>
      </w:r>
      <w:proofErr w:type="spellEnd"/>
      <w:r w:rsidRPr="00E420C3">
        <w:rPr>
          <w:rFonts w:ascii="Calibri" w:eastAsia="Times New Roman" w:hAnsi="Calibri" w:cs="Times New Roman"/>
          <w:szCs w:val="20"/>
        </w:rPr>
        <w:t xml:space="preserve"> Index above the threshold of 0 (zero), are classified as low risk, and tumour samples with the 70 gene </w:t>
      </w:r>
      <w:proofErr w:type="spellStart"/>
      <w:r w:rsidRPr="00E420C3">
        <w:rPr>
          <w:rFonts w:ascii="Calibri" w:eastAsia="Times New Roman" w:hAnsi="Calibri" w:cs="Times New Roman"/>
          <w:szCs w:val="20"/>
        </w:rPr>
        <w:t>MammaPrint</w:t>
      </w:r>
      <w:proofErr w:type="spellEnd"/>
      <w:r w:rsidRPr="00E420C3">
        <w:rPr>
          <w:rFonts w:ascii="Calibri" w:eastAsia="Times New Roman" w:hAnsi="Calibri" w:cs="Times New Roman"/>
          <w:szCs w:val="20"/>
        </w:rPr>
        <w:t xml:space="preserve"> Index equal to or lower than the threshold are c</w:t>
      </w:r>
      <w:r w:rsidR="00221093">
        <w:rPr>
          <w:rFonts w:ascii="Calibri" w:eastAsia="Times New Roman" w:hAnsi="Calibri" w:cs="Times New Roman"/>
          <w:szCs w:val="20"/>
        </w:rPr>
        <w:t xml:space="preserve">lassified as high risk. </w:t>
      </w:r>
      <w:r w:rsidRPr="00E420C3">
        <w:rPr>
          <w:rFonts w:ascii="Calibri" w:eastAsia="Times New Roman" w:hAnsi="Calibri" w:cs="Times New Roman"/>
          <w:szCs w:val="20"/>
        </w:rPr>
        <w:t xml:space="preserve">De </w:t>
      </w:r>
      <w:proofErr w:type="spellStart"/>
      <w:r w:rsidRPr="00E420C3">
        <w:rPr>
          <w:rFonts w:ascii="Calibri" w:eastAsia="Times New Roman" w:hAnsi="Calibri" w:cs="Times New Roman"/>
          <w:szCs w:val="20"/>
        </w:rPr>
        <w:t>Snoo</w:t>
      </w:r>
      <w:proofErr w:type="spellEnd"/>
      <w:r w:rsidRPr="00E420C3">
        <w:rPr>
          <w:rFonts w:ascii="Calibri" w:eastAsia="Times New Roman" w:hAnsi="Calibri" w:cs="Times New Roman"/>
          <w:szCs w:val="20"/>
        </w:rPr>
        <w:t xml:space="preserve"> et al (</w:t>
      </w:r>
      <w:proofErr w:type="spellStart"/>
      <w:r w:rsidRPr="00E420C3">
        <w:rPr>
          <w:rFonts w:ascii="Calibri" w:eastAsia="Times New Roman" w:hAnsi="Calibri" w:cs="Times New Roman"/>
          <w:szCs w:val="20"/>
        </w:rPr>
        <w:t>Surg</w:t>
      </w:r>
      <w:proofErr w:type="spellEnd"/>
      <w:r w:rsidRPr="00E420C3">
        <w:rPr>
          <w:rFonts w:ascii="Calibri" w:eastAsia="Times New Roman" w:hAnsi="Calibri" w:cs="Times New Roman"/>
          <w:szCs w:val="20"/>
        </w:rPr>
        <w:t xml:space="preserve"> </w:t>
      </w:r>
      <w:proofErr w:type="spellStart"/>
      <w:r w:rsidRPr="00E420C3">
        <w:rPr>
          <w:rFonts w:ascii="Calibri" w:eastAsia="Times New Roman" w:hAnsi="Calibri" w:cs="Times New Roman"/>
          <w:szCs w:val="20"/>
        </w:rPr>
        <w:t>Oncol</w:t>
      </w:r>
      <w:proofErr w:type="spellEnd"/>
      <w:r w:rsidRPr="00E420C3">
        <w:rPr>
          <w:rFonts w:ascii="Calibri" w:eastAsia="Times New Roman" w:hAnsi="Calibri" w:cs="Times New Roman"/>
          <w:szCs w:val="20"/>
        </w:rPr>
        <w:t xml:space="preserve"> 2009) determined that a 10% risk of recurrence in untreated patients was used to determine the low risk category, as this would translate into a 5-6% recurrence risk if hormonal therapy was given. This was deemed sufficiently low so that patients would not be considered candidates for adjuvant chemotherapy. Conversely, the high risk threshold was set at a 30% risk of recurrence for untreated </w:t>
      </w:r>
      <w:r w:rsidRPr="00E420C3">
        <w:rPr>
          <w:rFonts w:ascii="Calibri" w:eastAsia="Times New Roman" w:hAnsi="Calibri" w:cs="Times New Roman"/>
          <w:szCs w:val="20"/>
        </w:rPr>
        <w:lastRenderedPageBreak/>
        <w:t xml:space="preserve">patients. All such patients would be appropriate candidates for adjuvant chemotherapy based on their risk of developing metastases at the accepted 30% benefit of adjuvant treatment. </w:t>
      </w:r>
    </w:p>
    <w:p w14:paraId="3CA6E7A6" w14:textId="77777777" w:rsidR="00E420C3" w:rsidRDefault="00E420C3" w:rsidP="00E420C3">
      <w:pPr>
        <w:spacing w:before="0" w:after="0"/>
        <w:ind w:left="360"/>
        <w:rPr>
          <w:rFonts w:ascii="Calibri" w:eastAsia="Times New Roman" w:hAnsi="Calibri" w:cs="Times New Roman"/>
          <w:szCs w:val="20"/>
        </w:rPr>
      </w:pPr>
    </w:p>
    <w:p w14:paraId="6A119F5F" w14:textId="77777777" w:rsidR="00E420C3" w:rsidRDefault="00E420C3" w:rsidP="00E420C3">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The clinical threshold was chosen to permit the creation of the largest group of ‘Low Risk’ intended use patients who could safely forego adjuvant chemotherapy without compromising their outcome. This equates to an untreated patient with lymph-node negative breast cancer having an average of a 10% risk (95% CI 4-15) of developing distant metastasis over the subsequent 10 years. </w:t>
      </w:r>
    </w:p>
    <w:p w14:paraId="69451787" w14:textId="77777777" w:rsidR="006110CD" w:rsidRDefault="006110CD" w:rsidP="00E420C3">
      <w:pPr>
        <w:spacing w:before="0" w:after="0"/>
        <w:ind w:left="360"/>
        <w:rPr>
          <w:rFonts w:ascii="Calibri" w:eastAsia="Times New Roman" w:hAnsi="Calibri" w:cs="Times New Roman"/>
          <w:szCs w:val="20"/>
        </w:rPr>
      </w:pPr>
    </w:p>
    <w:p w14:paraId="1AA489CF" w14:textId="37C6F297" w:rsidR="006110CD" w:rsidRDefault="006110CD" w:rsidP="00E420C3">
      <w:pPr>
        <w:spacing w:before="0" w:after="0"/>
        <w:ind w:left="360"/>
        <w:rPr>
          <w:rFonts w:ascii="Calibri" w:eastAsia="Times New Roman" w:hAnsi="Calibri" w:cs="Times New Roman"/>
          <w:szCs w:val="20"/>
        </w:rPr>
      </w:pPr>
      <w:r>
        <w:rPr>
          <w:rFonts w:ascii="Calibri" w:eastAsia="Times New Roman" w:hAnsi="Calibri" w:cs="Times New Roman"/>
          <w:szCs w:val="20"/>
        </w:rPr>
        <w:t>The above forms the basis for the binary result prese</w:t>
      </w:r>
      <w:r w:rsidR="008D5958">
        <w:rPr>
          <w:rFonts w:ascii="Calibri" w:eastAsia="Times New Roman" w:hAnsi="Calibri" w:cs="Times New Roman"/>
          <w:szCs w:val="20"/>
        </w:rPr>
        <w:t xml:space="preserve">nted to patient and clinician </w:t>
      </w:r>
      <w:r>
        <w:rPr>
          <w:rFonts w:ascii="Calibri" w:eastAsia="Times New Roman" w:hAnsi="Calibri" w:cs="Times New Roman"/>
          <w:szCs w:val="20"/>
        </w:rPr>
        <w:t>10 days later.</w:t>
      </w:r>
    </w:p>
    <w:p w14:paraId="1736612D" w14:textId="77777777" w:rsidR="006110CD" w:rsidRDefault="006110CD" w:rsidP="00E420C3">
      <w:pPr>
        <w:spacing w:before="0" w:after="0"/>
        <w:ind w:left="360"/>
        <w:rPr>
          <w:rFonts w:ascii="Calibri" w:eastAsia="Times New Roman" w:hAnsi="Calibri" w:cs="Times New Roman"/>
          <w:szCs w:val="20"/>
        </w:rPr>
      </w:pPr>
    </w:p>
    <w:p w14:paraId="1C3AA9E1" w14:textId="5E23D056" w:rsidR="006110CD" w:rsidRPr="006110CD" w:rsidRDefault="006110CD" w:rsidP="00E420C3">
      <w:pPr>
        <w:spacing w:before="0" w:after="0"/>
        <w:ind w:left="360"/>
        <w:rPr>
          <w:rFonts w:ascii="Calibri" w:eastAsia="Times New Roman" w:hAnsi="Calibri" w:cs="Times New Roman"/>
          <w:i/>
          <w:szCs w:val="20"/>
        </w:rPr>
      </w:pPr>
      <w:r>
        <w:rPr>
          <w:rFonts w:ascii="Calibri" w:eastAsia="Times New Roman" w:hAnsi="Calibri" w:cs="Times New Roman"/>
          <w:i/>
          <w:szCs w:val="20"/>
        </w:rPr>
        <w:t>Clinical Step 2: Consultation</w:t>
      </w:r>
    </w:p>
    <w:p w14:paraId="5D4056FD" w14:textId="733F4AC1" w:rsidR="00E420C3" w:rsidRPr="00E420C3" w:rsidRDefault="00E420C3" w:rsidP="00E420C3">
      <w:pPr>
        <w:spacing w:before="0" w:after="0"/>
        <w:rPr>
          <w:rFonts w:ascii="Calibri" w:eastAsia="Times New Roman" w:hAnsi="Calibri" w:cs="Times New Roman"/>
          <w:szCs w:val="20"/>
        </w:rPr>
      </w:pPr>
    </w:p>
    <w:p w14:paraId="7C79748C" w14:textId="58005DE4" w:rsidR="00B765AD" w:rsidRPr="00B765AD" w:rsidRDefault="00B765AD" w:rsidP="00B765AD">
      <w:pPr>
        <w:spacing w:before="0" w:after="0"/>
        <w:ind w:left="360"/>
        <w:rPr>
          <w:rFonts w:ascii="Calibri" w:eastAsia="Times New Roman" w:hAnsi="Calibri" w:cs="Times New Roman"/>
          <w:szCs w:val="20"/>
        </w:rPr>
      </w:pPr>
      <w:r w:rsidRPr="00E420C3">
        <w:rPr>
          <w:rFonts w:ascii="Calibri" w:eastAsia="Times New Roman" w:hAnsi="Calibri" w:cs="Times New Roman"/>
          <w:szCs w:val="20"/>
        </w:rPr>
        <w:t xml:space="preserve">With the patient’s genomic risk profile established, </w:t>
      </w:r>
      <w:r w:rsidR="006110CD">
        <w:rPr>
          <w:rFonts w:ascii="Calibri" w:eastAsia="Times New Roman" w:hAnsi="Calibri" w:cs="Times New Roman"/>
          <w:szCs w:val="20"/>
        </w:rPr>
        <w:t>patients and clinicians are afforded an extra prognostic factor to guide their treatment decision. The clinical utility and body of evidence supporting this are discussed elsewhere in this document. However</w:t>
      </w:r>
      <w:r w:rsidR="00BF6564">
        <w:rPr>
          <w:rFonts w:ascii="Calibri" w:eastAsia="Times New Roman" w:hAnsi="Calibri" w:cs="Times New Roman"/>
          <w:szCs w:val="20"/>
        </w:rPr>
        <w:t>,</w:t>
      </w:r>
      <w:r w:rsidR="006110CD">
        <w:rPr>
          <w:rFonts w:ascii="Calibri" w:eastAsia="Times New Roman" w:hAnsi="Calibri" w:cs="Times New Roman"/>
          <w:szCs w:val="20"/>
        </w:rPr>
        <w:t xml:space="preserve"> it is at this stage that </w:t>
      </w:r>
      <w:proofErr w:type="spellStart"/>
      <w:r w:rsidR="006110CD">
        <w:rPr>
          <w:rFonts w:ascii="Calibri" w:eastAsia="Times New Roman" w:hAnsi="Calibri" w:cs="Times New Roman"/>
          <w:szCs w:val="20"/>
        </w:rPr>
        <w:t>MammaPrint</w:t>
      </w:r>
      <w:proofErr w:type="spellEnd"/>
      <w:r w:rsidR="006110CD">
        <w:rPr>
          <w:rFonts w:ascii="Calibri" w:eastAsia="Times New Roman" w:hAnsi="Calibri" w:cs="Times New Roman"/>
          <w:szCs w:val="20"/>
        </w:rPr>
        <w:t xml:space="preserve"> must be considered for its clinical utility in allowing patients to consider forgoing chemotherapy if their genomic profile shows their tumour to be low risk.</w:t>
      </w:r>
      <w:r w:rsidR="006A2BEB">
        <w:rPr>
          <w:rFonts w:ascii="Calibri" w:eastAsia="Times New Roman" w:hAnsi="Calibri" w:cs="Times New Roman"/>
          <w:szCs w:val="20"/>
        </w:rPr>
        <w:t xml:space="preserve"> In cases such as these, endocrine therapy alone would be provided and chemotherapy reserved for those who are high risk.</w:t>
      </w:r>
    </w:p>
    <w:p w14:paraId="1974132B" w14:textId="358110F3" w:rsidR="00B765AD" w:rsidRPr="00E420C3" w:rsidRDefault="0034266C" w:rsidP="006110CD">
      <w:pPr>
        <w:rPr>
          <w:rFonts w:ascii="Calibri" w:hAnsi="Calibri"/>
          <w:szCs w:val="20"/>
        </w:rPr>
      </w:pPr>
      <w:r>
        <w:rPr>
          <w:rFonts w:ascii="Calibri" w:hAnsi="Calibri"/>
          <w:szCs w:val="20"/>
        </w:rPr>
        <w:t xml:space="preserve"> </w:t>
      </w:r>
    </w:p>
    <w:p w14:paraId="05E2B62B" w14:textId="77777777" w:rsidR="002A6753" w:rsidRPr="00E420C3" w:rsidRDefault="002A6753" w:rsidP="00530204">
      <w:pPr>
        <w:pStyle w:val="Heading2"/>
        <w:rPr>
          <w:rFonts w:ascii="Calibri" w:hAnsi="Calibri"/>
        </w:rPr>
      </w:pPr>
      <w:r w:rsidRPr="00E420C3">
        <w:rPr>
          <w:rFonts w:ascii="Calibri" w:hAnsi="Calibri"/>
        </w:rPr>
        <w:t>Does the proposed medical service include a registered trademark</w:t>
      </w:r>
      <w:r w:rsidR="00707D4D" w:rsidRPr="00E420C3">
        <w:rPr>
          <w:rFonts w:ascii="Calibri" w:hAnsi="Calibri"/>
        </w:rPr>
        <w:t xml:space="preserve"> component</w:t>
      </w:r>
      <w:r w:rsidRPr="00E420C3">
        <w:rPr>
          <w:rFonts w:ascii="Calibri" w:hAnsi="Calibri"/>
        </w:rPr>
        <w:t xml:space="preserve"> with characteristics that distinguishes it from other similar health </w:t>
      </w:r>
      <w:r w:rsidR="00707D4D" w:rsidRPr="00E420C3">
        <w:rPr>
          <w:rFonts w:ascii="Calibri" w:hAnsi="Calibri"/>
        </w:rPr>
        <w:t>components</w:t>
      </w:r>
      <w:r w:rsidRPr="00E420C3">
        <w:rPr>
          <w:rFonts w:ascii="Calibri" w:hAnsi="Calibri"/>
        </w:rPr>
        <w:t>?</w:t>
      </w:r>
    </w:p>
    <w:p w14:paraId="65733B14" w14:textId="75E63EE9" w:rsidR="002A6753" w:rsidRDefault="006110CD" w:rsidP="00E357B9">
      <w:pPr>
        <w:ind w:left="426"/>
        <w:rPr>
          <w:rFonts w:ascii="Calibri" w:hAnsi="Calibri"/>
          <w:szCs w:val="20"/>
        </w:rPr>
      </w:pPr>
      <w:proofErr w:type="spellStart"/>
      <w:r>
        <w:rPr>
          <w:rFonts w:ascii="Calibri" w:hAnsi="Calibri"/>
          <w:szCs w:val="20"/>
        </w:rPr>
        <w:t>MammaPrint</w:t>
      </w:r>
      <w:proofErr w:type="spellEnd"/>
      <w:r>
        <w:rPr>
          <w:rFonts w:ascii="Calibri" w:hAnsi="Calibri"/>
          <w:szCs w:val="20"/>
        </w:rPr>
        <w:t xml:space="preserve"> is registered with Australian trademark number 1234096. It was lodged on 27/11/2007 and has a status of Registered/Protected. The applicant/owner of the trademark is registe</w:t>
      </w:r>
      <w:r w:rsidR="006A2BEB">
        <w:rPr>
          <w:rFonts w:ascii="Calibri" w:hAnsi="Calibri"/>
          <w:szCs w:val="20"/>
        </w:rPr>
        <w:t>re</w:t>
      </w:r>
      <w:r>
        <w:rPr>
          <w:rFonts w:ascii="Calibri" w:hAnsi="Calibri"/>
          <w:szCs w:val="20"/>
        </w:rPr>
        <w:t>d as AGENDIA BV.</w:t>
      </w:r>
    </w:p>
    <w:p w14:paraId="05C9C628" w14:textId="73604645" w:rsidR="006A2BEB" w:rsidRPr="00E420C3" w:rsidRDefault="006A2BEB" w:rsidP="00E357B9">
      <w:pPr>
        <w:ind w:left="426"/>
        <w:rPr>
          <w:rFonts w:ascii="Calibri" w:hAnsi="Calibri"/>
          <w:szCs w:val="20"/>
        </w:rPr>
      </w:pPr>
      <w:r>
        <w:rPr>
          <w:rFonts w:ascii="Calibri" w:hAnsi="Calibri"/>
          <w:szCs w:val="20"/>
        </w:rPr>
        <w:t xml:space="preserve">Similar health components are other gene profiling tests. The primary point of difference </w:t>
      </w:r>
      <w:r w:rsidR="004A5D71">
        <w:rPr>
          <w:rFonts w:ascii="Calibri" w:hAnsi="Calibri"/>
          <w:szCs w:val="20"/>
        </w:rPr>
        <w:t>between</w:t>
      </w:r>
      <w:r>
        <w:rPr>
          <w:rFonts w:ascii="Calibri" w:hAnsi="Calibri"/>
          <w:szCs w:val="20"/>
        </w:rPr>
        <w:t xml:space="preserve"> these tests, with respect to the nature of the trademark, is the genes utilised in the analysis and the methods and algorithms involved. </w:t>
      </w:r>
    </w:p>
    <w:p w14:paraId="10AE5598" w14:textId="77777777" w:rsidR="00C22AD8" w:rsidRPr="00E420C3" w:rsidRDefault="00C22AD8" w:rsidP="00530204">
      <w:pPr>
        <w:pStyle w:val="Heading2"/>
        <w:rPr>
          <w:rFonts w:ascii="Calibri" w:hAnsi="Calibri"/>
        </w:rPr>
      </w:pPr>
      <w:r w:rsidRPr="00E420C3">
        <w:rPr>
          <w:rFonts w:ascii="Calibri" w:hAnsi="Calibri"/>
        </w:rPr>
        <w:t>If the proposed medical service has a prosthesis or device component to it, does it involve a new approach towards managing a particular sub-group of the population with the specific medical condition?</w:t>
      </w:r>
    </w:p>
    <w:p w14:paraId="0B166E35" w14:textId="24A84636" w:rsidR="00DF0C51" w:rsidRPr="00E420C3" w:rsidRDefault="00386156" w:rsidP="00E357B9">
      <w:pPr>
        <w:ind w:left="426"/>
        <w:rPr>
          <w:rFonts w:ascii="Calibri" w:hAnsi="Calibri"/>
          <w:b/>
          <w:szCs w:val="20"/>
        </w:rPr>
      </w:pPr>
      <w:r>
        <w:rPr>
          <w:rFonts w:ascii="Calibri" w:hAnsi="Calibri"/>
          <w:szCs w:val="20"/>
        </w:rPr>
        <w:t>Yes, as reported and confirmed with Level 1A evidence in the MINDACT trial.</w:t>
      </w:r>
    </w:p>
    <w:p w14:paraId="768E8D64" w14:textId="77777777" w:rsidR="006B1B49" w:rsidRPr="00E420C3" w:rsidRDefault="006B1B49" w:rsidP="00530204">
      <w:pPr>
        <w:pStyle w:val="Heading2"/>
        <w:rPr>
          <w:rFonts w:ascii="Calibri" w:hAnsi="Calibri"/>
        </w:rPr>
      </w:pPr>
      <w:r w:rsidRPr="00E420C3">
        <w:rPr>
          <w:rFonts w:ascii="Calibri" w:hAnsi="Calibri"/>
        </w:rPr>
        <w:t xml:space="preserve">If applicable, are there any limitations on the </w:t>
      </w:r>
      <w:r w:rsidR="00DF0C51" w:rsidRPr="00E420C3">
        <w:rPr>
          <w:rFonts w:ascii="Calibri" w:hAnsi="Calibri"/>
        </w:rPr>
        <w:t xml:space="preserve">provision </w:t>
      </w:r>
      <w:r w:rsidRPr="00E420C3">
        <w:rPr>
          <w:rFonts w:ascii="Calibri" w:hAnsi="Calibri"/>
        </w:rPr>
        <w:t>of the proposed medical se</w:t>
      </w:r>
      <w:r w:rsidR="00DF0C51" w:rsidRPr="00E420C3">
        <w:rPr>
          <w:rFonts w:ascii="Calibri" w:hAnsi="Calibri"/>
        </w:rPr>
        <w:t xml:space="preserve">rvice delivered to the patient </w:t>
      </w:r>
      <w:r w:rsidR="00D30BDC" w:rsidRPr="00E420C3">
        <w:rPr>
          <w:rFonts w:ascii="Calibri" w:hAnsi="Calibri"/>
        </w:rPr>
        <w:t>(</w:t>
      </w:r>
      <w:r w:rsidR="00DF0C51" w:rsidRPr="00E420C3">
        <w:rPr>
          <w:rFonts w:ascii="Calibri" w:hAnsi="Calibri"/>
        </w:rPr>
        <w:t>i</w:t>
      </w:r>
      <w:r w:rsidR="00812EDD" w:rsidRPr="00E420C3">
        <w:rPr>
          <w:rFonts w:ascii="Calibri" w:hAnsi="Calibri"/>
        </w:rPr>
        <w:t>.</w:t>
      </w:r>
      <w:r w:rsidR="00DF0C51" w:rsidRPr="00E420C3">
        <w:rPr>
          <w:rFonts w:ascii="Calibri" w:hAnsi="Calibri"/>
        </w:rPr>
        <w:t xml:space="preserve">e. </w:t>
      </w:r>
      <w:r w:rsidR="00707D4D" w:rsidRPr="00E420C3">
        <w:rPr>
          <w:rFonts w:ascii="Calibri" w:hAnsi="Calibri"/>
        </w:rPr>
        <w:t xml:space="preserve">accessibility, </w:t>
      </w:r>
      <w:r w:rsidR="00DF0C51" w:rsidRPr="00E420C3">
        <w:rPr>
          <w:rFonts w:ascii="Calibri" w:hAnsi="Calibri"/>
        </w:rPr>
        <w:t>dosage, quantity, duration or frequency</w:t>
      </w:r>
      <w:r w:rsidR="00D30BDC" w:rsidRPr="00E420C3">
        <w:rPr>
          <w:rFonts w:ascii="Calibri" w:hAnsi="Calibri"/>
        </w:rPr>
        <w:t>)</w:t>
      </w:r>
      <w:r w:rsidR="00AE1188" w:rsidRPr="00E420C3">
        <w:rPr>
          <w:rFonts w:ascii="Calibri" w:hAnsi="Calibri"/>
        </w:rPr>
        <w:t>:</w:t>
      </w:r>
    </w:p>
    <w:p w14:paraId="5D38645C" w14:textId="5A15D439" w:rsidR="006A2BEB" w:rsidRDefault="006A2BEB" w:rsidP="00F237DD">
      <w:pPr>
        <w:ind w:left="360"/>
        <w:rPr>
          <w:rFonts w:ascii="Calibri" w:hAnsi="Calibri"/>
          <w:szCs w:val="20"/>
        </w:rPr>
      </w:pPr>
      <w:r>
        <w:rPr>
          <w:rFonts w:ascii="Calibri" w:hAnsi="Calibri"/>
          <w:szCs w:val="20"/>
        </w:rPr>
        <w:t xml:space="preserve">The primary limitations on the provision of the proposed medical services are quantity and duration. As this test is only indicated in primary tumours, the average patient will only require this test once. </w:t>
      </w:r>
    </w:p>
    <w:p w14:paraId="127B6C12" w14:textId="5DE56F22" w:rsidR="006A2BEB" w:rsidRPr="005E5A09" w:rsidRDefault="006A2BEB" w:rsidP="006A2BEB">
      <w:pPr>
        <w:spacing w:before="0" w:after="0"/>
        <w:ind w:left="360"/>
        <w:rPr>
          <w:rFonts w:ascii="Calibri" w:eastAsia="Times New Roman" w:hAnsi="Calibri" w:cs="Times New Roman"/>
          <w:szCs w:val="20"/>
        </w:rPr>
      </w:pPr>
      <w:r w:rsidRPr="006A2BEB">
        <w:rPr>
          <w:rFonts w:ascii="Calibri" w:hAnsi="Calibri"/>
          <w:szCs w:val="20"/>
        </w:rPr>
        <w:t>A</w:t>
      </w:r>
      <w:r w:rsidR="008D5958">
        <w:rPr>
          <w:rFonts w:ascii="Calibri" w:hAnsi="Calibri"/>
          <w:szCs w:val="20"/>
        </w:rPr>
        <w:t xml:space="preserve">s discussed above, there is a </w:t>
      </w:r>
      <w:r w:rsidRPr="006A2BEB">
        <w:rPr>
          <w:rFonts w:ascii="Calibri" w:hAnsi="Calibri"/>
          <w:szCs w:val="20"/>
        </w:rPr>
        <w:t xml:space="preserve">10 day turnaround for the provision of results to treating clinicians. </w:t>
      </w:r>
      <w:r w:rsidRPr="006A2BEB">
        <w:rPr>
          <w:rFonts w:ascii="Calibri" w:eastAsia="Times New Roman" w:hAnsi="Calibri" w:cs="Times New Roman"/>
          <w:szCs w:val="20"/>
        </w:rPr>
        <w:t xml:space="preserve">Expert opinion sought on the time to commence adjuvant chemotherapy after surgery indicates that treatment usually commenced within 6 weeks after surgery. The results of the </w:t>
      </w:r>
      <w:proofErr w:type="spellStart"/>
      <w:r w:rsidRPr="006A2BEB">
        <w:rPr>
          <w:rFonts w:ascii="Calibri" w:eastAsia="Times New Roman" w:hAnsi="Calibri" w:cs="Times New Roman"/>
          <w:szCs w:val="20"/>
        </w:rPr>
        <w:t>MammaPrint</w:t>
      </w:r>
      <w:proofErr w:type="spellEnd"/>
      <w:r w:rsidRPr="006A2BEB">
        <w:rPr>
          <w:rFonts w:ascii="Calibri" w:eastAsia="Times New Roman" w:hAnsi="Calibri" w:cs="Times New Roman"/>
          <w:szCs w:val="20"/>
        </w:rPr>
        <w:t xml:space="preserve"> test are available </w:t>
      </w:r>
      <w:r w:rsidR="008D5958">
        <w:rPr>
          <w:rFonts w:ascii="Calibri" w:eastAsia="Times New Roman" w:hAnsi="Calibri" w:cs="Times New Roman"/>
          <w:szCs w:val="20"/>
        </w:rPr>
        <w:t xml:space="preserve">within </w:t>
      </w:r>
      <w:r w:rsidRPr="005E5A09">
        <w:rPr>
          <w:rFonts w:ascii="Calibri" w:eastAsia="Times New Roman" w:hAnsi="Calibri" w:cs="Times New Roman"/>
          <w:szCs w:val="20"/>
        </w:rPr>
        <w:t xml:space="preserve">10 days of the sample being sent to Genome Investigation in Australia (including delivery to the </w:t>
      </w:r>
      <w:proofErr w:type="spellStart"/>
      <w:r w:rsidRPr="005E5A09">
        <w:rPr>
          <w:rFonts w:ascii="Calibri" w:eastAsia="Times New Roman" w:hAnsi="Calibri" w:cs="Times New Roman"/>
          <w:szCs w:val="20"/>
        </w:rPr>
        <w:t>Agendia</w:t>
      </w:r>
      <w:proofErr w:type="spellEnd"/>
      <w:r w:rsidRPr="005E5A09">
        <w:rPr>
          <w:rFonts w:ascii="Calibri" w:eastAsia="Times New Roman" w:hAnsi="Calibri" w:cs="Times New Roman"/>
          <w:szCs w:val="20"/>
        </w:rPr>
        <w:t xml:space="preserve"> laboratory in Irvine, California, USA) therefore imposing no delay for treatment to commence.</w:t>
      </w:r>
    </w:p>
    <w:p w14:paraId="2DF7ADE5" w14:textId="77777777" w:rsidR="005E5A09" w:rsidRPr="005E5A09" w:rsidRDefault="005E5A09" w:rsidP="006A2BEB">
      <w:pPr>
        <w:spacing w:before="0" w:after="0"/>
        <w:ind w:left="360"/>
        <w:rPr>
          <w:rFonts w:ascii="Calibri" w:eastAsia="Times New Roman" w:hAnsi="Calibri" w:cs="Times New Roman"/>
          <w:szCs w:val="20"/>
        </w:rPr>
      </w:pPr>
    </w:p>
    <w:p w14:paraId="16D78421" w14:textId="0C9D4D07" w:rsidR="005E5A09" w:rsidRPr="00386156" w:rsidRDefault="005E5A09" w:rsidP="00386156">
      <w:pPr>
        <w:spacing w:before="0" w:after="0"/>
        <w:ind w:left="360"/>
        <w:rPr>
          <w:rFonts w:ascii="Calibri" w:eastAsia="Times New Roman" w:hAnsi="Calibri" w:cs="Times New Roman"/>
          <w:szCs w:val="20"/>
        </w:rPr>
      </w:pPr>
      <w:r>
        <w:rPr>
          <w:rFonts w:ascii="Calibri" w:eastAsia="Times New Roman" w:hAnsi="Calibri" w:cs="Times New Roman"/>
          <w:szCs w:val="20"/>
        </w:rPr>
        <w:t>In around 3%, there is a requirement for repeat testing</w:t>
      </w:r>
      <w:r w:rsidRPr="005E5A09">
        <w:rPr>
          <w:rFonts w:ascii="Calibri" w:eastAsia="Times New Roman" w:hAnsi="Calibri" w:cs="Times New Roman"/>
          <w:szCs w:val="20"/>
        </w:rPr>
        <w:t xml:space="preserve">. </w:t>
      </w:r>
      <w:proofErr w:type="spellStart"/>
      <w:r w:rsidRPr="005E5A09">
        <w:rPr>
          <w:rFonts w:ascii="Calibri" w:eastAsia="Times New Roman" w:hAnsi="Calibri" w:cs="Times New Roman"/>
          <w:szCs w:val="20"/>
        </w:rPr>
        <w:t>Sapino</w:t>
      </w:r>
      <w:proofErr w:type="spellEnd"/>
      <w:r w:rsidRPr="005E5A09">
        <w:rPr>
          <w:rFonts w:ascii="Calibri" w:eastAsia="Times New Roman" w:hAnsi="Calibri" w:cs="Times New Roman"/>
          <w:szCs w:val="20"/>
        </w:rPr>
        <w:t xml:space="preserve"> et al (Journal of Molecular Diagnostics 2013) state in their review entitled “</w:t>
      </w:r>
      <w:proofErr w:type="spellStart"/>
      <w:r w:rsidRPr="005E5A09">
        <w:rPr>
          <w:rFonts w:ascii="Calibri" w:eastAsia="Times New Roman" w:hAnsi="Calibri" w:cs="Times New Roman"/>
          <w:szCs w:val="20"/>
        </w:rPr>
        <w:t>MammaPrint</w:t>
      </w:r>
      <w:proofErr w:type="spellEnd"/>
      <w:r w:rsidRPr="005E5A09">
        <w:rPr>
          <w:rFonts w:ascii="Calibri" w:eastAsia="Times New Roman" w:hAnsi="Calibri" w:cs="Times New Roman"/>
          <w:szCs w:val="20"/>
        </w:rPr>
        <w:t xml:space="preserve"> Molecular Diagnostics on Formalin-Fixed Paraffin-Embedded Tissue” that “FFPE sample processing had a success rate of 97%.” This is a significant improvement over the earlier fresh tissue processing where higher failure rates were reported. Causes of failures are derived from insufficient invasive tumour, insufficient RNA or </w:t>
      </w:r>
      <w:proofErr w:type="spellStart"/>
      <w:r w:rsidRPr="005E5A09">
        <w:rPr>
          <w:rFonts w:ascii="Calibri" w:eastAsia="Times New Roman" w:hAnsi="Calibri" w:cs="Times New Roman"/>
          <w:szCs w:val="20"/>
        </w:rPr>
        <w:t>unevaluable</w:t>
      </w:r>
      <w:proofErr w:type="spellEnd"/>
      <w:r w:rsidRPr="005E5A09">
        <w:rPr>
          <w:rFonts w:ascii="Calibri" w:eastAsia="Times New Roman" w:hAnsi="Calibri" w:cs="Times New Roman"/>
          <w:szCs w:val="20"/>
        </w:rPr>
        <w:t xml:space="preserve"> slides. In such cases it is necessary to resubmit a sample for </w:t>
      </w:r>
      <w:proofErr w:type="spellStart"/>
      <w:r w:rsidRPr="005E5A09">
        <w:rPr>
          <w:rFonts w:ascii="Calibri" w:eastAsia="Times New Roman" w:hAnsi="Calibri" w:cs="Times New Roman"/>
          <w:szCs w:val="20"/>
        </w:rPr>
        <w:t>MammaPrint</w:t>
      </w:r>
      <w:proofErr w:type="spellEnd"/>
      <w:r w:rsidRPr="005E5A09">
        <w:rPr>
          <w:rFonts w:ascii="Calibri" w:eastAsia="Times New Roman" w:hAnsi="Calibri" w:cs="Times New Roman"/>
          <w:szCs w:val="20"/>
        </w:rPr>
        <w:t xml:space="preserve"> testing or repeat the </w:t>
      </w:r>
      <w:proofErr w:type="spellStart"/>
      <w:r w:rsidRPr="005E5A09">
        <w:rPr>
          <w:rFonts w:ascii="Calibri" w:eastAsia="Times New Roman" w:hAnsi="Calibri" w:cs="Times New Roman"/>
          <w:szCs w:val="20"/>
        </w:rPr>
        <w:t>MammaPrint</w:t>
      </w:r>
      <w:proofErr w:type="spellEnd"/>
      <w:r w:rsidRPr="005E5A09">
        <w:rPr>
          <w:rFonts w:ascii="Calibri" w:eastAsia="Times New Roman" w:hAnsi="Calibri" w:cs="Times New Roman"/>
          <w:szCs w:val="20"/>
        </w:rPr>
        <w:t xml:space="preserve"> test, in both circumstances the costs are borne by </w:t>
      </w:r>
      <w:proofErr w:type="spellStart"/>
      <w:r w:rsidRPr="005E5A09">
        <w:rPr>
          <w:rFonts w:ascii="Calibri" w:eastAsia="Times New Roman" w:hAnsi="Calibri" w:cs="Times New Roman"/>
          <w:szCs w:val="20"/>
        </w:rPr>
        <w:t>Agendia</w:t>
      </w:r>
      <w:proofErr w:type="spellEnd"/>
      <w:r w:rsidRPr="005E5A09">
        <w:rPr>
          <w:rFonts w:ascii="Calibri" w:eastAsia="Times New Roman" w:hAnsi="Calibri" w:cs="Times New Roman"/>
          <w:szCs w:val="20"/>
        </w:rPr>
        <w:t xml:space="preserve">. </w:t>
      </w:r>
      <w:r>
        <w:rPr>
          <w:rFonts w:ascii="Calibri" w:eastAsia="Times New Roman" w:hAnsi="Calibri" w:cs="Times New Roman"/>
          <w:szCs w:val="20"/>
        </w:rPr>
        <w:t>Whilst this is a foreseeable possibility, it is not envisaged to apply to the majority of cases however it should be noted as a limitation nonetheless.</w:t>
      </w:r>
    </w:p>
    <w:p w14:paraId="0E29FFB6" w14:textId="77777777" w:rsidR="00461776" w:rsidRPr="006A2BEB" w:rsidRDefault="00461776" w:rsidP="00461776">
      <w:pPr>
        <w:spacing w:before="0" w:after="0"/>
        <w:rPr>
          <w:rFonts w:ascii="Calibri" w:eastAsia="Times New Roman" w:hAnsi="Calibri" w:cs="Times New Roman"/>
          <w:szCs w:val="20"/>
        </w:rPr>
      </w:pPr>
    </w:p>
    <w:p w14:paraId="1F97782A" w14:textId="77777777" w:rsidR="00791C8D" w:rsidRPr="00E420C3" w:rsidRDefault="00791C8D" w:rsidP="00530204">
      <w:pPr>
        <w:pStyle w:val="Heading2"/>
        <w:rPr>
          <w:rFonts w:ascii="Calibri" w:hAnsi="Calibri"/>
        </w:rPr>
      </w:pPr>
      <w:r w:rsidRPr="00E420C3">
        <w:rPr>
          <w:rFonts w:ascii="Calibri" w:hAnsi="Calibri"/>
        </w:rPr>
        <w:t xml:space="preserve">If applicable, identify any healthcare resources </w:t>
      </w:r>
      <w:r w:rsidR="007522E3" w:rsidRPr="00E420C3">
        <w:rPr>
          <w:rFonts w:ascii="Calibri" w:hAnsi="Calibri"/>
        </w:rPr>
        <w:t xml:space="preserve">or other medical services </w:t>
      </w:r>
      <w:r w:rsidRPr="00E420C3">
        <w:rPr>
          <w:rFonts w:ascii="Calibri" w:hAnsi="Calibri"/>
        </w:rPr>
        <w:t xml:space="preserve">that would need to be delivered </w:t>
      </w:r>
      <w:r w:rsidRPr="00E420C3">
        <w:rPr>
          <w:rFonts w:ascii="Calibri" w:hAnsi="Calibri"/>
          <w:u w:val="single"/>
        </w:rPr>
        <w:t>at the same time</w:t>
      </w:r>
      <w:r w:rsidRPr="00E420C3">
        <w:rPr>
          <w:rFonts w:ascii="Calibri" w:hAnsi="Calibri"/>
        </w:rPr>
        <w:t xml:space="preserve"> </w:t>
      </w:r>
      <w:r w:rsidR="00197D29" w:rsidRPr="00E420C3">
        <w:rPr>
          <w:rFonts w:ascii="Calibri" w:hAnsi="Calibri"/>
        </w:rPr>
        <w:t>as the proposed medical service:</w:t>
      </w:r>
    </w:p>
    <w:p w14:paraId="10E9952A" w14:textId="57EB3210" w:rsidR="00791C8D" w:rsidRPr="00E420C3" w:rsidRDefault="005E5A09" w:rsidP="00884E69">
      <w:pPr>
        <w:ind w:left="426"/>
        <w:rPr>
          <w:rFonts w:ascii="Calibri" w:hAnsi="Calibri"/>
          <w:szCs w:val="20"/>
        </w:rPr>
      </w:pPr>
      <w:r>
        <w:rPr>
          <w:rFonts w:ascii="Calibri" w:hAnsi="Calibri"/>
          <w:szCs w:val="20"/>
        </w:rPr>
        <w:lastRenderedPageBreak/>
        <w:t>N/A</w:t>
      </w:r>
    </w:p>
    <w:p w14:paraId="6C0C1EAF" w14:textId="77777777" w:rsidR="00B17E26" w:rsidRPr="00E420C3" w:rsidRDefault="00B17E26" w:rsidP="00530204">
      <w:pPr>
        <w:pStyle w:val="Heading2"/>
        <w:rPr>
          <w:rFonts w:ascii="Calibri" w:hAnsi="Calibri"/>
        </w:rPr>
      </w:pPr>
      <w:r w:rsidRPr="00E420C3">
        <w:rPr>
          <w:rFonts w:ascii="Calibri" w:hAnsi="Calibri"/>
        </w:rPr>
        <w:t>If applicable, advise which health profession</w:t>
      </w:r>
      <w:r w:rsidR="00E4321E" w:rsidRPr="00E420C3">
        <w:rPr>
          <w:rFonts w:ascii="Calibri" w:hAnsi="Calibri"/>
        </w:rPr>
        <w:t xml:space="preserve">als </w:t>
      </w:r>
      <w:r w:rsidRPr="00E420C3">
        <w:rPr>
          <w:rFonts w:ascii="Calibri" w:hAnsi="Calibri"/>
        </w:rPr>
        <w:t>will</w:t>
      </w:r>
      <w:r w:rsidR="00E4321E" w:rsidRPr="00E420C3">
        <w:rPr>
          <w:rFonts w:ascii="Calibri" w:hAnsi="Calibri"/>
        </w:rPr>
        <w:t xml:space="preserve"> </w:t>
      </w:r>
      <w:r w:rsidR="007D2358" w:rsidRPr="00E420C3">
        <w:rPr>
          <w:rFonts w:ascii="Calibri" w:hAnsi="Calibri"/>
        </w:rPr>
        <w:t xml:space="preserve">primarily deliver the </w:t>
      </w:r>
      <w:r w:rsidR="00E4321E" w:rsidRPr="00E420C3">
        <w:rPr>
          <w:rFonts w:ascii="Calibri" w:hAnsi="Calibri"/>
        </w:rPr>
        <w:t xml:space="preserve">proposed </w:t>
      </w:r>
      <w:r w:rsidR="00AE1188" w:rsidRPr="00E420C3">
        <w:rPr>
          <w:rFonts w:ascii="Calibri" w:hAnsi="Calibri"/>
        </w:rPr>
        <w:t>service:</w:t>
      </w:r>
    </w:p>
    <w:p w14:paraId="280202C8" w14:textId="1786D9B6" w:rsidR="00B17E26" w:rsidRPr="00E420C3" w:rsidRDefault="005E5A09" w:rsidP="00884E69">
      <w:pPr>
        <w:ind w:left="426"/>
        <w:rPr>
          <w:rFonts w:ascii="Calibri" w:hAnsi="Calibri"/>
          <w:szCs w:val="20"/>
        </w:rPr>
      </w:pPr>
      <w:r>
        <w:rPr>
          <w:rFonts w:ascii="Calibri" w:hAnsi="Calibri"/>
          <w:szCs w:val="20"/>
        </w:rPr>
        <w:t xml:space="preserve">Qualified and accredited medical and surgical oncologists will be the primary </w:t>
      </w:r>
      <w:r w:rsidR="00C439C7">
        <w:rPr>
          <w:rFonts w:ascii="Calibri" w:hAnsi="Calibri"/>
          <w:szCs w:val="20"/>
        </w:rPr>
        <w:t>referrers</w:t>
      </w:r>
      <w:r>
        <w:rPr>
          <w:rFonts w:ascii="Calibri" w:hAnsi="Calibri"/>
          <w:szCs w:val="20"/>
        </w:rPr>
        <w:t xml:space="preserve"> of this service.</w:t>
      </w:r>
      <w:r w:rsidR="00C439C7">
        <w:rPr>
          <w:rFonts w:ascii="Calibri" w:hAnsi="Calibri"/>
          <w:szCs w:val="20"/>
        </w:rPr>
        <w:t xml:space="preserve"> Australian pathologists will provide the tissue and the </w:t>
      </w:r>
      <w:proofErr w:type="spellStart"/>
      <w:r w:rsidR="00C439C7">
        <w:rPr>
          <w:rFonts w:ascii="Calibri" w:hAnsi="Calibri"/>
          <w:szCs w:val="20"/>
        </w:rPr>
        <w:t>Agendia</w:t>
      </w:r>
      <w:proofErr w:type="spellEnd"/>
      <w:r w:rsidR="00C439C7">
        <w:rPr>
          <w:rFonts w:ascii="Calibri" w:hAnsi="Calibri"/>
          <w:szCs w:val="20"/>
        </w:rPr>
        <w:t xml:space="preserve"> laboratory in Los Angeles will perform the </w:t>
      </w:r>
      <w:proofErr w:type="spellStart"/>
      <w:r w:rsidR="00C439C7">
        <w:rPr>
          <w:rFonts w:ascii="Calibri" w:hAnsi="Calibri"/>
          <w:szCs w:val="20"/>
        </w:rPr>
        <w:t>MammaPrint</w:t>
      </w:r>
      <w:proofErr w:type="spellEnd"/>
      <w:r w:rsidR="00C439C7">
        <w:rPr>
          <w:rFonts w:ascii="Calibri" w:hAnsi="Calibri"/>
          <w:szCs w:val="20"/>
        </w:rPr>
        <w:t xml:space="preserve"> test.</w:t>
      </w:r>
    </w:p>
    <w:p w14:paraId="70317903" w14:textId="77777777" w:rsidR="00B17E26" w:rsidRPr="00E420C3" w:rsidRDefault="00B17E26" w:rsidP="00530204">
      <w:pPr>
        <w:pStyle w:val="Heading2"/>
        <w:rPr>
          <w:rFonts w:ascii="Calibri" w:hAnsi="Calibri"/>
        </w:rPr>
      </w:pPr>
      <w:r w:rsidRPr="00E420C3">
        <w:rPr>
          <w:rFonts w:ascii="Calibri" w:hAnsi="Calibri"/>
        </w:rPr>
        <w:t>If applicable, advise whether the proposed medical service could be delegated or referred to another professional for delive</w:t>
      </w:r>
      <w:r w:rsidR="00AE1188" w:rsidRPr="00E420C3">
        <w:rPr>
          <w:rFonts w:ascii="Calibri" w:hAnsi="Calibri"/>
        </w:rPr>
        <w:t>ry:</w:t>
      </w:r>
    </w:p>
    <w:p w14:paraId="34FC576F" w14:textId="54ABFACA" w:rsidR="00B17E26" w:rsidRPr="00E420C3" w:rsidRDefault="00C439C7" w:rsidP="00884E69">
      <w:pPr>
        <w:ind w:left="426"/>
        <w:rPr>
          <w:rFonts w:ascii="Calibri" w:hAnsi="Calibri"/>
          <w:szCs w:val="20"/>
        </w:rPr>
      </w:pPr>
      <w:r>
        <w:rPr>
          <w:rFonts w:ascii="Calibri" w:hAnsi="Calibri"/>
          <w:szCs w:val="20"/>
        </w:rPr>
        <w:t>Not as yet.</w:t>
      </w:r>
    </w:p>
    <w:p w14:paraId="4FB3142A" w14:textId="77777777" w:rsidR="00EA0E25" w:rsidRPr="00E420C3" w:rsidRDefault="00EA0E25" w:rsidP="00530204">
      <w:pPr>
        <w:pStyle w:val="Heading2"/>
        <w:rPr>
          <w:rFonts w:ascii="Calibri" w:hAnsi="Calibri"/>
        </w:rPr>
      </w:pPr>
      <w:r w:rsidRPr="00E420C3">
        <w:rPr>
          <w:rFonts w:ascii="Calibri" w:hAnsi="Calibri"/>
        </w:rPr>
        <w:t xml:space="preserve">If applicable, specify any proposed limitations on who might deliver the proposed medical service, or who </w:t>
      </w:r>
      <w:r w:rsidR="00AE1188" w:rsidRPr="00E420C3">
        <w:rPr>
          <w:rFonts w:ascii="Calibri" w:hAnsi="Calibri"/>
        </w:rPr>
        <w:t>might provide a referral for it:</w:t>
      </w:r>
    </w:p>
    <w:p w14:paraId="24197D1B" w14:textId="2EB4CC55" w:rsidR="00EA0E25" w:rsidRPr="00154B00" w:rsidRDefault="00C439C7" w:rsidP="00BC424B">
      <w:pPr>
        <w:ind w:left="426"/>
        <w:rPr>
          <w:szCs w:val="20"/>
        </w:rPr>
      </w:pPr>
      <w:proofErr w:type="spellStart"/>
      <w:r>
        <w:t>Agendia</w:t>
      </w:r>
      <w:proofErr w:type="spellEnd"/>
      <w:r>
        <w:t xml:space="preserve"> Incorporated in the USA deliver the proposed service, and Australian surgical and medical oncologists provide a referral for the </w:t>
      </w:r>
      <w:proofErr w:type="spellStart"/>
      <w:r>
        <w:t>MammaPrint</w:t>
      </w:r>
      <w:proofErr w:type="spellEnd"/>
      <w:r>
        <w:t xml:space="preserve"> service.</w:t>
      </w:r>
    </w:p>
    <w:p w14:paraId="00E1333A"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A76F74F" w14:textId="6EB00414" w:rsidR="00EA0E25" w:rsidRDefault="00343B2F" w:rsidP="00993ECA">
      <w:pPr>
        <w:spacing w:before="240"/>
        <w:ind w:left="426"/>
        <w:rPr>
          <w:b/>
          <w:color w:val="FF0000"/>
        </w:rPr>
      </w:pPr>
      <w:r>
        <w:rPr>
          <w:color w:val="000000" w:themeColor="text1"/>
        </w:rPr>
        <w:t>T</w:t>
      </w:r>
      <w:r w:rsidR="00993ECA">
        <w:rPr>
          <w:color w:val="000000" w:themeColor="text1"/>
        </w:rPr>
        <w:t xml:space="preserve">o perform the proposed service, a laboratory accredited by </w:t>
      </w:r>
      <w:proofErr w:type="spellStart"/>
      <w:r w:rsidR="00993ECA">
        <w:rPr>
          <w:color w:val="000000" w:themeColor="text1"/>
        </w:rPr>
        <w:t>Agendia</w:t>
      </w:r>
      <w:proofErr w:type="spellEnd"/>
      <w:r w:rsidR="00993ECA">
        <w:rPr>
          <w:color w:val="000000" w:themeColor="text1"/>
        </w:rPr>
        <w:t xml:space="preserve"> is required. Currently, only </w:t>
      </w:r>
      <w:r w:rsidR="00C439C7">
        <w:rPr>
          <w:color w:val="000000" w:themeColor="text1"/>
        </w:rPr>
        <w:t xml:space="preserve">two such facilities exist – one in Irving, Los Angeles, and the other in Amsterdam, Holland - although Australian patient’s specimens only get delivered to the Los Angeles </w:t>
      </w:r>
      <w:proofErr w:type="spellStart"/>
      <w:r w:rsidR="00C439C7">
        <w:rPr>
          <w:color w:val="000000" w:themeColor="text1"/>
        </w:rPr>
        <w:t>Agendia</w:t>
      </w:r>
      <w:proofErr w:type="spellEnd"/>
      <w:r w:rsidR="00C439C7">
        <w:rPr>
          <w:color w:val="000000" w:themeColor="text1"/>
        </w:rPr>
        <w:t xml:space="preserve"> laboratory</w:t>
      </w:r>
      <w:r w:rsidR="00993ECA">
        <w:rPr>
          <w:color w:val="000000" w:themeColor="text1"/>
        </w:rPr>
        <w:t xml:space="preserve">. However, should MSAC advise the government to fund </w:t>
      </w:r>
      <w:proofErr w:type="spellStart"/>
      <w:r w:rsidR="00993ECA">
        <w:rPr>
          <w:color w:val="000000" w:themeColor="text1"/>
        </w:rPr>
        <w:t>MammaPrint</w:t>
      </w:r>
      <w:proofErr w:type="spellEnd"/>
      <w:r w:rsidR="00993ECA">
        <w:rPr>
          <w:color w:val="000000" w:themeColor="text1"/>
        </w:rPr>
        <w:t xml:space="preserve">, </w:t>
      </w:r>
      <w:proofErr w:type="gramStart"/>
      <w:r w:rsidR="00C439C7">
        <w:rPr>
          <w:color w:val="000000" w:themeColor="text1"/>
        </w:rPr>
        <w:t>then</w:t>
      </w:r>
      <w:proofErr w:type="gramEnd"/>
      <w:r w:rsidR="00C439C7">
        <w:rPr>
          <w:color w:val="000000" w:themeColor="text1"/>
        </w:rPr>
        <w:t xml:space="preserve"> </w:t>
      </w:r>
      <w:proofErr w:type="spellStart"/>
      <w:r w:rsidR="00993ECA">
        <w:rPr>
          <w:color w:val="000000" w:themeColor="text1"/>
        </w:rPr>
        <w:t>Agendia</w:t>
      </w:r>
      <w:proofErr w:type="spellEnd"/>
      <w:r w:rsidR="00993ECA">
        <w:rPr>
          <w:color w:val="000000" w:themeColor="text1"/>
        </w:rPr>
        <w:t xml:space="preserve"> will </w:t>
      </w:r>
      <w:r w:rsidR="00C439C7">
        <w:rPr>
          <w:color w:val="000000" w:themeColor="text1"/>
        </w:rPr>
        <w:t xml:space="preserve">consider </w:t>
      </w:r>
      <w:r w:rsidR="00993ECA">
        <w:rPr>
          <w:color w:val="000000" w:themeColor="text1"/>
        </w:rPr>
        <w:t>accredit</w:t>
      </w:r>
      <w:r w:rsidR="00C439C7">
        <w:rPr>
          <w:color w:val="000000" w:themeColor="text1"/>
        </w:rPr>
        <w:t>ing</w:t>
      </w:r>
      <w:r w:rsidR="00993ECA">
        <w:rPr>
          <w:color w:val="000000" w:themeColor="text1"/>
        </w:rPr>
        <w:t xml:space="preserve"> a single laboratory in Australia to perform these services.</w:t>
      </w:r>
    </w:p>
    <w:p w14:paraId="20FA773B" w14:textId="71996FB8" w:rsidR="005F3F07" w:rsidRDefault="00C439C7" w:rsidP="00530204">
      <w:pPr>
        <w:pStyle w:val="Heading2"/>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43BCD61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w:t>
      </w:r>
      <w:r>
        <w:t>Inpatient private hospital</w:t>
      </w:r>
    </w:p>
    <w:p w14:paraId="3E6E316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w:t>
      </w:r>
      <w:r>
        <w:t>Inpatient public hospital</w:t>
      </w:r>
    </w:p>
    <w:p w14:paraId="24694E33" w14:textId="24C44A60" w:rsidR="000A478F" w:rsidRDefault="00C439C7" w:rsidP="000A478F">
      <w:pPr>
        <w:spacing w:before="0" w:after="0"/>
        <w:ind w:left="426"/>
      </w:pPr>
      <w:r>
        <w:rPr>
          <w:szCs w:val="20"/>
        </w:rPr>
        <w:fldChar w:fldCharType="begin">
          <w:ffData>
            <w:name w:val=""/>
            <w:enabled/>
            <w:calcOnExit w:val="0"/>
            <w:checkBox>
              <w:size w:val="20"/>
              <w:default w:val="0"/>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0A478F">
        <w:rPr>
          <w:szCs w:val="20"/>
        </w:rPr>
        <w:t xml:space="preserve"> </w:t>
      </w:r>
      <w:r w:rsidR="000A478F">
        <w:t>Outpatient clinic</w:t>
      </w:r>
    </w:p>
    <w:p w14:paraId="76E9CCF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w:t>
      </w:r>
      <w:r>
        <w:t>Emergency Department</w:t>
      </w:r>
    </w:p>
    <w:p w14:paraId="026858A1" w14:textId="53F26184" w:rsidR="000A478F" w:rsidRDefault="00C439C7" w:rsidP="000A478F">
      <w:pPr>
        <w:spacing w:before="0" w:after="0"/>
        <w:ind w:left="426"/>
      </w:pPr>
      <w:r>
        <w:rPr>
          <w:szCs w:val="20"/>
        </w:rPr>
        <w:fldChar w:fldCharType="begin">
          <w:ffData>
            <w:name w:val=""/>
            <w:enabled/>
            <w:calcOnExit w:val="0"/>
            <w:checkBox>
              <w:size w:val="20"/>
              <w:default w:val="0"/>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0A478F">
        <w:rPr>
          <w:szCs w:val="20"/>
        </w:rPr>
        <w:t xml:space="preserve"> </w:t>
      </w:r>
      <w:r w:rsidR="000A478F">
        <w:t>Consulting rooms</w:t>
      </w:r>
    </w:p>
    <w:p w14:paraId="781CBD9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w:t>
      </w:r>
      <w:r>
        <w:t>Day surgery centre</w:t>
      </w:r>
    </w:p>
    <w:p w14:paraId="01A1AD3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w:t>
      </w:r>
      <w:r>
        <w:t>Residential aged care facility</w:t>
      </w:r>
    </w:p>
    <w:p w14:paraId="327FB8E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w:t>
      </w:r>
      <w:r>
        <w:t>Patient’s home</w:t>
      </w:r>
    </w:p>
    <w:p w14:paraId="68E460A9" w14:textId="5138C35D" w:rsidR="000A478F" w:rsidRDefault="000D789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0A478F">
        <w:rPr>
          <w:szCs w:val="20"/>
        </w:rPr>
        <w:t xml:space="preserve"> </w:t>
      </w:r>
      <w:r w:rsidR="000A478F">
        <w:t>Laboratory</w:t>
      </w:r>
    </w:p>
    <w:p w14:paraId="3B87B946" w14:textId="35960F6E" w:rsidR="005F3F07" w:rsidRPr="005E5A09" w:rsidRDefault="000A478F" w:rsidP="005E5A09">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244E">
        <w:rPr>
          <w:szCs w:val="20"/>
        </w:rPr>
      </w:r>
      <w:r w:rsidR="0058244E">
        <w:rPr>
          <w:szCs w:val="20"/>
        </w:rPr>
        <w:fldChar w:fldCharType="separate"/>
      </w:r>
      <w:r w:rsidRPr="000A5B32">
        <w:rPr>
          <w:szCs w:val="20"/>
        </w:rPr>
        <w:fldChar w:fldCharType="end"/>
      </w:r>
      <w:r>
        <w:rPr>
          <w:szCs w:val="20"/>
        </w:rPr>
        <w:t xml:space="preserve"> </w:t>
      </w:r>
      <w:r>
        <w:t>Other – please specify below</w:t>
      </w:r>
    </w:p>
    <w:p w14:paraId="60DB9183" w14:textId="77777777" w:rsidR="003433D1"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965FD73" w14:textId="7422C3BD" w:rsidR="00C439C7" w:rsidRPr="00C439C7" w:rsidRDefault="00C439C7" w:rsidP="00C439C7">
      <w:pPr>
        <w:ind w:left="360"/>
        <w:rPr>
          <w:szCs w:val="20"/>
        </w:rPr>
      </w:pPr>
      <w:r w:rsidRPr="00C439C7">
        <w:rPr>
          <w:szCs w:val="20"/>
        </w:rPr>
        <w:t>N/A</w:t>
      </w:r>
    </w:p>
    <w:p w14:paraId="20809466" w14:textId="77777777" w:rsidR="003E30FB" w:rsidRDefault="003E30FB" w:rsidP="00530204">
      <w:pPr>
        <w:pStyle w:val="Heading2"/>
      </w:pPr>
      <w:r>
        <w:t xml:space="preserve">Is the </w:t>
      </w:r>
      <w:r w:rsidRPr="001B29A1">
        <w:t>proposed</w:t>
      </w:r>
      <w:r>
        <w:t xml:space="preserve"> medical service intended to be entirely rendered in Australia?</w:t>
      </w:r>
    </w:p>
    <w:p w14:paraId="7FC9CF23" w14:textId="77777777" w:rsidR="000A478F" w:rsidRDefault="000A478F" w:rsidP="000A478F">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8244E">
        <w:rPr>
          <w:szCs w:val="20"/>
        </w:rPr>
      </w:r>
      <w:r w:rsidR="0058244E">
        <w:rPr>
          <w:szCs w:val="20"/>
        </w:rPr>
        <w:fldChar w:fldCharType="separate"/>
      </w:r>
      <w:r w:rsidRPr="00753C44">
        <w:rPr>
          <w:szCs w:val="20"/>
        </w:rPr>
        <w:fldChar w:fldCharType="end"/>
      </w:r>
      <w:r>
        <w:rPr>
          <w:szCs w:val="20"/>
        </w:rPr>
        <w:t xml:space="preserve"> Yes</w:t>
      </w:r>
    </w:p>
    <w:p w14:paraId="7C1C79DB" w14:textId="563AE8AD" w:rsidR="000A478F" w:rsidRPr="00753C44" w:rsidRDefault="005E5A09" w:rsidP="000A478F">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7265FDE2" w14:textId="77777777" w:rsidR="00572A26" w:rsidRDefault="00572A26" w:rsidP="00572A26">
      <w:pPr>
        <w:spacing w:before="0" w:after="0"/>
        <w:rPr>
          <w:rFonts w:ascii="Calibri" w:hAnsi="Calibri"/>
          <w:szCs w:val="20"/>
        </w:rPr>
      </w:pPr>
    </w:p>
    <w:p w14:paraId="739DF921" w14:textId="77777777" w:rsidR="00D06C2E" w:rsidRDefault="005E5A09" w:rsidP="00572A26">
      <w:pPr>
        <w:spacing w:before="0" w:after="0"/>
        <w:ind w:left="357"/>
        <w:rPr>
          <w:rFonts w:ascii="Calibri" w:hAnsi="Calibri"/>
          <w:szCs w:val="20"/>
        </w:rPr>
      </w:pPr>
      <w:r w:rsidRPr="00572A26">
        <w:rPr>
          <w:rFonts w:ascii="Calibri" w:hAnsi="Calibri"/>
          <w:szCs w:val="20"/>
        </w:rPr>
        <w:t xml:space="preserve">All patient interaction, specimen collection and preparation </w:t>
      </w:r>
      <w:proofErr w:type="gramStart"/>
      <w:r w:rsidRPr="00572A26">
        <w:rPr>
          <w:rFonts w:ascii="Calibri" w:hAnsi="Calibri"/>
          <w:szCs w:val="20"/>
        </w:rPr>
        <w:t>is</w:t>
      </w:r>
      <w:proofErr w:type="gramEnd"/>
      <w:r w:rsidRPr="00572A26">
        <w:rPr>
          <w:rFonts w:ascii="Calibri" w:hAnsi="Calibri"/>
          <w:szCs w:val="20"/>
        </w:rPr>
        <w:t xml:space="preserve"> to be rendered entirely in Australia. </w:t>
      </w:r>
    </w:p>
    <w:p w14:paraId="495CD4CE" w14:textId="77777777" w:rsidR="00D06C2E" w:rsidRDefault="00D06C2E" w:rsidP="00572A26">
      <w:pPr>
        <w:spacing w:before="0" w:after="0"/>
        <w:ind w:left="357"/>
        <w:rPr>
          <w:rFonts w:ascii="Calibri" w:hAnsi="Calibri"/>
          <w:szCs w:val="20"/>
        </w:rPr>
      </w:pPr>
    </w:p>
    <w:p w14:paraId="13AD175D" w14:textId="7C43AFB2" w:rsidR="00572A26" w:rsidRDefault="005E5A09" w:rsidP="00572A26">
      <w:pPr>
        <w:spacing w:before="0" w:after="0"/>
        <w:ind w:left="357"/>
        <w:rPr>
          <w:rFonts w:ascii="Calibri" w:eastAsia="Times New Roman" w:hAnsi="Calibri" w:cs="Times New Roman"/>
          <w:szCs w:val="20"/>
        </w:rPr>
      </w:pPr>
      <w:r w:rsidRPr="00572A26">
        <w:rPr>
          <w:rFonts w:ascii="Calibri" w:hAnsi="Calibri"/>
          <w:szCs w:val="20"/>
        </w:rPr>
        <w:t>However</w:t>
      </w:r>
      <w:r w:rsidR="00461776">
        <w:rPr>
          <w:rFonts w:ascii="Calibri" w:hAnsi="Calibri"/>
          <w:szCs w:val="20"/>
        </w:rPr>
        <w:t>,</w:t>
      </w:r>
      <w:r w:rsidRPr="00572A26">
        <w:rPr>
          <w:rFonts w:ascii="Calibri" w:hAnsi="Calibri"/>
          <w:szCs w:val="20"/>
        </w:rPr>
        <w:t xml:space="preserve"> all specimen analysis and reporting is performed in the </w:t>
      </w:r>
      <w:proofErr w:type="spellStart"/>
      <w:r w:rsidRPr="00572A26">
        <w:rPr>
          <w:rFonts w:ascii="Calibri" w:hAnsi="Calibri"/>
          <w:szCs w:val="20"/>
        </w:rPr>
        <w:t>Agendia</w:t>
      </w:r>
      <w:proofErr w:type="spellEnd"/>
      <w:r w:rsidRPr="00572A26">
        <w:rPr>
          <w:rFonts w:ascii="Calibri" w:hAnsi="Calibri"/>
          <w:szCs w:val="20"/>
        </w:rPr>
        <w:t xml:space="preserve"> laboratory in Irvine, California, USA. </w:t>
      </w:r>
      <w:r w:rsidR="00572A26" w:rsidRPr="00572A26">
        <w:rPr>
          <w:rFonts w:ascii="Calibri" w:hAnsi="Calibri"/>
          <w:szCs w:val="20"/>
        </w:rPr>
        <w:t xml:space="preserve"> </w:t>
      </w:r>
      <w:r w:rsidR="00572A26" w:rsidRPr="00572A26">
        <w:rPr>
          <w:rFonts w:ascii="Calibri" w:eastAsia="Times New Roman" w:hAnsi="Calibri" w:cs="Times New Roman"/>
          <w:szCs w:val="20"/>
        </w:rPr>
        <w:t xml:space="preserve">As such, there are no direct costs of any equipment or resources that are used in Australia, over and above those required to send FFPE tissue from the Australian reporting pathology laboratory via Genome Investigation to the </w:t>
      </w:r>
      <w:proofErr w:type="spellStart"/>
      <w:r w:rsidR="00572A26" w:rsidRPr="00572A26">
        <w:rPr>
          <w:rFonts w:ascii="Calibri" w:eastAsia="Times New Roman" w:hAnsi="Calibri" w:cs="Times New Roman"/>
          <w:szCs w:val="20"/>
        </w:rPr>
        <w:t>Agendia</w:t>
      </w:r>
      <w:proofErr w:type="spellEnd"/>
      <w:r w:rsidR="00572A26" w:rsidRPr="00572A26">
        <w:rPr>
          <w:rFonts w:ascii="Calibri" w:eastAsia="Times New Roman" w:hAnsi="Calibri" w:cs="Times New Roman"/>
          <w:szCs w:val="20"/>
        </w:rPr>
        <w:t xml:space="preserve"> laboratory in Irvine California. These dispatch and return costs are included in the </w:t>
      </w:r>
      <w:proofErr w:type="spellStart"/>
      <w:r w:rsidR="00572A26" w:rsidRPr="00572A26">
        <w:rPr>
          <w:rFonts w:ascii="Calibri" w:eastAsia="Times New Roman" w:hAnsi="Calibri" w:cs="Times New Roman"/>
          <w:szCs w:val="20"/>
        </w:rPr>
        <w:t>Agendia</w:t>
      </w:r>
      <w:proofErr w:type="spellEnd"/>
      <w:r w:rsidR="00572A26" w:rsidRPr="00572A26">
        <w:rPr>
          <w:rFonts w:ascii="Calibri" w:eastAsia="Times New Roman" w:hAnsi="Calibri" w:cs="Times New Roman"/>
          <w:szCs w:val="20"/>
        </w:rPr>
        <w:t xml:space="preserve"> fee outlined below. </w:t>
      </w:r>
    </w:p>
    <w:p w14:paraId="430F56B7" w14:textId="77777777" w:rsidR="00993ECA" w:rsidRDefault="00993ECA" w:rsidP="00572A26">
      <w:pPr>
        <w:spacing w:before="0" w:after="0"/>
        <w:ind w:left="357"/>
        <w:rPr>
          <w:rFonts w:ascii="Calibri" w:eastAsia="Times New Roman" w:hAnsi="Calibri" w:cs="Times New Roman"/>
          <w:szCs w:val="20"/>
        </w:rPr>
      </w:pPr>
    </w:p>
    <w:p w14:paraId="3E7E8A2A" w14:textId="124992D6" w:rsidR="00993ECA" w:rsidRDefault="00993ECA" w:rsidP="00572A26">
      <w:pPr>
        <w:spacing w:before="0" w:after="0"/>
        <w:ind w:left="357"/>
        <w:rPr>
          <w:color w:val="000000" w:themeColor="text1"/>
        </w:rPr>
      </w:pPr>
      <w:r>
        <w:rPr>
          <w:color w:val="000000" w:themeColor="text1"/>
        </w:rPr>
        <w:t>H</w:t>
      </w:r>
      <w:r w:rsidR="00F237DD">
        <w:rPr>
          <w:color w:val="000000" w:themeColor="text1"/>
        </w:rPr>
        <w:t xml:space="preserve">owever, should MSAC advise the Australian Government </w:t>
      </w:r>
      <w:r>
        <w:rPr>
          <w:color w:val="000000" w:themeColor="text1"/>
        </w:rPr>
        <w:t xml:space="preserve">to fund </w:t>
      </w:r>
      <w:proofErr w:type="spellStart"/>
      <w:r>
        <w:rPr>
          <w:color w:val="000000" w:themeColor="text1"/>
        </w:rPr>
        <w:t>MammaPrint</w:t>
      </w:r>
      <w:proofErr w:type="spellEnd"/>
      <w:r>
        <w:rPr>
          <w:color w:val="000000" w:themeColor="text1"/>
        </w:rPr>
        <w:t xml:space="preserve">, </w:t>
      </w:r>
      <w:r w:rsidR="00D06C2E">
        <w:rPr>
          <w:color w:val="000000" w:themeColor="text1"/>
        </w:rPr>
        <w:t xml:space="preserve">then </w:t>
      </w:r>
      <w:proofErr w:type="spellStart"/>
      <w:r>
        <w:rPr>
          <w:color w:val="000000" w:themeColor="text1"/>
        </w:rPr>
        <w:t>Agendia</w:t>
      </w:r>
      <w:proofErr w:type="spellEnd"/>
      <w:r>
        <w:rPr>
          <w:color w:val="000000" w:themeColor="text1"/>
        </w:rPr>
        <w:t xml:space="preserve"> will </w:t>
      </w:r>
      <w:r w:rsidR="00D06C2E">
        <w:rPr>
          <w:color w:val="000000" w:themeColor="text1"/>
        </w:rPr>
        <w:t xml:space="preserve">consider </w:t>
      </w:r>
      <w:r>
        <w:rPr>
          <w:color w:val="000000" w:themeColor="text1"/>
        </w:rPr>
        <w:t>accredit</w:t>
      </w:r>
      <w:r w:rsidR="00D06C2E">
        <w:rPr>
          <w:color w:val="000000" w:themeColor="text1"/>
        </w:rPr>
        <w:t>ing</w:t>
      </w:r>
      <w:r>
        <w:rPr>
          <w:color w:val="000000" w:themeColor="text1"/>
        </w:rPr>
        <w:t xml:space="preserve"> </w:t>
      </w:r>
      <w:r w:rsidR="00F237DD">
        <w:rPr>
          <w:color w:val="000000" w:themeColor="text1"/>
        </w:rPr>
        <w:t>one (only)</w:t>
      </w:r>
      <w:r>
        <w:rPr>
          <w:color w:val="000000" w:themeColor="text1"/>
        </w:rPr>
        <w:t xml:space="preserve"> laboratory in Australia to perform these services.</w:t>
      </w:r>
    </w:p>
    <w:p w14:paraId="52D9AEA1" w14:textId="77777777" w:rsidR="00D06C2E" w:rsidRPr="00572A26" w:rsidRDefault="00D06C2E" w:rsidP="00572A26">
      <w:pPr>
        <w:spacing w:before="0" w:after="0"/>
        <w:ind w:left="357"/>
        <w:rPr>
          <w:rFonts w:ascii="Calibri" w:eastAsia="Times New Roman" w:hAnsi="Calibri" w:cs="Times New Roman"/>
          <w:szCs w:val="20"/>
        </w:rPr>
      </w:pPr>
    </w:p>
    <w:p w14:paraId="304E8C85" w14:textId="66DCEE66" w:rsidR="00E60529" w:rsidRPr="00FC790E" w:rsidRDefault="005C3AE7" w:rsidP="00FC790E">
      <w:pPr>
        <w:ind w:left="357"/>
        <w:rPr>
          <w:b/>
          <w:i/>
          <w:szCs w:val="20"/>
          <w:u w:val="single"/>
        </w:rPr>
      </w:pPr>
      <w:r w:rsidRPr="00FC790E">
        <w:rPr>
          <w:b/>
          <w:i/>
          <w:u w:val="single"/>
        </w:rPr>
        <w:lastRenderedPageBreak/>
        <w:t xml:space="preserve">PART 6c – </w:t>
      </w:r>
      <w:r w:rsidR="00E60529" w:rsidRPr="00FC790E">
        <w:rPr>
          <w:b/>
          <w:i/>
          <w:u w:val="single"/>
        </w:rPr>
        <w:t>INFORMATION ABOUT THE COMPARATOR</w:t>
      </w:r>
      <w:r w:rsidR="00A83EC6" w:rsidRPr="00FC790E">
        <w:rPr>
          <w:b/>
          <w:i/>
          <w:u w:val="single"/>
        </w:rPr>
        <w:t>(S)</w:t>
      </w:r>
    </w:p>
    <w:p w14:paraId="5071A3A1"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A5B5553" w14:textId="019B276B" w:rsidR="001A6E81" w:rsidRPr="008C5BBB" w:rsidRDefault="001A6E81" w:rsidP="001A6E81">
      <w:pPr>
        <w:pStyle w:val="ListParagraph"/>
        <w:numPr>
          <w:ilvl w:val="0"/>
          <w:numId w:val="37"/>
        </w:numPr>
        <w:rPr>
          <w:rFonts w:ascii="Calibri" w:hAnsi="Calibri"/>
          <w:i/>
          <w:szCs w:val="20"/>
        </w:rPr>
      </w:pPr>
      <w:r w:rsidRPr="001A6E81">
        <w:rPr>
          <w:i/>
          <w:szCs w:val="20"/>
        </w:rPr>
        <w:t xml:space="preserve">Current clinical practice: </w:t>
      </w:r>
      <w:r>
        <w:rPr>
          <w:szCs w:val="20"/>
        </w:rPr>
        <w:t>The primary comparator for this application is the current clinical practice in Australia. Under this model, patients receive endocrine therapy with or without the addition of adjuvant chemotherapy. The decision to utilise adjuvant chemotherapy is guided by a variety of clinical and pathological measures. Primary amongst these is the hormone and HER2 receptor status of the tumour.</w:t>
      </w:r>
      <w:r>
        <w:rPr>
          <w:i/>
          <w:szCs w:val="20"/>
        </w:rPr>
        <w:t xml:space="preserve"> </w:t>
      </w:r>
      <w:r>
        <w:rPr>
          <w:szCs w:val="20"/>
        </w:rPr>
        <w:t xml:space="preserve">This information is determined by IHC or ISH </w:t>
      </w:r>
      <w:r w:rsidR="00DA534A">
        <w:rPr>
          <w:szCs w:val="20"/>
        </w:rPr>
        <w:t xml:space="preserve">(in the case of HER2) </w:t>
      </w:r>
      <w:r>
        <w:rPr>
          <w:szCs w:val="20"/>
        </w:rPr>
        <w:t xml:space="preserve">for which the MBS </w:t>
      </w:r>
      <w:r w:rsidRPr="00C37600">
        <w:rPr>
          <w:rFonts w:ascii="Calibri" w:hAnsi="Calibri"/>
          <w:szCs w:val="20"/>
        </w:rPr>
        <w:t xml:space="preserve">item numbers are </w:t>
      </w:r>
      <w:r w:rsidR="00DA534A" w:rsidRPr="00C37600">
        <w:rPr>
          <w:rFonts w:ascii="Calibri" w:hAnsi="Calibri"/>
          <w:szCs w:val="20"/>
        </w:rPr>
        <w:t xml:space="preserve">72848, 73061 and 73332. The level of ER and PR are useful in predicting the efficacy of endocrine therapy, with ER/PR positive tumours often treated with endocrine therapy alone if other factors do not indicate otherwise. One such factor is HER2 status which is also assessed and forms a key component of the decision to offer </w:t>
      </w:r>
      <w:proofErr w:type="spellStart"/>
      <w:r w:rsidR="00DA534A" w:rsidRPr="00C37600">
        <w:rPr>
          <w:rFonts w:ascii="Calibri" w:hAnsi="Calibri"/>
          <w:szCs w:val="20"/>
        </w:rPr>
        <w:t>trastuzumab</w:t>
      </w:r>
      <w:proofErr w:type="spellEnd"/>
      <w:r w:rsidR="00DA534A" w:rsidRPr="00C37600">
        <w:rPr>
          <w:rFonts w:ascii="Calibri" w:hAnsi="Calibri"/>
          <w:szCs w:val="20"/>
        </w:rPr>
        <w:t xml:space="preserve">. Other factors </w:t>
      </w:r>
      <w:r w:rsidR="00C37600" w:rsidRPr="00C37600">
        <w:rPr>
          <w:rFonts w:ascii="Calibri" w:hAnsi="Calibri"/>
          <w:szCs w:val="20"/>
        </w:rPr>
        <w:t xml:space="preserve">which form part of the decision process are the Ki67 molecular marker, tumour grade and size, age, menopausal status, lymph node involvement and other comorbidities. Tools such as </w:t>
      </w:r>
      <w:r w:rsidR="00265F9E">
        <w:rPr>
          <w:rFonts w:ascii="Calibri" w:hAnsi="Calibri"/>
          <w:szCs w:val="20"/>
        </w:rPr>
        <w:t xml:space="preserve">NHS Predict and </w:t>
      </w:r>
      <w:r w:rsidR="00C37600" w:rsidRPr="00C37600">
        <w:rPr>
          <w:rFonts w:ascii="Calibri" w:hAnsi="Calibri"/>
          <w:szCs w:val="20"/>
        </w:rPr>
        <w:t xml:space="preserve">Adjuvant! Online are also used, </w:t>
      </w:r>
      <w:r w:rsidR="00265F9E">
        <w:rPr>
          <w:rFonts w:ascii="Calibri" w:hAnsi="Calibri"/>
          <w:szCs w:val="20"/>
        </w:rPr>
        <w:t xml:space="preserve">and </w:t>
      </w:r>
      <w:r w:rsidR="00C37600" w:rsidRPr="00C37600">
        <w:rPr>
          <w:rFonts w:ascii="Calibri" w:hAnsi="Calibri"/>
          <w:szCs w:val="20"/>
        </w:rPr>
        <w:t xml:space="preserve">this </w:t>
      </w:r>
      <w:r w:rsidR="00265F9E">
        <w:rPr>
          <w:rFonts w:ascii="Calibri" w:hAnsi="Calibri"/>
          <w:szCs w:val="20"/>
        </w:rPr>
        <w:t xml:space="preserve">latter </w:t>
      </w:r>
      <w:r w:rsidR="00C37600" w:rsidRPr="00C37600">
        <w:rPr>
          <w:rFonts w:ascii="Calibri" w:hAnsi="Calibri"/>
          <w:szCs w:val="20"/>
        </w:rPr>
        <w:t xml:space="preserve">tool was a focal point of comparison in the MINDACT study. Other guidelines </w:t>
      </w:r>
      <w:r w:rsidR="00265F9E">
        <w:rPr>
          <w:rFonts w:ascii="Calibri" w:hAnsi="Calibri"/>
          <w:szCs w:val="20"/>
        </w:rPr>
        <w:t>that are currently utilised</w:t>
      </w:r>
      <w:r w:rsidR="00C37600" w:rsidRPr="00C37600">
        <w:rPr>
          <w:rFonts w:ascii="Calibri" w:hAnsi="Calibri"/>
          <w:szCs w:val="20"/>
        </w:rPr>
        <w:t xml:space="preserve"> are the St. </w:t>
      </w:r>
      <w:proofErr w:type="spellStart"/>
      <w:r w:rsidR="00C37600" w:rsidRPr="00C37600">
        <w:rPr>
          <w:rFonts w:ascii="Calibri" w:hAnsi="Calibri"/>
          <w:szCs w:val="20"/>
        </w:rPr>
        <w:t>Gallen</w:t>
      </w:r>
      <w:proofErr w:type="spellEnd"/>
      <w:r w:rsidR="00C37600" w:rsidRPr="00C37600">
        <w:rPr>
          <w:rFonts w:ascii="Calibri" w:hAnsi="Calibri"/>
          <w:szCs w:val="20"/>
        </w:rPr>
        <w:t xml:space="preserve"> International Expert C</w:t>
      </w:r>
      <w:r w:rsidR="00265F9E">
        <w:rPr>
          <w:rFonts w:ascii="Calibri" w:hAnsi="Calibri"/>
          <w:szCs w:val="20"/>
        </w:rPr>
        <w:t>onsensus (Coates et al. 2015),</w:t>
      </w:r>
      <w:r w:rsidR="00C37600" w:rsidRPr="00C37600">
        <w:rPr>
          <w:rFonts w:ascii="Calibri" w:hAnsi="Calibri"/>
          <w:szCs w:val="20"/>
        </w:rPr>
        <w:t xml:space="preserve"> National Comprehensive Cancer Network guideline (NCCN 2015), European Society for Medical Oncology (ESMO 2015)</w:t>
      </w:r>
      <w:r w:rsidR="00265F9E">
        <w:rPr>
          <w:rFonts w:ascii="Calibri" w:hAnsi="Calibri"/>
          <w:szCs w:val="20"/>
        </w:rPr>
        <w:t xml:space="preserve"> and Australian NHMRC Guidelines in breast cancer management.</w:t>
      </w:r>
    </w:p>
    <w:p w14:paraId="3843F6EF" w14:textId="77777777" w:rsidR="008C5BBB" w:rsidRPr="00C37600" w:rsidRDefault="008C5BBB" w:rsidP="008C5BBB">
      <w:pPr>
        <w:pStyle w:val="ListParagraph"/>
        <w:ind w:left="786"/>
        <w:rPr>
          <w:rFonts w:ascii="Calibri" w:hAnsi="Calibri"/>
          <w:i/>
          <w:szCs w:val="20"/>
        </w:rPr>
      </w:pPr>
    </w:p>
    <w:p w14:paraId="6BEB48D1" w14:textId="5A73C560" w:rsidR="00C37600" w:rsidRDefault="00C37600" w:rsidP="00C37600">
      <w:pPr>
        <w:pStyle w:val="ListParagraph"/>
        <w:numPr>
          <w:ilvl w:val="0"/>
          <w:numId w:val="37"/>
        </w:numPr>
        <w:spacing w:before="0" w:after="0"/>
        <w:rPr>
          <w:rFonts w:ascii="Calibri" w:eastAsia="Times New Roman" w:hAnsi="Calibri" w:cs="Times New Roman"/>
          <w:szCs w:val="20"/>
        </w:rPr>
      </w:pPr>
      <w:proofErr w:type="spellStart"/>
      <w:r w:rsidRPr="00C37600">
        <w:rPr>
          <w:rFonts w:ascii="Calibri" w:eastAsia="Times New Roman" w:hAnsi="Calibri" w:cs="Times New Roman"/>
          <w:szCs w:val="20"/>
        </w:rPr>
        <w:t>OncotypeDX</w:t>
      </w:r>
      <w:proofErr w:type="spellEnd"/>
      <w:r w:rsidRPr="00C37600">
        <w:rPr>
          <w:rFonts w:ascii="Calibri" w:eastAsia="Times New Roman" w:hAnsi="Calibri" w:cs="Times New Roman"/>
          <w:szCs w:val="20"/>
        </w:rPr>
        <w:t>® uses RT-</w:t>
      </w:r>
      <w:proofErr w:type="spellStart"/>
      <w:r w:rsidRPr="00C37600">
        <w:rPr>
          <w:rFonts w:ascii="Calibri" w:eastAsia="Times New Roman" w:hAnsi="Calibri" w:cs="Times New Roman"/>
          <w:szCs w:val="20"/>
        </w:rPr>
        <w:t>qPCR</w:t>
      </w:r>
      <w:proofErr w:type="spellEnd"/>
      <w:r w:rsidRPr="00C37600">
        <w:rPr>
          <w:rFonts w:ascii="Calibri" w:eastAsia="Times New Roman" w:hAnsi="Calibri" w:cs="Times New Roman"/>
          <w:szCs w:val="20"/>
        </w:rPr>
        <w:t xml:space="preserve"> to produce an expression panel of 21 genes and calculate a Recurrence Score® (10 year risk of distant recurrence for node negative patients, 5 year risk of recurrence or death for node positive patients) to determine the likelihood of benefiting from combined adjuvant chemotherapy and endocrine therapy. The eligible population are those with early stage breast tumours classified as oestrogen </w:t>
      </w:r>
      <w:r w:rsidR="00265F9E">
        <w:rPr>
          <w:rFonts w:ascii="Calibri" w:eastAsia="Times New Roman" w:hAnsi="Calibri" w:cs="Times New Roman"/>
          <w:szCs w:val="20"/>
        </w:rPr>
        <w:t xml:space="preserve">positive, </w:t>
      </w:r>
      <w:r w:rsidRPr="00C37600">
        <w:rPr>
          <w:rFonts w:ascii="Calibri" w:eastAsia="Times New Roman" w:hAnsi="Calibri" w:cs="Times New Roman"/>
          <w:szCs w:val="20"/>
        </w:rPr>
        <w:t xml:space="preserve">HER2 </w:t>
      </w:r>
      <w:r w:rsidR="00265F9E">
        <w:rPr>
          <w:rFonts w:ascii="Calibri" w:eastAsia="Times New Roman" w:hAnsi="Calibri" w:cs="Times New Roman"/>
          <w:szCs w:val="20"/>
        </w:rPr>
        <w:t xml:space="preserve">and lymph node </w:t>
      </w:r>
      <w:r w:rsidRPr="00C37600">
        <w:rPr>
          <w:rFonts w:ascii="Calibri" w:eastAsia="Times New Roman" w:hAnsi="Calibri" w:cs="Times New Roman"/>
          <w:szCs w:val="20"/>
        </w:rPr>
        <w:t>negative.</w:t>
      </w:r>
      <w:r>
        <w:rPr>
          <w:rFonts w:ascii="Calibri" w:eastAsia="Times New Roman" w:hAnsi="Calibri" w:cs="Times New Roman"/>
          <w:szCs w:val="20"/>
        </w:rPr>
        <w:t xml:space="preserve"> </w:t>
      </w:r>
      <w:r w:rsidR="00232E7C">
        <w:rPr>
          <w:rFonts w:ascii="Calibri" w:eastAsia="Times New Roman" w:hAnsi="Calibri" w:cs="Times New Roman"/>
          <w:szCs w:val="20"/>
        </w:rPr>
        <w:t>REDACTED</w:t>
      </w:r>
    </w:p>
    <w:p w14:paraId="67EC653A" w14:textId="77777777" w:rsidR="008C5BBB" w:rsidRPr="008C5BBB" w:rsidRDefault="008C5BBB" w:rsidP="008C5BBB">
      <w:pPr>
        <w:spacing w:before="0" w:after="0"/>
        <w:rPr>
          <w:rFonts w:ascii="Calibri" w:eastAsia="Times New Roman" w:hAnsi="Calibri" w:cs="Times New Roman"/>
          <w:szCs w:val="20"/>
        </w:rPr>
      </w:pPr>
    </w:p>
    <w:p w14:paraId="4F5A4AB4" w14:textId="61C80894" w:rsidR="008C5BBB" w:rsidRDefault="00C37600" w:rsidP="008C5BBB">
      <w:pPr>
        <w:pStyle w:val="ListParagraph"/>
        <w:numPr>
          <w:ilvl w:val="0"/>
          <w:numId w:val="37"/>
        </w:numPr>
        <w:spacing w:before="0" w:after="0"/>
        <w:rPr>
          <w:rFonts w:ascii="Calibri" w:eastAsia="Times New Roman" w:hAnsi="Calibri" w:cs="Times New Roman"/>
          <w:szCs w:val="20"/>
        </w:rPr>
      </w:pPr>
      <w:proofErr w:type="spellStart"/>
      <w:r w:rsidRPr="00171946">
        <w:rPr>
          <w:rFonts w:ascii="Calibri" w:eastAsia="Times New Roman" w:hAnsi="Calibri" w:cs="Times New Roman"/>
          <w:szCs w:val="20"/>
        </w:rPr>
        <w:t>EndoPredict</w:t>
      </w:r>
      <w:proofErr w:type="spellEnd"/>
      <w:r w:rsidRPr="00171946">
        <w:rPr>
          <w:rFonts w:ascii="Calibri" w:eastAsia="Times New Roman" w:hAnsi="Calibri" w:cs="Times New Roman"/>
          <w:szCs w:val="20"/>
        </w:rPr>
        <w:t xml:space="preserve">® </w:t>
      </w:r>
      <w:r w:rsidR="003366B8" w:rsidRPr="00171946">
        <w:rPr>
          <w:rFonts w:ascii="Calibri" w:eastAsia="Times New Roman" w:hAnsi="Calibri" w:cs="Times New Roman"/>
          <w:szCs w:val="20"/>
        </w:rPr>
        <w:t>uses RT-</w:t>
      </w:r>
      <w:proofErr w:type="spellStart"/>
      <w:r w:rsidR="003366B8" w:rsidRPr="00171946">
        <w:rPr>
          <w:rFonts w:ascii="Calibri" w:eastAsia="Times New Roman" w:hAnsi="Calibri" w:cs="Times New Roman"/>
          <w:szCs w:val="20"/>
        </w:rPr>
        <w:t>qPCR</w:t>
      </w:r>
      <w:proofErr w:type="spellEnd"/>
      <w:r w:rsidR="003366B8" w:rsidRPr="00171946">
        <w:rPr>
          <w:rFonts w:ascii="Calibri" w:eastAsia="Times New Roman" w:hAnsi="Calibri" w:cs="Times New Roman"/>
          <w:szCs w:val="20"/>
        </w:rPr>
        <w:t xml:space="preserve"> to determine the expression level of eight genes. This result is combined with clinical markers to produce a risk score for patients in the intermediate risk category. Eligible patients are those with primary</w:t>
      </w:r>
      <w:r w:rsidR="008C5BBB" w:rsidRPr="00171946">
        <w:rPr>
          <w:rFonts w:ascii="Calibri" w:eastAsia="Times New Roman" w:hAnsi="Calibri" w:cs="Times New Roman"/>
          <w:szCs w:val="20"/>
        </w:rPr>
        <w:t xml:space="preserve">, operable, T1, T2 or T3, </w:t>
      </w:r>
      <w:proofErr w:type="spellStart"/>
      <w:r w:rsidR="008C5BBB" w:rsidRPr="00171946">
        <w:rPr>
          <w:rFonts w:ascii="Calibri" w:eastAsia="Times New Roman" w:hAnsi="Calibri" w:cs="Times New Roman"/>
          <w:szCs w:val="20"/>
        </w:rPr>
        <w:t>ER+ve</w:t>
      </w:r>
      <w:proofErr w:type="spellEnd"/>
      <w:r w:rsidR="008C5BBB" w:rsidRPr="00171946">
        <w:rPr>
          <w:rFonts w:ascii="Calibri" w:eastAsia="Times New Roman" w:hAnsi="Calibri" w:cs="Times New Roman"/>
          <w:szCs w:val="20"/>
        </w:rPr>
        <w:t xml:space="preserve"> and </w:t>
      </w:r>
      <w:r w:rsidR="003366B8" w:rsidRPr="00171946">
        <w:rPr>
          <w:rFonts w:ascii="Calibri" w:eastAsia="Times New Roman" w:hAnsi="Calibri" w:cs="Times New Roman"/>
          <w:szCs w:val="20"/>
        </w:rPr>
        <w:t xml:space="preserve">HER2-ve breast cancer, with or without lymph node involvement (up to 3 nodes). </w:t>
      </w:r>
      <w:r w:rsidR="00171946">
        <w:rPr>
          <w:rFonts w:ascii="Calibri" w:eastAsia="Times New Roman" w:hAnsi="Calibri" w:cs="Times New Roman"/>
          <w:szCs w:val="20"/>
        </w:rPr>
        <w:t>REDACTED</w:t>
      </w:r>
    </w:p>
    <w:p w14:paraId="51FE0DF3" w14:textId="77777777" w:rsidR="00171946" w:rsidRPr="00171946" w:rsidRDefault="00171946" w:rsidP="00171946">
      <w:pPr>
        <w:pStyle w:val="ListParagraph"/>
        <w:rPr>
          <w:rFonts w:ascii="Calibri" w:eastAsia="Times New Roman" w:hAnsi="Calibri" w:cs="Times New Roman"/>
          <w:szCs w:val="20"/>
        </w:rPr>
      </w:pPr>
    </w:p>
    <w:p w14:paraId="3DCFA3B4" w14:textId="77777777" w:rsidR="00171946" w:rsidRPr="00171946" w:rsidRDefault="00171946" w:rsidP="00171946">
      <w:pPr>
        <w:pStyle w:val="ListParagraph"/>
        <w:spacing w:before="0" w:after="0"/>
        <w:ind w:left="786"/>
        <w:rPr>
          <w:rFonts w:ascii="Calibri" w:eastAsia="Times New Roman" w:hAnsi="Calibri" w:cs="Times New Roman"/>
          <w:szCs w:val="20"/>
        </w:rPr>
      </w:pPr>
    </w:p>
    <w:p w14:paraId="397B3A8F" w14:textId="6AA9B9CA" w:rsidR="00C8793B" w:rsidRPr="00954C97" w:rsidRDefault="00993ECA" w:rsidP="00C8793B">
      <w:pPr>
        <w:pStyle w:val="ListParagraph"/>
        <w:numPr>
          <w:ilvl w:val="0"/>
          <w:numId w:val="37"/>
        </w:numPr>
        <w:spacing w:before="0" w:after="0"/>
        <w:rPr>
          <w:rFonts w:ascii="Calibri" w:eastAsia="Times New Roman" w:hAnsi="Calibri" w:cs="Times New Roman"/>
          <w:szCs w:val="20"/>
        </w:rPr>
      </w:pPr>
      <w:r w:rsidRPr="00954C97">
        <w:rPr>
          <w:rFonts w:ascii="Calibri" w:eastAsia="Times New Roman" w:hAnsi="Calibri" w:cs="Times New Roman"/>
          <w:szCs w:val="20"/>
        </w:rPr>
        <w:t>PAM50</w:t>
      </w:r>
      <w:r w:rsidR="00265F9E" w:rsidRPr="00954C97">
        <w:rPr>
          <w:rFonts w:ascii="Calibri" w:eastAsia="Times New Roman" w:hAnsi="Calibri" w:cs="Times New Roman"/>
          <w:szCs w:val="20"/>
        </w:rPr>
        <w:t>® is another promising ge</w:t>
      </w:r>
      <w:r w:rsidR="008C5BBB" w:rsidRPr="00954C97">
        <w:rPr>
          <w:rFonts w:ascii="Calibri" w:eastAsia="Times New Roman" w:hAnsi="Calibri" w:cs="Times New Roman"/>
          <w:szCs w:val="20"/>
        </w:rPr>
        <w:t xml:space="preserve">nomic test, </w:t>
      </w:r>
      <w:r w:rsidR="00954C97">
        <w:rPr>
          <w:rFonts w:ascii="Calibri" w:eastAsia="Times New Roman" w:hAnsi="Calibri" w:cs="Times New Roman"/>
          <w:szCs w:val="20"/>
        </w:rPr>
        <w:t>REDACTED</w:t>
      </w:r>
    </w:p>
    <w:p w14:paraId="232B130C" w14:textId="77777777" w:rsidR="00757232" w:rsidRDefault="00AF5D1E" w:rsidP="00530204">
      <w:pPr>
        <w:pStyle w:val="Heading2"/>
      </w:pPr>
      <w:r w:rsidRPr="00C37600">
        <w:rPr>
          <w:rFonts w:ascii="Calibri" w:hAnsi="Calibri"/>
        </w:rPr>
        <w:t>Does the medical service that has been</w:t>
      </w:r>
      <w:r w:rsidRPr="00154B00">
        <w:t xml:space="preserve"> nominated as the comparator</w:t>
      </w:r>
      <w:r w:rsidR="000159B9" w:rsidRPr="00154B00">
        <w:t xml:space="preserve"> </w:t>
      </w:r>
      <w:r w:rsidRPr="00154B00">
        <w:t>have an existing MBS item number</w:t>
      </w:r>
      <w:r w:rsidR="00D30BDC">
        <w:t>(s)</w:t>
      </w:r>
      <w:r w:rsidR="00757232">
        <w:t>?</w:t>
      </w:r>
    </w:p>
    <w:p w14:paraId="46867EF6" w14:textId="50A0921F" w:rsidR="006A1038" w:rsidRDefault="003366B8" w:rsidP="006A1038">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6A1038">
        <w:rPr>
          <w:szCs w:val="20"/>
        </w:rPr>
        <w:t xml:space="preserve"> Yes (please provide all relevant MBS item numbers below)</w:t>
      </w:r>
    </w:p>
    <w:p w14:paraId="30C187C6"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244E">
        <w:rPr>
          <w:szCs w:val="20"/>
        </w:rPr>
      </w:r>
      <w:r w:rsidR="0058244E">
        <w:rPr>
          <w:szCs w:val="20"/>
        </w:rPr>
        <w:fldChar w:fldCharType="separate"/>
      </w:r>
      <w:r w:rsidRPr="00753C44">
        <w:rPr>
          <w:szCs w:val="20"/>
        </w:rPr>
        <w:fldChar w:fldCharType="end"/>
      </w:r>
      <w:r>
        <w:rPr>
          <w:szCs w:val="20"/>
        </w:rPr>
        <w:t xml:space="preserve"> No  </w:t>
      </w:r>
    </w:p>
    <w:p w14:paraId="5397FFCB" w14:textId="219AC2F8" w:rsidR="003366B8" w:rsidRDefault="003366B8" w:rsidP="003366B8">
      <w:pPr>
        <w:ind w:left="426"/>
      </w:pPr>
      <w:r>
        <w:t>MBS numbers included in current clinical practice:</w:t>
      </w:r>
    </w:p>
    <w:p w14:paraId="3D49ED9C" w14:textId="68C60B93" w:rsidR="003366B8" w:rsidRDefault="003366B8" w:rsidP="003366B8">
      <w:pPr>
        <w:pStyle w:val="ListParagraph"/>
        <w:numPr>
          <w:ilvl w:val="0"/>
          <w:numId w:val="38"/>
        </w:numPr>
      </w:pPr>
      <w:r>
        <w:t>72847</w:t>
      </w:r>
    </w:p>
    <w:p w14:paraId="635C58C3" w14:textId="10B70556" w:rsidR="003366B8" w:rsidRDefault="003366B8" w:rsidP="003366B8">
      <w:pPr>
        <w:pStyle w:val="ListParagraph"/>
        <w:numPr>
          <w:ilvl w:val="0"/>
          <w:numId w:val="38"/>
        </w:numPr>
      </w:pPr>
      <w:r>
        <w:t>72848</w:t>
      </w:r>
    </w:p>
    <w:p w14:paraId="49367517" w14:textId="5873116D" w:rsidR="003366B8" w:rsidRDefault="003366B8" w:rsidP="003366B8">
      <w:pPr>
        <w:pStyle w:val="ListParagraph"/>
        <w:numPr>
          <w:ilvl w:val="0"/>
          <w:numId w:val="38"/>
        </w:numPr>
      </w:pPr>
      <w:r>
        <w:t>73061</w:t>
      </w:r>
    </w:p>
    <w:p w14:paraId="4936DAC2" w14:textId="61B90247" w:rsidR="003366B8" w:rsidRDefault="003366B8" w:rsidP="003366B8">
      <w:pPr>
        <w:pStyle w:val="ListParagraph"/>
        <w:numPr>
          <w:ilvl w:val="0"/>
          <w:numId w:val="38"/>
        </w:numPr>
      </w:pPr>
      <w:r>
        <w:t>73332</w:t>
      </w:r>
    </w:p>
    <w:p w14:paraId="27834F13"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7875ABD6" w14:textId="35FE57F6" w:rsidR="00EA62B8" w:rsidRDefault="00CD1EC3" w:rsidP="00CF387E">
      <w:pPr>
        <w:ind w:left="426"/>
      </w:pPr>
      <w:r>
        <w:t>The second clinical step noted in the previous portion of this cli</w:t>
      </w:r>
      <w:r w:rsidR="0067615F">
        <w:t>nical management pathway summary is consultation. During which the information provided by the pathologist (hormone and growth factor status, tumour size and grade, Ki67 status nodal status etc.) is used in conjunction with other clinical factors to establish risk of recurrence and subsequently the appropriateness of chemotherapy. All patients currently receive endocrine therapy, with chemotherapy being offered</w:t>
      </w:r>
      <w:r w:rsidR="0018352A">
        <w:t xml:space="preserve"> only</w:t>
      </w:r>
      <w:r w:rsidR="0067615F">
        <w:t xml:space="preserve"> to those in the </w:t>
      </w:r>
      <w:r w:rsidR="0067615F">
        <w:lastRenderedPageBreak/>
        <w:t>intermediate-high risk group</w:t>
      </w:r>
      <w:r w:rsidR="0018352A">
        <w:t xml:space="preserve"> in conjunction with endocrine therapy</w:t>
      </w:r>
      <w:r w:rsidR="0067615F">
        <w:t xml:space="preserve">. </w:t>
      </w:r>
      <w:r w:rsidR="00CF387E">
        <w:t xml:space="preserve">The primary principle is that the recommendation for chemotherapy in combination with endocrine therapy is based on a balance of risk of recurrence against the potential for adverse effects during therapy. </w:t>
      </w:r>
    </w:p>
    <w:p w14:paraId="6DB7D567" w14:textId="1404E874" w:rsidR="00CF387E" w:rsidRPr="00CF387E" w:rsidRDefault="00CF387E" w:rsidP="00CF387E">
      <w:pPr>
        <w:ind w:left="426"/>
      </w:pPr>
      <w:r>
        <w:t>All chemotherapy agents used to treat early breast cancer are all available on the PBS under the General Schedule or Streamlined authority.</w:t>
      </w:r>
    </w:p>
    <w:p w14:paraId="34E058C3" w14:textId="6EDCC6C5" w:rsidR="0067615F" w:rsidRDefault="0067615F" w:rsidP="0067615F">
      <w:pPr>
        <w:ind w:left="426"/>
        <w:rPr>
          <w:color w:val="000000" w:themeColor="text1"/>
        </w:rPr>
      </w:pPr>
      <w:r>
        <w:rPr>
          <w:color w:val="000000" w:themeColor="text1"/>
        </w:rPr>
        <w:t>It has been observed that in other similar applications, PASC has requested that international clinical guidelines and alternative GEP tests be included. This application supports this comparison, however notes that they are not the current mainstay of clinical practice</w:t>
      </w:r>
      <w:r w:rsidR="00C2500A">
        <w:rPr>
          <w:color w:val="000000" w:themeColor="text1"/>
        </w:rPr>
        <w:t xml:space="preserve"> and unlike </w:t>
      </w:r>
      <w:proofErr w:type="spellStart"/>
      <w:r w:rsidR="00C2500A">
        <w:rPr>
          <w:color w:val="000000" w:themeColor="text1"/>
        </w:rPr>
        <w:t>MammaPri</w:t>
      </w:r>
      <w:r w:rsidR="00C92377">
        <w:rPr>
          <w:color w:val="000000" w:themeColor="text1"/>
        </w:rPr>
        <w:t>nt</w:t>
      </w:r>
      <w:proofErr w:type="spellEnd"/>
      <w:r w:rsidR="00C92377">
        <w:rPr>
          <w:color w:val="000000" w:themeColor="text1"/>
        </w:rPr>
        <w:t>, do not have Level 1A support. In light of this they will not b</w:t>
      </w:r>
      <w:r>
        <w:rPr>
          <w:color w:val="000000" w:themeColor="text1"/>
        </w:rPr>
        <w:t xml:space="preserve">e represented in the below management algorithms. </w:t>
      </w:r>
    </w:p>
    <w:p w14:paraId="02E86187" w14:textId="20A50847" w:rsidR="0067615F" w:rsidRDefault="001D2EA2" w:rsidP="003730F0">
      <w:pPr>
        <w:rPr>
          <w:b/>
          <w:color w:val="FF0000"/>
        </w:rPr>
      </w:pPr>
      <w:r>
        <w:rPr>
          <w:b/>
          <w:noProof/>
          <w:color w:val="FF0000"/>
          <w:lang w:eastAsia="en-AU"/>
        </w:rPr>
        <w:drawing>
          <wp:anchor distT="0" distB="0" distL="114300" distR="114300" simplePos="0" relativeHeight="251661312" behindDoc="0" locked="0" layoutInCell="1" allowOverlap="1" wp14:anchorId="77AD1399" wp14:editId="6A59CB0E">
            <wp:simplePos x="0" y="0"/>
            <wp:positionH relativeFrom="column">
              <wp:posOffset>-62865</wp:posOffset>
            </wp:positionH>
            <wp:positionV relativeFrom="paragraph">
              <wp:posOffset>296545</wp:posOffset>
            </wp:positionV>
            <wp:extent cx="5735955" cy="4298950"/>
            <wp:effectExtent l="0" t="0" r="0" b="6350"/>
            <wp:wrapTopAndBottom/>
            <wp:docPr id="4" name="Picture 4" descr="Current clinical management pathways that patients may follow after they receive the medical service that has been nominated as the comparator.  Refer to abov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Apps/drawio/Untitled%20Diagra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5955" cy="429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7A603" w14:textId="37039CD9" w:rsidR="003730F0" w:rsidRDefault="003730F0" w:rsidP="003730F0">
      <w:pPr>
        <w:rPr>
          <w:b/>
          <w:color w:val="FF0000"/>
        </w:rPr>
      </w:pPr>
    </w:p>
    <w:p w14:paraId="50B2ABE4" w14:textId="2567942C" w:rsidR="003730F0" w:rsidRPr="00461776" w:rsidRDefault="00461776" w:rsidP="003730F0">
      <w:pPr>
        <w:rPr>
          <w:b/>
          <w:color w:val="FF0000"/>
        </w:rPr>
      </w:pPr>
      <w:r w:rsidRPr="00461776">
        <w:rPr>
          <w:color w:val="000000" w:themeColor="text1"/>
        </w:rPr>
        <w:t xml:space="preserve">*It is at this stage that tools such as NHS Predict and Adjuvant! Online are utilised. Similarly, guidelines </w:t>
      </w:r>
      <w:r w:rsidR="00E03CFE">
        <w:rPr>
          <w:color w:val="000000" w:themeColor="text1"/>
        </w:rPr>
        <w:t xml:space="preserve">like </w:t>
      </w:r>
      <w:r w:rsidRPr="00461776">
        <w:rPr>
          <w:rFonts w:ascii="Calibri" w:hAnsi="Calibri"/>
          <w:szCs w:val="20"/>
        </w:rPr>
        <w:t xml:space="preserve">the St. </w:t>
      </w:r>
      <w:proofErr w:type="spellStart"/>
      <w:r w:rsidRPr="00461776">
        <w:rPr>
          <w:rFonts w:ascii="Calibri" w:hAnsi="Calibri"/>
          <w:szCs w:val="20"/>
        </w:rPr>
        <w:t>Gallen</w:t>
      </w:r>
      <w:proofErr w:type="spellEnd"/>
      <w:r w:rsidRPr="00461776">
        <w:rPr>
          <w:rFonts w:ascii="Calibri" w:hAnsi="Calibri"/>
          <w:szCs w:val="20"/>
        </w:rPr>
        <w:t xml:space="preserve"> International Expert Consensus (Coates et al. 2015)</w:t>
      </w:r>
      <w:proofErr w:type="gramStart"/>
      <w:r w:rsidRPr="00461776">
        <w:rPr>
          <w:rFonts w:ascii="Calibri" w:hAnsi="Calibri"/>
          <w:szCs w:val="20"/>
        </w:rPr>
        <w:t>,</w:t>
      </w:r>
      <w:proofErr w:type="gramEnd"/>
      <w:r w:rsidRPr="00461776">
        <w:rPr>
          <w:rFonts w:ascii="Calibri" w:hAnsi="Calibri"/>
          <w:szCs w:val="20"/>
        </w:rPr>
        <w:t xml:space="preserve"> National Comprehensive Cancer Network guideline (NCCN 2015), European Society for Medical Oncology (ESMO 2015) and Australian NHMRC Guidelines in breast cancer managemen</w:t>
      </w:r>
      <w:r>
        <w:rPr>
          <w:rFonts w:ascii="Calibri" w:hAnsi="Calibri"/>
          <w:szCs w:val="20"/>
        </w:rPr>
        <w:t>t may also be used.</w:t>
      </w:r>
    </w:p>
    <w:p w14:paraId="276278FF"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07C8A4E2" w14:textId="5FF6521F" w:rsidR="001B29A1" w:rsidRDefault="009C0B2B" w:rsidP="001B29A1">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1B29A1">
        <w:rPr>
          <w:szCs w:val="20"/>
        </w:rPr>
        <w:t xml:space="preserve"> Yes </w:t>
      </w:r>
    </w:p>
    <w:p w14:paraId="376A2833"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244E">
        <w:rPr>
          <w:szCs w:val="20"/>
        </w:rPr>
      </w:r>
      <w:r w:rsidR="0058244E">
        <w:rPr>
          <w:szCs w:val="20"/>
        </w:rPr>
        <w:fldChar w:fldCharType="separate"/>
      </w:r>
      <w:r w:rsidRPr="00753C44">
        <w:rPr>
          <w:szCs w:val="20"/>
        </w:rPr>
        <w:fldChar w:fldCharType="end"/>
      </w:r>
      <w:r>
        <w:rPr>
          <w:szCs w:val="20"/>
        </w:rPr>
        <w:t xml:space="preserve"> No  </w:t>
      </w:r>
    </w:p>
    <w:p w14:paraId="7E950BE8"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4B2380F2" w14:textId="11AC29EA" w:rsidR="00E070FF" w:rsidRPr="00E03CFE" w:rsidRDefault="009C0B2B" w:rsidP="00E03CFE">
      <w:pPr>
        <w:ind w:left="426"/>
      </w:pPr>
      <w:r>
        <w:t>The proposed medical service is expected to comple</w:t>
      </w:r>
      <w:r w:rsidR="00A70A71">
        <w:t>ment existing clinical care. It</w:t>
      </w:r>
      <w:r>
        <w:t>s use requires the main tenets of clinical care to be maintained. It is envisaged that the only change in clinical practice will be a change in the individual recommendation for or against chemotherapy.</w:t>
      </w:r>
    </w:p>
    <w:p w14:paraId="35068E97" w14:textId="77777777" w:rsidR="0054594B" w:rsidRPr="00154B00" w:rsidRDefault="009C03FB" w:rsidP="00530204">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DDD38D2" w14:textId="329CCC34" w:rsidR="00415D1F" w:rsidRDefault="00125802" w:rsidP="00FC790E">
      <w:pPr>
        <w:pStyle w:val="ListParagraph"/>
        <w:ind w:left="360"/>
      </w:pPr>
      <w:r>
        <w:t>The</w:t>
      </w:r>
      <w:r w:rsidR="0067615F">
        <w:t xml:space="preserve"> key difference in the clinical management pathway from the point of service delivery is the addition of a new factor in the stratification of patients into risk groups and, consequently, treatment plans.</w:t>
      </w:r>
      <w:r w:rsidR="00DC4404">
        <w:t xml:space="preserve"> For eligible, intermediate-risk patients as described above, the oncologist will assess the </w:t>
      </w:r>
      <w:proofErr w:type="spellStart"/>
      <w:r w:rsidR="00DC4404">
        <w:t>MammaPrint</w:t>
      </w:r>
      <w:proofErr w:type="spellEnd"/>
      <w:r w:rsidR="00DC4404">
        <w:t xml:space="preserve"> risk score in conjunction with currently employed clinical and pathological factors to further stratify their risk and chemotherapy eligibility. It is envisaged that this process will augment and improve, rather than replace, current clinical management. </w:t>
      </w:r>
      <w:r w:rsidR="00415D1F">
        <w:t xml:space="preserve">Thus the below algorithm contains only an addition to the process. For patients who are eligible, </w:t>
      </w:r>
      <w:proofErr w:type="spellStart"/>
      <w:r w:rsidR="00415D1F">
        <w:t>MammaPrint</w:t>
      </w:r>
      <w:proofErr w:type="spellEnd"/>
      <w:r w:rsidR="00415D1F">
        <w:t xml:space="preserve"> can assign a risk after the histological investigation and then serve to provide a clear picture for the treatment discussion which follows.</w:t>
      </w:r>
    </w:p>
    <w:p w14:paraId="1516CE16" w14:textId="77777777" w:rsidR="00415D1F" w:rsidRDefault="00415D1F" w:rsidP="00FC790E">
      <w:pPr>
        <w:pStyle w:val="ListParagraph"/>
        <w:ind w:left="360"/>
      </w:pPr>
    </w:p>
    <w:p w14:paraId="444B3FA8" w14:textId="1827E11C" w:rsidR="00BD3027" w:rsidRDefault="00DC4404" w:rsidP="00FC790E">
      <w:pPr>
        <w:pStyle w:val="ListParagraph"/>
        <w:ind w:left="360"/>
      </w:pPr>
      <w:r>
        <w:t xml:space="preserve">The </w:t>
      </w:r>
      <w:proofErr w:type="spellStart"/>
      <w:r>
        <w:t>MammaPrint</w:t>
      </w:r>
      <w:proofErr w:type="spellEnd"/>
      <w:r w:rsidR="004802F8" w:rsidRPr="00C37600">
        <w:rPr>
          <w:rFonts w:ascii="Calibri" w:eastAsia="Times New Roman" w:hAnsi="Calibri" w:cs="Times New Roman"/>
          <w:szCs w:val="20"/>
        </w:rPr>
        <w:t>®</w:t>
      </w:r>
      <w:r>
        <w:t xml:space="preserve"> score provided is a binary score, making its inclusion simple and easily communicable to patients. With this information, the oncologist and patient will decide on the course of treatment. </w:t>
      </w:r>
      <w:r w:rsidR="0018352A">
        <w:t xml:space="preserve">The result provides both prognostic and predictive genomic information for determining the correct risk group and who will </w:t>
      </w:r>
      <w:r w:rsidR="00A636B1">
        <w:t xml:space="preserve">and who </w:t>
      </w:r>
      <w:proofErr w:type="spellStart"/>
      <w:proofErr w:type="gramStart"/>
      <w:r w:rsidR="00A636B1">
        <w:t>wont</w:t>
      </w:r>
      <w:proofErr w:type="spellEnd"/>
      <w:proofErr w:type="gramEnd"/>
      <w:r w:rsidR="00A636B1">
        <w:t xml:space="preserve"> </w:t>
      </w:r>
      <w:r w:rsidR="0018352A">
        <w:t>benefit from chemotherapy</w:t>
      </w:r>
      <w:r w:rsidR="00A636B1">
        <w:t>, as shown conclusively in MINDACT</w:t>
      </w:r>
      <w:r w:rsidR="0018352A">
        <w:t>.</w:t>
      </w:r>
      <w:r w:rsidR="00CF387E">
        <w:t xml:space="preserve"> </w:t>
      </w:r>
    </w:p>
    <w:p w14:paraId="4969C6B6" w14:textId="2E8D339B" w:rsidR="00DC4404" w:rsidRDefault="00DC4404" w:rsidP="00DC4404">
      <w:pPr>
        <w:pStyle w:val="ListParagraph"/>
        <w:ind w:left="360"/>
      </w:pPr>
    </w:p>
    <w:p w14:paraId="3DEF0EC1" w14:textId="7A6AEC57" w:rsidR="00FC790E" w:rsidRDefault="00DC4404" w:rsidP="003730F0">
      <w:pPr>
        <w:pStyle w:val="ListParagraph"/>
        <w:ind w:left="360"/>
      </w:pPr>
      <w:r>
        <w:t>It is the</w:t>
      </w:r>
      <w:r w:rsidR="0018352A">
        <w:t xml:space="preserve"> primary</w:t>
      </w:r>
      <w:r>
        <w:t xml:space="preserve"> purpose of this application to convey the claim that </w:t>
      </w:r>
      <w:proofErr w:type="spellStart"/>
      <w:r>
        <w:t>MammaPrint</w:t>
      </w:r>
      <w:proofErr w:type="spellEnd"/>
      <w:r>
        <w:t xml:space="preserve"> will lead to a reduction </w:t>
      </w:r>
      <w:r w:rsidR="0017348C">
        <w:t>in the utilisation of chemotherapy</w:t>
      </w:r>
      <w:r w:rsidR="00A636B1">
        <w:t xml:space="preserve"> – which MINDACT suggests could be as high as a 46% reduction in utilisation of chemotherapy</w:t>
      </w:r>
      <w:r w:rsidR="0017348C">
        <w:t xml:space="preserve">. The basis for this claim is the reclassification of women who would have previously been administered chemotherapy due to their </w:t>
      </w:r>
      <w:r w:rsidR="00A636B1">
        <w:t>low</w:t>
      </w:r>
      <w:r w:rsidR="0017348C">
        <w:t xml:space="preserve"> risk score. Their reclassification into a low-risk group by the </w:t>
      </w:r>
      <w:proofErr w:type="spellStart"/>
      <w:r w:rsidR="0017348C">
        <w:t>MammaPrint</w:t>
      </w:r>
      <w:proofErr w:type="spellEnd"/>
      <w:r w:rsidR="0017348C">
        <w:t xml:space="preserve"> test would lead</w:t>
      </w:r>
      <w:r w:rsidR="00E03CFE">
        <w:t xml:space="preserve"> to a cost saving to Medicare. H</w:t>
      </w:r>
      <w:r w:rsidR="0017348C">
        <w:t>owever</w:t>
      </w:r>
      <w:r w:rsidR="00E03CFE">
        <w:t>,</w:t>
      </w:r>
      <w:r w:rsidR="0017348C">
        <w:t xml:space="preserve"> its primary impact would be to spare women the a</w:t>
      </w:r>
      <w:r w:rsidR="0018352A">
        <w:t>rduous process</w:t>
      </w:r>
      <w:r w:rsidR="00A636B1">
        <w:t>, risks and problems</w:t>
      </w:r>
      <w:r w:rsidR="0018352A">
        <w:t xml:space="preserve"> of chemotherapy</w:t>
      </w:r>
      <w:r w:rsidR="00A636B1">
        <w:t xml:space="preserve"> (see aforementioned </w:t>
      </w:r>
      <w:proofErr w:type="spellStart"/>
      <w:r w:rsidR="00A636B1">
        <w:t>Azim</w:t>
      </w:r>
      <w:proofErr w:type="spellEnd"/>
      <w:r w:rsidR="00A636B1">
        <w:t xml:space="preserve"> 2011 paper)</w:t>
      </w:r>
      <w:r w:rsidR="0018352A">
        <w:t xml:space="preserve">. </w:t>
      </w:r>
      <w:r w:rsidR="0017348C">
        <w:t>The services which es</w:t>
      </w:r>
      <w:r w:rsidR="00A636B1">
        <w:t xml:space="preserve">tablish ER, PR, HER2 status etc. which are </w:t>
      </w:r>
      <w:r w:rsidR="0017348C">
        <w:t>primarily determi</w:t>
      </w:r>
      <w:r w:rsidR="00A636B1">
        <w:t>ned in the pathology laboratory</w:t>
      </w:r>
      <w:r w:rsidR="0017348C">
        <w:t xml:space="preserve"> will not be altered.</w:t>
      </w:r>
      <w:r w:rsidR="00BD3027">
        <w:t xml:space="preserve"> Furthermore, for patients whose treatment remains as it would have proceeded without the </w:t>
      </w:r>
      <w:proofErr w:type="spellStart"/>
      <w:r w:rsidR="00BD3027">
        <w:t>MammaPrint</w:t>
      </w:r>
      <w:proofErr w:type="spellEnd"/>
      <w:r w:rsidR="00BD3027">
        <w:t xml:space="preserve"> score</w:t>
      </w:r>
      <w:r w:rsidR="00A636B1">
        <w:t xml:space="preserve"> then they</w:t>
      </w:r>
      <w:r w:rsidR="00BD3027">
        <w:t xml:space="preserve"> will not experience a variation in health care resources.</w:t>
      </w:r>
    </w:p>
    <w:p w14:paraId="51DF1850" w14:textId="77777777" w:rsidR="001D2EA2" w:rsidRDefault="001D2EA2" w:rsidP="003730F0">
      <w:pPr>
        <w:pStyle w:val="ListParagraph"/>
        <w:ind w:left="360"/>
      </w:pPr>
    </w:p>
    <w:p w14:paraId="76B48A8D" w14:textId="07344D18" w:rsidR="001D2EA2" w:rsidRPr="003730F0" w:rsidRDefault="001D2EA2" w:rsidP="003730F0">
      <w:pPr>
        <w:pStyle w:val="ListParagraph"/>
        <w:ind w:left="360"/>
      </w:pPr>
      <w:r>
        <w:t>(Algorithm below)</w:t>
      </w:r>
    </w:p>
    <w:p w14:paraId="17E75E15" w14:textId="37A3BB1F" w:rsidR="00A70A71" w:rsidRPr="00415D1F" w:rsidRDefault="00461776" w:rsidP="00415D1F">
      <w:pPr>
        <w:rPr>
          <w:b/>
          <w:i/>
          <w:szCs w:val="20"/>
          <w:u w:val="single"/>
        </w:rPr>
      </w:pPr>
      <w:r>
        <w:rPr>
          <w:b/>
          <w:i/>
          <w:noProof/>
          <w:szCs w:val="20"/>
          <w:u w:val="single"/>
          <w:lang w:eastAsia="en-AU"/>
        </w:rPr>
        <w:lastRenderedPageBreak/>
        <w:drawing>
          <wp:inline distT="0" distB="0" distL="0" distR="0" wp14:anchorId="2FD471C8" wp14:editId="7093FBC3">
            <wp:extent cx="5730875" cy="5177155"/>
            <wp:effectExtent l="0" t="0" r="3175" b="4445"/>
            <wp:docPr id="8" name="Picture 8" descr="current clinical management pathways (from the point of service delivery onwards).  Refer to abov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Apps/drawio/Untitled%20Diagra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5177155"/>
                    </a:xfrm>
                    <a:prstGeom prst="rect">
                      <a:avLst/>
                    </a:prstGeom>
                    <a:noFill/>
                    <a:ln>
                      <a:noFill/>
                    </a:ln>
                  </pic:spPr>
                </pic:pic>
              </a:graphicData>
            </a:graphic>
          </wp:inline>
        </w:drawing>
      </w:r>
    </w:p>
    <w:p w14:paraId="2DD2E3D5" w14:textId="77777777" w:rsidR="00125802" w:rsidRDefault="00125802" w:rsidP="005C3AE7">
      <w:pPr>
        <w:pStyle w:val="Subtitle"/>
      </w:pPr>
    </w:p>
    <w:p w14:paraId="2829A8DF" w14:textId="77777777" w:rsidR="00125802" w:rsidRPr="00125802" w:rsidRDefault="00125802" w:rsidP="00125802"/>
    <w:p w14:paraId="686292DA"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28A8B16E"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721F80B" w14:textId="2B951E66" w:rsidR="00A3132F" w:rsidRDefault="00AF7566" w:rsidP="00A3132F">
      <w:pPr>
        <w:ind w:left="426"/>
      </w:pPr>
      <w:r>
        <w:t xml:space="preserve">The primary clinical claim for the proposed medical service </w:t>
      </w:r>
      <w:r w:rsidR="00D23DBF">
        <w:t xml:space="preserve">is that it can provide valuable information in deciding which patients might benefit from adjuvant chemotherapy. More specifically, patients at a high clinical risk but low genomic risk, as determined by the </w:t>
      </w:r>
      <w:proofErr w:type="spellStart"/>
      <w:r w:rsidR="00D23DBF">
        <w:t>MammaPrint</w:t>
      </w:r>
      <w:proofErr w:type="spellEnd"/>
      <w:r w:rsidR="00D23DBF">
        <w:t xml:space="preserve"> </w:t>
      </w:r>
      <w:r w:rsidR="00993ECA">
        <w:t>assay</w:t>
      </w:r>
      <w:r w:rsidR="00D23DBF">
        <w:t xml:space="preserve">, can avoid chemotherapy and its associated toxicity and adverse effects. </w:t>
      </w:r>
      <w:r w:rsidR="00A9126C">
        <w:t xml:space="preserve">Whilst many </w:t>
      </w:r>
      <w:r w:rsidR="00E03CFE">
        <w:t xml:space="preserve">of the above </w:t>
      </w:r>
      <w:r w:rsidR="00A9126C">
        <w:t xml:space="preserve">studies </w:t>
      </w:r>
      <w:r w:rsidR="00A3132F">
        <w:t xml:space="preserve">have investigated the clinical utility of </w:t>
      </w:r>
      <w:proofErr w:type="spellStart"/>
      <w:r w:rsidR="00A3132F">
        <w:t>MammaPrint</w:t>
      </w:r>
      <w:proofErr w:type="spellEnd"/>
      <w:r w:rsidR="00A3132F">
        <w:t>, the cornerstone for this claim lies in the findings of the 2016 MINDACT study. The findings of which, in short, showed that those at a high clinical risk (as determined by Adjuvant! Online) but low genomic risk could avoid c</w:t>
      </w:r>
      <w:r w:rsidR="00E03CFE">
        <w:t>hemotherapy</w:t>
      </w:r>
      <w:r w:rsidR="00A3132F">
        <w:t xml:space="preserve"> (</w:t>
      </w:r>
      <w:r w:rsidR="000D7897" w:rsidRPr="000D7897">
        <w:t xml:space="preserve">Cardoso </w:t>
      </w:r>
      <w:r w:rsidR="00A3132F" w:rsidRPr="000D7897">
        <w:t>et al</w:t>
      </w:r>
      <w:r w:rsidR="00A3132F" w:rsidRPr="000D7897">
        <w:rPr>
          <w:b/>
        </w:rPr>
        <w:t xml:space="preserve"> </w:t>
      </w:r>
      <w:r w:rsidR="00A3132F">
        <w:t>MINDACT, 2016). This is the primary point of comparison for primary comparator of current clinical care.</w:t>
      </w:r>
    </w:p>
    <w:p w14:paraId="16A3813F" w14:textId="61B4EC0B" w:rsidR="00EE0FEB" w:rsidRDefault="00A3132F" w:rsidP="00EE0FEB">
      <w:pPr>
        <w:ind w:left="426"/>
      </w:pPr>
      <w:r>
        <w:t>Therefore</w:t>
      </w:r>
      <w:r w:rsidR="00B04A39">
        <w:t>,</w:t>
      </w:r>
      <w:r>
        <w:t xml:space="preserve"> this application is claiming a comparative benefit in this regard, as more women can avoid chemotherapy and reduce </w:t>
      </w:r>
      <w:r w:rsidR="00B04A39">
        <w:t>the associated adverse effects</w:t>
      </w:r>
      <w:r w:rsidR="00A70A71">
        <w:t xml:space="preserve"> and drug toxicities</w:t>
      </w:r>
      <w:r w:rsidR="00B04A39">
        <w:t xml:space="preserve"> with the</w:t>
      </w:r>
      <w:r w:rsidR="000D7897">
        <w:t xml:space="preserve"> added cost-saving benefit for M</w:t>
      </w:r>
      <w:r w:rsidR="00B04A39">
        <w:t>edicare.</w:t>
      </w:r>
      <w:r w:rsidR="00B3532E">
        <w:t xml:space="preserve"> On a broader scale, this can result in less chemotherapy, less adverse</w:t>
      </w:r>
      <w:r w:rsidR="00F4767A">
        <w:t xml:space="preserve"> outcomes and less expenditure</w:t>
      </w:r>
      <w:r w:rsidR="00EE0FEB">
        <w:t>.</w:t>
      </w:r>
    </w:p>
    <w:p w14:paraId="37382E9F" w14:textId="67A3CB8C" w:rsidR="00EE0FEB" w:rsidRPr="00EE0FEB" w:rsidRDefault="00EE0FEB" w:rsidP="00EE0FEB">
      <w:pPr>
        <w:ind w:left="426"/>
      </w:pPr>
      <w:r>
        <w:t xml:space="preserve">This claim is in relation for those who are classified as genomic low risk, but clinical high risk. It is not the claim of this application that for those who are classified as clinical low risk, and genomic high risk, that chemotherapy should be given. </w:t>
      </w:r>
    </w:p>
    <w:p w14:paraId="1EEC8723" w14:textId="26B18F60" w:rsidR="00B04A39" w:rsidRDefault="00EE0FEB" w:rsidP="00A3132F">
      <w:pPr>
        <w:ind w:left="426"/>
      </w:pPr>
      <w:r>
        <w:lastRenderedPageBreak/>
        <w:t>A</w:t>
      </w:r>
      <w:r w:rsidR="00B04A39">
        <w:t xml:space="preserve"> small minority of patients classified as low genomic risk who experience a form of recurrence and who elected to avoid chemotherapy that would have otherwise been advised, may represent a comparative harm. The primary clinical claim in this regard is that the difference to current clinical care is not significant and does not outweigh the benefits. However</w:t>
      </w:r>
      <w:r>
        <w:t>,</w:t>
      </w:r>
      <w:r w:rsidR="00B04A39">
        <w:t xml:space="preserve"> it should be noted that treatment with chemotherapy is ultimately a decision of the patient, augmented by advice from the treating oncologist who is armed with the results of various investigations. </w:t>
      </w:r>
      <w:proofErr w:type="spellStart"/>
      <w:r w:rsidR="00B04A39">
        <w:t>MammaPrint</w:t>
      </w:r>
      <w:proofErr w:type="spellEnd"/>
      <w:r w:rsidR="00B04A39">
        <w:t xml:space="preserve"> claims to improve this process, not to replace it.</w:t>
      </w:r>
    </w:p>
    <w:p w14:paraId="1B662221" w14:textId="3837FC18" w:rsidR="00707FA8" w:rsidRPr="00B04A39" w:rsidRDefault="00707FA8" w:rsidP="00A3132F">
      <w:pPr>
        <w:ind w:left="426"/>
      </w:pPr>
      <w:r>
        <w:t>REDACTED</w:t>
      </w:r>
    </w:p>
    <w:p w14:paraId="50BD5BC1" w14:textId="77777777" w:rsidR="004E3CC7" w:rsidRPr="00154B00" w:rsidRDefault="004E3CC7" w:rsidP="00707FA8">
      <w:pPr>
        <w:pStyle w:val="Heading2"/>
      </w:pPr>
      <w:r w:rsidRPr="00154B00">
        <w:t xml:space="preserve">Please advise if the </w:t>
      </w:r>
      <w:r w:rsidR="00CF5AD8" w:rsidRPr="00092580">
        <w:t>overall</w:t>
      </w:r>
      <w:r w:rsidR="00CF5AD8">
        <w:t xml:space="preserve"> </w:t>
      </w:r>
      <w:r w:rsidRPr="00154B00">
        <w:t>clinical claim is for:</w:t>
      </w:r>
    </w:p>
    <w:p w14:paraId="0B75DBD9" w14:textId="59FA9C4D" w:rsidR="001B29A1" w:rsidRPr="001B29A1" w:rsidRDefault="00993ECA" w:rsidP="001B29A1">
      <w:pPr>
        <w:spacing w:before="0" w:after="0"/>
        <w:ind w:left="426"/>
        <w:rPr>
          <w:szCs w:val="20"/>
        </w:rPr>
      </w:pPr>
      <w:r>
        <w:rPr>
          <w:szCs w:val="20"/>
        </w:rPr>
        <w:fldChar w:fldCharType="begin">
          <w:ffData>
            <w:name w:val=""/>
            <w:enabled/>
            <w:calcOnExit w:val="0"/>
            <w:checkBox>
              <w:size w:val="20"/>
              <w:default w:val="0"/>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437FDA6A" w14:textId="0C5303C7" w:rsidR="004E3CC7" w:rsidRPr="001B29A1" w:rsidRDefault="00993ECA" w:rsidP="001B29A1">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1AEAF265"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DCE9A16" w14:textId="77777777" w:rsidR="00B3532E"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3E82BBD9" w14:textId="1548A396" w:rsidR="001B29A1" w:rsidRPr="00A636B1" w:rsidRDefault="00B3532E" w:rsidP="001B29A1">
      <w:pPr>
        <w:pBdr>
          <w:top w:val="single" w:sz="4" w:space="1" w:color="auto"/>
          <w:left w:val="single" w:sz="4" w:space="4" w:color="auto"/>
          <w:bottom w:val="single" w:sz="4" w:space="1" w:color="auto"/>
          <w:right w:val="single" w:sz="4" w:space="4" w:color="auto"/>
        </w:pBdr>
      </w:pPr>
      <w:proofErr w:type="gramStart"/>
      <w:r>
        <w:t xml:space="preserve">Comparison of distant metastasis-free survival, disease-free survival and overall survival between the </w:t>
      </w:r>
      <w:r w:rsidRPr="00A636B1">
        <w:t>comparators.</w:t>
      </w:r>
      <w:proofErr w:type="gramEnd"/>
      <w:r w:rsidRPr="00A636B1">
        <w:t xml:space="preserve"> </w:t>
      </w:r>
    </w:p>
    <w:p w14:paraId="1EB86618" w14:textId="06267832" w:rsidR="00F60AAF" w:rsidRPr="00A636B1" w:rsidRDefault="00F60AAF" w:rsidP="001B29A1">
      <w:pPr>
        <w:pBdr>
          <w:top w:val="single" w:sz="4" w:space="1" w:color="auto"/>
          <w:left w:val="single" w:sz="4" w:space="4" w:color="auto"/>
          <w:bottom w:val="single" w:sz="4" w:space="1" w:color="auto"/>
          <w:right w:val="single" w:sz="4" w:space="4" w:color="auto"/>
        </w:pBdr>
      </w:pPr>
      <w:proofErr w:type="gramStart"/>
      <w:r w:rsidRPr="00A636B1">
        <w:t>Comparison of adverse-effects.</w:t>
      </w:r>
      <w:proofErr w:type="gramEnd"/>
    </w:p>
    <w:p w14:paraId="386D564A" w14:textId="7622A3A1"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66B143E0" w14:textId="77777777" w:rsidR="00B3532E" w:rsidRDefault="00B3532E" w:rsidP="00B3532E">
      <w:pPr>
        <w:pBdr>
          <w:top w:val="single" w:sz="4" w:space="1" w:color="auto"/>
          <w:left w:val="single" w:sz="4" w:space="4" w:color="auto"/>
          <w:bottom w:val="single" w:sz="4" w:space="1" w:color="auto"/>
          <w:right w:val="single" w:sz="4" w:space="4" w:color="auto"/>
        </w:pBdr>
      </w:pPr>
      <w:proofErr w:type="gramStart"/>
      <w:r>
        <w:t>Comparison of influence of treatment.</w:t>
      </w:r>
      <w:proofErr w:type="gramEnd"/>
    </w:p>
    <w:p w14:paraId="29EC3B72" w14:textId="605AF165" w:rsidR="00B3532E" w:rsidRPr="001B29A1" w:rsidRDefault="00B3532E" w:rsidP="001B29A1">
      <w:pPr>
        <w:pBdr>
          <w:top w:val="single" w:sz="4" w:space="1" w:color="auto"/>
          <w:left w:val="single" w:sz="4" w:space="4" w:color="auto"/>
          <w:bottom w:val="single" w:sz="4" w:space="1" w:color="auto"/>
          <w:right w:val="single" w:sz="4" w:space="4" w:color="auto"/>
        </w:pBdr>
        <w:rPr>
          <w:szCs w:val="20"/>
        </w:rPr>
      </w:pPr>
      <w:proofErr w:type="gramStart"/>
      <w:r>
        <w:rPr>
          <w:szCs w:val="20"/>
        </w:rPr>
        <w:t>Cost-effectiveness analysis.</w:t>
      </w:r>
      <w:proofErr w:type="gramEnd"/>
    </w:p>
    <w:p w14:paraId="55942248"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2EF41659"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50A2747"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191AB8E" w14:textId="3C29B475" w:rsidR="006C74B1" w:rsidRPr="00154B00" w:rsidRDefault="00A27294" w:rsidP="00AE1188">
      <w:pPr>
        <w:ind w:left="426"/>
        <w:rPr>
          <w:szCs w:val="20"/>
        </w:rPr>
      </w:pPr>
      <w:r>
        <w:t xml:space="preserve">Approximately 15,000 Australian women develop breast cancer each year, of which less than one </w:t>
      </w:r>
      <w:r w:rsidR="00E355D0">
        <w:t>quarter</w:t>
      </w:r>
      <w:r>
        <w:t xml:space="preserve"> would be eligible for 70 gene signature expression profiling. </w:t>
      </w:r>
    </w:p>
    <w:p w14:paraId="5C6F3B7A"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249AFCE" w14:textId="7409874B" w:rsidR="00382407" w:rsidRPr="00154B00" w:rsidRDefault="00AA590E" w:rsidP="00AE1188">
      <w:pPr>
        <w:ind w:left="426"/>
        <w:rPr>
          <w:szCs w:val="20"/>
        </w:rPr>
      </w:pPr>
      <w:r>
        <w:t>Once</w:t>
      </w:r>
    </w:p>
    <w:p w14:paraId="4FEA4EAC"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AD8F858" w14:textId="665D1556" w:rsidR="00382407" w:rsidRPr="00154B00" w:rsidRDefault="00AA590E" w:rsidP="00AE1188">
      <w:pPr>
        <w:ind w:left="426"/>
        <w:rPr>
          <w:b/>
          <w:szCs w:val="20"/>
        </w:rPr>
      </w:pPr>
      <w:r>
        <w:t>Once only, at the time of the initial diagnosis</w:t>
      </w:r>
    </w:p>
    <w:p w14:paraId="20BC3C56"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70636629" w14:textId="71FBC7DA" w:rsidR="00AE1188" w:rsidRPr="00154B00" w:rsidRDefault="00E355D0" w:rsidP="00AE1188">
      <w:pPr>
        <w:ind w:left="426"/>
        <w:rPr>
          <w:szCs w:val="20"/>
        </w:rPr>
      </w:pPr>
      <w:r>
        <w:t>100</w:t>
      </w:r>
    </w:p>
    <w:p w14:paraId="30533891"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3ADEE51" w14:textId="187F1D88" w:rsidR="001B171D" w:rsidRPr="00154B00" w:rsidRDefault="00E355D0" w:rsidP="007336F3">
      <w:pPr>
        <w:ind w:firstLine="360"/>
        <w:rPr>
          <w:szCs w:val="20"/>
        </w:rPr>
      </w:pPr>
      <w:r>
        <w:t>1</w:t>
      </w:r>
      <w:r w:rsidR="00AA590E">
        <w:t>,000</w:t>
      </w:r>
    </w:p>
    <w:p w14:paraId="429C5285" w14:textId="77777777" w:rsidR="003433D1" w:rsidRDefault="003433D1">
      <w:pPr>
        <w:rPr>
          <w:b/>
          <w:sz w:val="32"/>
          <w:szCs w:val="32"/>
        </w:rPr>
      </w:pPr>
      <w:r>
        <w:rPr>
          <w:b/>
          <w:sz w:val="32"/>
          <w:szCs w:val="32"/>
        </w:rPr>
        <w:br w:type="page"/>
      </w:r>
    </w:p>
    <w:p w14:paraId="0216A1E5"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394D7F0C"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D0FB352" w14:textId="3475E1C5" w:rsidR="00951933" w:rsidRPr="00154B00" w:rsidRDefault="001702FE" w:rsidP="00AE1188">
      <w:pPr>
        <w:ind w:left="426"/>
        <w:rPr>
          <w:szCs w:val="20"/>
        </w:rPr>
      </w:pPr>
      <w:r>
        <w:t>$USD4</w:t>
      </w:r>
      <w:proofErr w:type="gramStart"/>
      <w:r>
        <w:t>,200</w:t>
      </w:r>
      <w:proofErr w:type="gramEnd"/>
      <w:r>
        <w:t xml:space="preserve"> – current </w:t>
      </w:r>
      <w:r w:rsidR="005B321D">
        <w:t xml:space="preserve">international </w:t>
      </w:r>
      <w:r>
        <w:t>fee for service</w:t>
      </w:r>
      <w:r w:rsidR="005B321D">
        <w:t xml:space="preserve">. </w:t>
      </w:r>
      <w:proofErr w:type="gramStart"/>
      <w:r w:rsidR="005B321D">
        <w:t xml:space="preserve">Includes collection of tissue from Australian pathology laboratory, dispatch to </w:t>
      </w:r>
      <w:proofErr w:type="spellStart"/>
      <w:r w:rsidR="005B321D">
        <w:t>Agendia</w:t>
      </w:r>
      <w:proofErr w:type="spellEnd"/>
      <w:r w:rsidR="005B321D">
        <w:t xml:space="preserve"> laboratory in Los Angeles, complete 70 gene microarray testing and reporting back to Australia.</w:t>
      </w:r>
      <w:proofErr w:type="gramEnd"/>
    </w:p>
    <w:p w14:paraId="0E5F37F8"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5F2DD36" w14:textId="59D298A0" w:rsidR="00951933" w:rsidRDefault="005B321D" w:rsidP="00AE1188">
      <w:pPr>
        <w:ind w:left="426"/>
        <w:rPr>
          <w:b/>
          <w:szCs w:val="20"/>
        </w:rPr>
      </w:pPr>
      <w:r>
        <w:t>10 days.</w:t>
      </w:r>
    </w:p>
    <w:p w14:paraId="011D62B2"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F6006BA" w14:textId="64FEEFF9"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471DC6">
        <w:rPr>
          <w:szCs w:val="20"/>
        </w:rPr>
        <w:t>–</w:t>
      </w:r>
      <w:r w:rsidR="0021005A">
        <w:rPr>
          <w:szCs w:val="20"/>
        </w:rPr>
        <w:t xml:space="preserve"> </w:t>
      </w:r>
      <w:r w:rsidR="00471DC6">
        <w:rPr>
          <w:szCs w:val="20"/>
        </w:rPr>
        <w:t xml:space="preserve">MBS </w:t>
      </w:r>
      <w:r w:rsidR="0021005A">
        <w:t xml:space="preserve">Pathology </w:t>
      </w:r>
      <w:r w:rsidR="00471DC6">
        <w:t xml:space="preserve">Category 6 - </w:t>
      </w:r>
      <w:r w:rsidR="0021005A">
        <w:t>Group P7</w:t>
      </w:r>
      <w:r w:rsidRPr="00AE1188">
        <w:rPr>
          <w:szCs w:val="20"/>
        </w:rPr>
        <w:t xml:space="preserve"> </w:t>
      </w:r>
      <w:r w:rsidR="0021005A">
        <w:t>Genetics</w:t>
      </w:r>
      <w:r w:rsidRPr="00AE1188">
        <w:rPr>
          <w:szCs w:val="20"/>
        </w:rPr>
        <w:t xml:space="preserve"> </w:t>
      </w:r>
    </w:p>
    <w:p w14:paraId="21D0C275" w14:textId="0B6A3B8F" w:rsidR="0021005A" w:rsidRDefault="00AE1188" w:rsidP="0021005A">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rsidR="00471DC6">
        <w:rPr>
          <w:szCs w:val="20"/>
        </w:rPr>
        <w:t>733XX</w:t>
      </w:r>
    </w:p>
    <w:p w14:paraId="057B8604" w14:textId="77777777" w:rsidR="00AC3EA5" w:rsidRDefault="00AC3EA5" w:rsidP="0021005A">
      <w:pPr>
        <w:pBdr>
          <w:top w:val="single" w:sz="4" w:space="1" w:color="auto"/>
          <w:left w:val="single" w:sz="4" w:space="4" w:color="auto"/>
          <w:bottom w:val="single" w:sz="4" w:space="1" w:color="auto"/>
          <w:right w:val="single" w:sz="4" w:space="4" w:color="auto"/>
        </w:pBdr>
        <w:rPr>
          <w:szCs w:val="20"/>
        </w:rPr>
      </w:pPr>
    </w:p>
    <w:p w14:paraId="0D28DBFA" w14:textId="259A806C" w:rsidR="0021005A" w:rsidRDefault="00AA590E" w:rsidP="0021005A">
      <w:pPr>
        <w:pBdr>
          <w:top w:val="single" w:sz="4" w:space="1" w:color="auto"/>
          <w:left w:val="single" w:sz="4" w:space="4" w:color="auto"/>
          <w:bottom w:val="single" w:sz="4" w:space="1" w:color="auto"/>
          <w:right w:val="single" w:sz="4" w:space="4" w:color="auto"/>
        </w:pBdr>
      </w:pPr>
      <w:r>
        <w:t xml:space="preserve">Microarray 70 gene signature </w:t>
      </w:r>
      <w:r w:rsidR="0021005A">
        <w:t xml:space="preserve">expression profiling of breast cancer, </w:t>
      </w:r>
      <w:r>
        <w:t>performed on</w:t>
      </w:r>
      <w:r w:rsidR="0021005A">
        <w:t xml:space="preserve"> </w:t>
      </w:r>
      <w:r w:rsidR="00A27294">
        <w:t xml:space="preserve">either </w:t>
      </w:r>
      <w:r w:rsidR="0021005A">
        <w:t>core biopsy or surgically resected formalin fixed paraffin embedded histological specimen.</w:t>
      </w:r>
    </w:p>
    <w:p w14:paraId="541975B8" w14:textId="557AA404" w:rsidR="0021005A" w:rsidRDefault="0021005A" w:rsidP="0021005A">
      <w:pPr>
        <w:pBdr>
          <w:top w:val="single" w:sz="4" w:space="1" w:color="auto"/>
          <w:left w:val="single" w:sz="4" w:space="4" w:color="auto"/>
          <w:bottom w:val="single" w:sz="4" w:space="1" w:color="auto"/>
          <w:right w:val="single" w:sz="4" w:space="4" w:color="auto"/>
        </w:pBdr>
      </w:pPr>
      <w:r>
        <w:t xml:space="preserve">May only be used to test samples from patients considering chemotherapy </w:t>
      </w:r>
      <w:r w:rsidR="00AA590E">
        <w:t xml:space="preserve">treatment </w:t>
      </w:r>
      <w:r>
        <w:t>with the following characteristics as determined by the referring specialist oncologist:</w:t>
      </w:r>
    </w:p>
    <w:p w14:paraId="6FC5EA3C" w14:textId="333D7512" w:rsidR="0021005A" w:rsidRDefault="0021005A" w:rsidP="0021005A">
      <w:pPr>
        <w:pBdr>
          <w:top w:val="single" w:sz="4" w:space="1" w:color="auto"/>
          <w:left w:val="single" w:sz="4" w:space="4" w:color="auto"/>
          <w:bottom w:val="single" w:sz="4" w:space="1" w:color="auto"/>
          <w:right w:val="single" w:sz="4" w:space="4" w:color="auto"/>
        </w:pBdr>
      </w:pPr>
      <w:r>
        <w:t xml:space="preserve">·early </w:t>
      </w:r>
      <w:r w:rsidR="00A27294">
        <w:t xml:space="preserve">stage </w:t>
      </w:r>
      <w:r>
        <w:t>breast cancer (stages I-II)</w:t>
      </w:r>
    </w:p>
    <w:p w14:paraId="16B7EA33" w14:textId="713347CC" w:rsidR="0021005A" w:rsidRDefault="0021005A" w:rsidP="0021005A">
      <w:pPr>
        <w:pBdr>
          <w:top w:val="single" w:sz="4" w:space="1" w:color="auto"/>
          <w:left w:val="single" w:sz="4" w:space="4" w:color="auto"/>
          <w:bottom w:val="single" w:sz="4" w:space="1" w:color="auto"/>
          <w:right w:val="single" w:sz="4" w:space="4" w:color="auto"/>
        </w:pBdr>
      </w:pPr>
      <w:r>
        <w:t>·invasive tumour size up to 50mm in diameter</w:t>
      </w:r>
    </w:p>
    <w:p w14:paraId="28A0574F" w14:textId="05E9B5CD" w:rsidR="0021005A" w:rsidRDefault="0021005A" w:rsidP="0021005A">
      <w:pPr>
        <w:pBdr>
          <w:top w:val="single" w:sz="4" w:space="1" w:color="auto"/>
          <w:left w:val="single" w:sz="4" w:space="4" w:color="auto"/>
          <w:bottom w:val="single" w:sz="4" w:space="1" w:color="auto"/>
          <w:right w:val="single" w:sz="4" w:space="4" w:color="auto"/>
        </w:pBdr>
      </w:pPr>
      <w:r>
        <w:t xml:space="preserve">·node negative or </w:t>
      </w:r>
      <w:r w:rsidR="00AA590E">
        <w:t xml:space="preserve">up to </w:t>
      </w:r>
      <w:r>
        <w:t>3 positive nodes</w:t>
      </w:r>
    </w:p>
    <w:p w14:paraId="2A422EB1" w14:textId="77777777" w:rsidR="0021005A" w:rsidRDefault="0021005A" w:rsidP="0021005A">
      <w:pPr>
        <w:pBdr>
          <w:top w:val="single" w:sz="4" w:space="1" w:color="auto"/>
          <w:left w:val="single" w:sz="4" w:space="4" w:color="auto"/>
          <w:bottom w:val="single" w:sz="4" w:space="1" w:color="auto"/>
          <w:right w:val="single" w:sz="4" w:space="4" w:color="auto"/>
        </w:pBdr>
      </w:pPr>
      <w:r>
        <w:t>·oestrogen positive as determined by immunohistochemistry</w:t>
      </w:r>
    </w:p>
    <w:p w14:paraId="3DFF6239" w14:textId="096802E5" w:rsidR="0021005A" w:rsidRDefault="0021005A" w:rsidP="0021005A">
      <w:pPr>
        <w:pBdr>
          <w:top w:val="single" w:sz="4" w:space="1" w:color="auto"/>
          <w:left w:val="single" w:sz="4" w:space="4" w:color="auto"/>
          <w:bottom w:val="single" w:sz="4" w:space="1" w:color="auto"/>
          <w:right w:val="single" w:sz="4" w:space="4" w:color="auto"/>
        </w:pBdr>
      </w:pPr>
      <w:r>
        <w:t>-HER2 negative as determined by immunohistochemistry</w:t>
      </w:r>
    </w:p>
    <w:p w14:paraId="46EE103C" w14:textId="71F033FD" w:rsidR="00AE1188" w:rsidRDefault="0021005A" w:rsidP="0021005A">
      <w:pPr>
        <w:pBdr>
          <w:top w:val="single" w:sz="4" w:space="1" w:color="auto"/>
          <w:left w:val="single" w:sz="4" w:space="4" w:color="auto"/>
          <w:bottom w:val="single" w:sz="4" w:space="1" w:color="auto"/>
          <w:right w:val="single" w:sz="4" w:space="4" w:color="auto"/>
        </w:pBdr>
      </w:pPr>
      <w:r>
        <w:t xml:space="preserve">May only be used once per new primary breast cancer </w:t>
      </w:r>
      <w:r w:rsidR="00AA590E">
        <w:t xml:space="preserve">tumour </w:t>
      </w:r>
      <w:r>
        <w:t>diagnosis</w:t>
      </w:r>
    </w:p>
    <w:p w14:paraId="7643CB07" w14:textId="77777777" w:rsidR="0021005A" w:rsidRPr="00AE1188" w:rsidRDefault="0021005A" w:rsidP="0021005A">
      <w:pPr>
        <w:pBdr>
          <w:top w:val="single" w:sz="4" w:space="1" w:color="auto"/>
          <w:left w:val="single" w:sz="4" w:space="4" w:color="auto"/>
          <w:bottom w:val="single" w:sz="4" w:space="1" w:color="auto"/>
          <w:right w:val="single" w:sz="4" w:space="4" w:color="auto"/>
        </w:pBdr>
        <w:rPr>
          <w:szCs w:val="20"/>
        </w:rPr>
      </w:pPr>
    </w:p>
    <w:p w14:paraId="35F1AC96" w14:textId="59198185"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5B321D">
        <w:t>USD4</w:t>
      </w:r>
      <w:proofErr w:type="gramStart"/>
      <w:r w:rsidR="005B321D">
        <w:t>,200</w:t>
      </w:r>
      <w:proofErr w:type="gramEnd"/>
    </w:p>
    <w:p w14:paraId="1376B85B" w14:textId="77777777" w:rsidR="00AE1188" w:rsidRDefault="00AE1188" w:rsidP="004A0BF4">
      <w:pPr>
        <w:pStyle w:val="Heading2"/>
        <w:numPr>
          <w:ilvl w:val="0"/>
          <w:numId w:val="0"/>
        </w:numPr>
        <w:ind w:left="360"/>
      </w:pPr>
      <w:r>
        <w:br w:type="page"/>
      </w:r>
    </w:p>
    <w:p w14:paraId="4C8B47EF" w14:textId="77777777" w:rsidR="00E058F2" w:rsidRPr="00C776B1" w:rsidRDefault="001B5169" w:rsidP="00AE1188">
      <w:pPr>
        <w:pStyle w:val="Heading1"/>
      </w:pPr>
      <w:r>
        <w:lastRenderedPageBreak/>
        <w:t>PART 9</w:t>
      </w:r>
      <w:r w:rsidR="00F93784">
        <w:t xml:space="preserve"> – </w:t>
      </w:r>
      <w:r w:rsidR="00E058F2" w:rsidRPr="00C776B1">
        <w:t>FEEDBACK</w:t>
      </w:r>
    </w:p>
    <w:p w14:paraId="1653839A"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1CEC7461" w14:textId="77777777" w:rsidR="00E058F2" w:rsidRPr="00AE1188" w:rsidRDefault="00E058F2" w:rsidP="001B5169">
      <w:pPr>
        <w:pStyle w:val="Heading2"/>
      </w:pPr>
      <w:r w:rsidRPr="00AE1188">
        <w:t>How long did it take to complete the Application Form?</w:t>
      </w:r>
    </w:p>
    <w:p w14:paraId="36396104" w14:textId="77EB78E2" w:rsidR="00E058F2" w:rsidRPr="00154B00" w:rsidRDefault="00A66A69" w:rsidP="00603D04">
      <w:pPr>
        <w:ind w:left="426"/>
        <w:rPr>
          <w:szCs w:val="20"/>
        </w:rPr>
      </w:pPr>
      <w:r>
        <w:t>One week</w:t>
      </w:r>
    </w:p>
    <w:p w14:paraId="524B9DA2"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39EB3F1F" w14:textId="1B6F3796" w:rsidR="00603D04" w:rsidRPr="001B29A1" w:rsidRDefault="00F66518"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10E157FD"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8244E">
        <w:rPr>
          <w:szCs w:val="20"/>
        </w:rPr>
      </w:r>
      <w:r w:rsidR="0058244E">
        <w:rPr>
          <w:szCs w:val="20"/>
        </w:rPr>
        <w:fldChar w:fldCharType="separate"/>
      </w:r>
      <w:r w:rsidRPr="001B29A1">
        <w:rPr>
          <w:szCs w:val="20"/>
        </w:rPr>
        <w:fldChar w:fldCharType="end"/>
      </w:r>
      <w:r w:rsidRPr="001B29A1">
        <w:rPr>
          <w:szCs w:val="20"/>
        </w:rPr>
        <w:t xml:space="preserve"> </w:t>
      </w:r>
      <w:r>
        <w:rPr>
          <w:szCs w:val="20"/>
        </w:rPr>
        <w:t>No</w:t>
      </w:r>
    </w:p>
    <w:p w14:paraId="2FF94294" w14:textId="77777777" w:rsidR="003D6DE1" w:rsidRPr="00154B00" w:rsidRDefault="00603D04" w:rsidP="001B5169">
      <w:pPr>
        <w:pStyle w:val="Heading2"/>
        <w:numPr>
          <w:ilvl w:val="0"/>
          <w:numId w:val="31"/>
        </w:numPr>
      </w:pPr>
      <w:r>
        <w:t>If no, provide areas of concern:</w:t>
      </w:r>
    </w:p>
    <w:p w14:paraId="087BEE0D" w14:textId="62183B49" w:rsidR="003D6DE1" w:rsidRPr="00154B00" w:rsidRDefault="00F66518" w:rsidP="00603D04">
      <w:pPr>
        <w:ind w:left="426"/>
        <w:rPr>
          <w:szCs w:val="20"/>
        </w:rPr>
      </w:pPr>
      <w:r>
        <w:t>N/A</w:t>
      </w:r>
    </w:p>
    <w:p w14:paraId="15682ABD"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583C491C" w14:textId="12796611" w:rsidR="00603D04" w:rsidRPr="001B29A1" w:rsidRDefault="00F66518"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1BCD96B5"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8244E">
        <w:rPr>
          <w:szCs w:val="20"/>
        </w:rPr>
      </w:r>
      <w:r w:rsidR="0058244E">
        <w:rPr>
          <w:szCs w:val="20"/>
        </w:rPr>
        <w:fldChar w:fldCharType="separate"/>
      </w:r>
      <w:r w:rsidRPr="001B29A1">
        <w:rPr>
          <w:szCs w:val="20"/>
        </w:rPr>
        <w:fldChar w:fldCharType="end"/>
      </w:r>
      <w:r w:rsidRPr="001B29A1">
        <w:rPr>
          <w:szCs w:val="20"/>
        </w:rPr>
        <w:t xml:space="preserve"> </w:t>
      </w:r>
      <w:r>
        <w:rPr>
          <w:szCs w:val="20"/>
        </w:rPr>
        <w:t>No</w:t>
      </w:r>
    </w:p>
    <w:p w14:paraId="391B67EF" w14:textId="77777777" w:rsidR="003D6DE1" w:rsidRPr="00154B00" w:rsidRDefault="003D6DE1" w:rsidP="001B5169">
      <w:pPr>
        <w:pStyle w:val="Heading2"/>
        <w:numPr>
          <w:ilvl w:val="0"/>
          <w:numId w:val="32"/>
        </w:numPr>
      </w:pPr>
      <w:r>
        <w:t>If no, what areas did you find not to be useful?</w:t>
      </w:r>
    </w:p>
    <w:p w14:paraId="6B6F0EEB" w14:textId="6D91FDE2" w:rsidR="003D6DE1" w:rsidRPr="00154B00" w:rsidRDefault="00F66518" w:rsidP="00603D04">
      <w:pPr>
        <w:ind w:left="426"/>
        <w:rPr>
          <w:szCs w:val="20"/>
        </w:rPr>
      </w:pPr>
      <w:r>
        <w:t>N/A</w:t>
      </w:r>
    </w:p>
    <w:p w14:paraId="1E9C3812"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6A1FD73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8244E">
        <w:rPr>
          <w:szCs w:val="20"/>
        </w:rPr>
      </w:r>
      <w:r w:rsidR="0058244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28F45AB" w14:textId="12AFDCB3" w:rsidR="00603D04" w:rsidRPr="001B29A1" w:rsidRDefault="00F66518"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244E">
        <w:rPr>
          <w:szCs w:val="20"/>
        </w:rPr>
      </w:r>
      <w:r w:rsidR="0058244E">
        <w:rPr>
          <w:szCs w:val="20"/>
        </w:rPr>
        <w:fldChar w:fldCharType="separate"/>
      </w:r>
      <w:r>
        <w:rPr>
          <w:szCs w:val="20"/>
        </w:rPr>
        <w:fldChar w:fldCharType="end"/>
      </w:r>
      <w:r w:rsidR="00603D04" w:rsidRPr="001B29A1">
        <w:rPr>
          <w:szCs w:val="20"/>
        </w:rPr>
        <w:t xml:space="preserve"> </w:t>
      </w:r>
      <w:r w:rsidR="00603D04">
        <w:rPr>
          <w:szCs w:val="20"/>
        </w:rPr>
        <w:t>No</w:t>
      </w:r>
    </w:p>
    <w:p w14:paraId="2D70AD47"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56B455CF" w14:textId="7AC5DD35" w:rsidR="00451840" w:rsidRDefault="00F66518" w:rsidP="00603D04">
      <w:pPr>
        <w:ind w:left="426"/>
        <w:rPr>
          <w:szCs w:val="20"/>
        </w:rPr>
      </w:pPr>
      <w:r>
        <w:t>N/A</w:t>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F7924" w14:textId="77777777" w:rsidR="00B61308" w:rsidRDefault="00B61308" w:rsidP="00CF2DFA">
      <w:pPr>
        <w:spacing w:after="0"/>
      </w:pPr>
      <w:r>
        <w:separator/>
      </w:r>
    </w:p>
  </w:endnote>
  <w:endnote w:type="continuationSeparator" w:id="0">
    <w:p w14:paraId="6F885F7D" w14:textId="77777777" w:rsidR="00B61308" w:rsidRDefault="00B6130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2802" w14:textId="77777777" w:rsidR="00197A33" w:rsidRDefault="00197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0DC7DE2" w14:textId="77777777" w:rsidR="00C42A17" w:rsidRDefault="00C42A1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8244E" w:rsidRPr="0058244E">
          <w:rPr>
            <w:b/>
            <w:bCs/>
            <w:noProof/>
            <w:sz w:val="18"/>
            <w:szCs w:val="18"/>
          </w:rPr>
          <w:t>30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5D5FFAD" w14:textId="77777777" w:rsidR="00C42A17" w:rsidRPr="003F7CB9" w:rsidRDefault="00C42A1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8B2D" w14:textId="77777777" w:rsidR="00197A33" w:rsidRDefault="0019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C75A0" w14:textId="77777777" w:rsidR="00B61308" w:rsidRDefault="00B61308" w:rsidP="00CF2DFA">
      <w:pPr>
        <w:spacing w:after="0"/>
      </w:pPr>
      <w:r>
        <w:separator/>
      </w:r>
    </w:p>
  </w:footnote>
  <w:footnote w:type="continuationSeparator" w:id="0">
    <w:p w14:paraId="25DEC864" w14:textId="77777777" w:rsidR="00B61308" w:rsidRDefault="00B61308"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B84A" w14:textId="77777777" w:rsidR="00197A33" w:rsidRDefault="00197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2473" w14:textId="77777777" w:rsidR="00197A33" w:rsidRDefault="00197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5790" w14:textId="77777777" w:rsidR="00197A33" w:rsidRDefault="00197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F262A9"/>
    <w:multiLevelType w:val="hybridMultilevel"/>
    <w:tmpl w:val="0D68C270"/>
    <w:lvl w:ilvl="0" w:tplc="EFBECF3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5BD6262"/>
    <w:multiLevelType w:val="hybridMultilevel"/>
    <w:tmpl w:val="61A67A98"/>
    <w:lvl w:ilvl="0" w:tplc="D3668CD6">
      <w:start w:val="1"/>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8"/>
  </w:num>
  <w:num w:numId="26">
    <w:abstractNumId w:val="4"/>
  </w:num>
  <w:num w:numId="27">
    <w:abstractNumId w:val="15"/>
  </w:num>
  <w:num w:numId="28">
    <w:abstractNumId w:val="11"/>
  </w:num>
  <w:num w:numId="29">
    <w:abstractNumId w:val="19"/>
  </w:num>
  <w:num w:numId="30">
    <w:abstractNumId w:val="3"/>
  </w:num>
  <w:num w:numId="31">
    <w:abstractNumId w:val="17"/>
  </w:num>
  <w:num w:numId="32">
    <w:abstractNumId w:val="7"/>
  </w:num>
  <w:num w:numId="33">
    <w:abstractNumId w:val="16"/>
  </w:num>
  <w:num w:numId="34">
    <w:abstractNumId w:val="6"/>
  </w:num>
  <w:num w:numId="35">
    <w:abstractNumId w:val="12"/>
  </w:num>
  <w:num w:numId="36">
    <w:abstractNumId w:val="0"/>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30A4"/>
    <w:rsid w:val="00015588"/>
    <w:rsid w:val="000158AA"/>
    <w:rsid w:val="000159B9"/>
    <w:rsid w:val="00016044"/>
    <w:rsid w:val="00016B6E"/>
    <w:rsid w:val="00023E21"/>
    <w:rsid w:val="00025ABC"/>
    <w:rsid w:val="00026412"/>
    <w:rsid w:val="00031F6F"/>
    <w:rsid w:val="00034D6E"/>
    <w:rsid w:val="0005089D"/>
    <w:rsid w:val="000525BC"/>
    <w:rsid w:val="00073222"/>
    <w:rsid w:val="000770BA"/>
    <w:rsid w:val="00082D85"/>
    <w:rsid w:val="00092580"/>
    <w:rsid w:val="000955E7"/>
    <w:rsid w:val="000A110D"/>
    <w:rsid w:val="000A478F"/>
    <w:rsid w:val="000A5B32"/>
    <w:rsid w:val="000B3CD0"/>
    <w:rsid w:val="000C48D3"/>
    <w:rsid w:val="000D066E"/>
    <w:rsid w:val="000D0831"/>
    <w:rsid w:val="000D7897"/>
    <w:rsid w:val="000E47E7"/>
    <w:rsid w:val="000E5439"/>
    <w:rsid w:val="000F2738"/>
    <w:rsid w:val="00102686"/>
    <w:rsid w:val="00107B2B"/>
    <w:rsid w:val="0011036E"/>
    <w:rsid w:val="001130B0"/>
    <w:rsid w:val="0011369B"/>
    <w:rsid w:val="0011449D"/>
    <w:rsid w:val="0011742E"/>
    <w:rsid w:val="00123D10"/>
    <w:rsid w:val="0012498C"/>
    <w:rsid w:val="00125802"/>
    <w:rsid w:val="00126B33"/>
    <w:rsid w:val="001305A4"/>
    <w:rsid w:val="00136628"/>
    <w:rsid w:val="00154B00"/>
    <w:rsid w:val="001641D0"/>
    <w:rsid w:val="001644E9"/>
    <w:rsid w:val="001702FE"/>
    <w:rsid w:val="00171946"/>
    <w:rsid w:val="0017348C"/>
    <w:rsid w:val="0018352A"/>
    <w:rsid w:val="001845D9"/>
    <w:rsid w:val="0018630F"/>
    <w:rsid w:val="001906CD"/>
    <w:rsid w:val="00191B99"/>
    <w:rsid w:val="0019273C"/>
    <w:rsid w:val="00197A33"/>
    <w:rsid w:val="00197D29"/>
    <w:rsid w:val="001A02E3"/>
    <w:rsid w:val="001A1ADF"/>
    <w:rsid w:val="001A365C"/>
    <w:rsid w:val="001A6E81"/>
    <w:rsid w:val="001B171D"/>
    <w:rsid w:val="001B29A1"/>
    <w:rsid w:val="001B47B1"/>
    <w:rsid w:val="001B5169"/>
    <w:rsid w:val="001B6164"/>
    <w:rsid w:val="001D2EA2"/>
    <w:rsid w:val="001D77ED"/>
    <w:rsid w:val="001E05A0"/>
    <w:rsid w:val="001E1180"/>
    <w:rsid w:val="001E23EA"/>
    <w:rsid w:val="001E6919"/>
    <w:rsid w:val="001E6958"/>
    <w:rsid w:val="001F49BC"/>
    <w:rsid w:val="001F69A9"/>
    <w:rsid w:val="00201924"/>
    <w:rsid w:val="00202473"/>
    <w:rsid w:val="002053F2"/>
    <w:rsid w:val="00206D63"/>
    <w:rsid w:val="0021005A"/>
    <w:rsid w:val="0021185D"/>
    <w:rsid w:val="00221093"/>
    <w:rsid w:val="00226777"/>
    <w:rsid w:val="00232E7C"/>
    <w:rsid w:val="00235BD1"/>
    <w:rsid w:val="00242B0E"/>
    <w:rsid w:val="00247DF0"/>
    <w:rsid w:val="00254813"/>
    <w:rsid w:val="002569B9"/>
    <w:rsid w:val="00257FF2"/>
    <w:rsid w:val="0026304D"/>
    <w:rsid w:val="00265822"/>
    <w:rsid w:val="00265F9E"/>
    <w:rsid w:val="0027105F"/>
    <w:rsid w:val="002711FB"/>
    <w:rsid w:val="00283318"/>
    <w:rsid w:val="00285525"/>
    <w:rsid w:val="00294CD8"/>
    <w:rsid w:val="002A0928"/>
    <w:rsid w:val="002A270B"/>
    <w:rsid w:val="002A50FD"/>
    <w:rsid w:val="002A6753"/>
    <w:rsid w:val="002B28D7"/>
    <w:rsid w:val="002B3EA0"/>
    <w:rsid w:val="002B7EB6"/>
    <w:rsid w:val="002C0B61"/>
    <w:rsid w:val="002C15E6"/>
    <w:rsid w:val="002C247D"/>
    <w:rsid w:val="002C32FF"/>
    <w:rsid w:val="002C3345"/>
    <w:rsid w:val="002D409A"/>
    <w:rsid w:val="002E6D37"/>
    <w:rsid w:val="002F30E7"/>
    <w:rsid w:val="00300EEB"/>
    <w:rsid w:val="003013A9"/>
    <w:rsid w:val="003020B5"/>
    <w:rsid w:val="003027BB"/>
    <w:rsid w:val="00310A10"/>
    <w:rsid w:val="00327D25"/>
    <w:rsid w:val="003319A7"/>
    <w:rsid w:val="00332AE2"/>
    <w:rsid w:val="00334FE3"/>
    <w:rsid w:val="003366B8"/>
    <w:rsid w:val="003421AE"/>
    <w:rsid w:val="0034266C"/>
    <w:rsid w:val="003433D1"/>
    <w:rsid w:val="00343B2F"/>
    <w:rsid w:val="00344B24"/>
    <w:rsid w:val="003456B9"/>
    <w:rsid w:val="0035067D"/>
    <w:rsid w:val="00353A16"/>
    <w:rsid w:val="0035776D"/>
    <w:rsid w:val="0035778A"/>
    <w:rsid w:val="00364FD9"/>
    <w:rsid w:val="00367C1B"/>
    <w:rsid w:val="003730F0"/>
    <w:rsid w:val="00376B61"/>
    <w:rsid w:val="00382407"/>
    <w:rsid w:val="00386156"/>
    <w:rsid w:val="00386A64"/>
    <w:rsid w:val="00386FA1"/>
    <w:rsid w:val="00390142"/>
    <w:rsid w:val="00392F00"/>
    <w:rsid w:val="00393943"/>
    <w:rsid w:val="00397377"/>
    <w:rsid w:val="003A22DE"/>
    <w:rsid w:val="003A2860"/>
    <w:rsid w:val="003A3C35"/>
    <w:rsid w:val="003A6FF2"/>
    <w:rsid w:val="003A7D30"/>
    <w:rsid w:val="003B3C5C"/>
    <w:rsid w:val="003C47CA"/>
    <w:rsid w:val="003D5DB9"/>
    <w:rsid w:val="003D6DE1"/>
    <w:rsid w:val="003D795C"/>
    <w:rsid w:val="003E30FB"/>
    <w:rsid w:val="003F2711"/>
    <w:rsid w:val="003F6C70"/>
    <w:rsid w:val="003F7CB9"/>
    <w:rsid w:val="00403333"/>
    <w:rsid w:val="00403D87"/>
    <w:rsid w:val="00411735"/>
    <w:rsid w:val="00415C74"/>
    <w:rsid w:val="00415D1F"/>
    <w:rsid w:val="00431C0B"/>
    <w:rsid w:val="0043654D"/>
    <w:rsid w:val="00451840"/>
    <w:rsid w:val="00460C9A"/>
    <w:rsid w:val="00461776"/>
    <w:rsid w:val="00464924"/>
    <w:rsid w:val="00465B94"/>
    <w:rsid w:val="00467786"/>
    <w:rsid w:val="00471DC6"/>
    <w:rsid w:val="0047581D"/>
    <w:rsid w:val="00480289"/>
    <w:rsid w:val="004802F8"/>
    <w:rsid w:val="00481279"/>
    <w:rsid w:val="00483368"/>
    <w:rsid w:val="0048417F"/>
    <w:rsid w:val="00487EBB"/>
    <w:rsid w:val="00494011"/>
    <w:rsid w:val="004A0BF4"/>
    <w:rsid w:val="004A263B"/>
    <w:rsid w:val="004A4549"/>
    <w:rsid w:val="004A5D71"/>
    <w:rsid w:val="004B68AE"/>
    <w:rsid w:val="004C35B0"/>
    <w:rsid w:val="004C49EF"/>
    <w:rsid w:val="004C4A19"/>
    <w:rsid w:val="004C5570"/>
    <w:rsid w:val="004D00C9"/>
    <w:rsid w:val="004E16F5"/>
    <w:rsid w:val="004E3BA1"/>
    <w:rsid w:val="004E3CC7"/>
    <w:rsid w:val="004E5B69"/>
    <w:rsid w:val="004F1746"/>
    <w:rsid w:val="004F2A87"/>
    <w:rsid w:val="0050359C"/>
    <w:rsid w:val="00507C56"/>
    <w:rsid w:val="0052344E"/>
    <w:rsid w:val="00526478"/>
    <w:rsid w:val="00530204"/>
    <w:rsid w:val="005309B4"/>
    <w:rsid w:val="00534C5F"/>
    <w:rsid w:val="00540257"/>
    <w:rsid w:val="0054192F"/>
    <w:rsid w:val="00544EB3"/>
    <w:rsid w:val="0054594B"/>
    <w:rsid w:val="0054749B"/>
    <w:rsid w:val="00551CC6"/>
    <w:rsid w:val="00560541"/>
    <w:rsid w:val="005613A1"/>
    <w:rsid w:val="005672D0"/>
    <w:rsid w:val="00567FFA"/>
    <w:rsid w:val="00572A26"/>
    <w:rsid w:val="00572CEB"/>
    <w:rsid w:val="0058244E"/>
    <w:rsid w:val="005834C9"/>
    <w:rsid w:val="005975BF"/>
    <w:rsid w:val="005A58BA"/>
    <w:rsid w:val="005A5D30"/>
    <w:rsid w:val="005A6AB9"/>
    <w:rsid w:val="005B321D"/>
    <w:rsid w:val="005C333E"/>
    <w:rsid w:val="005C3AE7"/>
    <w:rsid w:val="005D0677"/>
    <w:rsid w:val="005E294C"/>
    <w:rsid w:val="005E2CE3"/>
    <w:rsid w:val="005E5A09"/>
    <w:rsid w:val="005F3F07"/>
    <w:rsid w:val="0060026C"/>
    <w:rsid w:val="00603D04"/>
    <w:rsid w:val="00606857"/>
    <w:rsid w:val="00610DCC"/>
    <w:rsid w:val="006110CD"/>
    <w:rsid w:val="00615F42"/>
    <w:rsid w:val="00623096"/>
    <w:rsid w:val="006258C2"/>
    <w:rsid w:val="00626365"/>
    <w:rsid w:val="00630E22"/>
    <w:rsid w:val="0063731E"/>
    <w:rsid w:val="0064168C"/>
    <w:rsid w:val="00657B46"/>
    <w:rsid w:val="00666929"/>
    <w:rsid w:val="0067615F"/>
    <w:rsid w:val="006764EC"/>
    <w:rsid w:val="006835FE"/>
    <w:rsid w:val="00693BFD"/>
    <w:rsid w:val="00695065"/>
    <w:rsid w:val="006A1038"/>
    <w:rsid w:val="006A2B21"/>
    <w:rsid w:val="006A2BEB"/>
    <w:rsid w:val="006A5678"/>
    <w:rsid w:val="006A649A"/>
    <w:rsid w:val="006B1B49"/>
    <w:rsid w:val="006B6390"/>
    <w:rsid w:val="006C0356"/>
    <w:rsid w:val="006C0843"/>
    <w:rsid w:val="006C74B1"/>
    <w:rsid w:val="006D427D"/>
    <w:rsid w:val="006E57AA"/>
    <w:rsid w:val="006F20CF"/>
    <w:rsid w:val="006F38ED"/>
    <w:rsid w:val="00707D4D"/>
    <w:rsid w:val="00707FA8"/>
    <w:rsid w:val="0071366A"/>
    <w:rsid w:val="007217F4"/>
    <w:rsid w:val="00723503"/>
    <w:rsid w:val="00730C04"/>
    <w:rsid w:val="007336F3"/>
    <w:rsid w:val="0073597B"/>
    <w:rsid w:val="007378F6"/>
    <w:rsid w:val="0074545D"/>
    <w:rsid w:val="007522E3"/>
    <w:rsid w:val="0075335B"/>
    <w:rsid w:val="00753C44"/>
    <w:rsid w:val="00754383"/>
    <w:rsid w:val="007564D1"/>
    <w:rsid w:val="00757232"/>
    <w:rsid w:val="007604C8"/>
    <w:rsid w:val="00760679"/>
    <w:rsid w:val="00763628"/>
    <w:rsid w:val="00767E99"/>
    <w:rsid w:val="00772E62"/>
    <w:rsid w:val="0077789B"/>
    <w:rsid w:val="00780D29"/>
    <w:rsid w:val="00791C2A"/>
    <w:rsid w:val="00791C8D"/>
    <w:rsid w:val="00794181"/>
    <w:rsid w:val="0079630B"/>
    <w:rsid w:val="007A43B5"/>
    <w:rsid w:val="007A7F6F"/>
    <w:rsid w:val="007B2AB9"/>
    <w:rsid w:val="007B4C76"/>
    <w:rsid w:val="007C2260"/>
    <w:rsid w:val="007D1E52"/>
    <w:rsid w:val="007D2358"/>
    <w:rsid w:val="007E03A7"/>
    <w:rsid w:val="007E39E4"/>
    <w:rsid w:val="007E6FB3"/>
    <w:rsid w:val="007F11C1"/>
    <w:rsid w:val="007F21B4"/>
    <w:rsid w:val="0080024A"/>
    <w:rsid w:val="00802553"/>
    <w:rsid w:val="00803EAB"/>
    <w:rsid w:val="008046B5"/>
    <w:rsid w:val="008124F9"/>
    <w:rsid w:val="008127C0"/>
    <w:rsid w:val="00812EDD"/>
    <w:rsid w:val="008139C5"/>
    <w:rsid w:val="0081650F"/>
    <w:rsid w:val="008302BD"/>
    <w:rsid w:val="00832B31"/>
    <w:rsid w:val="00833D24"/>
    <w:rsid w:val="008403E0"/>
    <w:rsid w:val="00841476"/>
    <w:rsid w:val="0084657B"/>
    <w:rsid w:val="0084693F"/>
    <w:rsid w:val="00855944"/>
    <w:rsid w:val="00864A18"/>
    <w:rsid w:val="00870833"/>
    <w:rsid w:val="00874571"/>
    <w:rsid w:val="008757AD"/>
    <w:rsid w:val="00881F93"/>
    <w:rsid w:val="00882CB5"/>
    <w:rsid w:val="00883641"/>
    <w:rsid w:val="00884BE0"/>
    <w:rsid w:val="00884E69"/>
    <w:rsid w:val="00890082"/>
    <w:rsid w:val="008A37D0"/>
    <w:rsid w:val="008A48D2"/>
    <w:rsid w:val="008B2610"/>
    <w:rsid w:val="008B471D"/>
    <w:rsid w:val="008B49E4"/>
    <w:rsid w:val="008B729C"/>
    <w:rsid w:val="008C4A93"/>
    <w:rsid w:val="008C5BBB"/>
    <w:rsid w:val="008D5958"/>
    <w:rsid w:val="008E0E49"/>
    <w:rsid w:val="008E35FD"/>
    <w:rsid w:val="008E6227"/>
    <w:rsid w:val="008E78B9"/>
    <w:rsid w:val="00903DFA"/>
    <w:rsid w:val="0090543D"/>
    <w:rsid w:val="009056C5"/>
    <w:rsid w:val="009262F2"/>
    <w:rsid w:val="00937791"/>
    <w:rsid w:val="00941089"/>
    <w:rsid w:val="00951933"/>
    <w:rsid w:val="00954343"/>
    <w:rsid w:val="00954C97"/>
    <w:rsid w:val="00955271"/>
    <w:rsid w:val="00963C9C"/>
    <w:rsid w:val="00965B6B"/>
    <w:rsid w:val="00971E05"/>
    <w:rsid w:val="00971EDB"/>
    <w:rsid w:val="00974D50"/>
    <w:rsid w:val="00987ABE"/>
    <w:rsid w:val="00991EE4"/>
    <w:rsid w:val="009939DC"/>
    <w:rsid w:val="00993B9C"/>
    <w:rsid w:val="00993ECA"/>
    <w:rsid w:val="009B4E1E"/>
    <w:rsid w:val="009C03FB"/>
    <w:rsid w:val="009C0B2B"/>
    <w:rsid w:val="009C4B4F"/>
    <w:rsid w:val="009F0C02"/>
    <w:rsid w:val="009F34B9"/>
    <w:rsid w:val="009F5758"/>
    <w:rsid w:val="00A0283F"/>
    <w:rsid w:val="00A04F4A"/>
    <w:rsid w:val="00A26343"/>
    <w:rsid w:val="00A27294"/>
    <w:rsid w:val="00A3132F"/>
    <w:rsid w:val="00A408B5"/>
    <w:rsid w:val="00A44D37"/>
    <w:rsid w:val="00A529E2"/>
    <w:rsid w:val="00A539F8"/>
    <w:rsid w:val="00A636B1"/>
    <w:rsid w:val="00A6491A"/>
    <w:rsid w:val="00A6594E"/>
    <w:rsid w:val="00A66A69"/>
    <w:rsid w:val="00A70A71"/>
    <w:rsid w:val="00A72047"/>
    <w:rsid w:val="00A727B6"/>
    <w:rsid w:val="00A81CC6"/>
    <w:rsid w:val="00A83EC6"/>
    <w:rsid w:val="00A8732C"/>
    <w:rsid w:val="00A878E1"/>
    <w:rsid w:val="00A9062D"/>
    <w:rsid w:val="00A9126C"/>
    <w:rsid w:val="00A92246"/>
    <w:rsid w:val="00A93F58"/>
    <w:rsid w:val="00A96329"/>
    <w:rsid w:val="00AA134B"/>
    <w:rsid w:val="00AA2CFE"/>
    <w:rsid w:val="00AA590E"/>
    <w:rsid w:val="00AA5FDA"/>
    <w:rsid w:val="00AA6291"/>
    <w:rsid w:val="00AC0C91"/>
    <w:rsid w:val="00AC3EA5"/>
    <w:rsid w:val="00AD37D4"/>
    <w:rsid w:val="00AD6D0F"/>
    <w:rsid w:val="00AD7986"/>
    <w:rsid w:val="00AE1188"/>
    <w:rsid w:val="00AE738C"/>
    <w:rsid w:val="00AF1046"/>
    <w:rsid w:val="00AF4466"/>
    <w:rsid w:val="00AF5D1E"/>
    <w:rsid w:val="00AF7566"/>
    <w:rsid w:val="00B00EE4"/>
    <w:rsid w:val="00B040A9"/>
    <w:rsid w:val="00B04A39"/>
    <w:rsid w:val="00B1711E"/>
    <w:rsid w:val="00B17CBE"/>
    <w:rsid w:val="00B17E26"/>
    <w:rsid w:val="00B231A4"/>
    <w:rsid w:val="00B25D20"/>
    <w:rsid w:val="00B31C99"/>
    <w:rsid w:val="00B34D43"/>
    <w:rsid w:val="00B3532E"/>
    <w:rsid w:val="00B36597"/>
    <w:rsid w:val="00B53BA6"/>
    <w:rsid w:val="00B5731D"/>
    <w:rsid w:val="00B61308"/>
    <w:rsid w:val="00B6378B"/>
    <w:rsid w:val="00B63E3A"/>
    <w:rsid w:val="00B672BB"/>
    <w:rsid w:val="00B75965"/>
    <w:rsid w:val="00B765AD"/>
    <w:rsid w:val="00B771AD"/>
    <w:rsid w:val="00B779CC"/>
    <w:rsid w:val="00B814CB"/>
    <w:rsid w:val="00B91458"/>
    <w:rsid w:val="00BA0CF8"/>
    <w:rsid w:val="00BA1ADF"/>
    <w:rsid w:val="00BA51FC"/>
    <w:rsid w:val="00BB003A"/>
    <w:rsid w:val="00BB3358"/>
    <w:rsid w:val="00BB3382"/>
    <w:rsid w:val="00BB3643"/>
    <w:rsid w:val="00BC3DA0"/>
    <w:rsid w:val="00BC424B"/>
    <w:rsid w:val="00BD3027"/>
    <w:rsid w:val="00BD5469"/>
    <w:rsid w:val="00BE0FDE"/>
    <w:rsid w:val="00BF6564"/>
    <w:rsid w:val="00BF6AC5"/>
    <w:rsid w:val="00C01121"/>
    <w:rsid w:val="00C030A5"/>
    <w:rsid w:val="00C05A45"/>
    <w:rsid w:val="00C0796F"/>
    <w:rsid w:val="00C11B34"/>
    <w:rsid w:val="00C12C5C"/>
    <w:rsid w:val="00C171FB"/>
    <w:rsid w:val="00C209C2"/>
    <w:rsid w:val="00C2267F"/>
    <w:rsid w:val="00C22AD8"/>
    <w:rsid w:val="00C2500A"/>
    <w:rsid w:val="00C3557E"/>
    <w:rsid w:val="00C3594B"/>
    <w:rsid w:val="00C375FF"/>
    <w:rsid w:val="00C37600"/>
    <w:rsid w:val="00C42A17"/>
    <w:rsid w:val="00C43102"/>
    <w:rsid w:val="00C439C7"/>
    <w:rsid w:val="00C4696B"/>
    <w:rsid w:val="00C50513"/>
    <w:rsid w:val="00C54503"/>
    <w:rsid w:val="00C63055"/>
    <w:rsid w:val="00C70454"/>
    <w:rsid w:val="00C73B62"/>
    <w:rsid w:val="00C776B1"/>
    <w:rsid w:val="00C815FE"/>
    <w:rsid w:val="00C847AE"/>
    <w:rsid w:val="00C8793B"/>
    <w:rsid w:val="00C92205"/>
    <w:rsid w:val="00C92377"/>
    <w:rsid w:val="00CA04C6"/>
    <w:rsid w:val="00CA26DD"/>
    <w:rsid w:val="00CB12EC"/>
    <w:rsid w:val="00CC09D7"/>
    <w:rsid w:val="00CC12B8"/>
    <w:rsid w:val="00CC73A4"/>
    <w:rsid w:val="00CD0B52"/>
    <w:rsid w:val="00CD17D0"/>
    <w:rsid w:val="00CD1EC3"/>
    <w:rsid w:val="00CD22E3"/>
    <w:rsid w:val="00CD4E44"/>
    <w:rsid w:val="00CD5AE4"/>
    <w:rsid w:val="00CD7A7D"/>
    <w:rsid w:val="00CE4E7E"/>
    <w:rsid w:val="00CF2D8E"/>
    <w:rsid w:val="00CF2DFA"/>
    <w:rsid w:val="00CF387E"/>
    <w:rsid w:val="00CF5AD8"/>
    <w:rsid w:val="00D00122"/>
    <w:rsid w:val="00D01D2A"/>
    <w:rsid w:val="00D02093"/>
    <w:rsid w:val="00D06C2E"/>
    <w:rsid w:val="00D10B47"/>
    <w:rsid w:val="00D11EB1"/>
    <w:rsid w:val="00D14049"/>
    <w:rsid w:val="00D17F17"/>
    <w:rsid w:val="00D23597"/>
    <w:rsid w:val="00D23DBF"/>
    <w:rsid w:val="00D30BDC"/>
    <w:rsid w:val="00D31DCF"/>
    <w:rsid w:val="00D47BA3"/>
    <w:rsid w:val="00D55E2C"/>
    <w:rsid w:val="00D57F88"/>
    <w:rsid w:val="00D7105C"/>
    <w:rsid w:val="00D73646"/>
    <w:rsid w:val="00D777B4"/>
    <w:rsid w:val="00D77A90"/>
    <w:rsid w:val="00D803B2"/>
    <w:rsid w:val="00D8360B"/>
    <w:rsid w:val="00D85676"/>
    <w:rsid w:val="00D96ADA"/>
    <w:rsid w:val="00DA2886"/>
    <w:rsid w:val="00DA534A"/>
    <w:rsid w:val="00DA5E50"/>
    <w:rsid w:val="00DA7D0C"/>
    <w:rsid w:val="00DB311C"/>
    <w:rsid w:val="00DB33AE"/>
    <w:rsid w:val="00DB432D"/>
    <w:rsid w:val="00DB519B"/>
    <w:rsid w:val="00DC4404"/>
    <w:rsid w:val="00DC7694"/>
    <w:rsid w:val="00DC7FBE"/>
    <w:rsid w:val="00DD002E"/>
    <w:rsid w:val="00DD130E"/>
    <w:rsid w:val="00DD308E"/>
    <w:rsid w:val="00DF0C51"/>
    <w:rsid w:val="00DF0D47"/>
    <w:rsid w:val="00DF1099"/>
    <w:rsid w:val="00DF1652"/>
    <w:rsid w:val="00DF6D37"/>
    <w:rsid w:val="00DF770E"/>
    <w:rsid w:val="00E007BA"/>
    <w:rsid w:val="00E03CFE"/>
    <w:rsid w:val="00E048ED"/>
    <w:rsid w:val="00E04FB3"/>
    <w:rsid w:val="00E058F2"/>
    <w:rsid w:val="00E05D9C"/>
    <w:rsid w:val="00E06102"/>
    <w:rsid w:val="00E070FF"/>
    <w:rsid w:val="00E23E71"/>
    <w:rsid w:val="00E30F19"/>
    <w:rsid w:val="00E33C4A"/>
    <w:rsid w:val="00E355D0"/>
    <w:rsid w:val="00E357B9"/>
    <w:rsid w:val="00E37338"/>
    <w:rsid w:val="00E420C3"/>
    <w:rsid w:val="00E4321E"/>
    <w:rsid w:val="00E44B80"/>
    <w:rsid w:val="00E47623"/>
    <w:rsid w:val="00E60529"/>
    <w:rsid w:val="00E70D86"/>
    <w:rsid w:val="00E7628E"/>
    <w:rsid w:val="00E82F54"/>
    <w:rsid w:val="00E8649B"/>
    <w:rsid w:val="00E871CD"/>
    <w:rsid w:val="00E90990"/>
    <w:rsid w:val="00E95D3D"/>
    <w:rsid w:val="00E96771"/>
    <w:rsid w:val="00EA0E25"/>
    <w:rsid w:val="00EA173C"/>
    <w:rsid w:val="00EA62B8"/>
    <w:rsid w:val="00EC127A"/>
    <w:rsid w:val="00EC1FF9"/>
    <w:rsid w:val="00EC2737"/>
    <w:rsid w:val="00EE0FEB"/>
    <w:rsid w:val="00EE2716"/>
    <w:rsid w:val="00EE6450"/>
    <w:rsid w:val="00F009BD"/>
    <w:rsid w:val="00F00E2D"/>
    <w:rsid w:val="00F01C2C"/>
    <w:rsid w:val="00F10ED8"/>
    <w:rsid w:val="00F13475"/>
    <w:rsid w:val="00F17539"/>
    <w:rsid w:val="00F222BE"/>
    <w:rsid w:val="00F237DD"/>
    <w:rsid w:val="00F24179"/>
    <w:rsid w:val="00F301F1"/>
    <w:rsid w:val="00F30C22"/>
    <w:rsid w:val="00F33F1A"/>
    <w:rsid w:val="00F4767A"/>
    <w:rsid w:val="00F547F7"/>
    <w:rsid w:val="00F54CCF"/>
    <w:rsid w:val="00F60AAF"/>
    <w:rsid w:val="00F61D7A"/>
    <w:rsid w:val="00F637B3"/>
    <w:rsid w:val="00F66518"/>
    <w:rsid w:val="00F66CF7"/>
    <w:rsid w:val="00F67BCB"/>
    <w:rsid w:val="00F77C57"/>
    <w:rsid w:val="00F813C7"/>
    <w:rsid w:val="00F83566"/>
    <w:rsid w:val="00F83A9D"/>
    <w:rsid w:val="00F906B5"/>
    <w:rsid w:val="00F92613"/>
    <w:rsid w:val="00F93784"/>
    <w:rsid w:val="00F94A46"/>
    <w:rsid w:val="00F97074"/>
    <w:rsid w:val="00F971CC"/>
    <w:rsid w:val="00FA2CAA"/>
    <w:rsid w:val="00FA3DA1"/>
    <w:rsid w:val="00FA6554"/>
    <w:rsid w:val="00FC003A"/>
    <w:rsid w:val="00FC2077"/>
    <w:rsid w:val="00FC790E"/>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D0"/>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PlainText">
    <w:name w:val="Plain Text"/>
    <w:basedOn w:val="Normal"/>
    <w:link w:val="PlainTextChar"/>
    <w:uiPriority w:val="99"/>
    <w:unhideWhenUsed/>
    <w:rsid w:val="001E05A0"/>
    <w:pPr>
      <w:spacing w:before="0" w:after="0"/>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1E05A0"/>
    <w:rPr>
      <w:rFonts w:ascii="Courier" w:eastAsiaTheme="minorEastAsia" w:hAnsi="Courie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D0"/>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PlainText">
    <w:name w:val="Plain Text"/>
    <w:basedOn w:val="Normal"/>
    <w:link w:val="PlainTextChar"/>
    <w:uiPriority w:val="99"/>
    <w:unhideWhenUsed/>
    <w:rsid w:val="001E05A0"/>
    <w:pPr>
      <w:spacing w:before="0" w:after="0"/>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1E05A0"/>
    <w:rPr>
      <w:rFonts w:ascii="Courier" w:eastAsiaTheme="minorEastAsia"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461">
      <w:bodyDiv w:val="1"/>
      <w:marLeft w:val="0"/>
      <w:marRight w:val="0"/>
      <w:marTop w:val="0"/>
      <w:marBottom w:val="0"/>
      <w:divBdr>
        <w:top w:val="none" w:sz="0" w:space="0" w:color="auto"/>
        <w:left w:val="none" w:sz="0" w:space="0" w:color="auto"/>
        <w:bottom w:val="none" w:sz="0" w:space="0" w:color="auto"/>
        <w:right w:val="none" w:sz="0" w:space="0" w:color="auto"/>
      </w:divBdr>
    </w:div>
    <w:div w:id="81609256">
      <w:bodyDiv w:val="1"/>
      <w:marLeft w:val="0"/>
      <w:marRight w:val="0"/>
      <w:marTop w:val="0"/>
      <w:marBottom w:val="0"/>
      <w:divBdr>
        <w:top w:val="none" w:sz="0" w:space="0" w:color="auto"/>
        <w:left w:val="none" w:sz="0" w:space="0" w:color="auto"/>
        <w:bottom w:val="none" w:sz="0" w:space="0" w:color="auto"/>
        <w:right w:val="none" w:sz="0" w:space="0" w:color="auto"/>
      </w:divBdr>
    </w:div>
    <w:div w:id="127014981">
      <w:bodyDiv w:val="1"/>
      <w:marLeft w:val="0"/>
      <w:marRight w:val="0"/>
      <w:marTop w:val="0"/>
      <w:marBottom w:val="0"/>
      <w:divBdr>
        <w:top w:val="none" w:sz="0" w:space="0" w:color="auto"/>
        <w:left w:val="none" w:sz="0" w:space="0" w:color="auto"/>
        <w:bottom w:val="none" w:sz="0" w:space="0" w:color="auto"/>
        <w:right w:val="none" w:sz="0" w:space="0" w:color="auto"/>
      </w:divBdr>
    </w:div>
    <w:div w:id="175466931">
      <w:bodyDiv w:val="1"/>
      <w:marLeft w:val="0"/>
      <w:marRight w:val="0"/>
      <w:marTop w:val="0"/>
      <w:marBottom w:val="0"/>
      <w:divBdr>
        <w:top w:val="none" w:sz="0" w:space="0" w:color="auto"/>
        <w:left w:val="none" w:sz="0" w:space="0" w:color="auto"/>
        <w:bottom w:val="none" w:sz="0" w:space="0" w:color="auto"/>
        <w:right w:val="none" w:sz="0" w:space="0" w:color="auto"/>
      </w:divBdr>
    </w:div>
    <w:div w:id="220987476">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6009508">
      <w:bodyDiv w:val="1"/>
      <w:marLeft w:val="0"/>
      <w:marRight w:val="0"/>
      <w:marTop w:val="0"/>
      <w:marBottom w:val="0"/>
      <w:divBdr>
        <w:top w:val="none" w:sz="0" w:space="0" w:color="auto"/>
        <w:left w:val="none" w:sz="0" w:space="0" w:color="auto"/>
        <w:bottom w:val="none" w:sz="0" w:space="0" w:color="auto"/>
        <w:right w:val="none" w:sz="0" w:space="0" w:color="auto"/>
      </w:divBdr>
    </w:div>
    <w:div w:id="459540073">
      <w:bodyDiv w:val="1"/>
      <w:marLeft w:val="0"/>
      <w:marRight w:val="0"/>
      <w:marTop w:val="0"/>
      <w:marBottom w:val="0"/>
      <w:divBdr>
        <w:top w:val="none" w:sz="0" w:space="0" w:color="auto"/>
        <w:left w:val="none" w:sz="0" w:space="0" w:color="auto"/>
        <w:bottom w:val="none" w:sz="0" w:space="0" w:color="auto"/>
        <w:right w:val="none" w:sz="0" w:space="0" w:color="auto"/>
      </w:divBdr>
    </w:div>
    <w:div w:id="744959282">
      <w:bodyDiv w:val="1"/>
      <w:marLeft w:val="0"/>
      <w:marRight w:val="0"/>
      <w:marTop w:val="0"/>
      <w:marBottom w:val="0"/>
      <w:divBdr>
        <w:top w:val="none" w:sz="0" w:space="0" w:color="auto"/>
        <w:left w:val="none" w:sz="0" w:space="0" w:color="auto"/>
        <w:bottom w:val="none" w:sz="0" w:space="0" w:color="auto"/>
        <w:right w:val="none" w:sz="0" w:space="0" w:color="auto"/>
      </w:divBdr>
    </w:div>
    <w:div w:id="773552320">
      <w:bodyDiv w:val="1"/>
      <w:marLeft w:val="0"/>
      <w:marRight w:val="0"/>
      <w:marTop w:val="0"/>
      <w:marBottom w:val="0"/>
      <w:divBdr>
        <w:top w:val="none" w:sz="0" w:space="0" w:color="auto"/>
        <w:left w:val="none" w:sz="0" w:space="0" w:color="auto"/>
        <w:bottom w:val="none" w:sz="0" w:space="0" w:color="auto"/>
        <w:right w:val="none" w:sz="0" w:space="0" w:color="auto"/>
      </w:divBdr>
    </w:div>
    <w:div w:id="950743778">
      <w:bodyDiv w:val="1"/>
      <w:marLeft w:val="0"/>
      <w:marRight w:val="0"/>
      <w:marTop w:val="0"/>
      <w:marBottom w:val="0"/>
      <w:divBdr>
        <w:top w:val="none" w:sz="0" w:space="0" w:color="auto"/>
        <w:left w:val="none" w:sz="0" w:space="0" w:color="auto"/>
        <w:bottom w:val="none" w:sz="0" w:space="0" w:color="auto"/>
        <w:right w:val="none" w:sz="0" w:space="0" w:color="auto"/>
      </w:divBdr>
    </w:div>
    <w:div w:id="1024095062">
      <w:bodyDiv w:val="1"/>
      <w:marLeft w:val="0"/>
      <w:marRight w:val="0"/>
      <w:marTop w:val="0"/>
      <w:marBottom w:val="0"/>
      <w:divBdr>
        <w:top w:val="none" w:sz="0" w:space="0" w:color="auto"/>
        <w:left w:val="none" w:sz="0" w:space="0" w:color="auto"/>
        <w:bottom w:val="none" w:sz="0" w:space="0" w:color="auto"/>
        <w:right w:val="none" w:sz="0" w:space="0" w:color="auto"/>
      </w:divBdr>
    </w:div>
    <w:div w:id="1106584829">
      <w:bodyDiv w:val="1"/>
      <w:marLeft w:val="0"/>
      <w:marRight w:val="0"/>
      <w:marTop w:val="0"/>
      <w:marBottom w:val="0"/>
      <w:divBdr>
        <w:top w:val="none" w:sz="0" w:space="0" w:color="auto"/>
        <w:left w:val="none" w:sz="0" w:space="0" w:color="auto"/>
        <w:bottom w:val="none" w:sz="0" w:space="0" w:color="auto"/>
        <w:right w:val="none" w:sz="0" w:space="0" w:color="auto"/>
      </w:divBdr>
    </w:div>
    <w:div w:id="1153135313">
      <w:bodyDiv w:val="1"/>
      <w:marLeft w:val="0"/>
      <w:marRight w:val="0"/>
      <w:marTop w:val="0"/>
      <w:marBottom w:val="0"/>
      <w:divBdr>
        <w:top w:val="none" w:sz="0" w:space="0" w:color="auto"/>
        <w:left w:val="none" w:sz="0" w:space="0" w:color="auto"/>
        <w:bottom w:val="none" w:sz="0" w:space="0" w:color="auto"/>
        <w:right w:val="none" w:sz="0" w:space="0" w:color="auto"/>
      </w:divBdr>
    </w:div>
    <w:div w:id="1389256766">
      <w:bodyDiv w:val="1"/>
      <w:marLeft w:val="0"/>
      <w:marRight w:val="0"/>
      <w:marTop w:val="0"/>
      <w:marBottom w:val="0"/>
      <w:divBdr>
        <w:top w:val="none" w:sz="0" w:space="0" w:color="auto"/>
        <w:left w:val="none" w:sz="0" w:space="0" w:color="auto"/>
        <w:bottom w:val="none" w:sz="0" w:space="0" w:color="auto"/>
        <w:right w:val="none" w:sz="0" w:space="0" w:color="auto"/>
      </w:divBdr>
    </w:div>
    <w:div w:id="1496191285">
      <w:bodyDiv w:val="1"/>
      <w:marLeft w:val="0"/>
      <w:marRight w:val="0"/>
      <w:marTop w:val="0"/>
      <w:marBottom w:val="0"/>
      <w:divBdr>
        <w:top w:val="none" w:sz="0" w:space="0" w:color="auto"/>
        <w:left w:val="none" w:sz="0" w:space="0" w:color="auto"/>
        <w:bottom w:val="none" w:sz="0" w:space="0" w:color="auto"/>
        <w:right w:val="none" w:sz="0" w:space="0" w:color="auto"/>
      </w:divBdr>
    </w:div>
    <w:div w:id="1744136660">
      <w:bodyDiv w:val="1"/>
      <w:marLeft w:val="0"/>
      <w:marRight w:val="0"/>
      <w:marTop w:val="0"/>
      <w:marBottom w:val="0"/>
      <w:divBdr>
        <w:top w:val="none" w:sz="0" w:space="0" w:color="auto"/>
        <w:left w:val="none" w:sz="0" w:space="0" w:color="auto"/>
        <w:bottom w:val="none" w:sz="0" w:space="0" w:color="auto"/>
        <w:right w:val="none" w:sz="0" w:space="0" w:color="auto"/>
      </w:divBdr>
    </w:div>
    <w:div w:id="1781879771">
      <w:bodyDiv w:val="1"/>
      <w:marLeft w:val="0"/>
      <w:marRight w:val="0"/>
      <w:marTop w:val="0"/>
      <w:marBottom w:val="0"/>
      <w:divBdr>
        <w:top w:val="none" w:sz="0" w:space="0" w:color="auto"/>
        <w:left w:val="none" w:sz="0" w:space="0" w:color="auto"/>
        <w:bottom w:val="none" w:sz="0" w:space="0" w:color="auto"/>
        <w:right w:val="none" w:sz="0" w:space="0" w:color="auto"/>
      </w:divBdr>
    </w:div>
    <w:div w:id="1905292998">
      <w:bodyDiv w:val="1"/>
      <w:marLeft w:val="0"/>
      <w:marRight w:val="0"/>
      <w:marTop w:val="0"/>
      <w:marBottom w:val="0"/>
      <w:divBdr>
        <w:top w:val="none" w:sz="0" w:space="0" w:color="auto"/>
        <w:left w:val="none" w:sz="0" w:space="0" w:color="auto"/>
        <w:bottom w:val="none" w:sz="0" w:space="0" w:color="auto"/>
        <w:right w:val="none" w:sz="0" w:space="0" w:color="auto"/>
      </w:divBdr>
    </w:div>
    <w:div w:id="2037269455">
      <w:bodyDiv w:val="1"/>
      <w:marLeft w:val="0"/>
      <w:marRight w:val="0"/>
      <w:marTop w:val="0"/>
      <w:marBottom w:val="0"/>
      <w:divBdr>
        <w:top w:val="none" w:sz="0" w:space="0" w:color="auto"/>
        <w:left w:val="none" w:sz="0" w:space="0" w:color="auto"/>
        <w:bottom w:val="none" w:sz="0" w:space="0" w:color="auto"/>
        <w:right w:val="none" w:sz="0" w:space="0" w:color="auto"/>
      </w:divBdr>
    </w:div>
    <w:div w:id="204309447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hta@health.gov.a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D55D-5E2D-4B77-9D78-D99563E9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8661</Words>
  <Characters>48245</Characters>
  <Application>Microsoft Office Word</Application>
  <DocSecurity>0</DocSecurity>
  <Lines>1096</Lines>
  <Paragraphs>512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1376.1 Application Form</dc:title>
  <dc:creator/>
  <cp:lastModifiedBy/>
  <cp:revision>1</cp:revision>
  <dcterms:created xsi:type="dcterms:W3CDTF">2017-03-20T23:49:00Z</dcterms:created>
  <dcterms:modified xsi:type="dcterms:W3CDTF">2017-03-20T23:49:00Z</dcterms:modified>
</cp:coreProperties>
</file>