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732" w:rsidRDefault="00BE2732" w:rsidP="00BE2732">
      <w:pPr>
        <w:rPr>
          <w:b/>
          <w:szCs w:val="24"/>
        </w:rPr>
      </w:pPr>
      <w:r>
        <w:rPr>
          <w:b/>
          <w:noProof/>
          <w:szCs w:val="24"/>
        </w:rPr>
        <w:drawing>
          <wp:inline distT="0" distB="0" distL="0" distR="0">
            <wp:extent cx="3084830" cy="516890"/>
            <wp:effectExtent l="0" t="0" r="1270" b="0"/>
            <wp:docPr id="1" name="Picture 1" title="Medical Services Advisory Committee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4830" cy="516890"/>
                    </a:xfrm>
                    <a:prstGeom prst="rect">
                      <a:avLst/>
                    </a:prstGeom>
                    <a:noFill/>
                    <a:ln>
                      <a:noFill/>
                    </a:ln>
                  </pic:spPr>
                </pic:pic>
              </a:graphicData>
            </a:graphic>
          </wp:inline>
        </w:drawing>
      </w:r>
    </w:p>
    <w:p w:rsidR="00BE2732" w:rsidRDefault="00BE2732" w:rsidP="00BE2732">
      <w:pPr>
        <w:rPr>
          <w:b/>
          <w:szCs w:val="24"/>
        </w:rPr>
      </w:pPr>
    </w:p>
    <w:p w:rsidR="00BE2732" w:rsidRDefault="00243107" w:rsidP="00BE2732">
      <w:pPr>
        <w:rPr>
          <w:b/>
          <w:szCs w:val="24"/>
        </w:rPr>
      </w:pPr>
      <w:r>
        <w:rPr>
          <w:b/>
          <w:szCs w:val="24"/>
        </w:rPr>
        <w:t>66</w:t>
      </w:r>
      <w:r w:rsidR="00C57B21">
        <w:rPr>
          <w:b/>
          <w:szCs w:val="24"/>
          <w:vertAlign w:val="superscript"/>
        </w:rPr>
        <w:t>th</w:t>
      </w:r>
      <w:r w:rsidR="003960B4">
        <w:rPr>
          <w:b/>
          <w:szCs w:val="24"/>
        </w:rPr>
        <w:t xml:space="preserve"> </w:t>
      </w:r>
      <w:r w:rsidR="00BE2732">
        <w:rPr>
          <w:b/>
          <w:szCs w:val="24"/>
        </w:rPr>
        <w:t>MSAC Meeting</w:t>
      </w:r>
    </w:p>
    <w:p w:rsidR="00BE2732" w:rsidRDefault="00C57B21" w:rsidP="00BE2732">
      <w:pPr>
        <w:rPr>
          <w:szCs w:val="24"/>
        </w:rPr>
      </w:pPr>
      <w:r>
        <w:rPr>
          <w:b/>
          <w:szCs w:val="24"/>
        </w:rPr>
        <w:t xml:space="preserve">30-31 </w:t>
      </w:r>
      <w:r w:rsidR="00243107">
        <w:rPr>
          <w:b/>
          <w:szCs w:val="24"/>
        </w:rPr>
        <w:t>March 2016</w:t>
      </w:r>
    </w:p>
    <w:p w:rsidR="00BE2732" w:rsidRDefault="00BE2732" w:rsidP="00DE6C46">
      <w:pPr>
        <w:rPr>
          <w:rStyle w:val="Strong"/>
          <w:szCs w:val="24"/>
        </w:rPr>
      </w:pPr>
    </w:p>
    <w:p w:rsidR="003960B4" w:rsidRDefault="003960B4" w:rsidP="00DE6C46">
      <w:pPr>
        <w:rPr>
          <w:rStyle w:val="Strong"/>
          <w:szCs w:val="24"/>
        </w:rPr>
      </w:pPr>
    </w:p>
    <w:p w:rsidR="00DE6C46" w:rsidRPr="00CB4F82" w:rsidRDefault="00B7300A" w:rsidP="00DE6C46">
      <w:pPr>
        <w:rPr>
          <w:b/>
          <w:color w:val="000000"/>
          <w:szCs w:val="24"/>
        </w:rPr>
      </w:pPr>
      <w:r>
        <w:rPr>
          <w:rStyle w:val="Strong"/>
          <w:szCs w:val="24"/>
        </w:rPr>
        <w:t>OCT –</w:t>
      </w:r>
      <w:r w:rsidR="00B7308B">
        <w:rPr>
          <w:rStyle w:val="Strong"/>
          <w:szCs w:val="24"/>
        </w:rPr>
        <w:t xml:space="preserve"> </w:t>
      </w:r>
      <w:r>
        <w:rPr>
          <w:rStyle w:val="Strong"/>
          <w:szCs w:val="24"/>
        </w:rPr>
        <w:t>implementation issues</w:t>
      </w:r>
    </w:p>
    <w:p w:rsidR="003960B4" w:rsidRDefault="003960B4" w:rsidP="00DE6C46"/>
    <w:p w:rsidR="00122C6B" w:rsidRPr="00122C6B" w:rsidRDefault="00122C6B" w:rsidP="00DE6C46">
      <w:pPr>
        <w:rPr>
          <w:b/>
        </w:rPr>
      </w:pPr>
      <w:r w:rsidRPr="00122C6B">
        <w:rPr>
          <w:b/>
        </w:rPr>
        <w:t>MSAC’s advice to the Minister</w:t>
      </w:r>
    </w:p>
    <w:p w:rsidR="000070FD" w:rsidRDefault="000070FD" w:rsidP="001C29B3">
      <w:pPr>
        <w:rPr>
          <w:szCs w:val="24"/>
        </w:rPr>
      </w:pPr>
    </w:p>
    <w:p w:rsidR="00BD3A8A" w:rsidRDefault="00BD3A8A" w:rsidP="001C29B3">
      <w:pPr>
        <w:rPr>
          <w:szCs w:val="24"/>
        </w:rPr>
      </w:pPr>
      <w:r>
        <w:rPr>
          <w:szCs w:val="24"/>
        </w:rPr>
        <w:t>MSAC advised on the co-ordination of the multiple applications to list OCT onto the MBS to ensure consi</w:t>
      </w:r>
      <w:r w:rsidR="000070FD">
        <w:rPr>
          <w:szCs w:val="24"/>
        </w:rPr>
        <w:t>stency across the applications.</w:t>
      </w:r>
    </w:p>
    <w:p w:rsidR="00BD3A8A" w:rsidRDefault="00BD3A8A" w:rsidP="00C104E5">
      <w:pPr>
        <w:rPr>
          <w:szCs w:val="24"/>
        </w:rPr>
      </w:pPr>
    </w:p>
    <w:p w:rsidR="00BF22C2" w:rsidRDefault="003C2CEB" w:rsidP="00BF22C2">
      <w:pPr>
        <w:rPr>
          <w:szCs w:val="24"/>
        </w:rPr>
      </w:pPr>
      <w:r>
        <w:rPr>
          <w:szCs w:val="24"/>
        </w:rPr>
        <w:t>MSAC supported</w:t>
      </w:r>
      <w:r w:rsidR="00BF22C2">
        <w:rPr>
          <w:szCs w:val="24"/>
        </w:rPr>
        <w:t xml:space="preserve"> </w:t>
      </w:r>
      <w:r w:rsidR="00BD3A8A">
        <w:rPr>
          <w:szCs w:val="24"/>
        </w:rPr>
        <w:t xml:space="preserve">the </w:t>
      </w:r>
      <w:r w:rsidR="000070FD">
        <w:rPr>
          <w:szCs w:val="24"/>
        </w:rPr>
        <w:t xml:space="preserve">broad </w:t>
      </w:r>
      <w:r w:rsidRPr="003C2CEB">
        <w:rPr>
          <w:szCs w:val="24"/>
        </w:rPr>
        <w:t xml:space="preserve">MBS listing </w:t>
      </w:r>
      <w:r w:rsidR="00BF22C2">
        <w:rPr>
          <w:szCs w:val="24"/>
        </w:rPr>
        <w:t xml:space="preserve">of OCT </w:t>
      </w:r>
      <w:r w:rsidRPr="003C2CEB">
        <w:rPr>
          <w:szCs w:val="24"/>
        </w:rPr>
        <w:t>to help determine a patient’s eligibility for PBS-listed medicine</w:t>
      </w:r>
      <w:r w:rsidR="00BD3A8A">
        <w:rPr>
          <w:szCs w:val="24"/>
        </w:rPr>
        <w:t>s</w:t>
      </w:r>
      <w:r w:rsidRPr="003C2CEB">
        <w:rPr>
          <w:szCs w:val="24"/>
        </w:rPr>
        <w:t xml:space="preserve"> in certain ocular diseases</w:t>
      </w:r>
      <w:r w:rsidR="00167FF5">
        <w:rPr>
          <w:szCs w:val="24"/>
        </w:rPr>
        <w:t xml:space="preserve"> at an MBS fee of $40</w:t>
      </w:r>
      <w:r w:rsidRPr="003C2CEB">
        <w:rPr>
          <w:szCs w:val="24"/>
        </w:rPr>
        <w:t>.</w:t>
      </w:r>
      <w:r w:rsidR="00BF22C2">
        <w:rPr>
          <w:szCs w:val="24"/>
        </w:rPr>
        <w:t xml:space="preserve"> </w:t>
      </w:r>
    </w:p>
    <w:p w:rsidR="00BF22C2" w:rsidRDefault="00BF22C2" w:rsidP="00BF22C2">
      <w:pPr>
        <w:rPr>
          <w:szCs w:val="24"/>
        </w:rPr>
      </w:pPr>
    </w:p>
    <w:p w:rsidR="00BF22C2" w:rsidRPr="00BF22C2" w:rsidRDefault="00BF22C2" w:rsidP="00BF22C2">
      <w:pPr>
        <w:rPr>
          <w:szCs w:val="24"/>
        </w:rPr>
      </w:pPr>
      <w:r w:rsidRPr="003C2CEB">
        <w:rPr>
          <w:szCs w:val="24"/>
        </w:rPr>
        <w:t>MSAC advised that the evidence supports use of OCT for diagnosis, but not for monitoring</w:t>
      </w:r>
      <w:r>
        <w:rPr>
          <w:szCs w:val="24"/>
        </w:rPr>
        <w:t>.</w:t>
      </w:r>
      <w:r w:rsidR="00A91C4E">
        <w:rPr>
          <w:szCs w:val="24"/>
        </w:rPr>
        <w:t xml:space="preserve"> Therefore, </w:t>
      </w:r>
      <w:r>
        <w:rPr>
          <w:szCs w:val="24"/>
        </w:rPr>
        <w:t xml:space="preserve">MSAC supported the restriction of the </w:t>
      </w:r>
      <w:r w:rsidR="000070FD">
        <w:rPr>
          <w:szCs w:val="24"/>
        </w:rPr>
        <w:t xml:space="preserve">OCT </w:t>
      </w:r>
      <w:r>
        <w:rPr>
          <w:szCs w:val="24"/>
        </w:rPr>
        <w:t xml:space="preserve">service to </w:t>
      </w:r>
      <w:r w:rsidR="00A91C4E">
        <w:rPr>
          <w:szCs w:val="24"/>
        </w:rPr>
        <w:t>diagnosis</w:t>
      </w:r>
      <w:r w:rsidR="004F61F7">
        <w:rPr>
          <w:szCs w:val="24"/>
        </w:rPr>
        <w:t>,</w:t>
      </w:r>
      <w:r w:rsidR="00A91C4E">
        <w:rPr>
          <w:szCs w:val="24"/>
        </w:rPr>
        <w:t xml:space="preserve"> at </w:t>
      </w:r>
      <w:r w:rsidR="000070FD">
        <w:rPr>
          <w:szCs w:val="24"/>
        </w:rPr>
        <w:t xml:space="preserve">no more frequently than </w:t>
      </w:r>
      <w:r>
        <w:rPr>
          <w:szCs w:val="24"/>
        </w:rPr>
        <w:t>once per patient per annum</w:t>
      </w:r>
      <w:r w:rsidR="004F61F7">
        <w:rPr>
          <w:szCs w:val="24"/>
        </w:rPr>
        <w:t>,</w:t>
      </w:r>
      <w:r>
        <w:rPr>
          <w:szCs w:val="24"/>
        </w:rPr>
        <w:t xml:space="preserve"> across all indications</w:t>
      </w:r>
      <w:r w:rsidR="000070FD">
        <w:rPr>
          <w:szCs w:val="24"/>
        </w:rPr>
        <w:t xml:space="preserve"> involving macular oedema</w:t>
      </w:r>
      <w:r w:rsidR="004F61F7">
        <w:rPr>
          <w:szCs w:val="24"/>
        </w:rPr>
        <w:t>,</w:t>
      </w:r>
      <w:r w:rsidR="000070FD">
        <w:rPr>
          <w:szCs w:val="24"/>
        </w:rPr>
        <w:t xml:space="preserve"> in order to help determine eligibility to initiate an appropriate PBS-subsidised treatment</w:t>
      </w:r>
      <w:r>
        <w:rPr>
          <w:szCs w:val="24"/>
        </w:rPr>
        <w:t xml:space="preserve">. </w:t>
      </w:r>
      <w:r w:rsidR="000070FD">
        <w:rPr>
          <w:szCs w:val="24"/>
        </w:rPr>
        <w:t xml:space="preserve">However, </w:t>
      </w:r>
      <w:r w:rsidR="00A91C4E">
        <w:rPr>
          <w:szCs w:val="24"/>
        </w:rPr>
        <w:t xml:space="preserve">MSAC did </w:t>
      </w:r>
      <w:r w:rsidR="000070FD">
        <w:rPr>
          <w:szCs w:val="24"/>
        </w:rPr>
        <w:t xml:space="preserve">support </w:t>
      </w:r>
      <w:r w:rsidR="00A91C4E">
        <w:rPr>
          <w:szCs w:val="24"/>
        </w:rPr>
        <w:t xml:space="preserve">an additional </w:t>
      </w:r>
      <w:r w:rsidR="000070FD">
        <w:rPr>
          <w:szCs w:val="24"/>
        </w:rPr>
        <w:t xml:space="preserve">MBS </w:t>
      </w:r>
      <w:r w:rsidR="00A91C4E">
        <w:rPr>
          <w:szCs w:val="24"/>
        </w:rPr>
        <w:t>item fo</w:t>
      </w:r>
      <w:r w:rsidR="000070FD">
        <w:rPr>
          <w:szCs w:val="24"/>
        </w:rPr>
        <w:t>llowing treatment with</w:t>
      </w:r>
      <w:r w:rsidR="00A91C4E">
        <w:rPr>
          <w:szCs w:val="24"/>
        </w:rPr>
        <w:t xml:space="preserve"> ocriplasmin to </w:t>
      </w:r>
      <w:r w:rsidR="000070FD">
        <w:rPr>
          <w:szCs w:val="24"/>
        </w:rPr>
        <w:t xml:space="preserve">assess whether </w:t>
      </w:r>
      <w:r w:rsidR="00A91C4E">
        <w:rPr>
          <w:szCs w:val="24"/>
        </w:rPr>
        <w:t xml:space="preserve">the </w:t>
      </w:r>
      <w:r w:rsidR="000070FD">
        <w:rPr>
          <w:szCs w:val="24"/>
        </w:rPr>
        <w:t xml:space="preserve">vitreomacular </w:t>
      </w:r>
      <w:r w:rsidR="00A91C4E">
        <w:rPr>
          <w:szCs w:val="24"/>
        </w:rPr>
        <w:t>adhesion was fully resolved</w:t>
      </w:r>
      <w:r w:rsidR="000070FD">
        <w:rPr>
          <w:szCs w:val="24"/>
        </w:rPr>
        <w:t xml:space="preserve"> and to rule out the need for vitrectomy.</w:t>
      </w:r>
    </w:p>
    <w:p w:rsidR="00122C6B" w:rsidRDefault="00122C6B" w:rsidP="00C104E5"/>
    <w:p w:rsidR="00DE6C46" w:rsidRPr="00824898" w:rsidRDefault="00DE6C46" w:rsidP="00C104E5">
      <w:pPr>
        <w:rPr>
          <w:b/>
        </w:rPr>
      </w:pPr>
      <w:r w:rsidRPr="00824898">
        <w:rPr>
          <w:b/>
        </w:rPr>
        <w:t>Summary of consideration and rationale for MSAC’s advice</w:t>
      </w:r>
    </w:p>
    <w:p w:rsidR="003E0F9F" w:rsidRDefault="003E0F9F" w:rsidP="003E0F9F">
      <w:pPr>
        <w:rPr>
          <w:szCs w:val="24"/>
        </w:rPr>
      </w:pPr>
    </w:p>
    <w:p w:rsidR="003E0F9F" w:rsidRDefault="003E0F9F" w:rsidP="003E0F9F">
      <w:pPr>
        <w:rPr>
          <w:szCs w:val="24"/>
        </w:rPr>
      </w:pPr>
      <w:r>
        <w:rPr>
          <w:szCs w:val="24"/>
        </w:rPr>
        <w:t>MSAC noted that the three proposals for use of OCT currently supported for public funding were:</w:t>
      </w:r>
    </w:p>
    <w:p w:rsidR="003E0F9F" w:rsidRDefault="003E0F9F" w:rsidP="003E0F9F">
      <w:pPr>
        <w:pStyle w:val="ListParagraph"/>
        <w:numPr>
          <w:ilvl w:val="0"/>
          <w:numId w:val="25"/>
        </w:numPr>
        <w:rPr>
          <w:szCs w:val="24"/>
          <w:lang w:eastAsia="ja-JP"/>
        </w:rPr>
      </w:pPr>
      <w:proofErr w:type="spellStart"/>
      <w:r w:rsidRPr="00D52129">
        <w:rPr>
          <w:szCs w:val="24"/>
        </w:rPr>
        <w:t>Appliction</w:t>
      </w:r>
      <w:proofErr w:type="spellEnd"/>
      <w:r w:rsidRPr="00D52129">
        <w:rPr>
          <w:szCs w:val="24"/>
        </w:rPr>
        <w:t xml:space="preserve"> 1377.1</w:t>
      </w:r>
      <w:r>
        <w:rPr>
          <w:szCs w:val="24"/>
        </w:rPr>
        <w:t xml:space="preserve"> -</w:t>
      </w:r>
      <w:r w:rsidRPr="00D52129">
        <w:rPr>
          <w:szCs w:val="24"/>
        </w:rPr>
        <w:t xml:space="preserve"> At this meeting, MSAC a</w:t>
      </w:r>
      <w:r w:rsidR="004F61F7">
        <w:rPr>
          <w:szCs w:val="24"/>
        </w:rPr>
        <w:t>dvised</w:t>
      </w:r>
      <w:r w:rsidRPr="00D52129">
        <w:rPr>
          <w:szCs w:val="24"/>
        </w:rPr>
        <w:t xml:space="preserve"> that the evidence presented support</w:t>
      </w:r>
      <w:r w:rsidR="000070FD">
        <w:rPr>
          <w:szCs w:val="24"/>
        </w:rPr>
        <w:t>ed</w:t>
      </w:r>
      <w:r w:rsidRPr="00D52129">
        <w:rPr>
          <w:szCs w:val="24"/>
        </w:rPr>
        <w:t xml:space="preserve"> use of OCT for the diagnostic purpose of initiating a new course of treatment with dexametha</w:t>
      </w:r>
      <w:r>
        <w:rPr>
          <w:szCs w:val="24"/>
        </w:rPr>
        <w:t>sone in diabetic macular oedema</w:t>
      </w:r>
      <w:r w:rsidR="00B60C32">
        <w:rPr>
          <w:szCs w:val="24"/>
        </w:rPr>
        <w:t xml:space="preserve"> </w:t>
      </w:r>
      <w:r>
        <w:rPr>
          <w:szCs w:val="24"/>
        </w:rPr>
        <w:t xml:space="preserve">– see </w:t>
      </w:r>
      <w:r w:rsidR="000070FD">
        <w:rPr>
          <w:szCs w:val="24"/>
        </w:rPr>
        <w:t xml:space="preserve">associated </w:t>
      </w:r>
      <w:r>
        <w:rPr>
          <w:szCs w:val="24"/>
        </w:rPr>
        <w:t>Public Summary Document for further detail</w:t>
      </w:r>
      <w:r w:rsidR="000070FD">
        <w:rPr>
          <w:szCs w:val="24"/>
        </w:rPr>
        <w:t>s</w:t>
      </w:r>
      <w:r>
        <w:rPr>
          <w:szCs w:val="24"/>
        </w:rPr>
        <w:t>;</w:t>
      </w:r>
    </w:p>
    <w:p w:rsidR="003E0F9F" w:rsidRDefault="003E0F9F" w:rsidP="003E0F9F">
      <w:pPr>
        <w:pStyle w:val="ListParagraph"/>
        <w:numPr>
          <w:ilvl w:val="0"/>
          <w:numId w:val="25"/>
        </w:numPr>
        <w:rPr>
          <w:szCs w:val="24"/>
          <w:lang w:eastAsia="ja-JP"/>
        </w:rPr>
      </w:pPr>
      <w:r w:rsidRPr="00D52129">
        <w:rPr>
          <w:szCs w:val="24"/>
        </w:rPr>
        <w:t>Application 1370.1</w:t>
      </w:r>
      <w:r>
        <w:rPr>
          <w:szCs w:val="24"/>
        </w:rPr>
        <w:t>- At this meeting, MSAC a</w:t>
      </w:r>
      <w:r w:rsidR="004F61F7">
        <w:rPr>
          <w:szCs w:val="24"/>
        </w:rPr>
        <w:t>dvised</w:t>
      </w:r>
      <w:r>
        <w:rPr>
          <w:szCs w:val="24"/>
        </w:rPr>
        <w:t xml:space="preserve"> that the evidence presented support</w:t>
      </w:r>
      <w:r w:rsidR="000070FD">
        <w:rPr>
          <w:szCs w:val="24"/>
        </w:rPr>
        <w:t>ed</w:t>
      </w:r>
      <w:r w:rsidRPr="00D52129">
        <w:rPr>
          <w:szCs w:val="24"/>
        </w:rPr>
        <w:t xml:space="preserve"> use of OCT for the diagnostic purpose of initiating a course of treatment with ocriplasmin in vitreomacular traction. MSAC also considered it was reasonable to support </w:t>
      </w:r>
      <w:r w:rsidRPr="00D52129">
        <w:rPr>
          <w:szCs w:val="24"/>
          <w:lang w:eastAsia="ja-JP"/>
        </w:rPr>
        <w:t xml:space="preserve">use of OCT </w:t>
      </w:r>
      <w:r w:rsidR="00AF4CD2">
        <w:rPr>
          <w:szCs w:val="24"/>
          <w:lang w:eastAsia="ja-JP"/>
        </w:rPr>
        <w:t>to assess</w:t>
      </w:r>
      <w:r w:rsidRPr="00D52129">
        <w:rPr>
          <w:szCs w:val="24"/>
          <w:lang w:eastAsia="ja-JP"/>
        </w:rPr>
        <w:t xml:space="preserve"> the need for further treatment following PBS-subsidised ocriplasmin, however this would be limited to only once per eye per lifetime</w:t>
      </w:r>
      <w:r w:rsidR="00B60C32">
        <w:rPr>
          <w:szCs w:val="24"/>
          <w:lang w:eastAsia="ja-JP"/>
        </w:rPr>
        <w:t xml:space="preserve"> </w:t>
      </w:r>
      <w:r>
        <w:rPr>
          <w:szCs w:val="24"/>
        </w:rPr>
        <w:t xml:space="preserve">– see </w:t>
      </w:r>
      <w:r w:rsidR="000070FD">
        <w:rPr>
          <w:szCs w:val="24"/>
        </w:rPr>
        <w:t xml:space="preserve">associated </w:t>
      </w:r>
      <w:r>
        <w:rPr>
          <w:szCs w:val="24"/>
        </w:rPr>
        <w:t>Public Summary Document for further detail</w:t>
      </w:r>
      <w:r w:rsidR="000070FD">
        <w:rPr>
          <w:szCs w:val="24"/>
        </w:rPr>
        <w:t>s;</w:t>
      </w:r>
    </w:p>
    <w:p w:rsidR="003E0F9F" w:rsidRPr="00D52129" w:rsidRDefault="003E0F9F" w:rsidP="003E0F9F">
      <w:pPr>
        <w:pStyle w:val="ListParagraph"/>
        <w:numPr>
          <w:ilvl w:val="0"/>
          <w:numId w:val="25"/>
        </w:numPr>
        <w:rPr>
          <w:szCs w:val="24"/>
          <w:lang w:eastAsia="ja-JP"/>
        </w:rPr>
      </w:pPr>
      <w:r>
        <w:rPr>
          <w:szCs w:val="24"/>
        </w:rPr>
        <w:t xml:space="preserve">In July 2015, MSAC </w:t>
      </w:r>
      <w:r>
        <w:t xml:space="preserve">supported public funding of OCT, </w:t>
      </w:r>
      <w:r w:rsidRPr="00D52129">
        <w:rPr>
          <w:szCs w:val="24"/>
        </w:rPr>
        <w:t>to determine the presence of macular oedema and thus eligibility for Pharmaceutical Benefits Schedule (PBS)-subsidised therapies for treat</w:t>
      </w:r>
      <w:r w:rsidR="000070FD">
        <w:rPr>
          <w:szCs w:val="24"/>
        </w:rPr>
        <w:t>ment of all PBS-listed macular conditions.</w:t>
      </w:r>
    </w:p>
    <w:p w:rsidR="00B7308B" w:rsidRDefault="00B7308B" w:rsidP="003C2CEB">
      <w:pPr>
        <w:rPr>
          <w:szCs w:val="24"/>
        </w:rPr>
      </w:pPr>
    </w:p>
    <w:p w:rsidR="00AF4CD2" w:rsidRDefault="00AF4CD2" w:rsidP="00AF4CD2">
      <w:pPr>
        <w:tabs>
          <w:tab w:val="num" w:pos="426"/>
        </w:tabs>
      </w:pPr>
      <w:r>
        <w:rPr>
          <w:szCs w:val="24"/>
        </w:rPr>
        <w:t xml:space="preserve">MSAC </w:t>
      </w:r>
      <w:r w:rsidR="000070FD">
        <w:rPr>
          <w:szCs w:val="24"/>
        </w:rPr>
        <w:t xml:space="preserve">advised </w:t>
      </w:r>
      <w:r>
        <w:rPr>
          <w:szCs w:val="24"/>
        </w:rPr>
        <w:t>that</w:t>
      </w:r>
      <w:r>
        <w:t xml:space="preserve"> it </w:t>
      </w:r>
      <w:r w:rsidR="000070FD">
        <w:t>would be</w:t>
      </w:r>
      <w:r>
        <w:t xml:space="preserve"> important for the three OCT listing proposals to be consistent and implementation co-ordinated to prevent potential use and/or overuse outside the intent of the listing. </w:t>
      </w:r>
      <w:r w:rsidR="00E23092">
        <w:t>MSAC supported OCT for confirming diagnosis prior to initial treatment with a PBS subsidised therapy.</w:t>
      </w:r>
    </w:p>
    <w:p w:rsidR="00B31B29" w:rsidRDefault="00B31B29" w:rsidP="005364EA">
      <w:pPr>
        <w:rPr>
          <w:szCs w:val="24"/>
        </w:rPr>
      </w:pPr>
    </w:p>
    <w:p w:rsidR="005364EA" w:rsidRPr="00C104E5" w:rsidRDefault="005364EA" w:rsidP="005364EA">
      <w:pPr>
        <w:rPr>
          <w:szCs w:val="24"/>
          <w:lang w:eastAsia="ja-JP"/>
        </w:rPr>
      </w:pPr>
      <w:r>
        <w:rPr>
          <w:szCs w:val="24"/>
        </w:rPr>
        <w:lastRenderedPageBreak/>
        <w:t xml:space="preserve">In regards to monitoring response to treatment with OCT, </w:t>
      </w:r>
      <w:r w:rsidRPr="00D911B7">
        <w:rPr>
          <w:szCs w:val="24"/>
        </w:rPr>
        <w:t>MSAC</w:t>
      </w:r>
      <w:r>
        <w:rPr>
          <w:szCs w:val="24"/>
        </w:rPr>
        <w:t xml:space="preserve"> again</w:t>
      </w:r>
      <w:r w:rsidRPr="00D911B7">
        <w:rPr>
          <w:szCs w:val="24"/>
        </w:rPr>
        <w:t xml:space="preserve"> upheld its previous advice that the MBS item descriptor should not allow monitoring with OCT to assess post-treatment response</w:t>
      </w:r>
      <w:r>
        <w:rPr>
          <w:szCs w:val="24"/>
        </w:rPr>
        <w:t xml:space="preserve"> as there was no evidence that </w:t>
      </w:r>
      <w:r w:rsidR="00174F6C">
        <w:rPr>
          <w:szCs w:val="24"/>
        </w:rPr>
        <w:t xml:space="preserve">this </w:t>
      </w:r>
      <w:r>
        <w:rPr>
          <w:szCs w:val="24"/>
        </w:rPr>
        <w:t>monitoring produced improvements in health outcomes</w:t>
      </w:r>
      <w:r w:rsidR="00174F6C">
        <w:rPr>
          <w:szCs w:val="24"/>
        </w:rPr>
        <w:t xml:space="preserve"> via improvements in therapy management</w:t>
      </w:r>
      <w:r w:rsidRPr="00D911B7">
        <w:rPr>
          <w:szCs w:val="24"/>
        </w:rPr>
        <w:t>.</w:t>
      </w:r>
    </w:p>
    <w:p w:rsidR="009523A3" w:rsidRDefault="009523A3" w:rsidP="00032CC1">
      <w:pPr>
        <w:autoSpaceDE w:val="0"/>
        <w:autoSpaceDN w:val="0"/>
        <w:adjustRightInd w:val="0"/>
      </w:pPr>
    </w:p>
    <w:p w:rsidR="00167FF5" w:rsidRPr="00915461" w:rsidRDefault="00167FF5" w:rsidP="00167FF5">
      <w:pPr>
        <w:rPr>
          <w:szCs w:val="24"/>
        </w:rPr>
      </w:pPr>
      <w:r w:rsidRPr="009F1972">
        <w:t xml:space="preserve">MSAC </w:t>
      </w:r>
      <w:r>
        <w:t>noted that there had been several MBS fees proposed with the different applications</w:t>
      </w:r>
      <w:r w:rsidR="00174F6C">
        <w:t>,</w:t>
      </w:r>
      <w:r w:rsidR="00B50F91">
        <w:t xml:space="preserve"> which ranged from $40 to $91.75</w:t>
      </w:r>
      <w:r>
        <w:t xml:space="preserve">. </w:t>
      </w:r>
      <w:r w:rsidR="00B50F91">
        <w:t xml:space="preserve">The Department of Veteran Affairs had listed OCT at $91.75 in 2011, however MSAC considered that this fee was too high for the MBS listing as the associated costs required to perform the service would likely be less </w:t>
      </w:r>
      <w:r w:rsidR="00870DE6">
        <w:t xml:space="preserve">now </w:t>
      </w:r>
      <w:r w:rsidR="00B50F91">
        <w:t xml:space="preserve">due to improvements in the technology and market competition. </w:t>
      </w:r>
      <w:r w:rsidR="00B60C32">
        <w:t>Department research</w:t>
      </w:r>
      <w:r w:rsidR="00870DE6">
        <w:t xml:space="preserve"> in overseas countries</w:t>
      </w:r>
      <w:r w:rsidR="00B60C32">
        <w:t xml:space="preserve"> indicated that </w:t>
      </w:r>
      <w:r w:rsidR="00B50F91">
        <w:t xml:space="preserve">the rebate for OCT in the United States was US$45.64 and $35 in </w:t>
      </w:r>
      <w:proofErr w:type="gramStart"/>
      <w:r w:rsidR="00B50F91">
        <w:t xml:space="preserve">Canada </w:t>
      </w:r>
      <w:r w:rsidR="00B60C32">
        <w:t>.</w:t>
      </w:r>
      <w:proofErr w:type="gramEnd"/>
      <w:r w:rsidR="00B60C32">
        <w:t xml:space="preserve"> </w:t>
      </w:r>
      <w:r>
        <w:t xml:space="preserve">MSAC </w:t>
      </w:r>
      <w:r w:rsidRPr="009F1972">
        <w:t xml:space="preserve">considered that the MBS fee for the proposed OCT items should be consistent </w:t>
      </w:r>
      <w:r>
        <w:t xml:space="preserve">across the listings </w:t>
      </w:r>
      <w:r w:rsidRPr="009F1972">
        <w:t>to</w:t>
      </w:r>
      <w:r w:rsidRPr="002264E4">
        <w:t xml:space="preserve"> ensure there was no leakage f</w:t>
      </w:r>
      <w:r>
        <w:t>ro</w:t>
      </w:r>
      <w:r w:rsidRPr="009F1972">
        <w:t>m one item to another and that an MBS fee of $40 w</w:t>
      </w:r>
      <w:r w:rsidR="00174F6C">
        <w:t>ould be</w:t>
      </w:r>
      <w:r w:rsidRPr="009F1972">
        <w:t xml:space="preserve"> appropriate.</w:t>
      </w:r>
    </w:p>
    <w:p w:rsidR="00167FF5" w:rsidRDefault="00167FF5" w:rsidP="003F445B"/>
    <w:p w:rsidR="004B1DDB" w:rsidRDefault="004B1DDB" w:rsidP="004B1DDB">
      <w:r>
        <w:t>The following proposed MBS item descriptors were developed based on these outcomes:</w:t>
      </w:r>
    </w:p>
    <w:p w:rsidR="004B1DDB" w:rsidRDefault="004B1DDB" w:rsidP="004B1DDB"/>
    <w:tbl>
      <w:tblPr>
        <w:tblW w:w="9204"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4"/>
      </w:tblGrid>
      <w:tr w:rsidR="004B1DDB" w:rsidRPr="002A00FA" w:rsidTr="00681DAA">
        <w:tc>
          <w:tcPr>
            <w:tcW w:w="9204" w:type="dxa"/>
            <w:tcBorders>
              <w:top w:val="single" w:sz="4" w:space="0" w:color="000000"/>
              <w:left w:val="single" w:sz="4" w:space="0" w:color="000000"/>
              <w:bottom w:val="single" w:sz="4" w:space="0" w:color="000000"/>
              <w:right w:val="single" w:sz="4" w:space="0" w:color="000000"/>
            </w:tcBorders>
          </w:tcPr>
          <w:p w:rsidR="004B1DDB" w:rsidRPr="002A00FA" w:rsidRDefault="004B1DDB" w:rsidP="00681DAA">
            <w:pPr>
              <w:keepNext/>
              <w:spacing w:before="40" w:after="120"/>
              <w:rPr>
                <w:rFonts w:ascii="Arial" w:hAnsi="Arial" w:cs="Arial"/>
                <w:sz w:val="20"/>
                <w:lang w:eastAsia="ja-JP"/>
              </w:rPr>
            </w:pPr>
            <w:bookmarkStart w:id="0" w:name="Descriptor"/>
            <w:r w:rsidRPr="002A00FA">
              <w:rPr>
                <w:rFonts w:ascii="Arial" w:hAnsi="Arial" w:cs="Arial"/>
                <w:sz w:val="20"/>
                <w:lang w:eastAsia="ja-JP"/>
              </w:rPr>
              <w:t>Category 2 – DIAGNOSTIC PROCEDURES AND INVESTIGATIONS</w:t>
            </w:r>
          </w:p>
          <w:p w:rsidR="004B1DDB" w:rsidRPr="002A00FA" w:rsidRDefault="004B1DDB" w:rsidP="00681DAA">
            <w:pPr>
              <w:keepNext/>
              <w:spacing w:after="120"/>
              <w:rPr>
                <w:rFonts w:ascii="Arial" w:hAnsi="Arial" w:cs="Arial"/>
                <w:sz w:val="20"/>
                <w:lang w:eastAsia="ja-JP"/>
              </w:rPr>
            </w:pPr>
            <w:r w:rsidRPr="002A00FA">
              <w:rPr>
                <w:rFonts w:ascii="Arial" w:hAnsi="Arial" w:cs="Arial"/>
                <w:sz w:val="20"/>
                <w:lang w:eastAsia="ja-JP"/>
              </w:rPr>
              <w:t>Group D1 – MISCELLANEOUS DIAGNOSTIC PROCEDURES AND INVESTIGATIONS</w:t>
            </w:r>
          </w:p>
          <w:p w:rsidR="004B1DDB" w:rsidRPr="002A00FA" w:rsidRDefault="004B1DDB" w:rsidP="00681DAA">
            <w:pPr>
              <w:keepNext/>
              <w:spacing w:after="120"/>
              <w:rPr>
                <w:rFonts w:ascii="Arial" w:hAnsi="Arial" w:cs="Arial"/>
                <w:sz w:val="20"/>
                <w:lang w:eastAsia="ja-JP"/>
              </w:rPr>
            </w:pPr>
            <w:r w:rsidRPr="002A00FA">
              <w:rPr>
                <w:rFonts w:ascii="Arial" w:hAnsi="Arial" w:cs="Arial"/>
                <w:sz w:val="20"/>
                <w:lang w:eastAsia="ja-JP"/>
              </w:rPr>
              <w:t>Subgroup 2 - OPHTHALMOLOGY</w:t>
            </w:r>
          </w:p>
        </w:tc>
      </w:tr>
      <w:tr w:rsidR="004B1DDB" w:rsidRPr="002A00FA" w:rsidTr="00681DAA">
        <w:tc>
          <w:tcPr>
            <w:tcW w:w="9204" w:type="dxa"/>
            <w:tcBorders>
              <w:top w:val="single" w:sz="4" w:space="0" w:color="000000"/>
              <w:left w:val="single" w:sz="4" w:space="0" w:color="000000"/>
              <w:bottom w:val="single" w:sz="4" w:space="0" w:color="000000"/>
              <w:right w:val="single" w:sz="4" w:space="0" w:color="000000"/>
            </w:tcBorders>
          </w:tcPr>
          <w:p w:rsidR="004B1DDB" w:rsidRPr="002A00FA" w:rsidRDefault="004B1DDB" w:rsidP="00681DAA">
            <w:pPr>
              <w:spacing w:before="40" w:after="120"/>
              <w:jc w:val="both"/>
              <w:rPr>
                <w:rFonts w:ascii="Arial" w:hAnsi="Arial" w:cs="Arial"/>
                <w:sz w:val="20"/>
                <w:lang w:eastAsia="ja-JP"/>
              </w:rPr>
            </w:pPr>
            <w:r w:rsidRPr="002A00FA">
              <w:rPr>
                <w:rFonts w:ascii="Arial" w:hAnsi="Arial" w:cs="Arial"/>
                <w:sz w:val="20"/>
                <w:lang w:eastAsia="ja-JP"/>
              </w:rPr>
              <w:t>MBS [item number (Note: this will be assigned by the Department if listed on the MBS)]</w:t>
            </w:r>
          </w:p>
          <w:p w:rsidR="004B1DDB" w:rsidRPr="002A00FA" w:rsidRDefault="004B1DDB" w:rsidP="00681DAA">
            <w:pPr>
              <w:spacing w:after="120"/>
              <w:jc w:val="both"/>
              <w:rPr>
                <w:rFonts w:ascii="Arial" w:hAnsi="Arial" w:cs="Arial"/>
                <w:sz w:val="20"/>
                <w:lang w:eastAsia="ja-JP"/>
              </w:rPr>
            </w:pPr>
            <w:r w:rsidRPr="002A00FA">
              <w:rPr>
                <w:rFonts w:ascii="Arial" w:hAnsi="Arial" w:cs="Arial"/>
                <w:sz w:val="20"/>
                <w:lang w:eastAsia="ja-JP"/>
              </w:rPr>
              <w:t>OPTICAL COHERENCE TOMOGRAPHY to determine if the requirements relating to:</w:t>
            </w:r>
          </w:p>
          <w:p w:rsidR="004B1DDB" w:rsidRPr="002A00FA" w:rsidRDefault="004B1DDB" w:rsidP="00681DAA">
            <w:pPr>
              <w:pStyle w:val="ListParagraph"/>
              <w:numPr>
                <w:ilvl w:val="0"/>
                <w:numId w:val="23"/>
              </w:numPr>
              <w:spacing w:after="120"/>
              <w:jc w:val="both"/>
              <w:rPr>
                <w:rFonts w:ascii="Arial" w:hAnsi="Arial" w:cs="Arial"/>
                <w:sz w:val="20"/>
                <w:lang w:eastAsia="ja-JP"/>
              </w:rPr>
            </w:pPr>
            <w:r w:rsidRPr="002A00FA">
              <w:rPr>
                <w:rFonts w:ascii="Arial" w:hAnsi="Arial" w:cs="Arial"/>
                <w:sz w:val="20"/>
                <w:lang w:eastAsia="ja-JP"/>
              </w:rPr>
              <w:t>age</w:t>
            </w:r>
            <w:r>
              <w:rPr>
                <w:rFonts w:ascii="Arial" w:hAnsi="Arial" w:cs="Arial"/>
                <w:sz w:val="20"/>
                <w:lang w:eastAsia="ja-JP"/>
              </w:rPr>
              <w:t>-</w:t>
            </w:r>
            <w:r w:rsidRPr="002A00FA">
              <w:rPr>
                <w:rFonts w:ascii="Arial" w:hAnsi="Arial" w:cs="Arial"/>
                <w:sz w:val="20"/>
                <w:lang w:eastAsia="ja-JP"/>
              </w:rPr>
              <w:t>related macular degeneration for access to initial treatment with ranibizumab or aflibercept, OR</w:t>
            </w:r>
          </w:p>
          <w:p w:rsidR="004B1DDB" w:rsidRPr="002A00FA" w:rsidRDefault="004B1DDB" w:rsidP="00681DAA">
            <w:pPr>
              <w:pStyle w:val="ListParagraph"/>
              <w:numPr>
                <w:ilvl w:val="0"/>
                <w:numId w:val="23"/>
              </w:numPr>
              <w:spacing w:after="120"/>
              <w:jc w:val="both"/>
              <w:rPr>
                <w:rFonts w:ascii="Arial" w:hAnsi="Arial" w:cs="Arial"/>
                <w:sz w:val="20"/>
                <w:lang w:eastAsia="ja-JP"/>
              </w:rPr>
            </w:pPr>
            <w:r w:rsidRPr="002A00FA">
              <w:rPr>
                <w:rFonts w:ascii="Arial" w:hAnsi="Arial" w:cs="Arial"/>
                <w:sz w:val="20"/>
                <w:lang w:eastAsia="ja-JP"/>
              </w:rPr>
              <w:t>diabetic macular oedema for access to initial treatment with ranibizumab, aflibercept or dexamethasone, OR</w:t>
            </w:r>
          </w:p>
          <w:p w:rsidR="004B1DDB" w:rsidRPr="002A00FA" w:rsidRDefault="004B1DDB" w:rsidP="00681DAA">
            <w:pPr>
              <w:pStyle w:val="ListParagraph"/>
              <w:numPr>
                <w:ilvl w:val="0"/>
                <w:numId w:val="23"/>
              </w:numPr>
              <w:spacing w:after="120"/>
              <w:jc w:val="both"/>
              <w:rPr>
                <w:rFonts w:ascii="Arial" w:hAnsi="Arial" w:cs="Arial"/>
                <w:sz w:val="20"/>
                <w:lang w:eastAsia="ja-JP"/>
              </w:rPr>
            </w:pPr>
            <w:r w:rsidRPr="002A00FA">
              <w:rPr>
                <w:rFonts w:ascii="Arial" w:hAnsi="Arial" w:cs="Arial"/>
                <w:sz w:val="20"/>
                <w:lang w:eastAsia="ja-JP"/>
              </w:rPr>
              <w:t>central or branch retinal vein occlusion for access to initial treatment with ranibizumab or aflibercept</w:t>
            </w:r>
            <w:r>
              <w:rPr>
                <w:rFonts w:ascii="Arial" w:hAnsi="Arial" w:cs="Arial"/>
                <w:sz w:val="20"/>
                <w:lang w:eastAsia="ja-JP"/>
              </w:rPr>
              <w:t>*</w:t>
            </w:r>
            <w:r w:rsidRPr="002A00FA">
              <w:rPr>
                <w:rFonts w:ascii="Arial" w:hAnsi="Arial" w:cs="Arial"/>
                <w:sz w:val="20"/>
                <w:lang w:eastAsia="ja-JP"/>
              </w:rPr>
              <w:t>, OR</w:t>
            </w:r>
          </w:p>
          <w:p w:rsidR="004B1DDB" w:rsidRPr="002A00FA" w:rsidRDefault="004B1DDB" w:rsidP="00681DAA">
            <w:pPr>
              <w:pStyle w:val="ListParagraph"/>
              <w:numPr>
                <w:ilvl w:val="0"/>
                <w:numId w:val="23"/>
              </w:numPr>
              <w:spacing w:after="120"/>
              <w:jc w:val="both"/>
              <w:rPr>
                <w:rFonts w:ascii="Arial" w:hAnsi="Arial" w:cs="Arial"/>
                <w:sz w:val="20"/>
                <w:lang w:eastAsia="ja-JP"/>
              </w:rPr>
            </w:pPr>
            <w:r w:rsidRPr="002A00FA">
              <w:rPr>
                <w:rFonts w:ascii="Arial" w:hAnsi="Arial" w:cs="Arial"/>
                <w:sz w:val="20"/>
                <w:lang w:eastAsia="ja-JP"/>
              </w:rPr>
              <w:t xml:space="preserve"> vitreomacular traction for access to initial treatment with ocriplasmin,</w:t>
            </w:r>
          </w:p>
          <w:p w:rsidR="004B1DDB" w:rsidRPr="002A00FA" w:rsidRDefault="004B1DDB" w:rsidP="00681DAA">
            <w:pPr>
              <w:spacing w:after="120"/>
              <w:jc w:val="both"/>
              <w:rPr>
                <w:rFonts w:ascii="Arial" w:hAnsi="Arial" w:cs="Arial"/>
                <w:sz w:val="20"/>
                <w:lang w:eastAsia="ja-JP"/>
              </w:rPr>
            </w:pPr>
            <w:proofErr w:type="gramStart"/>
            <w:r w:rsidRPr="002A00FA">
              <w:rPr>
                <w:rFonts w:ascii="Arial" w:hAnsi="Arial" w:cs="Arial"/>
                <w:sz w:val="20"/>
                <w:lang w:eastAsia="ja-JP"/>
              </w:rPr>
              <w:t>under</w:t>
            </w:r>
            <w:proofErr w:type="gramEnd"/>
            <w:r w:rsidRPr="002A00FA">
              <w:rPr>
                <w:rFonts w:ascii="Arial" w:hAnsi="Arial" w:cs="Arial"/>
                <w:sz w:val="20"/>
                <w:lang w:eastAsia="ja-JP"/>
              </w:rPr>
              <w:t xml:space="preserve"> the Pharmaceutical Benefits Scheme (PBS) are fulfilled.</w:t>
            </w:r>
          </w:p>
          <w:p w:rsidR="004B1DDB" w:rsidRPr="002A00FA" w:rsidRDefault="004B1DDB" w:rsidP="00681DAA">
            <w:pPr>
              <w:spacing w:after="120"/>
              <w:jc w:val="both"/>
              <w:rPr>
                <w:rFonts w:ascii="Arial" w:hAnsi="Arial" w:cs="Arial"/>
                <w:sz w:val="20"/>
                <w:lang w:eastAsia="ja-JP"/>
              </w:rPr>
            </w:pPr>
            <w:r w:rsidRPr="002A00FA">
              <w:rPr>
                <w:rFonts w:ascii="Arial" w:hAnsi="Arial" w:cs="Arial"/>
                <w:sz w:val="20"/>
                <w:lang w:eastAsia="ja-JP"/>
              </w:rPr>
              <w:t>Limited to one service per annum, unilateral or bilateral.</w:t>
            </w:r>
            <w:bookmarkStart w:id="1" w:name="_GoBack"/>
            <w:bookmarkEnd w:id="1"/>
          </w:p>
          <w:p w:rsidR="004B1DDB" w:rsidRPr="002A00FA" w:rsidRDefault="004B1DDB" w:rsidP="00681DAA">
            <w:pPr>
              <w:spacing w:after="120"/>
              <w:jc w:val="both"/>
              <w:rPr>
                <w:rFonts w:ascii="Arial" w:hAnsi="Arial" w:cs="Arial"/>
                <w:sz w:val="20"/>
                <w:lang w:eastAsia="ja-JP"/>
              </w:rPr>
            </w:pPr>
            <w:r w:rsidRPr="002A00FA">
              <w:rPr>
                <w:rFonts w:ascii="Arial" w:hAnsi="Arial" w:cs="Arial"/>
                <w:sz w:val="20"/>
                <w:lang w:eastAsia="ja-JP"/>
              </w:rPr>
              <w:t>Fee: $40.00</w:t>
            </w:r>
          </w:p>
        </w:tc>
      </w:tr>
    </w:tbl>
    <w:bookmarkEnd w:id="0"/>
    <w:p w:rsidR="004B1DDB" w:rsidRPr="004C3D60" w:rsidRDefault="004C3D60" w:rsidP="004B1DDB">
      <w:pPr>
        <w:rPr>
          <w:rFonts w:ascii="Arial" w:hAnsi="Arial" w:cs="Arial"/>
          <w:sz w:val="18"/>
          <w:szCs w:val="18"/>
        </w:rPr>
      </w:pPr>
      <w:r w:rsidRPr="004C3D60">
        <w:rPr>
          <w:rFonts w:ascii="Arial" w:hAnsi="Arial" w:cs="Arial"/>
          <w:sz w:val="18"/>
          <w:szCs w:val="18"/>
        </w:rPr>
        <w:t>*point c) is written in reflection of the PBAC recommendation to add BRVO to the aflibercept listing</w:t>
      </w:r>
    </w:p>
    <w:p w:rsidR="004C3D60" w:rsidRDefault="004C3D60" w:rsidP="004B1DDB">
      <w:pPr>
        <w:rPr>
          <w:rStyle w:val="IntenseReference"/>
          <w:b w:val="0"/>
          <w:bCs w:val="0"/>
          <w:i w:val="0"/>
          <w:smallCaps w:val="0"/>
        </w:rPr>
      </w:pPr>
    </w:p>
    <w:tbl>
      <w:tblPr>
        <w:tblW w:w="9204" w:type="dxa"/>
        <w:tblInd w:w="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4"/>
      </w:tblGrid>
      <w:tr w:rsidR="004B1DDB" w:rsidRPr="002A00FA" w:rsidTr="00681DAA">
        <w:tc>
          <w:tcPr>
            <w:tcW w:w="9204" w:type="dxa"/>
            <w:tcBorders>
              <w:top w:val="single" w:sz="4" w:space="0" w:color="000000"/>
              <w:left w:val="single" w:sz="4" w:space="0" w:color="000000"/>
              <w:bottom w:val="single" w:sz="4" w:space="0" w:color="000000"/>
              <w:right w:val="single" w:sz="4" w:space="0" w:color="000000"/>
            </w:tcBorders>
          </w:tcPr>
          <w:p w:rsidR="004B1DDB" w:rsidRPr="002A00FA" w:rsidRDefault="004B1DDB" w:rsidP="00681DAA">
            <w:pPr>
              <w:keepNext/>
              <w:spacing w:before="40" w:after="120"/>
              <w:rPr>
                <w:rFonts w:ascii="Arial" w:hAnsi="Arial" w:cs="Arial"/>
                <w:sz w:val="20"/>
                <w:lang w:eastAsia="ja-JP"/>
              </w:rPr>
            </w:pPr>
            <w:r w:rsidRPr="002A00FA">
              <w:rPr>
                <w:rFonts w:ascii="Arial" w:hAnsi="Arial" w:cs="Arial"/>
                <w:sz w:val="20"/>
                <w:lang w:eastAsia="ja-JP"/>
              </w:rPr>
              <w:t>Category 2 – DIAGNOSTIC PROCEDURES AND INVESTIGATIONS</w:t>
            </w:r>
          </w:p>
          <w:p w:rsidR="004B1DDB" w:rsidRPr="002A00FA" w:rsidRDefault="004B1DDB" w:rsidP="00681DAA">
            <w:pPr>
              <w:keepNext/>
              <w:spacing w:after="120"/>
              <w:rPr>
                <w:rFonts w:ascii="Arial" w:hAnsi="Arial" w:cs="Arial"/>
                <w:sz w:val="20"/>
                <w:lang w:eastAsia="ja-JP"/>
              </w:rPr>
            </w:pPr>
            <w:r w:rsidRPr="002A00FA">
              <w:rPr>
                <w:rFonts w:ascii="Arial" w:hAnsi="Arial" w:cs="Arial"/>
                <w:sz w:val="20"/>
                <w:lang w:eastAsia="ja-JP"/>
              </w:rPr>
              <w:t>Group D1 – MISCELLANEOUS DIAGNOSTIC PROCEDURES AND INVESTIGATIONS</w:t>
            </w:r>
          </w:p>
          <w:p w:rsidR="004B1DDB" w:rsidRPr="002A00FA" w:rsidRDefault="004B1DDB" w:rsidP="00681DAA">
            <w:pPr>
              <w:keepNext/>
              <w:spacing w:after="120"/>
              <w:rPr>
                <w:rFonts w:ascii="Arial" w:hAnsi="Arial" w:cs="Arial"/>
                <w:sz w:val="20"/>
                <w:lang w:eastAsia="ja-JP"/>
              </w:rPr>
            </w:pPr>
            <w:r w:rsidRPr="002A00FA">
              <w:rPr>
                <w:rFonts w:ascii="Arial" w:hAnsi="Arial" w:cs="Arial"/>
                <w:sz w:val="20"/>
                <w:lang w:eastAsia="ja-JP"/>
              </w:rPr>
              <w:t>Subgroup 2 - OPHTHALMOLOGY</w:t>
            </w:r>
          </w:p>
        </w:tc>
      </w:tr>
      <w:tr w:rsidR="004B1DDB" w:rsidRPr="002A00FA" w:rsidTr="00681DAA">
        <w:tc>
          <w:tcPr>
            <w:tcW w:w="9204" w:type="dxa"/>
            <w:tcBorders>
              <w:top w:val="single" w:sz="4" w:space="0" w:color="000000"/>
              <w:left w:val="single" w:sz="4" w:space="0" w:color="000000"/>
              <w:bottom w:val="single" w:sz="4" w:space="0" w:color="000000"/>
              <w:right w:val="single" w:sz="4" w:space="0" w:color="000000"/>
            </w:tcBorders>
          </w:tcPr>
          <w:p w:rsidR="004B1DDB" w:rsidRPr="002A00FA" w:rsidRDefault="004B1DDB" w:rsidP="00681DAA">
            <w:pPr>
              <w:spacing w:before="40" w:after="120"/>
              <w:jc w:val="both"/>
              <w:rPr>
                <w:rFonts w:ascii="Arial" w:hAnsi="Arial" w:cs="Arial"/>
                <w:sz w:val="20"/>
                <w:lang w:eastAsia="ja-JP"/>
              </w:rPr>
            </w:pPr>
            <w:r w:rsidRPr="002A00FA">
              <w:rPr>
                <w:rFonts w:ascii="Arial" w:hAnsi="Arial" w:cs="Arial"/>
                <w:sz w:val="20"/>
                <w:lang w:eastAsia="ja-JP"/>
              </w:rPr>
              <w:t>MBS [item number (Note: this will be assigned by the Department if listed on the MBS)]</w:t>
            </w:r>
          </w:p>
          <w:p w:rsidR="004B1DDB" w:rsidRPr="002A00FA" w:rsidRDefault="004B1DDB" w:rsidP="00681DAA">
            <w:pPr>
              <w:spacing w:after="120"/>
              <w:jc w:val="both"/>
              <w:rPr>
                <w:rFonts w:ascii="Arial" w:hAnsi="Arial" w:cs="Arial"/>
                <w:sz w:val="20"/>
                <w:lang w:eastAsia="ja-JP"/>
              </w:rPr>
            </w:pPr>
            <w:r w:rsidRPr="002A00FA">
              <w:rPr>
                <w:rFonts w:ascii="Arial" w:hAnsi="Arial" w:cs="Arial"/>
                <w:sz w:val="20"/>
                <w:lang w:eastAsia="ja-JP"/>
              </w:rPr>
              <w:t xml:space="preserve">OPTICAL COHERENCE TOMOGRAPHY for the assessment of the need for further treatment following PBS-subsidised ocriplasmin, claimable </w:t>
            </w:r>
            <w:r>
              <w:rPr>
                <w:rFonts w:ascii="Arial" w:hAnsi="Arial" w:cs="Arial"/>
                <w:sz w:val="20"/>
                <w:lang w:eastAsia="ja-JP"/>
              </w:rPr>
              <w:t>only once per eye per lifetime.</w:t>
            </w:r>
          </w:p>
          <w:p w:rsidR="004B1DDB" w:rsidRPr="002A00FA" w:rsidRDefault="004B1DDB" w:rsidP="00681DAA">
            <w:pPr>
              <w:spacing w:after="120"/>
              <w:jc w:val="both"/>
              <w:rPr>
                <w:rFonts w:ascii="Arial" w:hAnsi="Arial" w:cs="Arial"/>
                <w:sz w:val="20"/>
                <w:lang w:eastAsia="ja-JP"/>
              </w:rPr>
            </w:pPr>
            <w:r w:rsidRPr="002A00FA">
              <w:rPr>
                <w:rFonts w:ascii="Arial" w:hAnsi="Arial" w:cs="Arial"/>
                <w:sz w:val="20"/>
                <w:lang w:eastAsia="ja-JP"/>
              </w:rPr>
              <w:t>Fee: $40.00</w:t>
            </w:r>
          </w:p>
        </w:tc>
      </w:tr>
    </w:tbl>
    <w:p w:rsidR="004B1DDB" w:rsidRDefault="004B1DDB" w:rsidP="003F445B"/>
    <w:p w:rsidR="0067117F" w:rsidRDefault="003E0F9F" w:rsidP="003E0F9F">
      <w:pPr>
        <w:autoSpaceDE w:val="0"/>
        <w:autoSpaceDN w:val="0"/>
        <w:adjustRightInd w:val="0"/>
      </w:pPr>
      <w:r>
        <w:t>MSAC recalled that</w:t>
      </w:r>
      <w:r w:rsidR="00174F6C">
        <w:t>,</w:t>
      </w:r>
      <w:r>
        <w:t xml:space="preserve"> at the July 2015 meeting, OCT was supported for use as an alternative diagnostic procedure to fluorescein angiography (FA) to determine eligibility requirements for initial treatment with ranibizumab and aflibercept in </w:t>
      </w:r>
      <w:r w:rsidRPr="00E826D3">
        <w:t>age-re</w:t>
      </w:r>
      <w:r>
        <w:t>lated macular degeneration</w:t>
      </w:r>
      <w:r w:rsidRPr="00E826D3">
        <w:t>,</w:t>
      </w:r>
      <w:r>
        <w:t xml:space="preserve"> </w:t>
      </w:r>
      <w:r w:rsidRPr="00E826D3">
        <w:t xml:space="preserve">diabetic macular oedema and central or </w:t>
      </w:r>
      <w:proofErr w:type="gramStart"/>
      <w:r w:rsidRPr="00E826D3">
        <w:t>branch  retinal</w:t>
      </w:r>
      <w:proofErr w:type="gramEnd"/>
      <w:r w:rsidRPr="00E826D3">
        <w:t xml:space="preserve"> vein occlusion</w:t>
      </w:r>
      <w:r>
        <w:t>. MSAC noted t</w:t>
      </w:r>
      <w:r w:rsidRPr="00350357">
        <w:t>he department</w:t>
      </w:r>
      <w:r>
        <w:t xml:space="preserve"> had developed a population estimate, financial implications and a proposed MBS </w:t>
      </w:r>
      <w:r>
        <w:lastRenderedPageBreak/>
        <w:t xml:space="preserve">item descriptor </w:t>
      </w:r>
      <w:r w:rsidR="0067117F">
        <w:t xml:space="preserve">aligned </w:t>
      </w:r>
      <w:r>
        <w:t>with related PBS restriction changes for ranibizumab and aflibercept for the implementation.</w:t>
      </w:r>
    </w:p>
    <w:p w:rsidR="0067117F" w:rsidRDefault="0067117F" w:rsidP="003E0F9F">
      <w:pPr>
        <w:autoSpaceDE w:val="0"/>
        <w:autoSpaceDN w:val="0"/>
        <w:adjustRightInd w:val="0"/>
      </w:pPr>
    </w:p>
    <w:p w:rsidR="003E0F9F" w:rsidRDefault="003E0F9F" w:rsidP="003E0F9F">
      <w:pPr>
        <w:autoSpaceDE w:val="0"/>
        <w:autoSpaceDN w:val="0"/>
        <w:adjustRightInd w:val="0"/>
      </w:pPr>
      <w:r>
        <w:t>To further inform the potential utilisation of OCT in this context, MSAC requested the department investigate if there is data available on the ratio of approvals for initial treatment with ranibizumab and aflibercept based on FA versus OCT.</w:t>
      </w:r>
    </w:p>
    <w:p w:rsidR="0089235C" w:rsidRDefault="0089235C" w:rsidP="00FD01EC"/>
    <w:sectPr w:rsidR="0089235C" w:rsidSect="002566B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FD2" w:rsidRDefault="001E4FD2" w:rsidP="00B2015D">
      <w:r>
        <w:separator/>
      </w:r>
    </w:p>
  </w:endnote>
  <w:endnote w:type="continuationSeparator" w:id="0">
    <w:p w:rsidR="001E4FD2" w:rsidRDefault="001E4FD2" w:rsidP="00B2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984524"/>
      <w:docPartObj>
        <w:docPartGallery w:val="Page Numbers (Bottom of Page)"/>
        <w:docPartUnique/>
      </w:docPartObj>
    </w:sdtPr>
    <w:sdtEndPr>
      <w:rPr>
        <w:noProof/>
      </w:rPr>
    </w:sdtEndPr>
    <w:sdtContent>
      <w:p w:rsidR="007D4E27" w:rsidRDefault="007D4E27">
        <w:pPr>
          <w:pStyle w:val="Footer"/>
          <w:jc w:val="right"/>
        </w:pPr>
        <w:r>
          <w:fldChar w:fldCharType="begin"/>
        </w:r>
        <w:r>
          <w:instrText xml:space="preserve"> PAGE   \* MERGEFORMAT </w:instrText>
        </w:r>
        <w:r>
          <w:fldChar w:fldCharType="separate"/>
        </w:r>
        <w:r w:rsidR="00F87772">
          <w:rPr>
            <w:noProof/>
          </w:rPr>
          <w:t>2</w:t>
        </w:r>
        <w:r>
          <w:rPr>
            <w:noProof/>
          </w:rPr>
          <w:fldChar w:fldCharType="end"/>
        </w:r>
      </w:p>
    </w:sdtContent>
  </w:sdt>
  <w:p w:rsidR="007D4E27" w:rsidRDefault="007D4E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FD2" w:rsidRDefault="001E4FD2" w:rsidP="00B2015D">
      <w:r>
        <w:separator/>
      </w:r>
    </w:p>
  </w:footnote>
  <w:footnote w:type="continuationSeparator" w:id="0">
    <w:p w:rsidR="001E4FD2" w:rsidRDefault="001E4FD2" w:rsidP="00B201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0868"/>
    <w:multiLevelType w:val="hybridMultilevel"/>
    <w:tmpl w:val="47A05D2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nsid w:val="091E7310"/>
    <w:multiLevelType w:val="hybridMultilevel"/>
    <w:tmpl w:val="042C6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2F2939"/>
    <w:multiLevelType w:val="hybridMultilevel"/>
    <w:tmpl w:val="4D66D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5D2A51"/>
    <w:multiLevelType w:val="hybridMultilevel"/>
    <w:tmpl w:val="5732B0D2"/>
    <w:lvl w:ilvl="0" w:tplc="ED7AFD76">
      <w:start w:val="1"/>
      <w:numFmt w:val="bullet"/>
      <w:lvlText w:val=""/>
      <w:lvlJc w:val="left"/>
      <w:pPr>
        <w:tabs>
          <w:tab w:val="num" w:pos="720"/>
        </w:tabs>
        <w:ind w:left="720" w:hanging="360"/>
      </w:pPr>
      <w:rPr>
        <w:rFonts w:ascii="Wingdings" w:hAnsi="Wingdings" w:hint="default"/>
      </w:rPr>
    </w:lvl>
    <w:lvl w:ilvl="1" w:tplc="4FC00C5A">
      <w:start w:val="1"/>
      <w:numFmt w:val="bullet"/>
      <w:lvlText w:val=""/>
      <w:lvlJc w:val="left"/>
      <w:pPr>
        <w:tabs>
          <w:tab w:val="num" w:pos="1440"/>
        </w:tabs>
        <w:ind w:left="1440" w:hanging="360"/>
      </w:pPr>
      <w:rPr>
        <w:rFonts w:ascii="Wingdings" w:hAnsi="Wingdings" w:hint="default"/>
      </w:rPr>
    </w:lvl>
    <w:lvl w:ilvl="2" w:tplc="371EE90E" w:tentative="1">
      <w:start w:val="1"/>
      <w:numFmt w:val="bullet"/>
      <w:lvlText w:val=""/>
      <w:lvlJc w:val="left"/>
      <w:pPr>
        <w:tabs>
          <w:tab w:val="num" w:pos="2160"/>
        </w:tabs>
        <w:ind w:left="2160" w:hanging="360"/>
      </w:pPr>
      <w:rPr>
        <w:rFonts w:ascii="Wingdings" w:hAnsi="Wingdings" w:hint="default"/>
      </w:rPr>
    </w:lvl>
    <w:lvl w:ilvl="3" w:tplc="8188C068" w:tentative="1">
      <w:start w:val="1"/>
      <w:numFmt w:val="bullet"/>
      <w:lvlText w:val=""/>
      <w:lvlJc w:val="left"/>
      <w:pPr>
        <w:tabs>
          <w:tab w:val="num" w:pos="2880"/>
        </w:tabs>
        <w:ind w:left="2880" w:hanging="360"/>
      </w:pPr>
      <w:rPr>
        <w:rFonts w:ascii="Wingdings" w:hAnsi="Wingdings" w:hint="default"/>
      </w:rPr>
    </w:lvl>
    <w:lvl w:ilvl="4" w:tplc="F16EA18E" w:tentative="1">
      <w:start w:val="1"/>
      <w:numFmt w:val="bullet"/>
      <w:lvlText w:val=""/>
      <w:lvlJc w:val="left"/>
      <w:pPr>
        <w:tabs>
          <w:tab w:val="num" w:pos="3600"/>
        </w:tabs>
        <w:ind w:left="3600" w:hanging="360"/>
      </w:pPr>
      <w:rPr>
        <w:rFonts w:ascii="Wingdings" w:hAnsi="Wingdings" w:hint="default"/>
      </w:rPr>
    </w:lvl>
    <w:lvl w:ilvl="5" w:tplc="70724F38" w:tentative="1">
      <w:start w:val="1"/>
      <w:numFmt w:val="bullet"/>
      <w:lvlText w:val=""/>
      <w:lvlJc w:val="left"/>
      <w:pPr>
        <w:tabs>
          <w:tab w:val="num" w:pos="4320"/>
        </w:tabs>
        <w:ind w:left="4320" w:hanging="360"/>
      </w:pPr>
      <w:rPr>
        <w:rFonts w:ascii="Wingdings" w:hAnsi="Wingdings" w:hint="default"/>
      </w:rPr>
    </w:lvl>
    <w:lvl w:ilvl="6" w:tplc="9E2EE8F8" w:tentative="1">
      <w:start w:val="1"/>
      <w:numFmt w:val="bullet"/>
      <w:lvlText w:val=""/>
      <w:lvlJc w:val="left"/>
      <w:pPr>
        <w:tabs>
          <w:tab w:val="num" w:pos="5040"/>
        </w:tabs>
        <w:ind w:left="5040" w:hanging="360"/>
      </w:pPr>
      <w:rPr>
        <w:rFonts w:ascii="Wingdings" w:hAnsi="Wingdings" w:hint="default"/>
      </w:rPr>
    </w:lvl>
    <w:lvl w:ilvl="7" w:tplc="34E6E646" w:tentative="1">
      <w:start w:val="1"/>
      <w:numFmt w:val="bullet"/>
      <w:lvlText w:val=""/>
      <w:lvlJc w:val="left"/>
      <w:pPr>
        <w:tabs>
          <w:tab w:val="num" w:pos="5760"/>
        </w:tabs>
        <w:ind w:left="5760" w:hanging="360"/>
      </w:pPr>
      <w:rPr>
        <w:rFonts w:ascii="Wingdings" w:hAnsi="Wingdings" w:hint="default"/>
      </w:rPr>
    </w:lvl>
    <w:lvl w:ilvl="8" w:tplc="A4061B10" w:tentative="1">
      <w:start w:val="1"/>
      <w:numFmt w:val="bullet"/>
      <w:lvlText w:val=""/>
      <w:lvlJc w:val="left"/>
      <w:pPr>
        <w:tabs>
          <w:tab w:val="num" w:pos="6480"/>
        </w:tabs>
        <w:ind w:left="6480" w:hanging="360"/>
      </w:pPr>
      <w:rPr>
        <w:rFonts w:ascii="Wingdings" w:hAnsi="Wingdings" w:hint="default"/>
      </w:rPr>
    </w:lvl>
  </w:abstractNum>
  <w:abstractNum w:abstractNumId="4">
    <w:nsid w:val="0C5F442C"/>
    <w:multiLevelType w:val="hybridMultilevel"/>
    <w:tmpl w:val="173A9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069386B"/>
    <w:multiLevelType w:val="hybridMultilevel"/>
    <w:tmpl w:val="2E782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99B73E2"/>
    <w:multiLevelType w:val="hybridMultilevel"/>
    <w:tmpl w:val="E202E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2474302"/>
    <w:multiLevelType w:val="hybridMultilevel"/>
    <w:tmpl w:val="F1305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84A5D63"/>
    <w:multiLevelType w:val="hybridMultilevel"/>
    <w:tmpl w:val="D8EA4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9B83867"/>
    <w:multiLevelType w:val="hybridMultilevel"/>
    <w:tmpl w:val="1C4CD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A6D4B0B"/>
    <w:multiLevelType w:val="hybridMultilevel"/>
    <w:tmpl w:val="72165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2471260"/>
    <w:multiLevelType w:val="hybridMultilevel"/>
    <w:tmpl w:val="607282AA"/>
    <w:lvl w:ilvl="0" w:tplc="ADB6B690">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0D85A42"/>
    <w:multiLevelType w:val="hybridMultilevel"/>
    <w:tmpl w:val="D1A66142"/>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3">
    <w:nsid w:val="411622F6"/>
    <w:multiLevelType w:val="hybridMultilevel"/>
    <w:tmpl w:val="CBC4A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C8F5088"/>
    <w:multiLevelType w:val="hybridMultilevel"/>
    <w:tmpl w:val="750E2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0755D7E"/>
    <w:multiLevelType w:val="hybridMultilevel"/>
    <w:tmpl w:val="8F484FD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369A0380">
      <w:start w:val="1"/>
      <w:numFmt w:val="bullet"/>
      <w:lvlText w:val="-"/>
      <w:lvlJc w:val="left"/>
      <w:pPr>
        <w:ind w:left="2160" w:hanging="360"/>
      </w:pPr>
      <w:rPr>
        <w:rFonts w:ascii="Times New Roman" w:eastAsia="Times New Roman"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E121458"/>
    <w:multiLevelType w:val="hybridMultilevel"/>
    <w:tmpl w:val="58CCF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FBD16E9"/>
    <w:multiLevelType w:val="hybridMultilevel"/>
    <w:tmpl w:val="2C58B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1BD4E58"/>
    <w:multiLevelType w:val="hybridMultilevel"/>
    <w:tmpl w:val="734A421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nsid w:val="64A608C3"/>
    <w:multiLevelType w:val="hybridMultilevel"/>
    <w:tmpl w:val="5F329EF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759050A"/>
    <w:multiLevelType w:val="hybridMultilevel"/>
    <w:tmpl w:val="FFCE3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7C12C5F"/>
    <w:multiLevelType w:val="hybridMultilevel"/>
    <w:tmpl w:val="CD4A2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7C77E36"/>
    <w:multiLevelType w:val="hybridMultilevel"/>
    <w:tmpl w:val="57DE4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AF04FD3"/>
    <w:multiLevelType w:val="hybridMultilevel"/>
    <w:tmpl w:val="DD0E1F82"/>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E173BC0"/>
    <w:multiLevelType w:val="hybridMultilevel"/>
    <w:tmpl w:val="F99A4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7460ABE"/>
    <w:multiLevelType w:val="hybridMultilevel"/>
    <w:tmpl w:val="B4D27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1"/>
  </w:num>
  <w:num w:numId="4">
    <w:abstractNumId w:val="22"/>
  </w:num>
  <w:num w:numId="5">
    <w:abstractNumId w:val="25"/>
  </w:num>
  <w:num w:numId="6">
    <w:abstractNumId w:val="24"/>
  </w:num>
  <w:num w:numId="7">
    <w:abstractNumId w:val="14"/>
  </w:num>
  <w:num w:numId="8">
    <w:abstractNumId w:val="0"/>
  </w:num>
  <w:num w:numId="9">
    <w:abstractNumId w:val="18"/>
  </w:num>
  <w:num w:numId="10">
    <w:abstractNumId w:val="8"/>
  </w:num>
  <w:num w:numId="11">
    <w:abstractNumId w:val="4"/>
  </w:num>
  <w:num w:numId="12">
    <w:abstractNumId w:val="13"/>
  </w:num>
  <w:num w:numId="13">
    <w:abstractNumId w:val="7"/>
  </w:num>
  <w:num w:numId="14">
    <w:abstractNumId w:val="16"/>
  </w:num>
  <w:num w:numId="15">
    <w:abstractNumId w:val="2"/>
  </w:num>
  <w:num w:numId="16">
    <w:abstractNumId w:val="20"/>
  </w:num>
  <w:num w:numId="17">
    <w:abstractNumId w:val="1"/>
  </w:num>
  <w:num w:numId="18">
    <w:abstractNumId w:val="10"/>
  </w:num>
  <w:num w:numId="19">
    <w:abstractNumId w:val="3"/>
  </w:num>
  <w:num w:numId="20">
    <w:abstractNumId w:val="15"/>
  </w:num>
  <w:num w:numId="21">
    <w:abstractNumId w:val="17"/>
  </w:num>
  <w:num w:numId="22">
    <w:abstractNumId w:val="23"/>
  </w:num>
  <w:num w:numId="23">
    <w:abstractNumId w:val="19"/>
  </w:num>
  <w:num w:numId="24">
    <w:abstractNumId w:val="12"/>
  </w:num>
  <w:num w:numId="25">
    <w:abstractNumId w:val="9"/>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C46"/>
    <w:rsid w:val="0000286D"/>
    <w:rsid w:val="000070FD"/>
    <w:rsid w:val="00007D5E"/>
    <w:rsid w:val="00015652"/>
    <w:rsid w:val="000203A2"/>
    <w:rsid w:val="0002040B"/>
    <w:rsid w:val="00020F75"/>
    <w:rsid w:val="0003040D"/>
    <w:rsid w:val="00031537"/>
    <w:rsid w:val="00032CC1"/>
    <w:rsid w:val="000565F8"/>
    <w:rsid w:val="00060AE7"/>
    <w:rsid w:val="000637E8"/>
    <w:rsid w:val="000720F3"/>
    <w:rsid w:val="00072DE7"/>
    <w:rsid w:val="0007410E"/>
    <w:rsid w:val="000756A8"/>
    <w:rsid w:val="00075BB8"/>
    <w:rsid w:val="000773B6"/>
    <w:rsid w:val="00082736"/>
    <w:rsid w:val="00082F7E"/>
    <w:rsid w:val="000A5E85"/>
    <w:rsid w:val="000A6629"/>
    <w:rsid w:val="000B3B88"/>
    <w:rsid w:val="000C5733"/>
    <w:rsid w:val="000E5F01"/>
    <w:rsid w:val="000F76E7"/>
    <w:rsid w:val="00101B0C"/>
    <w:rsid w:val="00104C10"/>
    <w:rsid w:val="001111AD"/>
    <w:rsid w:val="00115923"/>
    <w:rsid w:val="00122C6B"/>
    <w:rsid w:val="00127F26"/>
    <w:rsid w:val="0013700F"/>
    <w:rsid w:val="00142789"/>
    <w:rsid w:val="00145A85"/>
    <w:rsid w:val="001470B0"/>
    <w:rsid w:val="00147222"/>
    <w:rsid w:val="001477D2"/>
    <w:rsid w:val="001479BC"/>
    <w:rsid w:val="0016597B"/>
    <w:rsid w:val="00167FF5"/>
    <w:rsid w:val="00174F6C"/>
    <w:rsid w:val="00182FFC"/>
    <w:rsid w:val="00194589"/>
    <w:rsid w:val="0019792A"/>
    <w:rsid w:val="001A2856"/>
    <w:rsid w:val="001A5CB4"/>
    <w:rsid w:val="001B7F30"/>
    <w:rsid w:val="001C2215"/>
    <w:rsid w:val="001C29B3"/>
    <w:rsid w:val="001C3F2B"/>
    <w:rsid w:val="001E1683"/>
    <w:rsid w:val="001E476B"/>
    <w:rsid w:val="001E4FD2"/>
    <w:rsid w:val="001F3BEB"/>
    <w:rsid w:val="001F7E71"/>
    <w:rsid w:val="002119F1"/>
    <w:rsid w:val="00215527"/>
    <w:rsid w:val="00230EFA"/>
    <w:rsid w:val="00243107"/>
    <w:rsid w:val="00250701"/>
    <w:rsid w:val="00251497"/>
    <w:rsid w:val="00252A41"/>
    <w:rsid w:val="002566BA"/>
    <w:rsid w:val="00264322"/>
    <w:rsid w:val="002670B4"/>
    <w:rsid w:val="0027044F"/>
    <w:rsid w:val="0027397E"/>
    <w:rsid w:val="00276CAF"/>
    <w:rsid w:val="00291EB0"/>
    <w:rsid w:val="002A0068"/>
    <w:rsid w:val="002A00FA"/>
    <w:rsid w:val="002A1368"/>
    <w:rsid w:val="002B6D6C"/>
    <w:rsid w:val="002E62E3"/>
    <w:rsid w:val="002F1672"/>
    <w:rsid w:val="0030243E"/>
    <w:rsid w:val="00306521"/>
    <w:rsid w:val="00307996"/>
    <w:rsid w:val="003107F8"/>
    <w:rsid w:val="00326575"/>
    <w:rsid w:val="00330738"/>
    <w:rsid w:val="00341929"/>
    <w:rsid w:val="0034302C"/>
    <w:rsid w:val="003466C5"/>
    <w:rsid w:val="003529DD"/>
    <w:rsid w:val="0035325E"/>
    <w:rsid w:val="003561CD"/>
    <w:rsid w:val="00360DAF"/>
    <w:rsid w:val="00362139"/>
    <w:rsid w:val="00384EA5"/>
    <w:rsid w:val="00386368"/>
    <w:rsid w:val="00391BBD"/>
    <w:rsid w:val="00394CDF"/>
    <w:rsid w:val="003960B4"/>
    <w:rsid w:val="003B6FB3"/>
    <w:rsid w:val="003C2CEB"/>
    <w:rsid w:val="003C3500"/>
    <w:rsid w:val="003C66C0"/>
    <w:rsid w:val="003D271D"/>
    <w:rsid w:val="003D5196"/>
    <w:rsid w:val="003E0323"/>
    <w:rsid w:val="003E0F9F"/>
    <w:rsid w:val="003E2A61"/>
    <w:rsid w:val="003E6655"/>
    <w:rsid w:val="003F445B"/>
    <w:rsid w:val="003F6197"/>
    <w:rsid w:val="003F7165"/>
    <w:rsid w:val="00400F96"/>
    <w:rsid w:val="00401486"/>
    <w:rsid w:val="004015DA"/>
    <w:rsid w:val="004075D7"/>
    <w:rsid w:val="004218A0"/>
    <w:rsid w:val="00424A97"/>
    <w:rsid w:val="00431344"/>
    <w:rsid w:val="0043328A"/>
    <w:rsid w:val="00434CD2"/>
    <w:rsid w:val="00445081"/>
    <w:rsid w:val="00456F10"/>
    <w:rsid w:val="00457DC0"/>
    <w:rsid w:val="00470F7B"/>
    <w:rsid w:val="004726DA"/>
    <w:rsid w:val="00481369"/>
    <w:rsid w:val="00493A42"/>
    <w:rsid w:val="004A3938"/>
    <w:rsid w:val="004A7242"/>
    <w:rsid w:val="004B1DDB"/>
    <w:rsid w:val="004B2BD4"/>
    <w:rsid w:val="004B5378"/>
    <w:rsid w:val="004C3D60"/>
    <w:rsid w:val="004C6839"/>
    <w:rsid w:val="004C6C14"/>
    <w:rsid w:val="004E0288"/>
    <w:rsid w:val="004E6B24"/>
    <w:rsid w:val="004E7E98"/>
    <w:rsid w:val="004F61F7"/>
    <w:rsid w:val="00500031"/>
    <w:rsid w:val="00501BDB"/>
    <w:rsid w:val="005050D7"/>
    <w:rsid w:val="00505343"/>
    <w:rsid w:val="005120CB"/>
    <w:rsid w:val="005160D0"/>
    <w:rsid w:val="00517101"/>
    <w:rsid w:val="005364EA"/>
    <w:rsid w:val="00546318"/>
    <w:rsid w:val="0056101B"/>
    <w:rsid w:val="005729B5"/>
    <w:rsid w:val="00587B2E"/>
    <w:rsid w:val="005905D0"/>
    <w:rsid w:val="00595B97"/>
    <w:rsid w:val="005A0744"/>
    <w:rsid w:val="005B2123"/>
    <w:rsid w:val="005B6078"/>
    <w:rsid w:val="005C1514"/>
    <w:rsid w:val="005D367A"/>
    <w:rsid w:val="005D5066"/>
    <w:rsid w:val="005E0EFE"/>
    <w:rsid w:val="005E6A91"/>
    <w:rsid w:val="005F1098"/>
    <w:rsid w:val="005F13E6"/>
    <w:rsid w:val="0060002A"/>
    <w:rsid w:val="00617D43"/>
    <w:rsid w:val="006224CC"/>
    <w:rsid w:val="00626200"/>
    <w:rsid w:val="00636F20"/>
    <w:rsid w:val="006411A6"/>
    <w:rsid w:val="00655351"/>
    <w:rsid w:val="00655772"/>
    <w:rsid w:val="0066602B"/>
    <w:rsid w:val="0067117F"/>
    <w:rsid w:val="00671473"/>
    <w:rsid w:val="00672D7F"/>
    <w:rsid w:val="00675712"/>
    <w:rsid w:val="00683E3B"/>
    <w:rsid w:val="006955E4"/>
    <w:rsid w:val="006A60A6"/>
    <w:rsid w:val="006B67B1"/>
    <w:rsid w:val="006B7B2B"/>
    <w:rsid w:val="006C1E5E"/>
    <w:rsid w:val="006C7DA5"/>
    <w:rsid w:val="006F0949"/>
    <w:rsid w:val="006F3AC3"/>
    <w:rsid w:val="006F5956"/>
    <w:rsid w:val="00700C4F"/>
    <w:rsid w:val="007023A2"/>
    <w:rsid w:val="00707C90"/>
    <w:rsid w:val="00716CCB"/>
    <w:rsid w:val="00721B38"/>
    <w:rsid w:val="00723D25"/>
    <w:rsid w:val="00731870"/>
    <w:rsid w:val="00735B7F"/>
    <w:rsid w:val="00735F37"/>
    <w:rsid w:val="0073688B"/>
    <w:rsid w:val="00745A3B"/>
    <w:rsid w:val="00746433"/>
    <w:rsid w:val="00754200"/>
    <w:rsid w:val="00781B6F"/>
    <w:rsid w:val="00781D8C"/>
    <w:rsid w:val="007847E5"/>
    <w:rsid w:val="007A1918"/>
    <w:rsid w:val="007A3704"/>
    <w:rsid w:val="007B07A7"/>
    <w:rsid w:val="007B4F0D"/>
    <w:rsid w:val="007C35EA"/>
    <w:rsid w:val="007C7710"/>
    <w:rsid w:val="007D2731"/>
    <w:rsid w:val="007D2E74"/>
    <w:rsid w:val="007D3FED"/>
    <w:rsid w:val="007D4E27"/>
    <w:rsid w:val="007E5351"/>
    <w:rsid w:val="007E5443"/>
    <w:rsid w:val="007F1EF5"/>
    <w:rsid w:val="007F34CE"/>
    <w:rsid w:val="007F4E20"/>
    <w:rsid w:val="007F66E0"/>
    <w:rsid w:val="00812B4B"/>
    <w:rsid w:val="008152F7"/>
    <w:rsid w:val="00821241"/>
    <w:rsid w:val="00834E38"/>
    <w:rsid w:val="00836CD8"/>
    <w:rsid w:val="0084016F"/>
    <w:rsid w:val="008405BD"/>
    <w:rsid w:val="0084156D"/>
    <w:rsid w:val="00841D47"/>
    <w:rsid w:val="008543A6"/>
    <w:rsid w:val="00855C6D"/>
    <w:rsid w:val="008676F0"/>
    <w:rsid w:val="00870DE6"/>
    <w:rsid w:val="00880D69"/>
    <w:rsid w:val="00881B08"/>
    <w:rsid w:val="00882FE4"/>
    <w:rsid w:val="00883544"/>
    <w:rsid w:val="00887D4D"/>
    <w:rsid w:val="0089235C"/>
    <w:rsid w:val="0089472A"/>
    <w:rsid w:val="0089752C"/>
    <w:rsid w:val="008A2C11"/>
    <w:rsid w:val="008B31AF"/>
    <w:rsid w:val="008C2AB2"/>
    <w:rsid w:val="008D01AB"/>
    <w:rsid w:val="008D0A01"/>
    <w:rsid w:val="008D5595"/>
    <w:rsid w:val="008E6F63"/>
    <w:rsid w:val="009033DF"/>
    <w:rsid w:val="0090593B"/>
    <w:rsid w:val="00905AAC"/>
    <w:rsid w:val="0091326D"/>
    <w:rsid w:val="009158FC"/>
    <w:rsid w:val="0091736A"/>
    <w:rsid w:val="00922FAA"/>
    <w:rsid w:val="009523A3"/>
    <w:rsid w:val="00954BA2"/>
    <w:rsid w:val="009734FC"/>
    <w:rsid w:val="0099600D"/>
    <w:rsid w:val="009B549E"/>
    <w:rsid w:val="009C241C"/>
    <w:rsid w:val="009C4FE2"/>
    <w:rsid w:val="009D010E"/>
    <w:rsid w:val="009E4DEB"/>
    <w:rsid w:val="009F46BD"/>
    <w:rsid w:val="00A00AC6"/>
    <w:rsid w:val="00A06A9C"/>
    <w:rsid w:val="00A10165"/>
    <w:rsid w:val="00A12444"/>
    <w:rsid w:val="00A31230"/>
    <w:rsid w:val="00A33A84"/>
    <w:rsid w:val="00A600EE"/>
    <w:rsid w:val="00A64A91"/>
    <w:rsid w:val="00A805E2"/>
    <w:rsid w:val="00A91C4E"/>
    <w:rsid w:val="00A93BDF"/>
    <w:rsid w:val="00A9466D"/>
    <w:rsid w:val="00AA26ED"/>
    <w:rsid w:val="00AA4FD5"/>
    <w:rsid w:val="00AA571A"/>
    <w:rsid w:val="00AC50D2"/>
    <w:rsid w:val="00AD1C49"/>
    <w:rsid w:val="00AD513A"/>
    <w:rsid w:val="00AD642F"/>
    <w:rsid w:val="00AD7FFE"/>
    <w:rsid w:val="00AF1EE2"/>
    <w:rsid w:val="00AF2E7D"/>
    <w:rsid w:val="00AF3887"/>
    <w:rsid w:val="00AF3F18"/>
    <w:rsid w:val="00AF4CD2"/>
    <w:rsid w:val="00B001E9"/>
    <w:rsid w:val="00B02943"/>
    <w:rsid w:val="00B14C45"/>
    <w:rsid w:val="00B1544D"/>
    <w:rsid w:val="00B2015D"/>
    <w:rsid w:val="00B241C8"/>
    <w:rsid w:val="00B3148E"/>
    <w:rsid w:val="00B31B29"/>
    <w:rsid w:val="00B37073"/>
    <w:rsid w:val="00B41DC0"/>
    <w:rsid w:val="00B47C12"/>
    <w:rsid w:val="00B50F91"/>
    <w:rsid w:val="00B53253"/>
    <w:rsid w:val="00B53C67"/>
    <w:rsid w:val="00B60C32"/>
    <w:rsid w:val="00B61368"/>
    <w:rsid w:val="00B65487"/>
    <w:rsid w:val="00B67D7C"/>
    <w:rsid w:val="00B67EB2"/>
    <w:rsid w:val="00B7079B"/>
    <w:rsid w:val="00B7206E"/>
    <w:rsid w:val="00B7300A"/>
    <w:rsid w:val="00B7308B"/>
    <w:rsid w:val="00B83030"/>
    <w:rsid w:val="00B855F2"/>
    <w:rsid w:val="00B8608C"/>
    <w:rsid w:val="00BA06AB"/>
    <w:rsid w:val="00BA582F"/>
    <w:rsid w:val="00BA7D33"/>
    <w:rsid w:val="00BC4CB3"/>
    <w:rsid w:val="00BD1FEF"/>
    <w:rsid w:val="00BD3A8A"/>
    <w:rsid w:val="00BD4980"/>
    <w:rsid w:val="00BE2732"/>
    <w:rsid w:val="00BE37DA"/>
    <w:rsid w:val="00BE6667"/>
    <w:rsid w:val="00BF22C2"/>
    <w:rsid w:val="00C1037D"/>
    <w:rsid w:val="00C104E5"/>
    <w:rsid w:val="00C11BE6"/>
    <w:rsid w:val="00C121B8"/>
    <w:rsid w:val="00C1626A"/>
    <w:rsid w:val="00C44D7A"/>
    <w:rsid w:val="00C5121F"/>
    <w:rsid w:val="00C54798"/>
    <w:rsid w:val="00C55F63"/>
    <w:rsid w:val="00C57B21"/>
    <w:rsid w:val="00C61EB7"/>
    <w:rsid w:val="00C678C1"/>
    <w:rsid w:val="00CA007E"/>
    <w:rsid w:val="00CA450A"/>
    <w:rsid w:val="00CA5D41"/>
    <w:rsid w:val="00CB2372"/>
    <w:rsid w:val="00CB70D6"/>
    <w:rsid w:val="00CC2687"/>
    <w:rsid w:val="00CC3AB3"/>
    <w:rsid w:val="00CE085B"/>
    <w:rsid w:val="00CE702B"/>
    <w:rsid w:val="00CF0AF5"/>
    <w:rsid w:val="00CF0F2F"/>
    <w:rsid w:val="00CF49CF"/>
    <w:rsid w:val="00CF5B5D"/>
    <w:rsid w:val="00CF633F"/>
    <w:rsid w:val="00D02AE8"/>
    <w:rsid w:val="00D22071"/>
    <w:rsid w:val="00D227FD"/>
    <w:rsid w:val="00D308FF"/>
    <w:rsid w:val="00D33CF7"/>
    <w:rsid w:val="00D40420"/>
    <w:rsid w:val="00D405F0"/>
    <w:rsid w:val="00D52129"/>
    <w:rsid w:val="00D61026"/>
    <w:rsid w:val="00D73174"/>
    <w:rsid w:val="00D77D67"/>
    <w:rsid w:val="00D803B7"/>
    <w:rsid w:val="00D82DF8"/>
    <w:rsid w:val="00D859C1"/>
    <w:rsid w:val="00DA1E36"/>
    <w:rsid w:val="00DA6527"/>
    <w:rsid w:val="00DC1CD4"/>
    <w:rsid w:val="00DD02FE"/>
    <w:rsid w:val="00DD234B"/>
    <w:rsid w:val="00DD56D0"/>
    <w:rsid w:val="00DD7D8E"/>
    <w:rsid w:val="00DE3198"/>
    <w:rsid w:val="00DE6C46"/>
    <w:rsid w:val="00DE7CD5"/>
    <w:rsid w:val="00DF008D"/>
    <w:rsid w:val="00DF3BE0"/>
    <w:rsid w:val="00E23092"/>
    <w:rsid w:val="00E232B5"/>
    <w:rsid w:val="00E23C22"/>
    <w:rsid w:val="00E24F89"/>
    <w:rsid w:val="00E32D2E"/>
    <w:rsid w:val="00E34690"/>
    <w:rsid w:val="00E34EA6"/>
    <w:rsid w:val="00E36A14"/>
    <w:rsid w:val="00E46CF2"/>
    <w:rsid w:val="00E525E5"/>
    <w:rsid w:val="00E60346"/>
    <w:rsid w:val="00E66EC6"/>
    <w:rsid w:val="00E7531A"/>
    <w:rsid w:val="00E826D3"/>
    <w:rsid w:val="00E834D4"/>
    <w:rsid w:val="00E97A52"/>
    <w:rsid w:val="00EA5806"/>
    <w:rsid w:val="00EA6656"/>
    <w:rsid w:val="00EA6D7C"/>
    <w:rsid w:val="00EA7802"/>
    <w:rsid w:val="00EB37AA"/>
    <w:rsid w:val="00EB7A63"/>
    <w:rsid w:val="00ED4508"/>
    <w:rsid w:val="00ED6951"/>
    <w:rsid w:val="00EE23E7"/>
    <w:rsid w:val="00EF175C"/>
    <w:rsid w:val="00EF74DD"/>
    <w:rsid w:val="00F271B7"/>
    <w:rsid w:val="00F274A3"/>
    <w:rsid w:val="00F34F33"/>
    <w:rsid w:val="00F5450C"/>
    <w:rsid w:val="00F56CED"/>
    <w:rsid w:val="00F62C41"/>
    <w:rsid w:val="00F65406"/>
    <w:rsid w:val="00F750C2"/>
    <w:rsid w:val="00F815F1"/>
    <w:rsid w:val="00F81713"/>
    <w:rsid w:val="00F83714"/>
    <w:rsid w:val="00F87772"/>
    <w:rsid w:val="00F91C35"/>
    <w:rsid w:val="00F91D24"/>
    <w:rsid w:val="00F93291"/>
    <w:rsid w:val="00F961F0"/>
    <w:rsid w:val="00FA3E5F"/>
    <w:rsid w:val="00FA5CBC"/>
    <w:rsid w:val="00FB044A"/>
    <w:rsid w:val="00FB6F32"/>
    <w:rsid w:val="00FC06E6"/>
    <w:rsid w:val="00FD01EC"/>
    <w:rsid w:val="00FD0781"/>
    <w:rsid w:val="00FD2B2B"/>
    <w:rsid w:val="00FD33B7"/>
    <w:rsid w:val="00FD54F8"/>
    <w:rsid w:val="00FD60B8"/>
    <w:rsid w:val="00FE18FC"/>
    <w:rsid w:val="00FE6122"/>
    <w:rsid w:val="00FF1DF0"/>
    <w:rsid w:val="00FF73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C46"/>
    <w:pPr>
      <w:spacing w:after="0" w:line="240" w:lineRule="auto"/>
    </w:pPr>
    <w:rPr>
      <w:rFonts w:eastAsia="Times New Roman" w:cs="Times New Roman"/>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DE6C46"/>
    <w:rPr>
      <w:b/>
      <w:bCs/>
    </w:rPr>
  </w:style>
  <w:style w:type="character" w:styleId="Emphasis">
    <w:name w:val="Emphasis"/>
    <w:basedOn w:val="DefaultParagraphFont"/>
    <w:qFormat/>
    <w:rsid w:val="00DE6C46"/>
    <w:rPr>
      <w:i/>
      <w:iCs/>
    </w:rPr>
  </w:style>
  <w:style w:type="paragraph" w:styleId="Header">
    <w:name w:val="header"/>
    <w:basedOn w:val="Normal"/>
    <w:link w:val="HeaderChar"/>
    <w:uiPriority w:val="99"/>
    <w:unhideWhenUsed/>
    <w:rsid w:val="00B2015D"/>
    <w:pPr>
      <w:tabs>
        <w:tab w:val="center" w:pos="4513"/>
        <w:tab w:val="right" w:pos="9026"/>
      </w:tabs>
    </w:pPr>
  </w:style>
  <w:style w:type="character" w:customStyle="1" w:styleId="HeaderChar">
    <w:name w:val="Header Char"/>
    <w:basedOn w:val="DefaultParagraphFont"/>
    <w:link w:val="Header"/>
    <w:uiPriority w:val="99"/>
    <w:rsid w:val="00B2015D"/>
    <w:rPr>
      <w:rFonts w:eastAsia="Times New Roman" w:cs="Times New Roman"/>
      <w:szCs w:val="20"/>
      <w:lang w:eastAsia="en-AU"/>
    </w:rPr>
  </w:style>
  <w:style w:type="paragraph" w:styleId="Footer">
    <w:name w:val="footer"/>
    <w:basedOn w:val="Normal"/>
    <w:link w:val="FooterChar"/>
    <w:uiPriority w:val="99"/>
    <w:unhideWhenUsed/>
    <w:rsid w:val="00B2015D"/>
    <w:pPr>
      <w:tabs>
        <w:tab w:val="center" w:pos="4513"/>
        <w:tab w:val="right" w:pos="9026"/>
      </w:tabs>
    </w:pPr>
  </w:style>
  <w:style w:type="character" w:customStyle="1" w:styleId="FooterChar">
    <w:name w:val="Footer Char"/>
    <w:basedOn w:val="DefaultParagraphFont"/>
    <w:link w:val="Footer"/>
    <w:uiPriority w:val="99"/>
    <w:rsid w:val="00B2015D"/>
    <w:rPr>
      <w:rFonts w:eastAsia="Times New Roman" w:cs="Times New Roman"/>
      <w:szCs w:val="20"/>
      <w:lang w:eastAsia="en-AU"/>
    </w:rPr>
  </w:style>
  <w:style w:type="paragraph" w:styleId="BalloonText">
    <w:name w:val="Balloon Text"/>
    <w:basedOn w:val="Normal"/>
    <w:link w:val="BalloonTextChar"/>
    <w:uiPriority w:val="99"/>
    <w:semiHidden/>
    <w:unhideWhenUsed/>
    <w:rsid w:val="00BE2732"/>
    <w:rPr>
      <w:rFonts w:ascii="Tahoma" w:hAnsi="Tahoma" w:cs="Tahoma"/>
      <w:sz w:val="16"/>
      <w:szCs w:val="16"/>
    </w:rPr>
  </w:style>
  <w:style w:type="character" w:customStyle="1" w:styleId="BalloonTextChar">
    <w:name w:val="Balloon Text Char"/>
    <w:basedOn w:val="DefaultParagraphFont"/>
    <w:link w:val="BalloonText"/>
    <w:uiPriority w:val="99"/>
    <w:semiHidden/>
    <w:rsid w:val="00BE2732"/>
    <w:rPr>
      <w:rFonts w:ascii="Tahoma" w:eastAsia="Times New Roman" w:hAnsi="Tahoma" w:cs="Tahoma"/>
      <w:sz w:val="16"/>
      <w:szCs w:val="16"/>
      <w:lang w:eastAsia="en-AU"/>
    </w:rPr>
  </w:style>
  <w:style w:type="paragraph" w:styleId="ListParagraph">
    <w:name w:val="List Paragraph"/>
    <w:basedOn w:val="Normal"/>
    <w:link w:val="ListParagraphChar"/>
    <w:uiPriority w:val="34"/>
    <w:qFormat/>
    <w:rsid w:val="00836CD8"/>
    <w:pPr>
      <w:ind w:left="720"/>
      <w:contextualSpacing/>
    </w:pPr>
  </w:style>
  <w:style w:type="table" w:styleId="TableGrid">
    <w:name w:val="Table Grid"/>
    <w:basedOn w:val="TableNormal"/>
    <w:uiPriority w:val="59"/>
    <w:rsid w:val="007D3FED"/>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E5443"/>
    <w:rPr>
      <w:sz w:val="16"/>
      <w:szCs w:val="16"/>
    </w:rPr>
  </w:style>
  <w:style w:type="paragraph" w:styleId="CommentText">
    <w:name w:val="annotation text"/>
    <w:basedOn w:val="Normal"/>
    <w:link w:val="CommentTextChar"/>
    <w:semiHidden/>
    <w:unhideWhenUsed/>
    <w:rsid w:val="007E5443"/>
    <w:rPr>
      <w:sz w:val="20"/>
    </w:rPr>
  </w:style>
  <w:style w:type="character" w:customStyle="1" w:styleId="CommentTextChar">
    <w:name w:val="Comment Text Char"/>
    <w:basedOn w:val="DefaultParagraphFont"/>
    <w:link w:val="CommentText"/>
    <w:semiHidden/>
    <w:rsid w:val="007E5443"/>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E5443"/>
    <w:rPr>
      <w:b/>
      <w:bCs/>
    </w:rPr>
  </w:style>
  <w:style w:type="character" w:customStyle="1" w:styleId="CommentSubjectChar">
    <w:name w:val="Comment Subject Char"/>
    <w:basedOn w:val="CommentTextChar"/>
    <w:link w:val="CommentSubject"/>
    <w:uiPriority w:val="99"/>
    <w:semiHidden/>
    <w:rsid w:val="007E5443"/>
    <w:rPr>
      <w:rFonts w:eastAsia="Times New Roman" w:cs="Times New Roman"/>
      <w:b/>
      <w:bCs/>
      <w:sz w:val="20"/>
      <w:szCs w:val="20"/>
      <w:lang w:eastAsia="en-AU"/>
    </w:rPr>
  </w:style>
  <w:style w:type="paragraph" w:customStyle="1" w:styleId="Default">
    <w:name w:val="Default"/>
    <w:rsid w:val="003E2A61"/>
    <w:pPr>
      <w:autoSpaceDE w:val="0"/>
      <w:autoSpaceDN w:val="0"/>
      <w:adjustRightInd w:val="0"/>
      <w:spacing w:after="0" w:line="240" w:lineRule="auto"/>
    </w:pPr>
    <w:rPr>
      <w:rFonts w:ascii="Arial" w:hAnsi="Arial" w:cs="Arial"/>
      <w:color w:val="000000"/>
      <w:szCs w:val="24"/>
    </w:rPr>
  </w:style>
  <w:style w:type="character" w:customStyle="1" w:styleId="ListParagraphChar">
    <w:name w:val="List Paragraph Char"/>
    <w:basedOn w:val="DefaultParagraphFont"/>
    <w:link w:val="ListParagraph"/>
    <w:uiPriority w:val="34"/>
    <w:rsid w:val="002B6D6C"/>
    <w:rPr>
      <w:rFonts w:eastAsia="Times New Roman" w:cs="Times New Roman"/>
      <w:szCs w:val="20"/>
      <w:lang w:eastAsia="en-AU"/>
    </w:rPr>
  </w:style>
  <w:style w:type="character" w:styleId="IntenseReference">
    <w:name w:val="Intense Reference"/>
    <w:basedOn w:val="DefaultParagraphFont"/>
    <w:uiPriority w:val="32"/>
    <w:qFormat/>
    <w:rsid w:val="002A00FA"/>
    <w:rPr>
      <w:b/>
      <w:bCs/>
      <w:i/>
      <w:smallCaps/>
      <w:color w:val="C0504D" w:themeColor="accent2"/>
      <w:spacing w:val="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C46"/>
    <w:pPr>
      <w:spacing w:after="0" w:line="240" w:lineRule="auto"/>
    </w:pPr>
    <w:rPr>
      <w:rFonts w:eastAsia="Times New Roman" w:cs="Times New Roman"/>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DE6C46"/>
    <w:rPr>
      <w:b/>
      <w:bCs/>
    </w:rPr>
  </w:style>
  <w:style w:type="character" w:styleId="Emphasis">
    <w:name w:val="Emphasis"/>
    <w:basedOn w:val="DefaultParagraphFont"/>
    <w:qFormat/>
    <w:rsid w:val="00DE6C46"/>
    <w:rPr>
      <w:i/>
      <w:iCs/>
    </w:rPr>
  </w:style>
  <w:style w:type="paragraph" w:styleId="Header">
    <w:name w:val="header"/>
    <w:basedOn w:val="Normal"/>
    <w:link w:val="HeaderChar"/>
    <w:uiPriority w:val="99"/>
    <w:unhideWhenUsed/>
    <w:rsid w:val="00B2015D"/>
    <w:pPr>
      <w:tabs>
        <w:tab w:val="center" w:pos="4513"/>
        <w:tab w:val="right" w:pos="9026"/>
      </w:tabs>
    </w:pPr>
  </w:style>
  <w:style w:type="character" w:customStyle="1" w:styleId="HeaderChar">
    <w:name w:val="Header Char"/>
    <w:basedOn w:val="DefaultParagraphFont"/>
    <w:link w:val="Header"/>
    <w:uiPriority w:val="99"/>
    <w:rsid w:val="00B2015D"/>
    <w:rPr>
      <w:rFonts w:eastAsia="Times New Roman" w:cs="Times New Roman"/>
      <w:szCs w:val="20"/>
      <w:lang w:eastAsia="en-AU"/>
    </w:rPr>
  </w:style>
  <w:style w:type="paragraph" w:styleId="Footer">
    <w:name w:val="footer"/>
    <w:basedOn w:val="Normal"/>
    <w:link w:val="FooterChar"/>
    <w:uiPriority w:val="99"/>
    <w:unhideWhenUsed/>
    <w:rsid w:val="00B2015D"/>
    <w:pPr>
      <w:tabs>
        <w:tab w:val="center" w:pos="4513"/>
        <w:tab w:val="right" w:pos="9026"/>
      </w:tabs>
    </w:pPr>
  </w:style>
  <w:style w:type="character" w:customStyle="1" w:styleId="FooterChar">
    <w:name w:val="Footer Char"/>
    <w:basedOn w:val="DefaultParagraphFont"/>
    <w:link w:val="Footer"/>
    <w:uiPriority w:val="99"/>
    <w:rsid w:val="00B2015D"/>
    <w:rPr>
      <w:rFonts w:eastAsia="Times New Roman" w:cs="Times New Roman"/>
      <w:szCs w:val="20"/>
      <w:lang w:eastAsia="en-AU"/>
    </w:rPr>
  </w:style>
  <w:style w:type="paragraph" w:styleId="BalloonText">
    <w:name w:val="Balloon Text"/>
    <w:basedOn w:val="Normal"/>
    <w:link w:val="BalloonTextChar"/>
    <w:uiPriority w:val="99"/>
    <w:semiHidden/>
    <w:unhideWhenUsed/>
    <w:rsid w:val="00BE2732"/>
    <w:rPr>
      <w:rFonts w:ascii="Tahoma" w:hAnsi="Tahoma" w:cs="Tahoma"/>
      <w:sz w:val="16"/>
      <w:szCs w:val="16"/>
    </w:rPr>
  </w:style>
  <w:style w:type="character" w:customStyle="1" w:styleId="BalloonTextChar">
    <w:name w:val="Balloon Text Char"/>
    <w:basedOn w:val="DefaultParagraphFont"/>
    <w:link w:val="BalloonText"/>
    <w:uiPriority w:val="99"/>
    <w:semiHidden/>
    <w:rsid w:val="00BE2732"/>
    <w:rPr>
      <w:rFonts w:ascii="Tahoma" w:eastAsia="Times New Roman" w:hAnsi="Tahoma" w:cs="Tahoma"/>
      <w:sz w:val="16"/>
      <w:szCs w:val="16"/>
      <w:lang w:eastAsia="en-AU"/>
    </w:rPr>
  </w:style>
  <w:style w:type="paragraph" w:styleId="ListParagraph">
    <w:name w:val="List Paragraph"/>
    <w:basedOn w:val="Normal"/>
    <w:link w:val="ListParagraphChar"/>
    <w:uiPriority w:val="34"/>
    <w:qFormat/>
    <w:rsid w:val="00836CD8"/>
    <w:pPr>
      <w:ind w:left="720"/>
      <w:contextualSpacing/>
    </w:pPr>
  </w:style>
  <w:style w:type="table" w:styleId="TableGrid">
    <w:name w:val="Table Grid"/>
    <w:basedOn w:val="TableNormal"/>
    <w:uiPriority w:val="59"/>
    <w:rsid w:val="007D3FED"/>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E5443"/>
    <w:rPr>
      <w:sz w:val="16"/>
      <w:szCs w:val="16"/>
    </w:rPr>
  </w:style>
  <w:style w:type="paragraph" w:styleId="CommentText">
    <w:name w:val="annotation text"/>
    <w:basedOn w:val="Normal"/>
    <w:link w:val="CommentTextChar"/>
    <w:semiHidden/>
    <w:unhideWhenUsed/>
    <w:rsid w:val="007E5443"/>
    <w:rPr>
      <w:sz w:val="20"/>
    </w:rPr>
  </w:style>
  <w:style w:type="character" w:customStyle="1" w:styleId="CommentTextChar">
    <w:name w:val="Comment Text Char"/>
    <w:basedOn w:val="DefaultParagraphFont"/>
    <w:link w:val="CommentText"/>
    <w:semiHidden/>
    <w:rsid w:val="007E5443"/>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E5443"/>
    <w:rPr>
      <w:b/>
      <w:bCs/>
    </w:rPr>
  </w:style>
  <w:style w:type="character" w:customStyle="1" w:styleId="CommentSubjectChar">
    <w:name w:val="Comment Subject Char"/>
    <w:basedOn w:val="CommentTextChar"/>
    <w:link w:val="CommentSubject"/>
    <w:uiPriority w:val="99"/>
    <w:semiHidden/>
    <w:rsid w:val="007E5443"/>
    <w:rPr>
      <w:rFonts w:eastAsia="Times New Roman" w:cs="Times New Roman"/>
      <w:b/>
      <w:bCs/>
      <w:sz w:val="20"/>
      <w:szCs w:val="20"/>
      <w:lang w:eastAsia="en-AU"/>
    </w:rPr>
  </w:style>
  <w:style w:type="paragraph" w:customStyle="1" w:styleId="Default">
    <w:name w:val="Default"/>
    <w:rsid w:val="003E2A61"/>
    <w:pPr>
      <w:autoSpaceDE w:val="0"/>
      <w:autoSpaceDN w:val="0"/>
      <w:adjustRightInd w:val="0"/>
      <w:spacing w:after="0" w:line="240" w:lineRule="auto"/>
    </w:pPr>
    <w:rPr>
      <w:rFonts w:ascii="Arial" w:hAnsi="Arial" w:cs="Arial"/>
      <w:color w:val="000000"/>
      <w:szCs w:val="24"/>
    </w:rPr>
  </w:style>
  <w:style w:type="character" w:customStyle="1" w:styleId="ListParagraphChar">
    <w:name w:val="List Paragraph Char"/>
    <w:basedOn w:val="DefaultParagraphFont"/>
    <w:link w:val="ListParagraph"/>
    <w:uiPriority w:val="34"/>
    <w:rsid w:val="002B6D6C"/>
    <w:rPr>
      <w:rFonts w:eastAsia="Times New Roman" w:cs="Times New Roman"/>
      <w:szCs w:val="20"/>
      <w:lang w:eastAsia="en-AU"/>
    </w:rPr>
  </w:style>
  <w:style w:type="character" w:styleId="IntenseReference">
    <w:name w:val="Intense Reference"/>
    <w:basedOn w:val="DefaultParagraphFont"/>
    <w:uiPriority w:val="32"/>
    <w:qFormat/>
    <w:rsid w:val="002A00FA"/>
    <w:rPr>
      <w:b/>
      <w:bCs/>
      <w:i/>
      <w:smallCaps/>
      <w:color w:val="C0504D" w:themeColor="accent2"/>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172071">
      <w:bodyDiv w:val="1"/>
      <w:marLeft w:val="0"/>
      <w:marRight w:val="0"/>
      <w:marTop w:val="0"/>
      <w:marBottom w:val="0"/>
      <w:divBdr>
        <w:top w:val="none" w:sz="0" w:space="0" w:color="auto"/>
        <w:left w:val="none" w:sz="0" w:space="0" w:color="auto"/>
        <w:bottom w:val="none" w:sz="0" w:space="0" w:color="auto"/>
        <w:right w:val="none" w:sz="0" w:space="0" w:color="auto"/>
      </w:divBdr>
    </w:div>
    <w:div w:id="1844542729">
      <w:bodyDiv w:val="1"/>
      <w:marLeft w:val="0"/>
      <w:marRight w:val="0"/>
      <w:marTop w:val="0"/>
      <w:marBottom w:val="0"/>
      <w:divBdr>
        <w:top w:val="none" w:sz="0" w:space="0" w:color="auto"/>
        <w:left w:val="none" w:sz="0" w:space="0" w:color="auto"/>
        <w:bottom w:val="none" w:sz="0" w:space="0" w:color="auto"/>
        <w:right w:val="none" w:sz="0" w:space="0" w:color="auto"/>
      </w:divBdr>
      <w:divsChild>
        <w:div w:id="1194687032">
          <w:marLeft w:val="1051"/>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FD989A-0E4D-47D3-97D6-FE5CDF883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Hambley Carolyn</dc:creator>
  <cp:lastModifiedBy>Valenzuela Marcela</cp:lastModifiedBy>
  <cp:revision>5</cp:revision>
  <cp:lastPrinted>2016-05-11T05:22:00Z</cp:lastPrinted>
  <dcterms:created xsi:type="dcterms:W3CDTF">2016-05-17T01:27:00Z</dcterms:created>
  <dcterms:modified xsi:type="dcterms:W3CDTF">2016-05-17T04:49:00Z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