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E8E48" w14:textId="0BA714BF" w:rsidR="00EA0AA0" w:rsidRPr="00EA0AA0" w:rsidRDefault="00EA0AA0" w:rsidP="00EB5898">
      <w:pPr>
        <w:spacing w:before="2080" w:after="0"/>
        <w:jc w:val="center"/>
        <w:rPr>
          <w:rFonts w:ascii="Arial" w:hAnsi="Arial" w:cs="Arial"/>
          <w:b/>
          <w:bCs/>
          <w:sz w:val="52"/>
          <w:szCs w:val="52"/>
        </w:rPr>
      </w:pPr>
      <w:r w:rsidRPr="00EA0AA0">
        <w:rPr>
          <w:rFonts w:ascii="Arial" w:hAnsi="Arial" w:cs="Arial"/>
          <w:b/>
          <w:bCs/>
          <w:sz w:val="52"/>
          <w:szCs w:val="52"/>
        </w:rPr>
        <w:t>MSAC Application</w:t>
      </w:r>
      <w:r w:rsidR="001E1203">
        <w:rPr>
          <w:rFonts w:ascii="Arial" w:hAnsi="Arial" w:cs="Arial"/>
          <w:b/>
          <w:bCs/>
          <w:sz w:val="52"/>
          <w:szCs w:val="52"/>
        </w:rPr>
        <w:t xml:space="preserve"> 1779</w:t>
      </w:r>
    </w:p>
    <w:p w14:paraId="44B24BDF" w14:textId="4BD42B8D" w:rsidR="001E1203" w:rsidRDefault="001E1203" w:rsidP="009139B7">
      <w:pPr>
        <w:spacing w:before="840" w:line="259" w:lineRule="auto"/>
        <w:jc w:val="center"/>
        <w:rPr>
          <w:rFonts w:ascii="Arial" w:hAnsi="Arial" w:cs="Arial"/>
          <w:b/>
          <w:bCs/>
          <w:color w:val="0070C0"/>
          <w:sz w:val="52"/>
          <w:szCs w:val="52"/>
        </w:rPr>
      </w:pPr>
      <w:bookmarkStart w:id="0" w:name="_Hlk165649587"/>
      <w:r w:rsidRPr="001E1203">
        <w:rPr>
          <w:rFonts w:ascii="Arial" w:hAnsi="Arial" w:cs="Arial"/>
          <w:b/>
          <w:bCs/>
          <w:color w:val="0070C0"/>
          <w:sz w:val="52"/>
          <w:szCs w:val="52"/>
        </w:rPr>
        <w:t>Testing of tumour tissue to detect FGFR2 fusions or rearrangements in people with cholangiocarcinoma, to determine eligibility for</w:t>
      </w:r>
      <w:r w:rsidR="005C00EA">
        <w:rPr>
          <w:rFonts w:ascii="Arial" w:hAnsi="Arial" w:cs="Arial"/>
          <w:b/>
          <w:bCs/>
          <w:color w:val="0070C0"/>
          <w:sz w:val="52"/>
          <w:szCs w:val="52"/>
        </w:rPr>
        <w:t xml:space="preserve"> treatment with </w:t>
      </w:r>
      <w:r w:rsidRPr="001E1203">
        <w:rPr>
          <w:rFonts w:ascii="Arial" w:hAnsi="Arial" w:cs="Arial"/>
          <w:b/>
          <w:bCs/>
          <w:color w:val="0070C0"/>
          <w:sz w:val="52"/>
          <w:szCs w:val="52"/>
        </w:rPr>
        <w:t xml:space="preserve"> PBS subsidised </w:t>
      </w:r>
      <w:proofErr w:type="spellStart"/>
      <w:r w:rsidRPr="001E1203">
        <w:rPr>
          <w:rFonts w:ascii="Arial" w:hAnsi="Arial" w:cs="Arial"/>
          <w:b/>
          <w:bCs/>
          <w:color w:val="0070C0"/>
          <w:sz w:val="52"/>
          <w:szCs w:val="52"/>
        </w:rPr>
        <w:t>futibatinib</w:t>
      </w:r>
      <w:bookmarkEnd w:id="0"/>
      <w:proofErr w:type="spellEnd"/>
    </w:p>
    <w:p w14:paraId="41F4C9E1" w14:textId="25979EC2" w:rsidR="00EA0AA0" w:rsidRDefault="00EA0AA0" w:rsidP="009139B7">
      <w:pPr>
        <w:spacing w:before="840" w:line="259" w:lineRule="auto"/>
        <w:jc w:val="center"/>
        <w:rPr>
          <w:b/>
          <w:bCs/>
          <w:color w:val="0070C0"/>
          <w:sz w:val="32"/>
          <w:szCs w:val="32"/>
        </w:rPr>
      </w:pPr>
      <w:r w:rsidRPr="00EA0AA0">
        <w:rPr>
          <w:rFonts w:ascii="Arial" w:hAnsi="Arial" w:cs="Arial"/>
          <w:b/>
          <w:bCs/>
          <w:sz w:val="52"/>
          <w:szCs w:val="52"/>
        </w:rPr>
        <w:t>PICO Set</w:t>
      </w:r>
    </w:p>
    <w:p w14:paraId="71FB4A17" w14:textId="77777777" w:rsidR="00FF1ECB" w:rsidRDefault="00FF1ECB" w:rsidP="00FF1ECB"/>
    <w:p w14:paraId="193657E0" w14:textId="77777777" w:rsidR="00FF1ECB" w:rsidRPr="00582377" w:rsidRDefault="00FF1ECB" w:rsidP="00FF1ECB">
      <w:pPr>
        <w:rPr>
          <w:rFonts w:eastAsia="Segoe UI"/>
          <w:bCs/>
          <w:i/>
          <w:iCs/>
          <w:color w:val="538135" w:themeColor="accent6" w:themeShade="BF"/>
        </w:rPr>
      </w:pPr>
    </w:p>
    <w:p w14:paraId="5BE7D23F" w14:textId="10FB4A42" w:rsidR="008A7A5A" w:rsidRDefault="008A7A5A">
      <w:pPr>
        <w:spacing w:after="160" w:line="259" w:lineRule="auto"/>
        <w:rPr>
          <w:b/>
          <w:bCs/>
          <w:color w:val="0070C0"/>
          <w:sz w:val="32"/>
          <w:szCs w:val="32"/>
        </w:rPr>
      </w:pPr>
    </w:p>
    <w:p w14:paraId="36D3A1E8" w14:textId="77777777" w:rsidR="009139B7" w:rsidRDefault="009139B7">
      <w:pPr>
        <w:spacing w:after="160" w:line="259" w:lineRule="auto"/>
        <w:rPr>
          <w:b/>
          <w:bCs/>
          <w:color w:val="0070C0"/>
          <w:sz w:val="32"/>
          <w:szCs w:val="32"/>
        </w:rPr>
      </w:pPr>
      <w:r>
        <w:br w:type="page"/>
      </w:r>
    </w:p>
    <w:p w14:paraId="5BEAFFDE" w14:textId="25979724" w:rsidR="00051843" w:rsidRPr="00EA0AA0" w:rsidRDefault="00051843" w:rsidP="005C00EA">
      <w:pPr>
        <w:pStyle w:val="Heading1"/>
        <w:tabs>
          <w:tab w:val="center" w:pos="4748"/>
        </w:tabs>
      </w:pPr>
      <w:r w:rsidRPr="00EA0AA0">
        <w:lastRenderedPageBreak/>
        <w:t>Population</w:t>
      </w:r>
      <w:r w:rsidR="005C00EA">
        <w:tab/>
      </w:r>
    </w:p>
    <w:p w14:paraId="403BD183" w14:textId="738A72BE" w:rsidR="00051843" w:rsidRPr="00BC0C43" w:rsidRDefault="00051843" w:rsidP="00BC0C43">
      <w:pPr>
        <w:pStyle w:val="Heading2"/>
      </w:pPr>
      <w:r w:rsidRPr="00BC0C43">
        <w:t>Describe the population in which the proposed health technology is intended to be used:</w:t>
      </w:r>
    </w:p>
    <w:p w14:paraId="49E1D4C3" w14:textId="24328D0F" w:rsidR="00F870D6" w:rsidRDefault="001C218C" w:rsidP="00F870D6">
      <w:pPr>
        <w:pBdr>
          <w:top w:val="single" w:sz="4" w:space="1" w:color="auto"/>
          <w:left w:val="single" w:sz="4" w:space="4" w:color="auto"/>
          <w:bottom w:val="single" w:sz="4" w:space="1" w:color="auto"/>
          <w:right w:val="single" w:sz="4" w:space="4" w:color="auto"/>
        </w:pBdr>
        <w:shd w:val="clear" w:color="auto" w:fill="FFFFFF" w:themeFill="background1"/>
        <w:jc w:val="both"/>
        <w:rPr>
          <w:rFonts w:eastAsia="Segoe UI"/>
        </w:rPr>
      </w:pPr>
      <w:bookmarkStart w:id="1" w:name="_Hlk161146150"/>
      <w:r w:rsidRPr="00696AE9">
        <w:rPr>
          <w:rFonts w:eastAsia="Segoe UI"/>
        </w:rPr>
        <w:t>Th</w:t>
      </w:r>
      <w:r w:rsidR="00C57571">
        <w:rPr>
          <w:rFonts w:eastAsia="Segoe UI"/>
        </w:rPr>
        <w:t>is</w:t>
      </w:r>
      <w:r w:rsidRPr="00696AE9">
        <w:rPr>
          <w:rFonts w:eastAsia="Segoe UI"/>
        </w:rPr>
        <w:t xml:space="preserve"> application </w:t>
      </w:r>
      <w:r>
        <w:rPr>
          <w:rFonts w:eastAsia="Segoe UI"/>
        </w:rPr>
        <w:t>requests</w:t>
      </w:r>
      <w:r w:rsidRPr="00696AE9">
        <w:rPr>
          <w:rFonts w:eastAsia="Segoe UI"/>
        </w:rPr>
        <w:t xml:space="preserve"> </w:t>
      </w:r>
      <w:r>
        <w:rPr>
          <w:rFonts w:eastAsia="Segoe UI"/>
        </w:rPr>
        <w:t>Medicare Benefits Schedule (MBS)</w:t>
      </w:r>
      <w:r w:rsidRPr="00696AE9">
        <w:rPr>
          <w:rFonts w:eastAsia="Segoe UI"/>
        </w:rPr>
        <w:t xml:space="preserve"> </w:t>
      </w:r>
      <w:r w:rsidR="00C57571">
        <w:rPr>
          <w:rFonts w:eastAsia="Segoe UI"/>
        </w:rPr>
        <w:t>listing</w:t>
      </w:r>
      <w:r w:rsidRPr="00696AE9">
        <w:rPr>
          <w:rFonts w:eastAsia="Segoe UI"/>
        </w:rPr>
        <w:t xml:space="preserve"> for </w:t>
      </w:r>
      <w:r w:rsidRPr="001C218C">
        <w:rPr>
          <w:rFonts w:eastAsia="Segoe UI"/>
        </w:rPr>
        <w:t xml:space="preserve">testing to detect </w:t>
      </w:r>
      <w:r w:rsidR="00515839">
        <w:t>f</w:t>
      </w:r>
      <w:r w:rsidR="00515839" w:rsidRPr="00FF7F0C">
        <w:t>ibroblast growth factor receptor</w:t>
      </w:r>
      <w:r w:rsidR="00515839" w:rsidRPr="001C218C">
        <w:rPr>
          <w:rFonts w:eastAsia="Segoe UI"/>
        </w:rPr>
        <w:t xml:space="preserve"> </w:t>
      </w:r>
      <w:r w:rsidR="00515839">
        <w:rPr>
          <w:rFonts w:eastAsia="Segoe UI"/>
        </w:rPr>
        <w:t>2 (</w:t>
      </w:r>
      <w:r w:rsidRPr="001C218C">
        <w:rPr>
          <w:rFonts w:eastAsia="Segoe UI"/>
        </w:rPr>
        <w:t>FGFR2</w:t>
      </w:r>
      <w:r w:rsidR="00515839">
        <w:rPr>
          <w:rFonts w:eastAsia="Segoe UI"/>
        </w:rPr>
        <w:t>)</w:t>
      </w:r>
      <w:r w:rsidRPr="001C218C">
        <w:rPr>
          <w:rFonts w:eastAsia="Segoe UI"/>
        </w:rPr>
        <w:t xml:space="preserve"> fusion</w:t>
      </w:r>
      <w:r w:rsidR="005C3EDC">
        <w:rPr>
          <w:rFonts w:eastAsia="Segoe UI"/>
        </w:rPr>
        <w:t>s</w:t>
      </w:r>
      <w:r w:rsidRPr="001C218C">
        <w:rPr>
          <w:rFonts w:eastAsia="Segoe UI"/>
        </w:rPr>
        <w:t xml:space="preserve"> or rearrangement</w:t>
      </w:r>
      <w:r w:rsidR="005C3EDC">
        <w:rPr>
          <w:rFonts w:eastAsia="Segoe UI"/>
        </w:rPr>
        <w:t>s</w:t>
      </w:r>
      <w:r w:rsidRPr="001C218C">
        <w:rPr>
          <w:rFonts w:eastAsia="Segoe UI"/>
        </w:rPr>
        <w:t xml:space="preserve"> in patients with </w:t>
      </w:r>
      <w:r w:rsidR="00B20FD1">
        <w:rPr>
          <w:rFonts w:eastAsia="Segoe UI"/>
        </w:rPr>
        <w:t>locally advanced</w:t>
      </w:r>
      <w:r w:rsidR="00B20FD1" w:rsidRPr="001C218C">
        <w:rPr>
          <w:rFonts w:eastAsia="Segoe UI"/>
        </w:rPr>
        <w:t xml:space="preserve"> or metastatic</w:t>
      </w:r>
      <w:r w:rsidR="00B20FD1">
        <w:rPr>
          <w:rFonts w:eastAsia="Segoe UI"/>
        </w:rPr>
        <w:t xml:space="preserve"> </w:t>
      </w:r>
      <w:r w:rsidR="00F821A4">
        <w:rPr>
          <w:rFonts w:eastAsia="Segoe UI"/>
        </w:rPr>
        <w:t>cholangiocarcinoma (CCA)</w:t>
      </w:r>
      <w:r w:rsidR="00CF72C6">
        <w:rPr>
          <w:rFonts w:eastAsia="Segoe UI"/>
        </w:rPr>
        <w:t>,</w:t>
      </w:r>
      <w:r w:rsidR="007C0D7D">
        <w:rPr>
          <w:rFonts w:eastAsia="Segoe UI"/>
        </w:rPr>
        <w:t xml:space="preserve"> </w:t>
      </w:r>
      <w:r>
        <w:rPr>
          <w:rFonts w:eastAsia="Segoe UI"/>
        </w:rPr>
        <w:t xml:space="preserve">to determine Pharmaceutical Benefits Scheme (PBS) eligibility for </w:t>
      </w:r>
      <w:proofErr w:type="spellStart"/>
      <w:r w:rsidR="00CF72C6">
        <w:rPr>
          <w:rFonts w:eastAsia="Segoe UI"/>
        </w:rPr>
        <w:t>futibatinib</w:t>
      </w:r>
      <w:proofErr w:type="spellEnd"/>
      <w:r w:rsidR="00013211">
        <w:rPr>
          <w:rFonts w:eastAsia="Segoe UI"/>
        </w:rPr>
        <w:t xml:space="preserve"> (</w:t>
      </w:r>
      <w:proofErr w:type="spellStart"/>
      <w:r w:rsidR="00013211">
        <w:rPr>
          <w:rFonts w:eastAsia="Segoe UI"/>
        </w:rPr>
        <w:t>Lytgobi</w:t>
      </w:r>
      <w:proofErr w:type="spellEnd"/>
      <w:r w:rsidR="00013211">
        <w:rPr>
          <w:rFonts w:eastAsia="Segoe UI"/>
        </w:rPr>
        <w:t>)</w:t>
      </w:r>
      <w:r w:rsidR="00F007BF">
        <w:rPr>
          <w:rFonts w:eastAsia="Segoe UI"/>
        </w:rPr>
        <w:t xml:space="preserve">. </w:t>
      </w:r>
    </w:p>
    <w:p w14:paraId="51205E1F" w14:textId="024FE7DC" w:rsidR="00652ED1" w:rsidRPr="00F870D6" w:rsidRDefault="00F007BF" w:rsidP="5A7BFD5E">
      <w:pPr>
        <w:pBdr>
          <w:top w:val="single" w:sz="4" w:space="1" w:color="auto"/>
          <w:left w:val="single" w:sz="4" w:space="4" w:color="auto"/>
          <w:bottom w:val="single" w:sz="4" w:space="1" w:color="auto"/>
          <w:right w:val="single" w:sz="4" w:space="4" w:color="auto"/>
        </w:pBdr>
        <w:shd w:val="clear" w:color="auto" w:fill="FFFFFF" w:themeFill="background1"/>
        <w:jc w:val="both"/>
        <w:rPr>
          <w:rFonts w:eastAsia="Segoe UI"/>
        </w:rPr>
      </w:pPr>
      <w:proofErr w:type="spellStart"/>
      <w:r>
        <w:rPr>
          <w:rFonts w:eastAsia="Segoe UI"/>
        </w:rPr>
        <w:t>Futibatinib</w:t>
      </w:r>
      <w:proofErr w:type="spellEnd"/>
      <w:r>
        <w:rPr>
          <w:rFonts w:eastAsia="Segoe UI"/>
        </w:rPr>
        <w:t xml:space="preserve"> is</w:t>
      </w:r>
      <w:r w:rsidR="001C218C">
        <w:rPr>
          <w:rFonts w:eastAsia="Segoe UI"/>
        </w:rPr>
        <w:t xml:space="preserve"> </w:t>
      </w:r>
      <w:r w:rsidR="00DE324F" w:rsidRPr="00C61470">
        <w:rPr>
          <w:lang w:bidi="en-US"/>
        </w:rPr>
        <w:t>a potent and highly selective kinase inhibitor of</w:t>
      </w:r>
      <w:r w:rsidR="00DE324F">
        <w:t xml:space="preserve"> </w:t>
      </w:r>
      <w:r w:rsidR="00DE324F" w:rsidRPr="00C61470">
        <w:rPr>
          <w:lang w:bidi="en-US"/>
        </w:rPr>
        <w:t>FGFR 1</w:t>
      </w:r>
      <w:r w:rsidR="004D2E6B">
        <w:rPr>
          <w:lang w:bidi="en-US"/>
        </w:rPr>
        <w:t>-</w:t>
      </w:r>
      <w:r w:rsidR="00DE324F" w:rsidRPr="00C61470">
        <w:rPr>
          <w:lang w:bidi="en-US"/>
        </w:rPr>
        <w:t>4</w:t>
      </w:r>
      <w:r w:rsidR="008C5325">
        <w:rPr>
          <w:rFonts w:eastAsia="Segoe UI"/>
        </w:rPr>
        <w:t xml:space="preserve"> </w:t>
      </w:r>
      <w:r w:rsidR="00F22659">
        <w:rPr>
          <w:rFonts w:eastAsia="Segoe UI"/>
        </w:rPr>
        <w:t xml:space="preserve">for patients </w:t>
      </w:r>
      <w:r w:rsidR="00F22659" w:rsidRPr="00CE0F94">
        <w:rPr>
          <w:rFonts w:eastAsia="Segoe UI"/>
        </w:rPr>
        <w:t xml:space="preserve">who have </w:t>
      </w:r>
      <w:r w:rsidR="009B4A70">
        <w:rPr>
          <w:rFonts w:eastAsia="Segoe UI"/>
        </w:rPr>
        <w:t>locally advanced</w:t>
      </w:r>
      <w:r w:rsidR="00515406" w:rsidRPr="001C218C">
        <w:rPr>
          <w:rFonts w:eastAsia="Segoe UI"/>
        </w:rPr>
        <w:t xml:space="preserve"> or metastatic</w:t>
      </w:r>
      <w:r w:rsidR="00515406">
        <w:rPr>
          <w:rFonts w:eastAsia="Segoe UI"/>
        </w:rPr>
        <w:t xml:space="preserve"> </w:t>
      </w:r>
      <w:r w:rsidR="00C1378E">
        <w:rPr>
          <w:rFonts w:eastAsia="Segoe UI"/>
        </w:rPr>
        <w:t>CCA</w:t>
      </w:r>
      <w:r w:rsidR="00F22659" w:rsidRPr="00CE0F94">
        <w:rPr>
          <w:rFonts w:eastAsia="Segoe UI"/>
        </w:rPr>
        <w:t xml:space="preserve"> </w:t>
      </w:r>
      <w:r w:rsidR="00FE7EA1">
        <w:rPr>
          <w:rFonts w:eastAsia="Segoe UI"/>
        </w:rPr>
        <w:t xml:space="preserve">with </w:t>
      </w:r>
      <w:r w:rsidR="002F6472">
        <w:rPr>
          <w:rFonts w:eastAsia="Segoe UI"/>
        </w:rPr>
        <w:t xml:space="preserve">an FGFR2 fusion or rearrangement </w:t>
      </w:r>
      <w:r w:rsidR="00957452">
        <w:rPr>
          <w:rFonts w:eastAsia="Segoe UI"/>
        </w:rPr>
        <w:t xml:space="preserve">and who have </w:t>
      </w:r>
      <w:r w:rsidR="00F22659" w:rsidRPr="00CE0F94">
        <w:rPr>
          <w:rFonts w:eastAsia="Segoe UI"/>
        </w:rPr>
        <w:t>progress</w:t>
      </w:r>
      <w:r w:rsidR="00957452">
        <w:rPr>
          <w:rFonts w:eastAsia="Segoe UI"/>
        </w:rPr>
        <w:t>ed</w:t>
      </w:r>
      <w:r w:rsidR="00F22659">
        <w:rPr>
          <w:rFonts w:eastAsia="Segoe UI"/>
        </w:rPr>
        <w:t xml:space="preserve"> following at least one prior line of systemic therapy</w:t>
      </w:r>
      <w:r w:rsidR="00B0670C">
        <w:rPr>
          <w:rFonts w:eastAsia="Segoe UI"/>
        </w:rPr>
        <w:t>.</w:t>
      </w:r>
      <w:bookmarkStart w:id="2" w:name="_Hlk161845794"/>
      <w:r w:rsidR="00F870D6">
        <w:rPr>
          <w:rFonts w:eastAsia="Segoe UI"/>
        </w:rPr>
        <w:t xml:space="preserve"> </w:t>
      </w:r>
      <w:proofErr w:type="spellStart"/>
      <w:r w:rsidR="00F22659">
        <w:t>Futibatinib</w:t>
      </w:r>
      <w:proofErr w:type="spellEnd"/>
      <w:r w:rsidR="00F22659">
        <w:t xml:space="preserve"> </w:t>
      </w:r>
      <w:r w:rsidR="00A845BE">
        <w:t>was</w:t>
      </w:r>
      <w:r w:rsidR="00F22659">
        <w:t xml:space="preserve"> granted orphan drug designation (ODD) and </w:t>
      </w:r>
      <w:r w:rsidR="00B96E59">
        <w:t>h</w:t>
      </w:r>
      <w:r w:rsidR="1620747C">
        <w:t xml:space="preserve">as </w:t>
      </w:r>
      <w:r w:rsidR="00B96E59">
        <w:t xml:space="preserve">been </w:t>
      </w:r>
      <w:r w:rsidR="1620747C">
        <w:t xml:space="preserve">submitted </w:t>
      </w:r>
      <w:r w:rsidR="00775B5C">
        <w:t>for assessment</w:t>
      </w:r>
      <w:r w:rsidR="00F22659">
        <w:t xml:space="preserve"> </w:t>
      </w:r>
      <w:r w:rsidR="00775B5C">
        <w:t>by the Therapeutic Goods Administration (TGA)</w:t>
      </w:r>
      <w:r w:rsidR="00F22659">
        <w:t>.</w:t>
      </w:r>
    </w:p>
    <w:bookmarkEnd w:id="1"/>
    <w:bookmarkEnd w:id="2"/>
    <w:p w14:paraId="19051257" w14:textId="7383B4C5" w:rsidR="00B84AFA" w:rsidRDefault="00F15D91" w:rsidP="00F71D8D">
      <w:pPr>
        <w:jc w:val="both"/>
      </w:pPr>
      <w:r w:rsidRPr="00F15D91">
        <w:t>Cholangiocarcinoma (CCA) is a heterogeneous group of neoplasms of the bile ducts and represents the second most common hepatic cancer after hepatocellular carcinoma (HCC)</w:t>
      </w:r>
      <w:sdt>
        <w:sdtPr>
          <w:id w:val="-373542939"/>
          <w:citation/>
        </w:sdtPr>
        <w:sdtEndPr/>
        <w:sdtContent>
          <w:r w:rsidR="00BB772C">
            <w:fldChar w:fldCharType="begin"/>
          </w:r>
          <w:r w:rsidR="00BB772C">
            <w:instrText xml:space="preserve"> CITATION Ale22 \l 3081 </w:instrText>
          </w:r>
          <w:r w:rsidR="00BB772C">
            <w:fldChar w:fldCharType="separate"/>
          </w:r>
          <w:r w:rsidR="00BB772C">
            <w:rPr>
              <w:noProof/>
            </w:rPr>
            <w:t xml:space="preserve"> (Elvevi, Laffusa, Scaravaglio, Rossi, &amp; Longarini, 2022)</w:t>
          </w:r>
          <w:r w:rsidR="00BB772C">
            <w:fldChar w:fldCharType="end"/>
          </w:r>
        </w:sdtContent>
      </w:sdt>
      <w:r w:rsidRPr="00F15D91">
        <w:t>.</w:t>
      </w:r>
      <w:r>
        <w:t xml:space="preserve"> </w:t>
      </w:r>
      <w:r w:rsidR="00B84AFA" w:rsidRPr="00B84AFA">
        <w:t xml:space="preserve">It has been reported as a rare disease in Western countries, accounting for </w:t>
      </w:r>
      <w:r w:rsidR="005D082D">
        <w:t>&lt;</w:t>
      </w:r>
      <w:r w:rsidR="00B84AFA" w:rsidRPr="00B84AFA">
        <w:t>1% of all human cancers, and around 10</w:t>
      </w:r>
      <w:r w:rsidR="005D082D">
        <w:t>-</w:t>
      </w:r>
      <w:r w:rsidR="00B84AFA" w:rsidRPr="00B84AFA">
        <w:t>15% of all primary liver cancers</w:t>
      </w:r>
      <w:r w:rsidR="0046605B">
        <w:t>. CCA</w:t>
      </w:r>
      <w:r w:rsidR="00B84AFA" w:rsidRPr="00B84AFA">
        <w:t xml:space="preserve"> is mostly diagnosed in the seventh decade </w:t>
      </w:r>
      <w:r w:rsidR="0046605B">
        <w:t xml:space="preserve">of life </w:t>
      </w:r>
      <w:r w:rsidR="00B84AFA" w:rsidRPr="00B84AFA">
        <w:t>with a small male predominance (</w:t>
      </w:r>
      <w:proofErr w:type="spellStart"/>
      <w:r w:rsidR="00B84AFA" w:rsidRPr="00B84AFA">
        <w:t>male:female</w:t>
      </w:r>
      <w:proofErr w:type="spellEnd"/>
      <w:r w:rsidR="00B84AFA" w:rsidRPr="00B84AFA">
        <w:t xml:space="preserve"> ratio of 1.2—1.5:1.0)</w:t>
      </w:r>
      <w:r w:rsidR="00B84AFA">
        <w:t xml:space="preserve">. </w:t>
      </w:r>
    </w:p>
    <w:p w14:paraId="42BDCB47" w14:textId="063FBB12" w:rsidR="003D3C32" w:rsidRDefault="00EB762C" w:rsidP="00F71D8D">
      <w:pPr>
        <w:jc w:val="both"/>
      </w:pPr>
      <w:r w:rsidRPr="006D126C">
        <w:t>CCA is subclassified as</w:t>
      </w:r>
      <w:r w:rsidR="00BB772C">
        <w:t xml:space="preserve"> </w:t>
      </w:r>
      <w:sdt>
        <w:sdtPr>
          <w:id w:val="-1768611748"/>
          <w:citation/>
        </w:sdtPr>
        <w:sdtEndPr/>
        <w:sdtContent>
          <w:r w:rsidR="00BB772C">
            <w:fldChar w:fldCharType="begin"/>
          </w:r>
          <w:r w:rsidR="00BB772C">
            <w:instrText xml:space="preserve"> CITATION ESM221 \l 3081 </w:instrText>
          </w:r>
          <w:r w:rsidR="00BB772C">
            <w:fldChar w:fldCharType="separate"/>
          </w:r>
          <w:r w:rsidR="00BB772C">
            <w:rPr>
              <w:noProof/>
            </w:rPr>
            <w:t>(ESMO, 2023)</w:t>
          </w:r>
          <w:r w:rsidR="00BB772C">
            <w:fldChar w:fldCharType="end"/>
          </w:r>
        </w:sdtContent>
      </w:sdt>
      <w:sdt>
        <w:sdtPr>
          <w:id w:val="-1841238160"/>
          <w:citation/>
        </w:sdtPr>
        <w:sdtEndPr/>
        <w:sdtContent>
          <w:r w:rsidR="00BB772C">
            <w:fldChar w:fldCharType="begin"/>
          </w:r>
          <w:r w:rsidR="00BB772C">
            <w:instrText xml:space="preserve"> CITATION Ale22 \l 3081 </w:instrText>
          </w:r>
          <w:r w:rsidR="00BB772C">
            <w:fldChar w:fldCharType="separate"/>
          </w:r>
          <w:r w:rsidR="00BB772C">
            <w:rPr>
              <w:noProof/>
            </w:rPr>
            <w:t xml:space="preserve"> (Elvevi, Laffusa, Scaravaglio, Rossi, &amp; Longarini, 2022)</w:t>
          </w:r>
          <w:r w:rsidR="00BB772C">
            <w:fldChar w:fldCharType="end"/>
          </w:r>
        </w:sdtContent>
      </w:sdt>
      <w:r w:rsidR="003D3C32">
        <w:t>:</w:t>
      </w:r>
    </w:p>
    <w:p w14:paraId="6C679FDC" w14:textId="38EA24B9" w:rsidR="00DA6338" w:rsidRDefault="00EB762C" w:rsidP="00F71D8D">
      <w:pPr>
        <w:pStyle w:val="ListParagraph"/>
        <w:numPr>
          <w:ilvl w:val="0"/>
          <w:numId w:val="1"/>
        </w:numPr>
        <w:jc w:val="both"/>
      </w:pPr>
      <w:r w:rsidRPr="006D126C">
        <w:t>intrahepatic CCA (</w:t>
      </w:r>
      <w:proofErr w:type="spellStart"/>
      <w:r w:rsidRPr="006D126C">
        <w:t>iCCA</w:t>
      </w:r>
      <w:proofErr w:type="spellEnd"/>
      <w:r w:rsidRPr="006D126C">
        <w:t>),</w:t>
      </w:r>
      <w:r>
        <w:t xml:space="preserve"> </w:t>
      </w:r>
      <w:r w:rsidRPr="006D126C">
        <w:t xml:space="preserve">arising from bile </w:t>
      </w:r>
      <w:proofErr w:type="spellStart"/>
      <w:r w:rsidRPr="006D126C">
        <w:t>ductules</w:t>
      </w:r>
      <w:proofErr w:type="spellEnd"/>
      <w:r w:rsidRPr="006D126C">
        <w:t xml:space="preserve"> proximal to the second-order</w:t>
      </w:r>
      <w:r>
        <w:t xml:space="preserve"> </w:t>
      </w:r>
      <w:r w:rsidRPr="006D126C">
        <w:t>bile ducts</w:t>
      </w:r>
      <w:r w:rsidR="00C2284C">
        <w:t xml:space="preserve">, </w:t>
      </w:r>
      <w:r w:rsidR="00C2284C" w:rsidRPr="00C2284C">
        <w:t xml:space="preserve">accounting for </w:t>
      </w:r>
      <w:r w:rsidR="00836F39">
        <w:t>~</w:t>
      </w:r>
      <w:r w:rsidR="00C2284C" w:rsidRPr="00C2284C">
        <w:t>10%</w:t>
      </w:r>
      <w:r w:rsidR="00836F39">
        <w:t>-</w:t>
      </w:r>
      <w:r w:rsidR="00C2284C" w:rsidRPr="00C2284C">
        <w:t>20% of cases</w:t>
      </w:r>
      <w:r w:rsidRPr="006D126C">
        <w:t>;</w:t>
      </w:r>
    </w:p>
    <w:p w14:paraId="3F174EF7" w14:textId="4B7A9670" w:rsidR="00DA6338" w:rsidRDefault="00EB762C" w:rsidP="00F71D8D">
      <w:pPr>
        <w:pStyle w:val="ListParagraph"/>
        <w:numPr>
          <w:ilvl w:val="0"/>
          <w:numId w:val="1"/>
        </w:numPr>
        <w:jc w:val="both"/>
      </w:pPr>
      <w:r w:rsidRPr="006D126C">
        <w:t>perihilar CCA (</w:t>
      </w:r>
      <w:proofErr w:type="spellStart"/>
      <w:r w:rsidRPr="006D126C">
        <w:t>pCCA</w:t>
      </w:r>
      <w:proofErr w:type="spellEnd"/>
      <w:r w:rsidRPr="006D126C">
        <w:t>),</w:t>
      </w:r>
      <w:r>
        <w:t xml:space="preserve"> </w:t>
      </w:r>
      <w:r w:rsidRPr="006D126C">
        <w:t>arising in the right and/or left hepatic duct and/or at their</w:t>
      </w:r>
      <w:r>
        <w:t xml:space="preserve"> </w:t>
      </w:r>
      <w:r w:rsidRPr="006D126C">
        <w:t>junction</w:t>
      </w:r>
      <w:r w:rsidR="00836F39">
        <w:t xml:space="preserve">, </w:t>
      </w:r>
      <w:r w:rsidR="00836F39" w:rsidRPr="00836F39">
        <w:t xml:space="preserve">accounting for </w:t>
      </w:r>
      <w:r w:rsidR="00836F39">
        <w:t>~</w:t>
      </w:r>
      <w:r w:rsidR="00836F39" w:rsidRPr="00836F39">
        <w:t>50% of cases</w:t>
      </w:r>
      <w:r w:rsidRPr="006D126C">
        <w:t>; and</w:t>
      </w:r>
    </w:p>
    <w:p w14:paraId="539CB1F3" w14:textId="4CE7D811" w:rsidR="00DA6338" w:rsidRDefault="00EB762C" w:rsidP="00F71D8D">
      <w:pPr>
        <w:pStyle w:val="ListParagraph"/>
        <w:numPr>
          <w:ilvl w:val="0"/>
          <w:numId w:val="1"/>
        </w:numPr>
        <w:jc w:val="both"/>
      </w:pPr>
      <w:r w:rsidRPr="006D126C">
        <w:t>distal CCA</w:t>
      </w:r>
      <w:r>
        <w:t xml:space="preserve"> </w:t>
      </w:r>
      <w:r w:rsidRPr="006D126C">
        <w:t>(</w:t>
      </w:r>
      <w:proofErr w:type="spellStart"/>
      <w:r w:rsidRPr="006D126C">
        <w:t>dCCA</w:t>
      </w:r>
      <w:proofErr w:type="spellEnd"/>
      <w:r w:rsidRPr="006D126C">
        <w:t>), arising from the epithelium distal to the insertion</w:t>
      </w:r>
      <w:r>
        <w:t xml:space="preserve"> </w:t>
      </w:r>
      <w:r w:rsidRPr="006D126C">
        <w:t>of the cystic duct</w:t>
      </w:r>
      <w:r w:rsidR="00E64ADB">
        <w:t>, accounting for ~</w:t>
      </w:r>
      <w:r w:rsidR="00E64ADB" w:rsidRPr="00E64ADB">
        <w:t>30%–40%</w:t>
      </w:r>
      <w:r w:rsidR="00E64ADB">
        <w:t xml:space="preserve"> of cases</w:t>
      </w:r>
      <w:r w:rsidRPr="006D126C">
        <w:t>.</w:t>
      </w:r>
      <w:r>
        <w:t xml:space="preserve"> </w:t>
      </w:r>
    </w:p>
    <w:p w14:paraId="6B1F74A8" w14:textId="5C4A19C4" w:rsidR="0077470D" w:rsidRDefault="00EB762C" w:rsidP="00F71D8D">
      <w:pPr>
        <w:jc w:val="both"/>
      </w:pPr>
      <w:proofErr w:type="spellStart"/>
      <w:r w:rsidRPr="006D126C">
        <w:t>pCCA</w:t>
      </w:r>
      <w:proofErr w:type="spellEnd"/>
      <w:r w:rsidRPr="006D126C">
        <w:t xml:space="preserve"> and </w:t>
      </w:r>
      <w:proofErr w:type="spellStart"/>
      <w:r w:rsidRPr="006D126C">
        <w:t>dCCA</w:t>
      </w:r>
      <w:proofErr w:type="spellEnd"/>
      <w:r w:rsidRPr="006D126C">
        <w:t xml:space="preserve"> collectively</w:t>
      </w:r>
      <w:r>
        <w:t xml:space="preserve"> </w:t>
      </w:r>
      <w:r w:rsidRPr="006D126C">
        <w:t>comprise extrahepatic CCA</w:t>
      </w:r>
      <w:r>
        <w:t xml:space="preserve"> (</w:t>
      </w:r>
      <w:proofErr w:type="spellStart"/>
      <w:r>
        <w:t>eCCA</w:t>
      </w:r>
      <w:proofErr w:type="spellEnd"/>
      <w:r>
        <w:t>).</w:t>
      </w:r>
    </w:p>
    <w:p w14:paraId="7B601DF7" w14:textId="77EA9D2F" w:rsidR="003229A8" w:rsidRDefault="003229A8" w:rsidP="00F71D8D">
      <w:pPr>
        <w:jc w:val="both"/>
      </w:pPr>
      <w:r w:rsidRPr="00865C47">
        <w:t xml:space="preserve">The incidence of </w:t>
      </w:r>
      <w:r>
        <w:t xml:space="preserve">CCA </w:t>
      </w:r>
      <w:r w:rsidRPr="00865C47">
        <w:t>in Austra</w:t>
      </w:r>
      <w:r>
        <w:t>lasia</w:t>
      </w:r>
      <w:r w:rsidRPr="00865C47">
        <w:t xml:space="preserve"> </w:t>
      </w:r>
      <w:r>
        <w:t xml:space="preserve">has been reported as </w:t>
      </w:r>
      <w:r w:rsidRPr="00865C47">
        <w:t xml:space="preserve">0.3 to 3.5 </w:t>
      </w:r>
      <w:r>
        <w:t xml:space="preserve">cases </w:t>
      </w:r>
      <w:r w:rsidRPr="00865C47">
        <w:t>per 100,000</w:t>
      </w:r>
      <w:r>
        <w:t xml:space="preserve"> population</w:t>
      </w:r>
      <w:r w:rsidR="002F07CA">
        <w:t xml:space="preserve"> and it is understood that</w:t>
      </w:r>
      <w:r w:rsidRPr="00865C47">
        <w:t xml:space="preserve"> </w:t>
      </w:r>
      <w:r w:rsidR="002F07CA">
        <w:t>CCA</w:t>
      </w:r>
      <w:r w:rsidR="002F07CA" w:rsidRPr="00C8532E">
        <w:t xml:space="preserve"> affects approximately</w:t>
      </w:r>
      <w:r w:rsidR="002F07CA">
        <w:t xml:space="preserve"> </w:t>
      </w:r>
      <w:r w:rsidR="002F07CA" w:rsidRPr="00C8532E">
        <w:t>1,300 Australians each year</w:t>
      </w:r>
      <w:r w:rsidR="00603B03">
        <w:t xml:space="preserve"> </w:t>
      </w:r>
      <w:sdt>
        <w:sdtPr>
          <w:id w:val="413602704"/>
          <w:citation/>
        </w:sdtPr>
        <w:sdtEndPr/>
        <w:sdtContent>
          <w:r w:rsidR="00603B03">
            <w:fldChar w:fldCharType="begin"/>
          </w:r>
          <w:r w:rsidR="00603B03">
            <w:instrText xml:space="preserve"> CITATION ESM221 \l 3081 </w:instrText>
          </w:r>
          <w:r w:rsidR="00603B03">
            <w:fldChar w:fldCharType="separate"/>
          </w:r>
          <w:r w:rsidR="00603B03">
            <w:rPr>
              <w:noProof/>
            </w:rPr>
            <w:t>(ESMO, 2023)</w:t>
          </w:r>
          <w:r w:rsidR="00603B03">
            <w:fldChar w:fldCharType="end"/>
          </w:r>
        </w:sdtContent>
      </w:sdt>
      <w:r w:rsidR="00402A26">
        <w:t xml:space="preserve"> </w:t>
      </w:r>
      <w:sdt>
        <w:sdtPr>
          <w:id w:val="629593726"/>
          <w:citation/>
        </w:sdtPr>
        <w:sdtEndPr/>
        <w:sdtContent>
          <w:r w:rsidR="00402A26">
            <w:fldChar w:fldCharType="begin"/>
          </w:r>
          <w:r w:rsidR="00402A26">
            <w:instrText xml:space="preserve"> CITATION AGI23 \l 3081 </w:instrText>
          </w:r>
          <w:r w:rsidR="00402A26">
            <w:fldChar w:fldCharType="separate"/>
          </w:r>
          <w:r w:rsidR="00402A26">
            <w:rPr>
              <w:noProof/>
            </w:rPr>
            <w:t>(AGITG, 2023)</w:t>
          </w:r>
          <w:r w:rsidR="00402A26">
            <w:fldChar w:fldCharType="end"/>
          </w:r>
        </w:sdtContent>
      </w:sdt>
      <w:r w:rsidR="002F07CA" w:rsidRPr="00C8532E">
        <w:t>.</w:t>
      </w:r>
    </w:p>
    <w:p w14:paraId="4B344466" w14:textId="495EA6BF" w:rsidR="00CF0AC2" w:rsidRDefault="005A1234" w:rsidP="00F71D8D">
      <w:pPr>
        <w:tabs>
          <w:tab w:val="left" w:pos="5820"/>
        </w:tabs>
        <w:jc w:val="both"/>
      </w:pPr>
      <w:r>
        <w:t>CCA</w:t>
      </w:r>
      <w:r w:rsidRPr="007A56D7">
        <w:t xml:space="preserve"> still shows a high mortality rate due to its aggressiveness,</w:t>
      </w:r>
      <w:r>
        <w:t xml:space="preserve"> </w:t>
      </w:r>
      <w:r w:rsidRPr="007A56D7">
        <w:t>late diagnosis, and immunoregulation capacity</w:t>
      </w:r>
      <w:r w:rsidR="008F1D52">
        <w:t xml:space="preserve"> </w:t>
      </w:r>
      <w:sdt>
        <w:sdtPr>
          <w:id w:val="452368371"/>
          <w:citation/>
        </w:sdtPr>
        <w:sdtEndPr/>
        <w:sdtContent>
          <w:r w:rsidR="008F1D52">
            <w:fldChar w:fldCharType="begin"/>
          </w:r>
          <w:r w:rsidR="008F1D52">
            <w:instrText xml:space="preserve"> CITATION Ale22 \l 3081 </w:instrText>
          </w:r>
          <w:r w:rsidR="008F1D52">
            <w:fldChar w:fldCharType="separate"/>
          </w:r>
          <w:r w:rsidR="008F1D52">
            <w:rPr>
              <w:noProof/>
            </w:rPr>
            <w:t>(Elvevi, Laffusa, Scaravaglio, Rossi, &amp; Longarini, 2022)</w:t>
          </w:r>
          <w:r w:rsidR="008F1D52">
            <w:fldChar w:fldCharType="end"/>
          </w:r>
        </w:sdtContent>
      </w:sdt>
      <w:r w:rsidRPr="007A56D7">
        <w:t>. It is</w:t>
      </w:r>
      <w:r>
        <w:t xml:space="preserve"> </w:t>
      </w:r>
      <w:r w:rsidRPr="007A56D7">
        <w:t>rarely diagnosed at an early stage owing to its silent clinical course,</w:t>
      </w:r>
      <w:r>
        <w:t xml:space="preserve"> </w:t>
      </w:r>
      <w:r w:rsidRPr="007A56D7">
        <w:t>lack of biomarkers, difficult-to-access anatomical location, and highly</w:t>
      </w:r>
      <w:r>
        <w:t xml:space="preserve"> </w:t>
      </w:r>
      <w:r w:rsidRPr="007A56D7">
        <w:t xml:space="preserve">desmoplastic and </w:t>
      </w:r>
      <w:proofErr w:type="spellStart"/>
      <w:r w:rsidRPr="007A56D7">
        <w:t>paucicellular</w:t>
      </w:r>
      <w:proofErr w:type="spellEnd"/>
      <w:r w:rsidRPr="007A56D7">
        <w:t xml:space="preserve"> nature. </w:t>
      </w:r>
    </w:p>
    <w:p w14:paraId="320867AF" w14:textId="4ABC3F89" w:rsidR="004C61D6" w:rsidRDefault="004C61D6" w:rsidP="00F71D8D">
      <w:pPr>
        <w:tabs>
          <w:tab w:val="left" w:pos="5820"/>
        </w:tabs>
        <w:jc w:val="both"/>
      </w:pPr>
      <w:r>
        <w:t>CCA</w:t>
      </w:r>
      <w:r w:rsidRPr="007C1296">
        <w:t xml:space="preserve"> </w:t>
      </w:r>
      <w:r>
        <w:t xml:space="preserve">is associated with </w:t>
      </w:r>
      <w:r w:rsidRPr="00723112">
        <w:t xml:space="preserve">a </w:t>
      </w:r>
      <w:r w:rsidR="00D90EA6">
        <w:t xml:space="preserve">dismal </w:t>
      </w:r>
      <w:r w:rsidRPr="00723112">
        <w:t>median overall survival (OS) of</w:t>
      </w:r>
      <w:r>
        <w:t xml:space="preserve"> </w:t>
      </w:r>
      <w:r w:rsidRPr="00723112">
        <w:t>less than 12 months and a 5-year OS of less than 5%</w:t>
      </w:r>
      <w:r w:rsidR="008F1D52">
        <w:t xml:space="preserve"> </w:t>
      </w:r>
      <w:sdt>
        <w:sdtPr>
          <w:id w:val="-2105492084"/>
          <w:citation/>
        </w:sdtPr>
        <w:sdtEndPr/>
        <w:sdtContent>
          <w:r w:rsidR="00C61BAF">
            <w:fldChar w:fldCharType="begin"/>
          </w:r>
          <w:r w:rsidR="00C61BAF">
            <w:instrText xml:space="preserve"> CITATION Rot23 \l 3081 </w:instrText>
          </w:r>
          <w:r w:rsidR="00C61BAF">
            <w:fldChar w:fldCharType="separate"/>
          </w:r>
          <w:r w:rsidR="00C61BAF">
            <w:rPr>
              <w:noProof/>
            </w:rPr>
            <w:t>(Roth, et al., 2023)</w:t>
          </w:r>
          <w:r w:rsidR="00C61BAF">
            <w:fldChar w:fldCharType="end"/>
          </w:r>
        </w:sdtContent>
      </w:sdt>
      <w:r>
        <w:t>. Patients with CCA commonly present with advanced disease; a</w:t>
      </w:r>
      <w:r w:rsidRPr="00515614">
        <w:t>t diagnosis, 60-70% of patients have unresectable disease. When resection is possible, the</w:t>
      </w:r>
      <w:r>
        <w:t xml:space="preserve"> </w:t>
      </w:r>
      <w:r w:rsidRPr="00515614">
        <w:t xml:space="preserve">5-year OS is still low, varying between 15 and 40% </w:t>
      </w:r>
      <w:r w:rsidR="399B9B63">
        <w:t>for</w:t>
      </w:r>
      <w:r w:rsidRPr="00515614">
        <w:t xml:space="preserve"> </w:t>
      </w:r>
      <w:proofErr w:type="spellStart"/>
      <w:r w:rsidRPr="00515614">
        <w:t>iCCAs</w:t>
      </w:r>
      <w:proofErr w:type="spellEnd"/>
      <w:r w:rsidRPr="00515614">
        <w:t xml:space="preserve">, 8 and 47% for </w:t>
      </w:r>
      <w:proofErr w:type="spellStart"/>
      <w:r w:rsidRPr="00515614">
        <w:t>pCCAs</w:t>
      </w:r>
      <w:proofErr w:type="spellEnd"/>
      <w:r w:rsidRPr="00515614">
        <w:t xml:space="preserve"> and 20</w:t>
      </w:r>
      <w:r>
        <w:t xml:space="preserve"> </w:t>
      </w:r>
      <w:r w:rsidRPr="00515614">
        <w:t xml:space="preserve">and 54% for </w:t>
      </w:r>
      <w:proofErr w:type="spellStart"/>
      <w:r w:rsidRPr="00515614">
        <w:t>dCCAs</w:t>
      </w:r>
      <w:proofErr w:type="spellEnd"/>
      <w:r>
        <w:t>.</w:t>
      </w:r>
    </w:p>
    <w:p w14:paraId="1B008302" w14:textId="7FBFAB10" w:rsidR="00FB1738" w:rsidRDefault="00FB1738" w:rsidP="00F71D8D">
      <w:pPr>
        <w:tabs>
          <w:tab w:val="left" w:pos="5820"/>
        </w:tabs>
        <w:jc w:val="both"/>
      </w:pPr>
      <w:r w:rsidRPr="000C04D3">
        <w:t>The burden of CCA is steadily growing with increasing incidence</w:t>
      </w:r>
      <w:r>
        <w:t xml:space="preserve"> </w:t>
      </w:r>
      <w:r w:rsidRPr="000C04D3">
        <w:t>worldwide</w:t>
      </w:r>
      <w:r w:rsidR="008B7905">
        <w:t xml:space="preserve"> and</w:t>
      </w:r>
      <w:r w:rsidR="000C68DC">
        <w:t>,</w:t>
      </w:r>
      <w:r w:rsidR="008B7905">
        <w:t xml:space="preserve"> despite</w:t>
      </w:r>
      <w:r w:rsidRPr="000C04D3">
        <w:t xml:space="preserve"> advances in the understanding</w:t>
      </w:r>
      <w:r>
        <w:t xml:space="preserve"> </w:t>
      </w:r>
      <w:r w:rsidRPr="000C04D3">
        <w:t>of CCA’s pathogenetic mechanisms, the</w:t>
      </w:r>
      <w:r w:rsidR="00771B44">
        <w:t>re are</w:t>
      </w:r>
      <w:r w:rsidR="00657EA8">
        <w:t xml:space="preserve"> </w:t>
      </w:r>
      <w:r w:rsidR="00771B44">
        <w:t>limited therapeutic options available to patients and</w:t>
      </w:r>
      <w:r w:rsidRPr="000C04D3">
        <w:t xml:space="preserve"> prognosis</w:t>
      </w:r>
      <w:r w:rsidR="00771B44">
        <w:t xml:space="preserve"> </w:t>
      </w:r>
      <w:r w:rsidR="008B7905">
        <w:t>remains</w:t>
      </w:r>
      <w:r>
        <w:t xml:space="preserve"> </w:t>
      </w:r>
      <w:r w:rsidRPr="000C04D3">
        <w:t>invariably poor.</w:t>
      </w:r>
      <w:r w:rsidRPr="00B0056E">
        <w:t xml:space="preserve"> </w:t>
      </w:r>
    </w:p>
    <w:p w14:paraId="7B7089F3" w14:textId="5C993C84" w:rsidR="00051843" w:rsidRPr="00BC0C43" w:rsidRDefault="00051843" w:rsidP="00E8641D">
      <w:pPr>
        <w:pStyle w:val="Heading2"/>
        <w:jc w:val="both"/>
      </w:pPr>
      <w:r>
        <w:t>Specify any characteristics of patients with</w:t>
      </w:r>
      <w:r w:rsidR="00197915">
        <w:t>, or suspected of having,</w:t>
      </w:r>
      <w:r>
        <w:t xml:space="preserve"> the medical condition, who are proposed to be eligible for the proposed health technology, describing how a patient would be investigated, managed and referred within the Australian healthcare system in the lead up to being considered eligible for the technology:</w:t>
      </w:r>
    </w:p>
    <w:p w14:paraId="48051AC0" w14:textId="41037EAC" w:rsidR="00F11560" w:rsidRDefault="00DE2404" w:rsidP="00F71D8D">
      <w:pPr>
        <w:jc w:val="both"/>
        <w:rPr>
          <w:b/>
          <w:bCs/>
        </w:rPr>
      </w:pPr>
      <w:r w:rsidRPr="00DE2404">
        <w:lastRenderedPageBreak/>
        <w:t>Risk factors for CCA vary between regions</w:t>
      </w:r>
      <w:r w:rsidR="00716495">
        <w:rPr>
          <w:b/>
          <w:bCs/>
        </w:rPr>
        <w:t xml:space="preserve"> </w:t>
      </w:r>
      <w:r w:rsidR="00716495" w:rsidRPr="003A365F">
        <w:t>and</w:t>
      </w:r>
      <w:r w:rsidRPr="003A365F">
        <w:t xml:space="preserve"> </w:t>
      </w:r>
      <w:r w:rsidRPr="00DE2404">
        <w:t>share</w:t>
      </w:r>
      <w:r w:rsidR="00716495">
        <w:rPr>
          <w:b/>
          <w:bCs/>
        </w:rPr>
        <w:t xml:space="preserve"> </w:t>
      </w:r>
      <w:r w:rsidRPr="00DE2404">
        <w:t>chronic inflammation of the biliary epithelium as a key</w:t>
      </w:r>
      <w:r w:rsidR="00716495">
        <w:rPr>
          <w:b/>
          <w:bCs/>
        </w:rPr>
        <w:t xml:space="preserve"> </w:t>
      </w:r>
      <w:r w:rsidRPr="00DE2404">
        <w:t>feature</w:t>
      </w:r>
      <w:r w:rsidR="00C61BAF">
        <w:t xml:space="preserve"> </w:t>
      </w:r>
      <w:sdt>
        <w:sdtPr>
          <w:id w:val="-1586292664"/>
          <w:citation/>
        </w:sdtPr>
        <w:sdtEndPr/>
        <w:sdtContent>
          <w:r w:rsidR="00C61BAF">
            <w:fldChar w:fldCharType="begin"/>
          </w:r>
          <w:r w:rsidR="00C61BAF">
            <w:instrText xml:space="preserve"> CITATION ESM221 \l 3081 </w:instrText>
          </w:r>
          <w:r w:rsidR="00C61BAF">
            <w:fldChar w:fldCharType="separate"/>
          </w:r>
          <w:r w:rsidR="00C61BAF">
            <w:rPr>
              <w:noProof/>
            </w:rPr>
            <w:t>(ESMO, 2023)</w:t>
          </w:r>
          <w:r w:rsidR="00C61BAF">
            <w:fldChar w:fldCharType="end"/>
          </w:r>
        </w:sdtContent>
      </w:sdt>
      <w:r w:rsidRPr="00DE2404">
        <w:t>. Patients with primary sclerosing cholangitis</w:t>
      </w:r>
      <w:r w:rsidR="00716495">
        <w:rPr>
          <w:b/>
          <w:bCs/>
        </w:rPr>
        <w:t xml:space="preserve"> </w:t>
      </w:r>
      <w:r w:rsidRPr="00DE2404">
        <w:t>(PSC) in Western countries and those with hepatobiliary</w:t>
      </w:r>
      <w:r w:rsidR="00716495">
        <w:rPr>
          <w:b/>
          <w:bCs/>
        </w:rPr>
        <w:t xml:space="preserve"> </w:t>
      </w:r>
      <w:r w:rsidRPr="00DE2404">
        <w:t>flukes or hepatolithiasis in Asian countries are at increased</w:t>
      </w:r>
      <w:r w:rsidR="00716495">
        <w:rPr>
          <w:b/>
          <w:bCs/>
        </w:rPr>
        <w:t xml:space="preserve"> </w:t>
      </w:r>
      <w:r w:rsidRPr="00DE2404">
        <w:t xml:space="preserve">risk of </w:t>
      </w:r>
      <w:proofErr w:type="spellStart"/>
      <w:r w:rsidRPr="00DE2404">
        <w:t>pCCA</w:t>
      </w:r>
      <w:proofErr w:type="spellEnd"/>
      <w:r w:rsidRPr="00DE2404">
        <w:t>. Cirrhosis and hepatotropic viruses</w:t>
      </w:r>
      <w:r w:rsidR="00E92490">
        <w:rPr>
          <w:b/>
          <w:bCs/>
        </w:rPr>
        <w:t xml:space="preserve"> </w:t>
      </w:r>
      <w:r w:rsidRPr="00DE2404">
        <w:t xml:space="preserve">are risk factors for </w:t>
      </w:r>
      <w:proofErr w:type="spellStart"/>
      <w:r w:rsidRPr="00DE2404">
        <w:t>iCCA</w:t>
      </w:r>
      <w:proofErr w:type="spellEnd"/>
      <w:r w:rsidRPr="00DE2404">
        <w:t>, with odds ratios of 22.92</w:t>
      </w:r>
      <w:r w:rsidR="00E92490">
        <w:rPr>
          <w:b/>
          <w:bCs/>
        </w:rPr>
        <w:t xml:space="preserve"> </w:t>
      </w:r>
      <w:r w:rsidRPr="00DE2404">
        <w:t>[95% confidence interval (CI) 18.24-28.79] for cirrhosis, 5.10</w:t>
      </w:r>
      <w:r w:rsidR="00E92490">
        <w:rPr>
          <w:b/>
          <w:bCs/>
        </w:rPr>
        <w:t xml:space="preserve"> </w:t>
      </w:r>
      <w:r w:rsidRPr="00DE2404">
        <w:t>(95% CI 2.91-8.95) for hepatitis B virus (HBV) and 4.84 (95%</w:t>
      </w:r>
      <w:r w:rsidR="00E92490">
        <w:rPr>
          <w:b/>
          <w:bCs/>
        </w:rPr>
        <w:t xml:space="preserve"> </w:t>
      </w:r>
      <w:r w:rsidRPr="00DE2404">
        <w:t>CI 2.41-9.71) for hepatitis C virus (HCV), according to a</w:t>
      </w:r>
      <w:r w:rsidR="005B7583">
        <w:rPr>
          <w:b/>
          <w:bCs/>
        </w:rPr>
        <w:t xml:space="preserve"> </w:t>
      </w:r>
      <w:r w:rsidRPr="00DE2404">
        <w:t>recent meta-analysis.</w:t>
      </w:r>
      <w:r w:rsidR="005B7583">
        <w:rPr>
          <w:b/>
          <w:bCs/>
        </w:rPr>
        <w:t xml:space="preserve"> </w:t>
      </w:r>
      <w:r w:rsidRPr="00DE2404">
        <w:t>Recently, diabetes,</w:t>
      </w:r>
      <w:r w:rsidR="005B7583">
        <w:rPr>
          <w:b/>
          <w:bCs/>
        </w:rPr>
        <w:t xml:space="preserve"> </w:t>
      </w:r>
      <w:r w:rsidRPr="00DE2404">
        <w:t>obesity and use of hormonal contraceptives have been</w:t>
      </w:r>
      <w:r w:rsidR="005B7583">
        <w:rPr>
          <w:b/>
          <w:bCs/>
        </w:rPr>
        <w:t xml:space="preserve"> </w:t>
      </w:r>
      <w:r w:rsidRPr="00DE2404">
        <w:t>associated with an 81%, 62% and 62% increase in risk of</w:t>
      </w:r>
      <w:r w:rsidR="005B7583">
        <w:rPr>
          <w:b/>
          <w:bCs/>
        </w:rPr>
        <w:t xml:space="preserve"> </w:t>
      </w:r>
      <w:proofErr w:type="spellStart"/>
      <w:r w:rsidRPr="00DE2404">
        <w:t>iCCA</w:t>
      </w:r>
      <w:proofErr w:type="spellEnd"/>
      <w:r w:rsidRPr="00DE2404">
        <w:t>, respectively.</w:t>
      </w:r>
    </w:p>
    <w:p w14:paraId="1A56CBE8" w14:textId="10F9B1EA" w:rsidR="007F1EC2" w:rsidRDefault="00606085" w:rsidP="00576CD5">
      <w:pPr>
        <w:jc w:val="both"/>
      </w:pPr>
      <w:r>
        <w:t>An optimal care pathway, including</w:t>
      </w:r>
      <w:r w:rsidRPr="00E12D5E">
        <w:t xml:space="preserve"> </w:t>
      </w:r>
      <w:r>
        <w:t xml:space="preserve">diagnosis, staging and treatment planning, has been endorsed by the Australian Government and the Cancer Council </w:t>
      </w:r>
      <w:sdt>
        <w:sdtPr>
          <w:id w:val="-2107647511"/>
          <w:citation/>
        </w:sdtPr>
        <w:sdtEndPr/>
        <w:sdtContent>
          <w:r>
            <w:fldChar w:fldCharType="begin"/>
          </w:r>
          <w:r w:rsidRPr="00606085">
            <w:rPr>
              <w:rFonts w:cs="Arial"/>
            </w:rPr>
            <w:instrText xml:space="preserve">CITATION Can21 \l 1033 </w:instrText>
          </w:r>
          <w:r>
            <w:fldChar w:fldCharType="separate"/>
          </w:r>
          <w:r w:rsidRPr="00606085">
            <w:rPr>
              <w:rFonts w:cs="Arial"/>
            </w:rPr>
            <w:t>(Cancer Council Victoria and Department of Health Victoria, 2021)</w:t>
          </w:r>
          <w:r>
            <w:fldChar w:fldCharType="end"/>
          </w:r>
        </w:sdtContent>
      </w:sdt>
      <w:r>
        <w:t>. The optimal care pathways describe the standard of care that should be available to all cancer patients treated in Australia including presentation, initial investigations, referral, and treatment, which</w:t>
      </w:r>
      <w:r w:rsidRPr="00606085">
        <w:rPr>
          <w:rFonts w:cs="Arial"/>
        </w:rPr>
        <w:t xml:space="preserve"> consists of surgery, chemotherapy and systemic therapy and/or radiation.</w:t>
      </w:r>
      <w:r w:rsidR="00576CD5">
        <w:t xml:space="preserve"> </w:t>
      </w:r>
    </w:p>
    <w:p w14:paraId="2B044DD0" w14:textId="5982AB94" w:rsidR="002A1271" w:rsidRPr="009D3DB0" w:rsidRDefault="002A1271" w:rsidP="00F71D8D">
      <w:pPr>
        <w:jc w:val="both"/>
      </w:pPr>
      <w:r>
        <w:t xml:space="preserve">CCAs are usually asymptomatic during early stages and early-stage CCA may only manifest as mild changes in serum liver function tests. Patients with </w:t>
      </w:r>
      <w:proofErr w:type="spellStart"/>
      <w:r>
        <w:t>iCCA</w:t>
      </w:r>
      <w:proofErr w:type="spellEnd"/>
      <w:r>
        <w:t>, due to their often late presentation, are more likely to present with nonspecific symptoms such as fever, weight loss, and/or abdominal pain; symptoms of biliary obstruction are uncommon because these tumours do not necessarily involve the common hepatic/bile duct</w:t>
      </w:r>
      <w:sdt>
        <w:sdtPr>
          <w:id w:val="1318537676"/>
          <w:citation/>
        </w:sdtPr>
        <w:sdtEndPr/>
        <w:sdtContent>
          <w:r>
            <w:fldChar w:fldCharType="begin"/>
          </w:r>
          <w:r>
            <w:instrText xml:space="preserve"> CITATION NCC231 \l 3081 </w:instrText>
          </w:r>
          <w:r>
            <w:fldChar w:fldCharType="separate"/>
          </w:r>
          <w:r>
            <w:rPr>
              <w:noProof/>
            </w:rPr>
            <w:t xml:space="preserve"> </w:t>
          </w:r>
          <w:r w:rsidRPr="00FB4763">
            <w:rPr>
              <w:noProof/>
            </w:rPr>
            <w:t>(NCCN 2023)</w:t>
          </w:r>
          <w:r>
            <w:fldChar w:fldCharType="end"/>
          </w:r>
        </w:sdtContent>
      </w:sdt>
      <w:r>
        <w:t>. Intrahepatic CCA may be detected incidentally as an isolated intrahepatic mass on imaging. In contrast, patients with extrahepatic CCA are likely to present with jaundice followed by evidence of a biliary obstruction or abnormality on subsequent imaging.</w:t>
      </w:r>
      <w:r w:rsidR="00681DDA" w:rsidRPr="00681DDA">
        <w:t xml:space="preserve"> </w:t>
      </w:r>
      <w:r w:rsidR="00681DDA">
        <w:t>In general, a</w:t>
      </w:r>
      <w:r w:rsidR="00681DDA" w:rsidRPr="003C5D53">
        <w:t xml:space="preserve"> diagnosis of </w:t>
      </w:r>
      <w:r w:rsidR="00681DDA">
        <w:t>CCA</w:t>
      </w:r>
      <w:r w:rsidR="00681DDA" w:rsidRPr="003C5D53">
        <w:t xml:space="preserve"> is usually based on the results of clinical examination of the abdomen, imaging scans using ultrasound, magnetic resonance imaging (MRI) or computed tomography (CT) and a biopsy</w:t>
      </w:r>
      <w:r w:rsidR="00681DDA">
        <w:t xml:space="preserve">, </w:t>
      </w:r>
      <w:r w:rsidR="00681DDA" w:rsidRPr="007474ED">
        <w:t>by a fine needle aspiration (FNA) or a core needle biopsy (CNB)</w:t>
      </w:r>
      <w:r w:rsidR="00C61BAF">
        <w:t xml:space="preserve"> </w:t>
      </w:r>
      <w:sdt>
        <w:sdtPr>
          <w:id w:val="-1419088721"/>
          <w:citation/>
        </w:sdtPr>
        <w:sdtEndPr/>
        <w:sdtContent>
          <w:r w:rsidR="00734FD4">
            <w:fldChar w:fldCharType="begin"/>
          </w:r>
          <w:r w:rsidR="00734FD4">
            <w:instrText xml:space="preserve"> CITATION PanND \l 3081 </w:instrText>
          </w:r>
          <w:r w:rsidR="00734FD4">
            <w:fldChar w:fldCharType="separate"/>
          </w:r>
          <w:r w:rsidR="00734FD4">
            <w:rPr>
              <w:noProof/>
            </w:rPr>
            <w:t>(Pancare Foundation, N.D)</w:t>
          </w:r>
          <w:r w:rsidR="00734FD4">
            <w:fldChar w:fldCharType="end"/>
          </w:r>
        </w:sdtContent>
      </w:sdt>
      <w:r w:rsidR="00A4749A">
        <w:t xml:space="preserve"> </w:t>
      </w:r>
      <w:sdt>
        <w:sdtPr>
          <w:id w:val="-1910299347"/>
          <w:citation/>
        </w:sdtPr>
        <w:sdtEndPr/>
        <w:sdtContent>
          <w:r w:rsidR="00A4749A">
            <w:fldChar w:fldCharType="begin"/>
          </w:r>
          <w:r w:rsidR="00A4749A">
            <w:instrText xml:space="preserve"> CITATION Rar23 \l 3081 </w:instrText>
          </w:r>
          <w:r w:rsidR="00A4749A">
            <w:fldChar w:fldCharType="separate"/>
          </w:r>
          <w:r w:rsidR="00A4749A">
            <w:rPr>
              <w:noProof/>
            </w:rPr>
            <w:t>(Rare Cancers Australia, 2023)</w:t>
          </w:r>
          <w:r w:rsidR="00A4749A">
            <w:fldChar w:fldCharType="end"/>
          </w:r>
        </w:sdtContent>
      </w:sdt>
      <w:r w:rsidR="00681DDA" w:rsidRPr="003C5D53">
        <w:t>.</w:t>
      </w:r>
      <w:r w:rsidR="00681DDA">
        <w:t xml:space="preserve"> </w:t>
      </w:r>
      <w:r w:rsidR="00681DDA" w:rsidRPr="00773E0A">
        <w:t>Another option is an endoscopic retrograde</w:t>
      </w:r>
      <w:r w:rsidR="00681DDA">
        <w:t xml:space="preserve"> c</w:t>
      </w:r>
      <w:r w:rsidR="00681DDA" w:rsidRPr="00773E0A">
        <w:t>holangiopancreatography (ERCP)</w:t>
      </w:r>
      <w:r w:rsidR="00E67B7A">
        <w:t xml:space="preserve"> </w:t>
      </w:r>
      <w:sdt>
        <w:sdtPr>
          <w:id w:val="-1803454898"/>
          <w:citation/>
        </w:sdtPr>
        <w:sdtEndPr/>
        <w:sdtContent>
          <w:r w:rsidR="00D3520D">
            <w:fldChar w:fldCharType="begin"/>
          </w:r>
          <w:r w:rsidR="00D3520D">
            <w:instrText xml:space="preserve"> CITATION Can201 \l 3081 </w:instrText>
          </w:r>
          <w:r w:rsidR="00D3520D">
            <w:fldChar w:fldCharType="separate"/>
          </w:r>
          <w:r w:rsidR="00D3520D">
            <w:rPr>
              <w:noProof/>
            </w:rPr>
            <w:t>(Cancer Council NSW, 2020)</w:t>
          </w:r>
          <w:r w:rsidR="00D3520D">
            <w:fldChar w:fldCharType="end"/>
          </w:r>
        </w:sdtContent>
      </w:sdt>
      <w:r w:rsidR="00681DDA" w:rsidRPr="00773E0A">
        <w:t>. </w:t>
      </w:r>
    </w:p>
    <w:p w14:paraId="6DC31BC0" w14:textId="509600C7" w:rsidR="005053C0" w:rsidRDefault="002F18D4" w:rsidP="00F71D8D">
      <w:pPr>
        <w:jc w:val="both"/>
      </w:pPr>
      <w:r>
        <w:t xml:space="preserve">The prognosis of patients with advanced CAA is poor and the median survival for those undergoing supportive care alone is short. </w:t>
      </w:r>
      <w:r w:rsidR="00135705" w:rsidRPr="00B319C7">
        <w:t xml:space="preserve">In patients presenting with </w:t>
      </w:r>
      <w:r w:rsidR="00145DD0">
        <w:t>locally advanced</w:t>
      </w:r>
      <w:r w:rsidR="00135705" w:rsidRPr="00B319C7">
        <w:t xml:space="preserve"> or metastatic disease, systemic chemotherapy remains</w:t>
      </w:r>
      <w:r w:rsidR="00135705">
        <w:t xml:space="preserve"> </w:t>
      </w:r>
      <w:r w:rsidR="00135705" w:rsidRPr="00B319C7">
        <w:t xml:space="preserve">the main palliative treatment </w:t>
      </w:r>
      <w:r w:rsidR="00135705">
        <w:t>option</w:t>
      </w:r>
      <w:r w:rsidR="00135705" w:rsidRPr="00B319C7">
        <w:t xml:space="preserve"> (</w:t>
      </w:r>
      <w:proofErr w:type="spellStart"/>
      <w:r w:rsidR="00135705" w:rsidRPr="00B319C7">
        <w:t>Banales</w:t>
      </w:r>
      <w:proofErr w:type="spellEnd"/>
      <w:r w:rsidR="00135705" w:rsidRPr="00B319C7">
        <w:t xml:space="preserve"> 2020).</w:t>
      </w:r>
      <w:r w:rsidR="00135705">
        <w:t xml:space="preserve"> Historically, t</w:t>
      </w:r>
      <w:r w:rsidR="00135705" w:rsidRPr="00B319C7">
        <w:t>he first-line, standard of care treatment</w:t>
      </w:r>
      <w:r w:rsidR="00135705">
        <w:t xml:space="preserve"> </w:t>
      </w:r>
      <w:r w:rsidR="00135705" w:rsidRPr="00B319C7">
        <w:t xml:space="preserve">for patients with </w:t>
      </w:r>
      <w:r w:rsidR="00145DD0">
        <w:t>locally ad</w:t>
      </w:r>
      <w:r w:rsidR="00CA27E8">
        <w:t>vanced</w:t>
      </w:r>
      <w:r w:rsidR="00135705">
        <w:t xml:space="preserve"> or </w:t>
      </w:r>
      <w:r w:rsidR="00135705" w:rsidRPr="00B319C7">
        <w:t xml:space="preserve">metastatic disease </w:t>
      </w:r>
      <w:r w:rsidR="00135705">
        <w:t>has been</w:t>
      </w:r>
      <w:r w:rsidR="00135705" w:rsidRPr="00B319C7">
        <w:t xml:space="preserve"> gemcitabine and cisplatin (Valle 2010)</w:t>
      </w:r>
      <w:r w:rsidR="00135705">
        <w:t xml:space="preserve"> however based on the TOPAZ-1 study, </w:t>
      </w:r>
      <w:r w:rsidR="00135705" w:rsidRPr="00D21A43">
        <w:t>cisplatin plus gemcitabine</w:t>
      </w:r>
      <w:r w:rsidR="00135705">
        <w:t xml:space="preserve"> </w:t>
      </w:r>
      <w:r w:rsidR="00135705" w:rsidRPr="00D21A43">
        <w:t>plus durvalumab is the new standard of care for</w:t>
      </w:r>
      <w:r w:rsidR="00135705">
        <w:t xml:space="preserve"> </w:t>
      </w:r>
      <w:r w:rsidR="00135705" w:rsidRPr="00D21A43">
        <w:t>advanced biliary cancer in the first-line setting</w:t>
      </w:r>
      <w:r w:rsidR="00135705">
        <w:t>.</w:t>
      </w:r>
    </w:p>
    <w:p w14:paraId="2C0BE652" w14:textId="1727450A" w:rsidR="008E5B33" w:rsidRDefault="002F18D4" w:rsidP="00F71D8D">
      <w:pPr>
        <w:jc w:val="both"/>
      </w:pPr>
      <w:r>
        <w:t>Selection of subsequent-line systemic therapy for progressive disease depends on clinical factors including previous treatment regimen/agent, somatic molecular testing results, and extent of liver dysfunction.</w:t>
      </w:r>
      <w:r w:rsidR="006055A9">
        <w:t xml:space="preserve"> </w:t>
      </w:r>
      <w:r w:rsidR="006055A9" w:rsidRPr="00B319C7">
        <w:t>For patients who progress on first-line chemotherapy, FOLFOX combination therapy (folinic acid, 5-fluorouracil, and oxaliplatin) is</w:t>
      </w:r>
      <w:r w:rsidR="006055A9">
        <w:t xml:space="preserve"> the</w:t>
      </w:r>
      <w:r w:rsidR="006055A9" w:rsidRPr="00B319C7">
        <w:t xml:space="preserve"> recommended </w:t>
      </w:r>
      <w:r w:rsidR="006055A9">
        <w:t>subsequent</w:t>
      </w:r>
      <w:r w:rsidR="006055A9" w:rsidRPr="00B319C7">
        <w:t>-line chemotherapy</w:t>
      </w:r>
      <w:r w:rsidR="006055A9">
        <w:t xml:space="preserve"> in all-comers</w:t>
      </w:r>
      <w:r w:rsidR="006055A9" w:rsidRPr="00B319C7">
        <w:t>.</w:t>
      </w:r>
      <w:r w:rsidR="006055A9">
        <w:t xml:space="preserve"> </w:t>
      </w:r>
    </w:p>
    <w:p w14:paraId="239F11A1" w14:textId="4994841F" w:rsidR="000F5EA0" w:rsidRPr="008978CE" w:rsidRDefault="008978CE" w:rsidP="00F71D8D">
      <w:pPr>
        <w:jc w:val="both"/>
        <w:rPr>
          <w:u w:val="single"/>
        </w:rPr>
      </w:pPr>
      <w:r w:rsidRPr="008978CE">
        <w:rPr>
          <w:u w:val="single"/>
        </w:rPr>
        <w:t>FGFR2 fusion</w:t>
      </w:r>
      <w:r w:rsidR="000F2C91">
        <w:rPr>
          <w:u w:val="single"/>
        </w:rPr>
        <w:t>s</w:t>
      </w:r>
      <w:r w:rsidRPr="008978CE">
        <w:rPr>
          <w:u w:val="single"/>
        </w:rPr>
        <w:t xml:space="preserve"> and </w:t>
      </w:r>
      <w:r w:rsidR="3E9CA180" w:rsidRPr="3E9CA180">
        <w:rPr>
          <w:u w:val="single"/>
        </w:rPr>
        <w:t>rearrangements</w:t>
      </w:r>
    </w:p>
    <w:p w14:paraId="5FD11E12" w14:textId="3875E916" w:rsidR="000F5EA0" w:rsidRDefault="009C6149" w:rsidP="00F71D8D">
      <w:pPr>
        <w:jc w:val="both"/>
      </w:pPr>
      <w:r w:rsidRPr="009E3959">
        <w:t>Nearly 40% of patients with BTC harbour genetic alterations</w:t>
      </w:r>
      <w:r>
        <w:t xml:space="preserve"> </w:t>
      </w:r>
      <w:r w:rsidRPr="009E3959">
        <w:t>which are potential targets for precision medicine</w:t>
      </w:r>
      <w:r w:rsidR="00D3520D">
        <w:t xml:space="preserve"> </w:t>
      </w:r>
      <w:sdt>
        <w:sdtPr>
          <w:id w:val="-1567252766"/>
          <w:citation/>
        </w:sdtPr>
        <w:sdtEndPr/>
        <w:sdtContent>
          <w:r w:rsidR="00D3520D">
            <w:fldChar w:fldCharType="begin"/>
          </w:r>
          <w:r w:rsidR="00D3520D">
            <w:instrText xml:space="preserve"> CITATION ESM221 \l 3081 </w:instrText>
          </w:r>
          <w:r w:rsidR="00D3520D">
            <w:fldChar w:fldCharType="separate"/>
          </w:r>
          <w:r w:rsidR="00D3520D">
            <w:rPr>
              <w:noProof/>
            </w:rPr>
            <w:t>(ESMO, 2023)</w:t>
          </w:r>
          <w:r w:rsidR="00D3520D">
            <w:fldChar w:fldCharType="end"/>
          </w:r>
        </w:sdtContent>
      </w:sdt>
      <w:r w:rsidRPr="009E3959">
        <w:t>.</w:t>
      </w:r>
      <w:r>
        <w:t xml:space="preserve"> </w:t>
      </w:r>
      <w:r w:rsidRPr="009E3959">
        <w:t xml:space="preserve">Therefore, </w:t>
      </w:r>
      <w:r>
        <w:t xml:space="preserve">guidelines recommend that </w:t>
      </w:r>
      <w:r w:rsidRPr="009E3959">
        <w:t>molecular analysis should be carried</w:t>
      </w:r>
      <w:r>
        <w:t xml:space="preserve"> </w:t>
      </w:r>
      <w:r w:rsidRPr="009E3959">
        <w:t>out before or during first-line therapy to evaluate options</w:t>
      </w:r>
      <w:r>
        <w:t xml:space="preserve"> </w:t>
      </w:r>
      <w:r w:rsidRPr="009E3959">
        <w:t>for second and higher lines of treatment as early as possible</w:t>
      </w:r>
      <w:r>
        <w:t xml:space="preserve"> </w:t>
      </w:r>
      <w:r w:rsidRPr="009E3959">
        <w:t>in advanced disease</w:t>
      </w:r>
      <w:r w:rsidR="00D3520D">
        <w:t xml:space="preserve"> </w:t>
      </w:r>
      <w:sdt>
        <w:sdtPr>
          <w:id w:val="1236363707"/>
          <w:citation/>
        </w:sdtPr>
        <w:sdtEndPr/>
        <w:sdtContent>
          <w:r w:rsidR="00D3520D">
            <w:fldChar w:fldCharType="begin"/>
          </w:r>
          <w:r w:rsidR="00D3520D">
            <w:instrText xml:space="preserve"> CITATION ESM221 \l 3081 </w:instrText>
          </w:r>
          <w:r w:rsidR="00D3520D">
            <w:fldChar w:fldCharType="separate"/>
          </w:r>
          <w:r w:rsidR="00D3520D">
            <w:rPr>
              <w:noProof/>
            </w:rPr>
            <w:t>(ESMO, 2023)</w:t>
          </w:r>
          <w:r w:rsidR="00D3520D">
            <w:fldChar w:fldCharType="end"/>
          </w:r>
        </w:sdtContent>
      </w:sdt>
      <w:sdt>
        <w:sdtPr>
          <w:id w:val="-1088606246"/>
          <w:citation/>
        </w:sdtPr>
        <w:sdtEndPr/>
        <w:sdtContent>
          <w:r w:rsidR="00D3520D">
            <w:fldChar w:fldCharType="begin"/>
          </w:r>
          <w:r w:rsidR="00D3520D">
            <w:instrText xml:space="preserve"> CITATION NCC231 \l 3081 </w:instrText>
          </w:r>
          <w:r w:rsidR="00D3520D">
            <w:fldChar w:fldCharType="separate"/>
          </w:r>
          <w:r w:rsidR="00D3520D">
            <w:rPr>
              <w:noProof/>
            </w:rPr>
            <w:t xml:space="preserve"> (NCCN, 2023)</w:t>
          </w:r>
          <w:r w:rsidR="00D3520D">
            <w:fldChar w:fldCharType="end"/>
          </w:r>
        </w:sdtContent>
      </w:sdt>
      <w:r w:rsidRPr="009E3959">
        <w:t>.</w:t>
      </w:r>
    </w:p>
    <w:p w14:paraId="7A0630A5" w14:textId="07627B9B" w:rsidR="00F84120" w:rsidRDefault="00F84120" w:rsidP="00F71D8D">
      <w:pPr>
        <w:jc w:val="both"/>
      </w:pPr>
      <w:r>
        <w:t xml:space="preserve">FGFR2 is a member of the FGFR family of receptor tyrosine kinases that activate a variety of downstream </w:t>
      </w:r>
      <w:r w:rsidR="002E41B7">
        <w:t>signalling</w:t>
      </w:r>
      <w:r>
        <w:t xml:space="preserve"> cascades leading to cell proliferation and tumorigenesis</w:t>
      </w:r>
      <w:sdt>
        <w:sdtPr>
          <w:id w:val="1764948647"/>
          <w:citation/>
        </w:sdtPr>
        <w:sdtEndPr/>
        <w:sdtContent>
          <w:r>
            <w:fldChar w:fldCharType="begin"/>
          </w:r>
          <w:r>
            <w:instrText xml:space="preserve"> CITATION NCC231 \l 3081 </w:instrText>
          </w:r>
          <w:r>
            <w:fldChar w:fldCharType="separate"/>
          </w:r>
          <w:r>
            <w:rPr>
              <w:noProof/>
            </w:rPr>
            <w:t xml:space="preserve"> </w:t>
          </w:r>
          <w:r w:rsidRPr="00183616">
            <w:rPr>
              <w:noProof/>
            </w:rPr>
            <w:t>(NCCN 2023)</w:t>
          </w:r>
          <w:r>
            <w:fldChar w:fldCharType="end"/>
          </w:r>
        </w:sdtContent>
      </w:sdt>
      <w:r>
        <w:t xml:space="preserve">. </w:t>
      </w:r>
      <w:r w:rsidRPr="00931FE2">
        <w:t>The FGFR family includes four receptor tyrosine kinases (RTKs), namely FGFR1 through</w:t>
      </w:r>
      <w:r>
        <w:t xml:space="preserve"> </w:t>
      </w:r>
      <w:r w:rsidRPr="00931FE2">
        <w:lastRenderedPageBreak/>
        <w:t>FGFR4</w:t>
      </w:r>
      <w:sdt>
        <w:sdtPr>
          <w:id w:val="1607847423"/>
          <w:citation/>
        </w:sdtPr>
        <w:sdtEndPr/>
        <w:sdtContent>
          <w:r>
            <w:fldChar w:fldCharType="begin"/>
          </w:r>
          <w:r>
            <w:instrText xml:space="preserve"> CITATION ESM221 \l 3081 </w:instrText>
          </w:r>
          <w:r>
            <w:fldChar w:fldCharType="separate"/>
          </w:r>
          <w:r>
            <w:rPr>
              <w:noProof/>
            </w:rPr>
            <w:t xml:space="preserve"> </w:t>
          </w:r>
          <w:r w:rsidRPr="00183616">
            <w:rPr>
              <w:noProof/>
            </w:rPr>
            <w:t>(ESMO 2023)</w:t>
          </w:r>
          <w:r>
            <w:fldChar w:fldCharType="end"/>
          </w:r>
        </w:sdtContent>
      </w:sdt>
      <w:r w:rsidRPr="00931FE2">
        <w:t>. FGFR1</w:t>
      </w:r>
      <w:r w:rsidR="00A845BE">
        <w:t>-</w:t>
      </w:r>
      <w:r w:rsidRPr="00931FE2">
        <w:t>4 share a similar structural organi</w:t>
      </w:r>
      <w:r w:rsidR="00A845BE">
        <w:t>s</w:t>
      </w:r>
      <w:r w:rsidRPr="00931FE2">
        <w:t xml:space="preserve">ation. </w:t>
      </w:r>
      <w:r w:rsidRPr="00214BF6">
        <w:t>The activity of FGFRs is regulated by the 18-member family of secreted fibroblast growth</w:t>
      </w:r>
      <w:r>
        <w:t xml:space="preserve"> </w:t>
      </w:r>
      <w:r w:rsidRPr="00214BF6">
        <w:t>factors (FGFs).</w:t>
      </w:r>
    </w:p>
    <w:p w14:paraId="7ABEACB5" w14:textId="183DF46E" w:rsidR="00CA2608" w:rsidRPr="009C6149" w:rsidRDefault="00F84120" w:rsidP="00F71D8D">
      <w:pPr>
        <w:jc w:val="both"/>
      </w:pPr>
      <w:r w:rsidRPr="00FD1980">
        <w:t>FGFR2</w:t>
      </w:r>
      <w:r>
        <w:rPr>
          <w:i/>
          <w:iCs/>
        </w:rPr>
        <w:t xml:space="preserve"> </w:t>
      </w:r>
      <w:r w:rsidRPr="00FD1980">
        <w:t>fusion</w:t>
      </w:r>
      <w:r w:rsidR="005C3EDC">
        <w:t>s</w:t>
      </w:r>
      <w:r w:rsidRPr="00FD1980">
        <w:t xml:space="preserve"> or rearrangement</w:t>
      </w:r>
      <w:r w:rsidR="005C3EDC">
        <w:t>s</w:t>
      </w:r>
      <w:r w:rsidRPr="00FD1980">
        <w:t xml:space="preserve"> occur in </w:t>
      </w:r>
      <w:r w:rsidR="00A845BE">
        <w:t>~</w:t>
      </w:r>
      <w:r w:rsidRPr="00FD1980">
        <w:t>14% of</w:t>
      </w:r>
      <w:r>
        <w:t xml:space="preserve"> </w:t>
      </w:r>
      <w:r w:rsidRPr="00FD1980">
        <w:t xml:space="preserve">patients with </w:t>
      </w:r>
      <w:proofErr w:type="spellStart"/>
      <w:r>
        <w:t>iCCA</w:t>
      </w:r>
      <w:proofErr w:type="spellEnd"/>
      <w:r w:rsidR="00D3520D">
        <w:t xml:space="preserve"> </w:t>
      </w:r>
      <w:sdt>
        <w:sdtPr>
          <w:id w:val="-1477824831"/>
          <w:citation/>
        </w:sdtPr>
        <w:sdtEndPr/>
        <w:sdtContent>
          <w:r w:rsidR="00D3520D">
            <w:fldChar w:fldCharType="begin"/>
          </w:r>
          <w:r w:rsidR="00D3520D">
            <w:instrText xml:space="preserve"> CITATION Goy23 \l 3081 </w:instrText>
          </w:r>
          <w:r w:rsidR="00D3520D">
            <w:fldChar w:fldCharType="separate"/>
          </w:r>
          <w:r w:rsidR="00D3520D">
            <w:rPr>
              <w:noProof/>
            </w:rPr>
            <w:t>(Goyal, Meric</w:t>
          </w:r>
          <w:r w:rsidR="00D3520D">
            <w:rPr>
              <w:noProof/>
            </w:rPr>
            <w:noBreakHyphen/>
            <w:t>Bernstam, Hollebecque, Valle, &amp; Morizane, 2023)</w:t>
          </w:r>
          <w:r w:rsidR="00D3520D">
            <w:fldChar w:fldCharType="end"/>
          </w:r>
        </w:sdtContent>
      </w:sdt>
      <w:r>
        <w:t xml:space="preserve">. </w:t>
      </w:r>
      <w:r w:rsidRPr="00F84120">
        <w:t>FGFR2 fusions</w:t>
      </w:r>
      <w:r>
        <w:rPr>
          <w:rFonts w:ascii="JansonTextLTStd-Roman" w:hAnsi="JansonTextLTStd-Roman" w:cs="JansonTextLTStd-Roman"/>
          <w:color w:val="404040" w:themeColor="text1" w:themeTint="BF"/>
          <w:sz w:val="18"/>
          <w:szCs w:val="18"/>
        </w:rPr>
        <w:t xml:space="preserve"> </w:t>
      </w:r>
      <w:r w:rsidRPr="00452457">
        <w:t>are generated by</w:t>
      </w:r>
      <w:r>
        <w:t xml:space="preserve"> </w:t>
      </w:r>
      <w:r w:rsidRPr="00452457">
        <w:t>chromosomal rearrangements that fuse the C-terminal end of FGFR2 to heterologous sequences</w:t>
      </w:r>
      <w:sdt>
        <w:sdtPr>
          <w:id w:val="-450088332"/>
          <w:citation/>
        </w:sdtPr>
        <w:sdtEndPr/>
        <w:sdtContent>
          <w:r>
            <w:fldChar w:fldCharType="begin"/>
          </w:r>
          <w:r>
            <w:instrText xml:space="preserve"> CITATION ESM221 \l 3081 </w:instrText>
          </w:r>
          <w:r>
            <w:fldChar w:fldCharType="separate"/>
          </w:r>
          <w:r>
            <w:rPr>
              <w:noProof/>
            </w:rPr>
            <w:t xml:space="preserve"> </w:t>
          </w:r>
          <w:r w:rsidRPr="00183616">
            <w:rPr>
              <w:noProof/>
            </w:rPr>
            <w:t>(ESMO 2023)</w:t>
          </w:r>
          <w:r>
            <w:fldChar w:fldCharType="end"/>
          </w:r>
        </w:sdtContent>
      </w:sdt>
      <w:r>
        <w:t xml:space="preserve">. </w:t>
      </w:r>
      <w:r w:rsidRPr="005345D9">
        <w:t>In cancer, FGFR2 structural</w:t>
      </w:r>
      <w:r>
        <w:t xml:space="preserve"> </w:t>
      </w:r>
      <w:r w:rsidRPr="005345D9">
        <w:t>alterations (</w:t>
      </w:r>
      <w:r w:rsidRPr="009C6149">
        <w:t xml:space="preserve">a) increase ligand affinity and therefore overcome restricted FGF availability, (b) cause ligand-independent FGFR2 </w:t>
      </w:r>
      <w:proofErr w:type="spellStart"/>
      <w:r w:rsidRPr="009C6149">
        <w:t>dimeri</w:t>
      </w:r>
      <w:r w:rsidR="00D20256">
        <w:t>s</w:t>
      </w:r>
      <w:r w:rsidRPr="009C6149">
        <w:t>ation</w:t>
      </w:r>
      <w:proofErr w:type="spellEnd"/>
      <w:r w:rsidRPr="009C6149">
        <w:t>, and (c) disrupt the autoinhibited configuration of the FGFR kinase domain encoded by &gt;100 fusion genes.</w:t>
      </w:r>
      <w:r w:rsidR="00CA2608" w:rsidRPr="009C6149">
        <w:t xml:space="preserve"> </w:t>
      </w:r>
    </w:p>
    <w:p w14:paraId="22D5AACD" w14:textId="1525EDCD" w:rsidR="00F84120" w:rsidRDefault="00CA2608" w:rsidP="00F71D8D">
      <w:pPr>
        <w:jc w:val="both"/>
      </w:pPr>
      <w:r w:rsidRPr="00A945D6">
        <w:t xml:space="preserve">For CCA patients with FGFR2 </w:t>
      </w:r>
      <w:r w:rsidR="00287329" w:rsidRPr="00A945D6">
        <w:t xml:space="preserve">fusions or </w:t>
      </w:r>
      <w:r w:rsidRPr="00A945D6">
        <w:t xml:space="preserve">rearrangements there is little information available regarding the treatment outcome of patients receiving chemotherapy. A retrospective analysis of 38 patients with advanced/metastatic CCA and tumours </w:t>
      </w:r>
      <w:r w:rsidR="00CD1D2D" w:rsidRPr="00A945D6">
        <w:t>harbouring</w:t>
      </w:r>
      <w:r w:rsidRPr="00A945D6">
        <w:t xml:space="preserve"> FGFR2 rearrangements (including fusions) receiving second-line treatment showed a median PFS of 4.4 months (95% CI: 3.0, 5.3</w:t>
      </w:r>
      <w:r w:rsidRPr="00B20FD1">
        <w:t>) (Bibeau 2020), which is similar to the PFS reported for CCA patients overall receiving second-line chemotherapy (</w:t>
      </w:r>
      <w:proofErr w:type="spellStart"/>
      <w:r w:rsidRPr="00B20FD1">
        <w:t>Lamarca</w:t>
      </w:r>
      <w:proofErr w:type="spellEnd"/>
      <w:r w:rsidRPr="00B20FD1">
        <w:t xml:space="preserve"> 2014). Additionally, the ORR of 5.4% (95% CI: 0.7, 18.2) reported in another retrospective analysis of 71 CCA patients with FGFR2 rearrangements receiving second-line chemotherapy was not apparently different from the one for CCA patients overall receiving second-line chemotherapy regardless of genomic status (</w:t>
      </w:r>
      <w:proofErr w:type="spellStart"/>
      <w:r w:rsidRPr="00B20FD1">
        <w:t>Javle</w:t>
      </w:r>
      <w:proofErr w:type="spellEnd"/>
      <w:r w:rsidRPr="00B20FD1">
        <w:t xml:space="preserve"> 2020).</w:t>
      </w:r>
    </w:p>
    <w:p w14:paraId="0EB432EF" w14:textId="494FA1EC" w:rsidR="00051843" w:rsidRPr="00BC0C43" w:rsidRDefault="00051843" w:rsidP="00BC0C43">
      <w:pPr>
        <w:pStyle w:val="Heading2"/>
      </w:pPr>
      <w:r>
        <w:t>Provide a rationale for the specifics of the eligible population:</w:t>
      </w:r>
    </w:p>
    <w:p w14:paraId="32ABD88A" w14:textId="3DC6C472" w:rsidR="00606337" w:rsidRDefault="00EF285D" w:rsidP="00F71D8D">
      <w:pPr>
        <w:jc w:val="both"/>
      </w:pPr>
      <w:r>
        <w:t>T</w:t>
      </w:r>
      <w:r w:rsidRPr="00865C47">
        <w:t xml:space="preserve">here are no </w:t>
      </w:r>
      <w:r>
        <w:t>reimbursed</w:t>
      </w:r>
      <w:r w:rsidRPr="00865C47">
        <w:t xml:space="preserve"> therapies</w:t>
      </w:r>
      <w:r>
        <w:t xml:space="preserve"> specifically</w:t>
      </w:r>
      <w:r w:rsidRPr="00865C47">
        <w:t xml:space="preserve"> for the</w:t>
      </w:r>
      <w:r>
        <w:t xml:space="preserve"> treatment of patients</w:t>
      </w:r>
      <w:r w:rsidRPr="00865C47">
        <w:t xml:space="preserve"> with </w:t>
      </w:r>
      <w:r w:rsidR="00CA27E8">
        <w:rPr>
          <w:rFonts w:eastAsia="Segoe UI"/>
        </w:rPr>
        <w:t>locally advanced</w:t>
      </w:r>
      <w:r w:rsidR="00345338" w:rsidRPr="001C218C">
        <w:rPr>
          <w:rFonts w:eastAsia="Segoe UI"/>
        </w:rPr>
        <w:t xml:space="preserve"> or metastatic</w:t>
      </w:r>
      <w:r w:rsidRPr="00865C47">
        <w:t xml:space="preserve"> </w:t>
      </w:r>
      <w:r>
        <w:t xml:space="preserve">CCA </w:t>
      </w:r>
      <w:r w:rsidRPr="00865C47">
        <w:t>with FGFR2 fusion</w:t>
      </w:r>
      <w:r w:rsidR="005C3EDC">
        <w:t>s</w:t>
      </w:r>
      <w:r w:rsidRPr="00865C47">
        <w:t xml:space="preserve"> or rearrangement</w:t>
      </w:r>
      <w:r w:rsidR="005C3EDC">
        <w:t>s</w:t>
      </w:r>
      <w:r w:rsidRPr="00865C47">
        <w:t xml:space="preserve"> whose disease has progressed following </w:t>
      </w:r>
      <w:r w:rsidR="00345338">
        <w:t>systemic therapy</w:t>
      </w:r>
      <w:r w:rsidRPr="00865C47">
        <w:t xml:space="preserve">, and response rates to </w:t>
      </w:r>
      <w:r>
        <w:t xml:space="preserve">standard of </w:t>
      </w:r>
      <w:r w:rsidRPr="00865C47">
        <w:t xml:space="preserve">second-line chemotherapy </w:t>
      </w:r>
      <w:r>
        <w:t xml:space="preserve">care (preferred regimen = FOLFOX) </w:t>
      </w:r>
      <w:r w:rsidRPr="00865C47">
        <w:t xml:space="preserve">are </w:t>
      </w:r>
      <w:r>
        <w:t>low</w:t>
      </w:r>
      <w:r w:rsidRPr="00865C47">
        <w:t>.</w:t>
      </w:r>
      <w:r w:rsidR="00345338">
        <w:t xml:space="preserve"> </w:t>
      </w:r>
      <w:r w:rsidRPr="0003016C">
        <w:t xml:space="preserve">Given the overall poor outcomes associated with </w:t>
      </w:r>
      <w:r>
        <w:t>chemotherapy in this setting</w:t>
      </w:r>
      <w:r w:rsidRPr="0003016C">
        <w:t xml:space="preserve">, there is an urgent need </w:t>
      </w:r>
      <w:r w:rsidR="00345338">
        <w:t xml:space="preserve">for </w:t>
      </w:r>
      <w:r w:rsidR="002A27A7">
        <w:t xml:space="preserve">patient </w:t>
      </w:r>
      <w:r w:rsidR="00345338">
        <w:t>access to</w:t>
      </w:r>
      <w:r w:rsidRPr="0003016C">
        <w:t xml:space="preserve"> novel targeted therapies.</w:t>
      </w:r>
    </w:p>
    <w:p w14:paraId="66C0369B" w14:textId="24BC62CD" w:rsidR="00C1321F" w:rsidRDefault="00606337" w:rsidP="00F71D8D">
      <w:pPr>
        <w:jc w:val="both"/>
      </w:pPr>
      <w:r>
        <w:t>T</w:t>
      </w:r>
      <w:r w:rsidRPr="001C218C">
        <w:rPr>
          <w:rFonts w:eastAsia="Segoe UI"/>
        </w:rPr>
        <w:t>esting to detect FGFR2 fusion</w:t>
      </w:r>
      <w:r w:rsidR="005C3EDC">
        <w:rPr>
          <w:rFonts w:eastAsia="Segoe UI"/>
        </w:rPr>
        <w:t>s</w:t>
      </w:r>
      <w:r w:rsidRPr="001C218C">
        <w:rPr>
          <w:rFonts w:eastAsia="Segoe UI"/>
        </w:rPr>
        <w:t xml:space="preserve"> or rearrangement</w:t>
      </w:r>
      <w:r w:rsidR="005C3EDC">
        <w:rPr>
          <w:rFonts w:eastAsia="Segoe UI"/>
        </w:rPr>
        <w:t>s</w:t>
      </w:r>
      <w:r w:rsidRPr="001C218C">
        <w:rPr>
          <w:rFonts w:eastAsia="Segoe UI"/>
        </w:rPr>
        <w:t xml:space="preserve"> in patients with </w:t>
      </w:r>
      <w:r w:rsidR="00B20FD1">
        <w:rPr>
          <w:rFonts w:eastAsia="Segoe UI"/>
        </w:rPr>
        <w:t>locally advanced</w:t>
      </w:r>
      <w:r w:rsidR="00B20FD1" w:rsidRPr="001C218C">
        <w:rPr>
          <w:rFonts w:eastAsia="Segoe UI"/>
        </w:rPr>
        <w:t xml:space="preserve"> or metastatic</w:t>
      </w:r>
      <w:r w:rsidR="00B20FD1" w:rsidRPr="00865C47">
        <w:t xml:space="preserve"> </w:t>
      </w:r>
      <w:r>
        <w:rPr>
          <w:rFonts w:eastAsia="Segoe UI"/>
        </w:rPr>
        <w:t>CCA</w:t>
      </w:r>
      <w:r w:rsidR="0053599D">
        <w:rPr>
          <w:rFonts w:eastAsia="Segoe UI"/>
        </w:rPr>
        <w:t xml:space="preserve"> will</w:t>
      </w:r>
      <w:r>
        <w:rPr>
          <w:rFonts w:eastAsia="Segoe UI"/>
        </w:rPr>
        <w:t xml:space="preserve"> </w:t>
      </w:r>
      <w:r w:rsidR="0053599D">
        <w:rPr>
          <w:rFonts w:eastAsia="Segoe UI"/>
        </w:rPr>
        <w:t xml:space="preserve">be used to </w:t>
      </w:r>
      <w:r>
        <w:rPr>
          <w:rFonts w:eastAsia="Segoe UI"/>
        </w:rPr>
        <w:t xml:space="preserve">determine PBS eligibility for </w:t>
      </w:r>
      <w:proofErr w:type="spellStart"/>
      <w:r>
        <w:rPr>
          <w:rFonts w:eastAsia="Segoe UI"/>
        </w:rPr>
        <w:t>futibatinib</w:t>
      </w:r>
      <w:proofErr w:type="spellEnd"/>
      <w:r w:rsidR="00333533">
        <w:rPr>
          <w:rFonts w:eastAsia="Segoe UI"/>
        </w:rPr>
        <w:t xml:space="preserve"> </w:t>
      </w:r>
      <w:r w:rsidR="00293B0C">
        <w:rPr>
          <w:rFonts w:eastAsia="Segoe UI"/>
        </w:rPr>
        <w:t>in</w:t>
      </w:r>
      <w:r>
        <w:rPr>
          <w:rFonts w:eastAsia="Segoe UI"/>
        </w:rPr>
        <w:t xml:space="preserve"> patients </w:t>
      </w:r>
      <w:r w:rsidRPr="00CE0F94">
        <w:rPr>
          <w:rFonts w:eastAsia="Segoe UI"/>
        </w:rPr>
        <w:t xml:space="preserve">who have </w:t>
      </w:r>
      <w:r w:rsidR="00CA27E8">
        <w:rPr>
          <w:rFonts w:eastAsia="Segoe UI"/>
        </w:rPr>
        <w:t>locally advanced</w:t>
      </w:r>
      <w:r w:rsidRPr="001C218C">
        <w:rPr>
          <w:rFonts w:eastAsia="Segoe UI"/>
        </w:rPr>
        <w:t xml:space="preserve"> or metastatic</w:t>
      </w:r>
      <w:r>
        <w:rPr>
          <w:rFonts w:eastAsia="Segoe UI"/>
        </w:rPr>
        <w:t xml:space="preserve"> CCA</w:t>
      </w:r>
      <w:r w:rsidRPr="00CE0F94">
        <w:rPr>
          <w:rFonts w:eastAsia="Segoe UI"/>
        </w:rPr>
        <w:t xml:space="preserve"> </w:t>
      </w:r>
      <w:r>
        <w:rPr>
          <w:rFonts w:eastAsia="Segoe UI"/>
        </w:rPr>
        <w:t xml:space="preserve">and who have </w:t>
      </w:r>
      <w:r w:rsidRPr="00CE0F94">
        <w:rPr>
          <w:rFonts w:eastAsia="Segoe UI"/>
        </w:rPr>
        <w:t>progress</w:t>
      </w:r>
      <w:r>
        <w:rPr>
          <w:rFonts w:eastAsia="Segoe UI"/>
        </w:rPr>
        <w:t>ed following at least one prior line of systemic therapy</w:t>
      </w:r>
      <w:r w:rsidR="0053599D">
        <w:rPr>
          <w:rFonts w:eastAsia="Segoe UI"/>
        </w:rPr>
        <w:t>.</w:t>
      </w:r>
    </w:p>
    <w:p w14:paraId="19174D0F" w14:textId="7B9F6D72" w:rsidR="00CA2608" w:rsidRDefault="00EF285D" w:rsidP="00F71D8D">
      <w:pPr>
        <w:jc w:val="both"/>
      </w:pPr>
      <w:r w:rsidRPr="00D76B7E">
        <w:t xml:space="preserve">In </w:t>
      </w:r>
      <w:r w:rsidR="0053599D">
        <w:t>FOENIX-CCA</w:t>
      </w:r>
      <w:r w:rsidR="00293B0C">
        <w:t>2</w:t>
      </w:r>
      <w:r w:rsidR="0053599D">
        <w:t xml:space="preserve">, the pivotal study for </w:t>
      </w:r>
      <w:proofErr w:type="spellStart"/>
      <w:r w:rsidR="0053599D">
        <w:t>futibatinib</w:t>
      </w:r>
      <w:proofErr w:type="spellEnd"/>
      <w:r w:rsidRPr="00D76B7E">
        <w:t xml:space="preserve">, the use of </w:t>
      </w:r>
      <w:proofErr w:type="spellStart"/>
      <w:r w:rsidRPr="00D76B7E">
        <w:t>futibatinib</w:t>
      </w:r>
      <w:proofErr w:type="spellEnd"/>
      <w:r w:rsidR="0053599D">
        <w:t xml:space="preserve"> </w:t>
      </w:r>
      <w:r w:rsidR="00293B0C">
        <w:t xml:space="preserve">in </w:t>
      </w:r>
      <w:r w:rsidR="00293B0C" w:rsidRPr="00D76B7E">
        <w:t>previously treated patients with FGFR2 fusion or rearrangement</w:t>
      </w:r>
      <w:r w:rsidR="00293B0C">
        <w:rPr>
          <w:rFonts w:hint="eastAsia"/>
        </w:rPr>
        <w:t>-</w:t>
      </w:r>
      <w:r w:rsidR="00293B0C" w:rsidRPr="00D76B7E">
        <w:t xml:space="preserve">positive </w:t>
      </w:r>
      <w:r w:rsidR="00B20FD1">
        <w:rPr>
          <w:rFonts w:eastAsia="Segoe UI"/>
        </w:rPr>
        <w:t>locally advanced</w:t>
      </w:r>
      <w:r w:rsidR="00B20FD1" w:rsidRPr="001C218C">
        <w:rPr>
          <w:rFonts w:eastAsia="Segoe UI"/>
        </w:rPr>
        <w:t xml:space="preserve"> or metastatic</w:t>
      </w:r>
      <w:r w:rsidR="00B20FD1" w:rsidRPr="00865C47">
        <w:t xml:space="preserve"> </w:t>
      </w:r>
      <w:r w:rsidR="00293B0C">
        <w:t>CCA</w:t>
      </w:r>
      <w:r w:rsidR="00293B0C" w:rsidRPr="00D76B7E">
        <w:t xml:space="preserve"> </w:t>
      </w:r>
      <w:r w:rsidRPr="00D76B7E">
        <w:t>led</w:t>
      </w:r>
      <w:r>
        <w:t xml:space="preserve"> </w:t>
      </w:r>
      <w:r w:rsidRPr="00D76B7E">
        <w:t>to measurable clinical benefit.</w:t>
      </w:r>
      <w:r>
        <w:t xml:space="preserve"> </w:t>
      </w:r>
      <w:r w:rsidRPr="00F513A3">
        <w:t>The use of</w:t>
      </w:r>
      <w:r>
        <w:t xml:space="preserve"> </w:t>
      </w:r>
      <w:proofErr w:type="spellStart"/>
      <w:r w:rsidRPr="00F513A3">
        <w:t>futibatinib</w:t>
      </w:r>
      <w:proofErr w:type="spellEnd"/>
      <w:r w:rsidRPr="00F513A3">
        <w:t xml:space="preserve"> resulted in durable responses and</w:t>
      </w:r>
      <w:r>
        <w:t xml:space="preserve"> </w:t>
      </w:r>
      <w:r w:rsidRPr="00F513A3">
        <w:t>survival that surpassed those indicated by historical</w:t>
      </w:r>
      <w:r>
        <w:t xml:space="preserve"> </w:t>
      </w:r>
      <w:r w:rsidRPr="00F513A3">
        <w:t>data with chemotherapy</w:t>
      </w:r>
      <w:r w:rsidR="00463E61">
        <w:t xml:space="preserve">, </w:t>
      </w:r>
      <w:r w:rsidRPr="009D1D99">
        <w:t>with an acceptable and monitorable safety profile.</w:t>
      </w:r>
    </w:p>
    <w:p w14:paraId="409AB389" w14:textId="1BF6DFCB" w:rsidR="00051843" w:rsidRDefault="00051843" w:rsidP="00BC0C43">
      <w:pPr>
        <w:pStyle w:val="Heading2"/>
      </w:pPr>
      <w:r>
        <w:t xml:space="preserve">Are there any prerequisite tests? </w:t>
      </w:r>
    </w:p>
    <w:p w14:paraId="69AD46FF" w14:textId="77777777" w:rsidR="00A845BE" w:rsidRDefault="00051843" w:rsidP="00A845BE">
      <w:r w:rsidRPr="00A845BE">
        <w:t>Yes</w:t>
      </w:r>
      <w:r w:rsidR="0048421D">
        <w:t>, histological confirmation of CCA.</w:t>
      </w:r>
      <w:r w:rsidR="00C6173D">
        <w:t xml:space="preserve"> </w:t>
      </w:r>
    </w:p>
    <w:p w14:paraId="64EC5580" w14:textId="44617409" w:rsidR="00051843" w:rsidRPr="00C6173D" w:rsidRDefault="00C6173D" w:rsidP="00A845BE">
      <w:pPr>
        <w:rPr>
          <w:color w:val="000000"/>
          <w:shd w:val="clear" w:color="auto" w:fill="FFFFFF"/>
        </w:rPr>
      </w:pPr>
      <w:r>
        <w:t xml:space="preserve">This is currently funded under MBS items </w:t>
      </w:r>
      <w:r>
        <w:rPr>
          <w:rStyle w:val="normaltextrun"/>
          <w:color w:val="000000"/>
          <w:shd w:val="clear" w:color="auto" w:fill="FFFFFF"/>
        </w:rPr>
        <w:t>72823, 72824, 72825, 72826, and 72827.</w:t>
      </w:r>
    </w:p>
    <w:p w14:paraId="5998FE51" w14:textId="7B048AA9" w:rsidR="00051843" w:rsidRPr="00A845BE" w:rsidRDefault="00051843" w:rsidP="00BC0C43">
      <w:pPr>
        <w:pStyle w:val="Heading2"/>
      </w:pPr>
      <w:r w:rsidRPr="00A845BE">
        <w:t>Are the prerequisite tests MBS funded?</w:t>
      </w:r>
    </w:p>
    <w:p w14:paraId="7B15CE91" w14:textId="3831D629" w:rsidR="00051843" w:rsidRDefault="00051843" w:rsidP="00BC0C43">
      <w:r w:rsidRPr="00A845BE">
        <w:t>Yes</w:t>
      </w:r>
    </w:p>
    <w:p w14:paraId="0A585F0C" w14:textId="1FA42264" w:rsidR="00051843" w:rsidRPr="00BC0C43" w:rsidRDefault="00EA0AA0" w:rsidP="00BC0C43">
      <w:pPr>
        <w:pStyle w:val="Heading2"/>
      </w:pPr>
      <w:r>
        <w:t>P</w:t>
      </w:r>
      <w:r w:rsidR="00051843">
        <w:t>rovide details to fund the prerequisite tests:</w:t>
      </w:r>
    </w:p>
    <w:p w14:paraId="58FB847B" w14:textId="7190DE34" w:rsidR="00D32DD1" w:rsidRPr="00582377" w:rsidRDefault="00E854B5" w:rsidP="00BC0C43">
      <w:pPr>
        <w:rPr>
          <w:rFonts w:asciiTheme="minorHAnsi" w:eastAsia="Segoe UI" w:hAnsiTheme="minorHAnsi" w:cstheme="minorHAnsi"/>
          <w:color w:val="000000"/>
        </w:rPr>
      </w:pPr>
      <w:r>
        <w:t>N/A</w:t>
      </w:r>
    </w:p>
    <w:p w14:paraId="730114B1" w14:textId="17224D17" w:rsidR="00280050" w:rsidRPr="00EA0AA0" w:rsidRDefault="00051843" w:rsidP="00EA0AA0">
      <w:pPr>
        <w:pStyle w:val="Heading1"/>
      </w:pPr>
      <w:r w:rsidRPr="00EA0AA0">
        <w:t>Intervention</w:t>
      </w:r>
    </w:p>
    <w:p w14:paraId="4EE4D8C5" w14:textId="72F78505" w:rsidR="00665487" w:rsidRPr="00BC0C43" w:rsidRDefault="00665487" w:rsidP="00BC0C43">
      <w:pPr>
        <w:pStyle w:val="Heading2"/>
      </w:pPr>
      <w:r w:rsidRPr="00BC0C43">
        <w:t>Name of the proposed health technology:</w:t>
      </w:r>
    </w:p>
    <w:p w14:paraId="2C923132" w14:textId="77777777" w:rsidR="001C7917" w:rsidRDefault="003D1EE5" w:rsidP="00F43687">
      <w:pPr>
        <w:jc w:val="both"/>
        <w:rPr>
          <w:i/>
          <w:iCs/>
        </w:rPr>
      </w:pPr>
      <w:r w:rsidRPr="003221A0">
        <w:rPr>
          <w:i/>
          <w:iCs/>
        </w:rPr>
        <w:t>Test:</w:t>
      </w:r>
      <w:r w:rsidR="00D351E8" w:rsidRPr="003221A0">
        <w:rPr>
          <w:i/>
          <w:iCs/>
        </w:rPr>
        <w:t xml:space="preserve"> </w:t>
      </w:r>
      <w:r w:rsidR="00EE631B" w:rsidRPr="003221A0">
        <w:rPr>
          <w:i/>
          <w:iCs/>
        </w:rPr>
        <w:t>FGFR2 fusion or rearrangement</w:t>
      </w:r>
      <w:r w:rsidR="00D351E8" w:rsidRPr="003221A0">
        <w:rPr>
          <w:i/>
          <w:iCs/>
        </w:rPr>
        <w:t xml:space="preserve"> testing by next-generation sequencing (NGS) </w:t>
      </w:r>
      <w:r w:rsidRPr="003221A0">
        <w:rPr>
          <w:i/>
          <w:iCs/>
        </w:rPr>
        <w:t>in tumour tissue sample</w:t>
      </w:r>
      <w:r w:rsidR="003221A0" w:rsidRPr="003221A0">
        <w:rPr>
          <w:i/>
          <w:iCs/>
        </w:rPr>
        <w:t xml:space="preserve">. </w:t>
      </w:r>
    </w:p>
    <w:p w14:paraId="37BA5D00" w14:textId="454CC0EE" w:rsidR="00F040B6" w:rsidRPr="001C7917" w:rsidRDefault="003221A0" w:rsidP="00F43687">
      <w:pPr>
        <w:jc w:val="both"/>
      </w:pPr>
      <w:r w:rsidRPr="001C7917">
        <w:lastRenderedPageBreak/>
        <w:t>FGFR2 fusion or rearrangement testing by fluorescence in-situ hybridisation (FISH) in tumour tissue sample can also be considered as an option for testing likely to occur outside of centres with NGS capability.</w:t>
      </w:r>
    </w:p>
    <w:p w14:paraId="0CC9A1F5" w14:textId="3A96453A" w:rsidR="000123FE" w:rsidRDefault="00D351E8" w:rsidP="00F43687">
      <w:pPr>
        <w:jc w:val="both"/>
      </w:pPr>
      <w:r w:rsidRPr="00D351E8">
        <w:t>In</w:t>
      </w:r>
      <w:r w:rsidR="000426DE" w:rsidRPr="00D351E8">
        <w:t xml:space="preserve"> FOENIX-CCA2</w:t>
      </w:r>
      <w:r w:rsidRPr="00D351E8">
        <w:t xml:space="preserve">, </w:t>
      </w:r>
      <w:r w:rsidR="000426DE" w:rsidRPr="000426DE">
        <w:t xml:space="preserve">FGFR2 fusion or rearrangement was prospectively identified </w:t>
      </w:r>
      <w:r w:rsidR="000123FE" w:rsidRPr="000123FE">
        <w:t xml:space="preserve">by testing of </w:t>
      </w:r>
      <w:r w:rsidR="00B71406" w:rsidRPr="000123FE">
        <w:t>tumour</w:t>
      </w:r>
      <w:r w:rsidR="000123FE" w:rsidRPr="000123FE">
        <w:t xml:space="preserve"> tissue at a central </w:t>
      </w:r>
      <w:r w:rsidR="00717282">
        <w:t xml:space="preserve">(66% of patients) </w:t>
      </w:r>
      <w:r w:rsidR="000123FE" w:rsidRPr="000123FE">
        <w:t>or local</w:t>
      </w:r>
      <w:r w:rsidR="000123FE">
        <w:t xml:space="preserve"> </w:t>
      </w:r>
      <w:r w:rsidR="000123FE" w:rsidRPr="000123FE">
        <w:t xml:space="preserve">laboratory </w:t>
      </w:r>
      <w:r w:rsidR="00717282">
        <w:t xml:space="preserve">(24% of patients) </w:t>
      </w:r>
      <w:r w:rsidR="000123FE" w:rsidRPr="000123FE">
        <w:t>with the use of a 324-gene-panel assay</w:t>
      </w:r>
      <w:r w:rsidR="000123FE">
        <w:t xml:space="preserve"> </w:t>
      </w:r>
      <w:r w:rsidR="000123FE" w:rsidRPr="000123FE">
        <w:t>(</w:t>
      </w:r>
      <w:proofErr w:type="spellStart"/>
      <w:r w:rsidR="00241938">
        <w:t>FoundationOne</w:t>
      </w:r>
      <w:proofErr w:type="spellEnd"/>
      <w:r w:rsidR="00241938">
        <w:t>®</w:t>
      </w:r>
      <w:r w:rsidR="00E8641D">
        <w:t xml:space="preserve"> </w:t>
      </w:r>
      <w:proofErr w:type="spellStart"/>
      <w:r w:rsidR="00241938">
        <w:t>CDx</w:t>
      </w:r>
      <w:proofErr w:type="spellEnd"/>
      <w:r w:rsidR="00241938">
        <w:t xml:space="preserve"> </w:t>
      </w:r>
      <w:r w:rsidR="000123FE" w:rsidRPr="000123FE">
        <w:t>assay, Foundation</w:t>
      </w:r>
      <w:r w:rsidR="000123FE">
        <w:t xml:space="preserve"> </w:t>
      </w:r>
      <w:r w:rsidR="000123FE" w:rsidRPr="000123FE">
        <w:t>Medicine)</w:t>
      </w:r>
      <w:r w:rsidR="00717282">
        <w:t xml:space="preserve"> or </w:t>
      </w:r>
      <w:r w:rsidR="00717282" w:rsidRPr="000123FE">
        <w:t xml:space="preserve">by local testing of tumour tissue </w:t>
      </w:r>
      <w:r w:rsidR="00717282">
        <w:t xml:space="preserve">(7% of patients) </w:t>
      </w:r>
      <w:r w:rsidR="00717282" w:rsidRPr="000123FE">
        <w:t xml:space="preserve">or </w:t>
      </w:r>
      <w:r w:rsidR="00CF2784" w:rsidRPr="00CF2784">
        <w:t xml:space="preserve">circulating </w:t>
      </w:r>
      <w:r w:rsidR="00D651C8" w:rsidRPr="00CF2784">
        <w:t>tumour</w:t>
      </w:r>
      <w:r w:rsidR="00CF2784">
        <w:t xml:space="preserve"> </w:t>
      </w:r>
      <w:r w:rsidR="00CF2784" w:rsidRPr="00CF2784">
        <w:t xml:space="preserve">DNA </w:t>
      </w:r>
      <w:r w:rsidR="00CF2784">
        <w:t>(</w:t>
      </w:r>
      <w:proofErr w:type="spellStart"/>
      <w:r w:rsidR="00717282" w:rsidRPr="000123FE">
        <w:t>ctDNA</w:t>
      </w:r>
      <w:proofErr w:type="spellEnd"/>
      <w:r w:rsidR="00CF2784">
        <w:t>)</w:t>
      </w:r>
      <w:r w:rsidR="00717282">
        <w:t xml:space="preserve"> </w:t>
      </w:r>
      <w:r w:rsidR="00265953">
        <w:t xml:space="preserve">(3% of </w:t>
      </w:r>
      <w:r w:rsidR="00B657F6">
        <w:t xml:space="preserve"> </w:t>
      </w:r>
      <w:r w:rsidR="00D651C8">
        <w:t>patients</w:t>
      </w:r>
      <w:r w:rsidR="00265953">
        <w:t>)</w:t>
      </w:r>
      <w:r w:rsidR="00D3520D">
        <w:t xml:space="preserve"> </w:t>
      </w:r>
      <w:sdt>
        <w:sdtPr>
          <w:id w:val="-1439676188"/>
          <w:citation/>
        </w:sdtPr>
        <w:sdtEndPr/>
        <w:sdtContent>
          <w:r w:rsidR="00D3520D">
            <w:fldChar w:fldCharType="begin"/>
          </w:r>
          <w:r w:rsidR="00D3520D">
            <w:instrText xml:space="preserve"> CITATION Goy23 \l 3081 </w:instrText>
          </w:r>
          <w:r w:rsidR="00D3520D">
            <w:fldChar w:fldCharType="separate"/>
          </w:r>
          <w:r w:rsidR="00D3520D">
            <w:rPr>
              <w:noProof/>
            </w:rPr>
            <w:t>(Goyal, Meric</w:t>
          </w:r>
          <w:r w:rsidR="00D3520D">
            <w:rPr>
              <w:noProof/>
            </w:rPr>
            <w:noBreakHyphen/>
            <w:t>Bernstam, Hollebecque, Valle, &amp; Morizane, 2023)</w:t>
          </w:r>
          <w:r w:rsidR="00D3520D">
            <w:fldChar w:fldCharType="end"/>
          </w:r>
        </w:sdtContent>
      </w:sdt>
      <w:r w:rsidR="00717282">
        <w:t>.</w:t>
      </w:r>
    </w:p>
    <w:p w14:paraId="63A6BE32" w14:textId="31EA8A3A" w:rsidR="00B40D3B" w:rsidRPr="00FD2C66" w:rsidRDefault="00B40D3B" w:rsidP="00F43687">
      <w:pPr>
        <w:jc w:val="both"/>
        <w:rPr>
          <w:i/>
          <w:iCs/>
        </w:rPr>
      </w:pPr>
      <w:proofErr w:type="spellStart"/>
      <w:r w:rsidRPr="000123FE">
        <w:t>FoundationOne</w:t>
      </w:r>
      <w:proofErr w:type="spellEnd"/>
      <w:r w:rsidRPr="000123FE">
        <w:t xml:space="preserve"> </w:t>
      </w:r>
      <w:proofErr w:type="spellStart"/>
      <w:r w:rsidRPr="000123FE">
        <w:t>CDx</w:t>
      </w:r>
      <w:proofErr w:type="spellEnd"/>
      <w:r>
        <w:t xml:space="preserve"> is a qualitative next-generation sequencing based in vitro diagnostic test that uses targeted high throughput hybridization-based capture technology for detection of substitutions, insertion and deletion alterations (indels), and copy number alterations (CNAs) in 324 genes and select gene rearrangements, as well as genomic signatures including microsatellite instability (MSI) and tumo</w:t>
      </w:r>
      <w:r w:rsidR="00E8641D">
        <w:t>u</w:t>
      </w:r>
      <w:r>
        <w:t xml:space="preserve">r mutational burden (TMB) using DNA isolated from formalin-fixed, paraffin-embedded (FFPE) tumour tissue specimens when using the </w:t>
      </w:r>
      <w:proofErr w:type="spellStart"/>
      <w:r>
        <w:t>DNAx</w:t>
      </w:r>
      <w:proofErr w:type="spellEnd"/>
      <w:r>
        <w:t xml:space="preserve"> extraction method. It is understood that testing is performed in the US. </w:t>
      </w:r>
      <w:r w:rsidRPr="00FD2C66">
        <w:rPr>
          <w:i/>
          <w:iCs/>
        </w:rPr>
        <w:t xml:space="preserve">The </w:t>
      </w:r>
      <w:proofErr w:type="spellStart"/>
      <w:r w:rsidRPr="00FD2C66">
        <w:rPr>
          <w:i/>
          <w:iCs/>
        </w:rPr>
        <w:t>FoundationOne</w:t>
      </w:r>
      <w:proofErr w:type="spellEnd"/>
      <w:r w:rsidRPr="00FD2C66">
        <w:rPr>
          <w:i/>
          <w:iCs/>
        </w:rPr>
        <w:t xml:space="preserve"> </w:t>
      </w:r>
      <w:proofErr w:type="spellStart"/>
      <w:r w:rsidRPr="00FD2C66">
        <w:rPr>
          <w:i/>
          <w:iCs/>
        </w:rPr>
        <w:t>CDx</w:t>
      </w:r>
      <w:proofErr w:type="spellEnd"/>
      <w:r w:rsidRPr="00FD2C66">
        <w:rPr>
          <w:i/>
          <w:iCs/>
        </w:rPr>
        <w:t xml:space="preserve"> assay is therefore nominated as the reference standard for this submission.</w:t>
      </w:r>
    </w:p>
    <w:p w14:paraId="23FE7FB8" w14:textId="30C2CD4B" w:rsidR="00CF2784" w:rsidRDefault="00CF2784" w:rsidP="00F43687">
      <w:pPr>
        <w:jc w:val="both"/>
      </w:pPr>
      <w:r w:rsidRPr="00CF2784">
        <w:t>Correlative research was also performed</w:t>
      </w:r>
      <w:r>
        <w:t xml:space="preserve"> </w:t>
      </w:r>
      <w:r w:rsidRPr="00CF2784">
        <w:t xml:space="preserve">to assess the use of </w:t>
      </w:r>
      <w:proofErr w:type="spellStart"/>
      <w:r w:rsidRPr="00CF2784">
        <w:t>ctDNA</w:t>
      </w:r>
      <w:proofErr w:type="spellEnd"/>
      <w:r w:rsidRPr="00CF2784">
        <w:t xml:space="preserve"> profiling of plasma samples for the</w:t>
      </w:r>
      <w:r>
        <w:t xml:space="preserve"> </w:t>
      </w:r>
      <w:r w:rsidRPr="00CF2784">
        <w:t xml:space="preserve">detection of </w:t>
      </w:r>
      <w:r w:rsidRPr="00CF2784">
        <w:rPr>
          <w:i/>
          <w:iCs/>
        </w:rPr>
        <w:t xml:space="preserve">FGFR2 </w:t>
      </w:r>
      <w:r w:rsidRPr="00CF2784">
        <w:t>fusions and rearrangements.</w:t>
      </w:r>
      <w:r w:rsidR="00672BCD">
        <w:t xml:space="preserve"> T</w:t>
      </w:r>
      <w:r w:rsidR="00672BCD" w:rsidRPr="00672BCD">
        <w:t>he partner-agnostic</w:t>
      </w:r>
      <w:r w:rsidR="00672BCD">
        <w:t xml:space="preserve"> </w:t>
      </w:r>
      <w:proofErr w:type="spellStart"/>
      <w:r w:rsidR="00672BCD" w:rsidRPr="00672BCD">
        <w:t>ctDNA</w:t>
      </w:r>
      <w:proofErr w:type="spellEnd"/>
      <w:r w:rsidR="00672BCD" w:rsidRPr="00672BCD">
        <w:t xml:space="preserve"> platform used in the correlative analyses</w:t>
      </w:r>
      <w:r w:rsidR="00672BCD">
        <w:t xml:space="preserve"> </w:t>
      </w:r>
      <w:r w:rsidR="00672BCD" w:rsidRPr="00672BCD">
        <w:t xml:space="preserve">in this study identified </w:t>
      </w:r>
      <w:r w:rsidR="00672BCD" w:rsidRPr="00672BCD">
        <w:rPr>
          <w:i/>
          <w:iCs/>
        </w:rPr>
        <w:t xml:space="preserve">FGFR2 </w:t>
      </w:r>
      <w:r w:rsidR="00672BCD" w:rsidRPr="00672BCD">
        <w:t>fusions or rearrangements</w:t>
      </w:r>
      <w:r w:rsidR="00672BCD">
        <w:t xml:space="preserve"> </w:t>
      </w:r>
      <w:r w:rsidR="00672BCD" w:rsidRPr="00672BCD">
        <w:t>in 87% of the patients evaluated.</w:t>
      </w:r>
    </w:p>
    <w:p w14:paraId="294C6749" w14:textId="0FAFEFAE" w:rsidR="00EA0BCE" w:rsidRPr="0097622A" w:rsidRDefault="00EA0BCE" w:rsidP="00F43687">
      <w:pPr>
        <w:jc w:val="both"/>
      </w:pPr>
      <w:r>
        <w:t>F</w:t>
      </w:r>
      <w:r w:rsidRPr="0058639F">
        <w:t>or tissue-based testing</w:t>
      </w:r>
      <w:r>
        <w:t xml:space="preserve">, ESMO </w:t>
      </w:r>
      <w:r w:rsidR="003221A0">
        <w:t xml:space="preserve">guidelines </w:t>
      </w:r>
      <w:r w:rsidRPr="00076E07">
        <w:t>recommend that</w:t>
      </w:r>
      <w:r>
        <w:t xml:space="preserve"> </w:t>
      </w:r>
      <w:r w:rsidRPr="0058639F">
        <w:t>gene fusions involving</w:t>
      </w:r>
      <w:r>
        <w:t xml:space="preserve"> </w:t>
      </w:r>
      <w:r w:rsidRPr="0058639F">
        <w:t>FGFR2 genes should preferably be interrogated at the RNA level</w:t>
      </w:r>
      <w:r>
        <w:t xml:space="preserve"> </w:t>
      </w:r>
      <w:r w:rsidRPr="0058639F">
        <w:t>using a panel-based method that can identify fusion transcripts</w:t>
      </w:r>
      <w:r>
        <w:t xml:space="preserve"> </w:t>
      </w:r>
      <w:r w:rsidRPr="0058639F">
        <w:t>of known and unknown fusion partners. Ideally, this</w:t>
      </w:r>
      <w:r>
        <w:t xml:space="preserve"> </w:t>
      </w:r>
      <w:r w:rsidRPr="0058639F">
        <w:t>approach should be combined with parallel DNA testing to</w:t>
      </w:r>
      <w:r>
        <w:t xml:space="preserve"> </w:t>
      </w:r>
      <w:r w:rsidRPr="0058639F">
        <w:t>identify break points which mainly involve exons 17 and 18</w:t>
      </w:r>
      <w:r>
        <w:t xml:space="preserve"> </w:t>
      </w:r>
      <w:r w:rsidRPr="0058639F">
        <w:t>of FGFR2.</w:t>
      </w:r>
      <w:r>
        <w:t xml:space="preserve"> </w:t>
      </w:r>
      <w:r w:rsidRPr="0097622A">
        <w:t>Both DNA- and RNA-based NGS assays should</w:t>
      </w:r>
      <w:r>
        <w:t xml:space="preserve"> </w:t>
      </w:r>
      <w:r w:rsidRPr="0097622A">
        <w:t xml:space="preserve">ideally employ hybrid capture or anchored </w:t>
      </w:r>
      <w:r>
        <w:t>m</w:t>
      </w:r>
      <w:r w:rsidRPr="0097622A">
        <w:t>ultiplex PCR</w:t>
      </w:r>
      <w:r>
        <w:t xml:space="preserve"> </w:t>
      </w:r>
      <w:r w:rsidRPr="0097622A">
        <w:t>technology.</w:t>
      </w:r>
    </w:p>
    <w:p w14:paraId="4730A9D6" w14:textId="6F688C36" w:rsidR="00D351E8" w:rsidRPr="003221A0" w:rsidRDefault="00EA0BCE" w:rsidP="00D351E8">
      <w:pPr>
        <w:jc w:val="both"/>
      </w:pPr>
      <w:r w:rsidRPr="00513513">
        <w:t>NCCN</w:t>
      </w:r>
      <w:r w:rsidR="003221A0">
        <w:t xml:space="preserve"> guidelines</w:t>
      </w:r>
      <w:r w:rsidRPr="00513513">
        <w:t xml:space="preserve"> recommend that both NGS assays, which include the </w:t>
      </w:r>
      <w:r w:rsidRPr="00513513">
        <w:rPr>
          <w:i/>
          <w:iCs/>
        </w:rPr>
        <w:t xml:space="preserve">FGFR2 </w:t>
      </w:r>
      <w:r w:rsidRPr="00513513">
        <w:t xml:space="preserve">gene including its intronic regions, and break apart </w:t>
      </w:r>
      <w:r w:rsidRPr="00E97C6F">
        <w:t xml:space="preserve">FISH assays, can be used to identify patients with </w:t>
      </w:r>
      <w:r w:rsidRPr="00E97C6F">
        <w:rPr>
          <w:i/>
          <w:iCs/>
        </w:rPr>
        <w:t xml:space="preserve">FGFR2 </w:t>
      </w:r>
      <w:r w:rsidRPr="00E97C6F">
        <w:t>fusions/rearrangements in tumour tissue</w:t>
      </w:r>
      <w:r w:rsidRPr="00513513">
        <w:t xml:space="preserve"> samples.</w:t>
      </w:r>
      <w:r w:rsidR="003221A0" w:rsidRPr="003221A0">
        <w:t xml:space="preserve"> </w:t>
      </w:r>
      <w:r w:rsidR="003221A0">
        <w:t>As such, whilst the Applicant understands that NGS is the preferred methodology</w:t>
      </w:r>
      <w:r w:rsidR="00B20FD1">
        <w:t xml:space="preserve"> in clinical practice</w:t>
      </w:r>
      <w:r w:rsidR="003221A0">
        <w:t xml:space="preserve">, </w:t>
      </w:r>
      <w:r w:rsidR="003221A0" w:rsidRPr="00EE631B">
        <w:t>FGFR2 fusion or rearrangement</w:t>
      </w:r>
      <w:r w:rsidR="003221A0">
        <w:t xml:space="preserve"> testing by FISH in tumour tissue sample can also be considered as an option for testing likely to occur outside of centres with NGS capability. </w:t>
      </w:r>
    </w:p>
    <w:p w14:paraId="0F75689D" w14:textId="2C41F48E" w:rsidR="00D351E8" w:rsidRPr="00A82D18" w:rsidRDefault="00D351E8" w:rsidP="00D351E8">
      <w:pPr>
        <w:jc w:val="both"/>
        <w:rPr>
          <w:rFonts w:cs="Arial"/>
        </w:rPr>
      </w:pPr>
      <w:r w:rsidRPr="003221A0">
        <w:rPr>
          <w:rFonts w:cs="Arial"/>
        </w:rPr>
        <w:t>Consideration could also be given to broadening the item descriptor to NGS testing for FGFR1-4 fusions and rearrangements; this should have no impact on the complexity of the test.</w:t>
      </w:r>
      <w:r w:rsidRPr="00A82D18">
        <w:rPr>
          <w:rFonts w:cs="Arial"/>
        </w:rPr>
        <w:t xml:space="preserve"> </w:t>
      </w:r>
    </w:p>
    <w:p w14:paraId="20089DED" w14:textId="77777777" w:rsidR="00D351E8" w:rsidRDefault="00D351E8" w:rsidP="00D351E8">
      <w:pPr>
        <w:jc w:val="both"/>
      </w:pPr>
      <w:r>
        <w:t xml:space="preserve">The test results will serve to determine the patients’ eligibility for treatment with PBS-subsidised </w:t>
      </w:r>
      <w:proofErr w:type="spellStart"/>
      <w:r>
        <w:t>futibatinib</w:t>
      </w:r>
      <w:proofErr w:type="spellEnd"/>
      <w:r>
        <w:t xml:space="preserve"> either when diagnosed with, or on progression to, locally advanced or metastatic CCA.</w:t>
      </w:r>
    </w:p>
    <w:p w14:paraId="1654AA88" w14:textId="490A1E3F" w:rsidR="009F58FC" w:rsidRDefault="00D351E8" w:rsidP="00F43687">
      <w:pPr>
        <w:jc w:val="both"/>
      </w:pPr>
      <w:r>
        <w:t xml:space="preserve">To allow for </w:t>
      </w:r>
      <w:r w:rsidRPr="00B721E9">
        <w:t xml:space="preserve">earlier planning for re-biopsy and a quicker transition to </w:t>
      </w:r>
      <w:proofErr w:type="spellStart"/>
      <w:r>
        <w:t>futibatinib</w:t>
      </w:r>
      <w:proofErr w:type="spellEnd"/>
      <w:r w:rsidRPr="00B721E9">
        <w:t xml:space="preserve"> for patients who have disease progression following untargeted anti-cancer treatment</w:t>
      </w:r>
      <w:r>
        <w:t xml:space="preserve">, testing is aimed to be delivered to all histologically confirmed CCA tissue at primary diagnosis of the cancer, regardless of stage or subtype. This is consistent with the Ratified PICO for Application 1750 - Testing of tumour tissue to detect IDH1 variants in patients with cholangiocarcinoma to determine eligibility for </w:t>
      </w:r>
      <w:proofErr w:type="spellStart"/>
      <w:r>
        <w:t>ivosidenib</w:t>
      </w:r>
      <w:proofErr w:type="spellEnd"/>
      <w:r>
        <w:t xml:space="preserve"> on the PBS.</w:t>
      </w:r>
    </w:p>
    <w:p w14:paraId="75F8CE5C" w14:textId="77777777" w:rsidR="00D351E8" w:rsidRPr="00D351E8" w:rsidRDefault="00D351E8" w:rsidP="00F43687">
      <w:pPr>
        <w:jc w:val="both"/>
      </w:pPr>
    </w:p>
    <w:p w14:paraId="65AAF25E" w14:textId="1E3FF2DC" w:rsidR="00AD1B86" w:rsidRPr="003221A0" w:rsidRDefault="003D1EE5" w:rsidP="00F43687">
      <w:pPr>
        <w:jc w:val="both"/>
        <w:rPr>
          <w:i/>
          <w:iCs/>
        </w:rPr>
      </w:pPr>
      <w:r w:rsidRPr="003221A0">
        <w:rPr>
          <w:i/>
          <w:iCs/>
        </w:rPr>
        <w:t>Treatment:</w:t>
      </w:r>
      <w:r w:rsidR="005472A1" w:rsidRPr="003221A0">
        <w:rPr>
          <w:i/>
          <w:iCs/>
        </w:rPr>
        <w:t xml:space="preserve"> </w:t>
      </w:r>
      <w:proofErr w:type="spellStart"/>
      <w:r w:rsidR="005472A1" w:rsidRPr="003221A0">
        <w:rPr>
          <w:i/>
          <w:iCs/>
        </w:rPr>
        <w:t>Futibatinib</w:t>
      </w:r>
      <w:proofErr w:type="spellEnd"/>
      <w:r w:rsidR="005472A1" w:rsidRPr="003221A0">
        <w:rPr>
          <w:i/>
          <w:iCs/>
        </w:rPr>
        <w:t xml:space="preserve"> 20 mg orally daily until unacceptable toxicity or disease progression.</w:t>
      </w:r>
    </w:p>
    <w:p w14:paraId="7F4B78D8" w14:textId="77777777" w:rsidR="00B96E59" w:rsidRDefault="00C36C3A" w:rsidP="00B96E59">
      <w:pPr>
        <w:jc w:val="both"/>
      </w:pPr>
      <w:proofErr w:type="spellStart"/>
      <w:r>
        <w:t>Futibatinib</w:t>
      </w:r>
      <w:proofErr w:type="spellEnd"/>
      <w:r>
        <w:t xml:space="preserve"> is a highly selective, irreversible inhibitor of FGFR1-4. Unlike reversible ATP-competitive inhibitors, it forms a covalent adduct with a conserved cysteine residue in the FGFR kinase domain P-loop structure.</w:t>
      </w:r>
    </w:p>
    <w:p w14:paraId="0600C2A0" w14:textId="4E17BA1B" w:rsidR="00B96E59" w:rsidRPr="00B96E59" w:rsidRDefault="00B96E59" w:rsidP="00B96E59">
      <w:pPr>
        <w:jc w:val="both"/>
      </w:pPr>
      <w:proofErr w:type="spellStart"/>
      <w:r w:rsidRPr="00B96E59">
        <w:lastRenderedPageBreak/>
        <w:t>Futibatinib</w:t>
      </w:r>
      <w:proofErr w:type="spellEnd"/>
      <w:r w:rsidRPr="00B96E59">
        <w:t xml:space="preserve"> was granted orphan drug designation (ODD) and has been submitted for assessment by the Therapeutic Goods Administration (TGA).</w:t>
      </w:r>
    </w:p>
    <w:p w14:paraId="2D109454" w14:textId="3EF6329F" w:rsidR="001676BE" w:rsidRPr="001676BE" w:rsidRDefault="00665487" w:rsidP="00E8641D">
      <w:pPr>
        <w:pStyle w:val="Heading2"/>
        <w:jc w:val="both"/>
      </w:pPr>
      <w:r w:rsidRPr="00B15CDF">
        <w:t>Describe the key components and clinical steps involved in delivering the proposed health technology</w:t>
      </w:r>
      <w:r w:rsidR="00BE6B22">
        <w:t>:</w:t>
      </w:r>
    </w:p>
    <w:p w14:paraId="3FD7A046" w14:textId="5DF24A41" w:rsidR="00775B5C" w:rsidRDefault="00660E36" w:rsidP="00F43687">
      <w:pPr>
        <w:jc w:val="both"/>
        <w:rPr>
          <w:rFonts w:asciiTheme="minorHAnsi" w:eastAsia="Segoe UI" w:hAnsiTheme="minorHAnsi" w:cstheme="minorHAnsi"/>
          <w:color w:val="000000"/>
        </w:rPr>
      </w:pPr>
      <w:r w:rsidRPr="004772C1">
        <w:t xml:space="preserve">Next generation sequencing (NGS) </w:t>
      </w:r>
      <w:r w:rsidR="008F23C2">
        <w:t>is a high-throughput DNA and/or RNA sequencing method</w:t>
      </w:r>
      <w:r w:rsidR="008F23C2" w:rsidRPr="004772C1">
        <w:t xml:space="preserve"> </w:t>
      </w:r>
      <w:r w:rsidR="008F23C2">
        <w:t>that facilitates</w:t>
      </w:r>
      <w:r w:rsidRPr="004772C1">
        <w:t xml:space="preserve"> the comprehensive genomic profiling of tumour tissue through their ability to identify four classes of genomic alterations: base substitutions (single nucleotide variants); insertions and deletions; copy number alterations; and gene fusions (rearrangements). </w:t>
      </w:r>
      <w:r w:rsidR="00CF400C">
        <w:t xml:space="preserve">NGS typically involves 4 steps: (1) Constructing the DNA library; (2) amplifying the library clonally; (3) sequencing the library, and (4) analysing data. </w:t>
      </w:r>
      <w:r w:rsidR="006312E8" w:rsidRPr="006312E8">
        <w:t>NGS can be</w:t>
      </w:r>
      <w:r w:rsidR="006312E8">
        <w:rPr>
          <w:b/>
          <w:bCs/>
        </w:rPr>
        <w:t xml:space="preserve"> </w:t>
      </w:r>
      <w:r w:rsidR="006312E8" w:rsidRPr="006312E8">
        <w:t>carried out on formalin-fixed and paraffin-embedded</w:t>
      </w:r>
      <w:r w:rsidR="006312E8">
        <w:rPr>
          <w:b/>
          <w:bCs/>
        </w:rPr>
        <w:t xml:space="preserve"> </w:t>
      </w:r>
      <w:r w:rsidR="006312E8" w:rsidRPr="006312E8">
        <w:t>tumour tissue and is well suited for tissue biopsies. Alternatively,</w:t>
      </w:r>
      <w:r w:rsidR="006312E8">
        <w:rPr>
          <w:b/>
          <w:bCs/>
        </w:rPr>
        <w:t xml:space="preserve"> </w:t>
      </w:r>
      <w:r w:rsidR="006312E8" w:rsidRPr="006312E8">
        <w:t>liquid biopsies using cell-free circulating DNA may</w:t>
      </w:r>
      <w:r w:rsidR="006312E8">
        <w:rPr>
          <w:b/>
          <w:bCs/>
        </w:rPr>
        <w:t xml:space="preserve"> </w:t>
      </w:r>
      <w:r w:rsidR="006312E8" w:rsidRPr="006312E8">
        <w:t>be considered, if not enough tumour tissue is available for</w:t>
      </w:r>
      <w:r w:rsidR="006312E8">
        <w:rPr>
          <w:b/>
          <w:bCs/>
        </w:rPr>
        <w:t xml:space="preserve"> </w:t>
      </w:r>
      <w:r w:rsidR="006312E8" w:rsidRPr="006312E8">
        <w:t>NGS.</w:t>
      </w:r>
      <w:r w:rsidR="006312E8" w:rsidRPr="00BC0C43">
        <w:rPr>
          <w:rFonts w:asciiTheme="minorHAnsi" w:eastAsia="Segoe UI" w:hAnsiTheme="minorHAnsi" w:cstheme="minorHAnsi"/>
          <w:color w:val="000000"/>
        </w:rPr>
        <w:t xml:space="preserve"> </w:t>
      </w:r>
    </w:p>
    <w:p w14:paraId="65DFF275" w14:textId="1EAEDC09" w:rsidR="00040853" w:rsidRDefault="00040853" w:rsidP="00F43687">
      <w:pPr>
        <w:jc w:val="both"/>
        <w:rPr>
          <w:rFonts w:asciiTheme="minorHAnsi" w:eastAsia="Segoe UI" w:hAnsiTheme="minorHAnsi" w:cstheme="minorHAnsi"/>
          <w:color w:val="000000"/>
        </w:rPr>
      </w:pPr>
      <w:r>
        <w:t xml:space="preserve">FISH is a commonly used method for detecting chromosomal rearrangements, and has been effectively used to detect ALK, ROS1 and RET fusions in solid tumours. Break-apart probes can be used screen for FGFR2 fusions. </w:t>
      </w:r>
    </w:p>
    <w:p w14:paraId="496F861E" w14:textId="6A84304D" w:rsidR="00BE6B22" w:rsidRPr="00BC0C43" w:rsidRDefault="00665487" w:rsidP="00BC0C43">
      <w:pPr>
        <w:pStyle w:val="Heading2"/>
      </w:pPr>
      <w:r w:rsidRPr="00BC0C43">
        <w:rPr>
          <w:rStyle w:val="Heading2Char"/>
          <w:b/>
          <w:bCs/>
        </w:rPr>
        <w:t>Identify how the proposed technology achieves the intended patient outcomes</w:t>
      </w:r>
      <w:r w:rsidR="00BE6B22" w:rsidRPr="00BC0C43">
        <w:t>:</w:t>
      </w:r>
    </w:p>
    <w:p w14:paraId="72015A67" w14:textId="7DD90B16" w:rsidR="00BE6B22" w:rsidRDefault="000E6F93" w:rsidP="00F43687">
      <w:pPr>
        <w:jc w:val="both"/>
      </w:pPr>
      <w:r w:rsidRPr="000E6F93">
        <w:t xml:space="preserve">In </w:t>
      </w:r>
      <w:r>
        <w:t>FOENIX-CCA2</w:t>
      </w:r>
      <w:r w:rsidRPr="000E6F93">
        <w:t>, 42% of the patients who</w:t>
      </w:r>
      <w:r w:rsidR="00F178DA">
        <w:t xml:space="preserve"> </w:t>
      </w:r>
      <w:r w:rsidRPr="000E6F93">
        <w:t xml:space="preserve">received </w:t>
      </w:r>
      <w:proofErr w:type="spellStart"/>
      <w:r w:rsidRPr="000E6F93">
        <w:t>futibatinib</w:t>
      </w:r>
      <w:proofErr w:type="spellEnd"/>
      <w:r w:rsidRPr="000E6F93">
        <w:t xml:space="preserve"> had a response, as determined</w:t>
      </w:r>
      <w:r w:rsidR="00F178DA">
        <w:t xml:space="preserve"> </w:t>
      </w:r>
      <w:r w:rsidRPr="000E6F93">
        <w:t>by independent central review. The use of</w:t>
      </w:r>
      <w:r w:rsidR="00F178DA">
        <w:t xml:space="preserve"> </w:t>
      </w:r>
      <w:proofErr w:type="spellStart"/>
      <w:r w:rsidRPr="000E6F93">
        <w:t>futibatinib</w:t>
      </w:r>
      <w:proofErr w:type="spellEnd"/>
      <w:r w:rsidRPr="000E6F93">
        <w:t xml:space="preserve"> resulted in durable responses and</w:t>
      </w:r>
      <w:r w:rsidR="00F178DA">
        <w:t xml:space="preserve"> </w:t>
      </w:r>
      <w:r w:rsidRPr="000E6F93">
        <w:t>survival that surpassed those indicated by historical</w:t>
      </w:r>
      <w:r w:rsidR="00F178DA">
        <w:t xml:space="preserve"> </w:t>
      </w:r>
      <w:r w:rsidRPr="000E6F93">
        <w:t>data with chemotherapy in patients with</w:t>
      </w:r>
      <w:r w:rsidR="00F178DA">
        <w:t xml:space="preserve"> </w:t>
      </w:r>
      <w:r w:rsidRPr="000E6F93">
        <w:t>refractory intrahepatic cholangiocarcinoma,</w:t>
      </w:r>
      <w:r w:rsidR="00F178DA">
        <w:t xml:space="preserve"> </w:t>
      </w:r>
      <w:r w:rsidRPr="000E6F93">
        <w:t>findings that led to an accelerated approval by</w:t>
      </w:r>
      <w:r w:rsidR="00F178DA">
        <w:t xml:space="preserve"> </w:t>
      </w:r>
      <w:r w:rsidRPr="000E6F93">
        <w:t>the Food and Drug Administration for the use</w:t>
      </w:r>
      <w:r w:rsidR="00F178DA">
        <w:t xml:space="preserve"> </w:t>
      </w:r>
      <w:r w:rsidRPr="000E6F93">
        <w:t xml:space="preserve">of this agent in patients with </w:t>
      </w:r>
      <w:r w:rsidRPr="000E6F93">
        <w:rPr>
          <w:i/>
          <w:iCs/>
        </w:rPr>
        <w:t xml:space="preserve">FGFR2 </w:t>
      </w:r>
      <w:r w:rsidRPr="000E6F93">
        <w:t>fusion or</w:t>
      </w:r>
      <w:r w:rsidR="00F178DA">
        <w:t xml:space="preserve"> </w:t>
      </w:r>
      <w:r w:rsidRPr="000E6F93">
        <w:t>rearrangement–positive intrahepatic cholangiocarcinoma.</w:t>
      </w:r>
    </w:p>
    <w:p w14:paraId="15C7F1D4" w14:textId="566B31E6" w:rsidR="00E13B8D" w:rsidRPr="00E13B8D" w:rsidRDefault="00E13B8D" w:rsidP="00F43687">
      <w:pPr>
        <w:jc w:val="both"/>
      </w:pPr>
      <w:r w:rsidRPr="006D3A2A">
        <w:t xml:space="preserve">Testing patients with CCA for </w:t>
      </w:r>
      <w:r w:rsidR="00C05C47" w:rsidRPr="00C05C47">
        <w:t>FGFR2 fusion or rearrangement</w:t>
      </w:r>
      <w:r w:rsidR="00C05C47" w:rsidRPr="00C05C47">
        <w:rPr>
          <w:b/>
          <w:bCs/>
        </w:rPr>
        <w:t xml:space="preserve"> </w:t>
      </w:r>
      <w:r w:rsidRPr="006D3A2A">
        <w:t xml:space="preserve">is expected to lead to a change in clinical management, as </w:t>
      </w:r>
      <w:r w:rsidR="00C05C47">
        <w:t>patients will be eligible to</w:t>
      </w:r>
      <w:r w:rsidRPr="006D3A2A">
        <w:t xml:space="preserve"> receive targeted treatment with </w:t>
      </w:r>
      <w:proofErr w:type="spellStart"/>
      <w:r w:rsidR="00C05C47">
        <w:t>futibatinib</w:t>
      </w:r>
      <w:proofErr w:type="spellEnd"/>
      <w:r w:rsidRPr="006D3A2A">
        <w:t xml:space="preserve">. This change is expected to lead to a significant improvement in clinical outcomes, as demonstrated by the pivotal </w:t>
      </w:r>
      <w:r w:rsidR="00A603DA">
        <w:t>FOENIX-CCA2 study</w:t>
      </w:r>
      <w:r w:rsidRPr="006D3A2A">
        <w:t>.</w:t>
      </w:r>
    </w:p>
    <w:p w14:paraId="0F9D3230" w14:textId="4E02B21F" w:rsidR="00BE6B22" w:rsidRPr="00665487" w:rsidRDefault="00665487" w:rsidP="00E8641D">
      <w:pPr>
        <w:pStyle w:val="Heading2"/>
        <w:jc w:val="both"/>
      </w:pPr>
      <w:r w:rsidRPr="00BC0C43">
        <w:t>Does the proposed health</w:t>
      </w:r>
      <w:r w:rsidRPr="00B15CDF">
        <w:t xml:space="preserve"> technology include a registered trademark component with characteristics that distinguishes it from other similar health components</w:t>
      </w:r>
      <w:r w:rsidR="00BE6B22">
        <w:t xml:space="preserve">? </w:t>
      </w:r>
    </w:p>
    <w:p w14:paraId="6F3B5B06" w14:textId="01217B95" w:rsidR="00BE6B22" w:rsidRDefault="00BE6B22" w:rsidP="00BC0C43">
      <w:r w:rsidRPr="00A97A1C">
        <w:t>No</w:t>
      </w:r>
    </w:p>
    <w:p w14:paraId="6FE677F6" w14:textId="53A28694" w:rsidR="00B759D1" w:rsidRPr="00BC0C43" w:rsidRDefault="00665487" w:rsidP="00E8641D">
      <w:pPr>
        <w:pStyle w:val="Heading2"/>
        <w:jc w:val="both"/>
      </w:pPr>
      <w:r w:rsidRPr="00B15CDF">
        <w:t>Explain whether it is essential to have this trademark component or whether there would be other components that would be suitable</w:t>
      </w:r>
      <w:r w:rsidR="00B759D1">
        <w:t>:</w:t>
      </w:r>
    </w:p>
    <w:p w14:paraId="2D4411B7" w14:textId="702162F3" w:rsidR="00B759D1" w:rsidRPr="00BC0C43" w:rsidRDefault="00AF7890" w:rsidP="00BC0C43">
      <w:pPr>
        <w:rPr>
          <w:rFonts w:asciiTheme="minorHAnsi" w:eastAsia="Segoe UI" w:hAnsiTheme="minorHAnsi" w:cstheme="minorHAnsi"/>
          <w:color w:val="000000"/>
        </w:rPr>
      </w:pPr>
      <w:r>
        <w:t>N/A</w:t>
      </w:r>
      <w:r w:rsidRPr="00BC0C43">
        <w:rPr>
          <w:rFonts w:asciiTheme="minorHAnsi" w:eastAsia="Segoe UI" w:hAnsiTheme="minorHAnsi" w:cstheme="minorHAnsi"/>
          <w:color w:val="000000"/>
        </w:rPr>
        <w:t xml:space="preserve"> </w:t>
      </w:r>
    </w:p>
    <w:p w14:paraId="46AD8179" w14:textId="07B7F795" w:rsidR="00665487" w:rsidRDefault="00EA7B42" w:rsidP="00E8641D">
      <w:pPr>
        <w:pStyle w:val="Heading2"/>
        <w:jc w:val="both"/>
      </w:pPr>
      <w:r w:rsidRPr="00B15CDF">
        <w:t>Are there any proposed limitations on the provision of the proposed health technology delivered to the patient (For example: accessibility, dosage, quantity, duration or frequency)</w:t>
      </w:r>
      <w:r>
        <w:t>:</w:t>
      </w:r>
      <w:r w:rsidR="00665487">
        <w:t xml:space="preserve"> </w:t>
      </w:r>
    </w:p>
    <w:p w14:paraId="669B5F75" w14:textId="73ABB576" w:rsidR="00665487" w:rsidRDefault="00665487" w:rsidP="00BC0C43">
      <w:r w:rsidRPr="00A97A1C">
        <w:t>Yes</w:t>
      </w:r>
    </w:p>
    <w:p w14:paraId="207973FE" w14:textId="0108C50B" w:rsidR="00665487" w:rsidRPr="00BC0C43" w:rsidRDefault="00EA7B42" w:rsidP="00BC0C43">
      <w:pPr>
        <w:pStyle w:val="Heading2"/>
      </w:pPr>
      <w:r>
        <w:t>Provide details and explain</w:t>
      </w:r>
      <w:r w:rsidR="00665487">
        <w:t>:</w:t>
      </w:r>
    </w:p>
    <w:p w14:paraId="741B568E" w14:textId="15D43832" w:rsidR="005C6942" w:rsidRPr="004070D1" w:rsidRDefault="005C6942" w:rsidP="00F43687">
      <w:pPr>
        <w:spacing w:after="0"/>
        <w:jc w:val="both"/>
        <w:rPr>
          <w:rFonts w:eastAsia="Segoe UI"/>
          <w:color w:val="000000"/>
        </w:rPr>
      </w:pPr>
      <w:r>
        <w:t>Testing is aimed to be delivered to all histologically confirmed CCA tissue at primary diagnosis, regardless of stage or subtype</w:t>
      </w:r>
      <w:r w:rsidR="00634D6E">
        <w:t xml:space="preserve">. </w:t>
      </w:r>
      <w:r w:rsidR="004070D1" w:rsidRPr="00DC702B">
        <w:rPr>
          <w:rFonts w:eastAsia="Segoe UI"/>
          <w:color w:val="000000"/>
        </w:rPr>
        <w:t xml:space="preserve">It is unlikely a patient would require more than one </w:t>
      </w:r>
      <w:r w:rsidR="004070D1" w:rsidRPr="004070D1">
        <w:rPr>
          <w:rFonts w:eastAsia="Segoe UI"/>
          <w:iCs/>
          <w:color w:val="000000"/>
        </w:rPr>
        <w:t xml:space="preserve">FGFR2 </w:t>
      </w:r>
      <w:r w:rsidR="004070D1" w:rsidRPr="00DC702B">
        <w:rPr>
          <w:rFonts w:eastAsia="Segoe UI"/>
          <w:color w:val="000000"/>
        </w:rPr>
        <w:t>test over their l</w:t>
      </w:r>
      <w:r w:rsidR="00161B5C">
        <w:rPr>
          <w:rFonts w:eastAsia="Segoe UI"/>
          <w:color w:val="000000"/>
        </w:rPr>
        <w:t>ifetime</w:t>
      </w:r>
      <w:r w:rsidR="004070D1" w:rsidRPr="00DC702B">
        <w:rPr>
          <w:rFonts w:eastAsia="Segoe UI"/>
          <w:color w:val="000000"/>
        </w:rPr>
        <w:t xml:space="preserve">. </w:t>
      </w:r>
    </w:p>
    <w:p w14:paraId="2F90F356" w14:textId="0A90E7DA" w:rsidR="006227EF" w:rsidRPr="00BC0C43" w:rsidRDefault="006227EF" w:rsidP="00E8641D">
      <w:pPr>
        <w:pStyle w:val="Heading2"/>
        <w:jc w:val="both"/>
      </w:pPr>
      <w:r>
        <w:t>If applicable, advise which health professionals will be needed to provide the proposed health technology:</w:t>
      </w:r>
    </w:p>
    <w:p w14:paraId="12A628AC" w14:textId="77553086" w:rsidR="00D36AC7" w:rsidRPr="0042023C" w:rsidRDefault="00B516BC" w:rsidP="00F43687">
      <w:pPr>
        <w:spacing w:after="0"/>
        <w:jc w:val="both"/>
        <w:rPr>
          <w:rFonts w:eastAsia="Segoe UI"/>
          <w:color w:val="000000"/>
        </w:rPr>
      </w:pPr>
      <w:r>
        <w:rPr>
          <w:rFonts w:eastAsia="Segoe UI"/>
          <w:color w:val="000000"/>
        </w:rPr>
        <w:t>Testing</w:t>
      </w:r>
      <w:r w:rsidRPr="00DC702B">
        <w:rPr>
          <w:rFonts w:eastAsia="Segoe UI"/>
          <w:color w:val="000000"/>
        </w:rPr>
        <w:t xml:space="preserve"> should be conducted and the results be interpreted and reported by </w:t>
      </w:r>
      <w:r w:rsidR="004774D9">
        <w:rPr>
          <w:rFonts w:eastAsia="Segoe UI"/>
          <w:color w:val="000000"/>
        </w:rPr>
        <w:t xml:space="preserve">a </w:t>
      </w:r>
      <w:r w:rsidR="00AC0ECB">
        <w:rPr>
          <w:rFonts w:eastAsia="Segoe UI"/>
          <w:color w:val="000000"/>
        </w:rPr>
        <w:t>registered</w:t>
      </w:r>
      <w:r w:rsidRPr="00DC702B">
        <w:rPr>
          <w:rFonts w:eastAsia="Segoe UI"/>
          <w:color w:val="000000"/>
        </w:rPr>
        <w:t xml:space="preserve"> molecular pathologist in </w:t>
      </w:r>
      <w:r w:rsidR="00AC0ECB">
        <w:rPr>
          <w:rFonts w:eastAsia="Segoe UI"/>
          <w:color w:val="000000"/>
        </w:rPr>
        <w:t>a</w:t>
      </w:r>
      <w:r w:rsidR="00F3749F">
        <w:rPr>
          <w:rFonts w:eastAsia="Segoe UI"/>
          <w:color w:val="000000"/>
        </w:rPr>
        <w:t xml:space="preserve"> </w:t>
      </w:r>
      <w:r w:rsidR="00F3749F" w:rsidRPr="00F3749F">
        <w:rPr>
          <w:rFonts w:eastAsia="Segoe UI"/>
          <w:color w:val="000000"/>
        </w:rPr>
        <w:t>National Association of Testing Authorities (NATA) accredited laborator</w:t>
      </w:r>
      <w:r w:rsidR="00F3749F">
        <w:rPr>
          <w:rFonts w:eastAsia="Segoe UI"/>
          <w:color w:val="000000"/>
        </w:rPr>
        <w:t>y, which is validated to perform FGFR2 fusion or rearrangement testing.</w:t>
      </w:r>
    </w:p>
    <w:p w14:paraId="46150CA8" w14:textId="2602760A" w:rsidR="006227EF" w:rsidRPr="00BC0C43" w:rsidRDefault="006227EF" w:rsidP="00E8641D">
      <w:pPr>
        <w:pStyle w:val="Heading2"/>
        <w:jc w:val="both"/>
      </w:pPr>
      <w:r w:rsidRPr="00BE0612">
        <w:lastRenderedPageBreak/>
        <w:t xml:space="preserve">If applicable, advise </w:t>
      </w:r>
      <w:r w:rsidR="00BE0612" w:rsidRPr="00BE0612">
        <w:t>whether delivery of the proposed health technology can be delegated to another</w:t>
      </w:r>
      <w:r w:rsidRPr="00BE0612">
        <w:t xml:space="preserve"> health professional:</w:t>
      </w:r>
    </w:p>
    <w:p w14:paraId="5A95FA3B" w14:textId="6FC4BB6E" w:rsidR="00665487" w:rsidRPr="00BC0C43" w:rsidRDefault="00DB7DBE" w:rsidP="00BC0C43">
      <w:pPr>
        <w:rPr>
          <w:rFonts w:asciiTheme="minorHAnsi" w:eastAsia="Segoe UI" w:hAnsiTheme="minorHAnsi" w:cstheme="minorHAnsi"/>
          <w:color w:val="000000"/>
        </w:rPr>
      </w:pPr>
      <w:r>
        <w:t>N/A</w:t>
      </w:r>
    </w:p>
    <w:p w14:paraId="414D5196" w14:textId="42D4776C" w:rsidR="006227EF" w:rsidRPr="00BC0C43" w:rsidRDefault="006227EF" w:rsidP="00E8641D">
      <w:pPr>
        <w:pStyle w:val="Heading2"/>
        <w:jc w:val="both"/>
      </w:pPr>
      <w:r w:rsidRPr="00BE0612">
        <w:t xml:space="preserve">If applicable, advise </w:t>
      </w:r>
      <w:r w:rsidR="00BE0612" w:rsidRPr="00BE0612">
        <w:t>if there are any limitations on which health professionals might provide a referral for</w:t>
      </w:r>
      <w:r w:rsidRPr="00BE0612">
        <w:t xml:space="preserve"> the proposed health technology:</w:t>
      </w:r>
    </w:p>
    <w:p w14:paraId="2D32E792" w14:textId="054ECA47" w:rsidR="0042023C" w:rsidRDefault="0042023C" w:rsidP="00F43687">
      <w:pPr>
        <w:jc w:val="both"/>
      </w:pPr>
      <w:r>
        <w:t xml:space="preserve">Testing should be </w:t>
      </w:r>
      <w:r w:rsidR="009D3130">
        <w:t>based on a referral from a specialist or consultant physician</w:t>
      </w:r>
      <w:r>
        <w:t xml:space="preserve"> </w:t>
      </w:r>
      <w:r w:rsidR="72600545">
        <w:t>i.e</w:t>
      </w:r>
      <w:r w:rsidR="009D3130">
        <w:t>. specialist</w:t>
      </w:r>
      <w:r>
        <w:t xml:space="preserve"> </w:t>
      </w:r>
      <w:r w:rsidRPr="00577007">
        <w:t>oncologist</w:t>
      </w:r>
      <w:r>
        <w:t xml:space="preserve">. </w:t>
      </w:r>
    </w:p>
    <w:p w14:paraId="30AC00A8" w14:textId="634D8B2C" w:rsidR="00380C41" w:rsidRDefault="00380C41" w:rsidP="00E8641D">
      <w:pPr>
        <w:pStyle w:val="Heading2"/>
        <w:jc w:val="both"/>
      </w:pPr>
      <w:r>
        <w:t xml:space="preserve">Is there specific training or qualifications required to provide or deliver the proposed service, and/or any accreditation requirements to support delivery of the health technology? </w:t>
      </w:r>
    </w:p>
    <w:p w14:paraId="4E1F9F81" w14:textId="608316F6" w:rsidR="00380C41" w:rsidRDefault="00380C41" w:rsidP="00BC0C43">
      <w:r w:rsidRPr="00A97A1C">
        <w:t>Yes</w:t>
      </w:r>
    </w:p>
    <w:p w14:paraId="0E842550" w14:textId="4EA98943" w:rsidR="00380C41" w:rsidRPr="00BC0C43" w:rsidRDefault="00380C41" w:rsidP="00BC0C43">
      <w:pPr>
        <w:pStyle w:val="Heading2"/>
      </w:pPr>
      <w:r>
        <w:t>Provide details and explain:</w:t>
      </w:r>
    </w:p>
    <w:p w14:paraId="7002A155" w14:textId="6F54C5AE" w:rsidR="00582377" w:rsidRPr="00EA0AA0" w:rsidRDefault="00F321B9" w:rsidP="00F43687">
      <w:pPr>
        <w:jc w:val="both"/>
        <w:rPr>
          <w:rFonts w:asciiTheme="minorHAnsi" w:eastAsia="Segoe UI" w:hAnsiTheme="minorHAnsi" w:cstheme="minorHAnsi"/>
          <w:color w:val="000000"/>
        </w:rPr>
      </w:pPr>
      <w:r>
        <w:t xml:space="preserve">Testing for the detection of </w:t>
      </w:r>
      <w:r w:rsidRPr="00EE631B">
        <w:t>FGFR2 fusion or rearrangement</w:t>
      </w:r>
      <w:r w:rsidRPr="00EE631B">
        <w:rPr>
          <w:b/>
          <w:bCs/>
        </w:rPr>
        <w:t xml:space="preserve"> </w:t>
      </w:r>
      <w:r>
        <w:t xml:space="preserve">using NGS would be conducted in a NATA-accredited laboratory </w:t>
      </w:r>
      <w:r w:rsidR="00FD2C66">
        <w:t xml:space="preserve">using a validated test </w:t>
      </w:r>
      <w:r>
        <w:t xml:space="preserve">with the results interpreted and reported by </w:t>
      </w:r>
      <w:r w:rsidR="00D8086E">
        <w:t>a suitably qualified and trained</w:t>
      </w:r>
      <w:r>
        <w:t xml:space="preserve"> pathologist</w:t>
      </w:r>
      <w:r w:rsidR="00702B2B">
        <w:t>.</w:t>
      </w:r>
    </w:p>
    <w:p w14:paraId="54E88C9C" w14:textId="29E2DD0A" w:rsidR="00380C41" w:rsidRDefault="00BB494A" w:rsidP="00BC0C43">
      <w:pPr>
        <w:pStyle w:val="Heading2"/>
        <w:rPr>
          <w:rStyle w:val="InstructionsChar"/>
        </w:rPr>
      </w:pPr>
      <w:r>
        <w:t xml:space="preserve">Indicate the proposed setting(s) in which the proposed health technology will be delivered: </w:t>
      </w:r>
    </w:p>
    <w:p w14:paraId="6C4BF8E1" w14:textId="77777777" w:rsidR="00BC0C43" w:rsidRPr="00BC0C43" w:rsidRDefault="00BC0C43"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BB4E10">
        <w:fldChar w:fldCharType="separate"/>
      </w:r>
      <w:r w:rsidRPr="00BC0C43">
        <w:fldChar w:fldCharType="end"/>
      </w:r>
      <w:r w:rsidRPr="00BC0C43">
        <w:t xml:space="preserve"> </w:t>
      </w:r>
      <w:r w:rsidR="00BB494A" w:rsidRPr="00BC0C43">
        <w:t>Consulting rooms</w:t>
      </w:r>
      <w:r w:rsidR="00380C41" w:rsidRPr="00BC0C43">
        <w:t xml:space="preserve"> </w:t>
      </w:r>
    </w:p>
    <w:p w14:paraId="27A91C50" w14:textId="0DD9818F" w:rsidR="00380C41" w:rsidRPr="00BC0C43" w:rsidRDefault="00380C41" w:rsidP="00582377">
      <w:pPr>
        <w:pStyle w:val="Tickboxes"/>
      </w:pPr>
      <w:r w:rsidRPr="00BC0C43">
        <w:fldChar w:fldCharType="begin">
          <w:ffData>
            <w:name w:val="Check2"/>
            <w:enabled/>
            <w:calcOnExit w:val="0"/>
            <w:checkBox>
              <w:sizeAuto/>
              <w:default w:val="0"/>
            </w:checkBox>
          </w:ffData>
        </w:fldChar>
      </w:r>
      <w:r w:rsidRPr="00BC0C43">
        <w:instrText xml:space="preserve"> FORMCHECKBOX </w:instrText>
      </w:r>
      <w:r w:rsidR="00BB4E10">
        <w:fldChar w:fldCharType="separate"/>
      </w:r>
      <w:r w:rsidRPr="00BC0C43">
        <w:fldChar w:fldCharType="end"/>
      </w:r>
      <w:r w:rsidRPr="00BC0C43">
        <w:t xml:space="preserve"> </w:t>
      </w:r>
      <w:r w:rsidR="00BB494A" w:rsidRPr="00BC0C43">
        <w:t>Day surgery centre</w:t>
      </w:r>
    </w:p>
    <w:p w14:paraId="1DAFF305" w14:textId="40C84702" w:rsidR="00380C41" w:rsidRPr="00BC0C43" w:rsidRDefault="00380C41"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BB4E10">
        <w:fldChar w:fldCharType="separate"/>
      </w:r>
      <w:r w:rsidRPr="00BC0C43">
        <w:fldChar w:fldCharType="end"/>
      </w:r>
      <w:r w:rsidRPr="00BC0C43">
        <w:t xml:space="preserve"> </w:t>
      </w:r>
      <w:r w:rsidR="00BB494A" w:rsidRPr="00BC0C43">
        <w:t>Emergency Department</w:t>
      </w:r>
      <w:r w:rsidRPr="00BC0C43">
        <w:t xml:space="preserve"> </w:t>
      </w:r>
    </w:p>
    <w:p w14:paraId="020AC503" w14:textId="5C662B9C" w:rsidR="00380C41" w:rsidRPr="00BC0C43" w:rsidRDefault="00380C41" w:rsidP="00582377">
      <w:pPr>
        <w:pStyle w:val="Tickboxes"/>
      </w:pPr>
      <w:r w:rsidRPr="00BC0C43">
        <w:fldChar w:fldCharType="begin">
          <w:ffData>
            <w:name w:val="Check2"/>
            <w:enabled/>
            <w:calcOnExit w:val="0"/>
            <w:checkBox>
              <w:sizeAuto/>
              <w:default w:val="0"/>
            </w:checkBox>
          </w:ffData>
        </w:fldChar>
      </w:r>
      <w:r w:rsidRPr="00BC0C43">
        <w:instrText xml:space="preserve"> FORMCHECKBOX </w:instrText>
      </w:r>
      <w:r w:rsidR="00BB4E10">
        <w:fldChar w:fldCharType="separate"/>
      </w:r>
      <w:r w:rsidRPr="00BC0C43">
        <w:fldChar w:fldCharType="end"/>
      </w:r>
      <w:r w:rsidRPr="00BC0C43">
        <w:t xml:space="preserve"> </w:t>
      </w:r>
      <w:r w:rsidR="00BB494A" w:rsidRPr="00BC0C43">
        <w:t>Inpatient private hospital</w:t>
      </w:r>
    </w:p>
    <w:p w14:paraId="6E8C6D7D" w14:textId="0255442B" w:rsidR="00BB494A" w:rsidRPr="00BC0C43" w:rsidRDefault="00BB494A"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BB4E10">
        <w:fldChar w:fldCharType="separate"/>
      </w:r>
      <w:r w:rsidRPr="00BC0C43">
        <w:fldChar w:fldCharType="end"/>
      </w:r>
      <w:r w:rsidRPr="00BC0C43">
        <w:t xml:space="preserve"> Inpatient public hospital</w:t>
      </w:r>
    </w:p>
    <w:p w14:paraId="1C5133DF" w14:textId="77B6CEA8" w:rsidR="00BB494A" w:rsidRPr="00BC0C43" w:rsidRDefault="00D8086E" w:rsidP="00582377">
      <w:pPr>
        <w:pStyle w:val="Tickboxes"/>
      </w:pPr>
      <w:r>
        <w:fldChar w:fldCharType="begin">
          <w:ffData>
            <w:name w:val="Check2"/>
            <w:enabled/>
            <w:calcOnExit w:val="0"/>
            <w:checkBox>
              <w:sizeAuto/>
              <w:default w:val="1"/>
            </w:checkBox>
          </w:ffData>
        </w:fldChar>
      </w:r>
      <w:bookmarkStart w:id="3" w:name="Check2"/>
      <w:r>
        <w:instrText xml:space="preserve"> FORMCHECKBOX </w:instrText>
      </w:r>
      <w:r w:rsidR="00BB4E10">
        <w:fldChar w:fldCharType="separate"/>
      </w:r>
      <w:r>
        <w:fldChar w:fldCharType="end"/>
      </w:r>
      <w:bookmarkEnd w:id="3"/>
      <w:r w:rsidR="00BB494A" w:rsidRPr="00BC0C43">
        <w:t xml:space="preserve"> Laboratory</w:t>
      </w:r>
    </w:p>
    <w:p w14:paraId="723FB55F" w14:textId="4F589AB5" w:rsidR="00BB494A" w:rsidRPr="00BC0C43" w:rsidRDefault="00BB494A"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BB4E10">
        <w:fldChar w:fldCharType="separate"/>
      </w:r>
      <w:r w:rsidRPr="00BC0C43">
        <w:fldChar w:fldCharType="end"/>
      </w:r>
      <w:r w:rsidRPr="00BC0C43">
        <w:t xml:space="preserve"> Outpatient clinic </w:t>
      </w:r>
    </w:p>
    <w:p w14:paraId="111DE2AB" w14:textId="35A5324A" w:rsidR="00BB494A" w:rsidRPr="00BC0C43" w:rsidRDefault="00BB494A" w:rsidP="00582377">
      <w:pPr>
        <w:pStyle w:val="Tickboxes"/>
      </w:pPr>
      <w:r w:rsidRPr="00BC0C43">
        <w:fldChar w:fldCharType="begin">
          <w:ffData>
            <w:name w:val="Check2"/>
            <w:enabled/>
            <w:calcOnExit w:val="0"/>
            <w:checkBox>
              <w:sizeAuto/>
              <w:default w:val="0"/>
            </w:checkBox>
          </w:ffData>
        </w:fldChar>
      </w:r>
      <w:r w:rsidRPr="00BC0C43">
        <w:instrText xml:space="preserve"> FORMCHECKBOX </w:instrText>
      </w:r>
      <w:r w:rsidR="00BB4E10">
        <w:fldChar w:fldCharType="separate"/>
      </w:r>
      <w:r w:rsidRPr="00BC0C43">
        <w:fldChar w:fldCharType="end"/>
      </w:r>
      <w:r w:rsidRPr="00BC0C43">
        <w:t xml:space="preserve"> Patient’s home</w:t>
      </w:r>
    </w:p>
    <w:p w14:paraId="428D75FD" w14:textId="3E4C76FA" w:rsidR="00BB494A" w:rsidRPr="00BC0C43" w:rsidRDefault="00BB494A"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BB4E10">
        <w:fldChar w:fldCharType="separate"/>
      </w:r>
      <w:r w:rsidRPr="00BC0C43">
        <w:fldChar w:fldCharType="end"/>
      </w:r>
      <w:r w:rsidRPr="00BC0C43">
        <w:t xml:space="preserve"> Point of care testing </w:t>
      </w:r>
    </w:p>
    <w:p w14:paraId="47F449C5" w14:textId="7A9B3B9E" w:rsidR="00BB494A" w:rsidRPr="00BC0C43" w:rsidRDefault="00BB494A" w:rsidP="00582377">
      <w:pPr>
        <w:pStyle w:val="Tickboxes"/>
      </w:pPr>
      <w:r w:rsidRPr="00BC0C43">
        <w:fldChar w:fldCharType="begin">
          <w:ffData>
            <w:name w:val="Check2"/>
            <w:enabled/>
            <w:calcOnExit w:val="0"/>
            <w:checkBox>
              <w:sizeAuto/>
              <w:default w:val="0"/>
            </w:checkBox>
          </w:ffData>
        </w:fldChar>
      </w:r>
      <w:r w:rsidRPr="00BC0C43">
        <w:instrText xml:space="preserve"> FORMCHECKBOX </w:instrText>
      </w:r>
      <w:r w:rsidR="00BB4E10">
        <w:fldChar w:fldCharType="separate"/>
      </w:r>
      <w:r w:rsidRPr="00BC0C43">
        <w:fldChar w:fldCharType="end"/>
      </w:r>
      <w:r w:rsidRPr="00BC0C43">
        <w:t xml:space="preserve"> Residential aged care facility</w:t>
      </w:r>
    </w:p>
    <w:p w14:paraId="594B3A20" w14:textId="2E5732C5" w:rsidR="00BB494A" w:rsidRPr="000627EF" w:rsidRDefault="00BB494A"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BB4E10">
        <w:fldChar w:fldCharType="separate"/>
      </w:r>
      <w:r w:rsidRPr="00BC0C43">
        <w:fldChar w:fldCharType="end"/>
      </w:r>
      <w:r w:rsidRPr="00BC0C43">
        <w:t xml:space="preserve"> Other (please specify) </w:t>
      </w:r>
    </w:p>
    <w:p w14:paraId="2A1C0D0A" w14:textId="3D79FC0A" w:rsidR="002D7216" w:rsidRDefault="002D7216" w:rsidP="00BC0C43">
      <w:pPr>
        <w:pStyle w:val="Heading2"/>
      </w:pPr>
      <w:r>
        <w:t xml:space="preserve">Is the proposed health technology intended to be entirely rendered inside Australia? </w:t>
      </w:r>
    </w:p>
    <w:p w14:paraId="0478F3B1" w14:textId="6CE4F728" w:rsidR="002D7216" w:rsidRDefault="002D7216" w:rsidP="00BC0C43">
      <w:r w:rsidRPr="00A97A1C">
        <w:t>Yes</w:t>
      </w:r>
    </w:p>
    <w:p w14:paraId="659D2B35" w14:textId="6E584A32" w:rsidR="002D7216" w:rsidRPr="00BC0C43" w:rsidRDefault="00EA0AA0" w:rsidP="00E8641D">
      <w:pPr>
        <w:pStyle w:val="Heading2"/>
        <w:jc w:val="both"/>
      </w:pPr>
      <w:r>
        <w:t>P</w:t>
      </w:r>
      <w:r w:rsidR="002D7216">
        <w:t>rovide additional details on the proposed health technology to be rendered outside of Australia:</w:t>
      </w:r>
    </w:p>
    <w:p w14:paraId="598F6A3E" w14:textId="6F054880" w:rsidR="002D7216" w:rsidRDefault="00E236A4" w:rsidP="00BC0C43">
      <w:pPr>
        <w:rPr>
          <w:rFonts w:asciiTheme="minorHAnsi" w:eastAsia="Segoe UI" w:hAnsiTheme="minorHAnsi" w:cstheme="minorHAnsi"/>
          <w:color w:val="000000"/>
        </w:rPr>
      </w:pPr>
      <w:r>
        <w:t>N/A</w:t>
      </w:r>
    </w:p>
    <w:p w14:paraId="5B9D9A2F" w14:textId="5569185C" w:rsidR="00FE257E" w:rsidRPr="00EA0AA0" w:rsidRDefault="00FE257E" w:rsidP="00EA0AA0">
      <w:pPr>
        <w:pStyle w:val="Heading1"/>
      </w:pPr>
      <w:r w:rsidRPr="00EA0AA0">
        <w:t>Comparator</w:t>
      </w:r>
    </w:p>
    <w:p w14:paraId="4FFBF7A2" w14:textId="68C9C7EE" w:rsidR="00FE257E" w:rsidRDefault="00FE257E" w:rsidP="00E8641D">
      <w:pPr>
        <w:pStyle w:val="Heading2"/>
        <w:jc w:val="both"/>
      </w:pPr>
      <w:r w:rsidRPr="00FE257E">
        <w:t>Nominate the appropriate comparator(s) for the proposed medical service (i.e.</w:t>
      </w:r>
      <w:r w:rsidR="00010AAA">
        <w:t>,</w:t>
      </w:r>
      <w:r w:rsidRPr="00FE257E">
        <w:t xml:space="preserve"> how is the proposed population currently managed in the absence of the proposed medical service being available in the </w:t>
      </w:r>
      <w:r w:rsidRPr="00FE257E">
        <w:rPr>
          <w:u w:val="single"/>
        </w:rPr>
        <w:t>Australian healthcare system)</w:t>
      </w:r>
      <w:r w:rsidRPr="00FE257E">
        <w:t>. This includes identifying healthcare resources that are needed to be delivered at the same time as the comparator service</w:t>
      </w:r>
      <w:r>
        <w:t>:</w:t>
      </w:r>
    </w:p>
    <w:p w14:paraId="5F69A2EF" w14:textId="786526A7" w:rsidR="00EA0AA0" w:rsidRDefault="00D6074F" w:rsidP="00F43687">
      <w:pPr>
        <w:jc w:val="both"/>
        <w:rPr>
          <w:rFonts w:asciiTheme="minorHAnsi" w:eastAsia="Segoe UI" w:hAnsiTheme="minorHAnsi" w:cstheme="minorHAnsi"/>
          <w:color w:val="000000"/>
        </w:rPr>
      </w:pPr>
      <w:r w:rsidRPr="00C63469">
        <w:rPr>
          <w:i/>
          <w:iCs/>
        </w:rPr>
        <w:t>Test:</w:t>
      </w:r>
      <w:r>
        <w:t xml:space="preserve"> </w:t>
      </w:r>
      <w:r w:rsidR="00785992">
        <w:t>The nominated comparator is ‘no testing’.</w:t>
      </w:r>
      <w:r w:rsidR="00785992" w:rsidRPr="00BC0C43">
        <w:rPr>
          <w:rFonts w:asciiTheme="minorHAnsi" w:eastAsia="Segoe UI" w:hAnsiTheme="minorHAnsi" w:cstheme="minorHAnsi"/>
          <w:color w:val="000000"/>
        </w:rPr>
        <w:t xml:space="preserve"> </w:t>
      </w:r>
    </w:p>
    <w:p w14:paraId="235EBCE2" w14:textId="11CE2C58" w:rsidR="002F1F87" w:rsidRDefault="00D6074F" w:rsidP="00F43687">
      <w:pPr>
        <w:jc w:val="both"/>
      </w:pPr>
      <w:r w:rsidRPr="00C63469">
        <w:rPr>
          <w:i/>
          <w:iCs/>
        </w:rPr>
        <w:t>Treatment:</w:t>
      </w:r>
      <w:r>
        <w:t xml:space="preserve"> </w:t>
      </w:r>
      <w:r w:rsidR="000279F9">
        <w:t xml:space="preserve">Standard of care </w:t>
      </w:r>
      <w:r w:rsidR="00CF75AF">
        <w:t>subsequent-line therapy</w:t>
      </w:r>
      <w:r w:rsidR="00761C2E">
        <w:t>, noting that g</w:t>
      </w:r>
      <w:r w:rsidR="00CF75AF">
        <w:t xml:space="preserve">uidelines (ESMO, NCCN) </w:t>
      </w:r>
      <w:r w:rsidR="001069ED">
        <w:t>recommend FOLFOX as a preferred regimen</w:t>
      </w:r>
      <w:r w:rsidR="0010201C">
        <w:t xml:space="preserve"> </w:t>
      </w:r>
      <w:r w:rsidR="007A708E">
        <w:t>for ‘all comers’</w:t>
      </w:r>
      <w:r w:rsidR="00A01B06">
        <w:t xml:space="preserve">. </w:t>
      </w:r>
    </w:p>
    <w:p w14:paraId="2B0AC462" w14:textId="1C37B9B8" w:rsidR="00D6074F" w:rsidRPr="00785992" w:rsidRDefault="007E1671" w:rsidP="00F43687">
      <w:pPr>
        <w:jc w:val="both"/>
      </w:pPr>
      <w:r>
        <w:t xml:space="preserve">Application </w:t>
      </w:r>
      <w:r w:rsidR="00750459">
        <w:t xml:space="preserve">1750 </w:t>
      </w:r>
      <w:r w:rsidR="00F321C5">
        <w:t>(</w:t>
      </w:r>
      <w:r w:rsidR="00F321C5" w:rsidRPr="006C73BE">
        <w:t xml:space="preserve">Testing of tumour tissue to detect IDH1 mutations in patients with cholangiocarcinoma to determine eligibility for </w:t>
      </w:r>
      <w:proofErr w:type="spellStart"/>
      <w:r w:rsidR="00F321C5" w:rsidRPr="006C73BE">
        <w:t>ivosidenib</w:t>
      </w:r>
      <w:proofErr w:type="spellEnd"/>
      <w:r w:rsidR="00F321C5" w:rsidRPr="006C73BE">
        <w:t xml:space="preserve"> on the PBS</w:t>
      </w:r>
      <w:r w:rsidR="00F321C5">
        <w:t xml:space="preserve">) </w:t>
      </w:r>
      <w:r w:rsidR="00750459">
        <w:t>nominated</w:t>
      </w:r>
      <w:r w:rsidR="00251051">
        <w:t xml:space="preserve"> palliative care as </w:t>
      </w:r>
      <w:r w:rsidR="00603BA2">
        <w:t>a primary comparator</w:t>
      </w:r>
      <w:r w:rsidR="002F1F87">
        <w:t>, which was accepted in the Ratified PICO.</w:t>
      </w:r>
      <w:r w:rsidR="00490B29">
        <w:t xml:space="preserve"> </w:t>
      </w:r>
      <w:r w:rsidR="00657CC6">
        <w:t xml:space="preserve">The sponsor would appreciate feedback from </w:t>
      </w:r>
      <w:r w:rsidR="00EE18A2">
        <w:t xml:space="preserve">the </w:t>
      </w:r>
      <w:r w:rsidR="00657CC6">
        <w:t>PASC with regard to the relevance of palliative care for this application</w:t>
      </w:r>
      <w:r w:rsidR="00306C62">
        <w:t>.</w:t>
      </w:r>
    </w:p>
    <w:p w14:paraId="3E3431F7" w14:textId="71478296" w:rsidR="00FE257E" w:rsidRDefault="00955904" w:rsidP="00BC0C43">
      <w:pPr>
        <w:pStyle w:val="Heading2"/>
      </w:pPr>
      <w:r>
        <w:lastRenderedPageBreak/>
        <w:t>List any existing MBS item numbers that are relevant for the nominated comparators</w:t>
      </w:r>
      <w:r w:rsidR="000627EF">
        <w:t>:</w:t>
      </w:r>
      <w:r w:rsidR="00FE257E">
        <w:t xml:space="preserve"> </w:t>
      </w:r>
    </w:p>
    <w:p w14:paraId="63959FFE" w14:textId="75AB14D7" w:rsidR="00955904" w:rsidRPr="00BC0C43" w:rsidRDefault="00785992" w:rsidP="00BC0C43">
      <w:pPr>
        <w:rPr>
          <w:rFonts w:asciiTheme="minorHAnsi" w:eastAsia="Segoe UI" w:hAnsiTheme="minorHAnsi" w:cstheme="minorHAnsi"/>
          <w:color w:val="000000"/>
        </w:rPr>
      </w:pPr>
      <w:r>
        <w:t>N/A</w:t>
      </w:r>
    </w:p>
    <w:p w14:paraId="7AE42CF7" w14:textId="1FFF8B0A" w:rsidR="00FE257E" w:rsidRPr="00BC0C43" w:rsidRDefault="00EA0AA0" w:rsidP="00BC0C43">
      <w:pPr>
        <w:pStyle w:val="Heading2"/>
      </w:pPr>
      <w:r>
        <w:t>P</w:t>
      </w:r>
      <w:r w:rsidR="005B5A58">
        <w:t>rovide a rationale for why this is a comparator</w:t>
      </w:r>
      <w:r w:rsidR="000627EF">
        <w:t>:</w:t>
      </w:r>
    </w:p>
    <w:p w14:paraId="2F47DBF3" w14:textId="2633CD37" w:rsidR="00FE257E" w:rsidRDefault="0006778A" w:rsidP="00F43687">
      <w:pPr>
        <w:jc w:val="both"/>
      </w:pPr>
      <w:r w:rsidRPr="00991D8E">
        <w:rPr>
          <w:i/>
          <w:iCs/>
        </w:rPr>
        <w:t>Test:</w:t>
      </w:r>
      <w:r>
        <w:t xml:space="preserve"> </w:t>
      </w:r>
      <w:r w:rsidR="00785992">
        <w:t>For patients with CCA, there is no molecular testing in the current clinical management pathway.</w:t>
      </w:r>
    </w:p>
    <w:p w14:paraId="5D4FB750" w14:textId="77777777" w:rsidR="0090226D" w:rsidRDefault="0090226D" w:rsidP="00F43687">
      <w:pPr>
        <w:jc w:val="both"/>
      </w:pPr>
    </w:p>
    <w:p w14:paraId="4DAA2E8D" w14:textId="66AEC96A" w:rsidR="0090226D" w:rsidRPr="0090226D" w:rsidRDefault="0090226D" w:rsidP="00F43687">
      <w:pPr>
        <w:jc w:val="both"/>
        <w:rPr>
          <w:rFonts w:asciiTheme="minorHAnsi" w:eastAsia="Segoe UI" w:hAnsiTheme="minorHAnsi" w:cstheme="minorHAnsi"/>
          <w:i/>
          <w:iCs/>
          <w:color w:val="000000"/>
        </w:rPr>
      </w:pPr>
      <w:r w:rsidRPr="0090226D">
        <w:rPr>
          <w:i/>
          <w:iCs/>
        </w:rPr>
        <w:t xml:space="preserve">Treatment: </w:t>
      </w:r>
      <w:r w:rsidR="00145C1A">
        <w:t xml:space="preserve">Currently, there </w:t>
      </w:r>
      <w:r w:rsidR="00145C1A" w:rsidRPr="00865C47">
        <w:t xml:space="preserve">are no </w:t>
      </w:r>
      <w:r w:rsidR="00145C1A">
        <w:t>reimbursed</w:t>
      </w:r>
      <w:r w:rsidR="00145C1A" w:rsidRPr="00865C47">
        <w:t xml:space="preserve"> therapies</w:t>
      </w:r>
      <w:r w:rsidR="00145C1A">
        <w:t xml:space="preserve"> specifically</w:t>
      </w:r>
      <w:r w:rsidR="00145C1A" w:rsidRPr="00865C47">
        <w:t xml:space="preserve"> for the</w:t>
      </w:r>
      <w:r w:rsidR="00145C1A">
        <w:t xml:space="preserve"> treatment of patients</w:t>
      </w:r>
      <w:r w:rsidR="00145C1A" w:rsidRPr="00865C47">
        <w:t xml:space="preserve"> with </w:t>
      </w:r>
      <w:r w:rsidR="00CA27E8">
        <w:t>locally advanced</w:t>
      </w:r>
      <w:r w:rsidR="00B46A2D">
        <w:t xml:space="preserve"> or metastatic</w:t>
      </w:r>
      <w:r w:rsidR="00145C1A" w:rsidRPr="00865C47">
        <w:t xml:space="preserve"> </w:t>
      </w:r>
      <w:r w:rsidR="00145C1A">
        <w:t xml:space="preserve">CCA </w:t>
      </w:r>
      <w:r w:rsidR="00145C1A" w:rsidRPr="00865C47">
        <w:t xml:space="preserve">with FGFR2 fusion or rearrangement whose disease has progressed following </w:t>
      </w:r>
      <w:r w:rsidR="00B46A2D">
        <w:t xml:space="preserve">≥1 line of prior systemic therapy. </w:t>
      </w:r>
      <w:r w:rsidR="00E94EFB">
        <w:t>Aligned with clinical guidelines</w:t>
      </w:r>
      <w:r w:rsidR="00DF267C">
        <w:t xml:space="preserve"> (ESMO, NCCN)</w:t>
      </w:r>
      <w:r w:rsidR="00E94EFB">
        <w:t xml:space="preserve">, these patients are likely to receive treatment </w:t>
      </w:r>
      <w:r w:rsidR="00DF267C">
        <w:t xml:space="preserve">regimens </w:t>
      </w:r>
      <w:r w:rsidR="00E94EFB">
        <w:t xml:space="preserve">recommended for all-comers, with FOLFOX being the preferred </w:t>
      </w:r>
      <w:r w:rsidR="00745185">
        <w:t>option.</w:t>
      </w:r>
      <w:r w:rsidR="009D0C37">
        <w:t xml:space="preserve"> Results from the randomi</w:t>
      </w:r>
      <w:r w:rsidR="00FD2C66">
        <w:t>s</w:t>
      </w:r>
      <w:r w:rsidR="009D0C37">
        <w:t>ed Phase 3 ABC-06 study showed that compared to active symptom control alone, active symptom control combined with FOLFOX in patients previously treated with combined cisplatin and gemcitabine improved median OS (6.2 vs. 5.3 months; adjusted HR, 0.69; P = .031)</w:t>
      </w:r>
      <w:r w:rsidR="003E2A8B">
        <w:t xml:space="preserve"> </w:t>
      </w:r>
      <w:sdt>
        <w:sdtPr>
          <w:id w:val="-1358804020"/>
          <w:citation/>
        </w:sdtPr>
        <w:sdtEndPr/>
        <w:sdtContent>
          <w:r w:rsidR="003E2A8B">
            <w:fldChar w:fldCharType="begin"/>
          </w:r>
          <w:r w:rsidR="003E2A8B">
            <w:instrText xml:space="preserve"> CITATION NCC231 \l 3081 </w:instrText>
          </w:r>
          <w:r w:rsidR="003E2A8B">
            <w:fldChar w:fldCharType="separate"/>
          </w:r>
          <w:r w:rsidR="003E2A8B">
            <w:rPr>
              <w:noProof/>
            </w:rPr>
            <w:t>(NCCN, 2023)</w:t>
          </w:r>
          <w:r w:rsidR="003E2A8B">
            <w:fldChar w:fldCharType="end"/>
          </w:r>
        </w:sdtContent>
      </w:sdt>
      <w:r w:rsidR="009D0C37">
        <w:t>.</w:t>
      </w:r>
    </w:p>
    <w:p w14:paraId="7D835BE0" w14:textId="77777777" w:rsidR="00361BBE" w:rsidRDefault="005B5A58" w:rsidP="00EB5898">
      <w:pPr>
        <w:pStyle w:val="Heading2"/>
        <w:jc w:val="both"/>
      </w:pPr>
      <w:r>
        <w:t xml:space="preserve">Pattern of substitution – Will the proposed health technology wholly replace the proposed comparator, partially replace </w:t>
      </w:r>
      <w:r w:rsidR="000627EF">
        <w:t>the proposed comparator, displace the proposed comparator or be used in combination with the proposed comparator?</w:t>
      </w:r>
      <w:r w:rsidR="00DB2D53">
        <w:t xml:space="preserve"> </w:t>
      </w:r>
    </w:p>
    <w:p w14:paraId="0A5F4C44" w14:textId="17ACE538" w:rsidR="000627EF" w:rsidRPr="00582377" w:rsidRDefault="00BC0C43" w:rsidP="00582377">
      <w:pPr>
        <w:pStyle w:val="Tickboxes"/>
      </w:pPr>
      <w:r w:rsidRPr="00582377">
        <w:fldChar w:fldCharType="begin">
          <w:ffData>
            <w:name w:val="Check2"/>
            <w:enabled/>
            <w:calcOnExit w:val="0"/>
            <w:checkBox>
              <w:sizeAuto/>
              <w:default w:val="0"/>
            </w:checkBox>
          </w:ffData>
        </w:fldChar>
      </w:r>
      <w:r w:rsidRPr="00582377">
        <w:instrText xml:space="preserve"> FORMCHECKBOX </w:instrText>
      </w:r>
      <w:r w:rsidR="00BB4E10">
        <w:fldChar w:fldCharType="separate"/>
      </w:r>
      <w:r w:rsidRPr="00582377">
        <w:fldChar w:fldCharType="end"/>
      </w:r>
      <w:r w:rsidRPr="00582377">
        <w:t xml:space="preserve"> </w:t>
      </w:r>
      <w:r w:rsidR="000627EF" w:rsidRPr="00582377">
        <w:t xml:space="preserve">None </w:t>
      </w:r>
      <w:r w:rsidRPr="00582377">
        <w:t>(u</w:t>
      </w:r>
      <w:r w:rsidR="000627EF" w:rsidRPr="00582377">
        <w:t>sed with the comparator</w:t>
      </w:r>
      <w:r w:rsidRPr="00582377">
        <w:t>)</w:t>
      </w:r>
      <w:r w:rsidR="000627EF" w:rsidRPr="00582377">
        <w:t xml:space="preserve"> </w:t>
      </w:r>
    </w:p>
    <w:p w14:paraId="04FD711F" w14:textId="6972BD6F" w:rsidR="000627EF" w:rsidRPr="00582377" w:rsidRDefault="000E359D" w:rsidP="00582377">
      <w:pPr>
        <w:pStyle w:val="Tickboxes"/>
      </w:pPr>
      <w:r>
        <w:fldChar w:fldCharType="begin">
          <w:ffData>
            <w:name w:val=""/>
            <w:enabled/>
            <w:calcOnExit w:val="0"/>
            <w:checkBox>
              <w:sizeAuto/>
              <w:default w:val="0"/>
            </w:checkBox>
          </w:ffData>
        </w:fldChar>
      </w:r>
      <w:r>
        <w:instrText xml:space="preserve"> FORMCHECKBOX </w:instrText>
      </w:r>
      <w:r w:rsidR="00BB4E10">
        <w:fldChar w:fldCharType="separate"/>
      </w:r>
      <w:r>
        <w:fldChar w:fldCharType="end"/>
      </w:r>
      <w:r w:rsidR="000627EF" w:rsidRPr="00582377">
        <w:t xml:space="preserve"> Displaced </w:t>
      </w:r>
      <w:r w:rsidR="00BC0C43" w:rsidRPr="00582377">
        <w:t>(c</w:t>
      </w:r>
      <w:r w:rsidR="000627EF" w:rsidRPr="00582377">
        <w:t>omparator will likely be used following the proposed technology in some patients</w:t>
      </w:r>
      <w:r w:rsidR="00BC0C43" w:rsidRPr="00582377">
        <w:t>)</w:t>
      </w:r>
    </w:p>
    <w:p w14:paraId="3243B3BE" w14:textId="53A9E1BA" w:rsidR="000627EF" w:rsidRPr="00582377" w:rsidRDefault="000627EF" w:rsidP="00582377">
      <w:pPr>
        <w:pStyle w:val="Tickboxes"/>
      </w:pPr>
      <w:r w:rsidRPr="00582377">
        <w:fldChar w:fldCharType="begin">
          <w:ffData>
            <w:name w:val="Check1"/>
            <w:enabled/>
            <w:calcOnExit w:val="0"/>
            <w:checkBox>
              <w:sizeAuto/>
              <w:default w:val="0"/>
            </w:checkBox>
          </w:ffData>
        </w:fldChar>
      </w:r>
      <w:r w:rsidRPr="00582377">
        <w:instrText xml:space="preserve"> FORMCHECKBOX </w:instrText>
      </w:r>
      <w:r w:rsidR="00BB4E10">
        <w:fldChar w:fldCharType="separate"/>
      </w:r>
      <w:r w:rsidRPr="00582377">
        <w:fldChar w:fldCharType="end"/>
      </w:r>
      <w:r w:rsidRPr="00582377">
        <w:t xml:space="preserve"> Partial </w:t>
      </w:r>
      <w:r w:rsidR="00BC0C43" w:rsidRPr="00582377">
        <w:t>(in</w:t>
      </w:r>
      <w:r w:rsidRPr="00582377">
        <w:t xml:space="preserve"> some cases, the proposed technology will replace the use of the comparator, but not all</w:t>
      </w:r>
      <w:r w:rsidR="00BC0C43" w:rsidRPr="00582377">
        <w:t>)</w:t>
      </w:r>
      <w:r w:rsidRPr="00582377">
        <w:t xml:space="preserve"> </w:t>
      </w:r>
    </w:p>
    <w:p w14:paraId="32AA0FD6" w14:textId="745515E8" w:rsidR="000627EF" w:rsidRPr="00582377" w:rsidRDefault="000E359D" w:rsidP="00582377">
      <w:pPr>
        <w:pStyle w:val="Tickboxes"/>
      </w:pPr>
      <w:r>
        <w:fldChar w:fldCharType="begin">
          <w:ffData>
            <w:name w:val=""/>
            <w:enabled/>
            <w:calcOnExit w:val="0"/>
            <w:checkBox>
              <w:sizeAuto/>
              <w:default w:val="1"/>
            </w:checkBox>
          </w:ffData>
        </w:fldChar>
      </w:r>
      <w:r>
        <w:instrText xml:space="preserve"> FORMCHECKBOX </w:instrText>
      </w:r>
      <w:r w:rsidR="00BB4E10">
        <w:fldChar w:fldCharType="separate"/>
      </w:r>
      <w:r>
        <w:fldChar w:fldCharType="end"/>
      </w:r>
      <w:r w:rsidR="000627EF" w:rsidRPr="00582377">
        <w:t xml:space="preserve"> Full </w:t>
      </w:r>
      <w:r w:rsidR="00BC0C43" w:rsidRPr="00582377">
        <w:t>(s</w:t>
      </w:r>
      <w:r w:rsidR="000627EF" w:rsidRPr="00582377">
        <w:t>ubjects who receive the proposed intervention will not receive the comparator</w:t>
      </w:r>
      <w:r w:rsidR="00BC0C43" w:rsidRPr="00582377">
        <w:t>)</w:t>
      </w:r>
    </w:p>
    <w:p w14:paraId="3D9A6633" w14:textId="0FC8A361" w:rsidR="000627EF" w:rsidRPr="00582377" w:rsidRDefault="00EA0AA0" w:rsidP="00EB5898">
      <w:pPr>
        <w:pStyle w:val="Heading2"/>
        <w:jc w:val="both"/>
      </w:pPr>
      <w:r>
        <w:t>Outline and e</w:t>
      </w:r>
      <w:r w:rsidR="000627EF" w:rsidRPr="00582377">
        <w:t>xplain the extent to which the current comparator is expected to be substituted:</w:t>
      </w:r>
    </w:p>
    <w:p w14:paraId="3040266B" w14:textId="27E6D7E5" w:rsidR="00315296" w:rsidRPr="00F62FBB" w:rsidRDefault="00315296" w:rsidP="00F43687">
      <w:pPr>
        <w:jc w:val="both"/>
        <w:rPr>
          <w:rFonts w:eastAsia="Segoe UI"/>
        </w:rPr>
      </w:pPr>
      <w:r>
        <w:rPr>
          <w:rFonts w:eastAsia="Segoe UI"/>
        </w:rPr>
        <w:t>The proposed test will</w:t>
      </w:r>
      <w:r w:rsidR="00B1348A" w:rsidRPr="001C218C">
        <w:rPr>
          <w:rFonts w:eastAsia="Segoe UI"/>
        </w:rPr>
        <w:t xml:space="preserve"> detect FGFR2 fusion</w:t>
      </w:r>
      <w:r w:rsidR="00FD2C66">
        <w:rPr>
          <w:rFonts w:eastAsia="Segoe UI"/>
        </w:rPr>
        <w:t>s</w:t>
      </w:r>
      <w:r w:rsidR="00B1348A" w:rsidRPr="001C218C">
        <w:rPr>
          <w:rFonts w:eastAsia="Segoe UI"/>
        </w:rPr>
        <w:t xml:space="preserve"> or rearrangement</w:t>
      </w:r>
      <w:r w:rsidR="00FD2C66">
        <w:rPr>
          <w:rFonts w:eastAsia="Segoe UI"/>
        </w:rPr>
        <w:t>s</w:t>
      </w:r>
      <w:r w:rsidR="00B1348A" w:rsidRPr="001C218C">
        <w:rPr>
          <w:rFonts w:eastAsia="Segoe UI"/>
        </w:rPr>
        <w:t xml:space="preserve"> in patients </w:t>
      </w:r>
      <w:r w:rsidR="00B1348A">
        <w:rPr>
          <w:rFonts w:eastAsia="Segoe UI"/>
        </w:rPr>
        <w:t xml:space="preserve">CCA, to determine PBS eligibility for </w:t>
      </w:r>
      <w:proofErr w:type="spellStart"/>
      <w:r w:rsidR="00B1348A">
        <w:rPr>
          <w:rFonts w:eastAsia="Segoe UI"/>
        </w:rPr>
        <w:t>futibatinib</w:t>
      </w:r>
      <w:proofErr w:type="spellEnd"/>
      <w:r w:rsidR="00B1348A">
        <w:rPr>
          <w:rFonts w:eastAsia="Segoe UI"/>
        </w:rPr>
        <w:t xml:space="preserve"> for patients </w:t>
      </w:r>
      <w:r w:rsidR="00B1348A" w:rsidRPr="00CE0F94">
        <w:rPr>
          <w:rFonts w:eastAsia="Segoe UI"/>
        </w:rPr>
        <w:t xml:space="preserve">who have </w:t>
      </w:r>
      <w:r w:rsidR="00CA27E8">
        <w:rPr>
          <w:rFonts w:eastAsia="Segoe UI"/>
        </w:rPr>
        <w:t>locally advanced</w:t>
      </w:r>
      <w:r w:rsidR="00B1348A" w:rsidRPr="001C218C">
        <w:rPr>
          <w:rFonts w:eastAsia="Segoe UI"/>
        </w:rPr>
        <w:t xml:space="preserve"> or metastatic</w:t>
      </w:r>
      <w:r w:rsidR="00B1348A">
        <w:rPr>
          <w:rFonts w:eastAsia="Segoe UI"/>
        </w:rPr>
        <w:t xml:space="preserve"> CCA</w:t>
      </w:r>
      <w:r w:rsidR="00B1348A" w:rsidRPr="00CE0F94">
        <w:rPr>
          <w:rFonts w:eastAsia="Segoe UI"/>
        </w:rPr>
        <w:t xml:space="preserve"> </w:t>
      </w:r>
      <w:r w:rsidR="00B1348A">
        <w:rPr>
          <w:rFonts w:eastAsia="Segoe UI"/>
        </w:rPr>
        <w:t xml:space="preserve">and who have </w:t>
      </w:r>
      <w:r w:rsidR="00B1348A" w:rsidRPr="00CE0F94">
        <w:rPr>
          <w:rFonts w:eastAsia="Segoe UI"/>
        </w:rPr>
        <w:t>progress</w:t>
      </w:r>
      <w:r w:rsidR="00B1348A">
        <w:rPr>
          <w:rFonts w:eastAsia="Segoe UI"/>
        </w:rPr>
        <w:t>ed following at least one prior line of systemic therapy</w:t>
      </w:r>
      <w:r>
        <w:rPr>
          <w:rFonts w:eastAsia="Segoe UI"/>
        </w:rPr>
        <w:t>.</w:t>
      </w:r>
      <w:r w:rsidR="00F62FBB">
        <w:rPr>
          <w:rFonts w:eastAsia="Segoe UI"/>
        </w:rPr>
        <w:t xml:space="preserve"> </w:t>
      </w:r>
      <w:r w:rsidR="00156D12">
        <w:rPr>
          <w:rFonts w:eastAsia="Segoe UI"/>
        </w:rPr>
        <w:t>P</w:t>
      </w:r>
      <w:r>
        <w:rPr>
          <w:rFonts w:eastAsia="Segoe UI"/>
        </w:rPr>
        <w:t xml:space="preserve">atients without </w:t>
      </w:r>
      <w:r w:rsidR="00156D12" w:rsidRPr="001C218C">
        <w:rPr>
          <w:rFonts w:eastAsia="Segoe UI"/>
        </w:rPr>
        <w:t>FGFR2 fusion or rearrangement</w:t>
      </w:r>
      <w:r w:rsidR="00156D12">
        <w:rPr>
          <w:rFonts w:eastAsia="Segoe UI"/>
        </w:rPr>
        <w:t xml:space="preserve"> will continue to receive </w:t>
      </w:r>
      <w:r w:rsidR="00F62FBB">
        <w:t>standard of care subsequent-line therapy.</w:t>
      </w:r>
    </w:p>
    <w:p w14:paraId="527F0163" w14:textId="2737A668" w:rsidR="0016065A" w:rsidRPr="00EA0AA0" w:rsidRDefault="0016065A" w:rsidP="00EA0AA0">
      <w:pPr>
        <w:pStyle w:val="Heading1"/>
      </w:pPr>
      <w:r w:rsidRPr="00EA0AA0">
        <w:t>Outcome</w:t>
      </w:r>
      <w:r w:rsidR="00770FA6" w:rsidRPr="00EA0AA0">
        <w:t>s</w:t>
      </w:r>
    </w:p>
    <w:p w14:paraId="17E1F7BE" w14:textId="77777777" w:rsidR="00361BBE" w:rsidRDefault="004C02B7" w:rsidP="00EB5898">
      <w:pPr>
        <w:pStyle w:val="Heading2"/>
        <w:spacing w:after="120"/>
        <w:jc w:val="both"/>
      </w:pPr>
      <w:r>
        <w:t>List the key health outcomes (major and minor – prioritising major key health outcomes first) that will need to be measured in assessing the clinical claim for the proposed medical service/technology (versus the comparator):</w:t>
      </w:r>
      <w:r w:rsidR="00DB2D53">
        <w:t xml:space="preserve"> </w:t>
      </w:r>
    </w:p>
    <w:p w14:paraId="2BA09AC5" w14:textId="0945AFC3" w:rsidR="004C02B7" w:rsidRPr="00BC0C43" w:rsidRDefault="009343C7" w:rsidP="00582377">
      <w:pPr>
        <w:pStyle w:val="Tickboxes"/>
      </w:pPr>
      <w:r>
        <w:fldChar w:fldCharType="begin">
          <w:ffData>
            <w:name w:val=""/>
            <w:enabled/>
            <w:calcOnExit w:val="0"/>
            <w:checkBox>
              <w:sizeAuto/>
              <w:default w:val="1"/>
            </w:checkBox>
          </w:ffData>
        </w:fldChar>
      </w:r>
      <w:r>
        <w:instrText xml:space="preserve"> FORMCHECKBOX </w:instrText>
      </w:r>
      <w:r w:rsidR="00BB4E10">
        <w:fldChar w:fldCharType="separate"/>
      </w:r>
      <w:r>
        <w:fldChar w:fldCharType="end"/>
      </w:r>
      <w:r w:rsidR="00BC0C43" w:rsidRPr="00BC0C43">
        <w:t xml:space="preserve"> </w:t>
      </w:r>
      <w:r w:rsidR="004C02B7" w:rsidRPr="00BC0C43">
        <w:t xml:space="preserve">Health benefits </w:t>
      </w:r>
    </w:p>
    <w:p w14:paraId="4B5E35E8" w14:textId="5E46D4C4" w:rsidR="004C02B7" w:rsidRPr="00BC0C43" w:rsidRDefault="004C02B7" w:rsidP="00582377">
      <w:pPr>
        <w:pStyle w:val="Tickboxes"/>
      </w:pPr>
      <w:r w:rsidRPr="00BC0C43">
        <w:fldChar w:fldCharType="begin">
          <w:ffData>
            <w:name w:val="Check2"/>
            <w:enabled/>
            <w:calcOnExit w:val="0"/>
            <w:checkBox>
              <w:sizeAuto/>
              <w:default w:val="0"/>
            </w:checkBox>
          </w:ffData>
        </w:fldChar>
      </w:r>
      <w:r w:rsidRPr="00BC0C43">
        <w:instrText xml:space="preserve"> FORMCHECKBOX </w:instrText>
      </w:r>
      <w:r w:rsidR="00BB4E10">
        <w:fldChar w:fldCharType="separate"/>
      </w:r>
      <w:r w:rsidRPr="00BC0C43">
        <w:fldChar w:fldCharType="end"/>
      </w:r>
      <w:r w:rsidRPr="00BC0C43">
        <w:t xml:space="preserve"> Health harms</w:t>
      </w:r>
    </w:p>
    <w:p w14:paraId="7846E3EA" w14:textId="2FF72254" w:rsidR="004C02B7" w:rsidRPr="00BC0C43" w:rsidRDefault="004C02B7"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BB4E10">
        <w:fldChar w:fldCharType="separate"/>
      </w:r>
      <w:r w:rsidRPr="00BC0C43">
        <w:fldChar w:fldCharType="end"/>
      </w:r>
      <w:r w:rsidRPr="00BC0C43">
        <w:t xml:space="preserve"> Resources </w:t>
      </w:r>
    </w:p>
    <w:p w14:paraId="4A3C8161" w14:textId="3093E4D6" w:rsidR="00E00CD3" w:rsidRPr="00BC0C43" w:rsidRDefault="004C02B7" w:rsidP="00582377">
      <w:pPr>
        <w:pStyle w:val="Tickboxes"/>
        <w:rPr>
          <w:b/>
        </w:rPr>
      </w:pPr>
      <w:r w:rsidRPr="00BC0C43">
        <w:fldChar w:fldCharType="begin">
          <w:ffData>
            <w:name w:val="Check2"/>
            <w:enabled/>
            <w:calcOnExit w:val="0"/>
            <w:checkBox>
              <w:sizeAuto/>
              <w:default w:val="0"/>
            </w:checkBox>
          </w:ffData>
        </w:fldChar>
      </w:r>
      <w:r w:rsidRPr="00BC0C43">
        <w:instrText xml:space="preserve"> FORMCHECKBOX </w:instrText>
      </w:r>
      <w:r w:rsidR="00BB4E10">
        <w:fldChar w:fldCharType="separate"/>
      </w:r>
      <w:r w:rsidRPr="00BC0C43">
        <w:fldChar w:fldCharType="end"/>
      </w:r>
      <w:r w:rsidRPr="00BC0C43">
        <w:t xml:space="preserve"> Value of knowing</w:t>
      </w:r>
    </w:p>
    <w:p w14:paraId="475CB0F2" w14:textId="77777777" w:rsidR="00A97A1C" w:rsidRPr="006C5988" w:rsidRDefault="00A97A1C" w:rsidP="00A97A1C">
      <w:pPr>
        <w:jc w:val="both"/>
        <w:rPr>
          <w:i/>
          <w:iCs/>
        </w:rPr>
      </w:pPr>
      <w:r w:rsidRPr="006C5988">
        <w:rPr>
          <w:i/>
          <w:iCs/>
        </w:rPr>
        <w:t>Test outcomes:</w:t>
      </w:r>
    </w:p>
    <w:p w14:paraId="49FD0B21" w14:textId="77777777" w:rsidR="00A97A1C" w:rsidRDefault="00A97A1C" w:rsidP="00A97A1C">
      <w:pPr>
        <w:jc w:val="both"/>
        <w:rPr>
          <w:rFonts w:eastAsia="Segoe UI"/>
          <w:color w:val="000000"/>
        </w:rPr>
      </w:pPr>
      <w:r w:rsidRPr="00DB0D00">
        <w:rPr>
          <w:rFonts w:eastAsia="Segoe UI"/>
          <w:color w:val="000000"/>
        </w:rPr>
        <w:t>Sensitivity</w:t>
      </w:r>
      <w:r>
        <w:rPr>
          <w:rFonts w:eastAsia="Segoe UI"/>
          <w:color w:val="000000"/>
        </w:rPr>
        <w:t>, s</w:t>
      </w:r>
      <w:r w:rsidRPr="001341E3">
        <w:rPr>
          <w:rFonts w:eastAsia="Segoe UI"/>
          <w:color w:val="000000"/>
        </w:rPr>
        <w:t>pecificity</w:t>
      </w:r>
      <w:r>
        <w:rPr>
          <w:rFonts w:eastAsia="Segoe UI"/>
          <w:color w:val="000000"/>
        </w:rPr>
        <w:t>, p</w:t>
      </w:r>
      <w:r w:rsidRPr="001341E3">
        <w:rPr>
          <w:rFonts w:eastAsia="Segoe UI"/>
          <w:color w:val="000000"/>
        </w:rPr>
        <w:t>ositivity predictive value (PPV)</w:t>
      </w:r>
      <w:r>
        <w:rPr>
          <w:rFonts w:eastAsia="Segoe UI"/>
          <w:color w:val="000000"/>
        </w:rPr>
        <w:t>, n</w:t>
      </w:r>
      <w:r w:rsidRPr="001341E3">
        <w:rPr>
          <w:rFonts w:eastAsia="Segoe UI"/>
          <w:color w:val="000000"/>
        </w:rPr>
        <w:t>egative predictive value (NPV)</w:t>
      </w:r>
    </w:p>
    <w:p w14:paraId="0BA0DB51" w14:textId="77777777" w:rsidR="00A97A1C" w:rsidRPr="006C5988" w:rsidRDefault="00A97A1C" w:rsidP="00A97A1C">
      <w:pPr>
        <w:jc w:val="both"/>
        <w:rPr>
          <w:rFonts w:eastAsia="Segoe UI"/>
          <w:i/>
          <w:iCs/>
          <w:color w:val="000000"/>
        </w:rPr>
      </w:pPr>
      <w:r w:rsidRPr="006C5988">
        <w:rPr>
          <w:rFonts w:eastAsia="Segoe UI"/>
          <w:i/>
          <w:iCs/>
          <w:color w:val="000000"/>
        </w:rPr>
        <w:t>Treatment outcomes:</w:t>
      </w:r>
    </w:p>
    <w:p w14:paraId="350A5C3D" w14:textId="77777777" w:rsidR="00A97A1C" w:rsidRDefault="00A97A1C" w:rsidP="00A97A1C">
      <w:pPr>
        <w:jc w:val="both"/>
      </w:pPr>
      <w:r w:rsidRPr="00A178C4">
        <w:t>OS, PFS, ORR (study primary outcome), DOR, DCR, PROs</w:t>
      </w:r>
      <w:r>
        <w:t>, safety</w:t>
      </w:r>
    </w:p>
    <w:p w14:paraId="69815145" w14:textId="77777777" w:rsidR="00A97A1C" w:rsidRDefault="00A97A1C" w:rsidP="00A97A1C">
      <w:pPr>
        <w:jc w:val="both"/>
        <w:rPr>
          <w:i/>
          <w:iCs/>
        </w:rPr>
      </w:pPr>
      <w:r w:rsidRPr="006C5988">
        <w:rPr>
          <w:i/>
          <w:iCs/>
        </w:rPr>
        <w:t>Health care system:</w:t>
      </w:r>
    </w:p>
    <w:p w14:paraId="2117BE5A" w14:textId="77777777" w:rsidR="00A97A1C" w:rsidRDefault="00A97A1C" w:rsidP="00A97A1C">
      <w:pPr>
        <w:jc w:val="both"/>
      </w:pPr>
      <w:r w:rsidRPr="00C73E3E">
        <w:lastRenderedPageBreak/>
        <w:t>Cost effectiveness of testing and treatment</w:t>
      </w:r>
      <w:r>
        <w:t>, f</w:t>
      </w:r>
      <w:r w:rsidRPr="00C73E3E">
        <w:t>inancial implications</w:t>
      </w:r>
    </w:p>
    <w:p w14:paraId="36189B68" w14:textId="2A9DD4E8" w:rsidR="004C02B7" w:rsidRPr="00BC0C43" w:rsidRDefault="00E00CD3" w:rsidP="00EB5898">
      <w:pPr>
        <w:pStyle w:val="Heading2"/>
        <w:jc w:val="both"/>
      </w:pPr>
      <w:r>
        <w:t>O</w:t>
      </w:r>
      <w:r w:rsidR="00CB5480">
        <w:t>utcome description</w:t>
      </w:r>
      <w:r>
        <w:t xml:space="preserve"> –</w:t>
      </w:r>
      <w:r w:rsidR="00EA0AA0">
        <w:t xml:space="preserve"> </w:t>
      </w:r>
      <w:r>
        <w:t>include information about whether a change in patient management, or prognosis, occurs as a result of the test information</w:t>
      </w:r>
      <w:r w:rsidR="004C02B7">
        <w:t>:</w:t>
      </w:r>
    </w:p>
    <w:p w14:paraId="10EE208C" w14:textId="43BA5F4C" w:rsidR="00A603DA" w:rsidRPr="00E13B8D" w:rsidRDefault="00A603DA" w:rsidP="00F43687">
      <w:pPr>
        <w:jc w:val="both"/>
      </w:pPr>
      <w:r w:rsidRPr="006D3A2A">
        <w:t xml:space="preserve">Testing patients with CCA for </w:t>
      </w:r>
      <w:r w:rsidRPr="00C05C47">
        <w:t>FGFR2 fusion or rearrangement</w:t>
      </w:r>
      <w:r w:rsidRPr="00C05C47">
        <w:rPr>
          <w:b/>
          <w:bCs/>
        </w:rPr>
        <w:t xml:space="preserve"> </w:t>
      </w:r>
      <w:r w:rsidRPr="006D3A2A">
        <w:t xml:space="preserve">is expected to lead to a change in clinical management, as </w:t>
      </w:r>
      <w:r>
        <w:t>patients with a positive result may be eligible to</w:t>
      </w:r>
      <w:r w:rsidRPr="006D3A2A">
        <w:t xml:space="preserve"> receive targeted treatment with </w:t>
      </w:r>
      <w:r>
        <w:t xml:space="preserve">PBS-subsidised </w:t>
      </w:r>
      <w:proofErr w:type="spellStart"/>
      <w:r>
        <w:t>futibatinib</w:t>
      </w:r>
      <w:proofErr w:type="spellEnd"/>
      <w:r w:rsidR="00AB58AD">
        <w:t xml:space="preserve"> in 2L+</w:t>
      </w:r>
      <w:r w:rsidRPr="006D3A2A">
        <w:t xml:space="preserve">. This change is expected to lead to a significant improvement in clinical outcomes, as demonstrated by the pivotal </w:t>
      </w:r>
      <w:r>
        <w:t>FOENIX-CCA2 study</w:t>
      </w:r>
      <w:r w:rsidRPr="006D3A2A">
        <w:t>.</w:t>
      </w:r>
    </w:p>
    <w:p w14:paraId="51234613" w14:textId="21859714" w:rsidR="00566CF9" w:rsidRPr="00EA0AA0" w:rsidRDefault="00566CF9" w:rsidP="00A178C4">
      <w:pPr>
        <w:pStyle w:val="Heading1"/>
      </w:pPr>
      <w:r w:rsidRPr="00EA0AA0">
        <w:t>Proposed MBS items</w:t>
      </w:r>
    </w:p>
    <w:p w14:paraId="65E4A37C" w14:textId="17B967C3" w:rsidR="009C0554" w:rsidRDefault="009C0554" w:rsidP="00EB5898">
      <w:pPr>
        <w:pStyle w:val="Heading2"/>
        <w:jc w:val="both"/>
      </w:pPr>
      <w:r>
        <w:t>How is the technology/service funded at present? (</w:t>
      </w:r>
      <w:r w:rsidR="00EA0AA0">
        <w:t>e.g.,</w:t>
      </w:r>
      <w:r>
        <w:t xml:space="preserve"> research funding; State-based funding; self-funded by patients; no funding or payments): </w:t>
      </w:r>
    </w:p>
    <w:p w14:paraId="212E410A" w14:textId="5FE6BF66" w:rsidR="009C0554" w:rsidRPr="00BC0C43" w:rsidRDefault="0054487A" w:rsidP="00F43687">
      <w:pPr>
        <w:jc w:val="both"/>
        <w:rPr>
          <w:rFonts w:asciiTheme="minorHAnsi" w:eastAsia="Segoe UI" w:hAnsiTheme="minorHAnsi" w:cstheme="minorHAnsi"/>
          <w:color w:val="000000"/>
        </w:rPr>
      </w:pPr>
      <w:r>
        <w:t>Currently, any testing for FGFR2 fusion or rearrangement is self-funded by patients.</w:t>
      </w:r>
    </w:p>
    <w:p w14:paraId="3F158DED" w14:textId="77777777" w:rsidR="00361BBE" w:rsidRDefault="00EA0AA0" w:rsidP="00EB5898">
      <w:pPr>
        <w:pStyle w:val="Heading2"/>
        <w:jc w:val="both"/>
      </w:pPr>
      <w:r>
        <w:t>P</w:t>
      </w:r>
      <w:r w:rsidR="00566CF9">
        <w:t xml:space="preserve">rovide at least one proposed item with their descriptor and associated costs, for each </w:t>
      </w:r>
      <w:r>
        <w:t>P</w:t>
      </w:r>
      <w:r w:rsidR="00566CF9">
        <w:t xml:space="preserve">opulation/Intervention: </w:t>
      </w:r>
    </w:p>
    <w:p w14:paraId="17C1E836" w14:textId="65424918" w:rsidR="00836A15" w:rsidRPr="00A97A1C" w:rsidRDefault="00B20FD1" w:rsidP="00A97A1C">
      <w:pPr>
        <w:jc w:val="both"/>
        <w:rPr>
          <w:rFonts w:cs="Arial"/>
        </w:rPr>
      </w:pPr>
      <w:r w:rsidRPr="003221A0">
        <w:rPr>
          <w:rFonts w:cs="Arial"/>
        </w:rPr>
        <w:t xml:space="preserve">Consideration could also be given to broadening the item descriptor to NGS testing for </w:t>
      </w:r>
      <w:r w:rsidRPr="00A97A1C">
        <w:rPr>
          <w:rFonts w:cs="Arial"/>
          <w:i/>
          <w:iCs/>
        </w:rPr>
        <w:t>FGFR1-4</w:t>
      </w:r>
      <w:r w:rsidRPr="003221A0">
        <w:rPr>
          <w:rFonts w:cs="Arial"/>
        </w:rPr>
        <w:t xml:space="preserve"> fusions and rearrangements; this should have no impact on the complexity of the test.</w:t>
      </w:r>
      <w:r w:rsidRPr="00A82D18">
        <w:rPr>
          <w:rFonts w:cs="Arial"/>
        </w:rPr>
        <w:t xml:space="preserve"> </w:t>
      </w:r>
    </w:p>
    <w:tbl>
      <w:tblPr>
        <w:tblStyle w:val="TableGrid"/>
        <w:tblW w:w="0" w:type="auto"/>
        <w:tblLook w:val="04A0" w:firstRow="1" w:lastRow="0" w:firstColumn="1" w:lastColumn="0" w:noHBand="0" w:noVBand="1"/>
      </w:tblPr>
      <w:tblGrid>
        <w:gridCol w:w="3256"/>
        <w:gridCol w:w="6209"/>
      </w:tblGrid>
      <w:tr w:rsidR="00A05B4D" w14:paraId="550CA6B5" w14:textId="77777777" w:rsidTr="00A05B4D">
        <w:tc>
          <w:tcPr>
            <w:tcW w:w="3256" w:type="dxa"/>
          </w:tcPr>
          <w:p w14:paraId="392E8065" w14:textId="291357C7" w:rsidR="00A05B4D" w:rsidRPr="006B1118" w:rsidRDefault="00A05B4D" w:rsidP="00BC0C43">
            <w:pPr>
              <w:rPr>
                <w:sz w:val="21"/>
                <w:szCs w:val="21"/>
              </w:rPr>
            </w:pPr>
            <w:bookmarkStart w:id="4" w:name="_Hlk121232719"/>
            <w:r w:rsidRPr="006B1118">
              <w:rPr>
                <w:sz w:val="21"/>
                <w:szCs w:val="21"/>
              </w:rPr>
              <w:t xml:space="preserve">MBS item number </w:t>
            </w:r>
            <w:r w:rsidR="00BC0C43" w:rsidRPr="006B1118">
              <w:rPr>
                <w:sz w:val="21"/>
                <w:szCs w:val="21"/>
              </w:rPr>
              <w:br/>
            </w:r>
            <w:r w:rsidRPr="006B1118">
              <w:rPr>
                <w:sz w:val="21"/>
                <w:szCs w:val="21"/>
              </w:rPr>
              <w:t>(where used as a template for the proposed item)</w:t>
            </w:r>
          </w:p>
        </w:tc>
        <w:tc>
          <w:tcPr>
            <w:tcW w:w="6209" w:type="dxa"/>
          </w:tcPr>
          <w:p w14:paraId="4800781C" w14:textId="49BC1FDF" w:rsidR="00A05B4D" w:rsidRPr="006B1118" w:rsidRDefault="003654CB" w:rsidP="00BC0C43">
            <w:pPr>
              <w:rPr>
                <w:sz w:val="21"/>
                <w:szCs w:val="21"/>
              </w:rPr>
            </w:pPr>
            <w:r>
              <w:rPr>
                <w:sz w:val="21"/>
                <w:szCs w:val="21"/>
              </w:rPr>
              <w:t>N/A</w:t>
            </w:r>
          </w:p>
        </w:tc>
      </w:tr>
      <w:tr w:rsidR="00A05B4D" w14:paraId="28C30EF6" w14:textId="77777777" w:rsidTr="00A05B4D">
        <w:tc>
          <w:tcPr>
            <w:tcW w:w="3256" w:type="dxa"/>
          </w:tcPr>
          <w:p w14:paraId="6164541B" w14:textId="67698528" w:rsidR="00A05B4D" w:rsidRPr="006B1118" w:rsidRDefault="00A05B4D" w:rsidP="00BC0C43">
            <w:pPr>
              <w:rPr>
                <w:sz w:val="21"/>
                <w:szCs w:val="21"/>
              </w:rPr>
            </w:pPr>
            <w:r w:rsidRPr="006B1118">
              <w:rPr>
                <w:sz w:val="21"/>
                <w:szCs w:val="21"/>
              </w:rPr>
              <w:t>Category number</w:t>
            </w:r>
          </w:p>
        </w:tc>
        <w:tc>
          <w:tcPr>
            <w:tcW w:w="6209" w:type="dxa"/>
          </w:tcPr>
          <w:p w14:paraId="60FB6E4B" w14:textId="3F087A50" w:rsidR="00A05B4D" w:rsidRPr="006B1118" w:rsidRDefault="003654CB" w:rsidP="00BC0C43">
            <w:pPr>
              <w:rPr>
                <w:sz w:val="21"/>
                <w:szCs w:val="21"/>
              </w:rPr>
            </w:pPr>
            <w:r>
              <w:rPr>
                <w:sz w:val="21"/>
                <w:szCs w:val="21"/>
              </w:rPr>
              <w:t>Category 6</w:t>
            </w:r>
          </w:p>
        </w:tc>
      </w:tr>
      <w:tr w:rsidR="00A05B4D" w14:paraId="27CB821A" w14:textId="77777777" w:rsidTr="00A05B4D">
        <w:tc>
          <w:tcPr>
            <w:tcW w:w="3256" w:type="dxa"/>
          </w:tcPr>
          <w:p w14:paraId="5E21B36E" w14:textId="39749155" w:rsidR="00A05B4D" w:rsidRPr="006B1118" w:rsidRDefault="00A05B4D" w:rsidP="00BC0C43">
            <w:pPr>
              <w:rPr>
                <w:sz w:val="21"/>
                <w:szCs w:val="21"/>
              </w:rPr>
            </w:pPr>
            <w:r w:rsidRPr="006B1118">
              <w:rPr>
                <w:sz w:val="21"/>
                <w:szCs w:val="21"/>
              </w:rPr>
              <w:t>Category description</w:t>
            </w:r>
          </w:p>
        </w:tc>
        <w:tc>
          <w:tcPr>
            <w:tcW w:w="6209" w:type="dxa"/>
          </w:tcPr>
          <w:p w14:paraId="4DED686A" w14:textId="0C2EDCDA" w:rsidR="00A05B4D" w:rsidRPr="006B1118" w:rsidRDefault="0091664F" w:rsidP="00BC0C43">
            <w:pPr>
              <w:rPr>
                <w:sz w:val="21"/>
                <w:szCs w:val="21"/>
              </w:rPr>
            </w:pPr>
            <w:r>
              <w:rPr>
                <w:sz w:val="21"/>
                <w:szCs w:val="21"/>
              </w:rPr>
              <w:t>Pathology Services</w:t>
            </w:r>
          </w:p>
        </w:tc>
      </w:tr>
      <w:tr w:rsidR="00A05B4D" w14:paraId="7AF5F341" w14:textId="77777777" w:rsidTr="00A05B4D">
        <w:tc>
          <w:tcPr>
            <w:tcW w:w="3256" w:type="dxa"/>
          </w:tcPr>
          <w:p w14:paraId="454ADFE2" w14:textId="5F0060E6" w:rsidR="00A05B4D" w:rsidRPr="006B1118" w:rsidRDefault="00A05B4D" w:rsidP="00BC0C43">
            <w:pPr>
              <w:rPr>
                <w:sz w:val="21"/>
                <w:szCs w:val="21"/>
              </w:rPr>
            </w:pPr>
            <w:r w:rsidRPr="006B1118">
              <w:rPr>
                <w:sz w:val="21"/>
                <w:szCs w:val="21"/>
              </w:rPr>
              <w:t>Proposed item descriptor</w:t>
            </w:r>
          </w:p>
        </w:tc>
        <w:tc>
          <w:tcPr>
            <w:tcW w:w="6209" w:type="dxa"/>
          </w:tcPr>
          <w:p w14:paraId="19DE7626" w14:textId="73AB0179" w:rsidR="00FB33CA" w:rsidRDefault="00FD2C66" w:rsidP="00E86F1F">
            <w:pPr>
              <w:rPr>
                <w:sz w:val="21"/>
                <w:szCs w:val="21"/>
              </w:rPr>
            </w:pPr>
            <w:r>
              <w:rPr>
                <w:sz w:val="21"/>
                <w:szCs w:val="21"/>
              </w:rPr>
              <w:t xml:space="preserve">Next generation sequencing (NGS) test </w:t>
            </w:r>
            <w:r w:rsidR="00FB33CA">
              <w:rPr>
                <w:sz w:val="21"/>
                <w:szCs w:val="21"/>
              </w:rPr>
              <w:t xml:space="preserve">for </w:t>
            </w:r>
            <w:r w:rsidR="00FB33CA" w:rsidRPr="00F43687">
              <w:rPr>
                <w:sz w:val="21"/>
                <w:szCs w:val="21"/>
              </w:rPr>
              <w:t>FGFR2 fusion or rearrangement</w:t>
            </w:r>
            <w:r w:rsidR="00FB33CA" w:rsidRPr="00E86F1F">
              <w:rPr>
                <w:sz w:val="21"/>
                <w:szCs w:val="21"/>
              </w:rPr>
              <w:t xml:space="preserve"> </w:t>
            </w:r>
            <w:r w:rsidR="00FB33CA">
              <w:rPr>
                <w:sz w:val="21"/>
                <w:szCs w:val="21"/>
              </w:rPr>
              <w:t xml:space="preserve">in tumour tissue from a patient with </w:t>
            </w:r>
            <w:r w:rsidR="00A97A1C">
              <w:rPr>
                <w:sz w:val="21"/>
                <w:szCs w:val="21"/>
              </w:rPr>
              <w:t xml:space="preserve">histologically confirmed </w:t>
            </w:r>
            <w:r w:rsidR="00E86F1F" w:rsidRPr="00FB33CA">
              <w:rPr>
                <w:sz w:val="21"/>
                <w:szCs w:val="21"/>
              </w:rPr>
              <w:t>locally advanced or metastatic cholangiocarcinoma</w:t>
            </w:r>
            <w:r w:rsidR="00FB33CA">
              <w:rPr>
                <w:sz w:val="21"/>
                <w:szCs w:val="21"/>
              </w:rPr>
              <w:t>, if:</w:t>
            </w:r>
          </w:p>
          <w:p w14:paraId="647BC308" w14:textId="63BB6D8B" w:rsidR="00A05B4D" w:rsidRPr="00FB33CA" w:rsidRDefault="00FB33CA" w:rsidP="00FB33CA">
            <w:pPr>
              <w:pStyle w:val="ListParagraph"/>
              <w:numPr>
                <w:ilvl w:val="0"/>
                <w:numId w:val="6"/>
              </w:numPr>
              <w:rPr>
                <w:sz w:val="21"/>
                <w:szCs w:val="21"/>
              </w:rPr>
            </w:pPr>
            <w:r w:rsidRPr="00FB33CA">
              <w:rPr>
                <w:sz w:val="21"/>
                <w:szCs w:val="21"/>
              </w:rPr>
              <w:t xml:space="preserve">the test is requested by a specialist or consultant physician to determine if requirements relating to </w:t>
            </w:r>
            <w:r>
              <w:rPr>
                <w:sz w:val="21"/>
                <w:szCs w:val="21"/>
              </w:rPr>
              <w:t xml:space="preserve">FGFR2 </w:t>
            </w:r>
            <w:r w:rsidRPr="00FB33CA">
              <w:rPr>
                <w:sz w:val="21"/>
                <w:szCs w:val="21"/>
              </w:rPr>
              <w:t xml:space="preserve">fusion or rearrangement status for access to </w:t>
            </w:r>
            <w:proofErr w:type="spellStart"/>
            <w:r w:rsidRPr="00FB33CA">
              <w:rPr>
                <w:sz w:val="21"/>
                <w:szCs w:val="21"/>
              </w:rPr>
              <w:t>futibatinib</w:t>
            </w:r>
            <w:proofErr w:type="spellEnd"/>
            <w:r w:rsidRPr="00FB33CA">
              <w:rPr>
                <w:sz w:val="21"/>
                <w:szCs w:val="21"/>
              </w:rPr>
              <w:t xml:space="preserve"> under the Pharmaceutical Benefits Scheme are fulfilled.</w:t>
            </w:r>
          </w:p>
        </w:tc>
      </w:tr>
      <w:tr w:rsidR="00A05B4D" w14:paraId="2C0CA02D" w14:textId="77777777" w:rsidTr="00A05B4D">
        <w:tc>
          <w:tcPr>
            <w:tcW w:w="3256" w:type="dxa"/>
          </w:tcPr>
          <w:p w14:paraId="4881ED4A" w14:textId="6F25EF4B" w:rsidR="00A05B4D" w:rsidRPr="006B1118" w:rsidRDefault="00A05B4D" w:rsidP="00BC0C43">
            <w:pPr>
              <w:rPr>
                <w:sz w:val="21"/>
                <w:szCs w:val="21"/>
              </w:rPr>
            </w:pPr>
            <w:r w:rsidRPr="006B1118">
              <w:rPr>
                <w:sz w:val="21"/>
                <w:szCs w:val="21"/>
              </w:rPr>
              <w:t>Proposed MBS fee</w:t>
            </w:r>
          </w:p>
        </w:tc>
        <w:tc>
          <w:tcPr>
            <w:tcW w:w="6209" w:type="dxa"/>
          </w:tcPr>
          <w:p w14:paraId="3B790048" w14:textId="3A3FA398" w:rsidR="00A05B4D" w:rsidRPr="006B1118" w:rsidRDefault="0091664F" w:rsidP="00BC0C43">
            <w:pPr>
              <w:rPr>
                <w:sz w:val="21"/>
                <w:szCs w:val="21"/>
              </w:rPr>
            </w:pPr>
            <w:r>
              <w:rPr>
                <w:sz w:val="21"/>
                <w:szCs w:val="21"/>
              </w:rPr>
              <w:t>MBS fee to be confirmed</w:t>
            </w:r>
            <w:r w:rsidR="00FB33CA">
              <w:rPr>
                <w:sz w:val="21"/>
                <w:szCs w:val="21"/>
              </w:rPr>
              <w:t>, noting that the fee for item 73433 (NGS test for NTRK fusions) is $1000.00.</w:t>
            </w:r>
          </w:p>
        </w:tc>
      </w:tr>
      <w:tr w:rsidR="00A05B4D" w14:paraId="0984AD65" w14:textId="77777777" w:rsidTr="00A05B4D">
        <w:tc>
          <w:tcPr>
            <w:tcW w:w="3256" w:type="dxa"/>
          </w:tcPr>
          <w:p w14:paraId="7B69A5E7" w14:textId="0C7AED59" w:rsidR="00A05B4D" w:rsidRPr="006B1118" w:rsidRDefault="00A05B4D" w:rsidP="00BC0C43">
            <w:pPr>
              <w:rPr>
                <w:sz w:val="21"/>
                <w:szCs w:val="21"/>
              </w:rPr>
            </w:pPr>
            <w:r w:rsidRPr="006B1118">
              <w:rPr>
                <w:sz w:val="21"/>
                <w:szCs w:val="21"/>
              </w:rPr>
              <w:t>Indicate the overall cost per patient of providing the proposed health technology</w:t>
            </w:r>
          </w:p>
        </w:tc>
        <w:tc>
          <w:tcPr>
            <w:tcW w:w="6209" w:type="dxa"/>
          </w:tcPr>
          <w:p w14:paraId="1F0E7AAB" w14:textId="6304181A" w:rsidR="00A05B4D" w:rsidRPr="006B1118" w:rsidRDefault="0091664F" w:rsidP="00BC0C43">
            <w:pPr>
              <w:rPr>
                <w:sz w:val="21"/>
                <w:szCs w:val="21"/>
              </w:rPr>
            </w:pPr>
            <w:r>
              <w:rPr>
                <w:sz w:val="21"/>
                <w:szCs w:val="21"/>
              </w:rPr>
              <w:t>Overall cost to be confirmed</w:t>
            </w:r>
            <w:r w:rsidR="00C95C57">
              <w:rPr>
                <w:sz w:val="21"/>
                <w:szCs w:val="21"/>
              </w:rPr>
              <w:t xml:space="preserve"> in the integrated codependent submission</w:t>
            </w:r>
          </w:p>
        </w:tc>
      </w:tr>
      <w:tr w:rsidR="00A05B4D" w14:paraId="273F94AE" w14:textId="77777777" w:rsidTr="00A05B4D">
        <w:tc>
          <w:tcPr>
            <w:tcW w:w="3256" w:type="dxa"/>
          </w:tcPr>
          <w:p w14:paraId="41FCA2CE" w14:textId="1F2EB5A8" w:rsidR="00A05B4D" w:rsidRPr="006B1118" w:rsidRDefault="00A05B4D" w:rsidP="00BC0C43">
            <w:pPr>
              <w:rPr>
                <w:sz w:val="21"/>
                <w:szCs w:val="21"/>
              </w:rPr>
            </w:pPr>
            <w:r w:rsidRPr="006B1118">
              <w:rPr>
                <w:sz w:val="21"/>
                <w:szCs w:val="21"/>
              </w:rPr>
              <w:t>Please specify any anticipated out of pocket expenses</w:t>
            </w:r>
          </w:p>
        </w:tc>
        <w:tc>
          <w:tcPr>
            <w:tcW w:w="6209" w:type="dxa"/>
          </w:tcPr>
          <w:p w14:paraId="13FE8BA2" w14:textId="4199770D" w:rsidR="00A05B4D" w:rsidRPr="006B1118" w:rsidRDefault="0091664F" w:rsidP="00BC0C43">
            <w:pPr>
              <w:rPr>
                <w:rFonts w:eastAsia="Segoe UI"/>
                <w:bCs/>
                <w:color w:val="000000"/>
                <w:sz w:val="21"/>
                <w:szCs w:val="21"/>
              </w:rPr>
            </w:pPr>
            <w:r>
              <w:rPr>
                <w:sz w:val="21"/>
                <w:szCs w:val="21"/>
              </w:rPr>
              <w:t>N/A</w:t>
            </w:r>
          </w:p>
        </w:tc>
      </w:tr>
      <w:tr w:rsidR="00A05B4D" w14:paraId="553E9440" w14:textId="77777777" w:rsidTr="00A05B4D">
        <w:tc>
          <w:tcPr>
            <w:tcW w:w="3256" w:type="dxa"/>
          </w:tcPr>
          <w:p w14:paraId="4D378DFC" w14:textId="4C67A6B8" w:rsidR="00A05B4D" w:rsidRPr="006B1118" w:rsidRDefault="00A05B4D" w:rsidP="00BC0C43">
            <w:pPr>
              <w:rPr>
                <w:sz w:val="21"/>
                <w:szCs w:val="21"/>
              </w:rPr>
            </w:pPr>
            <w:r w:rsidRPr="006B1118">
              <w:rPr>
                <w:sz w:val="21"/>
                <w:szCs w:val="21"/>
              </w:rPr>
              <w:t>Provide any further details and explain</w:t>
            </w:r>
          </w:p>
        </w:tc>
        <w:tc>
          <w:tcPr>
            <w:tcW w:w="6209" w:type="dxa"/>
          </w:tcPr>
          <w:p w14:paraId="674ECDEB" w14:textId="28073CEF" w:rsidR="00A05B4D" w:rsidRPr="006B1118" w:rsidRDefault="0091664F" w:rsidP="00BC0C43">
            <w:pPr>
              <w:rPr>
                <w:rFonts w:eastAsia="Segoe UI"/>
                <w:bCs/>
                <w:color w:val="000000"/>
                <w:sz w:val="21"/>
                <w:szCs w:val="21"/>
              </w:rPr>
            </w:pPr>
            <w:r>
              <w:rPr>
                <w:sz w:val="21"/>
                <w:szCs w:val="21"/>
              </w:rPr>
              <w:t>N/A</w:t>
            </w:r>
          </w:p>
        </w:tc>
      </w:tr>
      <w:bookmarkEnd w:id="4"/>
    </w:tbl>
    <w:p w14:paraId="0EB30C73" w14:textId="77777777" w:rsidR="00A97A1C" w:rsidRDefault="00A97A1C" w:rsidP="00A97A1C">
      <w:pPr>
        <w:jc w:val="both"/>
      </w:pPr>
    </w:p>
    <w:p w14:paraId="77CD0B20" w14:textId="0A1CD20E" w:rsidR="00FB33CA" w:rsidRDefault="00A97A1C" w:rsidP="00A97A1C">
      <w:pPr>
        <w:jc w:val="both"/>
      </w:pPr>
      <w:r>
        <w:t xml:space="preserve">Fluorescence in-situ hybridisation (FISH) in tumour tissue sample can also be considered as an option for testing likely to occur outside of centres with NGS capability. </w:t>
      </w:r>
    </w:p>
    <w:tbl>
      <w:tblPr>
        <w:tblStyle w:val="TableGrid"/>
        <w:tblW w:w="0" w:type="auto"/>
        <w:tblLook w:val="04A0" w:firstRow="1" w:lastRow="0" w:firstColumn="1" w:lastColumn="0" w:noHBand="0" w:noVBand="1"/>
      </w:tblPr>
      <w:tblGrid>
        <w:gridCol w:w="3256"/>
        <w:gridCol w:w="6209"/>
      </w:tblGrid>
      <w:tr w:rsidR="00FB33CA" w14:paraId="172FB9A4" w14:textId="77777777" w:rsidTr="00A50816">
        <w:tc>
          <w:tcPr>
            <w:tcW w:w="3256" w:type="dxa"/>
          </w:tcPr>
          <w:p w14:paraId="7E708A98" w14:textId="77777777" w:rsidR="00FB33CA" w:rsidRPr="006B1118" w:rsidRDefault="00FB33CA" w:rsidP="00A50816">
            <w:pPr>
              <w:rPr>
                <w:sz w:val="21"/>
                <w:szCs w:val="21"/>
              </w:rPr>
            </w:pPr>
            <w:r w:rsidRPr="006B1118">
              <w:rPr>
                <w:sz w:val="21"/>
                <w:szCs w:val="21"/>
              </w:rPr>
              <w:lastRenderedPageBreak/>
              <w:t xml:space="preserve">MBS item number </w:t>
            </w:r>
            <w:r w:rsidRPr="006B1118">
              <w:rPr>
                <w:sz w:val="21"/>
                <w:szCs w:val="21"/>
              </w:rPr>
              <w:br/>
              <w:t>(where used as a template for the proposed item)</w:t>
            </w:r>
          </w:p>
        </w:tc>
        <w:tc>
          <w:tcPr>
            <w:tcW w:w="6209" w:type="dxa"/>
          </w:tcPr>
          <w:p w14:paraId="3E81DE08" w14:textId="77777777" w:rsidR="00FB33CA" w:rsidRPr="006B1118" w:rsidRDefault="00FB33CA" w:rsidP="00A50816">
            <w:pPr>
              <w:rPr>
                <w:sz w:val="21"/>
                <w:szCs w:val="21"/>
              </w:rPr>
            </w:pPr>
            <w:r>
              <w:rPr>
                <w:sz w:val="21"/>
                <w:szCs w:val="21"/>
              </w:rPr>
              <w:t>N/A</w:t>
            </w:r>
          </w:p>
        </w:tc>
      </w:tr>
      <w:tr w:rsidR="00FB33CA" w14:paraId="049AC3FD" w14:textId="77777777" w:rsidTr="00A50816">
        <w:tc>
          <w:tcPr>
            <w:tcW w:w="3256" w:type="dxa"/>
          </w:tcPr>
          <w:p w14:paraId="1CF18F2A" w14:textId="77777777" w:rsidR="00FB33CA" w:rsidRPr="006B1118" w:rsidRDefault="00FB33CA" w:rsidP="00A50816">
            <w:pPr>
              <w:rPr>
                <w:sz w:val="21"/>
                <w:szCs w:val="21"/>
              </w:rPr>
            </w:pPr>
            <w:r w:rsidRPr="006B1118">
              <w:rPr>
                <w:sz w:val="21"/>
                <w:szCs w:val="21"/>
              </w:rPr>
              <w:t>Category number</w:t>
            </w:r>
          </w:p>
        </w:tc>
        <w:tc>
          <w:tcPr>
            <w:tcW w:w="6209" w:type="dxa"/>
          </w:tcPr>
          <w:p w14:paraId="7A0DF5C7" w14:textId="77777777" w:rsidR="00FB33CA" w:rsidRPr="006B1118" w:rsidRDefault="00FB33CA" w:rsidP="00A50816">
            <w:pPr>
              <w:rPr>
                <w:sz w:val="21"/>
                <w:szCs w:val="21"/>
              </w:rPr>
            </w:pPr>
            <w:r>
              <w:rPr>
                <w:sz w:val="21"/>
                <w:szCs w:val="21"/>
              </w:rPr>
              <w:t>Category 6</w:t>
            </w:r>
          </w:p>
        </w:tc>
      </w:tr>
      <w:tr w:rsidR="00FB33CA" w14:paraId="7D66BB1B" w14:textId="77777777" w:rsidTr="00A50816">
        <w:tc>
          <w:tcPr>
            <w:tcW w:w="3256" w:type="dxa"/>
          </w:tcPr>
          <w:p w14:paraId="405D7B94" w14:textId="77777777" w:rsidR="00FB33CA" w:rsidRPr="006B1118" w:rsidRDefault="00FB33CA" w:rsidP="00A50816">
            <w:pPr>
              <w:rPr>
                <w:sz w:val="21"/>
                <w:szCs w:val="21"/>
              </w:rPr>
            </w:pPr>
            <w:r w:rsidRPr="006B1118">
              <w:rPr>
                <w:sz w:val="21"/>
                <w:szCs w:val="21"/>
              </w:rPr>
              <w:t>Category description</w:t>
            </w:r>
          </w:p>
        </w:tc>
        <w:tc>
          <w:tcPr>
            <w:tcW w:w="6209" w:type="dxa"/>
          </w:tcPr>
          <w:p w14:paraId="5D5ABF38" w14:textId="77777777" w:rsidR="00FB33CA" w:rsidRPr="006B1118" w:rsidRDefault="00FB33CA" w:rsidP="00A50816">
            <w:pPr>
              <w:rPr>
                <w:sz w:val="21"/>
                <w:szCs w:val="21"/>
              </w:rPr>
            </w:pPr>
            <w:r>
              <w:rPr>
                <w:sz w:val="21"/>
                <w:szCs w:val="21"/>
              </w:rPr>
              <w:t>Pathology Services</w:t>
            </w:r>
          </w:p>
        </w:tc>
      </w:tr>
      <w:tr w:rsidR="00FB33CA" w14:paraId="66BAE4BD" w14:textId="77777777" w:rsidTr="00A50816">
        <w:tc>
          <w:tcPr>
            <w:tcW w:w="3256" w:type="dxa"/>
          </w:tcPr>
          <w:p w14:paraId="6924ECFF" w14:textId="77777777" w:rsidR="00FB33CA" w:rsidRPr="006B1118" w:rsidRDefault="00FB33CA" w:rsidP="00A50816">
            <w:pPr>
              <w:rPr>
                <w:sz w:val="21"/>
                <w:szCs w:val="21"/>
              </w:rPr>
            </w:pPr>
            <w:r w:rsidRPr="006B1118">
              <w:rPr>
                <w:sz w:val="21"/>
                <w:szCs w:val="21"/>
              </w:rPr>
              <w:t>Proposed item descriptor</w:t>
            </w:r>
          </w:p>
        </w:tc>
        <w:tc>
          <w:tcPr>
            <w:tcW w:w="6209" w:type="dxa"/>
          </w:tcPr>
          <w:p w14:paraId="101BD819" w14:textId="565FD57A" w:rsidR="00FB33CA" w:rsidRDefault="00FB33CA" w:rsidP="00FB33CA">
            <w:pPr>
              <w:rPr>
                <w:sz w:val="21"/>
                <w:szCs w:val="21"/>
              </w:rPr>
            </w:pPr>
            <w:r w:rsidRPr="00FB33CA">
              <w:rPr>
                <w:sz w:val="21"/>
                <w:szCs w:val="21"/>
              </w:rPr>
              <w:t xml:space="preserve">Fluorescence in-situ hybridisation (FISH) test of tumour tissue from a patient with </w:t>
            </w:r>
            <w:r w:rsidR="00A97A1C">
              <w:rPr>
                <w:sz w:val="21"/>
                <w:szCs w:val="21"/>
              </w:rPr>
              <w:t xml:space="preserve">histologically confirmed </w:t>
            </w:r>
            <w:r w:rsidRPr="00FB33CA">
              <w:rPr>
                <w:sz w:val="21"/>
                <w:szCs w:val="21"/>
              </w:rPr>
              <w:t xml:space="preserve">locally advanced or metastatic </w:t>
            </w:r>
            <w:r>
              <w:rPr>
                <w:sz w:val="21"/>
                <w:szCs w:val="21"/>
              </w:rPr>
              <w:t>cholangiocarcinoma, if</w:t>
            </w:r>
            <w:r w:rsidRPr="00FB33CA">
              <w:rPr>
                <w:sz w:val="21"/>
                <w:szCs w:val="21"/>
              </w:rPr>
              <w:t>:</w:t>
            </w:r>
          </w:p>
          <w:p w14:paraId="79FC7FAC" w14:textId="239560E6" w:rsidR="00FB33CA" w:rsidRPr="00FB33CA" w:rsidRDefault="00FB33CA" w:rsidP="00FB33CA">
            <w:pPr>
              <w:pStyle w:val="ListParagraph"/>
              <w:numPr>
                <w:ilvl w:val="0"/>
                <w:numId w:val="6"/>
              </w:numPr>
              <w:rPr>
                <w:sz w:val="21"/>
                <w:szCs w:val="21"/>
              </w:rPr>
            </w:pPr>
            <w:r w:rsidRPr="00FB33CA">
              <w:rPr>
                <w:sz w:val="21"/>
                <w:szCs w:val="21"/>
              </w:rPr>
              <w:t xml:space="preserve">the test is requested by a specialist or consultant physician to determine if requirements relating to </w:t>
            </w:r>
            <w:r>
              <w:rPr>
                <w:sz w:val="21"/>
                <w:szCs w:val="21"/>
              </w:rPr>
              <w:t xml:space="preserve">FGFR2 </w:t>
            </w:r>
            <w:r w:rsidRPr="00FB33CA">
              <w:rPr>
                <w:sz w:val="21"/>
                <w:szCs w:val="21"/>
              </w:rPr>
              <w:t xml:space="preserve">fusion or rearrangement status for access to </w:t>
            </w:r>
            <w:proofErr w:type="spellStart"/>
            <w:r w:rsidRPr="00FB33CA">
              <w:rPr>
                <w:sz w:val="21"/>
                <w:szCs w:val="21"/>
              </w:rPr>
              <w:t>futibatinib</w:t>
            </w:r>
            <w:proofErr w:type="spellEnd"/>
            <w:r w:rsidRPr="00FB33CA">
              <w:rPr>
                <w:sz w:val="21"/>
                <w:szCs w:val="21"/>
              </w:rPr>
              <w:t xml:space="preserve"> under the Pharmaceutical Benefits Scheme are fulfilled.</w:t>
            </w:r>
          </w:p>
        </w:tc>
      </w:tr>
      <w:tr w:rsidR="00FB33CA" w14:paraId="4F0F088C" w14:textId="77777777" w:rsidTr="00A50816">
        <w:tc>
          <w:tcPr>
            <w:tcW w:w="3256" w:type="dxa"/>
          </w:tcPr>
          <w:p w14:paraId="2AE61F39" w14:textId="77777777" w:rsidR="00FB33CA" w:rsidRPr="006B1118" w:rsidRDefault="00FB33CA" w:rsidP="00A50816">
            <w:pPr>
              <w:rPr>
                <w:sz w:val="21"/>
                <w:szCs w:val="21"/>
              </w:rPr>
            </w:pPr>
            <w:r w:rsidRPr="006B1118">
              <w:rPr>
                <w:sz w:val="21"/>
                <w:szCs w:val="21"/>
              </w:rPr>
              <w:t>Proposed MBS fee</w:t>
            </w:r>
          </w:p>
        </w:tc>
        <w:tc>
          <w:tcPr>
            <w:tcW w:w="6209" w:type="dxa"/>
          </w:tcPr>
          <w:p w14:paraId="59488B26" w14:textId="3173A48B" w:rsidR="00FB33CA" w:rsidRPr="006B1118" w:rsidRDefault="00FB33CA" w:rsidP="00A50816">
            <w:pPr>
              <w:rPr>
                <w:sz w:val="21"/>
                <w:szCs w:val="21"/>
              </w:rPr>
            </w:pPr>
            <w:r>
              <w:rPr>
                <w:sz w:val="21"/>
                <w:szCs w:val="21"/>
              </w:rPr>
              <w:t>MBS fee to be confirmed, noting that the fee for item 73430 (FISH test for NTRK fusions) is $400.00.</w:t>
            </w:r>
          </w:p>
        </w:tc>
      </w:tr>
      <w:tr w:rsidR="00FB33CA" w14:paraId="476F9325" w14:textId="77777777" w:rsidTr="00A50816">
        <w:tc>
          <w:tcPr>
            <w:tcW w:w="3256" w:type="dxa"/>
          </w:tcPr>
          <w:p w14:paraId="0EC7B13D" w14:textId="77777777" w:rsidR="00FB33CA" w:rsidRPr="006B1118" w:rsidRDefault="00FB33CA" w:rsidP="00A50816">
            <w:pPr>
              <w:rPr>
                <w:sz w:val="21"/>
                <w:szCs w:val="21"/>
              </w:rPr>
            </w:pPr>
            <w:r w:rsidRPr="006B1118">
              <w:rPr>
                <w:sz w:val="21"/>
                <w:szCs w:val="21"/>
              </w:rPr>
              <w:t>Indicate the overall cost per patient of providing the proposed health technology</w:t>
            </w:r>
          </w:p>
        </w:tc>
        <w:tc>
          <w:tcPr>
            <w:tcW w:w="6209" w:type="dxa"/>
          </w:tcPr>
          <w:p w14:paraId="1DE7247D" w14:textId="77777777" w:rsidR="00FB33CA" w:rsidRPr="006B1118" w:rsidRDefault="00FB33CA" w:rsidP="00A50816">
            <w:pPr>
              <w:rPr>
                <w:sz w:val="21"/>
                <w:szCs w:val="21"/>
              </w:rPr>
            </w:pPr>
            <w:r>
              <w:rPr>
                <w:sz w:val="21"/>
                <w:szCs w:val="21"/>
              </w:rPr>
              <w:t>Overall cost to be confirmed in the integrated codependent submission</w:t>
            </w:r>
          </w:p>
        </w:tc>
      </w:tr>
      <w:tr w:rsidR="00FB33CA" w14:paraId="2A651E09" w14:textId="77777777" w:rsidTr="00A50816">
        <w:tc>
          <w:tcPr>
            <w:tcW w:w="3256" w:type="dxa"/>
          </w:tcPr>
          <w:p w14:paraId="1E6CD413" w14:textId="77777777" w:rsidR="00FB33CA" w:rsidRPr="006B1118" w:rsidRDefault="00FB33CA" w:rsidP="00A50816">
            <w:pPr>
              <w:rPr>
                <w:sz w:val="21"/>
                <w:szCs w:val="21"/>
              </w:rPr>
            </w:pPr>
            <w:r w:rsidRPr="006B1118">
              <w:rPr>
                <w:sz w:val="21"/>
                <w:szCs w:val="21"/>
              </w:rPr>
              <w:t>Please specify any anticipated out of pocket expenses</w:t>
            </w:r>
          </w:p>
        </w:tc>
        <w:tc>
          <w:tcPr>
            <w:tcW w:w="6209" w:type="dxa"/>
          </w:tcPr>
          <w:p w14:paraId="5010AA61" w14:textId="77777777" w:rsidR="00FB33CA" w:rsidRPr="006B1118" w:rsidRDefault="00FB33CA" w:rsidP="00A50816">
            <w:pPr>
              <w:rPr>
                <w:rFonts w:eastAsia="Segoe UI"/>
                <w:bCs/>
                <w:color w:val="000000"/>
                <w:sz w:val="21"/>
                <w:szCs w:val="21"/>
              </w:rPr>
            </w:pPr>
            <w:r>
              <w:rPr>
                <w:sz w:val="21"/>
                <w:szCs w:val="21"/>
              </w:rPr>
              <w:t>N/A</w:t>
            </w:r>
          </w:p>
        </w:tc>
      </w:tr>
      <w:tr w:rsidR="00FB33CA" w14:paraId="789521ED" w14:textId="77777777" w:rsidTr="00A50816">
        <w:tc>
          <w:tcPr>
            <w:tcW w:w="3256" w:type="dxa"/>
          </w:tcPr>
          <w:p w14:paraId="043E0E19" w14:textId="77777777" w:rsidR="00FB33CA" w:rsidRPr="006B1118" w:rsidRDefault="00FB33CA" w:rsidP="00A50816">
            <w:pPr>
              <w:rPr>
                <w:sz w:val="21"/>
                <w:szCs w:val="21"/>
              </w:rPr>
            </w:pPr>
            <w:r w:rsidRPr="006B1118">
              <w:rPr>
                <w:sz w:val="21"/>
                <w:szCs w:val="21"/>
              </w:rPr>
              <w:t>Provide any further details and explain</w:t>
            </w:r>
          </w:p>
        </w:tc>
        <w:tc>
          <w:tcPr>
            <w:tcW w:w="6209" w:type="dxa"/>
          </w:tcPr>
          <w:p w14:paraId="5BAF8BDA" w14:textId="77777777" w:rsidR="00FB33CA" w:rsidRPr="006B1118" w:rsidRDefault="00FB33CA" w:rsidP="00A50816">
            <w:pPr>
              <w:rPr>
                <w:rFonts w:eastAsia="Segoe UI"/>
                <w:bCs/>
                <w:color w:val="000000"/>
                <w:sz w:val="21"/>
                <w:szCs w:val="21"/>
              </w:rPr>
            </w:pPr>
            <w:r>
              <w:rPr>
                <w:sz w:val="21"/>
                <w:szCs w:val="21"/>
              </w:rPr>
              <w:t>N/A</w:t>
            </w:r>
          </w:p>
        </w:tc>
      </w:tr>
    </w:tbl>
    <w:p w14:paraId="39388BE7" w14:textId="77777777" w:rsidR="00FB33CA" w:rsidRPr="00FB33CA" w:rsidRDefault="00FB33CA" w:rsidP="00FB33CA"/>
    <w:p w14:paraId="321449D0" w14:textId="7FF8687A" w:rsidR="005E1CFB" w:rsidRPr="00EA0AA0" w:rsidRDefault="0090168B" w:rsidP="00EA0AA0">
      <w:pPr>
        <w:pStyle w:val="Heading1"/>
      </w:pPr>
      <w:r w:rsidRPr="00EA0AA0">
        <w:t>Algorithms</w:t>
      </w:r>
    </w:p>
    <w:p w14:paraId="7EDD3EB5" w14:textId="76582628" w:rsidR="0090168B" w:rsidRPr="00EA0AA0" w:rsidRDefault="00EA0AA0" w:rsidP="00BC0C43">
      <w:pPr>
        <w:pStyle w:val="Heading2"/>
        <w:rPr>
          <w:u w:val="single"/>
        </w:rPr>
      </w:pPr>
      <w:r w:rsidRPr="00EA0AA0">
        <w:rPr>
          <w:u w:val="single"/>
        </w:rPr>
        <w:t>PREPARATION FOR USING THE HEALTH TECHNOLOGY</w:t>
      </w:r>
    </w:p>
    <w:p w14:paraId="491D0FD7" w14:textId="3C2DE6C4" w:rsidR="00AB58AD" w:rsidRDefault="0090168B" w:rsidP="00EB5898">
      <w:pPr>
        <w:pStyle w:val="Heading2"/>
        <w:jc w:val="both"/>
      </w:pPr>
      <w:r>
        <w:t xml:space="preserve">Define and summarise the clinical management algorithm, including any required tests or healthcare resources, before patients would be eligible for the </w:t>
      </w:r>
      <w:r w:rsidRPr="00DD0A06">
        <w:rPr>
          <w:u w:val="single"/>
        </w:rPr>
        <w:t>proposed health technology</w:t>
      </w:r>
      <w:r w:rsidR="005E1CFB">
        <w:t>:</w:t>
      </w:r>
    </w:p>
    <w:p w14:paraId="3DC32B17" w14:textId="4E7C3BFE" w:rsidR="0035281D" w:rsidRDefault="00AC4E0F" w:rsidP="009B52CF">
      <w:pPr>
        <w:jc w:val="both"/>
        <w:rPr>
          <w:rFonts w:eastAsia="Segoe UI"/>
        </w:rPr>
      </w:pPr>
      <w:r>
        <w:t xml:space="preserve">Prior to being eligible for </w:t>
      </w:r>
      <w:r w:rsidRPr="001C218C">
        <w:rPr>
          <w:rFonts w:eastAsia="Segoe UI"/>
        </w:rPr>
        <w:t>testing to detect FGFR2 fusion or rearrangement</w:t>
      </w:r>
      <w:r>
        <w:rPr>
          <w:rFonts w:eastAsia="Segoe UI"/>
        </w:rPr>
        <w:t>, patients will have been diagnosed with</w:t>
      </w:r>
      <w:r w:rsidRPr="001C218C">
        <w:rPr>
          <w:rFonts w:eastAsia="Segoe UI"/>
        </w:rPr>
        <w:t xml:space="preserve"> </w:t>
      </w:r>
      <w:r>
        <w:rPr>
          <w:rFonts w:eastAsia="Segoe UI"/>
        </w:rPr>
        <w:t xml:space="preserve">CCA. </w:t>
      </w:r>
    </w:p>
    <w:p w14:paraId="6195B227" w14:textId="0C629A39" w:rsidR="005E1CFB" w:rsidRPr="00BC0C43" w:rsidRDefault="003952E8" w:rsidP="009B52CF">
      <w:pPr>
        <w:jc w:val="both"/>
        <w:rPr>
          <w:rFonts w:asciiTheme="minorHAnsi" w:eastAsia="Segoe UI" w:hAnsiTheme="minorHAnsi" w:cstheme="minorHAnsi"/>
          <w:color w:val="000000"/>
        </w:rPr>
      </w:pPr>
      <w:r>
        <w:t>Patients with a positive result may be eligible to</w:t>
      </w:r>
      <w:r w:rsidRPr="006D3A2A">
        <w:t xml:space="preserve"> receive targeted treatment with </w:t>
      </w:r>
      <w:r>
        <w:t xml:space="preserve">PBS-subsidised </w:t>
      </w:r>
      <w:proofErr w:type="spellStart"/>
      <w:r>
        <w:t>futibatinib</w:t>
      </w:r>
      <w:proofErr w:type="spellEnd"/>
      <w:r>
        <w:t xml:space="preserve"> in 2L+</w:t>
      </w:r>
      <w:r w:rsidRPr="006D3A2A">
        <w:t>.</w:t>
      </w:r>
    </w:p>
    <w:p w14:paraId="4131E93D" w14:textId="44D9E7B5" w:rsidR="005E1CFB" w:rsidRDefault="0090168B" w:rsidP="00EB5898">
      <w:pPr>
        <w:jc w:val="both"/>
        <w:rPr>
          <w:bCs/>
        </w:rPr>
      </w:pPr>
      <w:r w:rsidRPr="00BC0C43">
        <w:rPr>
          <w:rStyle w:val="Heading2Char"/>
        </w:rPr>
        <w:t>Is there any expectation that the clinical management algorithm before the health technology is used will change due to the introduction of the proposed health technology</w:t>
      </w:r>
      <w:r w:rsidR="005E1CFB" w:rsidRPr="00BC0C43">
        <w:rPr>
          <w:rStyle w:val="Heading2Char"/>
        </w:rPr>
        <w:t xml:space="preserve">? </w:t>
      </w:r>
    </w:p>
    <w:p w14:paraId="1546906F" w14:textId="4D1E4430" w:rsidR="005E1CFB" w:rsidRDefault="005E1CFB" w:rsidP="00BC0C43">
      <w:r w:rsidRPr="00A97A1C">
        <w:t>No</w:t>
      </w:r>
    </w:p>
    <w:p w14:paraId="0EA69E70" w14:textId="2F8BA449" w:rsidR="005E1CFB" w:rsidRPr="00BC0C43" w:rsidRDefault="0090168B" w:rsidP="00EB5898">
      <w:pPr>
        <w:pStyle w:val="Heading2"/>
        <w:jc w:val="both"/>
      </w:pPr>
      <w:r>
        <w:t xml:space="preserve">Describe and explain any differences in the clinical management algorithm prior to the use of the </w:t>
      </w:r>
      <w:r w:rsidRPr="00DD0A06">
        <w:rPr>
          <w:u w:val="single"/>
        </w:rPr>
        <w:t>proposed health technology</w:t>
      </w:r>
      <w:r>
        <w:t xml:space="preserve"> vs. the </w:t>
      </w:r>
      <w:r w:rsidRPr="00DD0A06">
        <w:rPr>
          <w:u w:val="single"/>
        </w:rPr>
        <w:t>comparator health technology</w:t>
      </w:r>
      <w:r w:rsidR="005E1CFB">
        <w:t>:</w:t>
      </w:r>
    </w:p>
    <w:p w14:paraId="16F3E419" w14:textId="5919EE88" w:rsidR="00BE6B22" w:rsidRPr="00BC0C43" w:rsidRDefault="00A121E7" w:rsidP="00BC0C43">
      <w:pPr>
        <w:rPr>
          <w:rFonts w:asciiTheme="minorHAnsi" w:eastAsia="Segoe UI" w:hAnsiTheme="minorHAnsi" w:cstheme="minorHAnsi"/>
          <w:color w:val="000000"/>
        </w:rPr>
      </w:pPr>
      <w:r>
        <w:t>N/A</w:t>
      </w:r>
    </w:p>
    <w:p w14:paraId="2AEB8C28" w14:textId="17DF89E6" w:rsidR="00F16239" w:rsidRPr="00EA0AA0" w:rsidRDefault="00EA0AA0" w:rsidP="00BC0C43">
      <w:pPr>
        <w:pStyle w:val="Heading2"/>
        <w:rPr>
          <w:u w:val="single"/>
        </w:rPr>
      </w:pPr>
      <w:r w:rsidRPr="00EA0AA0">
        <w:rPr>
          <w:u w:val="single"/>
        </w:rPr>
        <w:t>USE OF THE HEALTH TECHNOLOGY</w:t>
      </w:r>
    </w:p>
    <w:p w14:paraId="7C130FEF" w14:textId="04FF653C" w:rsidR="0090168B" w:rsidRPr="00BC0C43" w:rsidRDefault="00F16239" w:rsidP="00EB5898">
      <w:pPr>
        <w:pStyle w:val="Heading2"/>
        <w:jc w:val="both"/>
      </w:pPr>
      <w:r>
        <w:t xml:space="preserve">Explain what other healthcare resources are used in conjunction with delivering the </w:t>
      </w:r>
      <w:r w:rsidRPr="00DD0A06">
        <w:rPr>
          <w:u w:val="single"/>
        </w:rPr>
        <w:t>proposed health technology</w:t>
      </w:r>
      <w:r w:rsidR="0090168B">
        <w:t>:</w:t>
      </w:r>
    </w:p>
    <w:p w14:paraId="118ACD50" w14:textId="32B52129" w:rsidR="003506CD" w:rsidRDefault="003506CD" w:rsidP="009B52CF">
      <w:pPr>
        <w:spacing w:after="0"/>
        <w:jc w:val="both"/>
      </w:pPr>
      <w:r>
        <w:lastRenderedPageBreak/>
        <w:t xml:space="preserve">Healthcare resources used in conjunction with </w:t>
      </w:r>
      <w:r w:rsidR="001A5F11">
        <w:t xml:space="preserve">testing for </w:t>
      </w:r>
      <w:r w:rsidRPr="00D052C8">
        <w:rPr>
          <w:iCs/>
        </w:rPr>
        <w:t xml:space="preserve">FGFR2 </w:t>
      </w:r>
      <w:r w:rsidR="00D052C8" w:rsidRPr="00D052C8">
        <w:rPr>
          <w:iCs/>
        </w:rPr>
        <w:t>fusion or rearrangement</w:t>
      </w:r>
      <w:r>
        <w:t xml:space="preserve"> include MBS item number </w:t>
      </w:r>
      <w:r w:rsidRPr="00985FF6">
        <w:t>30694</w:t>
      </w:r>
      <w:r>
        <w:t xml:space="preserve">, </w:t>
      </w:r>
      <w:r w:rsidR="00536CE5">
        <w:t xml:space="preserve">for </w:t>
      </w:r>
      <w:r>
        <w:t>e</w:t>
      </w:r>
      <w:r w:rsidRPr="00946466">
        <w:t>ndoscopic ultrasound (endoscopy with ultrasound imaging), with or without biopsy</w:t>
      </w:r>
      <w:r>
        <w:t xml:space="preserve">, with fine needle aspiration for the diagnosis of </w:t>
      </w:r>
      <w:r w:rsidRPr="00460573">
        <w:t xml:space="preserve">pancreatic, biliary or gastric </w:t>
      </w:r>
      <w:r>
        <w:t>s</w:t>
      </w:r>
      <w:r w:rsidRPr="00460573">
        <w:t>ubmucosal tumours</w:t>
      </w:r>
      <w:r>
        <w:t xml:space="preserve">. </w:t>
      </w:r>
    </w:p>
    <w:p w14:paraId="56E3815D" w14:textId="69C5F0CB" w:rsidR="00A80470" w:rsidRDefault="00A80470" w:rsidP="009B52CF">
      <w:pPr>
        <w:spacing w:after="0"/>
        <w:jc w:val="both"/>
      </w:pPr>
      <w:r w:rsidRPr="00592109">
        <w:rPr>
          <w:rFonts w:cs="Arial"/>
        </w:rPr>
        <w:t xml:space="preserve">If the presence of </w:t>
      </w:r>
      <w:r>
        <w:rPr>
          <w:rFonts w:cs="Arial"/>
        </w:rPr>
        <w:t>FGFR2 fusion or rearrangement</w:t>
      </w:r>
      <w:r w:rsidRPr="00592109">
        <w:rPr>
          <w:rFonts w:cs="Arial"/>
        </w:rPr>
        <w:t xml:space="preserve"> is confirmed, the patient may be eligible for PBS-subsidised treatment with </w:t>
      </w:r>
      <w:proofErr w:type="spellStart"/>
      <w:r>
        <w:rPr>
          <w:rFonts w:cs="Arial"/>
        </w:rPr>
        <w:t>futibatinib</w:t>
      </w:r>
      <w:proofErr w:type="spellEnd"/>
      <w:r>
        <w:rPr>
          <w:rFonts w:cs="Arial"/>
        </w:rPr>
        <w:t>.</w:t>
      </w:r>
    </w:p>
    <w:p w14:paraId="38D2ADE7" w14:textId="00333F26" w:rsidR="0090168B" w:rsidRPr="00BC0C43" w:rsidRDefault="00F16239" w:rsidP="00EB5898">
      <w:pPr>
        <w:pStyle w:val="Heading2"/>
        <w:jc w:val="both"/>
      </w:pPr>
      <w:r>
        <w:t xml:space="preserve">Explain what other healthcare resources are used in conjunction with the </w:t>
      </w:r>
      <w:r w:rsidRPr="00DD0A06">
        <w:rPr>
          <w:u w:val="single"/>
        </w:rPr>
        <w:t>comparator health technology</w:t>
      </w:r>
      <w:r w:rsidR="0090168B">
        <w:t>:</w:t>
      </w:r>
    </w:p>
    <w:p w14:paraId="4151B2DB" w14:textId="3C29199C" w:rsidR="0090168B" w:rsidRPr="005E7AA4" w:rsidRDefault="00C13B34" w:rsidP="009B52CF">
      <w:pPr>
        <w:jc w:val="both"/>
      </w:pPr>
      <w:r>
        <w:t xml:space="preserve">The comparator is no test. </w:t>
      </w:r>
      <w:r w:rsidR="00E349A0">
        <w:t xml:space="preserve">Patients receiving </w:t>
      </w:r>
      <w:r w:rsidR="001D6C85">
        <w:t>standard of care subsequent-line therapy also receive a biopsy</w:t>
      </w:r>
      <w:r w:rsidR="008C3BC5">
        <w:t xml:space="preserve"> (MBS item number </w:t>
      </w:r>
      <w:r w:rsidR="008C3BC5" w:rsidRPr="00985FF6">
        <w:t>30694</w:t>
      </w:r>
      <w:r w:rsidR="008C3BC5">
        <w:t>)</w:t>
      </w:r>
      <w:r w:rsidR="001D6C85">
        <w:t xml:space="preserve"> to confirm their diagnosis.</w:t>
      </w:r>
    </w:p>
    <w:p w14:paraId="378F78D9" w14:textId="28E2F695" w:rsidR="00F16239" w:rsidRPr="00BC0C43" w:rsidRDefault="00F16239" w:rsidP="00EB5898">
      <w:pPr>
        <w:pStyle w:val="Heading2"/>
        <w:jc w:val="both"/>
      </w:pPr>
      <w:r>
        <w:t xml:space="preserve">Describe and explain any differences in the healthcare resources used in conjunction with the </w:t>
      </w:r>
      <w:r w:rsidRPr="00DD0A06">
        <w:rPr>
          <w:u w:val="single"/>
        </w:rPr>
        <w:t>proposed health technology</w:t>
      </w:r>
      <w:r>
        <w:t xml:space="preserve"> vs. the </w:t>
      </w:r>
      <w:r w:rsidRPr="00DD0A06">
        <w:rPr>
          <w:u w:val="single"/>
        </w:rPr>
        <w:t>comparator health technology</w:t>
      </w:r>
      <w:r>
        <w:t>:</w:t>
      </w:r>
    </w:p>
    <w:p w14:paraId="161BEF1B" w14:textId="245CF53C" w:rsidR="00F16239" w:rsidRPr="00BE6B22" w:rsidRDefault="007332A9" w:rsidP="009B52CF">
      <w:pPr>
        <w:jc w:val="both"/>
        <w:rPr>
          <w:rFonts w:asciiTheme="minorHAnsi" w:eastAsia="Segoe UI" w:hAnsiTheme="minorHAnsi" w:cstheme="minorHAnsi"/>
          <w:color w:val="000000"/>
        </w:rPr>
      </w:pPr>
      <w:r>
        <w:t xml:space="preserve">There are no differences in healthcare resources used in conjunction with </w:t>
      </w:r>
      <w:r w:rsidRPr="007332A9">
        <w:t>the proposed health technology vs. the comparator health technology</w:t>
      </w:r>
      <w:r>
        <w:t xml:space="preserve">. </w:t>
      </w:r>
    </w:p>
    <w:p w14:paraId="2BE17ED5" w14:textId="0F1E92FD" w:rsidR="00F16239" w:rsidRPr="00BF4BAA" w:rsidRDefault="00EA0AA0" w:rsidP="00BF4BAA">
      <w:pPr>
        <w:pStyle w:val="Heading2"/>
        <w:rPr>
          <w:u w:val="single"/>
        </w:rPr>
      </w:pPr>
      <w:r w:rsidRPr="00BC0C43">
        <w:rPr>
          <w:u w:val="single"/>
        </w:rPr>
        <w:t>CLINICAL MANAGEMENT AFTER THE USE OF HEALTH TECHNOLOGY</w:t>
      </w:r>
    </w:p>
    <w:p w14:paraId="3017C87B" w14:textId="631F5EC6" w:rsidR="00F16239" w:rsidRPr="00BC0C43" w:rsidRDefault="00F16239" w:rsidP="00EB5898">
      <w:pPr>
        <w:pStyle w:val="Heading2"/>
        <w:jc w:val="both"/>
      </w:pPr>
      <w:r>
        <w:t xml:space="preserve">Define and summarise the clinical management algorithm, including any required tests or healthcare resources, </w:t>
      </w:r>
      <w:r w:rsidRPr="00DD0A06">
        <w:rPr>
          <w:i/>
          <w:iCs/>
        </w:rPr>
        <w:t>after</w:t>
      </w:r>
      <w:r>
        <w:t xml:space="preserve"> the use of the </w:t>
      </w:r>
      <w:r w:rsidRPr="00DD0A06">
        <w:rPr>
          <w:u w:val="single"/>
        </w:rPr>
        <w:t>proposed health technology</w:t>
      </w:r>
      <w:r>
        <w:t>:</w:t>
      </w:r>
    </w:p>
    <w:p w14:paraId="72A15FF1" w14:textId="69B37FD9" w:rsidR="00E07B95" w:rsidRDefault="00E07B95" w:rsidP="00E07B95">
      <w:pPr>
        <w:jc w:val="both"/>
        <w:rPr>
          <w:rFonts w:cs="Arial"/>
        </w:rPr>
      </w:pPr>
      <w:r w:rsidRPr="00592109">
        <w:rPr>
          <w:rFonts w:cs="Arial"/>
        </w:rPr>
        <w:t xml:space="preserve">With the availability of </w:t>
      </w:r>
      <w:r>
        <w:rPr>
          <w:rFonts w:cs="Arial"/>
        </w:rPr>
        <w:t>FGFR2 fusion or rearra</w:t>
      </w:r>
      <w:r w:rsidR="009E0812">
        <w:rPr>
          <w:rFonts w:cs="Arial"/>
        </w:rPr>
        <w:t>n</w:t>
      </w:r>
      <w:r>
        <w:rPr>
          <w:rFonts w:cs="Arial"/>
        </w:rPr>
        <w:t>g</w:t>
      </w:r>
      <w:r w:rsidR="009E0812">
        <w:rPr>
          <w:rFonts w:cs="Arial"/>
        </w:rPr>
        <w:t>e</w:t>
      </w:r>
      <w:r>
        <w:rPr>
          <w:rFonts w:cs="Arial"/>
        </w:rPr>
        <w:t>ment</w:t>
      </w:r>
      <w:r w:rsidRPr="00592109">
        <w:rPr>
          <w:rFonts w:cs="Arial"/>
        </w:rPr>
        <w:t xml:space="preserve"> testing, patients with confirmed </w:t>
      </w:r>
      <w:r w:rsidR="009E0812">
        <w:rPr>
          <w:rFonts w:cs="Arial"/>
        </w:rPr>
        <w:t>FGFR2 fusion or rearrangement</w:t>
      </w:r>
      <w:r w:rsidRPr="00592109">
        <w:rPr>
          <w:rFonts w:cs="Arial"/>
        </w:rPr>
        <w:t xml:space="preserve"> may be eligible for PBS-reimbursed </w:t>
      </w:r>
      <w:proofErr w:type="spellStart"/>
      <w:r w:rsidR="009E0812">
        <w:rPr>
          <w:rFonts w:cs="Arial"/>
        </w:rPr>
        <w:t>futibatinib</w:t>
      </w:r>
      <w:proofErr w:type="spellEnd"/>
      <w:r w:rsidRPr="00592109">
        <w:rPr>
          <w:rFonts w:cs="Arial"/>
        </w:rPr>
        <w:t xml:space="preserve"> treatment. </w:t>
      </w:r>
    </w:p>
    <w:p w14:paraId="1D36F4FB" w14:textId="57280061" w:rsidR="0089205A" w:rsidRPr="00592109" w:rsidRDefault="0089205A" w:rsidP="0089205A">
      <w:pPr>
        <w:jc w:val="both"/>
        <w:rPr>
          <w:rFonts w:cs="Arial"/>
        </w:rPr>
      </w:pPr>
      <w:r w:rsidRPr="00592109">
        <w:rPr>
          <w:rFonts w:cs="Arial"/>
        </w:rPr>
        <w:t xml:space="preserve">Patients may subsequently move between </w:t>
      </w:r>
      <w:r w:rsidR="00CE4EBC">
        <w:rPr>
          <w:rFonts w:cs="Arial"/>
        </w:rPr>
        <w:t>2L+</w:t>
      </w:r>
      <w:r w:rsidRPr="00592109">
        <w:rPr>
          <w:rFonts w:cs="Arial"/>
        </w:rPr>
        <w:t xml:space="preserve"> treatment options for later lines of therapy, including moving to best supportive care.</w:t>
      </w:r>
    </w:p>
    <w:p w14:paraId="09165252" w14:textId="69360128" w:rsidR="00F16239" w:rsidRDefault="00F16239" w:rsidP="00EB5898">
      <w:pPr>
        <w:pStyle w:val="Heading2"/>
        <w:jc w:val="both"/>
      </w:pPr>
      <w:r>
        <w:t xml:space="preserve">Define and summarise the clinical management algorithm, including any required tests or healthcare resources, </w:t>
      </w:r>
      <w:r w:rsidRPr="00545A4C">
        <w:rPr>
          <w:i/>
          <w:iCs/>
        </w:rPr>
        <w:t>after</w:t>
      </w:r>
      <w:r>
        <w:t xml:space="preserve"> the use of the </w:t>
      </w:r>
      <w:r w:rsidRPr="00545A4C">
        <w:rPr>
          <w:u w:val="single"/>
        </w:rPr>
        <w:t>comparator health technology</w:t>
      </w:r>
      <w:r>
        <w:t>:</w:t>
      </w:r>
    </w:p>
    <w:p w14:paraId="1CB84229" w14:textId="16C7C125" w:rsidR="008205E3" w:rsidRPr="008205E3" w:rsidRDefault="00926579" w:rsidP="009B52CF">
      <w:pPr>
        <w:jc w:val="both"/>
      </w:pPr>
      <w:r>
        <w:t xml:space="preserve">The comparator is no test. Patients would </w:t>
      </w:r>
      <w:r w:rsidR="006032A4">
        <w:t xml:space="preserve">likely </w:t>
      </w:r>
      <w:r>
        <w:t>receive untargeted standard of care</w:t>
      </w:r>
      <w:r w:rsidR="006032A4">
        <w:t xml:space="preserve"> for all-comers</w:t>
      </w:r>
      <w:r w:rsidR="0089205A">
        <w:t xml:space="preserve"> in 2L+.</w:t>
      </w:r>
    </w:p>
    <w:p w14:paraId="5C871695" w14:textId="78E78F7F" w:rsidR="00F16239" w:rsidRPr="00BC0C43" w:rsidRDefault="00F16239" w:rsidP="00EB5898">
      <w:pPr>
        <w:pStyle w:val="Heading2"/>
        <w:jc w:val="both"/>
      </w:pPr>
      <w:r>
        <w:t xml:space="preserve">Describe and explain any differences in the healthcare resources used </w:t>
      </w:r>
      <w:r w:rsidRPr="00545A4C">
        <w:rPr>
          <w:i/>
          <w:iCs/>
        </w:rPr>
        <w:t>after</w:t>
      </w:r>
      <w:r>
        <w:t xml:space="preserve"> the </w:t>
      </w:r>
      <w:r w:rsidRPr="00545A4C">
        <w:rPr>
          <w:u w:val="single"/>
        </w:rPr>
        <w:t>proposed health technology</w:t>
      </w:r>
      <w:r>
        <w:t xml:space="preserve"> vs. the </w:t>
      </w:r>
      <w:r w:rsidRPr="00545A4C">
        <w:rPr>
          <w:u w:val="single"/>
        </w:rPr>
        <w:t>comparator health technology</w:t>
      </w:r>
      <w:r>
        <w:t>:</w:t>
      </w:r>
    </w:p>
    <w:p w14:paraId="662159BD" w14:textId="752025D8" w:rsidR="00130877" w:rsidRPr="00592109" w:rsidRDefault="00130877" w:rsidP="00130877">
      <w:pPr>
        <w:jc w:val="both"/>
        <w:rPr>
          <w:rFonts w:cs="Arial"/>
        </w:rPr>
      </w:pPr>
      <w:r w:rsidRPr="00592109">
        <w:rPr>
          <w:rFonts w:cs="Arial"/>
        </w:rPr>
        <w:t xml:space="preserve">Patients may subsequently move between </w:t>
      </w:r>
      <w:r w:rsidR="00CE4EBC">
        <w:rPr>
          <w:rFonts w:cs="Arial"/>
        </w:rPr>
        <w:t>2L+</w:t>
      </w:r>
      <w:r w:rsidRPr="00592109">
        <w:rPr>
          <w:rFonts w:cs="Arial"/>
        </w:rPr>
        <w:t xml:space="preserve"> treatment options for later lines of therapy, including moving to best supportive care.</w:t>
      </w:r>
    </w:p>
    <w:p w14:paraId="11068069" w14:textId="1CB70F16" w:rsidR="003B5CCD" w:rsidRPr="003B5CCD" w:rsidRDefault="00364572" w:rsidP="00EB5898">
      <w:pPr>
        <w:pStyle w:val="Heading2"/>
        <w:jc w:val="both"/>
      </w:pPr>
      <w:r>
        <w:t xml:space="preserve">Insert </w:t>
      </w:r>
      <w:r w:rsidR="00545A4C">
        <w:t>diagrams demonstrating the clinical management algorithm with and without the proposed health technology:</w:t>
      </w:r>
    </w:p>
    <w:p w14:paraId="5495B166" w14:textId="1FD947ED" w:rsidR="00157CA4" w:rsidRPr="00157CA4" w:rsidRDefault="00157CA4" w:rsidP="00157CA4">
      <w:pPr>
        <w:spacing w:before="120"/>
      </w:pPr>
      <w:r w:rsidRPr="00157CA4">
        <w:t>The following proposed clinical management algorithm (</w:t>
      </w:r>
      <w:r>
        <w:fldChar w:fldCharType="begin"/>
      </w:r>
      <w:r>
        <w:instrText xml:space="preserve"> REF _Ref161864274 \h </w:instrText>
      </w:r>
      <w:r>
        <w:fldChar w:fldCharType="separate"/>
      </w:r>
      <w:r>
        <w:t xml:space="preserve">Figure </w:t>
      </w:r>
      <w:r>
        <w:rPr>
          <w:noProof/>
        </w:rPr>
        <w:t>1</w:t>
      </w:r>
      <w:r>
        <w:fldChar w:fldCharType="end"/>
      </w:r>
      <w:r w:rsidRPr="00157CA4">
        <w:t>) is adapted from the ESMO and NCCN Guidelines (ESMO, 2023) (NCCN, 2023), and considers the treatments that are currently available for this indication on the PBS.</w:t>
      </w:r>
    </w:p>
    <w:p w14:paraId="36816A22" w14:textId="6E06810F" w:rsidR="00EC7E39" w:rsidRPr="00157CA4" w:rsidRDefault="00A234B7" w:rsidP="00157CA4">
      <w:pPr>
        <w:spacing w:before="120"/>
      </w:pPr>
      <w:r>
        <w:t>By</w:t>
      </w:r>
      <w:r w:rsidR="006F117A" w:rsidRPr="00157CA4">
        <w:t xml:space="preserve"> contrast, t</w:t>
      </w:r>
      <w:r w:rsidR="00EC7E39" w:rsidRPr="00157CA4">
        <w:t xml:space="preserve">he current algorithm </w:t>
      </w:r>
      <w:r w:rsidR="00FA5C20" w:rsidRPr="00157CA4">
        <w:t xml:space="preserve">has no </w:t>
      </w:r>
      <w:r w:rsidR="007D6E84">
        <w:t xml:space="preserve">FGFR2 fusion or rearrangement </w:t>
      </w:r>
      <w:r w:rsidR="00FA5C20" w:rsidRPr="00157CA4">
        <w:t>testing and patients are treated with current standard of care</w:t>
      </w:r>
      <w:r w:rsidR="00B20FD1">
        <w:t xml:space="preserve"> therapies</w:t>
      </w:r>
      <w:r w:rsidR="00FA5C20" w:rsidRPr="00157CA4">
        <w:t xml:space="preserve">, regardless of </w:t>
      </w:r>
      <w:r w:rsidR="00157CA4" w:rsidRPr="00157CA4">
        <w:t>FGFR</w:t>
      </w:r>
      <w:r w:rsidR="00210563">
        <w:t>2</w:t>
      </w:r>
      <w:r w:rsidR="006F117A" w:rsidRPr="00157CA4">
        <w:t xml:space="preserve"> fusion or rearrangement status</w:t>
      </w:r>
      <w:r w:rsidR="006F117A">
        <w:t>.</w:t>
      </w:r>
    </w:p>
    <w:p w14:paraId="6DBBA1E7" w14:textId="77777777" w:rsidR="00157CA4" w:rsidRDefault="00157CA4" w:rsidP="00157CA4">
      <w:pPr>
        <w:keepNext/>
      </w:pPr>
    </w:p>
    <w:p w14:paraId="71C6C898" w14:textId="4092CA30" w:rsidR="002325D6" w:rsidRDefault="00656368" w:rsidP="00157CA4">
      <w:pPr>
        <w:pStyle w:val="Caption"/>
        <w:rPr>
          <w:highlight w:val="lightGray"/>
        </w:rPr>
      </w:pPr>
      <w:r w:rsidRPr="00656368">
        <w:rPr>
          <w:noProof/>
          <w:lang w:val="en-SG" w:eastAsia="zh-CN"/>
        </w:rPr>
        <w:drawing>
          <wp:inline distT="0" distB="0" distL="0" distR="0" wp14:anchorId="39620F09" wp14:editId="21C687A0">
            <wp:extent cx="6030595" cy="4392930"/>
            <wp:effectExtent l="0" t="0" r="8255" b="7620"/>
            <wp:docPr id="1329779311" name="Picture 1" descr="clinical management algorithm (Figure 1) is adapted from the ESMO and NCCN Guidelines (ESMO, 2023) (NCCN, 2023), and considers the treatments that are currently available for this indication on the P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779311" name="Picture 1" descr="clinical management algorithm (Figure 1) is adapted from the ESMO and NCCN Guidelines (ESMO, 2023) (NCCN, 2023), and considers the treatments that are currently available for this indication on the PBS."/>
                    <pic:cNvPicPr/>
                  </pic:nvPicPr>
                  <pic:blipFill>
                    <a:blip r:embed="rId8"/>
                    <a:stretch>
                      <a:fillRect/>
                    </a:stretch>
                  </pic:blipFill>
                  <pic:spPr>
                    <a:xfrm>
                      <a:off x="0" y="0"/>
                      <a:ext cx="6030595" cy="4392930"/>
                    </a:xfrm>
                    <a:prstGeom prst="rect">
                      <a:avLst/>
                    </a:prstGeom>
                  </pic:spPr>
                </pic:pic>
              </a:graphicData>
            </a:graphic>
          </wp:inline>
        </w:drawing>
      </w:r>
      <w:bookmarkStart w:id="5" w:name="_Ref161864274"/>
      <w:r w:rsidR="00157CA4">
        <w:t xml:space="preserve">Figure </w:t>
      </w:r>
      <w:r>
        <w:fldChar w:fldCharType="begin"/>
      </w:r>
      <w:r>
        <w:instrText>SEQ Figure \* ARABIC</w:instrText>
      </w:r>
      <w:r>
        <w:fldChar w:fldCharType="separate"/>
      </w:r>
      <w:r w:rsidR="00157CA4">
        <w:rPr>
          <w:noProof/>
        </w:rPr>
        <w:t>1</w:t>
      </w:r>
      <w:r>
        <w:fldChar w:fldCharType="end"/>
      </w:r>
      <w:bookmarkEnd w:id="5"/>
      <w:r w:rsidR="00157CA4">
        <w:t>: Proposed clinical management algorithm</w:t>
      </w:r>
    </w:p>
    <w:p w14:paraId="5C94C69B" w14:textId="4B95100F" w:rsidR="004A45BE" w:rsidRDefault="004A45BE" w:rsidP="00EA0AA0">
      <w:pPr>
        <w:pStyle w:val="Heading1"/>
      </w:pPr>
      <w:r>
        <w:t>Claims</w:t>
      </w:r>
    </w:p>
    <w:p w14:paraId="6CA90951" w14:textId="23C9757F" w:rsidR="00582377" w:rsidRPr="00A97A1C" w:rsidRDefault="004A45BE" w:rsidP="00EB5898">
      <w:pPr>
        <w:pStyle w:val="Heading2"/>
        <w:jc w:val="both"/>
        <w:rPr>
          <w:rStyle w:val="InstructionsChar"/>
        </w:rPr>
      </w:pPr>
      <w:bookmarkStart w:id="6" w:name="_Hlk121218597"/>
      <w:r>
        <w:t xml:space="preserve">In terms of health outcomes (comparative benefits and harms), is the proposed technology claimed to be superior, non-inferior or inferior to the comparator(s)? </w:t>
      </w:r>
    </w:p>
    <w:p w14:paraId="137243BD" w14:textId="50B0B77A" w:rsidR="004209FC" w:rsidRPr="00BC0C43" w:rsidRDefault="00EC4A15" w:rsidP="00582377">
      <w:pPr>
        <w:pStyle w:val="Tickboxes"/>
      </w:pPr>
      <w:r>
        <w:fldChar w:fldCharType="begin">
          <w:ffData>
            <w:name w:val="Check1"/>
            <w:enabled/>
            <w:calcOnExit w:val="0"/>
            <w:checkBox>
              <w:sizeAuto/>
              <w:default w:val="1"/>
            </w:checkBox>
          </w:ffData>
        </w:fldChar>
      </w:r>
      <w:bookmarkStart w:id="7" w:name="Check1"/>
      <w:r>
        <w:instrText xml:space="preserve"> FORMCHECKBOX </w:instrText>
      </w:r>
      <w:r w:rsidR="00BB4E10">
        <w:fldChar w:fldCharType="separate"/>
      </w:r>
      <w:r>
        <w:fldChar w:fldCharType="end"/>
      </w:r>
      <w:bookmarkEnd w:id="7"/>
      <w:r w:rsidR="004209FC" w:rsidRPr="00BC0C43">
        <w:t xml:space="preserve"> Superior </w:t>
      </w:r>
    </w:p>
    <w:p w14:paraId="219D6AC6" w14:textId="77777777" w:rsidR="004209FC" w:rsidRPr="00BC0C43" w:rsidRDefault="004209FC" w:rsidP="00582377">
      <w:pPr>
        <w:pStyle w:val="Tickboxes"/>
      </w:pPr>
      <w:r w:rsidRPr="00BC0C43">
        <w:fldChar w:fldCharType="begin">
          <w:ffData>
            <w:name w:val="Check2"/>
            <w:enabled/>
            <w:calcOnExit w:val="0"/>
            <w:checkBox>
              <w:sizeAuto/>
              <w:default w:val="0"/>
            </w:checkBox>
          </w:ffData>
        </w:fldChar>
      </w:r>
      <w:r w:rsidRPr="00BC0C43">
        <w:instrText xml:space="preserve"> FORMCHECKBOX </w:instrText>
      </w:r>
      <w:r w:rsidR="00BB4E10">
        <w:fldChar w:fldCharType="separate"/>
      </w:r>
      <w:r w:rsidRPr="00BC0C43">
        <w:fldChar w:fldCharType="end"/>
      </w:r>
      <w:r w:rsidRPr="00BC0C43">
        <w:t xml:space="preserve"> Non-inferior</w:t>
      </w:r>
    </w:p>
    <w:p w14:paraId="1E1E7FC3" w14:textId="6E51E804" w:rsidR="00364572" w:rsidRPr="00BC0C43" w:rsidRDefault="004209FC"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BB4E10">
        <w:fldChar w:fldCharType="separate"/>
      </w:r>
      <w:r w:rsidRPr="00BC0C43">
        <w:fldChar w:fldCharType="end"/>
      </w:r>
      <w:r w:rsidRPr="00BC0C43">
        <w:t xml:space="preserve"> Inferior </w:t>
      </w:r>
    </w:p>
    <w:p w14:paraId="12D880D8" w14:textId="573EC961" w:rsidR="004A45BE" w:rsidRPr="00BC0C43" w:rsidRDefault="00364572" w:rsidP="00BC0C43">
      <w:pPr>
        <w:pStyle w:val="Heading2"/>
      </w:pPr>
      <w:r w:rsidRPr="0026282C">
        <w:t>Please state what the overall claim is, and provide a rationale</w:t>
      </w:r>
      <w:r w:rsidRPr="00B15CDF">
        <w:t>:</w:t>
      </w:r>
    </w:p>
    <w:p w14:paraId="1B16F815" w14:textId="263C9B73" w:rsidR="00F54994" w:rsidRDefault="00450594" w:rsidP="009B52CF">
      <w:pPr>
        <w:jc w:val="both"/>
      </w:pPr>
      <w:r>
        <w:t>Based on the results of FOENIX-CCA2, t</w:t>
      </w:r>
      <w:r w:rsidR="00EC4A15">
        <w:t xml:space="preserve">esting to detect </w:t>
      </w:r>
      <w:r w:rsidR="00C22955" w:rsidRPr="001C218C">
        <w:rPr>
          <w:rFonts w:eastAsia="Segoe UI"/>
        </w:rPr>
        <w:t>FGFR2 fusion or rearrangement</w:t>
      </w:r>
      <w:r w:rsidR="00EC4A15">
        <w:t xml:space="preserve">, followed by targeted therapy with </w:t>
      </w:r>
      <w:proofErr w:type="spellStart"/>
      <w:r w:rsidR="00C22955">
        <w:t>futibatinib</w:t>
      </w:r>
      <w:proofErr w:type="spellEnd"/>
      <w:r w:rsidR="00EC4A15">
        <w:t xml:space="preserve"> results in superior health outcomes compared to no testing and untargeted treatment/best supportive care in patients with locally advanced or metastatic CCA. </w:t>
      </w:r>
      <w:bookmarkEnd w:id="6"/>
    </w:p>
    <w:p w14:paraId="5D98105B" w14:textId="7E554704" w:rsidR="00F54994" w:rsidRDefault="00F54994" w:rsidP="009B52CF">
      <w:pPr>
        <w:jc w:val="both"/>
      </w:pPr>
      <w:r w:rsidRPr="000E6F93">
        <w:t xml:space="preserve">In </w:t>
      </w:r>
      <w:r>
        <w:t>FOENIX-CCA2</w:t>
      </w:r>
      <w:r w:rsidRPr="000E6F93">
        <w:t>, 42% of the patients who</w:t>
      </w:r>
      <w:r>
        <w:t xml:space="preserve"> </w:t>
      </w:r>
      <w:r w:rsidRPr="000E6F93">
        <w:t xml:space="preserve">received </w:t>
      </w:r>
      <w:proofErr w:type="spellStart"/>
      <w:r w:rsidRPr="000E6F93">
        <w:t>futibatinib</w:t>
      </w:r>
      <w:proofErr w:type="spellEnd"/>
      <w:r w:rsidRPr="000E6F93">
        <w:t xml:space="preserve"> had a response, as determined</w:t>
      </w:r>
      <w:r>
        <w:t xml:space="preserve"> </w:t>
      </w:r>
      <w:r w:rsidRPr="000E6F93">
        <w:t>by independent central review. The use of</w:t>
      </w:r>
      <w:r>
        <w:t xml:space="preserve"> </w:t>
      </w:r>
      <w:proofErr w:type="spellStart"/>
      <w:r w:rsidRPr="000E6F93">
        <w:t>futibatinib</w:t>
      </w:r>
      <w:proofErr w:type="spellEnd"/>
      <w:r w:rsidRPr="000E6F93">
        <w:t xml:space="preserve"> resulted in durable responses and</w:t>
      </w:r>
      <w:r>
        <w:t xml:space="preserve"> </w:t>
      </w:r>
      <w:r w:rsidRPr="000E6F93">
        <w:t>survival that surpassed those indicated by historical</w:t>
      </w:r>
      <w:r>
        <w:t xml:space="preserve"> </w:t>
      </w:r>
      <w:r w:rsidRPr="000E6F93">
        <w:t>data with chemotherapy in patients with</w:t>
      </w:r>
      <w:r>
        <w:t xml:space="preserve"> </w:t>
      </w:r>
      <w:r w:rsidRPr="000E6F93">
        <w:t xml:space="preserve">refractory </w:t>
      </w:r>
      <w:r>
        <w:t>CCA</w:t>
      </w:r>
      <w:r w:rsidRPr="000E6F93">
        <w:t>.</w:t>
      </w:r>
    </w:p>
    <w:p w14:paraId="43670E9E" w14:textId="3DAE6738" w:rsidR="004A45BE" w:rsidRPr="00BC0C43" w:rsidRDefault="004A45BE" w:rsidP="00EB5898">
      <w:pPr>
        <w:pStyle w:val="Heading2"/>
        <w:jc w:val="both"/>
      </w:pPr>
      <w:r>
        <w:t>Why would the requestor seek to use the proposed investigative technology rather than the comparator(s)?</w:t>
      </w:r>
    </w:p>
    <w:p w14:paraId="56268485" w14:textId="19B6DE58" w:rsidR="004A45BE" w:rsidRPr="00BC0C43" w:rsidRDefault="00F54994" w:rsidP="009B52CF">
      <w:pPr>
        <w:spacing w:after="0"/>
        <w:jc w:val="both"/>
        <w:rPr>
          <w:rFonts w:asciiTheme="minorHAnsi" w:eastAsia="Segoe UI" w:hAnsiTheme="minorHAnsi" w:cstheme="minorHAnsi"/>
          <w:color w:val="000000"/>
        </w:rPr>
      </w:pPr>
      <w:r>
        <w:t xml:space="preserve">CCA is a rare and aggressive cancer with limited treatment options. Given the available evidence, patients with </w:t>
      </w:r>
      <w:r w:rsidR="002B03F7">
        <w:t>a FGFR2 fusion or rearrangement</w:t>
      </w:r>
      <w:r>
        <w:t xml:space="preserve"> may benefit from receiving a targeted treatment</w:t>
      </w:r>
      <w:r w:rsidR="002B03F7">
        <w:t xml:space="preserve"> with </w:t>
      </w:r>
      <w:proofErr w:type="spellStart"/>
      <w:r w:rsidR="002B03F7">
        <w:t>futibatinib</w:t>
      </w:r>
      <w:proofErr w:type="spellEnd"/>
      <w:r>
        <w:t xml:space="preserve">, rather than the current standard of care. </w:t>
      </w:r>
      <w:r w:rsidR="00831F12" w:rsidRPr="006D3A2A">
        <w:t xml:space="preserve">This change is expected to lead to a significant improvement in clinical outcomes, as demonstrated by the pivotal </w:t>
      </w:r>
      <w:r w:rsidR="00831F12">
        <w:t>FOENIX-CCA2 study</w:t>
      </w:r>
      <w:r w:rsidR="00831F12" w:rsidRPr="006D3A2A">
        <w:t>.</w:t>
      </w:r>
    </w:p>
    <w:p w14:paraId="67792CDE" w14:textId="20F96D42" w:rsidR="004A45BE" w:rsidRPr="00BC0C43" w:rsidRDefault="004A45BE" w:rsidP="00BC0C43">
      <w:pPr>
        <w:pStyle w:val="Heading2"/>
      </w:pPr>
      <w:r w:rsidRPr="00B15CDF">
        <w:lastRenderedPageBreak/>
        <w:t>Identify how the proposed technology achieves the intended patient outcomes</w:t>
      </w:r>
      <w:r>
        <w:t>:</w:t>
      </w:r>
    </w:p>
    <w:p w14:paraId="5ED0D298" w14:textId="7E2448AA" w:rsidR="004A45BE" w:rsidRPr="007B36D7" w:rsidRDefault="007B36D7" w:rsidP="009B52CF">
      <w:pPr>
        <w:jc w:val="both"/>
      </w:pPr>
      <w:r w:rsidRPr="006D3A2A">
        <w:t xml:space="preserve">Testing patients with CCA for </w:t>
      </w:r>
      <w:r w:rsidRPr="00C05C47">
        <w:t>FGFR2 fusion or rearrangement</w:t>
      </w:r>
      <w:r w:rsidRPr="00C05C47">
        <w:rPr>
          <w:b/>
          <w:bCs/>
        </w:rPr>
        <w:t xml:space="preserve"> </w:t>
      </w:r>
      <w:r w:rsidRPr="006D3A2A">
        <w:t xml:space="preserve">is expected to lead to a change in clinical management, as </w:t>
      </w:r>
      <w:r>
        <w:t xml:space="preserve">patients </w:t>
      </w:r>
      <w:r w:rsidR="00F71BCA">
        <w:t xml:space="preserve">identified </w:t>
      </w:r>
      <w:r>
        <w:t xml:space="preserve">with a </w:t>
      </w:r>
      <w:r w:rsidRPr="00C05C47">
        <w:t>FGFR2 fusion or rearrangement</w:t>
      </w:r>
      <w:r w:rsidRPr="00C05C47">
        <w:rPr>
          <w:b/>
          <w:bCs/>
        </w:rPr>
        <w:t xml:space="preserve"> </w:t>
      </w:r>
      <w:r>
        <w:t>will be eligible to</w:t>
      </w:r>
      <w:r w:rsidRPr="006D3A2A">
        <w:t xml:space="preserve"> receive targeted treatment with </w:t>
      </w:r>
      <w:proofErr w:type="spellStart"/>
      <w:r>
        <w:t>futibatinib</w:t>
      </w:r>
      <w:proofErr w:type="spellEnd"/>
      <w:r w:rsidRPr="006D3A2A">
        <w:t xml:space="preserve">. </w:t>
      </w:r>
    </w:p>
    <w:p w14:paraId="0C2BEC69" w14:textId="2C345F79" w:rsidR="004A45BE" w:rsidRDefault="004A45BE" w:rsidP="00BC0C43">
      <w:pPr>
        <w:pStyle w:val="Heading2"/>
      </w:pPr>
      <w:r>
        <w:t xml:space="preserve">For some people, compared with the comparator(s), does the test information result in: </w:t>
      </w:r>
    </w:p>
    <w:p w14:paraId="67DE36BA" w14:textId="0F5866A9" w:rsidR="004A45BE" w:rsidRPr="00BC0C43" w:rsidRDefault="004A45BE" w:rsidP="00361BBE">
      <w:pPr>
        <w:spacing w:before="120"/>
        <w:rPr>
          <w:bCs/>
        </w:rPr>
      </w:pPr>
      <w:r w:rsidRPr="00361BBE">
        <w:rPr>
          <w:b/>
          <w:bCs/>
        </w:rPr>
        <w:t>A change in clinical management?</w:t>
      </w:r>
      <w:r>
        <w:rPr>
          <w:bCs/>
        </w:rPr>
        <w:tab/>
      </w:r>
      <w:r w:rsidRPr="00BF4BAA">
        <w:rPr>
          <w:bCs/>
          <w:highlight w:val="lightGray"/>
        </w:rPr>
        <w:t>Yes</w:t>
      </w:r>
    </w:p>
    <w:p w14:paraId="6C54CA8D" w14:textId="05CD71B1" w:rsidR="004A45BE" w:rsidRPr="00BC0C43" w:rsidRDefault="004A45BE" w:rsidP="00BC0C43">
      <w:pPr>
        <w:rPr>
          <w:bCs/>
        </w:rPr>
      </w:pPr>
      <w:r w:rsidRPr="00361BBE">
        <w:rPr>
          <w:b/>
          <w:bCs/>
        </w:rPr>
        <w:t>A change in health outcome?</w:t>
      </w:r>
      <w:r>
        <w:rPr>
          <w:bCs/>
        </w:rPr>
        <w:tab/>
      </w:r>
      <w:r w:rsidRPr="00BF4BAA">
        <w:rPr>
          <w:bCs/>
          <w:highlight w:val="lightGray"/>
        </w:rPr>
        <w:t>Yes</w:t>
      </w:r>
    </w:p>
    <w:p w14:paraId="0434A6A4" w14:textId="358F3E50" w:rsidR="004A45BE" w:rsidRPr="00BC0C43" w:rsidRDefault="004A45BE" w:rsidP="00BC0C43">
      <w:pPr>
        <w:rPr>
          <w:bCs/>
        </w:rPr>
      </w:pPr>
      <w:r w:rsidRPr="00361BBE">
        <w:rPr>
          <w:b/>
          <w:bCs/>
        </w:rPr>
        <w:t>Other benefits?</w:t>
      </w:r>
      <w:r w:rsidRPr="00361BBE">
        <w:rPr>
          <w:b/>
          <w:bCs/>
        </w:rPr>
        <w:tab/>
      </w:r>
      <w:r>
        <w:rPr>
          <w:bCs/>
        </w:rPr>
        <w:tab/>
      </w:r>
      <w:r>
        <w:rPr>
          <w:bCs/>
        </w:rPr>
        <w:tab/>
      </w:r>
      <w:r w:rsidRPr="00BF4BAA">
        <w:rPr>
          <w:bCs/>
          <w:highlight w:val="lightGray"/>
        </w:rPr>
        <w:t>No</w:t>
      </w:r>
    </w:p>
    <w:p w14:paraId="04716397" w14:textId="0FE58BC1" w:rsidR="004A45BE" w:rsidRPr="00BC0C43" w:rsidRDefault="009D5D20" w:rsidP="00BC0C43">
      <w:pPr>
        <w:pStyle w:val="Heading2"/>
      </w:pPr>
      <w:r>
        <w:t>Please provide a rationale, and information on other benefits if relevant</w:t>
      </w:r>
      <w:r w:rsidR="004A45BE">
        <w:t>:</w:t>
      </w:r>
    </w:p>
    <w:p w14:paraId="4559AF7E" w14:textId="35C13A53" w:rsidR="004A45BE" w:rsidRPr="00BC0C43" w:rsidRDefault="00AC7E8E" w:rsidP="00BC0C43">
      <w:pPr>
        <w:rPr>
          <w:rFonts w:asciiTheme="minorHAnsi" w:eastAsia="Segoe UI" w:hAnsiTheme="minorHAnsi" w:cstheme="minorHAnsi"/>
          <w:color w:val="000000"/>
        </w:rPr>
      </w:pPr>
      <w:r>
        <w:t>N/A</w:t>
      </w:r>
    </w:p>
    <w:p w14:paraId="387EB1A7" w14:textId="77777777" w:rsidR="00361BBE" w:rsidRDefault="009D5D20" w:rsidP="00EB5898">
      <w:pPr>
        <w:pStyle w:val="Heading2"/>
        <w:jc w:val="both"/>
      </w:pPr>
      <w:r>
        <w:t>In terms of the immediate costs of the proposed technology (and immediate cost consequences, such as procedural costs, testing costs etc.), is the proposed technology claimed to be more costly, the same cost or less costly than the comparator?</w:t>
      </w:r>
      <w:r w:rsidR="004A45BE">
        <w:t xml:space="preserve"> </w:t>
      </w:r>
    </w:p>
    <w:p w14:paraId="0EB954C3" w14:textId="493961BA" w:rsidR="006437E6" w:rsidRPr="00582377" w:rsidRDefault="00AC7E8E" w:rsidP="00582377">
      <w:pPr>
        <w:pStyle w:val="Tickboxes"/>
      </w:pPr>
      <w:r>
        <w:fldChar w:fldCharType="begin">
          <w:ffData>
            <w:name w:val=""/>
            <w:enabled/>
            <w:calcOnExit w:val="0"/>
            <w:checkBox>
              <w:sizeAuto/>
              <w:default w:val="1"/>
            </w:checkBox>
          </w:ffData>
        </w:fldChar>
      </w:r>
      <w:r>
        <w:instrText xml:space="preserve"> FORMCHECKBOX </w:instrText>
      </w:r>
      <w:r w:rsidR="00BB4E10">
        <w:fldChar w:fldCharType="separate"/>
      </w:r>
      <w:r>
        <w:fldChar w:fldCharType="end"/>
      </w:r>
      <w:r w:rsidR="006437E6" w:rsidRPr="00582377">
        <w:t xml:space="preserve"> More costly </w:t>
      </w:r>
    </w:p>
    <w:p w14:paraId="76F56838" w14:textId="77777777" w:rsidR="006437E6" w:rsidRPr="00582377" w:rsidRDefault="006437E6" w:rsidP="00582377">
      <w:pPr>
        <w:pStyle w:val="Tickboxes"/>
      </w:pPr>
      <w:r w:rsidRPr="00582377">
        <w:fldChar w:fldCharType="begin">
          <w:ffData>
            <w:name w:val="Check2"/>
            <w:enabled/>
            <w:calcOnExit w:val="0"/>
            <w:checkBox>
              <w:sizeAuto/>
              <w:default w:val="0"/>
            </w:checkBox>
          </w:ffData>
        </w:fldChar>
      </w:r>
      <w:r w:rsidRPr="00582377">
        <w:instrText xml:space="preserve"> FORMCHECKBOX </w:instrText>
      </w:r>
      <w:r w:rsidR="00BB4E10">
        <w:fldChar w:fldCharType="separate"/>
      </w:r>
      <w:r w:rsidRPr="00582377">
        <w:fldChar w:fldCharType="end"/>
      </w:r>
      <w:r w:rsidRPr="00582377">
        <w:t xml:space="preserve"> Same cost</w:t>
      </w:r>
    </w:p>
    <w:p w14:paraId="7925F574" w14:textId="04A11129" w:rsidR="00025969" w:rsidRPr="00582377" w:rsidRDefault="006437E6" w:rsidP="00582377">
      <w:pPr>
        <w:pStyle w:val="Tickboxes"/>
      </w:pPr>
      <w:r w:rsidRPr="00582377">
        <w:fldChar w:fldCharType="begin">
          <w:ffData>
            <w:name w:val="Check1"/>
            <w:enabled/>
            <w:calcOnExit w:val="0"/>
            <w:checkBox>
              <w:sizeAuto/>
              <w:default w:val="0"/>
            </w:checkBox>
          </w:ffData>
        </w:fldChar>
      </w:r>
      <w:r w:rsidRPr="00582377">
        <w:instrText xml:space="preserve"> FORMCHECKBOX </w:instrText>
      </w:r>
      <w:r w:rsidR="00BB4E10">
        <w:fldChar w:fldCharType="separate"/>
      </w:r>
      <w:r w:rsidRPr="00582377">
        <w:fldChar w:fldCharType="end"/>
      </w:r>
      <w:r w:rsidRPr="00582377">
        <w:t xml:space="preserve"> Less costly </w:t>
      </w:r>
    </w:p>
    <w:p w14:paraId="3797314E" w14:textId="321C0DC3" w:rsidR="004A45BE" w:rsidRPr="00BC0C43" w:rsidRDefault="009D5D20" w:rsidP="00BC0C43">
      <w:pPr>
        <w:pStyle w:val="Heading2"/>
      </w:pPr>
      <w:r>
        <w:t>Provide a brief rationale for the claim</w:t>
      </w:r>
      <w:r w:rsidR="004A45BE">
        <w:t>:</w:t>
      </w:r>
    </w:p>
    <w:p w14:paraId="5D5A6B9F" w14:textId="27865B4E" w:rsidR="00FC0D7D" w:rsidRPr="00F251A0" w:rsidRDefault="00FC0D7D" w:rsidP="00FC0D7D">
      <w:pPr>
        <w:jc w:val="both"/>
        <w:rPr>
          <w:rFonts w:eastAsia="Segoe UI"/>
        </w:rPr>
      </w:pPr>
      <w:bookmarkStart w:id="8" w:name="_Hlk122532620"/>
      <w:r w:rsidRPr="00F251A0">
        <w:rPr>
          <w:rFonts w:eastAsia="Segoe UI"/>
        </w:rPr>
        <w:t xml:space="preserve">The PBS listing of </w:t>
      </w:r>
      <w:proofErr w:type="spellStart"/>
      <w:r>
        <w:rPr>
          <w:rFonts w:eastAsia="Segoe UI"/>
        </w:rPr>
        <w:t>futibatinib</w:t>
      </w:r>
      <w:proofErr w:type="spellEnd"/>
      <w:r w:rsidRPr="00F251A0">
        <w:rPr>
          <w:rFonts w:eastAsia="Segoe UI"/>
        </w:rPr>
        <w:t xml:space="preserve"> will </w:t>
      </w:r>
      <w:r>
        <w:rPr>
          <w:rFonts w:eastAsia="Segoe UI"/>
        </w:rPr>
        <w:t>result in the</w:t>
      </w:r>
      <w:r w:rsidRPr="00F251A0">
        <w:rPr>
          <w:rFonts w:eastAsia="Segoe UI"/>
        </w:rPr>
        <w:t xml:space="preserve"> utilisation of</w:t>
      </w:r>
      <w:r w:rsidR="00832CDF">
        <w:rPr>
          <w:rFonts w:eastAsia="Segoe UI"/>
        </w:rPr>
        <w:t xml:space="preserve"> </w:t>
      </w:r>
      <w:r w:rsidR="00832CDF">
        <w:rPr>
          <w:rFonts w:cs="Arial"/>
        </w:rPr>
        <w:t>FGFR2 fusion or rearrangement</w:t>
      </w:r>
      <w:r w:rsidR="00832CDF" w:rsidRPr="00592109">
        <w:rPr>
          <w:rFonts w:cs="Arial"/>
        </w:rPr>
        <w:t xml:space="preserve"> testing</w:t>
      </w:r>
      <w:r w:rsidR="00832CDF">
        <w:rPr>
          <w:rFonts w:cs="Arial"/>
        </w:rPr>
        <w:t xml:space="preserve"> in patients with CCA</w:t>
      </w:r>
      <w:r w:rsidRPr="00F251A0">
        <w:rPr>
          <w:rFonts w:eastAsia="Segoe UI"/>
        </w:rPr>
        <w:t>.</w:t>
      </w:r>
    </w:p>
    <w:p w14:paraId="70DF991C" w14:textId="4EFDB2CD" w:rsidR="00FC0D7D" w:rsidRDefault="00FC0D7D" w:rsidP="00FC0D7D">
      <w:pPr>
        <w:spacing w:after="0"/>
        <w:jc w:val="both"/>
      </w:pPr>
      <w:r>
        <w:t xml:space="preserve">Overall, the listing of </w:t>
      </w:r>
      <w:r w:rsidR="00832CDF">
        <w:t>the test</w:t>
      </w:r>
      <w:r>
        <w:t xml:space="preserve"> and </w:t>
      </w:r>
      <w:r w:rsidR="00832CDF">
        <w:t>treatment</w:t>
      </w:r>
      <w:r>
        <w:t xml:space="preserve"> on the MBS and PBS, respectively, is </w:t>
      </w:r>
      <w:r>
        <w:rPr>
          <w:rFonts w:eastAsia="Segoe UI"/>
          <w:bCs/>
        </w:rPr>
        <w:t xml:space="preserve">expected to be more costly than no testing + </w:t>
      </w:r>
      <w:r w:rsidR="00A47BD2">
        <w:t>standard of care subsequent-line therapy</w:t>
      </w:r>
      <w:r>
        <w:t>.</w:t>
      </w:r>
    </w:p>
    <w:p w14:paraId="3F215402" w14:textId="5639F6D3" w:rsidR="00BF4BAA" w:rsidRDefault="00BF4BAA" w:rsidP="009B52CF">
      <w:pPr>
        <w:spacing w:after="160" w:line="259" w:lineRule="auto"/>
        <w:jc w:val="both"/>
        <w:sectPr w:rsidR="00BF4BAA" w:rsidSect="005701D8">
          <w:headerReference w:type="even" r:id="rId9"/>
          <w:headerReference w:type="default" r:id="rId10"/>
          <w:footerReference w:type="even" r:id="rId11"/>
          <w:footerReference w:type="default" r:id="rId12"/>
          <w:headerReference w:type="first" r:id="rId13"/>
          <w:footerReference w:type="first" r:id="rId14"/>
          <w:pgSz w:w="11906" w:h="16838"/>
          <w:pgMar w:top="993" w:right="1133" w:bottom="993" w:left="1276" w:header="426" w:footer="252" w:gutter="0"/>
          <w:pgNumType w:start="0"/>
          <w:cols w:space="708"/>
          <w:titlePg/>
          <w:docGrid w:linePitch="360"/>
        </w:sectPr>
      </w:pPr>
    </w:p>
    <w:p w14:paraId="78D9C328" w14:textId="7948D0B2" w:rsidR="0030566C" w:rsidRDefault="0030566C" w:rsidP="00EA0AA0">
      <w:pPr>
        <w:pStyle w:val="Heading1"/>
      </w:pPr>
      <w:r>
        <w:lastRenderedPageBreak/>
        <w:t>Summary of Evidence</w:t>
      </w:r>
    </w:p>
    <w:p w14:paraId="19D402B3" w14:textId="75784705" w:rsidR="00A97A1C" w:rsidRDefault="0030566C" w:rsidP="00A97A1C">
      <w:pPr>
        <w:pStyle w:val="Heading2"/>
      </w:pPr>
      <w:r w:rsidRPr="00BC0C43">
        <w:t xml:space="preserve">Provide one or more recent (published) high quality clinical studies that support use of the proposed health service/technology. At ‘Application Form lodgement’, </w:t>
      </w:r>
    </w:p>
    <w:p w14:paraId="780B6BB8" w14:textId="77777777" w:rsidR="00A97A1C" w:rsidRPr="00A97A1C" w:rsidRDefault="00A97A1C" w:rsidP="00A97A1C"/>
    <w:tbl>
      <w:tblPr>
        <w:tblStyle w:val="TableGrid"/>
        <w:tblW w:w="5000" w:type="pct"/>
        <w:tblLook w:val="04A0" w:firstRow="1" w:lastRow="0" w:firstColumn="1" w:lastColumn="0" w:noHBand="0" w:noVBand="1"/>
        <w:tblCaption w:val="Summary of Evidence - Published"/>
      </w:tblPr>
      <w:tblGrid>
        <w:gridCol w:w="384"/>
        <w:gridCol w:w="1519"/>
        <w:gridCol w:w="3435"/>
        <w:gridCol w:w="2725"/>
        <w:gridCol w:w="4502"/>
        <w:gridCol w:w="1688"/>
      </w:tblGrid>
      <w:tr w:rsidR="002B3774" w:rsidRPr="0030566C" w14:paraId="7D7CFBCF" w14:textId="77777777" w:rsidTr="00A06F41">
        <w:trPr>
          <w:cantSplit/>
          <w:tblHeader/>
        </w:trPr>
        <w:tc>
          <w:tcPr>
            <w:tcW w:w="134" w:type="pct"/>
          </w:tcPr>
          <w:p w14:paraId="3C303F90" w14:textId="77777777" w:rsidR="002B3774" w:rsidRPr="0030566C" w:rsidRDefault="002B3774"/>
        </w:tc>
        <w:tc>
          <w:tcPr>
            <w:tcW w:w="533" w:type="pct"/>
          </w:tcPr>
          <w:p w14:paraId="22034637" w14:textId="2FF938E0" w:rsidR="002B3774" w:rsidRPr="00BF4BAA" w:rsidRDefault="002B3774">
            <w:pPr>
              <w:rPr>
                <w:b/>
                <w:bCs/>
              </w:rPr>
            </w:pPr>
            <w:r w:rsidRPr="00BF4BAA">
              <w:rPr>
                <w:b/>
                <w:bCs/>
              </w:rPr>
              <w:t>Type of study design</w:t>
            </w:r>
          </w:p>
        </w:tc>
        <w:tc>
          <w:tcPr>
            <w:tcW w:w="1205" w:type="pct"/>
          </w:tcPr>
          <w:p w14:paraId="72A969B8" w14:textId="445C9CD4" w:rsidR="002B3774" w:rsidRPr="00BF4BAA" w:rsidRDefault="002B3774">
            <w:pPr>
              <w:rPr>
                <w:b/>
                <w:bCs/>
              </w:rPr>
            </w:pPr>
            <w:r w:rsidRPr="00BF4BAA">
              <w:rPr>
                <w:b/>
                <w:bCs/>
              </w:rPr>
              <w:t xml:space="preserve">Title of journal article or research project </w:t>
            </w:r>
          </w:p>
        </w:tc>
        <w:tc>
          <w:tcPr>
            <w:tcW w:w="956" w:type="pct"/>
          </w:tcPr>
          <w:p w14:paraId="6849AB75" w14:textId="0707A446" w:rsidR="002B3774" w:rsidRPr="00BF4BAA" w:rsidRDefault="002B3774">
            <w:pPr>
              <w:rPr>
                <w:b/>
                <w:bCs/>
              </w:rPr>
            </w:pPr>
            <w:r w:rsidRPr="00BF4BAA">
              <w:rPr>
                <w:b/>
                <w:bCs/>
              </w:rPr>
              <w:t xml:space="preserve">Short description of research </w:t>
            </w:r>
          </w:p>
        </w:tc>
        <w:tc>
          <w:tcPr>
            <w:tcW w:w="1579" w:type="pct"/>
          </w:tcPr>
          <w:p w14:paraId="6D438BD5" w14:textId="4B35BC10" w:rsidR="002B3774" w:rsidRPr="00BF4BAA" w:rsidRDefault="002B3774">
            <w:pPr>
              <w:rPr>
                <w:b/>
                <w:bCs/>
              </w:rPr>
            </w:pPr>
            <w:r w:rsidRPr="00BF4BAA">
              <w:rPr>
                <w:b/>
                <w:bCs/>
              </w:rPr>
              <w:t xml:space="preserve">Website link to journal article or research </w:t>
            </w:r>
          </w:p>
        </w:tc>
        <w:tc>
          <w:tcPr>
            <w:tcW w:w="592" w:type="pct"/>
          </w:tcPr>
          <w:p w14:paraId="53584C89" w14:textId="761A5C34" w:rsidR="002B3774" w:rsidRPr="00BF4BAA" w:rsidRDefault="002B3774">
            <w:pPr>
              <w:rPr>
                <w:b/>
                <w:bCs/>
              </w:rPr>
            </w:pPr>
            <w:r w:rsidRPr="00BF4BAA">
              <w:rPr>
                <w:b/>
                <w:bCs/>
              </w:rPr>
              <w:t>Date of publication</w:t>
            </w:r>
          </w:p>
        </w:tc>
      </w:tr>
      <w:tr w:rsidR="002B3774" w:rsidRPr="0030566C" w14:paraId="770ED8C0" w14:textId="77777777" w:rsidTr="00A06F41">
        <w:trPr>
          <w:cantSplit/>
        </w:trPr>
        <w:tc>
          <w:tcPr>
            <w:tcW w:w="134" w:type="pct"/>
          </w:tcPr>
          <w:p w14:paraId="3ED51E73" w14:textId="77777777" w:rsidR="002B3774" w:rsidRPr="0030566C" w:rsidRDefault="002B3774">
            <w:r w:rsidRPr="0030566C">
              <w:t>1.</w:t>
            </w:r>
          </w:p>
        </w:tc>
        <w:tc>
          <w:tcPr>
            <w:tcW w:w="533" w:type="pct"/>
          </w:tcPr>
          <w:p w14:paraId="10FDEB23" w14:textId="07004219" w:rsidR="0062710B" w:rsidRPr="0062710B" w:rsidRDefault="0062710B">
            <w:pPr>
              <w:rPr>
                <w:bCs/>
              </w:rPr>
            </w:pPr>
            <w:r w:rsidRPr="0062710B">
              <w:rPr>
                <w:bCs/>
              </w:rPr>
              <w:t>Open-label, non-randomized</w:t>
            </w:r>
            <w:r w:rsidR="00351E41">
              <w:rPr>
                <w:bCs/>
              </w:rPr>
              <w:t xml:space="preserve"> </w:t>
            </w:r>
            <w:r w:rsidR="003757E9">
              <w:rPr>
                <w:bCs/>
              </w:rPr>
              <w:t>study</w:t>
            </w:r>
          </w:p>
        </w:tc>
        <w:tc>
          <w:tcPr>
            <w:tcW w:w="1205" w:type="pct"/>
          </w:tcPr>
          <w:p w14:paraId="5860D87E" w14:textId="77777777" w:rsidR="0023241E" w:rsidRDefault="00A56ED4" w:rsidP="00294A30">
            <w:r>
              <w:t xml:space="preserve">Goyal, L et al. </w:t>
            </w:r>
          </w:p>
          <w:p w14:paraId="0EF5E005" w14:textId="54082ADA" w:rsidR="00D13C36" w:rsidRPr="0023241E" w:rsidRDefault="00294A30" w:rsidP="00294A30">
            <w:pPr>
              <w:rPr>
                <w:bCs/>
                <w:i/>
                <w:iCs/>
              </w:rPr>
            </w:pPr>
            <w:proofErr w:type="spellStart"/>
            <w:r w:rsidRPr="00294A30">
              <w:rPr>
                <w:bCs/>
                <w:i/>
                <w:iCs/>
              </w:rPr>
              <w:t>Futibatinib</w:t>
            </w:r>
            <w:proofErr w:type="spellEnd"/>
            <w:r w:rsidRPr="00294A30">
              <w:rPr>
                <w:bCs/>
                <w:i/>
                <w:iCs/>
              </w:rPr>
              <w:t xml:space="preserve"> for FGFR2-rearranged intrahepatic</w:t>
            </w:r>
            <w:r w:rsidRPr="0023241E">
              <w:rPr>
                <w:bCs/>
                <w:i/>
                <w:iCs/>
              </w:rPr>
              <w:t xml:space="preserve"> cholangiocarcinoma</w:t>
            </w:r>
            <w:r w:rsidR="00EB021B" w:rsidRPr="0023241E">
              <w:rPr>
                <w:bCs/>
                <w:i/>
                <w:iCs/>
              </w:rPr>
              <w:t xml:space="preserve"> </w:t>
            </w:r>
          </w:p>
          <w:p w14:paraId="423B7387" w14:textId="7D6F7105" w:rsidR="006D6B05" w:rsidRDefault="004A2158" w:rsidP="00294A30">
            <w:r w:rsidRPr="004A2158">
              <w:t>FOENIX-CCA2</w:t>
            </w:r>
            <w:r w:rsidR="0023241E">
              <w:t>,</w:t>
            </w:r>
            <w:r w:rsidRPr="004A2158">
              <w:t xml:space="preserve"> ClinicalTrials.gov number, NCT02052778</w:t>
            </w:r>
          </w:p>
          <w:p w14:paraId="1262EBE5" w14:textId="77777777" w:rsidR="00A56ED4" w:rsidRDefault="00A56ED4" w:rsidP="00294A30"/>
          <w:p w14:paraId="78324A85" w14:textId="70214548" w:rsidR="00A56ED4" w:rsidRPr="00294A30" w:rsidRDefault="00A56ED4" w:rsidP="00294A30">
            <w:pPr>
              <w:rPr>
                <w:bCs/>
              </w:rPr>
            </w:pPr>
          </w:p>
        </w:tc>
        <w:tc>
          <w:tcPr>
            <w:tcW w:w="956" w:type="pct"/>
          </w:tcPr>
          <w:p w14:paraId="3C61C1FC" w14:textId="2CA3DFCB" w:rsidR="00EB021B" w:rsidRPr="00546389" w:rsidRDefault="00085555" w:rsidP="00E65090">
            <w:pPr>
              <w:rPr>
                <w:bCs/>
              </w:rPr>
            </w:pPr>
            <w:r>
              <w:rPr>
                <w:bCs/>
              </w:rPr>
              <w:t>P</w:t>
            </w:r>
            <w:r w:rsidR="00E65090" w:rsidRPr="00E65090">
              <w:rPr>
                <w:bCs/>
              </w:rPr>
              <w:t>atients</w:t>
            </w:r>
            <w:r w:rsidR="008B0491">
              <w:rPr>
                <w:bCs/>
              </w:rPr>
              <w:t xml:space="preserve"> </w:t>
            </w:r>
            <w:r w:rsidR="00351E41">
              <w:rPr>
                <w:bCs/>
              </w:rPr>
              <w:t xml:space="preserve">(n=103) </w:t>
            </w:r>
            <w:r w:rsidR="00E65090" w:rsidRPr="00E65090">
              <w:rPr>
                <w:bCs/>
              </w:rPr>
              <w:t xml:space="preserve">with unresectable or metastatic </w:t>
            </w:r>
            <w:r w:rsidR="00E65090" w:rsidRPr="00E65090">
              <w:rPr>
                <w:bCs/>
                <w:i/>
                <w:iCs/>
              </w:rPr>
              <w:t xml:space="preserve">FGFR2 </w:t>
            </w:r>
            <w:r w:rsidR="00E65090" w:rsidRPr="00E65090">
              <w:rPr>
                <w:bCs/>
              </w:rPr>
              <w:t xml:space="preserve">fusion–positive or </w:t>
            </w:r>
            <w:r w:rsidR="00E65090" w:rsidRPr="00E65090">
              <w:rPr>
                <w:bCs/>
                <w:i/>
                <w:iCs/>
              </w:rPr>
              <w:t xml:space="preserve">FGFR2 </w:t>
            </w:r>
            <w:r w:rsidR="00E65090" w:rsidRPr="00E65090">
              <w:rPr>
                <w:bCs/>
              </w:rPr>
              <w:t xml:space="preserve">rearrangement–positive </w:t>
            </w:r>
            <w:proofErr w:type="spellStart"/>
            <w:r>
              <w:rPr>
                <w:bCs/>
              </w:rPr>
              <w:t>iCCA</w:t>
            </w:r>
            <w:proofErr w:type="spellEnd"/>
            <w:r w:rsidR="00E65090" w:rsidRPr="00E65090">
              <w:rPr>
                <w:bCs/>
              </w:rPr>
              <w:t xml:space="preserve"> and disease progression after </w:t>
            </w:r>
            <w:r>
              <w:rPr>
                <w:bCs/>
              </w:rPr>
              <w:t>&gt;=1</w:t>
            </w:r>
            <w:r w:rsidR="00E65090" w:rsidRPr="00E65090">
              <w:rPr>
                <w:bCs/>
              </w:rPr>
              <w:t xml:space="preserve"> previous lines of systemic therapy received </w:t>
            </w:r>
            <w:proofErr w:type="spellStart"/>
            <w:r w:rsidR="00E65090" w:rsidRPr="00E65090">
              <w:rPr>
                <w:bCs/>
              </w:rPr>
              <w:t>futibatinib</w:t>
            </w:r>
            <w:proofErr w:type="spellEnd"/>
            <w:r w:rsidR="00E65090" w:rsidRPr="00E65090">
              <w:rPr>
                <w:bCs/>
              </w:rPr>
              <w:t xml:space="preserve"> 20 mg once daily.</w:t>
            </w:r>
            <w:r w:rsidR="00C36ADF">
              <w:rPr>
                <w:bCs/>
              </w:rPr>
              <w:t xml:space="preserve"> </w:t>
            </w:r>
            <w:r w:rsidR="00E65090" w:rsidRPr="00E65090">
              <w:rPr>
                <w:bCs/>
              </w:rPr>
              <w:t xml:space="preserve">The primary end point was </w:t>
            </w:r>
            <w:r w:rsidR="008B0491">
              <w:rPr>
                <w:bCs/>
              </w:rPr>
              <w:t>OR</w:t>
            </w:r>
            <w:r w:rsidR="00E65090" w:rsidRPr="00E65090">
              <w:rPr>
                <w:bCs/>
              </w:rPr>
              <w:t>, as</w:t>
            </w:r>
            <w:r w:rsidR="008B0491">
              <w:rPr>
                <w:bCs/>
              </w:rPr>
              <w:t xml:space="preserve"> </w:t>
            </w:r>
            <w:r w:rsidR="00E65090" w:rsidRPr="00E65090">
              <w:rPr>
                <w:bCs/>
              </w:rPr>
              <w:t>assessed by independent central review. Secondary end points</w:t>
            </w:r>
            <w:r w:rsidR="008B0491">
              <w:rPr>
                <w:bCs/>
              </w:rPr>
              <w:t xml:space="preserve">: </w:t>
            </w:r>
            <w:r w:rsidR="00E65090" w:rsidRPr="00E65090">
              <w:rPr>
                <w:bCs/>
              </w:rPr>
              <w:t>response</w:t>
            </w:r>
            <w:r w:rsidR="008B0491">
              <w:rPr>
                <w:bCs/>
              </w:rPr>
              <w:t xml:space="preserve"> </w:t>
            </w:r>
            <w:r w:rsidR="00E65090" w:rsidRPr="00E65090">
              <w:rPr>
                <w:bCs/>
              </w:rPr>
              <w:t xml:space="preserve">duration, </w:t>
            </w:r>
            <w:r w:rsidR="008B0491">
              <w:rPr>
                <w:bCs/>
              </w:rPr>
              <w:t>PFS, OS</w:t>
            </w:r>
            <w:r w:rsidR="00E65090" w:rsidRPr="00E65090">
              <w:rPr>
                <w:bCs/>
              </w:rPr>
              <w:t xml:space="preserve"> safety, and </w:t>
            </w:r>
            <w:proofErr w:type="spellStart"/>
            <w:r w:rsidR="00546389">
              <w:rPr>
                <w:bCs/>
              </w:rPr>
              <w:t>PROs</w:t>
            </w:r>
            <w:r w:rsidR="00E65090" w:rsidRPr="00E65090">
              <w:rPr>
                <w:bCs/>
              </w:rPr>
              <w:t>.</w:t>
            </w:r>
            <w:proofErr w:type="spellEnd"/>
          </w:p>
        </w:tc>
        <w:tc>
          <w:tcPr>
            <w:tcW w:w="1579" w:type="pct"/>
          </w:tcPr>
          <w:p w14:paraId="18227666" w14:textId="77777777" w:rsidR="00393729" w:rsidRDefault="007D1A20">
            <w:pPr>
              <w:rPr>
                <w:bCs/>
              </w:rPr>
            </w:pPr>
            <w:r>
              <w:rPr>
                <w:bCs/>
              </w:rPr>
              <w:t xml:space="preserve">N </w:t>
            </w:r>
            <w:r w:rsidRPr="007D1A20">
              <w:rPr>
                <w:bCs/>
              </w:rPr>
              <w:t xml:space="preserve">Engl J Med 2023;388:228-39. </w:t>
            </w:r>
          </w:p>
          <w:p w14:paraId="54510A99" w14:textId="1555D03D" w:rsidR="00724FC8" w:rsidRDefault="007D1A20">
            <w:pPr>
              <w:rPr>
                <w:bCs/>
              </w:rPr>
            </w:pPr>
            <w:r w:rsidRPr="007D1A20">
              <w:rPr>
                <w:bCs/>
              </w:rPr>
              <w:t>DOI: 10.1056/NEJMoa2206834</w:t>
            </w:r>
          </w:p>
          <w:p w14:paraId="0D5BA928" w14:textId="3018F640" w:rsidR="00724FC8" w:rsidRPr="007D1A20" w:rsidRDefault="00724FC8">
            <w:pPr>
              <w:rPr>
                <w:bCs/>
              </w:rPr>
            </w:pPr>
            <w:r w:rsidRPr="00724FC8">
              <w:rPr>
                <w:bCs/>
              </w:rPr>
              <w:t>https://pubmed.ncbi.nlm.nih.gov/36652354/</w:t>
            </w:r>
          </w:p>
        </w:tc>
        <w:tc>
          <w:tcPr>
            <w:tcW w:w="592" w:type="pct"/>
          </w:tcPr>
          <w:p w14:paraId="10751763" w14:textId="56B47CEA" w:rsidR="00724FC8" w:rsidRPr="00393729" w:rsidRDefault="00724FC8">
            <w:pPr>
              <w:rPr>
                <w:bCs/>
              </w:rPr>
            </w:pPr>
            <w:r w:rsidRPr="00393729">
              <w:rPr>
                <w:bCs/>
              </w:rPr>
              <w:t xml:space="preserve">January </w:t>
            </w:r>
            <w:r w:rsidR="00393729" w:rsidRPr="00393729">
              <w:rPr>
                <w:bCs/>
              </w:rPr>
              <w:t>19, 2023</w:t>
            </w:r>
          </w:p>
        </w:tc>
      </w:tr>
    </w:tbl>
    <w:p w14:paraId="791F0387" w14:textId="35D7413D" w:rsidR="00BC0C43" w:rsidRDefault="00BC0C43" w:rsidP="00BC0C43"/>
    <w:p w14:paraId="6CE4F0CD" w14:textId="110D1334" w:rsidR="00BC0C43" w:rsidRDefault="0030566C" w:rsidP="00BC0C43">
      <w:r w:rsidRPr="00BC0C43">
        <w:rPr>
          <w:rStyle w:val="Heading2Char"/>
        </w:rPr>
        <w:t>Identify yet-to-be-published research that may have results available in the near future (that could be relevant to your application).</w:t>
      </w:r>
      <w:r w:rsidRPr="0030566C">
        <w:t xml:space="preserve"> </w:t>
      </w:r>
    </w:p>
    <w:p w14:paraId="594AC8E6" w14:textId="77777777" w:rsidR="00D114F3" w:rsidRDefault="00B20FD1" w:rsidP="00BC0C43">
      <w:pPr>
        <w:sectPr w:rsidR="00D114F3" w:rsidSect="005701D8">
          <w:pgSz w:w="16838" w:h="11906" w:orient="landscape"/>
          <w:pgMar w:top="1440" w:right="1440" w:bottom="991" w:left="1135" w:header="426" w:footer="252" w:gutter="0"/>
          <w:cols w:space="708"/>
          <w:docGrid w:linePitch="360"/>
        </w:sectPr>
      </w:pPr>
      <w:r w:rsidRPr="00B20FD1">
        <w:t>No relevant published research identified for inclusion.</w:t>
      </w:r>
    </w:p>
    <w:bookmarkEnd w:id="8" w:displacedByCustomXml="next"/>
    <w:sdt>
      <w:sdtPr>
        <w:rPr>
          <w:b w:val="0"/>
          <w:bCs w:val="0"/>
          <w:color w:val="auto"/>
          <w:sz w:val="22"/>
          <w:szCs w:val="22"/>
        </w:rPr>
        <w:id w:val="-1323267928"/>
        <w:docPartObj>
          <w:docPartGallery w:val="Bibliographies"/>
          <w:docPartUnique/>
        </w:docPartObj>
      </w:sdtPr>
      <w:sdtEndPr/>
      <w:sdtContent>
        <w:p w14:paraId="4E418A61" w14:textId="2671031A" w:rsidR="00177A29" w:rsidRPr="00264C7A" w:rsidRDefault="00177A29">
          <w:pPr>
            <w:pStyle w:val="Heading1"/>
            <w:rPr>
              <w:color w:val="auto"/>
              <w:sz w:val="22"/>
              <w:szCs w:val="22"/>
            </w:rPr>
          </w:pPr>
          <w:r w:rsidRPr="00264C7A">
            <w:rPr>
              <w:color w:val="auto"/>
              <w:sz w:val="22"/>
              <w:szCs w:val="22"/>
            </w:rPr>
            <w:t>References</w:t>
          </w:r>
        </w:p>
        <w:sdt>
          <w:sdtPr>
            <w:id w:val="-573587230"/>
            <w:bibliography/>
          </w:sdtPr>
          <w:sdtEndPr/>
          <w:sdtContent>
            <w:p w14:paraId="1C77050F" w14:textId="77777777" w:rsidR="00177A29" w:rsidRPr="00264C7A" w:rsidRDefault="00177A29" w:rsidP="00177A29">
              <w:pPr>
                <w:pStyle w:val="Bibliography"/>
                <w:ind w:left="720" w:hanging="720"/>
              </w:pPr>
              <w:r>
                <w:fldChar w:fldCharType="begin"/>
              </w:r>
              <w:r>
                <w:instrText xml:space="preserve"> BIBLIOGRAPHY </w:instrText>
              </w:r>
              <w:r>
                <w:fldChar w:fldCharType="separate"/>
              </w:r>
              <w:r>
                <w:rPr>
                  <w:noProof/>
                </w:rPr>
                <w:t xml:space="preserve">AGITG. (2023). </w:t>
              </w:r>
              <w:r>
                <w:rPr>
                  <w:i/>
                  <w:iCs/>
                  <w:noProof/>
                </w:rPr>
                <w:t>What is cholangiocarcinoma?</w:t>
              </w:r>
              <w:r>
                <w:rPr>
                  <w:noProof/>
                </w:rPr>
                <w:t xml:space="preserve"> Retrieved from https://gicancer.org.au/news/what-is-cholangiocarcinoma/</w:t>
              </w:r>
            </w:p>
            <w:p w14:paraId="1D09BF95" w14:textId="77777777" w:rsidR="00177A29" w:rsidRDefault="00177A29" w:rsidP="00177A29">
              <w:pPr>
                <w:pStyle w:val="Bibliography"/>
                <w:ind w:left="720" w:hanging="720"/>
                <w:rPr>
                  <w:noProof/>
                </w:rPr>
              </w:pPr>
              <w:r>
                <w:rPr>
                  <w:noProof/>
                </w:rPr>
                <w:t xml:space="preserve">Cancer Council NSW. (2020). </w:t>
              </w:r>
              <w:r>
                <w:rPr>
                  <w:i/>
                  <w:iCs/>
                  <w:noProof/>
                </w:rPr>
                <w:t>Bile duct cancer (cholangiocarcinoma)</w:t>
              </w:r>
              <w:r>
                <w:rPr>
                  <w:noProof/>
                </w:rPr>
                <w:t>. Retrieved from https://www.cancercouncil.com.au/bile-duct-cancer/</w:t>
              </w:r>
            </w:p>
            <w:p w14:paraId="1A077446" w14:textId="77777777" w:rsidR="00177A29" w:rsidRDefault="00177A29" w:rsidP="00177A29">
              <w:pPr>
                <w:pStyle w:val="Bibliography"/>
                <w:ind w:left="720" w:hanging="720"/>
                <w:rPr>
                  <w:noProof/>
                </w:rPr>
              </w:pPr>
              <w:r>
                <w:rPr>
                  <w:noProof/>
                </w:rPr>
                <w:t xml:space="preserve">Cancer Council Victoria and Department of Health Victoria. (2021). </w:t>
              </w:r>
              <w:r>
                <w:rPr>
                  <w:i/>
                  <w:iCs/>
                  <w:noProof/>
                </w:rPr>
                <w:t>Optimal care pathway for people with breast cancer: Second Edition.</w:t>
              </w:r>
              <w:r>
                <w:rPr>
                  <w:noProof/>
                </w:rPr>
                <w:t xml:space="preserve"> Melbourne: Cancer Council Victoria. Retrieved March 12, 2024, from https://www.cancer.org.au/assets/pdf/breast-cancer-optimal-cancer-care-pathway</w:t>
              </w:r>
            </w:p>
            <w:p w14:paraId="2B045D4D" w14:textId="77777777" w:rsidR="00177A29" w:rsidRDefault="00177A29" w:rsidP="00177A29">
              <w:pPr>
                <w:pStyle w:val="Bibliography"/>
                <w:ind w:left="720" w:hanging="720"/>
                <w:rPr>
                  <w:noProof/>
                </w:rPr>
              </w:pPr>
              <w:r>
                <w:rPr>
                  <w:noProof/>
                </w:rPr>
                <w:t xml:space="preserve">Elvevi, A., Laffusa, A., Scaravaglio, M., Rossi, R., &amp; Longarini, R. (2022). Clinical treatment of cholangiocarcinoma: an updated comprehensive. </w:t>
              </w:r>
              <w:r>
                <w:rPr>
                  <w:i/>
                  <w:iCs/>
                  <w:noProof/>
                </w:rPr>
                <w:t>Annals of Hepatology, 100737</w:t>
              </w:r>
              <w:r>
                <w:rPr>
                  <w:noProof/>
                </w:rPr>
                <w:t>.</w:t>
              </w:r>
            </w:p>
            <w:p w14:paraId="617C0B78" w14:textId="77777777" w:rsidR="00177A29" w:rsidRDefault="00177A29" w:rsidP="00177A29">
              <w:pPr>
                <w:pStyle w:val="Bibliography"/>
                <w:ind w:left="720" w:hanging="720"/>
                <w:rPr>
                  <w:noProof/>
                </w:rPr>
              </w:pPr>
              <w:r>
                <w:rPr>
                  <w:noProof/>
                </w:rPr>
                <w:t xml:space="preserve">ESMO. (2023). Biliary tract cancer: ESMO Clinical Practice Guideline for diagnosis, treatment and follow-up. </w:t>
              </w:r>
              <w:r>
                <w:rPr>
                  <w:i/>
                  <w:iCs/>
                  <w:noProof/>
                </w:rPr>
                <w:t>Annals of Oncology, 34</w:t>
              </w:r>
              <w:r>
                <w:rPr>
                  <w:noProof/>
                </w:rPr>
                <w:t>(2), 127-140.</w:t>
              </w:r>
            </w:p>
            <w:p w14:paraId="6ED0D2C8" w14:textId="77777777" w:rsidR="00177A29" w:rsidRDefault="00177A29" w:rsidP="00177A29">
              <w:pPr>
                <w:pStyle w:val="Bibliography"/>
                <w:ind w:left="720" w:hanging="720"/>
                <w:rPr>
                  <w:noProof/>
                </w:rPr>
              </w:pPr>
              <w:r>
                <w:rPr>
                  <w:noProof/>
                </w:rPr>
                <w:t>Goyal, L., Meric</w:t>
              </w:r>
              <w:r>
                <w:rPr>
                  <w:noProof/>
                </w:rPr>
                <w:noBreakHyphen/>
                <w:t xml:space="preserve">Bernstam, F., Hollebecque, A., Valle, J., &amp; Morizane, C. (2023). Futibatinib for FGFR2-Rearranged Intrahepatic Cholangiocarcinoma. </w:t>
              </w:r>
              <w:r>
                <w:rPr>
                  <w:i/>
                  <w:iCs/>
                  <w:noProof/>
                </w:rPr>
                <w:t>N Engl J Med, 388</w:t>
              </w:r>
              <w:r>
                <w:rPr>
                  <w:noProof/>
                </w:rPr>
                <w:t>, 228-39.</w:t>
              </w:r>
            </w:p>
            <w:p w14:paraId="5C333AD7" w14:textId="77777777" w:rsidR="00177A29" w:rsidRDefault="00177A29" w:rsidP="00177A29">
              <w:pPr>
                <w:pStyle w:val="Bibliography"/>
                <w:ind w:left="720" w:hanging="720"/>
                <w:rPr>
                  <w:noProof/>
                </w:rPr>
              </w:pPr>
              <w:r>
                <w:rPr>
                  <w:noProof/>
                </w:rPr>
                <w:t xml:space="preserve">Khan, S. e. (2019). Cholangiocarcinoma: Epidemiology and Risk Factors. </w:t>
              </w:r>
              <w:r>
                <w:rPr>
                  <w:i/>
                  <w:iCs/>
                  <w:noProof/>
                </w:rPr>
                <w:t>Liver Int, 39</w:t>
              </w:r>
              <w:r>
                <w:rPr>
                  <w:noProof/>
                </w:rPr>
                <w:t>(Suppl 1), 19-31.</w:t>
              </w:r>
            </w:p>
            <w:p w14:paraId="3465316F" w14:textId="77777777" w:rsidR="00177A29" w:rsidRDefault="00177A29" w:rsidP="00177A29">
              <w:pPr>
                <w:pStyle w:val="Bibliography"/>
                <w:ind w:left="720" w:hanging="720"/>
                <w:rPr>
                  <w:noProof/>
                </w:rPr>
              </w:pPr>
              <w:r>
                <w:rPr>
                  <w:noProof/>
                </w:rPr>
                <w:t xml:space="preserve">Mollah, T. e. (2022). Epidemiological Trends of Gallbladder Cancer in Australia between 1982 to 2018: a Population-Based Study Utilizing the Australian Cancer Database. </w:t>
              </w:r>
              <w:r>
                <w:rPr>
                  <w:i/>
                  <w:iCs/>
                  <w:noProof/>
                </w:rPr>
                <w:t>Ann Hepatobiliary Pancreat Surg, 26</w:t>
              </w:r>
              <w:r>
                <w:rPr>
                  <w:noProof/>
                </w:rPr>
                <w:t>(3), 263-269.</w:t>
              </w:r>
            </w:p>
            <w:p w14:paraId="2926354F" w14:textId="77777777" w:rsidR="00177A29" w:rsidRDefault="00177A29" w:rsidP="00177A29">
              <w:pPr>
                <w:pStyle w:val="Bibliography"/>
                <w:ind w:left="720" w:hanging="720"/>
                <w:rPr>
                  <w:noProof/>
                </w:rPr>
              </w:pPr>
              <w:r>
                <w:rPr>
                  <w:noProof/>
                </w:rPr>
                <w:t>NCCN. (2023). Biliary Tract Cancers Version 3.2023.</w:t>
              </w:r>
            </w:p>
            <w:p w14:paraId="39D7E434" w14:textId="77777777" w:rsidR="00177A29" w:rsidRDefault="00177A29" w:rsidP="00177A29">
              <w:pPr>
                <w:pStyle w:val="Bibliography"/>
                <w:ind w:left="720" w:hanging="720"/>
                <w:rPr>
                  <w:noProof/>
                </w:rPr>
              </w:pPr>
              <w:r>
                <w:rPr>
                  <w:noProof/>
                </w:rPr>
                <w:t xml:space="preserve">Pancare Foundation. (N.D). </w:t>
              </w:r>
              <w:r>
                <w:rPr>
                  <w:i/>
                  <w:iCs/>
                  <w:noProof/>
                </w:rPr>
                <w:t>Biliary cancer diagnosis</w:t>
              </w:r>
              <w:r>
                <w:rPr>
                  <w:noProof/>
                </w:rPr>
                <w:t>. Retrieved from https://www.pancare.org.au/cancer/biliary-cancer/diagnosing-biliary-cancer/</w:t>
              </w:r>
            </w:p>
            <w:p w14:paraId="2A5A63D4" w14:textId="77777777" w:rsidR="00177A29" w:rsidRDefault="00177A29" w:rsidP="00177A29">
              <w:pPr>
                <w:pStyle w:val="Bibliography"/>
                <w:ind w:left="720" w:hanging="720"/>
                <w:rPr>
                  <w:noProof/>
                </w:rPr>
              </w:pPr>
              <w:r>
                <w:rPr>
                  <w:noProof/>
                </w:rPr>
                <w:t xml:space="preserve">Rare Cancers Australia. (2023). </w:t>
              </w:r>
              <w:r>
                <w:rPr>
                  <w:i/>
                  <w:iCs/>
                  <w:noProof/>
                </w:rPr>
                <w:t>Cholangiocarcinoma (Bile Duct Cancer)</w:t>
              </w:r>
              <w:r>
                <w:rPr>
                  <w:noProof/>
                </w:rPr>
                <w:t>. Retrieved from https://knowledge.rarecancers.org.au/knowledgebase/cancer-types/267/cholangiocarcinoma</w:t>
              </w:r>
            </w:p>
            <w:p w14:paraId="68B473AF" w14:textId="77777777" w:rsidR="00177A29" w:rsidRDefault="00177A29" w:rsidP="00177A29">
              <w:pPr>
                <w:pStyle w:val="Bibliography"/>
                <w:ind w:left="720" w:hanging="720"/>
                <w:rPr>
                  <w:noProof/>
                </w:rPr>
              </w:pPr>
              <w:r>
                <w:rPr>
                  <w:noProof/>
                </w:rPr>
                <w:t xml:space="preserve">Roth, G., Neuzillet, C., Sarabi, M., Edeline, J., Malka, D., &amp; Livre, A. (2023). Cholangiocarcinoma: what are the options in all comers and how has the advent of molecular profiling opened the way to personalized medicine? </w:t>
              </w:r>
              <w:r>
                <w:rPr>
                  <w:i/>
                  <w:iCs/>
                  <w:noProof/>
                </w:rPr>
                <w:t>Eur J Cancer, 179</w:t>
              </w:r>
              <w:r>
                <w:rPr>
                  <w:noProof/>
                </w:rPr>
                <w:t>, 1-14.</w:t>
              </w:r>
            </w:p>
            <w:p w14:paraId="436683A7" w14:textId="5E59647D" w:rsidR="00177A29" w:rsidRDefault="00177A29" w:rsidP="00177A29">
              <w:r>
                <w:rPr>
                  <w:b/>
                  <w:bCs/>
                  <w:noProof/>
                </w:rPr>
                <w:fldChar w:fldCharType="end"/>
              </w:r>
            </w:p>
          </w:sdtContent>
        </w:sdt>
      </w:sdtContent>
    </w:sdt>
    <w:p w14:paraId="77C8CD84" w14:textId="77777777" w:rsidR="0030566C" w:rsidRPr="0030566C" w:rsidRDefault="0030566C" w:rsidP="00BC0C43"/>
    <w:sectPr w:rsidR="0030566C" w:rsidRPr="0030566C" w:rsidSect="00D114F3">
      <w:pgSz w:w="11906" w:h="16838"/>
      <w:pgMar w:top="1440" w:right="991" w:bottom="1135" w:left="1440" w:header="426"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71855" w14:textId="77777777" w:rsidR="005701D8" w:rsidRDefault="005701D8" w:rsidP="00BC0C43">
      <w:r>
        <w:separator/>
      </w:r>
    </w:p>
  </w:endnote>
  <w:endnote w:type="continuationSeparator" w:id="0">
    <w:p w14:paraId="2B432981" w14:textId="77777777" w:rsidR="005701D8" w:rsidRDefault="005701D8" w:rsidP="00BC0C43">
      <w:r>
        <w:continuationSeparator/>
      </w:r>
    </w:p>
  </w:endnote>
  <w:endnote w:type="continuationNotice" w:id="1">
    <w:p w14:paraId="5C82420A" w14:textId="77777777" w:rsidR="005701D8" w:rsidRDefault="005701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ansonTextLTStd-Roman">
    <w:altName w:val="Calibri"/>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3D15A" w14:textId="77777777" w:rsidR="00D114F3" w:rsidRDefault="00D114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988514"/>
      <w:docPartObj>
        <w:docPartGallery w:val="Page Numbers (Bottom of Page)"/>
        <w:docPartUnique/>
      </w:docPartObj>
    </w:sdtPr>
    <w:sdtEndPr/>
    <w:sdtContent>
      <w:p w14:paraId="1D946C7C" w14:textId="20767B24" w:rsidR="0090168B" w:rsidRDefault="0090168B" w:rsidP="002B3774">
        <w:pPr>
          <w:pStyle w:val="Footer"/>
          <w:jc w:val="right"/>
        </w:pPr>
        <w:r w:rsidRPr="00582377">
          <w:rPr>
            <w:sz w:val="21"/>
            <w:szCs w:val="21"/>
          </w:rPr>
          <w:fldChar w:fldCharType="begin"/>
        </w:r>
        <w:r w:rsidRPr="00582377">
          <w:rPr>
            <w:sz w:val="21"/>
            <w:szCs w:val="21"/>
          </w:rPr>
          <w:instrText xml:space="preserve"> PAGE  \* Arabic  \* MERGEFORMAT </w:instrText>
        </w:r>
        <w:r w:rsidRPr="00582377">
          <w:rPr>
            <w:sz w:val="21"/>
            <w:szCs w:val="21"/>
          </w:rPr>
          <w:fldChar w:fldCharType="separate"/>
        </w:r>
        <w:r w:rsidR="00DE308D">
          <w:rPr>
            <w:noProof/>
            <w:sz w:val="21"/>
            <w:szCs w:val="21"/>
          </w:rPr>
          <w:t>5</w:t>
        </w:r>
        <w:r w:rsidRPr="00582377">
          <w:rPr>
            <w:sz w:val="21"/>
            <w:szCs w:val="21"/>
          </w:rPr>
          <w:fldChar w:fldCharType="end"/>
        </w:r>
      </w:p>
    </w:sdtContent>
  </w:sdt>
  <w:p w14:paraId="355A1DA5" w14:textId="77777777" w:rsidR="0090168B" w:rsidRDefault="0090168B" w:rsidP="00BC0C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917A8" w14:textId="77777777" w:rsidR="00D114F3" w:rsidRDefault="00D11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60C1F" w14:textId="77777777" w:rsidR="005701D8" w:rsidRDefault="005701D8" w:rsidP="00BC0C43">
      <w:r>
        <w:separator/>
      </w:r>
    </w:p>
  </w:footnote>
  <w:footnote w:type="continuationSeparator" w:id="0">
    <w:p w14:paraId="32088172" w14:textId="77777777" w:rsidR="005701D8" w:rsidRDefault="005701D8" w:rsidP="00BC0C43">
      <w:r>
        <w:continuationSeparator/>
      </w:r>
    </w:p>
  </w:footnote>
  <w:footnote w:type="continuationNotice" w:id="1">
    <w:p w14:paraId="33FEDAEF" w14:textId="77777777" w:rsidR="005701D8" w:rsidRDefault="005701D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93666" w14:textId="77777777" w:rsidR="00D114F3" w:rsidRDefault="00D114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851C" w14:textId="1F9168AC" w:rsidR="00F16239" w:rsidRPr="001E1203" w:rsidRDefault="001E1203" w:rsidP="00A97A1C">
    <w:pPr>
      <w:rPr>
        <w:sz w:val="18"/>
        <w:szCs w:val="18"/>
      </w:rPr>
    </w:pPr>
    <w:r>
      <w:rPr>
        <w:sz w:val="18"/>
        <w:szCs w:val="18"/>
      </w:rPr>
      <w:t xml:space="preserve">MSAC 1779 - </w:t>
    </w:r>
    <w:r w:rsidRPr="001E1203">
      <w:rPr>
        <w:sz w:val="18"/>
        <w:szCs w:val="18"/>
      </w:rPr>
      <w:t xml:space="preserve">Testing of tumour tissue to detect FGFR2 fusions or rearrangements in people with cholangiocarcinoma, to determine eligibility for </w:t>
    </w:r>
    <w:r w:rsidR="005C00EA">
      <w:rPr>
        <w:sz w:val="18"/>
        <w:szCs w:val="18"/>
      </w:rPr>
      <w:t xml:space="preserve">treatment with </w:t>
    </w:r>
    <w:r w:rsidRPr="001E1203">
      <w:rPr>
        <w:sz w:val="18"/>
        <w:szCs w:val="18"/>
      </w:rPr>
      <w:t xml:space="preserve">PBS subsidised </w:t>
    </w:r>
    <w:proofErr w:type="spellStart"/>
    <w:r w:rsidRPr="001E1203">
      <w:rPr>
        <w:sz w:val="18"/>
        <w:szCs w:val="18"/>
      </w:rPr>
      <w:t>futibatinib</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ED8A" w14:textId="77777777" w:rsidR="00D114F3" w:rsidRDefault="00D114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5435E"/>
    <w:multiLevelType w:val="multilevel"/>
    <w:tmpl w:val="4E54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AC4158"/>
    <w:multiLevelType w:val="hybridMultilevel"/>
    <w:tmpl w:val="F77C0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0352F5"/>
    <w:multiLevelType w:val="hybridMultilevel"/>
    <w:tmpl w:val="F65A7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D44E9A"/>
    <w:multiLevelType w:val="hybridMultilevel"/>
    <w:tmpl w:val="84369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2B8740A"/>
    <w:multiLevelType w:val="hybridMultilevel"/>
    <w:tmpl w:val="DE88A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5A93EA1"/>
    <w:multiLevelType w:val="hybridMultilevel"/>
    <w:tmpl w:val="2F8C9AC2"/>
    <w:lvl w:ilvl="0" w:tplc="C94AB068">
      <w:start w:val="14"/>
      <w:numFmt w:val="bullet"/>
      <w:lvlText w:val=""/>
      <w:lvlJc w:val="left"/>
      <w:pPr>
        <w:ind w:left="1080" w:hanging="360"/>
      </w:pPr>
      <w:rPr>
        <w:rFonts w:ascii="Symbol" w:eastAsia="Segoe UI" w:hAnsi="Symbol"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376853933">
    <w:abstractNumId w:val="1"/>
  </w:num>
  <w:num w:numId="2" w16cid:durableId="306588507">
    <w:abstractNumId w:val="0"/>
  </w:num>
  <w:num w:numId="3" w16cid:durableId="1548832438">
    <w:abstractNumId w:val="3"/>
  </w:num>
  <w:num w:numId="4" w16cid:durableId="1265335382">
    <w:abstractNumId w:val="5"/>
  </w:num>
  <w:num w:numId="5" w16cid:durableId="555506509">
    <w:abstractNumId w:val="4"/>
  </w:num>
  <w:num w:numId="6" w16cid:durableId="1395202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B22"/>
    <w:rsid w:val="000011E9"/>
    <w:rsid w:val="00002166"/>
    <w:rsid w:val="00010AAA"/>
    <w:rsid w:val="000123FE"/>
    <w:rsid w:val="00013211"/>
    <w:rsid w:val="00015D19"/>
    <w:rsid w:val="00022E35"/>
    <w:rsid w:val="00025969"/>
    <w:rsid w:val="000279F9"/>
    <w:rsid w:val="000302CD"/>
    <w:rsid w:val="00040853"/>
    <w:rsid w:val="000426DE"/>
    <w:rsid w:val="00044142"/>
    <w:rsid w:val="000509B0"/>
    <w:rsid w:val="000512E4"/>
    <w:rsid w:val="00051843"/>
    <w:rsid w:val="000548C7"/>
    <w:rsid w:val="00061233"/>
    <w:rsid w:val="000627EF"/>
    <w:rsid w:val="0006778A"/>
    <w:rsid w:val="000742A7"/>
    <w:rsid w:val="00076E07"/>
    <w:rsid w:val="00077AAA"/>
    <w:rsid w:val="0008452D"/>
    <w:rsid w:val="00085555"/>
    <w:rsid w:val="00087DD0"/>
    <w:rsid w:val="00090685"/>
    <w:rsid w:val="0009097A"/>
    <w:rsid w:val="00090A0B"/>
    <w:rsid w:val="00090DB1"/>
    <w:rsid w:val="000934AF"/>
    <w:rsid w:val="00096686"/>
    <w:rsid w:val="0009735B"/>
    <w:rsid w:val="000A70CA"/>
    <w:rsid w:val="000C2399"/>
    <w:rsid w:val="000C3C3F"/>
    <w:rsid w:val="000C43E5"/>
    <w:rsid w:val="000C68DC"/>
    <w:rsid w:val="000D0D09"/>
    <w:rsid w:val="000D59EA"/>
    <w:rsid w:val="000E000A"/>
    <w:rsid w:val="000E359D"/>
    <w:rsid w:val="000E6F93"/>
    <w:rsid w:val="000F2C91"/>
    <w:rsid w:val="000F55EC"/>
    <w:rsid w:val="000F5EA0"/>
    <w:rsid w:val="0010201C"/>
    <w:rsid w:val="00105B35"/>
    <w:rsid w:val="001069ED"/>
    <w:rsid w:val="001103E9"/>
    <w:rsid w:val="0011305D"/>
    <w:rsid w:val="00113730"/>
    <w:rsid w:val="001216D0"/>
    <w:rsid w:val="001248D2"/>
    <w:rsid w:val="00130877"/>
    <w:rsid w:val="00135705"/>
    <w:rsid w:val="001357B3"/>
    <w:rsid w:val="00144A55"/>
    <w:rsid w:val="00145C1A"/>
    <w:rsid w:val="00145DD0"/>
    <w:rsid w:val="00152CEA"/>
    <w:rsid w:val="0015308F"/>
    <w:rsid w:val="00156D12"/>
    <w:rsid w:val="00157CA4"/>
    <w:rsid w:val="0016065A"/>
    <w:rsid w:val="00161B5C"/>
    <w:rsid w:val="001676BE"/>
    <w:rsid w:val="00177A29"/>
    <w:rsid w:val="00177FD7"/>
    <w:rsid w:val="001812A1"/>
    <w:rsid w:val="00182D02"/>
    <w:rsid w:val="00197295"/>
    <w:rsid w:val="00197915"/>
    <w:rsid w:val="001A10D0"/>
    <w:rsid w:val="001A5F11"/>
    <w:rsid w:val="001C1FE9"/>
    <w:rsid w:val="001C218C"/>
    <w:rsid w:val="001C5367"/>
    <w:rsid w:val="001C695D"/>
    <w:rsid w:val="001C7917"/>
    <w:rsid w:val="001D6C85"/>
    <w:rsid w:val="001E0DCB"/>
    <w:rsid w:val="001E1203"/>
    <w:rsid w:val="001E3FFE"/>
    <w:rsid w:val="00210563"/>
    <w:rsid w:val="0023241E"/>
    <w:rsid w:val="002325D6"/>
    <w:rsid w:val="0023598C"/>
    <w:rsid w:val="00240845"/>
    <w:rsid w:val="00241938"/>
    <w:rsid w:val="00241B65"/>
    <w:rsid w:val="002423AC"/>
    <w:rsid w:val="00243D8B"/>
    <w:rsid w:val="002452BC"/>
    <w:rsid w:val="002507EC"/>
    <w:rsid w:val="00251051"/>
    <w:rsid w:val="00264C7A"/>
    <w:rsid w:val="00264FD9"/>
    <w:rsid w:val="00265953"/>
    <w:rsid w:val="00280050"/>
    <w:rsid w:val="00281695"/>
    <w:rsid w:val="00287329"/>
    <w:rsid w:val="0028792A"/>
    <w:rsid w:val="00293B0C"/>
    <w:rsid w:val="00294A30"/>
    <w:rsid w:val="00295E5B"/>
    <w:rsid w:val="002A1271"/>
    <w:rsid w:val="002A27A7"/>
    <w:rsid w:val="002A4AE5"/>
    <w:rsid w:val="002B022B"/>
    <w:rsid w:val="002B03F7"/>
    <w:rsid w:val="002B3774"/>
    <w:rsid w:val="002B7B2B"/>
    <w:rsid w:val="002C60BE"/>
    <w:rsid w:val="002D289F"/>
    <w:rsid w:val="002D595C"/>
    <w:rsid w:val="002D7216"/>
    <w:rsid w:val="002E357C"/>
    <w:rsid w:val="002E41B7"/>
    <w:rsid w:val="002E6F5F"/>
    <w:rsid w:val="002F07CA"/>
    <w:rsid w:val="002F0E78"/>
    <w:rsid w:val="002F18D4"/>
    <w:rsid w:val="002F1F87"/>
    <w:rsid w:val="002F2BAA"/>
    <w:rsid w:val="002F516A"/>
    <w:rsid w:val="002F6472"/>
    <w:rsid w:val="002F6895"/>
    <w:rsid w:val="002F6F47"/>
    <w:rsid w:val="00301D86"/>
    <w:rsid w:val="0030566C"/>
    <w:rsid w:val="00306C62"/>
    <w:rsid w:val="00311F92"/>
    <w:rsid w:val="00315296"/>
    <w:rsid w:val="003153BA"/>
    <w:rsid w:val="003221A0"/>
    <w:rsid w:val="003229A8"/>
    <w:rsid w:val="003308FA"/>
    <w:rsid w:val="00333533"/>
    <w:rsid w:val="00335307"/>
    <w:rsid w:val="0033545A"/>
    <w:rsid w:val="00340E41"/>
    <w:rsid w:val="00345338"/>
    <w:rsid w:val="003462D7"/>
    <w:rsid w:val="003506CD"/>
    <w:rsid w:val="00351E41"/>
    <w:rsid w:val="00352414"/>
    <w:rsid w:val="0035281D"/>
    <w:rsid w:val="00361BBE"/>
    <w:rsid w:val="00363A81"/>
    <w:rsid w:val="00364572"/>
    <w:rsid w:val="003654CB"/>
    <w:rsid w:val="003655C2"/>
    <w:rsid w:val="003757E9"/>
    <w:rsid w:val="00376AEB"/>
    <w:rsid w:val="00380C41"/>
    <w:rsid w:val="003925C1"/>
    <w:rsid w:val="00393729"/>
    <w:rsid w:val="00394F9A"/>
    <w:rsid w:val="003952E8"/>
    <w:rsid w:val="003A02B2"/>
    <w:rsid w:val="003A16D1"/>
    <w:rsid w:val="003A365F"/>
    <w:rsid w:val="003A4EA3"/>
    <w:rsid w:val="003B1D58"/>
    <w:rsid w:val="003B5315"/>
    <w:rsid w:val="003B5CCD"/>
    <w:rsid w:val="003C07C4"/>
    <w:rsid w:val="003C2446"/>
    <w:rsid w:val="003C5D53"/>
    <w:rsid w:val="003D1BAF"/>
    <w:rsid w:val="003D1EE5"/>
    <w:rsid w:val="003D3C32"/>
    <w:rsid w:val="003E11D1"/>
    <w:rsid w:val="003E2A8B"/>
    <w:rsid w:val="003F2F78"/>
    <w:rsid w:val="003F39D1"/>
    <w:rsid w:val="00402A26"/>
    <w:rsid w:val="0040344C"/>
    <w:rsid w:val="00404D70"/>
    <w:rsid w:val="004070D1"/>
    <w:rsid w:val="0042023C"/>
    <w:rsid w:val="004209FC"/>
    <w:rsid w:val="0042180F"/>
    <w:rsid w:val="004423ED"/>
    <w:rsid w:val="0044500E"/>
    <w:rsid w:val="00445BA9"/>
    <w:rsid w:val="004475CD"/>
    <w:rsid w:val="00450594"/>
    <w:rsid w:val="00450F36"/>
    <w:rsid w:val="00452657"/>
    <w:rsid w:val="00452A33"/>
    <w:rsid w:val="0045391F"/>
    <w:rsid w:val="00455360"/>
    <w:rsid w:val="00462866"/>
    <w:rsid w:val="00463E61"/>
    <w:rsid w:val="0046605B"/>
    <w:rsid w:val="004774D9"/>
    <w:rsid w:val="00482120"/>
    <w:rsid w:val="004822A2"/>
    <w:rsid w:val="0048421D"/>
    <w:rsid w:val="004876D0"/>
    <w:rsid w:val="0049072F"/>
    <w:rsid w:val="00490B29"/>
    <w:rsid w:val="004A1EE2"/>
    <w:rsid w:val="004A2158"/>
    <w:rsid w:val="004A45BE"/>
    <w:rsid w:val="004B1F5D"/>
    <w:rsid w:val="004B2B4C"/>
    <w:rsid w:val="004B5886"/>
    <w:rsid w:val="004C02B7"/>
    <w:rsid w:val="004C557D"/>
    <w:rsid w:val="004C61D6"/>
    <w:rsid w:val="004C7646"/>
    <w:rsid w:val="004D25CF"/>
    <w:rsid w:val="004D2E6B"/>
    <w:rsid w:val="004F0223"/>
    <w:rsid w:val="004F6039"/>
    <w:rsid w:val="00500563"/>
    <w:rsid w:val="005013C4"/>
    <w:rsid w:val="005053C0"/>
    <w:rsid w:val="00505E7E"/>
    <w:rsid w:val="00513513"/>
    <w:rsid w:val="00515406"/>
    <w:rsid w:val="00515614"/>
    <w:rsid w:val="00515839"/>
    <w:rsid w:val="0052274F"/>
    <w:rsid w:val="00522B08"/>
    <w:rsid w:val="00532592"/>
    <w:rsid w:val="0053599D"/>
    <w:rsid w:val="00536CE5"/>
    <w:rsid w:val="0054487A"/>
    <w:rsid w:val="00545A4C"/>
    <w:rsid w:val="00546389"/>
    <w:rsid w:val="005472A1"/>
    <w:rsid w:val="00552124"/>
    <w:rsid w:val="00556FFA"/>
    <w:rsid w:val="00566CF9"/>
    <w:rsid w:val="005701D8"/>
    <w:rsid w:val="00572CA8"/>
    <w:rsid w:val="00576CD5"/>
    <w:rsid w:val="00577007"/>
    <w:rsid w:val="005813D0"/>
    <w:rsid w:val="00582377"/>
    <w:rsid w:val="005837E9"/>
    <w:rsid w:val="005842D9"/>
    <w:rsid w:val="00585E8F"/>
    <w:rsid w:val="0058639F"/>
    <w:rsid w:val="00586C52"/>
    <w:rsid w:val="00587DCB"/>
    <w:rsid w:val="005A1234"/>
    <w:rsid w:val="005B5A58"/>
    <w:rsid w:val="005B7583"/>
    <w:rsid w:val="005B7EF8"/>
    <w:rsid w:val="005C00EA"/>
    <w:rsid w:val="005C3EDC"/>
    <w:rsid w:val="005C5D3E"/>
    <w:rsid w:val="005C6942"/>
    <w:rsid w:val="005D082D"/>
    <w:rsid w:val="005D23BC"/>
    <w:rsid w:val="005E1CFB"/>
    <w:rsid w:val="005E7AA4"/>
    <w:rsid w:val="005F6ECE"/>
    <w:rsid w:val="005F792E"/>
    <w:rsid w:val="006032A4"/>
    <w:rsid w:val="00603B03"/>
    <w:rsid w:val="00603BA2"/>
    <w:rsid w:val="006055A9"/>
    <w:rsid w:val="00606085"/>
    <w:rsid w:val="00606337"/>
    <w:rsid w:val="0061387D"/>
    <w:rsid w:val="00614D65"/>
    <w:rsid w:val="006227EF"/>
    <w:rsid w:val="0062609A"/>
    <w:rsid w:val="0062710B"/>
    <w:rsid w:val="006312E8"/>
    <w:rsid w:val="00634D6E"/>
    <w:rsid w:val="006407B6"/>
    <w:rsid w:val="006429A1"/>
    <w:rsid w:val="006437E6"/>
    <w:rsid w:val="00652ED1"/>
    <w:rsid w:val="00656368"/>
    <w:rsid w:val="00657507"/>
    <w:rsid w:val="00657CC6"/>
    <w:rsid w:val="00657EA8"/>
    <w:rsid w:val="00660E36"/>
    <w:rsid w:val="00665487"/>
    <w:rsid w:val="00672BCD"/>
    <w:rsid w:val="00677A07"/>
    <w:rsid w:val="00681DDA"/>
    <w:rsid w:val="00685E9D"/>
    <w:rsid w:val="00686139"/>
    <w:rsid w:val="0069437F"/>
    <w:rsid w:val="006A632E"/>
    <w:rsid w:val="006A6358"/>
    <w:rsid w:val="006B0394"/>
    <w:rsid w:val="006B1118"/>
    <w:rsid w:val="006C3421"/>
    <w:rsid w:val="006C4036"/>
    <w:rsid w:val="006C52C6"/>
    <w:rsid w:val="006C5988"/>
    <w:rsid w:val="006D126C"/>
    <w:rsid w:val="006D6B05"/>
    <w:rsid w:val="006D78EC"/>
    <w:rsid w:val="006E1CE5"/>
    <w:rsid w:val="006E26DC"/>
    <w:rsid w:val="006E518F"/>
    <w:rsid w:val="006E5BFE"/>
    <w:rsid w:val="006F117A"/>
    <w:rsid w:val="006F27E4"/>
    <w:rsid w:val="006F7859"/>
    <w:rsid w:val="00702B2B"/>
    <w:rsid w:val="00704DE9"/>
    <w:rsid w:val="00707927"/>
    <w:rsid w:val="00713BB9"/>
    <w:rsid w:val="00716495"/>
    <w:rsid w:val="00717282"/>
    <w:rsid w:val="00723112"/>
    <w:rsid w:val="00723E9E"/>
    <w:rsid w:val="00724FC8"/>
    <w:rsid w:val="007259DB"/>
    <w:rsid w:val="00732B09"/>
    <w:rsid w:val="007332A9"/>
    <w:rsid w:val="007342BF"/>
    <w:rsid w:val="00734FD4"/>
    <w:rsid w:val="00741B37"/>
    <w:rsid w:val="0074360A"/>
    <w:rsid w:val="00743F6B"/>
    <w:rsid w:val="00745185"/>
    <w:rsid w:val="007474ED"/>
    <w:rsid w:val="00750459"/>
    <w:rsid w:val="00751668"/>
    <w:rsid w:val="00755BFF"/>
    <w:rsid w:val="007614E0"/>
    <w:rsid w:val="00761C2E"/>
    <w:rsid w:val="007633C6"/>
    <w:rsid w:val="00765B2C"/>
    <w:rsid w:val="007702FB"/>
    <w:rsid w:val="00770A69"/>
    <w:rsid w:val="00770FA6"/>
    <w:rsid w:val="00771B44"/>
    <w:rsid w:val="00772585"/>
    <w:rsid w:val="00773E0A"/>
    <w:rsid w:val="0077470D"/>
    <w:rsid w:val="00775B5C"/>
    <w:rsid w:val="00785992"/>
    <w:rsid w:val="007A708E"/>
    <w:rsid w:val="007B36D7"/>
    <w:rsid w:val="007B3860"/>
    <w:rsid w:val="007B64E2"/>
    <w:rsid w:val="007C092B"/>
    <w:rsid w:val="007C0D7D"/>
    <w:rsid w:val="007C1296"/>
    <w:rsid w:val="007D1A20"/>
    <w:rsid w:val="007D2631"/>
    <w:rsid w:val="007D6E84"/>
    <w:rsid w:val="007E1671"/>
    <w:rsid w:val="007F1EC2"/>
    <w:rsid w:val="007F40CC"/>
    <w:rsid w:val="00813896"/>
    <w:rsid w:val="008154A2"/>
    <w:rsid w:val="00817D26"/>
    <w:rsid w:val="008205E3"/>
    <w:rsid w:val="00831F12"/>
    <w:rsid w:val="00832CDF"/>
    <w:rsid w:val="008359F6"/>
    <w:rsid w:val="00836A15"/>
    <w:rsid w:val="00836F39"/>
    <w:rsid w:val="00852195"/>
    <w:rsid w:val="0085608C"/>
    <w:rsid w:val="0086732E"/>
    <w:rsid w:val="0087429A"/>
    <w:rsid w:val="00880F4D"/>
    <w:rsid w:val="00883BE8"/>
    <w:rsid w:val="00884F92"/>
    <w:rsid w:val="0089205A"/>
    <w:rsid w:val="008965B7"/>
    <w:rsid w:val="00896B76"/>
    <w:rsid w:val="008975A0"/>
    <w:rsid w:val="008978CE"/>
    <w:rsid w:val="008A1483"/>
    <w:rsid w:val="008A4077"/>
    <w:rsid w:val="008A7A5A"/>
    <w:rsid w:val="008B0491"/>
    <w:rsid w:val="008B20F8"/>
    <w:rsid w:val="008B6783"/>
    <w:rsid w:val="008B760F"/>
    <w:rsid w:val="008B7905"/>
    <w:rsid w:val="008C1100"/>
    <w:rsid w:val="008C3BC5"/>
    <w:rsid w:val="008C5325"/>
    <w:rsid w:val="008C5AAF"/>
    <w:rsid w:val="008D3972"/>
    <w:rsid w:val="008E18C6"/>
    <w:rsid w:val="008E5B33"/>
    <w:rsid w:val="008F1D52"/>
    <w:rsid w:val="008F23C2"/>
    <w:rsid w:val="008F29EE"/>
    <w:rsid w:val="008F58FC"/>
    <w:rsid w:val="009004DD"/>
    <w:rsid w:val="00900C04"/>
    <w:rsid w:val="0090128C"/>
    <w:rsid w:val="0090168B"/>
    <w:rsid w:val="0090226D"/>
    <w:rsid w:val="00906E1A"/>
    <w:rsid w:val="009139B7"/>
    <w:rsid w:val="0091664F"/>
    <w:rsid w:val="00926579"/>
    <w:rsid w:val="00930344"/>
    <w:rsid w:val="00932552"/>
    <w:rsid w:val="009343C7"/>
    <w:rsid w:val="00947658"/>
    <w:rsid w:val="00950060"/>
    <w:rsid w:val="00950C30"/>
    <w:rsid w:val="00954EB7"/>
    <w:rsid w:val="00955904"/>
    <w:rsid w:val="00957452"/>
    <w:rsid w:val="0097324E"/>
    <w:rsid w:val="0097510A"/>
    <w:rsid w:val="00975AF7"/>
    <w:rsid w:val="00975B6D"/>
    <w:rsid w:val="0097622A"/>
    <w:rsid w:val="00984068"/>
    <w:rsid w:val="009868DE"/>
    <w:rsid w:val="00991D8E"/>
    <w:rsid w:val="00994EFE"/>
    <w:rsid w:val="009B1C46"/>
    <w:rsid w:val="009B4A70"/>
    <w:rsid w:val="009B52CF"/>
    <w:rsid w:val="009C0554"/>
    <w:rsid w:val="009C6149"/>
    <w:rsid w:val="009D0C37"/>
    <w:rsid w:val="009D3130"/>
    <w:rsid w:val="009D5D20"/>
    <w:rsid w:val="009E0812"/>
    <w:rsid w:val="009E3959"/>
    <w:rsid w:val="009E532A"/>
    <w:rsid w:val="009F58FC"/>
    <w:rsid w:val="009F7F86"/>
    <w:rsid w:val="00A01B06"/>
    <w:rsid w:val="00A05B4D"/>
    <w:rsid w:val="00A06F41"/>
    <w:rsid w:val="00A121E7"/>
    <w:rsid w:val="00A178C4"/>
    <w:rsid w:val="00A234B7"/>
    <w:rsid w:val="00A311C3"/>
    <w:rsid w:val="00A31B0D"/>
    <w:rsid w:val="00A435D2"/>
    <w:rsid w:val="00A4749A"/>
    <w:rsid w:val="00A47BD2"/>
    <w:rsid w:val="00A55160"/>
    <w:rsid w:val="00A56ED4"/>
    <w:rsid w:val="00A603DA"/>
    <w:rsid w:val="00A6304B"/>
    <w:rsid w:val="00A63C6F"/>
    <w:rsid w:val="00A66908"/>
    <w:rsid w:val="00A73CCA"/>
    <w:rsid w:val="00A80470"/>
    <w:rsid w:val="00A82D18"/>
    <w:rsid w:val="00A845BE"/>
    <w:rsid w:val="00A86B0D"/>
    <w:rsid w:val="00A86D97"/>
    <w:rsid w:val="00A945D6"/>
    <w:rsid w:val="00A9727F"/>
    <w:rsid w:val="00A97A1C"/>
    <w:rsid w:val="00AB58AD"/>
    <w:rsid w:val="00AC0ECB"/>
    <w:rsid w:val="00AC22F7"/>
    <w:rsid w:val="00AC4E0F"/>
    <w:rsid w:val="00AC78A0"/>
    <w:rsid w:val="00AC7E8E"/>
    <w:rsid w:val="00AD1B86"/>
    <w:rsid w:val="00AE350D"/>
    <w:rsid w:val="00AF0F52"/>
    <w:rsid w:val="00AF5585"/>
    <w:rsid w:val="00AF7890"/>
    <w:rsid w:val="00B0239A"/>
    <w:rsid w:val="00B0408E"/>
    <w:rsid w:val="00B0670C"/>
    <w:rsid w:val="00B10A36"/>
    <w:rsid w:val="00B1348A"/>
    <w:rsid w:val="00B16A0A"/>
    <w:rsid w:val="00B20FD1"/>
    <w:rsid w:val="00B22090"/>
    <w:rsid w:val="00B227AB"/>
    <w:rsid w:val="00B32E9B"/>
    <w:rsid w:val="00B40D3B"/>
    <w:rsid w:val="00B40EC1"/>
    <w:rsid w:val="00B41ABA"/>
    <w:rsid w:val="00B430D7"/>
    <w:rsid w:val="00B46A2D"/>
    <w:rsid w:val="00B516BC"/>
    <w:rsid w:val="00B64812"/>
    <w:rsid w:val="00B657F6"/>
    <w:rsid w:val="00B71406"/>
    <w:rsid w:val="00B721E9"/>
    <w:rsid w:val="00B74D5C"/>
    <w:rsid w:val="00B759D1"/>
    <w:rsid w:val="00B75C1A"/>
    <w:rsid w:val="00B82925"/>
    <w:rsid w:val="00B83DB2"/>
    <w:rsid w:val="00B84AFA"/>
    <w:rsid w:val="00B936AF"/>
    <w:rsid w:val="00B96E59"/>
    <w:rsid w:val="00BA57FE"/>
    <w:rsid w:val="00BB494A"/>
    <w:rsid w:val="00BB4E10"/>
    <w:rsid w:val="00BB772C"/>
    <w:rsid w:val="00BC0C43"/>
    <w:rsid w:val="00BC1AA9"/>
    <w:rsid w:val="00BC278E"/>
    <w:rsid w:val="00BC689A"/>
    <w:rsid w:val="00BD26B4"/>
    <w:rsid w:val="00BE0612"/>
    <w:rsid w:val="00BE33BA"/>
    <w:rsid w:val="00BE4A93"/>
    <w:rsid w:val="00BE6B22"/>
    <w:rsid w:val="00BE78D1"/>
    <w:rsid w:val="00BF4BAA"/>
    <w:rsid w:val="00C02E1C"/>
    <w:rsid w:val="00C05C47"/>
    <w:rsid w:val="00C1321F"/>
    <w:rsid w:val="00C1378E"/>
    <w:rsid w:val="00C13B34"/>
    <w:rsid w:val="00C141CF"/>
    <w:rsid w:val="00C1722F"/>
    <w:rsid w:val="00C2284C"/>
    <w:rsid w:val="00C22955"/>
    <w:rsid w:val="00C36ADF"/>
    <w:rsid w:val="00C36C3A"/>
    <w:rsid w:val="00C57571"/>
    <w:rsid w:val="00C57631"/>
    <w:rsid w:val="00C6173D"/>
    <w:rsid w:val="00C61BAF"/>
    <w:rsid w:val="00C63469"/>
    <w:rsid w:val="00C65562"/>
    <w:rsid w:val="00C658B7"/>
    <w:rsid w:val="00C73E3E"/>
    <w:rsid w:val="00C83C56"/>
    <w:rsid w:val="00C8532E"/>
    <w:rsid w:val="00C86F0B"/>
    <w:rsid w:val="00C92F9E"/>
    <w:rsid w:val="00C94BF2"/>
    <w:rsid w:val="00C95C57"/>
    <w:rsid w:val="00C96E92"/>
    <w:rsid w:val="00CA2608"/>
    <w:rsid w:val="00CA27E8"/>
    <w:rsid w:val="00CB5480"/>
    <w:rsid w:val="00CC7A28"/>
    <w:rsid w:val="00CD1D2D"/>
    <w:rsid w:val="00CD74CF"/>
    <w:rsid w:val="00CE4EBC"/>
    <w:rsid w:val="00CF0AC2"/>
    <w:rsid w:val="00CF2784"/>
    <w:rsid w:val="00CF400C"/>
    <w:rsid w:val="00CF5067"/>
    <w:rsid w:val="00CF72C6"/>
    <w:rsid w:val="00CF75AF"/>
    <w:rsid w:val="00CF77AC"/>
    <w:rsid w:val="00D05278"/>
    <w:rsid w:val="00D052C8"/>
    <w:rsid w:val="00D114F3"/>
    <w:rsid w:val="00D13C36"/>
    <w:rsid w:val="00D20256"/>
    <w:rsid w:val="00D26508"/>
    <w:rsid w:val="00D27974"/>
    <w:rsid w:val="00D3107E"/>
    <w:rsid w:val="00D32D6B"/>
    <w:rsid w:val="00D32DD1"/>
    <w:rsid w:val="00D351E8"/>
    <w:rsid w:val="00D3520D"/>
    <w:rsid w:val="00D36AC7"/>
    <w:rsid w:val="00D42274"/>
    <w:rsid w:val="00D55B0E"/>
    <w:rsid w:val="00D56A8A"/>
    <w:rsid w:val="00D6074F"/>
    <w:rsid w:val="00D651C8"/>
    <w:rsid w:val="00D73C17"/>
    <w:rsid w:val="00D77C8E"/>
    <w:rsid w:val="00D8086E"/>
    <w:rsid w:val="00D871EC"/>
    <w:rsid w:val="00D90EA6"/>
    <w:rsid w:val="00DA44D0"/>
    <w:rsid w:val="00DA6338"/>
    <w:rsid w:val="00DB0D00"/>
    <w:rsid w:val="00DB1744"/>
    <w:rsid w:val="00DB2D53"/>
    <w:rsid w:val="00DB3232"/>
    <w:rsid w:val="00DB7DBE"/>
    <w:rsid w:val="00DC609D"/>
    <w:rsid w:val="00DD0A06"/>
    <w:rsid w:val="00DE2404"/>
    <w:rsid w:val="00DE308D"/>
    <w:rsid w:val="00DE324F"/>
    <w:rsid w:val="00DE5D60"/>
    <w:rsid w:val="00DE7FB7"/>
    <w:rsid w:val="00DF1119"/>
    <w:rsid w:val="00DF267C"/>
    <w:rsid w:val="00E00CD3"/>
    <w:rsid w:val="00E07B95"/>
    <w:rsid w:val="00E13B8D"/>
    <w:rsid w:val="00E236A4"/>
    <w:rsid w:val="00E2492D"/>
    <w:rsid w:val="00E328A2"/>
    <w:rsid w:val="00E34566"/>
    <w:rsid w:val="00E349A0"/>
    <w:rsid w:val="00E44C0F"/>
    <w:rsid w:val="00E47DF5"/>
    <w:rsid w:val="00E51280"/>
    <w:rsid w:val="00E5499E"/>
    <w:rsid w:val="00E6137A"/>
    <w:rsid w:val="00E64ADB"/>
    <w:rsid w:val="00E65090"/>
    <w:rsid w:val="00E67B7A"/>
    <w:rsid w:val="00E74C6F"/>
    <w:rsid w:val="00E80888"/>
    <w:rsid w:val="00E854B5"/>
    <w:rsid w:val="00E85CFF"/>
    <w:rsid w:val="00E8641D"/>
    <w:rsid w:val="00E86F1F"/>
    <w:rsid w:val="00E92490"/>
    <w:rsid w:val="00E94EFB"/>
    <w:rsid w:val="00E97C6F"/>
    <w:rsid w:val="00EA0AA0"/>
    <w:rsid w:val="00EA0BCE"/>
    <w:rsid w:val="00EA3E21"/>
    <w:rsid w:val="00EA7B42"/>
    <w:rsid w:val="00EB021B"/>
    <w:rsid w:val="00EB159F"/>
    <w:rsid w:val="00EB1760"/>
    <w:rsid w:val="00EB5898"/>
    <w:rsid w:val="00EB62E2"/>
    <w:rsid w:val="00EB6E50"/>
    <w:rsid w:val="00EB762C"/>
    <w:rsid w:val="00EC4A15"/>
    <w:rsid w:val="00EC7C16"/>
    <w:rsid w:val="00EC7E39"/>
    <w:rsid w:val="00ED5CEB"/>
    <w:rsid w:val="00ED6DAE"/>
    <w:rsid w:val="00EE18A2"/>
    <w:rsid w:val="00EE631B"/>
    <w:rsid w:val="00EF12E1"/>
    <w:rsid w:val="00EF285D"/>
    <w:rsid w:val="00EF3B4A"/>
    <w:rsid w:val="00EF773E"/>
    <w:rsid w:val="00F007BF"/>
    <w:rsid w:val="00F00FEE"/>
    <w:rsid w:val="00F040B6"/>
    <w:rsid w:val="00F11560"/>
    <w:rsid w:val="00F14D6C"/>
    <w:rsid w:val="00F15D91"/>
    <w:rsid w:val="00F16239"/>
    <w:rsid w:val="00F178DA"/>
    <w:rsid w:val="00F2225E"/>
    <w:rsid w:val="00F22659"/>
    <w:rsid w:val="00F234F6"/>
    <w:rsid w:val="00F321B9"/>
    <w:rsid w:val="00F321C5"/>
    <w:rsid w:val="00F3749F"/>
    <w:rsid w:val="00F43687"/>
    <w:rsid w:val="00F46BB0"/>
    <w:rsid w:val="00F47AD7"/>
    <w:rsid w:val="00F52745"/>
    <w:rsid w:val="00F5395B"/>
    <w:rsid w:val="00F54994"/>
    <w:rsid w:val="00F62FBB"/>
    <w:rsid w:val="00F71BCA"/>
    <w:rsid w:val="00F71D8D"/>
    <w:rsid w:val="00F75260"/>
    <w:rsid w:val="00F77292"/>
    <w:rsid w:val="00F821A4"/>
    <w:rsid w:val="00F84120"/>
    <w:rsid w:val="00F870D6"/>
    <w:rsid w:val="00F9791E"/>
    <w:rsid w:val="00FA5C20"/>
    <w:rsid w:val="00FA6D97"/>
    <w:rsid w:val="00FA715A"/>
    <w:rsid w:val="00FA75A0"/>
    <w:rsid w:val="00FB1738"/>
    <w:rsid w:val="00FB33CA"/>
    <w:rsid w:val="00FC0D7D"/>
    <w:rsid w:val="00FD1980"/>
    <w:rsid w:val="00FD2C66"/>
    <w:rsid w:val="00FE257E"/>
    <w:rsid w:val="00FE7EA1"/>
    <w:rsid w:val="00FE7EC7"/>
    <w:rsid w:val="00FF1ECB"/>
    <w:rsid w:val="00FF2472"/>
    <w:rsid w:val="00FF3978"/>
    <w:rsid w:val="00FF4567"/>
    <w:rsid w:val="00FF4810"/>
    <w:rsid w:val="0512A11D"/>
    <w:rsid w:val="0BE9DADE"/>
    <w:rsid w:val="1620747C"/>
    <w:rsid w:val="2A555885"/>
    <w:rsid w:val="2B3B07CF"/>
    <w:rsid w:val="30138C6A"/>
    <w:rsid w:val="399B9B63"/>
    <w:rsid w:val="3E9CA180"/>
    <w:rsid w:val="4B0DE702"/>
    <w:rsid w:val="589A071E"/>
    <w:rsid w:val="5A7BFD5E"/>
    <w:rsid w:val="5A9C2499"/>
    <w:rsid w:val="5EF06026"/>
    <w:rsid w:val="622DBA8F"/>
    <w:rsid w:val="7260054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8DB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9B7"/>
    <w:pPr>
      <w:spacing w:after="120" w:line="240" w:lineRule="auto"/>
    </w:pPr>
    <w:rPr>
      <w:rFonts w:ascii="Segoe UI" w:hAnsi="Segoe UI" w:cs="Segoe UI"/>
      <w:sz w:val="22"/>
      <w:szCs w:val="22"/>
    </w:rPr>
  </w:style>
  <w:style w:type="paragraph" w:styleId="Heading1">
    <w:name w:val="heading 1"/>
    <w:basedOn w:val="Normal"/>
    <w:next w:val="Normal"/>
    <w:link w:val="Heading1Char"/>
    <w:uiPriority w:val="9"/>
    <w:qFormat/>
    <w:rsid w:val="00EA0AA0"/>
    <w:pPr>
      <w:spacing w:before="240"/>
      <w:outlineLvl w:val="0"/>
    </w:pPr>
    <w:rPr>
      <w:b/>
      <w:bCs/>
      <w:color w:val="0070C0"/>
      <w:sz w:val="32"/>
      <w:szCs w:val="32"/>
    </w:rPr>
  </w:style>
  <w:style w:type="paragraph" w:styleId="Heading2">
    <w:name w:val="heading 2"/>
    <w:basedOn w:val="Normal"/>
    <w:next w:val="Normal"/>
    <w:link w:val="Heading2Char"/>
    <w:uiPriority w:val="9"/>
    <w:unhideWhenUsed/>
    <w:qFormat/>
    <w:rsid w:val="00BC0C43"/>
    <w:pPr>
      <w:spacing w:before="240" w:after="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22"/>
    <w:pPr>
      <w:tabs>
        <w:tab w:val="center" w:pos="4513"/>
        <w:tab w:val="right" w:pos="9026"/>
      </w:tabs>
      <w:spacing w:after="0"/>
    </w:pPr>
  </w:style>
  <w:style w:type="character" w:customStyle="1" w:styleId="HeaderChar">
    <w:name w:val="Header Char"/>
    <w:basedOn w:val="DefaultParagraphFont"/>
    <w:link w:val="Header"/>
    <w:uiPriority w:val="99"/>
    <w:rsid w:val="00BE6B22"/>
  </w:style>
  <w:style w:type="paragraph" w:styleId="Footer">
    <w:name w:val="footer"/>
    <w:basedOn w:val="Normal"/>
    <w:link w:val="FooterChar"/>
    <w:uiPriority w:val="99"/>
    <w:unhideWhenUsed/>
    <w:rsid w:val="00BE6B22"/>
    <w:pPr>
      <w:tabs>
        <w:tab w:val="center" w:pos="4513"/>
        <w:tab w:val="right" w:pos="9026"/>
      </w:tabs>
      <w:spacing w:after="0"/>
    </w:pPr>
  </w:style>
  <w:style w:type="character" w:customStyle="1" w:styleId="FooterChar">
    <w:name w:val="Footer Char"/>
    <w:basedOn w:val="DefaultParagraphFont"/>
    <w:link w:val="Footer"/>
    <w:uiPriority w:val="99"/>
    <w:rsid w:val="00BE6B22"/>
  </w:style>
  <w:style w:type="table" w:styleId="TableGrid">
    <w:name w:val="Table Grid"/>
    <w:basedOn w:val="TableNormal"/>
    <w:uiPriority w:val="39"/>
    <w:rsid w:val="00FE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es">
    <w:name w:val="Tick boxes"/>
    <w:basedOn w:val="Normal"/>
    <w:link w:val="TickboxesChar"/>
    <w:qFormat/>
    <w:rsid w:val="00582377"/>
    <w:pPr>
      <w:spacing w:after="160"/>
      <w:contextualSpacing/>
    </w:pPr>
    <w:rPr>
      <w:bCs/>
      <w:sz w:val="21"/>
      <w:szCs w:val="21"/>
    </w:rPr>
  </w:style>
  <w:style w:type="character" w:customStyle="1" w:styleId="TickboxesChar">
    <w:name w:val="Tick boxes Char"/>
    <w:basedOn w:val="DefaultParagraphFont"/>
    <w:link w:val="Tickboxes"/>
    <w:rsid w:val="00582377"/>
    <w:rPr>
      <w:rFonts w:ascii="Segoe UI" w:hAnsi="Segoe UI" w:cs="Segoe UI"/>
      <w:bCs/>
      <w:sz w:val="21"/>
      <w:szCs w:val="21"/>
    </w:rPr>
  </w:style>
  <w:style w:type="paragraph" w:styleId="NormalWeb">
    <w:name w:val="Normal (Web)"/>
    <w:basedOn w:val="Normal"/>
    <w:uiPriority w:val="99"/>
    <w:semiHidden/>
    <w:unhideWhenUsed/>
    <w:rsid w:val="000627EF"/>
    <w:pPr>
      <w:spacing w:before="100" w:beforeAutospacing="1" w:after="100" w:afterAutospacing="1"/>
    </w:pPr>
    <w:rPr>
      <w:rFonts w:eastAsia="Times New Roman"/>
      <w:lang w:eastAsia="en-AU"/>
    </w:rPr>
  </w:style>
  <w:style w:type="character" w:styleId="CommentReference">
    <w:name w:val="annotation reference"/>
    <w:basedOn w:val="DefaultParagraphFont"/>
    <w:uiPriority w:val="99"/>
    <w:semiHidden/>
    <w:unhideWhenUsed/>
    <w:rsid w:val="005D23BC"/>
    <w:rPr>
      <w:sz w:val="16"/>
      <w:szCs w:val="16"/>
    </w:rPr>
  </w:style>
  <w:style w:type="paragraph" w:styleId="CommentText">
    <w:name w:val="annotation text"/>
    <w:basedOn w:val="Normal"/>
    <w:link w:val="CommentTextChar"/>
    <w:uiPriority w:val="99"/>
    <w:unhideWhenUsed/>
    <w:rsid w:val="005D23BC"/>
    <w:rPr>
      <w:sz w:val="20"/>
      <w:szCs w:val="20"/>
    </w:rPr>
  </w:style>
  <w:style w:type="character" w:customStyle="1" w:styleId="CommentTextChar">
    <w:name w:val="Comment Text Char"/>
    <w:basedOn w:val="DefaultParagraphFont"/>
    <w:link w:val="CommentText"/>
    <w:uiPriority w:val="99"/>
    <w:rsid w:val="005D23BC"/>
    <w:rPr>
      <w:sz w:val="20"/>
      <w:szCs w:val="20"/>
    </w:rPr>
  </w:style>
  <w:style w:type="paragraph" w:styleId="CommentSubject">
    <w:name w:val="annotation subject"/>
    <w:basedOn w:val="CommentText"/>
    <w:next w:val="CommentText"/>
    <w:link w:val="CommentSubjectChar"/>
    <w:uiPriority w:val="99"/>
    <w:semiHidden/>
    <w:unhideWhenUsed/>
    <w:rsid w:val="005D23BC"/>
    <w:rPr>
      <w:b/>
      <w:bCs/>
    </w:rPr>
  </w:style>
  <w:style w:type="character" w:customStyle="1" w:styleId="CommentSubjectChar">
    <w:name w:val="Comment Subject Char"/>
    <w:basedOn w:val="CommentTextChar"/>
    <w:link w:val="CommentSubject"/>
    <w:uiPriority w:val="99"/>
    <w:semiHidden/>
    <w:rsid w:val="005D23BC"/>
    <w:rPr>
      <w:b/>
      <w:bCs/>
      <w:sz w:val="20"/>
      <w:szCs w:val="20"/>
    </w:rPr>
  </w:style>
  <w:style w:type="character" w:customStyle="1" w:styleId="Heading2Char">
    <w:name w:val="Heading 2 Char"/>
    <w:basedOn w:val="DefaultParagraphFont"/>
    <w:link w:val="Heading2"/>
    <w:uiPriority w:val="9"/>
    <w:rsid w:val="00BC0C43"/>
    <w:rPr>
      <w:rFonts w:ascii="Segoe UI" w:hAnsi="Segoe UI" w:cs="Segoe UI"/>
      <w:b/>
      <w:bCs/>
      <w:sz w:val="22"/>
      <w:szCs w:val="22"/>
    </w:rPr>
  </w:style>
  <w:style w:type="character" w:customStyle="1" w:styleId="Heading1Char">
    <w:name w:val="Heading 1 Char"/>
    <w:basedOn w:val="DefaultParagraphFont"/>
    <w:link w:val="Heading1"/>
    <w:uiPriority w:val="9"/>
    <w:rsid w:val="00EA0AA0"/>
    <w:rPr>
      <w:rFonts w:ascii="Segoe UI" w:hAnsi="Segoe UI" w:cs="Segoe UI"/>
      <w:b/>
      <w:bCs/>
      <w:color w:val="0070C0"/>
      <w:sz w:val="32"/>
      <w:szCs w:val="32"/>
    </w:rPr>
  </w:style>
  <w:style w:type="paragraph" w:customStyle="1" w:styleId="Instructions">
    <w:name w:val="Instructions"/>
    <w:basedOn w:val="Heading2"/>
    <w:link w:val="InstructionsChar"/>
    <w:qFormat/>
    <w:rsid w:val="00361BBE"/>
    <w:pPr>
      <w:spacing w:before="120" w:after="120"/>
    </w:pPr>
    <w:rPr>
      <w:b w:val="0"/>
      <w:bCs w:val="0"/>
    </w:rPr>
  </w:style>
  <w:style w:type="character" w:customStyle="1" w:styleId="InstructionsChar">
    <w:name w:val="Instructions Char"/>
    <w:basedOn w:val="Heading2Char"/>
    <w:link w:val="Instructions"/>
    <w:rsid w:val="00361BBE"/>
    <w:rPr>
      <w:rFonts w:ascii="Segoe UI" w:hAnsi="Segoe UI" w:cs="Segoe UI"/>
      <w:b w:val="0"/>
      <w:bCs w:val="0"/>
      <w:sz w:val="22"/>
      <w:szCs w:val="22"/>
    </w:rPr>
  </w:style>
  <w:style w:type="character" w:styleId="Hyperlink">
    <w:name w:val="Hyperlink"/>
    <w:basedOn w:val="DefaultParagraphFont"/>
    <w:uiPriority w:val="99"/>
    <w:unhideWhenUsed/>
    <w:rsid w:val="00743F6B"/>
    <w:rPr>
      <w:color w:val="0563C1" w:themeColor="hyperlink"/>
      <w:u w:val="single"/>
    </w:rPr>
  </w:style>
  <w:style w:type="character" w:customStyle="1" w:styleId="UnresolvedMention1">
    <w:name w:val="Unresolved Mention1"/>
    <w:basedOn w:val="DefaultParagraphFont"/>
    <w:uiPriority w:val="99"/>
    <w:semiHidden/>
    <w:unhideWhenUsed/>
    <w:rsid w:val="00743F6B"/>
    <w:rPr>
      <w:color w:val="605E5C"/>
      <w:shd w:val="clear" w:color="auto" w:fill="E1DFDD"/>
    </w:rPr>
  </w:style>
  <w:style w:type="paragraph" w:styleId="ListParagraph">
    <w:name w:val="List Paragraph"/>
    <w:basedOn w:val="Normal"/>
    <w:uiPriority w:val="34"/>
    <w:qFormat/>
    <w:rsid w:val="00DA6338"/>
    <w:pPr>
      <w:ind w:left="720"/>
      <w:contextualSpacing/>
    </w:pPr>
  </w:style>
  <w:style w:type="character" w:customStyle="1" w:styleId="normaltextrun">
    <w:name w:val="normaltextrun"/>
    <w:basedOn w:val="DefaultParagraphFont"/>
    <w:rsid w:val="00C6173D"/>
  </w:style>
  <w:style w:type="paragraph" w:styleId="BodyText">
    <w:name w:val="Body Text"/>
    <w:link w:val="BodyTextChar"/>
    <w:qFormat/>
    <w:rsid w:val="0062609A"/>
    <w:pPr>
      <w:keepLines/>
      <w:spacing w:after="120" w:line="288" w:lineRule="auto"/>
    </w:pPr>
    <w:rPr>
      <w:rFonts w:ascii="Segoe UI" w:eastAsia="Calibri" w:hAnsi="Segoe UI" w:cs="Calibri"/>
      <w:sz w:val="22"/>
      <w:szCs w:val="20"/>
    </w:rPr>
  </w:style>
  <w:style w:type="character" w:customStyle="1" w:styleId="BodyTextChar">
    <w:name w:val="Body Text Char"/>
    <w:basedOn w:val="DefaultParagraphFont"/>
    <w:link w:val="BodyText"/>
    <w:rsid w:val="0062609A"/>
    <w:rPr>
      <w:rFonts w:ascii="Segoe UI" w:eastAsia="Calibri" w:hAnsi="Segoe UI" w:cs="Calibri"/>
      <w:sz w:val="22"/>
      <w:szCs w:val="20"/>
    </w:rPr>
  </w:style>
  <w:style w:type="paragraph" w:styleId="Bibliography">
    <w:name w:val="Bibliography"/>
    <w:basedOn w:val="Normal"/>
    <w:next w:val="Normal"/>
    <w:uiPriority w:val="37"/>
    <w:unhideWhenUsed/>
    <w:rsid w:val="00CF77AC"/>
  </w:style>
  <w:style w:type="paragraph" w:styleId="Caption">
    <w:name w:val="caption"/>
    <w:basedOn w:val="Normal"/>
    <w:next w:val="Normal"/>
    <w:uiPriority w:val="35"/>
    <w:unhideWhenUsed/>
    <w:qFormat/>
    <w:rsid w:val="00DA44D0"/>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8B6783"/>
    <w:pPr>
      <w:spacing w:after="0"/>
    </w:pPr>
    <w:rPr>
      <w:sz w:val="18"/>
      <w:szCs w:val="18"/>
    </w:rPr>
  </w:style>
  <w:style w:type="character" w:customStyle="1" w:styleId="BalloonTextChar">
    <w:name w:val="Balloon Text Char"/>
    <w:basedOn w:val="DefaultParagraphFont"/>
    <w:link w:val="BalloonText"/>
    <w:uiPriority w:val="99"/>
    <w:semiHidden/>
    <w:rsid w:val="008B67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07487">
      <w:bodyDiv w:val="1"/>
      <w:marLeft w:val="0"/>
      <w:marRight w:val="0"/>
      <w:marTop w:val="0"/>
      <w:marBottom w:val="0"/>
      <w:divBdr>
        <w:top w:val="none" w:sz="0" w:space="0" w:color="auto"/>
        <w:left w:val="none" w:sz="0" w:space="0" w:color="auto"/>
        <w:bottom w:val="none" w:sz="0" w:space="0" w:color="auto"/>
        <w:right w:val="none" w:sz="0" w:space="0" w:color="auto"/>
      </w:divBdr>
    </w:div>
    <w:div w:id="175580598">
      <w:bodyDiv w:val="1"/>
      <w:marLeft w:val="0"/>
      <w:marRight w:val="0"/>
      <w:marTop w:val="0"/>
      <w:marBottom w:val="0"/>
      <w:divBdr>
        <w:top w:val="none" w:sz="0" w:space="0" w:color="auto"/>
        <w:left w:val="none" w:sz="0" w:space="0" w:color="auto"/>
        <w:bottom w:val="none" w:sz="0" w:space="0" w:color="auto"/>
        <w:right w:val="none" w:sz="0" w:space="0" w:color="auto"/>
      </w:divBdr>
    </w:div>
    <w:div w:id="296881590">
      <w:bodyDiv w:val="1"/>
      <w:marLeft w:val="0"/>
      <w:marRight w:val="0"/>
      <w:marTop w:val="0"/>
      <w:marBottom w:val="0"/>
      <w:divBdr>
        <w:top w:val="none" w:sz="0" w:space="0" w:color="auto"/>
        <w:left w:val="none" w:sz="0" w:space="0" w:color="auto"/>
        <w:bottom w:val="none" w:sz="0" w:space="0" w:color="auto"/>
        <w:right w:val="none" w:sz="0" w:space="0" w:color="auto"/>
      </w:divBdr>
    </w:div>
    <w:div w:id="321932096">
      <w:bodyDiv w:val="1"/>
      <w:marLeft w:val="0"/>
      <w:marRight w:val="0"/>
      <w:marTop w:val="0"/>
      <w:marBottom w:val="0"/>
      <w:divBdr>
        <w:top w:val="none" w:sz="0" w:space="0" w:color="auto"/>
        <w:left w:val="none" w:sz="0" w:space="0" w:color="auto"/>
        <w:bottom w:val="none" w:sz="0" w:space="0" w:color="auto"/>
        <w:right w:val="none" w:sz="0" w:space="0" w:color="auto"/>
      </w:divBdr>
    </w:div>
    <w:div w:id="411977571">
      <w:bodyDiv w:val="1"/>
      <w:marLeft w:val="0"/>
      <w:marRight w:val="0"/>
      <w:marTop w:val="0"/>
      <w:marBottom w:val="0"/>
      <w:divBdr>
        <w:top w:val="none" w:sz="0" w:space="0" w:color="auto"/>
        <w:left w:val="none" w:sz="0" w:space="0" w:color="auto"/>
        <w:bottom w:val="none" w:sz="0" w:space="0" w:color="auto"/>
        <w:right w:val="none" w:sz="0" w:space="0" w:color="auto"/>
      </w:divBdr>
    </w:div>
    <w:div w:id="482086622">
      <w:bodyDiv w:val="1"/>
      <w:marLeft w:val="0"/>
      <w:marRight w:val="0"/>
      <w:marTop w:val="0"/>
      <w:marBottom w:val="0"/>
      <w:divBdr>
        <w:top w:val="none" w:sz="0" w:space="0" w:color="auto"/>
        <w:left w:val="none" w:sz="0" w:space="0" w:color="auto"/>
        <w:bottom w:val="none" w:sz="0" w:space="0" w:color="auto"/>
        <w:right w:val="none" w:sz="0" w:space="0" w:color="auto"/>
      </w:divBdr>
    </w:div>
    <w:div w:id="562369709">
      <w:bodyDiv w:val="1"/>
      <w:marLeft w:val="0"/>
      <w:marRight w:val="0"/>
      <w:marTop w:val="0"/>
      <w:marBottom w:val="0"/>
      <w:divBdr>
        <w:top w:val="none" w:sz="0" w:space="0" w:color="auto"/>
        <w:left w:val="none" w:sz="0" w:space="0" w:color="auto"/>
        <w:bottom w:val="none" w:sz="0" w:space="0" w:color="auto"/>
        <w:right w:val="none" w:sz="0" w:space="0" w:color="auto"/>
      </w:divBdr>
    </w:div>
    <w:div w:id="688599812">
      <w:bodyDiv w:val="1"/>
      <w:marLeft w:val="0"/>
      <w:marRight w:val="0"/>
      <w:marTop w:val="0"/>
      <w:marBottom w:val="0"/>
      <w:divBdr>
        <w:top w:val="none" w:sz="0" w:space="0" w:color="auto"/>
        <w:left w:val="none" w:sz="0" w:space="0" w:color="auto"/>
        <w:bottom w:val="none" w:sz="0" w:space="0" w:color="auto"/>
        <w:right w:val="none" w:sz="0" w:space="0" w:color="auto"/>
      </w:divBdr>
    </w:div>
    <w:div w:id="900873222">
      <w:bodyDiv w:val="1"/>
      <w:marLeft w:val="0"/>
      <w:marRight w:val="0"/>
      <w:marTop w:val="0"/>
      <w:marBottom w:val="0"/>
      <w:divBdr>
        <w:top w:val="none" w:sz="0" w:space="0" w:color="auto"/>
        <w:left w:val="none" w:sz="0" w:space="0" w:color="auto"/>
        <w:bottom w:val="none" w:sz="0" w:space="0" w:color="auto"/>
        <w:right w:val="none" w:sz="0" w:space="0" w:color="auto"/>
      </w:divBdr>
    </w:div>
    <w:div w:id="922877963">
      <w:bodyDiv w:val="1"/>
      <w:marLeft w:val="0"/>
      <w:marRight w:val="0"/>
      <w:marTop w:val="0"/>
      <w:marBottom w:val="0"/>
      <w:divBdr>
        <w:top w:val="none" w:sz="0" w:space="0" w:color="auto"/>
        <w:left w:val="none" w:sz="0" w:space="0" w:color="auto"/>
        <w:bottom w:val="none" w:sz="0" w:space="0" w:color="auto"/>
        <w:right w:val="none" w:sz="0" w:space="0" w:color="auto"/>
      </w:divBdr>
    </w:div>
    <w:div w:id="1031418748">
      <w:bodyDiv w:val="1"/>
      <w:marLeft w:val="0"/>
      <w:marRight w:val="0"/>
      <w:marTop w:val="0"/>
      <w:marBottom w:val="0"/>
      <w:divBdr>
        <w:top w:val="none" w:sz="0" w:space="0" w:color="auto"/>
        <w:left w:val="none" w:sz="0" w:space="0" w:color="auto"/>
        <w:bottom w:val="none" w:sz="0" w:space="0" w:color="auto"/>
        <w:right w:val="none" w:sz="0" w:space="0" w:color="auto"/>
      </w:divBdr>
    </w:div>
    <w:div w:id="1077050165">
      <w:bodyDiv w:val="1"/>
      <w:marLeft w:val="0"/>
      <w:marRight w:val="0"/>
      <w:marTop w:val="0"/>
      <w:marBottom w:val="0"/>
      <w:divBdr>
        <w:top w:val="none" w:sz="0" w:space="0" w:color="auto"/>
        <w:left w:val="none" w:sz="0" w:space="0" w:color="auto"/>
        <w:bottom w:val="none" w:sz="0" w:space="0" w:color="auto"/>
        <w:right w:val="none" w:sz="0" w:space="0" w:color="auto"/>
      </w:divBdr>
    </w:div>
    <w:div w:id="1163086066">
      <w:bodyDiv w:val="1"/>
      <w:marLeft w:val="0"/>
      <w:marRight w:val="0"/>
      <w:marTop w:val="0"/>
      <w:marBottom w:val="0"/>
      <w:divBdr>
        <w:top w:val="none" w:sz="0" w:space="0" w:color="auto"/>
        <w:left w:val="none" w:sz="0" w:space="0" w:color="auto"/>
        <w:bottom w:val="none" w:sz="0" w:space="0" w:color="auto"/>
        <w:right w:val="none" w:sz="0" w:space="0" w:color="auto"/>
      </w:divBdr>
    </w:div>
    <w:div w:id="1284770582">
      <w:bodyDiv w:val="1"/>
      <w:marLeft w:val="0"/>
      <w:marRight w:val="0"/>
      <w:marTop w:val="0"/>
      <w:marBottom w:val="0"/>
      <w:divBdr>
        <w:top w:val="none" w:sz="0" w:space="0" w:color="auto"/>
        <w:left w:val="none" w:sz="0" w:space="0" w:color="auto"/>
        <w:bottom w:val="none" w:sz="0" w:space="0" w:color="auto"/>
        <w:right w:val="none" w:sz="0" w:space="0" w:color="auto"/>
      </w:divBdr>
    </w:div>
    <w:div w:id="1357584219">
      <w:bodyDiv w:val="1"/>
      <w:marLeft w:val="0"/>
      <w:marRight w:val="0"/>
      <w:marTop w:val="0"/>
      <w:marBottom w:val="0"/>
      <w:divBdr>
        <w:top w:val="none" w:sz="0" w:space="0" w:color="auto"/>
        <w:left w:val="none" w:sz="0" w:space="0" w:color="auto"/>
        <w:bottom w:val="none" w:sz="0" w:space="0" w:color="auto"/>
        <w:right w:val="none" w:sz="0" w:space="0" w:color="auto"/>
      </w:divBdr>
    </w:div>
    <w:div w:id="1395005586">
      <w:bodyDiv w:val="1"/>
      <w:marLeft w:val="0"/>
      <w:marRight w:val="0"/>
      <w:marTop w:val="0"/>
      <w:marBottom w:val="0"/>
      <w:divBdr>
        <w:top w:val="none" w:sz="0" w:space="0" w:color="auto"/>
        <w:left w:val="none" w:sz="0" w:space="0" w:color="auto"/>
        <w:bottom w:val="none" w:sz="0" w:space="0" w:color="auto"/>
        <w:right w:val="none" w:sz="0" w:space="0" w:color="auto"/>
      </w:divBdr>
    </w:div>
    <w:div w:id="1576620956">
      <w:bodyDiv w:val="1"/>
      <w:marLeft w:val="0"/>
      <w:marRight w:val="0"/>
      <w:marTop w:val="0"/>
      <w:marBottom w:val="0"/>
      <w:divBdr>
        <w:top w:val="none" w:sz="0" w:space="0" w:color="auto"/>
        <w:left w:val="none" w:sz="0" w:space="0" w:color="auto"/>
        <w:bottom w:val="none" w:sz="0" w:space="0" w:color="auto"/>
        <w:right w:val="none" w:sz="0" w:space="0" w:color="auto"/>
      </w:divBdr>
    </w:div>
    <w:div w:id="1643387674">
      <w:bodyDiv w:val="1"/>
      <w:marLeft w:val="0"/>
      <w:marRight w:val="0"/>
      <w:marTop w:val="0"/>
      <w:marBottom w:val="0"/>
      <w:divBdr>
        <w:top w:val="none" w:sz="0" w:space="0" w:color="auto"/>
        <w:left w:val="none" w:sz="0" w:space="0" w:color="auto"/>
        <w:bottom w:val="none" w:sz="0" w:space="0" w:color="auto"/>
        <w:right w:val="none" w:sz="0" w:space="0" w:color="auto"/>
      </w:divBdr>
    </w:div>
    <w:div w:id="1661348198">
      <w:bodyDiv w:val="1"/>
      <w:marLeft w:val="0"/>
      <w:marRight w:val="0"/>
      <w:marTop w:val="0"/>
      <w:marBottom w:val="0"/>
      <w:divBdr>
        <w:top w:val="none" w:sz="0" w:space="0" w:color="auto"/>
        <w:left w:val="none" w:sz="0" w:space="0" w:color="auto"/>
        <w:bottom w:val="none" w:sz="0" w:space="0" w:color="auto"/>
        <w:right w:val="none" w:sz="0" w:space="0" w:color="auto"/>
      </w:divBdr>
    </w:div>
    <w:div w:id="1756589153">
      <w:bodyDiv w:val="1"/>
      <w:marLeft w:val="0"/>
      <w:marRight w:val="0"/>
      <w:marTop w:val="0"/>
      <w:marBottom w:val="0"/>
      <w:divBdr>
        <w:top w:val="none" w:sz="0" w:space="0" w:color="auto"/>
        <w:left w:val="none" w:sz="0" w:space="0" w:color="auto"/>
        <w:bottom w:val="none" w:sz="0" w:space="0" w:color="auto"/>
        <w:right w:val="none" w:sz="0" w:space="0" w:color="auto"/>
      </w:divBdr>
    </w:div>
    <w:div w:id="1759592159">
      <w:bodyDiv w:val="1"/>
      <w:marLeft w:val="0"/>
      <w:marRight w:val="0"/>
      <w:marTop w:val="0"/>
      <w:marBottom w:val="0"/>
      <w:divBdr>
        <w:top w:val="none" w:sz="0" w:space="0" w:color="auto"/>
        <w:left w:val="none" w:sz="0" w:space="0" w:color="auto"/>
        <w:bottom w:val="none" w:sz="0" w:space="0" w:color="auto"/>
        <w:right w:val="none" w:sz="0" w:space="0" w:color="auto"/>
      </w:divBdr>
    </w:div>
    <w:div w:id="1819415406">
      <w:bodyDiv w:val="1"/>
      <w:marLeft w:val="0"/>
      <w:marRight w:val="0"/>
      <w:marTop w:val="0"/>
      <w:marBottom w:val="0"/>
      <w:divBdr>
        <w:top w:val="none" w:sz="0" w:space="0" w:color="auto"/>
        <w:left w:val="none" w:sz="0" w:space="0" w:color="auto"/>
        <w:bottom w:val="none" w:sz="0" w:space="0" w:color="auto"/>
        <w:right w:val="none" w:sz="0" w:space="0" w:color="auto"/>
      </w:divBdr>
    </w:div>
    <w:div w:id="2002656835">
      <w:bodyDiv w:val="1"/>
      <w:marLeft w:val="0"/>
      <w:marRight w:val="0"/>
      <w:marTop w:val="0"/>
      <w:marBottom w:val="0"/>
      <w:divBdr>
        <w:top w:val="none" w:sz="0" w:space="0" w:color="auto"/>
        <w:left w:val="none" w:sz="0" w:space="0" w:color="auto"/>
        <w:bottom w:val="none" w:sz="0" w:space="0" w:color="auto"/>
        <w:right w:val="none" w:sz="0" w:space="0" w:color="auto"/>
      </w:divBdr>
    </w:div>
    <w:div w:id="2110076547">
      <w:bodyDiv w:val="1"/>
      <w:marLeft w:val="0"/>
      <w:marRight w:val="0"/>
      <w:marTop w:val="0"/>
      <w:marBottom w:val="0"/>
      <w:divBdr>
        <w:top w:val="none" w:sz="0" w:space="0" w:color="auto"/>
        <w:left w:val="none" w:sz="0" w:space="0" w:color="auto"/>
        <w:bottom w:val="none" w:sz="0" w:space="0" w:color="auto"/>
        <w:right w:val="none" w:sz="0" w:space="0" w:color="auto"/>
      </w:divBdr>
    </w:div>
    <w:div w:id="214087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Mol22</b:Tag>
    <b:SourceType>JournalArticle</b:SourceType>
    <b:Guid>{8D0F399B-AFC4-425C-BC13-FC958A9B1ED2}</b:Guid>
    <b:Author>
      <b:Author>
        <b:NameList>
          <b:Person>
            <b:Last>Mollah</b:Last>
            <b:First>T.</b:First>
            <b:Middle>et al.</b:Middle>
          </b:Person>
        </b:NameList>
      </b:Author>
    </b:Author>
    <b:Title>Epidemiological Trends of Gallbladder Cancer in Australia between 1982 to 2018: a Population-Based Study Utilizing the Australian Cancer Database</b:Title>
    <b:JournalName>Ann Hepatobiliary Pancreat Surg</b:JournalName>
    <b:Year>2022</b:Year>
    <b:Pages>263-269</b:Pages>
    <b:Volume>26</b:Volume>
    <b:Issue>3</b:Issue>
    <b:RefOrder>11</b:RefOrder>
  </b:Source>
  <b:Source>
    <b:Tag>Kha19</b:Tag>
    <b:SourceType>JournalArticle</b:SourceType>
    <b:Guid>{7490FD6F-6787-4650-B829-03B35C068F4C}</b:Guid>
    <b:Author>
      <b:Author>
        <b:NameList>
          <b:Person>
            <b:Last>Khan</b:Last>
            <b:First>S.A,</b:First>
            <b:Middle>et al.</b:Middle>
          </b:Person>
        </b:NameList>
      </b:Author>
    </b:Author>
    <b:Title>Cholangiocarcinoma: Epidemiology and Risk Factors</b:Title>
    <b:JournalName>Liver Int</b:JournalName>
    <b:Year>2019</b:Year>
    <b:Pages>19-31</b:Pages>
    <b:Volume>39</b:Volume>
    <b:Issue>Suppl 1</b:Issue>
    <b:RefOrder>12</b:RefOrder>
  </b:Source>
  <b:Source>
    <b:Tag>Ale22</b:Tag>
    <b:SourceType>JournalArticle</b:SourceType>
    <b:Guid>{3B41C757-1A5C-4D84-8124-C2346B56ED45}</b:Guid>
    <b:Author>
      <b:Author>
        <b:NameList>
          <b:Person>
            <b:Last>Elvevi</b:Last>
            <b:First>A</b:First>
          </b:Person>
          <b:Person>
            <b:Last>Laffusa</b:Last>
            <b:First>A</b:First>
          </b:Person>
          <b:Person>
            <b:Last>Scaravaglio</b:Last>
            <b:First>M</b:First>
          </b:Person>
          <b:Person>
            <b:Last>Rossi</b:Last>
            <b:First>RE</b:First>
          </b:Person>
          <b:Person>
            <b:Last>Longarini</b:Last>
            <b:First>R.</b:First>
          </b:Person>
        </b:NameList>
      </b:Author>
    </b:Author>
    <b:Title>Clinical treatment of cholangiocarcinoma: an updated comprehensive</b:Title>
    <b:JournalName>Annals of Hepatology</b:JournalName>
    <b:Year>2022</b:Year>
    <b:Volume>100737</b:Volume>
    <b:RefOrder>1</b:RefOrder>
  </b:Source>
  <b:Source>
    <b:Tag>ESM221</b:Tag>
    <b:SourceType>JournalArticle</b:SourceType>
    <b:Guid>{47EF21D9-1ED4-450B-B76B-C7643A049C62}</b:Guid>
    <b:Author>
      <b:Author>
        <b:Corporate>ESMO</b:Corporate>
      </b:Author>
    </b:Author>
    <b:Title>Biliary tract cancer: ESMO Clinical Practice Guideline for diagnosis, treatment and follow-up</b:Title>
    <b:JournalName>Annals of Oncology</b:JournalName>
    <b:Year>2023</b:Year>
    <b:Pages>127-140</b:Pages>
    <b:Volume>34</b:Volume>
    <b:Issue>2</b:Issue>
    <b:RefOrder>2</b:RefOrder>
  </b:Source>
  <b:Source>
    <b:Tag>Can21</b:Tag>
    <b:SourceType>Report</b:SourceType>
    <b:Guid>{9646DA0E-27BD-4FEB-96A9-F2A4177682B3}</b:Guid>
    <b:Author>
      <b:Author>
        <b:Corporate>Cancer Council Victoria and Department of Health Victoria</b:Corporate>
      </b:Author>
    </b:Author>
    <b:Title>Optimal care pathway for people with breast cancer: Second Edition</b:Title>
    <b:Year>2021</b:Year>
    <b:YearAccessed>2024</b:YearAccessed>
    <b:MonthAccessed>March</b:MonthAccessed>
    <b:DayAccessed>12</b:DayAccessed>
    <b:URL>https://www.cancer.org.au/assets/pdf/breast-cancer-optimal-cancer-care-pathway</b:URL>
    <b:Publisher>Cancer Council Victoria</b:Publisher>
    <b:City>Melbourne</b:City>
    <b:RefOrder>5</b:RefOrder>
  </b:Source>
  <b:Source>
    <b:Tag>NCC231</b:Tag>
    <b:SourceType>JournalArticle</b:SourceType>
    <b:Guid>{322A88FD-CB77-4C3B-8992-2769E696E82C}</b:Guid>
    <b:Author>
      <b:Author>
        <b:Corporate>NCCN</b:Corporate>
      </b:Author>
    </b:Author>
    <b:Title>Biliary Tract Cancers Version 3.2023</b:Title>
    <b:Year>2023</b:Year>
    <b:RefOrder>6</b:RefOrder>
  </b:Source>
  <b:Source>
    <b:Tag>Goy23</b:Tag>
    <b:SourceType>JournalArticle</b:SourceType>
    <b:Guid>{0D284061-B7F2-4097-BE5A-BDFCD1BF71B5}</b:Guid>
    <b:Author>
      <b:Author>
        <b:NameList>
          <b:Person>
            <b:Last>Goyal</b:Last>
            <b:First>L</b:First>
          </b:Person>
          <b:Person>
            <b:Last>Meric‑Bernstam</b:Last>
            <b:First>F</b:First>
          </b:Person>
          <b:Person>
            <b:Last>Hollebecque</b:Last>
            <b:First>A</b:First>
          </b:Person>
          <b:Person>
            <b:Last>Valle</b:Last>
            <b:First>JW</b:First>
          </b:Person>
          <b:Person>
            <b:Last>Morizane</b:Last>
            <b:First>C.</b:First>
          </b:Person>
        </b:NameList>
      </b:Author>
    </b:Author>
    <b:Title>Futibatinib for FGFR2-Rearranged Intrahepatic Cholangiocarcinoma</b:Title>
    <b:JournalName>N Engl J Med</b:JournalName>
    <b:Year>2023</b:Year>
    <b:Pages>228-39</b:Pages>
    <b:Volume>388</b:Volume>
    <b:RefOrder>10</b:RefOrder>
  </b:Source>
  <b:Source>
    <b:Tag>AGI23</b:Tag>
    <b:SourceType>InternetSite</b:SourceType>
    <b:Guid>{D88DAC33-3279-41BB-BCEC-3735A8FB79D5}</b:Guid>
    <b:Title>What is cholangiocarcinoma?</b:Title>
    <b:Year>2023</b:Year>
    <b:Author>
      <b:Author>
        <b:Corporate>AGITG</b:Corporate>
      </b:Author>
    </b:Author>
    <b:URL>https://gicancer.org.au/news/what-is-cholangiocarcinoma/</b:URL>
    <b:RefOrder>3</b:RefOrder>
  </b:Source>
  <b:Source>
    <b:Tag>Rot23</b:Tag>
    <b:SourceType>JournalArticle</b:SourceType>
    <b:Guid>{A26B2CE8-9819-4896-8629-53148B9A0723}</b:Guid>
    <b:Author>
      <b:Author>
        <b:NameList>
          <b:Person>
            <b:Last>Roth</b:Last>
            <b:First>GS</b:First>
          </b:Person>
          <b:Person>
            <b:Last>Neuzillet</b:Last>
            <b:First>C</b:First>
          </b:Person>
          <b:Person>
            <b:Last>Sarabi</b:Last>
            <b:First>M</b:First>
          </b:Person>
          <b:Person>
            <b:Last>Edeline</b:Last>
            <b:First>J</b:First>
          </b:Person>
          <b:Person>
            <b:Last>Malka</b:Last>
            <b:First>D</b:First>
          </b:Person>
          <b:Person>
            <b:Last>Livre</b:Last>
            <b:First>A.</b:First>
          </b:Person>
        </b:NameList>
      </b:Author>
    </b:Author>
    <b:Title>Cholangiocarcinoma: what are the options in all comers and how has the advent of molecular profiling opened the way to personalized medicine?</b:Title>
    <b:Year>2023</b:Year>
    <b:JournalName>Eur J Cancer</b:JournalName>
    <b:Pages>1-14</b:Pages>
    <b:Volume>179</b:Volume>
    <b:RefOrder>4</b:RefOrder>
  </b:Source>
  <b:Source>
    <b:Tag>PanND</b:Tag>
    <b:SourceType>InternetSite</b:SourceType>
    <b:Guid>{1CD78EF3-75F0-4973-ACA5-B73ECE626FFF}</b:Guid>
    <b:Author>
      <b:Author>
        <b:Corporate>Pancare Foundation</b:Corporate>
      </b:Author>
    </b:Author>
    <b:Title>Biliary cancer diagnosis</b:Title>
    <b:Year>N.D</b:Year>
    <b:URL>https://www.pancare.org.au/cancer/biliary-cancer/diagnosing-biliary-cancer/</b:URL>
    <b:RefOrder>7</b:RefOrder>
  </b:Source>
  <b:Source>
    <b:Tag>Rar23</b:Tag>
    <b:SourceType>InternetSite</b:SourceType>
    <b:Guid>{27E29411-AA2C-4DBC-ACBD-4FDAB2542DFB}</b:Guid>
    <b:Author>
      <b:Author>
        <b:Corporate>Rare Cancers Australia</b:Corporate>
      </b:Author>
    </b:Author>
    <b:Title>Cholangiocarcinoma (Bile Duct Cancer)</b:Title>
    <b:Year>2023</b:Year>
    <b:URL>https://knowledge.rarecancers.org.au/knowledgebase/cancer-types/267/cholangiocarcinoma</b:URL>
    <b:RefOrder>8</b:RefOrder>
  </b:Source>
  <b:Source>
    <b:Tag>Can201</b:Tag>
    <b:SourceType>InternetSite</b:SourceType>
    <b:Guid>{00A598F5-DB59-42C3-A551-A2DC9081F007}</b:Guid>
    <b:Author>
      <b:Author>
        <b:Corporate>Cancer Council NSW</b:Corporate>
      </b:Author>
    </b:Author>
    <b:Title>Bile duct cancer (cholangiocarcinoma)</b:Title>
    <b:Year>2020</b:Year>
    <b:URL>https://www.cancercouncil.com.au/bile-duct-cancer/</b:URL>
    <b:RefOrder>9</b:RefOrder>
  </b:Source>
</b:Sources>
</file>

<file path=customXml/itemProps1.xml><?xml version="1.0" encoding="utf-8"?>
<ds:datastoreItem xmlns:ds="http://schemas.openxmlformats.org/officeDocument/2006/customXml" ds:itemID="{B7479244-5B91-41C6-967F-866F210C7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5432</Words>
  <Characters>30963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1779 Application PICO Set</dc:title>
  <dc:subject/>
  <dc:creator/>
  <cp:keywords/>
  <dc:description/>
  <cp:lastModifiedBy/>
  <cp:revision>1</cp:revision>
  <dcterms:created xsi:type="dcterms:W3CDTF">2024-05-20T06:56:00Z</dcterms:created>
  <dcterms:modified xsi:type="dcterms:W3CDTF">2024-05-20T06:57:00Z</dcterms:modified>
</cp:coreProperties>
</file>