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23595" w14:textId="77777777" w:rsidR="0005552C" w:rsidRDefault="0005552C" w:rsidP="00C40CCC">
      <w:pPr>
        <w:tabs>
          <w:tab w:val="left" w:pos="2410"/>
        </w:tabs>
        <w:spacing w:before="1600"/>
      </w:pPr>
      <w:bookmarkStart w:id="0" w:name="_Toc279153756"/>
      <w:bookmarkStart w:id="1" w:name="_GoBack"/>
      <w:bookmarkEnd w:id="1"/>
    </w:p>
    <w:p w14:paraId="42CE8ED0" w14:textId="77777777" w:rsidR="0005552C" w:rsidRPr="0029008A" w:rsidRDefault="0005552C" w:rsidP="0005552C">
      <w:pPr>
        <w:pBdr>
          <w:top w:val="single" w:sz="36" w:space="1" w:color="365F91" w:themeColor="accent1" w:themeShade="BF"/>
        </w:pBdr>
        <w:spacing w:before="480"/>
        <w:ind w:left="4253"/>
      </w:pPr>
    </w:p>
    <w:p w14:paraId="09499ACE" w14:textId="77777777" w:rsidR="0005552C" w:rsidRDefault="0005552C" w:rsidP="0005552C">
      <w:pPr>
        <w:spacing w:before="240"/>
        <w:ind w:left="4253"/>
        <w:rPr>
          <w:sz w:val="44"/>
          <w:szCs w:val="44"/>
        </w:rPr>
      </w:pPr>
      <w:r>
        <w:rPr>
          <w:sz w:val="44"/>
          <w:szCs w:val="44"/>
        </w:rPr>
        <w:t>Draft protocol to guide the assessment of C1 esterase inhibitor for hereditary angioedema</w:t>
      </w:r>
    </w:p>
    <w:p w14:paraId="67C4911F" w14:textId="77777777" w:rsidR="0005552C" w:rsidRPr="00615FC6" w:rsidRDefault="0005552C" w:rsidP="0005552C">
      <w:pPr>
        <w:spacing w:before="360"/>
        <w:ind w:left="4253"/>
        <w:rPr>
          <w:sz w:val="32"/>
          <w:szCs w:val="32"/>
        </w:rPr>
      </w:pPr>
      <w:r w:rsidRPr="00615FC6">
        <w:rPr>
          <w:sz w:val="32"/>
          <w:szCs w:val="32"/>
        </w:rPr>
        <w:t>National Blood Agreement</w:t>
      </w:r>
    </w:p>
    <w:p w14:paraId="7B004C9E" w14:textId="77777777" w:rsidR="0005552C" w:rsidRPr="00615FC6" w:rsidRDefault="0005552C" w:rsidP="0005552C">
      <w:pPr>
        <w:ind w:left="4253"/>
        <w:rPr>
          <w:sz w:val="32"/>
          <w:szCs w:val="32"/>
        </w:rPr>
      </w:pPr>
      <w:r w:rsidRPr="00615FC6">
        <w:rPr>
          <w:sz w:val="32"/>
          <w:szCs w:val="32"/>
        </w:rPr>
        <w:t>Schedule 4</w:t>
      </w:r>
    </w:p>
    <w:p w14:paraId="55883AFD" w14:textId="77777777" w:rsidR="0005552C" w:rsidRPr="0029008A" w:rsidRDefault="0005552C" w:rsidP="0005552C">
      <w:pPr>
        <w:pBdr>
          <w:top w:val="single" w:sz="36" w:space="2" w:color="365F91" w:themeColor="accent1" w:themeShade="BF"/>
        </w:pBdr>
        <w:tabs>
          <w:tab w:val="left" w:pos="1155"/>
        </w:tabs>
        <w:spacing w:before="480"/>
        <w:ind w:left="4253"/>
      </w:pPr>
    </w:p>
    <w:p w14:paraId="664BE3D5" w14:textId="0CA063B4" w:rsidR="0005552C" w:rsidRPr="00615FC6" w:rsidRDefault="00396422" w:rsidP="0005552C">
      <w:pPr>
        <w:tabs>
          <w:tab w:val="left" w:pos="5445"/>
        </w:tabs>
        <w:spacing w:before="120"/>
        <w:ind w:left="4253"/>
        <w:rPr>
          <w:sz w:val="32"/>
          <w:szCs w:val="32"/>
        </w:rPr>
      </w:pPr>
      <w:r>
        <w:rPr>
          <w:sz w:val="32"/>
          <w:szCs w:val="32"/>
        </w:rPr>
        <w:t>03</w:t>
      </w:r>
      <w:r w:rsidR="007274BA">
        <w:rPr>
          <w:sz w:val="32"/>
          <w:szCs w:val="32"/>
        </w:rPr>
        <w:t xml:space="preserve"> </w:t>
      </w:r>
      <w:r>
        <w:rPr>
          <w:sz w:val="32"/>
          <w:szCs w:val="32"/>
        </w:rPr>
        <w:t>Octo</w:t>
      </w:r>
      <w:r w:rsidR="007274BA">
        <w:rPr>
          <w:sz w:val="32"/>
          <w:szCs w:val="32"/>
        </w:rPr>
        <w:t>ber</w:t>
      </w:r>
      <w:r w:rsidR="0005552C" w:rsidRPr="00615FC6">
        <w:rPr>
          <w:sz w:val="32"/>
          <w:szCs w:val="32"/>
        </w:rPr>
        <w:t xml:space="preserve"> 2014</w:t>
      </w:r>
    </w:p>
    <w:p w14:paraId="0870601D" w14:textId="77777777" w:rsidR="0005552C" w:rsidRDefault="0005552C" w:rsidP="0005552C">
      <w:pPr>
        <w:pBdr>
          <w:top w:val="single" w:sz="36" w:space="2" w:color="365F91" w:themeColor="accent1" w:themeShade="BF"/>
        </w:pBdr>
        <w:tabs>
          <w:tab w:val="left" w:pos="1410"/>
        </w:tabs>
        <w:spacing w:before="360"/>
        <w:ind w:left="4253"/>
      </w:pPr>
    </w:p>
    <w:p w14:paraId="5A23E411" w14:textId="77777777" w:rsidR="0005552C" w:rsidRPr="00A34E9C" w:rsidRDefault="0005552C" w:rsidP="0005552C">
      <w:pPr>
        <w:pStyle w:val="TOCHeading0"/>
      </w:pPr>
      <w:r w:rsidRPr="00A34E9C">
        <w:br w:type="page"/>
      </w:r>
      <w:r w:rsidRPr="00A34E9C">
        <w:lastRenderedPageBreak/>
        <w:t>Table of Contents</w:t>
      </w:r>
    </w:p>
    <w:p w14:paraId="50FFD842" w14:textId="77777777" w:rsidR="009F5B36" w:rsidRDefault="0005552C">
      <w:pPr>
        <w:pStyle w:val="TOC1"/>
        <w:rPr>
          <w:rFonts w:asciiTheme="minorHAnsi" w:eastAsiaTheme="minorEastAsia" w:hAnsiTheme="minorHAnsi" w:cstheme="minorBidi"/>
          <w:b w:val="0"/>
          <w:sz w:val="22"/>
          <w:szCs w:val="22"/>
          <w:lang w:val="en-US" w:eastAsia="en-US"/>
        </w:rPr>
      </w:pPr>
      <w:r>
        <w:fldChar w:fldCharType="begin"/>
      </w:r>
      <w:r>
        <w:instrText xml:space="preserve"> TOC \o "1-3" \h \z \u \t "Heading 6,1,Heading 7,2,Heading 8,3" </w:instrText>
      </w:r>
      <w:r>
        <w:fldChar w:fldCharType="separate"/>
      </w:r>
      <w:hyperlink w:anchor="_Toc400097914" w:history="1">
        <w:r w:rsidR="009F5B36" w:rsidRPr="00944C4D">
          <w:rPr>
            <w:rStyle w:val="Hyperlink"/>
          </w:rPr>
          <w:t>National Blood Arrangements</w:t>
        </w:r>
        <w:r w:rsidR="009F5B36">
          <w:rPr>
            <w:webHidden/>
          </w:rPr>
          <w:tab/>
        </w:r>
        <w:r w:rsidR="009F5B36">
          <w:rPr>
            <w:webHidden/>
          </w:rPr>
          <w:fldChar w:fldCharType="begin"/>
        </w:r>
        <w:r w:rsidR="009F5B36">
          <w:rPr>
            <w:webHidden/>
          </w:rPr>
          <w:instrText xml:space="preserve"> PAGEREF _Toc400097914 \h </w:instrText>
        </w:r>
        <w:r w:rsidR="009F5B36">
          <w:rPr>
            <w:webHidden/>
          </w:rPr>
        </w:r>
        <w:r w:rsidR="009F5B36">
          <w:rPr>
            <w:webHidden/>
          </w:rPr>
          <w:fldChar w:fldCharType="separate"/>
        </w:r>
        <w:r w:rsidR="009F5B36">
          <w:rPr>
            <w:webHidden/>
          </w:rPr>
          <w:t>4</w:t>
        </w:r>
        <w:r w:rsidR="009F5B36">
          <w:rPr>
            <w:webHidden/>
          </w:rPr>
          <w:fldChar w:fldCharType="end"/>
        </w:r>
      </w:hyperlink>
    </w:p>
    <w:p w14:paraId="02183F69"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15" w:history="1">
        <w:r w:rsidR="009F5B36" w:rsidRPr="00944C4D">
          <w:rPr>
            <w:rStyle w:val="Hyperlink"/>
          </w:rPr>
          <w:t>MSAC and PASC</w:t>
        </w:r>
        <w:r w:rsidR="009F5B36">
          <w:rPr>
            <w:webHidden/>
          </w:rPr>
          <w:tab/>
        </w:r>
        <w:r w:rsidR="009F5B36">
          <w:rPr>
            <w:webHidden/>
          </w:rPr>
          <w:fldChar w:fldCharType="begin"/>
        </w:r>
        <w:r w:rsidR="009F5B36">
          <w:rPr>
            <w:webHidden/>
          </w:rPr>
          <w:instrText xml:space="preserve"> PAGEREF _Toc400097915 \h </w:instrText>
        </w:r>
        <w:r w:rsidR="009F5B36">
          <w:rPr>
            <w:webHidden/>
          </w:rPr>
        </w:r>
        <w:r w:rsidR="009F5B36">
          <w:rPr>
            <w:webHidden/>
          </w:rPr>
          <w:fldChar w:fldCharType="separate"/>
        </w:r>
        <w:r w:rsidR="009F5B36">
          <w:rPr>
            <w:webHidden/>
          </w:rPr>
          <w:t>5</w:t>
        </w:r>
        <w:r w:rsidR="009F5B36">
          <w:rPr>
            <w:webHidden/>
          </w:rPr>
          <w:fldChar w:fldCharType="end"/>
        </w:r>
      </w:hyperlink>
    </w:p>
    <w:p w14:paraId="7745540A"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16" w:history="1">
        <w:r w:rsidR="009F5B36" w:rsidRPr="00944C4D">
          <w:rPr>
            <w:rStyle w:val="Hyperlink"/>
          </w:rPr>
          <w:t>Purpose of this document</w:t>
        </w:r>
        <w:r w:rsidR="009F5B36">
          <w:rPr>
            <w:webHidden/>
          </w:rPr>
          <w:tab/>
        </w:r>
        <w:r w:rsidR="009F5B36">
          <w:rPr>
            <w:webHidden/>
          </w:rPr>
          <w:fldChar w:fldCharType="begin"/>
        </w:r>
        <w:r w:rsidR="009F5B36">
          <w:rPr>
            <w:webHidden/>
          </w:rPr>
          <w:instrText xml:space="preserve"> PAGEREF _Toc400097916 \h </w:instrText>
        </w:r>
        <w:r w:rsidR="009F5B36">
          <w:rPr>
            <w:webHidden/>
          </w:rPr>
        </w:r>
        <w:r w:rsidR="009F5B36">
          <w:rPr>
            <w:webHidden/>
          </w:rPr>
          <w:fldChar w:fldCharType="separate"/>
        </w:r>
        <w:r w:rsidR="009F5B36">
          <w:rPr>
            <w:webHidden/>
          </w:rPr>
          <w:t>5</w:t>
        </w:r>
        <w:r w:rsidR="009F5B36">
          <w:rPr>
            <w:webHidden/>
          </w:rPr>
          <w:fldChar w:fldCharType="end"/>
        </w:r>
      </w:hyperlink>
    </w:p>
    <w:p w14:paraId="39B60CFB"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17" w:history="1">
        <w:r w:rsidR="009F5B36" w:rsidRPr="00944C4D">
          <w:rPr>
            <w:rStyle w:val="Hyperlink"/>
          </w:rPr>
          <w:t>Purpose of application</w:t>
        </w:r>
        <w:r w:rsidR="009F5B36">
          <w:rPr>
            <w:webHidden/>
          </w:rPr>
          <w:tab/>
        </w:r>
        <w:r w:rsidR="009F5B36">
          <w:rPr>
            <w:webHidden/>
          </w:rPr>
          <w:fldChar w:fldCharType="begin"/>
        </w:r>
        <w:r w:rsidR="009F5B36">
          <w:rPr>
            <w:webHidden/>
          </w:rPr>
          <w:instrText xml:space="preserve"> PAGEREF _Toc400097917 \h </w:instrText>
        </w:r>
        <w:r w:rsidR="009F5B36">
          <w:rPr>
            <w:webHidden/>
          </w:rPr>
        </w:r>
        <w:r w:rsidR="009F5B36">
          <w:rPr>
            <w:webHidden/>
          </w:rPr>
          <w:fldChar w:fldCharType="separate"/>
        </w:r>
        <w:r w:rsidR="009F5B36">
          <w:rPr>
            <w:webHidden/>
          </w:rPr>
          <w:t>6</w:t>
        </w:r>
        <w:r w:rsidR="009F5B36">
          <w:rPr>
            <w:webHidden/>
          </w:rPr>
          <w:fldChar w:fldCharType="end"/>
        </w:r>
      </w:hyperlink>
    </w:p>
    <w:p w14:paraId="181CC1A4"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18" w:history="1">
        <w:r w:rsidR="009F5B36" w:rsidRPr="00944C4D">
          <w:rPr>
            <w:rStyle w:val="Hyperlink"/>
          </w:rPr>
          <w:t>Regulatory status and current arrangements for public reimbursement</w:t>
        </w:r>
        <w:r w:rsidR="009F5B36">
          <w:rPr>
            <w:webHidden/>
          </w:rPr>
          <w:tab/>
        </w:r>
        <w:r w:rsidR="009F5B36">
          <w:rPr>
            <w:webHidden/>
          </w:rPr>
          <w:fldChar w:fldCharType="begin"/>
        </w:r>
        <w:r w:rsidR="009F5B36">
          <w:rPr>
            <w:webHidden/>
          </w:rPr>
          <w:instrText xml:space="preserve"> PAGEREF _Toc400097918 \h </w:instrText>
        </w:r>
        <w:r w:rsidR="009F5B36">
          <w:rPr>
            <w:webHidden/>
          </w:rPr>
        </w:r>
        <w:r w:rsidR="009F5B36">
          <w:rPr>
            <w:webHidden/>
          </w:rPr>
          <w:fldChar w:fldCharType="separate"/>
        </w:r>
        <w:r w:rsidR="009F5B36">
          <w:rPr>
            <w:webHidden/>
          </w:rPr>
          <w:t>6</w:t>
        </w:r>
        <w:r w:rsidR="009F5B36">
          <w:rPr>
            <w:webHidden/>
          </w:rPr>
          <w:fldChar w:fldCharType="end"/>
        </w:r>
      </w:hyperlink>
    </w:p>
    <w:p w14:paraId="223D7CDB"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19" w:history="1">
        <w:r w:rsidR="009F5B36" w:rsidRPr="00944C4D">
          <w:rPr>
            <w:rStyle w:val="Hyperlink"/>
          </w:rPr>
          <w:t>Clinical condition</w:t>
        </w:r>
        <w:r w:rsidR="009F5B36">
          <w:rPr>
            <w:webHidden/>
          </w:rPr>
          <w:tab/>
        </w:r>
        <w:r w:rsidR="009F5B36">
          <w:rPr>
            <w:webHidden/>
          </w:rPr>
          <w:fldChar w:fldCharType="begin"/>
        </w:r>
        <w:r w:rsidR="009F5B36">
          <w:rPr>
            <w:webHidden/>
          </w:rPr>
          <w:instrText xml:space="preserve"> PAGEREF _Toc400097919 \h </w:instrText>
        </w:r>
        <w:r w:rsidR="009F5B36">
          <w:rPr>
            <w:webHidden/>
          </w:rPr>
        </w:r>
        <w:r w:rsidR="009F5B36">
          <w:rPr>
            <w:webHidden/>
          </w:rPr>
          <w:fldChar w:fldCharType="separate"/>
        </w:r>
        <w:r w:rsidR="009F5B36">
          <w:rPr>
            <w:webHidden/>
          </w:rPr>
          <w:t>6</w:t>
        </w:r>
        <w:r w:rsidR="009F5B36">
          <w:rPr>
            <w:webHidden/>
          </w:rPr>
          <w:fldChar w:fldCharType="end"/>
        </w:r>
      </w:hyperlink>
    </w:p>
    <w:p w14:paraId="2BEBB3F4" w14:textId="77777777" w:rsidR="009F5B36" w:rsidRDefault="00EA5D58">
      <w:pPr>
        <w:pStyle w:val="TOC2"/>
        <w:rPr>
          <w:rFonts w:asciiTheme="minorHAnsi" w:eastAsiaTheme="minorEastAsia" w:hAnsiTheme="minorHAnsi" w:cstheme="minorBidi"/>
          <w:sz w:val="22"/>
          <w:szCs w:val="22"/>
          <w:lang w:val="en-US"/>
        </w:rPr>
      </w:pPr>
      <w:hyperlink w:anchor="_Toc400097920" w:history="1">
        <w:r w:rsidR="009F5B36" w:rsidRPr="00944C4D">
          <w:rPr>
            <w:rStyle w:val="Hyperlink"/>
          </w:rPr>
          <w:t>Description of clinical condition</w:t>
        </w:r>
        <w:r w:rsidR="009F5B36">
          <w:rPr>
            <w:webHidden/>
          </w:rPr>
          <w:tab/>
        </w:r>
        <w:r w:rsidR="009F5B36">
          <w:rPr>
            <w:webHidden/>
          </w:rPr>
          <w:fldChar w:fldCharType="begin"/>
        </w:r>
        <w:r w:rsidR="009F5B36">
          <w:rPr>
            <w:webHidden/>
          </w:rPr>
          <w:instrText xml:space="preserve"> PAGEREF _Toc400097920 \h </w:instrText>
        </w:r>
        <w:r w:rsidR="009F5B36">
          <w:rPr>
            <w:webHidden/>
          </w:rPr>
        </w:r>
        <w:r w:rsidR="009F5B36">
          <w:rPr>
            <w:webHidden/>
          </w:rPr>
          <w:fldChar w:fldCharType="separate"/>
        </w:r>
        <w:r w:rsidR="009F5B36">
          <w:rPr>
            <w:webHidden/>
          </w:rPr>
          <w:t>6</w:t>
        </w:r>
        <w:r w:rsidR="009F5B36">
          <w:rPr>
            <w:webHidden/>
          </w:rPr>
          <w:fldChar w:fldCharType="end"/>
        </w:r>
      </w:hyperlink>
    </w:p>
    <w:p w14:paraId="0C635BAE" w14:textId="77777777" w:rsidR="009F5B36" w:rsidRDefault="00EA5D58">
      <w:pPr>
        <w:pStyle w:val="TOC2"/>
        <w:rPr>
          <w:rFonts w:asciiTheme="minorHAnsi" w:eastAsiaTheme="minorEastAsia" w:hAnsiTheme="minorHAnsi" w:cstheme="minorBidi"/>
          <w:sz w:val="22"/>
          <w:szCs w:val="22"/>
          <w:lang w:val="en-US"/>
        </w:rPr>
      </w:pPr>
      <w:hyperlink w:anchor="_Toc400097921" w:history="1">
        <w:r w:rsidR="009F5B36" w:rsidRPr="00944C4D">
          <w:rPr>
            <w:rStyle w:val="Hyperlink"/>
          </w:rPr>
          <w:t>Types and pathogenesis of HAE</w:t>
        </w:r>
        <w:r w:rsidR="009F5B36">
          <w:rPr>
            <w:webHidden/>
          </w:rPr>
          <w:tab/>
        </w:r>
        <w:r w:rsidR="009F5B36">
          <w:rPr>
            <w:webHidden/>
          </w:rPr>
          <w:fldChar w:fldCharType="begin"/>
        </w:r>
        <w:r w:rsidR="009F5B36">
          <w:rPr>
            <w:webHidden/>
          </w:rPr>
          <w:instrText xml:space="preserve"> PAGEREF _Toc400097921 \h </w:instrText>
        </w:r>
        <w:r w:rsidR="009F5B36">
          <w:rPr>
            <w:webHidden/>
          </w:rPr>
        </w:r>
        <w:r w:rsidR="009F5B36">
          <w:rPr>
            <w:webHidden/>
          </w:rPr>
          <w:fldChar w:fldCharType="separate"/>
        </w:r>
        <w:r w:rsidR="009F5B36">
          <w:rPr>
            <w:webHidden/>
          </w:rPr>
          <w:t>7</w:t>
        </w:r>
        <w:r w:rsidR="009F5B36">
          <w:rPr>
            <w:webHidden/>
          </w:rPr>
          <w:fldChar w:fldCharType="end"/>
        </w:r>
      </w:hyperlink>
    </w:p>
    <w:p w14:paraId="5AC0D2FD" w14:textId="77777777" w:rsidR="009F5B36" w:rsidRDefault="00EA5D58">
      <w:pPr>
        <w:pStyle w:val="TOC3"/>
        <w:rPr>
          <w:rFonts w:asciiTheme="minorHAnsi" w:eastAsiaTheme="minorEastAsia" w:hAnsiTheme="minorHAnsi" w:cstheme="minorBidi"/>
          <w:sz w:val="22"/>
          <w:szCs w:val="22"/>
          <w:lang w:val="en-US"/>
        </w:rPr>
      </w:pPr>
      <w:hyperlink w:anchor="_Toc400097922" w:history="1">
        <w:r w:rsidR="009F5B36" w:rsidRPr="00944C4D">
          <w:rPr>
            <w:rStyle w:val="Hyperlink"/>
            <w:rFonts w:eastAsia="Times New Roman"/>
          </w:rPr>
          <w:t>Acquired C1-INH deficiency</w:t>
        </w:r>
        <w:r w:rsidR="009F5B36">
          <w:rPr>
            <w:webHidden/>
          </w:rPr>
          <w:tab/>
        </w:r>
        <w:r w:rsidR="009F5B36">
          <w:rPr>
            <w:webHidden/>
          </w:rPr>
          <w:fldChar w:fldCharType="begin"/>
        </w:r>
        <w:r w:rsidR="009F5B36">
          <w:rPr>
            <w:webHidden/>
          </w:rPr>
          <w:instrText xml:space="preserve"> PAGEREF _Toc400097922 \h </w:instrText>
        </w:r>
        <w:r w:rsidR="009F5B36">
          <w:rPr>
            <w:webHidden/>
          </w:rPr>
        </w:r>
        <w:r w:rsidR="009F5B36">
          <w:rPr>
            <w:webHidden/>
          </w:rPr>
          <w:fldChar w:fldCharType="separate"/>
        </w:r>
        <w:r w:rsidR="009F5B36">
          <w:rPr>
            <w:webHidden/>
          </w:rPr>
          <w:t>7</w:t>
        </w:r>
        <w:r w:rsidR="009F5B36">
          <w:rPr>
            <w:webHidden/>
          </w:rPr>
          <w:fldChar w:fldCharType="end"/>
        </w:r>
      </w:hyperlink>
    </w:p>
    <w:p w14:paraId="326B1744" w14:textId="77777777" w:rsidR="009F5B36" w:rsidRDefault="00EA5D58">
      <w:pPr>
        <w:pStyle w:val="TOC2"/>
        <w:rPr>
          <w:rFonts w:asciiTheme="minorHAnsi" w:eastAsiaTheme="minorEastAsia" w:hAnsiTheme="minorHAnsi" w:cstheme="minorBidi"/>
          <w:sz w:val="22"/>
          <w:szCs w:val="22"/>
          <w:lang w:val="en-US"/>
        </w:rPr>
      </w:pPr>
      <w:hyperlink w:anchor="_Toc400097923" w:history="1">
        <w:r w:rsidR="009F5B36" w:rsidRPr="00944C4D">
          <w:rPr>
            <w:rStyle w:val="Hyperlink"/>
          </w:rPr>
          <w:t>Diagnosis of HAE</w:t>
        </w:r>
        <w:r w:rsidR="009F5B36">
          <w:rPr>
            <w:webHidden/>
          </w:rPr>
          <w:tab/>
        </w:r>
        <w:r w:rsidR="009F5B36">
          <w:rPr>
            <w:webHidden/>
          </w:rPr>
          <w:fldChar w:fldCharType="begin"/>
        </w:r>
        <w:r w:rsidR="009F5B36">
          <w:rPr>
            <w:webHidden/>
          </w:rPr>
          <w:instrText xml:space="preserve"> PAGEREF _Toc400097923 \h </w:instrText>
        </w:r>
        <w:r w:rsidR="009F5B36">
          <w:rPr>
            <w:webHidden/>
          </w:rPr>
        </w:r>
        <w:r w:rsidR="009F5B36">
          <w:rPr>
            <w:webHidden/>
          </w:rPr>
          <w:fldChar w:fldCharType="separate"/>
        </w:r>
        <w:r w:rsidR="009F5B36">
          <w:rPr>
            <w:webHidden/>
          </w:rPr>
          <w:t>7</w:t>
        </w:r>
        <w:r w:rsidR="009F5B36">
          <w:rPr>
            <w:webHidden/>
          </w:rPr>
          <w:fldChar w:fldCharType="end"/>
        </w:r>
      </w:hyperlink>
    </w:p>
    <w:p w14:paraId="51685FFF" w14:textId="77777777" w:rsidR="009F5B36" w:rsidRDefault="00EA5D58">
      <w:pPr>
        <w:pStyle w:val="TOC3"/>
        <w:rPr>
          <w:rFonts w:asciiTheme="minorHAnsi" w:eastAsiaTheme="minorEastAsia" w:hAnsiTheme="minorHAnsi" w:cstheme="minorBidi"/>
          <w:sz w:val="22"/>
          <w:szCs w:val="22"/>
          <w:lang w:val="en-US"/>
        </w:rPr>
      </w:pPr>
      <w:hyperlink w:anchor="_Toc400097924" w:history="1">
        <w:r w:rsidR="009F5B36" w:rsidRPr="00944C4D">
          <w:rPr>
            <w:rStyle w:val="Hyperlink"/>
          </w:rPr>
          <w:t>Genetic testing</w:t>
        </w:r>
        <w:r w:rsidR="009F5B36">
          <w:rPr>
            <w:webHidden/>
          </w:rPr>
          <w:tab/>
        </w:r>
        <w:r w:rsidR="009F5B36">
          <w:rPr>
            <w:webHidden/>
          </w:rPr>
          <w:fldChar w:fldCharType="begin"/>
        </w:r>
        <w:r w:rsidR="009F5B36">
          <w:rPr>
            <w:webHidden/>
          </w:rPr>
          <w:instrText xml:space="preserve"> PAGEREF _Toc400097924 \h </w:instrText>
        </w:r>
        <w:r w:rsidR="009F5B36">
          <w:rPr>
            <w:webHidden/>
          </w:rPr>
        </w:r>
        <w:r w:rsidR="009F5B36">
          <w:rPr>
            <w:webHidden/>
          </w:rPr>
          <w:fldChar w:fldCharType="separate"/>
        </w:r>
        <w:r w:rsidR="009F5B36">
          <w:rPr>
            <w:webHidden/>
          </w:rPr>
          <w:t>7</w:t>
        </w:r>
        <w:r w:rsidR="009F5B36">
          <w:rPr>
            <w:webHidden/>
          </w:rPr>
          <w:fldChar w:fldCharType="end"/>
        </w:r>
      </w:hyperlink>
    </w:p>
    <w:p w14:paraId="2C37A0BD" w14:textId="77777777" w:rsidR="009F5B36" w:rsidRDefault="00EA5D58">
      <w:pPr>
        <w:pStyle w:val="TOC2"/>
        <w:rPr>
          <w:rFonts w:asciiTheme="minorHAnsi" w:eastAsiaTheme="minorEastAsia" w:hAnsiTheme="minorHAnsi" w:cstheme="minorBidi"/>
          <w:sz w:val="22"/>
          <w:szCs w:val="22"/>
          <w:lang w:val="en-US"/>
        </w:rPr>
      </w:pPr>
      <w:hyperlink w:anchor="_Toc400097925" w:history="1">
        <w:r w:rsidR="009F5B36" w:rsidRPr="00944C4D">
          <w:rPr>
            <w:rStyle w:val="Hyperlink"/>
          </w:rPr>
          <w:t>Epidemiology in Australia</w:t>
        </w:r>
        <w:r w:rsidR="009F5B36">
          <w:rPr>
            <w:webHidden/>
          </w:rPr>
          <w:tab/>
        </w:r>
        <w:r w:rsidR="009F5B36">
          <w:rPr>
            <w:webHidden/>
          </w:rPr>
          <w:fldChar w:fldCharType="begin"/>
        </w:r>
        <w:r w:rsidR="009F5B36">
          <w:rPr>
            <w:webHidden/>
          </w:rPr>
          <w:instrText xml:space="preserve"> PAGEREF _Toc400097925 \h </w:instrText>
        </w:r>
        <w:r w:rsidR="009F5B36">
          <w:rPr>
            <w:webHidden/>
          </w:rPr>
        </w:r>
        <w:r w:rsidR="009F5B36">
          <w:rPr>
            <w:webHidden/>
          </w:rPr>
          <w:fldChar w:fldCharType="separate"/>
        </w:r>
        <w:r w:rsidR="009F5B36">
          <w:rPr>
            <w:webHidden/>
          </w:rPr>
          <w:t>8</w:t>
        </w:r>
        <w:r w:rsidR="009F5B36">
          <w:rPr>
            <w:webHidden/>
          </w:rPr>
          <w:fldChar w:fldCharType="end"/>
        </w:r>
      </w:hyperlink>
    </w:p>
    <w:p w14:paraId="6D1E4A19"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26" w:history="1">
        <w:r w:rsidR="009F5B36" w:rsidRPr="00944C4D">
          <w:rPr>
            <w:rStyle w:val="Hyperlink"/>
          </w:rPr>
          <w:t>Management of HAE in Australia</w:t>
        </w:r>
        <w:r w:rsidR="009F5B36">
          <w:rPr>
            <w:webHidden/>
          </w:rPr>
          <w:tab/>
        </w:r>
        <w:r w:rsidR="009F5B36">
          <w:rPr>
            <w:webHidden/>
          </w:rPr>
          <w:fldChar w:fldCharType="begin"/>
        </w:r>
        <w:r w:rsidR="009F5B36">
          <w:rPr>
            <w:webHidden/>
          </w:rPr>
          <w:instrText xml:space="preserve"> PAGEREF _Toc400097926 \h </w:instrText>
        </w:r>
        <w:r w:rsidR="009F5B36">
          <w:rPr>
            <w:webHidden/>
          </w:rPr>
        </w:r>
        <w:r w:rsidR="009F5B36">
          <w:rPr>
            <w:webHidden/>
          </w:rPr>
          <w:fldChar w:fldCharType="separate"/>
        </w:r>
        <w:r w:rsidR="009F5B36">
          <w:rPr>
            <w:webHidden/>
          </w:rPr>
          <w:t>8</w:t>
        </w:r>
        <w:r w:rsidR="009F5B36">
          <w:rPr>
            <w:webHidden/>
          </w:rPr>
          <w:fldChar w:fldCharType="end"/>
        </w:r>
      </w:hyperlink>
    </w:p>
    <w:p w14:paraId="3E0DA050" w14:textId="77777777" w:rsidR="009F5B36" w:rsidRDefault="00EA5D58">
      <w:pPr>
        <w:pStyle w:val="TOC2"/>
        <w:rPr>
          <w:rFonts w:asciiTheme="minorHAnsi" w:eastAsiaTheme="minorEastAsia" w:hAnsiTheme="minorHAnsi" w:cstheme="minorBidi"/>
          <w:sz w:val="22"/>
          <w:szCs w:val="22"/>
          <w:lang w:val="en-US"/>
        </w:rPr>
      </w:pPr>
      <w:hyperlink w:anchor="_Toc400097927" w:history="1">
        <w:r w:rsidR="009F5B36" w:rsidRPr="00944C4D">
          <w:rPr>
            <w:rStyle w:val="Hyperlink"/>
          </w:rPr>
          <w:t>Description of HAE interventions</w:t>
        </w:r>
        <w:r w:rsidR="009F5B36">
          <w:rPr>
            <w:webHidden/>
          </w:rPr>
          <w:tab/>
        </w:r>
        <w:r w:rsidR="009F5B36">
          <w:rPr>
            <w:webHidden/>
          </w:rPr>
          <w:fldChar w:fldCharType="begin"/>
        </w:r>
        <w:r w:rsidR="009F5B36">
          <w:rPr>
            <w:webHidden/>
          </w:rPr>
          <w:instrText xml:space="preserve"> PAGEREF _Toc400097927 \h </w:instrText>
        </w:r>
        <w:r w:rsidR="009F5B36">
          <w:rPr>
            <w:webHidden/>
          </w:rPr>
        </w:r>
        <w:r w:rsidR="009F5B36">
          <w:rPr>
            <w:webHidden/>
          </w:rPr>
          <w:fldChar w:fldCharType="separate"/>
        </w:r>
        <w:r w:rsidR="009F5B36">
          <w:rPr>
            <w:webHidden/>
          </w:rPr>
          <w:t>8</w:t>
        </w:r>
        <w:r w:rsidR="009F5B36">
          <w:rPr>
            <w:webHidden/>
          </w:rPr>
          <w:fldChar w:fldCharType="end"/>
        </w:r>
      </w:hyperlink>
    </w:p>
    <w:p w14:paraId="2BCBE106" w14:textId="77777777" w:rsidR="009F5B36" w:rsidRDefault="00EA5D58">
      <w:pPr>
        <w:pStyle w:val="TOC3"/>
        <w:rPr>
          <w:rFonts w:asciiTheme="minorHAnsi" w:eastAsiaTheme="minorEastAsia" w:hAnsiTheme="minorHAnsi" w:cstheme="minorBidi"/>
          <w:sz w:val="22"/>
          <w:szCs w:val="22"/>
          <w:lang w:val="en-US"/>
        </w:rPr>
      </w:pPr>
      <w:hyperlink w:anchor="_Toc400097928" w:history="1">
        <w:r w:rsidR="009F5B36" w:rsidRPr="00944C4D">
          <w:rPr>
            <w:rStyle w:val="Hyperlink"/>
          </w:rPr>
          <w:t>Attenuated androgens and anti-fibrinolytics</w:t>
        </w:r>
        <w:r w:rsidR="009F5B36">
          <w:rPr>
            <w:webHidden/>
          </w:rPr>
          <w:tab/>
        </w:r>
        <w:r w:rsidR="009F5B36">
          <w:rPr>
            <w:webHidden/>
          </w:rPr>
          <w:fldChar w:fldCharType="begin"/>
        </w:r>
        <w:r w:rsidR="009F5B36">
          <w:rPr>
            <w:webHidden/>
          </w:rPr>
          <w:instrText xml:space="preserve"> PAGEREF _Toc400097928 \h </w:instrText>
        </w:r>
        <w:r w:rsidR="009F5B36">
          <w:rPr>
            <w:webHidden/>
          </w:rPr>
        </w:r>
        <w:r w:rsidR="009F5B36">
          <w:rPr>
            <w:webHidden/>
          </w:rPr>
          <w:fldChar w:fldCharType="separate"/>
        </w:r>
        <w:r w:rsidR="009F5B36">
          <w:rPr>
            <w:webHidden/>
          </w:rPr>
          <w:t>8</w:t>
        </w:r>
        <w:r w:rsidR="009F5B36">
          <w:rPr>
            <w:webHidden/>
          </w:rPr>
          <w:fldChar w:fldCharType="end"/>
        </w:r>
      </w:hyperlink>
    </w:p>
    <w:p w14:paraId="4784735A" w14:textId="77777777" w:rsidR="009F5B36" w:rsidRDefault="00EA5D58">
      <w:pPr>
        <w:pStyle w:val="TOC3"/>
        <w:rPr>
          <w:rFonts w:asciiTheme="minorHAnsi" w:eastAsiaTheme="minorEastAsia" w:hAnsiTheme="minorHAnsi" w:cstheme="minorBidi"/>
          <w:sz w:val="22"/>
          <w:szCs w:val="22"/>
          <w:lang w:val="en-US"/>
        </w:rPr>
      </w:pPr>
      <w:hyperlink w:anchor="_Toc400097929" w:history="1">
        <w:r w:rsidR="009F5B36" w:rsidRPr="00944C4D">
          <w:rPr>
            <w:rStyle w:val="Hyperlink"/>
          </w:rPr>
          <w:t>Icatibant</w:t>
        </w:r>
        <w:r w:rsidR="009F5B36">
          <w:rPr>
            <w:webHidden/>
          </w:rPr>
          <w:tab/>
        </w:r>
        <w:r w:rsidR="009F5B36">
          <w:rPr>
            <w:webHidden/>
          </w:rPr>
          <w:fldChar w:fldCharType="begin"/>
        </w:r>
        <w:r w:rsidR="009F5B36">
          <w:rPr>
            <w:webHidden/>
          </w:rPr>
          <w:instrText xml:space="preserve"> PAGEREF _Toc400097929 \h </w:instrText>
        </w:r>
        <w:r w:rsidR="009F5B36">
          <w:rPr>
            <w:webHidden/>
          </w:rPr>
        </w:r>
        <w:r w:rsidR="009F5B36">
          <w:rPr>
            <w:webHidden/>
          </w:rPr>
          <w:fldChar w:fldCharType="separate"/>
        </w:r>
        <w:r w:rsidR="009F5B36">
          <w:rPr>
            <w:webHidden/>
          </w:rPr>
          <w:t>9</w:t>
        </w:r>
        <w:r w:rsidR="009F5B36">
          <w:rPr>
            <w:webHidden/>
          </w:rPr>
          <w:fldChar w:fldCharType="end"/>
        </w:r>
      </w:hyperlink>
    </w:p>
    <w:p w14:paraId="3F4A2B2C" w14:textId="77777777" w:rsidR="009F5B36" w:rsidRDefault="00EA5D58">
      <w:pPr>
        <w:pStyle w:val="TOC3"/>
        <w:rPr>
          <w:rFonts w:asciiTheme="minorHAnsi" w:eastAsiaTheme="minorEastAsia" w:hAnsiTheme="minorHAnsi" w:cstheme="minorBidi"/>
          <w:sz w:val="22"/>
          <w:szCs w:val="22"/>
          <w:lang w:val="en-US"/>
        </w:rPr>
      </w:pPr>
      <w:hyperlink w:anchor="_Toc400097930" w:history="1">
        <w:r w:rsidR="009F5B36" w:rsidRPr="00944C4D">
          <w:rPr>
            <w:rStyle w:val="Hyperlink"/>
          </w:rPr>
          <w:t>C1-INH concentrate (Cinryze and Berinert)</w:t>
        </w:r>
        <w:r w:rsidR="009F5B36">
          <w:rPr>
            <w:webHidden/>
          </w:rPr>
          <w:tab/>
        </w:r>
        <w:r w:rsidR="009F5B36">
          <w:rPr>
            <w:webHidden/>
          </w:rPr>
          <w:fldChar w:fldCharType="begin"/>
        </w:r>
        <w:r w:rsidR="009F5B36">
          <w:rPr>
            <w:webHidden/>
          </w:rPr>
          <w:instrText xml:space="preserve"> PAGEREF _Toc400097930 \h </w:instrText>
        </w:r>
        <w:r w:rsidR="009F5B36">
          <w:rPr>
            <w:webHidden/>
          </w:rPr>
        </w:r>
        <w:r w:rsidR="009F5B36">
          <w:rPr>
            <w:webHidden/>
          </w:rPr>
          <w:fldChar w:fldCharType="separate"/>
        </w:r>
        <w:r w:rsidR="009F5B36">
          <w:rPr>
            <w:webHidden/>
          </w:rPr>
          <w:t>9</w:t>
        </w:r>
        <w:r w:rsidR="009F5B36">
          <w:rPr>
            <w:webHidden/>
          </w:rPr>
          <w:fldChar w:fldCharType="end"/>
        </w:r>
      </w:hyperlink>
    </w:p>
    <w:p w14:paraId="1B670AE8" w14:textId="77777777" w:rsidR="009F5B36" w:rsidRDefault="00EA5D58">
      <w:pPr>
        <w:pStyle w:val="TOC2"/>
        <w:rPr>
          <w:rFonts w:asciiTheme="minorHAnsi" w:eastAsiaTheme="minorEastAsia" w:hAnsiTheme="minorHAnsi" w:cstheme="minorBidi"/>
          <w:sz w:val="22"/>
          <w:szCs w:val="22"/>
          <w:lang w:val="en-US"/>
        </w:rPr>
      </w:pPr>
      <w:hyperlink w:anchor="_Toc400097931" w:history="1">
        <w:r w:rsidR="009F5B36" w:rsidRPr="00944C4D">
          <w:rPr>
            <w:rStyle w:val="Hyperlink"/>
          </w:rPr>
          <w:t>TGA-approval status of HAE interventions for various indications</w:t>
        </w:r>
        <w:r w:rsidR="009F5B36">
          <w:rPr>
            <w:webHidden/>
          </w:rPr>
          <w:tab/>
        </w:r>
        <w:r w:rsidR="009F5B36">
          <w:rPr>
            <w:webHidden/>
          </w:rPr>
          <w:fldChar w:fldCharType="begin"/>
        </w:r>
        <w:r w:rsidR="009F5B36">
          <w:rPr>
            <w:webHidden/>
          </w:rPr>
          <w:instrText xml:space="preserve"> PAGEREF _Toc400097931 \h </w:instrText>
        </w:r>
        <w:r w:rsidR="009F5B36">
          <w:rPr>
            <w:webHidden/>
          </w:rPr>
        </w:r>
        <w:r w:rsidR="009F5B36">
          <w:rPr>
            <w:webHidden/>
          </w:rPr>
          <w:fldChar w:fldCharType="separate"/>
        </w:r>
        <w:r w:rsidR="009F5B36">
          <w:rPr>
            <w:webHidden/>
          </w:rPr>
          <w:t>10</w:t>
        </w:r>
        <w:r w:rsidR="009F5B36">
          <w:rPr>
            <w:webHidden/>
          </w:rPr>
          <w:fldChar w:fldCharType="end"/>
        </w:r>
      </w:hyperlink>
    </w:p>
    <w:p w14:paraId="5B1A2A8A" w14:textId="77777777" w:rsidR="009F5B36" w:rsidRDefault="00EA5D58">
      <w:pPr>
        <w:pStyle w:val="TOC2"/>
        <w:rPr>
          <w:rFonts w:asciiTheme="minorHAnsi" w:eastAsiaTheme="minorEastAsia" w:hAnsiTheme="minorHAnsi" w:cstheme="minorBidi"/>
          <w:sz w:val="22"/>
          <w:szCs w:val="22"/>
          <w:lang w:val="en-US"/>
        </w:rPr>
      </w:pPr>
      <w:hyperlink w:anchor="_Toc400097932" w:history="1">
        <w:r w:rsidR="009F5B36" w:rsidRPr="00944C4D">
          <w:rPr>
            <w:rStyle w:val="Hyperlink"/>
          </w:rPr>
          <w:t>PBS status of HAE interventions</w:t>
        </w:r>
        <w:r w:rsidR="009F5B36">
          <w:rPr>
            <w:webHidden/>
          </w:rPr>
          <w:tab/>
        </w:r>
        <w:r w:rsidR="009F5B36">
          <w:rPr>
            <w:webHidden/>
          </w:rPr>
          <w:fldChar w:fldCharType="begin"/>
        </w:r>
        <w:r w:rsidR="009F5B36">
          <w:rPr>
            <w:webHidden/>
          </w:rPr>
          <w:instrText xml:space="preserve"> PAGEREF _Toc400097932 \h </w:instrText>
        </w:r>
        <w:r w:rsidR="009F5B36">
          <w:rPr>
            <w:webHidden/>
          </w:rPr>
        </w:r>
        <w:r w:rsidR="009F5B36">
          <w:rPr>
            <w:webHidden/>
          </w:rPr>
          <w:fldChar w:fldCharType="separate"/>
        </w:r>
        <w:r w:rsidR="009F5B36">
          <w:rPr>
            <w:webHidden/>
          </w:rPr>
          <w:t>12</w:t>
        </w:r>
        <w:r w:rsidR="009F5B36">
          <w:rPr>
            <w:webHidden/>
          </w:rPr>
          <w:fldChar w:fldCharType="end"/>
        </w:r>
      </w:hyperlink>
    </w:p>
    <w:p w14:paraId="15DEDC2F"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33" w:history="1">
        <w:r w:rsidR="009F5B36" w:rsidRPr="00944C4D">
          <w:rPr>
            <w:rStyle w:val="Hyperlink"/>
          </w:rPr>
          <w:t>Intervention for proposed inclusion on the NPSL</w:t>
        </w:r>
        <w:r w:rsidR="009F5B36">
          <w:rPr>
            <w:webHidden/>
          </w:rPr>
          <w:tab/>
        </w:r>
        <w:r w:rsidR="009F5B36">
          <w:rPr>
            <w:webHidden/>
          </w:rPr>
          <w:fldChar w:fldCharType="begin"/>
        </w:r>
        <w:r w:rsidR="009F5B36">
          <w:rPr>
            <w:webHidden/>
          </w:rPr>
          <w:instrText xml:space="preserve"> PAGEREF _Toc400097933 \h </w:instrText>
        </w:r>
        <w:r w:rsidR="009F5B36">
          <w:rPr>
            <w:webHidden/>
          </w:rPr>
        </w:r>
        <w:r w:rsidR="009F5B36">
          <w:rPr>
            <w:webHidden/>
          </w:rPr>
          <w:fldChar w:fldCharType="separate"/>
        </w:r>
        <w:r w:rsidR="009F5B36">
          <w:rPr>
            <w:webHidden/>
          </w:rPr>
          <w:t>12</w:t>
        </w:r>
        <w:r w:rsidR="009F5B36">
          <w:rPr>
            <w:webHidden/>
          </w:rPr>
          <w:fldChar w:fldCharType="end"/>
        </w:r>
      </w:hyperlink>
    </w:p>
    <w:p w14:paraId="21B1A7B4" w14:textId="77777777" w:rsidR="009F5B36" w:rsidRDefault="00EA5D58">
      <w:pPr>
        <w:pStyle w:val="TOC2"/>
        <w:rPr>
          <w:rFonts w:asciiTheme="minorHAnsi" w:eastAsiaTheme="minorEastAsia" w:hAnsiTheme="minorHAnsi" w:cstheme="minorBidi"/>
          <w:sz w:val="22"/>
          <w:szCs w:val="22"/>
          <w:lang w:val="en-US"/>
        </w:rPr>
      </w:pPr>
      <w:hyperlink w:anchor="_Toc400097934" w:history="1">
        <w:r w:rsidR="009F5B36" w:rsidRPr="00944C4D">
          <w:rPr>
            <w:rStyle w:val="Hyperlink"/>
          </w:rPr>
          <w:t>Description of intervention</w:t>
        </w:r>
        <w:r w:rsidR="009F5B36">
          <w:rPr>
            <w:webHidden/>
          </w:rPr>
          <w:tab/>
        </w:r>
        <w:r w:rsidR="009F5B36">
          <w:rPr>
            <w:webHidden/>
          </w:rPr>
          <w:fldChar w:fldCharType="begin"/>
        </w:r>
        <w:r w:rsidR="009F5B36">
          <w:rPr>
            <w:webHidden/>
          </w:rPr>
          <w:instrText xml:space="preserve"> PAGEREF _Toc400097934 \h </w:instrText>
        </w:r>
        <w:r w:rsidR="009F5B36">
          <w:rPr>
            <w:webHidden/>
          </w:rPr>
        </w:r>
        <w:r w:rsidR="009F5B36">
          <w:rPr>
            <w:webHidden/>
          </w:rPr>
          <w:fldChar w:fldCharType="separate"/>
        </w:r>
        <w:r w:rsidR="009F5B36">
          <w:rPr>
            <w:webHidden/>
          </w:rPr>
          <w:t>12</w:t>
        </w:r>
        <w:r w:rsidR="009F5B36">
          <w:rPr>
            <w:webHidden/>
          </w:rPr>
          <w:fldChar w:fldCharType="end"/>
        </w:r>
      </w:hyperlink>
    </w:p>
    <w:p w14:paraId="377B79CF" w14:textId="77777777" w:rsidR="009F5B36" w:rsidRDefault="00EA5D58">
      <w:pPr>
        <w:pStyle w:val="TOC3"/>
        <w:rPr>
          <w:rFonts w:asciiTheme="minorHAnsi" w:eastAsiaTheme="minorEastAsia" w:hAnsiTheme="minorHAnsi" w:cstheme="minorBidi"/>
          <w:sz w:val="22"/>
          <w:szCs w:val="22"/>
          <w:lang w:val="en-US"/>
        </w:rPr>
      </w:pPr>
      <w:hyperlink w:anchor="_Toc400097935" w:history="1">
        <w:r w:rsidR="009F5B36" w:rsidRPr="00944C4D">
          <w:rPr>
            <w:rStyle w:val="Hyperlink"/>
          </w:rPr>
          <w:t>TGA indications</w:t>
        </w:r>
        <w:r w:rsidR="009F5B36">
          <w:rPr>
            <w:webHidden/>
          </w:rPr>
          <w:tab/>
        </w:r>
        <w:r w:rsidR="009F5B36">
          <w:rPr>
            <w:webHidden/>
          </w:rPr>
          <w:fldChar w:fldCharType="begin"/>
        </w:r>
        <w:r w:rsidR="009F5B36">
          <w:rPr>
            <w:webHidden/>
          </w:rPr>
          <w:instrText xml:space="preserve"> PAGEREF _Toc400097935 \h </w:instrText>
        </w:r>
        <w:r w:rsidR="009F5B36">
          <w:rPr>
            <w:webHidden/>
          </w:rPr>
        </w:r>
        <w:r w:rsidR="009F5B36">
          <w:rPr>
            <w:webHidden/>
          </w:rPr>
          <w:fldChar w:fldCharType="separate"/>
        </w:r>
        <w:r w:rsidR="009F5B36">
          <w:rPr>
            <w:webHidden/>
          </w:rPr>
          <w:t>12</w:t>
        </w:r>
        <w:r w:rsidR="009F5B36">
          <w:rPr>
            <w:webHidden/>
          </w:rPr>
          <w:fldChar w:fldCharType="end"/>
        </w:r>
      </w:hyperlink>
    </w:p>
    <w:p w14:paraId="16FCD6BD" w14:textId="77777777" w:rsidR="009F5B36" w:rsidRDefault="00EA5D58">
      <w:pPr>
        <w:pStyle w:val="TOC3"/>
        <w:rPr>
          <w:rFonts w:asciiTheme="minorHAnsi" w:eastAsiaTheme="minorEastAsia" w:hAnsiTheme="minorHAnsi" w:cstheme="minorBidi"/>
          <w:sz w:val="22"/>
          <w:szCs w:val="22"/>
          <w:lang w:val="en-US"/>
        </w:rPr>
      </w:pPr>
      <w:hyperlink w:anchor="_Toc400097936" w:history="1">
        <w:r w:rsidR="009F5B36" w:rsidRPr="00944C4D">
          <w:rPr>
            <w:rStyle w:val="Hyperlink"/>
          </w:rPr>
          <w:t>Dosage and frequency of use</w:t>
        </w:r>
        <w:r w:rsidR="009F5B36">
          <w:rPr>
            <w:webHidden/>
          </w:rPr>
          <w:tab/>
        </w:r>
        <w:r w:rsidR="009F5B36">
          <w:rPr>
            <w:webHidden/>
          </w:rPr>
          <w:fldChar w:fldCharType="begin"/>
        </w:r>
        <w:r w:rsidR="009F5B36">
          <w:rPr>
            <w:webHidden/>
          </w:rPr>
          <w:instrText xml:space="preserve"> PAGEREF _Toc400097936 \h </w:instrText>
        </w:r>
        <w:r w:rsidR="009F5B36">
          <w:rPr>
            <w:webHidden/>
          </w:rPr>
        </w:r>
        <w:r w:rsidR="009F5B36">
          <w:rPr>
            <w:webHidden/>
          </w:rPr>
          <w:fldChar w:fldCharType="separate"/>
        </w:r>
        <w:r w:rsidR="009F5B36">
          <w:rPr>
            <w:webHidden/>
          </w:rPr>
          <w:t>13</w:t>
        </w:r>
        <w:r w:rsidR="009F5B36">
          <w:rPr>
            <w:webHidden/>
          </w:rPr>
          <w:fldChar w:fldCharType="end"/>
        </w:r>
      </w:hyperlink>
    </w:p>
    <w:p w14:paraId="7CC6D0A5" w14:textId="77777777" w:rsidR="009F5B36" w:rsidRDefault="00EA5D58">
      <w:pPr>
        <w:pStyle w:val="TOC2"/>
        <w:rPr>
          <w:rFonts w:asciiTheme="minorHAnsi" w:eastAsiaTheme="minorEastAsia" w:hAnsiTheme="minorHAnsi" w:cstheme="minorBidi"/>
          <w:sz w:val="22"/>
          <w:szCs w:val="22"/>
          <w:lang w:val="en-US"/>
        </w:rPr>
      </w:pPr>
      <w:hyperlink w:anchor="_Toc400097937" w:history="1">
        <w:r w:rsidR="009F5B36" w:rsidRPr="00944C4D">
          <w:rPr>
            <w:rStyle w:val="Hyperlink"/>
          </w:rPr>
          <w:t>Delivery of the intervention</w:t>
        </w:r>
        <w:r w:rsidR="009F5B36">
          <w:rPr>
            <w:webHidden/>
          </w:rPr>
          <w:tab/>
        </w:r>
        <w:r w:rsidR="009F5B36">
          <w:rPr>
            <w:webHidden/>
          </w:rPr>
          <w:fldChar w:fldCharType="begin"/>
        </w:r>
        <w:r w:rsidR="009F5B36">
          <w:rPr>
            <w:webHidden/>
          </w:rPr>
          <w:instrText xml:space="preserve"> PAGEREF _Toc400097937 \h </w:instrText>
        </w:r>
        <w:r w:rsidR="009F5B36">
          <w:rPr>
            <w:webHidden/>
          </w:rPr>
        </w:r>
        <w:r w:rsidR="009F5B36">
          <w:rPr>
            <w:webHidden/>
          </w:rPr>
          <w:fldChar w:fldCharType="separate"/>
        </w:r>
        <w:r w:rsidR="009F5B36">
          <w:rPr>
            <w:webHidden/>
          </w:rPr>
          <w:t>14</w:t>
        </w:r>
        <w:r w:rsidR="009F5B36">
          <w:rPr>
            <w:webHidden/>
          </w:rPr>
          <w:fldChar w:fldCharType="end"/>
        </w:r>
      </w:hyperlink>
    </w:p>
    <w:p w14:paraId="723F4EC9" w14:textId="77777777" w:rsidR="009F5B36" w:rsidRDefault="00EA5D58">
      <w:pPr>
        <w:pStyle w:val="TOC2"/>
        <w:rPr>
          <w:rFonts w:asciiTheme="minorHAnsi" w:eastAsiaTheme="minorEastAsia" w:hAnsiTheme="minorHAnsi" w:cstheme="minorBidi"/>
          <w:sz w:val="22"/>
          <w:szCs w:val="22"/>
          <w:lang w:val="en-US"/>
        </w:rPr>
      </w:pPr>
      <w:hyperlink w:anchor="_Toc400097938" w:history="1">
        <w:r w:rsidR="009F5B36" w:rsidRPr="00944C4D">
          <w:rPr>
            <w:rStyle w:val="Hyperlink"/>
          </w:rPr>
          <w:t>Prerequisites</w:t>
        </w:r>
        <w:r w:rsidR="009F5B36">
          <w:rPr>
            <w:webHidden/>
          </w:rPr>
          <w:tab/>
        </w:r>
        <w:r w:rsidR="009F5B36">
          <w:rPr>
            <w:webHidden/>
          </w:rPr>
          <w:fldChar w:fldCharType="begin"/>
        </w:r>
        <w:r w:rsidR="009F5B36">
          <w:rPr>
            <w:webHidden/>
          </w:rPr>
          <w:instrText xml:space="preserve"> PAGEREF _Toc400097938 \h </w:instrText>
        </w:r>
        <w:r w:rsidR="009F5B36">
          <w:rPr>
            <w:webHidden/>
          </w:rPr>
        </w:r>
        <w:r w:rsidR="009F5B36">
          <w:rPr>
            <w:webHidden/>
          </w:rPr>
          <w:fldChar w:fldCharType="separate"/>
        </w:r>
        <w:r w:rsidR="009F5B36">
          <w:rPr>
            <w:webHidden/>
          </w:rPr>
          <w:t>15</w:t>
        </w:r>
        <w:r w:rsidR="009F5B36">
          <w:rPr>
            <w:webHidden/>
          </w:rPr>
          <w:fldChar w:fldCharType="end"/>
        </w:r>
      </w:hyperlink>
    </w:p>
    <w:p w14:paraId="01BE772D" w14:textId="77777777" w:rsidR="009F5B36" w:rsidRDefault="00EA5D58">
      <w:pPr>
        <w:pStyle w:val="TOC2"/>
        <w:rPr>
          <w:rFonts w:asciiTheme="minorHAnsi" w:eastAsiaTheme="minorEastAsia" w:hAnsiTheme="minorHAnsi" w:cstheme="minorBidi"/>
          <w:sz w:val="22"/>
          <w:szCs w:val="22"/>
          <w:lang w:val="en-US"/>
        </w:rPr>
      </w:pPr>
      <w:hyperlink w:anchor="_Toc400097939" w:history="1">
        <w:r w:rsidR="009F5B36" w:rsidRPr="00944C4D">
          <w:rPr>
            <w:rStyle w:val="Hyperlink"/>
          </w:rPr>
          <w:t>Co-administered and associated interventions</w:t>
        </w:r>
        <w:r w:rsidR="009F5B36">
          <w:rPr>
            <w:webHidden/>
          </w:rPr>
          <w:tab/>
        </w:r>
        <w:r w:rsidR="009F5B36">
          <w:rPr>
            <w:webHidden/>
          </w:rPr>
          <w:fldChar w:fldCharType="begin"/>
        </w:r>
        <w:r w:rsidR="009F5B36">
          <w:rPr>
            <w:webHidden/>
          </w:rPr>
          <w:instrText xml:space="preserve"> PAGEREF _Toc400097939 \h </w:instrText>
        </w:r>
        <w:r w:rsidR="009F5B36">
          <w:rPr>
            <w:webHidden/>
          </w:rPr>
        </w:r>
        <w:r w:rsidR="009F5B36">
          <w:rPr>
            <w:webHidden/>
          </w:rPr>
          <w:fldChar w:fldCharType="separate"/>
        </w:r>
        <w:r w:rsidR="009F5B36">
          <w:rPr>
            <w:webHidden/>
          </w:rPr>
          <w:t>15</w:t>
        </w:r>
        <w:r w:rsidR="009F5B36">
          <w:rPr>
            <w:webHidden/>
          </w:rPr>
          <w:fldChar w:fldCharType="end"/>
        </w:r>
      </w:hyperlink>
    </w:p>
    <w:p w14:paraId="02EE9A18"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40" w:history="1">
        <w:r w:rsidR="009F5B36" w:rsidRPr="00944C4D">
          <w:rPr>
            <w:rStyle w:val="Hyperlink"/>
          </w:rPr>
          <w:t>Listing proposed for C1-INH</w:t>
        </w:r>
        <w:r w:rsidR="009F5B36">
          <w:rPr>
            <w:webHidden/>
          </w:rPr>
          <w:tab/>
        </w:r>
        <w:r w:rsidR="009F5B36">
          <w:rPr>
            <w:webHidden/>
          </w:rPr>
          <w:fldChar w:fldCharType="begin"/>
        </w:r>
        <w:r w:rsidR="009F5B36">
          <w:rPr>
            <w:webHidden/>
          </w:rPr>
          <w:instrText xml:space="preserve"> PAGEREF _Toc400097940 \h </w:instrText>
        </w:r>
        <w:r w:rsidR="009F5B36">
          <w:rPr>
            <w:webHidden/>
          </w:rPr>
        </w:r>
        <w:r w:rsidR="009F5B36">
          <w:rPr>
            <w:webHidden/>
          </w:rPr>
          <w:fldChar w:fldCharType="separate"/>
        </w:r>
        <w:r w:rsidR="009F5B36">
          <w:rPr>
            <w:webHidden/>
          </w:rPr>
          <w:t>15</w:t>
        </w:r>
        <w:r w:rsidR="009F5B36">
          <w:rPr>
            <w:webHidden/>
          </w:rPr>
          <w:fldChar w:fldCharType="end"/>
        </w:r>
      </w:hyperlink>
    </w:p>
    <w:p w14:paraId="169A4CA9" w14:textId="77777777" w:rsidR="009F5B36" w:rsidRDefault="00EA5D58">
      <w:pPr>
        <w:pStyle w:val="TOC2"/>
        <w:rPr>
          <w:rFonts w:asciiTheme="minorHAnsi" w:eastAsiaTheme="minorEastAsia" w:hAnsiTheme="minorHAnsi" w:cstheme="minorBidi"/>
          <w:sz w:val="22"/>
          <w:szCs w:val="22"/>
          <w:lang w:val="en-US"/>
        </w:rPr>
      </w:pPr>
      <w:hyperlink w:anchor="_Toc400097941" w:history="1">
        <w:r w:rsidR="009F5B36" w:rsidRPr="00944C4D">
          <w:rPr>
            <w:rStyle w:val="Hyperlink"/>
          </w:rPr>
          <w:t>Proposed NPSL listing</w:t>
        </w:r>
        <w:r w:rsidR="009F5B36">
          <w:rPr>
            <w:webHidden/>
          </w:rPr>
          <w:tab/>
        </w:r>
        <w:r w:rsidR="009F5B36">
          <w:rPr>
            <w:webHidden/>
          </w:rPr>
          <w:fldChar w:fldCharType="begin"/>
        </w:r>
        <w:r w:rsidR="009F5B36">
          <w:rPr>
            <w:webHidden/>
          </w:rPr>
          <w:instrText xml:space="preserve"> PAGEREF _Toc400097941 \h </w:instrText>
        </w:r>
        <w:r w:rsidR="009F5B36">
          <w:rPr>
            <w:webHidden/>
          </w:rPr>
        </w:r>
        <w:r w:rsidR="009F5B36">
          <w:rPr>
            <w:webHidden/>
          </w:rPr>
          <w:fldChar w:fldCharType="separate"/>
        </w:r>
        <w:r w:rsidR="009F5B36">
          <w:rPr>
            <w:webHidden/>
          </w:rPr>
          <w:t>15</w:t>
        </w:r>
        <w:r w:rsidR="009F5B36">
          <w:rPr>
            <w:webHidden/>
          </w:rPr>
          <w:fldChar w:fldCharType="end"/>
        </w:r>
      </w:hyperlink>
    </w:p>
    <w:p w14:paraId="387BB3E0" w14:textId="77777777" w:rsidR="009F5B36" w:rsidRDefault="00EA5D58">
      <w:pPr>
        <w:pStyle w:val="TOC3"/>
        <w:rPr>
          <w:rFonts w:asciiTheme="minorHAnsi" w:eastAsiaTheme="minorEastAsia" w:hAnsiTheme="minorHAnsi" w:cstheme="minorBidi"/>
          <w:sz w:val="22"/>
          <w:szCs w:val="22"/>
          <w:lang w:val="en-US"/>
        </w:rPr>
      </w:pPr>
      <w:hyperlink w:anchor="_Toc400097942" w:history="1">
        <w:r w:rsidR="009F5B36" w:rsidRPr="00944C4D">
          <w:rPr>
            <w:rStyle w:val="Hyperlink"/>
          </w:rPr>
          <w:t>Acute HAE attacks</w:t>
        </w:r>
        <w:r w:rsidR="009F5B36">
          <w:rPr>
            <w:webHidden/>
          </w:rPr>
          <w:tab/>
        </w:r>
        <w:r w:rsidR="009F5B36">
          <w:rPr>
            <w:webHidden/>
          </w:rPr>
          <w:fldChar w:fldCharType="begin"/>
        </w:r>
        <w:r w:rsidR="009F5B36">
          <w:rPr>
            <w:webHidden/>
          </w:rPr>
          <w:instrText xml:space="preserve"> PAGEREF _Toc400097942 \h </w:instrText>
        </w:r>
        <w:r w:rsidR="009F5B36">
          <w:rPr>
            <w:webHidden/>
          </w:rPr>
        </w:r>
        <w:r w:rsidR="009F5B36">
          <w:rPr>
            <w:webHidden/>
          </w:rPr>
          <w:fldChar w:fldCharType="separate"/>
        </w:r>
        <w:r w:rsidR="009F5B36">
          <w:rPr>
            <w:webHidden/>
          </w:rPr>
          <w:t>16</w:t>
        </w:r>
        <w:r w:rsidR="009F5B36">
          <w:rPr>
            <w:webHidden/>
          </w:rPr>
          <w:fldChar w:fldCharType="end"/>
        </w:r>
      </w:hyperlink>
    </w:p>
    <w:p w14:paraId="7CB06B56" w14:textId="77777777" w:rsidR="009F5B36" w:rsidRDefault="00EA5D58">
      <w:pPr>
        <w:pStyle w:val="TOC3"/>
        <w:rPr>
          <w:rFonts w:asciiTheme="minorHAnsi" w:eastAsiaTheme="minorEastAsia" w:hAnsiTheme="minorHAnsi" w:cstheme="minorBidi"/>
          <w:sz w:val="22"/>
          <w:szCs w:val="22"/>
          <w:lang w:val="en-US"/>
        </w:rPr>
      </w:pPr>
      <w:hyperlink w:anchor="_Toc400097943" w:history="1">
        <w:r w:rsidR="009F5B36" w:rsidRPr="00944C4D">
          <w:rPr>
            <w:rStyle w:val="Hyperlink"/>
          </w:rPr>
          <w:t>Pre-procedural prophylaxis</w:t>
        </w:r>
        <w:r w:rsidR="009F5B36">
          <w:rPr>
            <w:webHidden/>
          </w:rPr>
          <w:tab/>
        </w:r>
        <w:r w:rsidR="009F5B36">
          <w:rPr>
            <w:webHidden/>
          </w:rPr>
          <w:fldChar w:fldCharType="begin"/>
        </w:r>
        <w:r w:rsidR="009F5B36">
          <w:rPr>
            <w:webHidden/>
          </w:rPr>
          <w:instrText xml:space="preserve"> PAGEREF _Toc400097943 \h </w:instrText>
        </w:r>
        <w:r w:rsidR="009F5B36">
          <w:rPr>
            <w:webHidden/>
          </w:rPr>
        </w:r>
        <w:r w:rsidR="009F5B36">
          <w:rPr>
            <w:webHidden/>
          </w:rPr>
          <w:fldChar w:fldCharType="separate"/>
        </w:r>
        <w:r w:rsidR="009F5B36">
          <w:rPr>
            <w:webHidden/>
          </w:rPr>
          <w:t>16</w:t>
        </w:r>
        <w:r w:rsidR="009F5B36">
          <w:rPr>
            <w:webHidden/>
          </w:rPr>
          <w:fldChar w:fldCharType="end"/>
        </w:r>
      </w:hyperlink>
    </w:p>
    <w:p w14:paraId="1712BD81" w14:textId="77777777" w:rsidR="009F5B36" w:rsidRDefault="00EA5D58">
      <w:pPr>
        <w:pStyle w:val="TOC3"/>
        <w:rPr>
          <w:rFonts w:asciiTheme="minorHAnsi" w:eastAsiaTheme="minorEastAsia" w:hAnsiTheme="minorHAnsi" w:cstheme="minorBidi"/>
          <w:sz w:val="22"/>
          <w:szCs w:val="22"/>
          <w:lang w:val="en-US"/>
        </w:rPr>
      </w:pPr>
      <w:hyperlink w:anchor="_Toc400097944" w:history="1">
        <w:r w:rsidR="009F5B36" w:rsidRPr="00944C4D">
          <w:rPr>
            <w:rStyle w:val="Hyperlink"/>
          </w:rPr>
          <w:t>Routine prophylaxis</w:t>
        </w:r>
        <w:r w:rsidR="009F5B36">
          <w:rPr>
            <w:webHidden/>
          </w:rPr>
          <w:tab/>
        </w:r>
        <w:r w:rsidR="009F5B36">
          <w:rPr>
            <w:webHidden/>
          </w:rPr>
          <w:fldChar w:fldCharType="begin"/>
        </w:r>
        <w:r w:rsidR="009F5B36">
          <w:rPr>
            <w:webHidden/>
          </w:rPr>
          <w:instrText xml:space="preserve"> PAGEREF _Toc400097944 \h </w:instrText>
        </w:r>
        <w:r w:rsidR="009F5B36">
          <w:rPr>
            <w:webHidden/>
          </w:rPr>
        </w:r>
        <w:r w:rsidR="009F5B36">
          <w:rPr>
            <w:webHidden/>
          </w:rPr>
          <w:fldChar w:fldCharType="separate"/>
        </w:r>
        <w:r w:rsidR="009F5B36">
          <w:rPr>
            <w:webHidden/>
          </w:rPr>
          <w:t>16</w:t>
        </w:r>
        <w:r w:rsidR="009F5B36">
          <w:rPr>
            <w:webHidden/>
          </w:rPr>
          <w:fldChar w:fldCharType="end"/>
        </w:r>
      </w:hyperlink>
    </w:p>
    <w:p w14:paraId="44FCA9B2" w14:textId="77777777" w:rsidR="009F5B36" w:rsidRDefault="00EA5D58">
      <w:pPr>
        <w:pStyle w:val="TOC2"/>
        <w:rPr>
          <w:rFonts w:asciiTheme="minorHAnsi" w:eastAsiaTheme="minorEastAsia" w:hAnsiTheme="minorHAnsi" w:cstheme="minorBidi"/>
          <w:sz w:val="22"/>
          <w:szCs w:val="22"/>
          <w:lang w:val="en-US"/>
        </w:rPr>
      </w:pPr>
      <w:hyperlink w:anchor="_Toc400097945" w:history="1">
        <w:r w:rsidR="009F5B36" w:rsidRPr="00944C4D">
          <w:rPr>
            <w:rStyle w:val="Hyperlink"/>
          </w:rPr>
          <w:t>Utilisation and access considerations upon NPSL listing</w:t>
        </w:r>
        <w:r w:rsidR="009F5B36">
          <w:rPr>
            <w:webHidden/>
          </w:rPr>
          <w:tab/>
        </w:r>
        <w:r w:rsidR="009F5B36">
          <w:rPr>
            <w:webHidden/>
          </w:rPr>
          <w:fldChar w:fldCharType="begin"/>
        </w:r>
        <w:r w:rsidR="009F5B36">
          <w:rPr>
            <w:webHidden/>
          </w:rPr>
          <w:instrText xml:space="preserve"> PAGEREF _Toc400097945 \h </w:instrText>
        </w:r>
        <w:r w:rsidR="009F5B36">
          <w:rPr>
            <w:webHidden/>
          </w:rPr>
        </w:r>
        <w:r w:rsidR="009F5B36">
          <w:rPr>
            <w:webHidden/>
          </w:rPr>
          <w:fldChar w:fldCharType="separate"/>
        </w:r>
        <w:r w:rsidR="009F5B36">
          <w:rPr>
            <w:webHidden/>
          </w:rPr>
          <w:t>17</w:t>
        </w:r>
        <w:r w:rsidR="009F5B36">
          <w:rPr>
            <w:webHidden/>
          </w:rPr>
          <w:fldChar w:fldCharType="end"/>
        </w:r>
      </w:hyperlink>
    </w:p>
    <w:p w14:paraId="2C06F578"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46" w:history="1">
        <w:r w:rsidR="009F5B36" w:rsidRPr="00944C4D">
          <w:rPr>
            <w:rStyle w:val="Hyperlink"/>
          </w:rPr>
          <w:t>Clinical place</w:t>
        </w:r>
        <w:r w:rsidR="009F5B36">
          <w:rPr>
            <w:webHidden/>
          </w:rPr>
          <w:tab/>
        </w:r>
        <w:r w:rsidR="009F5B36">
          <w:rPr>
            <w:webHidden/>
          </w:rPr>
          <w:fldChar w:fldCharType="begin"/>
        </w:r>
        <w:r w:rsidR="009F5B36">
          <w:rPr>
            <w:webHidden/>
          </w:rPr>
          <w:instrText xml:space="preserve"> PAGEREF _Toc400097946 \h </w:instrText>
        </w:r>
        <w:r w:rsidR="009F5B36">
          <w:rPr>
            <w:webHidden/>
          </w:rPr>
        </w:r>
        <w:r w:rsidR="009F5B36">
          <w:rPr>
            <w:webHidden/>
          </w:rPr>
          <w:fldChar w:fldCharType="separate"/>
        </w:r>
        <w:r w:rsidR="009F5B36">
          <w:rPr>
            <w:webHidden/>
          </w:rPr>
          <w:t>18</w:t>
        </w:r>
        <w:r w:rsidR="009F5B36">
          <w:rPr>
            <w:webHidden/>
          </w:rPr>
          <w:fldChar w:fldCharType="end"/>
        </w:r>
      </w:hyperlink>
    </w:p>
    <w:p w14:paraId="2203D456" w14:textId="77777777" w:rsidR="009F5B36" w:rsidRDefault="00EA5D58">
      <w:pPr>
        <w:pStyle w:val="TOC2"/>
        <w:rPr>
          <w:rFonts w:asciiTheme="minorHAnsi" w:eastAsiaTheme="minorEastAsia" w:hAnsiTheme="minorHAnsi" w:cstheme="minorBidi"/>
          <w:sz w:val="22"/>
          <w:szCs w:val="22"/>
          <w:lang w:val="en-US"/>
        </w:rPr>
      </w:pPr>
      <w:hyperlink w:anchor="_Toc400097947" w:history="1">
        <w:r w:rsidR="009F5B36" w:rsidRPr="00944C4D">
          <w:rPr>
            <w:rStyle w:val="Hyperlink"/>
          </w:rPr>
          <w:t>Acute HAE attacks – current Australian management algorithm</w:t>
        </w:r>
        <w:r w:rsidR="009F5B36">
          <w:rPr>
            <w:webHidden/>
          </w:rPr>
          <w:tab/>
        </w:r>
        <w:r w:rsidR="009F5B36">
          <w:rPr>
            <w:webHidden/>
          </w:rPr>
          <w:fldChar w:fldCharType="begin"/>
        </w:r>
        <w:r w:rsidR="009F5B36">
          <w:rPr>
            <w:webHidden/>
          </w:rPr>
          <w:instrText xml:space="preserve"> PAGEREF _Toc400097947 \h </w:instrText>
        </w:r>
        <w:r w:rsidR="009F5B36">
          <w:rPr>
            <w:webHidden/>
          </w:rPr>
        </w:r>
        <w:r w:rsidR="009F5B36">
          <w:rPr>
            <w:webHidden/>
          </w:rPr>
          <w:fldChar w:fldCharType="separate"/>
        </w:r>
        <w:r w:rsidR="009F5B36">
          <w:rPr>
            <w:webHidden/>
          </w:rPr>
          <w:t>18</w:t>
        </w:r>
        <w:r w:rsidR="009F5B36">
          <w:rPr>
            <w:webHidden/>
          </w:rPr>
          <w:fldChar w:fldCharType="end"/>
        </w:r>
      </w:hyperlink>
    </w:p>
    <w:p w14:paraId="07F5B59F" w14:textId="77777777" w:rsidR="009F5B36" w:rsidRDefault="00EA5D58">
      <w:pPr>
        <w:pStyle w:val="TOC2"/>
        <w:rPr>
          <w:rFonts w:asciiTheme="minorHAnsi" w:eastAsiaTheme="minorEastAsia" w:hAnsiTheme="minorHAnsi" w:cstheme="minorBidi"/>
          <w:sz w:val="22"/>
          <w:szCs w:val="22"/>
          <w:lang w:val="en-US"/>
        </w:rPr>
      </w:pPr>
      <w:hyperlink w:anchor="_Toc400097948" w:history="1">
        <w:r w:rsidR="009F5B36" w:rsidRPr="00944C4D">
          <w:rPr>
            <w:rStyle w:val="Hyperlink"/>
          </w:rPr>
          <w:t>Clinical place for C1-INH concentrate for acute HAE attacks</w:t>
        </w:r>
        <w:r w:rsidR="009F5B36">
          <w:rPr>
            <w:webHidden/>
          </w:rPr>
          <w:tab/>
        </w:r>
        <w:r w:rsidR="009F5B36">
          <w:rPr>
            <w:webHidden/>
          </w:rPr>
          <w:fldChar w:fldCharType="begin"/>
        </w:r>
        <w:r w:rsidR="009F5B36">
          <w:rPr>
            <w:webHidden/>
          </w:rPr>
          <w:instrText xml:space="preserve"> PAGEREF _Toc400097948 \h </w:instrText>
        </w:r>
        <w:r w:rsidR="009F5B36">
          <w:rPr>
            <w:webHidden/>
          </w:rPr>
        </w:r>
        <w:r w:rsidR="009F5B36">
          <w:rPr>
            <w:webHidden/>
          </w:rPr>
          <w:fldChar w:fldCharType="separate"/>
        </w:r>
        <w:r w:rsidR="009F5B36">
          <w:rPr>
            <w:webHidden/>
          </w:rPr>
          <w:t>19</w:t>
        </w:r>
        <w:r w:rsidR="009F5B36">
          <w:rPr>
            <w:webHidden/>
          </w:rPr>
          <w:fldChar w:fldCharType="end"/>
        </w:r>
      </w:hyperlink>
    </w:p>
    <w:p w14:paraId="78454816" w14:textId="77777777" w:rsidR="009F5B36" w:rsidRDefault="00EA5D58">
      <w:pPr>
        <w:pStyle w:val="TOC2"/>
        <w:rPr>
          <w:rFonts w:asciiTheme="minorHAnsi" w:eastAsiaTheme="minorEastAsia" w:hAnsiTheme="minorHAnsi" w:cstheme="minorBidi"/>
          <w:sz w:val="22"/>
          <w:szCs w:val="22"/>
          <w:lang w:val="en-US"/>
        </w:rPr>
      </w:pPr>
      <w:hyperlink w:anchor="_Toc400097949" w:history="1">
        <w:r w:rsidR="009F5B36" w:rsidRPr="00944C4D">
          <w:rPr>
            <w:rStyle w:val="Hyperlink"/>
          </w:rPr>
          <w:t>Clinical place for C1-INH concentrate for prophylaxis</w:t>
        </w:r>
        <w:r w:rsidR="009F5B36">
          <w:rPr>
            <w:webHidden/>
          </w:rPr>
          <w:tab/>
        </w:r>
        <w:r w:rsidR="009F5B36">
          <w:rPr>
            <w:webHidden/>
          </w:rPr>
          <w:fldChar w:fldCharType="begin"/>
        </w:r>
        <w:r w:rsidR="009F5B36">
          <w:rPr>
            <w:webHidden/>
          </w:rPr>
          <w:instrText xml:space="preserve"> PAGEREF _Toc400097949 \h </w:instrText>
        </w:r>
        <w:r w:rsidR="009F5B36">
          <w:rPr>
            <w:webHidden/>
          </w:rPr>
        </w:r>
        <w:r w:rsidR="009F5B36">
          <w:rPr>
            <w:webHidden/>
          </w:rPr>
          <w:fldChar w:fldCharType="separate"/>
        </w:r>
        <w:r w:rsidR="009F5B36">
          <w:rPr>
            <w:webHidden/>
          </w:rPr>
          <w:t>22</w:t>
        </w:r>
        <w:r w:rsidR="009F5B36">
          <w:rPr>
            <w:webHidden/>
          </w:rPr>
          <w:fldChar w:fldCharType="end"/>
        </w:r>
      </w:hyperlink>
    </w:p>
    <w:p w14:paraId="14EB5E18" w14:textId="77777777" w:rsidR="009F5B36" w:rsidRDefault="00EA5D58">
      <w:pPr>
        <w:pStyle w:val="TOC3"/>
        <w:rPr>
          <w:rFonts w:asciiTheme="minorHAnsi" w:eastAsiaTheme="minorEastAsia" w:hAnsiTheme="minorHAnsi" w:cstheme="minorBidi"/>
          <w:sz w:val="22"/>
          <w:szCs w:val="22"/>
          <w:lang w:val="en-US"/>
        </w:rPr>
      </w:pPr>
      <w:hyperlink w:anchor="_Toc400097950" w:history="1">
        <w:r w:rsidR="009F5B36" w:rsidRPr="00944C4D">
          <w:rPr>
            <w:rStyle w:val="Hyperlink"/>
          </w:rPr>
          <w:t>Clinical place for pre-procedural prophylaxis</w:t>
        </w:r>
        <w:r w:rsidR="009F5B36">
          <w:rPr>
            <w:webHidden/>
          </w:rPr>
          <w:tab/>
        </w:r>
        <w:r w:rsidR="009F5B36">
          <w:rPr>
            <w:webHidden/>
          </w:rPr>
          <w:fldChar w:fldCharType="begin"/>
        </w:r>
        <w:r w:rsidR="009F5B36">
          <w:rPr>
            <w:webHidden/>
          </w:rPr>
          <w:instrText xml:space="preserve"> PAGEREF _Toc400097950 \h </w:instrText>
        </w:r>
        <w:r w:rsidR="009F5B36">
          <w:rPr>
            <w:webHidden/>
          </w:rPr>
        </w:r>
        <w:r w:rsidR="009F5B36">
          <w:rPr>
            <w:webHidden/>
          </w:rPr>
          <w:fldChar w:fldCharType="separate"/>
        </w:r>
        <w:r w:rsidR="009F5B36">
          <w:rPr>
            <w:webHidden/>
          </w:rPr>
          <w:t>23</w:t>
        </w:r>
        <w:r w:rsidR="009F5B36">
          <w:rPr>
            <w:webHidden/>
          </w:rPr>
          <w:fldChar w:fldCharType="end"/>
        </w:r>
      </w:hyperlink>
    </w:p>
    <w:p w14:paraId="248579FD" w14:textId="77777777" w:rsidR="009F5B36" w:rsidRDefault="00EA5D58">
      <w:pPr>
        <w:pStyle w:val="TOC3"/>
        <w:rPr>
          <w:rFonts w:asciiTheme="minorHAnsi" w:eastAsiaTheme="minorEastAsia" w:hAnsiTheme="minorHAnsi" w:cstheme="minorBidi"/>
          <w:sz w:val="22"/>
          <w:szCs w:val="22"/>
          <w:lang w:val="en-US"/>
        </w:rPr>
      </w:pPr>
      <w:hyperlink w:anchor="_Toc400097951" w:history="1">
        <w:r w:rsidR="009F5B36" w:rsidRPr="00944C4D">
          <w:rPr>
            <w:rStyle w:val="Hyperlink"/>
          </w:rPr>
          <w:t>Clinical place for routine prophylaxis</w:t>
        </w:r>
        <w:r w:rsidR="009F5B36">
          <w:rPr>
            <w:webHidden/>
          </w:rPr>
          <w:tab/>
        </w:r>
        <w:r w:rsidR="009F5B36">
          <w:rPr>
            <w:webHidden/>
          </w:rPr>
          <w:fldChar w:fldCharType="begin"/>
        </w:r>
        <w:r w:rsidR="009F5B36">
          <w:rPr>
            <w:webHidden/>
          </w:rPr>
          <w:instrText xml:space="preserve"> PAGEREF _Toc400097951 \h </w:instrText>
        </w:r>
        <w:r w:rsidR="009F5B36">
          <w:rPr>
            <w:webHidden/>
          </w:rPr>
        </w:r>
        <w:r w:rsidR="009F5B36">
          <w:rPr>
            <w:webHidden/>
          </w:rPr>
          <w:fldChar w:fldCharType="separate"/>
        </w:r>
        <w:r w:rsidR="009F5B36">
          <w:rPr>
            <w:webHidden/>
          </w:rPr>
          <w:t>25</w:t>
        </w:r>
        <w:r w:rsidR="009F5B36">
          <w:rPr>
            <w:webHidden/>
          </w:rPr>
          <w:fldChar w:fldCharType="end"/>
        </w:r>
      </w:hyperlink>
    </w:p>
    <w:p w14:paraId="2FA5AC63"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52" w:history="1">
        <w:r w:rsidR="009F5B36" w:rsidRPr="00944C4D">
          <w:rPr>
            <w:rStyle w:val="Hyperlink"/>
          </w:rPr>
          <w:t>Comparators</w:t>
        </w:r>
        <w:r w:rsidR="009F5B36">
          <w:rPr>
            <w:webHidden/>
          </w:rPr>
          <w:tab/>
        </w:r>
        <w:r w:rsidR="009F5B36">
          <w:rPr>
            <w:webHidden/>
          </w:rPr>
          <w:fldChar w:fldCharType="begin"/>
        </w:r>
        <w:r w:rsidR="009F5B36">
          <w:rPr>
            <w:webHidden/>
          </w:rPr>
          <w:instrText xml:space="preserve"> PAGEREF _Toc400097952 \h </w:instrText>
        </w:r>
        <w:r w:rsidR="009F5B36">
          <w:rPr>
            <w:webHidden/>
          </w:rPr>
        </w:r>
        <w:r w:rsidR="009F5B36">
          <w:rPr>
            <w:webHidden/>
          </w:rPr>
          <w:fldChar w:fldCharType="separate"/>
        </w:r>
        <w:r w:rsidR="009F5B36">
          <w:rPr>
            <w:webHidden/>
          </w:rPr>
          <w:t>28</w:t>
        </w:r>
        <w:r w:rsidR="009F5B36">
          <w:rPr>
            <w:webHidden/>
          </w:rPr>
          <w:fldChar w:fldCharType="end"/>
        </w:r>
      </w:hyperlink>
    </w:p>
    <w:p w14:paraId="01D324C4" w14:textId="77777777" w:rsidR="009F5B36" w:rsidRDefault="00EA5D58">
      <w:pPr>
        <w:pStyle w:val="TOC3"/>
        <w:rPr>
          <w:rFonts w:asciiTheme="minorHAnsi" w:eastAsiaTheme="minorEastAsia" w:hAnsiTheme="minorHAnsi" w:cstheme="minorBidi"/>
          <w:sz w:val="22"/>
          <w:szCs w:val="22"/>
          <w:lang w:val="en-US"/>
        </w:rPr>
      </w:pPr>
      <w:hyperlink w:anchor="_Toc400097953" w:history="1">
        <w:r w:rsidR="009F5B36" w:rsidRPr="00944C4D">
          <w:rPr>
            <w:rStyle w:val="Hyperlink"/>
          </w:rPr>
          <w:t>Treatment comparisons: C1-INH concentrate versus other treatments</w:t>
        </w:r>
        <w:r w:rsidR="009F5B36">
          <w:rPr>
            <w:webHidden/>
          </w:rPr>
          <w:tab/>
        </w:r>
        <w:r w:rsidR="009F5B36">
          <w:rPr>
            <w:webHidden/>
          </w:rPr>
          <w:fldChar w:fldCharType="begin"/>
        </w:r>
        <w:r w:rsidR="009F5B36">
          <w:rPr>
            <w:webHidden/>
          </w:rPr>
          <w:instrText xml:space="preserve"> PAGEREF _Toc400097953 \h </w:instrText>
        </w:r>
        <w:r w:rsidR="009F5B36">
          <w:rPr>
            <w:webHidden/>
          </w:rPr>
        </w:r>
        <w:r w:rsidR="009F5B36">
          <w:rPr>
            <w:webHidden/>
          </w:rPr>
          <w:fldChar w:fldCharType="separate"/>
        </w:r>
        <w:r w:rsidR="009F5B36">
          <w:rPr>
            <w:webHidden/>
          </w:rPr>
          <w:t>28</w:t>
        </w:r>
        <w:r w:rsidR="009F5B36">
          <w:rPr>
            <w:webHidden/>
          </w:rPr>
          <w:fldChar w:fldCharType="end"/>
        </w:r>
      </w:hyperlink>
    </w:p>
    <w:p w14:paraId="1C361BAB" w14:textId="77777777" w:rsidR="009F5B36" w:rsidRDefault="00EA5D58">
      <w:pPr>
        <w:pStyle w:val="TOC3"/>
        <w:rPr>
          <w:rFonts w:asciiTheme="minorHAnsi" w:eastAsiaTheme="minorEastAsia" w:hAnsiTheme="minorHAnsi" w:cstheme="minorBidi"/>
          <w:sz w:val="22"/>
          <w:szCs w:val="22"/>
          <w:lang w:val="en-US"/>
        </w:rPr>
      </w:pPr>
      <w:hyperlink w:anchor="_Toc400097954" w:history="1">
        <w:r w:rsidR="009F5B36" w:rsidRPr="00944C4D">
          <w:rPr>
            <w:rStyle w:val="Hyperlink"/>
          </w:rPr>
          <w:t>Setting comparisons: community-administered versus hospital-administered</w:t>
        </w:r>
        <w:r w:rsidR="009F5B36">
          <w:rPr>
            <w:webHidden/>
          </w:rPr>
          <w:tab/>
        </w:r>
        <w:r w:rsidR="009F5B36">
          <w:rPr>
            <w:webHidden/>
          </w:rPr>
          <w:fldChar w:fldCharType="begin"/>
        </w:r>
        <w:r w:rsidR="009F5B36">
          <w:rPr>
            <w:webHidden/>
          </w:rPr>
          <w:instrText xml:space="preserve"> PAGEREF _Toc400097954 \h </w:instrText>
        </w:r>
        <w:r w:rsidR="009F5B36">
          <w:rPr>
            <w:webHidden/>
          </w:rPr>
        </w:r>
        <w:r w:rsidR="009F5B36">
          <w:rPr>
            <w:webHidden/>
          </w:rPr>
          <w:fldChar w:fldCharType="separate"/>
        </w:r>
        <w:r w:rsidR="009F5B36">
          <w:rPr>
            <w:webHidden/>
          </w:rPr>
          <w:t>28</w:t>
        </w:r>
        <w:r w:rsidR="009F5B36">
          <w:rPr>
            <w:webHidden/>
          </w:rPr>
          <w:fldChar w:fldCharType="end"/>
        </w:r>
      </w:hyperlink>
    </w:p>
    <w:p w14:paraId="62D025E5" w14:textId="77777777" w:rsidR="009F5B36" w:rsidRDefault="00EA5D58">
      <w:pPr>
        <w:pStyle w:val="TOC3"/>
        <w:rPr>
          <w:rFonts w:asciiTheme="minorHAnsi" w:eastAsiaTheme="minorEastAsia" w:hAnsiTheme="minorHAnsi" w:cstheme="minorBidi"/>
          <w:sz w:val="22"/>
          <w:szCs w:val="22"/>
          <w:lang w:val="en-US"/>
        </w:rPr>
      </w:pPr>
      <w:hyperlink w:anchor="_Toc400097955" w:history="1">
        <w:r w:rsidR="009F5B36" w:rsidRPr="00944C4D">
          <w:rPr>
            <w:rStyle w:val="Hyperlink"/>
          </w:rPr>
          <w:t>Funding comparisons: NPSL-funded versus hospital-funded</w:t>
        </w:r>
        <w:r w:rsidR="009F5B36">
          <w:rPr>
            <w:webHidden/>
          </w:rPr>
          <w:tab/>
        </w:r>
        <w:r w:rsidR="009F5B36">
          <w:rPr>
            <w:webHidden/>
          </w:rPr>
          <w:fldChar w:fldCharType="begin"/>
        </w:r>
        <w:r w:rsidR="009F5B36">
          <w:rPr>
            <w:webHidden/>
          </w:rPr>
          <w:instrText xml:space="preserve"> PAGEREF _Toc400097955 \h </w:instrText>
        </w:r>
        <w:r w:rsidR="009F5B36">
          <w:rPr>
            <w:webHidden/>
          </w:rPr>
        </w:r>
        <w:r w:rsidR="009F5B36">
          <w:rPr>
            <w:webHidden/>
          </w:rPr>
          <w:fldChar w:fldCharType="separate"/>
        </w:r>
        <w:r w:rsidR="009F5B36">
          <w:rPr>
            <w:webHidden/>
          </w:rPr>
          <w:t>28</w:t>
        </w:r>
        <w:r w:rsidR="009F5B36">
          <w:rPr>
            <w:webHidden/>
          </w:rPr>
          <w:fldChar w:fldCharType="end"/>
        </w:r>
      </w:hyperlink>
    </w:p>
    <w:p w14:paraId="664AAA91" w14:textId="77777777" w:rsidR="009F5B36" w:rsidRDefault="00EA5D58">
      <w:pPr>
        <w:pStyle w:val="TOC2"/>
        <w:rPr>
          <w:rFonts w:asciiTheme="minorHAnsi" w:eastAsiaTheme="minorEastAsia" w:hAnsiTheme="minorHAnsi" w:cstheme="minorBidi"/>
          <w:sz w:val="22"/>
          <w:szCs w:val="22"/>
          <w:lang w:val="en-US"/>
        </w:rPr>
      </w:pPr>
      <w:hyperlink w:anchor="_Toc400097956" w:history="1">
        <w:r w:rsidR="009F5B36" w:rsidRPr="00944C4D">
          <w:rPr>
            <w:rStyle w:val="Hyperlink"/>
          </w:rPr>
          <w:t>Treatment comparators for C1-INH concentrate</w:t>
        </w:r>
        <w:r w:rsidR="009F5B36">
          <w:rPr>
            <w:webHidden/>
          </w:rPr>
          <w:tab/>
        </w:r>
        <w:r w:rsidR="009F5B36">
          <w:rPr>
            <w:webHidden/>
          </w:rPr>
          <w:fldChar w:fldCharType="begin"/>
        </w:r>
        <w:r w:rsidR="009F5B36">
          <w:rPr>
            <w:webHidden/>
          </w:rPr>
          <w:instrText xml:space="preserve"> PAGEREF _Toc400097956 \h </w:instrText>
        </w:r>
        <w:r w:rsidR="009F5B36">
          <w:rPr>
            <w:webHidden/>
          </w:rPr>
        </w:r>
        <w:r w:rsidR="009F5B36">
          <w:rPr>
            <w:webHidden/>
          </w:rPr>
          <w:fldChar w:fldCharType="separate"/>
        </w:r>
        <w:r w:rsidR="009F5B36">
          <w:rPr>
            <w:webHidden/>
          </w:rPr>
          <w:t>28</w:t>
        </w:r>
        <w:r w:rsidR="009F5B36">
          <w:rPr>
            <w:webHidden/>
          </w:rPr>
          <w:fldChar w:fldCharType="end"/>
        </w:r>
      </w:hyperlink>
    </w:p>
    <w:p w14:paraId="597E577D"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57" w:history="1">
        <w:r w:rsidR="009F5B36" w:rsidRPr="00944C4D">
          <w:rPr>
            <w:rStyle w:val="Hyperlink"/>
          </w:rPr>
          <w:t>Clinical and economic claim</w:t>
        </w:r>
        <w:r w:rsidR="009F5B36">
          <w:rPr>
            <w:webHidden/>
          </w:rPr>
          <w:tab/>
        </w:r>
        <w:r w:rsidR="009F5B36">
          <w:rPr>
            <w:webHidden/>
          </w:rPr>
          <w:fldChar w:fldCharType="begin"/>
        </w:r>
        <w:r w:rsidR="009F5B36">
          <w:rPr>
            <w:webHidden/>
          </w:rPr>
          <w:instrText xml:space="preserve"> PAGEREF _Toc400097957 \h </w:instrText>
        </w:r>
        <w:r w:rsidR="009F5B36">
          <w:rPr>
            <w:webHidden/>
          </w:rPr>
        </w:r>
        <w:r w:rsidR="009F5B36">
          <w:rPr>
            <w:webHidden/>
          </w:rPr>
          <w:fldChar w:fldCharType="separate"/>
        </w:r>
        <w:r w:rsidR="009F5B36">
          <w:rPr>
            <w:webHidden/>
          </w:rPr>
          <w:t>30</w:t>
        </w:r>
        <w:r w:rsidR="009F5B36">
          <w:rPr>
            <w:webHidden/>
          </w:rPr>
          <w:fldChar w:fldCharType="end"/>
        </w:r>
      </w:hyperlink>
    </w:p>
    <w:p w14:paraId="5EEF35F1" w14:textId="77777777" w:rsidR="009F5B36" w:rsidRDefault="00EA5D58">
      <w:pPr>
        <w:pStyle w:val="TOC2"/>
        <w:rPr>
          <w:rFonts w:asciiTheme="minorHAnsi" w:eastAsiaTheme="minorEastAsia" w:hAnsiTheme="minorHAnsi" w:cstheme="minorBidi"/>
          <w:sz w:val="22"/>
          <w:szCs w:val="22"/>
          <w:lang w:val="en-US"/>
        </w:rPr>
      </w:pPr>
      <w:hyperlink w:anchor="_Toc400097958" w:history="1">
        <w:r w:rsidR="009F5B36" w:rsidRPr="00944C4D">
          <w:rPr>
            <w:rStyle w:val="Hyperlink"/>
          </w:rPr>
          <w:t>Claim for acute HAE attacks</w:t>
        </w:r>
        <w:r w:rsidR="009F5B36">
          <w:rPr>
            <w:webHidden/>
          </w:rPr>
          <w:tab/>
        </w:r>
        <w:r w:rsidR="009F5B36">
          <w:rPr>
            <w:webHidden/>
          </w:rPr>
          <w:fldChar w:fldCharType="begin"/>
        </w:r>
        <w:r w:rsidR="009F5B36">
          <w:rPr>
            <w:webHidden/>
          </w:rPr>
          <w:instrText xml:space="preserve"> PAGEREF _Toc400097958 \h </w:instrText>
        </w:r>
        <w:r w:rsidR="009F5B36">
          <w:rPr>
            <w:webHidden/>
          </w:rPr>
        </w:r>
        <w:r w:rsidR="009F5B36">
          <w:rPr>
            <w:webHidden/>
          </w:rPr>
          <w:fldChar w:fldCharType="separate"/>
        </w:r>
        <w:r w:rsidR="009F5B36">
          <w:rPr>
            <w:webHidden/>
          </w:rPr>
          <w:t>30</w:t>
        </w:r>
        <w:r w:rsidR="009F5B36">
          <w:rPr>
            <w:webHidden/>
          </w:rPr>
          <w:fldChar w:fldCharType="end"/>
        </w:r>
      </w:hyperlink>
    </w:p>
    <w:p w14:paraId="19F54F19" w14:textId="77777777" w:rsidR="009F5B36" w:rsidRDefault="00EA5D58">
      <w:pPr>
        <w:pStyle w:val="TOC3"/>
        <w:rPr>
          <w:rFonts w:asciiTheme="minorHAnsi" w:eastAsiaTheme="minorEastAsia" w:hAnsiTheme="minorHAnsi" w:cstheme="minorBidi"/>
          <w:sz w:val="22"/>
          <w:szCs w:val="22"/>
          <w:lang w:val="en-US"/>
        </w:rPr>
      </w:pPr>
      <w:hyperlink w:anchor="_Toc400097959" w:history="1">
        <w:r w:rsidR="009F5B36" w:rsidRPr="00944C4D">
          <w:rPr>
            <w:rStyle w:val="Hyperlink"/>
          </w:rPr>
          <w:t>Treatment comparison</w:t>
        </w:r>
        <w:r w:rsidR="009F5B36">
          <w:rPr>
            <w:webHidden/>
          </w:rPr>
          <w:tab/>
        </w:r>
        <w:r w:rsidR="009F5B36">
          <w:rPr>
            <w:webHidden/>
          </w:rPr>
          <w:fldChar w:fldCharType="begin"/>
        </w:r>
        <w:r w:rsidR="009F5B36">
          <w:rPr>
            <w:webHidden/>
          </w:rPr>
          <w:instrText xml:space="preserve"> PAGEREF _Toc400097959 \h </w:instrText>
        </w:r>
        <w:r w:rsidR="009F5B36">
          <w:rPr>
            <w:webHidden/>
          </w:rPr>
        </w:r>
        <w:r w:rsidR="009F5B36">
          <w:rPr>
            <w:webHidden/>
          </w:rPr>
          <w:fldChar w:fldCharType="separate"/>
        </w:r>
        <w:r w:rsidR="009F5B36">
          <w:rPr>
            <w:webHidden/>
          </w:rPr>
          <w:t>30</w:t>
        </w:r>
        <w:r w:rsidR="009F5B36">
          <w:rPr>
            <w:webHidden/>
          </w:rPr>
          <w:fldChar w:fldCharType="end"/>
        </w:r>
      </w:hyperlink>
    </w:p>
    <w:p w14:paraId="72E81ED0" w14:textId="77777777" w:rsidR="009F5B36" w:rsidRDefault="00EA5D58">
      <w:pPr>
        <w:pStyle w:val="TOC3"/>
        <w:rPr>
          <w:rFonts w:asciiTheme="minorHAnsi" w:eastAsiaTheme="minorEastAsia" w:hAnsiTheme="minorHAnsi" w:cstheme="minorBidi"/>
          <w:sz w:val="22"/>
          <w:szCs w:val="22"/>
          <w:lang w:val="en-US"/>
        </w:rPr>
      </w:pPr>
      <w:hyperlink w:anchor="_Toc400097960" w:history="1">
        <w:r w:rsidR="009F5B36" w:rsidRPr="00944C4D">
          <w:rPr>
            <w:rStyle w:val="Hyperlink"/>
          </w:rPr>
          <w:t>Setting comparison</w:t>
        </w:r>
        <w:r w:rsidR="009F5B36">
          <w:rPr>
            <w:webHidden/>
          </w:rPr>
          <w:tab/>
        </w:r>
        <w:r w:rsidR="009F5B36">
          <w:rPr>
            <w:webHidden/>
          </w:rPr>
          <w:fldChar w:fldCharType="begin"/>
        </w:r>
        <w:r w:rsidR="009F5B36">
          <w:rPr>
            <w:webHidden/>
          </w:rPr>
          <w:instrText xml:space="preserve"> PAGEREF _Toc400097960 \h </w:instrText>
        </w:r>
        <w:r w:rsidR="009F5B36">
          <w:rPr>
            <w:webHidden/>
          </w:rPr>
        </w:r>
        <w:r w:rsidR="009F5B36">
          <w:rPr>
            <w:webHidden/>
          </w:rPr>
          <w:fldChar w:fldCharType="separate"/>
        </w:r>
        <w:r w:rsidR="009F5B36">
          <w:rPr>
            <w:webHidden/>
          </w:rPr>
          <w:t>31</w:t>
        </w:r>
        <w:r w:rsidR="009F5B36">
          <w:rPr>
            <w:webHidden/>
          </w:rPr>
          <w:fldChar w:fldCharType="end"/>
        </w:r>
      </w:hyperlink>
    </w:p>
    <w:p w14:paraId="4DF2FC43" w14:textId="77777777" w:rsidR="009F5B36" w:rsidRDefault="00EA5D58">
      <w:pPr>
        <w:pStyle w:val="TOC3"/>
        <w:rPr>
          <w:rFonts w:asciiTheme="minorHAnsi" w:eastAsiaTheme="minorEastAsia" w:hAnsiTheme="minorHAnsi" w:cstheme="minorBidi"/>
          <w:sz w:val="22"/>
          <w:szCs w:val="22"/>
          <w:lang w:val="en-US"/>
        </w:rPr>
      </w:pPr>
      <w:hyperlink w:anchor="_Toc400097961" w:history="1">
        <w:r w:rsidR="009F5B36" w:rsidRPr="00944C4D">
          <w:rPr>
            <w:rStyle w:val="Hyperlink"/>
          </w:rPr>
          <w:t>Funding comparison</w:t>
        </w:r>
        <w:r w:rsidR="009F5B36">
          <w:rPr>
            <w:webHidden/>
          </w:rPr>
          <w:tab/>
        </w:r>
        <w:r w:rsidR="009F5B36">
          <w:rPr>
            <w:webHidden/>
          </w:rPr>
          <w:fldChar w:fldCharType="begin"/>
        </w:r>
        <w:r w:rsidR="009F5B36">
          <w:rPr>
            <w:webHidden/>
          </w:rPr>
          <w:instrText xml:space="preserve"> PAGEREF _Toc400097961 \h </w:instrText>
        </w:r>
        <w:r w:rsidR="009F5B36">
          <w:rPr>
            <w:webHidden/>
          </w:rPr>
        </w:r>
        <w:r w:rsidR="009F5B36">
          <w:rPr>
            <w:webHidden/>
          </w:rPr>
          <w:fldChar w:fldCharType="separate"/>
        </w:r>
        <w:r w:rsidR="009F5B36">
          <w:rPr>
            <w:webHidden/>
          </w:rPr>
          <w:t>31</w:t>
        </w:r>
        <w:r w:rsidR="009F5B36">
          <w:rPr>
            <w:webHidden/>
          </w:rPr>
          <w:fldChar w:fldCharType="end"/>
        </w:r>
      </w:hyperlink>
    </w:p>
    <w:p w14:paraId="7DC462FD" w14:textId="77777777" w:rsidR="009F5B36" w:rsidRDefault="00EA5D58">
      <w:pPr>
        <w:pStyle w:val="TOC2"/>
        <w:rPr>
          <w:rFonts w:asciiTheme="minorHAnsi" w:eastAsiaTheme="minorEastAsia" w:hAnsiTheme="minorHAnsi" w:cstheme="minorBidi"/>
          <w:sz w:val="22"/>
          <w:szCs w:val="22"/>
          <w:lang w:val="en-US"/>
        </w:rPr>
      </w:pPr>
      <w:hyperlink w:anchor="_Toc400097962" w:history="1">
        <w:r w:rsidR="009F5B36" w:rsidRPr="00944C4D">
          <w:rPr>
            <w:rStyle w:val="Hyperlink"/>
          </w:rPr>
          <w:t>Claim for prophylaxis prior to major procedures</w:t>
        </w:r>
        <w:r w:rsidR="009F5B36">
          <w:rPr>
            <w:webHidden/>
          </w:rPr>
          <w:tab/>
        </w:r>
        <w:r w:rsidR="009F5B36">
          <w:rPr>
            <w:webHidden/>
          </w:rPr>
          <w:fldChar w:fldCharType="begin"/>
        </w:r>
        <w:r w:rsidR="009F5B36">
          <w:rPr>
            <w:webHidden/>
          </w:rPr>
          <w:instrText xml:space="preserve"> PAGEREF _Toc400097962 \h </w:instrText>
        </w:r>
        <w:r w:rsidR="009F5B36">
          <w:rPr>
            <w:webHidden/>
          </w:rPr>
        </w:r>
        <w:r w:rsidR="009F5B36">
          <w:rPr>
            <w:webHidden/>
          </w:rPr>
          <w:fldChar w:fldCharType="separate"/>
        </w:r>
        <w:r w:rsidR="009F5B36">
          <w:rPr>
            <w:webHidden/>
          </w:rPr>
          <w:t>31</w:t>
        </w:r>
        <w:r w:rsidR="009F5B36">
          <w:rPr>
            <w:webHidden/>
          </w:rPr>
          <w:fldChar w:fldCharType="end"/>
        </w:r>
      </w:hyperlink>
    </w:p>
    <w:p w14:paraId="72167D24" w14:textId="77777777" w:rsidR="009F5B36" w:rsidRDefault="00EA5D58">
      <w:pPr>
        <w:pStyle w:val="TOC3"/>
        <w:rPr>
          <w:rFonts w:asciiTheme="minorHAnsi" w:eastAsiaTheme="minorEastAsia" w:hAnsiTheme="minorHAnsi" w:cstheme="minorBidi"/>
          <w:sz w:val="22"/>
          <w:szCs w:val="22"/>
          <w:lang w:val="en-US"/>
        </w:rPr>
      </w:pPr>
      <w:hyperlink w:anchor="_Toc400097963" w:history="1">
        <w:r w:rsidR="009F5B36" w:rsidRPr="00944C4D">
          <w:rPr>
            <w:rStyle w:val="Hyperlink"/>
          </w:rPr>
          <w:t>Treatment comparison</w:t>
        </w:r>
        <w:r w:rsidR="009F5B36">
          <w:rPr>
            <w:webHidden/>
          </w:rPr>
          <w:tab/>
        </w:r>
        <w:r w:rsidR="009F5B36">
          <w:rPr>
            <w:webHidden/>
          </w:rPr>
          <w:fldChar w:fldCharType="begin"/>
        </w:r>
        <w:r w:rsidR="009F5B36">
          <w:rPr>
            <w:webHidden/>
          </w:rPr>
          <w:instrText xml:space="preserve"> PAGEREF _Toc400097963 \h </w:instrText>
        </w:r>
        <w:r w:rsidR="009F5B36">
          <w:rPr>
            <w:webHidden/>
          </w:rPr>
        </w:r>
        <w:r w:rsidR="009F5B36">
          <w:rPr>
            <w:webHidden/>
          </w:rPr>
          <w:fldChar w:fldCharType="separate"/>
        </w:r>
        <w:r w:rsidR="009F5B36">
          <w:rPr>
            <w:webHidden/>
          </w:rPr>
          <w:t>31</w:t>
        </w:r>
        <w:r w:rsidR="009F5B36">
          <w:rPr>
            <w:webHidden/>
          </w:rPr>
          <w:fldChar w:fldCharType="end"/>
        </w:r>
      </w:hyperlink>
    </w:p>
    <w:p w14:paraId="63CBCA62" w14:textId="77777777" w:rsidR="009F5B36" w:rsidRDefault="00EA5D58">
      <w:pPr>
        <w:pStyle w:val="TOC3"/>
        <w:rPr>
          <w:rFonts w:asciiTheme="minorHAnsi" w:eastAsiaTheme="minorEastAsia" w:hAnsiTheme="minorHAnsi" w:cstheme="minorBidi"/>
          <w:sz w:val="22"/>
          <w:szCs w:val="22"/>
          <w:lang w:val="en-US"/>
        </w:rPr>
      </w:pPr>
      <w:hyperlink w:anchor="_Toc400097964" w:history="1">
        <w:r w:rsidR="009F5B36" w:rsidRPr="00944C4D">
          <w:rPr>
            <w:rStyle w:val="Hyperlink"/>
          </w:rPr>
          <w:t>Setting comparison</w:t>
        </w:r>
        <w:r w:rsidR="009F5B36">
          <w:rPr>
            <w:webHidden/>
          </w:rPr>
          <w:tab/>
        </w:r>
        <w:r w:rsidR="009F5B36">
          <w:rPr>
            <w:webHidden/>
          </w:rPr>
          <w:fldChar w:fldCharType="begin"/>
        </w:r>
        <w:r w:rsidR="009F5B36">
          <w:rPr>
            <w:webHidden/>
          </w:rPr>
          <w:instrText xml:space="preserve"> PAGEREF _Toc400097964 \h </w:instrText>
        </w:r>
        <w:r w:rsidR="009F5B36">
          <w:rPr>
            <w:webHidden/>
          </w:rPr>
        </w:r>
        <w:r w:rsidR="009F5B36">
          <w:rPr>
            <w:webHidden/>
          </w:rPr>
          <w:fldChar w:fldCharType="separate"/>
        </w:r>
        <w:r w:rsidR="009F5B36">
          <w:rPr>
            <w:webHidden/>
          </w:rPr>
          <w:t>32</w:t>
        </w:r>
        <w:r w:rsidR="009F5B36">
          <w:rPr>
            <w:webHidden/>
          </w:rPr>
          <w:fldChar w:fldCharType="end"/>
        </w:r>
      </w:hyperlink>
    </w:p>
    <w:p w14:paraId="1C1FF8A1" w14:textId="77777777" w:rsidR="009F5B36" w:rsidRDefault="00EA5D58">
      <w:pPr>
        <w:pStyle w:val="TOC3"/>
        <w:rPr>
          <w:rFonts w:asciiTheme="minorHAnsi" w:eastAsiaTheme="minorEastAsia" w:hAnsiTheme="minorHAnsi" w:cstheme="minorBidi"/>
          <w:sz w:val="22"/>
          <w:szCs w:val="22"/>
          <w:lang w:val="en-US"/>
        </w:rPr>
      </w:pPr>
      <w:hyperlink w:anchor="_Toc400097965" w:history="1">
        <w:r w:rsidR="009F5B36" w:rsidRPr="00944C4D">
          <w:rPr>
            <w:rStyle w:val="Hyperlink"/>
          </w:rPr>
          <w:t>Funding comparison</w:t>
        </w:r>
        <w:r w:rsidR="009F5B36">
          <w:rPr>
            <w:webHidden/>
          </w:rPr>
          <w:tab/>
        </w:r>
        <w:r w:rsidR="009F5B36">
          <w:rPr>
            <w:webHidden/>
          </w:rPr>
          <w:fldChar w:fldCharType="begin"/>
        </w:r>
        <w:r w:rsidR="009F5B36">
          <w:rPr>
            <w:webHidden/>
          </w:rPr>
          <w:instrText xml:space="preserve"> PAGEREF _Toc400097965 \h </w:instrText>
        </w:r>
        <w:r w:rsidR="009F5B36">
          <w:rPr>
            <w:webHidden/>
          </w:rPr>
        </w:r>
        <w:r w:rsidR="009F5B36">
          <w:rPr>
            <w:webHidden/>
          </w:rPr>
          <w:fldChar w:fldCharType="separate"/>
        </w:r>
        <w:r w:rsidR="009F5B36">
          <w:rPr>
            <w:webHidden/>
          </w:rPr>
          <w:t>32</w:t>
        </w:r>
        <w:r w:rsidR="009F5B36">
          <w:rPr>
            <w:webHidden/>
          </w:rPr>
          <w:fldChar w:fldCharType="end"/>
        </w:r>
      </w:hyperlink>
    </w:p>
    <w:p w14:paraId="119208F7" w14:textId="77777777" w:rsidR="009F5B36" w:rsidRDefault="00EA5D58">
      <w:pPr>
        <w:pStyle w:val="TOC2"/>
        <w:rPr>
          <w:rFonts w:asciiTheme="minorHAnsi" w:eastAsiaTheme="minorEastAsia" w:hAnsiTheme="minorHAnsi" w:cstheme="minorBidi"/>
          <w:sz w:val="22"/>
          <w:szCs w:val="22"/>
          <w:lang w:val="en-US"/>
        </w:rPr>
      </w:pPr>
      <w:hyperlink w:anchor="_Toc400097966" w:history="1">
        <w:r w:rsidR="009F5B36" w:rsidRPr="00944C4D">
          <w:rPr>
            <w:rStyle w:val="Hyperlink"/>
          </w:rPr>
          <w:t>Claim for routine prophylaxis</w:t>
        </w:r>
        <w:r w:rsidR="009F5B36">
          <w:rPr>
            <w:webHidden/>
          </w:rPr>
          <w:tab/>
        </w:r>
        <w:r w:rsidR="009F5B36">
          <w:rPr>
            <w:webHidden/>
          </w:rPr>
          <w:fldChar w:fldCharType="begin"/>
        </w:r>
        <w:r w:rsidR="009F5B36">
          <w:rPr>
            <w:webHidden/>
          </w:rPr>
          <w:instrText xml:space="preserve"> PAGEREF _Toc400097966 \h </w:instrText>
        </w:r>
        <w:r w:rsidR="009F5B36">
          <w:rPr>
            <w:webHidden/>
          </w:rPr>
        </w:r>
        <w:r w:rsidR="009F5B36">
          <w:rPr>
            <w:webHidden/>
          </w:rPr>
          <w:fldChar w:fldCharType="separate"/>
        </w:r>
        <w:r w:rsidR="009F5B36">
          <w:rPr>
            <w:webHidden/>
          </w:rPr>
          <w:t>32</w:t>
        </w:r>
        <w:r w:rsidR="009F5B36">
          <w:rPr>
            <w:webHidden/>
          </w:rPr>
          <w:fldChar w:fldCharType="end"/>
        </w:r>
      </w:hyperlink>
    </w:p>
    <w:p w14:paraId="2A6EA25B" w14:textId="77777777" w:rsidR="009F5B36" w:rsidRDefault="00EA5D58">
      <w:pPr>
        <w:pStyle w:val="TOC3"/>
        <w:rPr>
          <w:rFonts w:asciiTheme="minorHAnsi" w:eastAsiaTheme="minorEastAsia" w:hAnsiTheme="minorHAnsi" w:cstheme="minorBidi"/>
          <w:sz w:val="22"/>
          <w:szCs w:val="22"/>
          <w:lang w:val="en-US"/>
        </w:rPr>
      </w:pPr>
      <w:hyperlink w:anchor="_Toc400097967" w:history="1">
        <w:r w:rsidR="009F5B36" w:rsidRPr="00944C4D">
          <w:rPr>
            <w:rStyle w:val="Hyperlink"/>
          </w:rPr>
          <w:t>Treatment comparison</w:t>
        </w:r>
        <w:r w:rsidR="009F5B36">
          <w:rPr>
            <w:webHidden/>
          </w:rPr>
          <w:tab/>
        </w:r>
        <w:r w:rsidR="009F5B36">
          <w:rPr>
            <w:webHidden/>
          </w:rPr>
          <w:fldChar w:fldCharType="begin"/>
        </w:r>
        <w:r w:rsidR="009F5B36">
          <w:rPr>
            <w:webHidden/>
          </w:rPr>
          <w:instrText xml:space="preserve"> PAGEREF _Toc400097967 \h </w:instrText>
        </w:r>
        <w:r w:rsidR="009F5B36">
          <w:rPr>
            <w:webHidden/>
          </w:rPr>
        </w:r>
        <w:r w:rsidR="009F5B36">
          <w:rPr>
            <w:webHidden/>
          </w:rPr>
          <w:fldChar w:fldCharType="separate"/>
        </w:r>
        <w:r w:rsidR="009F5B36">
          <w:rPr>
            <w:webHidden/>
          </w:rPr>
          <w:t>32</w:t>
        </w:r>
        <w:r w:rsidR="009F5B36">
          <w:rPr>
            <w:webHidden/>
          </w:rPr>
          <w:fldChar w:fldCharType="end"/>
        </w:r>
      </w:hyperlink>
    </w:p>
    <w:p w14:paraId="7157407E" w14:textId="77777777" w:rsidR="009F5B36" w:rsidRDefault="00EA5D58">
      <w:pPr>
        <w:pStyle w:val="TOC3"/>
        <w:rPr>
          <w:rFonts w:asciiTheme="minorHAnsi" w:eastAsiaTheme="minorEastAsia" w:hAnsiTheme="minorHAnsi" w:cstheme="minorBidi"/>
          <w:sz w:val="22"/>
          <w:szCs w:val="22"/>
          <w:lang w:val="en-US"/>
        </w:rPr>
      </w:pPr>
      <w:hyperlink w:anchor="_Toc400097968" w:history="1">
        <w:r w:rsidR="009F5B36" w:rsidRPr="00944C4D">
          <w:rPr>
            <w:rStyle w:val="Hyperlink"/>
          </w:rPr>
          <w:t>Setting comparison</w:t>
        </w:r>
        <w:r w:rsidR="009F5B36">
          <w:rPr>
            <w:webHidden/>
          </w:rPr>
          <w:tab/>
        </w:r>
        <w:r w:rsidR="009F5B36">
          <w:rPr>
            <w:webHidden/>
          </w:rPr>
          <w:fldChar w:fldCharType="begin"/>
        </w:r>
        <w:r w:rsidR="009F5B36">
          <w:rPr>
            <w:webHidden/>
          </w:rPr>
          <w:instrText xml:space="preserve"> PAGEREF _Toc400097968 \h </w:instrText>
        </w:r>
        <w:r w:rsidR="009F5B36">
          <w:rPr>
            <w:webHidden/>
          </w:rPr>
        </w:r>
        <w:r w:rsidR="009F5B36">
          <w:rPr>
            <w:webHidden/>
          </w:rPr>
          <w:fldChar w:fldCharType="separate"/>
        </w:r>
        <w:r w:rsidR="009F5B36">
          <w:rPr>
            <w:webHidden/>
          </w:rPr>
          <w:t>33</w:t>
        </w:r>
        <w:r w:rsidR="009F5B36">
          <w:rPr>
            <w:webHidden/>
          </w:rPr>
          <w:fldChar w:fldCharType="end"/>
        </w:r>
      </w:hyperlink>
    </w:p>
    <w:p w14:paraId="3B520DE5" w14:textId="77777777" w:rsidR="009F5B36" w:rsidRDefault="00EA5D58">
      <w:pPr>
        <w:pStyle w:val="TOC3"/>
        <w:rPr>
          <w:rFonts w:asciiTheme="minorHAnsi" w:eastAsiaTheme="minorEastAsia" w:hAnsiTheme="minorHAnsi" w:cstheme="minorBidi"/>
          <w:sz w:val="22"/>
          <w:szCs w:val="22"/>
          <w:lang w:val="en-US"/>
        </w:rPr>
      </w:pPr>
      <w:hyperlink w:anchor="_Toc400097969" w:history="1">
        <w:r w:rsidR="009F5B36" w:rsidRPr="00944C4D">
          <w:rPr>
            <w:rStyle w:val="Hyperlink"/>
          </w:rPr>
          <w:t>Funding comparison</w:t>
        </w:r>
        <w:r w:rsidR="009F5B36">
          <w:rPr>
            <w:webHidden/>
          </w:rPr>
          <w:tab/>
        </w:r>
        <w:r w:rsidR="009F5B36">
          <w:rPr>
            <w:webHidden/>
          </w:rPr>
          <w:fldChar w:fldCharType="begin"/>
        </w:r>
        <w:r w:rsidR="009F5B36">
          <w:rPr>
            <w:webHidden/>
          </w:rPr>
          <w:instrText xml:space="preserve"> PAGEREF _Toc400097969 \h </w:instrText>
        </w:r>
        <w:r w:rsidR="009F5B36">
          <w:rPr>
            <w:webHidden/>
          </w:rPr>
        </w:r>
        <w:r w:rsidR="009F5B36">
          <w:rPr>
            <w:webHidden/>
          </w:rPr>
          <w:fldChar w:fldCharType="separate"/>
        </w:r>
        <w:r w:rsidR="009F5B36">
          <w:rPr>
            <w:webHidden/>
          </w:rPr>
          <w:t>33</w:t>
        </w:r>
        <w:r w:rsidR="009F5B36">
          <w:rPr>
            <w:webHidden/>
          </w:rPr>
          <w:fldChar w:fldCharType="end"/>
        </w:r>
      </w:hyperlink>
    </w:p>
    <w:p w14:paraId="55EBE83A"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70" w:history="1">
        <w:r w:rsidR="009F5B36" w:rsidRPr="00944C4D">
          <w:rPr>
            <w:rStyle w:val="Hyperlink"/>
            <w:lang w:val="en-GB" w:eastAsia="ja-JP"/>
          </w:rPr>
          <w:t>Summary of PICO to be used for assessment of C1-INH concentrate</w:t>
        </w:r>
        <w:r w:rsidR="009F5B36">
          <w:rPr>
            <w:webHidden/>
          </w:rPr>
          <w:tab/>
        </w:r>
        <w:r w:rsidR="009F5B36">
          <w:rPr>
            <w:webHidden/>
          </w:rPr>
          <w:fldChar w:fldCharType="begin"/>
        </w:r>
        <w:r w:rsidR="009F5B36">
          <w:rPr>
            <w:webHidden/>
          </w:rPr>
          <w:instrText xml:space="preserve"> PAGEREF _Toc400097970 \h </w:instrText>
        </w:r>
        <w:r w:rsidR="009F5B36">
          <w:rPr>
            <w:webHidden/>
          </w:rPr>
        </w:r>
        <w:r w:rsidR="009F5B36">
          <w:rPr>
            <w:webHidden/>
          </w:rPr>
          <w:fldChar w:fldCharType="separate"/>
        </w:r>
        <w:r w:rsidR="009F5B36">
          <w:rPr>
            <w:webHidden/>
          </w:rPr>
          <w:t>34</w:t>
        </w:r>
        <w:r w:rsidR="009F5B36">
          <w:rPr>
            <w:webHidden/>
          </w:rPr>
          <w:fldChar w:fldCharType="end"/>
        </w:r>
      </w:hyperlink>
    </w:p>
    <w:p w14:paraId="5638D156" w14:textId="77777777" w:rsidR="009F5B36" w:rsidRDefault="00EA5D58">
      <w:pPr>
        <w:pStyle w:val="TOC2"/>
        <w:rPr>
          <w:rFonts w:asciiTheme="minorHAnsi" w:eastAsiaTheme="minorEastAsia" w:hAnsiTheme="minorHAnsi" w:cstheme="minorBidi"/>
          <w:sz w:val="22"/>
          <w:szCs w:val="22"/>
          <w:lang w:val="en-US"/>
        </w:rPr>
      </w:pPr>
      <w:hyperlink w:anchor="_Toc400097971" w:history="1">
        <w:r w:rsidR="009F5B36" w:rsidRPr="00944C4D">
          <w:rPr>
            <w:rStyle w:val="Hyperlink"/>
          </w:rPr>
          <w:t>PICO for acute HAE attacks</w:t>
        </w:r>
        <w:r w:rsidR="009F5B36">
          <w:rPr>
            <w:webHidden/>
          </w:rPr>
          <w:tab/>
        </w:r>
        <w:r w:rsidR="009F5B36">
          <w:rPr>
            <w:webHidden/>
          </w:rPr>
          <w:fldChar w:fldCharType="begin"/>
        </w:r>
        <w:r w:rsidR="009F5B36">
          <w:rPr>
            <w:webHidden/>
          </w:rPr>
          <w:instrText xml:space="preserve"> PAGEREF _Toc400097971 \h </w:instrText>
        </w:r>
        <w:r w:rsidR="009F5B36">
          <w:rPr>
            <w:webHidden/>
          </w:rPr>
        </w:r>
        <w:r w:rsidR="009F5B36">
          <w:rPr>
            <w:webHidden/>
          </w:rPr>
          <w:fldChar w:fldCharType="separate"/>
        </w:r>
        <w:r w:rsidR="009F5B36">
          <w:rPr>
            <w:webHidden/>
          </w:rPr>
          <w:t>34</w:t>
        </w:r>
        <w:r w:rsidR="009F5B36">
          <w:rPr>
            <w:webHidden/>
          </w:rPr>
          <w:fldChar w:fldCharType="end"/>
        </w:r>
      </w:hyperlink>
    </w:p>
    <w:p w14:paraId="5CC3A908" w14:textId="77777777" w:rsidR="009F5B36" w:rsidRDefault="00EA5D58">
      <w:pPr>
        <w:pStyle w:val="TOC2"/>
        <w:rPr>
          <w:rFonts w:asciiTheme="minorHAnsi" w:eastAsiaTheme="minorEastAsia" w:hAnsiTheme="minorHAnsi" w:cstheme="minorBidi"/>
          <w:sz w:val="22"/>
          <w:szCs w:val="22"/>
          <w:lang w:val="en-US"/>
        </w:rPr>
      </w:pPr>
      <w:hyperlink w:anchor="_Toc400097972" w:history="1">
        <w:r w:rsidR="009F5B36" w:rsidRPr="00944C4D">
          <w:rPr>
            <w:rStyle w:val="Hyperlink"/>
          </w:rPr>
          <w:t>PICO for prophylaxis with C1-INH concentrate</w:t>
        </w:r>
        <w:r w:rsidR="009F5B36">
          <w:rPr>
            <w:webHidden/>
          </w:rPr>
          <w:tab/>
        </w:r>
        <w:r w:rsidR="009F5B36">
          <w:rPr>
            <w:webHidden/>
          </w:rPr>
          <w:fldChar w:fldCharType="begin"/>
        </w:r>
        <w:r w:rsidR="009F5B36">
          <w:rPr>
            <w:webHidden/>
          </w:rPr>
          <w:instrText xml:space="preserve"> PAGEREF _Toc400097972 \h </w:instrText>
        </w:r>
        <w:r w:rsidR="009F5B36">
          <w:rPr>
            <w:webHidden/>
          </w:rPr>
        </w:r>
        <w:r w:rsidR="009F5B36">
          <w:rPr>
            <w:webHidden/>
          </w:rPr>
          <w:fldChar w:fldCharType="separate"/>
        </w:r>
        <w:r w:rsidR="009F5B36">
          <w:rPr>
            <w:webHidden/>
          </w:rPr>
          <w:t>35</w:t>
        </w:r>
        <w:r w:rsidR="009F5B36">
          <w:rPr>
            <w:webHidden/>
          </w:rPr>
          <w:fldChar w:fldCharType="end"/>
        </w:r>
      </w:hyperlink>
    </w:p>
    <w:p w14:paraId="59387B1C" w14:textId="77777777" w:rsidR="009F5B36" w:rsidRDefault="00EA5D58">
      <w:pPr>
        <w:pStyle w:val="TOC3"/>
        <w:rPr>
          <w:rFonts w:asciiTheme="minorHAnsi" w:eastAsiaTheme="minorEastAsia" w:hAnsiTheme="minorHAnsi" w:cstheme="minorBidi"/>
          <w:sz w:val="22"/>
          <w:szCs w:val="22"/>
          <w:lang w:val="en-US"/>
        </w:rPr>
      </w:pPr>
      <w:hyperlink w:anchor="_Toc400097973" w:history="1">
        <w:r w:rsidR="009F5B36" w:rsidRPr="00944C4D">
          <w:rPr>
            <w:rStyle w:val="Hyperlink"/>
          </w:rPr>
          <w:t>PICO for pre-procedure prophylaxis</w:t>
        </w:r>
        <w:r w:rsidR="009F5B36">
          <w:rPr>
            <w:webHidden/>
          </w:rPr>
          <w:tab/>
        </w:r>
        <w:r w:rsidR="009F5B36">
          <w:rPr>
            <w:webHidden/>
          </w:rPr>
          <w:fldChar w:fldCharType="begin"/>
        </w:r>
        <w:r w:rsidR="009F5B36">
          <w:rPr>
            <w:webHidden/>
          </w:rPr>
          <w:instrText xml:space="preserve"> PAGEREF _Toc400097973 \h </w:instrText>
        </w:r>
        <w:r w:rsidR="009F5B36">
          <w:rPr>
            <w:webHidden/>
          </w:rPr>
        </w:r>
        <w:r w:rsidR="009F5B36">
          <w:rPr>
            <w:webHidden/>
          </w:rPr>
          <w:fldChar w:fldCharType="separate"/>
        </w:r>
        <w:r w:rsidR="009F5B36">
          <w:rPr>
            <w:webHidden/>
          </w:rPr>
          <w:t>35</w:t>
        </w:r>
        <w:r w:rsidR="009F5B36">
          <w:rPr>
            <w:webHidden/>
          </w:rPr>
          <w:fldChar w:fldCharType="end"/>
        </w:r>
      </w:hyperlink>
    </w:p>
    <w:p w14:paraId="66D7CDE4" w14:textId="77777777" w:rsidR="009F5B36" w:rsidRDefault="00EA5D58">
      <w:pPr>
        <w:pStyle w:val="TOC3"/>
        <w:rPr>
          <w:rFonts w:asciiTheme="minorHAnsi" w:eastAsiaTheme="minorEastAsia" w:hAnsiTheme="minorHAnsi" w:cstheme="minorBidi"/>
          <w:sz w:val="22"/>
          <w:szCs w:val="22"/>
          <w:lang w:val="en-US"/>
        </w:rPr>
      </w:pPr>
      <w:hyperlink w:anchor="_Toc400097974" w:history="1">
        <w:r w:rsidR="009F5B36" w:rsidRPr="00944C4D">
          <w:rPr>
            <w:rStyle w:val="Hyperlink"/>
          </w:rPr>
          <w:t>PICO for routine prophylaxis</w:t>
        </w:r>
        <w:r w:rsidR="009F5B36">
          <w:rPr>
            <w:webHidden/>
          </w:rPr>
          <w:tab/>
        </w:r>
        <w:r w:rsidR="009F5B36">
          <w:rPr>
            <w:webHidden/>
          </w:rPr>
          <w:fldChar w:fldCharType="begin"/>
        </w:r>
        <w:r w:rsidR="009F5B36">
          <w:rPr>
            <w:webHidden/>
          </w:rPr>
          <w:instrText xml:space="preserve"> PAGEREF _Toc400097974 \h </w:instrText>
        </w:r>
        <w:r w:rsidR="009F5B36">
          <w:rPr>
            <w:webHidden/>
          </w:rPr>
        </w:r>
        <w:r w:rsidR="009F5B36">
          <w:rPr>
            <w:webHidden/>
          </w:rPr>
          <w:fldChar w:fldCharType="separate"/>
        </w:r>
        <w:r w:rsidR="009F5B36">
          <w:rPr>
            <w:webHidden/>
          </w:rPr>
          <w:t>36</w:t>
        </w:r>
        <w:r w:rsidR="009F5B36">
          <w:rPr>
            <w:webHidden/>
          </w:rPr>
          <w:fldChar w:fldCharType="end"/>
        </w:r>
      </w:hyperlink>
    </w:p>
    <w:p w14:paraId="0002932D" w14:textId="77777777" w:rsidR="009F5B36" w:rsidRDefault="00EA5D58">
      <w:pPr>
        <w:pStyle w:val="TOC2"/>
        <w:rPr>
          <w:rFonts w:asciiTheme="minorHAnsi" w:eastAsiaTheme="minorEastAsia" w:hAnsiTheme="minorHAnsi" w:cstheme="minorBidi"/>
          <w:sz w:val="22"/>
          <w:szCs w:val="22"/>
          <w:lang w:val="en-US"/>
        </w:rPr>
      </w:pPr>
      <w:hyperlink w:anchor="_Toc400097975" w:history="1">
        <w:r w:rsidR="009F5B36" w:rsidRPr="00944C4D">
          <w:rPr>
            <w:rStyle w:val="Hyperlink"/>
          </w:rPr>
          <w:t>Health care resources</w:t>
        </w:r>
        <w:r w:rsidR="009F5B36">
          <w:rPr>
            <w:webHidden/>
          </w:rPr>
          <w:tab/>
        </w:r>
        <w:r w:rsidR="009F5B36">
          <w:rPr>
            <w:webHidden/>
          </w:rPr>
          <w:fldChar w:fldCharType="begin"/>
        </w:r>
        <w:r w:rsidR="009F5B36">
          <w:rPr>
            <w:webHidden/>
          </w:rPr>
          <w:instrText xml:space="preserve"> PAGEREF _Toc400097975 \h </w:instrText>
        </w:r>
        <w:r w:rsidR="009F5B36">
          <w:rPr>
            <w:webHidden/>
          </w:rPr>
        </w:r>
        <w:r w:rsidR="009F5B36">
          <w:rPr>
            <w:webHidden/>
          </w:rPr>
          <w:fldChar w:fldCharType="separate"/>
        </w:r>
        <w:r w:rsidR="009F5B36">
          <w:rPr>
            <w:webHidden/>
          </w:rPr>
          <w:t>38</w:t>
        </w:r>
        <w:r w:rsidR="009F5B36">
          <w:rPr>
            <w:webHidden/>
          </w:rPr>
          <w:fldChar w:fldCharType="end"/>
        </w:r>
      </w:hyperlink>
    </w:p>
    <w:p w14:paraId="7DD4D5AC"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76" w:history="1">
        <w:r w:rsidR="009F5B36" w:rsidRPr="00944C4D">
          <w:rPr>
            <w:rStyle w:val="Hyperlink"/>
          </w:rPr>
          <w:t>Additional issues identified by JBC Working Group</w:t>
        </w:r>
        <w:r w:rsidR="009F5B36">
          <w:rPr>
            <w:webHidden/>
          </w:rPr>
          <w:tab/>
        </w:r>
        <w:r w:rsidR="009F5B36">
          <w:rPr>
            <w:webHidden/>
          </w:rPr>
          <w:fldChar w:fldCharType="begin"/>
        </w:r>
        <w:r w:rsidR="009F5B36">
          <w:rPr>
            <w:webHidden/>
          </w:rPr>
          <w:instrText xml:space="preserve"> PAGEREF _Toc400097976 \h </w:instrText>
        </w:r>
        <w:r w:rsidR="009F5B36">
          <w:rPr>
            <w:webHidden/>
          </w:rPr>
        </w:r>
        <w:r w:rsidR="009F5B36">
          <w:rPr>
            <w:webHidden/>
          </w:rPr>
          <w:fldChar w:fldCharType="separate"/>
        </w:r>
        <w:r w:rsidR="009F5B36">
          <w:rPr>
            <w:webHidden/>
          </w:rPr>
          <w:t>40</w:t>
        </w:r>
        <w:r w:rsidR="009F5B36">
          <w:rPr>
            <w:webHidden/>
          </w:rPr>
          <w:fldChar w:fldCharType="end"/>
        </w:r>
      </w:hyperlink>
    </w:p>
    <w:p w14:paraId="69162DC1" w14:textId="77777777" w:rsidR="009F5B36" w:rsidRDefault="00EA5D58">
      <w:pPr>
        <w:pStyle w:val="TOC1"/>
        <w:rPr>
          <w:rFonts w:asciiTheme="minorHAnsi" w:eastAsiaTheme="minorEastAsia" w:hAnsiTheme="minorHAnsi" w:cstheme="minorBidi"/>
          <w:b w:val="0"/>
          <w:sz w:val="22"/>
          <w:szCs w:val="22"/>
          <w:lang w:val="en-US" w:eastAsia="en-US"/>
        </w:rPr>
      </w:pPr>
      <w:hyperlink w:anchor="_Toc400097977" w:history="1">
        <w:r w:rsidR="009F5B36" w:rsidRPr="00944C4D">
          <w:rPr>
            <w:rStyle w:val="Hyperlink"/>
          </w:rPr>
          <w:t>References</w:t>
        </w:r>
        <w:r w:rsidR="009F5B36">
          <w:rPr>
            <w:webHidden/>
          </w:rPr>
          <w:tab/>
        </w:r>
        <w:r w:rsidR="009F5B36">
          <w:rPr>
            <w:webHidden/>
          </w:rPr>
          <w:fldChar w:fldCharType="begin"/>
        </w:r>
        <w:r w:rsidR="009F5B36">
          <w:rPr>
            <w:webHidden/>
          </w:rPr>
          <w:instrText xml:space="preserve"> PAGEREF _Toc400097977 \h </w:instrText>
        </w:r>
        <w:r w:rsidR="009F5B36">
          <w:rPr>
            <w:webHidden/>
          </w:rPr>
        </w:r>
        <w:r w:rsidR="009F5B36">
          <w:rPr>
            <w:webHidden/>
          </w:rPr>
          <w:fldChar w:fldCharType="separate"/>
        </w:r>
        <w:r w:rsidR="009F5B36">
          <w:rPr>
            <w:webHidden/>
          </w:rPr>
          <w:t>41</w:t>
        </w:r>
        <w:r w:rsidR="009F5B36">
          <w:rPr>
            <w:webHidden/>
          </w:rPr>
          <w:fldChar w:fldCharType="end"/>
        </w:r>
      </w:hyperlink>
    </w:p>
    <w:p w14:paraId="12E64013" w14:textId="77777777" w:rsidR="009F5B36" w:rsidRDefault="00EA5D58">
      <w:pPr>
        <w:pStyle w:val="TOC1"/>
        <w:tabs>
          <w:tab w:val="left" w:pos="1418"/>
        </w:tabs>
        <w:rPr>
          <w:rFonts w:asciiTheme="minorHAnsi" w:eastAsiaTheme="minorEastAsia" w:hAnsiTheme="minorHAnsi" w:cstheme="minorBidi"/>
          <w:b w:val="0"/>
          <w:sz w:val="22"/>
          <w:szCs w:val="22"/>
          <w:lang w:val="en-US" w:eastAsia="en-US"/>
        </w:rPr>
      </w:pPr>
      <w:hyperlink w:anchor="_Toc400097978" w:history="1">
        <w:r w:rsidR="009F5B36" w:rsidRPr="00944C4D">
          <w:rPr>
            <w:rStyle w:val="Hyperlink"/>
          </w:rPr>
          <w:t>Appendix A</w:t>
        </w:r>
        <w:r w:rsidR="009F5B36">
          <w:rPr>
            <w:rFonts w:asciiTheme="minorHAnsi" w:eastAsiaTheme="minorEastAsia" w:hAnsiTheme="minorHAnsi" w:cstheme="minorBidi"/>
            <w:b w:val="0"/>
            <w:sz w:val="22"/>
            <w:szCs w:val="22"/>
            <w:lang w:val="en-US" w:eastAsia="en-US"/>
          </w:rPr>
          <w:tab/>
        </w:r>
        <w:r w:rsidR="009F5B36" w:rsidRPr="00944C4D">
          <w:rPr>
            <w:rStyle w:val="Hyperlink"/>
          </w:rPr>
          <w:t>ASCIA treatment recommendations</w:t>
        </w:r>
        <w:r w:rsidR="009F5B36">
          <w:rPr>
            <w:webHidden/>
          </w:rPr>
          <w:tab/>
        </w:r>
        <w:r w:rsidR="009F5B36">
          <w:rPr>
            <w:webHidden/>
          </w:rPr>
          <w:fldChar w:fldCharType="begin"/>
        </w:r>
        <w:r w:rsidR="009F5B36">
          <w:rPr>
            <w:webHidden/>
          </w:rPr>
          <w:instrText xml:space="preserve"> PAGEREF _Toc400097978 \h </w:instrText>
        </w:r>
        <w:r w:rsidR="009F5B36">
          <w:rPr>
            <w:webHidden/>
          </w:rPr>
        </w:r>
        <w:r w:rsidR="009F5B36">
          <w:rPr>
            <w:webHidden/>
          </w:rPr>
          <w:fldChar w:fldCharType="separate"/>
        </w:r>
        <w:r w:rsidR="009F5B36">
          <w:rPr>
            <w:webHidden/>
          </w:rPr>
          <w:t>42</w:t>
        </w:r>
        <w:r w:rsidR="009F5B36">
          <w:rPr>
            <w:webHidden/>
          </w:rPr>
          <w:fldChar w:fldCharType="end"/>
        </w:r>
      </w:hyperlink>
    </w:p>
    <w:p w14:paraId="5B254DF9" w14:textId="77777777" w:rsidR="0005552C" w:rsidRPr="00A34E9C" w:rsidRDefault="0005552C" w:rsidP="0005552C">
      <w:r>
        <w:fldChar w:fldCharType="end"/>
      </w:r>
    </w:p>
    <w:p w14:paraId="412D4012" w14:textId="4166052D" w:rsidR="0005552C" w:rsidRPr="00A34E9C" w:rsidRDefault="0005552C" w:rsidP="0005552C">
      <w:r w:rsidRPr="00A34E9C">
        <w:br w:type="page"/>
      </w:r>
    </w:p>
    <w:p w14:paraId="243ABD87" w14:textId="7C85AF31" w:rsidR="00C77DBE" w:rsidRDefault="00C77DBE" w:rsidP="0005552C">
      <w:pPr>
        <w:pStyle w:val="Heading1"/>
      </w:pPr>
      <w:bookmarkStart w:id="2" w:name="_Toc400097914"/>
      <w:bookmarkStart w:id="3" w:name="_Toc394668182"/>
      <w:bookmarkEnd w:id="0"/>
      <w:r>
        <w:lastRenderedPageBreak/>
        <w:t>National Blood Arrangements</w:t>
      </w:r>
      <w:bookmarkEnd w:id="2"/>
    </w:p>
    <w:p w14:paraId="7FEABF08" w14:textId="63BE3295" w:rsidR="00A070A9" w:rsidRPr="00A070A9" w:rsidRDefault="00A070A9" w:rsidP="00A070A9">
      <w:pPr>
        <w:pStyle w:val="BodyText"/>
      </w:pPr>
      <w:r w:rsidRPr="00A070A9">
        <w:t xml:space="preserve">The national blood arrangements established by the National Blood Agreement provide a specific-purpose scheme for nationally funded supply of blood products under centralised contract arrangements administered by the National Blood Authority.  The blood products funded and supplied under the scheme are specified on the National Product </w:t>
      </w:r>
      <w:r w:rsidR="008C5754">
        <w:t xml:space="preserve">and Services </w:t>
      </w:r>
      <w:r w:rsidRPr="00A070A9">
        <w:t xml:space="preserve">List </w:t>
      </w:r>
      <w:r w:rsidR="008C5754">
        <w:t xml:space="preserve">(NPSL) </w:t>
      </w:r>
      <w:r w:rsidRPr="00A070A9">
        <w:t>approved by all Health Min</w:t>
      </w:r>
      <w:r w:rsidR="006760C9">
        <w:t>i</w:t>
      </w:r>
      <w:r w:rsidRPr="00A070A9">
        <w:t>sters, and proposals for changes to the list are dealt with through a process sp</w:t>
      </w:r>
      <w:r w:rsidR="008C5754">
        <w:t xml:space="preserve">ecified in Schedule 4 to the </w:t>
      </w:r>
      <w:r w:rsidRPr="00A070A9">
        <w:t>Agreement.   A framework for consideration has been developed by the Jurisdictional Blood Committee (JBC) involving</w:t>
      </w:r>
      <w:r w:rsidR="008C5754">
        <w:t xml:space="preserve"> a Multi-Criteria Analysis</w:t>
      </w:r>
      <w:r w:rsidRPr="00A070A9">
        <w:t xml:space="preserve"> template.</w:t>
      </w:r>
    </w:p>
    <w:p w14:paraId="6BAF8F83" w14:textId="3ACA4079" w:rsidR="00A070A9" w:rsidRPr="00A070A9" w:rsidRDefault="00A070A9" w:rsidP="00A070A9">
      <w:pPr>
        <w:pStyle w:val="BodyText"/>
      </w:pPr>
      <w:r w:rsidRPr="00A070A9">
        <w:t xml:space="preserve">A proposal for a new blood product that is not already on the approved </w:t>
      </w:r>
      <w:r w:rsidR="008C5754">
        <w:t>NPSL</w:t>
      </w:r>
      <w:r w:rsidRPr="00A070A9">
        <w:t xml:space="preserve"> may require a Cycle 1 and/or Cycle 2 MCA assessment:</w:t>
      </w:r>
    </w:p>
    <w:p w14:paraId="49218D4D" w14:textId="77777777" w:rsidR="00A070A9" w:rsidRPr="00A070A9" w:rsidRDefault="00A070A9" w:rsidP="00A070A9">
      <w:pPr>
        <w:pStyle w:val="BodyText"/>
        <w:ind w:left="720"/>
      </w:pPr>
      <w:r w:rsidRPr="00A070A9">
        <w:t>Cycle 1 – The Cycle 1 assessment is a high-level evaluation that relies on the information contained in an initiating proposal, together with other desk-top research, information held by the NBA and other information gathered from relevant stakeholders. The main objective of a Cycle 1 assessment is to identify for the JBC whether there is sufficient evidence in which the NBA has adequate confidence for JBC to make a decision or recommendation.</w:t>
      </w:r>
    </w:p>
    <w:p w14:paraId="27368E6D" w14:textId="77777777" w:rsidR="00A070A9" w:rsidRDefault="00A070A9" w:rsidP="00A070A9">
      <w:pPr>
        <w:pStyle w:val="BodyText"/>
        <w:ind w:left="720"/>
      </w:pPr>
      <w:r w:rsidRPr="00A070A9">
        <w:t>Cycle 2 - If JBC determines at Cycle 1 that one or more criteria requires more detailed evaluation, then it will provide guidance for a Cycle 2 evaluation.   JBC will provide direction on the particular Criteria and questions requiring further evaluation.</w:t>
      </w:r>
    </w:p>
    <w:p w14:paraId="4D081D6C" w14:textId="3C98E09E" w:rsidR="00A070A9" w:rsidRPr="00A070A9" w:rsidRDefault="00A070A9" w:rsidP="00A070A9">
      <w:pPr>
        <w:pStyle w:val="BodyText"/>
      </w:pPr>
      <w:r>
        <w:t>Schedule 4 of the National Blood Agreement recognises the Medical Services Advisory Committee (MSAC – see below) as a</w:t>
      </w:r>
      <w:r w:rsidR="008C5754">
        <w:t xml:space="preserve"> body to undertake evaluation of proposals for changes to the NPSL, in order to support decision making under the National Blood Agreement.</w:t>
      </w:r>
    </w:p>
    <w:p w14:paraId="7302C210" w14:textId="36111A65" w:rsidR="00A070A9" w:rsidRPr="00A070A9" w:rsidRDefault="00A070A9" w:rsidP="00A070A9">
      <w:pPr>
        <w:pStyle w:val="BodyText"/>
      </w:pPr>
      <w:r w:rsidRPr="00A070A9">
        <w:t xml:space="preserve">Once a product is decided to be added to the </w:t>
      </w:r>
      <w:r w:rsidR="008C5754">
        <w:t>NPSL</w:t>
      </w:r>
      <w:r w:rsidRPr="00A070A9">
        <w:t>, the NBA then undertakes an appropriate procurement (tendering or direct negotiation, depending on the situation) within Commonwealth government procurement rules.</w:t>
      </w:r>
    </w:p>
    <w:p w14:paraId="4BDBD12E" w14:textId="77777777" w:rsidR="00A070A9" w:rsidRPr="00A070A9" w:rsidRDefault="00A070A9" w:rsidP="00A070A9">
      <w:pPr>
        <w:pStyle w:val="BodyText"/>
      </w:pPr>
      <w:r w:rsidRPr="00A070A9">
        <w:t>Under the funding arrangements for products supplied through NBA contracts established in the National Blood Agreement, the cost of products supplied is shared 63% Commonwealth and 37% States/Territories (by usage).</w:t>
      </w:r>
    </w:p>
    <w:p w14:paraId="7FBB6AE5" w14:textId="77777777" w:rsidR="00C77DBE" w:rsidRDefault="00C77DBE">
      <w:pPr>
        <w:rPr>
          <w:b/>
          <w:bCs/>
          <w:color w:val="215868"/>
          <w:sz w:val="24"/>
          <w:szCs w:val="32"/>
        </w:rPr>
      </w:pPr>
      <w:r>
        <w:br w:type="page"/>
      </w:r>
    </w:p>
    <w:p w14:paraId="33EFD84A" w14:textId="77777777" w:rsidR="00712E8B" w:rsidRDefault="00712E8B" w:rsidP="0005552C">
      <w:pPr>
        <w:pStyle w:val="Heading1"/>
      </w:pPr>
      <w:bookmarkStart w:id="4" w:name="_Toc400097915"/>
      <w:r>
        <w:lastRenderedPageBreak/>
        <w:t>MSAC and PASC</w:t>
      </w:r>
      <w:bookmarkEnd w:id="4"/>
    </w:p>
    <w:p w14:paraId="0348E71D" w14:textId="12A7677B" w:rsidR="00712E8B" w:rsidRDefault="00712E8B" w:rsidP="00712E8B">
      <w:pPr>
        <w:pStyle w:val="BodyText"/>
      </w:pPr>
      <w:r>
        <w:t>The Medical Services Advisory Committee (MSAC) is an independent expert committee appointed by the Australian Government Health Minister to strengthen the role of evidence in health fina</w:t>
      </w:r>
      <w:r w:rsidR="00366FA8">
        <w:t>ncing decisions in Australia. MSAC advices the Commonwealth Minister for Health on the evidence relating to the safety, effectiveness, and cost-effectiveness of new and existing medical technologies and procedures and under what circumstances public funding should be supported.</w:t>
      </w:r>
    </w:p>
    <w:p w14:paraId="4E92D489" w14:textId="30EF46E5" w:rsidR="00366FA8" w:rsidRPr="00712E8B" w:rsidRDefault="00366FA8" w:rsidP="00712E8B">
      <w:pPr>
        <w:pStyle w:val="BodyText"/>
      </w:pPr>
      <w:r>
        <w:t>The Protocol Advisory Sub-Committee (PASC) is a standing sub-committee of MSAC. Its primary objective is the determination of protocols to guide clinical and economic assessments of medical interventions proposed for public funding.</w:t>
      </w:r>
    </w:p>
    <w:p w14:paraId="3F22828F" w14:textId="13496F8B" w:rsidR="00712E8B" w:rsidRDefault="00712E8B" w:rsidP="0005552C">
      <w:pPr>
        <w:pStyle w:val="Heading1"/>
      </w:pPr>
      <w:bookmarkStart w:id="5" w:name="_Toc400097916"/>
      <w:r>
        <w:t>Purpose of this document</w:t>
      </w:r>
      <w:bookmarkEnd w:id="5"/>
    </w:p>
    <w:p w14:paraId="286776C6" w14:textId="6A64F072" w:rsidR="00712E8B" w:rsidRDefault="00712E8B" w:rsidP="00712E8B">
      <w:pPr>
        <w:pStyle w:val="BodyText"/>
      </w:pPr>
      <w:r>
        <w:t>This document is intended to provide a protocol that will be used to guide the assessment of human C1 esterase inhibitor for the management of hereditary angioedema. The protocol will be finalised after inviting relevant stakeholders to provide input and will provide the basis for the assessment of the intervention.</w:t>
      </w:r>
    </w:p>
    <w:p w14:paraId="4CCA77B3" w14:textId="77777777" w:rsidR="00712E8B" w:rsidRDefault="00712E8B" w:rsidP="00712E8B">
      <w:pPr>
        <w:pStyle w:val="BodyText"/>
      </w:pPr>
      <w:r>
        <w:t>This protocol has been developed using the widely accepted “PICO” approach. The PICO approach involves a clear articulation of the following aspects of the research question that the assessment is intended to answer:</w:t>
      </w:r>
    </w:p>
    <w:p w14:paraId="47792587" w14:textId="516DF276" w:rsidR="00712E8B" w:rsidRDefault="00712E8B" w:rsidP="00712E8B">
      <w:pPr>
        <w:pStyle w:val="BodyText"/>
        <w:ind w:left="720"/>
      </w:pPr>
      <w:r w:rsidRPr="00712E8B">
        <w:rPr>
          <w:b/>
          <w:u w:val="single"/>
        </w:rPr>
        <w:t>P</w:t>
      </w:r>
      <w:r>
        <w:t>opulation – specification of the characteristics of the people in whom the intervention is to be considered for use;</w:t>
      </w:r>
    </w:p>
    <w:p w14:paraId="0E0EDB79" w14:textId="77777777" w:rsidR="00712E8B" w:rsidRDefault="00712E8B" w:rsidP="00712E8B">
      <w:pPr>
        <w:pStyle w:val="BodyText"/>
        <w:ind w:left="720"/>
      </w:pPr>
      <w:r w:rsidRPr="00712E8B">
        <w:rPr>
          <w:b/>
          <w:u w:val="single"/>
        </w:rPr>
        <w:t>I</w:t>
      </w:r>
      <w:r>
        <w:t xml:space="preserve">ntervention – specification of the proposed investigative service; </w:t>
      </w:r>
    </w:p>
    <w:p w14:paraId="604294D6" w14:textId="289CE235" w:rsidR="00712E8B" w:rsidRDefault="00712E8B" w:rsidP="00712E8B">
      <w:pPr>
        <w:pStyle w:val="BodyText"/>
        <w:ind w:left="720"/>
      </w:pPr>
      <w:r w:rsidRPr="00712E8B">
        <w:rPr>
          <w:b/>
          <w:u w:val="single"/>
        </w:rPr>
        <w:t>C</w:t>
      </w:r>
      <w:r>
        <w:t>omparator – specification of the investigative service most likely to be replaced, or supplemented by the proposed investigative service; and</w:t>
      </w:r>
    </w:p>
    <w:p w14:paraId="01FB8152" w14:textId="2BBE05C3" w:rsidR="00712E8B" w:rsidRDefault="00712E8B" w:rsidP="00712E8B">
      <w:pPr>
        <w:pStyle w:val="BodyText"/>
        <w:ind w:left="720"/>
      </w:pPr>
      <w:r w:rsidRPr="00712E8B">
        <w:rPr>
          <w:b/>
          <w:u w:val="single"/>
        </w:rPr>
        <w:t>O</w:t>
      </w:r>
      <w:r>
        <w:t>utcomes – specification of the health outcomes likely to be affected by the introduction of the proposed investigative service.</w:t>
      </w:r>
    </w:p>
    <w:p w14:paraId="446FC3FF" w14:textId="77777777" w:rsidR="00366FA8" w:rsidRDefault="00366FA8">
      <w:pPr>
        <w:rPr>
          <w:b/>
          <w:bCs/>
          <w:color w:val="215868"/>
          <w:sz w:val="24"/>
          <w:szCs w:val="32"/>
        </w:rPr>
      </w:pPr>
      <w:r>
        <w:br w:type="page"/>
      </w:r>
    </w:p>
    <w:p w14:paraId="6B0C8464" w14:textId="667F8074" w:rsidR="0005552C" w:rsidRPr="000901A8" w:rsidRDefault="0005552C" w:rsidP="0005552C">
      <w:pPr>
        <w:pStyle w:val="Heading1"/>
      </w:pPr>
      <w:bookmarkStart w:id="6" w:name="_Toc400097917"/>
      <w:r w:rsidRPr="000901A8">
        <w:lastRenderedPageBreak/>
        <w:t>Purpose of application</w:t>
      </w:r>
      <w:bookmarkEnd w:id="3"/>
      <w:bookmarkEnd w:id="6"/>
    </w:p>
    <w:p w14:paraId="3F8237C2" w14:textId="64936973" w:rsidR="006D46D8" w:rsidRDefault="0005552C" w:rsidP="0005552C">
      <w:pPr>
        <w:pStyle w:val="BodyText"/>
      </w:pPr>
      <w:r>
        <w:t>Two proposals</w:t>
      </w:r>
      <w:r w:rsidRPr="009E4296">
        <w:t xml:space="preserve"> </w:t>
      </w:r>
      <w:r>
        <w:t>were received by the National Blood Authority</w:t>
      </w:r>
      <w:r w:rsidRPr="009E4296">
        <w:t xml:space="preserve"> </w:t>
      </w:r>
      <w:r>
        <w:t xml:space="preserve">(NBA) </w:t>
      </w:r>
      <w:r w:rsidRPr="009E4296">
        <w:t xml:space="preserve">requesting </w:t>
      </w:r>
      <w:r>
        <w:t>the inclusion of purified human C1 esterase inhibitor (C1-INH</w:t>
      </w:r>
      <w:r w:rsidR="00D064C4">
        <w:t xml:space="preserve"> concentrate</w:t>
      </w:r>
      <w:r>
        <w:t>) for the management of hereditary angioedema (HAE) on the National Products and Services List (NPSL); one from Cedarglen Investments (on behalf of ViroPharma SPRL, now Shire Australia) for Cinryze</w:t>
      </w:r>
      <w:r w:rsidR="00C73E04" w:rsidRPr="00C73E04">
        <w:rPr>
          <w:vertAlign w:val="superscript"/>
        </w:rPr>
        <w:t>®</w:t>
      </w:r>
      <w:r>
        <w:t xml:space="preserve"> in December 2012 and the other from CSL Behring for Berinert</w:t>
      </w:r>
      <w:r w:rsidR="00C73E04" w:rsidRPr="00037ACE">
        <w:rPr>
          <w:vertAlign w:val="superscript"/>
        </w:rPr>
        <w:t>®</w:t>
      </w:r>
      <w:r>
        <w:t xml:space="preserve"> in May 2013.</w:t>
      </w:r>
      <w:r w:rsidR="00F203F5">
        <w:t xml:space="preserve"> </w:t>
      </w:r>
      <w:r w:rsidR="00F835DB">
        <w:t>B</w:t>
      </w:r>
      <w:r w:rsidR="00400EC1">
        <w:t xml:space="preserve">oth Cinryze </w:t>
      </w:r>
      <w:r w:rsidR="00F835DB">
        <w:t xml:space="preserve">and Berinert </w:t>
      </w:r>
      <w:r w:rsidR="00400EC1">
        <w:t>are highly purified concentrates of C1-INH derived from human plasma</w:t>
      </w:r>
      <w:r w:rsidR="00F835DB">
        <w:t>; however,</w:t>
      </w:r>
      <w:r w:rsidR="00400EC1">
        <w:t xml:space="preserve"> t</w:t>
      </w:r>
      <w:r w:rsidR="00BB7249">
        <w:t xml:space="preserve">he proposals </w:t>
      </w:r>
      <w:r w:rsidR="00F835DB">
        <w:t>for inclusion on the NPSL differed in terms of the</w:t>
      </w:r>
      <w:r w:rsidR="00BB7249">
        <w:t xml:space="preserve"> </w:t>
      </w:r>
      <w:r w:rsidR="00F835DB">
        <w:t xml:space="preserve">proposed indications and the </w:t>
      </w:r>
      <w:r w:rsidR="00BB7249">
        <w:t>approach to the clinical evaluation, economic evaluation and financial analysis.</w:t>
      </w:r>
    </w:p>
    <w:p w14:paraId="01E999B0" w14:textId="06413AC5" w:rsidR="00191426" w:rsidRDefault="00306EAE" w:rsidP="0005552C">
      <w:pPr>
        <w:pStyle w:val="BodyText"/>
      </w:pPr>
      <w:r>
        <w:t xml:space="preserve">The proposals </w:t>
      </w:r>
      <w:r w:rsidR="00180C91">
        <w:t xml:space="preserve">for C1-INH concentrate </w:t>
      </w:r>
      <w:r>
        <w:t xml:space="preserve">were originally intended to be evaluated </w:t>
      </w:r>
      <w:r w:rsidR="006618AD">
        <w:t>according to the</w:t>
      </w:r>
      <w:r>
        <w:t xml:space="preserve"> </w:t>
      </w:r>
      <w:r w:rsidR="00BB7249">
        <w:t xml:space="preserve">Schedule 4 </w:t>
      </w:r>
      <w:r>
        <w:t xml:space="preserve">Cycle 1 Multi-Criteria Analysis (MCA). </w:t>
      </w:r>
      <w:r w:rsidR="006618AD">
        <w:t xml:space="preserve">However, </w:t>
      </w:r>
      <w:r w:rsidR="00180C91">
        <w:t>after a briefing on the two proposals on 16 June 2014, the J</w:t>
      </w:r>
      <w:r w:rsidR="0005552C">
        <w:t>urisdictional Bloo</w:t>
      </w:r>
      <w:r w:rsidR="0005552C" w:rsidRPr="00A012FE">
        <w:t>d Committee</w:t>
      </w:r>
      <w:r w:rsidR="0005552C">
        <w:t xml:space="preserve"> Working Group </w:t>
      </w:r>
      <w:r w:rsidR="00DB563F">
        <w:t>advised that</w:t>
      </w:r>
      <w:r w:rsidR="0005552C">
        <w:t xml:space="preserve"> </w:t>
      </w:r>
      <w:r w:rsidR="0005552C" w:rsidRPr="00A012FE">
        <w:t xml:space="preserve">the evaluation of </w:t>
      </w:r>
      <w:r w:rsidR="006618AD">
        <w:t>C1-INH</w:t>
      </w:r>
      <w:r w:rsidR="00D064C4">
        <w:t xml:space="preserve"> concentrate</w:t>
      </w:r>
      <w:r w:rsidR="0005552C" w:rsidRPr="00A012FE">
        <w:t xml:space="preserve"> is more complex than would typically constitute a Cycle 1 MCA</w:t>
      </w:r>
      <w:r w:rsidR="001D3104">
        <w:t xml:space="preserve"> and recommended that the assessment be referred to MSAC.</w:t>
      </w:r>
      <w:r w:rsidR="00407E9E">
        <w:t xml:space="preserve"> T</w:t>
      </w:r>
      <w:r w:rsidR="00396422">
        <w:t xml:space="preserve">he </w:t>
      </w:r>
      <w:r w:rsidR="008E77B3">
        <w:t>Jurisdictional Bloo</w:t>
      </w:r>
      <w:r w:rsidR="008E77B3" w:rsidRPr="00A012FE">
        <w:t>d Committee</w:t>
      </w:r>
      <w:r w:rsidR="00407E9E">
        <w:t xml:space="preserve"> agreed with this recommendation at their September 2014 meeting.</w:t>
      </w:r>
    </w:p>
    <w:p w14:paraId="26F39A7A" w14:textId="4FE673E1" w:rsidR="00407E9E" w:rsidRDefault="00A46964" w:rsidP="0005552C">
      <w:pPr>
        <w:pStyle w:val="BodyText"/>
      </w:pPr>
      <w:r w:rsidRPr="008C5754">
        <w:t xml:space="preserve">On behalf of the NBA, </w:t>
      </w:r>
      <w:r w:rsidR="00407E9E" w:rsidRPr="008C5754">
        <w:t xml:space="preserve">HealthConsult drafted this protocol to guide the assessment of the safety, effectiveness and cost-effectiveness of C1-INH concentrate in order to inform MSAC’s </w:t>
      </w:r>
      <w:r w:rsidR="008C5754">
        <w:t>evaluation and recommendations</w:t>
      </w:r>
      <w:r w:rsidRPr="008C5754">
        <w:t xml:space="preserve"> regarding public funding of this proposed service</w:t>
      </w:r>
      <w:r w:rsidR="008C5754" w:rsidRPr="008C5754">
        <w:t xml:space="preserve"> through the addition of </w:t>
      </w:r>
      <w:r w:rsidR="008C5754">
        <w:t>C1-INH to the National Product and Services List under the National Blood Agreement</w:t>
      </w:r>
      <w:r w:rsidR="002054DC" w:rsidRPr="008C5754">
        <w:t>.</w:t>
      </w:r>
    </w:p>
    <w:p w14:paraId="0A0A95EF" w14:textId="77777777" w:rsidR="0005552C" w:rsidRDefault="0005552C" w:rsidP="00F835DB">
      <w:pPr>
        <w:pStyle w:val="Heading1"/>
      </w:pPr>
      <w:bookmarkStart w:id="7" w:name="_Toc394668184"/>
      <w:bookmarkStart w:id="8" w:name="_Toc400097918"/>
      <w:r w:rsidRPr="00A34E9C">
        <w:t>Regulatory status</w:t>
      </w:r>
      <w:r>
        <w:t xml:space="preserve"> and c</w:t>
      </w:r>
      <w:r w:rsidRPr="00D5182D">
        <w:t>urrent arrangements for public reimbursement</w:t>
      </w:r>
      <w:bookmarkEnd w:id="7"/>
      <w:bookmarkEnd w:id="8"/>
    </w:p>
    <w:p w14:paraId="0E332C40" w14:textId="69BA70BB" w:rsidR="00827F41" w:rsidRDefault="00827F41" w:rsidP="0005552C">
      <w:pPr>
        <w:pStyle w:val="BodyText"/>
        <w:rPr>
          <w:lang w:val="en-GB" w:eastAsia="ja-JP"/>
        </w:rPr>
      </w:pPr>
      <w:r>
        <w:rPr>
          <w:lang w:val="en-GB" w:eastAsia="ja-JP"/>
        </w:rPr>
        <w:t xml:space="preserve">Both Cinryze and Berinert are </w:t>
      </w:r>
      <w:r w:rsidR="002870A8">
        <w:rPr>
          <w:lang w:val="en-GB" w:eastAsia="ja-JP"/>
        </w:rPr>
        <w:t xml:space="preserve">approved by the </w:t>
      </w:r>
      <w:r>
        <w:rPr>
          <w:lang w:val="en-GB" w:eastAsia="ja-JP"/>
        </w:rPr>
        <w:t xml:space="preserve">TGA. </w:t>
      </w:r>
      <w:r w:rsidR="002870A8">
        <w:rPr>
          <w:lang w:val="en-GB" w:eastAsia="ja-JP"/>
        </w:rPr>
        <w:t xml:space="preserve">Berinert gained orphan drug designation in April 2008 and then TGA registration in January 2010. Cinryze gained orphan drug designation in October 2010 and TGA registration in April 2012. </w:t>
      </w:r>
      <w:r w:rsidR="009C6D29">
        <w:rPr>
          <w:lang w:val="en-GB" w:eastAsia="ja-JP"/>
        </w:rPr>
        <w:t>Berinert became available on the Special Access Scheme in 2004. Cinryze became available in Australia in early 2013.</w:t>
      </w:r>
    </w:p>
    <w:p w14:paraId="1E687C5D" w14:textId="1E82F197" w:rsidR="00596F8A" w:rsidRDefault="0005552C" w:rsidP="0005552C">
      <w:pPr>
        <w:pStyle w:val="BodyText"/>
        <w:rPr>
          <w:lang w:val="en-GB" w:eastAsia="ja-JP"/>
        </w:rPr>
      </w:pPr>
      <w:r>
        <w:rPr>
          <w:lang w:val="en-GB" w:eastAsia="ja-JP"/>
        </w:rPr>
        <w:t xml:space="preserve">C1-INH concentrate is </w:t>
      </w:r>
      <w:r w:rsidR="009C6D29">
        <w:rPr>
          <w:lang w:val="en-GB" w:eastAsia="ja-JP"/>
        </w:rPr>
        <w:t xml:space="preserve">currently </w:t>
      </w:r>
      <w:r w:rsidR="00827F41">
        <w:rPr>
          <w:lang w:val="en-GB" w:eastAsia="ja-JP"/>
        </w:rPr>
        <w:t xml:space="preserve">funded directly by individual hospitals and is </w:t>
      </w:r>
      <w:r>
        <w:rPr>
          <w:lang w:val="en-GB" w:eastAsia="ja-JP"/>
        </w:rPr>
        <w:t xml:space="preserve">included in some hospital formularies. </w:t>
      </w:r>
      <w:r w:rsidR="009C6D29">
        <w:rPr>
          <w:lang w:val="en-GB" w:eastAsia="ja-JP"/>
        </w:rPr>
        <w:t xml:space="preserve">This funding arrangement creates inequity of access as </w:t>
      </w:r>
      <w:r w:rsidR="008F70E0">
        <w:rPr>
          <w:lang w:val="en-GB" w:eastAsia="ja-JP"/>
        </w:rPr>
        <w:t xml:space="preserve">the decision to fund such an infrequently used treatment is not broadly taken. </w:t>
      </w:r>
      <w:r w:rsidR="008F70E0" w:rsidRPr="009C6D29">
        <w:rPr>
          <w:lang w:val="en-GB" w:eastAsia="ja-JP"/>
        </w:rPr>
        <w:t xml:space="preserve">Listing </w:t>
      </w:r>
      <w:r w:rsidR="008F70E0">
        <w:rPr>
          <w:lang w:val="en-GB" w:eastAsia="ja-JP"/>
        </w:rPr>
        <w:t>on the NPSL</w:t>
      </w:r>
      <w:r w:rsidR="008F70E0" w:rsidRPr="009C6D29">
        <w:rPr>
          <w:lang w:val="en-GB" w:eastAsia="ja-JP"/>
        </w:rPr>
        <w:t xml:space="preserve"> would ensure national e</w:t>
      </w:r>
      <w:r w:rsidR="008F70E0">
        <w:rPr>
          <w:lang w:val="en-GB" w:eastAsia="ja-JP"/>
        </w:rPr>
        <w:t>quity of access to a government-</w:t>
      </w:r>
      <w:r w:rsidR="008F70E0" w:rsidRPr="009C6D29">
        <w:rPr>
          <w:lang w:val="en-GB" w:eastAsia="ja-JP"/>
        </w:rPr>
        <w:t>funded therapy</w:t>
      </w:r>
      <w:r w:rsidR="008F70E0">
        <w:rPr>
          <w:lang w:val="en-GB" w:eastAsia="ja-JP"/>
        </w:rPr>
        <w:t>.</w:t>
      </w:r>
    </w:p>
    <w:p w14:paraId="445128B5" w14:textId="6FDD2B48" w:rsidR="0005552C" w:rsidRPr="00A34E9C" w:rsidRDefault="0005552C" w:rsidP="0005552C">
      <w:pPr>
        <w:pStyle w:val="Heading1"/>
      </w:pPr>
      <w:bookmarkStart w:id="9" w:name="_Toc400097919"/>
      <w:r>
        <w:t>Clinical condition</w:t>
      </w:r>
      <w:bookmarkEnd w:id="9"/>
    </w:p>
    <w:p w14:paraId="78937321" w14:textId="77777777" w:rsidR="0005552C" w:rsidRDefault="0005552C" w:rsidP="0005552C">
      <w:pPr>
        <w:pStyle w:val="Heading2"/>
      </w:pPr>
      <w:bookmarkStart w:id="10" w:name="_Toc394668186"/>
      <w:bookmarkStart w:id="11" w:name="_Toc400097920"/>
      <w:r w:rsidRPr="00A34E9C">
        <w:t>Description</w:t>
      </w:r>
      <w:bookmarkEnd w:id="10"/>
      <w:r>
        <w:t xml:space="preserve"> of clinical condition</w:t>
      </w:r>
      <w:bookmarkEnd w:id="11"/>
    </w:p>
    <w:p w14:paraId="4BB4AEDA" w14:textId="74672260" w:rsidR="0005552C" w:rsidRDefault="0005552C" w:rsidP="0005552C">
      <w:pPr>
        <w:pStyle w:val="BodyText"/>
        <w:rPr>
          <w:lang w:val="en-GB" w:eastAsia="ja-JP"/>
        </w:rPr>
      </w:pPr>
      <w:r w:rsidRPr="00995ECF">
        <w:rPr>
          <w:lang w:val="en-GB" w:eastAsia="ja-JP"/>
        </w:rPr>
        <w:t xml:space="preserve">HAE is </w:t>
      </w:r>
      <w:r>
        <w:rPr>
          <w:lang w:val="en-GB" w:eastAsia="ja-JP"/>
        </w:rPr>
        <w:t xml:space="preserve">an autosomal dominant disorder </w:t>
      </w:r>
      <w:r w:rsidRPr="00995ECF">
        <w:rPr>
          <w:lang w:val="en-GB" w:eastAsia="ja-JP"/>
        </w:rPr>
        <w:t xml:space="preserve">characterised by recurrent </w:t>
      </w:r>
      <w:r w:rsidRPr="00B55391">
        <w:t xml:space="preserve">subcutaneous and submucosal </w:t>
      </w:r>
      <w:r w:rsidRPr="00995ECF">
        <w:rPr>
          <w:lang w:val="en-GB" w:eastAsia="ja-JP"/>
        </w:rPr>
        <w:t xml:space="preserve">oedema </w:t>
      </w:r>
      <w:r>
        <w:rPr>
          <w:lang w:val="en-GB" w:eastAsia="ja-JP"/>
        </w:rPr>
        <w:t xml:space="preserve">without urticaria </w:t>
      </w:r>
      <w:r>
        <w:t>(</w:t>
      </w:r>
      <w:r w:rsidRPr="00C24053">
        <w:t>Katelaris</w:t>
      </w:r>
      <w:r w:rsidR="006D78BB">
        <w:t xml:space="preserve"> et al</w:t>
      </w:r>
      <w:r>
        <w:t>, 2012)</w:t>
      </w:r>
      <w:r w:rsidRPr="00995ECF">
        <w:rPr>
          <w:lang w:val="en-GB" w:eastAsia="ja-JP"/>
        </w:rPr>
        <w:t xml:space="preserve">. </w:t>
      </w:r>
      <w:r>
        <w:rPr>
          <w:lang w:val="en-GB" w:eastAsia="ja-JP"/>
        </w:rPr>
        <w:t xml:space="preserve">One or more of various peripheral or central areas can be affected during an acute HAE attack, including </w:t>
      </w:r>
      <w:r w:rsidRPr="00995ECF">
        <w:rPr>
          <w:lang w:val="en-GB" w:eastAsia="ja-JP"/>
        </w:rPr>
        <w:t>limbs, trunk, face and someti</w:t>
      </w:r>
      <w:r>
        <w:rPr>
          <w:lang w:val="en-GB" w:eastAsia="ja-JP"/>
        </w:rPr>
        <w:t xml:space="preserve">mes genitals. </w:t>
      </w:r>
      <w:r w:rsidRPr="00995ECF">
        <w:rPr>
          <w:lang w:val="en-GB" w:eastAsia="ja-JP"/>
        </w:rPr>
        <w:t>Abdominal pain, vomiting and hypotension</w:t>
      </w:r>
      <w:r>
        <w:rPr>
          <w:lang w:val="en-GB" w:eastAsia="ja-JP"/>
        </w:rPr>
        <w:t xml:space="preserve"> can result from </w:t>
      </w:r>
      <w:r w:rsidRPr="00995ECF">
        <w:rPr>
          <w:lang w:val="en-GB" w:eastAsia="ja-JP"/>
        </w:rPr>
        <w:t>visceral swelling of the gastrointestinal tract. Laryngeal swelling</w:t>
      </w:r>
      <w:r>
        <w:rPr>
          <w:lang w:val="en-GB" w:eastAsia="ja-JP"/>
        </w:rPr>
        <w:t xml:space="preserve"> is the most serious manifestation as it</w:t>
      </w:r>
      <w:r w:rsidRPr="00995ECF">
        <w:rPr>
          <w:lang w:val="en-GB" w:eastAsia="ja-JP"/>
        </w:rPr>
        <w:t xml:space="preserve"> </w:t>
      </w:r>
      <w:r>
        <w:rPr>
          <w:lang w:val="en-GB" w:eastAsia="ja-JP"/>
        </w:rPr>
        <w:t>can</w:t>
      </w:r>
      <w:r w:rsidRPr="00995ECF">
        <w:rPr>
          <w:lang w:val="en-GB" w:eastAsia="ja-JP"/>
        </w:rPr>
        <w:t xml:space="preserve"> result in fatal asphyxiatio</w:t>
      </w:r>
      <w:r>
        <w:rPr>
          <w:lang w:val="en-GB" w:eastAsia="ja-JP"/>
        </w:rPr>
        <w:t xml:space="preserve">n. </w:t>
      </w:r>
    </w:p>
    <w:p w14:paraId="6DA4B064" w14:textId="263D3B35" w:rsidR="0005552C" w:rsidRDefault="00421409" w:rsidP="0005552C">
      <w:pPr>
        <w:pStyle w:val="BodyText"/>
        <w:rPr>
          <w:lang w:val="en-GB" w:eastAsia="ja-JP"/>
        </w:rPr>
      </w:pPr>
      <w:r>
        <w:rPr>
          <w:lang w:val="en-GB" w:eastAsia="ja-JP"/>
        </w:rPr>
        <w:t>Attacks c</w:t>
      </w:r>
      <w:r w:rsidRPr="00421409">
        <w:rPr>
          <w:lang w:val="en-GB" w:eastAsia="ja-JP"/>
        </w:rPr>
        <w:t>an be spontaneous or due to ph</w:t>
      </w:r>
      <w:r>
        <w:rPr>
          <w:lang w:val="en-GB" w:eastAsia="ja-JP"/>
        </w:rPr>
        <w:t xml:space="preserve">ysical or psychological stress. </w:t>
      </w:r>
      <w:r w:rsidRPr="00421409">
        <w:rPr>
          <w:lang w:val="en-GB" w:eastAsia="ja-JP"/>
        </w:rPr>
        <w:t xml:space="preserve">Recognised triggers include dental procedures, mechanical trauma (e.g. a surgical procedure involving the head and neck area), mental stress, hormonal changes, infections and medicinal products (e.g. </w:t>
      </w:r>
      <w:r>
        <w:rPr>
          <w:lang w:val="en-GB" w:eastAsia="ja-JP"/>
        </w:rPr>
        <w:t xml:space="preserve">angiotensin-converting </w:t>
      </w:r>
      <w:r>
        <w:rPr>
          <w:lang w:val="en-GB" w:eastAsia="ja-JP"/>
        </w:rPr>
        <w:lastRenderedPageBreak/>
        <w:t>enzyme (</w:t>
      </w:r>
      <w:r w:rsidRPr="00421409">
        <w:rPr>
          <w:lang w:val="en-GB" w:eastAsia="ja-JP"/>
        </w:rPr>
        <w:t>ACE</w:t>
      </w:r>
      <w:r>
        <w:rPr>
          <w:lang w:val="en-GB" w:eastAsia="ja-JP"/>
        </w:rPr>
        <w:t>) inhibitors</w:t>
      </w:r>
      <w:r w:rsidR="00F225B0">
        <w:rPr>
          <w:lang w:val="en-GB" w:eastAsia="ja-JP"/>
        </w:rPr>
        <w:t>,</w:t>
      </w:r>
      <w:r w:rsidRPr="00421409">
        <w:rPr>
          <w:lang w:val="en-GB" w:eastAsia="ja-JP"/>
        </w:rPr>
        <w:t xml:space="preserve"> </w:t>
      </w:r>
      <w:r>
        <w:rPr>
          <w:lang w:val="en-GB" w:eastAsia="ja-JP"/>
        </w:rPr>
        <w:t>oral contraceptive pill</w:t>
      </w:r>
      <w:r w:rsidRPr="00421409">
        <w:rPr>
          <w:lang w:val="en-GB" w:eastAsia="ja-JP"/>
        </w:rPr>
        <w:t>)</w:t>
      </w:r>
      <w:r w:rsidR="00D411D6">
        <w:rPr>
          <w:lang w:val="en-GB" w:eastAsia="ja-JP"/>
        </w:rPr>
        <w:t xml:space="preserve">. </w:t>
      </w:r>
      <w:r w:rsidR="0005552C">
        <w:rPr>
          <w:lang w:val="en-GB" w:eastAsia="ja-JP"/>
        </w:rPr>
        <w:t>Attacks may be preceded by symptoms such as</w:t>
      </w:r>
      <w:r w:rsidR="0005552C" w:rsidRPr="00995ECF">
        <w:rPr>
          <w:lang w:val="en-GB" w:eastAsia="ja-JP"/>
        </w:rPr>
        <w:t xml:space="preserve"> tingling or a non-i</w:t>
      </w:r>
      <w:r w:rsidR="0005552C">
        <w:rPr>
          <w:lang w:val="en-GB" w:eastAsia="ja-JP"/>
        </w:rPr>
        <w:t xml:space="preserve">tchy rash </w:t>
      </w:r>
      <w:r w:rsidR="0005552C" w:rsidRPr="00995ECF">
        <w:rPr>
          <w:lang w:val="en-GB" w:eastAsia="ja-JP"/>
        </w:rPr>
        <w:t>anywhere on the body</w:t>
      </w:r>
      <w:r w:rsidR="0005552C">
        <w:rPr>
          <w:lang w:val="en-GB" w:eastAsia="ja-JP"/>
        </w:rPr>
        <w:t>, and typically take</w:t>
      </w:r>
      <w:r w:rsidR="0005552C" w:rsidRPr="00995ECF">
        <w:rPr>
          <w:lang w:val="en-GB" w:eastAsia="ja-JP"/>
        </w:rPr>
        <w:t xml:space="preserve"> 24 hours to peak and </w:t>
      </w:r>
      <w:r w:rsidR="0005552C">
        <w:rPr>
          <w:lang w:val="en-GB" w:eastAsia="ja-JP"/>
        </w:rPr>
        <w:t xml:space="preserve">48 to </w:t>
      </w:r>
      <w:r w:rsidR="0005552C" w:rsidRPr="00995ECF">
        <w:rPr>
          <w:lang w:val="en-GB" w:eastAsia="ja-JP"/>
        </w:rPr>
        <w:t>72 hours</w:t>
      </w:r>
      <w:r w:rsidR="0005552C">
        <w:rPr>
          <w:lang w:val="en-GB" w:eastAsia="ja-JP"/>
        </w:rPr>
        <w:t xml:space="preserve"> to resolve. The mean age of symptom onset is 8 to 12 years, but HAE diagnosis does not usually occur until the second or third decade of life (Katelaris </w:t>
      </w:r>
      <w:r w:rsidR="006D78BB">
        <w:rPr>
          <w:lang w:val="en-GB" w:eastAsia="ja-JP"/>
        </w:rPr>
        <w:t xml:space="preserve">et al, </w:t>
      </w:r>
      <w:r w:rsidR="0005552C">
        <w:rPr>
          <w:lang w:val="en-GB" w:eastAsia="ja-JP"/>
        </w:rPr>
        <w:t>2012). Frequency of attacks can vary between patients, from years apart to many times per year.</w:t>
      </w:r>
    </w:p>
    <w:p w14:paraId="620FEC4E" w14:textId="161521D2" w:rsidR="0005552C" w:rsidRDefault="0005552C" w:rsidP="0005552C">
      <w:pPr>
        <w:pStyle w:val="BodyText"/>
        <w:rPr>
          <w:lang w:val="en-GB" w:eastAsia="ja-JP"/>
        </w:rPr>
      </w:pPr>
      <w:r>
        <w:rPr>
          <w:lang w:val="en-GB" w:eastAsia="ja-JP"/>
        </w:rPr>
        <w:t xml:space="preserve">Patients tend to have typical, but not invariable, patterns of attack locations and frequency. Although </w:t>
      </w:r>
      <w:r w:rsidR="00F225B0">
        <w:rPr>
          <w:lang w:val="en-GB" w:eastAsia="ja-JP"/>
        </w:rPr>
        <w:t xml:space="preserve">less </w:t>
      </w:r>
      <w:r>
        <w:rPr>
          <w:lang w:val="en-GB" w:eastAsia="ja-JP"/>
        </w:rPr>
        <w:t>than 1% of episodes are laryngeal, greater than 50% of patients report at least one such attack as some stage</w:t>
      </w:r>
      <w:r w:rsidR="00D411D6">
        <w:rPr>
          <w:lang w:val="en-GB" w:eastAsia="ja-JP"/>
        </w:rPr>
        <w:t xml:space="preserve"> (Katelaris et al, 2012)</w:t>
      </w:r>
      <w:r>
        <w:rPr>
          <w:lang w:val="en-GB" w:eastAsia="ja-JP"/>
        </w:rPr>
        <w:t>. Prior to effective prophylaxis, mortality from laryngeal swelling was 30%</w:t>
      </w:r>
      <w:r w:rsidR="00D411D6">
        <w:rPr>
          <w:lang w:val="en-GB" w:eastAsia="ja-JP"/>
        </w:rPr>
        <w:t xml:space="preserve"> (Katelaris et al, 2012)</w:t>
      </w:r>
      <w:r>
        <w:rPr>
          <w:lang w:val="en-GB" w:eastAsia="ja-JP"/>
        </w:rPr>
        <w:t>. Therefore, regardless of history, the risk of laryngeal attacks must be managed for all patients.</w:t>
      </w:r>
    </w:p>
    <w:p w14:paraId="17E94F78" w14:textId="2E991EFB" w:rsidR="0005552C" w:rsidRDefault="003278FE" w:rsidP="0005552C">
      <w:pPr>
        <w:pStyle w:val="Heading2"/>
      </w:pPr>
      <w:bookmarkStart w:id="12" w:name="_Toc400097921"/>
      <w:r>
        <w:t>Types</w:t>
      </w:r>
      <w:r w:rsidR="0005552C">
        <w:t xml:space="preserve"> and pathogenesis of HAE</w:t>
      </w:r>
      <w:bookmarkEnd w:id="12"/>
    </w:p>
    <w:p w14:paraId="6C9A6DFB" w14:textId="16BF716E" w:rsidR="0005552C" w:rsidRDefault="0005552C" w:rsidP="0005552C">
      <w:pPr>
        <w:pStyle w:val="BodyText"/>
      </w:pPr>
      <w:r>
        <w:t xml:space="preserve">There are three </w:t>
      </w:r>
      <w:r w:rsidR="003278FE">
        <w:t>types</w:t>
      </w:r>
      <w:r>
        <w:t xml:space="preserve"> of HAE: </w:t>
      </w:r>
      <w:r w:rsidR="003F0506">
        <w:t>t</w:t>
      </w:r>
      <w:r>
        <w:t xml:space="preserve">ypes </w:t>
      </w:r>
      <w:r w:rsidR="003F0506">
        <w:t>I</w:t>
      </w:r>
      <w:r>
        <w:t xml:space="preserve">, </w:t>
      </w:r>
      <w:r w:rsidR="003F0506">
        <w:t xml:space="preserve">II </w:t>
      </w:r>
      <w:r>
        <w:t xml:space="preserve">and </w:t>
      </w:r>
      <w:r w:rsidR="003F0506">
        <w:t>III</w:t>
      </w:r>
      <w:r>
        <w:t xml:space="preserve">. Patients with </w:t>
      </w:r>
      <w:r w:rsidR="003F0506">
        <w:t>t</w:t>
      </w:r>
      <w:r>
        <w:t xml:space="preserve">ypes </w:t>
      </w:r>
      <w:r w:rsidR="003F0506">
        <w:t>I</w:t>
      </w:r>
      <w:r>
        <w:t xml:space="preserve"> or </w:t>
      </w:r>
      <w:r w:rsidR="003F0506">
        <w:t>II</w:t>
      </w:r>
      <w:r>
        <w:t xml:space="preserve"> have insufficient levels of functional C1-INH, a serine protease inhibitor that acts on a number of complement proteases and contact system proteases. </w:t>
      </w:r>
      <w:r w:rsidR="007B7B75">
        <w:t>Failure to inhibit</w:t>
      </w:r>
      <w:r>
        <w:t xml:space="preserve"> </w:t>
      </w:r>
      <w:r w:rsidR="007B7B75">
        <w:t>these pathways</w:t>
      </w:r>
      <w:r>
        <w:t xml:space="preserve"> triggers a proteolytic cascade</w:t>
      </w:r>
      <w:r w:rsidR="007B7B75">
        <w:t xml:space="preserve"> that</w:t>
      </w:r>
      <w:r>
        <w:t xml:space="preserve"> </w:t>
      </w:r>
      <w:r w:rsidR="007B7B75">
        <w:t>releases</w:t>
      </w:r>
      <w:r>
        <w:t xml:space="preserve"> vasoactive mediators leading to </w:t>
      </w:r>
      <w:r w:rsidRPr="00B55391">
        <w:t>oedema</w:t>
      </w:r>
      <w:r>
        <w:t xml:space="preserve">. The pathogenesis of HAE </w:t>
      </w:r>
      <w:r w:rsidR="003F0506">
        <w:t>t</w:t>
      </w:r>
      <w:r>
        <w:t xml:space="preserve">ype </w:t>
      </w:r>
      <w:r w:rsidR="003F0506">
        <w:t>III</w:t>
      </w:r>
      <w:r>
        <w:t xml:space="preserve"> has not been established, but patients have normal levels of functional C1-INH. Consequently C1-INH replacement therapy is indicated for patients with </w:t>
      </w:r>
      <w:r w:rsidR="003F0506">
        <w:t>t</w:t>
      </w:r>
      <w:r>
        <w:t xml:space="preserve">ype </w:t>
      </w:r>
      <w:r w:rsidR="003F0506">
        <w:t>I</w:t>
      </w:r>
      <w:r>
        <w:t xml:space="preserve"> or </w:t>
      </w:r>
      <w:r w:rsidR="003F0506">
        <w:t>t</w:t>
      </w:r>
      <w:r>
        <w:t xml:space="preserve">ype </w:t>
      </w:r>
      <w:r w:rsidR="003F0506">
        <w:t>II</w:t>
      </w:r>
      <w:r>
        <w:t xml:space="preserve"> HAE only. </w:t>
      </w:r>
    </w:p>
    <w:p w14:paraId="7B7A29A5" w14:textId="01CCAE47" w:rsidR="0005552C" w:rsidRPr="00631007" w:rsidRDefault="0005552C" w:rsidP="0005552C">
      <w:pPr>
        <w:pStyle w:val="BodyText"/>
      </w:pPr>
      <w:r>
        <w:t xml:space="preserve">HAE </w:t>
      </w:r>
      <w:r w:rsidR="003F0506">
        <w:t>t</w:t>
      </w:r>
      <w:r>
        <w:t xml:space="preserve">ype </w:t>
      </w:r>
      <w:r w:rsidR="003F0506">
        <w:t>I</w:t>
      </w:r>
      <w:r>
        <w:t xml:space="preserve"> constitutes 85% of patients while 15% have HAE </w:t>
      </w:r>
      <w:r w:rsidR="003F0506">
        <w:t>t</w:t>
      </w:r>
      <w:r>
        <w:t xml:space="preserve">ype </w:t>
      </w:r>
      <w:r w:rsidR="003F0506">
        <w:t>II</w:t>
      </w:r>
      <w:r>
        <w:t xml:space="preserve">. The </w:t>
      </w:r>
      <w:r w:rsidR="003F0506">
        <w:t>t</w:t>
      </w:r>
      <w:r>
        <w:t xml:space="preserve">ype </w:t>
      </w:r>
      <w:r w:rsidR="003F0506">
        <w:t>III</w:t>
      </w:r>
      <w:r>
        <w:t xml:space="preserve"> form is extremely rare (Craig </w:t>
      </w:r>
      <w:r w:rsidR="006D78BB">
        <w:t xml:space="preserve">et al, </w:t>
      </w:r>
      <w:r>
        <w:t>2012).</w:t>
      </w:r>
    </w:p>
    <w:p w14:paraId="1473195E" w14:textId="77777777" w:rsidR="008C710D" w:rsidRPr="009C6D29" w:rsidRDefault="008C710D" w:rsidP="008C710D">
      <w:pPr>
        <w:pStyle w:val="Heading3"/>
        <w:numPr>
          <w:ilvl w:val="0"/>
          <w:numId w:val="0"/>
        </w:numPr>
        <w:rPr>
          <w:rFonts w:eastAsia="Times New Roman"/>
        </w:rPr>
      </w:pPr>
      <w:bookmarkStart w:id="13" w:name="_Toc400097922"/>
      <w:r w:rsidRPr="009C6D29">
        <w:rPr>
          <w:rFonts w:eastAsia="Times New Roman"/>
        </w:rPr>
        <w:t>Acquired C1-INH deficiency</w:t>
      </w:r>
      <w:bookmarkEnd w:id="13"/>
    </w:p>
    <w:p w14:paraId="1EA0ED03" w14:textId="77777777" w:rsidR="008C710D" w:rsidRDefault="008C710D" w:rsidP="008C710D">
      <w:pPr>
        <w:pStyle w:val="BodyText"/>
      </w:pPr>
      <w:r w:rsidRPr="009C6D29">
        <w:t>In acquired angioedema (AAE), also referred to as acquired C1 esterase inhibitor deficiency or acquired C1-INH deficiency, patients have low levels of serum C1-INH. C1-INH protein function and rate of production is normal in these patients but it is catabolised at an increased rate. AAE is distinguished from HAE by low serum C1q levels, an absence of family history and late onset of symptoms, typically in middle age. AAE is commonly associated with lymphoma or other haematological malignancies.</w:t>
      </w:r>
    </w:p>
    <w:p w14:paraId="1FEBC149" w14:textId="1EB158F8" w:rsidR="0005552C" w:rsidRDefault="0005552C" w:rsidP="0005552C">
      <w:pPr>
        <w:pStyle w:val="Heading2"/>
      </w:pPr>
      <w:bookmarkStart w:id="14" w:name="_Toc400097923"/>
      <w:r>
        <w:t>Diagnosis</w:t>
      </w:r>
      <w:r w:rsidR="008C710D">
        <w:t xml:space="preserve"> of HAE</w:t>
      </w:r>
      <w:bookmarkEnd w:id="14"/>
    </w:p>
    <w:p w14:paraId="3262CC89" w14:textId="335B1AC5" w:rsidR="0005552C" w:rsidRDefault="0005552C" w:rsidP="0005552C">
      <w:pPr>
        <w:pStyle w:val="BodyText"/>
      </w:pPr>
      <w:r>
        <w:t>The position paper on HAE by the Australasian Society of Clinical Immunology and Allergy (ASCIA) (</w:t>
      </w:r>
      <w:r w:rsidRPr="00C24053">
        <w:t>Katelaris</w:t>
      </w:r>
      <w:r>
        <w:t xml:space="preserve"> </w:t>
      </w:r>
      <w:r w:rsidR="006D78BB">
        <w:t xml:space="preserve">et al, </w:t>
      </w:r>
      <w:r>
        <w:t>2012) lists two indications for diagnostic testing for HAE:</w:t>
      </w:r>
    </w:p>
    <w:p w14:paraId="134D7465" w14:textId="3F16CA2F" w:rsidR="0005552C" w:rsidRDefault="0005552C" w:rsidP="0005552C">
      <w:pPr>
        <w:pStyle w:val="BulletText"/>
        <w:numPr>
          <w:ilvl w:val="0"/>
          <w:numId w:val="2"/>
        </w:numPr>
      </w:pPr>
      <w:r>
        <w:t>testing for HAE should be carried out if there is a clinical suspicion in any age group</w:t>
      </w:r>
      <w:r w:rsidR="006D78BB">
        <w:t xml:space="preserve">; </w:t>
      </w:r>
    </w:p>
    <w:p w14:paraId="1D770B41" w14:textId="77777777" w:rsidR="0005552C" w:rsidRDefault="0005552C" w:rsidP="0005552C">
      <w:pPr>
        <w:pStyle w:val="BulletText"/>
        <w:numPr>
          <w:ilvl w:val="0"/>
          <w:numId w:val="2"/>
        </w:numPr>
      </w:pPr>
      <w:r>
        <w:t>testing should also be carried out if there is a positive family history.</w:t>
      </w:r>
    </w:p>
    <w:p w14:paraId="7AF777CE" w14:textId="77777777" w:rsidR="0005552C" w:rsidRDefault="0005552C" w:rsidP="0005552C">
      <w:pPr>
        <w:pStyle w:val="BodyText"/>
      </w:pPr>
      <w:r>
        <w:t xml:space="preserve">Quantitative and functional protein assays are usually used to confirm a suspected diagnosis from clinical history. Serum levels of C4 may be sufficient to rule out HAE where clinical suspicion is low, while both C4 levels and C1-INH levels and function should be tested where the clinical suspicion is high. C1-INH levels and function are generally 50% below normal in HAE patients. </w:t>
      </w:r>
    </w:p>
    <w:p w14:paraId="02BC06B6" w14:textId="77777777" w:rsidR="0005552C" w:rsidRDefault="0005552C" w:rsidP="0005552C">
      <w:pPr>
        <w:pStyle w:val="Heading3"/>
      </w:pPr>
      <w:bookmarkStart w:id="15" w:name="_Toc400097924"/>
      <w:r>
        <w:t>Genetic testing</w:t>
      </w:r>
      <w:bookmarkEnd w:id="15"/>
    </w:p>
    <w:p w14:paraId="025A24C0" w14:textId="43BF264B" w:rsidR="0005552C" w:rsidRDefault="0005552C" w:rsidP="0005552C">
      <w:pPr>
        <w:pStyle w:val="BodyText"/>
      </w:pPr>
      <w:r>
        <w:t xml:space="preserve">According to the evidence-based HAE guidelines published by the World Allergy Association (Craig </w:t>
      </w:r>
      <w:r w:rsidR="00B0226B">
        <w:t xml:space="preserve">et al, </w:t>
      </w:r>
      <w:r>
        <w:t xml:space="preserve">2012), genetic testing for the diagnosis of HAE can prove helpful but is rarely necessary or suggested. The ASCIA position paper on HAE </w:t>
      </w:r>
      <w:r w:rsidR="00B0226B">
        <w:t xml:space="preserve">(Katelaris et al, 2012) </w:t>
      </w:r>
      <w:r>
        <w:t xml:space="preserve">notes </w:t>
      </w:r>
      <w:r w:rsidR="002929DE">
        <w:t>specific</w:t>
      </w:r>
      <w:r>
        <w:t xml:space="preserve"> situations where </w:t>
      </w:r>
      <w:r>
        <w:lastRenderedPageBreak/>
        <w:t>diagnostic genetic testing may be appropriate. Genetic testing is rarely required to confirm a diagnosis of HAE</w:t>
      </w:r>
      <w:r w:rsidRPr="00EB4D63">
        <w:t xml:space="preserve"> </w:t>
      </w:r>
      <w:r w:rsidR="00E977F7">
        <w:t>t</w:t>
      </w:r>
      <w:r w:rsidR="00191426">
        <w:t xml:space="preserve">ype </w:t>
      </w:r>
      <w:r w:rsidR="00E977F7">
        <w:t>I</w:t>
      </w:r>
      <w:r>
        <w:t xml:space="preserve"> as low levels of C1-INH are readily assessed from serum assays. The functional assays of C1-INH are less reliable than the quantitative assays, so where the C1-INH functional assay has been </w:t>
      </w:r>
      <w:r w:rsidRPr="00EB4D63">
        <w:t>inconclusive</w:t>
      </w:r>
      <w:r>
        <w:t>, genetic testing is warranted. Genetic testing is also useful to clarify</w:t>
      </w:r>
      <w:r w:rsidRPr="004F734E">
        <w:t xml:space="preserve"> the status of adults with less seve</w:t>
      </w:r>
      <w:r>
        <w:t>re angioedema and borderline C1-</w:t>
      </w:r>
      <w:r w:rsidRPr="004F734E">
        <w:t>INH</w:t>
      </w:r>
      <w:r>
        <w:t xml:space="preserve">, to distinguish </w:t>
      </w:r>
      <w:r w:rsidRPr="004F734E">
        <w:t>late</w:t>
      </w:r>
      <w:r w:rsidR="00F225B0">
        <w:t>-</w:t>
      </w:r>
      <w:r w:rsidRPr="004F734E">
        <w:t>onset acquired angioedema from HAE</w:t>
      </w:r>
      <w:r>
        <w:t>, and to re-evaluate</w:t>
      </w:r>
      <w:r w:rsidRPr="004F734E">
        <w:t xml:space="preserve"> patients on androgenic therapy</w:t>
      </w:r>
      <w:r>
        <w:t xml:space="preserve"> (which masks the usual, non-medicated levels of C1-INH). In addition, C1-INH levels can be normal</w:t>
      </w:r>
      <w:r w:rsidRPr="002747A3">
        <w:t xml:space="preserve"> </w:t>
      </w:r>
      <w:r>
        <w:t>or near-normal in very young children with HAE, so genetic testing is the only way to establish</w:t>
      </w:r>
      <w:r w:rsidRPr="002747A3">
        <w:t xml:space="preserve"> the status of young children from affected families</w:t>
      </w:r>
      <w:r>
        <w:t>.</w:t>
      </w:r>
    </w:p>
    <w:p w14:paraId="574088CE" w14:textId="77777777" w:rsidR="0005552C" w:rsidRDefault="0005552C" w:rsidP="0005552C">
      <w:pPr>
        <w:pStyle w:val="Heading2"/>
      </w:pPr>
      <w:bookmarkStart w:id="16" w:name="_Toc400097925"/>
      <w:r>
        <w:t>Epidemiology in Australia</w:t>
      </w:r>
      <w:bookmarkEnd w:id="16"/>
    </w:p>
    <w:p w14:paraId="0811F0B0" w14:textId="31397CF5" w:rsidR="00421409" w:rsidRDefault="0005552C" w:rsidP="0005552C">
      <w:pPr>
        <w:pStyle w:val="BodyText"/>
        <w:rPr>
          <w:rFonts w:cs="Times New Roman"/>
        </w:rPr>
      </w:pPr>
      <w:r>
        <w:rPr>
          <w:lang w:val="en-GB" w:eastAsia="ja-JP"/>
        </w:rPr>
        <w:t xml:space="preserve">HAE is classified as a primary immunodeficiency (PID), although no increase in risk of infection is observed. </w:t>
      </w:r>
      <w:r w:rsidR="00421409">
        <w:rPr>
          <w:rFonts w:cs="Times New Roman"/>
        </w:rPr>
        <w:t xml:space="preserve">There are </w:t>
      </w:r>
      <w:r w:rsidR="00421409" w:rsidRPr="00A576C8">
        <w:rPr>
          <w:rFonts w:cs="Times New Roman"/>
        </w:rPr>
        <w:t>no know</w:t>
      </w:r>
      <w:r w:rsidR="00421409">
        <w:rPr>
          <w:rFonts w:cs="Times New Roman"/>
        </w:rPr>
        <w:t>n ethnic or gender differences for HAE Types</w:t>
      </w:r>
      <w:r w:rsidR="006A4374">
        <w:rPr>
          <w:rFonts w:cs="Times New Roman"/>
        </w:rPr>
        <w:t xml:space="preserve"> I or II</w:t>
      </w:r>
      <w:r w:rsidR="00421409">
        <w:rPr>
          <w:rFonts w:cs="Times New Roman"/>
        </w:rPr>
        <w:t>. HAE Type III mainly affects females</w:t>
      </w:r>
      <w:r w:rsidR="00421409" w:rsidRPr="00A576C8">
        <w:rPr>
          <w:rFonts w:cs="Times New Roman"/>
        </w:rPr>
        <w:t>.</w:t>
      </w:r>
    </w:p>
    <w:p w14:paraId="058461A0" w14:textId="77777777" w:rsidR="00016EF7" w:rsidRDefault="0005552C" w:rsidP="0005552C">
      <w:pPr>
        <w:pStyle w:val="BodyText"/>
        <w:rPr>
          <w:rFonts w:cs="Times New Roman"/>
        </w:rPr>
      </w:pPr>
      <w:r>
        <w:rPr>
          <w:lang w:val="en-GB" w:eastAsia="ja-JP"/>
        </w:rPr>
        <w:t xml:space="preserve">The PID Register established by ASCIA included 66 HAE patients in 2012, which is understood to be under-representative (Katelaris </w:t>
      </w:r>
      <w:r w:rsidR="00B0226B">
        <w:rPr>
          <w:lang w:val="en-GB" w:eastAsia="ja-JP"/>
        </w:rPr>
        <w:t xml:space="preserve">et al, </w:t>
      </w:r>
      <w:r>
        <w:rPr>
          <w:lang w:val="en-GB" w:eastAsia="ja-JP"/>
        </w:rPr>
        <w:t xml:space="preserve">2012). Based on prevalence </w:t>
      </w:r>
      <w:r w:rsidR="00B0226B">
        <w:rPr>
          <w:lang w:val="en-GB" w:eastAsia="ja-JP"/>
        </w:rPr>
        <w:t xml:space="preserve">estimates from </w:t>
      </w:r>
      <w:r>
        <w:rPr>
          <w:lang w:val="en-GB" w:eastAsia="ja-JP"/>
        </w:rPr>
        <w:t xml:space="preserve">other </w:t>
      </w:r>
      <w:r w:rsidR="00B0226B">
        <w:rPr>
          <w:lang w:val="en-GB" w:eastAsia="ja-JP"/>
        </w:rPr>
        <w:t>countries</w:t>
      </w:r>
      <w:r>
        <w:rPr>
          <w:lang w:val="en-GB" w:eastAsia="ja-JP"/>
        </w:rPr>
        <w:t>, ASCIA estimates there may be up to 480 cases in Australia</w:t>
      </w:r>
      <w:r w:rsidR="00B0226B">
        <w:rPr>
          <w:lang w:val="en-GB" w:eastAsia="ja-JP"/>
        </w:rPr>
        <w:t xml:space="preserve">, but this is likely to include </w:t>
      </w:r>
      <w:r w:rsidR="00B0226B">
        <w:rPr>
          <w:rFonts w:cs="Times New Roman"/>
        </w:rPr>
        <w:t xml:space="preserve">people </w:t>
      </w:r>
      <w:r w:rsidR="00421409">
        <w:rPr>
          <w:rFonts w:cs="Times New Roman"/>
        </w:rPr>
        <w:t>with</w:t>
      </w:r>
      <w:r w:rsidR="00B0226B">
        <w:rPr>
          <w:rFonts w:cs="Times New Roman"/>
        </w:rPr>
        <w:t xml:space="preserve"> </w:t>
      </w:r>
      <w:r w:rsidR="00B0226B" w:rsidRPr="00A576C8">
        <w:rPr>
          <w:rFonts w:cs="Times New Roman"/>
        </w:rPr>
        <w:t>very mild or no symptoms</w:t>
      </w:r>
      <w:r w:rsidR="00B0226B">
        <w:rPr>
          <w:rFonts w:cs="Times New Roman"/>
        </w:rPr>
        <w:t xml:space="preserve"> </w:t>
      </w:r>
      <w:r w:rsidR="00421409">
        <w:rPr>
          <w:rFonts w:cs="Times New Roman"/>
        </w:rPr>
        <w:t>who do not seek healthcare for their condition.</w:t>
      </w:r>
    </w:p>
    <w:p w14:paraId="61CD3A5E" w14:textId="6FEDB498" w:rsidR="0005552C" w:rsidRPr="00B55391" w:rsidRDefault="00016EF7" w:rsidP="0005552C">
      <w:pPr>
        <w:pStyle w:val="BodyText"/>
        <w:rPr>
          <w:lang w:val="en-GB" w:eastAsia="ja-JP"/>
        </w:rPr>
      </w:pPr>
      <w:r w:rsidRPr="009C6D29">
        <w:t>The number of patients with AAE is extremely low, with currently only three patients in South Australia, and none requiring treatment (</w:t>
      </w:r>
      <w:r w:rsidRPr="009C6D29">
        <w:rPr>
          <w:lang w:val="en-GB" w:eastAsia="ja-JP"/>
        </w:rPr>
        <w:t>ASCIA correspondence 22 August 2014)</w:t>
      </w:r>
      <w:r w:rsidR="004A471B">
        <w:t>.</w:t>
      </w:r>
    </w:p>
    <w:p w14:paraId="19452428" w14:textId="144A697E" w:rsidR="0005552C" w:rsidRDefault="002929DE" w:rsidP="0005552C">
      <w:pPr>
        <w:pStyle w:val="Heading1"/>
      </w:pPr>
      <w:bookmarkStart w:id="17" w:name="_Toc400097926"/>
      <w:bookmarkStart w:id="18" w:name="_Toc394668190"/>
      <w:r>
        <w:t>Manage</w:t>
      </w:r>
      <w:r w:rsidR="0005552C">
        <w:t>ment of HAE in Australia</w:t>
      </w:r>
      <w:bookmarkEnd w:id="17"/>
    </w:p>
    <w:p w14:paraId="1B9AB7F6" w14:textId="0B516B32" w:rsidR="00526FA0" w:rsidRDefault="00042BC9" w:rsidP="0005552C">
      <w:pPr>
        <w:pStyle w:val="BodyText"/>
      </w:pPr>
      <w:r>
        <w:t>T</w:t>
      </w:r>
      <w:r w:rsidR="005677A3">
        <w:t xml:space="preserve">here are three main indications for the </w:t>
      </w:r>
      <w:r w:rsidR="00545D63">
        <w:t xml:space="preserve">management </w:t>
      </w:r>
      <w:r w:rsidR="00063CF4">
        <w:t xml:space="preserve">of </w:t>
      </w:r>
      <w:r w:rsidR="00F13D15">
        <w:t>HAE:</w:t>
      </w:r>
    </w:p>
    <w:p w14:paraId="485695CB" w14:textId="53697534" w:rsidR="00526FA0" w:rsidRDefault="0005552C" w:rsidP="00526FA0">
      <w:pPr>
        <w:pStyle w:val="BulletText"/>
      </w:pPr>
      <w:r>
        <w:t xml:space="preserve">treatment of acute </w:t>
      </w:r>
      <w:r w:rsidR="005F5EA1">
        <w:t xml:space="preserve">angioedema </w:t>
      </w:r>
      <w:r>
        <w:t>attacks</w:t>
      </w:r>
      <w:r w:rsidR="00526FA0">
        <w:t>;</w:t>
      </w:r>
      <w:r>
        <w:t xml:space="preserve"> </w:t>
      </w:r>
    </w:p>
    <w:p w14:paraId="48B39E90" w14:textId="3628594E" w:rsidR="00526FA0" w:rsidRDefault="0005552C" w:rsidP="00526FA0">
      <w:pPr>
        <w:pStyle w:val="Bullettextnospacebefore"/>
      </w:pPr>
      <w:r>
        <w:t xml:space="preserve">pre-procedural </w:t>
      </w:r>
      <w:r w:rsidR="005F5EA1">
        <w:t xml:space="preserve">(short-term) </w:t>
      </w:r>
      <w:r w:rsidR="005677A3">
        <w:t>prophylaxis</w:t>
      </w:r>
      <w:r w:rsidR="00545D63">
        <w:t xml:space="preserve"> against angioedema attacks</w:t>
      </w:r>
      <w:r w:rsidR="00526FA0">
        <w:t>;</w:t>
      </w:r>
      <w:r w:rsidR="005677A3">
        <w:t xml:space="preserve"> and</w:t>
      </w:r>
      <w:r>
        <w:t xml:space="preserve"> </w:t>
      </w:r>
    </w:p>
    <w:p w14:paraId="2384C5A3" w14:textId="5D4B8B35" w:rsidR="00526FA0" w:rsidRDefault="0005552C" w:rsidP="00526FA0">
      <w:pPr>
        <w:pStyle w:val="Bullettextnospacebefore"/>
      </w:pPr>
      <w:r>
        <w:t>routine</w:t>
      </w:r>
      <w:r w:rsidR="005677A3">
        <w:t xml:space="preserve"> </w:t>
      </w:r>
      <w:r w:rsidR="005F5EA1">
        <w:t xml:space="preserve">(long-term) </w:t>
      </w:r>
      <w:r w:rsidR="005677A3">
        <w:t>prophylaxis</w:t>
      </w:r>
      <w:r w:rsidR="00545D63">
        <w:t xml:space="preserve"> against angioedema attacks</w:t>
      </w:r>
      <w:r>
        <w:t xml:space="preserve">. </w:t>
      </w:r>
    </w:p>
    <w:p w14:paraId="0C88DD9D" w14:textId="1103407A" w:rsidR="0005552C" w:rsidRDefault="00526FA0" w:rsidP="0005552C">
      <w:pPr>
        <w:pStyle w:val="BodyText"/>
      </w:pPr>
      <w:r>
        <w:t xml:space="preserve">Treatment </w:t>
      </w:r>
      <w:r w:rsidR="005677A3">
        <w:t xml:space="preserve">options </w:t>
      </w:r>
      <w:r>
        <w:t>differ</w:t>
      </w:r>
      <w:r w:rsidR="005677A3">
        <w:t xml:space="preserve"> for each of these separate indications, and for various sub-populations</w:t>
      </w:r>
      <w:r>
        <w:t xml:space="preserve"> of HAE patients</w:t>
      </w:r>
      <w:r w:rsidR="005677A3">
        <w:t xml:space="preserve"> (</w:t>
      </w:r>
      <w:r>
        <w:t xml:space="preserve">e.g. </w:t>
      </w:r>
      <w:r w:rsidR="005677A3">
        <w:t>paediatric</w:t>
      </w:r>
      <w:r>
        <w:t xml:space="preserve"> patients</w:t>
      </w:r>
      <w:r w:rsidR="00545D63">
        <w:t>, pregnant women</w:t>
      </w:r>
      <w:r w:rsidR="005677A3">
        <w:t xml:space="preserve">). This section provides </w:t>
      </w:r>
      <w:r w:rsidR="006E070F">
        <w:t xml:space="preserve">a brief description of the interventions available in Australia and </w:t>
      </w:r>
      <w:r w:rsidR="005677A3">
        <w:t>an overview of the</w:t>
      </w:r>
      <w:r>
        <w:t xml:space="preserve"> indications for which they are</w:t>
      </w:r>
      <w:r w:rsidR="005677A3">
        <w:t xml:space="preserve"> </w:t>
      </w:r>
      <w:r w:rsidR="00274469">
        <w:t>TGA-approved</w:t>
      </w:r>
      <w:r w:rsidR="006E070F">
        <w:t>.</w:t>
      </w:r>
    </w:p>
    <w:p w14:paraId="2D44F1A0" w14:textId="05BDB29C" w:rsidR="006E070F" w:rsidRDefault="006E070F" w:rsidP="006E070F">
      <w:pPr>
        <w:pStyle w:val="Heading2"/>
      </w:pPr>
      <w:bookmarkStart w:id="19" w:name="_Toc400097927"/>
      <w:r>
        <w:t>Description of HAE interventions</w:t>
      </w:r>
      <w:bookmarkEnd w:id="19"/>
    </w:p>
    <w:p w14:paraId="48F65EA4" w14:textId="05560B36" w:rsidR="006E070F" w:rsidRDefault="006E070F" w:rsidP="006E070F">
      <w:pPr>
        <w:pStyle w:val="Heading3"/>
      </w:pPr>
      <w:bookmarkStart w:id="20" w:name="_Toc400097928"/>
      <w:r>
        <w:t>Attenuated androgens and anti-fibrinolytics</w:t>
      </w:r>
      <w:bookmarkEnd w:id="20"/>
    </w:p>
    <w:p w14:paraId="2E99996A" w14:textId="4D8A1A15" w:rsidR="006E070F" w:rsidRDefault="006E070F" w:rsidP="006E070F">
      <w:pPr>
        <w:pStyle w:val="BodyText"/>
      </w:pPr>
      <w:r>
        <w:t xml:space="preserve">Attenuated androgens such as danazol </w:t>
      </w:r>
      <w:r w:rsidR="00545D63">
        <w:t>(Azol</w:t>
      </w:r>
      <w:r w:rsidR="00545D63" w:rsidRPr="00545D63">
        <w:rPr>
          <w:vertAlign w:val="superscript"/>
        </w:rPr>
        <w:t>®</w:t>
      </w:r>
      <w:r w:rsidR="00545D63">
        <w:t xml:space="preserve">) </w:t>
      </w:r>
      <w:r w:rsidRPr="00C855EB">
        <w:t xml:space="preserve">increase </w:t>
      </w:r>
      <w:r>
        <w:t>synthesis of C1-</w:t>
      </w:r>
      <w:r w:rsidRPr="00C855EB">
        <w:t xml:space="preserve">INH protein from the </w:t>
      </w:r>
      <w:r>
        <w:t xml:space="preserve">normal </w:t>
      </w:r>
      <w:r w:rsidR="000460A8">
        <w:t>C1-</w:t>
      </w:r>
      <w:r w:rsidR="000460A8" w:rsidRPr="00C855EB">
        <w:t xml:space="preserve">INH </w:t>
      </w:r>
      <w:r w:rsidR="000460A8" w:rsidRPr="000460A8">
        <w:t>g</w:t>
      </w:r>
      <w:r>
        <w:t xml:space="preserve">ene and have long been used for routine and pre-procedural prophylaxis. </w:t>
      </w:r>
      <w:r w:rsidR="005E44A7">
        <w:t xml:space="preserve">According to the Product Information (PI), tolerance </w:t>
      </w:r>
      <w:r>
        <w:t xml:space="preserve">is an issue with this approach, with side effects including </w:t>
      </w:r>
      <w:r w:rsidRPr="002C40EE">
        <w:t>virilisation in fe</w:t>
      </w:r>
      <w:r>
        <w:t xml:space="preserve">males, depression and weight gain, as well as </w:t>
      </w:r>
      <w:r w:rsidRPr="002C40EE">
        <w:t>transaminase elevations,</w:t>
      </w:r>
      <w:r w:rsidR="005D0A46">
        <w:t xml:space="preserve"> liver adenoma and carcinoma</w:t>
      </w:r>
      <w:r>
        <w:t>. For patients on routine danazol, the oral contraceptive pill is contra-indicated. Danazol is not recommended for routine prophylaxis in children although, depending on the seriousness and frequency of attacks, it is sometimes considered preferable to no prophylaxis</w:t>
      </w:r>
      <w:r w:rsidR="005D0A46">
        <w:t xml:space="preserve"> (Katelaris </w:t>
      </w:r>
      <w:r w:rsidR="00EF7AFF">
        <w:t xml:space="preserve">et al, </w:t>
      </w:r>
      <w:r w:rsidR="005D0A46">
        <w:t>2012)</w:t>
      </w:r>
      <w:r>
        <w:t xml:space="preserve">. Danazol cannot be used during pregnancy due to risk of foetal virilisation and </w:t>
      </w:r>
      <w:r>
        <w:lastRenderedPageBreak/>
        <w:t>is ceased once a</w:t>
      </w:r>
      <w:r w:rsidRPr="00843BE8">
        <w:t xml:space="preserve"> </w:t>
      </w:r>
      <w:r>
        <w:t>pregnancy is planned. It is usually avoided during breastfeeding a</w:t>
      </w:r>
      <w:r w:rsidR="005D0A46">
        <w:t>s evidence of safety is lacking</w:t>
      </w:r>
      <w:r w:rsidR="00EF7AFF">
        <w:t>.</w:t>
      </w:r>
    </w:p>
    <w:p w14:paraId="559F3732" w14:textId="654F350D" w:rsidR="006E070F" w:rsidRDefault="006E070F" w:rsidP="006E070F">
      <w:pPr>
        <w:pStyle w:val="BodyText"/>
      </w:pPr>
      <w:r>
        <w:t xml:space="preserve">Tranexamic acid </w:t>
      </w:r>
      <w:r w:rsidR="00EF7AFF">
        <w:t>(</w:t>
      </w:r>
      <w:r w:rsidR="00EF7AFF" w:rsidRPr="00EF7AFF">
        <w:t>Cyklokapron</w:t>
      </w:r>
      <w:r w:rsidR="00EF7AFF" w:rsidRPr="00EF7AFF">
        <w:rPr>
          <w:vertAlign w:val="superscript"/>
        </w:rPr>
        <w:t>®</w:t>
      </w:r>
      <w:r w:rsidR="00EF7AFF">
        <w:t xml:space="preserve">) </w:t>
      </w:r>
      <w:r>
        <w:t xml:space="preserve">is the only anti-fibrinolytic agent currently available in Australia. </w:t>
      </w:r>
      <w:r w:rsidR="00EF7AFF">
        <w:t>There are fewer side effects than observed with danazol and</w:t>
      </w:r>
      <w:r w:rsidR="00C01042">
        <w:t>,</w:t>
      </w:r>
      <w:r w:rsidR="00EF7AFF">
        <w:t xml:space="preserve"> although it </w:t>
      </w:r>
      <w:r>
        <w:t>can be used for routine prophylaxis</w:t>
      </w:r>
      <w:r w:rsidR="00EF7AFF">
        <w:t>,</w:t>
      </w:r>
      <w:r>
        <w:t xml:space="preserve"> it is less effective than danazol</w:t>
      </w:r>
      <w:r w:rsidR="00B019E9">
        <w:t xml:space="preserve"> (Katelaris </w:t>
      </w:r>
      <w:r w:rsidR="00EF7AFF">
        <w:t xml:space="preserve">et al, </w:t>
      </w:r>
      <w:r w:rsidR="00B019E9">
        <w:t>2012)</w:t>
      </w:r>
      <w:r w:rsidR="00CE61E0">
        <w:t>. Tranexamic acid</w:t>
      </w:r>
      <w:r>
        <w:t xml:space="preserve"> is rated by the Australian categorisation system for medicines for use during pregnancy as Category B1, and is considered reasonably safe in children over the age of 2 years. While not preferred for pre-procedural prophylaxis, it can be used where danazol is contraindicated or not tolerated.</w:t>
      </w:r>
    </w:p>
    <w:p w14:paraId="58156223" w14:textId="2AB32983" w:rsidR="006E070F" w:rsidRDefault="006E070F" w:rsidP="00633B3B">
      <w:pPr>
        <w:pStyle w:val="BodyText"/>
      </w:pPr>
      <w:r>
        <w:t xml:space="preserve">Both </w:t>
      </w:r>
      <w:r w:rsidR="00633B3B">
        <w:t>danazol and tranexamic acid</w:t>
      </w:r>
      <w:r>
        <w:t xml:space="preserve"> are </w:t>
      </w:r>
      <w:r w:rsidR="00633B3B">
        <w:t xml:space="preserve">taken orally, and are subsidised by </w:t>
      </w:r>
      <w:r>
        <w:t>the PBS</w:t>
      </w:r>
      <w:r w:rsidR="004047FE">
        <w:t xml:space="preserve"> on the General Schedule</w:t>
      </w:r>
      <w:r w:rsidR="00633B3B">
        <w:t xml:space="preserve">; </w:t>
      </w:r>
      <w:r>
        <w:t xml:space="preserve">danazol is a </w:t>
      </w:r>
      <w:r w:rsidR="00EF7AFF">
        <w:t>S</w:t>
      </w:r>
      <w:r>
        <w:t xml:space="preserve">treamlined </w:t>
      </w:r>
      <w:r w:rsidR="00EF7AFF">
        <w:t>A</w:t>
      </w:r>
      <w:r>
        <w:t>uthority item</w:t>
      </w:r>
      <w:r w:rsidR="00633B3B">
        <w:t xml:space="preserve"> and tranexamic acid is not restricted. Further PBS information is shown in </w:t>
      </w:r>
      <w:r w:rsidR="00633B3B">
        <w:fldChar w:fldCharType="begin"/>
      </w:r>
      <w:r w:rsidR="00633B3B">
        <w:instrText xml:space="preserve"> REF _Ref395627065 \h </w:instrText>
      </w:r>
      <w:r w:rsidR="00633B3B">
        <w:fldChar w:fldCharType="separate"/>
      </w:r>
      <w:r w:rsidR="00847595" w:rsidRPr="009C6D29">
        <w:t xml:space="preserve">Table </w:t>
      </w:r>
      <w:r w:rsidR="00847595">
        <w:rPr>
          <w:noProof/>
        </w:rPr>
        <w:t>3</w:t>
      </w:r>
      <w:r w:rsidR="00633B3B">
        <w:fldChar w:fldCharType="end"/>
      </w:r>
      <w:r w:rsidR="00633B3B">
        <w:t>.</w:t>
      </w:r>
    </w:p>
    <w:p w14:paraId="4762C4E9" w14:textId="77777777" w:rsidR="006E070F" w:rsidRDefault="006E070F" w:rsidP="006E070F">
      <w:pPr>
        <w:pStyle w:val="Heading3"/>
      </w:pPr>
      <w:bookmarkStart w:id="21" w:name="_Toc400097929"/>
      <w:r>
        <w:t>Icatibant</w:t>
      </w:r>
      <w:bookmarkEnd w:id="21"/>
    </w:p>
    <w:p w14:paraId="3A14CD38" w14:textId="0467E116" w:rsidR="00E90EC0" w:rsidRDefault="006E070F" w:rsidP="006E070F">
      <w:pPr>
        <w:pStyle w:val="BodyText"/>
      </w:pPr>
      <w:r>
        <w:t>Icatibant (Firazyr</w:t>
      </w:r>
      <w:r w:rsidR="00083184" w:rsidRPr="00083184">
        <w:rPr>
          <w:vertAlign w:val="superscript"/>
        </w:rPr>
        <w:t>®</w:t>
      </w:r>
      <w:r>
        <w:t xml:space="preserve">) is </w:t>
      </w:r>
      <w:r w:rsidRPr="00CD407F">
        <w:t>a</w:t>
      </w:r>
      <w:r>
        <w:t xml:space="preserve"> </w:t>
      </w:r>
      <w:r w:rsidRPr="00CD407F">
        <w:t xml:space="preserve">synthetic </w:t>
      </w:r>
      <w:r>
        <w:t>antagonist of</w:t>
      </w:r>
      <w:r w:rsidRPr="00CD407F">
        <w:t xml:space="preserve"> </w:t>
      </w:r>
      <w:r>
        <w:t xml:space="preserve">the </w:t>
      </w:r>
      <w:r w:rsidRPr="00CD407F">
        <w:t>bradykinin 2 receptor</w:t>
      </w:r>
      <w:r>
        <w:t>,</w:t>
      </w:r>
      <w:r w:rsidRPr="00CD407F">
        <w:t xml:space="preserve"> the primary mediator of </w:t>
      </w:r>
      <w:r>
        <w:t>oedema in H</w:t>
      </w:r>
      <w:r w:rsidR="001B3B44">
        <w:t>AE</w:t>
      </w:r>
      <w:r>
        <w:t xml:space="preserve"> </w:t>
      </w:r>
      <w:r w:rsidR="00C01042">
        <w:t>t</w:t>
      </w:r>
      <w:r>
        <w:t xml:space="preserve">ypes </w:t>
      </w:r>
      <w:r w:rsidR="00C01042">
        <w:t>I</w:t>
      </w:r>
      <w:r>
        <w:t xml:space="preserve"> and </w:t>
      </w:r>
      <w:r w:rsidR="00C01042">
        <w:t>II</w:t>
      </w:r>
      <w:r>
        <w:t xml:space="preserve">. It is indicated for acute HAE attacks only: it has a short half-life of 1-2 hours, making it unsuitable for prophylactic use. Icatibant is administered by subcutaneous injection and is subsidised on the PBS as an </w:t>
      </w:r>
      <w:r w:rsidR="00083184">
        <w:t xml:space="preserve">Authority Required </w:t>
      </w:r>
      <w:r>
        <w:t>item. Patients can keep a supply for administration at the onset of symptoms</w:t>
      </w:r>
      <w:r w:rsidRPr="000C708D">
        <w:t xml:space="preserve"> </w:t>
      </w:r>
      <w:r>
        <w:t xml:space="preserve">by an </w:t>
      </w:r>
      <w:r w:rsidRPr="000C708D">
        <w:t>out-of-hospital health practitioner or nurse</w:t>
      </w:r>
      <w:r>
        <w:t>, or</w:t>
      </w:r>
      <w:r w:rsidRPr="000C708D">
        <w:t xml:space="preserve"> s</w:t>
      </w:r>
      <w:r>
        <w:t>elf/home-administered. This use of icatibant is referred to as ‘on-demand’ therapy.</w:t>
      </w:r>
      <w:r w:rsidR="00633B3B">
        <w:t xml:space="preserve"> </w:t>
      </w:r>
      <w:r w:rsidR="00E90EC0">
        <w:t xml:space="preserve">The PBS Authority Required restriction for icatibant is shown in </w:t>
      </w:r>
      <w:r w:rsidR="003A36DB">
        <w:fldChar w:fldCharType="begin"/>
      </w:r>
      <w:r w:rsidR="003A36DB">
        <w:instrText xml:space="preserve"> REF _Ref395626971 \h </w:instrText>
      </w:r>
      <w:r w:rsidR="003A36DB">
        <w:fldChar w:fldCharType="separate"/>
      </w:r>
      <w:r w:rsidR="00847595">
        <w:t xml:space="preserve">Table </w:t>
      </w:r>
      <w:r w:rsidR="00847595">
        <w:rPr>
          <w:noProof/>
        </w:rPr>
        <w:t>1</w:t>
      </w:r>
      <w:r w:rsidR="003A36DB">
        <w:fldChar w:fldCharType="end"/>
      </w:r>
      <w:r w:rsidR="00222F93">
        <w:t xml:space="preserve"> (also see </w:t>
      </w:r>
      <w:r w:rsidR="00222F93">
        <w:fldChar w:fldCharType="begin"/>
      </w:r>
      <w:r w:rsidR="00222F93">
        <w:instrText xml:space="preserve"> REF _Ref395627065 \h </w:instrText>
      </w:r>
      <w:r w:rsidR="00222F93">
        <w:fldChar w:fldCharType="separate"/>
      </w:r>
      <w:r w:rsidR="00847595" w:rsidRPr="009C6D29">
        <w:t xml:space="preserve">Table </w:t>
      </w:r>
      <w:r w:rsidR="00847595">
        <w:rPr>
          <w:noProof/>
        </w:rPr>
        <w:t>3</w:t>
      </w:r>
      <w:r w:rsidR="00222F93">
        <w:fldChar w:fldCharType="end"/>
      </w:r>
      <w:r w:rsidR="00222F93">
        <w:t xml:space="preserve"> for PBS subsidy details)</w:t>
      </w:r>
      <w:r w:rsidR="00633B3B">
        <w:t>.</w:t>
      </w:r>
    </w:p>
    <w:p w14:paraId="2DE1D7E1" w14:textId="1B210E4A" w:rsidR="00E90EC0" w:rsidRDefault="00E90EC0" w:rsidP="00E90EC0">
      <w:pPr>
        <w:pStyle w:val="Caption"/>
      </w:pPr>
      <w:bookmarkStart w:id="22" w:name="_Ref395626971"/>
      <w:r>
        <w:t xml:space="preserve">Table </w:t>
      </w:r>
      <w:r w:rsidR="00EA5D58">
        <w:fldChar w:fldCharType="begin"/>
      </w:r>
      <w:r w:rsidR="00EA5D58">
        <w:instrText xml:space="preserve"> SEQ Table \* ARABIC </w:instrText>
      </w:r>
      <w:r w:rsidR="00EA5D58">
        <w:fldChar w:fldCharType="separate"/>
      </w:r>
      <w:r w:rsidR="00847595">
        <w:rPr>
          <w:noProof/>
        </w:rPr>
        <w:t>1</w:t>
      </w:r>
      <w:r w:rsidR="00EA5D58">
        <w:rPr>
          <w:noProof/>
        </w:rPr>
        <w:fldChar w:fldCharType="end"/>
      </w:r>
      <w:bookmarkEnd w:id="22"/>
      <w:r>
        <w:tab/>
      </w:r>
      <w:r w:rsidRPr="00E90EC0">
        <w:t>Authority Required PBS restriction for icatibant</w:t>
      </w:r>
    </w:p>
    <w:tbl>
      <w:tblPr>
        <w:tblStyle w:val="TableGrid"/>
        <w:tblW w:w="0" w:type="auto"/>
        <w:tblLook w:val="04A0" w:firstRow="1" w:lastRow="0" w:firstColumn="1" w:lastColumn="0" w:noHBand="0" w:noVBand="1"/>
        <w:tblCaption w:val="Table 1- Authority Required PBS restriction for icatibant"/>
        <w:tblDescription w:val="A table describing authority required for two types of supply of C1-esterase inhibitor - initial supply and continuing supply."/>
      </w:tblPr>
      <w:tblGrid>
        <w:gridCol w:w="1129"/>
        <w:gridCol w:w="7887"/>
      </w:tblGrid>
      <w:tr w:rsidR="00E90EC0" w:rsidRPr="00E90EC0" w14:paraId="45681488" w14:textId="77777777" w:rsidTr="004A471B">
        <w:trPr>
          <w:tblHeader/>
        </w:trPr>
        <w:tc>
          <w:tcPr>
            <w:tcW w:w="1129" w:type="dxa"/>
          </w:tcPr>
          <w:p w14:paraId="1112BA6D" w14:textId="77777777" w:rsidR="00E90EC0" w:rsidRPr="00E90EC0" w:rsidRDefault="00E90EC0" w:rsidP="00E90EC0">
            <w:pPr>
              <w:pStyle w:val="TableText"/>
              <w:rPr>
                <w:b/>
              </w:rPr>
            </w:pPr>
          </w:p>
        </w:tc>
        <w:tc>
          <w:tcPr>
            <w:tcW w:w="7887" w:type="dxa"/>
          </w:tcPr>
          <w:p w14:paraId="16869E00" w14:textId="5E2DEA2C" w:rsidR="00E90EC0" w:rsidRPr="00E90EC0" w:rsidRDefault="00E90EC0" w:rsidP="00E90EC0">
            <w:pPr>
              <w:pStyle w:val="TableText"/>
              <w:rPr>
                <w:b/>
              </w:rPr>
            </w:pPr>
            <w:r w:rsidRPr="00E90EC0">
              <w:rPr>
                <w:b/>
              </w:rPr>
              <w:t xml:space="preserve">Authority Required </w:t>
            </w:r>
            <w:r>
              <w:rPr>
                <w:b/>
              </w:rPr>
              <w:t xml:space="preserve">PBS </w:t>
            </w:r>
            <w:r w:rsidRPr="00E90EC0">
              <w:rPr>
                <w:b/>
              </w:rPr>
              <w:t>restriction</w:t>
            </w:r>
          </w:p>
        </w:tc>
      </w:tr>
      <w:tr w:rsidR="00E90EC0" w:rsidRPr="00E90EC0" w14:paraId="62FE5D99" w14:textId="77777777" w:rsidTr="00E90EC0">
        <w:tc>
          <w:tcPr>
            <w:tcW w:w="1129" w:type="dxa"/>
          </w:tcPr>
          <w:p w14:paraId="44E87787" w14:textId="70612383" w:rsidR="00E90EC0" w:rsidRPr="00E90EC0" w:rsidRDefault="00E90EC0" w:rsidP="00E90EC0">
            <w:pPr>
              <w:pStyle w:val="TableText"/>
              <w:rPr>
                <w:b/>
              </w:rPr>
            </w:pPr>
            <w:r w:rsidRPr="00E90EC0">
              <w:rPr>
                <w:b/>
              </w:rPr>
              <w:t>Initial supply</w:t>
            </w:r>
          </w:p>
        </w:tc>
        <w:tc>
          <w:tcPr>
            <w:tcW w:w="7887" w:type="dxa"/>
          </w:tcPr>
          <w:p w14:paraId="5359AAF2" w14:textId="77777777" w:rsidR="00E90EC0" w:rsidRPr="00E90EC0" w:rsidRDefault="00E90EC0" w:rsidP="00E90EC0">
            <w:pPr>
              <w:pStyle w:val="TableTextspaceafter"/>
            </w:pPr>
            <w:r w:rsidRPr="00E90EC0">
              <w:t xml:space="preserve">Initial supply for anticipated emergency treatment of an acute attack of hereditary angioedema in a patient with confirmed diagnosis of C1-esterase inhibitor deficiency who has been assessed to be at significant risk of an acute attack of hereditary angioedema by or in consultation with a clinical immunologist, respiratory physician, specialist allergist or general physician experienced in the management of patients with hereditary angioedema. </w:t>
            </w:r>
          </w:p>
          <w:p w14:paraId="31FFE320" w14:textId="77777777" w:rsidR="00E90EC0" w:rsidRPr="00E90EC0" w:rsidRDefault="00E90EC0" w:rsidP="00E90EC0">
            <w:pPr>
              <w:pStyle w:val="TableTextspaceafter"/>
            </w:pPr>
            <w:r w:rsidRPr="00E90EC0">
              <w:t>The name of the specialist consulted must be provided at the time of application for initial supply.</w:t>
            </w:r>
          </w:p>
          <w:p w14:paraId="253E52E2" w14:textId="6758791C" w:rsidR="00E90EC0" w:rsidRPr="00E90EC0" w:rsidRDefault="00E90EC0" w:rsidP="00E90EC0">
            <w:pPr>
              <w:pStyle w:val="TableText"/>
            </w:pPr>
            <w:r w:rsidRPr="00E90EC0">
              <w:t>The name of the Approved Pathology Authority and date of the diagnosing pathology test must be includ</w:t>
            </w:r>
            <w:r>
              <w:t>ed in the authority application.</w:t>
            </w:r>
          </w:p>
        </w:tc>
      </w:tr>
      <w:tr w:rsidR="00E90EC0" w:rsidRPr="00E90EC0" w14:paraId="06C3EE73" w14:textId="77777777" w:rsidTr="00E90EC0">
        <w:tc>
          <w:tcPr>
            <w:tcW w:w="1129" w:type="dxa"/>
          </w:tcPr>
          <w:p w14:paraId="4E24A8C5" w14:textId="259F5838" w:rsidR="00E90EC0" w:rsidRPr="00E90EC0" w:rsidRDefault="00E90EC0" w:rsidP="00E90EC0">
            <w:pPr>
              <w:pStyle w:val="TableText"/>
              <w:rPr>
                <w:b/>
              </w:rPr>
            </w:pPr>
            <w:r w:rsidRPr="00E90EC0">
              <w:rPr>
                <w:b/>
              </w:rPr>
              <w:t>Continuing supply</w:t>
            </w:r>
          </w:p>
        </w:tc>
        <w:tc>
          <w:tcPr>
            <w:tcW w:w="7887" w:type="dxa"/>
          </w:tcPr>
          <w:p w14:paraId="6F6B69BA" w14:textId="2AF4743D" w:rsidR="00E90EC0" w:rsidRPr="00E90EC0" w:rsidRDefault="00E90EC0" w:rsidP="00E90EC0">
            <w:pPr>
              <w:pStyle w:val="TableText"/>
            </w:pPr>
            <w:r w:rsidRPr="00E90EC0">
              <w:t>Continuing supply for anticipated emergency treatment of an acute attack of hereditary angioedema, where the patient has previously been issued with an authority prescription for this drug</w:t>
            </w:r>
          </w:p>
        </w:tc>
      </w:tr>
    </w:tbl>
    <w:p w14:paraId="03533244" w14:textId="77777777" w:rsidR="00E90EC0" w:rsidRDefault="00E90EC0" w:rsidP="00E90EC0">
      <w:pPr>
        <w:pStyle w:val="TableFootnotes1"/>
      </w:pPr>
      <w:r w:rsidRPr="00E04E63">
        <w:rPr>
          <w:b/>
        </w:rPr>
        <w:t xml:space="preserve">Source: </w:t>
      </w:r>
      <w:r w:rsidRPr="00E04E63">
        <w:t>Phar</w:t>
      </w:r>
      <w:r>
        <w:t>maceutical Benefits Scheme, Department of Health, accessed online 12 August 2014</w:t>
      </w:r>
    </w:p>
    <w:p w14:paraId="29BC1BF8" w14:textId="3089B497" w:rsidR="00E90EC0" w:rsidRDefault="00E90EC0" w:rsidP="00E90EC0">
      <w:pPr>
        <w:pStyle w:val="LastTableFootnote"/>
      </w:pPr>
      <w:r w:rsidRPr="00E04E63">
        <w:rPr>
          <w:b/>
        </w:rPr>
        <w:t>Abbreviations:</w:t>
      </w:r>
      <w:r w:rsidRPr="009C3742">
        <w:t xml:space="preserve"> </w:t>
      </w:r>
      <w:r w:rsidRPr="00E04E63">
        <w:t>PBS</w:t>
      </w:r>
      <w:r>
        <w:t>,</w:t>
      </w:r>
      <w:r w:rsidRPr="00E04E63">
        <w:t xml:space="preserve"> </w:t>
      </w:r>
      <w:r>
        <w:t>Pharmaceutical Benefits Scheme</w:t>
      </w:r>
    </w:p>
    <w:p w14:paraId="467B81F8" w14:textId="5961F84A" w:rsidR="00605F0B" w:rsidRDefault="00605F0B" w:rsidP="00605F0B">
      <w:pPr>
        <w:pStyle w:val="BodyText"/>
      </w:pPr>
      <w:r w:rsidRPr="00605F0B">
        <w:t xml:space="preserve">Other </w:t>
      </w:r>
      <w:r>
        <w:t>HAE treatments not yet available in Australia includ</w:t>
      </w:r>
      <w:r w:rsidRPr="00605F0B">
        <w:t>e</w:t>
      </w:r>
      <w:r w:rsidR="006E070F" w:rsidRPr="00605F0B">
        <w:t xml:space="preserve"> </w:t>
      </w:r>
      <w:r w:rsidR="00083184">
        <w:t>e</w:t>
      </w:r>
      <w:r w:rsidR="006E070F" w:rsidRPr="00605F0B">
        <w:t xml:space="preserve">callantide </w:t>
      </w:r>
      <w:r w:rsidR="00BC769A" w:rsidRPr="00605F0B">
        <w:t>an</w:t>
      </w:r>
      <w:r>
        <w:t>d conestat alfa. Ecallantide (Kalbitor</w:t>
      </w:r>
      <w:r w:rsidR="00083184" w:rsidRPr="00083184">
        <w:rPr>
          <w:vertAlign w:val="superscript"/>
        </w:rPr>
        <w:t>®</w:t>
      </w:r>
      <w:r>
        <w:t xml:space="preserve">) is a specific inhibitor of plasma kallikrein (which produces the vasodilator, bradykinin), by-passing the C1-INH pathway to inhibit oedema. It is delivered by subcutaneous injection and has been FDA-approved in the US for the treatment of acute HAE attacks in adults (Katelaris </w:t>
      </w:r>
      <w:r w:rsidR="00083184">
        <w:t xml:space="preserve">et al, </w:t>
      </w:r>
      <w:r>
        <w:t xml:space="preserve">2012). </w:t>
      </w:r>
      <w:r w:rsidR="004C3BF4">
        <w:t>Due to a short half-life</w:t>
      </w:r>
      <w:r w:rsidR="00083184">
        <w:t>,</w:t>
      </w:r>
      <w:r w:rsidR="004C3BF4">
        <w:t xml:space="preserve"> it is not suitable for prophylactic use.</w:t>
      </w:r>
    </w:p>
    <w:p w14:paraId="3E0C9F46" w14:textId="2032BB0C" w:rsidR="00605F0B" w:rsidRPr="004C3BF4" w:rsidRDefault="00212AC8" w:rsidP="00605F0B">
      <w:pPr>
        <w:pStyle w:val="BodyText"/>
      </w:pPr>
      <w:r>
        <w:t>Conestat alfa</w:t>
      </w:r>
      <w:r w:rsidRPr="00212AC8">
        <w:t xml:space="preserve"> </w:t>
      </w:r>
      <w:r>
        <w:t>(</w:t>
      </w:r>
      <w:r w:rsidRPr="00212AC8">
        <w:t>Rucon</w:t>
      </w:r>
      <w:r>
        <w:t>est</w:t>
      </w:r>
      <w:r w:rsidR="00083184" w:rsidRPr="00083184">
        <w:rPr>
          <w:vertAlign w:val="superscript"/>
        </w:rPr>
        <w:t>®</w:t>
      </w:r>
      <w:r>
        <w:t xml:space="preserve">) is a recombinant </w:t>
      </w:r>
      <w:r w:rsidR="00C01042">
        <w:t>analogue</w:t>
      </w:r>
      <w:r>
        <w:t xml:space="preserve"> of human C1-INH</w:t>
      </w:r>
      <w:r w:rsidR="00A32E9B">
        <w:t xml:space="preserve"> that is administered via intravenous </w:t>
      </w:r>
      <w:r w:rsidR="00082055">
        <w:t xml:space="preserve">(I.V.) </w:t>
      </w:r>
      <w:r w:rsidR="00A32E9B">
        <w:t>injection.</w:t>
      </w:r>
      <w:r w:rsidRPr="00212AC8">
        <w:t xml:space="preserve"> </w:t>
      </w:r>
      <w:r w:rsidR="00083184">
        <w:t xml:space="preserve">It has been </w:t>
      </w:r>
      <w:r>
        <w:t>approved by the FDA</w:t>
      </w:r>
      <w:r w:rsidRPr="00212AC8">
        <w:t xml:space="preserve"> for the treatment of acute </w:t>
      </w:r>
      <w:r>
        <w:t xml:space="preserve">HAE </w:t>
      </w:r>
      <w:r w:rsidRPr="00212AC8">
        <w:t xml:space="preserve">attacks </w:t>
      </w:r>
      <w:r w:rsidRPr="00212AC8">
        <w:lastRenderedPageBreak/>
        <w:t>in adult</w:t>
      </w:r>
      <w:r>
        <w:t>s</w:t>
      </w:r>
      <w:r w:rsidRPr="00212AC8">
        <w:t xml:space="preserve"> and adolescent</w:t>
      </w:r>
      <w:r>
        <w:t>s</w:t>
      </w:r>
      <w:r w:rsidR="005D708A">
        <w:t>. Due to a short</w:t>
      </w:r>
      <w:r w:rsidR="005405D2">
        <w:t xml:space="preserve"> half-life </w:t>
      </w:r>
      <w:r w:rsidR="005D708A">
        <w:t>of 2.5 hours</w:t>
      </w:r>
      <w:r w:rsidR="005405D2">
        <w:t>, conestat alfa is not appropriate for prophylactic use.</w:t>
      </w:r>
      <w:r w:rsidR="00990A73">
        <w:t xml:space="preserve"> </w:t>
      </w:r>
      <w:r w:rsidR="003636D5">
        <w:t>It is produced b</w:t>
      </w:r>
      <w:r w:rsidR="00605F0B">
        <w:t>y the Pha</w:t>
      </w:r>
      <w:r w:rsidR="00990A73">
        <w:t>rming Group in the Netherlands.</w:t>
      </w:r>
    </w:p>
    <w:p w14:paraId="51AC6A0D" w14:textId="77777777" w:rsidR="006E070F" w:rsidRDefault="006E070F" w:rsidP="006E070F">
      <w:pPr>
        <w:pStyle w:val="Heading3"/>
      </w:pPr>
      <w:bookmarkStart w:id="23" w:name="_Toc400097930"/>
      <w:r w:rsidRPr="00C4720C">
        <w:t>C1-INH concentrate (Cinryze and Berinert)</w:t>
      </w:r>
      <w:bookmarkEnd w:id="23"/>
    </w:p>
    <w:p w14:paraId="5E6D5408" w14:textId="22D5ADE1" w:rsidR="006E070F" w:rsidRDefault="006E070F" w:rsidP="006E070F">
      <w:pPr>
        <w:pStyle w:val="BodyText"/>
        <w:rPr>
          <w:lang w:val="en-GB" w:eastAsia="ja-JP"/>
        </w:rPr>
      </w:pPr>
      <w:r>
        <w:t xml:space="preserve">C1-INH </w:t>
      </w:r>
      <w:r w:rsidR="00F13D15">
        <w:t xml:space="preserve">concentrate </w:t>
      </w:r>
      <w:r>
        <w:t xml:space="preserve">is a serine protease inhibitor purified from </w:t>
      </w:r>
      <w:r w:rsidR="00863AFA">
        <w:t xml:space="preserve">pooled </w:t>
      </w:r>
      <w:r>
        <w:t xml:space="preserve">human </w:t>
      </w:r>
      <w:r w:rsidR="00863AFA">
        <w:t xml:space="preserve">donated </w:t>
      </w:r>
      <w:r>
        <w:t xml:space="preserve">plasma. </w:t>
      </w:r>
      <w:r>
        <w:rPr>
          <w:lang w:val="en-GB" w:eastAsia="ja-JP"/>
        </w:rPr>
        <w:t xml:space="preserve">Both Cinryze and Berinert are TGA-approved for the treatment of acute </w:t>
      </w:r>
      <w:r w:rsidR="00821FB1">
        <w:rPr>
          <w:lang w:val="en-GB" w:eastAsia="ja-JP"/>
        </w:rPr>
        <w:t xml:space="preserve">HAE </w:t>
      </w:r>
      <w:r>
        <w:rPr>
          <w:lang w:val="en-GB" w:eastAsia="ja-JP"/>
        </w:rPr>
        <w:t>attacks, but Cinryze is also TGA-approved for prophylactic use, both pre-procedural and routine. Both treatments are</w:t>
      </w:r>
      <w:r w:rsidR="00BC769A">
        <w:rPr>
          <w:lang w:val="en-GB" w:eastAsia="ja-JP"/>
        </w:rPr>
        <w:t xml:space="preserve"> administered by I.V. injection</w:t>
      </w:r>
      <w:r w:rsidR="00821FB1">
        <w:rPr>
          <w:lang w:val="en-GB" w:eastAsia="ja-JP"/>
        </w:rPr>
        <w:t xml:space="preserve"> </w:t>
      </w:r>
      <w:r w:rsidR="00BC769A">
        <w:rPr>
          <w:lang w:val="en-GB" w:eastAsia="ja-JP"/>
        </w:rPr>
        <w:t>(see following section for more information about the interventions).</w:t>
      </w:r>
    </w:p>
    <w:p w14:paraId="79AA83A8" w14:textId="57DB856E" w:rsidR="0005552C" w:rsidRDefault="00526FA0" w:rsidP="0005552C">
      <w:pPr>
        <w:pStyle w:val="Heading2"/>
      </w:pPr>
      <w:bookmarkStart w:id="24" w:name="_Toc400097931"/>
      <w:r>
        <w:t xml:space="preserve">TGA-approval status of </w:t>
      </w:r>
      <w:r w:rsidR="0005552C">
        <w:t>HAE interventions</w:t>
      </w:r>
      <w:r w:rsidRPr="00526FA0">
        <w:t xml:space="preserve"> </w:t>
      </w:r>
      <w:r>
        <w:t>for various indications</w:t>
      </w:r>
      <w:bookmarkEnd w:id="24"/>
      <w:r>
        <w:t xml:space="preserve"> </w:t>
      </w:r>
    </w:p>
    <w:p w14:paraId="4A175983" w14:textId="591D432B" w:rsidR="0005552C" w:rsidRDefault="006E070F" w:rsidP="0005552C">
      <w:pPr>
        <w:pStyle w:val="BodyText"/>
      </w:pPr>
      <w:r>
        <w:t>The TGA-approval status</w:t>
      </w:r>
      <w:r w:rsidR="00526FA0">
        <w:t xml:space="preserve"> of interventions</w:t>
      </w:r>
      <w:r>
        <w:t xml:space="preserve"> for various HAE indications and administration regimes are shown </w:t>
      </w:r>
      <w:r w:rsidR="0005552C">
        <w:t>in</w:t>
      </w:r>
      <w:r w:rsidR="00D10E14">
        <w:t xml:space="preserve"> </w:t>
      </w:r>
      <w:r w:rsidR="00D10E14">
        <w:fldChar w:fldCharType="begin"/>
      </w:r>
      <w:r w:rsidR="00D10E14">
        <w:instrText xml:space="preserve"> REF _Ref395184693 \h </w:instrText>
      </w:r>
      <w:r w:rsidR="00D10E14">
        <w:fldChar w:fldCharType="separate"/>
      </w:r>
      <w:r w:rsidR="00847595">
        <w:t xml:space="preserve">Table </w:t>
      </w:r>
      <w:r w:rsidR="00847595">
        <w:rPr>
          <w:noProof/>
        </w:rPr>
        <w:t>2</w:t>
      </w:r>
      <w:r w:rsidR="00D10E14">
        <w:fldChar w:fldCharType="end"/>
      </w:r>
      <w:r>
        <w:t xml:space="preserve">. </w:t>
      </w:r>
      <w:r w:rsidR="0005552C">
        <w:t>Cinryze is approved for all H</w:t>
      </w:r>
      <w:r w:rsidR="001B3B44">
        <w:t>AE</w:t>
      </w:r>
      <w:r w:rsidR="0005552C">
        <w:t xml:space="preserve"> indications. Berinert approval is limited to </w:t>
      </w:r>
      <w:r w:rsidR="00082055">
        <w:t xml:space="preserve">treatment of </w:t>
      </w:r>
      <w:r w:rsidR="0005552C">
        <w:t>acute H</w:t>
      </w:r>
      <w:r w:rsidR="001B3B44">
        <w:t>AE</w:t>
      </w:r>
      <w:r w:rsidR="0005552C">
        <w:t xml:space="preserve"> attacks. Icantibant is also indicated for acute attacks only, based on a short half-life. Danazol is indicated for prophylaxis only, consistent with its mode of action</w:t>
      </w:r>
      <w:r w:rsidR="0005552C">
        <w:rPr>
          <w:rStyle w:val="FootnoteReference"/>
        </w:rPr>
        <w:footnoteReference w:id="1"/>
      </w:r>
      <w:r w:rsidR="0005552C">
        <w:t>, while tranexamic acid can be used for acute attacks but is normally used for proph</w:t>
      </w:r>
      <w:r w:rsidR="003B4ED7">
        <w:t>ylaxis.</w:t>
      </w:r>
    </w:p>
    <w:p w14:paraId="6129C298" w14:textId="0841CE4B" w:rsidR="00A175C2" w:rsidRDefault="003B4ED7" w:rsidP="00A175C2">
      <w:pPr>
        <w:pStyle w:val="BodyText"/>
      </w:pPr>
      <w:r>
        <w:t xml:space="preserve">In </w:t>
      </w:r>
      <w:r>
        <w:fldChar w:fldCharType="begin"/>
      </w:r>
      <w:r>
        <w:instrText xml:space="preserve"> REF _Ref395174474 \r \h </w:instrText>
      </w:r>
      <w:r>
        <w:fldChar w:fldCharType="separate"/>
      </w:r>
      <w:r w:rsidR="00847595">
        <w:t>Appendix A</w:t>
      </w:r>
      <w:r>
        <w:fldChar w:fldCharType="end"/>
      </w:r>
      <w:r>
        <w:t xml:space="preserve">, </w:t>
      </w:r>
      <w:r>
        <w:fldChar w:fldCharType="begin"/>
      </w:r>
      <w:r>
        <w:instrText xml:space="preserve"> REF _Ref395184854 \h </w:instrText>
      </w:r>
      <w:r>
        <w:fldChar w:fldCharType="separate"/>
      </w:r>
      <w:r w:rsidR="00847595">
        <w:t xml:space="preserve">Table </w:t>
      </w:r>
      <w:r w:rsidR="00847595">
        <w:rPr>
          <w:noProof/>
        </w:rPr>
        <w:t>A</w:t>
      </w:r>
      <w:r w:rsidR="00847595">
        <w:t>.</w:t>
      </w:r>
      <w:r w:rsidR="00847595">
        <w:rPr>
          <w:noProof/>
        </w:rPr>
        <w:t>1</w:t>
      </w:r>
      <w:r>
        <w:fldChar w:fldCharType="end"/>
      </w:r>
      <w:r>
        <w:t xml:space="preserve"> shows the ASCIA recommendations for specific indications within particular sub-populations. </w:t>
      </w:r>
      <w:r w:rsidR="00A175C2">
        <w:t>The use of danazol in children is normally limited to pre-procedural</w:t>
      </w:r>
      <w:r w:rsidR="00A175C2" w:rsidRPr="00A175C2">
        <w:t xml:space="preserve"> </w:t>
      </w:r>
      <w:r w:rsidR="00A175C2">
        <w:t xml:space="preserve">prophylaxis, but in some instances the benefits of treatment </w:t>
      </w:r>
      <w:r w:rsidR="005F5EA1">
        <w:t xml:space="preserve">outweighs </w:t>
      </w:r>
      <w:r w:rsidR="00A175C2">
        <w:t xml:space="preserve">the risks. Icatibant is not approved for use in children due to a lack of clinical data. </w:t>
      </w:r>
      <w:r>
        <w:t>Similarly, Cinryze is not indicated for treatment of acute attacks in children under the age of 12 years</w:t>
      </w:r>
      <w:r w:rsidR="007A0664">
        <w:rPr>
          <w:rStyle w:val="FootnoteReference"/>
        </w:rPr>
        <w:footnoteReference w:id="2"/>
      </w:r>
      <w:r>
        <w:t>.</w:t>
      </w:r>
    </w:p>
    <w:p w14:paraId="3F4999B6" w14:textId="486FE0D4" w:rsidR="00A175C2" w:rsidRPr="000A2A35" w:rsidRDefault="0005552C" w:rsidP="00A175C2">
      <w:pPr>
        <w:pStyle w:val="BodyText"/>
      </w:pPr>
      <w:r>
        <w:t xml:space="preserve">Paediatric, pregnant and lactating patients </w:t>
      </w:r>
      <w:r w:rsidR="005F5EA1">
        <w:t xml:space="preserve">with HAE </w:t>
      </w:r>
      <w:r>
        <w:t>require special consideration, especially with regard to danazol which is potentially virilising. It is contraindicated during pregnancy and lactation</w:t>
      </w:r>
      <w:r w:rsidR="00A175C2">
        <w:t>.</w:t>
      </w:r>
      <w:r>
        <w:t xml:space="preserve"> </w:t>
      </w:r>
      <w:r w:rsidR="00A175C2">
        <w:t>The ASCIA Position Paper (</w:t>
      </w:r>
      <w:r w:rsidR="00F022FC">
        <w:t>Katelaris</w:t>
      </w:r>
      <w:r w:rsidR="00A175C2">
        <w:t xml:space="preserve"> </w:t>
      </w:r>
      <w:r w:rsidR="005F5EA1">
        <w:t xml:space="preserve">et al, </w:t>
      </w:r>
      <w:r w:rsidR="00A175C2">
        <w:t>2012) states that either on-demand IRT or routine use of C1-INH concentrate is now considered optimal therapy in the pregnant woman with HAE and must be available at partu</w:t>
      </w:r>
      <w:r w:rsidR="005F5EA1">
        <w:t>r</w:t>
      </w:r>
      <w:r w:rsidR="00A175C2">
        <w:t>ition in the event of labour triggering oedema.</w:t>
      </w:r>
    </w:p>
    <w:p w14:paraId="458FB038" w14:textId="0FEBB4B6" w:rsidR="0005552C" w:rsidRDefault="00D10E14" w:rsidP="00D10E14">
      <w:pPr>
        <w:pStyle w:val="Caption"/>
      </w:pPr>
      <w:bookmarkStart w:id="25" w:name="_Ref395184693"/>
      <w:r>
        <w:lastRenderedPageBreak/>
        <w:t xml:space="preserve">Table </w:t>
      </w:r>
      <w:r w:rsidR="00EA5D58">
        <w:fldChar w:fldCharType="begin"/>
      </w:r>
      <w:r w:rsidR="00EA5D58">
        <w:instrText xml:space="preserve"> SEQ Table \* ARABIC </w:instrText>
      </w:r>
      <w:r w:rsidR="00EA5D58">
        <w:fldChar w:fldCharType="separate"/>
      </w:r>
      <w:r w:rsidR="00847595">
        <w:rPr>
          <w:noProof/>
        </w:rPr>
        <w:t>2</w:t>
      </w:r>
      <w:r w:rsidR="00EA5D58">
        <w:rPr>
          <w:noProof/>
        </w:rPr>
        <w:fldChar w:fldCharType="end"/>
      </w:r>
      <w:bookmarkEnd w:id="25"/>
      <w:r>
        <w:tab/>
      </w:r>
      <w:r w:rsidR="00A175C2">
        <w:t>TGA-approval status for various indications in the treatment of H</w:t>
      </w:r>
      <w:r w:rsidR="001446D5">
        <w:t>AE</w:t>
      </w:r>
    </w:p>
    <w:tbl>
      <w:tblPr>
        <w:tblStyle w:val="TableGrid"/>
        <w:tblW w:w="0" w:type="auto"/>
        <w:tblLook w:val="04A0" w:firstRow="1" w:lastRow="0" w:firstColumn="1" w:lastColumn="0" w:noHBand="0" w:noVBand="1"/>
        <w:tblCaption w:val="Table 2- TGA-approval status for various indications in the treatment of HAE"/>
        <w:tblDescription w:val="A table outlining the method of treatment administration for different indications and subpopulations."/>
      </w:tblPr>
      <w:tblGrid>
        <w:gridCol w:w="2263"/>
        <w:gridCol w:w="1234"/>
        <w:gridCol w:w="1235"/>
        <w:gridCol w:w="1328"/>
        <w:gridCol w:w="1309"/>
        <w:gridCol w:w="1647"/>
      </w:tblGrid>
      <w:tr w:rsidR="0005552C" w:rsidRPr="00BC4565" w14:paraId="6C904112" w14:textId="77777777" w:rsidTr="004A471B">
        <w:trPr>
          <w:tblHeader/>
        </w:trPr>
        <w:tc>
          <w:tcPr>
            <w:tcW w:w="2263" w:type="dxa"/>
            <w:vAlign w:val="center"/>
          </w:tcPr>
          <w:p w14:paraId="346827E4" w14:textId="77777777" w:rsidR="0005552C" w:rsidRPr="000E7C7C" w:rsidRDefault="0005552C" w:rsidP="003B4ED7">
            <w:pPr>
              <w:pStyle w:val="TableText"/>
              <w:jc w:val="center"/>
              <w:rPr>
                <w:b/>
              </w:rPr>
            </w:pPr>
            <w:r>
              <w:rPr>
                <w:b/>
              </w:rPr>
              <w:t>Route of administration</w:t>
            </w:r>
          </w:p>
        </w:tc>
        <w:tc>
          <w:tcPr>
            <w:tcW w:w="2469" w:type="dxa"/>
            <w:gridSpan w:val="2"/>
            <w:vAlign w:val="center"/>
          </w:tcPr>
          <w:p w14:paraId="1ACF1D9D" w14:textId="77777777" w:rsidR="0005552C" w:rsidRPr="000E7C7C" w:rsidRDefault="0005552C" w:rsidP="003B4ED7">
            <w:pPr>
              <w:pStyle w:val="TableText"/>
              <w:jc w:val="center"/>
              <w:rPr>
                <w:b/>
              </w:rPr>
            </w:pPr>
            <w:r w:rsidRPr="000E7C7C">
              <w:rPr>
                <w:b/>
              </w:rPr>
              <w:t>I.V</w:t>
            </w:r>
            <w:r>
              <w:rPr>
                <w:b/>
              </w:rPr>
              <w:t>. injection</w:t>
            </w:r>
          </w:p>
        </w:tc>
        <w:tc>
          <w:tcPr>
            <w:tcW w:w="1328" w:type="dxa"/>
            <w:vAlign w:val="center"/>
          </w:tcPr>
          <w:p w14:paraId="16AFC3F7" w14:textId="77777777" w:rsidR="0005552C" w:rsidRPr="000E7C7C" w:rsidRDefault="0005552C" w:rsidP="003B4ED7">
            <w:pPr>
              <w:pStyle w:val="TableText"/>
              <w:jc w:val="center"/>
              <w:rPr>
                <w:b/>
              </w:rPr>
            </w:pPr>
            <w:r w:rsidRPr="000E7C7C">
              <w:rPr>
                <w:b/>
              </w:rPr>
              <w:t>subcutaneous</w:t>
            </w:r>
            <w:r>
              <w:rPr>
                <w:b/>
              </w:rPr>
              <w:t xml:space="preserve"> injection</w:t>
            </w:r>
          </w:p>
        </w:tc>
        <w:tc>
          <w:tcPr>
            <w:tcW w:w="2956" w:type="dxa"/>
            <w:gridSpan w:val="2"/>
            <w:vAlign w:val="center"/>
          </w:tcPr>
          <w:p w14:paraId="6FFD897C" w14:textId="346A3805" w:rsidR="0005552C" w:rsidRPr="000E7C7C" w:rsidRDefault="008423E1" w:rsidP="003B4ED7">
            <w:pPr>
              <w:pStyle w:val="TableText"/>
              <w:jc w:val="center"/>
              <w:rPr>
                <w:b/>
              </w:rPr>
            </w:pPr>
            <w:r w:rsidRPr="000E7C7C">
              <w:rPr>
                <w:b/>
              </w:rPr>
              <w:t>O</w:t>
            </w:r>
            <w:r w:rsidR="0005552C" w:rsidRPr="000E7C7C">
              <w:rPr>
                <w:b/>
              </w:rPr>
              <w:t>ral</w:t>
            </w:r>
          </w:p>
        </w:tc>
      </w:tr>
      <w:tr w:rsidR="0005552C" w:rsidRPr="00BC4565" w14:paraId="1907259D" w14:textId="77777777" w:rsidTr="003B4ED7">
        <w:tc>
          <w:tcPr>
            <w:tcW w:w="2263" w:type="dxa"/>
            <w:vAlign w:val="bottom"/>
          </w:tcPr>
          <w:p w14:paraId="751D4673" w14:textId="77777777" w:rsidR="0005552C" w:rsidRPr="00BC4565" w:rsidRDefault="0005552C" w:rsidP="003B4ED7">
            <w:pPr>
              <w:pStyle w:val="TableHeading"/>
            </w:pPr>
            <w:r>
              <w:t>Indication</w:t>
            </w:r>
          </w:p>
        </w:tc>
        <w:tc>
          <w:tcPr>
            <w:tcW w:w="1234" w:type="dxa"/>
            <w:vAlign w:val="bottom"/>
          </w:tcPr>
          <w:p w14:paraId="0FC23A6A" w14:textId="77777777" w:rsidR="005F5EA1" w:rsidRDefault="005F5EA1" w:rsidP="00DD6DC4">
            <w:pPr>
              <w:pStyle w:val="TableHeading"/>
              <w:jc w:val="center"/>
            </w:pPr>
            <w:r>
              <w:t>C1-INH</w:t>
            </w:r>
          </w:p>
          <w:p w14:paraId="7F248DCE" w14:textId="77777777" w:rsidR="0005552C" w:rsidRPr="00BC4565" w:rsidRDefault="0005552C" w:rsidP="00DD6DC4">
            <w:pPr>
              <w:pStyle w:val="TableHeading"/>
              <w:jc w:val="center"/>
            </w:pPr>
            <w:r>
              <w:t>Cinryze</w:t>
            </w:r>
          </w:p>
        </w:tc>
        <w:tc>
          <w:tcPr>
            <w:tcW w:w="1235" w:type="dxa"/>
            <w:vAlign w:val="bottom"/>
          </w:tcPr>
          <w:p w14:paraId="3C8E6586" w14:textId="77777777" w:rsidR="005F5EA1" w:rsidRDefault="005F5EA1" w:rsidP="00DD6DC4">
            <w:pPr>
              <w:pStyle w:val="TableHeading"/>
              <w:jc w:val="center"/>
            </w:pPr>
            <w:r>
              <w:t>C1-INH</w:t>
            </w:r>
          </w:p>
          <w:p w14:paraId="3861048F" w14:textId="77777777" w:rsidR="0005552C" w:rsidRPr="00BC4565" w:rsidRDefault="0005552C" w:rsidP="00DD6DC4">
            <w:pPr>
              <w:pStyle w:val="TableHeading"/>
              <w:jc w:val="center"/>
            </w:pPr>
            <w:r>
              <w:t>Berinert</w:t>
            </w:r>
          </w:p>
        </w:tc>
        <w:tc>
          <w:tcPr>
            <w:tcW w:w="1328" w:type="dxa"/>
            <w:vAlign w:val="bottom"/>
          </w:tcPr>
          <w:p w14:paraId="7CF8AB00" w14:textId="77777777" w:rsidR="0005552C" w:rsidRPr="00BC4565" w:rsidRDefault="0005552C" w:rsidP="00DD6DC4">
            <w:pPr>
              <w:pStyle w:val="TableHeading"/>
              <w:jc w:val="center"/>
            </w:pPr>
            <w:r>
              <w:t>icatibant</w:t>
            </w:r>
          </w:p>
        </w:tc>
        <w:tc>
          <w:tcPr>
            <w:tcW w:w="1309" w:type="dxa"/>
            <w:vAlign w:val="bottom"/>
          </w:tcPr>
          <w:p w14:paraId="6AC52305" w14:textId="77777777" w:rsidR="0005552C" w:rsidRDefault="0005552C" w:rsidP="00DD6DC4">
            <w:pPr>
              <w:pStyle w:val="TableHeading"/>
              <w:jc w:val="center"/>
            </w:pPr>
            <w:r>
              <w:t>attenuated androgens</w:t>
            </w:r>
          </w:p>
          <w:p w14:paraId="27DD791E" w14:textId="77777777" w:rsidR="0005552C" w:rsidRPr="00BC4565" w:rsidRDefault="0005552C" w:rsidP="00DD6DC4">
            <w:pPr>
              <w:pStyle w:val="TableHeading"/>
              <w:jc w:val="center"/>
            </w:pPr>
            <w:r>
              <w:t>(danazol)</w:t>
            </w:r>
          </w:p>
        </w:tc>
        <w:tc>
          <w:tcPr>
            <w:tcW w:w="1647" w:type="dxa"/>
            <w:vAlign w:val="bottom"/>
          </w:tcPr>
          <w:p w14:paraId="767C48F0" w14:textId="77777777" w:rsidR="0005552C" w:rsidRPr="00BC4565" w:rsidRDefault="0005552C" w:rsidP="00DD6DC4">
            <w:pPr>
              <w:pStyle w:val="TableHeading"/>
              <w:jc w:val="center"/>
            </w:pPr>
            <w:r>
              <w:t>anti-fibrinolytics (tranexamic acid)</w:t>
            </w:r>
          </w:p>
        </w:tc>
      </w:tr>
      <w:tr w:rsidR="0005552C" w:rsidRPr="00BC4565" w14:paraId="1C742D8A" w14:textId="77777777" w:rsidTr="003B4ED7">
        <w:tc>
          <w:tcPr>
            <w:tcW w:w="2263" w:type="dxa"/>
          </w:tcPr>
          <w:p w14:paraId="423AA66A" w14:textId="3DD98837" w:rsidR="0005552C" w:rsidRPr="00BC4565" w:rsidRDefault="0005552C" w:rsidP="003B4ED7">
            <w:pPr>
              <w:pStyle w:val="TableText"/>
            </w:pPr>
            <w:r>
              <w:t xml:space="preserve">acute </w:t>
            </w:r>
            <w:r w:rsidR="005F5EA1">
              <w:t xml:space="preserve">angioedema </w:t>
            </w:r>
            <w:r>
              <w:t>attack</w:t>
            </w:r>
          </w:p>
        </w:tc>
        <w:tc>
          <w:tcPr>
            <w:tcW w:w="1234" w:type="dxa"/>
            <w:vAlign w:val="center"/>
          </w:tcPr>
          <w:p w14:paraId="5F0F1B0E" w14:textId="77777777" w:rsidR="0005552C" w:rsidRPr="00BC4565" w:rsidRDefault="0005552C" w:rsidP="003B4ED7">
            <w:pPr>
              <w:pStyle w:val="TableText"/>
              <w:jc w:val="center"/>
            </w:pPr>
            <w:r>
              <w:sym w:font="Wingdings" w:char="F0FC"/>
            </w:r>
          </w:p>
        </w:tc>
        <w:tc>
          <w:tcPr>
            <w:tcW w:w="1235" w:type="dxa"/>
            <w:vAlign w:val="center"/>
          </w:tcPr>
          <w:p w14:paraId="618DCD2A" w14:textId="77777777" w:rsidR="0005552C" w:rsidRPr="00BC4565" w:rsidRDefault="0005552C" w:rsidP="003B4ED7">
            <w:pPr>
              <w:pStyle w:val="TableText"/>
              <w:jc w:val="center"/>
            </w:pPr>
            <w:r>
              <w:sym w:font="Wingdings" w:char="F0FC"/>
            </w:r>
          </w:p>
        </w:tc>
        <w:tc>
          <w:tcPr>
            <w:tcW w:w="1328" w:type="dxa"/>
            <w:vAlign w:val="center"/>
          </w:tcPr>
          <w:p w14:paraId="18049F60" w14:textId="77777777" w:rsidR="0005552C" w:rsidRPr="00BC4565" w:rsidRDefault="0005552C" w:rsidP="003B4ED7">
            <w:pPr>
              <w:pStyle w:val="TableText"/>
              <w:jc w:val="center"/>
            </w:pPr>
            <w:r>
              <w:sym w:font="Wingdings" w:char="F0FC"/>
            </w:r>
            <w:r w:rsidRPr="00FC30B4">
              <w:rPr>
                <w:vertAlign w:val="superscript"/>
              </w:rPr>
              <w:t>a</w:t>
            </w:r>
          </w:p>
        </w:tc>
        <w:tc>
          <w:tcPr>
            <w:tcW w:w="1309" w:type="dxa"/>
            <w:vAlign w:val="center"/>
          </w:tcPr>
          <w:p w14:paraId="0462D48F" w14:textId="77777777" w:rsidR="0005552C" w:rsidRPr="00BC4565" w:rsidRDefault="0005552C" w:rsidP="003B4ED7">
            <w:pPr>
              <w:pStyle w:val="TableText"/>
              <w:jc w:val="center"/>
            </w:pPr>
          </w:p>
        </w:tc>
        <w:tc>
          <w:tcPr>
            <w:tcW w:w="1647" w:type="dxa"/>
            <w:vAlign w:val="center"/>
          </w:tcPr>
          <w:p w14:paraId="5E812BA4" w14:textId="77777777" w:rsidR="0005552C" w:rsidRPr="00BC4565" w:rsidRDefault="0005552C" w:rsidP="003B4ED7">
            <w:pPr>
              <w:pStyle w:val="TableText"/>
              <w:jc w:val="center"/>
            </w:pPr>
            <w:r>
              <w:sym w:font="Wingdings" w:char="F0FC"/>
            </w:r>
            <w:r w:rsidRPr="009E5B76">
              <w:rPr>
                <w:vertAlign w:val="superscript"/>
              </w:rPr>
              <w:t>b</w:t>
            </w:r>
          </w:p>
        </w:tc>
      </w:tr>
      <w:tr w:rsidR="0005552C" w:rsidRPr="00BC4565" w14:paraId="72E5EFA8" w14:textId="77777777" w:rsidTr="003B4ED7">
        <w:tc>
          <w:tcPr>
            <w:tcW w:w="2263" w:type="dxa"/>
          </w:tcPr>
          <w:p w14:paraId="3003BD62" w14:textId="77777777" w:rsidR="0005552C" w:rsidRPr="00BC4565" w:rsidRDefault="0005552C" w:rsidP="003B4ED7">
            <w:pPr>
              <w:pStyle w:val="TableText"/>
            </w:pPr>
            <w:r>
              <w:t>pre-procedural prophylaxis</w:t>
            </w:r>
          </w:p>
        </w:tc>
        <w:tc>
          <w:tcPr>
            <w:tcW w:w="1234" w:type="dxa"/>
            <w:vAlign w:val="center"/>
          </w:tcPr>
          <w:p w14:paraId="1A851F90" w14:textId="77777777" w:rsidR="0005552C" w:rsidRPr="00BC4565" w:rsidRDefault="0005552C" w:rsidP="003B4ED7">
            <w:pPr>
              <w:pStyle w:val="TableText"/>
              <w:jc w:val="center"/>
            </w:pPr>
            <w:r>
              <w:sym w:font="Wingdings" w:char="F0FC"/>
            </w:r>
          </w:p>
        </w:tc>
        <w:tc>
          <w:tcPr>
            <w:tcW w:w="1235" w:type="dxa"/>
            <w:vAlign w:val="center"/>
          </w:tcPr>
          <w:p w14:paraId="00188B51" w14:textId="77777777" w:rsidR="0005552C" w:rsidRPr="00BC4565" w:rsidRDefault="0005552C" w:rsidP="003B4ED7">
            <w:pPr>
              <w:pStyle w:val="TableText"/>
              <w:jc w:val="center"/>
            </w:pPr>
          </w:p>
        </w:tc>
        <w:tc>
          <w:tcPr>
            <w:tcW w:w="1328" w:type="dxa"/>
            <w:vAlign w:val="center"/>
          </w:tcPr>
          <w:p w14:paraId="48A55826" w14:textId="77777777" w:rsidR="0005552C" w:rsidRPr="00BC4565" w:rsidRDefault="0005552C" w:rsidP="003B4ED7">
            <w:pPr>
              <w:pStyle w:val="TableText"/>
              <w:jc w:val="center"/>
            </w:pPr>
          </w:p>
        </w:tc>
        <w:tc>
          <w:tcPr>
            <w:tcW w:w="1309" w:type="dxa"/>
            <w:vAlign w:val="center"/>
          </w:tcPr>
          <w:p w14:paraId="0A338CB7" w14:textId="77777777" w:rsidR="0005552C" w:rsidRPr="00BC4565" w:rsidRDefault="0005552C" w:rsidP="003B4ED7">
            <w:pPr>
              <w:pStyle w:val="TableText"/>
              <w:jc w:val="center"/>
            </w:pPr>
            <w:r>
              <w:sym w:font="Wingdings" w:char="F0FC"/>
            </w:r>
          </w:p>
        </w:tc>
        <w:tc>
          <w:tcPr>
            <w:tcW w:w="1647" w:type="dxa"/>
            <w:vAlign w:val="center"/>
          </w:tcPr>
          <w:p w14:paraId="76AA0099" w14:textId="77777777" w:rsidR="0005552C" w:rsidRPr="00BC4565" w:rsidRDefault="0005552C" w:rsidP="003B4ED7">
            <w:pPr>
              <w:pStyle w:val="TableText"/>
              <w:jc w:val="center"/>
            </w:pPr>
            <w:r>
              <w:sym w:font="Wingdings" w:char="F0FC"/>
            </w:r>
            <w:r>
              <w:rPr>
                <w:vertAlign w:val="superscript"/>
              </w:rPr>
              <w:t>c</w:t>
            </w:r>
          </w:p>
        </w:tc>
      </w:tr>
      <w:tr w:rsidR="0005552C" w:rsidRPr="00BC4565" w14:paraId="50CC66E6" w14:textId="77777777" w:rsidTr="003B4ED7">
        <w:tc>
          <w:tcPr>
            <w:tcW w:w="2263" w:type="dxa"/>
          </w:tcPr>
          <w:p w14:paraId="7A27E674" w14:textId="77777777" w:rsidR="0005552C" w:rsidRPr="00BC4565" w:rsidRDefault="0005552C" w:rsidP="003B4ED7">
            <w:pPr>
              <w:pStyle w:val="TableText"/>
            </w:pPr>
            <w:r>
              <w:t>routine prophylaxis</w:t>
            </w:r>
          </w:p>
        </w:tc>
        <w:tc>
          <w:tcPr>
            <w:tcW w:w="1234" w:type="dxa"/>
            <w:vAlign w:val="center"/>
          </w:tcPr>
          <w:p w14:paraId="67C0FC08" w14:textId="77777777" w:rsidR="0005552C" w:rsidRPr="00BC4565" w:rsidRDefault="0005552C" w:rsidP="003B4ED7">
            <w:pPr>
              <w:pStyle w:val="TableText"/>
              <w:jc w:val="center"/>
            </w:pPr>
            <w:r>
              <w:sym w:font="Wingdings" w:char="F0FC"/>
            </w:r>
          </w:p>
        </w:tc>
        <w:tc>
          <w:tcPr>
            <w:tcW w:w="1235" w:type="dxa"/>
            <w:vAlign w:val="center"/>
          </w:tcPr>
          <w:p w14:paraId="71919D8A" w14:textId="77777777" w:rsidR="0005552C" w:rsidRPr="00BC4565" w:rsidRDefault="0005552C" w:rsidP="003B4ED7">
            <w:pPr>
              <w:pStyle w:val="TableText"/>
              <w:jc w:val="center"/>
            </w:pPr>
          </w:p>
        </w:tc>
        <w:tc>
          <w:tcPr>
            <w:tcW w:w="1328" w:type="dxa"/>
            <w:vAlign w:val="center"/>
          </w:tcPr>
          <w:p w14:paraId="7A55A0C7" w14:textId="77777777" w:rsidR="0005552C" w:rsidRPr="00BC4565" w:rsidRDefault="0005552C" w:rsidP="003B4ED7">
            <w:pPr>
              <w:pStyle w:val="TableText"/>
              <w:jc w:val="center"/>
            </w:pPr>
          </w:p>
        </w:tc>
        <w:tc>
          <w:tcPr>
            <w:tcW w:w="1309" w:type="dxa"/>
            <w:tcBorders>
              <w:bottom w:val="single" w:sz="4" w:space="0" w:color="auto"/>
            </w:tcBorders>
            <w:vAlign w:val="center"/>
          </w:tcPr>
          <w:p w14:paraId="4205F6FE" w14:textId="77777777" w:rsidR="0005552C" w:rsidRPr="00BC4565" w:rsidRDefault="0005552C" w:rsidP="003B4ED7">
            <w:pPr>
              <w:pStyle w:val="TableText"/>
              <w:jc w:val="center"/>
            </w:pPr>
            <w:r>
              <w:sym w:font="Wingdings" w:char="F0FC"/>
            </w:r>
          </w:p>
        </w:tc>
        <w:tc>
          <w:tcPr>
            <w:tcW w:w="1647" w:type="dxa"/>
            <w:tcBorders>
              <w:bottom w:val="single" w:sz="4" w:space="0" w:color="auto"/>
            </w:tcBorders>
            <w:vAlign w:val="center"/>
          </w:tcPr>
          <w:p w14:paraId="79E13C1F" w14:textId="77777777" w:rsidR="0005552C" w:rsidRPr="00BC4565" w:rsidRDefault="0005552C" w:rsidP="003B4ED7">
            <w:pPr>
              <w:pStyle w:val="TableText"/>
              <w:jc w:val="center"/>
            </w:pPr>
            <w:r>
              <w:sym w:font="Wingdings" w:char="F0FC"/>
            </w:r>
            <w:r>
              <w:rPr>
                <w:vertAlign w:val="superscript"/>
              </w:rPr>
              <w:t>c</w:t>
            </w:r>
          </w:p>
        </w:tc>
      </w:tr>
      <w:tr w:rsidR="0005552C" w:rsidRPr="00BC4565" w14:paraId="7E0CC785" w14:textId="77777777" w:rsidTr="003B4ED7">
        <w:tc>
          <w:tcPr>
            <w:tcW w:w="2263" w:type="dxa"/>
          </w:tcPr>
          <w:p w14:paraId="4C946649" w14:textId="77777777" w:rsidR="0005552C" w:rsidRPr="00BC4565" w:rsidRDefault="0005552C" w:rsidP="003B4ED7">
            <w:pPr>
              <w:pStyle w:val="TableText"/>
            </w:pPr>
            <w:r>
              <w:t>self-admin – acute attack</w:t>
            </w:r>
          </w:p>
        </w:tc>
        <w:tc>
          <w:tcPr>
            <w:tcW w:w="1234" w:type="dxa"/>
            <w:vAlign w:val="center"/>
          </w:tcPr>
          <w:p w14:paraId="7424EB76" w14:textId="77777777" w:rsidR="0005552C" w:rsidRPr="00BC4565" w:rsidRDefault="0005552C" w:rsidP="003B4ED7">
            <w:pPr>
              <w:pStyle w:val="TableText"/>
              <w:jc w:val="center"/>
            </w:pPr>
            <w:r>
              <w:sym w:font="Wingdings" w:char="F0FC"/>
            </w:r>
          </w:p>
        </w:tc>
        <w:tc>
          <w:tcPr>
            <w:tcW w:w="1235" w:type="dxa"/>
            <w:vAlign w:val="center"/>
          </w:tcPr>
          <w:p w14:paraId="476A121E" w14:textId="77777777" w:rsidR="0005552C" w:rsidRPr="00BC4565" w:rsidRDefault="0005552C" w:rsidP="003B4ED7">
            <w:pPr>
              <w:pStyle w:val="TableText"/>
              <w:jc w:val="center"/>
            </w:pPr>
            <w:r>
              <w:sym w:font="Wingdings" w:char="F0FC"/>
            </w:r>
          </w:p>
        </w:tc>
        <w:tc>
          <w:tcPr>
            <w:tcW w:w="1328" w:type="dxa"/>
            <w:vAlign w:val="center"/>
          </w:tcPr>
          <w:p w14:paraId="4B45D34D" w14:textId="77777777" w:rsidR="0005552C" w:rsidRPr="00BC4565" w:rsidRDefault="0005552C" w:rsidP="003B4ED7">
            <w:pPr>
              <w:pStyle w:val="TableText"/>
              <w:jc w:val="center"/>
            </w:pPr>
            <w:r>
              <w:sym w:font="Wingdings" w:char="F0FC"/>
            </w:r>
          </w:p>
        </w:tc>
        <w:tc>
          <w:tcPr>
            <w:tcW w:w="1309" w:type="dxa"/>
            <w:shd w:val="clear" w:color="auto" w:fill="auto"/>
            <w:vAlign w:val="center"/>
          </w:tcPr>
          <w:p w14:paraId="50C818F9" w14:textId="77777777" w:rsidR="0005552C" w:rsidRPr="00BC4565" w:rsidRDefault="0005552C" w:rsidP="003B4ED7">
            <w:pPr>
              <w:pStyle w:val="TableText"/>
              <w:jc w:val="center"/>
            </w:pPr>
          </w:p>
        </w:tc>
        <w:tc>
          <w:tcPr>
            <w:tcW w:w="1647" w:type="dxa"/>
            <w:shd w:val="clear" w:color="auto" w:fill="auto"/>
            <w:vAlign w:val="center"/>
          </w:tcPr>
          <w:p w14:paraId="2772E6CB" w14:textId="77777777" w:rsidR="0005552C" w:rsidRPr="00BC4565" w:rsidRDefault="0005552C" w:rsidP="003B4ED7">
            <w:pPr>
              <w:pStyle w:val="TableText"/>
              <w:jc w:val="center"/>
            </w:pPr>
            <w:r>
              <w:sym w:font="Wingdings" w:char="F0FC"/>
            </w:r>
            <w:r w:rsidRPr="009E5B76">
              <w:rPr>
                <w:vertAlign w:val="superscript"/>
              </w:rPr>
              <w:t>b</w:t>
            </w:r>
          </w:p>
        </w:tc>
      </w:tr>
      <w:tr w:rsidR="0005552C" w:rsidRPr="00BC4565" w14:paraId="0AD35500" w14:textId="77777777" w:rsidTr="003B4ED7">
        <w:tc>
          <w:tcPr>
            <w:tcW w:w="2263" w:type="dxa"/>
          </w:tcPr>
          <w:p w14:paraId="4B4F27FC" w14:textId="77777777" w:rsidR="0005552C" w:rsidRPr="00BC4565" w:rsidRDefault="0005552C" w:rsidP="003B4ED7">
            <w:pPr>
              <w:pStyle w:val="TableText"/>
            </w:pPr>
            <w:r>
              <w:t>self-admin – routine</w:t>
            </w:r>
          </w:p>
        </w:tc>
        <w:tc>
          <w:tcPr>
            <w:tcW w:w="1234" w:type="dxa"/>
            <w:vAlign w:val="center"/>
          </w:tcPr>
          <w:p w14:paraId="36BDD354" w14:textId="77777777" w:rsidR="0005552C" w:rsidRPr="00BC4565" w:rsidRDefault="0005552C" w:rsidP="003B4ED7">
            <w:pPr>
              <w:pStyle w:val="TableText"/>
              <w:jc w:val="center"/>
            </w:pPr>
            <w:r>
              <w:sym w:font="Wingdings" w:char="F0FC"/>
            </w:r>
          </w:p>
        </w:tc>
        <w:tc>
          <w:tcPr>
            <w:tcW w:w="1235" w:type="dxa"/>
            <w:vAlign w:val="center"/>
          </w:tcPr>
          <w:p w14:paraId="2B60FCC2" w14:textId="77777777" w:rsidR="0005552C" w:rsidRPr="00BC4565" w:rsidRDefault="0005552C" w:rsidP="003B4ED7">
            <w:pPr>
              <w:pStyle w:val="TableText"/>
              <w:jc w:val="center"/>
            </w:pPr>
          </w:p>
        </w:tc>
        <w:tc>
          <w:tcPr>
            <w:tcW w:w="1328" w:type="dxa"/>
            <w:vAlign w:val="center"/>
          </w:tcPr>
          <w:p w14:paraId="42CD5DA4" w14:textId="77777777" w:rsidR="0005552C" w:rsidRPr="00BC4565" w:rsidRDefault="0005552C" w:rsidP="003B4ED7">
            <w:pPr>
              <w:pStyle w:val="TableText"/>
              <w:jc w:val="center"/>
            </w:pPr>
          </w:p>
        </w:tc>
        <w:tc>
          <w:tcPr>
            <w:tcW w:w="1309" w:type="dxa"/>
            <w:shd w:val="clear" w:color="auto" w:fill="auto"/>
            <w:vAlign w:val="center"/>
          </w:tcPr>
          <w:p w14:paraId="5B8E3B23" w14:textId="77777777" w:rsidR="0005552C" w:rsidRPr="00BC4565" w:rsidRDefault="0005552C" w:rsidP="003B4ED7">
            <w:pPr>
              <w:pStyle w:val="TableText"/>
              <w:jc w:val="center"/>
            </w:pPr>
            <w:r>
              <w:sym w:font="Wingdings" w:char="F0FC"/>
            </w:r>
          </w:p>
        </w:tc>
        <w:tc>
          <w:tcPr>
            <w:tcW w:w="1647" w:type="dxa"/>
            <w:shd w:val="clear" w:color="auto" w:fill="auto"/>
            <w:vAlign w:val="center"/>
          </w:tcPr>
          <w:p w14:paraId="7A7F9064" w14:textId="77777777" w:rsidR="0005552C" w:rsidRPr="00BC4565" w:rsidRDefault="0005552C" w:rsidP="003B4ED7">
            <w:pPr>
              <w:pStyle w:val="TableText"/>
              <w:jc w:val="center"/>
            </w:pPr>
            <w:r>
              <w:sym w:font="Wingdings" w:char="F0FC"/>
            </w:r>
          </w:p>
        </w:tc>
      </w:tr>
      <w:tr w:rsidR="0005552C" w:rsidRPr="00BC4565" w14:paraId="43C8C94D" w14:textId="77777777" w:rsidTr="003B4ED7">
        <w:tc>
          <w:tcPr>
            <w:tcW w:w="9016" w:type="dxa"/>
            <w:gridSpan w:val="6"/>
          </w:tcPr>
          <w:p w14:paraId="6870A076" w14:textId="19754534" w:rsidR="0005552C" w:rsidRDefault="00821FB1" w:rsidP="003B4ED7">
            <w:pPr>
              <w:pStyle w:val="TableHeading"/>
            </w:pPr>
            <w:r>
              <w:t>Sub</w:t>
            </w:r>
            <w:r w:rsidR="0005552C">
              <w:t>population</w:t>
            </w:r>
          </w:p>
        </w:tc>
      </w:tr>
      <w:tr w:rsidR="0005552C" w:rsidRPr="00BC4565" w14:paraId="3BE50502" w14:textId="77777777" w:rsidTr="003B4ED7">
        <w:tc>
          <w:tcPr>
            <w:tcW w:w="2263" w:type="dxa"/>
          </w:tcPr>
          <w:p w14:paraId="08DF612C" w14:textId="55DF7FBD" w:rsidR="0005552C" w:rsidRDefault="00B406E1" w:rsidP="003B4ED7">
            <w:pPr>
              <w:pStyle w:val="TableText"/>
            </w:pPr>
            <w:r>
              <w:t>paediatric</w:t>
            </w:r>
          </w:p>
        </w:tc>
        <w:tc>
          <w:tcPr>
            <w:tcW w:w="1234" w:type="dxa"/>
            <w:vAlign w:val="center"/>
          </w:tcPr>
          <w:p w14:paraId="7C9F926C" w14:textId="77777777" w:rsidR="0005552C" w:rsidRDefault="0005552C" w:rsidP="003B4ED7">
            <w:pPr>
              <w:pStyle w:val="TableText"/>
              <w:jc w:val="center"/>
            </w:pPr>
            <w:r>
              <w:t>≥12 y</w:t>
            </w:r>
          </w:p>
        </w:tc>
        <w:tc>
          <w:tcPr>
            <w:tcW w:w="1235" w:type="dxa"/>
            <w:vAlign w:val="center"/>
          </w:tcPr>
          <w:p w14:paraId="10C13758" w14:textId="77777777" w:rsidR="0005552C" w:rsidRPr="00BC4565" w:rsidRDefault="0005552C" w:rsidP="003B4ED7">
            <w:pPr>
              <w:pStyle w:val="TableText"/>
              <w:jc w:val="center"/>
            </w:pPr>
            <w:r>
              <w:sym w:font="Wingdings" w:char="F0FC"/>
            </w:r>
          </w:p>
        </w:tc>
        <w:tc>
          <w:tcPr>
            <w:tcW w:w="1328" w:type="dxa"/>
            <w:vAlign w:val="center"/>
          </w:tcPr>
          <w:p w14:paraId="5F74D30E" w14:textId="77777777" w:rsidR="0005552C" w:rsidRPr="00BC4565" w:rsidRDefault="0005552C" w:rsidP="003B4ED7">
            <w:pPr>
              <w:pStyle w:val="TableText"/>
              <w:jc w:val="center"/>
            </w:pPr>
          </w:p>
        </w:tc>
        <w:tc>
          <w:tcPr>
            <w:tcW w:w="1309" w:type="dxa"/>
            <w:shd w:val="clear" w:color="auto" w:fill="auto"/>
            <w:vAlign w:val="center"/>
          </w:tcPr>
          <w:p w14:paraId="1FD1A0BF" w14:textId="77777777" w:rsidR="0005552C" w:rsidRPr="002B05E6" w:rsidRDefault="0005552C" w:rsidP="003B4ED7">
            <w:pPr>
              <w:pStyle w:val="TableText"/>
              <w:jc w:val="center"/>
              <w:rPr>
                <w:lang w:val="en-AU"/>
              </w:rPr>
            </w:pPr>
            <w:r>
              <w:sym w:font="Wingdings" w:char="F0FC"/>
            </w:r>
            <w:r>
              <w:rPr>
                <w:vertAlign w:val="superscript"/>
              </w:rPr>
              <w:t>d</w:t>
            </w:r>
          </w:p>
        </w:tc>
        <w:tc>
          <w:tcPr>
            <w:tcW w:w="1647" w:type="dxa"/>
            <w:shd w:val="clear" w:color="auto" w:fill="auto"/>
            <w:vAlign w:val="center"/>
          </w:tcPr>
          <w:p w14:paraId="48107F00" w14:textId="77777777" w:rsidR="0005552C" w:rsidRDefault="0005552C" w:rsidP="003B4ED7">
            <w:pPr>
              <w:pStyle w:val="TableText"/>
              <w:jc w:val="center"/>
            </w:pPr>
            <w:r>
              <w:sym w:font="Wingdings" w:char="F0FC"/>
            </w:r>
          </w:p>
        </w:tc>
      </w:tr>
      <w:tr w:rsidR="0005552C" w:rsidRPr="00BC4565" w14:paraId="3DEBE4A9" w14:textId="77777777" w:rsidTr="003B4ED7">
        <w:tc>
          <w:tcPr>
            <w:tcW w:w="2263" w:type="dxa"/>
          </w:tcPr>
          <w:p w14:paraId="5BFDE7AE" w14:textId="64669286" w:rsidR="0005552C" w:rsidRDefault="00B406E1" w:rsidP="003B4ED7">
            <w:pPr>
              <w:pStyle w:val="TableText"/>
            </w:pPr>
            <w:r>
              <w:t>pregnancy</w:t>
            </w:r>
          </w:p>
        </w:tc>
        <w:tc>
          <w:tcPr>
            <w:tcW w:w="1234" w:type="dxa"/>
            <w:vAlign w:val="center"/>
          </w:tcPr>
          <w:p w14:paraId="36ADE2C4" w14:textId="77777777" w:rsidR="0005552C" w:rsidRDefault="0005552C" w:rsidP="003B4ED7">
            <w:pPr>
              <w:pStyle w:val="TableText"/>
              <w:jc w:val="center"/>
            </w:pPr>
            <w:r>
              <w:sym w:font="Wingdings" w:char="F0FC"/>
            </w:r>
          </w:p>
        </w:tc>
        <w:tc>
          <w:tcPr>
            <w:tcW w:w="1235" w:type="dxa"/>
            <w:vAlign w:val="center"/>
          </w:tcPr>
          <w:p w14:paraId="47E149E7" w14:textId="77777777" w:rsidR="0005552C" w:rsidRPr="00BC4565" w:rsidRDefault="0005552C" w:rsidP="003B4ED7">
            <w:pPr>
              <w:pStyle w:val="TableText"/>
              <w:jc w:val="center"/>
            </w:pPr>
            <w:r>
              <w:sym w:font="Wingdings" w:char="F0FC"/>
            </w:r>
          </w:p>
        </w:tc>
        <w:tc>
          <w:tcPr>
            <w:tcW w:w="1328" w:type="dxa"/>
            <w:vAlign w:val="center"/>
          </w:tcPr>
          <w:p w14:paraId="28DCEE73" w14:textId="77777777" w:rsidR="0005552C" w:rsidRPr="00BC4565" w:rsidRDefault="0005552C" w:rsidP="003B4ED7">
            <w:pPr>
              <w:pStyle w:val="TableText"/>
              <w:jc w:val="center"/>
            </w:pPr>
            <w:r>
              <w:t>?</w:t>
            </w:r>
          </w:p>
        </w:tc>
        <w:tc>
          <w:tcPr>
            <w:tcW w:w="1309" w:type="dxa"/>
            <w:shd w:val="clear" w:color="auto" w:fill="auto"/>
            <w:vAlign w:val="center"/>
          </w:tcPr>
          <w:p w14:paraId="3EB468DA" w14:textId="77777777" w:rsidR="0005552C" w:rsidRDefault="0005552C" w:rsidP="003B4ED7">
            <w:pPr>
              <w:pStyle w:val="TableText"/>
              <w:jc w:val="center"/>
            </w:pPr>
          </w:p>
        </w:tc>
        <w:tc>
          <w:tcPr>
            <w:tcW w:w="1647" w:type="dxa"/>
            <w:shd w:val="clear" w:color="auto" w:fill="auto"/>
            <w:vAlign w:val="center"/>
          </w:tcPr>
          <w:p w14:paraId="2A273A14" w14:textId="77777777" w:rsidR="0005552C" w:rsidRDefault="0005552C" w:rsidP="003B4ED7">
            <w:pPr>
              <w:pStyle w:val="TableText"/>
              <w:jc w:val="center"/>
            </w:pPr>
            <w:r>
              <w:sym w:font="Wingdings" w:char="F0FC"/>
            </w:r>
          </w:p>
        </w:tc>
      </w:tr>
      <w:tr w:rsidR="0005552C" w:rsidRPr="00BC4565" w14:paraId="6513B43B" w14:textId="77777777" w:rsidTr="003B4ED7">
        <w:tc>
          <w:tcPr>
            <w:tcW w:w="2263" w:type="dxa"/>
          </w:tcPr>
          <w:p w14:paraId="1DB0079B" w14:textId="565BF0E0" w:rsidR="0005552C" w:rsidRDefault="00B406E1" w:rsidP="003B4ED7">
            <w:pPr>
              <w:pStyle w:val="TableText"/>
            </w:pPr>
            <w:r>
              <w:t>lactation</w:t>
            </w:r>
          </w:p>
        </w:tc>
        <w:tc>
          <w:tcPr>
            <w:tcW w:w="1234" w:type="dxa"/>
            <w:vAlign w:val="center"/>
          </w:tcPr>
          <w:p w14:paraId="0520817B" w14:textId="77777777" w:rsidR="0005552C" w:rsidRDefault="0005552C" w:rsidP="003B4ED7">
            <w:pPr>
              <w:pStyle w:val="TableText"/>
              <w:jc w:val="center"/>
            </w:pPr>
            <w:r>
              <w:sym w:font="Wingdings" w:char="F0FC"/>
            </w:r>
          </w:p>
        </w:tc>
        <w:tc>
          <w:tcPr>
            <w:tcW w:w="1235" w:type="dxa"/>
            <w:vAlign w:val="center"/>
          </w:tcPr>
          <w:p w14:paraId="4B13F9B0" w14:textId="77777777" w:rsidR="0005552C" w:rsidRPr="00BC4565" w:rsidRDefault="0005552C" w:rsidP="003B4ED7">
            <w:pPr>
              <w:pStyle w:val="TableText"/>
              <w:jc w:val="center"/>
            </w:pPr>
            <w:r>
              <w:sym w:font="Wingdings" w:char="F0FC"/>
            </w:r>
          </w:p>
        </w:tc>
        <w:tc>
          <w:tcPr>
            <w:tcW w:w="1328" w:type="dxa"/>
            <w:vAlign w:val="center"/>
          </w:tcPr>
          <w:p w14:paraId="585EC302" w14:textId="77777777" w:rsidR="0005552C" w:rsidRPr="00BC4565" w:rsidRDefault="0005552C" w:rsidP="003B4ED7">
            <w:pPr>
              <w:pStyle w:val="TableText"/>
              <w:jc w:val="center"/>
            </w:pPr>
            <w:r>
              <w:t>?</w:t>
            </w:r>
          </w:p>
        </w:tc>
        <w:tc>
          <w:tcPr>
            <w:tcW w:w="1309" w:type="dxa"/>
            <w:shd w:val="clear" w:color="auto" w:fill="auto"/>
            <w:vAlign w:val="center"/>
          </w:tcPr>
          <w:p w14:paraId="466BF70C" w14:textId="77777777" w:rsidR="0005552C" w:rsidRDefault="0005552C" w:rsidP="003B4ED7">
            <w:pPr>
              <w:pStyle w:val="TableText"/>
              <w:jc w:val="center"/>
            </w:pPr>
          </w:p>
        </w:tc>
        <w:tc>
          <w:tcPr>
            <w:tcW w:w="1647" w:type="dxa"/>
            <w:shd w:val="clear" w:color="auto" w:fill="auto"/>
            <w:vAlign w:val="center"/>
          </w:tcPr>
          <w:p w14:paraId="36F1609A" w14:textId="77777777" w:rsidR="0005552C" w:rsidRDefault="0005552C" w:rsidP="003B4ED7">
            <w:pPr>
              <w:pStyle w:val="TableText"/>
              <w:jc w:val="center"/>
            </w:pPr>
            <w:r>
              <w:sym w:font="Wingdings" w:char="F0FC"/>
            </w:r>
          </w:p>
        </w:tc>
      </w:tr>
    </w:tbl>
    <w:p w14:paraId="316E22E8" w14:textId="6FEF34E2" w:rsidR="003F55D9" w:rsidRDefault="003F55D9" w:rsidP="003F55D9">
      <w:pPr>
        <w:pStyle w:val="TableFootnotes1"/>
      </w:pPr>
      <w:r w:rsidRPr="00250970">
        <w:rPr>
          <w:b/>
        </w:rPr>
        <w:t>Abbreviations:</w:t>
      </w:r>
      <w:r>
        <w:t xml:space="preserve"> ASCIA, </w:t>
      </w:r>
      <w:r w:rsidRPr="001E62F6">
        <w:t>Australasian Society of Clinical Immunology and Allergy</w:t>
      </w:r>
      <w:r>
        <w:t xml:space="preserve">; </w:t>
      </w:r>
      <w:r w:rsidR="001446D5">
        <w:t xml:space="preserve">C1-INH, C1 esterase inhibitor; HAE, hereditary angioedema; </w:t>
      </w:r>
      <w:r>
        <w:t xml:space="preserve">I.V., intravenous; </w:t>
      </w:r>
      <w:r w:rsidR="001446D5">
        <w:t>TGA, Therapeutic Goods Administration; y, year</w:t>
      </w:r>
      <w:r>
        <w:t>.</w:t>
      </w:r>
    </w:p>
    <w:p w14:paraId="3FF635CB" w14:textId="77777777" w:rsidR="0005552C" w:rsidRDefault="0005552C" w:rsidP="0005552C">
      <w:pPr>
        <w:pStyle w:val="TableFootnotes1"/>
      </w:pPr>
      <w:r>
        <w:rPr>
          <w:b/>
        </w:rPr>
        <w:t>a</w:t>
      </w:r>
      <w:r>
        <w:t xml:space="preserve"> Not approved for use in children.</w:t>
      </w:r>
    </w:p>
    <w:p w14:paraId="637A77F9" w14:textId="44F6D223" w:rsidR="0005552C" w:rsidRPr="00F17D72" w:rsidRDefault="0005552C" w:rsidP="0005552C">
      <w:pPr>
        <w:pStyle w:val="TableFootnotes1"/>
      </w:pPr>
      <w:r w:rsidRPr="00FC30B4">
        <w:rPr>
          <w:b/>
        </w:rPr>
        <w:t xml:space="preserve">b </w:t>
      </w:r>
      <w:r>
        <w:t>To be used at</w:t>
      </w:r>
      <w:r w:rsidRPr="00F17D72">
        <w:t xml:space="preserve"> </w:t>
      </w:r>
      <w:r>
        <w:t>first sign of an</w:t>
      </w:r>
      <w:r w:rsidRPr="00F17D72">
        <w:t xml:space="preserve"> attack</w:t>
      </w:r>
      <w:r>
        <w:t xml:space="preserve">. Severity and site of acute attack can impact choice of intervention (as described in ASCIA Position Paper, </w:t>
      </w:r>
      <w:r w:rsidR="00F022FC">
        <w:t>Katelaris</w:t>
      </w:r>
      <w:r>
        <w:t xml:space="preserve"> </w:t>
      </w:r>
      <w:r w:rsidR="005F5EA1">
        <w:t xml:space="preserve">et al, </w:t>
      </w:r>
      <w:r>
        <w:t>2012).</w:t>
      </w:r>
    </w:p>
    <w:p w14:paraId="6C597361" w14:textId="4BE86986" w:rsidR="0005552C" w:rsidRDefault="0005552C" w:rsidP="0005552C">
      <w:pPr>
        <w:pStyle w:val="TableFootnotes1"/>
      </w:pPr>
      <w:r>
        <w:rPr>
          <w:b/>
        </w:rPr>
        <w:t xml:space="preserve">c </w:t>
      </w:r>
      <w:r w:rsidRPr="00843BE8">
        <w:t>Not preferred for prophylaxis but could be introduced where danazol is contraindicated or unacceptable</w:t>
      </w:r>
      <w:r>
        <w:t xml:space="preserve"> (ASCIA Position Paper, </w:t>
      </w:r>
      <w:r w:rsidR="00F022FC">
        <w:t>Katelaris</w:t>
      </w:r>
      <w:r>
        <w:t xml:space="preserve"> </w:t>
      </w:r>
      <w:r w:rsidR="005F5EA1">
        <w:t xml:space="preserve">et al, </w:t>
      </w:r>
      <w:r>
        <w:t>2012).</w:t>
      </w:r>
    </w:p>
    <w:p w14:paraId="3EAC4DF8" w14:textId="77777777" w:rsidR="0005552C" w:rsidRDefault="0005552C" w:rsidP="003F55D9">
      <w:pPr>
        <w:pStyle w:val="LastTableFootnote"/>
      </w:pPr>
      <w:r>
        <w:rPr>
          <w:b/>
        </w:rPr>
        <w:t xml:space="preserve">d </w:t>
      </w:r>
      <w:r w:rsidRPr="002B05E6">
        <w:t xml:space="preserve">Not </w:t>
      </w:r>
      <w:r>
        <w:t xml:space="preserve">normally </w:t>
      </w:r>
      <w:r w:rsidRPr="002B05E6">
        <w:t>for routine use</w:t>
      </w:r>
      <w:r>
        <w:t xml:space="preserve"> in children. Can be used for pre-procedural prophylaxis.</w:t>
      </w:r>
    </w:p>
    <w:p w14:paraId="497490FA" w14:textId="376ABF53" w:rsidR="00CB75A2" w:rsidRPr="009C6D29" w:rsidRDefault="00CB75A2" w:rsidP="00CB75A2">
      <w:pPr>
        <w:pStyle w:val="Heading2"/>
      </w:pPr>
      <w:bookmarkStart w:id="26" w:name="_Toc400097932"/>
      <w:r w:rsidRPr="009C6D29">
        <w:lastRenderedPageBreak/>
        <w:t>PBS status of HAE interventions</w:t>
      </w:r>
      <w:bookmarkEnd w:id="26"/>
    </w:p>
    <w:p w14:paraId="17EA92BA" w14:textId="6FF66EE9" w:rsidR="00CB75A2" w:rsidRPr="009C6D29" w:rsidRDefault="00CB75A2" w:rsidP="00CB75A2">
      <w:pPr>
        <w:pStyle w:val="BodyText"/>
        <w:keepNext/>
      </w:pPr>
      <w:r w:rsidRPr="009C6D29">
        <w:fldChar w:fldCharType="begin"/>
      </w:r>
      <w:r w:rsidRPr="009C6D29">
        <w:instrText xml:space="preserve"> REF _Ref395627065 \h </w:instrText>
      </w:r>
      <w:r w:rsidR="003706F0" w:rsidRPr="009C6D29">
        <w:instrText xml:space="preserve"> \* MERGEFORMAT </w:instrText>
      </w:r>
      <w:r w:rsidRPr="009C6D29">
        <w:fldChar w:fldCharType="separate"/>
      </w:r>
      <w:r w:rsidR="00847595" w:rsidRPr="009C6D29">
        <w:t xml:space="preserve">Table </w:t>
      </w:r>
      <w:r w:rsidR="00847595">
        <w:rPr>
          <w:noProof/>
        </w:rPr>
        <w:t>3</w:t>
      </w:r>
      <w:r w:rsidRPr="009C6D29">
        <w:fldChar w:fldCharType="end"/>
      </w:r>
      <w:r w:rsidRPr="009C6D29">
        <w:t xml:space="preserve"> shows that icatibant, danazol and tranexamic acid are </w:t>
      </w:r>
      <w:r w:rsidR="003706F0" w:rsidRPr="009C6D29">
        <w:rPr>
          <w:lang w:val="en-GB" w:eastAsia="ja-JP"/>
        </w:rPr>
        <w:t>available</w:t>
      </w:r>
      <w:r w:rsidRPr="009C6D29">
        <w:rPr>
          <w:lang w:val="en-GB" w:eastAsia="ja-JP"/>
        </w:rPr>
        <w:t xml:space="preserve"> on the </w:t>
      </w:r>
      <w:r w:rsidRPr="009C6D29">
        <w:t>PBS</w:t>
      </w:r>
      <w:r w:rsidR="003706F0" w:rsidRPr="009C6D29">
        <w:t xml:space="preserve"> for the treatment of HAE</w:t>
      </w:r>
      <w:r w:rsidRPr="009C6D29">
        <w:t>.</w:t>
      </w:r>
    </w:p>
    <w:p w14:paraId="1D0B9D20" w14:textId="5C09DFA6" w:rsidR="00CB75A2" w:rsidRPr="009C6D29" w:rsidRDefault="00CB75A2" w:rsidP="00CB75A2">
      <w:pPr>
        <w:pStyle w:val="Caption"/>
      </w:pPr>
      <w:bookmarkStart w:id="27" w:name="_Ref395627065"/>
      <w:r w:rsidRPr="009C6D29">
        <w:t xml:space="preserve">Table </w:t>
      </w:r>
      <w:r w:rsidR="00EA5D58">
        <w:fldChar w:fldCharType="begin"/>
      </w:r>
      <w:r w:rsidR="00EA5D58">
        <w:instrText xml:space="preserve"> SEQ Table \* ARABIC </w:instrText>
      </w:r>
      <w:r w:rsidR="00EA5D58">
        <w:fldChar w:fldCharType="separate"/>
      </w:r>
      <w:r w:rsidR="00847595">
        <w:rPr>
          <w:noProof/>
        </w:rPr>
        <w:t>3</w:t>
      </w:r>
      <w:r w:rsidR="00EA5D58">
        <w:rPr>
          <w:noProof/>
        </w:rPr>
        <w:fldChar w:fldCharType="end"/>
      </w:r>
      <w:bookmarkEnd w:id="27"/>
      <w:r w:rsidRPr="009C6D29">
        <w:tab/>
        <w:t xml:space="preserve">PBS details for icatibant, danazol and tranexamic acid </w:t>
      </w:r>
    </w:p>
    <w:tbl>
      <w:tblPr>
        <w:tblStyle w:val="TableGrid"/>
        <w:tblW w:w="5000" w:type="pct"/>
        <w:tblLook w:val="04A0" w:firstRow="1" w:lastRow="0" w:firstColumn="1" w:lastColumn="0" w:noHBand="0" w:noVBand="1"/>
        <w:tblCaption w:val="Table 3 - PBS details for icatibant, danazol and tranexamic acid "/>
        <w:tblDescription w:val="A table outlining PBS details for comparators of C1 esterase inhibitor with a number of specifications including consumer price, authority required for the product and specification notes."/>
      </w:tblPr>
      <w:tblGrid>
        <w:gridCol w:w="1319"/>
        <w:gridCol w:w="2641"/>
        <w:gridCol w:w="2641"/>
        <w:gridCol w:w="2641"/>
      </w:tblGrid>
      <w:tr w:rsidR="00CB75A2" w:rsidRPr="009C6D29" w14:paraId="5AFF6C05" w14:textId="77777777" w:rsidTr="006E17C9">
        <w:trPr>
          <w:tblHeader/>
        </w:trPr>
        <w:tc>
          <w:tcPr>
            <w:tcW w:w="713" w:type="pct"/>
          </w:tcPr>
          <w:p w14:paraId="619786E6" w14:textId="77777777" w:rsidR="00CB75A2" w:rsidRPr="009C6D29" w:rsidRDefault="00CB75A2" w:rsidP="006E17C9">
            <w:pPr>
              <w:pStyle w:val="TableHeading"/>
            </w:pPr>
            <w:r w:rsidRPr="009C6D29">
              <w:t>Comparator</w:t>
            </w:r>
          </w:p>
        </w:tc>
        <w:tc>
          <w:tcPr>
            <w:tcW w:w="1429" w:type="pct"/>
          </w:tcPr>
          <w:p w14:paraId="0D1F2131" w14:textId="77777777" w:rsidR="00CB75A2" w:rsidRPr="009C6D29" w:rsidRDefault="00CB75A2" w:rsidP="006E17C9">
            <w:pPr>
              <w:pStyle w:val="TableHeading"/>
            </w:pPr>
            <w:r w:rsidRPr="009C6D29">
              <w:t>Icatibant (Firazyr)</w:t>
            </w:r>
          </w:p>
        </w:tc>
        <w:tc>
          <w:tcPr>
            <w:tcW w:w="1429" w:type="pct"/>
          </w:tcPr>
          <w:p w14:paraId="7E48FD09" w14:textId="77777777" w:rsidR="00CB75A2" w:rsidRPr="009C6D29" w:rsidRDefault="00CB75A2" w:rsidP="006E17C9">
            <w:pPr>
              <w:pStyle w:val="TableHeading"/>
            </w:pPr>
            <w:r w:rsidRPr="009C6D29">
              <w:t>Danazol</w:t>
            </w:r>
          </w:p>
        </w:tc>
        <w:tc>
          <w:tcPr>
            <w:tcW w:w="1429" w:type="pct"/>
          </w:tcPr>
          <w:p w14:paraId="512030DD" w14:textId="77777777" w:rsidR="00CB75A2" w:rsidRPr="009C6D29" w:rsidRDefault="00CB75A2" w:rsidP="006E17C9">
            <w:pPr>
              <w:pStyle w:val="TableHeading"/>
            </w:pPr>
            <w:r w:rsidRPr="009C6D29">
              <w:t>Tranexamic acid</w:t>
            </w:r>
          </w:p>
        </w:tc>
      </w:tr>
      <w:tr w:rsidR="00CB75A2" w:rsidRPr="009C6D29" w14:paraId="46CC71C4" w14:textId="77777777" w:rsidTr="006E17C9">
        <w:tc>
          <w:tcPr>
            <w:tcW w:w="713" w:type="pct"/>
          </w:tcPr>
          <w:p w14:paraId="13DFDE93" w14:textId="77777777" w:rsidR="00CB75A2" w:rsidRPr="009C6D29" w:rsidRDefault="00CB75A2" w:rsidP="006E17C9">
            <w:pPr>
              <w:pStyle w:val="TableText"/>
              <w:rPr>
                <w:b/>
              </w:rPr>
            </w:pPr>
            <w:r w:rsidRPr="009C6D29">
              <w:rPr>
                <w:b/>
              </w:rPr>
              <w:t>PBS code</w:t>
            </w:r>
          </w:p>
        </w:tc>
        <w:tc>
          <w:tcPr>
            <w:tcW w:w="1429" w:type="pct"/>
          </w:tcPr>
          <w:p w14:paraId="0E6A7051" w14:textId="77777777" w:rsidR="00CB75A2" w:rsidRPr="009C6D29" w:rsidRDefault="00CB75A2" w:rsidP="006E17C9">
            <w:pPr>
              <w:pStyle w:val="TableText"/>
            </w:pPr>
            <w:r w:rsidRPr="009C6D29">
              <w:t>1976B</w:t>
            </w:r>
          </w:p>
        </w:tc>
        <w:tc>
          <w:tcPr>
            <w:tcW w:w="1429" w:type="pct"/>
          </w:tcPr>
          <w:p w14:paraId="24638EC5" w14:textId="77777777" w:rsidR="00CB75A2" w:rsidRPr="009C6D29" w:rsidRDefault="00CB75A2" w:rsidP="006E17C9">
            <w:pPr>
              <w:pStyle w:val="TableText"/>
            </w:pPr>
            <w:r w:rsidRPr="009C6D29">
              <w:t>1285P; 1287R</w:t>
            </w:r>
          </w:p>
        </w:tc>
        <w:tc>
          <w:tcPr>
            <w:tcW w:w="1429" w:type="pct"/>
          </w:tcPr>
          <w:p w14:paraId="1A68F003" w14:textId="77777777" w:rsidR="00CB75A2" w:rsidRPr="009C6D29" w:rsidRDefault="00CB75A2" w:rsidP="006E17C9">
            <w:pPr>
              <w:pStyle w:val="TableText"/>
            </w:pPr>
            <w:r w:rsidRPr="009C6D29">
              <w:t>2180R</w:t>
            </w:r>
          </w:p>
        </w:tc>
      </w:tr>
      <w:tr w:rsidR="00CB75A2" w:rsidRPr="009C6D29" w14:paraId="48A97448" w14:textId="77777777" w:rsidTr="006E17C9">
        <w:tc>
          <w:tcPr>
            <w:tcW w:w="713" w:type="pct"/>
          </w:tcPr>
          <w:p w14:paraId="2C353B67" w14:textId="77777777" w:rsidR="00CB75A2" w:rsidRPr="009C6D29" w:rsidRDefault="00CB75A2" w:rsidP="006E17C9">
            <w:pPr>
              <w:pStyle w:val="TableText"/>
              <w:rPr>
                <w:b/>
              </w:rPr>
            </w:pPr>
            <w:r w:rsidRPr="009C6D29">
              <w:rPr>
                <w:b/>
              </w:rPr>
              <w:t>Source</w:t>
            </w:r>
          </w:p>
        </w:tc>
        <w:tc>
          <w:tcPr>
            <w:tcW w:w="1429" w:type="pct"/>
          </w:tcPr>
          <w:p w14:paraId="1134B809" w14:textId="77777777" w:rsidR="00CB75A2" w:rsidRPr="009C6D29" w:rsidRDefault="00CB75A2" w:rsidP="006E17C9">
            <w:pPr>
              <w:pStyle w:val="TableText"/>
            </w:pPr>
            <w:r w:rsidRPr="009C6D29">
              <w:t>General Schedule</w:t>
            </w:r>
          </w:p>
        </w:tc>
        <w:tc>
          <w:tcPr>
            <w:tcW w:w="1429" w:type="pct"/>
          </w:tcPr>
          <w:p w14:paraId="2E84EE0A" w14:textId="77777777" w:rsidR="00CB75A2" w:rsidRPr="009C6D29" w:rsidRDefault="00CB75A2" w:rsidP="006E17C9">
            <w:pPr>
              <w:pStyle w:val="TableText"/>
            </w:pPr>
            <w:r w:rsidRPr="009C6D29">
              <w:t>General Schedule</w:t>
            </w:r>
          </w:p>
        </w:tc>
        <w:tc>
          <w:tcPr>
            <w:tcW w:w="1429" w:type="pct"/>
          </w:tcPr>
          <w:p w14:paraId="3CACB506" w14:textId="77777777" w:rsidR="00CB75A2" w:rsidRPr="009C6D29" w:rsidRDefault="00CB75A2" w:rsidP="006E17C9">
            <w:pPr>
              <w:pStyle w:val="TableText"/>
            </w:pPr>
            <w:r w:rsidRPr="009C6D29">
              <w:t>General Schedule</w:t>
            </w:r>
          </w:p>
        </w:tc>
      </w:tr>
      <w:tr w:rsidR="00CB75A2" w:rsidRPr="009C6D29" w14:paraId="7F85A489" w14:textId="77777777" w:rsidTr="006E17C9">
        <w:tc>
          <w:tcPr>
            <w:tcW w:w="713" w:type="pct"/>
          </w:tcPr>
          <w:p w14:paraId="27DEC47A" w14:textId="77777777" w:rsidR="00CB75A2" w:rsidRPr="009C6D29" w:rsidRDefault="00CB75A2" w:rsidP="006E17C9">
            <w:pPr>
              <w:pStyle w:val="TableText"/>
              <w:rPr>
                <w:b/>
              </w:rPr>
            </w:pPr>
            <w:r w:rsidRPr="009C6D29">
              <w:rPr>
                <w:b/>
              </w:rPr>
              <w:t>Name, form &amp; strength and pack size</w:t>
            </w:r>
          </w:p>
        </w:tc>
        <w:tc>
          <w:tcPr>
            <w:tcW w:w="1429" w:type="pct"/>
          </w:tcPr>
          <w:p w14:paraId="28243963" w14:textId="77777777" w:rsidR="00CB75A2" w:rsidRPr="009C6D29" w:rsidRDefault="00CB75A2" w:rsidP="006E17C9">
            <w:pPr>
              <w:pStyle w:val="TableText"/>
            </w:pPr>
            <w:r w:rsidRPr="009C6D29">
              <w:t>ICATIBANT Injection 30 mg (as acetate) in 3 mL single use pre-filled syringe, 1</w:t>
            </w:r>
          </w:p>
        </w:tc>
        <w:tc>
          <w:tcPr>
            <w:tcW w:w="1429" w:type="pct"/>
          </w:tcPr>
          <w:p w14:paraId="10BA663B" w14:textId="77777777" w:rsidR="00CB75A2" w:rsidRPr="009C6D29" w:rsidRDefault="00CB75A2" w:rsidP="006E17C9">
            <w:pPr>
              <w:pStyle w:val="TableText"/>
            </w:pPr>
            <w:r w:rsidRPr="009C6D29">
              <w:t>danazol 100 mg capsule, 100; danazol 200 mg capsule, 100</w:t>
            </w:r>
          </w:p>
        </w:tc>
        <w:tc>
          <w:tcPr>
            <w:tcW w:w="1429" w:type="pct"/>
          </w:tcPr>
          <w:p w14:paraId="59F0A20D" w14:textId="77777777" w:rsidR="00CB75A2" w:rsidRPr="009C6D29" w:rsidRDefault="00CB75A2" w:rsidP="006E17C9">
            <w:pPr>
              <w:pStyle w:val="TableText"/>
            </w:pPr>
            <w:r w:rsidRPr="009C6D29">
              <w:t>tranexamic acid 500 mg tablet, 100</w:t>
            </w:r>
          </w:p>
        </w:tc>
      </w:tr>
      <w:tr w:rsidR="00CB75A2" w:rsidRPr="009C6D29" w14:paraId="38CC2A1F" w14:textId="77777777" w:rsidTr="006E17C9">
        <w:tc>
          <w:tcPr>
            <w:tcW w:w="713" w:type="pct"/>
          </w:tcPr>
          <w:p w14:paraId="4506177A" w14:textId="77777777" w:rsidR="00CB75A2" w:rsidRPr="009C6D29" w:rsidRDefault="00CB75A2" w:rsidP="006E17C9">
            <w:pPr>
              <w:pStyle w:val="TableText"/>
              <w:rPr>
                <w:b/>
              </w:rPr>
            </w:pPr>
            <w:r w:rsidRPr="009C6D29">
              <w:rPr>
                <w:b/>
              </w:rPr>
              <w:t>Max qty units</w:t>
            </w:r>
          </w:p>
        </w:tc>
        <w:tc>
          <w:tcPr>
            <w:tcW w:w="1429" w:type="pct"/>
          </w:tcPr>
          <w:p w14:paraId="15BF78F7" w14:textId="77777777" w:rsidR="00CB75A2" w:rsidRPr="009C6D29" w:rsidRDefault="00CB75A2" w:rsidP="006E17C9">
            <w:pPr>
              <w:pStyle w:val="TableText"/>
            </w:pPr>
            <w:r w:rsidRPr="009C6D29">
              <w:t>1</w:t>
            </w:r>
          </w:p>
        </w:tc>
        <w:tc>
          <w:tcPr>
            <w:tcW w:w="1429" w:type="pct"/>
          </w:tcPr>
          <w:p w14:paraId="6D9066CE" w14:textId="77777777" w:rsidR="00CB75A2" w:rsidRPr="009C6D29" w:rsidRDefault="00CB75A2" w:rsidP="006E17C9">
            <w:pPr>
              <w:pStyle w:val="TableText"/>
            </w:pPr>
            <w:r w:rsidRPr="009C6D29">
              <w:t>1</w:t>
            </w:r>
          </w:p>
        </w:tc>
        <w:tc>
          <w:tcPr>
            <w:tcW w:w="1429" w:type="pct"/>
          </w:tcPr>
          <w:p w14:paraId="57C4ED30" w14:textId="77777777" w:rsidR="00CB75A2" w:rsidRPr="009C6D29" w:rsidRDefault="00CB75A2" w:rsidP="006E17C9">
            <w:pPr>
              <w:pStyle w:val="TableText"/>
            </w:pPr>
            <w:r w:rsidRPr="009C6D29">
              <w:t>1</w:t>
            </w:r>
          </w:p>
        </w:tc>
      </w:tr>
      <w:tr w:rsidR="00CB75A2" w:rsidRPr="009C6D29" w14:paraId="1B681171" w14:textId="77777777" w:rsidTr="006E17C9">
        <w:tc>
          <w:tcPr>
            <w:tcW w:w="713" w:type="pct"/>
          </w:tcPr>
          <w:p w14:paraId="0B78BF62" w14:textId="77777777" w:rsidR="00CB75A2" w:rsidRPr="009C6D29" w:rsidRDefault="00CB75A2" w:rsidP="006E17C9">
            <w:pPr>
              <w:pStyle w:val="TableText"/>
              <w:rPr>
                <w:b/>
              </w:rPr>
            </w:pPr>
            <w:r w:rsidRPr="009C6D29">
              <w:rPr>
                <w:b/>
              </w:rPr>
              <w:t>DPMQ</w:t>
            </w:r>
          </w:p>
        </w:tc>
        <w:tc>
          <w:tcPr>
            <w:tcW w:w="1429" w:type="pct"/>
          </w:tcPr>
          <w:p w14:paraId="3252B718" w14:textId="77777777" w:rsidR="00CB75A2" w:rsidRPr="009C6D29" w:rsidRDefault="00CB75A2" w:rsidP="006E17C9">
            <w:pPr>
              <w:pStyle w:val="TableText"/>
            </w:pPr>
            <w:r w:rsidRPr="009C6D29">
              <w:t>$2571.70</w:t>
            </w:r>
          </w:p>
        </w:tc>
        <w:tc>
          <w:tcPr>
            <w:tcW w:w="1429" w:type="pct"/>
          </w:tcPr>
          <w:p w14:paraId="2A46D8CE" w14:textId="77777777" w:rsidR="00CB75A2" w:rsidRPr="009C6D29" w:rsidRDefault="00CB75A2" w:rsidP="006E17C9">
            <w:pPr>
              <w:pStyle w:val="TableText"/>
            </w:pPr>
            <w:r w:rsidRPr="009C6D29">
              <w:t>$58.92; $87.31</w:t>
            </w:r>
          </w:p>
        </w:tc>
        <w:tc>
          <w:tcPr>
            <w:tcW w:w="1429" w:type="pct"/>
          </w:tcPr>
          <w:p w14:paraId="7AF81C71" w14:textId="77777777" w:rsidR="00CB75A2" w:rsidRPr="009C6D29" w:rsidRDefault="00CB75A2" w:rsidP="006E17C9">
            <w:pPr>
              <w:pStyle w:val="TableText"/>
            </w:pPr>
            <w:r w:rsidRPr="009C6D29">
              <w:t>$52.02</w:t>
            </w:r>
          </w:p>
        </w:tc>
      </w:tr>
      <w:tr w:rsidR="00CB75A2" w:rsidRPr="009C6D29" w14:paraId="2F0D27BC" w14:textId="77777777" w:rsidTr="006E17C9">
        <w:tc>
          <w:tcPr>
            <w:tcW w:w="713" w:type="pct"/>
          </w:tcPr>
          <w:p w14:paraId="0271CF3B" w14:textId="77777777" w:rsidR="00CB75A2" w:rsidRPr="009C6D29" w:rsidRDefault="00CB75A2" w:rsidP="006E17C9">
            <w:pPr>
              <w:pStyle w:val="TableText"/>
              <w:rPr>
                <w:b/>
              </w:rPr>
            </w:pPr>
            <w:r w:rsidRPr="009C6D29">
              <w:rPr>
                <w:b/>
              </w:rPr>
              <w:t>Max price to consumer</w:t>
            </w:r>
          </w:p>
        </w:tc>
        <w:tc>
          <w:tcPr>
            <w:tcW w:w="1429" w:type="pct"/>
          </w:tcPr>
          <w:p w14:paraId="6327C03B" w14:textId="77777777" w:rsidR="00CB75A2" w:rsidRPr="009C6D29" w:rsidRDefault="00CB75A2" w:rsidP="006E17C9">
            <w:pPr>
              <w:pStyle w:val="TableText"/>
            </w:pPr>
            <w:r w:rsidRPr="009C6D29">
              <w:t>$36.90</w:t>
            </w:r>
          </w:p>
        </w:tc>
        <w:tc>
          <w:tcPr>
            <w:tcW w:w="1429" w:type="pct"/>
          </w:tcPr>
          <w:p w14:paraId="07068150" w14:textId="77777777" w:rsidR="00CB75A2" w:rsidRPr="009C6D29" w:rsidRDefault="00CB75A2" w:rsidP="006E17C9">
            <w:pPr>
              <w:pStyle w:val="TableText"/>
            </w:pPr>
            <w:r w:rsidRPr="009C6D29">
              <w:t>$36.90</w:t>
            </w:r>
          </w:p>
        </w:tc>
        <w:tc>
          <w:tcPr>
            <w:tcW w:w="1429" w:type="pct"/>
          </w:tcPr>
          <w:p w14:paraId="1F9B976E" w14:textId="77777777" w:rsidR="00CB75A2" w:rsidRPr="009C6D29" w:rsidRDefault="00CB75A2" w:rsidP="006E17C9">
            <w:pPr>
              <w:pStyle w:val="TableText"/>
            </w:pPr>
            <w:r w:rsidRPr="009C6D29">
              <w:t>$36.90</w:t>
            </w:r>
          </w:p>
        </w:tc>
      </w:tr>
      <w:tr w:rsidR="00CB75A2" w:rsidRPr="009C6D29" w14:paraId="1C690F1D" w14:textId="77777777" w:rsidTr="006E17C9">
        <w:tc>
          <w:tcPr>
            <w:tcW w:w="713" w:type="pct"/>
          </w:tcPr>
          <w:p w14:paraId="26BA29CB" w14:textId="77777777" w:rsidR="00CB75A2" w:rsidRPr="009C6D29" w:rsidRDefault="00CB75A2" w:rsidP="006E17C9">
            <w:pPr>
              <w:pStyle w:val="TableText"/>
              <w:rPr>
                <w:b/>
              </w:rPr>
            </w:pPr>
            <w:r w:rsidRPr="009C6D29">
              <w:rPr>
                <w:b/>
              </w:rPr>
              <w:t>Authority Required?</w:t>
            </w:r>
          </w:p>
        </w:tc>
        <w:tc>
          <w:tcPr>
            <w:tcW w:w="1429" w:type="pct"/>
          </w:tcPr>
          <w:p w14:paraId="4EE22A0F" w14:textId="619A5DAA" w:rsidR="00CB75A2" w:rsidRPr="009C6D29" w:rsidRDefault="00CB75A2" w:rsidP="006E17C9">
            <w:pPr>
              <w:pStyle w:val="TableText"/>
            </w:pPr>
            <w:r w:rsidRPr="009C6D29">
              <w:t xml:space="preserve">Yes (see </w:t>
            </w:r>
            <w:r w:rsidRPr="009C6D29">
              <w:fldChar w:fldCharType="begin"/>
            </w:r>
            <w:r w:rsidRPr="009C6D29">
              <w:instrText xml:space="preserve"> REF _Ref395626971 \h </w:instrText>
            </w:r>
            <w:r w:rsidR="006E17C9" w:rsidRPr="009C6D29">
              <w:instrText xml:space="preserve"> \* MERGEFORMAT </w:instrText>
            </w:r>
            <w:r w:rsidRPr="009C6D29">
              <w:fldChar w:fldCharType="separate"/>
            </w:r>
            <w:r w:rsidR="00847595">
              <w:t xml:space="preserve">Table </w:t>
            </w:r>
            <w:r w:rsidR="00847595">
              <w:rPr>
                <w:noProof/>
              </w:rPr>
              <w:t>1</w:t>
            </w:r>
            <w:r w:rsidRPr="009C6D29">
              <w:fldChar w:fldCharType="end"/>
            </w:r>
            <w:r w:rsidRPr="009C6D29">
              <w:t xml:space="preserve"> for wording of restriction)</w:t>
            </w:r>
          </w:p>
        </w:tc>
        <w:tc>
          <w:tcPr>
            <w:tcW w:w="1429" w:type="pct"/>
          </w:tcPr>
          <w:p w14:paraId="55746F11" w14:textId="77777777" w:rsidR="00CB75A2" w:rsidRPr="009C6D29" w:rsidRDefault="00CB75A2" w:rsidP="006E17C9">
            <w:pPr>
              <w:pStyle w:val="TableText"/>
            </w:pPr>
            <w:r w:rsidRPr="009C6D29">
              <w:t>Yes (Streamlined for ‘hereditary angioedema’)</w:t>
            </w:r>
          </w:p>
        </w:tc>
        <w:tc>
          <w:tcPr>
            <w:tcW w:w="1429" w:type="pct"/>
          </w:tcPr>
          <w:p w14:paraId="6ED5D569" w14:textId="77777777" w:rsidR="00CB75A2" w:rsidRPr="009C6D29" w:rsidRDefault="00CB75A2" w:rsidP="006E17C9">
            <w:pPr>
              <w:pStyle w:val="TableText"/>
            </w:pPr>
            <w:r w:rsidRPr="009C6D29">
              <w:t>No</w:t>
            </w:r>
          </w:p>
        </w:tc>
      </w:tr>
      <w:tr w:rsidR="00CB75A2" w:rsidRPr="009C6D29" w14:paraId="742BDB7E" w14:textId="77777777" w:rsidTr="006E17C9">
        <w:tc>
          <w:tcPr>
            <w:tcW w:w="713" w:type="pct"/>
            <w:tcBorders>
              <w:bottom w:val="single" w:sz="4" w:space="0" w:color="auto"/>
            </w:tcBorders>
          </w:tcPr>
          <w:p w14:paraId="057589A8" w14:textId="77777777" w:rsidR="00CB75A2" w:rsidRPr="009C6D29" w:rsidRDefault="00CB75A2" w:rsidP="006E17C9">
            <w:pPr>
              <w:pStyle w:val="TableText"/>
              <w:rPr>
                <w:b/>
              </w:rPr>
            </w:pPr>
            <w:r w:rsidRPr="009C6D29">
              <w:rPr>
                <w:b/>
              </w:rPr>
              <w:t>Note</w:t>
            </w:r>
          </w:p>
        </w:tc>
        <w:tc>
          <w:tcPr>
            <w:tcW w:w="1429" w:type="pct"/>
            <w:tcBorders>
              <w:bottom w:val="single" w:sz="4" w:space="0" w:color="auto"/>
            </w:tcBorders>
          </w:tcPr>
          <w:p w14:paraId="092E9567" w14:textId="77777777" w:rsidR="00CB75A2" w:rsidRPr="009C6D29" w:rsidRDefault="00CB75A2" w:rsidP="006E17C9">
            <w:pPr>
              <w:pStyle w:val="TableText"/>
            </w:pPr>
            <w:r w:rsidRPr="009C6D29">
              <w:t>Icatibant should be provided in the framework of a comprehensive hereditary angioedema prophylaxis program and an emergency Action Plan including training in recognition of the symptoms of hereditary angioedema and the self-administration of icatibant. (For further information see the Australasian Society of Clinical Immunology and Allergy website at www.allergy.org.au)</w:t>
            </w:r>
          </w:p>
        </w:tc>
        <w:tc>
          <w:tcPr>
            <w:tcW w:w="1429" w:type="pct"/>
            <w:tcBorders>
              <w:bottom w:val="single" w:sz="4" w:space="0" w:color="auto"/>
            </w:tcBorders>
          </w:tcPr>
          <w:p w14:paraId="5B2639B4" w14:textId="77777777" w:rsidR="00CB75A2" w:rsidRPr="009C6D29" w:rsidRDefault="00CB75A2" w:rsidP="006E17C9">
            <w:pPr>
              <w:pStyle w:val="TableText"/>
            </w:pPr>
            <w:r w:rsidRPr="009C6D29">
              <w:t>Caution: Pregnancy must be excluded prior to administration of this drug.</w:t>
            </w:r>
          </w:p>
        </w:tc>
        <w:tc>
          <w:tcPr>
            <w:tcW w:w="1429" w:type="pct"/>
            <w:tcBorders>
              <w:bottom w:val="single" w:sz="4" w:space="0" w:color="auto"/>
            </w:tcBorders>
          </w:tcPr>
          <w:p w14:paraId="64808B73" w14:textId="77777777" w:rsidR="00CB75A2" w:rsidRPr="009C6D29" w:rsidRDefault="00CB75A2" w:rsidP="006E17C9">
            <w:pPr>
              <w:pStyle w:val="TableText"/>
            </w:pPr>
            <w:r w:rsidRPr="009C6D29">
              <w:t>Shared Care Model:</w:t>
            </w:r>
          </w:p>
          <w:p w14:paraId="3272AB8C" w14:textId="77777777" w:rsidR="00CB75A2" w:rsidRPr="009C6D29" w:rsidRDefault="00CB75A2" w:rsidP="006E17C9">
            <w:pPr>
              <w:pStyle w:val="TableText"/>
            </w:pPr>
            <w:r w:rsidRPr="009C6D29">
              <w:t>For prescribing by nurse practitioners where care of a patient is shared between a nurse practitioner and medical practitioner in a formalised arrangement with an agreed management plan. Further information can be found in the Explanatory Notes for Nurse Practitioners.</w:t>
            </w:r>
          </w:p>
        </w:tc>
      </w:tr>
    </w:tbl>
    <w:p w14:paraId="51907578" w14:textId="77777777" w:rsidR="00CB75A2" w:rsidRPr="009C6D29" w:rsidRDefault="00CB75A2" w:rsidP="00CB75A2">
      <w:pPr>
        <w:pStyle w:val="TableFootnotes1"/>
      </w:pPr>
      <w:r w:rsidRPr="009C6D29">
        <w:rPr>
          <w:b/>
        </w:rPr>
        <w:t xml:space="preserve">Source: </w:t>
      </w:r>
      <w:r w:rsidRPr="009C6D29">
        <w:t>Pharmaceutical Benefits Scheme, Department of Health, accessed online 12 August 2014</w:t>
      </w:r>
    </w:p>
    <w:p w14:paraId="2DF770CF" w14:textId="77777777" w:rsidR="00CB75A2" w:rsidRDefault="00CB75A2" w:rsidP="00CB75A2">
      <w:pPr>
        <w:pStyle w:val="LastTableFootnote"/>
      </w:pPr>
      <w:r w:rsidRPr="009C6D29">
        <w:rPr>
          <w:b/>
        </w:rPr>
        <w:t>Abbreviations:</w:t>
      </w:r>
      <w:r w:rsidRPr="009C6D29">
        <w:t xml:space="preserve"> DPMQ, dispensed price maximum quantity; PBS, Pharmaceutical Benefits Scheme</w:t>
      </w:r>
    </w:p>
    <w:p w14:paraId="0AE13811" w14:textId="6FB1D7AD" w:rsidR="0005552C" w:rsidRDefault="0005552C" w:rsidP="0005552C">
      <w:pPr>
        <w:pStyle w:val="Heading1"/>
      </w:pPr>
      <w:bookmarkStart w:id="28" w:name="_Toc400097933"/>
      <w:r>
        <w:t>Intervention</w:t>
      </w:r>
      <w:r w:rsidR="00E07F8A">
        <w:t xml:space="preserve"> for proposed </w:t>
      </w:r>
      <w:r w:rsidR="00F04236">
        <w:t xml:space="preserve">inclusion on the </w:t>
      </w:r>
      <w:r w:rsidR="00E07F8A">
        <w:t>NPSL</w:t>
      </w:r>
      <w:bookmarkEnd w:id="28"/>
    </w:p>
    <w:p w14:paraId="7D30A3B6" w14:textId="77777777" w:rsidR="0005552C" w:rsidRPr="00995ECF" w:rsidRDefault="0005552C" w:rsidP="0005552C">
      <w:pPr>
        <w:pStyle w:val="Heading2"/>
      </w:pPr>
      <w:bookmarkStart w:id="29" w:name="_Toc400097934"/>
      <w:r>
        <w:t>Description of intervention</w:t>
      </w:r>
      <w:bookmarkEnd w:id="29"/>
    </w:p>
    <w:p w14:paraId="763281F6" w14:textId="07E2A6A5" w:rsidR="000F7075" w:rsidRDefault="0005552C" w:rsidP="0005552C">
      <w:pPr>
        <w:pStyle w:val="BodyText"/>
      </w:pPr>
      <w:r w:rsidRPr="007B7B75">
        <w:t xml:space="preserve">Both Cinryze and Berinert are </w:t>
      </w:r>
      <w:r w:rsidR="000963DE">
        <w:t xml:space="preserve">highly </w:t>
      </w:r>
      <w:r w:rsidR="000963DE" w:rsidRPr="007B7B75">
        <w:t>purified</w:t>
      </w:r>
      <w:r w:rsidR="000963DE">
        <w:t xml:space="preserve"> </w:t>
      </w:r>
      <w:r w:rsidRPr="007B7B75">
        <w:t xml:space="preserve">C1-INH </w:t>
      </w:r>
      <w:r w:rsidR="00863AFA">
        <w:t xml:space="preserve">concentrates derived </w:t>
      </w:r>
      <w:r w:rsidRPr="007B7B75">
        <w:t>from human plasm</w:t>
      </w:r>
      <w:r w:rsidR="000963DE">
        <w:t>a</w:t>
      </w:r>
      <w:r w:rsidR="00A10470">
        <w:t>.</w:t>
      </w:r>
      <w:r w:rsidR="000963DE">
        <w:t xml:space="preserve"> </w:t>
      </w:r>
      <w:r w:rsidRPr="007B7B75">
        <w:t xml:space="preserve">While both products are </w:t>
      </w:r>
      <w:r w:rsidR="00007AA1">
        <w:t>purified</w:t>
      </w:r>
      <w:r w:rsidRPr="007B7B75">
        <w:t xml:space="preserve"> </w:t>
      </w:r>
      <w:r w:rsidR="00863AFA">
        <w:t>to reduce the risk of pathogen contamination</w:t>
      </w:r>
      <w:r w:rsidRPr="007B7B75">
        <w:t>, the</w:t>
      </w:r>
      <w:r w:rsidRPr="00BF6515">
        <w:t xml:space="preserve">re are differences in the manufacturing process and formulation (including concentration and excipients). </w:t>
      </w:r>
    </w:p>
    <w:p w14:paraId="3776D5DC" w14:textId="7C7281F3" w:rsidR="000F7075" w:rsidRDefault="000F7075" w:rsidP="000F7075">
      <w:pPr>
        <w:pStyle w:val="Heading3"/>
      </w:pPr>
      <w:bookmarkStart w:id="30" w:name="_Toc400097935"/>
      <w:r>
        <w:t>TGA indications</w:t>
      </w:r>
      <w:bookmarkEnd w:id="30"/>
    </w:p>
    <w:p w14:paraId="4FF60A42" w14:textId="7CFBE9C0" w:rsidR="00F87307" w:rsidRPr="002C08E7" w:rsidRDefault="00CF1744" w:rsidP="00F87307">
      <w:pPr>
        <w:pStyle w:val="BodyText"/>
      </w:pPr>
      <w:r>
        <w:fldChar w:fldCharType="begin"/>
      </w:r>
      <w:r>
        <w:instrText xml:space="preserve"> REF _Ref395272225 \h </w:instrText>
      </w:r>
      <w:r>
        <w:fldChar w:fldCharType="separate"/>
      </w:r>
      <w:r w:rsidR="00847595">
        <w:t xml:space="preserve">Table </w:t>
      </w:r>
      <w:r w:rsidR="00847595">
        <w:rPr>
          <w:noProof/>
        </w:rPr>
        <w:t>4</w:t>
      </w:r>
      <w:r>
        <w:fldChar w:fldCharType="end"/>
      </w:r>
      <w:r>
        <w:t xml:space="preserve"> shows the TGA-approved indications for Cinryze and Berinert.</w:t>
      </w:r>
      <w:r w:rsidR="00F87307">
        <w:t xml:space="preserve"> </w:t>
      </w:r>
      <w:r w:rsidR="00263D4A">
        <w:t>Both products</w:t>
      </w:r>
      <w:r w:rsidR="00F87307">
        <w:t xml:space="preserve"> are TGA-approved for administration </w:t>
      </w:r>
      <w:r w:rsidR="00F87307" w:rsidRPr="002C08E7">
        <w:t>in the following settings:</w:t>
      </w:r>
    </w:p>
    <w:p w14:paraId="2CF4582D" w14:textId="77777777" w:rsidR="00F87307" w:rsidRPr="002C08E7" w:rsidRDefault="00F87307" w:rsidP="00F87307">
      <w:pPr>
        <w:pStyle w:val="BulletText"/>
        <w:numPr>
          <w:ilvl w:val="0"/>
          <w:numId w:val="2"/>
        </w:numPr>
      </w:pPr>
      <w:r w:rsidRPr="002C08E7">
        <w:t>in hospital;</w:t>
      </w:r>
    </w:p>
    <w:p w14:paraId="34E773CA" w14:textId="77777777" w:rsidR="00F87307" w:rsidRPr="002C08E7" w:rsidRDefault="00F87307" w:rsidP="00F87307">
      <w:pPr>
        <w:pStyle w:val="Bullettextnospacebefore"/>
        <w:numPr>
          <w:ilvl w:val="0"/>
          <w:numId w:val="2"/>
        </w:numPr>
        <w:ind w:left="714" w:hanging="357"/>
      </w:pPr>
      <w:r w:rsidRPr="002C08E7">
        <w:t>out-of-hospital by a health practitioner or nurse (community administration); and</w:t>
      </w:r>
    </w:p>
    <w:p w14:paraId="71907DC5" w14:textId="4E38CF7D" w:rsidR="00EF60E6" w:rsidRDefault="00F87307" w:rsidP="00CF1744">
      <w:pPr>
        <w:pStyle w:val="Bullettextnospacebefore"/>
        <w:numPr>
          <w:ilvl w:val="0"/>
          <w:numId w:val="2"/>
        </w:numPr>
        <w:ind w:left="714" w:hanging="357"/>
      </w:pPr>
      <w:r w:rsidRPr="002C08E7">
        <w:t>self/home-administered.</w:t>
      </w:r>
      <w:r w:rsidRPr="00CF1744">
        <w:t xml:space="preserve"> </w:t>
      </w:r>
    </w:p>
    <w:p w14:paraId="7033480B" w14:textId="598F6C0C" w:rsidR="00EF60E6" w:rsidRDefault="00EF60E6" w:rsidP="00EF60E6">
      <w:pPr>
        <w:pStyle w:val="Caption"/>
      </w:pPr>
      <w:bookmarkStart w:id="31" w:name="_Ref395272225"/>
      <w:r>
        <w:lastRenderedPageBreak/>
        <w:t xml:space="preserve">Table </w:t>
      </w:r>
      <w:r w:rsidR="00EA5D58">
        <w:fldChar w:fldCharType="begin"/>
      </w:r>
      <w:r w:rsidR="00EA5D58">
        <w:instrText xml:space="preserve"> SEQ Table \* ARABIC </w:instrText>
      </w:r>
      <w:r w:rsidR="00EA5D58">
        <w:fldChar w:fldCharType="separate"/>
      </w:r>
      <w:r w:rsidR="00847595">
        <w:rPr>
          <w:noProof/>
        </w:rPr>
        <w:t>4</w:t>
      </w:r>
      <w:r w:rsidR="00EA5D58">
        <w:rPr>
          <w:noProof/>
        </w:rPr>
        <w:fldChar w:fldCharType="end"/>
      </w:r>
      <w:bookmarkEnd w:id="31"/>
      <w:r>
        <w:tab/>
        <w:t>Indications approved by TGA for Cinryze and Berinert</w:t>
      </w:r>
    </w:p>
    <w:tbl>
      <w:tblPr>
        <w:tblStyle w:val="TableGrid"/>
        <w:tblW w:w="0" w:type="auto"/>
        <w:tblLook w:val="04A0" w:firstRow="1" w:lastRow="0" w:firstColumn="1" w:lastColumn="0" w:noHBand="0" w:noVBand="1"/>
        <w:tblCaption w:val="Table 4 - Indications approved by TGA for Cinryze and Berinert"/>
        <w:tblDescription w:val="A table outlining TGA approved treatments for Cinryze and Berinert."/>
      </w:tblPr>
      <w:tblGrid>
        <w:gridCol w:w="1838"/>
        <w:gridCol w:w="3544"/>
        <w:gridCol w:w="3634"/>
      </w:tblGrid>
      <w:tr w:rsidR="00EF60E6" w:rsidRPr="00534B85" w14:paraId="4A0623FC" w14:textId="77777777" w:rsidTr="004A471B">
        <w:trPr>
          <w:tblHeader/>
        </w:trPr>
        <w:tc>
          <w:tcPr>
            <w:tcW w:w="1838" w:type="dxa"/>
          </w:tcPr>
          <w:p w14:paraId="3C0C2F84" w14:textId="77777777" w:rsidR="00EF60E6" w:rsidRPr="00534B85" w:rsidRDefault="00EF60E6" w:rsidP="00853D58">
            <w:pPr>
              <w:pStyle w:val="TableHeading"/>
            </w:pPr>
            <w:r>
              <w:t>Indication</w:t>
            </w:r>
          </w:p>
        </w:tc>
        <w:tc>
          <w:tcPr>
            <w:tcW w:w="3544" w:type="dxa"/>
          </w:tcPr>
          <w:p w14:paraId="3A879FBD" w14:textId="77777777" w:rsidR="00EF60E6" w:rsidRPr="00534B85" w:rsidRDefault="00EF60E6" w:rsidP="00853D58">
            <w:pPr>
              <w:pStyle w:val="TableHeading"/>
            </w:pPr>
            <w:r>
              <w:t>Cinryze</w:t>
            </w:r>
          </w:p>
        </w:tc>
        <w:tc>
          <w:tcPr>
            <w:tcW w:w="3634" w:type="dxa"/>
          </w:tcPr>
          <w:p w14:paraId="0007E5C3" w14:textId="77777777" w:rsidR="00EF60E6" w:rsidRPr="00534B85" w:rsidRDefault="00EF60E6" w:rsidP="00853D58">
            <w:pPr>
              <w:pStyle w:val="TableHeading"/>
            </w:pPr>
            <w:r>
              <w:t>Berinert</w:t>
            </w:r>
          </w:p>
        </w:tc>
      </w:tr>
      <w:tr w:rsidR="00EF60E6" w:rsidRPr="00534B85" w14:paraId="25E2A010" w14:textId="77777777" w:rsidTr="00DD6DC4">
        <w:tc>
          <w:tcPr>
            <w:tcW w:w="1838" w:type="dxa"/>
          </w:tcPr>
          <w:p w14:paraId="689F5296" w14:textId="77777777" w:rsidR="00EF60E6" w:rsidRPr="00534B85" w:rsidRDefault="00EF60E6" w:rsidP="00853D58">
            <w:pPr>
              <w:pStyle w:val="TableText"/>
            </w:pPr>
            <w:r w:rsidRPr="00534B85">
              <w:t>Treatment of angioedema attacks</w:t>
            </w:r>
          </w:p>
        </w:tc>
        <w:tc>
          <w:tcPr>
            <w:tcW w:w="3544" w:type="dxa"/>
          </w:tcPr>
          <w:p w14:paraId="23B7FCC5" w14:textId="22353E70" w:rsidR="00EF60E6" w:rsidRPr="00525D9F" w:rsidRDefault="00525D9F" w:rsidP="00525D9F">
            <w:pPr>
              <w:pStyle w:val="TableText"/>
              <w:rPr>
                <w:lang w:val="en-AU"/>
              </w:rPr>
            </w:pPr>
            <w:r w:rsidRPr="00525D9F">
              <w:rPr>
                <w:lang w:val="en-AU"/>
              </w:rPr>
              <w:t xml:space="preserve">Treatment of angioedema attacks </w:t>
            </w:r>
            <w:r w:rsidR="00FE5EBB">
              <w:rPr>
                <w:lang w:val="en-AU"/>
              </w:rPr>
              <w:t xml:space="preserve">in </w:t>
            </w:r>
            <w:r w:rsidRPr="00525D9F">
              <w:rPr>
                <w:lang w:val="en-AU"/>
              </w:rPr>
              <w:t>adults and adolescent</w:t>
            </w:r>
            <w:r>
              <w:rPr>
                <w:lang w:val="en-AU"/>
              </w:rPr>
              <w:t>s with C1 inhibitor deficiency.</w:t>
            </w:r>
          </w:p>
        </w:tc>
        <w:tc>
          <w:tcPr>
            <w:tcW w:w="3634" w:type="dxa"/>
          </w:tcPr>
          <w:p w14:paraId="6468DC91" w14:textId="1B268328" w:rsidR="00EF60E6" w:rsidRPr="00534B85" w:rsidRDefault="00525D9F" w:rsidP="00853D58">
            <w:pPr>
              <w:pStyle w:val="TableText"/>
            </w:pPr>
            <w:r>
              <w:t>Berinert</w:t>
            </w:r>
            <w:r w:rsidRPr="00525D9F">
              <w:t xml:space="preserve"> is indicated for the treatment of acute attacks in patients with hereditary angioedema (HAE).</w:t>
            </w:r>
          </w:p>
        </w:tc>
      </w:tr>
      <w:tr w:rsidR="00EF60E6" w:rsidRPr="00534B85" w14:paraId="48F69BD0" w14:textId="77777777" w:rsidTr="00DD6DC4">
        <w:tc>
          <w:tcPr>
            <w:tcW w:w="1838" w:type="dxa"/>
          </w:tcPr>
          <w:p w14:paraId="0223432F" w14:textId="77777777" w:rsidR="00EF60E6" w:rsidRPr="00534B85" w:rsidRDefault="00EF60E6" w:rsidP="00853D58">
            <w:pPr>
              <w:pStyle w:val="TableText"/>
            </w:pPr>
            <w:r w:rsidRPr="00534B85">
              <w:t>Pre-procedure prevention of angioedema attacks</w:t>
            </w:r>
          </w:p>
        </w:tc>
        <w:tc>
          <w:tcPr>
            <w:tcW w:w="3544" w:type="dxa"/>
          </w:tcPr>
          <w:p w14:paraId="1DD50C7C" w14:textId="6FA910C6" w:rsidR="00EF60E6" w:rsidRPr="00534B85" w:rsidRDefault="00525D9F" w:rsidP="00525D9F">
            <w:pPr>
              <w:pStyle w:val="TableText"/>
            </w:pPr>
            <w:r>
              <w:rPr>
                <w:lang w:val="en-AU"/>
              </w:rPr>
              <w:t>P</w:t>
            </w:r>
            <w:r w:rsidRPr="00525D9F">
              <w:rPr>
                <w:lang w:val="en-AU"/>
              </w:rPr>
              <w:t>re-procedure prevention of angioedema attacks in</w:t>
            </w:r>
            <w:r w:rsidR="00263D4A">
              <w:rPr>
                <w:lang w:val="en-AU"/>
              </w:rPr>
              <w:t xml:space="preserve"> </w:t>
            </w:r>
            <w:r w:rsidRPr="00525D9F">
              <w:rPr>
                <w:lang w:val="en-AU"/>
              </w:rPr>
              <w:t>adults and adolescent</w:t>
            </w:r>
            <w:r>
              <w:rPr>
                <w:lang w:val="en-AU"/>
              </w:rPr>
              <w:t>s with C1 inhibitor deficiency.</w:t>
            </w:r>
          </w:p>
        </w:tc>
        <w:tc>
          <w:tcPr>
            <w:tcW w:w="3634" w:type="dxa"/>
          </w:tcPr>
          <w:p w14:paraId="114CC38C" w14:textId="77777777" w:rsidR="00EF60E6" w:rsidRPr="00534B85" w:rsidRDefault="00EF60E6" w:rsidP="00853D58">
            <w:pPr>
              <w:pStyle w:val="TableText"/>
            </w:pPr>
            <w:r>
              <w:t>Not approved for this indication.</w:t>
            </w:r>
          </w:p>
        </w:tc>
      </w:tr>
      <w:tr w:rsidR="00EF60E6" w:rsidRPr="00534B85" w14:paraId="41CAF58E" w14:textId="77777777" w:rsidTr="00DD6DC4">
        <w:tc>
          <w:tcPr>
            <w:tcW w:w="1838" w:type="dxa"/>
          </w:tcPr>
          <w:p w14:paraId="37C45F1E" w14:textId="77777777" w:rsidR="00EF60E6" w:rsidRPr="00534B85" w:rsidRDefault="00EF60E6" w:rsidP="00853D58">
            <w:pPr>
              <w:pStyle w:val="TableText"/>
            </w:pPr>
            <w:r w:rsidRPr="00534B85">
              <w:t>Routine prevention of angioedema attacks</w:t>
            </w:r>
          </w:p>
        </w:tc>
        <w:tc>
          <w:tcPr>
            <w:tcW w:w="3544" w:type="dxa"/>
          </w:tcPr>
          <w:p w14:paraId="2679031D" w14:textId="725DB39E" w:rsidR="00EF60E6" w:rsidRPr="00534B85" w:rsidRDefault="00525D9F" w:rsidP="006C0A69">
            <w:pPr>
              <w:pStyle w:val="TableText"/>
            </w:pPr>
            <w:r w:rsidRPr="00525D9F">
              <w:rPr>
                <w:lang w:val="en-AU"/>
              </w:rPr>
              <w:t>Routine prevention of angioedema attacks in adults and</w:t>
            </w:r>
            <w:r w:rsidR="00263D4A">
              <w:rPr>
                <w:lang w:val="en-AU"/>
              </w:rPr>
              <w:t xml:space="preserve"> </w:t>
            </w:r>
            <w:r w:rsidRPr="00525D9F">
              <w:rPr>
                <w:lang w:val="en-AU"/>
              </w:rPr>
              <w:t>adolescents with frequent attacks of hereditary angioedema (HAE),</w:t>
            </w:r>
            <w:r w:rsidR="00263D4A" w:rsidRPr="00525D9F" w:rsidDel="00263D4A">
              <w:rPr>
                <w:lang w:val="en-AU"/>
              </w:rPr>
              <w:t xml:space="preserve"> </w:t>
            </w:r>
            <w:r w:rsidRPr="00525D9F">
              <w:rPr>
                <w:lang w:val="en-AU"/>
              </w:rPr>
              <w:t>who are intolerant to or insufficiently protected by oral therapy</w:t>
            </w:r>
            <w:r w:rsidR="006F33F0">
              <w:rPr>
                <w:lang w:val="en-AU"/>
              </w:rPr>
              <w:t>.</w:t>
            </w:r>
          </w:p>
        </w:tc>
        <w:tc>
          <w:tcPr>
            <w:tcW w:w="3634" w:type="dxa"/>
          </w:tcPr>
          <w:p w14:paraId="0B79269C" w14:textId="77777777" w:rsidR="00EF60E6" w:rsidRPr="00534B85" w:rsidRDefault="00EF60E6" w:rsidP="00853D58">
            <w:pPr>
              <w:pStyle w:val="TableText"/>
            </w:pPr>
            <w:r>
              <w:t>Not approved for this indication.</w:t>
            </w:r>
          </w:p>
        </w:tc>
      </w:tr>
    </w:tbl>
    <w:p w14:paraId="7A081E9E" w14:textId="77777777" w:rsidR="006E17C9" w:rsidRDefault="006E17C9" w:rsidP="006E17C9">
      <w:pPr>
        <w:pStyle w:val="BodyText"/>
        <w:rPr>
          <w:lang w:val="en-GB" w:eastAsia="ja-JP"/>
        </w:rPr>
      </w:pPr>
    </w:p>
    <w:p w14:paraId="25D7A7F0" w14:textId="37968AD8" w:rsidR="006E17C9" w:rsidRPr="006E17C9" w:rsidRDefault="006E17C9" w:rsidP="006E17C9">
      <w:pPr>
        <w:pStyle w:val="BodyText"/>
        <w:rPr>
          <w:lang w:val="en-GB" w:eastAsia="ja-JP"/>
        </w:rPr>
      </w:pPr>
      <w:r w:rsidRPr="00596F8A">
        <w:rPr>
          <w:lang w:val="en-GB" w:eastAsia="ja-JP"/>
        </w:rPr>
        <w:t xml:space="preserve">The TGA may be unwilling to approve Berinert for prophylactic use on the basis of the limited evidence available for </w:t>
      </w:r>
      <w:r w:rsidR="00240BAC" w:rsidRPr="00596F8A">
        <w:rPr>
          <w:lang w:val="en-GB" w:eastAsia="ja-JP"/>
        </w:rPr>
        <w:t>this indication</w:t>
      </w:r>
      <w:r w:rsidRPr="00596F8A">
        <w:rPr>
          <w:lang w:val="en-GB" w:eastAsia="ja-JP"/>
        </w:rPr>
        <w:t>.</w:t>
      </w:r>
    </w:p>
    <w:p w14:paraId="6CF77767" w14:textId="32B8BF2C" w:rsidR="00BD08F8" w:rsidRDefault="00BD08F8" w:rsidP="00FE5EBB">
      <w:pPr>
        <w:pStyle w:val="Heading3"/>
        <w:spacing w:before="360"/>
      </w:pPr>
      <w:bookmarkStart w:id="32" w:name="_Toc400097936"/>
      <w:r>
        <w:t>Dosage</w:t>
      </w:r>
      <w:r w:rsidR="00A03DBE">
        <w:t xml:space="preserve"> and frequency of use</w:t>
      </w:r>
      <w:bookmarkEnd w:id="32"/>
    </w:p>
    <w:p w14:paraId="71610570" w14:textId="608BFF8F" w:rsidR="00A03DBE" w:rsidRDefault="009F5B36" w:rsidP="00A03DBE">
      <w:pPr>
        <w:pStyle w:val="BodyText"/>
        <w:rPr>
          <w:lang w:val="en-GB" w:eastAsia="ja-JP"/>
        </w:rPr>
      </w:pPr>
      <w:r>
        <w:rPr>
          <w:lang w:val="en-GB" w:eastAsia="ja-JP"/>
        </w:rPr>
        <w:fldChar w:fldCharType="begin"/>
      </w:r>
      <w:r>
        <w:rPr>
          <w:lang w:val="en-GB" w:eastAsia="ja-JP"/>
        </w:rPr>
        <w:instrText xml:space="preserve"> REF _Ref395195412 \h </w:instrText>
      </w:r>
      <w:r>
        <w:rPr>
          <w:lang w:val="en-GB" w:eastAsia="ja-JP"/>
        </w:rPr>
      </w:r>
      <w:r>
        <w:rPr>
          <w:lang w:val="en-GB" w:eastAsia="ja-JP"/>
        </w:rPr>
        <w:fldChar w:fldCharType="separate"/>
      </w:r>
      <w:r>
        <w:t xml:space="preserve">Table </w:t>
      </w:r>
      <w:r>
        <w:rPr>
          <w:noProof/>
        </w:rPr>
        <w:t>5</w:t>
      </w:r>
      <w:r>
        <w:rPr>
          <w:lang w:val="en-GB" w:eastAsia="ja-JP"/>
        </w:rPr>
        <w:fldChar w:fldCharType="end"/>
      </w:r>
      <w:r w:rsidR="00263D4A">
        <w:rPr>
          <w:lang w:val="en-GB" w:eastAsia="ja-JP"/>
        </w:rPr>
        <w:t xml:space="preserve"> summarises the dosing regimens for each product. </w:t>
      </w:r>
      <w:r w:rsidR="00FE5EBB">
        <w:rPr>
          <w:lang w:val="en-GB" w:eastAsia="ja-JP"/>
        </w:rPr>
        <w:t xml:space="preserve">Berinert uses weight-based dosing whereas Cinryze is administered as a fixed dose. </w:t>
      </w:r>
      <w:r w:rsidR="00263D4A">
        <w:rPr>
          <w:lang w:val="en-GB" w:eastAsia="ja-JP"/>
        </w:rPr>
        <w:t xml:space="preserve">The </w:t>
      </w:r>
      <w:r w:rsidR="005E44A7">
        <w:rPr>
          <w:lang w:val="en-GB" w:eastAsia="ja-JP"/>
        </w:rPr>
        <w:t>PI</w:t>
      </w:r>
      <w:r w:rsidR="00263D4A">
        <w:rPr>
          <w:lang w:val="en-GB" w:eastAsia="ja-JP"/>
        </w:rPr>
        <w:t xml:space="preserve"> for </w:t>
      </w:r>
      <w:r w:rsidR="00BD08F8">
        <w:rPr>
          <w:lang w:val="en-GB" w:eastAsia="ja-JP"/>
        </w:rPr>
        <w:t xml:space="preserve">Cinryze </w:t>
      </w:r>
      <w:r w:rsidR="00263D4A">
        <w:rPr>
          <w:lang w:val="en-GB" w:eastAsia="ja-JP"/>
        </w:rPr>
        <w:t>states that</w:t>
      </w:r>
      <w:r w:rsidR="00BD08F8">
        <w:rPr>
          <w:lang w:val="en-GB" w:eastAsia="ja-JP"/>
        </w:rPr>
        <w:t xml:space="preserve"> </w:t>
      </w:r>
      <w:r w:rsidR="00263D4A">
        <w:rPr>
          <w:lang w:val="en-GB" w:eastAsia="ja-JP"/>
        </w:rPr>
        <w:t xml:space="preserve">the dose of </w:t>
      </w:r>
      <w:r w:rsidR="00BD08F8">
        <w:rPr>
          <w:lang w:val="en-GB" w:eastAsia="ja-JP"/>
        </w:rPr>
        <w:t>1000 units can be repeated after one hour if an adequate response is not achieved.</w:t>
      </w:r>
      <w:r w:rsidR="00A03DBE">
        <w:rPr>
          <w:lang w:val="en-GB" w:eastAsia="ja-JP"/>
        </w:rPr>
        <w:t xml:space="preserve"> </w:t>
      </w:r>
    </w:p>
    <w:p w14:paraId="10F8A130" w14:textId="0A44A6F2" w:rsidR="00E53166" w:rsidRDefault="00A03DBE" w:rsidP="00E53166">
      <w:pPr>
        <w:pStyle w:val="BodyText"/>
        <w:rPr>
          <w:lang w:val="en-GB" w:eastAsia="ja-JP"/>
        </w:rPr>
      </w:pPr>
      <w:r>
        <w:rPr>
          <w:lang w:val="en-GB" w:eastAsia="ja-JP"/>
        </w:rPr>
        <w:t>The frequency of acute HAE attacks is hi</w:t>
      </w:r>
      <w:r w:rsidR="00007F11">
        <w:rPr>
          <w:lang w:val="en-GB" w:eastAsia="ja-JP"/>
        </w:rPr>
        <w:t xml:space="preserve">ghly variable between patients. </w:t>
      </w:r>
      <w:r w:rsidR="00E53166">
        <w:rPr>
          <w:lang w:val="en-GB" w:eastAsia="ja-JP"/>
        </w:rPr>
        <w:t>A survey of 58 Australian patients with HAE found an average of 1.57 attacks per patient per month or 18.9 attacks per year (</w:t>
      </w:r>
      <w:r w:rsidR="008212E1">
        <w:rPr>
          <w:lang w:val="en-GB" w:eastAsia="ja-JP"/>
        </w:rPr>
        <w:t xml:space="preserve">King and </w:t>
      </w:r>
      <w:r w:rsidR="00E53166">
        <w:rPr>
          <w:lang w:val="en-GB" w:eastAsia="ja-JP"/>
        </w:rPr>
        <w:t xml:space="preserve">Katelaris, </w:t>
      </w:r>
      <w:r w:rsidR="00EF0810">
        <w:rPr>
          <w:lang w:val="en-GB" w:eastAsia="ja-JP"/>
        </w:rPr>
        <w:t>2012</w:t>
      </w:r>
      <w:r w:rsidR="00E53166">
        <w:rPr>
          <w:lang w:val="en-GB" w:eastAsia="ja-JP"/>
        </w:rPr>
        <w:t xml:space="preserve">). However, as survey participants were initially recruited by specialists (ASCIA members), they may represent a subset of patients with more severe manifestations of HAE. </w:t>
      </w:r>
      <w:r w:rsidR="00890B57">
        <w:rPr>
          <w:lang w:val="en-GB" w:eastAsia="ja-JP"/>
        </w:rPr>
        <w:t xml:space="preserve">Lower estimates are available from clinical studies that prospectively documented moderate to severe HAE attacks treated with C1-INH over time. </w:t>
      </w:r>
      <w:r w:rsidR="00295DE1">
        <w:rPr>
          <w:lang w:val="en-GB" w:eastAsia="ja-JP"/>
        </w:rPr>
        <w:t>Based on such data</w:t>
      </w:r>
      <w:r w:rsidR="00E53166">
        <w:rPr>
          <w:lang w:val="en-GB" w:eastAsia="ja-JP"/>
        </w:rPr>
        <w:t xml:space="preserve">, the CSL Behring proposal estimated an average of </w:t>
      </w:r>
      <w:r w:rsidR="00885E5F">
        <w:rPr>
          <w:lang w:val="en-GB" w:eastAsia="ja-JP"/>
        </w:rPr>
        <w:t>eight</w:t>
      </w:r>
      <w:r w:rsidR="00E53166">
        <w:rPr>
          <w:lang w:val="en-GB" w:eastAsia="ja-JP"/>
        </w:rPr>
        <w:t xml:space="preserve"> moderate to seve</w:t>
      </w:r>
      <w:r w:rsidR="00295DE1">
        <w:rPr>
          <w:lang w:val="en-GB" w:eastAsia="ja-JP"/>
        </w:rPr>
        <w:t xml:space="preserve">re attacks per patient per year </w:t>
      </w:r>
      <w:r w:rsidR="00890B57">
        <w:rPr>
          <w:lang w:val="en-GB" w:eastAsia="ja-JP"/>
        </w:rPr>
        <w:t>that would be recommended for treatment with C1-INH or icatibant according to ASCIA guidelines.</w:t>
      </w:r>
    </w:p>
    <w:p w14:paraId="6EFE74F7" w14:textId="21B0FB11" w:rsidR="00A03DBE" w:rsidRDefault="00A03DBE" w:rsidP="00A03DBE">
      <w:pPr>
        <w:pStyle w:val="BodyText"/>
        <w:rPr>
          <w:lang w:val="en-GB" w:eastAsia="ja-JP"/>
        </w:rPr>
      </w:pPr>
      <w:r>
        <w:rPr>
          <w:lang w:val="en-GB" w:eastAsia="ja-JP"/>
        </w:rPr>
        <w:t xml:space="preserve">The frequency of use for pre-procedural prophylaxis could vary extensively depending on patient circumstances, but is likely to be occasional. </w:t>
      </w:r>
      <w:r w:rsidR="00621BC9">
        <w:rPr>
          <w:lang w:val="en-GB" w:eastAsia="ja-JP"/>
        </w:rPr>
        <w:t xml:space="preserve">According to ASCIA (correspondence 22 August 2014), routine prophylaxis involves </w:t>
      </w:r>
      <w:r w:rsidR="00C03278">
        <w:rPr>
          <w:lang w:val="en-GB" w:eastAsia="ja-JP"/>
        </w:rPr>
        <w:t xml:space="preserve">long-term </w:t>
      </w:r>
      <w:r>
        <w:rPr>
          <w:lang w:val="en-GB" w:eastAsia="ja-JP"/>
        </w:rPr>
        <w:t>administration of C1-INH concentrate</w:t>
      </w:r>
      <w:r w:rsidR="00C03278">
        <w:rPr>
          <w:lang w:val="en-GB" w:eastAsia="ja-JP"/>
        </w:rPr>
        <w:t>; however, prophylaxis is not necessarily lifelong, as the activity of the condition can change over time.</w:t>
      </w:r>
      <w:r>
        <w:rPr>
          <w:lang w:val="en-GB" w:eastAsia="ja-JP"/>
        </w:rPr>
        <w:t xml:space="preserve"> </w:t>
      </w:r>
      <w:r w:rsidR="00C03278">
        <w:rPr>
          <w:lang w:val="en-GB" w:eastAsia="ja-JP"/>
        </w:rPr>
        <w:t>I</w:t>
      </w:r>
      <w:r>
        <w:rPr>
          <w:lang w:val="en-GB" w:eastAsia="ja-JP"/>
        </w:rPr>
        <w:t>n the case of pregnancy</w:t>
      </w:r>
      <w:r w:rsidR="00C03278">
        <w:rPr>
          <w:lang w:val="en-GB" w:eastAsia="ja-JP"/>
        </w:rPr>
        <w:t>,</w:t>
      </w:r>
      <w:r>
        <w:rPr>
          <w:lang w:val="en-GB" w:eastAsia="ja-JP"/>
        </w:rPr>
        <w:t xml:space="preserve"> </w:t>
      </w:r>
      <w:r w:rsidR="00561034">
        <w:rPr>
          <w:lang w:val="en-GB" w:eastAsia="ja-JP"/>
        </w:rPr>
        <w:t>‘</w:t>
      </w:r>
      <w:r>
        <w:rPr>
          <w:lang w:val="en-GB" w:eastAsia="ja-JP"/>
        </w:rPr>
        <w:t>routine</w:t>
      </w:r>
      <w:r w:rsidR="00561034">
        <w:rPr>
          <w:lang w:val="en-GB" w:eastAsia="ja-JP"/>
        </w:rPr>
        <w:t>’</w:t>
      </w:r>
      <w:r>
        <w:rPr>
          <w:lang w:val="en-GB" w:eastAsia="ja-JP"/>
        </w:rPr>
        <w:t xml:space="preserve"> prophylaxis may be used for the term of the pregnancy and then ceased postpartum.</w:t>
      </w:r>
    </w:p>
    <w:p w14:paraId="35EF74F6" w14:textId="30374264" w:rsidR="00BD08F8" w:rsidRDefault="00BD08F8" w:rsidP="00BD08F8">
      <w:pPr>
        <w:pStyle w:val="Caption"/>
      </w:pPr>
      <w:bookmarkStart w:id="33" w:name="_Ref395195412"/>
      <w:r>
        <w:lastRenderedPageBreak/>
        <w:t xml:space="preserve">Table </w:t>
      </w:r>
      <w:r w:rsidR="00EA5D58">
        <w:fldChar w:fldCharType="begin"/>
      </w:r>
      <w:r w:rsidR="00EA5D58">
        <w:instrText xml:space="preserve"> SEQ Table \* ARABIC </w:instrText>
      </w:r>
      <w:r w:rsidR="00EA5D58">
        <w:fldChar w:fldCharType="separate"/>
      </w:r>
      <w:r w:rsidR="00847595">
        <w:rPr>
          <w:noProof/>
        </w:rPr>
        <w:t>5</w:t>
      </w:r>
      <w:r w:rsidR="00EA5D58">
        <w:rPr>
          <w:noProof/>
        </w:rPr>
        <w:fldChar w:fldCharType="end"/>
      </w:r>
      <w:bookmarkEnd w:id="33"/>
      <w:r>
        <w:tab/>
      </w:r>
      <w:r w:rsidR="00CD0625">
        <w:t>TGA-approved d</w:t>
      </w:r>
      <w:r>
        <w:t>osage regimens for Cinryze and Berinert</w:t>
      </w:r>
    </w:p>
    <w:tbl>
      <w:tblPr>
        <w:tblStyle w:val="TableGrid"/>
        <w:tblW w:w="0" w:type="auto"/>
        <w:tblLook w:val="04A0" w:firstRow="1" w:lastRow="0" w:firstColumn="1" w:lastColumn="0" w:noHBand="0" w:noVBand="1"/>
        <w:tblCaption w:val="Table 5 - TGA-approved dosage regimens for Cinryze and Berinert"/>
        <w:tblDescription w:val="A table outlining TGA-approved dosage for Cinryze and Berinert, against specific attack episodes."/>
      </w:tblPr>
      <w:tblGrid>
        <w:gridCol w:w="1696"/>
        <w:gridCol w:w="3686"/>
        <w:gridCol w:w="3634"/>
      </w:tblGrid>
      <w:tr w:rsidR="00BD08F8" w:rsidRPr="00534B85" w14:paraId="3DF6A782" w14:textId="77777777" w:rsidTr="004A471B">
        <w:trPr>
          <w:tblHeader/>
        </w:trPr>
        <w:tc>
          <w:tcPr>
            <w:tcW w:w="1696" w:type="dxa"/>
          </w:tcPr>
          <w:p w14:paraId="3E66C208" w14:textId="77777777" w:rsidR="00BD08F8" w:rsidRPr="00534B85" w:rsidRDefault="00BD08F8" w:rsidP="00243A1F">
            <w:pPr>
              <w:pStyle w:val="TableHeading"/>
            </w:pPr>
            <w:r>
              <w:t>Indication</w:t>
            </w:r>
          </w:p>
        </w:tc>
        <w:tc>
          <w:tcPr>
            <w:tcW w:w="3686" w:type="dxa"/>
          </w:tcPr>
          <w:p w14:paraId="072E7D62" w14:textId="77777777" w:rsidR="00BD08F8" w:rsidRPr="00534B85" w:rsidRDefault="00BD08F8" w:rsidP="00243A1F">
            <w:pPr>
              <w:pStyle w:val="TableHeading"/>
            </w:pPr>
            <w:r>
              <w:t>Cinryze</w:t>
            </w:r>
          </w:p>
        </w:tc>
        <w:tc>
          <w:tcPr>
            <w:tcW w:w="3634" w:type="dxa"/>
          </w:tcPr>
          <w:p w14:paraId="1D8CCF3A" w14:textId="77777777" w:rsidR="00BD08F8" w:rsidRPr="00534B85" w:rsidRDefault="00BD08F8" w:rsidP="00243A1F">
            <w:pPr>
              <w:pStyle w:val="TableHeading"/>
            </w:pPr>
            <w:r>
              <w:t>Berinert</w:t>
            </w:r>
          </w:p>
        </w:tc>
      </w:tr>
      <w:tr w:rsidR="00BD08F8" w:rsidRPr="00534B85" w14:paraId="480975D1" w14:textId="77777777" w:rsidTr="00DD6DC4">
        <w:tc>
          <w:tcPr>
            <w:tcW w:w="1696" w:type="dxa"/>
          </w:tcPr>
          <w:p w14:paraId="3A84EBFC" w14:textId="77777777" w:rsidR="00BD08F8" w:rsidRPr="00534B85" w:rsidRDefault="00BD08F8" w:rsidP="00243A1F">
            <w:pPr>
              <w:pStyle w:val="TableText"/>
            </w:pPr>
            <w:r w:rsidRPr="00534B85">
              <w:t>Treatment of angioedema attacks</w:t>
            </w:r>
          </w:p>
        </w:tc>
        <w:tc>
          <w:tcPr>
            <w:tcW w:w="3686" w:type="dxa"/>
          </w:tcPr>
          <w:p w14:paraId="185E0082" w14:textId="77777777" w:rsidR="00BD08F8" w:rsidRDefault="00BD08F8" w:rsidP="00243A1F">
            <w:pPr>
              <w:pStyle w:val="TableBulletspaceafter"/>
            </w:pPr>
            <w:r>
              <w:t>1000 Units of CINRYZE at the first sign of the onset of an acute attack.</w:t>
            </w:r>
          </w:p>
          <w:p w14:paraId="69464C86" w14:textId="77777777" w:rsidR="00BD08F8" w:rsidRDefault="00BD08F8" w:rsidP="00243A1F">
            <w:pPr>
              <w:pStyle w:val="TableBulletspaceafter"/>
            </w:pPr>
            <w:r>
              <w:t>A second dose of 1000 Units should be administered if the patient has not responded adequately after 60 minutes.</w:t>
            </w:r>
          </w:p>
          <w:p w14:paraId="48F28D97" w14:textId="77777777" w:rsidR="00BD08F8" w:rsidRPr="00534B85" w:rsidRDefault="00BD08F8" w:rsidP="00243A1F">
            <w:pPr>
              <w:pStyle w:val="TableText"/>
            </w:pPr>
            <w:r>
              <w:t>A second dose of 1000 Units is more likely to be required in patients experiencing severe attacks, laryngeal attacks or if initiation of treatment is delayed.</w:t>
            </w:r>
          </w:p>
        </w:tc>
        <w:tc>
          <w:tcPr>
            <w:tcW w:w="3634" w:type="dxa"/>
          </w:tcPr>
          <w:p w14:paraId="1C2EBCB0" w14:textId="77777777" w:rsidR="00BD08F8" w:rsidRPr="00534B85" w:rsidRDefault="00BD08F8" w:rsidP="00243A1F">
            <w:pPr>
              <w:pStyle w:val="TableText"/>
            </w:pPr>
            <w:r w:rsidRPr="00534B85">
              <w:t>The recommended dose is 20 IU per kg body weight</w:t>
            </w:r>
            <w:r>
              <w:t>.</w:t>
            </w:r>
          </w:p>
        </w:tc>
      </w:tr>
      <w:tr w:rsidR="00BD08F8" w:rsidRPr="00534B85" w14:paraId="057A6592" w14:textId="77777777" w:rsidTr="00DD6DC4">
        <w:tc>
          <w:tcPr>
            <w:tcW w:w="1696" w:type="dxa"/>
          </w:tcPr>
          <w:p w14:paraId="2DF9B083" w14:textId="77777777" w:rsidR="00BD08F8" w:rsidRPr="00534B85" w:rsidRDefault="00BD08F8" w:rsidP="00243A1F">
            <w:pPr>
              <w:pStyle w:val="TableText"/>
            </w:pPr>
            <w:r w:rsidRPr="00534B85">
              <w:t>Pre-procedure prevention of angioedema attacks</w:t>
            </w:r>
          </w:p>
        </w:tc>
        <w:tc>
          <w:tcPr>
            <w:tcW w:w="3686" w:type="dxa"/>
          </w:tcPr>
          <w:p w14:paraId="5EF56668" w14:textId="77777777" w:rsidR="00BD08F8" w:rsidRPr="00534B85" w:rsidRDefault="00BD08F8" w:rsidP="00243A1F">
            <w:pPr>
              <w:pStyle w:val="TableText"/>
            </w:pPr>
            <w:r w:rsidRPr="00534B85">
              <w:t>1000 Units of CINRYZE within 24 hours before a medical, dental, or surgical procedure.</w:t>
            </w:r>
          </w:p>
        </w:tc>
        <w:tc>
          <w:tcPr>
            <w:tcW w:w="3634" w:type="dxa"/>
          </w:tcPr>
          <w:p w14:paraId="0766954D" w14:textId="77777777" w:rsidR="00BD08F8" w:rsidRPr="00534B85" w:rsidRDefault="00BD08F8" w:rsidP="00243A1F">
            <w:pPr>
              <w:pStyle w:val="TableText"/>
            </w:pPr>
            <w:r>
              <w:t>Not approved for this indication.</w:t>
            </w:r>
          </w:p>
        </w:tc>
      </w:tr>
      <w:tr w:rsidR="00BD08F8" w:rsidRPr="00534B85" w14:paraId="101EAD96" w14:textId="77777777" w:rsidTr="00DD6DC4">
        <w:tc>
          <w:tcPr>
            <w:tcW w:w="1696" w:type="dxa"/>
          </w:tcPr>
          <w:p w14:paraId="4397472A" w14:textId="77777777" w:rsidR="00BD08F8" w:rsidRPr="00534B85" w:rsidRDefault="00BD08F8" w:rsidP="00243A1F">
            <w:pPr>
              <w:pStyle w:val="TableText"/>
            </w:pPr>
            <w:r w:rsidRPr="00534B85">
              <w:t>Routine prevention of angioedema attacks</w:t>
            </w:r>
          </w:p>
        </w:tc>
        <w:tc>
          <w:tcPr>
            <w:tcW w:w="3686" w:type="dxa"/>
          </w:tcPr>
          <w:p w14:paraId="1D91E7C8" w14:textId="77777777" w:rsidR="00BD08F8" w:rsidRDefault="00BD08F8" w:rsidP="00243A1F">
            <w:pPr>
              <w:pStyle w:val="TableTextspaceafter"/>
            </w:pPr>
            <w:r>
              <w:t>1000 Units of CINRYZE every 3 or 4 days for routine prevention against angioedema attacks.</w:t>
            </w:r>
          </w:p>
          <w:p w14:paraId="0175AF1D" w14:textId="77777777" w:rsidR="00BD08F8" w:rsidRPr="00534B85" w:rsidRDefault="00BD08F8" w:rsidP="00243A1F">
            <w:pPr>
              <w:pStyle w:val="TableText"/>
            </w:pPr>
            <w:r>
              <w:t>The dosing interval may need to be adjusted according to individual response. The continued need for regular prophylaxis with CINRYZE should be reviewed on a regular basis.</w:t>
            </w:r>
          </w:p>
        </w:tc>
        <w:tc>
          <w:tcPr>
            <w:tcW w:w="3634" w:type="dxa"/>
          </w:tcPr>
          <w:p w14:paraId="1ACB9BA4" w14:textId="77777777" w:rsidR="00BD08F8" w:rsidRPr="00534B85" w:rsidRDefault="00BD08F8" w:rsidP="00243A1F">
            <w:pPr>
              <w:pStyle w:val="TableText"/>
            </w:pPr>
            <w:r>
              <w:t>Not approved for this indication.</w:t>
            </w:r>
          </w:p>
        </w:tc>
      </w:tr>
    </w:tbl>
    <w:p w14:paraId="03F60BA8" w14:textId="4E1E6D10" w:rsidR="00BD08F8" w:rsidRDefault="00BD08F8" w:rsidP="00BD08F8">
      <w:pPr>
        <w:pStyle w:val="TableFootnotes1"/>
      </w:pPr>
      <w:r w:rsidRPr="008661BD">
        <w:rPr>
          <w:b/>
        </w:rPr>
        <w:t>Source:</w:t>
      </w:r>
      <w:r>
        <w:t xml:space="preserve"> Australian </w:t>
      </w:r>
      <w:r w:rsidR="00CD7247">
        <w:t>P</w:t>
      </w:r>
      <w:r>
        <w:t xml:space="preserve">roduct </w:t>
      </w:r>
      <w:r w:rsidR="00CD7247">
        <w:t>I</w:t>
      </w:r>
      <w:r>
        <w:t>nformation for Cinryze and for Berinert</w:t>
      </w:r>
    </w:p>
    <w:p w14:paraId="1129D1B0" w14:textId="77777777" w:rsidR="00BD08F8" w:rsidRDefault="00BD08F8" w:rsidP="00BD08F8">
      <w:pPr>
        <w:pStyle w:val="TableFootnotes1"/>
      </w:pPr>
      <w:r w:rsidRPr="008661BD">
        <w:rPr>
          <w:b/>
        </w:rPr>
        <w:t>Abbreviations:</w:t>
      </w:r>
      <w:r>
        <w:t xml:space="preserve"> IU, international units</w:t>
      </w:r>
    </w:p>
    <w:p w14:paraId="3ADE3BE0" w14:textId="77777777" w:rsidR="00C9344B" w:rsidRDefault="00C9344B" w:rsidP="00C9344B">
      <w:pPr>
        <w:pStyle w:val="Heading2"/>
      </w:pPr>
      <w:bookmarkStart w:id="34" w:name="_Toc400097937"/>
      <w:r>
        <w:t>Delivery of the intervention</w:t>
      </w:r>
      <w:bookmarkEnd w:id="34"/>
    </w:p>
    <w:p w14:paraId="0C5DF7C3" w14:textId="77777777" w:rsidR="00BD08F8" w:rsidRDefault="00BD08F8" w:rsidP="00BD08F8">
      <w:pPr>
        <w:pStyle w:val="BodyText"/>
      </w:pPr>
      <w:r>
        <w:t>Both Cinryze and Berinert are provided as powders to be reconstituted in water and administered intravenously. The Schedule 4 proposals report the following presentations for their products:</w:t>
      </w:r>
    </w:p>
    <w:p w14:paraId="0BF6B31F" w14:textId="2AB61B74" w:rsidR="00BD08F8" w:rsidRDefault="00BD08F8" w:rsidP="00BD08F8">
      <w:pPr>
        <w:pStyle w:val="BulletText"/>
      </w:pPr>
      <w:r>
        <w:t>Cinryze is supplied as a complete</w:t>
      </w:r>
      <w:r w:rsidR="00561034">
        <w:t xml:space="preserve"> product offering, including</w:t>
      </w:r>
      <w:r>
        <w:t xml:space="preserve"> product vials, water for injection, reconstitution device, alcohol swabs, treatment mat, a syringe and venepuncture set</w:t>
      </w:r>
      <w:r w:rsidR="00CD7247">
        <w:t>.</w:t>
      </w:r>
      <w:r>
        <w:t xml:space="preserve"> </w:t>
      </w:r>
    </w:p>
    <w:p w14:paraId="12425BBB" w14:textId="166E8B93" w:rsidR="00BD08F8" w:rsidRDefault="00CD7247" w:rsidP="00BD08F8">
      <w:pPr>
        <w:pStyle w:val="BulletText"/>
      </w:pPr>
      <w:r>
        <w:t>E</w:t>
      </w:r>
      <w:r w:rsidR="00BD08F8">
        <w:t>ach Berinert carton includes one Berinert 500 IU vial, a 10mL water for injections vial, and a Mix2Vial reconstitution and filter transfer device. Each carton is shrink wrapped together with a separate administration kit.</w:t>
      </w:r>
    </w:p>
    <w:p w14:paraId="3B18F89B" w14:textId="33A51128" w:rsidR="001933B7" w:rsidRDefault="007C4116" w:rsidP="00342EDD">
      <w:pPr>
        <w:pStyle w:val="BodyText"/>
      </w:pPr>
      <w:r>
        <w:t xml:space="preserve">While these products can be administered in the hospital setting when a patient presents with an attack, they </w:t>
      </w:r>
      <w:r w:rsidR="00BD08F8">
        <w:t xml:space="preserve">are </w:t>
      </w:r>
      <w:r>
        <w:t xml:space="preserve">both </w:t>
      </w:r>
      <w:r w:rsidR="00BD08F8">
        <w:t>TGA-approv</w:t>
      </w:r>
      <w:r>
        <w:t>ed for self-</w:t>
      </w:r>
      <w:r w:rsidR="00E9524A">
        <w:t>administration</w:t>
      </w:r>
      <w:r>
        <w:t xml:space="preserve"> at home or in the community setting</w:t>
      </w:r>
      <w:r w:rsidR="00BD08F8">
        <w:t xml:space="preserve">. </w:t>
      </w:r>
      <w:r>
        <w:t xml:space="preserve">This can be especially useful to patients in remote and rural areas. </w:t>
      </w:r>
    </w:p>
    <w:p w14:paraId="4D01A833" w14:textId="1D326FFC" w:rsidR="00E9524A" w:rsidRDefault="001933B7" w:rsidP="00342EDD">
      <w:pPr>
        <w:pStyle w:val="BodyText"/>
      </w:pPr>
      <w:r w:rsidRPr="009C6D29">
        <w:t>Current C1-INH administration is generally limited to hospital or medical facility settings; however, ASCIA advises that home or community use may be possible with appropriate training and facilities</w:t>
      </w:r>
      <w:r>
        <w:t xml:space="preserve"> (Katelaris et al, 2012). </w:t>
      </w:r>
      <w:r w:rsidR="00E9524A">
        <w:t xml:space="preserve">It is the responsibility of the treating physician to identify patients suitable for self/home injection, and to ensure they receive training on I.V. administration (see </w:t>
      </w:r>
      <w:r w:rsidR="008212E1">
        <w:t>the h</w:t>
      </w:r>
      <w:r w:rsidR="0043277F">
        <w:t>ealth care resources</w:t>
      </w:r>
      <w:r w:rsidR="00E9524A">
        <w:t xml:space="preserve"> section for more information on proposed provision of training by sponsors). The Cinryze and Berinert PIs provide detailed administration instructions for reconstitution, injection and storage of reconstituted product.</w:t>
      </w:r>
    </w:p>
    <w:p w14:paraId="3317BAB3" w14:textId="539E7D00" w:rsidR="00342EDD" w:rsidRDefault="00342EDD" w:rsidP="00342EDD">
      <w:pPr>
        <w:pStyle w:val="BodyText"/>
      </w:pPr>
      <w:r>
        <w:t xml:space="preserve">The self/home-administration of C1-INH concentrate at the first sign of an attack is referred to as on-demand individual replacement therapy (IRT). IRT with Cinryze may also be self/home-administered for pre-procedural prophylaxis and routine prophylaxis. The latter use, according to the ASCIA </w:t>
      </w:r>
      <w:r>
        <w:lastRenderedPageBreak/>
        <w:t xml:space="preserve">Position Paper on HAE (Katelaris </w:t>
      </w:r>
      <w:r w:rsidR="00CD7247">
        <w:t xml:space="preserve">et al, </w:t>
      </w:r>
      <w:r>
        <w:t>2012), would be appropriate for those with frequent attacks and contraindications to other drug therapy</w:t>
      </w:r>
      <w:r>
        <w:rPr>
          <w:rStyle w:val="FootnoteReference"/>
        </w:rPr>
        <w:footnoteReference w:id="3"/>
      </w:r>
      <w:r>
        <w:t>.</w:t>
      </w:r>
    </w:p>
    <w:p w14:paraId="2D3A37CB" w14:textId="1CE3FC5A" w:rsidR="0005552C" w:rsidRDefault="0005552C" w:rsidP="0005552C">
      <w:pPr>
        <w:pStyle w:val="Heading2"/>
      </w:pPr>
      <w:bookmarkStart w:id="35" w:name="_Toc394668188"/>
      <w:bookmarkStart w:id="36" w:name="_Toc400097938"/>
      <w:r w:rsidRPr="0004489D">
        <w:t>Prerequisites</w:t>
      </w:r>
      <w:bookmarkEnd w:id="35"/>
      <w:bookmarkEnd w:id="36"/>
    </w:p>
    <w:p w14:paraId="7F8E502E" w14:textId="77777777" w:rsidR="007B096E" w:rsidRDefault="002D3B32" w:rsidP="000C5A07">
      <w:pPr>
        <w:pStyle w:val="BodyText"/>
      </w:pPr>
      <w:r>
        <w:t xml:space="preserve">As is the case for icatibant, the supply of </w:t>
      </w:r>
      <w:r w:rsidRPr="002D3B32">
        <w:t>C1-INH</w:t>
      </w:r>
      <w:r>
        <w:t xml:space="preserve"> concentrate will need to be</w:t>
      </w:r>
      <w:r w:rsidRPr="002D3B32">
        <w:t xml:space="preserve"> managed by</w:t>
      </w:r>
      <w:r>
        <w:t>,</w:t>
      </w:r>
      <w:r w:rsidRPr="002D3B32">
        <w:t xml:space="preserve"> or</w:t>
      </w:r>
      <w:r>
        <w:t xml:space="preserve"> be</w:t>
      </w:r>
      <w:r w:rsidRPr="002D3B32">
        <w:t xml:space="preserve"> in consultation with</w:t>
      </w:r>
      <w:r>
        <w:t>,</w:t>
      </w:r>
      <w:r w:rsidRPr="002D3B32">
        <w:t xml:space="preserve"> a clinical immunologist, respiratory physician, specialist allergist or general physician experienced in the management of patients with HAE</w:t>
      </w:r>
      <w:r w:rsidR="00E9524A">
        <w:t xml:space="preserve">. </w:t>
      </w:r>
    </w:p>
    <w:p w14:paraId="2A2CA8F6" w14:textId="276BC145" w:rsidR="00A03DBE" w:rsidRDefault="007B096E" w:rsidP="000C5A07">
      <w:pPr>
        <w:pStyle w:val="BodyText"/>
      </w:pPr>
      <w:r>
        <w:t>Both Cinryze and Berinert are supplied a</w:t>
      </w:r>
      <w:r w:rsidR="0043277F">
        <w:t xml:space="preserve">s a complete administration kit, but patients wishing to self/home-administer C1-INH concentrate will require guidance and training. </w:t>
      </w:r>
      <w:r w:rsidR="00A03DBE">
        <w:fldChar w:fldCharType="begin"/>
      </w:r>
      <w:r w:rsidR="00A03DBE">
        <w:instrText xml:space="preserve"> REF _Ref395263224 \h </w:instrText>
      </w:r>
      <w:r w:rsidR="00A03DBE">
        <w:fldChar w:fldCharType="separate"/>
      </w:r>
      <w:r w:rsidR="00847595">
        <w:t xml:space="preserve">Table </w:t>
      </w:r>
      <w:r w:rsidR="00847595">
        <w:rPr>
          <w:noProof/>
        </w:rPr>
        <w:t>6</w:t>
      </w:r>
      <w:r w:rsidR="00A03DBE">
        <w:fldChar w:fldCharType="end"/>
      </w:r>
      <w:r w:rsidR="00A03DBE">
        <w:t xml:space="preserve"> shows the PI information regarding home administration for Cinryze and Berinert.</w:t>
      </w:r>
    </w:p>
    <w:p w14:paraId="6BCC89E5" w14:textId="12AD0C6F" w:rsidR="00A03DBE" w:rsidRDefault="00A03DBE" w:rsidP="00A03DBE">
      <w:pPr>
        <w:pStyle w:val="Caption"/>
      </w:pPr>
      <w:bookmarkStart w:id="37" w:name="_Ref395263224"/>
      <w:r>
        <w:t xml:space="preserve">Table </w:t>
      </w:r>
      <w:r w:rsidR="00EA5D58">
        <w:fldChar w:fldCharType="begin"/>
      </w:r>
      <w:r w:rsidR="00EA5D58">
        <w:instrText xml:space="preserve"> SEQ Table \* ARABIC </w:instrText>
      </w:r>
      <w:r w:rsidR="00EA5D58">
        <w:fldChar w:fldCharType="separate"/>
      </w:r>
      <w:r w:rsidR="00847595">
        <w:rPr>
          <w:noProof/>
        </w:rPr>
        <w:t>6</w:t>
      </w:r>
      <w:r w:rsidR="00EA5D58">
        <w:rPr>
          <w:noProof/>
        </w:rPr>
        <w:fldChar w:fldCharType="end"/>
      </w:r>
      <w:bookmarkEnd w:id="37"/>
      <w:r>
        <w:tab/>
        <w:t>Product Information instructions for the self/home-administration of Cinryze and Berinert</w:t>
      </w:r>
    </w:p>
    <w:tbl>
      <w:tblPr>
        <w:tblStyle w:val="TableGrid"/>
        <w:tblW w:w="0" w:type="auto"/>
        <w:tblLook w:val="04A0" w:firstRow="1" w:lastRow="0" w:firstColumn="1" w:lastColumn="0" w:noHBand="0" w:noVBand="1"/>
        <w:tblCaption w:val="Table 6 - Product Information instructions for the self/home-administration of Cinryze and Berinert"/>
        <w:tblDescription w:val="A table outlining instructions for home and self-administration of Cinryze and Berinert."/>
      </w:tblPr>
      <w:tblGrid>
        <w:gridCol w:w="1271"/>
        <w:gridCol w:w="2552"/>
        <w:gridCol w:w="5193"/>
      </w:tblGrid>
      <w:tr w:rsidR="00A03DBE" w:rsidRPr="00534B85" w14:paraId="7A0C44C3" w14:textId="77777777" w:rsidTr="004A471B">
        <w:trPr>
          <w:tblHeader/>
        </w:trPr>
        <w:tc>
          <w:tcPr>
            <w:tcW w:w="1271" w:type="dxa"/>
          </w:tcPr>
          <w:p w14:paraId="20D31918" w14:textId="5C04B5BC" w:rsidR="00A03DBE" w:rsidRPr="00534B85" w:rsidRDefault="00A03DBE" w:rsidP="001446D5">
            <w:pPr>
              <w:pStyle w:val="TableHeading"/>
            </w:pPr>
            <w:r>
              <w:t xml:space="preserve">Instructions from </w:t>
            </w:r>
            <w:r w:rsidR="001446D5">
              <w:t>PI</w:t>
            </w:r>
          </w:p>
        </w:tc>
        <w:tc>
          <w:tcPr>
            <w:tcW w:w="2552" w:type="dxa"/>
          </w:tcPr>
          <w:p w14:paraId="5D766DC8" w14:textId="77777777" w:rsidR="00A03DBE" w:rsidRPr="00534B85" w:rsidRDefault="00A03DBE" w:rsidP="00BD2324">
            <w:pPr>
              <w:pStyle w:val="TableHeading"/>
            </w:pPr>
            <w:r>
              <w:t>Cinryze</w:t>
            </w:r>
          </w:p>
        </w:tc>
        <w:tc>
          <w:tcPr>
            <w:tcW w:w="5193" w:type="dxa"/>
          </w:tcPr>
          <w:p w14:paraId="235E771C" w14:textId="77777777" w:rsidR="00A03DBE" w:rsidRPr="00534B85" w:rsidRDefault="00A03DBE" w:rsidP="00BD2324">
            <w:pPr>
              <w:pStyle w:val="TableHeading"/>
            </w:pPr>
            <w:r>
              <w:t>Berinert</w:t>
            </w:r>
          </w:p>
        </w:tc>
      </w:tr>
      <w:tr w:rsidR="00A03DBE" w:rsidRPr="00534B85" w14:paraId="6C10DBF7" w14:textId="77777777" w:rsidTr="00A03DBE">
        <w:tc>
          <w:tcPr>
            <w:tcW w:w="1271" w:type="dxa"/>
          </w:tcPr>
          <w:p w14:paraId="56EB929E" w14:textId="77777777" w:rsidR="00A03DBE" w:rsidRPr="00534B85" w:rsidRDefault="00A03DBE" w:rsidP="00BD2324">
            <w:pPr>
              <w:pStyle w:val="TableText"/>
            </w:pPr>
            <w:r>
              <w:t>Self/home administration</w:t>
            </w:r>
          </w:p>
        </w:tc>
        <w:tc>
          <w:tcPr>
            <w:tcW w:w="2552" w:type="dxa"/>
          </w:tcPr>
          <w:p w14:paraId="2664A9AA" w14:textId="77777777" w:rsidR="00A03DBE" w:rsidRPr="00534B85" w:rsidRDefault="00A03DBE" w:rsidP="00BD2324">
            <w:pPr>
              <w:pStyle w:val="TableText"/>
            </w:pPr>
            <w:r>
              <w:t>It is the responsibility of the prescribing physician to determine which patients may be suitable for self-administration of CINRYZE and to provide training.</w:t>
            </w:r>
          </w:p>
        </w:tc>
        <w:tc>
          <w:tcPr>
            <w:tcW w:w="5193" w:type="dxa"/>
          </w:tcPr>
          <w:p w14:paraId="7ECDB8AB" w14:textId="77777777" w:rsidR="00A03DBE" w:rsidRPr="00D92D57" w:rsidRDefault="00A03DBE" w:rsidP="00BD2324">
            <w:pPr>
              <w:pStyle w:val="TableTextspaceafter"/>
            </w:pPr>
            <w:r w:rsidRPr="00D92D57">
              <w:t>If deemed appropriate by the treating physician, Berinert may be self-administered by the patient (or carer) following adequate training. This includes its administration in the home or other appropriate setting.</w:t>
            </w:r>
          </w:p>
          <w:p w14:paraId="35327720" w14:textId="77777777" w:rsidR="00A03DBE" w:rsidRPr="00534B85" w:rsidRDefault="00A03DBE" w:rsidP="00BD2324">
            <w:pPr>
              <w:pStyle w:val="TableText"/>
            </w:pPr>
            <w:r>
              <w:t>If self-</w:t>
            </w:r>
            <w:r w:rsidRPr="00D92D57">
              <w:t>administration/home treatment is deemed appropriate, ensure that the patient/carer receives clear instructions, adequate training on intravenous administration and has demonstrated the ability to perform intravenous infusions</w:t>
            </w:r>
            <w:r>
              <w:t>.</w:t>
            </w:r>
          </w:p>
        </w:tc>
      </w:tr>
    </w:tbl>
    <w:p w14:paraId="16142936" w14:textId="3FD4ACCB" w:rsidR="00A03DBE" w:rsidRDefault="00A03DBE" w:rsidP="00A03DBE">
      <w:pPr>
        <w:pStyle w:val="LastTableFootnote"/>
      </w:pPr>
      <w:r w:rsidRPr="008661BD">
        <w:rPr>
          <w:b/>
        </w:rPr>
        <w:t>Abbreviations:</w:t>
      </w:r>
      <w:r>
        <w:t xml:space="preserve"> </w:t>
      </w:r>
      <w:r w:rsidR="001446D5">
        <w:t>PI, Product Information</w:t>
      </w:r>
    </w:p>
    <w:p w14:paraId="26F80871" w14:textId="20B598E1" w:rsidR="000C5A07" w:rsidRDefault="002D3B32" w:rsidP="000C5A07">
      <w:pPr>
        <w:pStyle w:val="BodyText"/>
        <w:rPr>
          <w:lang w:val="en-GB" w:eastAsia="ja-JP"/>
        </w:rPr>
      </w:pPr>
      <w:r>
        <w:rPr>
          <w:lang w:val="en-GB" w:eastAsia="ja-JP"/>
        </w:rPr>
        <w:t xml:space="preserve">Patients who are unable to self-administer </w:t>
      </w:r>
      <w:r w:rsidR="002161EF">
        <w:rPr>
          <w:lang w:val="en-GB" w:eastAsia="ja-JP"/>
        </w:rPr>
        <w:t xml:space="preserve">and </w:t>
      </w:r>
      <w:r>
        <w:rPr>
          <w:lang w:val="en-GB" w:eastAsia="ja-JP"/>
        </w:rPr>
        <w:t>do not have the option of administration by another person such as a family member or carer, may wish to access on</w:t>
      </w:r>
      <w:r w:rsidR="002161EF">
        <w:rPr>
          <w:lang w:val="en-GB" w:eastAsia="ja-JP"/>
        </w:rPr>
        <w:t>-</w:t>
      </w:r>
      <w:r>
        <w:rPr>
          <w:lang w:val="en-GB" w:eastAsia="ja-JP"/>
        </w:rPr>
        <w:t xml:space="preserve">demand IRT or routine prophylaxis using the services of a community nurse, GP or other </w:t>
      </w:r>
      <w:r w:rsidR="00D87069">
        <w:rPr>
          <w:lang w:val="en-GB" w:eastAsia="ja-JP"/>
        </w:rPr>
        <w:t>out-of-hospital health care professional.</w:t>
      </w:r>
    </w:p>
    <w:p w14:paraId="04A13353" w14:textId="77777777" w:rsidR="0005552C" w:rsidRDefault="0005552C" w:rsidP="0005552C">
      <w:pPr>
        <w:pStyle w:val="Heading2"/>
      </w:pPr>
      <w:bookmarkStart w:id="38" w:name="_Toc394668189"/>
      <w:bookmarkStart w:id="39" w:name="_Toc400097939"/>
      <w:r w:rsidRPr="00A34E9C">
        <w:t xml:space="preserve">Co-administered </w:t>
      </w:r>
      <w:r>
        <w:t xml:space="preserve">and associated </w:t>
      </w:r>
      <w:r w:rsidRPr="00A34E9C">
        <w:t>interventions</w:t>
      </w:r>
      <w:bookmarkEnd w:id="38"/>
      <w:bookmarkEnd w:id="39"/>
    </w:p>
    <w:p w14:paraId="373ABB6A" w14:textId="7EBA79D4" w:rsidR="0005552C" w:rsidRDefault="0005552C" w:rsidP="0005552C">
      <w:pPr>
        <w:pStyle w:val="BodyText"/>
        <w:rPr>
          <w:lang w:val="en-GB" w:eastAsia="ja-JP"/>
        </w:rPr>
      </w:pPr>
      <w:r>
        <w:rPr>
          <w:lang w:val="en-GB" w:eastAsia="ja-JP"/>
        </w:rPr>
        <w:t xml:space="preserve">There are no interventions that require co-administration with C1-INH concentrate. As discussed earlier, it is necessary to establish a diagnosis of HAE </w:t>
      </w:r>
      <w:r w:rsidR="00E977F7">
        <w:rPr>
          <w:lang w:val="en-GB" w:eastAsia="ja-JP"/>
        </w:rPr>
        <w:t>t</w:t>
      </w:r>
      <w:r>
        <w:rPr>
          <w:lang w:val="en-GB" w:eastAsia="ja-JP"/>
        </w:rPr>
        <w:t xml:space="preserve">ypes </w:t>
      </w:r>
      <w:r w:rsidR="00E977F7">
        <w:rPr>
          <w:lang w:val="en-GB" w:eastAsia="ja-JP"/>
        </w:rPr>
        <w:t>I</w:t>
      </w:r>
      <w:r>
        <w:rPr>
          <w:lang w:val="en-GB" w:eastAsia="ja-JP"/>
        </w:rPr>
        <w:t xml:space="preserve"> or </w:t>
      </w:r>
      <w:r w:rsidR="00E977F7">
        <w:rPr>
          <w:lang w:val="en-GB" w:eastAsia="ja-JP"/>
        </w:rPr>
        <w:t>II</w:t>
      </w:r>
      <w:r>
        <w:rPr>
          <w:lang w:val="en-GB" w:eastAsia="ja-JP"/>
        </w:rPr>
        <w:t xml:space="preserve"> prior to C1-INH replacement therapy. Such diagnosis is carried out using quantitative and functional C1-INH assays</w:t>
      </w:r>
      <w:r w:rsidR="00A70E22">
        <w:rPr>
          <w:lang w:val="en-GB" w:eastAsia="ja-JP"/>
        </w:rPr>
        <w:t>, as part of standard management of</w:t>
      </w:r>
      <w:r>
        <w:rPr>
          <w:lang w:val="en-GB" w:eastAsia="ja-JP"/>
        </w:rPr>
        <w:t xml:space="preserve"> patients displaying symptoms or in families with a positive history. Genetic testing is rarely necessary to establish a diagnosis, but may be indicated prior to C1-INH replacement therapy if the form of HAE has not already been confidently established.</w:t>
      </w:r>
    </w:p>
    <w:p w14:paraId="5119862A" w14:textId="074C429E" w:rsidR="0005552C" w:rsidRPr="00A34E9C" w:rsidRDefault="0005552C" w:rsidP="0005552C">
      <w:pPr>
        <w:pStyle w:val="Heading1"/>
      </w:pPr>
      <w:bookmarkStart w:id="40" w:name="_Toc400097940"/>
      <w:r>
        <w:t xml:space="preserve">Listing proposed </w:t>
      </w:r>
      <w:bookmarkEnd w:id="18"/>
      <w:r w:rsidR="000E6D01">
        <w:t>for C1-INH</w:t>
      </w:r>
      <w:bookmarkEnd w:id="40"/>
    </w:p>
    <w:p w14:paraId="5B3CD5CB" w14:textId="6C752349" w:rsidR="0005552C" w:rsidRPr="00A34E9C" w:rsidRDefault="0005552C" w:rsidP="0005552C">
      <w:pPr>
        <w:pStyle w:val="Heading2"/>
      </w:pPr>
      <w:bookmarkStart w:id="41" w:name="_Toc394668191"/>
      <w:bookmarkStart w:id="42" w:name="_Toc400097941"/>
      <w:r w:rsidRPr="00A34E9C">
        <w:t xml:space="preserve">Proposed </w:t>
      </w:r>
      <w:r w:rsidR="00F022FC">
        <w:t>NPSL</w:t>
      </w:r>
      <w:r w:rsidRPr="00A34E9C">
        <w:t xml:space="preserve"> listing</w:t>
      </w:r>
      <w:bookmarkEnd w:id="41"/>
      <w:bookmarkEnd w:id="42"/>
    </w:p>
    <w:p w14:paraId="5D96CBF1" w14:textId="77777777" w:rsidR="005716E4" w:rsidRDefault="00A70E22" w:rsidP="00F022FC">
      <w:pPr>
        <w:pStyle w:val="BodyText"/>
      </w:pPr>
      <w:r>
        <w:t xml:space="preserve">C1-INH </w:t>
      </w:r>
      <w:r w:rsidR="002161EF">
        <w:t xml:space="preserve">concentrate </w:t>
      </w:r>
      <w:r>
        <w:t xml:space="preserve">is proposed for listing on the NPSL for the management of patients with a </w:t>
      </w:r>
      <w:r w:rsidRPr="00E90EC0">
        <w:t xml:space="preserve">confirmed diagnosis of </w:t>
      </w:r>
      <w:r w:rsidR="002161EF">
        <w:t>HAE type I or II</w:t>
      </w:r>
      <w:r>
        <w:t xml:space="preserve">. </w:t>
      </w:r>
      <w:r w:rsidR="002051B8">
        <w:t xml:space="preserve">The proposal </w:t>
      </w:r>
      <w:r>
        <w:t xml:space="preserve">from Cedarglen Investments seeks listing on the NPSL for all registered indications for Cinryze. </w:t>
      </w:r>
      <w:r w:rsidR="00F022FC">
        <w:t>The</w:t>
      </w:r>
      <w:r w:rsidR="002051B8">
        <w:t xml:space="preserve"> </w:t>
      </w:r>
      <w:r>
        <w:t>CSL Behring</w:t>
      </w:r>
      <w:r w:rsidRPr="00F022FC">
        <w:t xml:space="preserve"> </w:t>
      </w:r>
      <w:r w:rsidR="00F022FC" w:rsidRPr="00F022FC">
        <w:t xml:space="preserve">proposal </w:t>
      </w:r>
      <w:r w:rsidR="00F022FC">
        <w:t>requests</w:t>
      </w:r>
      <w:r w:rsidR="00F022FC" w:rsidRPr="00F022FC">
        <w:t xml:space="preserve"> inclusion of Berinert on the </w:t>
      </w:r>
      <w:r w:rsidR="00F022FC">
        <w:t>NPSL</w:t>
      </w:r>
      <w:r w:rsidR="00F022FC" w:rsidRPr="00F022FC">
        <w:t xml:space="preserve"> for treatment of acute HAE attacks, including attacks in pregnancy and in children, and for short</w:t>
      </w:r>
      <w:r w:rsidR="003F0506">
        <w:t>-</w:t>
      </w:r>
      <w:r w:rsidR="00F022FC" w:rsidRPr="00F022FC">
        <w:t>term prophylaxis prior to major dental or surgic</w:t>
      </w:r>
      <w:r w:rsidR="00F022FC">
        <w:t>al procedures or intubation.</w:t>
      </w:r>
    </w:p>
    <w:p w14:paraId="1D9C8C2D" w14:textId="434D3F5B" w:rsidR="00621BC9" w:rsidRDefault="00621BC9" w:rsidP="00F022FC">
      <w:pPr>
        <w:pStyle w:val="BodyText"/>
      </w:pPr>
      <w:r w:rsidRPr="009C6D29">
        <w:lastRenderedPageBreak/>
        <w:t>Consideration should be given as to whether acquired C1</w:t>
      </w:r>
      <w:r w:rsidR="00837E84" w:rsidRPr="009C6D29">
        <w:t xml:space="preserve"> esterase</w:t>
      </w:r>
      <w:r w:rsidRPr="009C6D29">
        <w:t xml:space="preserve"> inhibitor deficiency is also a legitimate indication for NPSL-funded C1-INH concentrate.</w:t>
      </w:r>
      <w:r w:rsidR="008C710D" w:rsidRPr="009C6D29">
        <w:t xml:space="preserve"> According to ASCIA (communication 22 August 2014), C1-INH concentrate is clinically indicated in these patients, although larger doses are sometimes required due to rapid consumption. Icatibant is effective at normal doses and may be preferred. Long-term prophylaxis with C1-INH concentrate is extremely rare, with AAE patients usually responding to treatment of the underlying disease.</w:t>
      </w:r>
      <w:r w:rsidR="008C710D">
        <w:t xml:space="preserve"> </w:t>
      </w:r>
    </w:p>
    <w:p w14:paraId="51B47575" w14:textId="2373B9F5" w:rsidR="005C3BA0" w:rsidRDefault="005C3BA0" w:rsidP="005C3BA0">
      <w:pPr>
        <w:pStyle w:val="Heading3"/>
      </w:pPr>
      <w:bookmarkStart w:id="43" w:name="_Toc400097942"/>
      <w:r>
        <w:t>Acute HAE attacks</w:t>
      </w:r>
      <w:bookmarkEnd w:id="43"/>
    </w:p>
    <w:p w14:paraId="130AEECF" w14:textId="349C1075" w:rsidR="005C3BA0" w:rsidRDefault="005C3BA0" w:rsidP="005C3BA0">
      <w:pPr>
        <w:pStyle w:val="BodyText"/>
        <w:rPr>
          <w:lang w:val="en-GB" w:eastAsia="ja-JP"/>
        </w:rPr>
      </w:pPr>
      <w:r>
        <w:rPr>
          <w:lang w:val="en-GB" w:eastAsia="ja-JP"/>
        </w:rPr>
        <w:t xml:space="preserve">For the treatment of acute HAE attacks, neither the </w:t>
      </w:r>
      <w:r w:rsidR="00382D81">
        <w:t>PIs</w:t>
      </w:r>
      <w:r>
        <w:rPr>
          <w:lang w:val="en-GB" w:eastAsia="ja-JP"/>
        </w:rPr>
        <w:t xml:space="preserve"> nor </w:t>
      </w:r>
      <w:r w:rsidR="00382D81">
        <w:rPr>
          <w:lang w:val="en-GB" w:eastAsia="ja-JP"/>
        </w:rPr>
        <w:t xml:space="preserve">the </w:t>
      </w:r>
      <w:r>
        <w:rPr>
          <w:lang w:val="en-GB" w:eastAsia="ja-JP"/>
        </w:rPr>
        <w:t>Schedule 4 Proposal</w:t>
      </w:r>
      <w:r w:rsidR="00382D81">
        <w:rPr>
          <w:lang w:val="en-GB" w:eastAsia="ja-JP"/>
        </w:rPr>
        <w:t>s</w:t>
      </w:r>
      <w:r>
        <w:rPr>
          <w:lang w:val="en-GB" w:eastAsia="ja-JP"/>
        </w:rPr>
        <w:t xml:space="preserve"> for either Cinryze or Berinert suggest C1-INH concentrate use be restricted based on attack characteristics. According to the ASCIA Position Paper on HAE (Katelaris </w:t>
      </w:r>
      <w:r w:rsidR="00A4793E">
        <w:rPr>
          <w:lang w:val="en-GB" w:eastAsia="ja-JP"/>
        </w:rPr>
        <w:t xml:space="preserve">et al, </w:t>
      </w:r>
      <w:r>
        <w:rPr>
          <w:lang w:val="en-GB" w:eastAsia="ja-JP"/>
        </w:rPr>
        <w:t xml:space="preserve">2012) and as shown in the </w:t>
      </w:r>
      <w:r>
        <w:t xml:space="preserve">clinical </w:t>
      </w:r>
      <w:r w:rsidR="00EE5A38">
        <w:t>management algorithm</w:t>
      </w:r>
      <w:r>
        <w:t xml:space="preserve"> in </w:t>
      </w:r>
      <w:r>
        <w:fldChar w:fldCharType="begin"/>
      </w:r>
      <w:r>
        <w:instrText xml:space="preserve"> REF _Ref395186743 \h </w:instrText>
      </w:r>
      <w:r>
        <w:fldChar w:fldCharType="separate"/>
      </w:r>
      <w:r w:rsidR="00847595">
        <w:t xml:space="preserve">Figure </w:t>
      </w:r>
      <w:r w:rsidR="00847595">
        <w:rPr>
          <w:noProof/>
        </w:rPr>
        <w:t>1</w:t>
      </w:r>
      <w:r>
        <w:fldChar w:fldCharType="end"/>
      </w:r>
      <w:r>
        <w:rPr>
          <w:lang w:val="en-GB" w:eastAsia="ja-JP"/>
        </w:rPr>
        <w:t>, C1-INH concentrate or icatibant are to be administered either</w:t>
      </w:r>
      <w:r w:rsidRPr="00B65E17">
        <w:rPr>
          <w:lang w:val="en-GB" w:eastAsia="ja-JP"/>
        </w:rPr>
        <w:t xml:space="preserve"> </w:t>
      </w:r>
      <w:r>
        <w:rPr>
          <w:lang w:val="en-GB" w:eastAsia="ja-JP"/>
        </w:rPr>
        <w:t>in hospital or by the patient, carer or community health worker at the onset of an HAE attack that occurs in the following locations:</w:t>
      </w:r>
    </w:p>
    <w:p w14:paraId="257844DB" w14:textId="3ED2D6B6" w:rsidR="005C3BA0" w:rsidRDefault="005C3BA0" w:rsidP="005C3BA0">
      <w:pPr>
        <w:pStyle w:val="BulletText"/>
        <w:rPr>
          <w:lang w:val="en-GB" w:eastAsia="ja-JP"/>
        </w:rPr>
      </w:pPr>
      <w:r>
        <w:rPr>
          <w:lang w:val="en-GB" w:eastAsia="ja-JP"/>
        </w:rPr>
        <w:t>oropharangeal, laryngeal or accompanied by a change in voice</w:t>
      </w:r>
      <w:r w:rsidR="00A4793E">
        <w:rPr>
          <w:lang w:val="en-GB" w:eastAsia="ja-JP"/>
        </w:rPr>
        <w:t>;</w:t>
      </w:r>
    </w:p>
    <w:p w14:paraId="11F64E3E" w14:textId="3983C78E" w:rsidR="005C3BA0" w:rsidRDefault="005C3BA0" w:rsidP="005C3BA0">
      <w:pPr>
        <w:pStyle w:val="Bullettextnospacebefore"/>
        <w:rPr>
          <w:lang w:val="en-GB" w:eastAsia="ja-JP"/>
        </w:rPr>
      </w:pPr>
      <w:r>
        <w:rPr>
          <w:lang w:val="en-GB" w:eastAsia="ja-JP"/>
        </w:rPr>
        <w:t>moderate to severe abdominal pain</w:t>
      </w:r>
      <w:r w:rsidR="00A4793E">
        <w:rPr>
          <w:lang w:val="en-GB" w:eastAsia="ja-JP"/>
        </w:rPr>
        <w:t>; or</w:t>
      </w:r>
    </w:p>
    <w:p w14:paraId="31245B58" w14:textId="77777777" w:rsidR="005C3BA0" w:rsidRDefault="005C3BA0" w:rsidP="005C3BA0">
      <w:pPr>
        <w:pStyle w:val="Bullettextnospacebefore"/>
        <w:rPr>
          <w:lang w:val="en-GB" w:eastAsia="ja-JP"/>
        </w:rPr>
      </w:pPr>
      <w:r>
        <w:rPr>
          <w:lang w:val="en-GB" w:eastAsia="ja-JP"/>
        </w:rPr>
        <w:t>head, neck, hands, feet or urogenital.</w:t>
      </w:r>
    </w:p>
    <w:p w14:paraId="20530A29" w14:textId="17B3A86D" w:rsidR="005C3BA0" w:rsidRDefault="005C3BA0" w:rsidP="005C3BA0">
      <w:pPr>
        <w:pStyle w:val="BodyText"/>
        <w:rPr>
          <w:lang w:val="en-GB" w:eastAsia="ja-JP"/>
        </w:rPr>
      </w:pPr>
      <w:r>
        <w:rPr>
          <w:lang w:val="en-GB" w:eastAsia="ja-JP"/>
        </w:rPr>
        <w:t xml:space="preserve">Where a patient is not responsive to the first dose of C1-INH concentrate, a second dose is recommended after 1 hour. The availability of on-demand IRT with C1-INH concentrate would </w:t>
      </w:r>
      <w:r w:rsidR="000E6D01">
        <w:rPr>
          <w:lang w:val="en-GB" w:eastAsia="ja-JP"/>
        </w:rPr>
        <w:t xml:space="preserve">potentially </w:t>
      </w:r>
      <w:r>
        <w:rPr>
          <w:lang w:val="en-GB" w:eastAsia="ja-JP"/>
        </w:rPr>
        <w:t xml:space="preserve">reduce the need for </w:t>
      </w:r>
      <w:r w:rsidR="000E6D01">
        <w:rPr>
          <w:lang w:val="en-GB" w:eastAsia="ja-JP"/>
        </w:rPr>
        <w:t>re-dosing</w:t>
      </w:r>
      <w:r>
        <w:rPr>
          <w:lang w:val="en-GB" w:eastAsia="ja-JP"/>
        </w:rPr>
        <w:t>, the likelihood of which is increased by delays in administration of the first dose.</w:t>
      </w:r>
    </w:p>
    <w:p w14:paraId="2CB99379" w14:textId="77777777" w:rsidR="005C3BA0" w:rsidRDefault="005C3BA0" w:rsidP="005C3BA0">
      <w:pPr>
        <w:pStyle w:val="Heading3"/>
      </w:pPr>
      <w:bookmarkStart w:id="44" w:name="_Toc400097943"/>
      <w:r>
        <w:t>Pre-procedural prophylaxis</w:t>
      </w:r>
      <w:bookmarkEnd w:id="44"/>
    </w:p>
    <w:p w14:paraId="5AF55458" w14:textId="1B3FBA79" w:rsidR="000E6D01" w:rsidRDefault="00D86181" w:rsidP="005C3BA0">
      <w:pPr>
        <w:pStyle w:val="BodyText"/>
        <w:rPr>
          <w:lang w:val="en-GB" w:eastAsia="ja-JP"/>
        </w:rPr>
      </w:pPr>
      <w:r>
        <w:t xml:space="preserve">Cinryze has TGA approval for dosing </w:t>
      </w:r>
      <w:r w:rsidRPr="00534B85">
        <w:t>within 24 hours before a medical, dental, or surgical procedure</w:t>
      </w:r>
      <w:r>
        <w:t>.</w:t>
      </w:r>
      <w:r>
        <w:rPr>
          <w:lang w:val="en-GB" w:eastAsia="ja-JP"/>
        </w:rPr>
        <w:t xml:space="preserve"> </w:t>
      </w:r>
      <w:r w:rsidR="00EF60E6">
        <w:rPr>
          <w:lang w:val="en-GB" w:eastAsia="ja-JP"/>
        </w:rPr>
        <w:t xml:space="preserve">Neither the </w:t>
      </w:r>
      <w:r w:rsidR="00382D81">
        <w:t xml:space="preserve">PI </w:t>
      </w:r>
      <w:r w:rsidR="00EF60E6">
        <w:rPr>
          <w:lang w:val="en-GB" w:eastAsia="ja-JP"/>
        </w:rPr>
        <w:t xml:space="preserve">nor Schedule 4 Proposal for Cinryze suggest </w:t>
      </w:r>
      <w:r w:rsidR="002161EF">
        <w:rPr>
          <w:lang w:val="en-GB" w:eastAsia="ja-JP"/>
        </w:rPr>
        <w:t xml:space="preserve">restriction of </w:t>
      </w:r>
      <w:r w:rsidR="00EF60E6">
        <w:rPr>
          <w:lang w:val="en-GB" w:eastAsia="ja-JP"/>
        </w:rPr>
        <w:t>C1-INH concentrate use</w:t>
      </w:r>
      <w:r w:rsidR="00EF60E6" w:rsidRPr="00EF60E6">
        <w:rPr>
          <w:lang w:val="en-GB" w:eastAsia="ja-JP"/>
        </w:rPr>
        <w:t xml:space="preserve"> </w:t>
      </w:r>
      <w:r w:rsidR="00EF60E6">
        <w:rPr>
          <w:lang w:val="en-GB" w:eastAsia="ja-JP"/>
        </w:rPr>
        <w:t>for pre-procedure prophylaxis based on</w:t>
      </w:r>
      <w:r w:rsidR="005C3BA0">
        <w:rPr>
          <w:lang w:val="en-GB" w:eastAsia="ja-JP"/>
        </w:rPr>
        <w:t xml:space="preserve"> procedure</w:t>
      </w:r>
      <w:r w:rsidR="002161EF">
        <w:rPr>
          <w:lang w:val="en-GB" w:eastAsia="ja-JP"/>
        </w:rPr>
        <w:t xml:space="preserve"> type</w:t>
      </w:r>
      <w:r w:rsidR="005C3BA0">
        <w:rPr>
          <w:lang w:val="en-GB" w:eastAsia="ja-JP"/>
        </w:rPr>
        <w:t xml:space="preserve">. According to the ASCIA Position Paper on HAE (Katelaris </w:t>
      </w:r>
      <w:r w:rsidR="00A4793E">
        <w:rPr>
          <w:lang w:val="en-GB" w:eastAsia="ja-JP"/>
        </w:rPr>
        <w:t xml:space="preserve">et al, </w:t>
      </w:r>
      <w:r w:rsidR="005C3BA0">
        <w:rPr>
          <w:lang w:val="en-GB" w:eastAsia="ja-JP"/>
        </w:rPr>
        <w:t>2012), pre-procedural prophylaxis with C1-INH concentrate is appropriate f</w:t>
      </w:r>
      <w:r w:rsidR="005C3BA0" w:rsidRPr="00113338">
        <w:rPr>
          <w:lang w:val="en-GB" w:eastAsia="ja-JP"/>
        </w:rPr>
        <w:t xml:space="preserve">or any </w:t>
      </w:r>
      <w:r w:rsidR="005C3BA0">
        <w:rPr>
          <w:lang w:val="en-GB" w:eastAsia="ja-JP"/>
        </w:rPr>
        <w:t xml:space="preserve">high risk dental </w:t>
      </w:r>
      <w:r w:rsidR="005C3BA0" w:rsidRPr="00113338">
        <w:rPr>
          <w:lang w:val="en-GB" w:eastAsia="ja-JP"/>
        </w:rPr>
        <w:t>procedure</w:t>
      </w:r>
      <w:r w:rsidR="005C3BA0">
        <w:rPr>
          <w:lang w:val="en-GB" w:eastAsia="ja-JP"/>
        </w:rPr>
        <w:t xml:space="preserve">s, such as </w:t>
      </w:r>
      <w:r w:rsidR="005C3BA0" w:rsidRPr="00113338">
        <w:rPr>
          <w:lang w:val="en-GB" w:eastAsia="ja-JP"/>
        </w:rPr>
        <w:t>tooth extraction</w:t>
      </w:r>
      <w:r w:rsidR="005C3BA0">
        <w:rPr>
          <w:lang w:val="en-GB" w:eastAsia="ja-JP"/>
        </w:rPr>
        <w:t xml:space="preserve"> or extensive dental work, any head or neck surgery, or any surgery requiring intubation. </w:t>
      </w:r>
    </w:p>
    <w:p w14:paraId="5AD15999" w14:textId="584DE0BA" w:rsidR="000E6D01" w:rsidRDefault="005C3BA0" w:rsidP="005C3BA0">
      <w:pPr>
        <w:pStyle w:val="BodyText"/>
        <w:rPr>
          <w:lang w:val="en-GB" w:eastAsia="ja-JP"/>
        </w:rPr>
      </w:pPr>
      <w:r>
        <w:rPr>
          <w:lang w:val="en-GB" w:eastAsia="ja-JP"/>
        </w:rPr>
        <w:t>Berinert is not TGA-approved for pre-procedure prophylaxis. However, the Schedule 4 Proposal for Berinert proposes that it be included on the NPSL for s</w:t>
      </w:r>
      <w:r w:rsidRPr="005C3BA0">
        <w:rPr>
          <w:lang w:val="en-GB" w:eastAsia="ja-JP"/>
        </w:rPr>
        <w:t>hort term prophylaxis prior to major dental or surgical proced</w:t>
      </w:r>
      <w:r w:rsidR="000E6D01">
        <w:rPr>
          <w:lang w:val="en-GB" w:eastAsia="ja-JP"/>
        </w:rPr>
        <w:t xml:space="preserve">ures or intubation, to </w:t>
      </w:r>
      <w:r w:rsidR="000E6D01">
        <w:t>reflect</w:t>
      </w:r>
      <w:r w:rsidR="000E6D01" w:rsidRPr="00F022FC">
        <w:t xml:space="preserve"> the recommendations in the ASCIA Position Paper </w:t>
      </w:r>
      <w:r w:rsidR="000E6D01">
        <w:t xml:space="preserve">(Katelaris et al, 2012). </w:t>
      </w:r>
    </w:p>
    <w:p w14:paraId="58D355D6" w14:textId="5B92D15D" w:rsidR="005C3BA0" w:rsidRDefault="005C3BA0" w:rsidP="005C3BA0">
      <w:pPr>
        <w:pStyle w:val="BodyText"/>
        <w:rPr>
          <w:lang w:val="en-GB" w:eastAsia="ja-JP"/>
        </w:rPr>
      </w:pPr>
      <w:r>
        <w:rPr>
          <w:lang w:val="en-GB" w:eastAsia="ja-JP"/>
        </w:rPr>
        <w:t xml:space="preserve">A single dose 1 to 6 hours prior to the procedure </w:t>
      </w:r>
      <w:r w:rsidR="00A4793E">
        <w:rPr>
          <w:lang w:val="en-GB" w:eastAsia="ja-JP"/>
        </w:rPr>
        <w:t xml:space="preserve">is recommended, </w:t>
      </w:r>
      <w:r w:rsidRPr="00113338">
        <w:rPr>
          <w:lang w:val="en-GB" w:eastAsia="ja-JP"/>
        </w:rPr>
        <w:t>with further doses readily available</w:t>
      </w:r>
      <w:r>
        <w:rPr>
          <w:lang w:val="en-GB" w:eastAsia="ja-JP"/>
        </w:rPr>
        <w:t>. The occasional use of pre-procedural prophylaxis would be expected for most patients, but could vary extensively depending on patient circumstances.</w:t>
      </w:r>
    </w:p>
    <w:p w14:paraId="3E90CB62" w14:textId="77777777" w:rsidR="005C3BA0" w:rsidRDefault="005C3BA0" w:rsidP="005C3BA0">
      <w:pPr>
        <w:pStyle w:val="Heading3"/>
      </w:pPr>
      <w:bookmarkStart w:id="45" w:name="_Toc400097944"/>
      <w:r>
        <w:t>Routine prophylaxis</w:t>
      </w:r>
      <w:bookmarkEnd w:id="45"/>
    </w:p>
    <w:p w14:paraId="01C3D7E4" w14:textId="2A76D68C" w:rsidR="005C3BA0" w:rsidRDefault="00EF60E6" w:rsidP="00EF60E6">
      <w:pPr>
        <w:pStyle w:val="BodyText"/>
      </w:pPr>
      <w:r>
        <w:t>The TGA-approved indication for routine prophylaxis with Cinryze restricts use to patients with frequent HAE attacks who are intolerant to or insufficiently protected by oral therapy.</w:t>
      </w:r>
      <w:r w:rsidR="000F7075">
        <w:t xml:space="preserve"> </w:t>
      </w:r>
      <w:r w:rsidR="00FB4481">
        <w:t xml:space="preserve">The </w:t>
      </w:r>
      <w:r w:rsidR="000F7075">
        <w:t xml:space="preserve">ASCIA </w:t>
      </w:r>
      <w:r w:rsidR="00FB4481">
        <w:t xml:space="preserve">Position Paper on HAE (Katelaris </w:t>
      </w:r>
      <w:r w:rsidR="00A4793E">
        <w:t xml:space="preserve">et al, </w:t>
      </w:r>
      <w:r w:rsidR="00FB4481">
        <w:t xml:space="preserve">2012) does not make a specific recommendation regarding the appropriate restriction of C1-INH concentrate for routine prophylaxis, and notes that uniform criteria directing the use of prophylactic therapies in general for HAE have not been established. However, </w:t>
      </w:r>
      <w:r w:rsidR="00FB4481">
        <w:lastRenderedPageBreak/>
        <w:t>the Cinryze Schedule 4 Proposal includes written support from ASCIA for</w:t>
      </w:r>
      <w:r w:rsidR="000F7075">
        <w:t xml:space="preserve"> the </w:t>
      </w:r>
      <w:r w:rsidR="00FB4481">
        <w:t xml:space="preserve">listing of </w:t>
      </w:r>
      <w:r w:rsidR="000F7075">
        <w:t xml:space="preserve">Cinryze </w:t>
      </w:r>
      <w:r w:rsidR="00FB4481">
        <w:t>on the NSPL for this indication (in fact, for</w:t>
      </w:r>
      <w:r w:rsidR="005D5BD7">
        <w:t xml:space="preserve"> all TGA-approved indications).</w:t>
      </w:r>
    </w:p>
    <w:p w14:paraId="6CDFBBA6" w14:textId="6E44D2DC" w:rsidR="00645490" w:rsidRDefault="00645490" w:rsidP="00EF60E6">
      <w:pPr>
        <w:pStyle w:val="BodyText"/>
      </w:pPr>
      <w:r>
        <w:t xml:space="preserve">Berinert is not TGA-approved for routine prophylaxis, nor has the Berinert Schedule 4 Proposal </w:t>
      </w:r>
      <w:r w:rsidR="00382D81">
        <w:t>suggested this indication. It is possible, however, that Berinert will be used for routine prophylaxis if listed on the NPSL.</w:t>
      </w:r>
    </w:p>
    <w:p w14:paraId="6E845C36" w14:textId="7535A039" w:rsidR="00645490" w:rsidRDefault="00382D81" w:rsidP="00EF60E6">
      <w:pPr>
        <w:pStyle w:val="BodyText"/>
      </w:pPr>
      <w:r>
        <w:t>The dosage regimen for routine prophylaxis is one dose every three to four days, although the Cinryze PI notes t</w:t>
      </w:r>
      <w:r w:rsidRPr="00382D81">
        <w:t xml:space="preserve">he dosing interval may need to be adjusted according to </w:t>
      </w:r>
      <w:r w:rsidR="00EC01B9">
        <w:t xml:space="preserve">an </w:t>
      </w:r>
      <w:r w:rsidRPr="00382D81">
        <w:t>individual</w:t>
      </w:r>
      <w:r w:rsidR="00EC01B9">
        <w:t>’s</w:t>
      </w:r>
      <w:r w:rsidRPr="00382D81">
        <w:t xml:space="preserve"> response. </w:t>
      </w:r>
      <w:r>
        <w:t>In addition, the PI notes that t</w:t>
      </w:r>
      <w:r w:rsidRPr="00382D81">
        <w:t>he continued need for regular prophylaxis with Cinryze should be reviewed on a regular basis.</w:t>
      </w:r>
      <w:r w:rsidR="00485DE7">
        <w:t xml:space="preserve"> As noted earlier, ASCIA has indicated that long-term prophylaxis does not necessarily mean lifelong pro</w:t>
      </w:r>
      <w:r w:rsidR="004D6078">
        <w:t>p</w:t>
      </w:r>
      <w:r w:rsidR="00485DE7">
        <w:t>hylaxis, as a patient’s condition is subject to variability and the need for routine prophylaxis is expected to be periodically reviewed.</w:t>
      </w:r>
    </w:p>
    <w:p w14:paraId="513DFA34" w14:textId="40AA840B" w:rsidR="005C3BA0" w:rsidRDefault="00382D81" w:rsidP="0037172B">
      <w:pPr>
        <w:pStyle w:val="BodyText"/>
      </w:pPr>
      <w:r>
        <w:t>Routine prophylactic use has the potential to form the greatest proportion of C1-INH concentrate use</w:t>
      </w:r>
      <w:r w:rsidR="00D40556">
        <w:t>, especially if prescribed to patients outside the populations indicated by the TGA</w:t>
      </w:r>
      <w:r w:rsidR="0037172B">
        <w:t xml:space="preserve"> (adults and adolescents with frequent attacks of HAE, who are intolerant to or insufficiently protected by oral therapy)</w:t>
      </w:r>
      <w:r w:rsidR="00D40556">
        <w:t>.</w:t>
      </w:r>
      <w:r w:rsidR="00485DE7">
        <w:t xml:space="preserve"> </w:t>
      </w:r>
    </w:p>
    <w:p w14:paraId="7B91D213" w14:textId="6932A673" w:rsidR="000E4B91" w:rsidRPr="00010AC2" w:rsidRDefault="000E4B91" w:rsidP="000E4B91">
      <w:pPr>
        <w:pStyle w:val="Heading2"/>
      </w:pPr>
      <w:bookmarkStart w:id="46" w:name="_Toc400097945"/>
      <w:bookmarkStart w:id="47" w:name="_Toc394668192"/>
      <w:r>
        <w:t>Utilisation</w:t>
      </w:r>
      <w:r w:rsidR="0067794D">
        <w:t xml:space="preserve"> and access</w:t>
      </w:r>
      <w:r>
        <w:t xml:space="preserve"> considerations upon </w:t>
      </w:r>
      <w:r w:rsidR="0067794D">
        <w:t>NPSL listing</w:t>
      </w:r>
      <w:bookmarkEnd w:id="46"/>
    </w:p>
    <w:p w14:paraId="26471FA0" w14:textId="489F7CAF" w:rsidR="008F70E0" w:rsidRDefault="008F70E0" w:rsidP="000E4B91">
      <w:pPr>
        <w:pStyle w:val="BodyText"/>
      </w:pPr>
      <w:r>
        <w:rPr>
          <w:lang w:val="en-GB" w:eastAsia="ja-JP"/>
        </w:rPr>
        <w:t xml:space="preserve">Individual hospital pharmacy or emergency departments make funding decisions and set criteria for C1-INH concentrate use based on budgetary circumstances. </w:t>
      </w:r>
      <w:r>
        <w:t>Consequently</w:t>
      </w:r>
      <w:r w:rsidR="000E4B91">
        <w:t xml:space="preserve">, </w:t>
      </w:r>
      <w:r>
        <w:t xml:space="preserve">in Australia </w:t>
      </w:r>
      <w:r w:rsidR="000E4B91">
        <w:t xml:space="preserve">the use of C1-INH concentrate </w:t>
      </w:r>
      <w:r w:rsidR="006E33D7">
        <w:t xml:space="preserve">both within and </w:t>
      </w:r>
      <w:r w:rsidR="000E4B91">
        <w:t xml:space="preserve">outside the hospital setting has been limited </w:t>
      </w:r>
      <w:r w:rsidR="006E33D7">
        <w:t>by local variations in availability</w:t>
      </w:r>
      <w:r w:rsidR="000E4B91">
        <w:t xml:space="preserve"> and </w:t>
      </w:r>
      <w:r w:rsidR="006E33D7">
        <w:t xml:space="preserve">by </w:t>
      </w:r>
      <w:r w:rsidR="000E4B91">
        <w:t xml:space="preserve">cost (as hospitals currently pay for C1-INH concentrate, prescribers would experience pressure to limit its use). </w:t>
      </w:r>
      <w:r w:rsidR="006E33D7">
        <w:rPr>
          <w:lang w:val="en-GB" w:eastAsia="ja-JP"/>
        </w:rPr>
        <w:t>T</w:t>
      </w:r>
      <w:r>
        <w:rPr>
          <w:lang w:val="en-GB" w:eastAsia="ja-JP"/>
        </w:rPr>
        <w:t>he current funding arrangements have led to inequity of access.</w:t>
      </w:r>
      <w:r>
        <w:rPr>
          <w:rStyle w:val="FootnoteReference"/>
          <w:lang w:val="en-GB" w:eastAsia="ja-JP"/>
        </w:rPr>
        <w:footnoteReference w:id="4"/>
      </w:r>
      <w:r>
        <w:rPr>
          <w:lang w:val="en-GB" w:eastAsia="ja-JP"/>
        </w:rPr>
        <w:t xml:space="preserve"> </w:t>
      </w:r>
      <w:r w:rsidRPr="009C6D29">
        <w:rPr>
          <w:lang w:val="en-GB" w:eastAsia="ja-JP"/>
        </w:rPr>
        <w:t xml:space="preserve">Listing </w:t>
      </w:r>
      <w:r>
        <w:rPr>
          <w:lang w:val="en-GB" w:eastAsia="ja-JP"/>
        </w:rPr>
        <w:t>on the NPSL</w:t>
      </w:r>
      <w:r w:rsidRPr="009C6D29">
        <w:rPr>
          <w:lang w:val="en-GB" w:eastAsia="ja-JP"/>
        </w:rPr>
        <w:t xml:space="preserve"> would </w:t>
      </w:r>
      <w:r>
        <w:rPr>
          <w:lang w:val="en-GB" w:eastAsia="ja-JP"/>
        </w:rPr>
        <w:t>address this issue and provide equitable access to a government-</w:t>
      </w:r>
      <w:r w:rsidRPr="009C6D29">
        <w:rPr>
          <w:lang w:val="en-GB" w:eastAsia="ja-JP"/>
        </w:rPr>
        <w:t>funded therapy</w:t>
      </w:r>
      <w:r w:rsidR="006E33D7">
        <w:rPr>
          <w:lang w:val="en-GB" w:eastAsia="ja-JP"/>
        </w:rPr>
        <w:t>, which in some instances will free patients to travel or even live in locations that are currently impractical.</w:t>
      </w:r>
      <w:r>
        <w:rPr>
          <w:lang w:val="en-GB" w:eastAsia="ja-JP"/>
        </w:rPr>
        <w:t xml:space="preserve"> </w:t>
      </w:r>
    </w:p>
    <w:p w14:paraId="24352B33" w14:textId="1194F806" w:rsidR="000E4B91" w:rsidRDefault="000E4B91" w:rsidP="000E4B91">
      <w:pPr>
        <w:pStyle w:val="BodyText"/>
      </w:pPr>
      <w:r>
        <w:t xml:space="preserve">If C1-INH concentrate becomes available on the NPSL, utilisation is expected to increase in both the hospital setting (price signals </w:t>
      </w:r>
      <w:r w:rsidR="004902EE">
        <w:t>may</w:t>
      </w:r>
      <w:r>
        <w:t xml:space="preserve"> change if the funding is dissociated from the hospital) and, more so, in the out-of-hospital setting (</w:t>
      </w:r>
      <w:r w:rsidR="00B00731">
        <w:t>treatment at home or in the community is acknowledged as an option, but is currently limited by cost</w:t>
      </w:r>
      <w:r>
        <w:t xml:space="preserve">). Of course, some offset of hospital presentations might be expected after the introduction of community administration as patients that previously presented </w:t>
      </w:r>
      <w:r w:rsidR="004902EE">
        <w:t>to an</w:t>
      </w:r>
      <w:r>
        <w:t xml:space="preserve"> emergency department may manage many, if not all, of their own attacks.</w:t>
      </w:r>
    </w:p>
    <w:p w14:paraId="57A5DC42" w14:textId="77777777" w:rsidR="00240BAC" w:rsidRDefault="00240BAC" w:rsidP="00240BAC">
      <w:pPr>
        <w:pStyle w:val="BodyText"/>
      </w:pPr>
      <w:r>
        <w:t>Home/community administration of C1-INH concentrate would require specific management arrangements to be put in place by the NBA and health services to ensure:</w:t>
      </w:r>
    </w:p>
    <w:p w14:paraId="10FFB7E8" w14:textId="77777777" w:rsidR="00240BAC" w:rsidRPr="00612B4F" w:rsidRDefault="00240BAC" w:rsidP="00240BAC">
      <w:pPr>
        <w:pStyle w:val="BulletText"/>
        <w:numPr>
          <w:ilvl w:val="0"/>
          <w:numId w:val="2"/>
        </w:numPr>
        <w:contextualSpacing w:val="0"/>
        <w:rPr>
          <w:lang w:val="en-GB" w:eastAsia="ja-JP"/>
        </w:rPr>
      </w:pPr>
      <w:r w:rsidRPr="00612B4F">
        <w:rPr>
          <w:lang w:val="en-GB" w:eastAsia="ja-JP"/>
        </w:rPr>
        <w:t>appropriate selection, consenting and supervision of patients who are suitable for home/community administration of C1-INH concentrate;</w:t>
      </w:r>
    </w:p>
    <w:p w14:paraId="3D3EF049" w14:textId="77777777" w:rsidR="00240BAC" w:rsidRPr="00612B4F" w:rsidRDefault="00240BAC" w:rsidP="00240BAC">
      <w:pPr>
        <w:pStyle w:val="Bullettextnospacebefore"/>
        <w:numPr>
          <w:ilvl w:val="0"/>
          <w:numId w:val="2"/>
        </w:numPr>
        <w:ind w:left="714" w:hanging="357"/>
        <w:contextualSpacing w:val="0"/>
        <w:rPr>
          <w:lang w:val="en-GB" w:eastAsia="ja-JP"/>
        </w:rPr>
      </w:pPr>
      <w:r w:rsidRPr="00612B4F">
        <w:rPr>
          <w:lang w:val="en-GB" w:eastAsia="ja-JP"/>
        </w:rPr>
        <w:t>provision of patient training and appropriate medical support;</w:t>
      </w:r>
      <w:r>
        <w:rPr>
          <w:lang w:val="en-GB" w:eastAsia="ja-JP"/>
        </w:rPr>
        <w:t xml:space="preserve"> and</w:t>
      </w:r>
    </w:p>
    <w:p w14:paraId="3294F26B" w14:textId="77777777" w:rsidR="00240BAC" w:rsidRPr="00612B4F" w:rsidRDefault="00240BAC" w:rsidP="00240BAC">
      <w:pPr>
        <w:pStyle w:val="Bullettextnospacebefore"/>
        <w:numPr>
          <w:ilvl w:val="0"/>
          <w:numId w:val="2"/>
        </w:numPr>
        <w:contextualSpacing w:val="0"/>
        <w:rPr>
          <w:lang w:val="en-GB" w:eastAsia="ja-JP"/>
        </w:rPr>
      </w:pPr>
      <w:r w:rsidRPr="00612B4F">
        <w:rPr>
          <w:lang w:val="en-GB" w:eastAsia="ja-JP"/>
        </w:rPr>
        <w:t>effective supervision of product supply, management, use and data recording.</w:t>
      </w:r>
    </w:p>
    <w:p w14:paraId="04928782" w14:textId="5B93112E" w:rsidR="004902EE" w:rsidRDefault="003D7503" w:rsidP="000E4B91">
      <w:pPr>
        <w:pStyle w:val="BodyText"/>
      </w:pPr>
      <w:r>
        <w:t xml:space="preserve">Examples of such management arrangements already exist within supply arrangements administered by the NBA, including for clotting factor products for haemophilia and similar bleeding disorders, and subcutaneous </w:t>
      </w:r>
      <w:r w:rsidR="00C83417">
        <w:t xml:space="preserve">immunoglobulin for certain specified conditions. </w:t>
      </w:r>
    </w:p>
    <w:p w14:paraId="5E8AF76B" w14:textId="1442B072" w:rsidR="003C4448" w:rsidRDefault="003C4448" w:rsidP="008F70E0">
      <w:pPr>
        <w:pStyle w:val="Heading1"/>
        <w:numPr>
          <w:ilvl w:val="0"/>
          <w:numId w:val="0"/>
        </w:numPr>
      </w:pPr>
      <w:bookmarkStart w:id="48" w:name="_Toc400097946"/>
      <w:r>
        <w:lastRenderedPageBreak/>
        <w:t>Clinical place</w:t>
      </w:r>
      <w:bookmarkEnd w:id="48"/>
    </w:p>
    <w:p w14:paraId="6391ED02" w14:textId="6D41D490" w:rsidR="003C4448" w:rsidRDefault="003C4448" w:rsidP="003C4448">
      <w:pPr>
        <w:pStyle w:val="Heading2"/>
      </w:pPr>
      <w:bookmarkStart w:id="49" w:name="_Toc400097947"/>
      <w:r>
        <w:t xml:space="preserve">Acute HAE attacks – current Australian </w:t>
      </w:r>
      <w:r w:rsidR="00EE5A38">
        <w:t>management algorithm</w:t>
      </w:r>
      <w:bookmarkEnd w:id="49"/>
      <w:r>
        <w:t xml:space="preserve"> </w:t>
      </w:r>
    </w:p>
    <w:p w14:paraId="703E5285" w14:textId="317C2E36" w:rsidR="003C4448" w:rsidRDefault="003C4448" w:rsidP="003C4448">
      <w:pPr>
        <w:pStyle w:val="BodyText"/>
      </w:pPr>
      <w:r>
        <w:fldChar w:fldCharType="begin"/>
      </w:r>
      <w:r>
        <w:instrText xml:space="preserve"> REF _Ref395186743 \h </w:instrText>
      </w:r>
      <w:r>
        <w:fldChar w:fldCharType="separate"/>
      </w:r>
      <w:r w:rsidR="00847595">
        <w:t xml:space="preserve">Figure </w:t>
      </w:r>
      <w:r w:rsidR="00847595">
        <w:rPr>
          <w:noProof/>
        </w:rPr>
        <w:t>1</w:t>
      </w:r>
      <w:r>
        <w:fldChar w:fldCharType="end"/>
      </w:r>
      <w:r>
        <w:t xml:space="preserve"> shows </w:t>
      </w:r>
      <w:r w:rsidR="00550051">
        <w:t xml:space="preserve">a representation of </w:t>
      </w:r>
      <w:r>
        <w:t xml:space="preserve">the </w:t>
      </w:r>
      <w:r w:rsidR="00550051">
        <w:t xml:space="preserve">ASCIA clinical </w:t>
      </w:r>
      <w:r w:rsidR="00EE5A38">
        <w:t>management algorithm</w:t>
      </w:r>
      <w:r>
        <w:t xml:space="preserve"> for HAE attacks (Katelaris </w:t>
      </w:r>
      <w:r w:rsidR="00DB229B">
        <w:t xml:space="preserve">et al, </w:t>
      </w:r>
      <w:r>
        <w:t xml:space="preserve">2012). An HAE attack is characterised first by location: if oropharyngeal or laryngeal, or if there is a change in the voice, the risk of asphyxiation is sufficient to warrant immediate transfer to hospital for administration of icatibant or C1-INH concentrate, with administration of these interventions prior to arrival at hospital if </w:t>
      </w:r>
      <w:r w:rsidR="00F94883">
        <w:t>the patient has them in their possession</w:t>
      </w:r>
      <w:r w:rsidR="00DD5ECC">
        <w:t>.</w:t>
      </w:r>
    </w:p>
    <w:p w14:paraId="21F0AEA1" w14:textId="77777777" w:rsidR="003C4448" w:rsidRDefault="003C4448" w:rsidP="003C4448">
      <w:pPr>
        <w:pStyle w:val="BodyText"/>
      </w:pPr>
      <w:r>
        <w:t>If the attack is either peripheral or abdominal, transfer to hospital is not necessary. Supportive treatment is considered sufficient if abdominal pain is mild, or if attack is at a peripheral site other than head, neck, hands, feet or urogenital. Otherwise, administration of icatibant or C1-INH concentrate is recommended. If resolution is not achieved, transfer to hospital is recommended.</w:t>
      </w:r>
    </w:p>
    <w:p w14:paraId="018EEADB" w14:textId="6FC9D34F" w:rsidR="00145EF9" w:rsidRDefault="00073FFF" w:rsidP="00145EF9">
      <w:pPr>
        <w:pStyle w:val="BodyText"/>
      </w:pPr>
      <w:r>
        <w:t>This algorithm describes the option of self-administration of either icatibant or C1-INH concentrate prior to presentation at hospital</w:t>
      </w:r>
      <w:r w:rsidR="00A56FCB">
        <w:t>, if they are at hand</w:t>
      </w:r>
      <w:r>
        <w:t xml:space="preserve">. Icatibant is currently available for such use, and has reduced the number of emergency presentations in recent years (ASCIA, communication 22 August 2014). However, </w:t>
      </w:r>
      <w:r w:rsidR="0064453C">
        <w:t>as previously mentioned</w:t>
      </w:r>
      <w:r>
        <w:t>,</w:t>
      </w:r>
      <w:r w:rsidR="00512780">
        <w:t xml:space="preserve"> current</w:t>
      </w:r>
      <w:r>
        <w:t xml:space="preserve"> C1-INH administration is </w:t>
      </w:r>
      <w:r w:rsidRPr="00073FFF">
        <w:t>generally limited to hospital or medical facility</w:t>
      </w:r>
      <w:r w:rsidR="00A56FCB">
        <w:t xml:space="preserve"> settings</w:t>
      </w:r>
      <w:r w:rsidRPr="00073FFF">
        <w:t>, although home or community use may be possible with appropriate training and facilities</w:t>
      </w:r>
      <w:r w:rsidR="00A56FCB">
        <w:t xml:space="preserve"> (Katelaris et al, 2012).</w:t>
      </w:r>
    </w:p>
    <w:p w14:paraId="1BFEE49B" w14:textId="1FE63DEB" w:rsidR="003C4448" w:rsidRDefault="003C4448" w:rsidP="003C4448">
      <w:pPr>
        <w:pStyle w:val="Caption"/>
      </w:pPr>
      <w:bookmarkStart w:id="50" w:name="_Ref395186743"/>
      <w:r>
        <w:lastRenderedPageBreak/>
        <w:t xml:space="preserve">Figure </w:t>
      </w:r>
      <w:r w:rsidR="00EA5D58">
        <w:fldChar w:fldCharType="begin"/>
      </w:r>
      <w:r w:rsidR="00EA5D58">
        <w:instrText xml:space="preserve"> SEQ Figure \* ARABIC </w:instrText>
      </w:r>
      <w:r w:rsidR="00EA5D58">
        <w:fldChar w:fldCharType="separate"/>
      </w:r>
      <w:r w:rsidR="00847595">
        <w:rPr>
          <w:noProof/>
        </w:rPr>
        <w:t>1</w:t>
      </w:r>
      <w:r w:rsidR="00EA5D58">
        <w:rPr>
          <w:noProof/>
        </w:rPr>
        <w:fldChar w:fldCharType="end"/>
      </w:r>
      <w:bookmarkEnd w:id="50"/>
      <w:r>
        <w:tab/>
      </w:r>
      <w:r w:rsidR="00550051">
        <w:t xml:space="preserve">ASCIA </w:t>
      </w:r>
      <w:r>
        <w:t xml:space="preserve">clinical </w:t>
      </w:r>
      <w:r w:rsidR="00145EF9">
        <w:t xml:space="preserve">management </w:t>
      </w:r>
      <w:r>
        <w:t>algorithm for an acute attack of HAE</w:t>
      </w:r>
    </w:p>
    <w:p w14:paraId="1C94CD53" w14:textId="77777777" w:rsidR="003C4448" w:rsidRPr="002909A9" w:rsidRDefault="003C4448" w:rsidP="003C4448">
      <w:pPr>
        <w:pStyle w:val="Pic"/>
      </w:pPr>
      <w:r>
        <w:rPr>
          <w:noProof/>
          <w:lang w:eastAsia="en-AU"/>
        </w:rPr>
        <w:drawing>
          <wp:inline distT="0" distB="0" distL="0" distR="0" wp14:anchorId="3D0D4BC1" wp14:editId="5F7E8CFF">
            <wp:extent cx="5553456" cy="6553200"/>
            <wp:effectExtent l="0" t="0" r="9525" b="0"/>
            <wp:docPr id="2" name="Picture 2" descr="This chart illustrates the decision pathways leading to one of two treatment outcomes in ASCIA preferred clinical management of an acute HAE attack." title="Figure 1 - ASCIA clinical management algorith for an acute attack of 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ical algorithm.tif"/>
                    <pic:cNvPicPr/>
                  </pic:nvPicPr>
                  <pic:blipFill>
                    <a:blip r:embed="rId9">
                      <a:extLst>
                        <a:ext uri="{28A0092B-C50C-407E-A947-70E740481C1C}">
                          <a14:useLocalDpi xmlns:a14="http://schemas.microsoft.com/office/drawing/2010/main" val="0"/>
                        </a:ext>
                      </a:extLst>
                    </a:blip>
                    <a:stretch>
                      <a:fillRect/>
                    </a:stretch>
                  </pic:blipFill>
                  <pic:spPr>
                    <a:xfrm>
                      <a:off x="0" y="0"/>
                      <a:ext cx="5553456" cy="6553200"/>
                    </a:xfrm>
                    <a:prstGeom prst="rect">
                      <a:avLst/>
                    </a:prstGeom>
                  </pic:spPr>
                </pic:pic>
              </a:graphicData>
            </a:graphic>
          </wp:inline>
        </w:drawing>
      </w:r>
    </w:p>
    <w:p w14:paraId="1395B9C7" w14:textId="45F69CDF" w:rsidR="003C4448" w:rsidRDefault="003C4448" w:rsidP="003C4448">
      <w:pPr>
        <w:pStyle w:val="TableFootnotes1"/>
      </w:pPr>
      <w:r w:rsidRPr="00F87D95">
        <w:rPr>
          <w:b/>
        </w:rPr>
        <w:t>Source:</w:t>
      </w:r>
      <w:r>
        <w:t xml:space="preserve"> ASCIA Position Paper on Hereditary Angioedema (Katelaris </w:t>
      </w:r>
      <w:r w:rsidR="007400F2">
        <w:t xml:space="preserve">et al, </w:t>
      </w:r>
      <w:r>
        <w:t>2012).</w:t>
      </w:r>
    </w:p>
    <w:p w14:paraId="7204CBDA" w14:textId="77777777" w:rsidR="003C4448" w:rsidRPr="00F87D95" w:rsidRDefault="003C4448" w:rsidP="0008520C">
      <w:pPr>
        <w:pStyle w:val="LastTableFootnote"/>
      </w:pPr>
      <w:r>
        <w:rPr>
          <w:b/>
        </w:rPr>
        <w:t>Abb</w:t>
      </w:r>
      <w:r w:rsidRPr="00F87D95">
        <w:rPr>
          <w:b/>
        </w:rPr>
        <w:t xml:space="preserve">reviations: </w:t>
      </w:r>
      <w:r>
        <w:t xml:space="preserve">ASCIA, </w:t>
      </w:r>
      <w:r w:rsidRPr="001E62F6">
        <w:t>Australasian Society of Clinical Immunology and Allergy</w:t>
      </w:r>
      <w:r>
        <w:t xml:space="preserve">; </w:t>
      </w:r>
      <w:r w:rsidRPr="00512ED2">
        <w:t>C1-INH, C1 esterase inhibitor;</w:t>
      </w:r>
      <w:r>
        <w:t xml:space="preserve"> HAE, hereditary angioedema.</w:t>
      </w:r>
    </w:p>
    <w:p w14:paraId="72362FB9" w14:textId="77777777" w:rsidR="0005552C" w:rsidRDefault="0005552C" w:rsidP="004873F5">
      <w:pPr>
        <w:pStyle w:val="Heading2"/>
        <w:numPr>
          <w:ilvl w:val="0"/>
          <w:numId w:val="0"/>
        </w:numPr>
      </w:pPr>
      <w:bookmarkStart w:id="51" w:name="_Toc400097948"/>
      <w:r w:rsidRPr="00A34E9C">
        <w:t xml:space="preserve">Clinical place for </w:t>
      </w:r>
      <w:bookmarkEnd w:id="47"/>
      <w:r w:rsidR="009C13A9">
        <w:t>C1-INH concentrate for acute HAE attacks</w:t>
      </w:r>
      <w:bookmarkEnd w:id="51"/>
    </w:p>
    <w:p w14:paraId="49956831" w14:textId="2E465F30" w:rsidR="008A3BD0" w:rsidRDefault="00EC01B9" w:rsidP="00302E94">
      <w:pPr>
        <w:pStyle w:val="BodyText"/>
        <w:rPr>
          <w:lang w:val="en-GB" w:eastAsia="ja-JP"/>
        </w:rPr>
      </w:pPr>
      <w:r>
        <w:rPr>
          <w:lang w:val="en-GB" w:eastAsia="ja-JP"/>
        </w:rPr>
        <w:fldChar w:fldCharType="begin"/>
      </w:r>
      <w:r>
        <w:rPr>
          <w:lang w:val="en-GB" w:eastAsia="ja-JP"/>
        </w:rPr>
        <w:instrText xml:space="preserve"> REF _Ref395515937 \h </w:instrText>
      </w:r>
      <w:r>
        <w:rPr>
          <w:lang w:val="en-GB" w:eastAsia="ja-JP"/>
        </w:rPr>
      </w:r>
      <w:r>
        <w:rPr>
          <w:lang w:val="en-GB" w:eastAsia="ja-JP"/>
        </w:rPr>
        <w:fldChar w:fldCharType="separate"/>
      </w:r>
      <w:r w:rsidR="00847595">
        <w:t xml:space="preserve">Figure </w:t>
      </w:r>
      <w:r w:rsidR="00847595">
        <w:rPr>
          <w:noProof/>
        </w:rPr>
        <w:t>2</w:t>
      </w:r>
      <w:r>
        <w:rPr>
          <w:lang w:val="en-GB" w:eastAsia="ja-JP"/>
        </w:rPr>
        <w:fldChar w:fldCharType="end"/>
      </w:r>
      <w:r>
        <w:rPr>
          <w:lang w:val="en-GB" w:eastAsia="ja-JP"/>
        </w:rPr>
        <w:t xml:space="preserve"> shows t</w:t>
      </w:r>
      <w:r w:rsidR="000F3CD1">
        <w:rPr>
          <w:lang w:val="en-GB" w:eastAsia="ja-JP"/>
        </w:rPr>
        <w:t xml:space="preserve">he </w:t>
      </w:r>
      <w:r w:rsidR="00550051">
        <w:rPr>
          <w:lang w:val="en-GB" w:eastAsia="ja-JP"/>
        </w:rPr>
        <w:t xml:space="preserve">current </w:t>
      </w:r>
      <w:r w:rsidR="00EE5A38">
        <w:rPr>
          <w:lang w:val="en-GB" w:eastAsia="ja-JP"/>
        </w:rPr>
        <w:t>management algorithm</w:t>
      </w:r>
      <w:r w:rsidR="00550051">
        <w:rPr>
          <w:lang w:val="en-GB" w:eastAsia="ja-JP"/>
        </w:rPr>
        <w:t xml:space="preserve"> </w:t>
      </w:r>
      <w:r w:rsidR="000F3CD1">
        <w:rPr>
          <w:lang w:val="en-GB" w:eastAsia="ja-JP"/>
        </w:rPr>
        <w:t xml:space="preserve">for acute HAE attacks, and is based on the </w:t>
      </w:r>
      <w:r w:rsidR="00550051">
        <w:rPr>
          <w:lang w:val="en-GB" w:eastAsia="ja-JP"/>
        </w:rPr>
        <w:t xml:space="preserve">ASCIA </w:t>
      </w:r>
      <w:r w:rsidR="00EE5A38">
        <w:rPr>
          <w:lang w:val="en-GB" w:eastAsia="ja-JP"/>
        </w:rPr>
        <w:t>management algorithm</w:t>
      </w:r>
      <w:r w:rsidR="000F3CD1">
        <w:rPr>
          <w:lang w:val="en-GB" w:eastAsia="ja-JP"/>
        </w:rPr>
        <w:t xml:space="preserve"> </w:t>
      </w:r>
      <w:r w:rsidR="00550051">
        <w:rPr>
          <w:lang w:val="en-GB" w:eastAsia="ja-JP"/>
        </w:rPr>
        <w:t xml:space="preserve">(Katelaris et al, 2012) represented </w:t>
      </w:r>
      <w:r w:rsidR="00A56FCB">
        <w:rPr>
          <w:lang w:val="en-GB" w:eastAsia="ja-JP"/>
        </w:rPr>
        <w:t>above</w:t>
      </w:r>
      <w:r w:rsidR="00550051">
        <w:rPr>
          <w:lang w:val="en-GB" w:eastAsia="ja-JP"/>
        </w:rPr>
        <w:t xml:space="preserve"> </w:t>
      </w:r>
      <w:r w:rsidR="0074132F">
        <w:rPr>
          <w:lang w:val="en-GB" w:eastAsia="ja-JP"/>
        </w:rPr>
        <w:t xml:space="preserve">in </w:t>
      </w:r>
      <w:r w:rsidR="0074132F">
        <w:rPr>
          <w:lang w:val="en-GB" w:eastAsia="ja-JP"/>
        </w:rPr>
        <w:fldChar w:fldCharType="begin"/>
      </w:r>
      <w:r w:rsidR="0074132F">
        <w:rPr>
          <w:lang w:val="en-GB" w:eastAsia="ja-JP"/>
        </w:rPr>
        <w:instrText xml:space="preserve"> REF _Ref395186743 \h </w:instrText>
      </w:r>
      <w:r w:rsidR="0074132F">
        <w:rPr>
          <w:lang w:val="en-GB" w:eastAsia="ja-JP"/>
        </w:rPr>
      </w:r>
      <w:r w:rsidR="0074132F">
        <w:rPr>
          <w:lang w:val="en-GB" w:eastAsia="ja-JP"/>
        </w:rPr>
        <w:fldChar w:fldCharType="separate"/>
      </w:r>
      <w:r w:rsidR="00847595">
        <w:t xml:space="preserve">Figure </w:t>
      </w:r>
      <w:r w:rsidR="00847595">
        <w:rPr>
          <w:noProof/>
        </w:rPr>
        <w:t>1</w:t>
      </w:r>
      <w:r w:rsidR="0074132F">
        <w:rPr>
          <w:lang w:val="en-GB" w:eastAsia="ja-JP"/>
        </w:rPr>
        <w:fldChar w:fldCharType="end"/>
      </w:r>
      <w:r w:rsidR="000F3CD1">
        <w:rPr>
          <w:lang w:val="en-GB" w:eastAsia="ja-JP"/>
        </w:rPr>
        <w:t xml:space="preserve">. </w:t>
      </w:r>
      <w:r w:rsidR="00802329">
        <w:rPr>
          <w:lang w:val="en-GB" w:eastAsia="ja-JP"/>
        </w:rPr>
        <w:t xml:space="preserve">Treatment </w:t>
      </w:r>
      <w:r w:rsidR="00930313">
        <w:rPr>
          <w:lang w:val="en-GB" w:eastAsia="ja-JP"/>
        </w:rPr>
        <w:t>decision</w:t>
      </w:r>
      <w:r w:rsidR="00802329">
        <w:rPr>
          <w:lang w:val="en-GB" w:eastAsia="ja-JP"/>
        </w:rPr>
        <w:t xml:space="preserve">s are </w:t>
      </w:r>
      <w:r w:rsidR="000C6417">
        <w:rPr>
          <w:lang w:val="en-GB" w:eastAsia="ja-JP"/>
        </w:rPr>
        <w:t xml:space="preserve">initially </w:t>
      </w:r>
      <w:r w:rsidR="00930313">
        <w:rPr>
          <w:lang w:val="en-GB" w:eastAsia="ja-JP"/>
        </w:rPr>
        <w:t>guided by factors such as location of oedema and severity of attack</w:t>
      </w:r>
      <w:r w:rsidR="00460EA5">
        <w:rPr>
          <w:lang w:val="en-GB" w:eastAsia="ja-JP"/>
        </w:rPr>
        <w:t xml:space="preserve"> to determine whether a patient</w:t>
      </w:r>
      <w:r w:rsidR="000C6417">
        <w:rPr>
          <w:lang w:val="en-GB" w:eastAsia="ja-JP"/>
        </w:rPr>
        <w:t xml:space="preserve"> requires treatment with either icatibant or C1-INH concentrate</w:t>
      </w:r>
      <w:r w:rsidR="00930313">
        <w:rPr>
          <w:lang w:val="en-GB" w:eastAsia="ja-JP"/>
        </w:rPr>
        <w:t xml:space="preserve">. </w:t>
      </w:r>
      <w:r w:rsidR="00802329">
        <w:rPr>
          <w:lang w:val="en-GB" w:eastAsia="ja-JP"/>
        </w:rPr>
        <w:t xml:space="preserve">For </w:t>
      </w:r>
      <w:r w:rsidR="000C6417">
        <w:rPr>
          <w:lang w:val="en-GB" w:eastAsia="ja-JP"/>
        </w:rPr>
        <w:t xml:space="preserve">those </w:t>
      </w:r>
      <w:r w:rsidR="00802329">
        <w:rPr>
          <w:lang w:val="en-GB" w:eastAsia="ja-JP"/>
        </w:rPr>
        <w:t>patients</w:t>
      </w:r>
      <w:r w:rsidR="000C6417">
        <w:rPr>
          <w:lang w:val="en-GB" w:eastAsia="ja-JP"/>
        </w:rPr>
        <w:t xml:space="preserve"> who do require such treatment</w:t>
      </w:r>
      <w:r w:rsidR="00802329">
        <w:rPr>
          <w:lang w:val="en-GB" w:eastAsia="ja-JP"/>
        </w:rPr>
        <w:t>, a</w:t>
      </w:r>
      <w:r w:rsidR="00930313">
        <w:rPr>
          <w:lang w:val="en-GB" w:eastAsia="ja-JP"/>
        </w:rPr>
        <w:t xml:space="preserve"> </w:t>
      </w:r>
      <w:r w:rsidR="0002037C">
        <w:rPr>
          <w:lang w:val="en-GB" w:eastAsia="ja-JP"/>
        </w:rPr>
        <w:t>choice is then made between the hospital-funded C1-INH concentrate and</w:t>
      </w:r>
      <w:r w:rsidR="008A28A8">
        <w:rPr>
          <w:lang w:val="en-GB" w:eastAsia="ja-JP"/>
        </w:rPr>
        <w:t xml:space="preserve"> the PBS-subsidised icatiba</w:t>
      </w:r>
      <w:r w:rsidR="0002037C">
        <w:rPr>
          <w:lang w:val="en-GB" w:eastAsia="ja-JP"/>
        </w:rPr>
        <w:t xml:space="preserve">nt. </w:t>
      </w:r>
      <w:r w:rsidR="000C6417">
        <w:rPr>
          <w:lang w:val="en-GB" w:eastAsia="ja-JP"/>
        </w:rPr>
        <w:t xml:space="preserve">In some instances this choice will be guided by treatment history </w:t>
      </w:r>
      <w:r w:rsidR="000C6417">
        <w:rPr>
          <w:lang w:val="en-GB" w:eastAsia="ja-JP"/>
        </w:rPr>
        <w:lastRenderedPageBreak/>
        <w:t>(tole</w:t>
      </w:r>
      <w:r w:rsidR="00261771">
        <w:rPr>
          <w:lang w:val="en-GB" w:eastAsia="ja-JP"/>
        </w:rPr>
        <w:t>rance and response), as well as</w:t>
      </w:r>
      <w:r w:rsidR="000C6417">
        <w:rPr>
          <w:lang w:val="en-GB" w:eastAsia="ja-JP"/>
        </w:rPr>
        <w:t xml:space="preserve"> age (children) and pregnancy. </w:t>
      </w:r>
      <w:r w:rsidR="003F5853">
        <w:rPr>
          <w:lang w:val="en-GB" w:eastAsia="ja-JP"/>
        </w:rPr>
        <w:t xml:space="preserve">Otherwise, </w:t>
      </w:r>
      <w:r w:rsidR="00802329">
        <w:rPr>
          <w:lang w:val="en-GB" w:eastAsia="ja-JP"/>
        </w:rPr>
        <w:t xml:space="preserve">C1-INH </w:t>
      </w:r>
      <w:r w:rsidR="0057743E">
        <w:rPr>
          <w:lang w:val="en-GB" w:eastAsia="ja-JP"/>
        </w:rPr>
        <w:t xml:space="preserve">concentrate </w:t>
      </w:r>
      <w:r w:rsidR="00802329">
        <w:rPr>
          <w:lang w:val="en-GB" w:eastAsia="ja-JP"/>
        </w:rPr>
        <w:t>occupies the same clinical position as icatibant: there is no head-to-head clinical evidence</w:t>
      </w:r>
      <w:r w:rsidR="007400F2">
        <w:rPr>
          <w:lang w:val="en-GB" w:eastAsia="ja-JP"/>
        </w:rPr>
        <w:t xml:space="preserve"> </w:t>
      </w:r>
      <w:r w:rsidR="00802329">
        <w:rPr>
          <w:lang w:val="en-GB" w:eastAsia="ja-JP"/>
        </w:rPr>
        <w:t xml:space="preserve">to suggest </w:t>
      </w:r>
      <w:r w:rsidR="007400F2">
        <w:rPr>
          <w:lang w:val="en-GB" w:eastAsia="ja-JP"/>
        </w:rPr>
        <w:t xml:space="preserve">that </w:t>
      </w:r>
      <w:r w:rsidR="00802329">
        <w:rPr>
          <w:lang w:val="en-GB" w:eastAsia="ja-JP"/>
        </w:rPr>
        <w:t>one of these interventions is more effective than the other, so neither is generally indicated as a first line option</w:t>
      </w:r>
      <w:r w:rsidR="00802329">
        <w:rPr>
          <w:rStyle w:val="FootnoteReference"/>
          <w:lang w:val="en-GB" w:eastAsia="ja-JP"/>
        </w:rPr>
        <w:footnoteReference w:id="5"/>
      </w:r>
      <w:r w:rsidR="00802329">
        <w:rPr>
          <w:lang w:val="en-GB" w:eastAsia="ja-JP"/>
        </w:rPr>
        <w:t xml:space="preserve"> (although perceptions of superiority of one or the other may exist among clinicians). </w:t>
      </w:r>
      <w:r w:rsidR="0002037C">
        <w:rPr>
          <w:lang w:val="en-GB" w:eastAsia="ja-JP"/>
        </w:rPr>
        <w:t xml:space="preserve">However, the high cost of </w:t>
      </w:r>
      <w:r w:rsidR="00802329">
        <w:rPr>
          <w:lang w:val="en-GB" w:eastAsia="ja-JP"/>
        </w:rPr>
        <w:t>C1-INH</w:t>
      </w:r>
      <w:r w:rsidR="0002037C">
        <w:rPr>
          <w:lang w:val="en-GB" w:eastAsia="ja-JP"/>
        </w:rPr>
        <w:t xml:space="preserve"> </w:t>
      </w:r>
      <w:r w:rsidR="0057743E">
        <w:rPr>
          <w:lang w:val="en-GB" w:eastAsia="ja-JP"/>
        </w:rPr>
        <w:t xml:space="preserve">concentrate </w:t>
      </w:r>
      <w:r w:rsidR="0002037C">
        <w:rPr>
          <w:lang w:val="en-GB" w:eastAsia="ja-JP"/>
        </w:rPr>
        <w:t>has applied a significant pressure against its use</w:t>
      </w:r>
      <w:r w:rsidR="00853D58">
        <w:rPr>
          <w:lang w:val="en-GB" w:eastAsia="ja-JP"/>
        </w:rPr>
        <w:t>,</w:t>
      </w:r>
      <w:r w:rsidR="0002037C">
        <w:rPr>
          <w:lang w:val="en-GB" w:eastAsia="ja-JP"/>
        </w:rPr>
        <w:t xml:space="preserve"> i</w:t>
      </w:r>
      <w:r w:rsidR="00575DCF">
        <w:rPr>
          <w:lang w:val="en-GB" w:eastAsia="ja-JP"/>
        </w:rPr>
        <w:t>n both the hospital setting</w:t>
      </w:r>
      <w:r w:rsidR="00853D58">
        <w:rPr>
          <w:lang w:val="en-GB" w:eastAsia="ja-JP"/>
        </w:rPr>
        <w:t xml:space="preserve"> and as ‘on-demand’ IRT out of hospital</w:t>
      </w:r>
      <w:r w:rsidR="00575DCF">
        <w:rPr>
          <w:lang w:val="en-GB" w:eastAsia="ja-JP"/>
        </w:rPr>
        <w:t xml:space="preserve">. </w:t>
      </w:r>
      <w:r w:rsidR="00AC2B1E">
        <w:rPr>
          <w:lang w:val="en-GB" w:eastAsia="ja-JP"/>
        </w:rPr>
        <w:t>Therefore</w:t>
      </w:r>
      <w:r w:rsidR="00250692">
        <w:rPr>
          <w:lang w:val="en-GB" w:eastAsia="ja-JP"/>
        </w:rPr>
        <w:t xml:space="preserve">, </w:t>
      </w:r>
      <w:r w:rsidR="00AC2B1E">
        <w:rPr>
          <w:lang w:val="en-GB" w:eastAsia="ja-JP"/>
        </w:rPr>
        <w:t xml:space="preserve">unlike the ASCIA algorithm, </w:t>
      </w:r>
      <w:r w:rsidR="00250692">
        <w:rPr>
          <w:lang w:val="en-GB" w:eastAsia="ja-JP"/>
        </w:rPr>
        <w:t xml:space="preserve">the clinical </w:t>
      </w:r>
      <w:r w:rsidR="00AC2B1E">
        <w:rPr>
          <w:lang w:val="en-GB" w:eastAsia="ja-JP"/>
        </w:rPr>
        <w:t xml:space="preserve">management algorithm of current practice shown in </w:t>
      </w:r>
      <w:r w:rsidR="00AC2B1E">
        <w:rPr>
          <w:lang w:val="en-GB" w:eastAsia="ja-JP"/>
        </w:rPr>
        <w:fldChar w:fldCharType="begin"/>
      </w:r>
      <w:r w:rsidR="00AC2B1E">
        <w:rPr>
          <w:lang w:val="en-GB" w:eastAsia="ja-JP"/>
        </w:rPr>
        <w:instrText xml:space="preserve"> REF _Ref395515937 \h </w:instrText>
      </w:r>
      <w:r w:rsidR="00AC2B1E">
        <w:rPr>
          <w:lang w:val="en-GB" w:eastAsia="ja-JP"/>
        </w:rPr>
      </w:r>
      <w:r w:rsidR="00AC2B1E">
        <w:rPr>
          <w:lang w:val="en-GB" w:eastAsia="ja-JP"/>
        </w:rPr>
        <w:fldChar w:fldCharType="separate"/>
      </w:r>
      <w:r w:rsidR="00847595">
        <w:t xml:space="preserve">Figure </w:t>
      </w:r>
      <w:r w:rsidR="00847595">
        <w:rPr>
          <w:noProof/>
        </w:rPr>
        <w:t>2</w:t>
      </w:r>
      <w:r w:rsidR="00AC2B1E">
        <w:rPr>
          <w:lang w:val="en-GB" w:eastAsia="ja-JP"/>
        </w:rPr>
        <w:fldChar w:fldCharType="end"/>
      </w:r>
      <w:r w:rsidR="00AC2B1E">
        <w:rPr>
          <w:lang w:val="en-GB" w:eastAsia="ja-JP"/>
        </w:rPr>
        <w:t xml:space="preserve"> does not include on-demand IRT with C1-INH concentrate because it is currently not funded for this use.</w:t>
      </w:r>
    </w:p>
    <w:p w14:paraId="4AF9A2B5" w14:textId="0FAB719A" w:rsidR="002F4F22" w:rsidRDefault="00575DCF" w:rsidP="00302E94">
      <w:pPr>
        <w:pStyle w:val="BodyText"/>
        <w:rPr>
          <w:lang w:val="en-GB" w:eastAsia="ja-JP"/>
        </w:rPr>
      </w:pPr>
      <w:r>
        <w:rPr>
          <w:lang w:val="en-GB" w:eastAsia="ja-JP"/>
        </w:rPr>
        <w:t>Therefore</w:t>
      </w:r>
      <w:r w:rsidR="00853D58">
        <w:rPr>
          <w:lang w:val="en-GB" w:eastAsia="ja-JP"/>
        </w:rPr>
        <w:t>,</w:t>
      </w:r>
      <w:r>
        <w:rPr>
          <w:lang w:val="en-GB" w:eastAsia="ja-JP"/>
        </w:rPr>
        <w:t xml:space="preserve"> </w:t>
      </w:r>
      <w:r w:rsidR="008A3BD0">
        <w:rPr>
          <w:lang w:val="en-GB" w:eastAsia="ja-JP"/>
        </w:rPr>
        <w:t xml:space="preserve">if listed on the NPSL, </w:t>
      </w:r>
      <w:r w:rsidR="00993FFF">
        <w:rPr>
          <w:lang w:val="en-GB" w:eastAsia="ja-JP"/>
        </w:rPr>
        <w:t xml:space="preserve">the clinical place </w:t>
      </w:r>
      <w:r w:rsidR="00AC2B1E">
        <w:rPr>
          <w:lang w:val="en-GB" w:eastAsia="ja-JP"/>
        </w:rPr>
        <w:t>of</w:t>
      </w:r>
      <w:r w:rsidR="00993FFF">
        <w:rPr>
          <w:lang w:val="en-GB" w:eastAsia="ja-JP"/>
        </w:rPr>
        <w:t xml:space="preserve"> C1-INH </w:t>
      </w:r>
      <w:r w:rsidR="0057743E">
        <w:rPr>
          <w:lang w:val="en-GB" w:eastAsia="ja-JP"/>
        </w:rPr>
        <w:t>concentrate</w:t>
      </w:r>
      <w:r w:rsidR="00AC2B1E">
        <w:rPr>
          <w:lang w:val="en-GB" w:eastAsia="ja-JP"/>
        </w:rPr>
        <w:t xml:space="preserve"> for treating acute attacks in hospital</w:t>
      </w:r>
      <w:r w:rsidR="0057743E">
        <w:rPr>
          <w:lang w:val="en-GB" w:eastAsia="ja-JP"/>
        </w:rPr>
        <w:t xml:space="preserve"> </w:t>
      </w:r>
      <w:r w:rsidR="00993FFF">
        <w:rPr>
          <w:lang w:val="en-GB" w:eastAsia="ja-JP"/>
        </w:rPr>
        <w:t xml:space="preserve">will be no different to the current scenario. However, as the decision to use either icatibant or C1-INH </w:t>
      </w:r>
      <w:r w:rsidR="0057743E">
        <w:rPr>
          <w:lang w:val="en-GB" w:eastAsia="ja-JP"/>
        </w:rPr>
        <w:t xml:space="preserve">concentrate </w:t>
      </w:r>
      <w:r w:rsidR="00993FFF">
        <w:rPr>
          <w:lang w:val="en-GB" w:eastAsia="ja-JP"/>
        </w:rPr>
        <w:t>would be less influenced by cost and availability,</w:t>
      </w:r>
      <w:r w:rsidR="00993FFF" w:rsidRPr="00993FFF">
        <w:rPr>
          <w:lang w:val="en-GB" w:eastAsia="ja-JP"/>
        </w:rPr>
        <w:t xml:space="preserve"> </w:t>
      </w:r>
      <w:r w:rsidR="00993FFF">
        <w:rPr>
          <w:lang w:val="en-GB" w:eastAsia="ja-JP"/>
        </w:rPr>
        <w:t xml:space="preserve">the existing downward pressure on the use of C1-INH </w:t>
      </w:r>
      <w:r w:rsidR="0057743E">
        <w:rPr>
          <w:lang w:val="en-GB" w:eastAsia="ja-JP"/>
        </w:rPr>
        <w:t xml:space="preserve">concentrate </w:t>
      </w:r>
      <w:r w:rsidR="00993FFF">
        <w:rPr>
          <w:lang w:val="en-GB" w:eastAsia="ja-JP"/>
        </w:rPr>
        <w:t>would be lifted</w:t>
      </w:r>
      <w:r w:rsidR="006F33F0">
        <w:rPr>
          <w:lang w:val="en-GB" w:eastAsia="ja-JP"/>
        </w:rPr>
        <w:t>. T</w:t>
      </w:r>
      <w:r w:rsidR="00993FFF">
        <w:rPr>
          <w:lang w:val="en-GB" w:eastAsia="ja-JP"/>
        </w:rPr>
        <w:t>he financial constraints on the use of C1-INH</w:t>
      </w:r>
      <w:r w:rsidR="0057743E">
        <w:rPr>
          <w:lang w:val="en-GB" w:eastAsia="ja-JP"/>
        </w:rPr>
        <w:t xml:space="preserve"> concentrate</w:t>
      </w:r>
      <w:r w:rsidR="00993FFF">
        <w:rPr>
          <w:lang w:val="en-GB" w:eastAsia="ja-JP"/>
        </w:rPr>
        <w:t xml:space="preserve"> for ‘on-demand’ IRT would also be lifted</w:t>
      </w:r>
      <w:r w:rsidR="00B013C1">
        <w:rPr>
          <w:lang w:val="en-GB" w:eastAsia="ja-JP"/>
        </w:rPr>
        <w:t xml:space="preserve"> (as shown in red in </w:t>
      </w:r>
      <w:r w:rsidR="00B013C1">
        <w:rPr>
          <w:lang w:val="en-GB" w:eastAsia="ja-JP"/>
        </w:rPr>
        <w:fldChar w:fldCharType="begin"/>
      </w:r>
      <w:r w:rsidR="00B013C1">
        <w:rPr>
          <w:lang w:val="en-GB" w:eastAsia="ja-JP"/>
        </w:rPr>
        <w:instrText xml:space="preserve"> REF _Ref396822309 \h </w:instrText>
      </w:r>
      <w:r w:rsidR="00B013C1">
        <w:rPr>
          <w:lang w:val="en-GB" w:eastAsia="ja-JP"/>
        </w:rPr>
      </w:r>
      <w:r w:rsidR="00B013C1">
        <w:rPr>
          <w:lang w:val="en-GB" w:eastAsia="ja-JP"/>
        </w:rPr>
        <w:fldChar w:fldCharType="separate"/>
      </w:r>
      <w:r w:rsidR="00847595">
        <w:t xml:space="preserve">Figure </w:t>
      </w:r>
      <w:r w:rsidR="00847595">
        <w:rPr>
          <w:noProof/>
        </w:rPr>
        <w:t>3</w:t>
      </w:r>
      <w:r w:rsidR="00B013C1">
        <w:rPr>
          <w:lang w:val="en-GB" w:eastAsia="ja-JP"/>
        </w:rPr>
        <w:fldChar w:fldCharType="end"/>
      </w:r>
      <w:r w:rsidR="00B013C1">
        <w:rPr>
          <w:lang w:val="en-GB" w:eastAsia="ja-JP"/>
        </w:rPr>
        <w:t>)</w:t>
      </w:r>
      <w:r w:rsidR="008E1646">
        <w:rPr>
          <w:lang w:val="en-GB" w:eastAsia="ja-JP"/>
        </w:rPr>
        <w:t>, although the challenges of I.V. administration could continue to present a constraint for some patients</w:t>
      </w:r>
      <w:r w:rsidR="00993FFF">
        <w:rPr>
          <w:lang w:val="en-GB" w:eastAsia="ja-JP"/>
        </w:rPr>
        <w:t xml:space="preserve">. </w:t>
      </w:r>
      <w:r w:rsidR="00117DEE">
        <w:rPr>
          <w:lang w:val="en-GB" w:eastAsia="ja-JP"/>
        </w:rPr>
        <w:t>There is also</w:t>
      </w:r>
      <w:r w:rsidR="006F33F0">
        <w:rPr>
          <w:lang w:val="en-GB" w:eastAsia="ja-JP"/>
        </w:rPr>
        <w:t xml:space="preserve"> the possibility that C1-INH </w:t>
      </w:r>
      <w:r w:rsidR="0057743E">
        <w:rPr>
          <w:lang w:val="en-GB" w:eastAsia="ja-JP"/>
        </w:rPr>
        <w:t xml:space="preserve">concentrate </w:t>
      </w:r>
      <w:r w:rsidR="006F33F0">
        <w:rPr>
          <w:lang w:val="en-GB" w:eastAsia="ja-JP"/>
        </w:rPr>
        <w:t>would</w:t>
      </w:r>
      <w:r w:rsidR="00117DEE">
        <w:rPr>
          <w:lang w:val="en-GB" w:eastAsia="ja-JP"/>
        </w:rPr>
        <w:t xml:space="preserve"> be </w:t>
      </w:r>
      <w:r w:rsidR="00993FFF">
        <w:rPr>
          <w:lang w:val="en-GB" w:eastAsia="ja-JP"/>
        </w:rPr>
        <w:t>used to treat</w:t>
      </w:r>
      <w:r w:rsidR="00117DEE">
        <w:rPr>
          <w:lang w:val="en-GB" w:eastAsia="ja-JP"/>
        </w:rPr>
        <w:t xml:space="preserve"> presentations for which the ASCIA Position Paper recommends supportive care</w:t>
      </w:r>
      <w:r w:rsidR="00993FFF">
        <w:rPr>
          <w:lang w:val="en-GB" w:eastAsia="ja-JP"/>
        </w:rPr>
        <w:t>, both by the patient/</w:t>
      </w:r>
      <w:r w:rsidR="000964AB">
        <w:rPr>
          <w:lang w:val="en-GB" w:eastAsia="ja-JP"/>
        </w:rPr>
        <w:t>carer and in</w:t>
      </w:r>
      <w:r w:rsidR="006F33F0">
        <w:rPr>
          <w:lang w:val="en-GB" w:eastAsia="ja-JP"/>
        </w:rPr>
        <w:t xml:space="preserve"> hospit</w:t>
      </w:r>
      <w:r w:rsidR="00993FFF">
        <w:rPr>
          <w:lang w:val="en-GB" w:eastAsia="ja-JP"/>
        </w:rPr>
        <w:t>als</w:t>
      </w:r>
      <w:r w:rsidR="00117DEE">
        <w:rPr>
          <w:lang w:val="en-GB" w:eastAsia="ja-JP"/>
        </w:rPr>
        <w:t xml:space="preserve"> (Katelaris </w:t>
      </w:r>
      <w:r w:rsidR="007400F2">
        <w:rPr>
          <w:lang w:val="en-GB" w:eastAsia="ja-JP"/>
        </w:rPr>
        <w:t xml:space="preserve">et al, </w:t>
      </w:r>
      <w:r w:rsidR="00117DEE">
        <w:rPr>
          <w:lang w:val="en-GB" w:eastAsia="ja-JP"/>
        </w:rPr>
        <w:t>2012).</w:t>
      </w:r>
    </w:p>
    <w:p w14:paraId="46D708B4" w14:textId="061F3CF2" w:rsidR="00575DCF" w:rsidRDefault="00AC5164" w:rsidP="00AC5164">
      <w:pPr>
        <w:pStyle w:val="Caption"/>
      </w:pPr>
      <w:bookmarkStart w:id="52" w:name="_Ref395515937"/>
      <w:r>
        <w:lastRenderedPageBreak/>
        <w:t xml:space="preserve">Figure </w:t>
      </w:r>
      <w:r w:rsidR="00EA5D58">
        <w:fldChar w:fldCharType="begin"/>
      </w:r>
      <w:r w:rsidR="00EA5D58">
        <w:instrText xml:space="preserve"> SEQ Figure \* ARABIC </w:instrText>
      </w:r>
      <w:r w:rsidR="00EA5D58">
        <w:fldChar w:fldCharType="separate"/>
      </w:r>
      <w:r w:rsidR="00847595">
        <w:rPr>
          <w:noProof/>
        </w:rPr>
        <w:t>2</w:t>
      </w:r>
      <w:r w:rsidR="00EA5D58">
        <w:rPr>
          <w:noProof/>
        </w:rPr>
        <w:fldChar w:fldCharType="end"/>
      </w:r>
      <w:bookmarkEnd w:id="52"/>
      <w:r w:rsidR="00930313">
        <w:tab/>
      </w:r>
      <w:r w:rsidR="007400F2">
        <w:t>C</w:t>
      </w:r>
      <w:r w:rsidR="00C856CA">
        <w:t>urrent c</w:t>
      </w:r>
      <w:r w:rsidR="007400F2">
        <w:t xml:space="preserve">linical </w:t>
      </w:r>
      <w:r w:rsidR="00145EF9">
        <w:t xml:space="preserve">management </w:t>
      </w:r>
      <w:r w:rsidR="007400F2">
        <w:t>algorithm</w:t>
      </w:r>
      <w:r>
        <w:t xml:space="preserve"> for acute HAE attacks</w:t>
      </w:r>
    </w:p>
    <w:p w14:paraId="3FFE202B" w14:textId="2AE4650D" w:rsidR="00AC5164" w:rsidRPr="00AC5164" w:rsidRDefault="00AC5164" w:rsidP="00AC5164">
      <w:pPr>
        <w:pStyle w:val="Pic"/>
      </w:pPr>
      <w:r>
        <w:rPr>
          <w:noProof/>
          <w:lang w:eastAsia="en-AU"/>
        </w:rPr>
        <w:drawing>
          <wp:inline distT="0" distB="0" distL="0" distR="0" wp14:anchorId="17055D32" wp14:editId="51FCFCE0">
            <wp:extent cx="5270727" cy="6070651"/>
            <wp:effectExtent l="0" t="0" r="6350" b="0"/>
            <wp:docPr id="1" name="Picture 1" descr="This is a chart illustrating the decision pathways leading to one of two treatment outcomes in current clinical management of acute HAE attacks." title="Figure 2 - Current clinical management algorithm for acute HAE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nical decision pathway - current.tif"/>
                    <pic:cNvPicPr/>
                  </pic:nvPicPr>
                  <pic:blipFill>
                    <a:blip r:embed="rId10">
                      <a:extLst>
                        <a:ext uri="{28A0092B-C50C-407E-A947-70E740481C1C}">
                          <a14:useLocalDpi xmlns:a14="http://schemas.microsoft.com/office/drawing/2010/main" val="0"/>
                        </a:ext>
                      </a:extLst>
                    </a:blip>
                    <a:stretch>
                      <a:fillRect/>
                    </a:stretch>
                  </pic:blipFill>
                  <pic:spPr>
                    <a:xfrm>
                      <a:off x="0" y="0"/>
                      <a:ext cx="5270727" cy="6070651"/>
                    </a:xfrm>
                    <a:prstGeom prst="rect">
                      <a:avLst/>
                    </a:prstGeom>
                  </pic:spPr>
                </pic:pic>
              </a:graphicData>
            </a:graphic>
          </wp:inline>
        </w:drawing>
      </w:r>
    </w:p>
    <w:p w14:paraId="65E3C7E7" w14:textId="0E7DDBF6" w:rsidR="002F4F22" w:rsidRDefault="00022CBE" w:rsidP="0008520C">
      <w:pPr>
        <w:pStyle w:val="TableFootnotes1"/>
      </w:pPr>
      <w:r w:rsidRPr="00022CBE">
        <w:rPr>
          <w:b/>
          <w:lang w:val="en-GB" w:eastAsia="ja-JP"/>
        </w:rPr>
        <w:t>Source:</w:t>
      </w:r>
      <w:r>
        <w:rPr>
          <w:lang w:val="en-GB" w:eastAsia="ja-JP"/>
        </w:rPr>
        <w:t xml:space="preserve"> based on the current </w:t>
      </w:r>
      <w:r>
        <w:t xml:space="preserve">Australian clinical </w:t>
      </w:r>
      <w:r w:rsidR="00EE5A38">
        <w:t>management algorithm</w:t>
      </w:r>
      <w:r>
        <w:t xml:space="preserve"> for an acute attack of HAE from ASCIA Position Paper (Katelaris </w:t>
      </w:r>
      <w:r w:rsidR="00D266A0">
        <w:t xml:space="preserve">et al, </w:t>
      </w:r>
      <w:r>
        <w:t>2012).</w:t>
      </w:r>
    </w:p>
    <w:p w14:paraId="0EF435E2" w14:textId="3F7A5595" w:rsidR="004D65E2" w:rsidRDefault="004D65E2" w:rsidP="004D65E2">
      <w:pPr>
        <w:pStyle w:val="LastTableFootnote"/>
        <w:rPr>
          <w:lang w:val="en-GB" w:eastAsia="ja-JP"/>
        </w:rPr>
      </w:pPr>
      <w:r>
        <w:rPr>
          <w:b/>
          <w:lang w:val="en-GB" w:eastAsia="ja-JP"/>
        </w:rPr>
        <w:t>Abbreviations:</w:t>
      </w:r>
      <w:r>
        <w:t xml:space="preserve"> </w:t>
      </w:r>
      <w:r>
        <w:rPr>
          <w:lang w:val="en-GB" w:eastAsia="ja-JP"/>
        </w:rPr>
        <w:t>C1-INH, C1 esterase inhibitor concentrate</w:t>
      </w:r>
    </w:p>
    <w:p w14:paraId="2DE13C60" w14:textId="3F31D9E4" w:rsidR="00250692" w:rsidRPr="00250692" w:rsidRDefault="00250692" w:rsidP="00250692">
      <w:pPr>
        <w:pStyle w:val="BodyText"/>
        <w:rPr>
          <w:lang w:val="en-GB" w:eastAsia="ja-JP"/>
        </w:rPr>
      </w:pPr>
      <w:r>
        <w:rPr>
          <w:lang w:val="en-GB" w:eastAsia="ja-JP"/>
        </w:rPr>
        <w:fldChar w:fldCharType="begin"/>
      </w:r>
      <w:r>
        <w:rPr>
          <w:lang w:val="en-GB" w:eastAsia="ja-JP"/>
        </w:rPr>
        <w:instrText xml:space="preserve"> REF _Ref396822309 \h </w:instrText>
      </w:r>
      <w:r>
        <w:rPr>
          <w:lang w:val="en-GB" w:eastAsia="ja-JP"/>
        </w:rPr>
      </w:r>
      <w:r>
        <w:rPr>
          <w:lang w:val="en-GB" w:eastAsia="ja-JP"/>
        </w:rPr>
        <w:fldChar w:fldCharType="separate"/>
      </w:r>
      <w:r w:rsidR="00847595">
        <w:t xml:space="preserve">Figure </w:t>
      </w:r>
      <w:r w:rsidR="00847595">
        <w:rPr>
          <w:noProof/>
        </w:rPr>
        <w:t>3</w:t>
      </w:r>
      <w:r>
        <w:rPr>
          <w:lang w:val="en-GB" w:eastAsia="ja-JP"/>
        </w:rPr>
        <w:fldChar w:fldCharType="end"/>
      </w:r>
      <w:r>
        <w:rPr>
          <w:lang w:val="en-GB" w:eastAsia="ja-JP"/>
        </w:rPr>
        <w:t xml:space="preserve"> shows the proposed management algorithm with NPSL-funded on-demand IRT with C1-INH concentrate.  </w:t>
      </w:r>
    </w:p>
    <w:p w14:paraId="45879FCB" w14:textId="2FD201D4" w:rsidR="00C856CA" w:rsidRDefault="00C856CA" w:rsidP="00C856CA">
      <w:pPr>
        <w:pStyle w:val="Caption"/>
      </w:pPr>
      <w:bookmarkStart w:id="53" w:name="_Ref396822309"/>
      <w:r>
        <w:lastRenderedPageBreak/>
        <w:t xml:space="preserve">Figure </w:t>
      </w:r>
      <w:r w:rsidR="00EA5D58">
        <w:fldChar w:fldCharType="begin"/>
      </w:r>
      <w:r w:rsidR="00EA5D58">
        <w:instrText xml:space="preserve"> SEQ Figure \* ARABIC </w:instrText>
      </w:r>
      <w:r w:rsidR="00EA5D58">
        <w:fldChar w:fldCharType="separate"/>
      </w:r>
      <w:r w:rsidR="00847595">
        <w:rPr>
          <w:noProof/>
        </w:rPr>
        <w:t>3</w:t>
      </w:r>
      <w:r w:rsidR="00EA5D58">
        <w:rPr>
          <w:noProof/>
        </w:rPr>
        <w:fldChar w:fldCharType="end"/>
      </w:r>
      <w:bookmarkEnd w:id="53"/>
      <w:r>
        <w:tab/>
      </w:r>
      <w:r w:rsidR="00A4146D">
        <w:t xml:space="preserve">Proposed </w:t>
      </w:r>
      <w:r>
        <w:t xml:space="preserve">clinical </w:t>
      </w:r>
      <w:r w:rsidR="00145EF9">
        <w:t xml:space="preserve">management </w:t>
      </w:r>
      <w:r>
        <w:t>algorithm for acute HAE attacks</w:t>
      </w:r>
    </w:p>
    <w:p w14:paraId="470CB4DD" w14:textId="162BBE73" w:rsidR="00C856CA" w:rsidRPr="00C856CA" w:rsidRDefault="00C856CA" w:rsidP="00C856CA">
      <w:pPr>
        <w:pBdr>
          <w:top w:val="single" w:sz="4" w:space="1" w:color="auto"/>
          <w:left w:val="single" w:sz="4" w:space="4" w:color="auto"/>
          <w:bottom w:val="single" w:sz="4" w:space="1" w:color="auto"/>
          <w:right w:val="single" w:sz="4" w:space="4" w:color="auto"/>
        </w:pBdr>
        <w:jc w:val="center"/>
        <w:rPr>
          <w:rStyle w:val="PicChar"/>
          <w:lang w:val="en-GB" w:eastAsia="ja-JP"/>
        </w:rPr>
      </w:pPr>
      <w:r>
        <w:rPr>
          <w:noProof/>
          <w:lang w:eastAsia="en-AU"/>
        </w:rPr>
        <w:drawing>
          <wp:inline distT="0" distB="0" distL="0" distR="0" wp14:anchorId="2735FB53" wp14:editId="16A44F09">
            <wp:extent cx="5731041" cy="6600825"/>
            <wp:effectExtent l="0" t="0" r="0" b="0"/>
            <wp:docPr id="7" name="Picture 7" descr="This chart illustrates the decision pathways leading to one of two treatment outcomes in proposed management of acute HAE attacks." title="Figure 3 - Proposed clinical management algorithm for acute HAE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nical treatment algorithm - Acute attacks, future.tif"/>
                    <pic:cNvPicPr/>
                  </pic:nvPicPr>
                  <pic:blipFill>
                    <a:blip r:embed="rId11">
                      <a:extLst>
                        <a:ext uri="{28A0092B-C50C-407E-A947-70E740481C1C}">
                          <a14:useLocalDpi xmlns:a14="http://schemas.microsoft.com/office/drawing/2010/main" val="0"/>
                        </a:ext>
                      </a:extLst>
                    </a:blip>
                    <a:stretch>
                      <a:fillRect/>
                    </a:stretch>
                  </pic:blipFill>
                  <pic:spPr>
                    <a:xfrm>
                      <a:off x="0" y="0"/>
                      <a:ext cx="5731041" cy="6600825"/>
                    </a:xfrm>
                    <a:prstGeom prst="rect">
                      <a:avLst/>
                    </a:prstGeom>
                  </pic:spPr>
                </pic:pic>
              </a:graphicData>
            </a:graphic>
          </wp:inline>
        </w:drawing>
      </w:r>
    </w:p>
    <w:p w14:paraId="70E9838B" w14:textId="06C9A1C2" w:rsidR="009331C5" w:rsidRDefault="009331C5" w:rsidP="009331C5">
      <w:pPr>
        <w:pStyle w:val="TableFootnotes1"/>
      </w:pPr>
      <w:r w:rsidRPr="00022CBE">
        <w:rPr>
          <w:b/>
          <w:lang w:val="en-GB" w:eastAsia="ja-JP"/>
        </w:rPr>
        <w:t>Source:</w:t>
      </w:r>
      <w:r>
        <w:rPr>
          <w:lang w:val="en-GB" w:eastAsia="ja-JP"/>
        </w:rPr>
        <w:t xml:space="preserve"> based on the current </w:t>
      </w:r>
      <w:r>
        <w:t xml:space="preserve">Australian clinical </w:t>
      </w:r>
      <w:r w:rsidR="00EE5A38">
        <w:t>management algorithm</w:t>
      </w:r>
      <w:r>
        <w:t xml:space="preserve"> for an acute attack of HAE from ASCIA Position Paper (Katelaris et al, 2012).</w:t>
      </w:r>
    </w:p>
    <w:p w14:paraId="49685286" w14:textId="77777777" w:rsidR="009331C5" w:rsidRDefault="009331C5" w:rsidP="009331C5">
      <w:pPr>
        <w:pStyle w:val="LastTableFootnote"/>
        <w:rPr>
          <w:lang w:val="en-GB" w:eastAsia="ja-JP"/>
        </w:rPr>
      </w:pPr>
      <w:r>
        <w:rPr>
          <w:b/>
          <w:lang w:val="en-GB" w:eastAsia="ja-JP"/>
        </w:rPr>
        <w:t>Abbreviations:</w:t>
      </w:r>
      <w:r>
        <w:t xml:space="preserve"> </w:t>
      </w:r>
      <w:r>
        <w:rPr>
          <w:lang w:val="en-GB" w:eastAsia="ja-JP"/>
        </w:rPr>
        <w:t>C1-INH, C1 esterase inhibitor concentrate</w:t>
      </w:r>
    </w:p>
    <w:p w14:paraId="6E8D1923" w14:textId="3F7A5595" w:rsidR="009C13A9" w:rsidRDefault="009C13A9" w:rsidP="009C13A9">
      <w:pPr>
        <w:pStyle w:val="Heading2"/>
      </w:pPr>
      <w:bookmarkStart w:id="54" w:name="_Toc400097949"/>
      <w:r w:rsidRPr="00A34E9C">
        <w:t xml:space="preserve">Clinical place for </w:t>
      </w:r>
      <w:r>
        <w:t>C1-INH concentrate for prophylaxis</w:t>
      </w:r>
      <w:bookmarkEnd w:id="54"/>
    </w:p>
    <w:p w14:paraId="61FCD2CE" w14:textId="68AF6C37" w:rsidR="009C13A9" w:rsidRPr="008C14EC" w:rsidRDefault="009C13A9" w:rsidP="009C13A9">
      <w:pPr>
        <w:pStyle w:val="BodyText"/>
        <w:rPr>
          <w:lang w:val="en-GB" w:eastAsia="ja-JP"/>
        </w:rPr>
      </w:pPr>
      <w:r>
        <w:rPr>
          <w:lang w:val="en-GB" w:eastAsia="ja-JP"/>
        </w:rPr>
        <w:t xml:space="preserve">The ASCIA Position Paper states that the clinical need for prophylaxis should be balanced against the cost and potential morbidity of prophylactic agents (Katelaris </w:t>
      </w:r>
      <w:r w:rsidR="00D266A0">
        <w:rPr>
          <w:lang w:val="en-GB" w:eastAsia="ja-JP"/>
        </w:rPr>
        <w:t xml:space="preserve">et al, </w:t>
      </w:r>
      <w:r>
        <w:rPr>
          <w:lang w:val="en-GB" w:eastAsia="ja-JP"/>
        </w:rPr>
        <w:t xml:space="preserve">2012). The benefits of lower morbidity are currently largely outweighed by the high cost of C1-INH concentrate. If the cost to the patient or hospital is reduced by listing C1-INH concentrate on the NPSL, this equation will shift towards increased use of C1-INH concentrate for prophylaxis. </w:t>
      </w:r>
      <w:r w:rsidR="008C14EC">
        <w:rPr>
          <w:lang w:val="en-GB" w:eastAsia="ja-JP"/>
        </w:rPr>
        <w:t xml:space="preserve">Administration by I.V. injection would </w:t>
      </w:r>
      <w:r w:rsidR="008C14EC">
        <w:rPr>
          <w:lang w:val="en-GB" w:eastAsia="ja-JP"/>
        </w:rPr>
        <w:lastRenderedPageBreak/>
        <w:t xml:space="preserve">continue to place a constraint on use for some patients. </w:t>
      </w:r>
      <w:r>
        <w:rPr>
          <w:lang w:val="en-GB" w:eastAsia="ja-JP"/>
        </w:rPr>
        <w:t>The potential changes in the clinical place of C1-INH concentrate for prophylaxis are explored in this section.</w:t>
      </w:r>
    </w:p>
    <w:p w14:paraId="4226C7BF" w14:textId="42800304" w:rsidR="004426E2" w:rsidRDefault="004426E2" w:rsidP="004426E2">
      <w:pPr>
        <w:pStyle w:val="Heading3"/>
      </w:pPr>
      <w:bookmarkStart w:id="55" w:name="_Toc400097950"/>
      <w:r>
        <w:t>Clinical place for pre-procedural prophylaxis</w:t>
      </w:r>
      <w:bookmarkEnd w:id="55"/>
    </w:p>
    <w:p w14:paraId="00578054" w14:textId="5B681F22" w:rsidR="00DE0BB8" w:rsidRDefault="00E575BD" w:rsidP="00DE0BB8">
      <w:pPr>
        <w:pStyle w:val="BodyText"/>
        <w:rPr>
          <w:lang w:val="en-GB" w:eastAsia="ja-JP"/>
        </w:rPr>
      </w:pPr>
      <w:r>
        <w:rPr>
          <w:lang w:val="en-GB" w:eastAsia="ja-JP"/>
        </w:rPr>
        <w:fldChar w:fldCharType="begin"/>
      </w:r>
      <w:r>
        <w:rPr>
          <w:lang w:val="en-GB" w:eastAsia="ja-JP"/>
        </w:rPr>
        <w:instrText xml:space="preserve"> REF _Ref395535336 \h </w:instrText>
      </w:r>
      <w:r>
        <w:rPr>
          <w:lang w:val="en-GB" w:eastAsia="ja-JP"/>
        </w:rPr>
      </w:r>
      <w:r>
        <w:rPr>
          <w:lang w:val="en-GB" w:eastAsia="ja-JP"/>
        </w:rPr>
        <w:fldChar w:fldCharType="separate"/>
      </w:r>
      <w:r w:rsidR="00847595">
        <w:t xml:space="preserve">Figure </w:t>
      </w:r>
      <w:r w:rsidR="00847595">
        <w:rPr>
          <w:noProof/>
        </w:rPr>
        <w:t>4</w:t>
      </w:r>
      <w:r>
        <w:rPr>
          <w:lang w:val="en-GB" w:eastAsia="ja-JP"/>
        </w:rPr>
        <w:fldChar w:fldCharType="end"/>
      </w:r>
      <w:r>
        <w:rPr>
          <w:lang w:val="en-GB" w:eastAsia="ja-JP"/>
        </w:rPr>
        <w:t xml:space="preserve"> shows the </w:t>
      </w:r>
      <w:r w:rsidR="00631D24">
        <w:rPr>
          <w:lang w:val="en-GB" w:eastAsia="ja-JP"/>
        </w:rPr>
        <w:t xml:space="preserve">current </w:t>
      </w:r>
      <w:r w:rsidR="00EE5A38">
        <w:rPr>
          <w:lang w:val="en-GB" w:eastAsia="ja-JP"/>
        </w:rPr>
        <w:t>management algorithm</w:t>
      </w:r>
      <w:r>
        <w:rPr>
          <w:lang w:val="en-GB" w:eastAsia="ja-JP"/>
        </w:rPr>
        <w:t xml:space="preserve"> for pre-procedural prophylaxis, based on the recommendations and opinions expressed in the ASCIA Position Paper for HAE (Katelaris </w:t>
      </w:r>
      <w:r w:rsidR="00D266A0">
        <w:rPr>
          <w:lang w:val="en-GB" w:eastAsia="ja-JP"/>
        </w:rPr>
        <w:t xml:space="preserve">et al, </w:t>
      </w:r>
      <w:r>
        <w:rPr>
          <w:lang w:val="en-GB" w:eastAsia="ja-JP"/>
        </w:rPr>
        <w:t xml:space="preserve">2012). </w:t>
      </w:r>
      <w:r w:rsidR="00DE0BB8">
        <w:rPr>
          <w:lang w:val="en-GB" w:eastAsia="ja-JP"/>
        </w:rPr>
        <w:t>C1-INH concentrate is appropriate for use as a pre-procedure prophylactic</w:t>
      </w:r>
      <w:r>
        <w:rPr>
          <w:lang w:val="en-GB" w:eastAsia="ja-JP"/>
        </w:rPr>
        <w:t xml:space="preserve"> but cost and access are currently limiting prophylactic use</w:t>
      </w:r>
      <w:r w:rsidR="000E1974">
        <w:rPr>
          <w:lang w:val="en-GB" w:eastAsia="ja-JP"/>
        </w:rPr>
        <w:t>.</w:t>
      </w:r>
      <w:r w:rsidR="00DE0BB8">
        <w:rPr>
          <w:lang w:val="en-GB" w:eastAsia="ja-JP"/>
        </w:rPr>
        <w:t xml:space="preserve"> </w:t>
      </w:r>
      <w:r w:rsidR="00D266A0">
        <w:rPr>
          <w:lang w:val="en-GB" w:eastAsia="ja-JP"/>
        </w:rPr>
        <w:t xml:space="preserve">Due to the short half-life of </w:t>
      </w:r>
      <w:r w:rsidR="00DE0BB8">
        <w:rPr>
          <w:lang w:val="en-GB" w:eastAsia="ja-JP"/>
        </w:rPr>
        <w:t>icatibant</w:t>
      </w:r>
      <w:r w:rsidR="00D266A0">
        <w:rPr>
          <w:lang w:val="en-GB" w:eastAsia="ja-JP"/>
        </w:rPr>
        <w:t xml:space="preserve">, it is not suitable for use as </w:t>
      </w:r>
      <w:r w:rsidR="00DE0BB8">
        <w:rPr>
          <w:lang w:val="en-GB" w:eastAsia="ja-JP"/>
        </w:rPr>
        <w:t xml:space="preserve">a prophylactic. </w:t>
      </w:r>
    </w:p>
    <w:p w14:paraId="3747AF66" w14:textId="4D0DFC6C" w:rsidR="00E83862" w:rsidRDefault="00631D24" w:rsidP="00972EE7">
      <w:pPr>
        <w:pStyle w:val="BodyText"/>
        <w:rPr>
          <w:lang w:val="en-GB" w:eastAsia="ja-JP"/>
        </w:rPr>
      </w:pPr>
      <w:r>
        <w:rPr>
          <w:lang w:val="en-GB" w:eastAsia="ja-JP"/>
        </w:rPr>
        <w:t>The use of C1-INH concentrate for pre-procedural</w:t>
      </w:r>
      <w:r w:rsidR="00562392">
        <w:rPr>
          <w:lang w:val="en-GB" w:eastAsia="ja-JP"/>
        </w:rPr>
        <w:t xml:space="preserve"> prophylaxis </w:t>
      </w:r>
      <w:r>
        <w:rPr>
          <w:lang w:val="en-GB" w:eastAsia="ja-JP"/>
        </w:rPr>
        <w:t xml:space="preserve">is likely to be uncommon </w:t>
      </w:r>
      <w:r w:rsidR="00562392">
        <w:rPr>
          <w:lang w:val="en-GB" w:eastAsia="ja-JP"/>
        </w:rPr>
        <w:t>under the current funding arrangements</w:t>
      </w:r>
      <w:r>
        <w:rPr>
          <w:lang w:val="en-GB" w:eastAsia="ja-JP"/>
        </w:rPr>
        <w:t>, although clinical need may result in hospital-</w:t>
      </w:r>
      <w:r w:rsidR="00E04C1C">
        <w:rPr>
          <w:lang w:val="en-GB" w:eastAsia="ja-JP"/>
        </w:rPr>
        <w:t>administered</w:t>
      </w:r>
      <w:r>
        <w:rPr>
          <w:lang w:val="en-GB" w:eastAsia="ja-JP"/>
        </w:rPr>
        <w:t xml:space="preserve"> C1-INH prior to major procedures in some instances</w:t>
      </w:r>
      <w:r w:rsidR="00562392">
        <w:rPr>
          <w:lang w:val="en-GB" w:eastAsia="ja-JP"/>
        </w:rPr>
        <w:t>.</w:t>
      </w:r>
      <w:r>
        <w:rPr>
          <w:lang w:val="en-GB" w:eastAsia="ja-JP"/>
        </w:rPr>
        <w:t xml:space="preserve"> </w:t>
      </w:r>
      <w:r w:rsidR="00DE0BB8">
        <w:rPr>
          <w:lang w:val="en-GB" w:eastAsia="ja-JP"/>
        </w:rPr>
        <w:t>The most accessible, current options for pre-procedur</w:t>
      </w:r>
      <w:r>
        <w:rPr>
          <w:lang w:val="en-GB" w:eastAsia="ja-JP"/>
        </w:rPr>
        <w:t>al</w:t>
      </w:r>
      <w:r w:rsidR="00DE0BB8">
        <w:rPr>
          <w:lang w:val="en-GB" w:eastAsia="ja-JP"/>
        </w:rPr>
        <w:t xml:space="preserve"> prophylaxis are danazol and, where that is contraindicated,</w:t>
      </w:r>
      <w:r w:rsidR="00972EE7">
        <w:rPr>
          <w:lang w:val="en-GB" w:eastAsia="ja-JP"/>
        </w:rPr>
        <w:t xml:space="preserve"> tranexamic acid</w:t>
      </w:r>
      <w:r w:rsidR="00DE0BB8">
        <w:rPr>
          <w:lang w:val="en-GB" w:eastAsia="ja-JP"/>
        </w:rPr>
        <w:t>. In a number</w:t>
      </w:r>
      <w:r w:rsidR="00972EE7">
        <w:rPr>
          <w:lang w:val="en-GB" w:eastAsia="ja-JP"/>
        </w:rPr>
        <w:t xml:space="preserve"> of</w:t>
      </w:r>
      <w:r w:rsidR="00DE0BB8">
        <w:rPr>
          <w:lang w:val="en-GB" w:eastAsia="ja-JP"/>
        </w:rPr>
        <w:t xml:space="preserve"> patients these oral interventions are either ineffective, contraindicated or not tolerated, leaving </w:t>
      </w:r>
      <w:r w:rsidR="00972EE7">
        <w:rPr>
          <w:lang w:val="en-GB" w:eastAsia="ja-JP"/>
        </w:rPr>
        <w:t>many</w:t>
      </w:r>
      <w:r w:rsidR="00DE0BB8">
        <w:rPr>
          <w:lang w:val="en-GB" w:eastAsia="ja-JP"/>
        </w:rPr>
        <w:t xml:space="preserve"> without an option for pre-procedure prophylaxis</w:t>
      </w:r>
      <w:r w:rsidR="00E04C1C">
        <w:rPr>
          <w:lang w:val="en-GB" w:eastAsia="ja-JP"/>
        </w:rPr>
        <w:t>.</w:t>
      </w:r>
      <w:r w:rsidR="00972EE7">
        <w:rPr>
          <w:lang w:val="en-GB" w:eastAsia="ja-JP"/>
        </w:rPr>
        <w:t xml:space="preserve"> </w:t>
      </w:r>
      <w:r w:rsidR="00E04C1C">
        <w:rPr>
          <w:lang w:val="en-GB" w:eastAsia="ja-JP"/>
        </w:rPr>
        <w:t>Thus</w:t>
      </w:r>
      <w:r w:rsidR="00972EE7">
        <w:rPr>
          <w:lang w:val="en-GB" w:eastAsia="ja-JP"/>
        </w:rPr>
        <w:t>, there is a clinical need for wider access to C1-INH</w:t>
      </w:r>
      <w:r w:rsidR="009C13A9" w:rsidRPr="009C13A9">
        <w:rPr>
          <w:lang w:val="en-GB" w:eastAsia="ja-JP"/>
        </w:rPr>
        <w:t xml:space="preserve"> </w:t>
      </w:r>
      <w:r w:rsidR="009C13A9">
        <w:rPr>
          <w:lang w:val="en-GB" w:eastAsia="ja-JP"/>
        </w:rPr>
        <w:t>concentrate</w:t>
      </w:r>
      <w:r w:rsidR="00972EE7">
        <w:rPr>
          <w:lang w:val="en-GB" w:eastAsia="ja-JP"/>
        </w:rPr>
        <w:t xml:space="preserve">, especially for children and pregnant/lactating women. </w:t>
      </w:r>
    </w:p>
    <w:p w14:paraId="6CB2564A" w14:textId="29A16C60" w:rsidR="00972EE7" w:rsidRDefault="00250FF4" w:rsidP="00972EE7">
      <w:pPr>
        <w:pStyle w:val="BodyText"/>
        <w:rPr>
          <w:lang w:val="en-GB" w:eastAsia="ja-JP"/>
        </w:rPr>
      </w:pPr>
      <w:r>
        <w:rPr>
          <w:lang w:val="en-GB" w:eastAsia="ja-JP"/>
        </w:rPr>
        <w:fldChar w:fldCharType="begin"/>
      </w:r>
      <w:r>
        <w:rPr>
          <w:lang w:val="en-GB" w:eastAsia="ja-JP"/>
        </w:rPr>
        <w:instrText xml:space="preserve"> REF _Ref396824973 \h </w:instrText>
      </w:r>
      <w:r>
        <w:rPr>
          <w:lang w:val="en-GB" w:eastAsia="ja-JP"/>
        </w:rPr>
      </w:r>
      <w:r>
        <w:rPr>
          <w:lang w:val="en-GB" w:eastAsia="ja-JP"/>
        </w:rPr>
        <w:fldChar w:fldCharType="separate"/>
      </w:r>
      <w:r w:rsidR="00847595">
        <w:t xml:space="preserve">Figure </w:t>
      </w:r>
      <w:r w:rsidR="00847595">
        <w:rPr>
          <w:noProof/>
        </w:rPr>
        <w:t>5</w:t>
      </w:r>
      <w:r>
        <w:rPr>
          <w:lang w:val="en-GB" w:eastAsia="ja-JP"/>
        </w:rPr>
        <w:fldChar w:fldCharType="end"/>
      </w:r>
      <w:r>
        <w:rPr>
          <w:lang w:val="en-GB" w:eastAsia="ja-JP"/>
        </w:rPr>
        <w:t xml:space="preserve"> shows the proposed clinical </w:t>
      </w:r>
      <w:r w:rsidR="00EE5A38">
        <w:rPr>
          <w:lang w:val="en-GB" w:eastAsia="ja-JP"/>
        </w:rPr>
        <w:t>management algorithm</w:t>
      </w:r>
      <w:r>
        <w:rPr>
          <w:lang w:val="en-GB" w:eastAsia="ja-JP"/>
        </w:rPr>
        <w:t xml:space="preserve"> if </w:t>
      </w:r>
      <w:r w:rsidR="00972EE7">
        <w:rPr>
          <w:lang w:val="en-GB" w:eastAsia="ja-JP"/>
        </w:rPr>
        <w:t xml:space="preserve">C1-INH </w:t>
      </w:r>
      <w:r w:rsidR="009C13A9">
        <w:rPr>
          <w:lang w:val="en-GB" w:eastAsia="ja-JP"/>
        </w:rPr>
        <w:t xml:space="preserve">concentrate </w:t>
      </w:r>
      <w:r w:rsidR="00972EE7">
        <w:rPr>
          <w:lang w:val="en-GB" w:eastAsia="ja-JP"/>
        </w:rPr>
        <w:t>became available on the NP</w:t>
      </w:r>
      <w:r w:rsidR="00D13F3E">
        <w:rPr>
          <w:lang w:val="en-GB" w:eastAsia="ja-JP"/>
        </w:rPr>
        <w:t>SL.</w:t>
      </w:r>
      <w:r w:rsidR="00197895">
        <w:rPr>
          <w:lang w:val="en-GB" w:eastAsia="ja-JP"/>
        </w:rPr>
        <w:t xml:space="preserve"> </w:t>
      </w:r>
      <w:r>
        <w:rPr>
          <w:lang w:val="en-GB" w:eastAsia="ja-JP"/>
        </w:rPr>
        <w:t xml:space="preserve">It </w:t>
      </w:r>
      <w:r w:rsidR="00197895">
        <w:rPr>
          <w:lang w:val="en-GB" w:eastAsia="ja-JP"/>
        </w:rPr>
        <w:t xml:space="preserve">is expected </w:t>
      </w:r>
      <w:r w:rsidR="00835556">
        <w:rPr>
          <w:lang w:val="en-GB" w:eastAsia="ja-JP"/>
        </w:rPr>
        <w:t xml:space="preserve">that </w:t>
      </w:r>
      <w:r w:rsidR="00197895">
        <w:rPr>
          <w:lang w:val="en-GB" w:eastAsia="ja-JP"/>
        </w:rPr>
        <w:t>a higher number of patients would access</w:t>
      </w:r>
      <w:r w:rsidR="00972EE7">
        <w:rPr>
          <w:lang w:val="en-GB" w:eastAsia="ja-JP"/>
        </w:rPr>
        <w:t xml:space="preserve"> pre-procedural prophylaxis using C1-INH</w:t>
      </w:r>
      <w:r w:rsidR="009C13A9">
        <w:rPr>
          <w:lang w:val="en-GB" w:eastAsia="ja-JP"/>
        </w:rPr>
        <w:t xml:space="preserve"> concentrate</w:t>
      </w:r>
      <w:r w:rsidR="00972EE7">
        <w:rPr>
          <w:lang w:val="en-GB" w:eastAsia="ja-JP"/>
        </w:rPr>
        <w:t>, both in hospitals and self/home-administered</w:t>
      </w:r>
      <w:r w:rsidR="00197895">
        <w:rPr>
          <w:lang w:val="en-GB" w:eastAsia="ja-JP"/>
        </w:rPr>
        <w:t>, with the latter li</w:t>
      </w:r>
      <w:r w:rsidR="00E04C1C">
        <w:rPr>
          <w:lang w:val="en-GB" w:eastAsia="ja-JP"/>
        </w:rPr>
        <w:t xml:space="preserve">mited by the challenges of self/home </w:t>
      </w:r>
      <w:r w:rsidR="00197895">
        <w:rPr>
          <w:lang w:val="en-GB" w:eastAsia="ja-JP"/>
        </w:rPr>
        <w:t>I.V. administration.</w:t>
      </w:r>
    </w:p>
    <w:p w14:paraId="76DF6CED" w14:textId="6CEAF31E" w:rsidR="00290B6C" w:rsidRDefault="00562392" w:rsidP="004426E2">
      <w:pPr>
        <w:pStyle w:val="BodyText"/>
        <w:rPr>
          <w:lang w:val="en-GB" w:eastAsia="ja-JP"/>
        </w:rPr>
      </w:pPr>
      <w:r>
        <w:rPr>
          <w:lang w:val="en-GB" w:eastAsia="ja-JP"/>
        </w:rPr>
        <w:t xml:space="preserve">CSL Behring is requesting that Berinert is listed on the NPSL </w:t>
      </w:r>
      <w:r w:rsidR="00565C96">
        <w:rPr>
          <w:lang w:val="en-GB" w:eastAsia="ja-JP"/>
        </w:rPr>
        <w:t xml:space="preserve">for </w:t>
      </w:r>
      <w:r>
        <w:rPr>
          <w:lang w:val="en-GB" w:eastAsia="ja-JP"/>
        </w:rPr>
        <w:t xml:space="preserve">prophylaxis </w:t>
      </w:r>
      <w:r w:rsidRPr="00D66796">
        <w:t>prior to major dental or surgical procedures or intubation</w:t>
      </w:r>
      <w:r>
        <w:t>.</w:t>
      </w:r>
      <w:r>
        <w:rPr>
          <w:lang w:val="en-GB" w:eastAsia="ja-JP"/>
        </w:rPr>
        <w:t xml:space="preserve"> While there is a clinical need for pre-</w:t>
      </w:r>
      <w:r w:rsidR="00565C96">
        <w:rPr>
          <w:lang w:val="en-GB" w:eastAsia="ja-JP"/>
        </w:rPr>
        <w:t xml:space="preserve">procedural </w:t>
      </w:r>
      <w:r>
        <w:rPr>
          <w:lang w:val="en-GB" w:eastAsia="ja-JP"/>
        </w:rPr>
        <w:t>prophylactic options for children, Berinert is not TGA-approved for pre-</w:t>
      </w:r>
      <w:r w:rsidR="00565C96">
        <w:rPr>
          <w:lang w:val="en-GB" w:eastAsia="ja-JP"/>
        </w:rPr>
        <w:t xml:space="preserve">procedural </w:t>
      </w:r>
      <w:r>
        <w:rPr>
          <w:lang w:val="en-GB" w:eastAsia="ja-JP"/>
        </w:rPr>
        <w:t xml:space="preserve">prophylaxis </w:t>
      </w:r>
      <w:r w:rsidR="00565C96">
        <w:rPr>
          <w:lang w:val="en-GB" w:eastAsia="ja-JP"/>
        </w:rPr>
        <w:t>in any patients</w:t>
      </w:r>
      <w:r w:rsidR="00565C96">
        <w:rPr>
          <w:rStyle w:val="FootnoteReference"/>
          <w:lang w:val="en-GB" w:eastAsia="ja-JP"/>
        </w:rPr>
        <w:footnoteReference w:id="6"/>
      </w:r>
      <w:r w:rsidR="00565C96">
        <w:rPr>
          <w:lang w:val="en-GB" w:eastAsia="ja-JP"/>
        </w:rPr>
        <w:t xml:space="preserve"> </w:t>
      </w:r>
      <w:r>
        <w:rPr>
          <w:lang w:val="en-GB" w:eastAsia="ja-JP"/>
        </w:rPr>
        <w:t xml:space="preserve">and </w:t>
      </w:r>
      <w:r w:rsidR="004426E2">
        <w:rPr>
          <w:lang w:val="en-GB" w:eastAsia="ja-JP"/>
        </w:rPr>
        <w:t>Cinryze is</w:t>
      </w:r>
      <w:r>
        <w:rPr>
          <w:lang w:val="en-GB" w:eastAsia="ja-JP"/>
        </w:rPr>
        <w:t xml:space="preserve"> not</w:t>
      </w:r>
      <w:r w:rsidR="004426E2">
        <w:rPr>
          <w:lang w:val="en-GB" w:eastAsia="ja-JP"/>
        </w:rPr>
        <w:t xml:space="preserve"> TGA-approved for </w:t>
      </w:r>
      <w:r w:rsidR="0036075E">
        <w:rPr>
          <w:lang w:val="en-GB" w:eastAsia="ja-JP"/>
        </w:rPr>
        <w:t xml:space="preserve">pre-procedure prophylaxis in </w:t>
      </w:r>
      <w:r w:rsidR="003136BC">
        <w:rPr>
          <w:lang w:val="en-GB" w:eastAsia="ja-JP"/>
        </w:rPr>
        <w:t xml:space="preserve">patients </w:t>
      </w:r>
      <w:r>
        <w:rPr>
          <w:lang w:val="en-GB" w:eastAsia="ja-JP"/>
        </w:rPr>
        <w:t xml:space="preserve">under </w:t>
      </w:r>
      <w:r w:rsidR="003136BC">
        <w:rPr>
          <w:lang w:val="en-GB" w:eastAsia="ja-JP"/>
        </w:rPr>
        <w:t>12 years of age</w:t>
      </w:r>
      <w:bookmarkStart w:id="56" w:name="_Ref399936720"/>
      <w:r w:rsidR="00565C96">
        <w:rPr>
          <w:rStyle w:val="FootnoteReference"/>
          <w:lang w:val="en-GB" w:eastAsia="ja-JP"/>
        </w:rPr>
        <w:footnoteReference w:id="7"/>
      </w:r>
      <w:bookmarkEnd w:id="56"/>
      <w:r>
        <w:rPr>
          <w:lang w:val="en-GB" w:eastAsia="ja-JP"/>
        </w:rPr>
        <w:t>.</w:t>
      </w:r>
      <w:r w:rsidDel="00562392">
        <w:rPr>
          <w:lang w:val="en-GB" w:eastAsia="ja-JP"/>
        </w:rPr>
        <w:t xml:space="preserve"> </w:t>
      </w:r>
      <w:r>
        <w:rPr>
          <w:lang w:val="en-GB" w:eastAsia="ja-JP"/>
        </w:rPr>
        <w:t xml:space="preserve"> Use of either Cinryze or Berinert for pre-procedural prophylaxis in children under 12 years</w:t>
      </w:r>
      <w:r w:rsidR="00E04C1C">
        <w:rPr>
          <w:lang w:val="en-GB" w:eastAsia="ja-JP"/>
        </w:rPr>
        <w:t xml:space="preserve"> would therefore be ‘off-label’</w:t>
      </w:r>
      <w:r w:rsidR="004426E2">
        <w:rPr>
          <w:lang w:val="en-GB" w:eastAsia="ja-JP"/>
        </w:rPr>
        <w:t>.</w:t>
      </w:r>
      <w:r w:rsidR="000E1974">
        <w:rPr>
          <w:lang w:val="en-GB" w:eastAsia="ja-JP"/>
        </w:rPr>
        <w:t xml:space="preserve"> The ASCIA Position Paper does not </w:t>
      </w:r>
      <w:r w:rsidR="00A93BC0">
        <w:rPr>
          <w:lang w:val="en-GB" w:eastAsia="ja-JP"/>
        </w:rPr>
        <w:t>stip</w:t>
      </w:r>
      <w:r w:rsidR="00D064C4">
        <w:rPr>
          <w:lang w:val="en-GB" w:eastAsia="ja-JP"/>
        </w:rPr>
        <w:t>ul</w:t>
      </w:r>
      <w:r w:rsidR="00A93BC0">
        <w:rPr>
          <w:lang w:val="en-GB" w:eastAsia="ja-JP"/>
        </w:rPr>
        <w:t>ate an</w:t>
      </w:r>
      <w:r w:rsidR="000E1974">
        <w:rPr>
          <w:lang w:val="en-GB" w:eastAsia="ja-JP"/>
        </w:rPr>
        <w:t xml:space="preserve"> age restriction for </w:t>
      </w:r>
      <w:r w:rsidR="00A93BC0">
        <w:rPr>
          <w:lang w:val="en-GB" w:eastAsia="ja-JP"/>
        </w:rPr>
        <w:t>C1-INH for any indication, nor does it distinguish between Cinryze and Berinert</w:t>
      </w:r>
      <w:r w:rsidR="00BD30DB">
        <w:rPr>
          <w:lang w:val="en-GB" w:eastAsia="ja-JP"/>
        </w:rPr>
        <w:t xml:space="preserve"> with respect to indications</w:t>
      </w:r>
      <w:r w:rsidR="00972EE7">
        <w:rPr>
          <w:lang w:val="en-GB" w:eastAsia="ja-JP"/>
        </w:rPr>
        <w:t>.</w:t>
      </w:r>
    </w:p>
    <w:p w14:paraId="17FC7DA7" w14:textId="0FB8B907" w:rsidR="00DE0BB8" w:rsidRDefault="00DE0BB8" w:rsidP="00DE0BB8">
      <w:pPr>
        <w:pStyle w:val="Caption"/>
        <w:rPr>
          <w:lang w:val="en-GB" w:eastAsia="ja-JP"/>
        </w:rPr>
      </w:pPr>
      <w:bookmarkStart w:id="57" w:name="_Ref395535336"/>
      <w:r>
        <w:lastRenderedPageBreak/>
        <w:t xml:space="preserve">Figure </w:t>
      </w:r>
      <w:r w:rsidR="00EA5D58">
        <w:fldChar w:fldCharType="begin"/>
      </w:r>
      <w:r w:rsidR="00EA5D58">
        <w:instrText xml:space="preserve"> SEQ Figure \* ARABIC </w:instrText>
      </w:r>
      <w:r w:rsidR="00EA5D58">
        <w:fldChar w:fldCharType="separate"/>
      </w:r>
      <w:r w:rsidR="00847595">
        <w:rPr>
          <w:noProof/>
        </w:rPr>
        <w:t>4</w:t>
      </w:r>
      <w:r w:rsidR="00EA5D58">
        <w:rPr>
          <w:noProof/>
        </w:rPr>
        <w:fldChar w:fldCharType="end"/>
      </w:r>
      <w:bookmarkEnd w:id="57"/>
      <w:r>
        <w:tab/>
      </w:r>
      <w:r w:rsidR="00835556">
        <w:t>C</w:t>
      </w:r>
      <w:r w:rsidR="00E83862">
        <w:t>urrent c</w:t>
      </w:r>
      <w:r w:rsidR="00835556">
        <w:t xml:space="preserve">linical </w:t>
      </w:r>
      <w:r w:rsidR="00145EF9">
        <w:t xml:space="preserve">management </w:t>
      </w:r>
      <w:r w:rsidR="00835556">
        <w:t>algorithm for pre</w:t>
      </w:r>
      <w:r w:rsidR="00E575BD">
        <w:t xml:space="preserve">-procedural </w:t>
      </w:r>
      <w:r w:rsidR="008F5FCB">
        <w:t>prophylaxis</w:t>
      </w:r>
    </w:p>
    <w:p w14:paraId="793F99C4" w14:textId="0F470B29" w:rsidR="0036075E" w:rsidRPr="00DE0BB8" w:rsidRDefault="00DE0BB8" w:rsidP="00B55FB6">
      <w:pPr>
        <w:pStyle w:val="BodyText"/>
        <w:pBdr>
          <w:top w:val="single" w:sz="4" w:space="1" w:color="auto"/>
          <w:left w:val="single" w:sz="4" w:space="4" w:color="auto"/>
          <w:bottom w:val="single" w:sz="4" w:space="1" w:color="auto"/>
          <w:right w:val="single" w:sz="4" w:space="4" w:color="auto"/>
        </w:pBdr>
        <w:jc w:val="center"/>
        <w:rPr>
          <w:rStyle w:val="PicChar"/>
        </w:rPr>
      </w:pPr>
      <w:r>
        <w:rPr>
          <w:noProof/>
          <w:lang w:eastAsia="en-AU"/>
        </w:rPr>
        <w:drawing>
          <wp:inline distT="0" distB="0" distL="0" distR="0" wp14:anchorId="3383E84E" wp14:editId="7A376FFA">
            <wp:extent cx="4615253" cy="5364326"/>
            <wp:effectExtent l="0" t="0" r="0" b="0"/>
            <wp:docPr id="3" name="Picture 3" descr="This chart illustrates the decision pathways to the outcomes of current clinical management for pre-procedural prophylaxis." title="Figure 4 - Current clinical management algorithm for pre-procedural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nical decision pathway - Pre-procedure.tif"/>
                    <pic:cNvPicPr/>
                  </pic:nvPicPr>
                  <pic:blipFill>
                    <a:blip r:embed="rId12">
                      <a:extLst>
                        <a:ext uri="{28A0092B-C50C-407E-A947-70E740481C1C}">
                          <a14:useLocalDpi xmlns:a14="http://schemas.microsoft.com/office/drawing/2010/main" val="0"/>
                        </a:ext>
                      </a:extLst>
                    </a:blip>
                    <a:stretch>
                      <a:fillRect/>
                    </a:stretch>
                  </pic:blipFill>
                  <pic:spPr>
                    <a:xfrm>
                      <a:off x="0" y="0"/>
                      <a:ext cx="4615253" cy="5364326"/>
                    </a:xfrm>
                    <a:prstGeom prst="rect">
                      <a:avLst/>
                    </a:prstGeom>
                  </pic:spPr>
                </pic:pic>
              </a:graphicData>
            </a:graphic>
          </wp:inline>
        </w:drawing>
      </w:r>
    </w:p>
    <w:p w14:paraId="1404E76E" w14:textId="0B0FC99D" w:rsidR="00DE0BB8" w:rsidRDefault="00DE0BB8" w:rsidP="003B2AF2">
      <w:pPr>
        <w:pStyle w:val="TableFootnotes1"/>
      </w:pPr>
      <w:r w:rsidRPr="00022CBE">
        <w:rPr>
          <w:b/>
          <w:lang w:val="en-GB" w:eastAsia="ja-JP"/>
        </w:rPr>
        <w:t>Source:</w:t>
      </w:r>
      <w:r>
        <w:rPr>
          <w:lang w:val="en-GB" w:eastAsia="ja-JP"/>
        </w:rPr>
        <w:t xml:space="preserve"> based on recommendations from the</w:t>
      </w:r>
      <w:r>
        <w:t xml:space="preserve"> ASCIA Position Paper (Katelaris </w:t>
      </w:r>
      <w:r w:rsidR="00835556">
        <w:t xml:space="preserve">et al, </w:t>
      </w:r>
      <w:r>
        <w:t>2012).</w:t>
      </w:r>
    </w:p>
    <w:p w14:paraId="13BF4B6B" w14:textId="3CBBE2AF" w:rsidR="003B2AF2" w:rsidRDefault="003B2AF2" w:rsidP="003B2AF2">
      <w:pPr>
        <w:pStyle w:val="LastTableFootnote"/>
        <w:rPr>
          <w:lang w:val="en-GB" w:eastAsia="ja-JP"/>
        </w:rPr>
      </w:pPr>
      <w:r w:rsidRPr="003E4CE5">
        <w:rPr>
          <w:b/>
          <w:lang w:val="en-GB" w:eastAsia="ja-JP"/>
        </w:rPr>
        <w:t>Abbreviations:</w:t>
      </w:r>
      <w:r>
        <w:rPr>
          <w:lang w:val="en-GB" w:eastAsia="ja-JP"/>
        </w:rPr>
        <w:t xml:space="preserve"> </w:t>
      </w:r>
      <w:r w:rsidR="004D65E2">
        <w:rPr>
          <w:lang w:val="en-GB" w:eastAsia="ja-JP"/>
        </w:rPr>
        <w:t xml:space="preserve">C1-INH, C1 esterase inhibitor concentrate; </w:t>
      </w:r>
      <w:r>
        <w:rPr>
          <w:lang w:val="en-GB" w:eastAsia="ja-JP"/>
        </w:rPr>
        <w:t>TA, tranexamic acid</w:t>
      </w:r>
    </w:p>
    <w:p w14:paraId="41E97502" w14:textId="4674A7B3" w:rsidR="00E83862" w:rsidRDefault="00E83862" w:rsidP="00E83862">
      <w:pPr>
        <w:pStyle w:val="Caption"/>
      </w:pPr>
      <w:bookmarkStart w:id="58" w:name="_Ref396824973"/>
      <w:r>
        <w:lastRenderedPageBreak/>
        <w:t xml:space="preserve">Figure </w:t>
      </w:r>
      <w:r w:rsidR="00EA5D58">
        <w:fldChar w:fldCharType="begin"/>
      </w:r>
      <w:r w:rsidR="00EA5D58">
        <w:instrText xml:space="preserve"> SEQ Figure \* ARABIC </w:instrText>
      </w:r>
      <w:r w:rsidR="00EA5D58">
        <w:fldChar w:fldCharType="separate"/>
      </w:r>
      <w:r w:rsidR="00847595">
        <w:rPr>
          <w:noProof/>
        </w:rPr>
        <w:t>5</w:t>
      </w:r>
      <w:r w:rsidR="00EA5D58">
        <w:rPr>
          <w:noProof/>
        </w:rPr>
        <w:fldChar w:fldCharType="end"/>
      </w:r>
      <w:bookmarkEnd w:id="58"/>
      <w:r>
        <w:tab/>
        <w:t xml:space="preserve">Proposed clinical </w:t>
      </w:r>
      <w:r w:rsidR="00145EF9">
        <w:t>management</w:t>
      </w:r>
      <w:r>
        <w:t xml:space="preserve"> algorithm for pre-procedural prophylaxis</w:t>
      </w:r>
    </w:p>
    <w:p w14:paraId="65D274DA" w14:textId="33FA4F6D" w:rsidR="00E83862" w:rsidRPr="00E83862" w:rsidRDefault="000B5692" w:rsidP="00E83862">
      <w:pPr>
        <w:pStyle w:val="Pic"/>
        <w:rPr>
          <w:lang w:val="en-GB" w:eastAsia="ja-JP"/>
        </w:rPr>
      </w:pPr>
      <w:r>
        <w:rPr>
          <w:noProof/>
          <w:lang w:eastAsia="en-AU"/>
        </w:rPr>
        <w:drawing>
          <wp:inline distT="0" distB="0" distL="0" distR="0" wp14:anchorId="24C5D10E" wp14:editId="57D21BFD">
            <wp:extent cx="4626864" cy="5797296"/>
            <wp:effectExtent l="0" t="0" r="0" b="0"/>
            <wp:docPr id="8" name="Picture 8" descr="This chart illustrates the decision pathways to the outcomes of proposed clinical management for pre-procedural prophylaxis." title="Figure 5 - Proposed clinical management algorithm for pre-procedural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inical treatment algorithm - Pre-procedure, future.tif"/>
                    <pic:cNvPicPr/>
                  </pic:nvPicPr>
                  <pic:blipFill>
                    <a:blip r:embed="rId13">
                      <a:extLst>
                        <a:ext uri="{28A0092B-C50C-407E-A947-70E740481C1C}">
                          <a14:useLocalDpi xmlns:a14="http://schemas.microsoft.com/office/drawing/2010/main" val="0"/>
                        </a:ext>
                      </a:extLst>
                    </a:blip>
                    <a:stretch>
                      <a:fillRect/>
                    </a:stretch>
                  </pic:blipFill>
                  <pic:spPr>
                    <a:xfrm>
                      <a:off x="0" y="0"/>
                      <a:ext cx="4626864" cy="5797296"/>
                    </a:xfrm>
                    <a:prstGeom prst="rect">
                      <a:avLst/>
                    </a:prstGeom>
                  </pic:spPr>
                </pic:pic>
              </a:graphicData>
            </a:graphic>
          </wp:inline>
        </w:drawing>
      </w:r>
    </w:p>
    <w:p w14:paraId="4701218D" w14:textId="77777777" w:rsidR="004B6482" w:rsidRDefault="004B6482" w:rsidP="004B6482">
      <w:pPr>
        <w:pStyle w:val="TableFootnotes1"/>
      </w:pPr>
      <w:r w:rsidRPr="00022CBE">
        <w:rPr>
          <w:b/>
          <w:lang w:val="en-GB" w:eastAsia="ja-JP"/>
        </w:rPr>
        <w:t>Source:</w:t>
      </w:r>
      <w:r>
        <w:rPr>
          <w:lang w:val="en-GB" w:eastAsia="ja-JP"/>
        </w:rPr>
        <w:t xml:space="preserve"> based on recommendations from the</w:t>
      </w:r>
      <w:r>
        <w:t xml:space="preserve"> ASCIA Position Paper (Katelaris et al, 2012).</w:t>
      </w:r>
    </w:p>
    <w:p w14:paraId="1171034E" w14:textId="77777777" w:rsidR="004B6482" w:rsidRDefault="004B6482" w:rsidP="004B6482">
      <w:pPr>
        <w:pStyle w:val="LastTableFootnote"/>
        <w:rPr>
          <w:lang w:val="en-GB" w:eastAsia="ja-JP"/>
        </w:rPr>
      </w:pPr>
      <w:r w:rsidRPr="003E4CE5">
        <w:rPr>
          <w:b/>
          <w:lang w:val="en-GB" w:eastAsia="ja-JP"/>
        </w:rPr>
        <w:t>Abbreviations:</w:t>
      </w:r>
      <w:r>
        <w:rPr>
          <w:lang w:val="en-GB" w:eastAsia="ja-JP"/>
        </w:rPr>
        <w:t xml:space="preserve"> C1-INH, C1 esterase inhibitor concentrate; TA, tranexamic acid</w:t>
      </w:r>
    </w:p>
    <w:p w14:paraId="7650D4DA" w14:textId="0EBA63F2" w:rsidR="0036075E" w:rsidRDefault="0036075E" w:rsidP="004D65E2">
      <w:pPr>
        <w:pStyle w:val="Heading3"/>
        <w:numPr>
          <w:ilvl w:val="0"/>
          <w:numId w:val="0"/>
        </w:numPr>
      </w:pPr>
      <w:bookmarkStart w:id="59" w:name="_Toc400097951"/>
      <w:r>
        <w:t>Clinical place for routine prophylaxis</w:t>
      </w:r>
      <w:bookmarkEnd w:id="59"/>
    </w:p>
    <w:p w14:paraId="6B25C1F8" w14:textId="02946FB3" w:rsidR="00A84A0A" w:rsidRDefault="00411918" w:rsidP="00197895">
      <w:pPr>
        <w:pStyle w:val="BodyText"/>
        <w:rPr>
          <w:lang w:val="en-GB" w:eastAsia="ja-JP"/>
        </w:rPr>
      </w:pPr>
      <w:r>
        <w:rPr>
          <w:lang w:val="en-GB" w:eastAsia="ja-JP"/>
        </w:rPr>
        <w:fldChar w:fldCharType="begin"/>
      </w:r>
      <w:r>
        <w:rPr>
          <w:lang w:val="en-GB" w:eastAsia="ja-JP"/>
        </w:rPr>
        <w:instrText xml:space="preserve"> REF _Ref396836833 \h </w:instrText>
      </w:r>
      <w:r>
        <w:rPr>
          <w:lang w:val="en-GB" w:eastAsia="ja-JP"/>
        </w:rPr>
      </w:r>
      <w:r>
        <w:rPr>
          <w:lang w:val="en-GB" w:eastAsia="ja-JP"/>
        </w:rPr>
        <w:fldChar w:fldCharType="separate"/>
      </w:r>
      <w:r w:rsidR="00847595">
        <w:t xml:space="preserve">Figure </w:t>
      </w:r>
      <w:r w:rsidR="00847595">
        <w:rPr>
          <w:noProof/>
        </w:rPr>
        <w:t>6</w:t>
      </w:r>
      <w:r>
        <w:rPr>
          <w:lang w:val="en-GB" w:eastAsia="ja-JP"/>
        </w:rPr>
        <w:fldChar w:fldCharType="end"/>
      </w:r>
      <w:r>
        <w:rPr>
          <w:lang w:val="en-GB" w:eastAsia="ja-JP"/>
        </w:rPr>
        <w:t xml:space="preserve"> </w:t>
      </w:r>
      <w:r w:rsidR="006076FA">
        <w:rPr>
          <w:lang w:val="en-GB" w:eastAsia="ja-JP"/>
        </w:rPr>
        <w:t xml:space="preserve">depicts </w:t>
      </w:r>
      <w:r w:rsidR="006076FA" w:rsidRPr="00943F42">
        <w:rPr>
          <w:lang w:val="en-GB" w:eastAsia="ja-JP"/>
        </w:rPr>
        <w:t xml:space="preserve">the </w:t>
      </w:r>
      <w:r w:rsidR="006076FA">
        <w:rPr>
          <w:lang w:val="en-GB" w:eastAsia="ja-JP"/>
        </w:rPr>
        <w:t>main features of the ASCIA guidance</w:t>
      </w:r>
      <w:r w:rsidR="006076FA" w:rsidRPr="00943F42">
        <w:rPr>
          <w:lang w:val="en-GB" w:eastAsia="ja-JP"/>
        </w:rPr>
        <w:t xml:space="preserve"> </w:t>
      </w:r>
      <w:r w:rsidR="007E0D08">
        <w:rPr>
          <w:lang w:val="en-GB" w:eastAsia="ja-JP"/>
        </w:rPr>
        <w:t xml:space="preserve">(Katelaris et al, 2012) </w:t>
      </w:r>
      <w:r w:rsidR="006076FA" w:rsidRPr="00943F42">
        <w:rPr>
          <w:lang w:val="en-GB" w:eastAsia="ja-JP"/>
        </w:rPr>
        <w:t xml:space="preserve">for </w:t>
      </w:r>
      <w:r w:rsidR="006076FA">
        <w:rPr>
          <w:lang w:val="en-GB" w:eastAsia="ja-JP"/>
        </w:rPr>
        <w:t>routine prophylaxis</w:t>
      </w:r>
      <w:r w:rsidR="007E0D08">
        <w:rPr>
          <w:lang w:val="en-GB" w:eastAsia="ja-JP"/>
        </w:rPr>
        <w:t xml:space="preserve"> under the current funding arrangements</w:t>
      </w:r>
      <w:r w:rsidR="006076FA">
        <w:rPr>
          <w:lang w:val="en-GB" w:eastAsia="ja-JP"/>
        </w:rPr>
        <w:t xml:space="preserve">. </w:t>
      </w:r>
      <w:r w:rsidR="002758F5">
        <w:rPr>
          <w:lang w:val="en-GB" w:eastAsia="ja-JP"/>
        </w:rPr>
        <w:t>ASCIA states that u</w:t>
      </w:r>
      <w:r w:rsidR="002758F5" w:rsidRPr="002758F5">
        <w:rPr>
          <w:lang w:val="en-GB" w:eastAsia="ja-JP"/>
        </w:rPr>
        <w:t>niform criteria directing the use of prophylactic therapy have not been established</w:t>
      </w:r>
      <w:r w:rsidR="002758F5">
        <w:rPr>
          <w:lang w:val="en-GB" w:eastAsia="ja-JP"/>
        </w:rPr>
        <w:t xml:space="preserve">, </w:t>
      </w:r>
      <w:r w:rsidR="006076FA">
        <w:rPr>
          <w:lang w:val="en-GB" w:eastAsia="ja-JP"/>
        </w:rPr>
        <w:t>but recommends that routine prophylaxis is considered if certain patient criteria are met (frequen</w:t>
      </w:r>
      <w:r w:rsidR="00682D95">
        <w:rPr>
          <w:lang w:val="en-GB" w:eastAsia="ja-JP"/>
        </w:rPr>
        <w:t>t</w:t>
      </w:r>
      <w:r w:rsidR="00B72DA5">
        <w:rPr>
          <w:lang w:val="en-GB" w:eastAsia="ja-JP"/>
        </w:rPr>
        <w:t xml:space="preserve"> </w:t>
      </w:r>
      <w:r w:rsidR="006076FA">
        <w:rPr>
          <w:lang w:val="en-GB" w:eastAsia="ja-JP"/>
        </w:rPr>
        <w:t>attacks, sever</w:t>
      </w:r>
      <w:r w:rsidR="00682D95">
        <w:rPr>
          <w:lang w:val="en-GB" w:eastAsia="ja-JP"/>
        </w:rPr>
        <w:t>e</w:t>
      </w:r>
      <w:r w:rsidR="006076FA">
        <w:rPr>
          <w:lang w:val="en-GB" w:eastAsia="ja-JP"/>
        </w:rPr>
        <w:t xml:space="preserve"> attacks, </w:t>
      </w:r>
      <w:r w:rsidR="00BD30DB">
        <w:rPr>
          <w:lang w:val="en-GB" w:eastAsia="ja-JP"/>
        </w:rPr>
        <w:t xml:space="preserve">remote or rural </w:t>
      </w:r>
      <w:r w:rsidR="006076FA">
        <w:rPr>
          <w:lang w:val="en-GB" w:eastAsia="ja-JP"/>
        </w:rPr>
        <w:t>location of patient</w:t>
      </w:r>
      <w:r w:rsidR="00B72DA5">
        <w:rPr>
          <w:lang w:val="en-GB" w:eastAsia="ja-JP"/>
        </w:rPr>
        <w:t>,</w:t>
      </w:r>
      <w:r w:rsidR="006076FA">
        <w:rPr>
          <w:lang w:val="en-GB" w:eastAsia="ja-JP"/>
        </w:rPr>
        <w:t xml:space="preserve"> etc.). </w:t>
      </w:r>
      <w:r w:rsidR="005F2314">
        <w:rPr>
          <w:lang w:val="en-GB" w:eastAsia="ja-JP"/>
        </w:rPr>
        <w:t>D</w:t>
      </w:r>
      <w:r w:rsidR="00620FF2">
        <w:rPr>
          <w:lang w:val="en-GB" w:eastAsia="ja-JP"/>
        </w:rPr>
        <w:t xml:space="preserve">anazol </w:t>
      </w:r>
      <w:r w:rsidR="005F2314">
        <w:rPr>
          <w:lang w:val="en-GB" w:eastAsia="ja-JP"/>
        </w:rPr>
        <w:t xml:space="preserve">is the most commonly administered option for routine prophylaxis, but where this is contraindicated, not tolerated or ineffective, </w:t>
      </w:r>
      <w:r w:rsidR="00B95FC8">
        <w:rPr>
          <w:lang w:val="en-GB" w:eastAsia="ja-JP"/>
        </w:rPr>
        <w:t>tranexamic acid c</w:t>
      </w:r>
      <w:r w:rsidR="00A84A0A">
        <w:rPr>
          <w:lang w:val="en-GB" w:eastAsia="ja-JP"/>
        </w:rPr>
        <w:t>an be used.</w:t>
      </w:r>
      <w:r w:rsidR="00B95FC8">
        <w:rPr>
          <w:lang w:val="en-GB" w:eastAsia="ja-JP"/>
        </w:rPr>
        <w:t xml:space="preserve"> </w:t>
      </w:r>
      <w:r w:rsidR="00A84A0A" w:rsidRPr="009C4B73">
        <w:rPr>
          <w:lang w:val="en-GB" w:eastAsia="ja-JP"/>
        </w:rPr>
        <w:t xml:space="preserve">The ASCIA Position Paper (Katelaris </w:t>
      </w:r>
      <w:r w:rsidR="00835556">
        <w:rPr>
          <w:lang w:val="en-GB" w:eastAsia="ja-JP"/>
        </w:rPr>
        <w:t xml:space="preserve">et al, </w:t>
      </w:r>
      <w:r w:rsidR="00A84A0A" w:rsidRPr="009C4B73">
        <w:rPr>
          <w:lang w:val="en-GB" w:eastAsia="ja-JP"/>
        </w:rPr>
        <w:t xml:space="preserve">2012) states </w:t>
      </w:r>
      <w:r w:rsidR="00A84A0A">
        <w:rPr>
          <w:lang w:val="en-GB" w:eastAsia="ja-JP"/>
        </w:rPr>
        <w:t xml:space="preserve">that </w:t>
      </w:r>
      <w:r w:rsidR="00A84A0A" w:rsidRPr="009C4B73">
        <w:rPr>
          <w:lang w:val="en-GB" w:eastAsia="ja-JP"/>
        </w:rPr>
        <w:t>danazol and tranexamic acid</w:t>
      </w:r>
      <w:r w:rsidR="00A84A0A">
        <w:rPr>
          <w:lang w:val="en-GB" w:eastAsia="ja-JP"/>
        </w:rPr>
        <w:t xml:space="preserve"> are the only options for routine</w:t>
      </w:r>
      <w:r w:rsidR="00A84A0A" w:rsidRPr="009C4B73">
        <w:rPr>
          <w:lang w:val="en-GB" w:eastAsia="ja-JP"/>
        </w:rPr>
        <w:t xml:space="preserve"> p</w:t>
      </w:r>
      <w:r w:rsidR="00A84A0A">
        <w:rPr>
          <w:lang w:val="en-GB" w:eastAsia="ja-JP"/>
        </w:rPr>
        <w:t xml:space="preserve">rophylaxis. However, routine </w:t>
      </w:r>
      <w:r w:rsidR="00A84A0A" w:rsidRPr="009C4B73">
        <w:rPr>
          <w:lang w:val="en-GB" w:eastAsia="ja-JP"/>
        </w:rPr>
        <w:t>prophylaxis</w:t>
      </w:r>
      <w:r w:rsidR="00A84A0A">
        <w:rPr>
          <w:lang w:val="en-GB" w:eastAsia="ja-JP"/>
        </w:rPr>
        <w:t xml:space="preserve"> using C1-INH concentrate is discussed as an optio</w:t>
      </w:r>
      <w:r w:rsidR="006076FA">
        <w:rPr>
          <w:lang w:val="en-GB" w:eastAsia="ja-JP"/>
        </w:rPr>
        <w:t>n</w:t>
      </w:r>
      <w:r w:rsidR="0060672F">
        <w:rPr>
          <w:lang w:val="en-GB" w:eastAsia="ja-JP"/>
        </w:rPr>
        <w:t>: t</w:t>
      </w:r>
      <w:r w:rsidR="006076FA">
        <w:rPr>
          <w:lang w:val="en-GB" w:eastAsia="ja-JP"/>
        </w:rPr>
        <w:t xml:space="preserve">he implication is that as </w:t>
      </w:r>
      <w:r w:rsidR="00D46B55">
        <w:rPr>
          <w:lang w:val="en-GB" w:eastAsia="ja-JP"/>
        </w:rPr>
        <w:t xml:space="preserve">hospital-funded </w:t>
      </w:r>
      <w:r w:rsidR="006076FA">
        <w:rPr>
          <w:lang w:val="en-GB" w:eastAsia="ja-JP"/>
        </w:rPr>
        <w:t>C1-INH concentrate</w:t>
      </w:r>
      <w:r w:rsidR="00A84A0A">
        <w:rPr>
          <w:lang w:val="en-GB" w:eastAsia="ja-JP"/>
        </w:rPr>
        <w:t xml:space="preserve"> is not currently </w:t>
      </w:r>
      <w:r w:rsidR="00D46B55">
        <w:rPr>
          <w:lang w:val="en-GB" w:eastAsia="ja-JP"/>
        </w:rPr>
        <w:t xml:space="preserve">available </w:t>
      </w:r>
      <w:r w:rsidR="00A84A0A">
        <w:rPr>
          <w:lang w:val="en-GB" w:eastAsia="ja-JP"/>
        </w:rPr>
        <w:t>for routine prophylaxi</w:t>
      </w:r>
      <w:r w:rsidR="00EF25D7">
        <w:rPr>
          <w:lang w:val="en-GB" w:eastAsia="ja-JP"/>
        </w:rPr>
        <w:t>s, it is considered not to be a currently</w:t>
      </w:r>
      <w:r w:rsidR="00A84A0A">
        <w:rPr>
          <w:lang w:val="en-GB" w:eastAsia="ja-JP"/>
        </w:rPr>
        <w:t xml:space="preserve"> accessible option for this indication.</w:t>
      </w:r>
    </w:p>
    <w:p w14:paraId="47BF280F" w14:textId="1D90121D" w:rsidR="00B72DA5" w:rsidRDefault="005C1278" w:rsidP="00B72DA5">
      <w:pPr>
        <w:pStyle w:val="BodyText"/>
      </w:pPr>
      <w:r>
        <w:lastRenderedPageBreak/>
        <w:t xml:space="preserve">While tranexamic acid may be used during pregnancy, </w:t>
      </w:r>
      <w:r w:rsidR="00D46B55">
        <w:t>some clinicians</w:t>
      </w:r>
      <w:r>
        <w:t xml:space="preserve"> may consider it contraindicated for pregnancy due to the Category B1 classification. Similarly, due to the precautions associated with tranexamic acid</w:t>
      </w:r>
      <w:r w:rsidR="00682D95">
        <w:t>,</w:t>
      </w:r>
      <w:r>
        <w:t xml:space="preserve"> it is possible that some patients would opt for no prophylaxis rather than taking it while breastfeeding. </w:t>
      </w:r>
      <w:bookmarkStart w:id="60" w:name="_Ref395536983"/>
    </w:p>
    <w:p w14:paraId="479D196F" w14:textId="0B709B13" w:rsidR="00D655B7" w:rsidRDefault="00D655B7" w:rsidP="00D655B7">
      <w:pPr>
        <w:pStyle w:val="Caption"/>
        <w:rPr>
          <w:lang w:val="en-GB" w:eastAsia="ja-JP"/>
        </w:rPr>
      </w:pPr>
      <w:bookmarkStart w:id="61" w:name="_Ref396836833"/>
      <w:r>
        <w:t xml:space="preserve">Figure </w:t>
      </w:r>
      <w:r w:rsidR="00EA5D58">
        <w:fldChar w:fldCharType="begin"/>
      </w:r>
      <w:r w:rsidR="00EA5D58">
        <w:instrText xml:space="preserve"> SEQ Figure \* ARABIC </w:instrText>
      </w:r>
      <w:r w:rsidR="00EA5D58">
        <w:fldChar w:fldCharType="separate"/>
      </w:r>
      <w:r w:rsidR="00847595">
        <w:rPr>
          <w:noProof/>
        </w:rPr>
        <w:t>6</w:t>
      </w:r>
      <w:r w:rsidR="00EA5D58">
        <w:rPr>
          <w:noProof/>
        </w:rPr>
        <w:fldChar w:fldCharType="end"/>
      </w:r>
      <w:bookmarkEnd w:id="60"/>
      <w:bookmarkEnd w:id="61"/>
      <w:r>
        <w:tab/>
      </w:r>
      <w:r w:rsidR="00835556">
        <w:t>Clinical management algorithm for r</w:t>
      </w:r>
      <w:r>
        <w:t xml:space="preserve">outine prophylaxis </w:t>
      </w:r>
      <w:r w:rsidR="007E0D08">
        <w:t>–</w:t>
      </w:r>
      <w:r w:rsidR="00835556">
        <w:t xml:space="preserve"> </w:t>
      </w:r>
      <w:r>
        <w:t xml:space="preserve">current </w:t>
      </w:r>
      <w:r w:rsidR="00835556">
        <w:t>funding arrangement</w:t>
      </w:r>
    </w:p>
    <w:p w14:paraId="602BF496" w14:textId="74374F43" w:rsidR="00D655B7" w:rsidRPr="00D655B7" w:rsidRDefault="00D655B7" w:rsidP="003E4CE5">
      <w:pPr>
        <w:pStyle w:val="BodyText"/>
        <w:pBdr>
          <w:top w:val="single" w:sz="4" w:space="1" w:color="auto"/>
          <w:left w:val="single" w:sz="4" w:space="4" w:color="auto"/>
          <w:bottom w:val="single" w:sz="4" w:space="1" w:color="auto"/>
          <w:right w:val="single" w:sz="4" w:space="4" w:color="auto"/>
        </w:pBdr>
        <w:jc w:val="center"/>
        <w:rPr>
          <w:rStyle w:val="PicChar"/>
        </w:rPr>
      </w:pPr>
      <w:r>
        <w:rPr>
          <w:noProof/>
          <w:lang w:eastAsia="en-AU"/>
        </w:rPr>
        <w:drawing>
          <wp:inline distT="0" distB="0" distL="0" distR="0" wp14:anchorId="08E8AA97" wp14:editId="3BAD6C44">
            <wp:extent cx="5168270" cy="4675772"/>
            <wp:effectExtent l="0" t="0" r="0" b="0"/>
            <wp:docPr id="6" name="Picture 6" descr="This chart outlines the decision pathways in current clinical management for routine prophylaxis, with current funding arrangements." title="Figure 6 - Clinical management algorithm for routine prophylaxis - current funding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linical decision pathway - Routine prophylaxis, current.tif"/>
                    <pic:cNvPicPr/>
                  </pic:nvPicPr>
                  <pic:blipFill>
                    <a:blip r:embed="rId14">
                      <a:extLst>
                        <a:ext uri="{28A0092B-C50C-407E-A947-70E740481C1C}">
                          <a14:useLocalDpi xmlns:a14="http://schemas.microsoft.com/office/drawing/2010/main" val="0"/>
                        </a:ext>
                      </a:extLst>
                    </a:blip>
                    <a:stretch>
                      <a:fillRect/>
                    </a:stretch>
                  </pic:blipFill>
                  <pic:spPr>
                    <a:xfrm>
                      <a:off x="0" y="0"/>
                      <a:ext cx="5168270" cy="4675772"/>
                    </a:xfrm>
                    <a:prstGeom prst="rect">
                      <a:avLst/>
                    </a:prstGeom>
                  </pic:spPr>
                </pic:pic>
              </a:graphicData>
            </a:graphic>
          </wp:inline>
        </w:drawing>
      </w:r>
    </w:p>
    <w:p w14:paraId="4253091E" w14:textId="30A526F8" w:rsidR="00943F42" w:rsidRDefault="00943F42" w:rsidP="003E4CE5">
      <w:pPr>
        <w:pStyle w:val="TableFootnotes1"/>
      </w:pPr>
      <w:r w:rsidRPr="00022CBE">
        <w:rPr>
          <w:b/>
          <w:lang w:val="en-GB" w:eastAsia="ja-JP"/>
        </w:rPr>
        <w:t>Source:</w:t>
      </w:r>
      <w:r>
        <w:rPr>
          <w:lang w:val="en-GB" w:eastAsia="ja-JP"/>
        </w:rPr>
        <w:t xml:space="preserve"> based on recommendations from the</w:t>
      </w:r>
      <w:r>
        <w:t xml:space="preserve"> ASCIA Position Paper (Katelaris </w:t>
      </w:r>
      <w:r w:rsidR="00835556">
        <w:t xml:space="preserve">et al, </w:t>
      </w:r>
      <w:r>
        <w:t>2012).</w:t>
      </w:r>
    </w:p>
    <w:p w14:paraId="38FD0991" w14:textId="77777777" w:rsidR="00054399" w:rsidRDefault="00054399" w:rsidP="00054399">
      <w:pPr>
        <w:pStyle w:val="TableFootnotes1"/>
        <w:rPr>
          <w:lang w:val="en-GB" w:eastAsia="ja-JP"/>
        </w:rPr>
      </w:pPr>
      <w:r w:rsidRPr="003E4CE5">
        <w:rPr>
          <w:b/>
          <w:lang w:val="en-GB" w:eastAsia="ja-JP"/>
        </w:rPr>
        <w:t>Abbreviations:</w:t>
      </w:r>
      <w:r>
        <w:rPr>
          <w:lang w:val="en-GB" w:eastAsia="ja-JP"/>
        </w:rPr>
        <w:t xml:space="preserve"> C1-INH, C1 esterase inhibitor concentrate; HAE, hereditary angioedema; TA, tranexamic acid </w:t>
      </w:r>
    </w:p>
    <w:p w14:paraId="2AF8225C" w14:textId="199B797A" w:rsidR="003E4CE5" w:rsidRDefault="003E4CE5" w:rsidP="003E4CE5">
      <w:pPr>
        <w:pStyle w:val="TableFootnotes1"/>
        <w:rPr>
          <w:lang w:val="en-GB" w:eastAsia="ja-JP"/>
        </w:rPr>
      </w:pPr>
      <w:r>
        <w:rPr>
          <w:b/>
          <w:lang w:val="en-GB" w:eastAsia="ja-JP"/>
        </w:rPr>
        <w:t xml:space="preserve">a </w:t>
      </w:r>
      <w:r w:rsidRPr="003E4CE5">
        <w:rPr>
          <w:lang w:val="en-GB" w:eastAsia="ja-JP"/>
        </w:rPr>
        <w:t>Tranexamic acid in pregnancy is rated Category B1</w:t>
      </w:r>
    </w:p>
    <w:p w14:paraId="61F42AEB" w14:textId="4AD4B6E2" w:rsidR="00B95FC8" w:rsidRPr="00B95FC8" w:rsidRDefault="00B95FC8" w:rsidP="00054399">
      <w:pPr>
        <w:pStyle w:val="LastTableFootnote"/>
        <w:rPr>
          <w:lang w:val="en-GB" w:eastAsia="ja-JP"/>
        </w:rPr>
      </w:pPr>
      <w:r>
        <w:rPr>
          <w:b/>
          <w:lang w:val="en-GB" w:eastAsia="ja-JP"/>
        </w:rPr>
        <w:t xml:space="preserve">b </w:t>
      </w:r>
      <w:r w:rsidR="009C4B73">
        <w:rPr>
          <w:lang w:val="en-GB" w:eastAsia="ja-JP"/>
        </w:rPr>
        <w:t xml:space="preserve">The ASCIA Position Paper (Katelaris </w:t>
      </w:r>
      <w:r w:rsidR="00835556">
        <w:rPr>
          <w:lang w:val="en-GB" w:eastAsia="ja-JP"/>
        </w:rPr>
        <w:t xml:space="preserve">et al, </w:t>
      </w:r>
      <w:r w:rsidR="009C4B73">
        <w:rPr>
          <w:lang w:val="en-GB" w:eastAsia="ja-JP"/>
        </w:rPr>
        <w:t xml:space="preserve">2012) states that ‘The only options for long term prophylaxis are danazol and tranexamic acid’. Long-term prophylaxis using C1-INH concentrate is discussed as an option, but as it is not currently funded, it may be considered to be currently inaccessible to patients. </w:t>
      </w:r>
    </w:p>
    <w:p w14:paraId="012D53D0" w14:textId="12A04CE6" w:rsidR="0057743E" w:rsidRDefault="0057743E" w:rsidP="0057743E">
      <w:pPr>
        <w:pStyle w:val="BodyText"/>
        <w:rPr>
          <w:lang w:val="en-GB" w:eastAsia="ja-JP"/>
        </w:rPr>
      </w:pPr>
      <w:r>
        <w:rPr>
          <w:lang w:val="en-GB" w:eastAsia="ja-JP"/>
        </w:rPr>
        <w:fldChar w:fldCharType="begin"/>
      </w:r>
      <w:r>
        <w:rPr>
          <w:lang w:val="en-GB" w:eastAsia="ja-JP"/>
        </w:rPr>
        <w:instrText xml:space="preserve"> REF _Ref395540920 \h </w:instrText>
      </w:r>
      <w:r>
        <w:rPr>
          <w:lang w:val="en-GB" w:eastAsia="ja-JP"/>
        </w:rPr>
      </w:r>
      <w:r>
        <w:rPr>
          <w:lang w:val="en-GB" w:eastAsia="ja-JP"/>
        </w:rPr>
        <w:fldChar w:fldCharType="separate"/>
      </w:r>
      <w:r w:rsidR="00847595">
        <w:t xml:space="preserve">Figure </w:t>
      </w:r>
      <w:r w:rsidR="00847595">
        <w:rPr>
          <w:noProof/>
        </w:rPr>
        <w:t>7</w:t>
      </w:r>
      <w:r>
        <w:rPr>
          <w:lang w:val="en-GB" w:eastAsia="ja-JP"/>
        </w:rPr>
        <w:fldChar w:fldCharType="end"/>
      </w:r>
      <w:r>
        <w:rPr>
          <w:lang w:val="en-GB" w:eastAsia="ja-JP"/>
        </w:rPr>
        <w:t xml:space="preserve"> shows </w:t>
      </w:r>
      <w:r w:rsidR="00467433">
        <w:rPr>
          <w:lang w:val="en-GB" w:eastAsia="ja-JP"/>
        </w:rPr>
        <w:t>the</w:t>
      </w:r>
      <w:r>
        <w:rPr>
          <w:lang w:val="en-GB" w:eastAsia="ja-JP"/>
        </w:rPr>
        <w:t xml:space="preserve"> potential scenario if C1-INH concentrate is listed on the NPSL, making it a viable option for routine prophylaxis</w:t>
      </w:r>
      <w:r w:rsidR="00467433">
        <w:rPr>
          <w:lang w:val="en-GB" w:eastAsia="ja-JP"/>
        </w:rPr>
        <w:t xml:space="preserve"> after the failure of oral therapy</w:t>
      </w:r>
      <w:r>
        <w:rPr>
          <w:lang w:val="en-GB" w:eastAsia="ja-JP"/>
        </w:rPr>
        <w:t xml:space="preserve">. </w:t>
      </w:r>
      <w:r w:rsidR="0088584E">
        <w:rPr>
          <w:lang w:val="en-GB" w:eastAsia="ja-JP"/>
        </w:rPr>
        <w:t xml:space="preserve">While uniform criteria are not established for routine prophylaxis with oral therapies, access to C1-INH concentrate for this indication may require specific eligibility criteria. These may align with those indicated for the use of oral therapies shown in </w:t>
      </w:r>
      <w:r w:rsidR="0088584E">
        <w:rPr>
          <w:lang w:val="en-GB" w:eastAsia="ja-JP"/>
        </w:rPr>
        <w:fldChar w:fldCharType="begin"/>
      </w:r>
      <w:r w:rsidR="0088584E">
        <w:rPr>
          <w:lang w:val="en-GB" w:eastAsia="ja-JP"/>
        </w:rPr>
        <w:instrText xml:space="preserve"> REF _Ref395540920 \h </w:instrText>
      </w:r>
      <w:r w:rsidR="0088584E">
        <w:rPr>
          <w:lang w:val="en-GB" w:eastAsia="ja-JP"/>
        </w:rPr>
      </w:r>
      <w:r w:rsidR="0088584E">
        <w:rPr>
          <w:lang w:val="en-GB" w:eastAsia="ja-JP"/>
        </w:rPr>
        <w:fldChar w:fldCharType="separate"/>
      </w:r>
      <w:r w:rsidR="00847595">
        <w:t xml:space="preserve">Figure </w:t>
      </w:r>
      <w:r w:rsidR="00847595">
        <w:rPr>
          <w:noProof/>
        </w:rPr>
        <w:t>7</w:t>
      </w:r>
      <w:r w:rsidR="0088584E">
        <w:rPr>
          <w:lang w:val="en-GB" w:eastAsia="ja-JP"/>
        </w:rPr>
        <w:fldChar w:fldCharType="end"/>
      </w:r>
      <w:r w:rsidR="0088584E">
        <w:rPr>
          <w:lang w:val="en-GB" w:eastAsia="ja-JP"/>
        </w:rPr>
        <w:t xml:space="preserve">, or they may be more restrictive, perhaps specifying the </w:t>
      </w:r>
      <w:r w:rsidR="00B72DA5">
        <w:rPr>
          <w:lang w:val="en-GB" w:eastAsia="ja-JP"/>
        </w:rPr>
        <w:t>history of</w:t>
      </w:r>
      <w:r w:rsidR="0088584E">
        <w:rPr>
          <w:lang w:val="en-GB" w:eastAsia="ja-JP"/>
        </w:rPr>
        <w:t xml:space="preserve"> attack</w:t>
      </w:r>
      <w:r w:rsidR="0088584E" w:rsidRPr="0088584E">
        <w:rPr>
          <w:lang w:val="en-GB" w:eastAsia="ja-JP"/>
        </w:rPr>
        <w:t xml:space="preserve"> </w:t>
      </w:r>
      <w:r w:rsidR="0088584E">
        <w:rPr>
          <w:lang w:val="en-GB" w:eastAsia="ja-JP"/>
        </w:rPr>
        <w:t xml:space="preserve">frequency while on oral therapy. Without specific restrictive criteria, it is possible that C1-INH concentrate could replace oral therapies for routine prophylaxis. </w:t>
      </w:r>
      <w:r>
        <w:rPr>
          <w:lang w:val="en-GB" w:eastAsia="ja-JP"/>
        </w:rPr>
        <w:t xml:space="preserve">Given than tranexamic </w:t>
      </w:r>
      <w:r w:rsidR="007B423A">
        <w:rPr>
          <w:lang w:val="en-GB" w:eastAsia="ja-JP"/>
        </w:rPr>
        <w:t xml:space="preserve">acid </w:t>
      </w:r>
      <w:r>
        <w:rPr>
          <w:lang w:val="en-GB" w:eastAsia="ja-JP"/>
        </w:rPr>
        <w:t xml:space="preserve">is limited by </w:t>
      </w:r>
      <w:r w:rsidR="00BD30DB">
        <w:rPr>
          <w:lang w:val="en-GB" w:eastAsia="ja-JP"/>
        </w:rPr>
        <w:t xml:space="preserve">a </w:t>
      </w:r>
      <w:r>
        <w:rPr>
          <w:lang w:val="en-GB" w:eastAsia="ja-JP"/>
        </w:rPr>
        <w:t xml:space="preserve">relative lack of efficacy, for many patients C1-INH concentrate </w:t>
      </w:r>
      <w:r w:rsidR="005C1278">
        <w:rPr>
          <w:lang w:val="en-GB" w:eastAsia="ja-JP"/>
        </w:rPr>
        <w:t xml:space="preserve">may </w:t>
      </w:r>
      <w:r>
        <w:rPr>
          <w:lang w:val="en-GB" w:eastAsia="ja-JP"/>
        </w:rPr>
        <w:t xml:space="preserve">become a preferred alternative where danazol is contraindicated or not tolerated. In addition, many patients currently </w:t>
      </w:r>
      <w:r>
        <w:rPr>
          <w:lang w:val="en-GB" w:eastAsia="ja-JP"/>
        </w:rPr>
        <w:lastRenderedPageBreak/>
        <w:t>using danazol for routine prophylaxis may switch to C1-INH concentrate as a preferred alternative offering fewer side effects (and greater disease control, either actual or perceived).</w:t>
      </w:r>
    </w:p>
    <w:p w14:paraId="288AFA2F" w14:textId="5F5B33AC" w:rsidR="00D655B7" w:rsidRDefault="00D655B7" w:rsidP="00D655B7">
      <w:pPr>
        <w:pStyle w:val="Caption"/>
        <w:rPr>
          <w:lang w:val="en-GB" w:eastAsia="ja-JP"/>
        </w:rPr>
      </w:pPr>
      <w:bookmarkStart w:id="62" w:name="_Ref395540920"/>
      <w:r>
        <w:t xml:space="preserve">Figure </w:t>
      </w:r>
      <w:r w:rsidR="00EA5D58">
        <w:fldChar w:fldCharType="begin"/>
      </w:r>
      <w:r w:rsidR="00EA5D58">
        <w:instrText xml:space="preserve"> SEQ Figure \* ARABIC </w:instrText>
      </w:r>
      <w:r w:rsidR="00EA5D58">
        <w:fldChar w:fldCharType="separate"/>
      </w:r>
      <w:r w:rsidR="00847595">
        <w:rPr>
          <w:noProof/>
        </w:rPr>
        <w:t>7</w:t>
      </w:r>
      <w:r w:rsidR="00EA5D58">
        <w:rPr>
          <w:noProof/>
        </w:rPr>
        <w:fldChar w:fldCharType="end"/>
      </w:r>
      <w:bookmarkEnd w:id="62"/>
      <w:r>
        <w:tab/>
      </w:r>
      <w:r w:rsidR="00835556">
        <w:t>Clinical management algorithm for r</w:t>
      </w:r>
      <w:r>
        <w:t xml:space="preserve">outine prophylaxis </w:t>
      </w:r>
      <w:r w:rsidR="00007F11">
        <w:t>–</w:t>
      </w:r>
      <w:r w:rsidR="00835556">
        <w:t xml:space="preserve"> proposed funding arrangement</w:t>
      </w:r>
    </w:p>
    <w:p w14:paraId="32E83D8F" w14:textId="02385EE5" w:rsidR="00197895" w:rsidRPr="00D655B7" w:rsidRDefault="00D655B7" w:rsidP="004D65E2">
      <w:pPr>
        <w:pStyle w:val="BodyText"/>
        <w:pBdr>
          <w:top w:val="single" w:sz="4" w:space="1" w:color="auto"/>
          <w:left w:val="single" w:sz="4" w:space="4" w:color="auto"/>
          <w:bottom w:val="single" w:sz="4" w:space="1" w:color="auto"/>
          <w:right w:val="single" w:sz="4" w:space="4" w:color="auto"/>
        </w:pBdr>
        <w:jc w:val="center"/>
        <w:rPr>
          <w:rStyle w:val="PicChar"/>
        </w:rPr>
      </w:pPr>
      <w:r>
        <w:rPr>
          <w:noProof/>
          <w:lang w:eastAsia="en-AU"/>
        </w:rPr>
        <w:drawing>
          <wp:inline distT="0" distB="0" distL="0" distR="0" wp14:anchorId="44A684B8" wp14:editId="40F0FAAD">
            <wp:extent cx="4909946" cy="5197440"/>
            <wp:effectExtent l="0" t="0" r="5080" b="0"/>
            <wp:docPr id="5" name="Picture 5" descr="This chart outlines the decision pathways in current clinical management for routine prophylaxis, with proposed funding arrangements." title="Figure 7 - Clinical management algorithm for routine prophylaxis - proposed funding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inical decision pathway - Routine prophylaxis, future.tif"/>
                    <pic:cNvPicPr/>
                  </pic:nvPicPr>
                  <pic:blipFill>
                    <a:blip r:embed="rId15">
                      <a:extLst>
                        <a:ext uri="{28A0092B-C50C-407E-A947-70E740481C1C}">
                          <a14:useLocalDpi xmlns:a14="http://schemas.microsoft.com/office/drawing/2010/main" val="0"/>
                        </a:ext>
                      </a:extLst>
                    </a:blip>
                    <a:stretch>
                      <a:fillRect/>
                    </a:stretch>
                  </pic:blipFill>
                  <pic:spPr>
                    <a:xfrm>
                      <a:off x="0" y="0"/>
                      <a:ext cx="4909946" cy="5197440"/>
                    </a:xfrm>
                    <a:prstGeom prst="rect">
                      <a:avLst/>
                    </a:prstGeom>
                  </pic:spPr>
                </pic:pic>
              </a:graphicData>
            </a:graphic>
          </wp:inline>
        </w:drawing>
      </w:r>
    </w:p>
    <w:p w14:paraId="1003A154" w14:textId="1DDE7373" w:rsidR="0036075E" w:rsidRDefault="004D65E2" w:rsidP="004D65E2">
      <w:pPr>
        <w:pStyle w:val="LastTableFootnote"/>
        <w:rPr>
          <w:lang w:val="en-GB" w:eastAsia="ja-JP"/>
        </w:rPr>
      </w:pPr>
      <w:r w:rsidRPr="004D65E2">
        <w:rPr>
          <w:b/>
          <w:lang w:val="en-GB" w:eastAsia="ja-JP"/>
        </w:rPr>
        <w:t>Abbreviations:</w:t>
      </w:r>
      <w:r>
        <w:rPr>
          <w:lang w:val="en-GB" w:eastAsia="ja-JP"/>
        </w:rPr>
        <w:t xml:space="preserve"> C1-INH, C1 esterase inhibitor concentrate; HAE, hereditary angioedema; TA, tranexamic acid</w:t>
      </w:r>
    </w:p>
    <w:p w14:paraId="5BA8EAB4" w14:textId="51F893FD" w:rsidR="0057743E" w:rsidRDefault="0057743E" w:rsidP="000D53D9">
      <w:pPr>
        <w:pStyle w:val="Heading4"/>
      </w:pPr>
      <w:r>
        <w:t>Cinryze and Berinert for routine prophylaxis</w:t>
      </w:r>
    </w:p>
    <w:p w14:paraId="545728DC" w14:textId="30C7298B" w:rsidR="004D65E2" w:rsidRDefault="0057743E" w:rsidP="0057743E">
      <w:pPr>
        <w:pStyle w:val="BodyText"/>
      </w:pPr>
      <w:r>
        <w:rPr>
          <w:lang w:val="en-GB" w:eastAsia="ja-JP"/>
        </w:rPr>
        <w:t>Only Cinryze is TGA-ap</w:t>
      </w:r>
      <w:r w:rsidR="00E97982">
        <w:rPr>
          <w:lang w:val="en-GB" w:eastAsia="ja-JP"/>
        </w:rPr>
        <w:t xml:space="preserve">proved for routine prophylaxis but </w:t>
      </w:r>
      <w:r>
        <w:rPr>
          <w:lang w:val="en-GB" w:eastAsia="ja-JP"/>
        </w:rPr>
        <w:t xml:space="preserve">that approval is restricted to patients 12 years of age and older (see </w:t>
      </w:r>
      <w:r>
        <w:rPr>
          <w:lang w:val="en-GB" w:eastAsia="ja-JP"/>
        </w:rPr>
        <w:fldChar w:fldCharType="begin"/>
      </w:r>
      <w:r>
        <w:rPr>
          <w:lang w:val="en-GB" w:eastAsia="ja-JP"/>
        </w:rPr>
        <w:instrText xml:space="preserve"> REF _Ref395272225 \h </w:instrText>
      </w:r>
      <w:r>
        <w:rPr>
          <w:lang w:val="en-GB" w:eastAsia="ja-JP"/>
        </w:rPr>
      </w:r>
      <w:r>
        <w:rPr>
          <w:lang w:val="en-GB" w:eastAsia="ja-JP"/>
        </w:rPr>
        <w:fldChar w:fldCharType="separate"/>
      </w:r>
      <w:r w:rsidR="00847595">
        <w:t xml:space="preserve">Table </w:t>
      </w:r>
      <w:r w:rsidR="00847595">
        <w:rPr>
          <w:noProof/>
        </w:rPr>
        <w:t>4</w:t>
      </w:r>
      <w:r>
        <w:rPr>
          <w:lang w:val="en-GB" w:eastAsia="ja-JP"/>
        </w:rPr>
        <w:fldChar w:fldCharType="end"/>
      </w:r>
      <w:r>
        <w:rPr>
          <w:lang w:val="en-GB" w:eastAsia="ja-JP"/>
        </w:rPr>
        <w:t xml:space="preserve">). </w:t>
      </w:r>
      <w:r>
        <w:t>ASCIA does not specify age restrictions on the use of C1-INH concentrate for routine prophylaxis.</w:t>
      </w:r>
      <w:r w:rsidR="004D65E2">
        <w:t xml:space="preserve"> </w:t>
      </w:r>
      <w:r w:rsidR="00E97982">
        <w:t xml:space="preserve">If listed on the NPSL, </w:t>
      </w:r>
      <w:r w:rsidR="00F856E6">
        <w:t xml:space="preserve">it is possible that </w:t>
      </w:r>
      <w:r w:rsidR="00E97982">
        <w:t xml:space="preserve">Cinryze </w:t>
      </w:r>
      <w:r w:rsidR="00F856E6">
        <w:t xml:space="preserve">will be used </w:t>
      </w:r>
      <w:r w:rsidR="00E97982">
        <w:t>in</w:t>
      </w:r>
      <w:r>
        <w:t xml:space="preserve"> paediatric patients for </w:t>
      </w:r>
      <w:r w:rsidR="00E97982">
        <w:t>routine prophylaxis.</w:t>
      </w:r>
      <w:r>
        <w:t xml:space="preserve"> </w:t>
      </w:r>
    </w:p>
    <w:p w14:paraId="31DF5319" w14:textId="4085BC74" w:rsidR="004D65E2" w:rsidRDefault="00E97982" w:rsidP="0057743E">
      <w:pPr>
        <w:pStyle w:val="BodyText"/>
      </w:pPr>
      <w:r>
        <w:rPr>
          <w:lang w:val="en-GB" w:eastAsia="ja-JP"/>
        </w:rPr>
        <w:t xml:space="preserve">Berinert is not TGA-approved for routine (or pre-procedure) prophylactic use. </w:t>
      </w:r>
      <w:r w:rsidR="004D65E2">
        <w:rPr>
          <w:lang w:val="en-GB" w:eastAsia="ja-JP"/>
        </w:rPr>
        <w:t xml:space="preserve">The </w:t>
      </w:r>
      <w:r w:rsidR="00F856E6">
        <w:rPr>
          <w:lang w:val="en-GB" w:eastAsia="ja-JP"/>
        </w:rPr>
        <w:t xml:space="preserve">CSL Behring </w:t>
      </w:r>
      <w:r w:rsidR="004D65E2">
        <w:rPr>
          <w:lang w:val="en-GB" w:eastAsia="ja-JP"/>
        </w:rPr>
        <w:t xml:space="preserve">application does not propose inclusion </w:t>
      </w:r>
      <w:r w:rsidR="00F856E6">
        <w:rPr>
          <w:lang w:val="en-GB" w:eastAsia="ja-JP"/>
        </w:rPr>
        <w:t xml:space="preserve">of Berinert </w:t>
      </w:r>
      <w:r w:rsidR="004D65E2">
        <w:rPr>
          <w:lang w:val="en-GB" w:eastAsia="ja-JP"/>
        </w:rPr>
        <w:t>on the NPSL for routine prophylaxis.</w:t>
      </w:r>
      <w:r w:rsidR="0070268C">
        <w:rPr>
          <w:lang w:val="en-GB" w:eastAsia="ja-JP"/>
        </w:rPr>
        <w:t xml:space="preserve"> However, i</w:t>
      </w:r>
      <w:r>
        <w:rPr>
          <w:lang w:val="en-GB" w:eastAsia="ja-JP"/>
        </w:rPr>
        <w:t xml:space="preserve">f listed on the NPSL, </w:t>
      </w:r>
      <w:r w:rsidR="004F27CD">
        <w:rPr>
          <w:lang w:val="en-GB" w:eastAsia="ja-JP"/>
        </w:rPr>
        <w:t>it is possible that</w:t>
      </w:r>
      <w:r>
        <w:rPr>
          <w:lang w:val="en-GB" w:eastAsia="ja-JP"/>
        </w:rPr>
        <w:t xml:space="preserve"> Berinert </w:t>
      </w:r>
      <w:r w:rsidR="00F856E6">
        <w:rPr>
          <w:lang w:val="en-GB" w:eastAsia="ja-JP"/>
        </w:rPr>
        <w:t xml:space="preserve">will be used </w:t>
      </w:r>
      <w:r>
        <w:rPr>
          <w:lang w:val="en-GB" w:eastAsia="ja-JP"/>
        </w:rPr>
        <w:t>for routine prophylaxis.</w:t>
      </w:r>
    </w:p>
    <w:p w14:paraId="5674B84D" w14:textId="18C81A4C" w:rsidR="0014634D" w:rsidRDefault="0005552C" w:rsidP="0014634D">
      <w:pPr>
        <w:pStyle w:val="Heading1"/>
      </w:pPr>
      <w:bookmarkStart w:id="63" w:name="_Toc394668193"/>
      <w:bookmarkStart w:id="64" w:name="_Ref400028842"/>
      <w:bookmarkStart w:id="65" w:name="_Toc400097952"/>
      <w:r w:rsidRPr="00A34E9C">
        <w:lastRenderedPageBreak/>
        <w:t>Comparator</w:t>
      </w:r>
      <w:bookmarkEnd w:id="63"/>
      <w:r w:rsidR="005E12C0">
        <w:t>s</w:t>
      </w:r>
      <w:bookmarkEnd w:id="64"/>
      <w:bookmarkEnd w:id="65"/>
    </w:p>
    <w:p w14:paraId="66AC7384" w14:textId="06CD425E" w:rsidR="007C12CD" w:rsidRDefault="007C12CD" w:rsidP="00AB1A19">
      <w:pPr>
        <w:pStyle w:val="BodyText"/>
      </w:pPr>
      <w:r>
        <w:t xml:space="preserve">The identification of appropriate comparisons </w:t>
      </w:r>
      <w:r w:rsidR="00EF3DEF">
        <w:t xml:space="preserve">for NPSL-funded C1-INH concentrate </w:t>
      </w:r>
      <w:r>
        <w:t xml:space="preserve">is complicated by the current in-hospital use of C1-INH concentrate funded by some hospital formularies. </w:t>
      </w:r>
      <w:r w:rsidR="000F371F">
        <w:t xml:space="preserve">Inclusion on the NPSL may allow for greater community-based administration, which </w:t>
      </w:r>
      <w:r>
        <w:t xml:space="preserve">has the potential to provide superior efficacy in treating acute attacks. </w:t>
      </w:r>
      <w:r w:rsidR="00EF3DEF">
        <w:t>In addition, broader geographic</w:t>
      </w:r>
      <w:r>
        <w:t xml:space="preserve"> accessibility may bring improved quality of life to patients who </w:t>
      </w:r>
      <w:r w:rsidR="00EF3DEF">
        <w:t xml:space="preserve">currently </w:t>
      </w:r>
      <w:r>
        <w:t xml:space="preserve">need to manage their condition by remaining close to </w:t>
      </w:r>
      <w:r w:rsidR="00EF3DEF">
        <w:t xml:space="preserve">those </w:t>
      </w:r>
      <w:r>
        <w:t>hospitals that provide C1-INH concentrate</w:t>
      </w:r>
      <w:r w:rsidR="00EF3DEF">
        <w:t>. S</w:t>
      </w:r>
      <w:r>
        <w:t xml:space="preserve">o </w:t>
      </w:r>
      <w:r w:rsidR="00EF3DEF">
        <w:t>while the intervention remains the same (hospital-funded vs NPSL-funded C1-INH concentrate), the funding source has the potential to impact on patient-relevant factors.</w:t>
      </w:r>
    </w:p>
    <w:p w14:paraId="64CBCE22" w14:textId="2FED0683" w:rsidR="00EF3DEF" w:rsidRDefault="00EF3DEF" w:rsidP="00AB1A19">
      <w:pPr>
        <w:pStyle w:val="BodyText"/>
      </w:pPr>
      <w:r>
        <w:t xml:space="preserve">For these reasons, </w:t>
      </w:r>
      <w:r w:rsidR="00781DBD">
        <w:t>the assessment of</w:t>
      </w:r>
      <w:r>
        <w:t xml:space="preserve"> C1-INH concentrate</w:t>
      </w:r>
      <w:r w:rsidR="00AF4FE1">
        <w:t xml:space="preserve"> for inclusion on the NPSL requires consideration of three separate issues</w:t>
      </w:r>
      <w:r w:rsidR="00C37B77">
        <w:t>, as described below.</w:t>
      </w:r>
    </w:p>
    <w:p w14:paraId="22890DC5" w14:textId="02DE05D5" w:rsidR="00EF3DEF" w:rsidRDefault="00C37B77" w:rsidP="00736201">
      <w:pPr>
        <w:pStyle w:val="Heading2"/>
      </w:pPr>
      <w:bookmarkStart w:id="66" w:name="_Toc400097953"/>
      <w:r w:rsidRPr="00736201">
        <w:rPr>
          <w:color w:val="808080" w:themeColor="background1" w:themeShade="80"/>
        </w:rPr>
        <w:t>Treatment comparisons</w:t>
      </w:r>
      <w:r w:rsidR="00EF3DEF" w:rsidRPr="00736201">
        <w:rPr>
          <w:color w:val="808080" w:themeColor="background1" w:themeShade="80"/>
        </w:rPr>
        <w:t>: C1-INH concentrate versus other treatments</w:t>
      </w:r>
      <w:bookmarkEnd w:id="66"/>
    </w:p>
    <w:p w14:paraId="27AE6582" w14:textId="68807D50" w:rsidR="00EF3DEF" w:rsidRDefault="00EF3DEF" w:rsidP="002D5A41">
      <w:pPr>
        <w:pStyle w:val="BodyText"/>
      </w:pPr>
      <w:r>
        <w:t xml:space="preserve">This comparison will examine the relative efficacy/effectiveness and safety of C1-INH concentrate and other </w:t>
      </w:r>
      <w:r w:rsidR="00603228">
        <w:t>interventions (or no intervention)</w:t>
      </w:r>
      <w:r w:rsidR="006A7AAB">
        <w:t>.</w:t>
      </w:r>
    </w:p>
    <w:p w14:paraId="79AFEB2E" w14:textId="066B185B" w:rsidR="00EF3DEF" w:rsidRDefault="00C37B77" w:rsidP="00000D23">
      <w:pPr>
        <w:pStyle w:val="Heading3"/>
      </w:pPr>
      <w:bookmarkStart w:id="67" w:name="_Toc400097954"/>
      <w:r w:rsidRPr="00C37B77">
        <w:t>Setting</w:t>
      </w:r>
      <w:r>
        <w:t xml:space="preserve"> comparisons</w:t>
      </w:r>
      <w:r w:rsidR="00EF3DEF">
        <w:t xml:space="preserve">: </w:t>
      </w:r>
      <w:r w:rsidR="00603228">
        <w:t>community-</w:t>
      </w:r>
      <w:r w:rsidR="00EF3DEF">
        <w:t xml:space="preserve">administered </w:t>
      </w:r>
      <w:r w:rsidR="00603228">
        <w:t>versus hospital-</w:t>
      </w:r>
      <w:r w:rsidR="002D5A41">
        <w:t>administered</w:t>
      </w:r>
      <w:bookmarkEnd w:id="67"/>
    </w:p>
    <w:p w14:paraId="7C09D021" w14:textId="598D274E" w:rsidR="00603228" w:rsidRDefault="00603228" w:rsidP="002D5A41">
      <w:pPr>
        <w:pStyle w:val="BodyText"/>
      </w:pPr>
      <w:r>
        <w:t>This comparison will examine the relative efficacy/effectiveness and sa</w:t>
      </w:r>
      <w:r w:rsidR="00781DBD">
        <w:t xml:space="preserve">fety of community-administered </w:t>
      </w:r>
      <w:r>
        <w:t>and hospital-administered C1-INH concentrate.</w:t>
      </w:r>
    </w:p>
    <w:p w14:paraId="23A7135D" w14:textId="00E7FE92" w:rsidR="00EF3DEF" w:rsidRDefault="00C37B77" w:rsidP="00000D23">
      <w:pPr>
        <w:pStyle w:val="Heading3"/>
      </w:pPr>
      <w:bookmarkStart w:id="68" w:name="_Toc400097955"/>
      <w:r w:rsidRPr="00C37B77">
        <w:t>Funding</w:t>
      </w:r>
      <w:r>
        <w:t xml:space="preserve"> comparisons</w:t>
      </w:r>
      <w:r w:rsidR="00603228" w:rsidRPr="00C37B77">
        <w:t>:</w:t>
      </w:r>
      <w:r w:rsidR="00603228">
        <w:t xml:space="preserve"> NPSL-funded versus hospital-funded</w:t>
      </w:r>
      <w:bookmarkEnd w:id="68"/>
    </w:p>
    <w:p w14:paraId="69649A10" w14:textId="16974D9B" w:rsidR="00603228" w:rsidRDefault="00603228" w:rsidP="002D5A41">
      <w:pPr>
        <w:pStyle w:val="BodyText"/>
      </w:pPr>
      <w:r>
        <w:t xml:space="preserve">This comparison will examine the </w:t>
      </w:r>
      <w:r w:rsidR="00C37B77">
        <w:t xml:space="preserve">potential </w:t>
      </w:r>
      <w:r>
        <w:t>impact</w:t>
      </w:r>
      <w:r w:rsidR="00C37B77">
        <w:t xml:space="preserve"> of listing on the NPSL</w:t>
      </w:r>
      <w:r>
        <w:t xml:space="preserve"> </w:t>
      </w:r>
      <w:r w:rsidR="00C37B77">
        <w:t xml:space="preserve">on availability of C1-INH concentrate </w:t>
      </w:r>
      <w:r w:rsidR="002D5A41">
        <w:t>resulting from</w:t>
      </w:r>
      <w:r w:rsidR="00C37B77">
        <w:t xml:space="preserve"> </w:t>
      </w:r>
      <w:r>
        <w:t xml:space="preserve">changes in </w:t>
      </w:r>
      <w:r w:rsidR="00C37B77">
        <w:t xml:space="preserve">price signals (potentially lifting limits on use) and broader </w:t>
      </w:r>
      <w:r>
        <w:t xml:space="preserve">geographical </w:t>
      </w:r>
      <w:r w:rsidR="00C37B77">
        <w:t xml:space="preserve">accessibility. While not based on </w:t>
      </w:r>
      <w:r w:rsidR="00781DBD">
        <w:t xml:space="preserve">published </w:t>
      </w:r>
      <w:r w:rsidR="00C37B77">
        <w:t xml:space="preserve">clinical </w:t>
      </w:r>
      <w:r w:rsidR="00781DBD">
        <w:t>evidence</w:t>
      </w:r>
      <w:r w:rsidR="00C37B77">
        <w:t xml:space="preserve">, a framework for these considerations is appropriate and necessary for a full assessment of </w:t>
      </w:r>
      <w:r w:rsidR="00781DBD">
        <w:t xml:space="preserve">whether </w:t>
      </w:r>
      <w:r w:rsidR="00C37B77">
        <w:t xml:space="preserve">C1-INH concentrate </w:t>
      </w:r>
      <w:r w:rsidR="00781DBD">
        <w:t xml:space="preserve">should be included on the </w:t>
      </w:r>
      <w:r w:rsidR="00C37B77">
        <w:t xml:space="preserve">NPSL. </w:t>
      </w:r>
    </w:p>
    <w:p w14:paraId="3E39DF76" w14:textId="4D3E820A" w:rsidR="00000D23" w:rsidRDefault="00000D23" w:rsidP="00000D23">
      <w:pPr>
        <w:pStyle w:val="Heading2"/>
      </w:pPr>
      <w:bookmarkStart w:id="69" w:name="_Toc400097956"/>
      <w:r>
        <w:t>Treatment comparators for C1-INH concentrate</w:t>
      </w:r>
      <w:bookmarkEnd w:id="69"/>
    </w:p>
    <w:p w14:paraId="36EA3FBB" w14:textId="51DC1D81" w:rsidR="00D33D2E" w:rsidRDefault="00457AF8" w:rsidP="00AB1A19">
      <w:pPr>
        <w:pStyle w:val="BodyText"/>
      </w:pPr>
      <w:r>
        <w:t xml:space="preserve">Although </w:t>
      </w:r>
      <w:r w:rsidR="00B02A41">
        <w:t xml:space="preserve">C1-INH concentrate </w:t>
      </w:r>
      <w:r w:rsidR="006A7AAB">
        <w:t>is</w:t>
      </w:r>
      <w:r w:rsidR="00B02A41">
        <w:t xml:space="preserve"> </w:t>
      </w:r>
      <w:r w:rsidR="006A7AAB">
        <w:t xml:space="preserve">already </w:t>
      </w:r>
      <w:r w:rsidR="00C13906">
        <w:t>in use in s</w:t>
      </w:r>
      <w:r w:rsidR="00781DBD">
        <w:t>ome hospitals for acute attacks</w:t>
      </w:r>
      <w:r>
        <w:t xml:space="preserve"> and pre-procedure prophylaxis, t</w:t>
      </w:r>
      <w:r w:rsidR="00D33D2E">
        <w:t xml:space="preserve">he main </w:t>
      </w:r>
      <w:r w:rsidR="00E725A7">
        <w:t xml:space="preserve">clinical </w:t>
      </w:r>
      <w:r w:rsidR="00D33D2E">
        <w:t>comparator</w:t>
      </w:r>
      <w:r w:rsidR="00684D00">
        <w:t xml:space="preserve"> is</w:t>
      </w:r>
      <w:r w:rsidR="006A7AAB">
        <w:t xml:space="preserve"> the most appropriate alternative</w:t>
      </w:r>
      <w:r>
        <w:t xml:space="preserve"> treatment</w:t>
      </w:r>
      <w:r w:rsidR="006A7AAB">
        <w:t xml:space="preserve">. </w:t>
      </w:r>
    </w:p>
    <w:p w14:paraId="6AB93779" w14:textId="1746E456" w:rsidR="00D33D2E" w:rsidRDefault="00C10045" w:rsidP="00D33D2E">
      <w:pPr>
        <w:pStyle w:val="BodyText"/>
      </w:pPr>
      <w:r>
        <w:fldChar w:fldCharType="begin"/>
      </w:r>
      <w:r>
        <w:instrText xml:space="preserve"> REF _Ref395616601 \h </w:instrText>
      </w:r>
      <w:r>
        <w:fldChar w:fldCharType="separate"/>
      </w:r>
      <w:r w:rsidR="00847595">
        <w:t xml:space="preserve">Table </w:t>
      </w:r>
      <w:r w:rsidR="00847595">
        <w:rPr>
          <w:noProof/>
        </w:rPr>
        <w:t>7</w:t>
      </w:r>
      <w:r>
        <w:fldChar w:fldCharType="end"/>
      </w:r>
      <w:r>
        <w:t xml:space="preserve"> shows t</w:t>
      </w:r>
      <w:r w:rsidR="00000D23">
        <w:t xml:space="preserve">he </w:t>
      </w:r>
      <w:r w:rsidR="00AF0838">
        <w:t xml:space="preserve">identified </w:t>
      </w:r>
      <w:r w:rsidR="00000D23">
        <w:t xml:space="preserve">main </w:t>
      </w:r>
      <w:r w:rsidR="00457AF8">
        <w:t>clinical comparator</w:t>
      </w:r>
      <w:r w:rsidR="00000D23">
        <w:t>s</w:t>
      </w:r>
      <w:r w:rsidR="00AB1A19">
        <w:t xml:space="preserve"> for </w:t>
      </w:r>
      <w:r w:rsidR="00595073">
        <w:t>C1-INH concentrate</w:t>
      </w:r>
      <w:r w:rsidR="00000D23">
        <w:t xml:space="preserve"> for each of the three indications, and for the subpopulations of children, pregnancy and lactation</w:t>
      </w:r>
      <w:r w:rsidR="00AB1A19">
        <w:t xml:space="preserve">. </w:t>
      </w:r>
      <w:r w:rsidR="00C13906">
        <w:t>E</w:t>
      </w:r>
      <w:r w:rsidR="00C119A8">
        <w:t>ither icatibant,</w:t>
      </w:r>
      <w:r w:rsidR="002F5C13">
        <w:t xml:space="preserve"> </w:t>
      </w:r>
      <w:r w:rsidR="00C119A8">
        <w:t>danazol or tranexamic acid</w:t>
      </w:r>
      <w:r w:rsidR="00C13906">
        <w:t xml:space="preserve"> are appropriate main comparators for C1-INH concentrate,</w:t>
      </w:r>
      <w:r w:rsidR="00AB1A19">
        <w:t xml:space="preserve"> depending on the</w:t>
      </w:r>
      <w:r w:rsidR="00595073" w:rsidRPr="00595073">
        <w:t xml:space="preserve"> </w:t>
      </w:r>
      <w:r w:rsidR="00595073">
        <w:t>population</w:t>
      </w:r>
      <w:r w:rsidR="00AB1A19">
        <w:t xml:space="preserve"> </w:t>
      </w:r>
      <w:r w:rsidR="00595073">
        <w:t xml:space="preserve">and the </w:t>
      </w:r>
      <w:r w:rsidR="00AB1A19">
        <w:t>indication</w:t>
      </w:r>
      <w:r w:rsidR="00C119A8">
        <w:t>.</w:t>
      </w:r>
    </w:p>
    <w:p w14:paraId="6C8F4CE5" w14:textId="000FC361" w:rsidR="005A3E58" w:rsidRDefault="00AF0838" w:rsidP="000122AB">
      <w:pPr>
        <w:pStyle w:val="BodyText"/>
      </w:pPr>
      <w:r>
        <w:t xml:space="preserve">For acute attacks in adults, icatibant </w:t>
      </w:r>
      <w:r w:rsidR="00684D00">
        <w:t>is recommend</w:t>
      </w:r>
      <w:r>
        <w:t xml:space="preserve">ed </w:t>
      </w:r>
      <w:r w:rsidR="00C13906">
        <w:t xml:space="preserve">by ASCIA </w:t>
      </w:r>
      <w:r>
        <w:t>alongside C1-INH concentrate</w:t>
      </w:r>
      <w:r w:rsidR="00684D00">
        <w:t xml:space="preserve"> so it is the main treatment comparator</w:t>
      </w:r>
      <w:r w:rsidR="00684D00" w:rsidRPr="00CF68FC">
        <w:t xml:space="preserve"> </w:t>
      </w:r>
      <w:r w:rsidR="00684D00">
        <w:t>for this indication.</w:t>
      </w:r>
      <w:r>
        <w:t xml:space="preserve"> </w:t>
      </w:r>
    </w:p>
    <w:p w14:paraId="55D7BC06" w14:textId="0CB6E2A1" w:rsidR="005A3E58" w:rsidRDefault="00AF0838" w:rsidP="000122AB">
      <w:pPr>
        <w:pStyle w:val="BodyText"/>
      </w:pPr>
      <w:r>
        <w:t xml:space="preserve">For prophylaxis prior to major procedures such as head, neck and dental surgery, ASCIA recommends </w:t>
      </w:r>
      <w:r w:rsidR="00B02A41">
        <w:t>C1</w:t>
      </w:r>
      <w:r>
        <w:t>-INH concentrate and, ‘i</w:t>
      </w:r>
      <w:r w:rsidRPr="00AF0838">
        <w:t>f C1</w:t>
      </w:r>
      <w:r>
        <w:t>-</w:t>
      </w:r>
      <w:r w:rsidRPr="00AF0838">
        <w:t xml:space="preserve">INH concentrate is unavailable then danazol prophylaxis should be used and the procedure undertaken with great caution and with emergency facilities immediately </w:t>
      </w:r>
      <w:r w:rsidRPr="00AF0838">
        <w:lastRenderedPageBreak/>
        <w:t>available</w:t>
      </w:r>
      <w:r>
        <w:t>’</w:t>
      </w:r>
      <w:r w:rsidRPr="00AF0838">
        <w:t>.</w:t>
      </w:r>
      <w:r>
        <w:t xml:space="preserve"> Therefore danazol is the main comparator for pre-procedure prophylaxis for major surgery</w:t>
      </w:r>
      <w:r w:rsidR="005A3E58">
        <w:rPr>
          <w:rStyle w:val="FootnoteReference"/>
        </w:rPr>
        <w:footnoteReference w:id="8"/>
      </w:r>
      <w:r>
        <w:t>.</w:t>
      </w:r>
      <w:r w:rsidR="005A3E58">
        <w:t xml:space="preserve"> </w:t>
      </w:r>
    </w:p>
    <w:p w14:paraId="0A9120E4" w14:textId="77777777" w:rsidR="006B40E7" w:rsidRDefault="005A3E58" w:rsidP="00AB1A19">
      <w:pPr>
        <w:pStyle w:val="BodyText"/>
      </w:pPr>
      <w:r>
        <w:t xml:space="preserve">For routine prophylaxis, </w:t>
      </w:r>
      <w:r w:rsidR="00895857">
        <w:t>d</w:t>
      </w:r>
      <w:r w:rsidR="002F5C13">
        <w:t xml:space="preserve">anazol </w:t>
      </w:r>
      <w:r w:rsidR="00CF68FC">
        <w:t xml:space="preserve">is </w:t>
      </w:r>
      <w:r>
        <w:t>recommended</w:t>
      </w:r>
      <w:r w:rsidR="00CF68FC">
        <w:t xml:space="preserve"> </w:t>
      </w:r>
      <w:r>
        <w:t>first-line and C1-INH concentrate is second line, after failure of oral therapy</w:t>
      </w:r>
      <w:r w:rsidR="00A948DE">
        <w:t xml:space="preserve">. </w:t>
      </w:r>
      <w:r w:rsidR="00895857">
        <w:t xml:space="preserve">As there are no other options for this indication, the appropriate comparator for C1-INH concentrate </w:t>
      </w:r>
      <w:r w:rsidR="006B40E7">
        <w:t>is</w:t>
      </w:r>
      <w:r w:rsidR="00895857">
        <w:t xml:space="preserve"> no prophylaxis</w:t>
      </w:r>
      <w:r w:rsidR="006B40E7">
        <w:t xml:space="preserve"> after failed oral therapy</w:t>
      </w:r>
      <w:r w:rsidR="00895857">
        <w:t xml:space="preserve">. </w:t>
      </w:r>
    </w:p>
    <w:p w14:paraId="08876FA1" w14:textId="2B890320" w:rsidR="006B40E7" w:rsidRDefault="006B40E7" w:rsidP="00AB1A19">
      <w:pPr>
        <w:pStyle w:val="BodyText"/>
      </w:pPr>
      <w:r>
        <w:t>It should be noted that</w:t>
      </w:r>
      <w:r w:rsidR="00895857">
        <w:t xml:space="preserve"> </w:t>
      </w:r>
      <w:r w:rsidR="00A948DE">
        <w:t xml:space="preserve">danazol </w:t>
      </w:r>
      <w:r w:rsidR="00895857">
        <w:t xml:space="preserve">may continue to be used by some patients with high clinical need for prophylaxis despite </w:t>
      </w:r>
      <w:r w:rsidR="00457AF8">
        <w:t xml:space="preserve">it </w:t>
      </w:r>
      <w:r w:rsidR="00A948DE">
        <w:t xml:space="preserve">not </w:t>
      </w:r>
      <w:r w:rsidR="00895857">
        <w:t xml:space="preserve">being well </w:t>
      </w:r>
      <w:r w:rsidR="00A948DE">
        <w:t>tolerated or pr</w:t>
      </w:r>
      <w:r w:rsidR="00895857">
        <w:t>oviding</w:t>
      </w:r>
      <w:r w:rsidR="00B02A41">
        <w:t xml:space="preserve"> insufficient protection</w:t>
      </w:r>
      <w:r w:rsidR="00895857">
        <w:t xml:space="preserve">. </w:t>
      </w:r>
      <w:r>
        <w:t>For such patients routine prophylaxis with C1-INH concentrate may be indicated, and once it becomes an accessible option they may be deemed to have failed oral therapy.</w:t>
      </w:r>
    </w:p>
    <w:p w14:paraId="405DB716" w14:textId="4249B1AD" w:rsidR="0045345A" w:rsidRDefault="00CB5E30" w:rsidP="00AB1A19">
      <w:pPr>
        <w:pStyle w:val="BodyText"/>
      </w:pPr>
      <w:r>
        <w:t>In children, t</w:t>
      </w:r>
      <w:r w:rsidR="0045345A">
        <w:t xml:space="preserve">he main comparator for acute attacks </w:t>
      </w:r>
      <w:r w:rsidR="00600B30">
        <w:t>is</w:t>
      </w:r>
      <w:r w:rsidR="002F5C13">
        <w:t xml:space="preserve"> </w:t>
      </w:r>
      <w:r w:rsidR="00424196">
        <w:t>no treatment</w:t>
      </w:r>
      <w:r w:rsidR="002F5C13">
        <w:t xml:space="preserve"> </w:t>
      </w:r>
      <w:r w:rsidR="0012371A">
        <w:t>as there is no clinica</w:t>
      </w:r>
      <w:r w:rsidR="00424196">
        <w:t>l data for icatibant in children (t</w:t>
      </w:r>
      <w:r w:rsidR="002F5C13">
        <w:t>he ASCIA position is that being under 18</w:t>
      </w:r>
      <w:r w:rsidR="005D2AE9">
        <w:t xml:space="preserve"> years of age</w:t>
      </w:r>
      <w:r w:rsidR="002F5C13">
        <w:t xml:space="preserve"> is an absolute indication for C1-INH concentrate over icatibant (communication 22 August 2014)</w:t>
      </w:r>
      <w:r w:rsidR="00424196">
        <w:t>)</w:t>
      </w:r>
      <w:r w:rsidR="001B6113">
        <w:t>.</w:t>
      </w:r>
      <w:r w:rsidR="0012371A">
        <w:t xml:space="preserve"> </w:t>
      </w:r>
      <w:r w:rsidR="00086507">
        <w:t>T</w:t>
      </w:r>
      <w:r w:rsidR="00E33851">
        <w:t>he comparator for prophylaxis prior to major procedures</w:t>
      </w:r>
      <w:r w:rsidR="00E33851" w:rsidRPr="00E33851">
        <w:t xml:space="preserve"> </w:t>
      </w:r>
      <w:r w:rsidR="00E33851">
        <w:t>in children</w:t>
      </w:r>
      <w:r w:rsidR="00542DFD">
        <w:t xml:space="preserve"> </w:t>
      </w:r>
      <w:r w:rsidR="00086507">
        <w:t>is</w:t>
      </w:r>
      <w:r w:rsidR="006C54BC">
        <w:t xml:space="preserve"> danazol, which </w:t>
      </w:r>
      <w:r w:rsidR="00E33851">
        <w:t>can be us</w:t>
      </w:r>
      <w:r w:rsidR="006C54BC">
        <w:t>ed short-term in children.</w:t>
      </w:r>
      <w:r w:rsidR="00542DFD">
        <w:t xml:space="preserve"> </w:t>
      </w:r>
      <w:r w:rsidR="00086507">
        <w:t xml:space="preserve">For </w:t>
      </w:r>
      <w:r w:rsidR="00296D96">
        <w:t xml:space="preserve">routine prophylaxis </w:t>
      </w:r>
      <w:r w:rsidR="00086507">
        <w:t xml:space="preserve">the main comparator is </w:t>
      </w:r>
      <w:r w:rsidR="003E4AE3">
        <w:t>no prophylaxis after failed oral therapy</w:t>
      </w:r>
      <w:r w:rsidR="00EB4712">
        <w:t>. The only option for oral therapy</w:t>
      </w:r>
      <w:r w:rsidR="00086507">
        <w:t xml:space="preserve"> in this population is tranexamic acid</w:t>
      </w:r>
      <w:r w:rsidR="00457AF8">
        <w:t>,</w:t>
      </w:r>
      <w:r w:rsidR="003E4AE3">
        <w:t xml:space="preserve"> </w:t>
      </w:r>
      <w:r w:rsidR="00424196">
        <w:t xml:space="preserve">as danazol </w:t>
      </w:r>
      <w:r>
        <w:t>is</w:t>
      </w:r>
      <w:r w:rsidR="00296D96">
        <w:t xml:space="preserve"> contraindicated for long-term use in children. </w:t>
      </w:r>
    </w:p>
    <w:p w14:paraId="36278638" w14:textId="47606CDF" w:rsidR="00EB4712" w:rsidRPr="00EB4712" w:rsidRDefault="00600B30" w:rsidP="00EB4712">
      <w:pPr>
        <w:pStyle w:val="BodyText"/>
        <w:rPr>
          <w:lang w:val="en-GB" w:eastAsia="ja-JP"/>
        </w:rPr>
      </w:pPr>
      <w:r>
        <w:rPr>
          <w:lang w:val="en-GB" w:eastAsia="ja-JP"/>
        </w:rPr>
        <w:t>In pregnant and lactating patients, the main comparator for acute attacks is no treatment, as icatibant is classified as Category C for pregnancy</w:t>
      </w:r>
      <w:r>
        <w:rPr>
          <w:rStyle w:val="FootnoteReference"/>
          <w:lang w:val="en-GB" w:eastAsia="ja-JP"/>
        </w:rPr>
        <w:footnoteReference w:id="9"/>
      </w:r>
      <w:r>
        <w:rPr>
          <w:lang w:val="en-GB" w:eastAsia="ja-JP"/>
        </w:rPr>
        <w:t xml:space="preserve">, and breastfeeding must cease for 12 hours after treatment. </w:t>
      </w:r>
      <w:r w:rsidR="00424196">
        <w:rPr>
          <w:lang w:val="en-GB" w:eastAsia="ja-JP"/>
        </w:rPr>
        <w:t>The comparator</w:t>
      </w:r>
      <w:r w:rsidR="009C4D96">
        <w:rPr>
          <w:lang w:val="en-GB" w:eastAsia="ja-JP"/>
        </w:rPr>
        <w:t xml:space="preserve"> for pre-procedural prophylaxis prior to major procedures</w:t>
      </w:r>
      <w:r w:rsidR="00A626BD">
        <w:rPr>
          <w:lang w:val="en-GB" w:eastAsia="ja-JP"/>
        </w:rPr>
        <w:t xml:space="preserve"> </w:t>
      </w:r>
      <w:r>
        <w:rPr>
          <w:lang w:val="en-GB" w:eastAsia="ja-JP"/>
        </w:rPr>
        <w:t xml:space="preserve">during pregnancy and lactation </w:t>
      </w:r>
      <w:r w:rsidR="001E356B">
        <w:rPr>
          <w:lang w:val="en-GB" w:eastAsia="ja-JP"/>
        </w:rPr>
        <w:t>i</w:t>
      </w:r>
      <w:r w:rsidR="00424196">
        <w:t>s</w:t>
      </w:r>
      <w:r w:rsidR="00A626BD">
        <w:t xml:space="preserve"> </w:t>
      </w:r>
      <w:r w:rsidR="00424196">
        <w:t>tranexamic acid</w:t>
      </w:r>
      <w:r w:rsidR="00A626BD">
        <w:t xml:space="preserve">, </w:t>
      </w:r>
      <w:r w:rsidR="00086507">
        <w:rPr>
          <w:lang w:val="en-GB" w:eastAsia="ja-JP"/>
        </w:rPr>
        <w:t>although</w:t>
      </w:r>
      <w:r>
        <w:rPr>
          <w:lang w:val="en-GB" w:eastAsia="ja-JP"/>
        </w:rPr>
        <w:t xml:space="preserve"> </w:t>
      </w:r>
      <w:r w:rsidR="00EB4712">
        <w:rPr>
          <w:lang w:val="en-GB" w:eastAsia="ja-JP"/>
        </w:rPr>
        <w:t>it is rated a Category B1 for pregnancy (</w:t>
      </w:r>
      <w:r>
        <w:rPr>
          <w:lang w:val="en-GB" w:eastAsia="ja-JP"/>
        </w:rPr>
        <w:t>the safety profile during</w:t>
      </w:r>
      <w:r w:rsidR="009C4D96">
        <w:rPr>
          <w:lang w:val="en-GB" w:eastAsia="ja-JP"/>
        </w:rPr>
        <w:t xml:space="preserve"> </w:t>
      </w:r>
      <w:r>
        <w:rPr>
          <w:lang w:val="en-GB" w:eastAsia="ja-JP"/>
        </w:rPr>
        <w:t>pregnancy</w:t>
      </w:r>
      <w:r w:rsidR="00424196">
        <w:rPr>
          <w:lang w:val="en-GB" w:eastAsia="ja-JP"/>
        </w:rPr>
        <w:t xml:space="preserve"> is not well-established</w:t>
      </w:r>
      <w:r w:rsidR="00EB4712">
        <w:rPr>
          <w:lang w:val="en-GB" w:eastAsia="ja-JP"/>
        </w:rPr>
        <w:t>)</w:t>
      </w:r>
      <w:r w:rsidR="00A626BD">
        <w:rPr>
          <w:lang w:val="en-GB" w:eastAsia="ja-JP"/>
        </w:rPr>
        <w:t xml:space="preserve"> </w:t>
      </w:r>
      <w:r>
        <w:rPr>
          <w:lang w:val="en-GB" w:eastAsia="ja-JP"/>
        </w:rPr>
        <w:t>and precautions are advised during breastfeeding</w:t>
      </w:r>
      <w:r w:rsidR="009C4D96">
        <w:rPr>
          <w:lang w:val="en-GB" w:eastAsia="ja-JP"/>
        </w:rPr>
        <w:t>.</w:t>
      </w:r>
      <w:r w:rsidR="00086507">
        <w:rPr>
          <w:lang w:val="en-GB" w:eastAsia="ja-JP"/>
        </w:rPr>
        <w:t xml:space="preserve"> </w:t>
      </w:r>
      <w:r w:rsidR="00086507">
        <w:t>For routine prophylaxis the main comparator is no prophylaxis after failed oral therapy</w:t>
      </w:r>
      <w:r w:rsidR="00EB4712">
        <w:t xml:space="preserve">. The only option for oral therapy in </w:t>
      </w:r>
      <w:r w:rsidR="00EB4712">
        <w:rPr>
          <w:lang w:val="en-GB" w:eastAsia="ja-JP"/>
        </w:rPr>
        <w:t xml:space="preserve">pregnant and lactating patients </w:t>
      </w:r>
      <w:r w:rsidR="00EB4712">
        <w:t>is tranexamic acid, which may be considered contraindicated by some clinicians given the advised precautions in these populations.</w:t>
      </w:r>
    </w:p>
    <w:p w14:paraId="10E83CA0" w14:textId="4668D17F" w:rsidR="00595073" w:rsidRDefault="00595073" w:rsidP="00595073">
      <w:pPr>
        <w:pStyle w:val="Caption"/>
      </w:pPr>
      <w:bookmarkStart w:id="70" w:name="_Ref395616601"/>
      <w:r>
        <w:lastRenderedPageBreak/>
        <w:t xml:space="preserve">Table </w:t>
      </w:r>
      <w:r w:rsidR="00EA5D58">
        <w:fldChar w:fldCharType="begin"/>
      </w:r>
      <w:r w:rsidR="00EA5D58">
        <w:instrText xml:space="preserve"> SEQ Table \* ARABIC </w:instrText>
      </w:r>
      <w:r w:rsidR="00EA5D58">
        <w:fldChar w:fldCharType="separate"/>
      </w:r>
      <w:r w:rsidR="00847595">
        <w:rPr>
          <w:noProof/>
        </w:rPr>
        <w:t>7</w:t>
      </w:r>
      <w:r w:rsidR="00EA5D58">
        <w:rPr>
          <w:noProof/>
        </w:rPr>
        <w:fldChar w:fldCharType="end"/>
      </w:r>
      <w:bookmarkEnd w:id="70"/>
      <w:r>
        <w:tab/>
        <w:t xml:space="preserve">Comparator </w:t>
      </w:r>
      <w:r w:rsidR="00000D23">
        <w:t>treatments</w:t>
      </w:r>
      <w:r>
        <w:t xml:space="preserve"> for C1-INH concentrate for various</w:t>
      </w:r>
      <w:r w:rsidR="00973AF6">
        <w:t xml:space="preserve"> HAE</w:t>
      </w:r>
      <w:r>
        <w:t xml:space="preserve"> indications and populations</w:t>
      </w:r>
    </w:p>
    <w:tbl>
      <w:tblPr>
        <w:tblStyle w:val="TableGrid"/>
        <w:tblW w:w="5000" w:type="pct"/>
        <w:tblCellMar>
          <w:top w:w="28" w:type="dxa"/>
          <w:bottom w:w="28" w:type="dxa"/>
        </w:tblCellMar>
        <w:tblLook w:val="04A0" w:firstRow="1" w:lastRow="0" w:firstColumn="1" w:lastColumn="0" w:noHBand="0" w:noVBand="1"/>
        <w:tblCaption w:val="Table 7 - Comparator treatments for C1-INH concentrate for various HAE indications and populations"/>
        <w:tblDescription w:val="A table comparing different products to subpopulations and attack episode types."/>
      </w:tblPr>
      <w:tblGrid>
        <w:gridCol w:w="2465"/>
        <w:gridCol w:w="1453"/>
        <w:gridCol w:w="1453"/>
        <w:gridCol w:w="3871"/>
      </w:tblGrid>
      <w:tr w:rsidR="00F83F9A" w:rsidRPr="00EB299B" w14:paraId="4F7ACD07" w14:textId="5BC62C57" w:rsidTr="00E94BC8">
        <w:trPr>
          <w:tblHeader/>
        </w:trPr>
        <w:tc>
          <w:tcPr>
            <w:tcW w:w="1334" w:type="pct"/>
            <w:tcBorders>
              <w:bottom w:val="single" w:sz="4" w:space="0" w:color="auto"/>
            </w:tcBorders>
            <w:vAlign w:val="bottom"/>
          </w:tcPr>
          <w:p w14:paraId="1F1B2F42" w14:textId="10FFDDF4" w:rsidR="00F83F9A" w:rsidRDefault="00F83F9A" w:rsidP="00F06C46">
            <w:pPr>
              <w:pStyle w:val="TableHeading"/>
            </w:pPr>
            <w:r>
              <w:t>Population</w:t>
            </w:r>
          </w:p>
          <w:p w14:paraId="70F0A967" w14:textId="2B16472C" w:rsidR="00F83F9A" w:rsidRPr="00EB299B" w:rsidRDefault="00F83F9A" w:rsidP="00C912D7">
            <w:pPr>
              <w:pStyle w:val="TableText"/>
              <w:ind w:left="171"/>
            </w:pPr>
            <w:r>
              <w:t>Indication</w:t>
            </w:r>
          </w:p>
        </w:tc>
        <w:tc>
          <w:tcPr>
            <w:tcW w:w="786" w:type="pct"/>
            <w:tcBorders>
              <w:bottom w:val="single" w:sz="4" w:space="0" w:color="auto"/>
            </w:tcBorders>
            <w:vAlign w:val="bottom"/>
          </w:tcPr>
          <w:p w14:paraId="5B9FB79F" w14:textId="121763A6" w:rsidR="00F83F9A" w:rsidRPr="00EB299B" w:rsidRDefault="00F83F9A" w:rsidP="00F83F9A">
            <w:pPr>
              <w:pStyle w:val="TableHeading"/>
            </w:pPr>
            <w:r>
              <w:t>Comparator</w:t>
            </w:r>
          </w:p>
        </w:tc>
        <w:tc>
          <w:tcPr>
            <w:tcW w:w="786" w:type="pct"/>
            <w:tcBorders>
              <w:bottom w:val="single" w:sz="4" w:space="0" w:color="auto"/>
            </w:tcBorders>
            <w:vAlign w:val="bottom"/>
          </w:tcPr>
          <w:p w14:paraId="485CD8AD" w14:textId="58B6B3CB" w:rsidR="00F83F9A" w:rsidRDefault="00E725A7" w:rsidP="00EF5963">
            <w:pPr>
              <w:pStyle w:val="TableHeading"/>
            </w:pPr>
            <w:r>
              <w:t>C1-INH concentrate</w:t>
            </w:r>
            <w:r w:rsidR="00F83F9A">
              <w:t xml:space="preserve"> is current</w:t>
            </w:r>
            <w:r w:rsidR="00EF5963">
              <w:t>ly used</w:t>
            </w:r>
            <w:r w:rsidR="00EF5963">
              <w:rPr>
                <w:rStyle w:val="FootnoteReference"/>
              </w:rPr>
              <w:footnoteReference w:id="10"/>
            </w:r>
          </w:p>
        </w:tc>
        <w:tc>
          <w:tcPr>
            <w:tcW w:w="2094" w:type="pct"/>
            <w:tcBorders>
              <w:bottom w:val="single" w:sz="4" w:space="0" w:color="auto"/>
            </w:tcBorders>
            <w:vAlign w:val="bottom"/>
          </w:tcPr>
          <w:p w14:paraId="5C9FDF25" w14:textId="5A9ADC23" w:rsidR="00F83F9A" w:rsidRDefault="00F83F9A" w:rsidP="00F83F9A">
            <w:pPr>
              <w:pStyle w:val="TableHeading"/>
            </w:pPr>
            <w:r>
              <w:t>Comments</w:t>
            </w:r>
          </w:p>
        </w:tc>
      </w:tr>
      <w:tr w:rsidR="00F83F9A" w:rsidRPr="00EB299B" w14:paraId="156C8001" w14:textId="7C406A9A" w:rsidTr="00E94BC8">
        <w:tc>
          <w:tcPr>
            <w:tcW w:w="1334" w:type="pct"/>
            <w:tcBorders>
              <w:right w:val="nil"/>
            </w:tcBorders>
          </w:tcPr>
          <w:p w14:paraId="35185C3C" w14:textId="6DA3CF00" w:rsidR="00F83F9A" w:rsidRDefault="00F83F9A" w:rsidP="00F06C46">
            <w:pPr>
              <w:pStyle w:val="TableHeading"/>
            </w:pPr>
            <w:r>
              <w:t>Adults and adolescents</w:t>
            </w:r>
          </w:p>
        </w:tc>
        <w:tc>
          <w:tcPr>
            <w:tcW w:w="786" w:type="pct"/>
            <w:tcBorders>
              <w:left w:val="nil"/>
              <w:right w:val="nil"/>
            </w:tcBorders>
          </w:tcPr>
          <w:p w14:paraId="029749B6" w14:textId="77777777" w:rsidR="00F83F9A" w:rsidRPr="00EB299B" w:rsidRDefault="00F83F9A" w:rsidP="00F06C46">
            <w:pPr>
              <w:pStyle w:val="TableHeading"/>
            </w:pPr>
          </w:p>
        </w:tc>
        <w:tc>
          <w:tcPr>
            <w:tcW w:w="786" w:type="pct"/>
            <w:tcBorders>
              <w:left w:val="nil"/>
              <w:right w:val="nil"/>
            </w:tcBorders>
          </w:tcPr>
          <w:p w14:paraId="3C77C933" w14:textId="77777777" w:rsidR="00F83F9A" w:rsidRPr="00EB299B" w:rsidRDefault="00F83F9A" w:rsidP="00F06C46">
            <w:pPr>
              <w:pStyle w:val="TableHeading"/>
            </w:pPr>
          </w:p>
        </w:tc>
        <w:tc>
          <w:tcPr>
            <w:tcW w:w="2094" w:type="pct"/>
            <w:tcBorders>
              <w:left w:val="nil"/>
              <w:right w:val="single" w:sz="4" w:space="0" w:color="auto"/>
            </w:tcBorders>
          </w:tcPr>
          <w:p w14:paraId="4E467FD2" w14:textId="3D1F238F" w:rsidR="00F83F9A" w:rsidRPr="00EB299B" w:rsidRDefault="00F83F9A" w:rsidP="00F06C46">
            <w:pPr>
              <w:pStyle w:val="TableHeading"/>
            </w:pPr>
          </w:p>
        </w:tc>
      </w:tr>
      <w:tr w:rsidR="00F83F9A" w:rsidRPr="00EB299B" w14:paraId="40CBC927" w14:textId="01A26818" w:rsidTr="00E94BC8">
        <w:tc>
          <w:tcPr>
            <w:tcW w:w="1334" w:type="pct"/>
          </w:tcPr>
          <w:p w14:paraId="7E775D34" w14:textId="1B5AC9FF" w:rsidR="00F83F9A" w:rsidRPr="00EB299B" w:rsidRDefault="00F83F9A" w:rsidP="00C912D7">
            <w:pPr>
              <w:pStyle w:val="TableText"/>
              <w:ind w:left="171"/>
            </w:pPr>
            <w:r>
              <w:t>Acute attack</w:t>
            </w:r>
          </w:p>
        </w:tc>
        <w:tc>
          <w:tcPr>
            <w:tcW w:w="786" w:type="pct"/>
          </w:tcPr>
          <w:p w14:paraId="443F7F78" w14:textId="065681B0" w:rsidR="00F83F9A" w:rsidRPr="00EB299B" w:rsidRDefault="004165FF" w:rsidP="00EF5963">
            <w:pPr>
              <w:pStyle w:val="TableText"/>
            </w:pPr>
            <w:r>
              <w:t>Icatibant</w:t>
            </w:r>
          </w:p>
        </w:tc>
        <w:tc>
          <w:tcPr>
            <w:tcW w:w="786" w:type="pct"/>
          </w:tcPr>
          <w:p w14:paraId="5A625976" w14:textId="3C86E7E0" w:rsidR="00F83F9A" w:rsidRDefault="00F83F9A" w:rsidP="003C55D6">
            <w:pPr>
              <w:pStyle w:val="TableText"/>
              <w:ind w:left="317"/>
            </w:pPr>
            <w:r>
              <w:t>Yes</w:t>
            </w:r>
          </w:p>
        </w:tc>
        <w:tc>
          <w:tcPr>
            <w:tcW w:w="2094" w:type="pct"/>
          </w:tcPr>
          <w:p w14:paraId="4E801B2A" w14:textId="317800E2" w:rsidR="00F83F9A" w:rsidRDefault="00EF5963" w:rsidP="00F83F9A">
            <w:pPr>
              <w:pStyle w:val="TableText"/>
            </w:pPr>
            <w:r>
              <w:t>Re</w:t>
            </w:r>
            <w:r w:rsidR="003119A7">
              <w:t>commended alongside C1-INH concentrate</w:t>
            </w:r>
            <w:r w:rsidR="00E725A7">
              <w:t>.</w:t>
            </w:r>
          </w:p>
        </w:tc>
      </w:tr>
      <w:tr w:rsidR="00F83F9A" w:rsidRPr="00EB299B" w14:paraId="534437C8" w14:textId="239EE7D0" w:rsidTr="00E94BC8">
        <w:tc>
          <w:tcPr>
            <w:tcW w:w="1334" w:type="pct"/>
          </w:tcPr>
          <w:p w14:paraId="64F0A89E" w14:textId="03D62EF4" w:rsidR="00F83F9A" w:rsidRPr="00EB299B" w:rsidRDefault="00F83F9A" w:rsidP="00AE6392">
            <w:pPr>
              <w:pStyle w:val="TableText"/>
              <w:ind w:left="171"/>
            </w:pPr>
            <w:r>
              <w:t>Pre-procedure prophylaxis</w:t>
            </w:r>
            <w:bookmarkStart w:id="71" w:name="_Ref395621596"/>
            <w:r>
              <w:t>, major procedures</w:t>
            </w:r>
            <w:r>
              <w:rPr>
                <w:rStyle w:val="FootnoteReference"/>
              </w:rPr>
              <w:t xml:space="preserve"> </w:t>
            </w:r>
            <w:bookmarkEnd w:id="71"/>
          </w:p>
        </w:tc>
        <w:tc>
          <w:tcPr>
            <w:tcW w:w="786" w:type="pct"/>
          </w:tcPr>
          <w:p w14:paraId="7F81B23A" w14:textId="58B981AA" w:rsidR="00F83F9A" w:rsidRPr="00EB299B" w:rsidRDefault="004165FF" w:rsidP="00EF5963">
            <w:pPr>
              <w:pStyle w:val="TableText"/>
            </w:pPr>
            <w:r>
              <w:t>Danazol</w:t>
            </w:r>
          </w:p>
        </w:tc>
        <w:tc>
          <w:tcPr>
            <w:tcW w:w="786" w:type="pct"/>
          </w:tcPr>
          <w:p w14:paraId="7808B2AA" w14:textId="2E7E0383" w:rsidR="00F83F9A" w:rsidRDefault="00F83F9A" w:rsidP="003C55D6">
            <w:pPr>
              <w:pStyle w:val="TableText"/>
              <w:ind w:left="317"/>
            </w:pPr>
            <w:r>
              <w:t>Yes</w:t>
            </w:r>
          </w:p>
        </w:tc>
        <w:tc>
          <w:tcPr>
            <w:tcW w:w="2094" w:type="pct"/>
          </w:tcPr>
          <w:p w14:paraId="222FD56E" w14:textId="2AB83A38" w:rsidR="00F83F9A" w:rsidRDefault="00EF5963" w:rsidP="00EF5963">
            <w:pPr>
              <w:pStyle w:val="TableText"/>
            </w:pPr>
            <w:r>
              <w:t xml:space="preserve">C1-INH </w:t>
            </w:r>
            <w:r w:rsidR="003119A7">
              <w:t xml:space="preserve">concentrate </w:t>
            </w:r>
            <w:r>
              <w:t>is recommended first line (i.e. before danazol)</w:t>
            </w:r>
            <w:r w:rsidR="00A35725">
              <w:t>.</w:t>
            </w:r>
          </w:p>
        </w:tc>
      </w:tr>
      <w:tr w:rsidR="00F83F9A" w:rsidRPr="00EB299B" w14:paraId="780AD492" w14:textId="201B9FA6" w:rsidTr="00E94BC8">
        <w:tc>
          <w:tcPr>
            <w:tcW w:w="1334" w:type="pct"/>
            <w:tcBorders>
              <w:bottom w:val="single" w:sz="4" w:space="0" w:color="auto"/>
            </w:tcBorders>
          </w:tcPr>
          <w:p w14:paraId="7B1CDE5A" w14:textId="5D5A6E72" w:rsidR="00F83F9A" w:rsidRPr="00EB299B" w:rsidRDefault="00F83F9A" w:rsidP="00C912D7">
            <w:pPr>
              <w:pStyle w:val="TableText"/>
              <w:ind w:left="171"/>
            </w:pPr>
            <w:r>
              <w:t>Routine prophylaxis</w:t>
            </w:r>
          </w:p>
        </w:tc>
        <w:tc>
          <w:tcPr>
            <w:tcW w:w="786" w:type="pct"/>
            <w:tcBorders>
              <w:bottom w:val="single" w:sz="4" w:space="0" w:color="auto"/>
            </w:tcBorders>
          </w:tcPr>
          <w:p w14:paraId="1D8B15B6" w14:textId="2516B814" w:rsidR="00F83F9A" w:rsidRPr="00EB299B" w:rsidRDefault="009922FB" w:rsidP="00F02762">
            <w:pPr>
              <w:pStyle w:val="TableText"/>
            </w:pPr>
            <w:r>
              <w:t>No prophylaxis after failed oral therapy</w:t>
            </w:r>
          </w:p>
        </w:tc>
        <w:tc>
          <w:tcPr>
            <w:tcW w:w="786" w:type="pct"/>
            <w:tcBorders>
              <w:bottom w:val="single" w:sz="4" w:space="0" w:color="auto"/>
            </w:tcBorders>
          </w:tcPr>
          <w:p w14:paraId="23BEC461" w14:textId="5CAE146F" w:rsidR="00F83F9A" w:rsidRDefault="00F83F9A" w:rsidP="003C55D6">
            <w:pPr>
              <w:pStyle w:val="TableText"/>
              <w:ind w:left="317"/>
            </w:pPr>
            <w:r>
              <w:t>No</w:t>
            </w:r>
            <w:bookmarkStart w:id="72" w:name="_Ref399940521"/>
            <w:r w:rsidR="00D57204">
              <w:rPr>
                <w:rStyle w:val="FootnoteReference"/>
              </w:rPr>
              <w:footnoteReference w:id="11"/>
            </w:r>
            <w:bookmarkEnd w:id="72"/>
          </w:p>
        </w:tc>
        <w:tc>
          <w:tcPr>
            <w:tcW w:w="2094" w:type="pct"/>
            <w:tcBorders>
              <w:bottom w:val="single" w:sz="4" w:space="0" w:color="auto"/>
            </w:tcBorders>
          </w:tcPr>
          <w:p w14:paraId="5EC8701B" w14:textId="2FF3ACCB" w:rsidR="00F83F9A" w:rsidRDefault="009922FB" w:rsidP="009922FB">
            <w:pPr>
              <w:pStyle w:val="TableText"/>
            </w:pPr>
            <w:r>
              <w:t xml:space="preserve">C1-INH </w:t>
            </w:r>
            <w:r w:rsidR="003119A7">
              <w:t xml:space="preserve">concentrate </w:t>
            </w:r>
            <w:r>
              <w:t>is recommended second line, after failure of oral therapy such as danazol.</w:t>
            </w:r>
          </w:p>
        </w:tc>
      </w:tr>
      <w:tr w:rsidR="00F83F9A" w:rsidRPr="00EB299B" w14:paraId="0692D4C4" w14:textId="4A819C9E" w:rsidTr="00E94BC8">
        <w:tc>
          <w:tcPr>
            <w:tcW w:w="1334" w:type="pct"/>
            <w:tcBorders>
              <w:right w:val="nil"/>
            </w:tcBorders>
          </w:tcPr>
          <w:p w14:paraId="40A78B40" w14:textId="77777777" w:rsidR="00F83F9A" w:rsidRPr="00EB299B" w:rsidRDefault="00F83F9A" w:rsidP="00F06C46">
            <w:pPr>
              <w:pStyle w:val="TableHeading"/>
            </w:pPr>
            <w:r>
              <w:t>Children</w:t>
            </w:r>
          </w:p>
        </w:tc>
        <w:tc>
          <w:tcPr>
            <w:tcW w:w="786" w:type="pct"/>
            <w:tcBorders>
              <w:left w:val="nil"/>
              <w:right w:val="nil"/>
            </w:tcBorders>
          </w:tcPr>
          <w:p w14:paraId="7695E85E" w14:textId="77777777" w:rsidR="00F83F9A" w:rsidRPr="00EB299B" w:rsidRDefault="00F83F9A" w:rsidP="00F06C46">
            <w:pPr>
              <w:pStyle w:val="TableHeading"/>
            </w:pPr>
          </w:p>
        </w:tc>
        <w:tc>
          <w:tcPr>
            <w:tcW w:w="786" w:type="pct"/>
            <w:tcBorders>
              <w:left w:val="nil"/>
              <w:right w:val="nil"/>
            </w:tcBorders>
          </w:tcPr>
          <w:p w14:paraId="2434455A" w14:textId="77777777" w:rsidR="00F83F9A" w:rsidRPr="00EB299B" w:rsidRDefault="00F83F9A" w:rsidP="003C55D6">
            <w:pPr>
              <w:pStyle w:val="TableHeading"/>
              <w:ind w:left="317"/>
            </w:pPr>
          </w:p>
        </w:tc>
        <w:tc>
          <w:tcPr>
            <w:tcW w:w="2094" w:type="pct"/>
            <w:tcBorders>
              <w:left w:val="nil"/>
              <w:right w:val="single" w:sz="4" w:space="0" w:color="auto"/>
            </w:tcBorders>
          </w:tcPr>
          <w:p w14:paraId="696226F2" w14:textId="2F8EBAE6" w:rsidR="00F83F9A" w:rsidRPr="00EB299B" w:rsidRDefault="00F83F9A" w:rsidP="00F83F9A">
            <w:pPr>
              <w:pStyle w:val="TableHeading"/>
            </w:pPr>
          </w:p>
        </w:tc>
      </w:tr>
      <w:tr w:rsidR="00F83F9A" w:rsidRPr="00EB299B" w14:paraId="16702B9A" w14:textId="757D120A" w:rsidTr="00E94BC8">
        <w:tc>
          <w:tcPr>
            <w:tcW w:w="1334" w:type="pct"/>
          </w:tcPr>
          <w:p w14:paraId="49F90465" w14:textId="78B66EA4" w:rsidR="00F83F9A" w:rsidRPr="00EB299B" w:rsidRDefault="00F83F9A" w:rsidP="00AE6392">
            <w:pPr>
              <w:pStyle w:val="TableText"/>
              <w:ind w:left="171"/>
            </w:pPr>
            <w:r>
              <w:t>Acute attack</w:t>
            </w:r>
          </w:p>
        </w:tc>
        <w:tc>
          <w:tcPr>
            <w:tcW w:w="786" w:type="pct"/>
          </w:tcPr>
          <w:p w14:paraId="712A8270" w14:textId="271CCFC7" w:rsidR="00F83F9A" w:rsidRPr="00EB299B" w:rsidRDefault="004165FF" w:rsidP="00DA440F">
            <w:pPr>
              <w:pStyle w:val="TableText"/>
            </w:pPr>
            <w:r>
              <w:t xml:space="preserve">No </w:t>
            </w:r>
            <w:r w:rsidR="00F83F9A">
              <w:t>treatment</w:t>
            </w:r>
            <w:r w:rsidR="00DA440F" w:rsidRPr="00DA440F">
              <w:rPr>
                <w:vertAlign w:val="superscript"/>
              </w:rPr>
              <w:fldChar w:fldCharType="begin"/>
            </w:r>
            <w:r w:rsidR="00DA440F" w:rsidRPr="00DA440F">
              <w:rPr>
                <w:vertAlign w:val="superscript"/>
              </w:rPr>
              <w:instrText xml:space="preserve"> NOTEREF _Ref399944342 \h </w:instrText>
            </w:r>
            <w:r w:rsidR="00DA440F">
              <w:rPr>
                <w:vertAlign w:val="superscript"/>
              </w:rPr>
              <w:instrText xml:space="preserve"> \* MERGEFORMAT </w:instrText>
            </w:r>
            <w:r w:rsidR="00DA440F" w:rsidRPr="00DA440F">
              <w:rPr>
                <w:vertAlign w:val="superscript"/>
              </w:rPr>
            </w:r>
            <w:r w:rsidR="00DA440F" w:rsidRPr="00DA440F">
              <w:rPr>
                <w:vertAlign w:val="superscript"/>
              </w:rPr>
              <w:fldChar w:fldCharType="separate"/>
            </w:r>
            <w:r w:rsidR="00847595">
              <w:rPr>
                <w:vertAlign w:val="superscript"/>
              </w:rPr>
              <w:t>13</w:t>
            </w:r>
            <w:r w:rsidR="00DA440F" w:rsidRPr="00DA440F">
              <w:rPr>
                <w:vertAlign w:val="superscript"/>
              </w:rPr>
              <w:fldChar w:fldCharType="end"/>
            </w:r>
          </w:p>
        </w:tc>
        <w:tc>
          <w:tcPr>
            <w:tcW w:w="786" w:type="pct"/>
          </w:tcPr>
          <w:p w14:paraId="589A8529" w14:textId="12CB2DFD" w:rsidR="00F83F9A" w:rsidRDefault="004165FF" w:rsidP="003C55D6">
            <w:pPr>
              <w:pStyle w:val="TableText"/>
              <w:ind w:left="317"/>
            </w:pPr>
            <w:r>
              <w:t>Yes</w:t>
            </w:r>
          </w:p>
        </w:tc>
        <w:tc>
          <w:tcPr>
            <w:tcW w:w="2094" w:type="pct"/>
          </w:tcPr>
          <w:p w14:paraId="5A29FAB3" w14:textId="17727D82" w:rsidR="00F83F9A" w:rsidRDefault="00F83F9A" w:rsidP="005B2008">
            <w:pPr>
              <w:pStyle w:val="TableText"/>
            </w:pPr>
          </w:p>
        </w:tc>
      </w:tr>
      <w:tr w:rsidR="00F83F9A" w:rsidRPr="00EB299B" w14:paraId="7A0EC1CF" w14:textId="1783829E" w:rsidTr="00E94BC8">
        <w:tc>
          <w:tcPr>
            <w:tcW w:w="1334" w:type="pct"/>
          </w:tcPr>
          <w:p w14:paraId="68456E96" w14:textId="4099B191" w:rsidR="00F83F9A" w:rsidRPr="00EB299B" w:rsidRDefault="00F83F9A" w:rsidP="004165FF">
            <w:pPr>
              <w:pStyle w:val="TableText"/>
              <w:ind w:left="171"/>
            </w:pPr>
            <w:r>
              <w:t>Pre-procedure prophylaxis, major procedures</w:t>
            </w:r>
          </w:p>
        </w:tc>
        <w:tc>
          <w:tcPr>
            <w:tcW w:w="786" w:type="pct"/>
          </w:tcPr>
          <w:p w14:paraId="4AB060CF" w14:textId="00F38C0B" w:rsidR="00F83F9A" w:rsidRPr="00EB299B" w:rsidRDefault="004165FF" w:rsidP="004165FF">
            <w:pPr>
              <w:pStyle w:val="TableText"/>
            </w:pPr>
            <w:r>
              <w:t>Danazol</w:t>
            </w:r>
          </w:p>
        </w:tc>
        <w:tc>
          <w:tcPr>
            <w:tcW w:w="786" w:type="pct"/>
          </w:tcPr>
          <w:p w14:paraId="243B05FA" w14:textId="5AE068DE" w:rsidR="00F83F9A" w:rsidRDefault="00E94BC8" w:rsidP="003C55D6">
            <w:pPr>
              <w:pStyle w:val="TableText"/>
              <w:ind w:left="317"/>
            </w:pPr>
            <w:r>
              <w:t>Yes</w:t>
            </w:r>
          </w:p>
        </w:tc>
        <w:tc>
          <w:tcPr>
            <w:tcW w:w="2094" w:type="pct"/>
          </w:tcPr>
          <w:p w14:paraId="2B3695DB" w14:textId="1A705430" w:rsidR="00F83F9A" w:rsidRDefault="004165FF" w:rsidP="00F83F9A">
            <w:pPr>
              <w:pStyle w:val="TableText"/>
            </w:pPr>
            <w:r>
              <w:t xml:space="preserve">C1-INH </w:t>
            </w:r>
            <w:r w:rsidR="003119A7">
              <w:t xml:space="preserve">concentrate </w:t>
            </w:r>
            <w:r>
              <w:t>is recommended first line (i.e. before danazol)</w:t>
            </w:r>
            <w:r w:rsidR="00A35725">
              <w:t>.</w:t>
            </w:r>
          </w:p>
        </w:tc>
      </w:tr>
      <w:tr w:rsidR="00F83F9A" w:rsidRPr="00EB299B" w14:paraId="3B7C42FA" w14:textId="681FBDB6" w:rsidTr="00E94BC8">
        <w:tc>
          <w:tcPr>
            <w:tcW w:w="1334" w:type="pct"/>
            <w:tcBorders>
              <w:bottom w:val="single" w:sz="4" w:space="0" w:color="auto"/>
            </w:tcBorders>
          </w:tcPr>
          <w:p w14:paraId="232E142B" w14:textId="45783B7E" w:rsidR="00F83F9A" w:rsidRPr="00EB299B" w:rsidRDefault="00F83F9A" w:rsidP="00AE6392">
            <w:pPr>
              <w:pStyle w:val="TableText"/>
              <w:ind w:left="171"/>
            </w:pPr>
            <w:r>
              <w:t>Routine prophylaxis</w:t>
            </w:r>
          </w:p>
        </w:tc>
        <w:tc>
          <w:tcPr>
            <w:tcW w:w="786" w:type="pct"/>
            <w:tcBorders>
              <w:bottom w:val="single" w:sz="4" w:space="0" w:color="auto"/>
            </w:tcBorders>
          </w:tcPr>
          <w:p w14:paraId="39C873BD" w14:textId="0C2B64B2" w:rsidR="00F83F9A" w:rsidRPr="00EB299B" w:rsidRDefault="00F02762" w:rsidP="00DA440F">
            <w:pPr>
              <w:pStyle w:val="TableText"/>
            </w:pPr>
            <w:r>
              <w:t>No prophylaxis after failed oral therapy</w:t>
            </w:r>
            <w:r>
              <w:rPr>
                <w:rStyle w:val="FootnoteReference"/>
              </w:rPr>
              <w:footnoteReference w:id="12"/>
            </w:r>
          </w:p>
        </w:tc>
        <w:tc>
          <w:tcPr>
            <w:tcW w:w="786" w:type="pct"/>
            <w:tcBorders>
              <w:bottom w:val="single" w:sz="4" w:space="0" w:color="auto"/>
            </w:tcBorders>
          </w:tcPr>
          <w:p w14:paraId="33834B82" w14:textId="545F64CD" w:rsidR="00F83F9A" w:rsidRDefault="008A08BB" w:rsidP="003C55D6">
            <w:pPr>
              <w:pStyle w:val="TableText"/>
              <w:ind w:left="317"/>
            </w:pPr>
            <w:r>
              <w:t>No</w:t>
            </w:r>
            <w:r w:rsidR="00D57204" w:rsidRPr="00D57204">
              <w:rPr>
                <w:vertAlign w:val="superscript"/>
              </w:rPr>
              <w:fldChar w:fldCharType="begin"/>
            </w:r>
            <w:r w:rsidR="00D57204" w:rsidRPr="00D57204">
              <w:rPr>
                <w:vertAlign w:val="superscript"/>
              </w:rPr>
              <w:instrText xml:space="preserve"> NOTEREF _Ref399940521 \h </w:instrText>
            </w:r>
            <w:r w:rsidR="00D57204">
              <w:rPr>
                <w:vertAlign w:val="superscript"/>
              </w:rPr>
              <w:instrText xml:space="preserve"> \* MERGEFORMAT </w:instrText>
            </w:r>
            <w:r w:rsidR="00D57204" w:rsidRPr="00D57204">
              <w:rPr>
                <w:vertAlign w:val="superscript"/>
              </w:rPr>
            </w:r>
            <w:r w:rsidR="00D57204" w:rsidRPr="00D57204">
              <w:rPr>
                <w:vertAlign w:val="superscript"/>
              </w:rPr>
              <w:fldChar w:fldCharType="separate"/>
            </w:r>
            <w:r w:rsidR="00847595">
              <w:rPr>
                <w:vertAlign w:val="superscript"/>
              </w:rPr>
              <w:t>11</w:t>
            </w:r>
            <w:r w:rsidR="00D57204" w:rsidRPr="00D57204">
              <w:rPr>
                <w:vertAlign w:val="superscript"/>
              </w:rPr>
              <w:fldChar w:fldCharType="end"/>
            </w:r>
          </w:p>
        </w:tc>
        <w:tc>
          <w:tcPr>
            <w:tcW w:w="2094" w:type="pct"/>
            <w:tcBorders>
              <w:bottom w:val="single" w:sz="4" w:space="0" w:color="auto"/>
            </w:tcBorders>
          </w:tcPr>
          <w:p w14:paraId="24BDD014" w14:textId="1E794CA6" w:rsidR="00F83F9A" w:rsidRDefault="00F02762" w:rsidP="00F02762">
            <w:pPr>
              <w:pStyle w:val="TableText"/>
            </w:pPr>
            <w:r>
              <w:t>Berinert is not TGA-approved for prophylaxis an</w:t>
            </w:r>
            <w:r w:rsidR="0091209A">
              <w:t>d Cinryze is not TGA-approved for</w:t>
            </w:r>
            <w:r>
              <w:t xml:space="preserve"> children.</w:t>
            </w:r>
          </w:p>
        </w:tc>
      </w:tr>
      <w:tr w:rsidR="00F83F9A" w:rsidRPr="00EB299B" w14:paraId="417F3A35" w14:textId="20E44464" w:rsidTr="00E94BC8">
        <w:tc>
          <w:tcPr>
            <w:tcW w:w="1334" w:type="pct"/>
            <w:tcBorders>
              <w:right w:val="nil"/>
            </w:tcBorders>
          </w:tcPr>
          <w:p w14:paraId="20016E9D" w14:textId="73CA24B9" w:rsidR="00F83F9A" w:rsidRDefault="00F83F9A" w:rsidP="00F06C46">
            <w:pPr>
              <w:pStyle w:val="TableHeading"/>
            </w:pPr>
            <w:r>
              <w:t>Pregnancy</w:t>
            </w:r>
            <w:r w:rsidR="00AF0D83">
              <w:t xml:space="preserve"> /lactation</w:t>
            </w:r>
          </w:p>
        </w:tc>
        <w:tc>
          <w:tcPr>
            <w:tcW w:w="786" w:type="pct"/>
            <w:tcBorders>
              <w:left w:val="nil"/>
              <w:right w:val="nil"/>
            </w:tcBorders>
          </w:tcPr>
          <w:p w14:paraId="71FD4C62" w14:textId="77777777" w:rsidR="00F83F9A" w:rsidRPr="00EB299B" w:rsidRDefault="00F83F9A" w:rsidP="00F06C46">
            <w:pPr>
              <w:pStyle w:val="TableHeading"/>
              <w:jc w:val="center"/>
            </w:pPr>
          </w:p>
        </w:tc>
        <w:tc>
          <w:tcPr>
            <w:tcW w:w="786" w:type="pct"/>
            <w:tcBorders>
              <w:left w:val="nil"/>
              <w:right w:val="nil"/>
            </w:tcBorders>
          </w:tcPr>
          <w:p w14:paraId="16E70D1A" w14:textId="77777777" w:rsidR="00F83F9A" w:rsidRPr="00EB299B" w:rsidRDefault="00F83F9A" w:rsidP="003C55D6">
            <w:pPr>
              <w:pStyle w:val="TableHeading"/>
              <w:ind w:left="317"/>
            </w:pPr>
          </w:p>
        </w:tc>
        <w:tc>
          <w:tcPr>
            <w:tcW w:w="2094" w:type="pct"/>
            <w:tcBorders>
              <w:left w:val="nil"/>
              <w:right w:val="single" w:sz="4" w:space="0" w:color="auto"/>
            </w:tcBorders>
          </w:tcPr>
          <w:p w14:paraId="702081D9" w14:textId="3C699215" w:rsidR="00F83F9A" w:rsidRPr="00EB299B" w:rsidRDefault="00F83F9A" w:rsidP="00F83F9A">
            <w:pPr>
              <w:pStyle w:val="TableHeading"/>
            </w:pPr>
          </w:p>
        </w:tc>
      </w:tr>
      <w:tr w:rsidR="00F83F9A" w:rsidRPr="00EB299B" w14:paraId="046F1D3D" w14:textId="2A2253A6" w:rsidTr="00E94BC8">
        <w:tc>
          <w:tcPr>
            <w:tcW w:w="1334" w:type="pct"/>
          </w:tcPr>
          <w:p w14:paraId="48E8D154" w14:textId="768FE062" w:rsidR="00F83F9A" w:rsidRPr="00EB299B" w:rsidRDefault="00F83F9A" w:rsidP="00C912D7">
            <w:pPr>
              <w:pStyle w:val="TableText"/>
              <w:ind w:left="171"/>
            </w:pPr>
            <w:r>
              <w:t>Acute attack</w:t>
            </w:r>
          </w:p>
        </w:tc>
        <w:tc>
          <w:tcPr>
            <w:tcW w:w="786" w:type="pct"/>
          </w:tcPr>
          <w:p w14:paraId="26B367B2" w14:textId="62B96A2B" w:rsidR="00F83F9A" w:rsidRPr="00EB299B" w:rsidRDefault="004165FF" w:rsidP="00F83F9A">
            <w:pPr>
              <w:pStyle w:val="TableText"/>
            </w:pPr>
            <w:r>
              <w:t xml:space="preserve">No </w:t>
            </w:r>
            <w:r w:rsidR="00F83F9A">
              <w:t>treatment</w:t>
            </w:r>
            <w:bookmarkStart w:id="73" w:name="_Ref399944342"/>
            <w:r w:rsidR="001F3026">
              <w:rPr>
                <w:rStyle w:val="FootnoteReference"/>
              </w:rPr>
              <w:footnoteReference w:id="13"/>
            </w:r>
            <w:bookmarkEnd w:id="73"/>
          </w:p>
        </w:tc>
        <w:tc>
          <w:tcPr>
            <w:tcW w:w="786" w:type="pct"/>
          </w:tcPr>
          <w:p w14:paraId="2BB5264B" w14:textId="6E3216F5" w:rsidR="00F83F9A" w:rsidRDefault="00AE6392" w:rsidP="003C55D6">
            <w:pPr>
              <w:pStyle w:val="TableText"/>
              <w:ind w:left="317"/>
            </w:pPr>
            <w:r>
              <w:t>Yes</w:t>
            </w:r>
          </w:p>
        </w:tc>
        <w:tc>
          <w:tcPr>
            <w:tcW w:w="2094" w:type="pct"/>
          </w:tcPr>
          <w:p w14:paraId="01EFDDDA" w14:textId="38230DFF" w:rsidR="00F83F9A" w:rsidRDefault="00F83F9A" w:rsidP="00073402">
            <w:pPr>
              <w:pStyle w:val="TableText"/>
            </w:pPr>
          </w:p>
        </w:tc>
      </w:tr>
      <w:tr w:rsidR="00F83F9A" w:rsidRPr="00EB299B" w14:paraId="0CA7AB73" w14:textId="6A1E9FCD" w:rsidTr="00E94BC8">
        <w:tc>
          <w:tcPr>
            <w:tcW w:w="1334" w:type="pct"/>
          </w:tcPr>
          <w:p w14:paraId="35C1625C" w14:textId="65B1B9CF" w:rsidR="00F83F9A" w:rsidRPr="00EB299B" w:rsidRDefault="00F83F9A" w:rsidP="00AE6392">
            <w:pPr>
              <w:pStyle w:val="TableText"/>
              <w:ind w:left="171"/>
            </w:pPr>
            <w:r>
              <w:t>Pre-procedure prophylaxis, major procedures</w:t>
            </w:r>
          </w:p>
        </w:tc>
        <w:tc>
          <w:tcPr>
            <w:tcW w:w="786" w:type="pct"/>
          </w:tcPr>
          <w:p w14:paraId="56E73BE9" w14:textId="7EC5EAFE" w:rsidR="00F83F9A" w:rsidRPr="00EB299B" w:rsidRDefault="00F83F9A" w:rsidP="001F3026">
            <w:pPr>
              <w:pStyle w:val="TableText"/>
            </w:pPr>
            <w:r>
              <w:t>TA</w:t>
            </w:r>
          </w:p>
        </w:tc>
        <w:tc>
          <w:tcPr>
            <w:tcW w:w="786" w:type="pct"/>
          </w:tcPr>
          <w:p w14:paraId="6C52C7E1" w14:textId="392AC99F" w:rsidR="00F83F9A" w:rsidRDefault="00AE6392" w:rsidP="003C55D6">
            <w:pPr>
              <w:pStyle w:val="TableText"/>
              <w:ind w:left="317"/>
            </w:pPr>
            <w:r>
              <w:t>Yes</w:t>
            </w:r>
          </w:p>
        </w:tc>
        <w:tc>
          <w:tcPr>
            <w:tcW w:w="2094" w:type="pct"/>
          </w:tcPr>
          <w:p w14:paraId="33E570BD" w14:textId="12D5DEB7" w:rsidR="00F83F9A" w:rsidRDefault="000D68F5" w:rsidP="00F83F9A">
            <w:pPr>
              <w:pStyle w:val="TableText"/>
            </w:pPr>
            <w:r>
              <w:t>TA is pregnancy category B1 and</w:t>
            </w:r>
            <w:r w:rsidR="00AF0D83">
              <w:t xml:space="preserve"> caution is advised in lactating women</w:t>
            </w:r>
            <w:r w:rsidR="00C15544">
              <w:t>.</w:t>
            </w:r>
            <w:bookmarkStart w:id="74" w:name="_Ref395627602"/>
            <w:r w:rsidR="00AF0D83">
              <w:rPr>
                <w:rStyle w:val="FootnoteReference"/>
                <w:caps/>
              </w:rPr>
              <w:footnoteReference w:id="14"/>
            </w:r>
            <w:bookmarkEnd w:id="74"/>
          </w:p>
        </w:tc>
      </w:tr>
      <w:tr w:rsidR="00C15544" w:rsidRPr="00EB299B" w14:paraId="1DD44137" w14:textId="0422D768" w:rsidTr="00E94BC8">
        <w:tc>
          <w:tcPr>
            <w:tcW w:w="1334" w:type="pct"/>
            <w:tcBorders>
              <w:bottom w:val="single" w:sz="4" w:space="0" w:color="auto"/>
            </w:tcBorders>
          </w:tcPr>
          <w:p w14:paraId="17692256" w14:textId="1B70AE95" w:rsidR="00C15544" w:rsidRPr="00EB299B" w:rsidRDefault="00C15544" w:rsidP="00C15544">
            <w:pPr>
              <w:pStyle w:val="TableText"/>
              <w:ind w:left="171"/>
            </w:pPr>
            <w:r>
              <w:t>Routine prophylaxis</w:t>
            </w:r>
          </w:p>
        </w:tc>
        <w:tc>
          <w:tcPr>
            <w:tcW w:w="786" w:type="pct"/>
            <w:tcBorders>
              <w:bottom w:val="single" w:sz="4" w:space="0" w:color="auto"/>
            </w:tcBorders>
          </w:tcPr>
          <w:p w14:paraId="375702A0" w14:textId="342814A1" w:rsidR="00C15544" w:rsidRPr="00EB299B" w:rsidRDefault="00F02762" w:rsidP="001F3026">
            <w:pPr>
              <w:pStyle w:val="TableText"/>
            </w:pPr>
            <w:r>
              <w:t>No prophylaxis after failed oral therapy (TA only)</w:t>
            </w:r>
          </w:p>
        </w:tc>
        <w:tc>
          <w:tcPr>
            <w:tcW w:w="786" w:type="pct"/>
            <w:tcBorders>
              <w:bottom w:val="single" w:sz="4" w:space="0" w:color="auto"/>
            </w:tcBorders>
          </w:tcPr>
          <w:p w14:paraId="0CDDCDA5" w14:textId="3D802B16" w:rsidR="00C15544" w:rsidRDefault="00C15544" w:rsidP="003C55D6">
            <w:pPr>
              <w:pStyle w:val="TableText"/>
              <w:ind w:left="317"/>
            </w:pPr>
            <w:r>
              <w:t>No</w:t>
            </w:r>
            <w:r w:rsidRPr="00D57204">
              <w:rPr>
                <w:vertAlign w:val="superscript"/>
              </w:rPr>
              <w:fldChar w:fldCharType="begin"/>
            </w:r>
            <w:r w:rsidRPr="00D57204">
              <w:rPr>
                <w:vertAlign w:val="superscript"/>
              </w:rPr>
              <w:instrText xml:space="preserve"> NOTEREF _Ref399940521 \h </w:instrText>
            </w:r>
            <w:r>
              <w:rPr>
                <w:vertAlign w:val="superscript"/>
              </w:rPr>
              <w:instrText xml:space="preserve"> \* MERGEFORMAT </w:instrText>
            </w:r>
            <w:r w:rsidRPr="00D57204">
              <w:rPr>
                <w:vertAlign w:val="superscript"/>
              </w:rPr>
            </w:r>
            <w:r w:rsidRPr="00D57204">
              <w:rPr>
                <w:vertAlign w:val="superscript"/>
              </w:rPr>
              <w:fldChar w:fldCharType="separate"/>
            </w:r>
            <w:r w:rsidR="00847595">
              <w:rPr>
                <w:vertAlign w:val="superscript"/>
              </w:rPr>
              <w:t>11</w:t>
            </w:r>
            <w:r w:rsidRPr="00D57204">
              <w:rPr>
                <w:vertAlign w:val="superscript"/>
              </w:rPr>
              <w:fldChar w:fldCharType="end"/>
            </w:r>
          </w:p>
        </w:tc>
        <w:tc>
          <w:tcPr>
            <w:tcW w:w="2094" w:type="pct"/>
            <w:tcBorders>
              <w:bottom w:val="single" w:sz="4" w:space="0" w:color="auto"/>
            </w:tcBorders>
          </w:tcPr>
          <w:p w14:paraId="47AE74F7" w14:textId="77FF358A" w:rsidR="00C15544" w:rsidRDefault="00AF0D83" w:rsidP="0090722D">
            <w:pPr>
              <w:pStyle w:val="TableText"/>
            </w:pPr>
            <w:r>
              <w:t>TA is pregnancy category B1 and caution is advised in lactating women.</w:t>
            </w:r>
            <w:r w:rsidRPr="00AF0D83">
              <w:rPr>
                <w:vertAlign w:val="superscript"/>
              </w:rPr>
              <w:fldChar w:fldCharType="begin"/>
            </w:r>
            <w:r w:rsidRPr="00AF0D83">
              <w:rPr>
                <w:vertAlign w:val="superscript"/>
              </w:rPr>
              <w:instrText xml:space="preserve"> NOTEREF _Ref395627602 \h </w:instrText>
            </w:r>
            <w:r>
              <w:rPr>
                <w:vertAlign w:val="superscript"/>
              </w:rPr>
              <w:instrText xml:space="preserve"> \* MERGEFORMAT </w:instrText>
            </w:r>
            <w:r w:rsidRPr="00AF0D83">
              <w:rPr>
                <w:vertAlign w:val="superscript"/>
              </w:rPr>
            </w:r>
            <w:r w:rsidRPr="00AF0D83">
              <w:rPr>
                <w:vertAlign w:val="superscript"/>
              </w:rPr>
              <w:fldChar w:fldCharType="separate"/>
            </w:r>
            <w:r w:rsidR="00847595">
              <w:rPr>
                <w:vertAlign w:val="superscript"/>
              </w:rPr>
              <w:t>14</w:t>
            </w:r>
            <w:r w:rsidRPr="00AF0D83">
              <w:rPr>
                <w:vertAlign w:val="superscript"/>
              </w:rPr>
              <w:fldChar w:fldCharType="end"/>
            </w:r>
          </w:p>
        </w:tc>
      </w:tr>
    </w:tbl>
    <w:p w14:paraId="104899FB" w14:textId="2D42AD02" w:rsidR="00CA1F9D" w:rsidRDefault="00595073" w:rsidP="00CA1F9D">
      <w:pPr>
        <w:pStyle w:val="LastTableFootnote"/>
      </w:pPr>
      <w:r>
        <w:rPr>
          <w:b/>
        </w:rPr>
        <w:t xml:space="preserve"> </w:t>
      </w:r>
      <w:r w:rsidR="00CA1F9D" w:rsidRPr="008D4A7C">
        <w:rPr>
          <w:b/>
        </w:rPr>
        <w:t xml:space="preserve">Abbreviations: </w:t>
      </w:r>
      <w:r w:rsidR="00CF62AC">
        <w:rPr>
          <w:lang w:val="en-GB" w:eastAsia="ja-JP"/>
        </w:rPr>
        <w:t>C1-INH, C1 esterase inhibitor</w:t>
      </w:r>
      <w:r w:rsidR="00973AF6">
        <w:rPr>
          <w:lang w:val="en-GB" w:eastAsia="ja-JP"/>
        </w:rPr>
        <w:t xml:space="preserve">; </w:t>
      </w:r>
      <w:r w:rsidR="00190A20">
        <w:rPr>
          <w:lang w:val="en-GB" w:eastAsia="ja-JP"/>
        </w:rPr>
        <w:t>c</w:t>
      </w:r>
      <w:r w:rsidR="00F83F9A">
        <w:rPr>
          <w:lang w:val="en-GB" w:eastAsia="ja-JP"/>
        </w:rPr>
        <w:t xml:space="preserve">onc., concentrate; </w:t>
      </w:r>
      <w:r w:rsidR="00973AF6">
        <w:rPr>
          <w:lang w:val="en-GB" w:eastAsia="ja-JP"/>
        </w:rPr>
        <w:t xml:space="preserve">HAE, hereditary angioedema; </w:t>
      </w:r>
      <w:r w:rsidR="00CA1F9D">
        <w:t>TA, tranexamic acid</w:t>
      </w:r>
    </w:p>
    <w:p w14:paraId="56F69025" w14:textId="4FADAFCA" w:rsidR="0005552C" w:rsidRDefault="0005552C" w:rsidP="00327B5B">
      <w:pPr>
        <w:pStyle w:val="Heading1"/>
        <w:numPr>
          <w:ilvl w:val="0"/>
          <w:numId w:val="0"/>
        </w:numPr>
      </w:pPr>
      <w:bookmarkStart w:id="75" w:name="_Toc394668194"/>
      <w:bookmarkStart w:id="76" w:name="_Toc400097957"/>
      <w:r w:rsidRPr="00A34E9C">
        <w:t xml:space="preserve">Clinical </w:t>
      </w:r>
      <w:r w:rsidR="00222369">
        <w:t xml:space="preserve">and economic </w:t>
      </w:r>
      <w:r w:rsidRPr="00A34E9C">
        <w:t>claim</w:t>
      </w:r>
      <w:bookmarkEnd w:id="75"/>
      <w:bookmarkEnd w:id="76"/>
    </w:p>
    <w:p w14:paraId="49A2B665" w14:textId="040D0565" w:rsidR="006602AC" w:rsidRPr="006602AC" w:rsidRDefault="006602AC" w:rsidP="006602AC">
      <w:pPr>
        <w:pStyle w:val="BodyText"/>
      </w:pPr>
      <w:r>
        <w:t>For each indication</w:t>
      </w:r>
      <w:r w:rsidR="00EA7EC8">
        <w:t>,</w:t>
      </w:r>
      <w:r>
        <w:t xml:space="preserve"> the clinical and economic claims for each of the three comparison categories (treatment, setting and funding) will be discussed.</w:t>
      </w:r>
    </w:p>
    <w:p w14:paraId="61D6931C" w14:textId="3CD0D086" w:rsidR="00BC54BF" w:rsidRPr="00BC54BF" w:rsidRDefault="00222369" w:rsidP="00BC54BF">
      <w:pPr>
        <w:pStyle w:val="Heading2"/>
      </w:pPr>
      <w:bookmarkStart w:id="77" w:name="_Toc400097958"/>
      <w:r>
        <w:t>C</w:t>
      </w:r>
      <w:r w:rsidR="00BC54BF">
        <w:t>laim for acute HAE attacks</w:t>
      </w:r>
      <w:bookmarkEnd w:id="77"/>
    </w:p>
    <w:p w14:paraId="6BE1A25B" w14:textId="0B7C6A56" w:rsidR="00FD7D2D" w:rsidRDefault="00FD7D2D" w:rsidP="00FD7D2D">
      <w:pPr>
        <w:pStyle w:val="Heading3"/>
      </w:pPr>
      <w:bookmarkStart w:id="78" w:name="_Toc400097959"/>
      <w:r>
        <w:t>Treatment comparison</w:t>
      </w:r>
      <w:bookmarkEnd w:id="78"/>
    </w:p>
    <w:p w14:paraId="578184D1" w14:textId="74D8C923" w:rsidR="0052039D" w:rsidRDefault="00D52F6E" w:rsidP="0052039D">
      <w:pPr>
        <w:pStyle w:val="BodyText"/>
      </w:pPr>
      <w:r>
        <w:t>For the treatment comparison</w:t>
      </w:r>
      <w:r w:rsidR="00213BBF">
        <w:t>, the clinical claim is that</w:t>
      </w:r>
      <w:r w:rsidR="008D4693">
        <w:t xml:space="preserve"> </w:t>
      </w:r>
      <w:r w:rsidR="00213BBF">
        <w:t>C1-INH concentrate is non-inferior to icatibant in efficacy and safety</w:t>
      </w:r>
      <w:r w:rsidR="00E55DAE">
        <w:t xml:space="preserve"> </w:t>
      </w:r>
      <w:r>
        <w:t xml:space="preserve">for acute HAE attacks in adults and adolescents </w:t>
      </w:r>
      <w:r w:rsidR="00E55DAE">
        <w:t>(</w:t>
      </w:r>
      <w:r w:rsidR="00E55DAE">
        <w:fldChar w:fldCharType="begin"/>
      </w:r>
      <w:r w:rsidR="00E55DAE">
        <w:instrText xml:space="preserve"> REF _Ref395882977 \h </w:instrText>
      </w:r>
      <w:r w:rsidR="00E55DAE">
        <w:fldChar w:fldCharType="separate"/>
      </w:r>
      <w:r w:rsidR="00847595">
        <w:t xml:space="preserve">Table </w:t>
      </w:r>
      <w:r w:rsidR="00847595">
        <w:rPr>
          <w:noProof/>
        </w:rPr>
        <w:t>8</w:t>
      </w:r>
      <w:r w:rsidR="00E55DAE">
        <w:fldChar w:fldCharType="end"/>
      </w:r>
      <w:r w:rsidR="00E55DAE">
        <w:t>)</w:t>
      </w:r>
      <w:r w:rsidR="00213BBF">
        <w:t xml:space="preserve">. </w:t>
      </w:r>
      <w:r w:rsidR="009961FC">
        <w:t xml:space="preserve">This is based on the ASCIA </w:t>
      </w:r>
      <w:r w:rsidR="00EE5A38">
        <w:t>management algorithm</w:t>
      </w:r>
      <w:r w:rsidR="009961FC">
        <w:t xml:space="preserve"> which recommends either icatibant or C1-IN</w:t>
      </w:r>
      <w:r w:rsidR="00EA7EC8">
        <w:t>H concentrate for acute attacks</w:t>
      </w:r>
      <w:r w:rsidR="0040629C">
        <w:t xml:space="preserve">. The appropriate economic evaluation would be a cost-minimisation analysis. </w:t>
      </w:r>
      <w:r w:rsidR="00FD7D2D">
        <w:t>(</w:t>
      </w:r>
      <w:r w:rsidR="0052039D">
        <w:t>For children, and during pregnancy and lactation, the appropria</w:t>
      </w:r>
      <w:r w:rsidR="008D4693">
        <w:t>te treatment comparison claim would be that</w:t>
      </w:r>
      <w:r w:rsidR="0052039D">
        <w:t xml:space="preserve"> C1-INH concentrate is </w:t>
      </w:r>
      <w:r w:rsidR="008D4693">
        <w:t>superior</w:t>
      </w:r>
      <w:r w:rsidR="0052039D">
        <w:t xml:space="preserve"> in efficacy and safety to </w:t>
      </w:r>
      <w:r w:rsidR="008D4693">
        <w:t>no treatment</w:t>
      </w:r>
      <w:r w:rsidR="0052039D" w:rsidRPr="0052039D">
        <w:t>.</w:t>
      </w:r>
      <w:r w:rsidR="00FD7D2D">
        <w:t>)</w:t>
      </w:r>
    </w:p>
    <w:p w14:paraId="6C3276BF" w14:textId="52F2347C" w:rsidR="0005552C" w:rsidRDefault="00C3069F" w:rsidP="005271C4">
      <w:pPr>
        <w:pStyle w:val="Caption"/>
      </w:pPr>
      <w:bookmarkStart w:id="79" w:name="_Ref395882977"/>
      <w:r>
        <w:lastRenderedPageBreak/>
        <w:t xml:space="preserve">Table </w:t>
      </w:r>
      <w:r w:rsidR="00EA5D58">
        <w:fldChar w:fldCharType="begin"/>
      </w:r>
      <w:r w:rsidR="00EA5D58">
        <w:instrText xml:space="preserve"> SEQ Table \* ARABIC </w:instrText>
      </w:r>
      <w:r w:rsidR="00EA5D58">
        <w:fldChar w:fldCharType="separate"/>
      </w:r>
      <w:r w:rsidR="00847595">
        <w:rPr>
          <w:noProof/>
        </w:rPr>
        <w:t>8</w:t>
      </w:r>
      <w:r w:rsidR="00EA5D58">
        <w:rPr>
          <w:noProof/>
        </w:rPr>
        <w:fldChar w:fldCharType="end"/>
      </w:r>
      <w:bookmarkEnd w:id="79"/>
      <w:r w:rsidR="0020213B">
        <w:tab/>
        <w:t xml:space="preserve">Comparative analysis of </w:t>
      </w:r>
      <w:r>
        <w:t xml:space="preserve">C1-INH </w:t>
      </w:r>
      <w:r w:rsidR="00213BBF">
        <w:t xml:space="preserve">concentrate </w:t>
      </w:r>
      <w:r>
        <w:t>for the treatment of</w:t>
      </w:r>
      <w:r w:rsidR="00DB50EA">
        <w:t xml:space="preserve"> acute</w:t>
      </w:r>
      <w:r>
        <w:t xml:space="preserve"> </w:t>
      </w:r>
      <w:r w:rsidR="0020213B">
        <w:t>HAE</w:t>
      </w:r>
      <w:r w:rsidR="00DB50EA">
        <w:t xml:space="preserve"> attacks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71"/>
        <w:gridCol w:w="1089"/>
        <w:gridCol w:w="1576"/>
        <w:gridCol w:w="989"/>
        <w:gridCol w:w="2356"/>
        <w:gridCol w:w="1541"/>
        <w:gridCol w:w="918"/>
      </w:tblGrid>
      <w:tr w:rsidR="00506FD4" w:rsidRPr="00882200" w14:paraId="26E3BC48" w14:textId="77777777" w:rsidTr="00506FD4">
        <w:tc>
          <w:tcPr>
            <w:tcW w:w="962" w:type="pct"/>
            <w:gridSpan w:val="2"/>
            <w:vMerge w:val="restart"/>
          </w:tcPr>
          <w:p w14:paraId="1A9CD937" w14:textId="77777777" w:rsidR="00506FD4" w:rsidRPr="00AA5FBF" w:rsidRDefault="00506FD4" w:rsidP="005271C4">
            <w:pPr>
              <w:keepNext/>
              <w:tabs>
                <w:tab w:val="left" w:pos="2835"/>
              </w:tabs>
              <w:rPr>
                <w:rFonts w:ascii="Arial Narrow" w:hAnsi="Arial Narrow"/>
                <w:lang w:val="en-GB" w:eastAsia="ja-JP"/>
              </w:rPr>
            </w:pPr>
          </w:p>
        </w:tc>
        <w:tc>
          <w:tcPr>
            <w:tcW w:w="4038" w:type="pct"/>
            <w:gridSpan w:val="5"/>
          </w:tcPr>
          <w:p w14:paraId="0E45CD5A" w14:textId="77777777" w:rsidR="00506FD4" w:rsidRPr="00AA5FBF" w:rsidRDefault="00506FD4" w:rsidP="005271C4">
            <w:pPr>
              <w:keepNext/>
              <w:tabs>
                <w:tab w:val="left" w:pos="2835"/>
              </w:tabs>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506FD4" w:rsidRPr="00882200" w14:paraId="542087E1" w14:textId="77777777" w:rsidTr="00506FD4">
        <w:tc>
          <w:tcPr>
            <w:tcW w:w="962" w:type="pct"/>
            <w:gridSpan w:val="2"/>
            <w:vMerge/>
          </w:tcPr>
          <w:p w14:paraId="09BACDAF" w14:textId="77777777" w:rsidR="00506FD4" w:rsidRPr="00AA5FBF" w:rsidRDefault="00506FD4" w:rsidP="005271C4">
            <w:pPr>
              <w:keepNext/>
              <w:tabs>
                <w:tab w:val="left" w:pos="2835"/>
              </w:tabs>
              <w:rPr>
                <w:rFonts w:ascii="Arial Narrow" w:hAnsi="Arial Narrow"/>
                <w:lang w:val="en-GB" w:eastAsia="ja-JP"/>
              </w:rPr>
            </w:pPr>
          </w:p>
        </w:tc>
        <w:tc>
          <w:tcPr>
            <w:tcW w:w="1403" w:type="pct"/>
            <w:gridSpan w:val="2"/>
            <w:vAlign w:val="center"/>
          </w:tcPr>
          <w:p w14:paraId="5E71568A" w14:textId="77777777" w:rsidR="00506FD4" w:rsidRPr="00AA5FBF" w:rsidRDefault="00506FD4"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Superior</w:t>
            </w:r>
          </w:p>
        </w:tc>
        <w:tc>
          <w:tcPr>
            <w:tcW w:w="1289" w:type="pct"/>
            <w:vAlign w:val="center"/>
          </w:tcPr>
          <w:p w14:paraId="3D11CD2A" w14:textId="77777777" w:rsidR="00506FD4" w:rsidRPr="00AA5FBF" w:rsidRDefault="00506FD4"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1346" w:type="pct"/>
            <w:gridSpan w:val="2"/>
            <w:vAlign w:val="center"/>
          </w:tcPr>
          <w:p w14:paraId="6EF8A6B6" w14:textId="77777777" w:rsidR="00506FD4" w:rsidRPr="00AA5FBF" w:rsidRDefault="00506FD4"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Inferior</w:t>
            </w:r>
          </w:p>
        </w:tc>
      </w:tr>
      <w:tr w:rsidR="00506FD4" w:rsidRPr="00882200" w14:paraId="684C450D" w14:textId="77777777" w:rsidTr="002929DE">
        <w:trPr>
          <w:cantSplit/>
          <w:trHeight w:val="20"/>
        </w:trPr>
        <w:tc>
          <w:tcPr>
            <w:tcW w:w="367" w:type="pct"/>
            <w:vMerge w:val="restart"/>
            <w:textDirection w:val="btLr"/>
            <w:vAlign w:val="center"/>
          </w:tcPr>
          <w:p w14:paraId="7F09B500" w14:textId="77777777" w:rsidR="00506FD4" w:rsidRPr="00AA5FBF" w:rsidRDefault="00506FD4" w:rsidP="005271C4">
            <w:pPr>
              <w:keepNext/>
              <w:tabs>
                <w:tab w:val="left" w:pos="2835"/>
              </w:tabs>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596" w:type="pct"/>
            <w:vMerge w:val="restart"/>
            <w:vAlign w:val="center"/>
          </w:tcPr>
          <w:p w14:paraId="3271C147"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Superior</w:t>
            </w:r>
          </w:p>
        </w:tc>
        <w:tc>
          <w:tcPr>
            <w:tcW w:w="1403" w:type="pct"/>
            <w:gridSpan w:val="2"/>
            <w:vMerge w:val="restart"/>
            <w:vAlign w:val="center"/>
          </w:tcPr>
          <w:p w14:paraId="5110996F"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04DB0C99"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843" w:type="pct"/>
          </w:tcPr>
          <w:p w14:paraId="627EF1D1"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03" w:type="pct"/>
            <w:vAlign w:val="center"/>
          </w:tcPr>
          <w:p w14:paraId="3B0FCD85"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506FD4" w:rsidRPr="00882200" w14:paraId="2B7BFDB1" w14:textId="77777777" w:rsidTr="002929DE">
        <w:trPr>
          <w:cantSplit/>
          <w:trHeight w:val="20"/>
        </w:trPr>
        <w:tc>
          <w:tcPr>
            <w:tcW w:w="367" w:type="pct"/>
            <w:vMerge/>
          </w:tcPr>
          <w:p w14:paraId="5101E67A" w14:textId="77777777" w:rsidR="00506FD4" w:rsidRPr="00AA5FBF" w:rsidRDefault="00506FD4" w:rsidP="005271C4">
            <w:pPr>
              <w:keepNext/>
              <w:tabs>
                <w:tab w:val="left" w:pos="2835"/>
              </w:tabs>
              <w:rPr>
                <w:rFonts w:ascii="Arial Narrow" w:hAnsi="Arial Narrow"/>
                <w:lang w:val="en-GB" w:eastAsia="ja-JP"/>
              </w:rPr>
            </w:pPr>
          </w:p>
        </w:tc>
        <w:tc>
          <w:tcPr>
            <w:tcW w:w="596" w:type="pct"/>
            <w:vMerge/>
            <w:vAlign w:val="center"/>
          </w:tcPr>
          <w:p w14:paraId="50F3BF98" w14:textId="77777777" w:rsidR="00506FD4" w:rsidRPr="00AA5FBF" w:rsidRDefault="00506FD4" w:rsidP="005271C4">
            <w:pPr>
              <w:keepNext/>
              <w:tabs>
                <w:tab w:val="left" w:pos="2835"/>
              </w:tabs>
              <w:rPr>
                <w:rFonts w:ascii="Arial Narrow" w:hAnsi="Arial Narrow"/>
                <w:u w:val="single"/>
                <w:lang w:val="en-GB" w:eastAsia="ja-JP"/>
              </w:rPr>
            </w:pPr>
          </w:p>
        </w:tc>
        <w:tc>
          <w:tcPr>
            <w:tcW w:w="1403" w:type="pct"/>
            <w:gridSpan w:val="2"/>
            <w:vMerge/>
            <w:vAlign w:val="center"/>
          </w:tcPr>
          <w:p w14:paraId="320A0BED" w14:textId="77777777" w:rsidR="00506FD4" w:rsidRPr="00AA5FBF" w:rsidRDefault="00506FD4" w:rsidP="005271C4">
            <w:pPr>
              <w:keepNext/>
              <w:tabs>
                <w:tab w:val="left" w:pos="2835"/>
              </w:tabs>
              <w:jc w:val="center"/>
              <w:rPr>
                <w:rFonts w:ascii="Arial Narrow" w:hAnsi="Arial Narrow"/>
                <w:lang w:val="en-GB" w:eastAsia="ja-JP"/>
              </w:rPr>
            </w:pPr>
          </w:p>
        </w:tc>
        <w:tc>
          <w:tcPr>
            <w:tcW w:w="1289" w:type="pct"/>
            <w:vMerge/>
            <w:vAlign w:val="center"/>
          </w:tcPr>
          <w:p w14:paraId="4678578B" w14:textId="77777777" w:rsidR="00506FD4" w:rsidRPr="00AA5FBF" w:rsidRDefault="00506FD4" w:rsidP="005271C4">
            <w:pPr>
              <w:keepNext/>
              <w:tabs>
                <w:tab w:val="left" w:pos="2835"/>
              </w:tabs>
              <w:jc w:val="center"/>
              <w:rPr>
                <w:rFonts w:ascii="Arial Narrow" w:hAnsi="Arial Narrow"/>
                <w:lang w:val="en-GB" w:eastAsia="ja-JP"/>
              </w:rPr>
            </w:pPr>
          </w:p>
        </w:tc>
        <w:tc>
          <w:tcPr>
            <w:tcW w:w="843" w:type="pct"/>
          </w:tcPr>
          <w:p w14:paraId="11C33E2D"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03" w:type="pct"/>
            <w:vAlign w:val="center"/>
          </w:tcPr>
          <w:p w14:paraId="0A34ED30"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506FD4" w:rsidRPr="00882200" w14:paraId="3C4830D5" w14:textId="77777777" w:rsidTr="002929DE">
        <w:trPr>
          <w:cantSplit/>
          <w:trHeight w:val="20"/>
        </w:trPr>
        <w:tc>
          <w:tcPr>
            <w:tcW w:w="367" w:type="pct"/>
            <w:vMerge/>
          </w:tcPr>
          <w:p w14:paraId="4EC02C11" w14:textId="77777777" w:rsidR="00506FD4" w:rsidRPr="00AA5FBF" w:rsidRDefault="00506FD4" w:rsidP="005271C4">
            <w:pPr>
              <w:keepNext/>
              <w:tabs>
                <w:tab w:val="left" w:pos="2835"/>
              </w:tabs>
              <w:rPr>
                <w:rFonts w:ascii="Arial Narrow" w:hAnsi="Arial Narrow"/>
                <w:lang w:val="en-GB" w:eastAsia="ja-JP"/>
              </w:rPr>
            </w:pPr>
          </w:p>
        </w:tc>
        <w:tc>
          <w:tcPr>
            <w:tcW w:w="596" w:type="pct"/>
            <w:vMerge/>
            <w:vAlign w:val="center"/>
          </w:tcPr>
          <w:p w14:paraId="3D676DEE" w14:textId="77777777" w:rsidR="00506FD4" w:rsidRPr="00AA5FBF" w:rsidRDefault="00506FD4" w:rsidP="005271C4">
            <w:pPr>
              <w:keepNext/>
              <w:tabs>
                <w:tab w:val="left" w:pos="2835"/>
              </w:tabs>
              <w:rPr>
                <w:rFonts w:ascii="Arial Narrow" w:hAnsi="Arial Narrow"/>
                <w:u w:val="single"/>
                <w:lang w:val="en-GB" w:eastAsia="ja-JP"/>
              </w:rPr>
            </w:pPr>
          </w:p>
        </w:tc>
        <w:tc>
          <w:tcPr>
            <w:tcW w:w="1403" w:type="pct"/>
            <w:gridSpan w:val="2"/>
            <w:vMerge/>
            <w:vAlign w:val="center"/>
          </w:tcPr>
          <w:p w14:paraId="43F11090" w14:textId="77777777" w:rsidR="00506FD4" w:rsidRPr="00AA5FBF" w:rsidRDefault="00506FD4" w:rsidP="005271C4">
            <w:pPr>
              <w:keepNext/>
              <w:tabs>
                <w:tab w:val="left" w:pos="2835"/>
              </w:tabs>
              <w:jc w:val="center"/>
              <w:rPr>
                <w:rFonts w:ascii="Arial Narrow" w:hAnsi="Arial Narrow"/>
                <w:lang w:val="en-GB" w:eastAsia="ja-JP"/>
              </w:rPr>
            </w:pPr>
          </w:p>
        </w:tc>
        <w:tc>
          <w:tcPr>
            <w:tcW w:w="1289" w:type="pct"/>
            <w:vMerge/>
            <w:vAlign w:val="center"/>
          </w:tcPr>
          <w:p w14:paraId="12153AA2" w14:textId="77777777" w:rsidR="00506FD4" w:rsidRPr="00AA5FBF" w:rsidRDefault="00506FD4" w:rsidP="005271C4">
            <w:pPr>
              <w:keepNext/>
              <w:tabs>
                <w:tab w:val="left" w:pos="2835"/>
              </w:tabs>
              <w:jc w:val="center"/>
              <w:rPr>
                <w:rFonts w:ascii="Arial Narrow" w:hAnsi="Arial Narrow"/>
                <w:lang w:val="en-GB" w:eastAsia="ja-JP"/>
              </w:rPr>
            </w:pPr>
          </w:p>
        </w:tc>
        <w:tc>
          <w:tcPr>
            <w:tcW w:w="843" w:type="pct"/>
          </w:tcPr>
          <w:p w14:paraId="537715EB"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03" w:type="pct"/>
            <w:vAlign w:val="center"/>
          </w:tcPr>
          <w:p w14:paraId="1A90B3A3"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506FD4" w:rsidRPr="00882200" w14:paraId="01FA2B53" w14:textId="77777777" w:rsidTr="002929DE">
        <w:trPr>
          <w:cantSplit/>
          <w:trHeight w:val="750"/>
        </w:trPr>
        <w:tc>
          <w:tcPr>
            <w:tcW w:w="367" w:type="pct"/>
            <w:vMerge/>
          </w:tcPr>
          <w:p w14:paraId="38863332" w14:textId="77777777" w:rsidR="00506FD4" w:rsidRPr="00AA5FBF" w:rsidRDefault="00506FD4" w:rsidP="005271C4">
            <w:pPr>
              <w:keepNext/>
              <w:tabs>
                <w:tab w:val="left" w:pos="2835"/>
              </w:tabs>
              <w:rPr>
                <w:rFonts w:ascii="Arial Narrow" w:hAnsi="Arial Narrow"/>
                <w:lang w:val="en-GB" w:eastAsia="ja-JP"/>
              </w:rPr>
            </w:pPr>
          </w:p>
        </w:tc>
        <w:tc>
          <w:tcPr>
            <w:tcW w:w="596" w:type="pct"/>
            <w:vAlign w:val="center"/>
          </w:tcPr>
          <w:p w14:paraId="0F66DA83"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Non-inferior</w:t>
            </w:r>
          </w:p>
        </w:tc>
        <w:tc>
          <w:tcPr>
            <w:tcW w:w="1403" w:type="pct"/>
            <w:gridSpan w:val="2"/>
            <w:vAlign w:val="center"/>
          </w:tcPr>
          <w:p w14:paraId="77D982CB" w14:textId="3507C22A" w:rsidR="00AA0033" w:rsidRPr="00AA0033" w:rsidRDefault="00506FD4" w:rsidP="0032733B">
            <w:pPr>
              <w:keepNext/>
              <w:tabs>
                <w:tab w:val="left" w:pos="2835"/>
              </w:tabs>
              <w:jc w:val="center"/>
              <w:rPr>
                <w:rFonts w:ascii="Arial Narrow" w:hAnsi="Arial Narrow"/>
                <w:lang w:val="en-GB" w:eastAsia="ja-JP"/>
              </w:rPr>
            </w:pPr>
            <w:r w:rsidRPr="0032733B">
              <w:rPr>
                <w:rFonts w:ascii="Arial Narrow" w:hAnsi="Arial Narrow"/>
                <w:lang w:val="en-GB" w:eastAsia="ja-JP"/>
              </w:rPr>
              <w:t>CEA/CUA</w:t>
            </w:r>
          </w:p>
        </w:tc>
        <w:tc>
          <w:tcPr>
            <w:tcW w:w="1289" w:type="pct"/>
            <w:vAlign w:val="center"/>
          </w:tcPr>
          <w:p w14:paraId="6E7B9037" w14:textId="5F81A58B" w:rsidR="00AA0033" w:rsidRPr="0032733B" w:rsidRDefault="00506FD4" w:rsidP="0032733B">
            <w:pPr>
              <w:keepNext/>
              <w:tabs>
                <w:tab w:val="left" w:pos="2835"/>
              </w:tabs>
              <w:jc w:val="center"/>
              <w:rPr>
                <w:rFonts w:ascii="Arial Narrow" w:hAnsi="Arial Narrow"/>
                <w:b/>
                <w:lang w:val="en-GB" w:eastAsia="ja-JP"/>
              </w:rPr>
            </w:pPr>
            <w:r w:rsidRPr="00506FD4">
              <w:rPr>
                <w:rFonts w:ascii="Arial Narrow" w:hAnsi="Arial Narrow"/>
                <w:b/>
                <w:lang w:val="en-GB" w:eastAsia="ja-JP"/>
              </w:rPr>
              <w:t>CEA/CUA*</w:t>
            </w:r>
          </w:p>
        </w:tc>
        <w:tc>
          <w:tcPr>
            <w:tcW w:w="1346" w:type="pct"/>
            <w:gridSpan w:val="2"/>
            <w:vAlign w:val="center"/>
          </w:tcPr>
          <w:p w14:paraId="15589288"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506FD4" w:rsidRPr="00882200" w14:paraId="21C041F0" w14:textId="77777777" w:rsidTr="002929DE">
        <w:trPr>
          <w:cantSplit/>
          <w:trHeight w:val="20"/>
        </w:trPr>
        <w:tc>
          <w:tcPr>
            <w:tcW w:w="367" w:type="pct"/>
            <w:vMerge/>
          </w:tcPr>
          <w:p w14:paraId="755CC04D" w14:textId="77777777" w:rsidR="00506FD4" w:rsidRPr="00AA5FBF" w:rsidRDefault="00506FD4" w:rsidP="005271C4">
            <w:pPr>
              <w:keepNext/>
              <w:tabs>
                <w:tab w:val="left" w:pos="2835"/>
              </w:tabs>
              <w:rPr>
                <w:rFonts w:ascii="Arial Narrow" w:hAnsi="Arial Narrow"/>
                <w:lang w:val="en-GB" w:eastAsia="ja-JP"/>
              </w:rPr>
            </w:pPr>
          </w:p>
        </w:tc>
        <w:tc>
          <w:tcPr>
            <w:tcW w:w="596" w:type="pct"/>
            <w:vMerge w:val="restart"/>
            <w:vAlign w:val="center"/>
          </w:tcPr>
          <w:p w14:paraId="024A502D"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Inferior</w:t>
            </w:r>
          </w:p>
        </w:tc>
        <w:tc>
          <w:tcPr>
            <w:tcW w:w="862" w:type="pct"/>
            <w:vAlign w:val="center"/>
          </w:tcPr>
          <w:p w14:paraId="77F27EAC"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41" w:type="pct"/>
            <w:vAlign w:val="center"/>
          </w:tcPr>
          <w:p w14:paraId="2CF292C2"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70F4FA36"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346" w:type="pct"/>
            <w:gridSpan w:val="2"/>
            <w:vMerge w:val="restart"/>
            <w:vAlign w:val="center"/>
          </w:tcPr>
          <w:p w14:paraId="012FCC60"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506FD4" w:rsidRPr="00882200" w14:paraId="6EA1DE5B" w14:textId="77777777" w:rsidTr="002929DE">
        <w:trPr>
          <w:trHeight w:val="20"/>
        </w:trPr>
        <w:tc>
          <w:tcPr>
            <w:tcW w:w="367" w:type="pct"/>
            <w:vMerge/>
          </w:tcPr>
          <w:p w14:paraId="67AE5D77" w14:textId="77777777" w:rsidR="00506FD4" w:rsidRPr="00AA5FBF" w:rsidRDefault="00506FD4" w:rsidP="005271C4">
            <w:pPr>
              <w:keepNext/>
              <w:tabs>
                <w:tab w:val="left" w:pos="2835"/>
              </w:tabs>
              <w:rPr>
                <w:rFonts w:ascii="Arial Narrow" w:hAnsi="Arial Narrow"/>
                <w:lang w:val="en-GB" w:eastAsia="ja-JP"/>
              </w:rPr>
            </w:pPr>
          </w:p>
        </w:tc>
        <w:tc>
          <w:tcPr>
            <w:tcW w:w="596" w:type="pct"/>
            <w:vMerge/>
          </w:tcPr>
          <w:p w14:paraId="27449C4D" w14:textId="77777777" w:rsidR="00506FD4" w:rsidRPr="00AA5FBF" w:rsidRDefault="00506FD4" w:rsidP="005271C4">
            <w:pPr>
              <w:keepNext/>
              <w:tabs>
                <w:tab w:val="left" w:pos="2835"/>
              </w:tabs>
              <w:rPr>
                <w:rFonts w:ascii="Arial Narrow" w:hAnsi="Arial Narrow"/>
                <w:lang w:val="en-GB" w:eastAsia="ja-JP"/>
              </w:rPr>
            </w:pPr>
          </w:p>
        </w:tc>
        <w:tc>
          <w:tcPr>
            <w:tcW w:w="862" w:type="pct"/>
            <w:vAlign w:val="center"/>
          </w:tcPr>
          <w:p w14:paraId="0E2CEDB9"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41" w:type="pct"/>
            <w:vAlign w:val="center"/>
          </w:tcPr>
          <w:p w14:paraId="6CA88B13"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ign w:val="center"/>
          </w:tcPr>
          <w:p w14:paraId="18EC52F0" w14:textId="77777777" w:rsidR="00506FD4" w:rsidRPr="00AA5FBF" w:rsidRDefault="00506FD4" w:rsidP="005271C4">
            <w:pPr>
              <w:keepNext/>
              <w:tabs>
                <w:tab w:val="left" w:pos="2835"/>
              </w:tabs>
              <w:jc w:val="center"/>
              <w:rPr>
                <w:rFonts w:ascii="Arial Narrow" w:hAnsi="Arial Narrow"/>
                <w:lang w:val="en-GB" w:eastAsia="ja-JP"/>
              </w:rPr>
            </w:pPr>
          </w:p>
        </w:tc>
        <w:tc>
          <w:tcPr>
            <w:tcW w:w="1346" w:type="pct"/>
            <w:gridSpan w:val="2"/>
            <w:vMerge/>
          </w:tcPr>
          <w:p w14:paraId="3D367E8E" w14:textId="77777777" w:rsidR="00506FD4" w:rsidRPr="00AA5FBF" w:rsidRDefault="00506FD4" w:rsidP="005271C4">
            <w:pPr>
              <w:keepNext/>
              <w:tabs>
                <w:tab w:val="left" w:pos="2835"/>
              </w:tabs>
              <w:rPr>
                <w:rFonts w:ascii="Arial Narrow" w:hAnsi="Arial Narrow"/>
                <w:lang w:val="en-GB" w:eastAsia="ja-JP"/>
              </w:rPr>
            </w:pPr>
          </w:p>
        </w:tc>
      </w:tr>
      <w:tr w:rsidR="00506FD4" w:rsidRPr="00882200" w14:paraId="5D2053A2" w14:textId="77777777" w:rsidTr="002929DE">
        <w:trPr>
          <w:trHeight w:val="20"/>
        </w:trPr>
        <w:tc>
          <w:tcPr>
            <w:tcW w:w="367" w:type="pct"/>
            <w:vMerge/>
          </w:tcPr>
          <w:p w14:paraId="52DC41EB" w14:textId="77777777" w:rsidR="00506FD4" w:rsidRPr="00AA5FBF" w:rsidRDefault="00506FD4" w:rsidP="005271C4">
            <w:pPr>
              <w:keepNext/>
              <w:tabs>
                <w:tab w:val="left" w:pos="2835"/>
              </w:tabs>
              <w:rPr>
                <w:rFonts w:ascii="Arial Narrow" w:hAnsi="Arial Narrow"/>
                <w:lang w:val="en-GB" w:eastAsia="ja-JP"/>
              </w:rPr>
            </w:pPr>
          </w:p>
        </w:tc>
        <w:tc>
          <w:tcPr>
            <w:tcW w:w="596" w:type="pct"/>
            <w:vMerge/>
          </w:tcPr>
          <w:p w14:paraId="66D9ADC2" w14:textId="77777777" w:rsidR="00506FD4" w:rsidRPr="00AA5FBF" w:rsidRDefault="00506FD4" w:rsidP="005271C4">
            <w:pPr>
              <w:keepNext/>
              <w:tabs>
                <w:tab w:val="left" w:pos="2835"/>
              </w:tabs>
              <w:rPr>
                <w:rFonts w:ascii="Arial Narrow" w:hAnsi="Arial Narrow"/>
                <w:lang w:val="en-GB" w:eastAsia="ja-JP"/>
              </w:rPr>
            </w:pPr>
          </w:p>
        </w:tc>
        <w:tc>
          <w:tcPr>
            <w:tcW w:w="862" w:type="pct"/>
            <w:vAlign w:val="center"/>
          </w:tcPr>
          <w:p w14:paraId="47EBE011"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41" w:type="pct"/>
            <w:vAlign w:val="center"/>
          </w:tcPr>
          <w:p w14:paraId="3EFFB7EE"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289" w:type="pct"/>
            <w:vMerge/>
            <w:vAlign w:val="center"/>
          </w:tcPr>
          <w:p w14:paraId="733FF16F" w14:textId="77777777" w:rsidR="00506FD4" w:rsidRPr="00AA5FBF" w:rsidRDefault="00506FD4" w:rsidP="005271C4">
            <w:pPr>
              <w:keepNext/>
              <w:tabs>
                <w:tab w:val="left" w:pos="2835"/>
              </w:tabs>
              <w:jc w:val="center"/>
              <w:rPr>
                <w:rFonts w:ascii="Arial Narrow" w:hAnsi="Arial Narrow"/>
                <w:lang w:val="en-GB" w:eastAsia="ja-JP"/>
              </w:rPr>
            </w:pPr>
          </w:p>
        </w:tc>
        <w:tc>
          <w:tcPr>
            <w:tcW w:w="1346" w:type="pct"/>
            <w:gridSpan w:val="2"/>
            <w:vMerge/>
          </w:tcPr>
          <w:p w14:paraId="771E3691" w14:textId="77777777" w:rsidR="00506FD4" w:rsidRPr="00AA5FBF" w:rsidRDefault="00506FD4" w:rsidP="005271C4">
            <w:pPr>
              <w:keepNext/>
              <w:tabs>
                <w:tab w:val="left" w:pos="2835"/>
              </w:tabs>
              <w:rPr>
                <w:rFonts w:ascii="Arial Narrow" w:hAnsi="Arial Narrow"/>
                <w:lang w:val="en-GB" w:eastAsia="ja-JP"/>
              </w:rPr>
            </w:pPr>
          </w:p>
        </w:tc>
      </w:tr>
    </w:tbl>
    <w:p w14:paraId="1A2C053A" w14:textId="3A36F006" w:rsidR="00506FD4" w:rsidRDefault="00506FD4" w:rsidP="005271C4">
      <w:pPr>
        <w:pStyle w:val="TableFootnotes1"/>
        <w:rPr>
          <w:lang w:val="en-GB" w:eastAsia="ja-JP"/>
        </w:rPr>
      </w:pPr>
      <w:r w:rsidRPr="00506FD4">
        <w:rPr>
          <w:b/>
          <w:lang w:val="en-GB" w:eastAsia="ja-JP"/>
        </w:rPr>
        <w:t>Abbreviations:</w:t>
      </w:r>
      <w:r w:rsidR="00AA0033">
        <w:rPr>
          <w:lang w:val="en-GB" w:eastAsia="ja-JP"/>
        </w:rPr>
        <w:t xml:space="preserve"> Admin, administration; CEA,</w:t>
      </w:r>
      <w:r>
        <w:rPr>
          <w:lang w:val="en-GB" w:eastAsia="ja-JP"/>
        </w:rPr>
        <w:t xml:space="preserve"> cost-effectiveness analysis;</w:t>
      </w:r>
      <w:r w:rsidR="00D52F6E">
        <w:rPr>
          <w:lang w:val="en-GB" w:eastAsia="ja-JP"/>
        </w:rPr>
        <w:t xml:space="preserve"> </w:t>
      </w:r>
      <w:r w:rsidR="00AA0033">
        <w:rPr>
          <w:lang w:val="en-GB" w:eastAsia="ja-JP"/>
        </w:rPr>
        <w:t>CUA,</w:t>
      </w:r>
      <w:r>
        <w:rPr>
          <w:lang w:val="en-GB" w:eastAsia="ja-JP"/>
        </w:rPr>
        <w:t xml:space="preserve"> cost-utility analysis</w:t>
      </w:r>
      <w:r w:rsidR="00AA0033">
        <w:rPr>
          <w:lang w:val="en-GB" w:eastAsia="ja-JP"/>
        </w:rPr>
        <w:t>; vs, versus</w:t>
      </w:r>
    </w:p>
    <w:p w14:paraId="25D13E51" w14:textId="4A63E698" w:rsidR="00506FD4" w:rsidRDefault="00506FD4" w:rsidP="00506FD4">
      <w:pPr>
        <w:pStyle w:val="TableFootnotes1"/>
        <w:rPr>
          <w:lang w:val="en-GB" w:eastAsia="ja-JP"/>
        </w:rPr>
      </w:pPr>
      <w:r>
        <w:rPr>
          <w:lang w:val="en-GB" w:eastAsia="ja-JP"/>
        </w:rPr>
        <w:t>* May be reduced</w:t>
      </w:r>
      <w:r w:rsidR="00411918">
        <w:rPr>
          <w:lang w:val="en-GB" w:eastAsia="ja-JP"/>
        </w:rPr>
        <w:t xml:space="preserve"> to cost-minimisation analysis.</w:t>
      </w:r>
    </w:p>
    <w:p w14:paraId="67505E66" w14:textId="77777777" w:rsidR="00506FD4" w:rsidRPr="00882200" w:rsidRDefault="00506FD4" w:rsidP="00506FD4">
      <w:pPr>
        <w:pStyle w:val="LastTableFootnote"/>
        <w:rPr>
          <w:lang w:val="en-GB" w:eastAsia="ja-JP"/>
        </w:rPr>
      </w:pPr>
      <w:r>
        <w:rPr>
          <w:lang w:val="en-GB" w:eastAsia="ja-JP"/>
        </w:rPr>
        <w:t xml:space="preserve">^ </w:t>
      </w:r>
      <w:r w:rsidRPr="009B59B7">
        <w:rPr>
          <w:lang w:val="en-GB" w:eastAsia="ja-JP"/>
        </w:rPr>
        <w:t>No economic evaluation needs to be presented; MSAC is unlikely to recommend government subsidy of this intervention</w:t>
      </w:r>
    </w:p>
    <w:p w14:paraId="622D5589" w14:textId="77777777" w:rsidR="0032733B" w:rsidRDefault="0032733B" w:rsidP="0032733B">
      <w:pPr>
        <w:pStyle w:val="Heading3"/>
      </w:pPr>
      <w:bookmarkStart w:id="80" w:name="_Toc400097960"/>
      <w:bookmarkStart w:id="81" w:name="_Toc395886514"/>
      <w:bookmarkStart w:id="82" w:name="_Ref395882946"/>
      <w:r>
        <w:t>Setting comparison</w:t>
      </w:r>
      <w:bookmarkEnd w:id="80"/>
    </w:p>
    <w:p w14:paraId="00375C63" w14:textId="18986615" w:rsidR="0032733B" w:rsidRDefault="0032733B" w:rsidP="0032733B">
      <w:pPr>
        <w:pStyle w:val="BodyText"/>
      </w:pPr>
      <w:r>
        <w:t xml:space="preserve">In all populations, the claim for the setting comparison is that community-administered C1-INH concentrate is superior in terms of efficacy to hospital-administered C1-INH concentrate due to earlier administration, and is non-inferior in terms of safety.  </w:t>
      </w:r>
    </w:p>
    <w:p w14:paraId="66DFFFDB" w14:textId="77777777" w:rsidR="0032733B" w:rsidRDefault="0032733B" w:rsidP="0032733B">
      <w:pPr>
        <w:pStyle w:val="Heading3"/>
      </w:pPr>
      <w:bookmarkStart w:id="83" w:name="_Toc400097961"/>
      <w:r>
        <w:t>Funding comparison</w:t>
      </w:r>
      <w:bookmarkEnd w:id="83"/>
    </w:p>
    <w:p w14:paraId="3A674FC0" w14:textId="5F74A0FD" w:rsidR="0032733B" w:rsidRPr="0052039D" w:rsidRDefault="0032733B" w:rsidP="0032733B">
      <w:pPr>
        <w:pStyle w:val="BodyText"/>
      </w:pPr>
      <w:r>
        <w:t>The claim for the funding comparison is that listing C1-INH concentrate on the NPSL will provide patient benefits associated with greater access to the intervention (</w:t>
      </w:r>
      <w:r w:rsidR="00A25553">
        <w:t xml:space="preserve">note that </w:t>
      </w:r>
      <w:r>
        <w:t xml:space="preserve">anticipated </w:t>
      </w:r>
      <w:r w:rsidR="00AF4FE1">
        <w:t>changes</w:t>
      </w:r>
      <w:r>
        <w:t xml:space="preserve"> in use will be </w:t>
      </w:r>
      <w:r w:rsidR="00A25553">
        <w:t>explored</w:t>
      </w:r>
      <w:r>
        <w:t xml:space="preserve"> in the financial impact analysis).</w:t>
      </w:r>
    </w:p>
    <w:p w14:paraId="127758FA" w14:textId="33467247" w:rsidR="009F5D07" w:rsidRDefault="00222369" w:rsidP="00EE6F9C">
      <w:pPr>
        <w:pStyle w:val="Heading2"/>
      </w:pPr>
      <w:bookmarkStart w:id="84" w:name="_Toc400097962"/>
      <w:r>
        <w:t>C</w:t>
      </w:r>
      <w:r w:rsidR="009F5D07">
        <w:t>laim for prophylaxis</w:t>
      </w:r>
      <w:bookmarkEnd w:id="81"/>
      <w:r w:rsidR="00122636">
        <w:t xml:space="preserve"> prior to major pro</w:t>
      </w:r>
      <w:r w:rsidR="0052039D">
        <w:t>ced</w:t>
      </w:r>
      <w:r w:rsidR="00122636">
        <w:t>ures</w:t>
      </w:r>
      <w:bookmarkEnd w:id="84"/>
    </w:p>
    <w:p w14:paraId="6E49BCB6" w14:textId="1DD98117" w:rsidR="00C57E02" w:rsidRPr="00C57E02" w:rsidRDefault="00C57E02" w:rsidP="00C57E02">
      <w:pPr>
        <w:pStyle w:val="Heading3"/>
      </w:pPr>
      <w:bookmarkStart w:id="85" w:name="_Toc400097963"/>
      <w:r>
        <w:t>Treatment comparison</w:t>
      </w:r>
      <w:bookmarkEnd w:id="85"/>
    </w:p>
    <w:p w14:paraId="780771D8" w14:textId="093D4027" w:rsidR="00C01409" w:rsidRDefault="00E84314" w:rsidP="00C01409">
      <w:pPr>
        <w:pStyle w:val="BodyText"/>
      </w:pPr>
      <w:r>
        <w:t>The clinical claim</w:t>
      </w:r>
      <w:r w:rsidR="000931A7">
        <w:t xml:space="preserve"> for prophylaxis prior to major procedures </w:t>
      </w:r>
      <w:r w:rsidR="005B170A">
        <w:t xml:space="preserve">in adults and children </w:t>
      </w:r>
      <w:r>
        <w:t xml:space="preserve">is that </w:t>
      </w:r>
      <w:r w:rsidR="000931A7">
        <w:t xml:space="preserve">C1-INH concentrate is superior to danazol in efficacy and non-inferior </w:t>
      </w:r>
      <w:r w:rsidR="005B170A">
        <w:t xml:space="preserve">to danazol </w:t>
      </w:r>
      <w:r w:rsidR="000931A7">
        <w:t xml:space="preserve">in safety. </w:t>
      </w:r>
      <w:r w:rsidR="00863682">
        <w:t xml:space="preserve">This is based on ASCIA advice which clearly </w:t>
      </w:r>
      <w:r w:rsidR="005B170A">
        <w:t>favours</w:t>
      </w:r>
      <w:r w:rsidR="00863682">
        <w:t xml:space="preserve"> C1-INH concentrate </w:t>
      </w:r>
      <w:r w:rsidR="005B170A">
        <w:t>over</w:t>
      </w:r>
      <w:r w:rsidR="00863682">
        <w:t xml:space="preserve"> danazol for this indication. </w:t>
      </w:r>
      <w:r w:rsidR="000931A7">
        <w:t xml:space="preserve">The appropriate </w:t>
      </w:r>
      <w:r w:rsidR="0040629C">
        <w:t>economic evaluation would be</w:t>
      </w:r>
      <w:r w:rsidR="000931A7">
        <w:t xml:space="preserve"> a cost-</w:t>
      </w:r>
      <w:r>
        <w:t>effectiveness</w:t>
      </w:r>
      <w:r w:rsidR="000931A7">
        <w:t xml:space="preserve"> analysis</w:t>
      </w:r>
      <w:r w:rsidR="005E34D3">
        <w:t xml:space="preserve"> (</w:t>
      </w:r>
      <w:r w:rsidR="005E34D3">
        <w:fldChar w:fldCharType="begin"/>
      </w:r>
      <w:r w:rsidR="005E34D3">
        <w:instrText xml:space="preserve"> REF _Ref395891182 \h </w:instrText>
      </w:r>
      <w:r w:rsidR="005E34D3">
        <w:fldChar w:fldCharType="separate"/>
      </w:r>
      <w:r w:rsidR="00847595">
        <w:t xml:space="preserve">Table </w:t>
      </w:r>
      <w:r w:rsidR="00847595">
        <w:rPr>
          <w:noProof/>
        </w:rPr>
        <w:t>9</w:t>
      </w:r>
      <w:r w:rsidR="005E34D3">
        <w:fldChar w:fldCharType="end"/>
      </w:r>
      <w:r w:rsidR="005E34D3">
        <w:t>)</w:t>
      </w:r>
      <w:r w:rsidR="000931A7">
        <w:t>.</w:t>
      </w:r>
      <w:r>
        <w:t xml:space="preserve"> </w:t>
      </w:r>
      <w:r w:rsidR="00C01409">
        <w:t>(For pregnant and lactating women, the appropriate clinical claim would be that C1-INH concentrate is superior in efficacy</w:t>
      </w:r>
      <w:r w:rsidR="00C01409">
        <w:rPr>
          <w:rStyle w:val="FootnoteReference"/>
        </w:rPr>
        <w:footnoteReference w:id="15"/>
      </w:r>
      <w:r w:rsidR="00C01409">
        <w:t xml:space="preserve"> and safety to tranexamic acid</w:t>
      </w:r>
      <w:r w:rsidR="00863682">
        <w:t>.)</w:t>
      </w:r>
    </w:p>
    <w:p w14:paraId="261F911F" w14:textId="17BBF92A" w:rsidR="00DB50EA" w:rsidRDefault="00DB50EA" w:rsidP="00DB50EA">
      <w:pPr>
        <w:pStyle w:val="Caption"/>
      </w:pPr>
      <w:bookmarkStart w:id="86" w:name="_Ref395891182"/>
      <w:r>
        <w:lastRenderedPageBreak/>
        <w:t xml:space="preserve">Table </w:t>
      </w:r>
      <w:r w:rsidR="00EA5D58">
        <w:fldChar w:fldCharType="begin"/>
      </w:r>
      <w:r w:rsidR="00EA5D58">
        <w:instrText xml:space="preserve"> SEQ Table \* ARABIC </w:instrText>
      </w:r>
      <w:r w:rsidR="00EA5D58">
        <w:fldChar w:fldCharType="separate"/>
      </w:r>
      <w:r w:rsidR="00847595">
        <w:rPr>
          <w:noProof/>
        </w:rPr>
        <w:t>9</w:t>
      </w:r>
      <w:r w:rsidR="00EA5D58">
        <w:rPr>
          <w:noProof/>
        </w:rPr>
        <w:fldChar w:fldCharType="end"/>
      </w:r>
      <w:bookmarkEnd w:id="82"/>
      <w:bookmarkEnd w:id="86"/>
      <w:r>
        <w:tab/>
        <w:t xml:space="preserve">Comparative analysis of C1-INH </w:t>
      </w:r>
      <w:r w:rsidR="00213BBF">
        <w:t xml:space="preserve">concentrate </w:t>
      </w:r>
      <w:r>
        <w:t>for pre-procedural prophylaxis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71"/>
        <w:gridCol w:w="1089"/>
        <w:gridCol w:w="1576"/>
        <w:gridCol w:w="989"/>
        <w:gridCol w:w="2356"/>
        <w:gridCol w:w="1541"/>
        <w:gridCol w:w="918"/>
      </w:tblGrid>
      <w:tr w:rsidR="00C96FEB" w:rsidRPr="00882200" w14:paraId="69D07B6D" w14:textId="77777777" w:rsidTr="002929DE">
        <w:tc>
          <w:tcPr>
            <w:tcW w:w="962" w:type="pct"/>
            <w:gridSpan w:val="2"/>
            <w:vMerge w:val="restart"/>
          </w:tcPr>
          <w:p w14:paraId="1CA3EE00" w14:textId="77777777" w:rsidR="00C96FEB" w:rsidRPr="00AA5FBF" w:rsidRDefault="00C96FEB" w:rsidP="00C96FEB">
            <w:pPr>
              <w:keepNext/>
              <w:tabs>
                <w:tab w:val="left" w:pos="2835"/>
              </w:tabs>
              <w:rPr>
                <w:rFonts w:ascii="Arial Narrow" w:hAnsi="Arial Narrow"/>
                <w:lang w:val="en-GB" w:eastAsia="ja-JP"/>
              </w:rPr>
            </w:pPr>
          </w:p>
        </w:tc>
        <w:tc>
          <w:tcPr>
            <w:tcW w:w="4038" w:type="pct"/>
            <w:gridSpan w:val="5"/>
          </w:tcPr>
          <w:p w14:paraId="57EE3E14" w14:textId="77777777" w:rsidR="00C96FEB" w:rsidRPr="00AA5FBF" w:rsidRDefault="00C96FEB" w:rsidP="00C96FEB">
            <w:pPr>
              <w:keepNext/>
              <w:tabs>
                <w:tab w:val="left" w:pos="2835"/>
              </w:tabs>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C96FEB" w:rsidRPr="00882200" w14:paraId="2DBB0987" w14:textId="77777777" w:rsidTr="002929DE">
        <w:tc>
          <w:tcPr>
            <w:tcW w:w="962" w:type="pct"/>
            <w:gridSpan w:val="2"/>
            <w:vMerge/>
          </w:tcPr>
          <w:p w14:paraId="7E1BEF97" w14:textId="77777777" w:rsidR="00C96FEB" w:rsidRPr="00AA5FBF" w:rsidRDefault="00C96FEB" w:rsidP="00C96FEB">
            <w:pPr>
              <w:keepNext/>
              <w:tabs>
                <w:tab w:val="left" w:pos="2835"/>
              </w:tabs>
              <w:rPr>
                <w:rFonts w:ascii="Arial Narrow" w:hAnsi="Arial Narrow"/>
                <w:lang w:val="en-GB" w:eastAsia="ja-JP"/>
              </w:rPr>
            </w:pPr>
          </w:p>
        </w:tc>
        <w:tc>
          <w:tcPr>
            <w:tcW w:w="1403" w:type="pct"/>
            <w:gridSpan w:val="2"/>
            <w:vAlign w:val="center"/>
          </w:tcPr>
          <w:p w14:paraId="10C382BF" w14:textId="77777777" w:rsidR="00C96FEB" w:rsidRPr="00AA5FBF" w:rsidRDefault="00C96FEB" w:rsidP="00C96FEB">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Superior</w:t>
            </w:r>
          </w:p>
        </w:tc>
        <w:tc>
          <w:tcPr>
            <w:tcW w:w="1289" w:type="pct"/>
            <w:vAlign w:val="center"/>
          </w:tcPr>
          <w:p w14:paraId="377B9BD9" w14:textId="77777777" w:rsidR="00C96FEB" w:rsidRPr="00AA5FBF" w:rsidRDefault="00C96FEB" w:rsidP="00C96FEB">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1346" w:type="pct"/>
            <w:gridSpan w:val="2"/>
            <w:vAlign w:val="center"/>
          </w:tcPr>
          <w:p w14:paraId="1C16B218" w14:textId="77777777" w:rsidR="00C96FEB" w:rsidRPr="00AA5FBF" w:rsidRDefault="00C96FEB" w:rsidP="00C96FEB">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Inferior</w:t>
            </w:r>
          </w:p>
        </w:tc>
      </w:tr>
      <w:tr w:rsidR="00C96FEB" w:rsidRPr="00882200" w14:paraId="13AFCAFC" w14:textId="77777777" w:rsidTr="002929DE">
        <w:trPr>
          <w:cantSplit/>
          <w:trHeight w:val="20"/>
        </w:trPr>
        <w:tc>
          <w:tcPr>
            <w:tcW w:w="367" w:type="pct"/>
            <w:vMerge w:val="restart"/>
            <w:textDirection w:val="btLr"/>
            <w:vAlign w:val="center"/>
          </w:tcPr>
          <w:p w14:paraId="7B694C77" w14:textId="77777777" w:rsidR="00C96FEB" w:rsidRPr="00AA5FBF" w:rsidRDefault="00C96FEB" w:rsidP="00C96FEB">
            <w:pPr>
              <w:keepNext/>
              <w:tabs>
                <w:tab w:val="left" w:pos="2835"/>
              </w:tabs>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596" w:type="pct"/>
            <w:vMerge w:val="restart"/>
            <w:vAlign w:val="center"/>
          </w:tcPr>
          <w:p w14:paraId="11A77BED"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Superior</w:t>
            </w:r>
          </w:p>
        </w:tc>
        <w:tc>
          <w:tcPr>
            <w:tcW w:w="1403" w:type="pct"/>
            <w:gridSpan w:val="2"/>
            <w:vMerge w:val="restart"/>
            <w:vAlign w:val="center"/>
          </w:tcPr>
          <w:p w14:paraId="6149EEF7" w14:textId="2C18836A" w:rsidR="0052274F" w:rsidRPr="00E84314" w:rsidRDefault="00C96FEB" w:rsidP="00E84314">
            <w:pPr>
              <w:keepNext/>
              <w:tabs>
                <w:tab w:val="left" w:pos="2835"/>
              </w:tabs>
              <w:jc w:val="center"/>
              <w:rPr>
                <w:rFonts w:ascii="Arial Narrow" w:hAnsi="Arial Narrow"/>
                <w:lang w:val="en-GB" w:eastAsia="ja-JP"/>
              </w:rPr>
            </w:pPr>
            <w:r w:rsidRPr="00E84314">
              <w:rPr>
                <w:rFonts w:ascii="Arial Narrow" w:hAnsi="Arial Narrow"/>
                <w:lang w:val="en-GB" w:eastAsia="ja-JP"/>
              </w:rPr>
              <w:t>CEA/CUA</w:t>
            </w:r>
          </w:p>
        </w:tc>
        <w:tc>
          <w:tcPr>
            <w:tcW w:w="1289" w:type="pct"/>
            <w:vMerge w:val="restart"/>
            <w:vAlign w:val="center"/>
          </w:tcPr>
          <w:p w14:paraId="6C615896"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843" w:type="pct"/>
          </w:tcPr>
          <w:p w14:paraId="6D90710B"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03" w:type="pct"/>
            <w:vAlign w:val="center"/>
          </w:tcPr>
          <w:p w14:paraId="594DAB41"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5C07A642" w14:textId="77777777" w:rsidTr="002929DE">
        <w:trPr>
          <w:cantSplit/>
          <w:trHeight w:val="20"/>
        </w:trPr>
        <w:tc>
          <w:tcPr>
            <w:tcW w:w="367" w:type="pct"/>
            <w:vMerge/>
          </w:tcPr>
          <w:p w14:paraId="5A0AEE60" w14:textId="77777777" w:rsidR="00C96FEB" w:rsidRPr="00AA5FBF" w:rsidRDefault="00C96FEB" w:rsidP="00C96FEB">
            <w:pPr>
              <w:keepNext/>
              <w:tabs>
                <w:tab w:val="left" w:pos="2835"/>
              </w:tabs>
              <w:rPr>
                <w:rFonts w:ascii="Arial Narrow" w:hAnsi="Arial Narrow"/>
                <w:lang w:val="en-GB" w:eastAsia="ja-JP"/>
              </w:rPr>
            </w:pPr>
          </w:p>
        </w:tc>
        <w:tc>
          <w:tcPr>
            <w:tcW w:w="596" w:type="pct"/>
            <w:vMerge/>
            <w:vAlign w:val="center"/>
          </w:tcPr>
          <w:p w14:paraId="7067C7FE" w14:textId="77777777" w:rsidR="00C96FEB" w:rsidRPr="00AA5FBF" w:rsidRDefault="00C96FEB" w:rsidP="00C96FEB">
            <w:pPr>
              <w:keepNext/>
              <w:tabs>
                <w:tab w:val="left" w:pos="2835"/>
              </w:tabs>
              <w:rPr>
                <w:rFonts w:ascii="Arial Narrow" w:hAnsi="Arial Narrow"/>
                <w:u w:val="single"/>
                <w:lang w:val="en-GB" w:eastAsia="ja-JP"/>
              </w:rPr>
            </w:pPr>
          </w:p>
        </w:tc>
        <w:tc>
          <w:tcPr>
            <w:tcW w:w="1403" w:type="pct"/>
            <w:gridSpan w:val="2"/>
            <w:vMerge/>
            <w:vAlign w:val="center"/>
          </w:tcPr>
          <w:p w14:paraId="5870436C" w14:textId="77777777" w:rsidR="00C96FEB" w:rsidRPr="00AA5FBF" w:rsidRDefault="00C96FEB" w:rsidP="00C96FEB">
            <w:pPr>
              <w:keepNext/>
              <w:tabs>
                <w:tab w:val="left" w:pos="2835"/>
              </w:tabs>
              <w:jc w:val="center"/>
              <w:rPr>
                <w:rFonts w:ascii="Arial Narrow" w:hAnsi="Arial Narrow"/>
                <w:lang w:val="en-GB" w:eastAsia="ja-JP"/>
              </w:rPr>
            </w:pPr>
          </w:p>
        </w:tc>
        <w:tc>
          <w:tcPr>
            <w:tcW w:w="1289" w:type="pct"/>
            <w:vMerge/>
            <w:vAlign w:val="center"/>
          </w:tcPr>
          <w:p w14:paraId="65D772A7" w14:textId="77777777" w:rsidR="00C96FEB" w:rsidRPr="00AA5FBF" w:rsidRDefault="00C96FEB" w:rsidP="00C96FEB">
            <w:pPr>
              <w:keepNext/>
              <w:tabs>
                <w:tab w:val="left" w:pos="2835"/>
              </w:tabs>
              <w:jc w:val="center"/>
              <w:rPr>
                <w:rFonts w:ascii="Arial Narrow" w:hAnsi="Arial Narrow"/>
                <w:lang w:val="en-GB" w:eastAsia="ja-JP"/>
              </w:rPr>
            </w:pPr>
          </w:p>
        </w:tc>
        <w:tc>
          <w:tcPr>
            <w:tcW w:w="843" w:type="pct"/>
          </w:tcPr>
          <w:p w14:paraId="15566A81"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03" w:type="pct"/>
            <w:vAlign w:val="center"/>
          </w:tcPr>
          <w:p w14:paraId="2F4097AD"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2C34D507" w14:textId="77777777" w:rsidTr="002929DE">
        <w:trPr>
          <w:cantSplit/>
          <w:trHeight w:val="20"/>
        </w:trPr>
        <w:tc>
          <w:tcPr>
            <w:tcW w:w="367" w:type="pct"/>
            <w:vMerge/>
          </w:tcPr>
          <w:p w14:paraId="2C8206B9" w14:textId="77777777" w:rsidR="00C96FEB" w:rsidRPr="00AA5FBF" w:rsidRDefault="00C96FEB" w:rsidP="00C96FEB">
            <w:pPr>
              <w:keepNext/>
              <w:tabs>
                <w:tab w:val="left" w:pos="2835"/>
              </w:tabs>
              <w:rPr>
                <w:rFonts w:ascii="Arial Narrow" w:hAnsi="Arial Narrow"/>
                <w:lang w:val="en-GB" w:eastAsia="ja-JP"/>
              </w:rPr>
            </w:pPr>
          </w:p>
        </w:tc>
        <w:tc>
          <w:tcPr>
            <w:tcW w:w="596" w:type="pct"/>
            <w:vMerge/>
            <w:vAlign w:val="center"/>
          </w:tcPr>
          <w:p w14:paraId="1348AB65" w14:textId="77777777" w:rsidR="00C96FEB" w:rsidRPr="00AA5FBF" w:rsidRDefault="00C96FEB" w:rsidP="00C96FEB">
            <w:pPr>
              <w:keepNext/>
              <w:tabs>
                <w:tab w:val="left" w:pos="2835"/>
              </w:tabs>
              <w:rPr>
                <w:rFonts w:ascii="Arial Narrow" w:hAnsi="Arial Narrow"/>
                <w:u w:val="single"/>
                <w:lang w:val="en-GB" w:eastAsia="ja-JP"/>
              </w:rPr>
            </w:pPr>
          </w:p>
        </w:tc>
        <w:tc>
          <w:tcPr>
            <w:tcW w:w="1403" w:type="pct"/>
            <w:gridSpan w:val="2"/>
            <w:vMerge/>
            <w:vAlign w:val="center"/>
          </w:tcPr>
          <w:p w14:paraId="65E40068" w14:textId="77777777" w:rsidR="00C96FEB" w:rsidRPr="00AA5FBF" w:rsidRDefault="00C96FEB" w:rsidP="00C96FEB">
            <w:pPr>
              <w:keepNext/>
              <w:tabs>
                <w:tab w:val="left" w:pos="2835"/>
              </w:tabs>
              <w:jc w:val="center"/>
              <w:rPr>
                <w:rFonts w:ascii="Arial Narrow" w:hAnsi="Arial Narrow"/>
                <w:lang w:val="en-GB" w:eastAsia="ja-JP"/>
              </w:rPr>
            </w:pPr>
          </w:p>
        </w:tc>
        <w:tc>
          <w:tcPr>
            <w:tcW w:w="1289" w:type="pct"/>
            <w:vMerge/>
            <w:vAlign w:val="center"/>
          </w:tcPr>
          <w:p w14:paraId="76F070E4" w14:textId="77777777" w:rsidR="00C96FEB" w:rsidRPr="00AA5FBF" w:rsidRDefault="00C96FEB" w:rsidP="00C96FEB">
            <w:pPr>
              <w:keepNext/>
              <w:tabs>
                <w:tab w:val="left" w:pos="2835"/>
              </w:tabs>
              <w:jc w:val="center"/>
              <w:rPr>
                <w:rFonts w:ascii="Arial Narrow" w:hAnsi="Arial Narrow"/>
                <w:lang w:val="en-GB" w:eastAsia="ja-JP"/>
              </w:rPr>
            </w:pPr>
          </w:p>
        </w:tc>
        <w:tc>
          <w:tcPr>
            <w:tcW w:w="843" w:type="pct"/>
          </w:tcPr>
          <w:p w14:paraId="0127D63D"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03" w:type="pct"/>
            <w:vAlign w:val="center"/>
          </w:tcPr>
          <w:p w14:paraId="70529BED"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667DBA57" w14:textId="77777777" w:rsidTr="002929DE">
        <w:trPr>
          <w:cantSplit/>
          <w:trHeight w:val="750"/>
        </w:trPr>
        <w:tc>
          <w:tcPr>
            <w:tcW w:w="367" w:type="pct"/>
            <w:vMerge/>
          </w:tcPr>
          <w:p w14:paraId="01DD2B37" w14:textId="77777777" w:rsidR="00C96FEB" w:rsidRPr="00AA5FBF" w:rsidRDefault="00C96FEB" w:rsidP="00C96FEB">
            <w:pPr>
              <w:keepNext/>
              <w:tabs>
                <w:tab w:val="left" w:pos="2835"/>
              </w:tabs>
              <w:rPr>
                <w:rFonts w:ascii="Arial Narrow" w:hAnsi="Arial Narrow"/>
                <w:lang w:val="en-GB" w:eastAsia="ja-JP"/>
              </w:rPr>
            </w:pPr>
          </w:p>
        </w:tc>
        <w:tc>
          <w:tcPr>
            <w:tcW w:w="596" w:type="pct"/>
            <w:vAlign w:val="center"/>
          </w:tcPr>
          <w:p w14:paraId="1CCF7CE7"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Non-inferior</w:t>
            </w:r>
          </w:p>
        </w:tc>
        <w:tc>
          <w:tcPr>
            <w:tcW w:w="1403" w:type="pct"/>
            <w:gridSpan w:val="2"/>
            <w:vAlign w:val="center"/>
          </w:tcPr>
          <w:p w14:paraId="5EF76BEE" w14:textId="73056963" w:rsidR="00E84314" w:rsidRPr="00E84314" w:rsidRDefault="00C96FEB" w:rsidP="005B170A">
            <w:pPr>
              <w:keepNext/>
              <w:tabs>
                <w:tab w:val="left" w:pos="2835"/>
              </w:tabs>
              <w:jc w:val="center"/>
              <w:rPr>
                <w:rFonts w:ascii="Arial Narrow" w:hAnsi="Arial Narrow"/>
                <w:b/>
                <w:lang w:val="en-GB" w:eastAsia="ja-JP"/>
              </w:rPr>
            </w:pPr>
            <w:r w:rsidRPr="00E84314">
              <w:rPr>
                <w:rFonts w:ascii="Arial Narrow" w:hAnsi="Arial Narrow"/>
                <w:b/>
                <w:lang w:val="en-GB" w:eastAsia="ja-JP"/>
              </w:rPr>
              <w:t>CEA/CUA</w:t>
            </w:r>
          </w:p>
        </w:tc>
        <w:tc>
          <w:tcPr>
            <w:tcW w:w="1289" w:type="pct"/>
            <w:vAlign w:val="center"/>
          </w:tcPr>
          <w:p w14:paraId="54F47B47" w14:textId="204A87C9" w:rsidR="00CF6411" w:rsidRPr="005B170A" w:rsidRDefault="00C96FEB" w:rsidP="005B170A">
            <w:pPr>
              <w:keepNext/>
              <w:tabs>
                <w:tab w:val="left" w:pos="2835"/>
              </w:tabs>
              <w:jc w:val="center"/>
              <w:rPr>
                <w:rFonts w:ascii="Arial Narrow" w:hAnsi="Arial Narrow"/>
                <w:lang w:val="en-GB" w:eastAsia="ja-JP"/>
              </w:rPr>
            </w:pPr>
            <w:r w:rsidRPr="005B170A">
              <w:rPr>
                <w:rFonts w:ascii="Arial Narrow" w:hAnsi="Arial Narrow"/>
                <w:lang w:val="en-GB" w:eastAsia="ja-JP"/>
              </w:rPr>
              <w:t>CEA/CUA*</w:t>
            </w:r>
          </w:p>
        </w:tc>
        <w:tc>
          <w:tcPr>
            <w:tcW w:w="1346" w:type="pct"/>
            <w:gridSpan w:val="2"/>
            <w:vAlign w:val="center"/>
          </w:tcPr>
          <w:p w14:paraId="422A2943"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73734855" w14:textId="77777777" w:rsidTr="002929DE">
        <w:trPr>
          <w:cantSplit/>
          <w:trHeight w:val="20"/>
        </w:trPr>
        <w:tc>
          <w:tcPr>
            <w:tcW w:w="367" w:type="pct"/>
            <w:vMerge/>
          </w:tcPr>
          <w:p w14:paraId="006294FE" w14:textId="77777777" w:rsidR="00C96FEB" w:rsidRPr="00AA5FBF" w:rsidRDefault="00C96FEB" w:rsidP="00C96FEB">
            <w:pPr>
              <w:keepNext/>
              <w:tabs>
                <w:tab w:val="left" w:pos="2835"/>
              </w:tabs>
              <w:rPr>
                <w:rFonts w:ascii="Arial Narrow" w:hAnsi="Arial Narrow"/>
                <w:lang w:val="en-GB" w:eastAsia="ja-JP"/>
              </w:rPr>
            </w:pPr>
          </w:p>
        </w:tc>
        <w:tc>
          <w:tcPr>
            <w:tcW w:w="596" w:type="pct"/>
            <w:vMerge w:val="restart"/>
            <w:vAlign w:val="center"/>
          </w:tcPr>
          <w:p w14:paraId="60FA91A3"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Inferior</w:t>
            </w:r>
          </w:p>
        </w:tc>
        <w:tc>
          <w:tcPr>
            <w:tcW w:w="862" w:type="pct"/>
            <w:vAlign w:val="center"/>
          </w:tcPr>
          <w:p w14:paraId="07B2115B"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41" w:type="pct"/>
            <w:vAlign w:val="center"/>
          </w:tcPr>
          <w:p w14:paraId="55508A94"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0DE1244A"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346" w:type="pct"/>
            <w:gridSpan w:val="2"/>
            <w:vMerge w:val="restart"/>
            <w:vAlign w:val="center"/>
          </w:tcPr>
          <w:p w14:paraId="1139DA2A"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7D1D3A82" w14:textId="77777777" w:rsidTr="002929DE">
        <w:trPr>
          <w:trHeight w:val="20"/>
        </w:trPr>
        <w:tc>
          <w:tcPr>
            <w:tcW w:w="367" w:type="pct"/>
            <w:vMerge/>
          </w:tcPr>
          <w:p w14:paraId="28AAE53C" w14:textId="77777777" w:rsidR="00C96FEB" w:rsidRPr="00AA5FBF" w:rsidRDefault="00C96FEB" w:rsidP="00C96FEB">
            <w:pPr>
              <w:keepNext/>
              <w:tabs>
                <w:tab w:val="left" w:pos="2835"/>
              </w:tabs>
              <w:rPr>
                <w:rFonts w:ascii="Arial Narrow" w:hAnsi="Arial Narrow"/>
                <w:lang w:val="en-GB" w:eastAsia="ja-JP"/>
              </w:rPr>
            </w:pPr>
          </w:p>
        </w:tc>
        <w:tc>
          <w:tcPr>
            <w:tcW w:w="596" w:type="pct"/>
            <w:vMerge/>
          </w:tcPr>
          <w:p w14:paraId="3F28E81E" w14:textId="77777777" w:rsidR="00C96FEB" w:rsidRPr="00AA5FBF" w:rsidRDefault="00C96FEB" w:rsidP="00C96FEB">
            <w:pPr>
              <w:keepNext/>
              <w:tabs>
                <w:tab w:val="left" w:pos="2835"/>
              </w:tabs>
              <w:rPr>
                <w:rFonts w:ascii="Arial Narrow" w:hAnsi="Arial Narrow"/>
                <w:lang w:val="en-GB" w:eastAsia="ja-JP"/>
              </w:rPr>
            </w:pPr>
          </w:p>
        </w:tc>
        <w:tc>
          <w:tcPr>
            <w:tcW w:w="862" w:type="pct"/>
            <w:vAlign w:val="center"/>
          </w:tcPr>
          <w:p w14:paraId="1F5D9F04"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41" w:type="pct"/>
            <w:vAlign w:val="center"/>
          </w:tcPr>
          <w:p w14:paraId="65AA274E"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ign w:val="center"/>
          </w:tcPr>
          <w:p w14:paraId="4BB2C6C8" w14:textId="77777777" w:rsidR="00C96FEB" w:rsidRPr="00AA5FBF" w:rsidRDefault="00C96FEB" w:rsidP="00C96FEB">
            <w:pPr>
              <w:keepNext/>
              <w:tabs>
                <w:tab w:val="left" w:pos="2835"/>
              </w:tabs>
              <w:jc w:val="center"/>
              <w:rPr>
                <w:rFonts w:ascii="Arial Narrow" w:hAnsi="Arial Narrow"/>
                <w:lang w:val="en-GB" w:eastAsia="ja-JP"/>
              </w:rPr>
            </w:pPr>
          </w:p>
        </w:tc>
        <w:tc>
          <w:tcPr>
            <w:tcW w:w="1346" w:type="pct"/>
            <w:gridSpan w:val="2"/>
            <w:vMerge/>
          </w:tcPr>
          <w:p w14:paraId="2480D2A1" w14:textId="77777777" w:rsidR="00C96FEB" w:rsidRPr="00AA5FBF" w:rsidRDefault="00C96FEB" w:rsidP="00C96FEB">
            <w:pPr>
              <w:keepNext/>
              <w:tabs>
                <w:tab w:val="left" w:pos="2835"/>
              </w:tabs>
              <w:rPr>
                <w:rFonts w:ascii="Arial Narrow" w:hAnsi="Arial Narrow"/>
                <w:lang w:val="en-GB" w:eastAsia="ja-JP"/>
              </w:rPr>
            </w:pPr>
          </w:p>
        </w:tc>
      </w:tr>
      <w:tr w:rsidR="00C96FEB" w:rsidRPr="00882200" w14:paraId="22CD7A5A" w14:textId="77777777" w:rsidTr="002929DE">
        <w:trPr>
          <w:trHeight w:val="20"/>
        </w:trPr>
        <w:tc>
          <w:tcPr>
            <w:tcW w:w="367" w:type="pct"/>
            <w:vMerge/>
          </w:tcPr>
          <w:p w14:paraId="655A8D21" w14:textId="77777777" w:rsidR="00C96FEB" w:rsidRPr="00AA5FBF" w:rsidRDefault="00C96FEB" w:rsidP="00C96FEB">
            <w:pPr>
              <w:keepNext/>
              <w:tabs>
                <w:tab w:val="left" w:pos="2835"/>
              </w:tabs>
              <w:rPr>
                <w:rFonts w:ascii="Arial Narrow" w:hAnsi="Arial Narrow"/>
                <w:lang w:val="en-GB" w:eastAsia="ja-JP"/>
              </w:rPr>
            </w:pPr>
          </w:p>
        </w:tc>
        <w:tc>
          <w:tcPr>
            <w:tcW w:w="596" w:type="pct"/>
            <w:vMerge/>
          </w:tcPr>
          <w:p w14:paraId="5DE50739" w14:textId="77777777" w:rsidR="00C96FEB" w:rsidRPr="00AA5FBF" w:rsidRDefault="00C96FEB" w:rsidP="00C96FEB">
            <w:pPr>
              <w:keepNext/>
              <w:tabs>
                <w:tab w:val="left" w:pos="2835"/>
              </w:tabs>
              <w:rPr>
                <w:rFonts w:ascii="Arial Narrow" w:hAnsi="Arial Narrow"/>
                <w:lang w:val="en-GB" w:eastAsia="ja-JP"/>
              </w:rPr>
            </w:pPr>
          </w:p>
        </w:tc>
        <w:tc>
          <w:tcPr>
            <w:tcW w:w="862" w:type="pct"/>
            <w:vAlign w:val="center"/>
          </w:tcPr>
          <w:p w14:paraId="3653068D"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41" w:type="pct"/>
            <w:vAlign w:val="center"/>
          </w:tcPr>
          <w:p w14:paraId="2A2F17D4"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289" w:type="pct"/>
            <w:vMerge/>
            <w:vAlign w:val="center"/>
          </w:tcPr>
          <w:p w14:paraId="6BB1FA3A" w14:textId="77777777" w:rsidR="00C96FEB" w:rsidRPr="00AA5FBF" w:rsidRDefault="00C96FEB" w:rsidP="00C96FEB">
            <w:pPr>
              <w:keepNext/>
              <w:tabs>
                <w:tab w:val="left" w:pos="2835"/>
              </w:tabs>
              <w:jc w:val="center"/>
              <w:rPr>
                <w:rFonts w:ascii="Arial Narrow" w:hAnsi="Arial Narrow"/>
                <w:lang w:val="en-GB" w:eastAsia="ja-JP"/>
              </w:rPr>
            </w:pPr>
          </w:p>
        </w:tc>
        <w:tc>
          <w:tcPr>
            <w:tcW w:w="1346" w:type="pct"/>
            <w:gridSpan w:val="2"/>
            <w:vMerge/>
          </w:tcPr>
          <w:p w14:paraId="25D97796" w14:textId="77777777" w:rsidR="00C96FEB" w:rsidRPr="00AA5FBF" w:rsidRDefault="00C96FEB" w:rsidP="00C96FEB">
            <w:pPr>
              <w:keepNext/>
              <w:tabs>
                <w:tab w:val="left" w:pos="2835"/>
              </w:tabs>
              <w:rPr>
                <w:rFonts w:ascii="Arial Narrow" w:hAnsi="Arial Narrow"/>
                <w:lang w:val="en-GB" w:eastAsia="ja-JP"/>
              </w:rPr>
            </w:pPr>
          </w:p>
        </w:tc>
      </w:tr>
    </w:tbl>
    <w:p w14:paraId="3FDBA5C3" w14:textId="77777777" w:rsidR="00C96FEB" w:rsidRDefault="00C96FEB" w:rsidP="00C96FEB">
      <w:pPr>
        <w:pStyle w:val="TableFootnotes1"/>
        <w:rPr>
          <w:lang w:val="en-GB" w:eastAsia="ja-JP"/>
        </w:rPr>
      </w:pPr>
      <w:r w:rsidRPr="00506FD4">
        <w:rPr>
          <w:b/>
          <w:lang w:val="en-GB" w:eastAsia="ja-JP"/>
        </w:rPr>
        <w:t>Abbreviations:</w:t>
      </w:r>
      <w:r>
        <w:rPr>
          <w:lang w:val="en-GB" w:eastAsia="ja-JP"/>
        </w:rPr>
        <w:t xml:space="preserve"> CEA = cost-effectiveness analysis; CUA = cost-utility analysis</w:t>
      </w:r>
    </w:p>
    <w:p w14:paraId="68730639" w14:textId="056EC0B7" w:rsidR="00C96FEB" w:rsidRPr="00411918" w:rsidRDefault="00C96FEB" w:rsidP="00411918">
      <w:pPr>
        <w:pStyle w:val="TableFootnotes1"/>
      </w:pPr>
      <w:r w:rsidRPr="00411918">
        <w:t>* May be reduced to cost-minimisation analysis.</w:t>
      </w:r>
    </w:p>
    <w:p w14:paraId="1FC2B77D" w14:textId="77777777" w:rsidR="00C96FEB" w:rsidRDefault="00C96FEB" w:rsidP="00C96FEB">
      <w:pPr>
        <w:pStyle w:val="LastTableFootnote"/>
        <w:rPr>
          <w:lang w:val="en-GB" w:eastAsia="ja-JP"/>
        </w:rPr>
      </w:pPr>
      <w:r>
        <w:rPr>
          <w:lang w:val="en-GB" w:eastAsia="ja-JP"/>
        </w:rPr>
        <w:t xml:space="preserve">^ </w:t>
      </w:r>
      <w:r w:rsidRPr="009B59B7">
        <w:rPr>
          <w:lang w:val="en-GB" w:eastAsia="ja-JP"/>
        </w:rPr>
        <w:t>No economic evaluation needs to be presented; MSAC is unlikely to recommend government subsidy of this intervention</w:t>
      </w:r>
    </w:p>
    <w:p w14:paraId="31A8E00B" w14:textId="77777777" w:rsidR="005B170A" w:rsidRDefault="005B170A" w:rsidP="005B170A">
      <w:pPr>
        <w:pStyle w:val="Heading3"/>
      </w:pPr>
      <w:bookmarkStart w:id="87" w:name="_Toc400097964"/>
      <w:bookmarkStart w:id="88" w:name="_Toc395886515"/>
      <w:bookmarkStart w:id="89" w:name="_Ref395883002"/>
      <w:r>
        <w:t>Setting comparison</w:t>
      </w:r>
      <w:bookmarkEnd w:id="87"/>
    </w:p>
    <w:p w14:paraId="36A7E12F" w14:textId="6C8E4539" w:rsidR="005B170A" w:rsidRDefault="005B170A" w:rsidP="005B170A">
      <w:pPr>
        <w:pStyle w:val="BodyText"/>
      </w:pPr>
      <w:r>
        <w:t>The clinical claim for the setting comparison is that, for all populations, community-administered C1-INH concentrate is non-inferior to hospital-administered C1-INH concentrate in efficacy and safety.</w:t>
      </w:r>
    </w:p>
    <w:p w14:paraId="6176A416" w14:textId="77777777" w:rsidR="005B170A" w:rsidRDefault="005B170A" w:rsidP="005B170A">
      <w:pPr>
        <w:pStyle w:val="Heading3"/>
      </w:pPr>
      <w:bookmarkStart w:id="90" w:name="_Toc400097965"/>
      <w:r>
        <w:t>Funding comparison</w:t>
      </w:r>
      <w:bookmarkEnd w:id="90"/>
    </w:p>
    <w:p w14:paraId="1F81BBEE" w14:textId="3BB6A70A" w:rsidR="005B170A" w:rsidRDefault="005B170A" w:rsidP="005B170A">
      <w:pPr>
        <w:pStyle w:val="BodyText"/>
      </w:pPr>
      <w:r>
        <w:t>The claim for the funding comparison is that listing C1-INH concentrate on the NPSL will provide patient benefits associated with greater access to the intervention for pre-procedure prophylaxis.</w:t>
      </w:r>
    </w:p>
    <w:p w14:paraId="4866ED9F" w14:textId="5A1F804D" w:rsidR="009F5D07" w:rsidRDefault="00222369" w:rsidP="009F5D07">
      <w:pPr>
        <w:pStyle w:val="Heading2"/>
      </w:pPr>
      <w:bookmarkStart w:id="91" w:name="_Toc400097966"/>
      <w:r>
        <w:t>C</w:t>
      </w:r>
      <w:r w:rsidR="009F5D07">
        <w:t>laim for routine prophylaxis</w:t>
      </w:r>
      <w:bookmarkEnd w:id="88"/>
      <w:bookmarkEnd w:id="91"/>
    </w:p>
    <w:p w14:paraId="096498F6" w14:textId="77777777" w:rsidR="0091209A" w:rsidRPr="00C57E02" w:rsidRDefault="0091209A" w:rsidP="0091209A">
      <w:pPr>
        <w:pStyle w:val="Heading3"/>
      </w:pPr>
      <w:bookmarkStart w:id="92" w:name="_Toc400097967"/>
      <w:r>
        <w:t>Treatment comparison</w:t>
      </w:r>
      <w:bookmarkEnd w:id="92"/>
    </w:p>
    <w:p w14:paraId="734CB895" w14:textId="75ED212D" w:rsidR="0091209A" w:rsidRDefault="0091209A" w:rsidP="0091209A">
      <w:pPr>
        <w:pStyle w:val="BodyText"/>
      </w:pPr>
      <w:r>
        <w:t>The clinical claim for routine prophylaxis is that C1-INH concentrate is superior to no prophylaxis in efficacy, and non-inferior in safety, in adults who have failed oral therapy. The appropriate economic evaluation would be a cost-effectiveness analysis (</w:t>
      </w:r>
      <w:r>
        <w:fldChar w:fldCharType="begin"/>
      </w:r>
      <w:r>
        <w:instrText xml:space="preserve"> REF _Ref395891181 \h </w:instrText>
      </w:r>
      <w:r>
        <w:fldChar w:fldCharType="separate"/>
      </w:r>
      <w:r w:rsidR="00847595">
        <w:t xml:space="preserve">Table </w:t>
      </w:r>
      <w:r w:rsidR="00847595">
        <w:rPr>
          <w:noProof/>
        </w:rPr>
        <w:t>10</w:t>
      </w:r>
      <w:r>
        <w:fldChar w:fldCharType="end"/>
      </w:r>
      <w:r>
        <w:t xml:space="preserve">). (For </w:t>
      </w:r>
      <w:r w:rsidR="00BC62D9">
        <w:t>children</w:t>
      </w:r>
      <w:r w:rsidR="00BC62D9">
        <w:rPr>
          <w:rStyle w:val="FootnoteReference"/>
        </w:rPr>
        <w:footnoteReference w:id="16"/>
      </w:r>
      <w:r w:rsidR="00BC62D9">
        <w:t xml:space="preserve">, </w:t>
      </w:r>
      <w:r>
        <w:t>pregnant and lactating women, the appropriate clinical claim would be that C1-INH concentrate is superior in efficacy</w:t>
      </w:r>
      <w:r>
        <w:rPr>
          <w:rStyle w:val="FootnoteReference"/>
        </w:rPr>
        <w:footnoteReference w:id="17"/>
      </w:r>
      <w:r>
        <w:t xml:space="preserve"> and safety to tranexamic acid.)</w:t>
      </w:r>
    </w:p>
    <w:p w14:paraId="69E337DD" w14:textId="21527037" w:rsidR="0020213B" w:rsidRDefault="00767F71" w:rsidP="005271C4">
      <w:pPr>
        <w:pStyle w:val="Caption"/>
      </w:pPr>
      <w:bookmarkStart w:id="93" w:name="_Ref395891181"/>
      <w:r>
        <w:lastRenderedPageBreak/>
        <w:t xml:space="preserve">Table </w:t>
      </w:r>
      <w:r w:rsidR="00EA5D58">
        <w:fldChar w:fldCharType="begin"/>
      </w:r>
      <w:r w:rsidR="00EA5D58">
        <w:instrText xml:space="preserve"> SEQ Table \* ARABIC </w:instrText>
      </w:r>
      <w:r w:rsidR="00EA5D58">
        <w:fldChar w:fldCharType="separate"/>
      </w:r>
      <w:r w:rsidR="00847595">
        <w:rPr>
          <w:noProof/>
        </w:rPr>
        <w:t>10</w:t>
      </w:r>
      <w:r w:rsidR="00EA5D58">
        <w:rPr>
          <w:noProof/>
        </w:rPr>
        <w:fldChar w:fldCharType="end"/>
      </w:r>
      <w:bookmarkEnd w:id="89"/>
      <w:bookmarkEnd w:id="93"/>
      <w:r>
        <w:tab/>
        <w:t xml:space="preserve">Comparative analysis of C1-INH </w:t>
      </w:r>
      <w:r w:rsidR="00213BBF">
        <w:t xml:space="preserve">concentrate </w:t>
      </w:r>
      <w:r>
        <w:t>for routine prophylaxis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71"/>
        <w:gridCol w:w="1089"/>
        <w:gridCol w:w="1576"/>
        <w:gridCol w:w="989"/>
        <w:gridCol w:w="2356"/>
        <w:gridCol w:w="1541"/>
        <w:gridCol w:w="918"/>
      </w:tblGrid>
      <w:tr w:rsidR="00C96FEB" w:rsidRPr="00882200" w14:paraId="3C33497D" w14:textId="77777777" w:rsidTr="002929DE">
        <w:tc>
          <w:tcPr>
            <w:tcW w:w="962" w:type="pct"/>
            <w:gridSpan w:val="2"/>
            <w:vMerge w:val="restart"/>
          </w:tcPr>
          <w:p w14:paraId="2AD1EC4D" w14:textId="77777777" w:rsidR="00C96FEB" w:rsidRPr="00AA5FBF" w:rsidRDefault="00C96FEB" w:rsidP="005271C4">
            <w:pPr>
              <w:keepNext/>
              <w:tabs>
                <w:tab w:val="left" w:pos="2835"/>
              </w:tabs>
              <w:rPr>
                <w:rFonts w:ascii="Arial Narrow" w:hAnsi="Arial Narrow"/>
                <w:lang w:val="en-GB" w:eastAsia="ja-JP"/>
              </w:rPr>
            </w:pPr>
          </w:p>
        </w:tc>
        <w:tc>
          <w:tcPr>
            <w:tcW w:w="4038" w:type="pct"/>
            <w:gridSpan w:val="5"/>
          </w:tcPr>
          <w:p w14:paraId="526307E9" w14:textId="77777777" w:rsidR="00C96FEB" w:rsidRPr="00AA5FBF" w:rsidRDefault="00C96FEB" w:rsidP="005271C4">
            <w:pPr>
              <w:keepNext/>
              <w:tabs>
                <w:tab w:val="left" w:pos="2835"/>
              </w:tabs>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C96FEB" w:rsidRPr="00882200" w14:paraId="298EB24A" w14:textId="77777777" w:rsidTr="002929DE">
        <w:tc>
          <w:tcPr>
            <w:tcW w:w="962" w:type="pct"/>
            <w:gridSpan w:val="2"/>
            <w:vMerge/>
          </w:tcPr>
          <w:p w14:paraId="16972411" w14:textId="77777777" w:rsidR="00C96FEB" w:rsidRPr="00AA5FBF" w:rsidRDefault="00C96FEB" w:rsidP="005271C4">
            <w:pPr>
              <w:keepNext/>
              <w:tabs>
                <w:tab w:val="left" w:pos="2835"/>
              </w:tabs>
              <w:rPr>
                <w:rFonts w:ascii="Arial Narrow" w:hAnsi="Arial Narrow"/>
                <w:lang w:val="en-GB" w:eastAsia="ja-JP"/>
              </w:rPr>
            </w:pPr>
          </w:p>
        </w:tc>
        <w:tc>
          <w:tcPr>
            <w:tcW w:w="1403" w:type="pct"/>
            <w:gridSpan w:val="2"/>
            <w:vAlign w:val="center"/>
          </w:tcPr>
          <w:p w14:paraId="3F4F69FB" w14:textId="77777777" w:rsidR="00C96FEB" w:rsidRPr="00AA5FBF" w:rsidRDefault="00C96FEB"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Superior</w:t>
            </w:r>
          </w:p>
        </w:tc>
        <w:tc>
          <w:tcPr>
            <w:tcW w:w="1289" w:type="pct"/>
            <w:vAlign w:val="center"/>
          </w:tcPr>
          <w:p w14:paraId="64A198CC" w14:textId="77777777" w:rsidR="00C96FEB" w:rsidRPr="00AA5FBF" w:rsidRDefault="00C96FEB"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1346" w:type="pct"/>
            <w:gridSpan w:val="2"/>
            <w:vAlign w:val="center"/>
          </w:tcPr>
          <w:p w14:paraId="266FC96A" w14:textId="77777777" w:rsidR="00C96FEB" w:rsidRPr="00AA5FBF" w:rsidRDefault="00C96FEB"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Inferior</w:t>
            </w:r>
          </w:p>
        </w:tc>
      </w:tr>
      <w:tr w:rsidR="00C96FEB" w:rsidRPr="00882200" w14:paraId="4E849B08" w14:textId="77777777" w:rsidTr="002929DE">
        <w:trPr>
          <w:cantSplit/>
          <w:trHeight w:val="20"/>
        </w:trPr>
        <w:tc>
          <w:tcPr>
            <w:tcW w:w="367" w:type="pct"/>
            <w:vMerge w:val="restart"/>
            <w:textDirection w:val="btLr"/>
            <w:vAlign w:val="center"/>
          </w:tcPr>
          <w:p w14:paraId="625A7EFF" w14:textId="77777777" w:rsidR="00C96FEB" w:rsidRPr="00AA5FBF" w:rsidRDefault="00C96FEB" w:rsidP="005271C4">
            <w:pPr>
              <w:keepNext/>
              <w:tabs>
                <w:tab w:val="left" w:pos="2835"/>
              </w:tabs>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596" w:type="pct"/>
            <w:vMerge w:val="restart"/>
            <w:vAlign w:val="center"/>
          </w:tcPr>
          <w:p w14:paraId="44C6ECBB"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Superior</w:t>
            </w:r>
          </w:p>
        </w:tc>
        <w:tc>
          <w:tcPr>
            <w:tcW w:w="1403" w:type="pct"/>
            <w:gridSpan w:val="2"/>
            <w:vMerge w:val="restart"/>
            <w:vAlign w:val="center"/>
          </w:tcPr>
          <w:p w14:paraId="1E749196" w14:textId="77777777" w:rsidR="00C96FEB" w:rsidRPr="00B0145B" w:rsidRDefault="00C96FEB" w:rsidP="005271C4">
            <w:pPr>
              <w:keepNext/>
              <w:tabs>
                <w:tab w:val="left" w:pos="2835"/>
              </w:tabs>
              <w:jc w:val="center"/>
              <w:rPr>
                <w:rFonts w:ascii="Arial Narrow" w:hAnsi="Arial Narrow"/>
                <w:lang w:val="en-GB" w:eastAsia="ja-JP"/>
              </w:rPr>
            </w:pPr>
            <w:r w:rsidRPr="00B0145B">
              <w:rPr>
                <w:rFonts w:ascii="Arial Narrow" w:hAnsi="Arial Narrow"/>
                <w:lang w:val="en-GB" w:eastAsia="ja-JP"/>
              </w:rPr>
              <w:t>CEA/CUA</w:t>
            </w:r>
          </w:p>
        </w:tc>
        <w:tc>
          <w:tcPr>
            <w:tcW w:w="1289" w:type="pct"/>
            <w:vMerge w:val="restart"/>
            <w:vAlign w:val="center"/>
          </w:tcPr>
          <w:p w14:paraId="7901DE30"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843" w:type="pct"/>
          </w:tcPr>
          <w:p w14:paraId="57B5C834"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03" w:type="pct"/>
            <w:vAlign w:val="center"/>
          </w:tcPr>
          <w:p w14:paraId="73CE5AF7"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3A7F3B7D" w14:textId="77777777" w:rsidTr="002929DE">
        <w:trPr>
          <w:cantSplit/>
          <w:trHeight w:val="20"/>
        </w:trPr>
        <w:tc>
          <w:tcPr>
            <w:tcW w:w="367" w:type="pct"/>
            <w:vMerge/>
          </w:tcPr>
          <w:p w14:paraId="503C71EC" w14:textId="77777777" w:rsidR="00C96FEB" w:rsidRPr="00AA5FBF" w:rsidRDefault="00C96FEB" w:rsidP="005271C4">
            <w:pPr>
              <w:keepNext/>
              <w:tabs>
                <w:tab w:val="left" w:pos="2835"/>
              </w:tabs>
              <w:rPr>
                <w:rFonts w:ascii="Arial Narrow" w:hAnsi="Arial Narrow"/>
                <w:lang w:val="en-GB" w:eastAsia="ja-JP"/>
              </w:rPr>
            </w:pPr>
          </w:p>
        </w:tc>
        <w:tc>
          <w:tcPr>
            <w:tcW w:w="596" w:type="pct"/>
            <w:vMerge/>
            <w:vAlign w:val="center"/>
          </w:tcPr>
          <w:p w14:paraId="39EB59C7" w14:textId="77777777" w:rsidR="00C96FEB" w:rsidRPr="00AA5FBF" w:rsidRDefault="00C96FEB" w:rsidP="005271C4">
            <w:pPr>
              <w:keepNext/>
              <w:tabs>
                <w:tab w:val="left" w:pos="2835"/>
              </w:tabs>
              <w:rPr>
                <w:rFonts w:ascii="Arial Narrow" w:hAnsi="Arial Narrow"/>
                <w:u w:val="single"/>
                <w:lang w:val="en-GB" w:eastAsia="ja-JP"/>
              </w:rPr>
            </w:pPr>
          </w:p>
        </w:tc>
        <w:tc>
          <w:tcPr>
            <w:tcW w:w="1403" w:type="pct"/>
            <w:gridSpan w:val="2"/>
            <w:vMerge/>
            <w:vAlign w:val="center"/>
          </w:tcPr>
          <w:p w14:paraId="14E0087A" w14:textId="77777777" w:rsidR="00C96FEB" w:rsidRPr="00AA5FBF" w:rsidRDefault="00C96FEB" w:rsidP="005271C4">
            <w:pPr>
              <w:keepNext/>
              <w:tabs>
                <w:tab w:val="left" w:pos="2835"/>
              </w:tabs>
              <w:jc w:val="center"/>
              <w:rPr>
                <w:rFonts w:ascii="Arial Narrow" w:hAnsi="Arial Narrow"/>
                <w:lang w:val="en-GB" w:eastAsia="ja-JP"/>
              </w:rPr>
            </w:pPr>
          </w:p>
        </w:tc>
        <w:tc>
          <w:tcPr>
            <w:tcW w:w="1289" w:type="pct"/>
            <w:vMerge/>
            <w:vAlign w:val="center"/>
          </w:tcPr>
          <w:p w14:paraId="71B1FA59" w14:textId="77777777" w:rsidR="00C96FEB" w:rsidRPr="00AA5FBF" w:rsidRDefault="00C96FEB" w:rsidP="005271C4">
            <w:pPr>
              <w:keepNext/>
              <w:tabs>
                <w:tab w:val="left" w:pos="2835"/>
              </w:tabs>
              <w:jc w:val="center"/>
              <w:rPr>
                <w:rFonts w:ascii="Arial Narrow" w:hAnsi="Arial Narrow"/>
                <w:lang w:val="en-GB" w:eastAsia="ja-JP"/>
              </w:rPr>
            </w:pPr>
          </w:p>
        </w:tc>
        <w:tc>
          <w:tcPr>
            <w:tcW w:w="843" w:type="pct"/>
          </w:tcPr>
          <w:p w14:paraId="53DE13DA"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03" w:type="pct"/>
            <w:vAlign w:val="center"/>
          </w:tcPr>
          <w:p w14:paraId="09AC8537"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7B3DBDEF" w14:textId="77777777" w:rsidTr="002929DE">
        <w:trPr>
          <w:cantSplit/>
          <w:trHeight w:val="20"/>
        </w:trPr>
        <w:tc>
          <w:tcPr>
            <w:tcW w:w="367" w:type="pct"/>
            <w:vMerge/>
          </w:tcPr>
          <w:p w14:paraId="3E1A0034" w14:textId="77777777" w:rsidR="00C96FEB" w:rsidRPr="00AA5FBF" w:rsidRDefault="00C96FEB" w:rsidP="005271C4">
            <w:pPr>
              <w:keepNext/>
              <w:tabs>
                <w:tab w:val="left" w:pos="2835"/>
              </w:tabs>
              <w:rPr>
                <w:rFonts w:ascii="Arial Narrow" w:hAnsi="Arial Narrow"/>
                <w:lang w:val="en-GB" w:eastAsia="ja-JP"/>
              </w:rPr>
            </w:pPr>
          </w:p>
        </w:tc>
        <w:tc>
          <w:tcPr>
            <w:tcW w:w="596" w:type="pct"/>
            <w:vMerge/>
            <w:vAlign w:val="center"/>
          </w:tcPr>
          <w:p w14:paraId="0686A3E9" w14:textId="77777777" w:rsidR="00C96FEB" w:rsidRPr="00AA5FBF" w:rsidRDefault="00C96FEB" w:rsidP="005271C4">
            <w:pPr>
              <w:keepNext/>
              <w:tabs>
                <w:tab w:val="left" w:pos="2835"/>
              </w:tabs>
              <w:rPr>
                <w:rFonts w:ascii="Arial Narrow" w:hAnsi="Arial Narrow"/>
                <w:u w:val="single"/>
                <w:lang w:val="en-GB" w:eastAsia="ja-JP"/>
              </w:rPr>
            </w:pPr>
          </w:p>
        </w:tc>
        <w:tc>
          <w:tcPr>
            <w:tcW w:w="1403" w:type="pct"/>
            <w:gridSpan w:val="2"/>
            <w:vMerge/>
            <w:vAlign w:val="center"/>
          </w:tcPr>
          <w:p w14:paraId="764ACD06" w14:textId="77777777" w:rsidR="00C96FEB" w:rsidRPr="00AA5FBF" w:rsidRDefault="00C96FEB" w:rsidP="005271C4">
            <w:pPr>
              <w:keepNext/>
              <w:tabs>
                <w:tab w:val="left" w:pos="2835"/>
              </w:tabs>
              <w:jc w:val="center"/>
              <w:rPr>
                <w:rFonts w:ascii="Arial Narrow" w:hAnsi="Arial Narrow"/>
                <w:lang w:val="en-GB" w:eastAsia="ja-JP"/>
              </w:rPr>
            </w:pPr>
          </w:p>
        </w:tc>
        <w:tc>
          <w:tcPr>
            <w:tcW w:w="1289" w:type="pct"/>
            <w:vMerge/>
            <w:vAlign w:val="center"/>
          </w:tcPr>
          <w:p w14:paraId="2EA865E7" w14:textId="77777777" w:rsidR="00C96FEB" w:rsidRPr="00AA5FBF" w:rsidRDefault="00C96FEB" w:rsidP="005271C4">
            <w:pPr>
              <w:keepNext/>
              <w:tabs>
                <w:tab w:val="left" w:pos="2835"/>
              </w:tabs>
              <w:jc w:val="center"/>
              <w:rPr>
                <w:rFonts w:ascii="Arial Narrow" w:hAnsi="Arial Narrow"/>
                <w:lang w:val="en-GB" w:eastAsia="ja-JP"/>
              </w:rPr>
            </w:pPr>
          </w:p>
        </w:tc>
        <w:tc>
          <w:tcPr>
            <w:tcW w:w="843" w:type="pct"/>
          </w:tcPr>
          <w:p w14:paraId="0D5A192D"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03" w:type="pct"/>
            <w:vAlign w:val="center"/>
          </w:tcPr>
          <w:p w14:paraId="5484870C"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4419607C" w14:textId="77777777" w:rsidTr="002929DE">
        <w:trPr>
          <w:cantSplit/>
          <w:trHeight w:val="750"/>
        </w:trPr>
        <w:tc>
          <w:tcPr>
            <w:tcW w:w="367" w:type="pct"/>
            <w:vMerge/>
          </w:tcPr>
          <w:p w14:paraId="0AAC6D38" w14:textId="77777777" w:rsidR="00C96FEB" w:rsidRPr="00AA5FBF" w:rsidRDefault="00C96FEB" w:rsidP="005271C4">
            <w:pPr>
              <w:keepNext/>
              <w:tabs>
                <w:tab w:val="left" w:pos="2835"/>
              </w:tabs>
              <w:rPr>
                <w:rFonts w:ascii="Arial Narrow" w:hAnsi="Arial Narrow"/>
                <w:lang w:val="en-GB" w:eastAsia="ja-JP"/>
              </w:rPr>
            </w:pPr>
          </w:p>
        </w:tc>
        <w:tc>
          <w:tcPr>
            <w:tcW w:w="596" w:type="pct"/>
            <w:vAlign w:val="center"/>
          </w:tcPr>
          <w:p w14:paraId="13E6A655"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Non-inferior</w:t>
            </w:r>
          </w:p>
        </w:tc>
        <w:tc>
          <w:tcPr>
            <w:tcW w:w="1403" w:type="pct"/>
            <w:gridSpan w:val="2"/>
            <w:vAlign w:val="center"/>
          </w:tcPr>
          <w:p w14:paraId="1287CC12" w14:textId="23E0667F" w:rsidR="00B0145B" w:rsidRPr="005B170A" w:rsidRDefault="00C96FEB" w:rsidP="005B170A">
            <w:pPr>
              <w:keepNext/>
              <w:tabs>
                <w:tab w:val="left" w:pos="2835"/>
              </w:tabs>
              <w:jc w:val="center"/>
              <w:rPr>
                <w:rFonts w:ascii="Arial Narrow" w:hAnsi="Arial Narrow"/>
                <w:b/>
                <w:lang w:val="en-GB" w:eastAsia="ja-JP"/>
              </w:rPr>
            </w:pPr>
            <w:r w:rsidRPr="00B0145B">
              <w:rPr>
                <w:rFonts w:ascii="Arial Narrow" w:hAnsi="Arial Narrow"/>
                <w:b/>
                <w:lang w:val="en-GB" w:eastAsia="ja-JP"/>
              </w:rPr>
              <w:t>CEA/CUA</w:t>
            </w:r>
          </w:p>
        </w:tc>
        <w:tc>
          <w:tcPr>
            <w:tcW w:w="1289" w:type="pct"/>
            <w:vAlign w:val="center"/>
          </w:tcPr>
          <w:p w14:paraId="7EAC830F" w14:textId="1E2763F9" w:rsidR="00B0145B" w:rsidRPr="005B170A" w:rsidRDefault="005B170A" w:rsidP="005B170A">
            <w:pPr>
              <w:keepNext/>
              <w:tabs>
                <w:tab w:val="left" w:pos="2835"/>
              </w:tabs>
              <w:jc w:val="center"/>
              <w:rPr>
                <w:rFonts w:ascii="Arial Narrow" w:hAnsi="Arial Narrow"/>
                <w:lang w:val="en-GB" w:eastAsia="ja-JP"/>
              </w:rPr>
            </w:pPr>
            <w:r w:rsidRPr="005B170A">
              <w:rPr>
                <w:rFonts w:ascii="Arial Narrow" w:hAnsi="Arial Narrow"/>
                <w:lang w:val="en-GB" w:eastAsia="ja-JP"/>
              </w:rPr>
              <w:t>CEA/CUA*</w:t>
            </w:r>
          </w:p>
        </w:tc>
        <w:tc>
          <w:tcPr>
            <w:tcW w:w="1346" w:type="pct"/>
            <w:gridSpan w:val="2"/>
            <w:vAlign w:val="center"/>
          </w:tcPr>
          <w:p w14:paraId="3B2CE351"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68BD5F48" w14:textId="77777777" w:rsidTr="002929DE">
        <w:trPr>
          <w:cantSplit/>
          <w:trHeight w:val="20"/>
        </w:trPr>
        <w:tc>
          <w:tcPr>
            <w:tcW w:w="367" w:type="pct"/>
            <w:vMerge/>
          </w:tcPr>
          <w:p w14:paraId="1C974885" w14:textId="77777777" w:rsidR="00C96FEB" w:rsidRPr="00AA5FBF" w:rsidRDefault="00C96FEB" w:rsidP="005271C4">
            <w:pPr>
              <w:keepNext/>
              <w:tabs>
                <w:tab w:val="left" w:pos="2835"/>
              </w:tabs>
              <w:rPr>
                <w:rFonts w:ascii="Arial Narrow" w:hAnsi="Arial Narrow"/>
                <w:lang w:val="en-GB" w:eastAsia="ja-JP"/>
              </w:rPr>
            </w:pPr>
          </w:p>
        </w:tc>
        <w:tc>
          <w:tcPr>
            <w:tcW w:w="596" w:type="pct"/>
            <w:vMerge w:val="restart"/>
            <w:vAlign w:val="center"/>
          </w:tcPr>
          <w:p w14:paraId="72C5D720"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Inferior</w:t>
            </w:r>
          </w:p>
        </w:tc>
        <w:tc>
          <w:tcPr>
            <w:tcW w:w="862" w:type="pct"/>
            <w:vAlign w:val="center"/>
          </w:tcPr>
          <w:p w14:paraId="2ADAEB66"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41" w:type="pct"/>
            <w:vAlign w:val="center"/>
          </w:tcPr>
          <w:p w14:paraId="2B857CCD"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3B1188A8"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346" w:type="pct"/>
            <w:gridSpan w:val="2"/>
            <w:vMerge w:val="restart"/>
            <w:vAlign w:val="center"/>
          </w:tcPr>
          <w:p w14:paraId="2AB47A1C"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5A064C58" w14:textId="77777777" w:rsidTr="002929DE">
        <w:trPr>
          <w:trHeight w:val="20"/>
        </w:trPr>
        <w:tc>
          <w:tcPr>
            <w:tcW w:w="367" w:type="pct"/>
            <w:vMerge/>
          </w:tcPr>
          <w:p w14:paraId="43FD4890" w14:textId="77777777" w:rsidR="00C96FEB" w:rsidRPr="00AA5FBF" w:rsidRDefault="00C96FEB" w:rsidP="005271C4">
            <w:pPr>
              <w:keepNext/>
              <w:tabs>
                <w:tab w:val="left" w:pos="2835"/>
              </w:tabs>
              <w:rPr>
                <w:rFonts w:ascii="Arial Narrow" w:hAnsi="Arial Narrow"/>
                <w:lang w:val="en-GB" w:eastAsia="ja-JP"/>
              </w:rPr>
            </w:pPr>
          </w:p>
        </w:tc>
        <w:tc>
          <w:tcPr>
            <w:tcW w:w="596" w:type="pct"/>
            <w:vMerge/>
          </w:tcPr>
          <w:p w14:paraId="66D59C5E" w14:textId="77777777" w:rsidR="00C96FEB" w:rsidRPr="00AA5FBF" w:rsidRDefault="00C96FEB" w:rsidP="005271C4">
            <w:pPr>
              <w:keepNext/>
              <w:tabs>
                <w:tab w:val="left" w:pos="2835"/>
              </w:tabs>
              <w:rPr>
                <w:rFonts w:ascii="Arial Narrow" w:hAnsi="Arial Narrow"/>
                <w:lang w:val="en-GB" w:eastAsia="ja-JP"/>
              </w:rPr>
            </w:pPr>
          </w:p>
        </w:tc>
        <w:tc>
          <w:tcPr>
            <w:tcW w:w="862" w:type="pct"/>
            <w:vAlign w:val="center"/>
          </w:tcPr>
          <w:p w14:paraId="2BDCBD1B"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41" w:type="pct"/>
            <w:vAlign w:val="center"/>
          </w:tcPr>
          <w:p w14:paraId="4E4F916B"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ign w:val="center"/>
          </w:tcPr>
          <w:p w14:paraId="5D8AA331" w14:textId="77777777" w:rsidR="00C96FEB" w:rsidRPr="00AA5FBF" w:rsidRDefault="00C96FEB" w:rsidP="005271C4">
            <w:pPr>
              <w:keepNext/>
              <w:tabs>
                <w:tab w:val="left" w:pos="2835"/>
              </w:tabs>
              <w:jc w:val="center"/>
              <w:rPr>
                <w:rFonts w:ascii="Arial Narrow" w:hAnsi="Arial Narrow"/>
                <w:lang w:val="en-GB" w:eastAsia="ja-JP"/>
              </w:rPr>
            </w:pPr>
          </w:p>
        </w:tc>
        <w:tc>
          <w:tcPr>
            <w:tcW w:w="1346" w:type="pct"/>
            <w:gridSpan w:val="2"/>
            <w:vMerge/>
          </w:tcPr>
          <w:p w14:paraId="2AA3692A" w14:textId="77777777" w:rsidR="00C96FEB" w:rsidRPr="00AA5FBF" w:rsidRDefault="00C96FEB" w:rsidP="005271C4">
            <w:pPr>
              <w:keepNext/>
              <w:tabs>
                <w:tab w:val="left" w:pos="2835"/>
              </w:tabs>
              <w:rPr>
                <w:rFonts w:ascii="Arial Narrow" w:hAnsi="Arial Narrow"/>
                <w:lang w:val="en-GB" w:eastAsia="ja-JP"/>
              </w:rPr>
            </w:pPr>
          </w:p>
        </w:tc>
      </w:tr>
      <w:tr w:rsidR="00C96FEB" w:rsidRPr="00882200" w14:paraId="06A83C27" w14:textId="77777777" w:rsidTr="002929DE">
        <w:trPr>
          <w:trHeight w:val="20"/>
        </w:trPr>
        <w:tc>
          <w:tcPr>
            <w:tcW w:w="367" w:type="pct"/>
            <w:vMerge/>
          </w:tcPr>
          <w:p w14:paraId="3EABAEE0" w14:textId="77777777" w:rsidR="00C96FEB" w:rsidRPr="00AA5FBF" w:rsidRDefault="00C96FEB" w:rsidP="005271C4">
            <w:pPr>
              <w:keepNext/>
              <w:tabs>
                <w:tab w:val="left" w:pos="2835"/>
              </w:tabs>
              <w:rPr>
                <w:rFonts w:ascii="Arial Narrow" w:hAnsi="Arial Narrow"/>
                <w:lang w:val="en-GB" w:eastAsia="ja-JP"/>
              </w:rPr>
            </w:pPr>
          </w:p>
        </w:tc>
        <w:tc>
          <w:tcPr>
            <w:tcW w:w="596" w:type="pct"/>
            <w:vMerge/>
          </w:tcPr>
          <w:p w14:paraId="5B609839" w14:textId="77777777" w:rsidR="00C96FEB" w:rsidRPr="00AA5FBF" w:rsidRDefault="00C96FEB" w:rsidP="005271C4">
            <w:pPr>
              <w:keepNext/>
              <w:tabs>
                <w:tab w:val="left" w:pos="2835"/>
              </w:tabs>
              <w:rPr>
                <w:rFonts w:ascii="Arial Narrow" w:hAnsi="Arial Narrow"/>
                <w:lang w:val="en-GB" w:eastAsia="ja-JP"/>
              </w:rPr>
            </w:pPr>
          </w:p>
        </w:tc>
        <w:tc>
          <w:tcPr>
            <w:tcW w:w="862" w:type="pct"/>
            <w:vAlign w:val="center"/>
          </w:tcPr>
          <w:p w14:paraId="23BC9C2C"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41" w:type="pct"/>
            <w:vAlign w:val="center"/>
          </w:tcPr>
          <w:p w14:paraId="15C0192E"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289" w:type="pct"/>
            <w:vMerge/>
            <w:vAlign w:val="center"/>
          </w:tcPr>
          <w:p w14:paraId="0592C159" w14:textId="77777777" w:rsidR="00C96FEB" w:rsidRPr="00AA5FBF" w:rsidRDefault="00C96FEB" w:rsidP="005271C4">
            <w:pPr>
              <w:keepNext/>
              <w:tabs>
                <w:tab w:val="left" w:pos="2835"/>
              </w:tabs>
              <w:jc w:val="center"/>
              <w:rPr>
                <w:rFonts w:ascii="Arial Narrow" w:hAnsi="Arial Narrow"/>
                <w:lang w:val="en-GB" w:eastAsia="ja-JP"/>
              </w:rPr>
            </w:pPr>
          </w:p>
        </w:tc>
        <w:tc>
          <w:tcPr>
            <w:tcW w:w="1346" w:type="pct"/>
            <w:gridSpan w:val="2"/>
            <w:vMerge/>
          </w:tcPr>
          <w:p w14:paraId="6A101952" w14:textId="77777777" w:rsidR="00C96FEB" w:rsidRPr="00AA5FBF" w:rsidRDefault="00C96FEB" w:rsidP="005271C4">
            <w:pPr>
              <w:keepNext/>
              <w:tabs>
                <w:tab w:val="left" w:pos="2835"/>
              </w:tabs>
              <w:rPr>
                <w:rFonts w:ascii="Arial Narrow" w:hAnsi="Arial Narrow"/>
                <w:lang w:val="en-GB" w:eastAsia="ja-JP"/>
              </w:rPr>
            </w:pPr>
          </w:p>
        </w:tc>
      </w:tr>
    </w:tbl>
    <w:p w14:paraId="7F186414" w14:textId="77777777" w:rsidR="00C96FEB" w:rsidRDefault="00C96FEB" w:rsidP="005271C4">
      <w:pPr>
        <w:pStyle w:val="TableFootnotes1"/>
        <w:rPr>
          <w:lang w:val="en-GB" w:eastAsia="ja-JP"/>
        </w:rPr>
      </w:pPr>
      <w:r w:rsidRPr="00506FD4">
        <w:rPr>
          <w:b/>
          <w:lang w:val="en-GB" w:eastAsia="ja-JP"/>
        </w:rPr>
        <w:t>Abbreviations:</w:t>
      </w:r>
      <w:r>
        <w:rPr>
          <w:lang w:val="en-GB" w:eastAsia="ja-JP"/>
        </w:rPr>
        <w:t xml:space="preserve"> CEA = cost-effectiveness analysis; CUA = cost-utility analysis</w:t>
      </w:r>
    </w:p>
    <w:p w14:paraId="65C45125" w14:textId="27D8AC21" w:rsidR="00C96FEB" w:rsidRDefault="00C96FEB" w:rsidP="00C96FEB">
      <w:pPr>
        <w:pStyle w:val="TableFootnotes1"/>
        <w:rPr>
          <w:lang w:val="en-GB" w:eastAsia="ja-JP"/>
        </w:rPr>
      </w:pPr>
      <w:r>
        <w:rPr>
          <w:lang w:val="en-GB" w:eastAsia="ja-JP"/>
        </w:rPr>
        <w:t>* May be reduced to c</w:t>
      </w:r>
      <w:r w:rsidR="005B170A">
        <w:rPr>
          <w:lang w:val="en-GB" w:eastAsia="ja-JP"/>
        </w:rPr>
        <w:t>ost-minimisation analysis.</w:t>
      </w:r>
    </w:p>
    <w:p w14:paraId="72FF677A" w14:textId="2DF64DCB" w:rsidR="003E7677" w:rsidRDefault="00C96FEB" w:rsidP="00C96FEB">
      <w:pPr>
        <w:pStyle w:val="LastTableFootnote"/>
        <w:rPr>
          <w:lang w:val="en-GB" w:eastAsia="ja-JP"/>
        </w:rPr>
      </w:pPr>
      <w:r>
        <w:rPr>
          <w:lang w:val="en-GB" w:eastAsia="ja-JP"/>
        </w:rPr>
        <w:t xml:space="preserve">^ </w:t>
      </w:r>
      <w:r w:rsidRPr="009B59B7">
        <w:rPr>
          <w:lang w:val="en-GB" w:eastAsia="ja-JP"/>
        </w:rPr>
        <w:t>No economic evaluation needs to be presented; MSAC is unlikely to recommend government subsidy of this intervention</w:t>
      </w:r>
    </w:p>
    <w:p w14:paraId="26189201" w14:textId="77777777" w:rsidR="005B170A" w:rsidRDefault="005B170A" w:rsidP="005B170A">
      <w:pPr>
        <w:pStyle w:val="Heading3"/>
      </w:pPr>
      <w:bookmarkStart w:id="94" w:name="_Toc400097968"/>
      <w:bookmarkStart w:id="95" w:name="_Toc395886517"/>
      <w:r>
        <w:t>Setting comparison</w:t>
      </w:r>
      <w:bookmarkEnd w:id="94"/>
    </w:p>
    <w:p w14:paraId="17A5F380" w14:textId="40161776" w:rsidR="005B170A" w:rsidRDefault="005B170A" w:rsidP="005B170A">
      <w:pPr>
        <w:pStyle w:val="BodyText"/>
      </w:pPr>
      <w:r>
        <w:t xml:space="preserve">The clinical claim for the setting comparison is that, for all populations, community-administered C1-INH concentrate is non-inferior to hospital-administered C1-INH concentrate in efficacy and safety. </w:t>
      </w:r>
    </w:p>
    <w:p w14:paraId="547B45BF" w14:textId="77777777" w:rsidR="005B170A" w:rsidRDefault="005B170A" w:rsidP="005B170A">
      <w:pPr>
        <w:pStyle w:val="Heading3"/>
      </w:pPr>
      <w:bookmarkStart w:id="96" w:name="_Toc400097969"/>
      <w:r>
        <w:t>Funding comparison</w:t>
      </w:r>
      <w:bookmarkEnd w:id="96"/>
    </w:p>
    <w:p w14:paraId="182F9ED5" w14:textId="71BCB43D" w:rsidR="005B170A" w:rsidRDefault="005B170A" w:rsidP="005B170A">
      <w:pPr>
        <w:pStyle w:val="BodyText"/>
      </w:pPr>
      <w:r>
        <w:t>There is no clinical or economic claim for the funding comparison, but listing C1-INH concentrate on the NPSL will provide patient benefits associated with gaining access to the intervention for routine prophylaxis, which they currently appear not to have (</w:t>
      </w:r>
      <w:r w:rsidR="00A25553">
        <w:t xml:space="preserve">note that </w:t>
      </w:r>
      <w:r>
        <w:t xml:space="preserve">anticipated </w:t>
      </w:r>
      <w:r w:rsidR="00AF4FE1">
        <w:t xml:space="preserve">changes </w:t>
      </w:r>
      <w:r>
        <w:t xml:space="preserve">in use will be </w:t>
      </w:r>
      <w:r w:rsidR="00A25553">
        <w:t>explored</w:t>
      </w:r>
      <w:r>
        <w:t xml:space="preserve"> in the financial impact analysis).</w:t>
      </w:r>
    </w:p>
    <w:p w14:paraId="5583AAA1" w14:textId="77777777" w:rsidR="00B13B2E" w:rsidRDefault="00B13B2E">
      <w:pPr>
        <w:rPr>
          <w:b/>
          <w:bCs/>
          <w:color w:val="215868"/>
          <w:sz w:val="24"/>
          <w:szCs w:val="32"/>
          <w:lang w:val="en-GB" w:eastAsia="ja-JP"/>
        </w:rPr>
      </w:pPr>
      <w:r>
        <w:rPr>
          <w:lang w:val="en-GB" w:eastAsia="ja-JP"/>
        </w:rPr>
        <w:br w:type="page"/>
      </w:r>
    </w:p>
    <w:p w14:paraId="512CA50D" w14:textId="5472D886" w:rsidR="004309D9" w:rsidRDefault="004309D9" w:rsidP="004309D9">
      <w:pPr>
        <w:pStyle w:val="Heading1"/>
        <w:rPr>
          <w:lang w:val="en-GB" w:eastAsia="ja-JP"/>
        </w:rPr>
      </w:pPr>
      <w:bookmarkStart w:id="97" w:name="_Toc400097970"/>
      <w:r w:rsidRPr="00C77F93">
        <w:rPr>
          <w:lang w:val="en-GB" w:eastAsia="ja-JP"/>
        </w:rPr>
        <w:lastRenderedPageBreak/>
        <w:t xml:space="preserve">Summary of PICO to be used for assessment of </w:t>
      </w:r>
      <w:bookmarkEnd w:id="95"/>
      <w:r w:rsidR="00305027">
        <w:rPr>
          <w:lang w:val="en-GB" w:eastAsia="ja-JP"/>
        </w:rPr>
        <w:t>C1-INH concentrate</w:t>
      </w:r>
      <w:bookmarkEnd w:id="97"/>
    </w:p>
    <w:p w14:paraId="584F62F2" w14:textId="0AB7C8DD" w:rsidR="000C558E" w:rsidRPr="000C558E" w:rsidRDefault="000C558E" w:rsidP="000C558E">
      <w:pPr>
        <w:pStyle w:val="Heading2"/>
      </w:pPr>
      <w:bookmarkStart w:id="98" w:name="_Toc400097971"/>
      <w:r>
        <w:t>PICO for acute HAE attacks</w:t>
      </w:r>
      <w:bookmarkEnd w:id="98"/>
    </w:p>
    <w:p w14:paraId="00FBF11D" w14:textId="323E189E" w:rsidR="00793143" w:rsidRDefault="00305027" w:rsidP="00793143">
      <w:pPr>
        <w:pStyle w:val="BodyText"/>
      </w:pPr>
      <w:r>
        <w:t xml:space="preserve">Assessment of C1-INH concentrate will be guided by </w:t>
      </w:r>
      <w:r w:rsidR="004309D9">
        <w:t xml:space="preserve">three sets of </w:t>
      </w:r>
      <w:r w:rsidR="004309D9" w:rsidRPr="0008510C">
        <w:t>PICO criteria</w:t>
      </w:r>
      <w:r>
        <w:t xml:space="preserve">; one </w:t>
      </w:r>
      <w:r w:rsidR="004309D9">
        <w:t xml:space="preserve">for </w:t>
      </w:r>
      <w:r>
        <w:t xml:space="preserve">each of </w:t>
      </w:r>
      <w:r w:rsidR="004309D9">
        <w:t xml:space="preserve">the three HAE indications. </w:t>
      </w:r>
      <w:r w:rsidR="00BA3BF0">
        <w:t>While this report refers to the assessment of C1-IN</w:t>
      </w:r>
      <w:r w:rsidR="0022230E">
        <w:t>H concentrate, the evidence should</w:t>
      </w:r>
      <w:r w:rsidR="00BA3BF0">
        <w:t xml:space="preserve"> be evaluated for Cinryze and Berinert separately. </w:t>
      </w:r>
      <w:r w:rsidR="0022230E">
        <w:t>The efficacy and safety of Cinryze and Berinert should</w:t>
      </w:r>
      <w:r w:rsidR="00793143">
        <w:t xml:space="preserve"> also be </w:t>
      </w:r>
      <w:r w:rsidR="0022230E">
        <w:t>compared, either directly or indirectly (depending on the available evidence)</w:t>
      </w:r>
      <w:r w:rsidR="00793143">
        <w:t>.</w:t>
      </w:r>
    </w:p>
    <w:p w14:paraId="5E472191" w14:textId="05F51C0A" w:rsidR="00E615F5" w:rsidRPr="00E615F5" w:rsidRDefault="00E615F5" w:rsidP="00E615F5">
      <w:pPr>
        <w:pStyle w:val="BodyText"/>
        <w:rPr>
          <w:lang w:val="en-GB" w:eastAsia="ja-JP"/>
        </w:rPr>
      </w:pPr>
      <w:r>
        <w:t xml:space="preserve">While the </w:t>
      </w:r>
      <w:r w:rsidR="00CF1E04">
        <w:t>bulk of the clinical evidence is likely to relate to</w:t>
      </w:r>
      <w:r w:rsidR="007C15E5">
        <w:t xml:space="preserve"> </w:t>
      </w:r>
      <w:r>
        <w:t xml:space="preserve">adults and adolescents, children and pregnant women </w:t>
      </w:r>
      <w:r w:rsidR="007C15E5">
        <w:t>should</w:t>
      </w:r>
      <w:r>
        <w:t xml:space="preserve"> also be considered</w:t>
      </w:r>
      <w:r w:rsidR="0022230E">
        <w:t xml:space="preserve"> if evidence is available </w:t>
      </w:r>
      <w:r>
        <w:t xml:space="preserve">(noting the differences in comparators shown in </w:t>
      </w:r>
      <w:r>
        <w:fldChar w:fldCharType="begin"/>
      </w:r>
      <w:r>
        <w:instrText xml:space="preserve"> REF _Ref395616601 \h </w:instrText>
      </w:r>
      <w:r>
        <w:fldChar w:fldCharType="separate"/>
      </w:r>
      <w:r w:rsidR="00847595">
        <w:t xml:space="preserve">Table </w:t>
      </w:r>
      <w:r w:rsidR="00847595">
        <w:rPr>
          <w:noProof/>
        </w:rPr>
        <w:t>7</w:t>
      </w:r>
      <w:r>
        <w:fldChar w:fldCharType="end"/>
      </w:r>
      <w:r>
        <w:t>).</w:t>
      </w:r>
    </w:p>
    <w:p w14:paraId="71217288" w14:textId="76C4DEEE" w:rsidR="004309D9" w:rsidRDefault="004309D9" w:rsidP="004C58E6">
      <w:pPr>
        <w:pStyle w:val="BodyText"/>
        <w:rPr>
          <w:lang w:val="en-GB" w:eastAsia="ja-JP"/>
        </w:rPr>
      </w:pPr>
      <w:r>
        <w:fldChar w:fldCharType="begin"/>
      </w:r>
      <w:r>
        <w:instrText xml:space="preserve"> REF _Ref395886523 \h </w:instrText>
      </w:r>
      <w:r>
        <w:fldChar w:fldCharType="separate"/>
      </w:r>
      <w:r w:rsidR="00847595">
        <w:t xml:space="preserve">Table </w:t>
      </w:r>
      <w:r w:rsidR="00847595">
        <w:rPr>
          <w:noProof/>
        </w:rPr>
        <w:t>11</w:t>
      </w:r>
      <w:r>
        <w:fldChar w:fldCharType="end"/>
      </w:r>
      <w:r>
        <w:t xml:space="preserve"> shows the PICO criteria for the assessment of C1-INH</w:t>
      </w:r>
      <w:r w:rsidR="00031007">
        <w:t xml:space="preserve"> concentrate</w:t>
      </w:r>
      <w:r>
        <w:t xml:space="preserve"> for the treatment of acute H</w:t>
      </w:r>
      <w:r w:rsidR="001B3B44">
        <w:t>AE</w:t>
      </w:r>
      <w:r>
        <w:t xml:space="preserve"> attacks. </w:t>
      </w:r>
      <w:r w:rsidRPr="0008510C">
        <w:rPr>
          <w:lang w:val="en-GB" w:eastAsia="ja-JP"/>
        </w:rPr>
        <w:t xml:space="preserve">The research questions to be addressed </w:t>
      </w:r>
      <w:r w:rsidR="00913A5E">
        <w:rPr>
          <w:lang w:val="en-GB" w:eastAsia="ja-JP"/>
        </w:rPr>
        <w:t xml:space="preserve">in the assessment </w:t>
      </w:r>
      <w:r w:rsidR="004C58E6">
        <w:rPr>
          <w:lang w:val="en-GB" w:eastAsia="ja-JP"/>
        </w:rPr>
        <w:t>fall into three categories</w:t>
      </w:r>
      <w:r w:rsidR="00C01FDA">
        <w:rPr>
          <w:lang w:val="en-GB" w:eastAsia="ja-JP"/>
        </w:rPr>
        <w:t xml:space="preserve"> of comparison</w:t>
      </w:r>
      <w:r w:rsidR="00BE7830">
        <w:rPr>
          <w:lang w:val="en-GB" w:eastAsia="ja-JP"/>
        </w:rPr>
        <w:t xml:space="preserve"> (as described in the </w:t>
      </w:r>
      <w:r w:rsidR="000D2B08">
        <w:rPr>
          <w:lang w:val="en-GB" w:eastAsia="ja-JP"/>
        </w:rPr>
        <w:t>Comparators section on</w:t>
      </w:r>
      <w:r w:rsidR="00BE7830">
        <w:rPr>
          <w:lang w:val="en-GB" w:eastAsia="ja-JP"/>
        </w:rPr>
        <w:t xml:space="preserve"> </w:t>
      </w:r>
      <w:r w:rsidR="000D2B08">
        <w:rPr>
          <w:lang w:val="en-GB" w:eastAsia="ja-JP"/>
        </w:rPr>
        <w:t>p</w:t>
      </w:r>
      <w:r w:rsidR="00BE7830">
        <w:rPr>
          <w:lang w:val="en-GB" w:eastAsia="ja-JP"/>
        </w:rPr>
        <w:fldChar w:fldCharType="begin"/>
      </w:r>
      <w:r w:rsidR="00BE7830">
        <w:rPr>
          <w:lang w:val="en-GB" w:eastAsia="ja-JP"/>
        </w:rPr>
        <w:instrText xml:space="preserve"> PAGEREF _Ref400028842 \h </w:instrText>
      </w:r>
      <w:r w:rsidR="00BE7830">
        <w:rPr>
          <w:lang w:val="en-GB" w:eastAsia="ja-JP"/>
        </w:rPr>
      </w:r>
      <w:r w:rsidR="00BE7830">
        <w:rPr>
          <w:lang w:val="en-GB" w:eastAsia="ja-JP"/>
        </w:rPr>
        <w:fldChar w:fldCharType="separate"/>
      </w:r>
      <w:r w:rsidR="00847595">
        <w:rPr>
          <w:noProof/>
          <w:lang w:val="en-GB" w:eastAsia="ja-JP"/>
        </w:rPr>
        <w:t>28</w:t>
      </w:r>
      <w:r w:rsidR="00BE7830">
        <w:rPr>
          <w:lang w:val="en-GB" w:eastAsia="ja-JP"/>
        </w:rPr>
        <w:fldChar w:fldCharType="end"/>
      </w:r>
      <w:r w:rsidR="00BE7830">
        <w:rPr>
          <w:lang w:val="en-GB" w:eastAsia="ja-JP"/>
        </w:rPr>
        <w:t>)</w:t>
      </w:r>
      <w:r w:rsidR="000D2B08">
        <w:rPr>
          <w:lang w:val="en-GB" w:eastAsia="ja-JP"/>
        </w:rPr>
        <w:t>:</w:t>
      </w:r>
    </w:p>
    <w:p w14:paraId="5EAFC00E" w14:textId="1BE2C023" w:rsidR="00793143" w:rsidRPr="00736201" w:rsidRDefault="00CC25A3" w:rsidP="00736201">
      <w:pPr>
        <w:pStyle w:val="Heading3"/>
        <w:rPr>
          <w:i/>
          <w:sz w:val="18"/>
        </w:rPr>
      </w:pPr>
      <w:r w:rsidRPr="00736201">
        <w:rPr>
          <w:i/>
          <w:sz w:val="18"/>
        </w:rPr>
        <w:t>Treatment</w:t>
      </w:r>
      <w:r w:rsidR="00DC31D6" w:rsidRPr="00736201">
        <w:rPr>
          <w:i/>
          <w:sz w:val="18"/>
        </w:rPr>
        <w:t xml:space="preserve"> comparison</w:t>
      </w:r>
    </w:p>
    <w:p w14:paraId="2B33B2E2" w14:textId="6D67A84F" w:rsidR="004309D9" w:rsidRDefault="004D0261" w:rsidP="004309D9">
      <w:pPr>
        <w:pStyle w:val="BodyText"/>
        <w:numPr>
          <w:ilvl w:val="0"/>
          <w:numId w:val="29"/>
        </w:numPr>
        <w:rPr>
          <w:i/>
          <w:lang w:val="en-GB" w:eastAsia="ja-JP"/>
        </w:rPr>
      </w:pPr>
      <w:r w:rsidRPr="00D13135">
        <w:rPr>
          <w:b/>
          <w:i/>
          <w:lang w:val="en-GB" w:eastAsia="ja-JP"/>
        </w:rPr>
        <w:t xml:space="preserve">a) </w:t>
      </w:r>
      <w:r w:rsidR="004309D9" w:rsidRPr="005271C4">
        <w:rPr>
          <w:i/>
          <w:lang w:val="en-GB" w:eastAsia="ja-JP"/>
        </w:rPr>
        <w:t>What is the eviden</w:t>
      </w:r>
      <w:r w:rsidR="00793143">
        <w:rPr>
          <w:i/>
          <w:lang w:val="en-GB" w:eastAsia="ja-JP"/>
        </w:rPr>
        <w:t>ce of efficacy/effectiveness</w:t>
      </w:r>
      <w:r>
        <w:rPr>
          <w:i/>
          <w:lang w:val="en-GB" w:eastAsia="ja-JP"/>
        </w:rPr>
        <w:t xml:space="preserve"> and safety</w:t>
      </w:r>
      <w:r w:rsidR="00793143">
        <w:rPr>
          <w:i/>
          <w:lang w:val="en-GB" w:eastAsia="ja-JP"/>
        </w:rPr>
        <w:t xml:space="preserve"> of</w:t>
      </w:r>
      <w:r w:rsidR="00BA0F80">
        <w:rPr>
          <w:i/>
          <w:lang w:val="en-GB" w:eastAsia="ja-JP"/>
        </w:rPr>
        <w:t xml:space="preserve"> </w:t>
      </w:r>
      <w:r w:rsidR="004309D9" w:rsidRPr="005271C4">
        <w:rPr>
          <w:i/>
          <w:lang w:val="en-GB" w:eastAsia="ja-JP"/>
        </w:rPr>
        <w:t xml:space="preserve">C1-INH concentrate </w:t>
      </w:r>
      <w:r w:rsidR="00BA3BF0">
        <w:rPr>
          <w:i/>
          <w:lang w:val="en-GB" w:eastAsia="ja-JP"/>
        </w:rPr>
        <w:t xml:space="preserve">(Cinryze or Berinert) </w:t>
      </w:r>
      <w:r w:rsidR="004309D9" w:rsidRPr="005271C4">
        <w:rPr>
          <w:i/>
          <w:lang w:val="en-GB" w:eastAsia="ja-JP"/>
        </w:rPr>
        <w:t xml:space="preserve">compared with icatibant for the treatment of acute HAE attacks in </w:t>
      </w:r>
      <w:r w:rsidR="005271C4">
        <w:rPr>
          <w:i/>
          <w:lang w:val="en-GB" w:eastAsia="ja-JP"/>
        </w:rPr>
        <w:t xml:space="preserve">patients with </w:t>
      </w:r>
      <w:r>
        <w:rPr>
          <w:i/>
          <w:lang w:val="en-GB" w:eastAsia="ja-JP"/>
        </w:rPr>
        <w:t>HAE type I or </w:t>
      </w:r>
      <w:r w:rsidR="003F0506">
        <w:rPr>
          <w:i/>
          <w:lang w:val="en-GB" w:eastAsia="ja-JP"/>
        </w:rPr>
        <w:t>II</w:t>
      </w:r>
      <w:r w:rsidR="005271C4">
        <w:rPr>
          <w:i/>
          <w:lang w:val="en-GB" w:eastAsia="ja-JP"/>
        </w:rPr>
        <w:t>?</w:t>
      </w:r>
    </w:p>
    <w:p w14:paraId="711926BD" w14:textId="034C0982" w:rsidR="004D0261" w:rsidRPr="004D0261" w:rsidRDefault="004D0261" w:rsidP="004D0261">
      <w:pPr>
        <w:pStyle w:val="BodyText"/>
        <w:ind w:left="720"/>
        <w:rPr>
          <w:i/>
          <w:lang w:val="en-GB" w:eastAsia="ja-JP"/>
        </w:rPr>
      </w:pPr>
      <w:r w:rsidRPr="00D13135">
        <w:rPr>
          <w:b/>
          <w:i/>
          <w:lang w:val="en-GB" w:eastAsia="ja-JP"/>
        </w:rPr>
        <w:t xml:space="preserve">b) </w:t>
      </w: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Cinryze </w:t>
      </w:r>
      <w:r w:rsidRPr="005271C4">
        <w:rPr>
          <w:i/>
          <w:lang w:val="en-GB" w:eastAsia="ja-JP"/>
        </w:rPr>
        <w:t xml:space="preserve">compared with </w:t>
      </w:r>
      <w:r>
        <w:rPr>
          <w:i/>
          <w:lang w:val="en-GB" w:eastAsia="ja-JP"/>
        </w:rPr>
        <w:t xml:space="preserve">Berinert </w:t>
      </w:r>
      <w:r w:rsidRPr="005271C4">
        <w:rPr>
          <w:i/>
          <w:lang w:val="en-GB" w:eastAsia="ja-JP"/>
        </w:rPr>
        <w:t xml:space="preserve">for the treatment of acute HAE attacks in </w:t>
      </w:r>
      <w:r>
        <w:rPr>
          <w:i/>
          <w:lang w:val="en-GB" w:eastAsia="ja-JP"/>
        </w:rPr>
        <w:t>patients with HAE type I or II?</w:t>
      </w:r>
    </w:p>
    <w:p w14:paraId="1E9CD51F" w14:textId="64F1B38A" w:rsidR="00793143" w:rsidRDefault="00793143" w:rsidP="00793143">
      <w:pPr>
        <w:pStyle w:val="Heading4"/>
      </w:pPr>
      <w:r>
        <w:t>Setting</w:t>
      </w:r>
      <w:r w:rsidR="00DC31D6">
        <w:t xml:space="preserve"> comparison</w:t>
      </w:r>
      <w:r>
        <w:t xml:space="preserve"> (early vs late administration)</w:t>
      </w:r>
    </w:p>
    <w:p w14:paraId="32D88EA1" w14:textId="6053313A" w:rsidR="00793143" w:rsidRDefault="00793143" w:rsidP="00793143">
      <w:pPr>
        <w:pStyle w:val="BodyText"/>
        <w:numPr>
          <w:ilvl w:val="0"/>
          <w:numId w:val="29"/>
        </w:numPr>
        <w:rPr>
          <w:i/>
          <w:lang w:val="en-GB" w:eastAsia="ja-JP"/>
        </w:rPr>
      </w:pPr>
      <w:r w:rsidRPr="005271C4">
        <w:rPr>
          <w:i/>
          <w:lang w:val="en-GB" w:eastAsia="ja-JP"/>
        </w:rPr>
        <w:t>What is the eviden</w:t>
      </w:r>
      <w:r>
        <w:rPr>
          <w:i/>
          <w:lang w:val="en-GB" w:eastAsia="ja-JP"/>
        </w:rPr>
        <w:t>ce of efficacy/effectiveness</w:t>
      </w:r>
      <w:r w:rsidR="004D0261" w:rsidRPr="004D0261">
        <w:rPr>
          <w:i/>
          <w:lang w:val="en-GB" w:eastAsia="ja-JP"/>
        </w:rPr>
        <w:t xml:space="preserve"> </w:t>
      </w:r>
      <w:r w:rsidR="004D0261">
        <w:rPr>
          <w:i/>
          <w:lang w:val="en-GB" w:eastAsia="ja-JP"/>
        </w:rPr>
        <w:t>and safety</w:t>
      </w:r>
      <w:r>
        <w:rPr>
          <w:i/>
          <w:lang w:val="en-GB" w:eastAsia="ja-JP"/>
        </w:rPr>
        <w:t xml:space="preserve"> of </w:t>
      </w:r>
      <w:r w:rsidR="005346EE">
        <w:rPr>
          <w:i/>
          <w:lang w:val="en-GB" w:eastAsia="ja-JP"/>
        </w:rPr>
        <w:t>community</w:t>
      </w:r>
      <w:r>
        <w:rPr>
          <w:i/>
          <w:lang w:val="en-GB" w:eastAsia="ja-JP"/>
        </w:rPr>
        <w:t xml:space="preserve">-administered </w:t>
      </w:r>
      <w:r w:rsidRPr="005271C4">
        <w:rPr>
          <w:i/>
          <w:lang w:val="en-GB" w:eastAsia="ja-JP"/>
        </w:rPr>
        <w:t xml:space="preserve">C1-INH concentrate </w:t>
      </w:r>
      <w:r>
        <w:rPr>
          <w:i/>
          <w:lang w:val="en-GB" w:eastAsia="ja-JP"/>
        </w:rPr>
        <w:t xml:space="preserve">(Cinryze or Berinert) </w:t>
      </w:r>
      <w:r w:rsidRPr="005271C4">
        <w:rPr>
          <w:i/>
          <w:lang w:val="en-GB" w:eastAsia="ja-JP"/>
        </w:rPr>
        <w:t xml:space="preserve">compared with </w:t>
      </w:r>
      <w:r w:rsidR="005346EE">
        <w:rPr>
          <w:i/>
          <w:lang w:val="en-GB" w:eastAsia="ja-JP"/>
        </w:rPr>
        <w:t>hospital-</w:t>
      </w:r>
      <w:r>
        <w:rPr>
          <w:i/>
          <w:lang w:val="en-GB" w:eastAsia="ja-JP"/>
        </w:rPr>
        <w:t xml:space="preserve">administered C1-INH concentrate </w:t>
      </w:r>
      <w:r w:rsidRPr="005271C4">
        <w:rPr>
          <w:i/>
          <w:lang w:val="en-GB" w:eastAsia="ja-JP"/>
        </w:rPr>
        <w:t xml:space="preserve">for the treatment of acute HAE attacks in </w:t>
      </w:r>
      <w:r>
        <w:rPr>
          <w:i/>
          <w:lang w:val="en-GB" w:eastAsia="ja-JP"/>
        </w:rPr>
        <w:t>patients with HAE type I or II?</w:t>
      </w:r>
    </w:p>
    <w:p w14:paraId="4473D098" w14:textId="27819126" w:rsidR="00793143" w:rsidRDefault="00793143" w:rsidP="00793143">
      <w:pPr>
        <w:pStyle w:val="Heading4"/>
      </w:pPr>
      <w:r>
        <w:t xml:space="preserve">Funding </w:t>
      </w:r>
      <w:r w:rsidR="00D85512">
        <w:t>model</w:t>
      </w:r>
      <w:r w:rsidR="00DC31D6">
        <w:t xml:space="preserve"> comparison</w:t>
      </w:r>
    </w:p>
    <w:p w14:paraId="27ACBC29" w14:textId="6A7BD47F" w:rsidR="004D0261" w:rsidRDefault="00793143" w:rsidP="00793143">
      <w:pPr>
        <w:pStyle w:val="BodyText"/>
        <w:numPr>
          <w:ilvl w:val="0"/>
          <w:numId w:val="29"/>
        </w:numPr>
        <w:rPr>
          <w:i/>
          <w:lang w:val="en-GB" w:eastAsia="ja-JP"/>
        </w:rPr>
      </w:pPr>
      <w:r w:rsidRPr="005271C4">
        <w:rPr>
          <w:i/>
          <w:lang w:val="en-GB" w:eastAsia="ja-JP"/>
        </w:rPr>
        <w:t xml:space="preserve">What </w:t>
      </w:r>
      <w:r w:rsidR="004D0261">
        <w:rPr>
          <w:i/>
          <w:lang w:val="en-GB" w:eastAsia="ja-JP"/>
        </w:rPr>
        <w:t xml:space="preserve">are the likely benefits </w:t>
      </w:r>
      <w:r w:rsidR="0006470A">
        <w:rPr>
          <w:i/>
          <w:lang w:val="en-GB" w:eastAsia="ja-JP"/>
        </w:rPr>
        <w:t xml:space="preserve">to patients or the health care system </w:t>
      </w:r>
      <w:r w:rsidR="004D0261">
        <w:rPr>
          <w:i/>
          <w:lang w:val="en-GB" w:eastAsia="ja-JP"/>
        </w:rPr>
        <w:t xml:space="preserve">of </w:t>
      </w:r>
      <w:r w:rsidR="00D51EEC">
        <w:rPr>
          <w:i/>
          <w:lang w:val="en-GB" w:eastAsia="ja-JP"/>
        </w:rPr>
        <w:t>NPSL</w:t>
      </w:r>
      <w:r w:rsidR="004D0261">
        <w:rPr>
          <w:i/>
          <w:lang w:val="en-GB" w:eastAsia="ja-JP"/>
        </w:rPr>
        <w:t xml:space="preserve">-funded C1-INH concentrate compared with </w:t>
      </w:r>
      <w:r w:rsidR="00D51EEC">
        <w:rPr>
          <w:i/>
          <w:lang w:val="en-GB" w:eastAsia="ja-JP"/>
        </w:rPr>
        <w:t>hospital</w:t>
      </w:r>
      <w:r w:rsidR="004D0261">
        <w:rPr>
          <w:i/>
          <w:lang w:val="en-GB" w:eastAsia="ja-JP"/>
        </w:rPr>
        <w:t>-funded C1-INH concentrate</w:t>
      </w:r>
      <w:r w:rsidR="004D0261" w:rsidRPr="004D0261">
        <w:rPr>
          <w:i/>
          <w:lang w:val="en-GB" w:eastAsia="ja-JP"/>
        </w:rPr>
        <w:t xml:space="preserve"> </w:t>
      </w:r>
      <w:r w:rsidR="004D0261">
        <w:rPr>
          <w:i/>
          <w:lang w:val="en-GB" w:eastAsia="ja-JP"/>
        </w:rPr>
        <w:t>f</w:t>
      </w:r>
      <w:r w:rsidR="004D0261" w:rsidRPr="005271C4">
        <w:rPr>
          <w:i/>
          <w:lang w:val="en-GB" w:eastAsia="ja-JP"/>
        </w:rPr>
        <w:t xml:space="preserve">or the treatment of acute HAE attacks in </w:t>
      </w:r>
      <w:r w:rsidR="004D0261">
        <w:rPr>
          <w:i/>
          <w:lang w:val="en-GB" w:eastAsia="ja-JP"/>
        </w:rPr>
        <w:t>patients with HAE type I or II?</w:t>
      </w:r>
    </w:p>
    <w:p w14:paraId="7F8FF7F7" w14:textId="6B362F62" w:rsidR="00D85512" w:rsidRDefault="004C58E6" w:rsidP="00793143">
      <w:pPr>
        <w:pStyle w:val="BodyText"/>
      </w:pPr>
      <w:r>
        <w:t>The first category</w:t>
      </w:r>
      <w:r w:rsidR="00C01FDA">
        <w:t xml:space="preserve"> of comparison</w:t>
      </w:r>
      <w:r>
        <w:t xml:space="preserve"> (</w:t>
      </w:r>
      <w:r w:rsidR="00D13135">
        <w:t>treatment</w:t>
      </w:r>
      <w:r>
        <w:t>) will examine evidence that compares either one of the C1-INH concentrates with icatibant or compares the two C1-IN</w:t>
      </w:r>
      <w:r w:rsidR="00913A5E">
        <w:t>H concentrates with each other.</w:t>
      </w:r>
    </w:p>
    <w:p w14:paraId="7CF9BEDC" w14:textId="3933CF0F" w:rsidR="004C58E6" w:rsidRDefault="004C58E6" w:rsidP="00793143">
      <w:pPr>
        <w:pStyle w:val="BodyText"/>
      </w:pPr>
      <w:r>
        <w:t>The second</w:t>
      </w:r>
      <w:r w:rsidR="00D13135">
        <w:t xml:space="preserve"> </w:t>
      </w:r>
      <w:r w:rsidR="00DC31D6">
        <w:t>comparison</w:t>
      </w:r>
      <w:r w:rsidR="00D13135">
        <w:t xml:space="preserve"> (setting</w:t>
      </w:r>
      <w:r>
        <w:t xml:space="preserve">) will examine any </w:t>
      </w:r>
      <w:r w:rsidR="00D85512">
        <w:t>evidence (direct or indirect)</w:t>
      </w:r>
      <w:r>
        <w:t xml:space="preserve"> </w:t>
      </w:r>
      <w:r w:rsidR="00D85512">
        <w:t>for</w:t>
      </w:r>
      <w:r>
        <w:t xml:space="preserve"> early administration in the community setting </w:t>
      </w:r>
      <w:r w:rsidR="00D85512">
        <w:t xml:space="preserve">compared </w:t>
      </w:r>
      <w:r>
        <w:t xml:space="preserve">with later administration in the hospital setting. </w:t>
      </w:r>
    </w:p>
    <w:p w14:paraId="19EC6DE3" w14:textId="4648C2F0" w:rsidR="00D85512" w:rsidRDefault="004C58E6" w:rsidP="00D85512">
      <w:pPr>
        <w:pStyle w:val="BodyText"/>
        <w:keepNext/>
      </w:pPr>
      <w:r>
        <w:t>The thi</w:t>
      </w:r>
      <w:r w:rsidR="00497107">
        <w:t xml:space="preserve">rd </w:t>
      </w:r>
      <w:r w:rsidR="00DC31D6">
        <w:t>comparison</w:t>
      </w:r>
      <w:r>
        <w:t xml:space="preserve"> </w:t>
      </w:r>
      <w:r w:rsidR="00D13135">
        <w:t>(</w:t>
      </w:r>
      <w:r>
        <w:t xml:space="preserve">funding </w:t>
      </w:r>
      <w:r w:rsidR="00D13135">
        <w:t>model</w:t>
      </w:r>
      <w:r>
        <w:t xml:space="preserve">) will examine the impact of </w:t>
      </w:r>
      <w:r w:rsidR="00C01FDA">
        <w:t xml:space="preserve">the resultant </w:t>
      </w:r>
      <w:r>
        <w:t>broader accessibility of the int</w:t>
      </w:r>
      <w:r w:rsidR="00913A5E">
        <w:t>ervention if listed on the NPSL</w:t>
      </w:r>
      <w:r w:rsidR="00497107">
        <w:t>, taking</w:t>
      </w:r>
      <w:r w:rsidR="004D1969">
        <w:t xml:space="preserve"> into account the impact of equitable access, increased availability, convenience and adherence</w:t>
      </w:r>
      <w:r w:rsidR="00D85512">
        <w:t>.</w:t>
      </w:r>
    </w:p>
    <w:p w14:paraId="24189B39" w14:textId="762F6ED5" w:rsidR="00696070" w:rsidRDefault="00696070" w:rsidP="0045141F">
      <w:pPr>
        <w:pStyle w:val="BodyText"/>
      </w:pPr>
    </w:p>
    <w:p w14:paraId="4D73F64F" w14:textId="453EAAA9" w:rsidR="004309D9" w:rsidRDefault="004309D9" w:rsidP="004309D9">
      <w:pPr>
        <w:pStyle w:val="Caption"/>
        <w:rPr>
          <w:lang w:val="en-GB" w:eastAsia="ja-JP"/>
        </w:rPr>
      </w:pPr>
      <w:bookmarkStart w:id="99" w:name="_Ref395886523"/>
      <w:r>
        <w:lastRenderedPageBreak/>
        <w:t xml:space="preserve">Table </w:t>
      </w:r>
      <w:r w:rsidR="00EA5D58">
        <w:fldChar w:fldCharType="begin"/>
      </w:r>
      <w:r w:rsidR="00EA5D58">
        <w:instrText xml:space="preserve"> SEQ Table \* ARABIC </w:instrText>
      </w:r>
      <w:r w:rsidR="00EA5D58">
        <w:fldChar w:fldCharType="separate"/>
      </w:r>
      <w:r w:rsidR="00847595">
        <w:rPr>
          <w:noProof/>
        </w:rPr>
        <w:t>11</w:t>
      </w:r>
      <w:r w:rsidR="00EA5D58">
        <w:rPr>
          <w:noProof/>
        </w:rPr>
        <w:fldChar w:fldCharType="end"/>
      </w:r>
      <w:bookmarkEnd w:id="99"/>
      <w:r>
        <w:tab/>
      </w:r>
      <w:r w:rsidRPr="00C77F93">
        <w:t xml:space="preserve">Summary of PICO </w:t>
      </w:r>
      <w:r>
        <w:t>for</w:t>
      </w:r>
      <w:r w:rsidRPr="00C77F93">
        <w:t xml:space="preserve"> </w:t>
      </w:r>
      <w:r>
        <w:t xml:space="preserve">assessment of C1-INH concentrate </w:t>
      </w:r>
      <w:r w:rsidR="0006470A" w:rsidRPr="0006470A">
        <w:t>(Cinryze or Berinert)</w:t>
      </w:r>
      <w:r w:rsidR="0006470A">
        <w:t xml:space="preserve"> </w:t>
      </w:r>
      <w:r>
        <w:t>for the treatment of acute HAE attacks</w:t>
      </w:r>
    </w:p>
    <w:tbl>
      <w:tblPr>
        <w:tblStyle w:val="TableGrid"/>
        <w:tblW w:w="0" w:type="auto"/>
        <w:tblLook w:val="04A0" w:firstRow="1" w:lastRow="0" w:firstColumn="1" w:lastColumn="0" w:noHBand="0" w:noVBand="1"/>
        <w:tblCaption w:val="Table 11 - Summary of PICO for assessment of C1-INH concentrate (Cinryze or Berinert) for the treatment of acute HAE attacks"/>
        <w:tblDescription w:val="A table summarising the population, intervention, comparator and outcomes for acute HAE attacks using three levels of comparison: treatment, setting and funding model."/>
      </w:tblPr>
      <w:tblGrid>
        <w:gridCol w:w="1555"/>
        <w:gridCol w:w="2126"/>
        <w:gridCol w:w="2551"/>
        <w:gridCol w:w="2784"/>
      </w:tblGrid>
      <w:tr w:rsidR="004309D9" w:rsidRPr="00C77F93" w14:paraId="4071B084" w14:textId="77777777" w:rsidTr="004A471B">
        <w:trPr>
          <w:tblHeader/>
        </w:trPr>
        <w:tc>
          <w:tcPr>
            <w:tcW w:w="1555" w:type="dxa"/>
          </w:tcPr>
          <w:p w14:paraId="74BD1C9F" w14:textId="77777777" w:rsidR="004309D9" w:rsidRPr="00C77F93" w:rsidRDefault="004309D9" w:rsidP="005271C4">
            <w:pPr>
              <w:pStyle w:val="TableHeading"/>
            </w:pPr>
            <w:r>
              <w:t>Population</w:t>
            </w:r>
          </w:p>
        </w:tc>
        <w:tc>
          <w:tcPr>
            <w:tcW w:w="2126" w:type="dxa"/>
          </w:tcPr>
          <w:p w14:paraId="15FFFD7F" w14:textId="0660BB50" w:rsidR="004309D9" w:rsidRPr="00C77F93" w:rsidRDefault="004309D9" w:rsidP="00DC31D6">
            <w:pPr>
              <w:pStyle w:val="TableHeading"/>
            </w:pPr>
            <w:r>
              <w:t>Intervention</w:t>
            </w:r>
          </w:p>
        </w:tc>
        <w:tc>
          <w:tcPr>
            <w:tcW w:w="2551" w:type="dxa"/>
          </w:tcPr>
          <w:p w14:paraId="18AC9CD3" w14:textId="172F230F" w:rsidR="004309D9" w:rsidRPr="00C77F93" w:rsidRDefault="004309D9" w:rsidP="005271C4">
            <w:pPr>
              <w:pStyle w:val="TableHeading"/>
            </w:pPr>
            <w:r>
              <w:t>Comparator</w:t>
            </w:r>
          </w:p>
        </w:tc>
        <w:tc>
          <w:tcPr>
            <w:tcW w:w="2784" w:type="dxa"/>
          </w:tcPr>
          <w:p w14:paraId="3108FA28" w14:textId="77777777" w:rsidR="004309D9" w:rsidRPr="00C77F93" w:rsidRDefault="004309D9" w:rsidP="005271C4">
            <w:pPr>
              <w:pStyle w:val="TableHeading"/>
            </w:pPr>
            <w:r>
              <w:t>Outcomes</w:t>
            </w:r>
          </w:p>
        </w:tc>
      </w:tr>
      <w:tr w:rsidR="004309D9" w:rsidRPr="00C77F93" w14:paraId="630472E1" w14:textId="77777777" w:rsidTr="0006470A">
        <w:tc>
          <w:tcPr>
            <w:tcW w:w="1555" w:type="dxa"/>
          </w:tcPr>
          <w:p w14:paraId="648D8594" w14:textId="191AB739" w:rsidR="004309D9" w:rsidRPr="00C77F93" w:rsidRDefault="00C91BCA" w:rsidP="005271C4">
            <w:pPr>
              <w:pStyle w:val="TableText"/>
            </w:pPr>
            <w:r>
              <w:t>Patients</w:t>
            </w:r>
            <w:r w:rsidR="004309D9">
              <w:t xml:space="preserve"> with confirmed </w:t>
            </w:r>
            <w:r w:rsidR="003F0506" w:rsidRPr="003F0506">
              <w:rPr>
                <w:lang w:val="en-GB"/>
              </w:rPr>
              <w:t>HAE types I or II</w:t>
            </w:r>
            <w:r w:rsidR="004309D9">
              <w:t xml:space="preserve"> and an acute HAE attack</w:t>
            </w:r>
          </w:p>
        </w:tc>
        <w:tc>
          <w:tcPr>
            <w:tcW w:w="2126" w:type="dxa"/>
          </w:tcPr>
          <w:p w14:paraId="112AA103" w14:textId="3C362045" w:rsidR="00850887" w:rsidRPr="0056760A" w:rsidRDefault="00CC25A3" w:rsidP="000917EF">
            <w:pPr>
              <w:pStyle w:val="TableTextspaceafter"/>
              <w:rPr>
                <w:u w:val="single"/>
              </w:rPr>
            </w:pPr>
            <w:r>
              <w:rPr>
                <w:u w:val="single"/>
              </w:rPr>
              <w:t>1. Treatment</w:t>
            </w:r>
          </w:p>
          <w:p w14:paraId="543E7815" w14:textId="47DB4A77" w:rsidR="004309D9" w:rsidRDefault="004309D9" w:rsidP="005271C4">
            <w:pPr>
              <w:pStyle w:val="TableText"/>
              <w:rPr>
                <w:i/>
                <w:lang w:val="en-GB"/>
              </w:rPr>
            </w:pPr>
            <w:r>
              <w:t>C1-INH concentrate</w:t>
            </w:r>
          </w:p>
          <w:p w14:paraId="18FA842E" w14:textId="77777777" w:rsidR="00731616" w:rsidRDefault="00731616" w:rsidP="009612D1">
            <w:pPr>
              <w:pStyle w:val="TableTextspaceafter"/>
            </w:pPr>
          </w:p>
          <w:p w14:paraId="231FE7D0" w14:textId="77777777" w:rsidR="003673AA" w:rsidRDefault="003673AA" w:rsidP="009612D1">
            <w:pPr>
              <w:pStyle w:val="TableTextspaceafter"/>
            </w:pPr>
          </w:p>
          <w:p w14:paraId="6FDAD3CA" w14:textId="5D0263E2" w:rsidR="009612D1" w:rsidRPr="0056760A" w:rsidRDefault="000917EF" w:rsidP="009612D1">
            <w:pPr>
              <w:pStyle w:val="TableTextspaceafter"/>
              <w:rPr>
                <w:u w:val="single"/>
              </w:rPr>
            </w:pPr>
            <w:r w:rsidRPr="0056760A">
              <w:rPr>
                <w:u w:val="single"/>
              </w:rPr>
              <w:t xml:space="preserve">2. </w:t>
            </w:r>
            <w:r w:rsidR="00CC25A3">
              <w:rPr>
                <w:u w:val="single"/>
              </w:rPr>
              <w:t>Setting</w:t>
            </w:r>
          </w:p>
          <w:p w14:paraId="6197BED3" w14:textId="06BF2DDC" w:rsidR="009612D1" w:rsidRDefault="00CD7CF0" w:rsidP="003673AA">
            <w:pPr>
              <w:pStyle w:val="TableTextspaceafter"/>
            </w:pPr>
            <w:r>
              <w:t>Community</w:t>
            </w:r>
            <w:r w:rsidR="009612D1" w:rsidRPr="00C91BCA">
              <w:t>-</w:t>
            </w:r>
            <w:r w:rsidR="009612D1">
              <w:t>administered</w:t>
            </w:r>
            <w:r w:rsidR="009612D1" w:rsidRPr="00C91BCA">
              <w:t xml:space="preserve"> </w:t>
            </w:r>
            <w:r w:rsidR="003673AA">
              <w:br/>
            </w:r>
            <w:r w:rsidR="009612D1" w:rsidRPr="00C91BCA">
              <w:t>C1-INH concentrate</w:t>
            </w:r>
            <w:r w:rsidR="0006470A">
              <w:t xml:space="preserve"> </w:t>
            </w:r>
          </w:p>
          <w:p w14:paraId="05DDBD1F" w14:textId="73DD3CB9" w:rsidR="004309D9" w:rsidRPr="0056760A" w:rsidRDefault="009612D1" w:rsidP="009612D1">
            <w:pPr>
              <w:pStyle w:val="TableTextspaceafter"/>
              <w:rPr>
                <w:u w:val="single"/>
              </w:rPr>
            </w:pPr>
            <w:r w:rsidRPr="0056760A">
              <w:rPr>
                <w:u w:val="single"/>
              </w:rPr>
              <w:t xml:space="preserve">3. Funding </w:t>
            </w:r>
            <w:r w:rsidR="00CC25A3">
              <w:rPr>
                <w:u w:val="single"/>
              </w:rPr>
              <w:t>model</w:t>
            </w:r>
          </w:p>
          <w:p w14:paraId="285BDBE5" w14:textId="4F0333CD" w:rsidR="009612D1" w:rsidRPr="009612D1" w:rsidRDefault="00CD7CF0" w:rsidP="009612D1">
            <w:pPr>
              <w:pStyle w:val="TableTextspaceafter"/>
            </w:pPr>
            <w:r>
              <w:t>NPS</w:t>
            </w:r>
            <w:r w:rsidR="007C12CD">
              <w:t>L</w:t>
            </w:r>
            <w:r>
              <w:t xml:space="preserve"> </w:t>
            </w:r>
            <w:r w:rsidR="009612D1">
              <w:t>-</w:t>
            </w:r>
            <w:r w:rsidR="009612D1" w:rsidRPr="009612D1">
              <w:t xml:space="preserve">funded </w:t>
            </w:r>
            <w:r w:rsidR="003673AA">
              <w:br/>
            </w:r>
            <w:r w:rsidR="009612D1" w:rsidRPr="009612D1">
              <w:t>C1-INH concentrate</w:t>
            </w:r>
          </w:p>
        </w:tc>
        <w:tc>
          <w:tcPr>
            <w:tcW w:w="2551" w:type="dxa"/>
          </w:tcPr>
          <w:p w14:paraId="74CBC461" w14:textId="7E1ABA20" w:rsidR="00850887" w:rsidRPr="0056760A" w:rsidRDefault="00CC25A3" w:rsidP="000917EF">
            <w:pPr>
              <w:pStyle w:val="TableTextspaceafter"/>
              <w:rPr>
                <w:u w:val="single"/>
              </w:rPr>
            </w:pPr>
            <w:r>
              <w:rPr>
                <w:u w:val="single"/>
              </w:rPr>
              <w:t>1. Treatment</w:t>
            </w:r>
          </w:p>
          <w:p w14:paraId="7FCEA236" w14:textId="68B62272" w:rsidR="00731616" w:rsidRDefault="00731616" w:rsidP="003673AA">
            <w:pPr>
              <w:pStyle w:val="TableTextspaceafter"/>
            </w:pPr>
            <w:r w:rsidRPr="00731616">
              <w:rPr>
                <w:b/>
              </w:rPr>
              <w:t>a.</w:t>
            </w:r>
            <w:r>
              <w:t xml:space="preserve"> Icatibant; or</w:t>
            </w:r>
          </w:p>
          <w:p w14:paraId="30F3CD61" w14:textId="45A8EDB6" w:rsidR="004309D9" w:rsidRDefault="00731616" w:rsidP="0006470A">
            <w:pPr>
              <w:pStyle w:val="TableTextspaceafter"/>
              <w:ind w:left="175" w:hanging="175"/>
              <w:rPr>
                <w:vertAlign w:val="superscript"/>
              </w:rPr>
            </w:pPr>
            <w:r w:rsidRPr="00731616">
              <w:rPr>
                <w:b/>
              </w:rPr>
              <w:t xml:space="preserve">b. </w:t>
            </w:r>
            <w:r>
              <w:t>the other C1-INH concentr</w:t>
            </w:r>
            <w:r w:rsidR="000917EF">
              <w:t>ate (</w:t>
            </w:r>
            <w:r>
              <w:t>i.e.</w:t>
            </w:r>
            <w:r w:rsidR="000917EF">
              <w:t>Cinryze vs Berinert)</w:t>
            </w:r>
          </w:p>
          <w:p w14:paraId="141ABEE5" w14:textId="4CDF6C01" w:rsidR="00C91BCA" w:rsidRPr="0056760A" w:rsidRDefault="009612D1" w:rsidP="009612D1">
            <w:pPr>
              <w:pStyle w:val="TableTextspaceafter"/>
              <w:rPr>
                <w:u w:val="single"/>
              </w:rPr>
            </w:pPr>
            <w:r w:rsidRPr="0056760A">
              <w:rPr>
                <w:u w:val="single"/>
              </w:rPr>
              <w:t xml:space="preserve">2. </w:t>
            </w:r>
            <w:r w:rsidR="00CC25A3">
              <w:rPr>
                <w:u w:val="single"/>
              </w:rPr>
              <w:t>Setting</w:t>
            </w:r>
          </w:p>
          <w:p w14:paraId="2F631307" w14:textId="0BA6058F" w:rsidR="009612D1" w:rsidRDefault="00CD7CF0" w:rsidP="009612D1">
            <w:pPr>
              <w:pStyle w:val="TableTextspaceafter"/>
            </w:pPr>
            <w:r w:rsidRPr="00C91BCA">
              <w:t>Hospital</w:t>
            </w:r>
            <w:r w:rsidR="0006470A">
              <w:t xml:space="preserve">-administered </w:t>
            </w:r>
            <w:r w:rsidR="003673AA">
              <w:br/>
            </w:r>
            <w:r w:rsidR="009612D1">
              <w:t>C1-INH concentrate</w:t>
            </w:r>
            <w:r w:rsidR="009612D1">
              <w:rPr>
                <w:rStyle w:val="FootnoteReference"/>
              </w:rPr>
              <w:footnoteReference w:id="18"/>
            </w:r>
          </w:p>
          <w:p w14:paraId="5D5950CA" w14:textId="6060623A" w:rsidR="009612D1" w:rsidRPr="0056760A" w:rsidRDefault="009612D1" w:rsidP="009612D1">
            <w:pPr>
              <w:pStyle w:val="TableTextspaceafter"/>
              <w:rPr>
                <w:u w:val="single"/>
              </w:rPr>
            </w:pPr>
            <w:r w:rsidRPr="0056760A">
              <w:rPr>
                <w:u w:val="single"/>
              </w:rPr>
              <w:t>3. Funding</w:t>
            </w:r>
            <w:r w:rsidR="00CC25A3">
              <w:rPr>
                <w:u w:val="single"/>
              </w:rPr>
              <w:t xml:space="preserve"> model</w:t>
            </w:r>
          </w:p>
          <w:p w14:paraId="670FADBD" w14:textId="2E9A0B82" w:rsidR="009612D1" w:rsidRPr="009612D1" w:rsidRDefault="00CD7CF0" w:rsidP="009612D1">
            <w:pPr>
              <w:pStyle w:val="TableTextspaceafter"/>
            </w:pPr>
            <w:r>
              <w:t>Hospital</w:t>
            </w:r>
            <w:r w:rsidR="009612D1" w:rsidRPr="009612D1">
              <w:t xml:space="preserve">-funded </w:t>
            </w:r>
            <w:r w:rsidR="003673AA">
              <w:br/>
            </w:r>
            <w:r w:rsidR="009612D1" w:rsidRPr="009612D1">
              <w:t>C1-INH concentrate</w:t>
            </w:r>
          </w:p>
        </w:tc>
        <w:tc>
          <w:tcPr>
            <w:tcW w:w="2784" w:type="dxa"/>
          </w:tcPr>
          <w:p w14:paraId="5F892BC9" w14:textId="77777777" w:rsidR="004309D9" w:rsidRPr="007D362C" w:rsidRDefault="004309D9" w:rsidP="005271C4">
            <w:pPr>
              <w:pStyle w:val="TableText"/>
              <w:rPr>
                <w:u w:val="single"/>
              </w:rPr>
            </w:pPr>
            <w:r>
              <w:rPr>
                <w:u w:val="single"/>
              </w:rPr>
              <w:t>Efficacy outcomes</w:t>
            </w:r>
          </w:p>
          <w:p w14:paraId="2C61AF16" w14:textId="77777777" w:rsidR="004309D9" w:rsidRDefault="004309D9" w:rsidP="005271C4">
            <w:pPr>
              <w:pStyle w:val="TableBullet"/>
            </w:pPr>
            <w:r>
              <w:t>median time from treatment to onset of symptom relief</w:t>
            </w:r>
          </w:p>
          <w:p w14:paraId="3A86BC81" w14:textId="08FFDFBB" w:rsidR="004309D9" w:rsidRDefault="004309D9" w:rsidP="005271C4">
            <w:pPr>
              <w:pStyle w:val="TableBullet"/>
            </w:pPr>
            <w:r>
              <w:t>proportion of patients achieving onset of symptom relief within 4 hours of treatment</w:t>
            </w:r>
          </w:p>
          <w:p w14:paraId="5DFA6EB6" w14:textId="77777777" w:rsidR="004309D9" w:rsidRDefault="004309D9" w:rsidP="005271C4">
            <w:pPr>
              <w:pStyle w:val="TableBullet"/>
            </w:pPr>
            <w:r>
              <w:t>median time to complete resolution of attack</w:t>
            </w:r>
          </w:p>
          <w:p w14:paraId="6B7631C1" w14:textId="77777777" w:rsidR="004309D9" w:rsidRDefault="004309D9" w:rsidP="005271C4">
            <w:pPr>
              <w:pStyle w:val="TableBullet"/>
            </w:pPr>
            <w:r>
              <w:t>use of rescue medication</w:t>
            </w:r>
            <w:r w:rsidRPr="00AB51DA">
              <w:rPr>
                <w:vertAlign w:val="superscript"/>
              </w:rPr>
              <w:t>a</w:t>
            </w:r>
          </w:p>
          <w:p w14:paraId="305F99B2" w14:textId="77777777" w:rsidR="004309D9" w:rsidRDefault="004309D9" w:rsidP="005271C4">
            <w:pPr>
              <w:pStyle w:val="TableBulletspaceafter"/>
            </w:pPr>
            <w:r>
              <w:t>QoL</w:t>
            </w:r>
          </w:p>
          <w:p w14:paraId="5E9820BF" w14:textId="77777777" w:rsidR="004309D9" w:rsidRPr="007D362C" w:rsidRDefault="004309D9" w:rsidP="005271C4">
            <w:pPr>
              <w:pStyle w:val="TableText"/>
              <w:rPr>
                <w:u w:val="single"/>
              </w:rPr>
            </w:pPr>
            <w:r>
              <w:rPr>
                <w:u w:val="single"/>
              </w:rPr>
              <w:t>Safety outcomes</w:t>
            </w:r>
          </w:p>
          <w:p w14:paraId="0D2D2C7C" w14:textId="77777777" w:rsidR="004309D9" w:rsidRDefault="004309D9" w:rsidP="005271C4">
            <w:pPr>
              <w:pStyle w:val="TableBullet"/>
            </w:pPr>
            <w:r>
              <w:t>AEs/SAEs</w:t>
            </w:r>
          </w:p>
          <w:p w14:paraId="19105682" w14:textId="77777777" w:rsidR="004309D9" w:rsidRDefault="004309D9" w:rsidP="005271C4">
            <w:pPr>
              <w:pStyle w:val="TableBullet"/>
            </w:pPr>
            <w:r>
              <w:t>administration-site reactions</w:t>
            </w:r>
          </w:p>
          <w:p w14:paraId="22D37B51" w14:textId="77777777" w:rsidR="004309D9" w:rsidRDefault="004309D9" w:rsidP="005271C4">
            <w:pPr>
              <w:pStyle w:val="TableBullet"/>
            </w:pPr>
            <w:r>
              <w:t>antibodies to study drug</w:t>
            </w:r>
          </w:p>
          <w:p w14:paraId="262E8DD9" w14:textId="77777777" w:rsidR="004309D9" w:rsidRPr="00C77F93" w:rsidRDefault="004309D9" w:rsidP="005271C4">
            <w:pPr>
              <w:pStyle w:val="TableBullet"/>
            </w:pPr>
            <w:r>
              <w:t>virology</w:t>
            </w:r>
          </w:p>
        </w:tc>
      </w:tr>
    </w:tbl>
    <w:p w14:paraId="3CB812A8" w14:textId="4C2A6823" w:rsidR="004309D9" w:rsidRDefault="004309D9" w:rsidP="00CE24EF">
      <w:pPr>
        <w:pStyle w:val="TableFootnotes1"/>
        <w:rPr>
          <w:lang w:val="en-GB" w:eastAsia="ja-JP"/>
        </w:rPr>
      </w:pPr>
      <w:r w:rsidRPr="000A197E">
        <w:rPr>
          <w:b/>
          <w:lang w:val="en-GB" w:eastAsia="ja-JP"/>
        </w:rPr>
        <w:t xml:space="preserve">Abbreviations: </w:t>
      </w:r>
      <w:r>
        <w:rPr>
          <w:lang w:val="en-GB" w:eastAsia="ja-JP"/>
        </w:rPr>
        <w:t xml:space="preserve">AE, adverse event; C1-INH, C1 esterase inhibitor concentrate; HAE, hereditary angioedema; </w:t>
      </w:r>
      <w:r w:rsidR="009612D1">
        <w:rPr>
          <w:lang w:val="en-GB" w:eastAsia="ja-JP"/>
        </w:rPr>
        <w:t xml:space="preserve">NPSL, National Products and Services List; </w:t>
      </w:r>
      <w:r>
        <w:rPr>
          <w:lang w:val="en-GB" w:eastAsia="ja-JP"/>
        </w:rPr>
        <w:t>QoL, quality of life; SAE, serious adverse event</w:t>
      </w:r>
    </w:p>
    <w:p w14:paraId="7A0524C7" w14:textId="77777777" w:rsidR="00CE24EF" w:rsidRDefault="00CE24EF" w:rsidP="00CE24EF">
      <w:pPr>
        <w:pStyle w:val="LastTableFootnote"/>
      </w:pPr>
      <w:r w:rsidRPr="00AB51DA">
        <w:rPr>
          <w:b/>
        </w:rPr>
        <w:t>a</w:t>
      </w:r>
      <w:r>
        <w:t xml:space="preserve"> rescue medication can be a second dose of study drug or a first dose of an alternative treatment</w:t>
      </w:r>
    </w:p>
    <w:p w14:paraId="47A16CE0" w14:textId="63292931" w:rsidR="000C558E" w:rsidRDefault="000C558E" w:rsidP="000C558E">
      <w:pPr>
        <w:pStyle w:val="Heading2"/>
      </w:pPr>
      <w:bookmarkStart w:id="100" w:name="_Toc400097972"/>
      <w:bookmarkStart w:id="101" w:name="_Ref395886953"/>
      <w:r>
        <w:t>PICO for prophylaxis</w:t>
      </w:r>
      <w:r w:rsidR="000D2B08">
        <w:t xml:space="preserve"> with C1-INH concentrate</w:t>
      </w:r>
      <w:bookmarkEnd w:id="100"/>
    </w:p>
    <w:p w14:paraId="7CB0869A" w14:textId="633BA1C3" w:rsidR="004309D9" w:rsidRDefault="00F74485" w:rsidP="004309D9">
      <w:pPr>
        <w:pStyle w:val="BodyText"/>
      </w:pPr>
      <w:r>
        <w:fldChar w:fldCharType="begin"/>
      </w:r>
      <w:r>
        <w:instrText xml:space="preserve"> REF _Ref395891300 \h </w:instrText>
      </w:r>
      <w:r w:rsidR="00D76388">
        <w:instrText xml:space="preserve"> \* MERGEFORMAT </w:instrText>
      </w:r>
      <w:r>
        <w:fldChar w:fldCharType="separate"/>
      </w:r>
      <w:r w:rsidR="00847595">
        <w:t xml:space="preserve">Table </w:t>
      </w:r>
      <w:r w:rsidR="00847595">
        <w:rPr>
          <w:noProof/>
        </w:rPr>
        <w:t>12</w:t>
      </w:r>
      <w:r>
        <w:fldChar w:fldCharType="end"/>
      </w:r>
      <w:r>
        <w:t xml:space="preserve"> and</w:t>
      </w:r>
      <w:r w:rsidR="00D76388">
        <w:t xml:space="preserve"> </w:t>
      </w:r>
      <w:r w:rsidR="00D76388">
        <w:fldChar w:fldCharType="begin"/>
      </w:r>
      <w:r w:rsidR="00D76388">
        <w:instrText xml:space="preserve"> REF _Ref400010048 \h </w:instrText>
      </w:r>
      <w:r w:rsidR="00D76388">
        <w:fldChar w:fldCharType="separate"/>
      </w:r>
      <w:r w:rsidR="00847595">
        <w:t xml:space="preserve">Table </w:t>
      </w:r>
      <w:r w:rsidR="00847595">
        <w:rPr>
          <w:noProof/>
        </w:rPr>
        <w:t>13</w:t>
      </w:r>
      <w:r w:rsidR="00D76388">
        <w:fldChar w:fldCharType="end"/>
      </w:r>
      <w:r w:rsidR="00D76388">
        <w:t xml:space="preserve"> </w:t>
      </w:r>
      <w:r w:rsidR="004309D9">
        <w:t>show the PICO criteria for the assessment of C1-INH</w:t>
      </w:r>
      <w:r w:rsidR="008A4B35">
        <w:t xml:space="preserve"> concentrate</w:t>
      </w:r>
      <w:r w:rsidR="004309D9">
        <w:t xml:space="preserve"> for pre-procedure and routine prophylaxis, respectively. For the prophylaxis indications, the frequency of attacks is relevant. Although this outcome may be less impacted by administration setting than the speed of symptom resolution during an attack, the evidence will be considered for each setting separately, where available.</w:t>
      </w:r>
    </w:p>
    <w:p w14:paraId="1B28BE67" w14:textId="0CDDFC58" w:rsidR="004309D9" w:rsidRDefault="004309D9" w:rsidP="004309D9">
      <w:pPr>
        <w:pStyle w:val="BodyText"/>
      </w:pPr>
      <w:r>
        <w:t>Quality of life (QoL) is a relevant outcome for all three indication</w:t>
      </w:r>
      <w:r w:rsidR="000C558E">
        <w:t>s</w:t>
      </w:r>
      <w:r>
        <w:t>, particularly for routine prophylaxis which has the potential to reduce the overall number of attacks a patient will experience. The use of rescue medication is a relevant indicator of the success of treatment for all three indications.</w:t>
      </w:r>
    </w:p>
    <w:p w14:paraId="5AAFF8C9" w14:textId="2B17CA6C" w:rsidR="000C558E" w:rsidRDefault="000C558E" w:rsidP="000C558E">
      <w:pPr>
        <w:pStyle w:val="Heading3"/>
      </w:pPr>
      <w:bookmarkStart w:id="102" w:name="_Toc400097973"/>
      <w:r>
        <w:t>PICO for pre-procedure prophylaxis</w:t>
      </w:r>
      <w:bookmarkEnd w:id="102"/>
    </w:p>
    <w:p w14:paraId="051D4406" w14:textId="3A3E81E0" w:rsidR="004309D9" w:rsidRDefault="004309D9" w:rsidP="00A31AAB">
      <w:pPr>
        <w:pStyle w:val="BodyText"/>
        <w:keepNext/>
        <w:rPr>
          <w:lang w:val="en-GB" w:eastAsia="ja-JP"/>
        </w:rPr>
      </w:pPr>
      <w:r w:rsidRPr="0008510C">
        <w:rPr>
          <w:lang w:val="en-GB" w:eastAsia="ja-JP"/>
        </w:rPr>
        <w:t>The research questions to be addressed as part of the review of the evidence</w:t>
      </w:r>
      <w:r>
        <w:rPr>
          <w:lang w:val="en-GB" w:eastAsia="ja-JP"/>
        </w:rPr>
        <w:t xml:space="preserve"> for C1-INH concentrate for pre-procedure prophylaxis</w:t>
      </w:r>
      <w:r w:rsidRPr="0008510C">
        <w:rPr>
          <w:lang w:val="en-GB" w:eastAsia="ja-JP"/>
        </w:rPr>
        <w:t xml:space="preserve"> </w:t>
      </w:r>
      <w:r w:rsidR="00E826B2">
        <w:rPr>
          <w:lang w:val="en-GB" w:eastAsia="ja-JP"/>
        </w:rPr>
        <w:t>fall into the same three comparison categories, although the</w:t>
      </w:r>
      <w:r w:rsidR="00AE13A6">
        <w:rPr>
          <w:lang w:val="en-GB" w:eastAsia="ja-JP"/>
        </w:rPr>
        <w:t xml:space="preserve"> relevance of the</w:t>
      </w:r>
      <w:r w:rsidR="00E826B2">
        <w:rPr>
          <w:lang w:val="en-GB" w:eastAsia="ja-JP"/>
        </w:rPr>
        <w:t xml:space="preserve"> setting category is </w:t>
      </w:r>
      <w:r w:rsidR="00AE13A6">
        <w:rPr>
          <w:lang w:val="en-GB" w:eastAsia="ja-JP"/>
        </w:rPr>
        <w:t xml:space="preserve">simply the setting itself, </w:t>
      </w:r>
      <w:r w:rsidR="00E826B2">
        <w:rPr>
          <w:lang w:val="en-GB" w:eastAsia="ja-JP"/>
        </w:rPr>
        <w:t>not the timing of administration</w:t>
      </w:r>
      <w:r w:rsidR="00AE13A6">
        <w:rPr>
          <w:lang w:val="en-GB" w:eastAsia="ja-JP"/>
        </w:rPr>
        <w:t xml:space="preserve"> as a result of the setting. The research questions </w:t>
      </w:r>
      <w:r>
        <w:rPr>
          <w:lang w:val="en-GB" w:eastAsia="ja-JP"/>
        </w:rPr>
        <w:t>are</w:t>
      </w:r>
      <w:r w:rsidRPr="0008510C">
        <w:rPr>
          <w:lang w:val="en-GB" w:eastAsia="ja-JP"/>
        </w:rPr>
        <w:t>:</w:t>
      </w:r>
    </w:p>
    <w:p w14:paraId="77757367" w14:textId="12F9EBE3" w:rsidR="00A61DDF" w:rsidRDefault="00A61DDF" w:rsidP="00A31AAB">
      <w:pPr>
        <w:pStyle w:val="Heading4"/>
      </w:pPr>
      <w:r>
        <w:t>Treatment</w:t>
      </w:r>
      <w:r w:rsidR="00DC31D6">
        <w:t xml:space="preserve"> comparison</w:t>
      </w:r>
    </w:p>
    <w:p w14:paraId="6FD93EDC" w14:textId="55336563" w:rsidR="00A61DDF" w:rsidRDefault="00EE77A6" w:rsidP="00D47FA8">
      <w:pPr>
        <w:pStyle w:val="BodyText"/>
        <w:numPr>
          <w:ilvl w:val="0"/>
          <w:numId w:val="33"/>
        </w:numPr>
        <w:rPr>
          <w:i/>
          <w:lang w:val="en-GB" w:eastAsia="ja-JP"/>
        </w:rPr>
      </w:pPr>
      <w:r>
        <w:rPr>
          <w:b/>
          <w:i/>
          <w:lang w:val="en-GB" w:eastAsia="ja-JP"/>
        </w:rPr>
        <w:t xml:space="preserve">a) </w:t>
      </w:r>
      <w:r w:rsidR="00A61DDF" w:rsidRPr="005271C4">
        <w:rPr>
          <w:i/>
          <w:lang w:val="en-GB" w:eastAsia="ja-JP"/>
        </w:rPr>
        <w:t>What is the eviden</w:t>
      </w:r>
      <w:r w:rsidR="00A61DDF">
        <w:rPr>
          <w:i/>
          <w:lang w:val="en-GB" w:eastAsia="ja-JP"/>
        </w:rPr>
        <w:t xml:space="preserve">ce of efficacy/effectiveness and safety of </w:t>
      </w:r>
      <w:r w:rsidR="00A61DDF" w:rsidRPr="005271C4">
        <w:rPr>
          <w:i/>
          <w:lang w:val="en-GB" w:eastAsia="ja-JP"/>
        </w:rPr>
        <w:t xml:space="preserve">C1-INH concentrate </w:t>
      </w:r>
      <w:r w:rsidR="00A61DDF">
        <w:rPr>
          <w:i/>
          <w:lang w:val="en-GB" w:eastAsia="ja-JP"/>
        </w:rPr>
        <w:t xml:space="preserve">(Cinryze or Berinert) </w:t>
      </w:r>
      <w:r w:rsidR="00A61DDF" w:rsidRPr="005271C4">
        <w:rPr>
          <w:i/>
          <w:lang w:val="en-GB" w:eastAsia="ja-JP"/>
        </w:rPr>
        <w:t xml:space="preserve">compared with </w:t>
      </w:r>
      <w:r w:rsidR="00A61DDF">
        <w:rPr>
          <w:i/>
          <w:lang w:val="en-GB" w:eastAsia="ja-JP"/>
        </w:rPr>
        <w:t xml:space="preserve">danazol </w:t>
      </w:r>
      <w:r w:rsidR="00A61DDF" w:rsidRPr="001A7B19">
        <w:rPr>
          <w:i/>
          <w:lang w:val="en-GB" w:eastAsia="ja-JP"/>
        </w:rPr>
        <w:t>f</w:t>
      </w:r>
      <w:r w:rsidR="00A61DDF" w:rsidRPr="005271C4">
        <w:rPr>
          <w:i/>
          <w:lang w:val="en-GB" w:eastAsia="ja-JP"/>
        </w:rPr>
        <w:t xml:space="preserve">or the </w:t>
      </w:r>
      <w:r w:rsidR="00A61DDF">
        <w:rPr>
          <w:i/>
          <w:lang w:val="en-GB" w:eastAsia="ja-JP"/>
        </w:rPr>
        <w:t>prevention</w:t>
      </w:r>
      <w:r w:rsidR="00A61DDF" w:rsidRPr="005271C4">
        <w:rPr>
          <w:i/>
          <w:lang w:val="en-GB" w:eastAsia="ja-JP"/>
        </w:rPr>
        <w:t xml:space="preserve"> of HAE attacks in </w:t>
      </w:r>
      <w:r w:rsidR="00A61DDF">
        <w:rPr>
          <w:i/>
          <w:lang w:val="en-GB" w:eastAsia="ja-JP"/>
        </w:rPr>
        <w:t xml:space="preserve">patients with HAE type I or II </w:t>
      </w:r>
      <w:r w:rsidR="00A61DDF" w:rsidRPr="00222369">
        <w:rPr>
          <w:i/>
          <w:lang w:val="en-GB" w:eastAsia="ja-JP"/>
        </w:rPr>
        <w:t xml:space="preserve">who undergo </w:t>
      </w:r>
      <w:r w:rsidR="00A61DDF">
        <w:rPr>
          <w:i/>
          <w:lang w:val="en-GB" w:eastAsia="ja-JP"/>
        </w:rPr>
        <w:t>major medical procedures?</w:t>
      </w:r>
    </w:p>
    <w:p w14:paraId="7C4D7547" w14:textId="65336E1E" w:rsidR="00A61DDF" w:rsidRDefault="00A61DDF" w:rsidP="00A61DDF">
      <w:pPr>
        <w:pStyle w:val="BodyText"/>
        <w:ind w:left="720"/>
        <w:rPr>
          <w:i/>
          <w:lang w:val="en-GB" w:eastAsia="ja-JP"/>
        </w:rPr>
      </w:pPr>
      <w:r w:rsidRPr="00D13135">
        <w:rPr>
          <w:b/>
          <w:i/>
          <w:lang w:val="en-GB" w:eastAsia="ja-JP"/>
        </w:rPr>
        <w:t xml:space="preserve">b) </w:t>
      </w: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Cinryze </w:t>
      </w:r>
      <w:r w:rsidRPr="005271C4">
        <w:rPr>
          <w:i/>
          <w:lang w:val="en-GB" w:eastAsia="ja-JP"/>
        </w:rPr>
        <w:t xml:space="preserve">compared with </w:t>
      </w:r>
      <w:r>
        <w:rPr>
          <w:i/>
          <w:lang w:val="en-GB" w:eastAsia="ja-JP"/>
        </w:rPr>
        <w:t xml:space="preserve">Berinert </w:t>
      </w:r>
      <w:r w:rsidRPr="005271C4">
        <w:rPr>
          <w:i/>
          <w:lang w:val="en-GB" w:eastAsia="ja-JP"/>
        </w:rPr>
        <w:t xml:space="preserve">for the </w:t>
      </w:r>
      <w:r>
        <w:rPr>
          <w:i/>
          <w:lang w:val="en-GB" w:eastAsia="ja-JP"/>
        </w:rPr>
        <w:t>prevention</w:t>
      </w:r>
      <w:r w:rsidRPr="005271C4">
        <w:rPr>
          <w:i/>
          <w:lang w:val="en-GB" w:eastAsia="ja-JP"/>
        </w:rPr>
        <w:t xml:space="preserve"> of HAE attacks in </w:t>
      </w:r>
      <w:r>
        <w:rPr>
          <w:i/>
          <w:lang w:val="en-GB" w:eastAsia="ja-JP"/>
        </w:rPr>
        <w:t>patients with HAE type I or II</w:t>
      </w:r>
      <w:r w:rsidRPr="00A61DDF">
        <w:rPr>
          <w:i/>
          <w:lang w:val="en-GB" w:eastAsia="ja-JP"/>
        </w:rPr>
        <w:t xml:space="preserve"> </w:t>
      </w:r>
      <w:r w:rsidRPr="00222369">
        <w:rPr>
          <w:i/>
          <w:lang w:val="en-GB" w:eastAsia="ja-JP"/>
        </w:rPr>
        <w:t xml:space="preserve">who undergo </w:t>
      </w:r>
      <w:r>
        <w:rPr>
          <w:i/>
          <w:lang w:val="en-GB" w:eastAsia="ja-JP"/>
        </w:rPr>
        <w:t xml:space="preserve">major </w:t>
      </w:r>
      <w:r w:rsidRPr="00222369">
        <w:rPr>
          <w:i/>
          <w:lang w:val="en-GB" w:eastAsia="ja-JP"/>
        </w:rPr>
        <w:t>medical procedures?</w:t>
      </w:r>
    </w:p>
    <w:p w14:paraId="0A3844DA" w14:textId="7C13BA65" w:rsidR="00A61DDF" w:rsidRDefault="001040FF" w:rsidP="00A61DDF">
      <w:pPr>
        <w:pStyle w:val="Heading4"/>
      </w:pPr>
      <w:r>
        <w:lastRenderedPageBreak/>
        <w:t>Setting</w:t>
      </w:r>
      <w:r w:rsidR="00DC31D6">
        <w:t xml:space="preserve"> comparison</w:t>
      </w:r>
    </w:p>
    <w:p w14:paraId="2BB60410" w14:textId="63E34B64" w:rsidR="00A61DDF" w:rsidRDefault="00A61DDF" w:rsidP="00D47FA8">
      <w:pPr>
        <w:pStyle w:val="BodyText"/>
        <w:numPr>
          <w:ilvl w:val="0"/>
          <w:numId w:val="33"/>
        </w:numPr>
        <w:rPr>
          <w:i/>
          <w:lang w:val="en-GB" w:eastAsia="ja-JP"/>
        </w:rPr>
      </w:pP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r w:rsidR="00D51EEC">
        <w:rPr>
          <w:i/>
          <w:lang w:val="en-GB" w:eastAsia="ja-JP"/>
        </w:rPr>
        <w:t>community</w:t>
      </w:r>
      <w:r>
        <w:rPr>
          <w:i/>
          <w:lang w:val="en-GB" w:eastAsia="ja-JP"/>
        </w:rPr>
        <w:t xml:space="preserve">-administered </w:t>
      </w:r>
      <w:r w:rsidRPr="005271C4">
        <w:rPr>
          <w:i/>
          <w:lang w:val="en-GB" w:eastAsia="ja-JP"/>
        </w:rPr>
        <w:t xml:space="preserve">C1-INH concentrate </w:t>
      </w:r>
      <w:r>
        <w:rPr>
          <w:i/>
          <w:lang w:val="en-GB" w:eastAsia="ja-JP"/>
        </w:rPr>
        <w:t xml:space="preserve">(Cinryze or Berinert) </w:t>
      </w:r>
      <w:r w:rsidR="00D51EEC">
        <w:rPr>
          <w:i/>
          <w:lang w:val="en-GB" w:eastAsia="ja-JP"/>
        </w:rPr>
        <w:t>compared with hospital-</w:t>
      </w:r>
      <w:r>
        <w:rPr>
          <w:i/>
          <w:lang w:val="en-GB" w:eastAsia="ja-JP"/>
        </w:rPr>
        <w:t xml:space="preserve">administered C1-INH concentrate </w:t>
      </w:r>
      <w:r w:rsidRPr="005271C4">
        <w:rPr>
          <w:i/>
          <w:lang w:val="en-GB" w:eastAsia="ja-JP"/>
        </w:rPr>
        <w:t xml:space="preserve">for the </w:t>
      </w:r>
      <w:r>
        <w:rPr>
          <w:i/>
          <w:lang w:val="en-GB" w:eastAsia="ja-JP"/>
        </w:rPr>
        <w:t>prevention</w:t>
      </w:r>
      <w:r w:rsidRPr="005271C4">
        <w:rPr>
          <w:i/>
          <w:lang w:val="en-GB" w:eastAsia="ja-JP"/>
        </w:rPr>
        <w:t xml:space="preserve"> of HAE attacks in </w:t>
      </w:r>
      <w:r>
        <w:rPr>
          <w:i/>
          <w:lang w:val="en-GB" w:eastAsia="ja-JP"/>
        </w:rPr>
        <w:t>patients with HAE type I or II</w:t>
      </w:r>
      <w:r w:rsidRPr="00A61DDF">
        <w:rPr>
          <w:i/>
          <w:lang w:val="en-GB" w:eastAsia="ja-JP"/>
        </w:rPr>
        <w:t xml:space="preserve"> </w:t>
      </w:r>
      <w:r w:rsidRPr="00222369">
        <w:rPr>
          <w:i/>
          <w:lang w:val="en-GB" w:eastAsia="ja-JP"/>
        </w:rPr>
        <w:t xml:space="preserve">who undergo </w:t>
      </w:r>
      <w:r>
        <w:rPr>
          <w:i/>
          <w:lang w:val="en-GB" w:eastAsia="ja-JP"/>
        </w:rPr>
        <w:t xml:space="preserve">major </w:t>
      </w:r>
      <w:r w:rsidRPr="00222369">
        <w:rPr>
          <w:i/>
          <w:lang w:val="en-GB" w:eastAsia="ja-JP"/>
        </w:rPr>
        <w:t>medical procedures?</w:t>
      </w:r>
    </w:p>
    <w:p w14:paraId="00C69B61" w14:textId="2A0B9634" w:rsidR="00A61DDF" w:rsidRDefault="00BB2263" w:rsidP="00A61DDF">
      <w:pPr>
        <w:pStyle w:val="Heading4"/>
      </w:pPr>
      <w:r>
        <w:t>Funding model</w:t>
      </w:r>
      <w:r w:rsidR="00DC31D6">
        <w:t xml:space="preserve"> comparison</w:t>
      </w:r>
    </w:p>
    <w:p w14:paraId="5E43893D" w14:textId="3BF09DB6" w:rsidR="00A61DDF" w:rsidRDefault="00A61DDF" w:rsidP="00D47FA8">
      <w:pPr>
        <w:pStyle w:val="BodyText"/>
        <w:numPr>
          <w:ilvl w:val="0"/>
          <w:numId w:val="33"/>
        </w:numPr>
        <w:rPr>
          <w:i/>
          <w:lang w:val="en-GB" w:eastAsia="ja-JP"/>
        </w:rPr>
      </w:pPr>
      <w:r w:rsidRPr="005271C4">
        <w:rPr>
          <w:i/>
          <w:lang w:val="en-GB" w:eastAsia="ja-JP"/>
        </w:rPr>
        <w:t xml:space="preserve">What </w:t>
      </w:r>
      <w:r>
        <w:rPr>
          <w:i/>
          <w:lang w:val="en-GB" w:eastAsia="ja-JP"/>
        </w:rPr>
        <w:t xml:space="preserve">are the likely benefits to patients or the health care system of </w:t>
      </w:r>
      <w:r w:rsidR="00D51EEC">
        <w:rPr>
          <w:i/>
          <w:lang w:val="en-GB" w:eastAsia="ja-JP"/>
        </w:rPr>
        <w:t>NPSL</w:t>
      </w:r>
      <w:r>
        <w:rPr>
          <w:i/>
          <w:lang w:val="en-GB" w:eastAsia="ja-JP"/>
        </w:rPr>
        <w:t xml:space="preserve">-funded C1-INH concentrate compared with </w:t>
      </w:r>
      <w:r w:rsidR="00D51EEC">
        <w:rPr>
          <w:i/>
          <w:lang w:val="en-GB" w:eastAsia="ja-JP"/>
        </w:rPr>
        <w:t>hospital</w:t>
      </w:r>
      <w:r>
        <w:rPr>
          <w:i/>
          <w:lang w:val="en-GB" w:eastAsia="ja-JP"/>
        </w:rPr>
        <w:t>-funded C1-INH concentrate</w:t>
      </w:r>
      <w:r w:rsidRPr="004D0261">
        <w:rPr>
          <w:i/>
          <w:lang w:val="en-GB" w:eastAsia="ja-JP"/>
        </w:rPr>
        <w:t xml:space="preserve"> </w:t>
      </w:r>
      <w:r>
        <w:rPr>
          <w:i/>
          <w:lang w:val="en-GB" w:eastAsia="ja-JP"/>
        </w:rPr>
        <w:t>f</w:t>
      </w:r>
      <w:r w:rsidRPr="005271C4">
        <w:rPr>
          <w:i/>
          <w:lang w:val="en-GB" w:eastAsia="ja-JP"/>
        </w:rPr>
        <w:t xml:space="preserve">or the </w:t>
      </w:r>
      <w:r>
        <w:rPr>
          <w:i/>
          <w:lang w:val="en-GB" w:eastAsia="ja-JP"/>
        </w:rPr>
        <w:t>prevention</w:t>
      </w:r>
      <w:r w:rsidRPr="005271C4">
        <w:rPr>
          <w:i/>
          <w:lang w:val="en-GB" w:eastAsia="ja-JP"/>
        </w:rPr>
        <w:t xml:space="preserve"> of HAE attacks in </w:t>
      </w:r>
      <w:r>
        <w:rPr>
          <w:i/>
          <w:lang w:val="en-GB" w:eastAsia="ja-JP"/>
        </w:rPr>
        <w:t>patients with HAE type I or II</w:t>
      </w:r>
      <w:r w:rsidRPr="00A61DDF">
        <w:rPr>
          <w:i/>
          <w:lang w:val="en-GB" w:eastAsia="ja-JP"/>
        </w:rPr>
        <w:t xml:space="preserve"> </w:t>
      </w:r>
      <w:r w:rsidRPr="00222369">
        <w:rPr>
          <w:i/>
          <w:lang w:val="en-GB" w:eastAsia="ja-JP"/>
        </w:rPr>
        <w:t xml:space="preserve">who undergo </w:t>
      </w:r>
      <w:r>
        <w:rPr>
          <w:i/>
          <w:lang w:val="en-GB" w:eastAsia="ja-JP"/>
        </w:rPr>
        <w:t xml:space="preserve">major </w:t>
      </w:r>
      <w:r w:rsidRPr="00222369">
        <w:rPr>
          <w:i/>
          <w:lang w:val="en-GB" w:eastAsia="ja-JP"/>
        </w:rPr>
        <w:t>medical procedures?</w:t>
      </w:r>
    </w:p>
    <w:p w14:paraId="2336CE86" w14:textId="77777777" w:rsidR="004309D9" w:rsidRPr="00E61EAA" w:rsidRDefault="004309D9" w:rsidP="004309D9">
      <w:pPr>
        <w:pStyle w:val="Caption"/>
        <w:rPr>
          <w:lang w:val="en-GB" w:eastAsia="ja-JP"/>
        </w:rPr>
      </w:pPr>
      <w:bookmarkStart w:id="103" w:name="_Ref395891300"/>
      <w:r>
        <w:t xml:space="preserve">Table </w:t>
      </w:r>
      <w:r w:rsidR="00EA5D58">
        <w:fldChar w:fldCharType="begin"/>
      </w:r>
      <w:r w:rsidR="00EA5D58">
        <w:instrText xml:space="preserve"> SEQ Table \* ARABIC </w:instrText>
      </w:r>
      <w:r w:rsidR="00EA5D58">
        <w:fldChar w:fldCharType="separate"/>
      </w:r>
      <w:r w:rsidR="00847595">
        <w:rPr>
          <w:noProof/>
        </w:rPr>
        <w:t>12</w:t>
      </w:r>
      <w:r w:rsidR="00EA5D58">
        <w:rPr>
          <w:noProof/>
        </w:rPr>
        <w:fldChar w:fldCharType="end"/>
      </w:r>
      <w:bookmarkEnd w:id="101"/>
      <w:bookmarkEnd w:id="103"/>
      <w:r>
        <w:tab/>
      </w:r>
      <w:r w:rsidRPr="00C77F93">
        <w:t xml:space="preserve">Summary of PICO </w:t>
      </w:r>
      <w:r>
        <w:t>for</w:t>
      </w:r>
      <w:r w:rsidRPr="00C77F93">
        <w:t xml:space="preserve"> </w:t>
      </w:r>
      <w:r>
        <w:t>assessment of pre-procedural C1-INH concentrate for the prevention of HAE attacks</w:t>
      </w:r>
    </w:p>
    <w:tbl>
      <w:tblPr>
        <w:tblStyle w:val="TableGrid"/>
        <w:tblW w:w="0" w:type="auto"/>
        <w:tblLook w:val="04A0" w:firstRow="1" w:lastRow="0" w:firstColumn="1" w:lastColumn="0" w:noHBand="0" w:noVBand="1"/>
        <w:tblCaption w:val="Table 12 - Summary of PICO for assessment of pre-procedural C1-INH concentrate for the prevention of HAE attacks"/>
        <w:tblDescription w:val="A table outlining the population, intervention, comparator and outcomes of the use of C1 esterase inhibitor for pre-procedural prophylaxis."/>
      </w:tblPr>
      <w:tblGrid>
        <w:gridCol w:w="1555"/>
        <w:gridCol w:w="2126"/>
        <w:gridCol w:w="2551"/>
        <w:gridCol w:w="2784"/>
      </w:tblGrid>
      <w:tr w:rsidR="004B05DD" w:rsidRPr="00C77F93" w14:paraId="73BDCE9E" w14:textId="77777777" w:rsidTr="004A471B">
        <w:trPr>
          <w:tblHeader/>
        </w:trPr>
        <w:tc>
          <w:tcPr>
            <w:tcW w:w="1555" w:type="dxa"/>
          </w:tcPr>
          <w:p w14:paraId="6153CE9B" w14:textId="77777777" w:rsidR="004B05DD" w:rsidRPr="00C77F93" w:rsidRDefault="004B05DD" w:rsidP="009D4D3A">
            <w:pPr>
              <w:pStyle w:val="TableHeading"/>
            </w:pPr>
            <w:r>
              <w:t>Population</w:t>
            </w:r>
          </w:p>
        </w:tc>
        <w:tc>
          <w:tcPr>
            <w:tcW w:w="2126" w:type="dxa"/>
          </w:tcPr>
          <w:p w14:paraId="672A01E6" w14:textId="77777777" w:rsidR="004B05DD" w:rsidRPr="00C77F93" w:rsidRDefault="004B05DD" w:rsidP="009D4D3A">
            <w:pPr>
              <w:pStyle w:val="TableHeading"/>
            </w:pPr>
            <w:r>
              <w:t>Intervention</w:t>
            </w:r>
          </w:p>
        </w:tc>
        <w:tc>
          <w:tcPr>
            <w:tcW w:w="2551" w:type="dxa"/>
          </w:tcPr>
          <w:p w14:paraId="5197BC7B" w14:textId="77777777" w:rsidR="004B05DD" w:rsidRPr="00C77F93" w:rsidRDefault="004B05DD" w:rsidP="009D4D3A">
            <w:pPr>
              <w:pStyle w:val="TableHeading"/>
            </w:pPr>
            <w:r>
              <w:t>Comparator</w:t>
            </w:r>
          </w:p>
        </w:tc>
        <w:tc>
          <w:tcPr>
            <w:tcW w:w="2784" w:type="dxa"/>
          </w:tcPr>
          <w:p w14:paraId="4526920D" w14:textId="77777777" w:rsidR="004B05DD" w:rsidRPr="00C77F93" w:rsidRDefault="004B05DD" w:rsidP="009D4D3A">
            <w:pPr>
              <w:pStyle w:val="TableHeading"/>
            </w:pPr>
            <w:r>
              <w:t>Outcomes</w:t>
            </w:r>
          </w:p>
        </w:tc>
      </w:tr>
      <w:tr w:rsidR="004B05DD" w:rsidRPr="00C77F93" w14:paraId="3FF83034" w14:textId="77777777" w:rsidTr="009D4D3A">
        <w:tc>
          <w:tcPr>
            <w:tcW w:w="1555" w:type="dxa"/>
          </w:tcPr>
          <w:p w14:paraId="53AC71B1" w14:textId="5DDC0684" w:rsidR="004B05DD" w:rsidRPr="00C77F93" w:rsidRDefault="00C94645" w:rsidP="00D1054F">
            <w:pPr>
              <w:pStyle w:val="TableText"/>
            </w:pPr>
            <w:r>
              <w:t xml:space="preserve">Patients with confirmed </w:t>
            </w:r>
            <w:r w:rsidRPr="003F0506">
              <w:rPr>
                <w:lang w:val="en-GB"/>
              </w:rPr>
              <w:t>HAE types I or II</w:t>
            </w:r>
            <w:r>
              <w:t xml:space="preserve"> prior to </w:t>
            </w:r>
            <w:r w:rsidR="00D1054F">
              <w:t xml:space="preserve">major </w:t>
            </w:r>
            <w:r>
              <w:t>medical procedure</w:t>
            </w:r>
            <w:r w:rsidR="00D1054F">
              <w:t xml:space="preserve"> (i.e. surgeries involving neck, head or dental work or intubation).</w:t>
            </w:r>
          </w:p>
        </w:tc>
        <w:tc>
          <w:tcPr>
            <w:tcW w:w="2126" w:type="dxa"/>
          </w:tcPr>
          <w:p w14:paraId="19927B87" w14:textId="77777777" w:rsidR="004B05DD" w:rsidRPr="0056760A" w:rsidRDefault="004B05DD" w:rsidP="009D4D3A">
            <w:pPr>
              <w:pStyle w:val="TableTextspaceafter"/>
              <w:rPr>
                <w:u w:val="single"/>
              </w:rPr>
            </w:pPr>
            <w:r>
              <w:rPr>
                <w:u w:val="single"/>
              </w:rPr>
              <w:t>1. Treatment</w:t>
            </w:r>
          </w:p>
          <w:p w14:paraId="2399B6EC" w14:textId="77777777" w:rsidR="004B05DD" w:rsidRDefault="004B05DD" w:rsidP="009D4D3A">
            <w:pPr>
              <w:pStyle w:val="TableText"/>
              <w:rPr>
                <w:i/>
                <w:lang w:val="en-GB"/>
              </w:rPr>
            </w:pPr>
            <w:r>
              <w:t>C1-INH concentrate</w:t>
            </w:r>
          </w:p>
          <w:p w14:paraId="5B0B3D25" w14:textId="77777777" w:rsidR="004B05DD" w:rsidRDefault="004B05DD" w:rsidP="009D4D3A">
            <w:pPr>
              <w:pStyle w:val="TableTextspaceafter"/>
            </w:pPr>
          </w:p>
          <w:p w14:paraId="5935A43C" w14:textId="77777777" w:rsidR="004B05DD" w:rsidRDefault="004B05DD" w:rsidP="009D4D3A">
            <w:pPr>
              <w:pStyle w:val="TableTextspaceafter"/>
            </w:pPr>
          </w:p>
          <w:p w14:paraId="79EA6BEF" w14:textId="77777777" w:rsidR="004B05DD" w:rsidRPr="0056760A" w:rsidRDefault="004B05DD" w:rsidP="009D4D3A">
            <w:pPr>
              <w:pStyle w:val="TableTextspaceafter"/>
              <w:rPr>
                <w:u w:val="single"/>
              </w:rPr>
            </w:pPr>
            <w:r w:rsidRPr="0056760A">
              <w:rPr>
                <w:u w:val="single"/>
              </w:rPr>
              <w:t xml:space="preserve">2. </w:t>
            </w:r>
            <w:r>
              <w:rPr>
                <w:u w:val="single"/>
              </w:rPr>
              <w:t>Setting</w:t>
            </w:r>
          </w:p>
          <w:p w14:paraId="313B9D5F" w14:textId="57A477F3" w:rsidR="004B05DD" w:rsidRDefault="00CD7CF0" w:rsidP="009D4D3A">
            <w:pPr>
              <w:pStyle w:val="TableTextspaceafter"/>
            </w:pPr>
            <w:r>
              <w:t>Community</w:t>
            </w:r>
            <w:r w:rsidR="004B05DD" w:rsidRPr="00C91BCA">
              <w:t>-</w:t>
            </w:r>
            <w:r w:rsidR="004B05DD">
              <w:t>administered</w:t>
            </w:r>
            <w:r w:rsidR="004B05DD" w:rsidRPr="00C91BCA">
              <w:t xml:space="preserve"> </w:t>
            </w:r>
            <w:r w:rsidR="004B05DD">
              <w:br/>
            </w:r>
            <w:r w:rsidR="004B05DD" w:rsidRPr="00C91BCA">
              <w:t>C1-INH concentrate</w:t>
            </w:r>
            <w:r w:rsidR="004B05DD">
              <w:t xml:space="preserve"> </w:t>
            </w:r>
          </w:p>
          <w:p w14:paraId="57110E91" w14:textId="77777777" w:rsidR="004B05DD" w:rsidRPr="0056760A" w:rsidRDefault="004B05DD" w:rsidP="009D4D3A">
            <w:pPr>
              <w:pStyle w:val="TableTextspaceafter"/>
              <w:rPr>
                <w:u w:val="single"/>
              </w:rPr>
            </w:pPr>
            <w:r w:rsidRPr="0056760A">
              <w:rPr>
                <w:u w:val="single"/>
              </w:rPr>
              <w:t xml:space="preserve">3. Funding </w:t>
            </w:r>
            <w:r>
              <w:rPr>
                <w:u w:val="single"/>
              </w:rPr>
              <w:t>model</w:t>
            </w:r>
          </w:p>
          <w:p w14:paraId="4468AE56" w14:textId="354EE08F" w:rsidR="004B05DD" w:rsidRPr="009612D1" w:rsidRDefault="00CD7CF0" w:rsidP="009D4D3A">
            <w:pPr>
              <w:pStyle w:val="TableTextspaceafter"/>
            </w:pPr>
            <w:r w:rsidRPr="009612D1">
              <w:t>NPSL</w:t>
            </w:r>
            <w:r w:rsidR="004B05DD">
              <w:t>-</w:t>
            </w:r>
            <w:r w:rsidR="004B05DD" w:rsidRPr="009612D1">
              <w:t xml:space="preserve">funded </w:t>
            </w:r>
            <w:r w:rsidR="004B05DD">
              <w:br/>
            </w:r>
            <w:r w:rsidR="004B05DD" w:rsidRPr="009612D1">
              <w:t>C1-INH concentrate</w:t>
            </w:r>
          </w:p>
        </w:tc>
        <w:tc>
          <w:tcPr>
            <w:tcW w:w="2551" w:type="dxa"/>
          </w:tcPr>
          <w:p w14:paraId="7EF4F507" w14:textId="77777777" w:rsidR="004B05DD" w:rsidRPr="0056760A" w:rsidRDefault="004B05DD" w:rsidP="009D4D3A">
            <w:pPr>
              <w:pStyle w:val="TableTextspaceafter"/>
              <w:rPr>
                <w:u w:val="single"/>
              </w:rPr>
            </w:pPr>
            <w:r>
              <w:rPr>
                <w:u w:val="single"/>
              </w:rPr>
              <w:t>1. Treatment</w:t>
            </w:r>
          </w:p>
          <w:p w14:paraId="1668FAF1" w14:textId="7187CECC" w:rsidR="004B05DD" w:rsidRDefault="004B05DD" w:rsidP="009D4D3A">
            <w:pPr>
              <w:pStyle w:val="TableTextspaceafter"/>
            </w:pPr>
            <w:r w:rsidRPr="00731616">
              <w:rPr>
                <w:b/>
              </w:rPr>
              <w:t>a.</w:t>
            </w:r>
            <w:r>
              <w:t xml:space="preserve"> </w:t>
            </w:r>
            <w:r w:rsidR="00C94645">
              <w:t>Danazol</w:t>
            </w:r>
            <w:r>
              <w:t>; or</w:t>
            </w:r>
          </w:p>
          <w:p w14:paraId="546FAA85" w14:textId="77777777" w:rsidR="004B05DD" w:rsidRDefault="004B05DD" w:rsidP="009D4D3A">
            <w:pPr>
              <w:pStyle w:val="TableTextspaceafter"/>
              <w:ind w:left="175" w:hanging="175"/>
              <w:rPr>
                <w:vertAlign w:val="superscript"/>
              </w:rPr>
            </w:pPr>
            <w:r w:rsidRPr="00731616">
              <w:rPr>
                <w:b/>
              </w:rPr>
              <w:t xml:space="preserve">b. </w:t>
            </w:r>
            <w:r>
              <w:t>the other C1-INH concentrate (i.e.Cinryze vs Berinert)</w:t>
            </w:r>
          </w:p>
          <w:p w14:paraId="5AED8848" w14:textId="77777777" w:rsidR="004B05DD" w:rsidRPr="0056760A" w:rsidRDefault="004B05DD" w:rsidP="009D4D3A">
            <w:pPr>
              <w:pStyle w:val="TableTextspaceafter"/>
              <w:rPr>
                <w:u w:val="single"/>
              </w:rPr>
            </w:pPr>
            <w:r w:rsidRPr="0056760A">
              <w:rPr>
                <w:u w:val="single"/>
              </w:rPr>
              <w:t xml:space="preserve">2. </w:t>
            </w:r>
            <w:r>
              <w:rPr>
                <w:u w:val="single"/>
              </w:rPr>
              <w:t>Setting</w:t>
            </w:r>
          </w:p>
          <w:p w14:paraId="6592156F" w14:textId="39F06D78" w:rsidR="004B05DD" w:rsidRDefault="00CD7CF0" w:rsidP="009D4D3A">
            <w:pPr>
              <w:pStyle w:val="TableTextspaceafter"/>
            </w:pPr>
            <w:r w:rsidRPr="00C91BCA">
              <w:t>Hospital</w:t>
            </w:r>
            <w:r w:rsidR="004B05DD">
              <w:t xml:space="preserve">-administered </w:t>
            </w:r>
            <w:r w:rsidR="004B05DD">
              <w:br/>
              <w:t>C1-INH concentrate</w:t>
            </w:r>
            <w:r w:rsidR="004B05DD">
              <w:rPr>
                <w:rStyle w:val="FootnoteReference"/>
              </w:rPr>
              <w:footnoteReference w:id="19"/>
            </w:r>
          </w:p>
          <w:p w14:paraId="304D3704" w14:textId="77777777" w:rsidR="004B05DD" w:rsidRPr="0056760A" w:rsidRDefault="004B05DD" w:rsidP="009D4D3A">
            <w:pPr>
              <w:pStyle w:val="TableTextspaceafter"/>
              <w:rPr>
                <w:u w:val="single"/>
              </w:rPr>
            </w:pPr>
            <w:r w:rsidRPr="0056760A">
              <w:rPr>
                <w:u w:val="single"/>
              </w:rPr>
              <w:t>3. Funding</w:t>
            </w:r>
            <w:r>
              <w:rPr>
                <w:u w:val="single"/>
              </w:rPr>
              <w:t xml:space="preserve"> model</w:t>
            </w:r>
          </w:p>
          <w:p w14:paraId="1D445951" w14:textId="03C846C0" w:rsidR="004B05DD" w:rsidRPr="009612D1" w:rsidRDefault="00CD7CF0" w:rsidP="009D4D3A">
            <w:pPr>
              <w:pStyle w:val="TableTextspaceafter"/>
            </w:pPr>
            <w:r>
              <w:t>Hospital</w:t>
            </w:r>
            <w:r w:rsidR="004B05DD" w:rsidRPr="009612D1">
              <w:t xml:space="preserve">-funded </w:t>
            </w:r>
            <w:r w:rsidR="004B05DD">
              <w:br/>
            </w:r>
            <w:r w:rsidR="004B05DD" w:rsidRPr="009612D1">
              <w:t>C1-INH concentrate</w:t>
            </w:r>
          </w:p>
        </w:tc>
        <w:tc>
          <w:tcPr>
            <w:tcW w:w="2784" w:type="dxa"/>
          </w:tcPr>
          <w:p w14:paraId="5DA914FD" w14:textId="77777777" w:rsidR="00C94645" w:rsidRPr="007D362C" w:rsidRDefault="00C94645" w:rsidP="00C94645">
            <w:pPr>
              <w:pStyle w:val="TableText"/>
              <w:rPr>
                <w:u w:val="single"/>
              </w:rPr>
            </w:pPr>
            <w:r>
              <w:rPr>
                <w:u w:val="single"/>
              </w:rPr>
              <w:t>Efficacy outcomes</w:t>
            </w:r>
          </w:p>
          <w:p w14:paraId="3A972592" w14:textId="77777777" w:rsidR="00C94645" w:rsidRDefault="00C94645" w:rsidP="00C94645">
            <w:pPr>
              <w:pStyle w:val="TableBullet"/>
            </w:pPr>
            <w:r>
              <w:t>proportion of patients without an attack within 72 hours of procedure</w:t>
            </w:r>
          </w:p>
          <w:p w14:paraId="53892EF3" w14:textId="77777777" w:rsidR="00C94645" w:rsidRDefault="00C94645" w:rsidP="00C94645">
            <w:pPr>
              <w:pStyle w:val="TableBullet"/>
            </w:pPr>
            <w:r>
              <w:t>use of rescue medication</w:t>
            </w:r>
            <w:r w:rsidRPr="00AB51DA">
              <w:rPr>
                <w:vertAlign w:val="superscript"/>
              </w:rPr>
              <w:t>a</w:t>
            </w:r>
          </w:p>
          <w:p w14:paraId="50DB031B" w14:textId="77777777" w:rsidR="00C94645" w:rsidRDefault="00C94645" w:rsidP="00C94645">
            <w:pPr>
              <w:pStyle w:val="TableBulletspaceafter"/>
              <w:rPr>
                <w:u w:val="single"/>
              </w:rPr>
            </w:pPr>
            <w:r>
              <w:t>QoL</w:t>
            </w:r>
            <w:r>
              <w:rPr>
                <w:u w:val="single"/>
              </w:rPr>
              <w:t xml:space="preserve"> </w:t>
            </w:r>
          </w:p>
          <w:p w14:paraId="7D13130C" w14:textId="77777777" w:rsidR="00C94645" w:rsidRPr="007D362C" w:rsidRDefault="00C94645" w:rsidP="00C94645">
            <w:pPr>
              <w:pStyle w:val="TableText"/>
              <w:rPr>
                <w:u w:val="single"/>
              </w:rPr>
            </w:pPr>
            <w:r>
              <w:rPr>
                <w:u w:val="single"/>
              </w:rPr>
              <w:t>Safety outcomes</w:t>
            </w:r>
          </w:p>
          <w:p w14:paraId="5FCEB74E" w14:textId="77777777" w:rsidR="00C94645" w:rsidRDefault="00C94645" w:rsidP="00C94645">
            <w:pPr>
              <w:pStyle w:val="TableBullet"/>
            </w:pPr>
            <w:r>
              <w:t>AEs/SAEs</w:t>
            </w:r>
          </w:p>
          <w:p w14:paraId="185B2699" w14:textId="77777777" w:rsidR="00C94645" w:rsidRDefault="00C94645" w:rsidP="00C94645">
            <w:pPr>
              <w:pStyle w:val="TableBullet"/>
            </w:pPr>
            <w:r>
              <w:t>administration-site reactions</w:t>
            </w:r>
          </w:p>
          <w:p w14:paraId="7BE46756" w14:textId="77777777" w:rsidR="00C94645" w:rsidRDefault="00C94645" w:rsidP="00C94645">
            <w:pPr>
              <w:pStyle w:val="TableBullet"/>
            </w:pPr>
            <w:r>
              <w:t>antibodies to study drug</w:t>
            </w:r>
          </w:p>
          <w:p w14:paraId="75BF1E3E" w14:textId="045D5172" w:rsidR="004B05DD" w:rsidRPr="00C77F93" w:rsidRDefault="00C94645" w:rsidP="00C94645">
            <w:pPr>
              <w:pStyle w:val="TableBullet"/>
            </w:pPr>
            <w:r>
              <w:t>virology</w:t>
            </w:r>
          </w:p>
        </w:tc>
      </w:tr>
    </w:tbl>
    <w:p w14:paraId="206B7589" w14:textId="6CB6F190" w:rsidR="004309D9" w:rsidRDefault="004309D9" w:rsidP="00CE24EF">
      <w:pPr>
        <w:pStyle w:val="TableFootnotes1"/>
        <w:rPr>
          <w:lang w:val="en-GB" w:eastAsia="ja-JP"/>
        </w:rPr>
      </w:pPr>
      <w:r w:rsidRPr="000A197E">
        <w:rPr>
          <w:b/>
          <w:lang w:val="en-GB" w:eastAsia="ja-JP"/>
        </w:rPr>
        <w:t xml:space="preserve">Abbreviations: </w:t>
      </w:r>
      <w:r>
        <w:rPr>
          <w:lang w:val="en-GB" w:eastAsia="ja-JP"/>
        </w:rPr>
        <w:t>AE, adverse event; C1-INH, C1 esterase inhibitor concentrate; HAE, hereditary angioedema; QoL, quality of life; SAE, serious adverse event</w:t>
      </w:r>
    </w:p>
    <w:p w14:paraId="365B797E" w14:textId="272A1901" w:rsidR="00CE24EF" w:rsidRPr="00CE24EF" w:rsidRDefault="00CE24EF" w:rsidP="00CE24EF">
      <w:pPr>
        <w:pStyle w:val="LastTableFootnote"/>
      </w:pPr>
      <w:r w:rsidRPr="00AB51DA">
        <w:rPr>
          <w:b/>
        </w:rPr>
        <w:t>a</w:t>
      </w:r>
      <w:r>
        <w:t xml:space="preserve"> rescue medication can be a second dose of study drug or a first dose of an alternative treatment</w:t>
      </w:r>
    </w:p>
    <w:p w14:paraId="475D8899" w14:textId="77777777" w:rsidR="00A61DDF" w:rsidRDefault="00A61DDF" w:rsidP="00A61DDF">
      <w:pPr>
        <w:pStyle w:val="Heading3"/>
      </w:pPr>
      <w:bookmarkStart w:id="104" w:name="_Toc400097974"/>
      <w:bookmarkStart w:id="105" w:name="_Ref395887282"/>
      <w:r>
        <w:t>PICO for routine prophylaxis</w:t>
      </w:r>
      <w:bookmarkEnd w:id="104"/>
    </w:p>
    <w:p w14:paraId="6A4E2F6B" w14:textId="36D5C5F5" w:rsidR="00A61DDF" w:rsidRDefault="00AE13A6" w:rsidP="00A31AAB">
      <w:pPr>
        <w:pStyle w:val="BodyText"/>
        <w:keepNext/>
        <w:rPr>
          <w:lang w:val="en-GB" w:eastAsia="ja-JP"/>
        </w:rPr>
      </w:pPr>
      <w:r w:rsidRPr="0008510C">
        <w:rPr>
          <w:lang w:val="en-GB" w:eastAsia="ja-JP"/>
        </w:rPr>
        <w:t>The research questions to be addressed as part of the review of the evidence</w:t>
      </w:r>
      <w:r>
        <w:rPr>
          <w:lang w:val="en-GB" w:eastAsia="ja-JP"/>
        </w:rPr>
        <w:t xml:space="preserve"> for C1-INH concentrate for routine prophylaxis</w:t>
      </w:r>
      <w:r w:rsidRPr="0008510C">
        <w:rPr>
          <w:lang w:val="en-GB" w:eastAsia="ja-JP"/>
        </w:rPr>
        <w:t xml:space="preserve"> </w:t>
      </w:r>
      <w:r>
        <w:rPr>
          <w:lang w:val="en-GB" w:eastAsia="ja-JP"/>
        </w:rPr>
        <w:t>fall into the three comparison categories and, as for pre-procedural prophylaxis, the relevance of the setting category is simply the setting itself, not the timing of administration as a result of the setting. The research questions are</w:t>
      </w:r>
      <w:r w:rsidR="00A61DDF">
        <w:rPr>
          <w:lang w:val="en-GB" w:eastAsia="ja-JP"/>
        </w:rPr>
        <w:t>:</w:t>
      </w:r>
    </w:p>
    <w:p w14:paraId="547E13E8" w14:textId="30AA1461" w:rsidR="00A61DDF" w:rsidRDefault="00A61DDF" w:rsidP="00A61DDF">
      <w:pPr>
        <w:pStyle w:val="Heading4"/>
      </w:pPr>
      <w:r>
        <w:t>Treatment</w:t>
      </w:r>
      <w:r w:rsidR="00DC31D6">
        <w:t xml:space="preserve"> comparison</w:t>
      </w:r>
    </w:p>
    <w:p w14:paraId="03CE84AD" w14:textId="4E03093A" w:rsidR="00A61DDF" w:rsidRDefault="00A61DDF" w:rsidP="00DC26DF">
      <w:pPr>
        <w:pStyle w:val="BodyText"/>
        <w:numPr>
          <w:ilvl w:val="0"/>
          <w:numId w:val="34"/>
        </w:numPr>
        <w:rPr>
          <w:i/>
          <w:lang w:val="en-GB" w:eastAsia="ja-JP"/>
        </w:rPr>
      </w:pPr>
      <w:r w:rsidRPr="00D13135">
        <w:rPr>
          <w:b/>
          <w:i/>
          <w:lang w:val="en-GB" w:eastAsia="ja-JP"/>
        </w:rPr>
        <w:t xml:space="preserve">a) </w:t>
      </w:r>
      <w:r w:rsidRPr="005271C4">
        <w:rPr>
          <w:i/>
          <w:lang w:val="en-GB" w:eastAsia="ja-JP"/>
        </w:rPr>
        <w:t>What is the eviden</w:t>
      </w:r>
      <w:r>
        <w:rPr>
          <w:i/>
          <w:lang w:val="en-GB" w:eastAsia="ja-JP"/>
        </w:rPr>
        <w:t xml:space="preserve">ce of efficacy/effectiveness and safety of </w:t>
      </w:r>
      <w:r w:rsidRPr="005271C4">
        <w:rPr>
          <w:i/>
          <w:lang w:val="en-GB" w:eastAsia="ja-JP"/>
        </w:rPr>
        <w:t xml:space="preserve">C1-INH concentrate </w:t>
      </w:r>
      <w:r>
        <w:rPr>
          <w:i/>
          <w:lang w:val="en-GB" w:eastAsia="ja-JP"/>
        </w:rPr>
        <w:t xml:space="preserve">(Cinryze or Berinert) </w:t>
      </w:r>
      <w:r w:rsidRPr="005271C4">
        <w:rPr>
          <w:i/>
          <w:lang w:val="en-GB" w:eastAsia="ja-JP"/>
        </w:rPr>
        <w:t xml:space="preserve">compared with </w:t>
      </w:r>
      <w:r w:rsidR="00DC26DF">
        <w:rPr>
          <w:i/>
          <w:lang w:val="en-GB" w:eastAsia="ja-JP"/>
        </w:rPr>
        <w:t>n</w:t>
      </w:r>
      <w:r w:rsidR="00DC26DF" w:rsidRPr="00DC26DF">
        <w:rPr>
          <w:i/>
          <w:lang w:val="en-GB" w:eastAsia="ja-JP"/>
        </w:rPr>
        <w:t>o prophylaxis after failed oral therapy</w:t>
      </w:r>
      <w:r w:rsidRPr="001A7B19">
        <w:rPr>
          <w:i/>
          <w:lang w:val="en-GB" w:eastAsia="ja-JP"/>
        </w:rPr>
        <w:t xml:space="preserve"> f</w:t>
      </w:r>
      <w:r w:rsidRPr="005271C4">
        <w:rPr>
          <w:i/>
          <w:lang w:val="en-GB" w:eastAsia="ja-JP"/>
        </w:rPr>
        <w:t xml:space="preserve">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24C488B6" w14:textId="77777777" w:rsidR="00A61DDF" w:rsidRDefault="00A61DDF" w:rsidP="00A61DDF">
      <w:pPr>
        <w:pStyle w:val="BodyText"/>
        <w:ind w:left="720"/>
        <w:rPr>
          <w:i/>
          <w:lang w:val="en-GB" w:eastAsia="ja-JP"/>
        </w:rPr>
      </w:pPr>
      <w:r w:rsidRPr="00D13135">
        <w:rPr>
          <w:b/>
          <w:i/>
          <w:lang w:val="en-GB" w:eastAsia="ja-JP"/>
        </w:rPr>
        <w:t xml:space="preserve">b) </w:t>
      </w: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Cinryze </w:t>
      </w:r>
      <w:r w:rsidRPr="005271C4">
        <w:rPr>
          <w:i/>
          <w:lang w:val="en-GB" w:eastAsia="ja-JP"/>
        </w:rPr>
        <w:t xml:space="preserve">compared with </w:t>
      </w:r>
      <w:r>
        <w:rPr>
          <w:i/>
          <w:lang w:val="en-GB" w:eastAsia="ja-JP"/>
        </w:rPr>
        <w:t xml:space="preserve">Berinert </w:t>
      </w:r>
      <w:r w:rsidRPr="005271C4">
        <w:rPr>
          <w:i/>
          <w:lang w:val="en-GB" w:eastAsia="ja-JP"/>
        </w:rPr>
        <w:t xml:space="preserve">for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59F92BFD" w14:textId="07DCA236" w:rsidR="00A61DDF" w:rsidRDefault="00BB2263" w:rsidP="00A61DDF">
      <w:pPr>
        <w:pStyle w:val="Heading4"/>
      </w:pPr>
      <w:r>
        <w:lastRenderedPageBreak/>
        <w:t>Setting</w:t>
      </w:r>
      <w:r w:rsidR="00DC31D6">
        <w:t xml:space="preserve"> comparison</w:t>
      </w:r>
    </w:p>
    <w:p w14:paraId="471969CB" w14:textId="39E1FFD8" w:rsidR="00A61DDF" w:rsidRDefault="00A61DDF" w:rsidP="00D47FA8">
      <w:pPr>
        <w:pStyle w:val="BodyText"/>
        <w:numPr>
          <w:ilvl w:val="0"/>
          <w:numId w:val="34"/>
        </w:numPr>
        <w:rPr>
          <w:i/>
          <w:lang w:val="en-GB" w:eastAsia="ja-JP"/>
        </w:rPr>
      </w:pP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r w:rsidR="00D51EEC">
        <w:rPr>
          <w:i/>
          <w:lang w:val="en-GB" w:eastAsia="ja-JP"/>
        </w:rPr>
        <w:t>community</w:t>
      </w:r>
      <w:r>
        <w:rPr>
          <w:i/>
          <w:lang w:val="en-GB" w:eastAsia="ja-JP"/>
        </w:rPr>
        <w:t xml:space="preserve">-administered </w:t>
      </w:r>
      <w:r w:rsidRPr="005271C4">
        <w:rPr>
          <w:i/>
          <w:lang w:val="en-GB" w:eastAsia="ja-JP"/>
        </w:rPr>
        <w:t xml:space="preserve">C1-INH concentrate </w:t>
      </w:r>
      <w:r>
        <w:rPr>
          <w:i/>
          <w:lang w:val="en-GB" w:eastAsia="ja-JP"/>
        </w:rPr>
        <w:t xml:space="preserve">(Cinryze or Berinert) </w:t>
      </w:r>
      <w:r w:rsidRPr="005271C4">
        <w:rPr>
          <w:i/>
          <w:lang w:val="en-GB" w:eastAsia="ja-JP"/>
        </w:rPr>
        <w:t xml:space="preserve">compared with </w:t>
      </w:r>
      <w:r w:rsidR="00D51EEC">
        <w:rPr>
          <w:i/>
          <w:lang w:val="en-GB" w:eastAsia="ja-JP"/>
        </w:rPr>
        <w:t>hospital-</w:t>
      </w:r>
      <w:r>
        <w:rPr>
          <w:i/>
          <w:lang w:val="en-GB" w:eastAsia="ja-JP"/>
        </w:rPr>
        <w:t xml:space="preserve">administered C1-INH concentrate </w:t>
      </w:r>
      <w:r w:rsidRPr="005271C4">
        <w:rPr>
          <w:i/>
          <w:lang w:val="en-GB" w:eastAsia="ja-JP"/>
        </w:rPr>
        <w:t xml:space="preserve">for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34FC6544" w14:textId="3647A458" w:rsidR="00A61DDF" w:rsidRDefault="00BB2263" w:rsidP="00A61DDF">
      <w:pPr>
        <w:pStyle w:val="Heading4"/>
      </w:pPr>
      <w:r>
        <w:t>Funding model</w:t>
      </w:r>
      <w:r w:rsidR="00DC31D6">
        <w:t xml:space="preserve"> comparison</w:t>
      </w:r>
    </w:p>
    <w:p w14:paraId="51C5B758" w14:textId="375C9155" w:rsidR="00A61DDF" w:rsidRDefault="00A61DDF" w:rsidP="00D47FA8">
      <w:pPr>
        <w:pStyle w:val="BodyText"/>
        <w:numPr>
          <w:ilvl w:val="0"/>
          <w:numId w:val="34"/>
        </w:numPr>
        <w:rPr>
          <w:i/>
          <w:lang w:val="en-GB" w:eastAsia="ja-JP"/>
        </w:rPr>
      </w:pPr>
      <w:r w:rsidRPr="005271C4">
        <w:rPr>
          <w:i/>
          <w:lang w:val="en-GB" w:eastAsia="ja-JP"/>
        </w:rPr>
        <w:t xml:space="preserve">What </w:t>
      </w:r>
      <w:r>
        <w:rPr>
          <w:i/>
          <w:lang w:val="en-GB" w:eastAsia="ja-JP"/>
        </w:rPr>
        <w:t xml:space="preserve">are the likely benefits to patients or the health care system of </w:t>
      </w:r>
      <w:r w:rsidR="006461BB">
        <w:rPr>
          <w:i/>
          <w:lang w:val="en-GB" w:eastAsia="ja-JP"/>
        </w:rPr>
        <w:t>NPSL</w:t>
      </w:r>
      <w:r>
        <w:rPr>
          <w:i/>
          <w:lang w:val="en-GB" w:eastAsia="ja-JP"/>
        </w:rPr>
        <w:t xml:space="preserve">-funded C1-INH concentrate compared with </w:t>
      </w:r>
      <w:r w:rsidR="006461BB">
        <w:rPr>
          <w:i/>
          <w:lang w:val="en-GB" w:eastAsia="ja-JP"/>
        </w:rPr>
        <w:t>hospital</w:t>
      </w:r>
      <w:r>
        <w:rPr>
          <w:i/>
          <w:lang w:val="en-GB" w:eastAsia="ja-JP"/>
        </w:rPr>
        <w:t>-funded C1-INH concentrate</w:t>
      </w:r>
      <w:r w:rsidRPr="004D0261">
        <w:rPr>
          <w:i/>
          <w:lang w:val="en-GB" w:eastAsia="ja-JP"/>
        </w:rPr>
        <w:t xml:space="preserve"> </w:t>
      </w:r>
      <w:r>
        <w:rPr>
          <w:i/>
          <w:lang w:val="en-GB" w:eastAsia="ja-JP"/>
        </w:rPr>
        <w:t>f</w:t>
      </w:r>
      <w:r w:rsidRPr="005271C4">
        <w:rPr>
          <w:i/>
          <w:lang w:val="en-GB" w:eastAsia="ja-JP"/>
        </w:rPr>
        <w:t xml:space="preserve">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5588C65C" w14:textId="77777777" w:rsidR="004309D9" w:rsidRPr="00E61EAA" w:rsidRDefault="004309D9" w:rsidP="004309D9">
      <w:pPr>
        <w:pStyle w:val="Caption"/>
        <w:rPr>
          <w:lang w:val="en-GB" w:eastAsia="ja-JP"/>
        </w:rPr>
      </w:pPr>
      <w:bookmarkStart w:id="106" w:name="_Ref400010048"/>
      <w:r>
        <w:t xml:space="preserve">Table </w:t>
      </w:r>
      <w:r w:rsidR="00EA5D58">
        <w:fldChar w:fldCharType="begin"/>
      </w:r>
      <w:r w:rsidR="00EA5D58">
        <w:instrText xml:space="preserve"> SEQ Table \* ARABIC </w:instrText>
      </w:r>
      <w:r w:rsidR="00EA5D58">
        <w:fldChar w:fldCharType="separate"/>
      </w:r>
      <w:r w:rsidR="00847595">
        <w:rPr>
          <w:noProof/>
        </w:rPr>
        <w:t>13</w:t>
      </w:r>
      <w:r w:rsidR="00EA5D58">
        <w:rPr>
          <w:noProof/>
        </w:rPr>
        <w:fldChar w:fldCharType="end"/>
      </w:r>
      <w:bookmarkEnd w:id="105"/>
      <w:bookmarkEnd w:id="106"/>
      <w:r>
        <w:tab/>
      </w:r>
      <w:r w:rsidRPr="00C77F93">
        <w:t xml:space="preserve">Summary of PICO </w:t>
      </w:r>
      <w:r>
        <w:t>for</w:t>
      </w:r>
      <w:r w:rsidRPr="00C77F93">
        <w:t xml:space="preserve"> </w:t>
      </w:r>
      <w:r>
        <w:t>assessment of routine C1-INH concentrate for the prevention of HAE attacks</w:t>
      </w:r>
    </w:p>
    <w:tbl>
      <w:tblPr>
        <w:tblStyle w:val="TableGrid"/>
        <w:tblW w:w="0" w:type="auto"/>
        <w:tblLook w:val="04A0" w:firstRow="1" w:lastRow="0" w:firstColumn="1" w:lastColumn="0" w:noHBand="0" w:noVBand="1"/>
        <w:tblCaption w:val="Table 13 - Summary of PICO for assessment of routine C1-INH concentrate for the prevention of HAE attacks"/>
        <w:tblDescription w:val="A table outlining the population, intervention, comparator and outcomes of C1 esterase inhibitor use for routine prophylaxis."/>
      </w:tblPr>
      <w:tblGrid>
        <w:gridCol w:w="1555"/>
        <w:gridCol w:w="2126"/>
        <w:gridCol w:w="2551"/>
        <w:gridCol w:w="2784"/>
      </w:tblGrid>
      <w:tr w:rsidR="00C94645" w:rsidRPr="00C77F93" w14:paraId="5DEF2EA2" w14:textId="77777777" w:rsidTr="004A471B">
        <w:trPr>
          <w:tblHeader/>
        </w:trPr>
        <w:tc>
          <w:tcPr>
            <w:tcW w:w="1555" w:type="dxa"/>
          </w:tcPr>
          <w:p w14:paraId="57E083AB" w14:textId="77777777" w:rsidR="00C94645" w:rsidRPr="00C77F93" w:rsidRDefault="00C94645" w:rsidP="009D4D3A">
            <w:pPr>
              <w:pStyle w:val="TableHeading"/>
            </w:pPr>
            <w:r>
              <w:t>Population</w:t>
            </w:r>
          </w:p>
        </w:tc>
        <w:tc>
          <w:tcPr>
            <w:tcW w:w="2126" w:type="dxa"/>
          </w:tcPr>
          <w:p w14:paraId="5B28220B" w14:textId="77777777" w:rsidR="00C94645" w:rsidRPr="00C77F93" w:rsidRDefault="00C94645" w:rsidP="009D4D3A">
            <w:pPr>
              <w:pStyle w:val="TableHeading"/>
            </w:pPr>
            <w:r>
              <w:t>Intervention</w:t>
            </w:r>
          </w:p>
        </w:tc>
        <w:tc>
          <w:tcPr>
            <w:tcW w:w="2551" w:type="dxa"/>
          </w:tcPr>
          <w:p w14:paraId="2DAEE18E" w14:textId="77777777" w:rsidR="00C94645" w:rsidRPr="00C77F93" w:rsidRDefault="00C94645" w:rsidP="009D4D3A">
            <w:pPr>
              <w:pStyle w:val="TableHeading"/>
            </w:pPr>
            <w:r>
              <w:t>Comparator</w:t>
            </w:r>
          </w:p>
        </w:tc>
        <w:tc>
          <w:tcPr>
            <w:tcW w:w="2784" w:type="dxa"/>
          </w:tcPr>
          <w:p w14:paraId="290FCB18" w14:textId="77777777" w:rsidR="00C94645" w:rsidRPr="00C77F93" w:rsidRDefault="00C94645" w:rsidP="009D4D3A">
            <w:pPr>
              <w:pStyle w:val="TableHeading"/>
            </w:pPr>
            <w:r>
              <w:t>Outcomes</w:t>
            </w:r>
          </w:p>
        </w:tc>
      </w:tr>
      <w:tr w:rsidR="00C94645" w:rsidRPr="00C77F93" w14:paraId="3C104629" w14:textId="77777777" w:rsidTr="009D4D3A">
        <w:tc>
          <w:tcPr>
            <w:tcW w:w="1555" w:type="dxa"/>
          </w:tcPr>
          <w:p w14:paraId="3BDCF1AA" w14:textId="1D29BA37" w:rsidR="00C94645" w:rsidRPr="00C77F93" w:rsidRDefault="00C94645" w:rsidP="009D4D3A">
            <w:pPr>
              <w:pStyle w:val="TableText"/>
            </w:pPr>
            <w:r>
              <w:t xml:space="preserve">Patients with confirmed </w:t>
            </w:r>
            <w:r w:rsidRPr="00191426">
              <w:rPr>
                <w:lang w:val="en-GB"/>
              </w:rPr>
              <w:t>HAE types I or II</w:t>
            </w:r>
            <w:r>
              <w:t xml:space="preserve"> who are </w:t>
            </w:r>
            <w:r w:rsidRPr="003F53DE">
              <w:t>intolerant to or insufficiently protected by oral therapy</w:t>
            </w:r>
          </w:p>
        </w:tc>
        <w:tc>
          <w:tcPr>
            <w:tcW w:w="2126" w:type="dxa"/>
          </w:tcPr>
          <w:p w14:paraId="262FE76B" w14:textId="77777777" w:rsidR="00C94645" w:rsidRPr="0056760A" w:rsidRDefault="00C94645" w:rsidP="009D4D3A">
            <w:pPr>
              <w:pStyle w:val="TableTextspaceafter"/>
              <w:rPr>
                <w:u w:val="single"/>
              </w:rPr>
            </w:pPr>
            <w:r>
              <w:rPr>
                <w:u w:val="single"/>
              </w:rPr>
              <w:t>1. Treatment</w:t>
            </w:r>
          </w:p>
          <w:p w14:paraId="2B0481F6" w14:textId="0D36298D" w:rsidR="00C94645" w:rsidRDefault="00C94645" w:rsidP="004A471B">
            <w:pPr>
              <w:pStyle w:val="TableText"/>
            </w:pPr>
            <w:r>
              <w:t>C1-INH concentrate</w:t>
            </w:r>
          </w:p>
          <w:p w14:paraId="71E4C349" w14:textId="77777777" w:rsidR="004A471B" w:rsidRPr="004A471B" w:rsidRDefault="004A471B" w:rsidP="004A471B">
            <w:pPr>
              <w:pStyle w:val="TableText"/>
              <w:spacing w:line="960" w:lineRule="auto"/>
              <w:rPr>
                <w:i/>
                <w:lang w:val="en-GB"/>
              </w:rPr>
            </w:pPr>
          </w:p>
          <w:p w14:paraId="2394C943" w14:textId="77777777" w:rsidR="00C94645" w:rsidRPr="0056760A" w:rsidRDefault="00C94645" w:rsidP="009D4D3A">
            <w:pPr>
              <w:pStyle w:val="TableTextspaceafter"/>
              <w:rPr>
                <w:u w:val="single"/>
              </w:rPr>
            </w:pPr>
            <w:r w:rsidRPr="0056760A">
              <w:rPr>
                <w:u w:val="single"/>
              </w:rPr>
              <w:t xml:space="preserve">2. </w:t>
            </w:r>
            <w:r>
              <w:rPr>
                <w:u w:val="single"/>
              </w:rPr>
              <w:t>Setting</w:t>
            </w:r>
          </w:p>
          <w:p w14:paraId="1DF9E715" w14:textId="6150ED01" w:rsidR="00C94645" w:rsidRDefault="00CD7CF0" w:rsidP="009D4D3A">
            <w:pPr>
              <w:pStyle w:val="TableTextspaceafter"/>
            </w:pPr>
            <w:r>
              <w:t>Community</w:t>
            </w:r>
            <w:r w:rsidR="00C94645" w:rsidRPr="00C91BCA">
              <w:t>-</w:t>
            </w:r>
            <w:r w:rsidR="00C94645">
              <w:t>administered</w:t>
            </w:r>
            <w:r w:rsidR="00C94645" w:rsidRPr="00C91BCA">
              <w:t xml:space="preserve"> </w:t>
            </w:r>
            <w:r w:rsidR="00C94645">
              <w:br/>
            </w:r>
            <w:r w:rsidR="00C94645" w:rsidRPr="00C91BCA">
              <w:t>C1-INH concentrate</w:t>
            </w:r>
            <w:r w:rsidR="00C94645">
              <w:t xml:space="preserve"> </w:t>
            </w:r>
          </w:p>
          <w:p w14:paraId="1722DF02" w14:textId="77777777" w:rsidR="00C94645" w:rsidRPr="0056760A" w:rsidRDefault="00C94645" w:rsidP="009D4D3A">
            <w:pPr>
              <w:pStyle w:val="TableTextspaceafter"/>
              <w:rPr>
                <w:u w:val="single"/>
              </w:rPr>
            </w:pPr>
            <w:r w:rsidRPr="0056760A">
              <w:rPr>
                <w:u w:val="single"/>
              </w:rPr>
              <w:t xml:space="preserve">3. Funding </w:t>
            </w:r>
            <w:r>
              <w:rPr>
                <w:u w:val="single"/>
              </w:rPr>
              <w:t>model</w:t>
            </w:r>
          </w:p>
          <w:p w14:paraId="2FD2030E" w14:textId="29E587F1" w:rsidR="00C94645" w:rsidRPr="009612D1" w:rsidRDefault="00CD7CF0" w:rsidP="00B65635">
            <w:pPr>
              <w:pStyle w:val="TableText"/>
            </w:pPr>
            <w:r w:rsidRPr="009612D1">
              <w:t>NPSL</w:t>
            </w:r>
            <w:r w:rsidR="00C94645">
              <w:t>-</w:t>
            </w:r>
            <w:r w:rsidR="00C94645" w:rsidRPr="009612D1">
              <w:t xml:space="preserve">funded </w:t>
            </w:r>
            <w:r w:rsidR="00C94645">
              <w:br/>
            </w:r>
            <w:r w:rsidR="00C94645" w:rsidRPr="009612D1">
              <w:t>C1-INH concentrate</w:t>
            </w:r>
          </w:p>
        </w:tc>
        <w:tc>
          <w:tcPr>
            <w:tcW w:w="2551" w:type="dxa"/>
          </w:tcPr>
          <w:p w14:paraId="26CBF3D3" w14:textId="77777777" w:rsidR="00C94645" w:rsidRPr="0056760A" w:rsidRDefault="00C94645" w:rsidP="009D4D3A">
            <w:pPr>
              <w:pStyle w:val="TableTextspaceafter"/>
              <w:rPr>
                <w:u w:val="single"/>
              </w:rPr>
            </w:pPr>
            <w:r>
              <w:rPr>
                <w:u w:val="single"/>
              </w:rPr>
              <w:t>1. Treatment</w:t>
            </w:r>
          </w:p>
          <w:p w14:paraId="7955A0EB" w14:textId="16FCC123" w:rsidR="00C94645" w:rsidRDefault="00C94645" w:rsidP="00C94645">
            <w:pPr>
              <w:pStyle w:val="TableTextspaceafter"/>
              <w:ind w:left="175" w:hanging="175"/>
            </w:pPr>
            <w:r w:rsidRPr="00C94645">
              <w:rPr>
                <w:b/>
              </w:rPr>
              <w:t>a.</w:t>
            </w:r>
            <w:r>
              <w:t xml:space="preserve"> </w:t>
            </w:r>
            <w:r w:rsidR="00B65635" w:rsidRPr="00C94645">
              <w:t>no prophylaxis</w:t>
            </w:r>
            <w:r w:rsidR="00B65635">
              <w:t xml:space="preserve"> after failed oral therapy</w:t>
            </w:r>
            <w:r>
              <w:t>; or</w:t>
            </w:r>
          </w:p>
          <w:p w14:paraId="7AB0D09B" w14:textId="57FE4F01" w:rsidR="00C94645" w:rsidRPr="00C94645" w:rsidRDefault="00C94645" w:rsidP="00B65635">
            <w:pPr>
              <w:pStyle w:val="TableTextspaceafter"/>
              <w:ind w:left="175" w:hanging="175"/>
            </w:pPr>
            <w:r w:rsidRPr="00731616">
              <w:rPr>
                <w:b/>
              </w:rPr>
              <w:t xml:space="preserve">b. </w:t>
            </w:r>
            <w:r>
              <w:t>the other C1-INH concen</w:t>
            </w:r>
            <w:r w:rsidR="00B65635">
              <w:t>trate (i.e.Cinryze vs Berinert)</w:t>
            </w:r>
          </w:p>
          <w:p w14:paraId="7D51298F" w14:textId="77777777" w:rsidR="00C94645" w:rsidRPr="0056760A" w:rsidRDefault="00C94645" w:rsidP="009D4D3A">
            <w:pPr>
              <w:pStyle w:val="TableTextspaceafter"/>
              <w:rPr>
                <w:u w:val="single"/>
              </w:rPr>
            </w:pPr>
            <w:r w:rsidRPr="0056760A">
              <w:rPr>
                <w:u w:val="single"/>
              </w:rPr>
              <w:t xml:space="preserve">2. </w:t>
            </w:r>
            <w:r>
              <w:rPr>
                <w:u w:val="single"/>
              </w:rPr>
              <w:t>Setting</w:t>
            </w:r>
          </w:p>
          <w:p w14:paraId="2DB45613" w14:textId="78A13BE4" w:rsidR="00C94645" w:rsidRDefault="00CD7CF0" w:rsidP="009D4D3A">
            <w:pPr>
              <w:pStyle w:val="TableTextspaceafter"/>
            </w:pPr>
            <w:r w:rsidRPr="00C91BCA">
              <w:t>Hospital</w:t>
            </w:r>
            <w:r w:rsidR="00C94645">
              <w:t xml:space="preserve">-administered </w:t>
            </w:r>
            <w:r w:rsidR="00C94645">
              <w:br/>
              <w:t>C1-INH concentrate</w:t>
            </w:r>
            <w:r w:rsidR="00C94645">
              <w:rPr>
                <w:rStyle w:val="FootnoteReference"/>
              </w:rPr>
              <w:footnoteReference w:id="20"/>
            </w:r>
          </w:p>
          <w:p w14:paraId="7A56EBF1" w14:textId="77777777" w:rsidR="00C94645" w:rsidRPr="0056760A" w:rsidRDefault="00C94645" w:rsidP="009D4D3A">
            <w:pPr>
              <w:pStyle w:val="TableTextspaceafter"/>
              <w:rPr>
                <w:u w:val="single"/>
              </w:rPr>
            </w:pPr>
            <w:r w:rsidRPr="0056760A">
              <w:rPr>
                <w:u w:val="single"/>
              </w:rPr>
              <w:t>3. Funding</w:t>
            </w:r>
            <w:r>
              <w:rPr>
                <w:u w:val="single"/>
              </w:rPr>
              <w:t xml:space="preserve"> model</w:t>
            </w:r>
          </w:p>
          <w:p w14:paraId="73A682F8" w14:textId="45426AAA" w:rsidR="00C94645" w:rsidRPr="009612D1" w:rsidRDefault="00CD7CF0" w:rsidP="00B65635">
            <w:pPr>
              <w:pStyle w:val="TableText"/>
            </w:pPr>
            <w:r w:rsidRPr="00C91BCA">
              <w:t>Hospital</w:t>
            </w:r>
            <w:r w:rsidR="00C94645" w:rsidRPr="009612D1">
              <w:t xml:space="preserve">-funded </w:t>
            </w:r>
            <w:r w:rsidR="00C94645">
              <w:br/>
            </w:r>
            <w:r w:rsidR="00C94645" w:rsidRPr="009612D1">
              <w:t>C1-INH concentrate</w:t>
            </w:r>
          </w:p>
        </w:tc>
        <w:tc>
          <w:tcPr>
            <w:tcW w:w="2784" w:type="dxa"/>
          </w:tcPr>
          <w:p w14:paraId="5E6E7553" w14:textId="77777777" w:rsidR="00C94645" w:rsidRPr="007D362C" w:rsidRDefault="00C94645" w:rsidP="00C94645">
            <w:pPr>
              <w:pStyle w:val="TableText"/>
              <w:rPr>
                <w:u w:val="single"/>
              </w:rPr>
            </w:pPr>
            <w:r>
              <w:rPr>
                <w:u w:val="single"/>
              </w:rPr>
              <w:t>Efficacy outcomes</w:t>
            </w:r>
          </w:p>
          <w:p w14:paraId="4E97D050" w14:textId="77777777" w:rsidR="00C94645" w:rsidRDefault="00C94645" w:rsidP="00C94645">
            <w:pPr>
              <w:pStyle w:val="TableBullet"/>
            </w:pPr>
            <w:r>
              <w:t>median rate of HAE attacks</w:t>
            </w:r>
          </w:p>
          <w:p w14:paraId="311F5AC4" w14:textId="77777777" w:rsidR="00C94645" w:rsidRDefault="00C94645" w:rsidP="00C94645">
            <w:pPr>
              <w:pStyle w:val="TableBullet"/>
              <w:keepNext w:val="0"/>
            </w:pPr>
            <w:r>
              <w:t>mean score for the severity of attacks</w:t>
            </w:r>
          </w:p>
          <w:p w14:paraId="1AE9D28B" w14:textId="77777777" w:rsidR="00C94645" w:rsidRDefault="00C94645" w:rsidP="00C94645">
            <w:pPr>
              <w:pStyle w:val="TableBullet"/>
            </w:pPr>
            <w:r>
              <w:t>average duration of attacks</w:t>
            </w:r>
          </w:p>
          <w:p w14:paraId="173EE0F6" w14:textId="77777777" w:rsidR="00C94645" w:rsidRDefault="00C94645" w:rsidP="00C94645">
            <w:pPr>
              <w:pStyle w:val="TableBullet"/>
            </w:pPr>
            <w:r>
              <w:t>use of rescue medication</w:t>
            </w:r>
            <w:r>
              <w:rPr>
                <w:vertAlign w:val="superscript"/>
              </w:rPr>
              <w:t>b</w:t>
            </w:r>
          </w:p>
          <w:p w14:paraId="6248F543" w14:textId="77777777" w:rsidR="00C94645" w:rsidRDefault="00C94645" w:rsidP="00C94645">
            <w:pPr>
              <w:pStyle w:val="TableBulletspaceafter"/>
              <w:rPr>
                <w:u w:val="single"/>
              </w:rPr>
            </w:pPr>
            <w:r>
              <w:t>QoL</w:t>
            </w:r>
            <w:r>
              <w:rPr>
                <w:u w:val="single"/>
              </w:rPr>
              <w:t xml:space="preserve"> </w:t>
            </w:r>
          </w:p>
          <w:p w14:paraId="23F5F883" w14:textId="77777777" w:rsidR="00C94645" w:rsidRPr="007D362C" w:rsidRDefault="00C94645" w:rsidP="00C94645">
            <w:pPr>
              <w:pStyle w:val="TableText"/>
              <w:rPr>
                <w:u w:val="single"/>
              </w:rPr>
            </w:pPr>
            <w:r>
              <w:rPr>
                <w:u w:val="single"/>
              </w:rPr>
              <w:t>Safety outcomes</w:t>
            </w:r>
          </w:p>
          <w:p w14:paraId="2E4B8605" w14:textId="77777777" w:rsidR="00C94645" w:rsidRDefault="00C94645" w:rsidP="00C94645">
            <w:pPr>
              <w:pStyle w:val="TableBullet"/>
            </w:pPr>
            <w:r>
              <w:t>AEs/SAEs</w:t>
            </w:r>
          </w:p>
          <w:p w14:paraId="22612BC9" w14:textId="77777777" w:rsidR="00C94645" w:rsidRDefault="00C94645" w:rsidP="00C94645">
            <w:pPr>
              <w:pStyle w:val="TableBullet"/>
            </w:pPr>
            <w:r>
              <w:t>administration-site reactions</w:t>
            </w:r>
          </w:p>
          <w:p w14:paraId="04D979D1" w14:textId="77777777" w:rsidR="00C94645" w:rsidRDefault="00C94645" w:rsidP="00C94645">
            <w:pPr>
              <w:pStyle w:val="TableBullet"/>
            </w:pPr>
            <w:r>
              <w:t>antibodies to study drug</w:t>
            </w:r>
          </w:p>
          <w:p w14:paraId="09347244" w14:textId="2622F875" w:rsidR="00C94645" w:rsidRPr="00C77F93" w:rsidRDefault="00C94645" w:rsidP="00C94645">
            <w:pPr>
              <w:pStyle w:val="TableBullet"/>
            </w:pPr>
            <w:r>
              <w:t>virology</w:t>
            </w:r>
          </w:p>
        </w:tc>
      </w:tr>
    </w:tbl>
    <w:p w14:paraId="6ED1AE43" w14:textId="78822E5E" w:rsidR="004309D9" w:rsidRDefault="004309D9" w:rsidP="00CE24EF">
      <w:pPr>
        <w:pStyle w:val="TableFootnotes1"/>
        <w:rPr>
          <w:lang w:val="en-GB" w:eastAsia="ja-JP"/>
        </w:rPr>
      </w:pPr>
      <w:r w:rsidRPr="000A197E">
        <w:rPr>
          <w:b/>
          <w:lang w:val="en-GB" w:eastAsia="ja-JP"/>
        </w:rPr>
        <w:t xml:space="preserve">Abbreviations: </w:t>
      </w:r>
      <w:r>
        <w:rPr>
          <w:lang w:val="en-GB" w:eastAsia="ja-JP"/>
        </w:rPr>
        <w:t>AE, adverse event; C1-INH, C1 esterase inhibitor concentrate; HAE, hereditary angioedema; QoL, quality of life; SAE, serious adverse event</w:t>
      </w:r>
      <w:r w:rsidR="00085AF9">
        <w:rPr>
          <w:lang w:val="en-GB" w:eastAsia="ja-JP"/>
        </w:rPr>
        <w:t>; TA, transexamic acid</w:t>
      </w:r>
      <w:r w:rsidR="00D76388">
        <w:rPr>
          <w:lang w:val="en-GB" w:eastAsia="ja-JP"/>
        </w:rPr>
        <w:t>.</w:t>
      </w:r>
    </w:p>
    <w:p w14:paraId="26B4D201" w14:textId="78F092E3" w:rsidR="00BA0F80" w:rsidRDefault="00BA0F80" w:rsidP="00CE24EF">
      <w:pPr>
        <w:pStyle w:val="TableFootnotes1"/>
        <w:rPr>
          <w:lang w:val="en-GB" w:eastAsia="ja-JP"/>
        </w:rPr>
      </w:pPr>
      <w:r w:rsidRPr="00BA0F80">
        <w:rPr>
          <w:b/>
          <w:lang w:val="en-GB" w:eastAsia="ja-JP"/>
        </w:rPr>
        <w:t>a</w:t>
      </w:r>
      <w:r>
        <w:rPr>
          <w:lang w:val="en-GB" w:eastAsia="ja-JP"/>
        </w:rPr>
        <w:t xml:space="preserve"> </w:t>
      </w:r>
      <w:r>
        <w:t>C1-INH concentrate is clinically indicated where oral therapy provides insufficient protection or is intolerable. Patients successfully using oral therapies would not be appropriate comparators for routine use of C1-INH concentrate.</w:t>
      </w:r>
    </w:p>
    <w:p w14:paraId="556BDAD9" w14:textId="51EA5B13" w:rsidR="00CE24EF" w:rsidRDefault="00BA0F80" w:rsidP="00CE24EF">
      <w:pPr>
        <w:pStyle w:val="LastTableFootnote"/>
      </w:pPr>
      <w:r>
        <w:rPr>
          <w:b/>
        </w:rPr>
        <w:t>b</w:t>
      </w:r>
      <w:r w:rsidR="00CE24EF">
        <w:t xml:space="preserve"> rescue medication can be a second dose of study drug or a first dose of an alternative treatment</w:t>
      </w:r>
    </w:p>
    <w:p w14:paraId="54CCA815" w14:textId="77777777" w:rsidR="0005552C" w:rsidRDefault="0005552C" w:rsidP="00913A5E">
      <w:pPr>
        <w:pStyle w:val="Heading2"/>
      </w:pPr>
      <w:bookmarkStart w:id="107" w:name="_Toc394668197"/>
      <w:bookmarkStart w:id="108" w:name="_Toc400097975"/>
      <w:r>
        <w:lastRenderedPageBreak/>
        <w:t>Health care resources</w:t>
      </w:r>
      <w:bookmarkEnd w:id="107"/>
      <w:bookmarkEnd w:id="108"/>
    </w:p>
    <w:p w14:paraId="39B00FE0" w14:textId="2A4F15B3" w:rsidR="00E9524A" w:rsidRDefault="00324A01" w:rsidP="00913A5E">
      <w:pPr>
        <w:pStyle w:val="BodyText"/>
        <w:keepNext/>
        <w:rPr>
          <w:lang w:val="en-GB" w:eastAsia="ja-JP"/>
        </w:rPr>
      </w:pPr>
      <w:r>
        <w:rPr>
          <w:lang w:val="en-GB" w:eastAsia="ja-JP"/>
        </w:rPr>
        <w:fldChar w:fldCharType="begin"/>
      </w:r>
      <w:r>
        <w:rPr>
          <w:lang w:val="en-GB" w:eastAsia="ja-JP"/>
        </w:rPr>
        <w:instrText xml:space="preserve"> REF _Ref395893564 \h </w:instrText>
      </w:r>
      <w:r>
        <w:rPr>
          <w:lang w:val="en-GB" w:eastAsia="ja-JP"/>
        </w:rPr>
      </w:r>
      <w:r>
        <w:rPr>
          <w:lang w:val="en-GB" w:eastAsia="ja-JP"/>
        </w:rPr>
        <w:fldChar w:fldCharType="separate"/>
      </w:r>
      <w:r w:rsidR="00847595">
        <w:t xml:space="preserve">Table </w:t>
      </w:r>
      <w:r w:rsidR="00847595">
        <w:rPr>
          <w:noProof/>
        </w:rPr>
        <w:t>14</w:t>
      </w:r>
      <w:r>
        <w:rPr>
          <w:lang w:val="en-GB" w:eastAsia="ja-JP"/>
        </w:rPr>
        <w:fldChar w:fldCharType="end"/>
      </w:r>
      <w:r>
        <w:rPr>
          <w:lang w:val="en-GB" w:eastAsia="ja-JP"/>
        </w:rPr>
        <w:t xml:space="preserve"> describes the resources that may be associated with the use of C1-INH, for use in the economic evaluation and/or financial impact analysis.</w:t>
      </w:r>
    </w:p>
    <w:p w14:paraId="79FDC53C" w14:textId="6D515B56" w:rsidR="00324A01" w:rsidRPr="00E9524A" w:rsidRDefault="00324A01" w:rsidP="00913A5E">
      <w:pPr>
        <w:pStyle w:val="Caption"/>
        <w:rPr>
          <w:lang w:val="en-GB" w:eastAsia="ja-JP"/>
        </w:rPr>
      </w:pPr>
      <w:bookmarkStart w:id="109" w:name="_Ref395893564"/>
      <w:r>
        <w:t xml:space="preserve">Table </w:t>
      </w:r>
      <w:r w:rsidR="00EA5D58">
        <w:fldChar w:fldCharType="begin"/>
      </w:r>
      <w:r w:rsidR="00EA5D58">
        <w:instrText xml:space="preserve"> SEQ Table \* ARABIC </w:instrText>
      </w:r>
      <w:r w:rsidR="00EA5D58">
        <w:fldChar w:fldCharType="separate"/>
      </w:r>
      <w:r w:rsidR="00847595">
        <w:rPr>
          <w:noProof/>
        </w:rPr>
        <w:t>14</w:t>
      </w:r>
      <w:r w:rsidR="00EA5D58">
        <w:rPr>
          <w:noProof/>
        </w:rPr>
        <w:fldChar w:fldCharType="end"/>
      </w:r>
      <w:bookmarkEnd w:id="109"/>
      <w:r>
        <w:tab/>
        <w:t>Health care resources for C1-INH concentrate and comparators for the management of HAE</w:t>
      </w:r>
    </w:p>
    <w:tbl>
      <w:tblPr>
        <w:tblStyle w:val="TableGrid"/>
        <w:tblW w:w="5000" w:type="pct"/>
        <w:tblLook w:val="04A0" w:firstRow="1" w:lastRow="0" w:firstColumn="1" w:lastColumn="0" w:noHBand="0" w:noVBand="1"/>
        <w:tblCaption w:val="Table 14 - Health care resources for C1-INH concentrate and comparators for the management of HAE"/>
        <w:tblDescription w:val="A table outlining resources used to identify the population eligible for C1 esterase inhibitor use and resources required to deliver the product and comparators."/>
      </w:tblPr>
      <w:tblGrid>
        <w:gridCol w:w="1223"/>
        <w:gridCol w:w="2673"/>
        <w:gridCol w:w="2673"/>
        <w:gridCol w:w="2673"/>
      </w:tblGrid>
      <w:tr w:rsidR="00324A01" w:rsidRPr="00324A01" w14:paraId="7C55665C" w14:textId="77777777" w:rsidTr="00600578">
        <w:trPr>
          <w:tblHeader/>
        </w:trPr>
        <w:tc>
          <w:tcPr>
            <w:tcW w:w="662" w:type="pct"/>
          </w:tcPr>
          <w:p w14:paraId="26F1D6C3" w14:textId="6859F824" w:rsidR="00324A01" w:rsidRPr="0008520C" w:rsidRDefault="0008520C" w:rsidP="00913A5E">
            <w:pPr>
              <w:pStyle w:val="BodyText"/>
              <w:keepNext/>
              <w:spacing w:before="0" w:line="240" w:lineRule="auto"/>
              <w:rPr>
                <w:rFonts w:ascii="Arial Narrow" w:hAnsi="Arial Narrow"/>
                <w:b/>
              </w:rPr>
            </w:pPr>
            <w:r w:rsidRPr="0008520C">
              <w:rPr>
                <w:rFonts w:ascii="Arial Narrow" w:hAnsi="Arial Narrow"/>
                <w:b/>
              </w:rPr>
              <w:t>Resource</w:t>
            </w:r>
          </w:p>
        </w:tc>
        <w:tc>
          <w:tcPr>
            <w:tcW w:w="1446" w:type="pct"/>
          </w:tcPr>
          <w:p w14:paraId="26C8B722" w14:textId="77777777" w:rsidR="00324A01" w:rsidRPr="00324A01" w:rsidRDefault="00324A01" w:rsidP="00913A5E">
            <w:pPr>
              <w:pStyle w:val="BodyText"/>
              <w:keepNext/>
              <w:spacing w:before="0" w:line="240" w:lineRule="auto"/>
              <w:jc w:val="center"/>
              <w:rPr>
                <w:rFonts w:ascii="Arial Narrow" w:hAnsi="Arial Narrow"/>
                <w:b/>
              </w:rPr>
            </w:pPr>
            <w:r w:rsidRPr="00324A01">
              <w:rPr>
                <w:rFonts w:ascii="Arial Narrow" w:hAnsi="Arial Narrow"/>
                <w:b/>
              </w:rPr>
              <w:t>Treatment of acute attacks</w:t>
            </w:r>
          </w:p>
        </w:tc>
        <w:tc>
          <w:tcPr>
            <w:tcW w:w="1446" w:type="pct"/>
          </w:tcPr>
          <w:p w14:paraId="7D2657FC" w14:textId="77777777" w:rsidR="00324A01" w:rsidRPr="00324A01" w:rsidRDefault="00324A01" w:rsidP="00913A5E">
            <w:pPr>
              <w:pStyle w:val="BodyText"/>
              <w:keepNext/>
              <w:spacing w:before="0" w:line="240" w:lineRule="auto"/>
              <w:jc w:val="center"/>
              <w:rPr>
                <w:rFonts w:ascii="Arial Narrow" w:hAnsi="Arial Narrow"/>
                <w:b/>
              </w:rPr>
            </w:pPr>
            <w:r w:rsidRPr="00324A01">
              <w:rPr>
                <w:rFonts w:ascii="Arial Narrow" w:hAnsi="Arial Narrow"/>
                <w:b/>
              </w:rPr>
              <w:t>Pre-procedural prophylaxis</w:t>
            </w:r>
          </w:p>
        </w:tc>
        <w:tc>
          <w:tcPr>
            <w:tcW w:w="1446" w:type="pct"/>
          </w:tcPr>
          <w:p w14:paraId="430A4712" w14:textId="77777777" w:rsidR="00324A01" w:rsidRPr="00324A01" w:rsidRDefault="00324A01" w:rsidP="00913A5E">
            <w:pPr>
              <w:pStyle w:val="BodyText"/>
              <w:keepNext/>
              <w:spacing w:before="0" w:line="240" w:lineRule="auto"/>
              <w:jc w:val="center"/>
              <w:rPr>
                <w:rFonts w:ascii="Arial Narrow" w:hAnsi="Arial Narrow"/>
                <w:b/>
              </w:rPr>
            </w:pPr>
            <w:r w:rsidRPr="00324A01">
              <w:rPr>
                <w:rFonts w:ascii="Arial Narrow" w:hAnsi="Arial Narrow"/>
                <w:b/>
              </w:rPr>
              <w:t>Routine prophylaxis</w:t>
            </w:r>
          </w:p>
        </w:tc>
      </w:tr>
      <w:tr w:rsidR="00324A01" w:rsidRPr="00324A01" w14:paraId="2E3A6564" w14:textId="77777777" w:rsidTr="00600578">
        <w:tc>
          <w:tcPr>
            <w:tcW w:w="662" w:type="pct"/>
          </w:tcPr>
          <w:p w14:paraId="7344DC0B" w14:textId="77777777" w:rsidR="00324A01" w:rsidRPr="00324A01" w:rsidRDefault="00324A01" w:rsidP="00913A5E">
            <w:pPr>
              <w:pStyle w:val="BodyText"/>
              <w:keepNext/>
              <w:spacing w:before="0" w:line="240" w:lineRule="auto"/>
              <w:jc w:val="left"/>
              <w:rPr>
                <w:rFonts w:ascii="Arial Narrow" w:hAnsi="Arial Narrow"/>
                <w:b/>
                <w:i/>
              </w:rPr>
            </w:pPr>
            <w:r w:rsidRPr="00324A01">
              <w:rPr>
                <w:rFonts w:ascii="Arial Narrow" w:hAnsi="Arial Narrow"/>
                <w:b/>
              </w:rPr>
              <w:t>Resources provided to identify eligible population</w:t>
            </w:r>
          </w:p>
        </w:tc>
        <w:tc>
          <w:tcPr>
            <w:tcW w:w="1446" w:type="pct"/>
          </w:tcPr>
          <w:p w14:paraId="33BA7F51" w14:textId="77777777" w:rsidR="00324A01" w:rsidRPr="00324A01" w:rsidRDefault="00324A01" w:rsidP="00913A5E">
            <w:pPr>
              <w:pStyle w:val="BodyText"/>
              <w:keepNext/>
              <w:spacing w:before="0" w:line="240" w:lineRule="auto"/>
              <w:jc w:val="left"/>
              <w:rPr>
                <w:rFonts w:ascii="Arial Narrow" w:hAnsi="Arial Narrow"/>
              </w:rPr>
            </w:pPr>
            <w:r w:rsidRPr="00324A01">
              <w:rPr>
                <w:rFonts w:ascii="Arial Narrow" w:hAnsi="Arial Narrow"/>
              </w:rPr>
              <w:t>Eligible patients already have a confirmed diagnosis</w:t>
            </w:r>
          </w:p>
        </w:tc>
        <w:tc>
          <w:tcPr>
            <w:tcW w:w="1446" w:type="pct"/>
          </w:tcPr>
          <w:p w14:paraId="14B320DE" w14:textId="77777777" w:rsidR="00324A01" w:rsidRPr="00324A01" w:rsidRDefault="00324A01" w:rsidP="00913A5E">
            <w:pPr>
              <w:pStyle w:val="BodyText"/>
              <w:keepNext/>
              <w:spacing w:before="0" w:line="240" w:lineRule="auto"/>
              <w:jc w:val="left"/>
              <w:rPr>
                <w:rFonts w:ascii="Arial Narrow" w:hAnsi="Arial Narrow"/>
              </w:rPr>
            </w:pPr>
            <w:r w:rsidRPr="00324A01">
              <w:rPr>
                <w:rFonts w:ascii="Arial Narrow" w:hAnsi="Arial Narrow"/>
              </w:rPr>
              <w:t>Eligible patients already have a confirmed diagnosis</w:t>
            </w:r>
          </w:p>
        </w:tc>
        <w:tc>
          <w:tcPr>
            <w:tcW w:w="1446" w:type="pct"/>
          </w:tcPr>
          <w:p w14:paraId="3700A157" w14:textId="77777777" w:rsidR="00324A01" w:rsidRPr="00324A01" w:rsidRDefault="00324A01" w:rsidP="00913A5E">
            <w:pPr>
              <w:pStyle w:val="BodyText"/>
              <w:keepNext/>
              <w:spacing w:before="0" w:line="240" w:lineRule="auto"/>
              <w:jc w:val="left"/>
              <w:rPr>
                <w:rFonts w:ascii="Arial Narrow" w:hAnsi="Arial Narrow"/>
              </w:rPr>
            </w:pPr>
            <w:r w:rsidRPr="00324A01">
              <w:rPr>
                <w:rFonts w:ascii="Arial Narrow" w:hAnsi="Arial Narrow"/>
              </w:rPr>
              <w:t>Eligible patients already have a confirmed diagnosis</w:t>
            </w:r>
          </w:p>
        </w:tc>
      </w:tr>
      <w:tr w:rsidR="00324A01" w:rsidRPr="00324A01" w14:paraId="37B5FAA9" w14:textId="77777777" w:rsidTr="00600578">
        <w:tc>
          <w:tcPr>
            <w:tcW w:w="662" w:type="pct"/>
          </w:tcPr>
          <w:p w14:paraId="11507E8E" w14:textId="77777777"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t>Resources provided to deliver proposed intervention</w:t>
            </w:r>
          </w:p>
        </w:tc>
        <w:tc>
          <w:tcPr>
            <w:tcW w:w="1446" w:type="pct"/>
          </w:tcPr>
          <w:p w14:paraId="5813BD2A" w14:textId="5E00C42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Training costs for patients eligible for on-demand IRT, estimated 3 sessions per patient ($1,000-$2,000), covered by the sponsor. </w:t>
            </w:r>
          </w:p>
          <w:p w14:paraId="084CDB3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C1-INH per administration (supplied as a complete kit)</w:t>
            </w:r>
          </w:p>
          <w:p w14:paraId="07827020"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administration of C1-INH if not ‘on hand’</w:t>
            </w:r>
          </w:p>
          <w:p w14:paraId="3214365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Assistance with administration from a healthcare provider (e.g. community nurse, GP) in a proportion of patients who are eligible for on-demand IRT.</w:t>
            </w:r>
          </w:p>
        </w:tc>
        <w:tc>
          <w:tcPr>
            <w:tcW w:w="1446" w:type="pct"/>
          </w:tcPr>
          <w:p w14:paraId="4C769D92"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C1-INH per administration (supplied as a complete kit)</w:t>
            </w:r>
          </w:p>
          <w:p w14:paraId="7D87D9AE" w14:textId="08DD0DE1"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Treatment centre or GP visit for administration of C1-INH if not ‘on hand’</w:t>
            </w:r>
            <w:r w:rsidR="00006D70">
              <w:rPr>
                <w:rFonts w:ascii="Arial Narrow" w:hAnsi="Arial Narrow"/>
              </w:rPr>
              <w:t xml:space="preserve"> or if assistance required for injection</w:t>
            </w:r>
          </w:p>
        </w:tc>
        <w:tc>
          <w:tcPr>
            <w:tcW w:w="1446" w:type="pct"/>
          </w:tcPr>
          <w:p w14:paraId="5FB6DAC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Training costs for patients eligible for self-administered routine prophylaxis, estimated 3 sessions per patient ($1,000-$2,000), covered by the sponsor. </w:t>
            </w:r>
          </w:p>
          <w:p w14:paraId="04F3D3CC"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C1-INH per administration (supplied as a complete kit)</w:t>
            </w:r>
          </w:p>
          <w:p w14:paraId="1910E1E0"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Assistance with administration from a healthcare provider (e.g. community nurse, GP) in a proportion of patients who are eligible for on-demand IRT.</w:t>
            </w:r>
          </w:p>
        </w:tc>
      </w:tr>
      <w:tr w:rsidR="00324A01" w:rsidRPr="00324A01" w14:paraId="46A6ABFC" w14:textId="77777777" w:rsidTr="00600578">
        <w:tc>
          <w:tcPr>
            <w:tcW w:w="662" w:type="pct"/>
          </w:tcPr>
          <w:p w14:paraId="5B5DE648" w14:textId="77777777"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t>Resources provided in association with proposed intervention</w:t>
            </w:r>
          </w:p>
        </w:tc>
        <w:tc>
          <w:tcPr>
            <w:tcW w:w="1446" w:type="pct"/>
          </w:tcPr>
          <w:p w14:paraId="3C583D89"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203D8165"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Re-dosing with C1-INH in Emergency Department, if required (non-admitted)</w:t>
            </w:r>
          </w:p>
          <w:p w14:paraId="7299C43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100AACC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049447DC"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47958169"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w:t>
            </w:r>
          </w:p>
        </w:tc>
        <w:tc>
          <w:tcPr>
            <w:tcW w:w="1446" w:type="pct"/>
          </w:tcPr>
          <w:p w14:paraId="4D9285B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Re-dosing with C1-INH, if required</w:t>
            </w:r>
          </w:p>
          <w:p w14:paraId="09209EE4"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w:t>
            </w:r>
          </w:p>
          <w:p w14:paraId="437C496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1218AD3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57B9E4AE"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1186CEEA"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 from breakthrough attack</w:t>
            </w:r>
          </w:p>
        </w:tc>
        <w:tc>
          <w:tcPr>
            <w:tcW w:w="1446" w:type="pct"/>
          </w:tcPr>
          <w:p w14:paraId="7BBCA97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0FBE3ED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attacks</w:t>
            </w:r>
          </w:p>
          <w:p w14:paraId="107E1E85"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51658851"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3F2B6783"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7F2EEF7E"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 from breakthrough attack</w:t>
            </w:r>
          </w:p>
        </w:tc>
      </w:tr>
      <w:tr w:rsidR="00324A01" w:rsidRPr="00324A01" w14:paraId="1CE95689" w14:textId="77777777" w:rsidTr="00600578">
        <w:tc>
          <w:tcPr>
            <w:tcW w:w="662" w:type="pct"/>
          </w:tcPr>
          <w:p w14:paraId="0320BC17" w14:textId="77777777"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t>Resources provided to deliver the comparator</w:t>
            </w:r>
          </w:p>
        </w:tc>
        <w:tc>
          <w:tcPr>
            <w:tcW w:w="1446" w:type="pct"/>
          </w:tcPr>
          <w:p w14:paraId="19DC742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Specialist/GP visit for prescription</w:t>
            </w:r>
          </w:p>
          <w:p w14:paraId="3960E60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icatibant per administration</w:t>
            </w:r>
          </w:p>
          <w:p w14:paraId="556617BA"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administration of icatibant if not ‘on hand’</w:t>
            </w:r>
          </w:p>
          <w:p w14:paraId="48A90B5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No administration cost for patients who are eligible for on-demand IRT; however, a proportion of patients will need assistance with SC administration from a healthcare provider (e.g. community nurse, GP).</w:t>
            </w:r>
          </w:p>
        </w:tc>
        <w:tc>
          <w:tcPr>
            <w:tcW w:w="1446" w:type="pct"/>
          </w:tcPr>
          <w:p w14:paraId="1825017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Specialist/GP visit for prescription</w:t>
            </w:r>
          </w:p>
          <w:p w14:paraId="5EB60B8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oral danazol per administration</w:t>
            </w:r>
          </w:p>
        </w:tc>
        <w:tc>
          <w:tcPr>
            <w:tcW w:w="1446" w:type="pct"/>
          </w:tcPr>
          <w:p w14:paraId="712E6BC5" w14:textId="0E5A6C58" w:rsidR="00324A01" w:rsidRPr="00324A01" w:rsidRDefault="00324A01" w:rsidP="00AA798E">
            <w:pPr>
              <w:pStyle w:val="BodyText"/>
              <w:spacing w:before="0" w:line="240" w:lineRule="auto"/>
              <w:jc w:val="left"/>
              <w:rPr>
                <w:rFonts w:ascii="Arial Narrow" w:hAnsi="Arial Narrow"/>
              </w:rPr>
            </w:pPr>
          </w:p>
        </w:tc>
      </w:tr>
      <w:tr w:rsidR="00324A01" w:rsidRPr="00430CED" w14:paraId="2FD0307D" w14:textId="77777777" w:rsidTr="00600578">
        <w:tc>
          <w:tcPr>
            <w:tcW w:w="662" w:type="pct"/>
          </w:tcPr>
          <w:p w14:paraId="3EA983E3" w14:textId="1044CAD8"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lastRenderedPageBreak/>
              <w:t xml:space="preserve">Resources provided </w:t>
            </w:r>
            <w:r>
              <w:rPr>
                <w:rFonts w:ascii="Arial Narrow" w:hAnsi="Arial Narrow"/>
                <w:b/>
              </w:rPr>
              <w:t>in association with comparator</w:t>
            </w:r>
          </w:p>
        </w:tc>
        <w:tc>
          <w:tcPr>
            <w:tcW w:w="1446" w:type="pct"/>
          </w:tcPr>
          <w:p w14:paraId="08356533"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0377FED1"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Re-dosing with icatibant in Emergency Department</w:t>
            </w:r>
          </w:p>
          <w:p w14:paraId="2D774EA0"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55101A8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65D6950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7420A554"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w:t>
            </w:r>
          </w:p>
        </w:tc>
        <w:tc>
          <w:tcPr>
            <w:tcW w:w="1446" w:type="pct"/>
          </w:tcPr>
          <w:p w14:paraId="23737BA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Re-dosing with danazol, if required</w:t>
            </w:r>
          </w:p>
          <w:p w14:paraId="205BA47D"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w:t>
            </w:r>
          </w:p>
          <w:p w14:paraId="76C21BA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0FAD0555"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7BB251FC"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0300350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 from breakthrough attack</w:t>
            </w:r>
          </w:p>
        </w:tc>
        <w:tc>
          <w:tcPr>
            <w:tcW w:w="1446" w:type="pct"/>
          </w:tcPr>
          <w:p w14:paraId="39FEE00D"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01E6276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w:t>
            </w:r>
          </w:p>
          <w:p w14:paraId="758221E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1C5BC7C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4308A2AB" w14:textId="77777777" w:rsidR="00AA798E" w:rsidRDefault="00324A01" w:rsidP="000852ED">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51C93A58" w14:textId="3D555995" w:rsidR="00324A01" w:rsidRPr="00AA798E" w:rsidRDefault="00324A01" w:rsidP="000852ED">
            <w:pPr>
              <w:pStyle w:val="BodyText"/>
              <w:numPr>
                <w:ilvl w:val="0"/>
                <w:numId w:val="32"/>
              </w:numPr>
              <w:spacing w:before="0" w:line="240" w:lineRule="auto"/>
              <w:ind w:left="175" w:hanging="175"/>
              <w:jc w:val="left"/>
              <w:rPr>
                <w:rFonts w:ascii="Arial Narrow" w:hAnsi="Arial Narrow"/>
              </w:rPr>
            </w:pPr>
            <w:r w:rsidRPr="00AA798E">
              <w:rPr>
                <w:rFonts w:ascii="Arial Narrow" w:hAnsi="Arial Narrow"/>
              </w:rPr>
              <w:t>Other rescue medication to achieve relief from breakthrough attack</w:t>
            </w:r>
          </w:p>
        </w:tc>
      </w:tr>
    </w:tbl>
    <w:p w14:paraId="35BDC47C" w14:textId="52B6CAE5" w:rsidR="0005552C" w:rsidRDefault="00600578" w:rsidP="00600578">
      <w:pPr>
        <w:pStyle w:val="LastTableFootnote"/>
        <w:rPr>
          <w:lang w:val="en-GB" w:eastAsia="ja-JP"/>
        </w:rPr>
      </w:pPr>
      <w:r w:rsidRPr="000A197E">
        <w:rPr>
          <w:b/>
          <w:lang w:val="en-GB" w:eastAsia="ja-JP"/>
        </w:rPr>
        <w:t xml:space="preserve">Abbreviations: </w:t>
      </w:r>
      <w:r>
        <w:rPr>
          <w:lang w:val="en-GB" w:eastAsia="ja-JP"/>
        </w:rPr>
        <w:t>C1-INH, C1 esterase inhibitor concentrate; GP, general practitioner; IRT, individual replacement therapy; SC, subcutaneous</w:t>
      </w:r>
    </w:p>
    <w:p w14:paraId="27D07337" w14:textId="658D8E9C" w:rsidR="00E977F7" w:rsidRPr="00E977F7" w:rsidRDefault="00146017" w:rsidP="004E1A30">
      <w:pPr>
        <w:pStyle w:val="BodyText"/>
        <w:rPr>
          <w:highlight w:val="yellow"/>
          <w:lang w:val="en-GB" w:eastAsia="ja-JP"/>
        </w:rPr>
      </w:pPr>
      <w:r w:rsidRPr="00146017">
        <w:rPr>
          <w:lang w:val="en-GB" w:eastAsia="ja-JP"/>
        </w:rPr>
        <w:t xml:space="preserve">There </w:t>
      </w:r>
      <w:r w:rsidR="00AA798E">
        <w:rPr>
          <w:lang w:val="en-GB" w:eastAsia="ja-JP"/>
        </w:rPr>
        <w:t>are a number of published</w:t>
      </w:r>
      <w:r w:rsidR="004E1A30">
        <w:rPr>
          <w:lang w:val="en-GB" w:eastAsia="ja-JP"/>
        </w:rPr>
        <w:t xml:space="preserve"> animal and clinical studies of </w:t>
      </w:r>
      <w:r w:rsidRPr="00146017">
        <w:rPr>
          <w:lang w:val="en-GB" w:eastAsia="ja-JP"/>
        </w:rPr>
        <w:t>C1-INH</w:t>
      </w:r>
      <w:r>
        <w:rPr>
          <w:lang w:val="en-GB" w:eastAsia="ja-JP"/>
        </w:rPr>
        <w:t xml:space="preserve"> concentrate</w:t>
      </w:r>
      <w:r w:rsidRPr="00146017">
        <w:rPr>
          <w:lang w:val="en-GB" w:eastAsia="ja-JP"/>
        </w:rPr>
        <w:t xml:space="preserve"> for indications </w:t>
      </w:r>
      <w:r>
        <w:rPr>
          <w:lang w:val="en-GB" w:eastAsia="ja-JP"/>
        </w:rPr>
        <w:t xml:space="preserve">other than HAE </w:t>
      </w:r>
      <w:r w:rsidR="004E1A30">
        <w:rPr>
          <w:lang w:val="en-GB" w:eastAsia="ja-JP"/>
        </w:rPr>
        <w:t>(Singer et al, 2011</w:t>
      </w:r>
      <w:r w:rsidRPr="00146017">
        <w:rPr>
          <w:lang w:val="en-GB" w:eastAsia="ja-JP"/>
        </w:rPr>
        <w:t>).</w:t>
      </w:r>
      <w:r>
        <w:rPr>
          <w:lang w:val="en-GB" w:eastAsia="ja-JP"/>
        </w:rPr>
        <w:t xml:space="preserve"> </w:t>
      </w:r>
      <w:r w:rsidR="004E1A30">
        <w:rPr>
          <w:lang w:val="en-GB" w:eastAsia="ja-JP"/>
        </w:rPr>
        <w:t>In particular, the use of C1-INH concentrate in patients with s</w:t>
      </w:r>
      <w:r w:rsidR="00C40CCC">
        <w:rPr>
          <w:lang w:val="en-GB" w:eastAsia="ja-JP"/>
        </w:rPr>
        <w:t>eptic shock</w:t>
      </w:r>
      <w:r w:rsidR="004E1A30">
        <w:rPr>
          <w:lang w:val="en-GB" w:eastAsia="ja-JP"/>
        </w:rPr>
        <w:t xml:space="preserve"> has been explored. Being the largest potential alternative population for this intervention, s</w:t>
      </w:r>
      <w:r>
        <w:rPr>
          <w:lang w:val="en-GB" w:eastAsia="ja-JP"/>
        </w:rPr>
        <w:t>uch</w:t>
      </w:r>
      <w:r w:rsidRPr="00146017">
        <w:rPr>
          <w:lang w:val="en-GB" w:eastAsia="ja-JP"/>
        </w:rPr>
        <w:t xml:space="preserve"> </w:t>
      </w:r>
      <w:r>
        <w:rPr>
          <w:lang w:val="en-GB" w:eastAsia="ja-JP"/>
        </w:rPr>
        <w:t>p</w:t>
      </w:r>
      <w:r w:rsidRPr="00146017">
        <w:rPr>
          <w:lang w:val="en-GB" w:eastAsia="ja-JP"/>
        </w:rPr>
        <w:t xml:space="preserve">otential use of C1-INH </w:t>
      </w:r>
      <w:r>
        <w:rPr>
          <w:lang w:val="en-GB" w:eastAsia="ja-JP"/>
        </w:rPr>
        <w:t xml:space="preserve">concentrate </w:t>
      </w:r>
      <w:r w:rsidRPr="00146017">
        <w:rPr>
          <w:lang w:val="en-GB" w:eastAsia="ja-JP"/>
        </w:rPr>
        <w:t xml:space="preserve">will be </w:t>
      </w:r>
      <w:r w:rsidR="00191426">
        <w:rPr>
          <w:lang w:val="en-GB" w:eastAsia="ja-JP"/>
        </w:rPr>
        <w:t>examined</w:t>
      </w:r>
      <w:r w:rsidRPr="00146017">
        <w:rPr>
          <w:lang w:val="en-GB" w:eastAsia="ja-JP"/>
        </w:rPr>
        <w:t xml:space="preserve"> in financial impact sensitivity analyses.</w:t>
      </w:r>
    </w:p>
    <w:p w14:paraId="77DB429D" w14:textId="77777777" w:rsidR="00655E1B" w:rsidRDefault="00655E1B">
      <w:pPr>
        <w:rPr>
          <w:b/>
          <w:bCs/>
          <w:color w:val="215868"/>
          <w:sz w:val="24"/>
          <w:szCs w:val="32"/>
        </w:rPr>
      </w:pPr>
      <w:r>
        <w:br w:type="page"/>
      </w:r>
    </w:p>
    <w:p w14:paraId="0D85AEC5" w14:textId="5BE83F8F" w:rsidR="009169B6" w:rsidRDefault="009169B6" w:rsidP="009169B6">
      <w:pPr>
        <w:pStyle w:val="Heading1"/>
      </w:pPr>
      <w:bookmarkStart w:id="110" w:name="_Toc400097976"/>
      <w:r>
        <w:lastRenderedPageBreak/>
        <w:t xml:space="preserve">Additional issues identified by </w:t>
      </w:r>
      <w:r w:rsidR="00191426">
        <w:t>JBC</w:t>
      </w:r>
      <w:r>
        <w:t xml:space="preserve"> </w:t>
      </w:r>
      <w:r w:rsidRPr="009169B6">
        <w:t>Working Group</w:t>
      </w:r>
      <w:bookmarkEnd w:id="110"/>
    </w:p>
    <w:p w14:paraId="609CDB47" w14:textId="1B20D4C1" w:rsidR="009169B6" w:rsidRPr="00191426" w:rsidRDefault="0017343E" w:rsidP="009169B6">
      <w:pPr>
        <w:pStyle w:val="BodyText"/>
        <w:rPr>
          <w:lang w:val="en-GB" w:eastAsia="ja-JP"/>
        </w:rPr>
      </w:pPr>
      <w:r w:rsidRPr="00191426">
        <w:rPr>
          <w:lang w:val="en-GB" w:eastAsia="ja-JP"/>
        </w:rPr>
        <w:fldChar w:fldCharType="begin"/>
      </w:r>
      <w:r w:rsidRPr="00191426">
        <w:rPr>
          <w:lang w:val="en-GB" w:eastAsia="ja-JP"/>
        </w:rPr>
        <w:instrText xml:space="preserve"> REF _Ref396147601 \h </w:instrText>
      </w:r>
      <w:r w:rsidR="00191426">
        <w:rPr>
          <w:lang w:val="en-GB" w:eastAsia="ja-JP"/>
        </w:rPr>
        <w:instrText xml:space="preserve"> \* MERGEFORMAT </w:instrText>
      </w:r>
      <w:r w:rsidRPr="00191426">
        <w:rPr>
          <w:lang w:val="en-GB" w:eastAsia="ja-JP"/>
        </w:rPr>
      </w:r>
      <w:r w:rsidRPr="00191426">
        <w:rPr>
          <w:lang w:val="en-GB" w:eastAsia="ja-JP"/>
        </w:rPr>
        <w:fldChar w:fldCharType="separate"/>
      </w:r>
      <w:r w:rsidR="00847595" w:rsidRPr="00847595">
        <w:rPr>
          <w:lang w:val="en-GB" w:eastAsia="ja-JP"/>
        </w:rPr>
        <w:t>Table 15</w:t>
      </w:r>
      <w:r w:rsidRPr="00191426">
        <w:rPr>
          <w:lang w:val="en-GB" w:eastAsia="ja-JP"/>
        </w:rPr>
        <w:fldChar w:fldCharType="end"/>
      </w:r>
      <w:r w:rsidRPr="00191426">
        <w:rPr>
          <w:lang w:val="en-GB" w:eastAsia="ja-JP"/>
        </w:rPr>
        <w:t xml:space="preserve"> shows a list of a</w:t>
      </w:r>
      <w:r w:rsidR="009169B6" w:rsidRPr="00191426">
        <w:rPr>
          <w:lang w:val="en-GB" w:eastAsia="ja-JP"/>
        </w:rPr>
        <w:t xml:space="preserve">dditional issues </w:t>
      </w:r>
      <w:r w:rsidR="00191426">
        <w:rPr>
          <w:lang w:val="en-GB" w:eastAsia="ja-JP"/>
        </w:rPr>
        <w:t>identified by the Schedule 4 JBC</w:t>
      </w:r>
      <w:r w:rsidRPr="00191426">
        <w:rPr>
          <w:lang w:val="en-GB" w:eastAsia="ja-JP"/>
        </w:rPr>
        <w:t xml:space="preserve"> Working Group that require </w:t>
      </w:r>
      <w:r w:rsidR="009169B6" w:rsidRPr="00191426">
        <w:rPr>
          <w:lang w:val="en-GB" w:eastAsia="ja-JP"/>
        </w:rPr>
        <w:t>consideration in the evaluation of C1-INH concentrate</w:t>
      </w:r>
      <w:r w:rsidRPr="00191426">
        <w:rPr>
          <w:lang w:val="en-GB" w:eastAsia="ja-JP"/>
        </w:rPr>
        <w:t>.</w:t>
      </w:r>
    </w:p>
    <w:p w14:paraId="5C8E77F5" w14:textId="26A0FD2B" w:rsidR="009169B6" w:rsidRDefault="00442CBF" w:rsidP="00655E1B">
      <w:pPr>
        <w:pStyle w:val="Caption"/>
      </w:pPr>
      <w:bookmarkStart w:id="111" w:name="_Ref396147601"/>
      <w:r>
        <w:t xml:space="preserve">Table </w:t>
      </w:r>
      <w:r w:rsidR="00EA5D58">
        <w:fldChar w:fldCharType="begin"/>
      </w:r>
      <w:r w:rsidR="00EA5D58">
        <w:instrText xml:space="preserve"> SEQ Table \* ARABIC </w:instrText>
      </w:r>
      <w:r w:rsidR="00EA5D58">
        <w:fldChar w:fldCharType="separate"/>
      </w:r>
      <w:r w:rsidR="00847595">
        <w:rPr>
          <w:noProof/>
        </w:rPr>
        <w:t>15</w:t>
      </w:r>
      <w:r w:rsidR="00EA5D58">
        <w:rPr>
          <w:noProof/>
        </w:rPr>
        <w:fldChar w:fldCharType="end"/>
      </w:r>
      <w:bookmarkEnd w:id="111"/>
      <w:r>
        <w:tab/>
      </w:r>
      <w:r w:rsidR="0017343E">
        <w:t>Issues identified by the MCA Working Group to be considered in the evaluation of C1-INH concentrate</w:t>
      </w:r>
    </w:p>
    <w:tbl>
      <w:tblPr>
        <w:tblStyle w:val="TableGrid"/>
        <w:tblW w:w="0" w:type="auto"/>
        <w:tblLook w:val="04A0" w:firstRow="1" w:lastRow="0" w:firstColumn="1" w:lastColumn="0" w:noHBand="0" w:noVBand="1"/>
        <w:tblCaption w:val="Table 15 - Issues identified by the MCA Working Group to be considered in the evaluation of C1-INH concentrate"/>
        <w:tblDescription w:val="A table outlining additional queries from the Multi-Criteria Analysis Working Group for PASC consideration."/>
      </w:tblPr>
      <w:tblGrid>
        <w:gridCol w:w="1271"/>
        <w:gridCol w:w="7745"/>
      </w:tblGrid>
      <w:tr w:rsidR="0017343E" w:rsidRPr="00456F78" w14:paraId="788E7C31" w14:textId="77777777" w:rsidTr="004A471B">
        <w:trPr>
          <w:tblHeader/>
        </w:trPr>
        <w:tc>
          <w:tcPr>
            <w:tcW w:w="1271" w:type="dxa"/>
          </w:tcPr>
          <w:p w14:paraId="152B3D47" w14:textId="4F9CB44C" w:rsidR="0017343E" w:rsidRPr="00456F78" w:rsidRDefault="0017343E" w:rsidP="00191426">
            <w:pPr>
              <w:pStyle w:val="TableHeading"/>
              <w:keepNext w:val="0"/>
            </w:pPr>
            <w:r>
              <w:t>Area</w:t>
            </w:r>
          </w:p>
        </w:tc>
        <w:tc>
          <w:tcPr>
            <w:tcW w:w="7745" w:type="dxa"/>
          </w:tcPr>
          <w:p w14:paraId="36DA878A" w14:textId="0ABED7BD" w:rsidR="0017343E" w:rsidRPr="00456F78" w:rsidRDefault="0017343E" w:rsidP="00191426">
            <w:pPr>
              <w:pStyle w:val="TableHeading"/>
              <w:keepNext w:val="0"/>
            </w:pPr>
            <w:r>
              <w:t>Issue</w:t>
            </w:r>
          </w:p>
        </w:tc>
      </w:tr>
      <w:tr w:rsidR="0017343E" w:rsidRPr="00456F78" w14:paraId="373330E5" w14:textId="77777777" w:rsidTr="00191426">
        <w:tc>
          <w:tcPr>
            <w:tcW w:w="1271" w:type="dxa"/>
          </w:tcPr>
          <w:p w14:paraId="76F2A9E9" w14:textId="48B87338" w:rsidR="0017343E" w:rsidRPr="00456F78" w:rsidRDefault="0017343E" w:rsidP="00191426">
            <w:pPr>
              <w:pStyle w:val="TableText"/>
              <w:keepNext w:val="0"/>
            </w:pPr>
            <w:r>
              <w:t>Comparative dosages</w:t>
            </w:r>
          </w:p>
        </w:tc>
        <w:tc>
          <w:tcPr>
            <w:tcW w:w="7745" w:type="dxa"/>
          </w:tcPr>
          <w:p w14:paraId="566D3911" w14:textId="7F3064E4" w:rsidR="0017343E" w:rsidRPr="00456F78" w:rsidRDefault="0017343E" w:rsidP="00191426">
            <w:pPr>
              <w:pStyle w:val="TableText"/>
              <w:keepNext w:val="0"/>
            </w:pPr>
            <w:r>
              <w:t>Wha</w:t>
            </w:r>
            <w:r w:rsidR="00191426">
              <w:t>t are the equi-effective doses</w:t>
            </w:r>
            <w:r>
              <w:t xml:space="preserve"> </w:t>
            </w:r>
            <w:r w:rsidR="00191426">
              <w:t>(</w:t>
            </w:r>
            <w:r>
              <w:t>i.e. do 2 vials of Cinryze (standard treatment dose) have the same effect as 3.02 vials of Berinert (standard treatment dose)</w:t>
            </w:r>
            <w:r w:rsidR="00191426">
              <w:t>)?</w:t>
            </w:r>
          </w:p>
        </w:tc>
      </w:tr>
      <w:tr w:rsidR="0017343E" w:rsidRPr="00456F78" w14:paraId="0E9F5DE4" w14:textId="77777777" w:rsidTr="00191426">
        <w:tc>
          <w:tcPr>
            <w:tcW w:w="1271" w:type="dxa"/>
          </w:tcPr>
          <w:p w14:paraId="41E7945D" w14:textId="54981883" w:rsidR="0017343E" w:rsidRPr="00456F78" w:rsidRDefault="0017343E" w:rsidP="00191426">
            <w:pPr>
              <w:pStyle w:val="TableText"/>
              <w:keepNext w:val="0"/>
            </w:pPr>
            <w:r w:rsidRPr="00456F78">
              <w:t>Costs</w:t>
            </w:r>
          </w:p>
        </w:tc>
        <w:tc>
          <w:tcPr>
            <w:tcW w:w="7745" w:type="dxa"/>
          </w:tcPr>
          <w:p w14:paraId="6C337F16" w14:textId="6B163BBC" w:rsidR="0017343E" w:rsidRPr="00456F78" w:rsidRDefault="0017343E" w:rsidP="00191426">
            <w:pPr>
              <w:pStyle w:val="TableText"/>
              <w:keepNext w:val="0"/>
            </w:pPr>
            <w:r w:rsidRPr="00456F78">
              <w:t xml:space="preserve">How do Cinryze and Berinert </w:t>
            </w:r>
            <w:r w:rsidR="00191426">
              <w:t xml:space="preserve">compare in costs to icatibant? </w:t>
            </w:r>
            <w:r w:rsidRPr="00456F78">
              <w:t>Is there potential for governments to spend more on C1-INH through</w:t>
            </w:r>
            <w:r w:rsidR="00191426">
              <w:t xml:space="preserve"> the National Blood A</w:t>
            </w:r>
            <w:r w:rsidRPr="00456F78">
              <w:t>rrangements for the same benefits deli</w:t>
            </w:r>
            <w:r w:rsidR="00191426">
              <w:t xml:space="preserve">vered by icatibant on the PBS? </w:t>
            </w:r>
            <w:r w:rsidRPr="00456F78">
              <w:t>What trends are ther</w:t>
            </w:r>
            <w:r w:rsidR="00191426">
              <w:t>e in utilisation and cost for ic</w:t>
            </w:r>
            <w:r w:rsidRPr="00456F78">
              <w:t>atibant?</w:t>
            </w:r>
          </w:p>
        </w:tc>
      </w:tr>
      <w:tr w:rsidR="0017343E" w:rsidRPr="00456F78" w14:paraId="328318BD" w14:textId="77777777" w:rsidTr="00191426">
        <w:tc>
          <w:tcPr>
            <w:tcW w:w="1271" w:type="dxa"/>
          </w:tcPr>
          <w:p w14:paraId="12E1A0B7" w14:textId="3C6F3F17" w:rsidR="0017343E" w:rsidRPr="00456F78" w:rsidRDefault="0017343E" w:rsidP="00191426">
            <w:pPr>
              <w:pStyle w:val="TableText"/>
              <w:keepNext w:val="0"/>
            </w:pPr>
            <w:r>
              <w:t>Population of consumers</w:t>
            </w:r>
          </w:p>
        </w:tc>
        <w:tc>
          <w:tcPr>
            <w:tcW w:w="7745" w:type="dxa"/>
          </w:tcPr>
          <w:p w14:paraId="74DF3863" w14:textId="1E8A4870" w:rsidR="0017343E" w:rsidRPr="00456F78" w:rsidRDefault="0017343E" w:rsidP="00191426">
            <w:pPr>
              <w:pStyle w:val="TableText"/>
              <w:keepNext w:val="0"/>
            </w:pPr>
            <w:r>
              <w:t>Is the coho</w:t>
            </w:r>
            <w:r w:rsidR="00191426">
              <w:t>rt of patients who cannot use ic</w:t>
            </w:r>
            <w:r>
              <w:t xml:space="preserve">atibant large enough to justify inclusion of these products </w:t>
            </w:r>
            <w:r w:rsidR="00191426">
              <w:t>under the National Blood A</w:t>
            </w:r>
            <w:r w:rsidR="00191426" w:rsidRPr="00456F78">
              <w:t xml:space="preserve">rrangements </w:t>
            </w:r>
            <w:r>
              <w:t>regardless of</w:t>
            </w:r>
            <w:r w:rsidR="00191426">
              <w:t xml:space="preserve"> negative cost comparisons to ic</w:t>
            </w:r>
            <w:r>
              <w:t>atibant?</w:t>
            </w:r>
          </w:p>
        </w:tc>
      </w:tr>
      <w:tr w:rsidR="0017343E" w:rsidRPr="00456F78" w14:paraId="1F448A57" w14:textId="77777777" w:rsidTr="00191426">
        <w:tc>
          <w:tcPr>
            <w:tcW w:w="1271" w:type="dxa"/>
          </w:tcPr>
          <w:p w14:paraId="6A58DE5A" w14:textId="3D7C6231" w:rsidR="0017343E" w:rsidRPr="00456F78" w:rsidRDefault="0017343E" w:rsidP="00191426">
            <w:pPr>
              <w:pStyle w:val="TableText"/>
              <w:keepNext w:val="0"/>
            </w:pPr>
            <w:r>
              <w:t>Wastage comparisons</w:t>
            </w:r>
          </w:p>
        </w:tc>
        <w:tc>
          <w:tcPr>
            <w:tcW w:w="7745" w:type="dxa"/>
          </w:tcPr>
          <w:p w14:paraId="6E571EC6" w14:textId="1F338DB3" w:rsidR="0017343E" w:rsidRPr="00456F78" w:rsidRDefault="0017343E" w:rsidP="00191426">
            <w:pPr>
              <w:pStyle w:val="TableText"/>
              <w:keepNext w:val="0"/>
            </w:pPr>
            <w:r w:rsidRPr="00456F78">
              <w:t xml:space="preserve">What is the shelf life for </w:t>
            </w:r>
            <w:r w:rsidR="00191426">
              <w:t>the products compared to ic</w:t>
            </w:r>
            <w:r w:rsidRPr="00456F78">
              <w:t>atibant?</w:t>
            </w:r>
          </w:p>
        </w:tc>
      </w:tr>
      <w:tr w:rsidR="0017343E" w:rsidRPr="00456F78" w14:paraId="6DE06237" w14:textId="77777777" w:rsidTr="00191426">
        <w:tc>
          <w:tcPr>
            <w:tcW w:w="1271" w:type="dxa"/>
          </w:tcPr>
          <w:p w14:paraId="27190614" w14:textId="7CF7C779" w:rsidR="0017343E" w:rsidRPr="00456F78" w:rsidRDefault="0017343E" w:rsidP="00191426">
            <w:pPr>
              <w:pStyle w:val="TableText"/>
              <w:keepNext w:val="0"/>
            </w:pPr>
            <w:r w:rsidRPr="00456F78">
              <w:t>Convenience</w:t>
            </w:r>
          </w:p>
        </w:tc>
        <w:tc>
          <w:tcPr>
            <w:tcW w:w="7745" w:type="dxa"/>
          </w:tcPr>
          <w:p w14:paraId="060AF833" w14:textId="16AE5090" w:rsidR="0017343E" w:rsidRPr="00456F78" w:rsidRDefault="0017343E" w:rsidP="00191426">
            <w:pPr>
              <w:pStyle w:val="TableText"/>
              <w:keepNext w:val="0"/>
            </w:pPr>
            <w:r w:rsidRPr="00456F78">
              <w:t>Icatibant is purchased as a single dose, pre-filled injection administered subcutaneously (similar to an EpiPen) which can be transported at room temperature for em</w:t>
            </w:r>
            <w:r w:rsidR="00191426">
              <w:t xml:space="preserve">ergencies outside of hospital. </w:t>
            </w:r>
            <w:r w:rsidRPr="00456F78">
              <w:t xml:space="preserve">As Cinryze </w:t>
            </w:r>
            <w:r w:rsidR="00191426">
              <w:t>and</w:t>
            </w:r>
            <w:r w:rsidRPr="00456F78">
              <w:t xml:space="preserve"> Berinert are administered intravenously</w:t>
            </w:r>
            <w:r w:rsidR="00191426">
              <w:t>,</w:t>
            </w:r>
            <w:r w:rsidRPr="00456F78">
              <w:t xml:space="preserve"> </w:t>
            </w:r>
            <w:r w:rsidR="00191426">
              <w:t>are they considered convenient for patients</w:t>
            </w:r>
            <w:r w:rsidRPr="00456F78">
              <w:t>?</w:t>
            </w:r>
          </w:p>
        </w:tc>
      </w:tr>
      <w:tr w:rsidR="0017343E" w:rsidRPr="00456F78" w14:paraId="7007A392" w14:textId="77777777" w:rsidTr="00191426">
        <w:tc>
          <w:tcPr>
            <w:tcW w:w="1271" w:type="dxa"/>
          </w:tcPr>
          <w:p w14:paraId="1CDDFE71" w14:textId="41A28F3E" w:rsidR="0017343E" w:rsidRPr="00456F78" w:rsidRDefault="0017343E" w:rsidP="00191426">
            <w:pPr>
              <w:pStyle w:val="TableText"/>
              <w:keepNext w:val="0"/>
            </w:pPr>
            <w:r w:rsidRPr="00456F78">
              <w:t>Likelihood of uptake</w:t>
            </w:r>
          </w:p>
        </w:tc>
        <w:tc>
          <w:tcPr>
            <w:tcW w:w="7745" w:type="dxa"/>
          </w:tcPr>
          <w:p w14:paraId="0B770501" w14:textId="72FEF435" w:rsidR="0017343E" w:rsidRPr="00456F78" w:rsidRDefault="0017343E" w:rsidP="00191426">
            <w:pPr>
              <w:pStyle w:val="TableText"/>
              <w:keepNext w:val="0"/>
            </w:pPr>
            <w:r w:rsidRPr="00456F78">
              <w:t>Will patients need additional training and physical requirements, such as good veins and a trained ‘infusion partner’ to monitor treatment in the home, to appropriately a</w:t>
            </w:r>
            <w:r w:rsidR="00191426">
              <w:t xml:space="preserve">ccess Cinryze and/or Berinert? </w:t>
            </w:r>
            <w:r w:rsidRPr="00456F78">
              <w:t>Will additional requirements affect rates of uptake?</w:t>
            </w:r>
          </w:p>
        </w:tc>
      </w:tr>
      <w:tr w:rsidR="0017343E" w:rsidRPr="00456F78" w14:paraId="25FA7B12" w14:textId="77777777" w:rsidTr="00191426">
        <w:tc>
          <w:tcPr>
            <w:tcW w:w="1271" w:type="dxa"/>
          </w:tcPr>
          <w:p w14:paraId="237C018D" w14:textId="00709057" w:rsidR="0017343E" w:rsidRPr="00456F78" w:rsidRDefault="0017343E" w:rsidP="00191426">
            <w:pPr>
              <w:pStyle w:val="TableText"/>
              <w:keepNext w:val="0"/>
            </w:pPr>
            <w:r w:rsidRPr="00456F78">
              <w:t>Governance</w:t>
            </w:r>
          </w:p>
        </w:tc>
        <w:tc>
          <w:tcPr>
            <w:tcW w:w="7745" w:type="dxa"/>
          </w:tcPr>
          <w:p w14:paraId="67543ECF" w14:textId="1A50A39A" w:rsidR="0017343E" w:rsidRPr="00456F78" w:rsidRDefault="0017343E" w:rsidP="00191426">
            <w:pPr>
              <w:pStyle w:val="TableText"/>
              <w:keepNext w:val="0"/>
            </w:pPr>
            <w:r>
              <w:t>W</w:t>
            </w:r>
            <w:r w:rsidRPr="00456F78">
              <w:t>ill there be additional costs in setting up a process to regulate and monitor which patients are eligible to receive Ci</w:t>
            </w:r>
            <w:r w:rsidR="00191426">
              <w:t xml:space="preserve">nryze and Berinert? </w:t>
            </w:r>
            <w:r w:rsidRPr="00456F78">
              <w:t>What are these estimated costs?</w:t>
            </w:r>
          </w:p>
        </w:tc>
      </w:tr>
    </w:tbl>
    <w:p w14:paraId="0E04316D" w14:textId="77777777" w:rsidR="009E5D73" w:rsidRPr="00191426" w:rsidRDefault="009E5D73" w:rsidP="00191426">
      <w:pPr>
        <w:pStyle w:val="BodyText"/>
        <w:rPr>
          <w:lang w:val="en-GB" w:eastAsia="ja-JP"/>
        </w:rPr>
      </w:pPr>
      <w:r w:rsidRPr="00191426">
        <w:rPr>
          <w:lang w:val="en-GB" w:eastAsia="ja-JP"/>
        </w:rPr>
        <w:br w:type="page"/>
      </w:r>
    </w:p>
    <w:p w14:paraId="696AF5DE" w14:textId="18158E63" w:rsidR="0005552C" w:rsidRDefault="0005552C" w:rsidP="00456F78">
      <w:pPr>
        <w:pStyle w:val="Heading1"/>
        <w:numPr>
          <w:ilvl w:val="0"/>
          <w:numId w:val="0"/>
        </w:numPr>
      </w:pPr>
      <w:bookmarkStart w:id="112" w:name="_Toc400097977"/>
      <w:r>
        <w:lastRenderedPageBreak/>
        <w:t>References</w:t>
      </w:r>
      <w:bookmarkEnd w:id="112"/>
    </w:p>
    <w:p w14:paraId="476724E2" w14:textId="0AAF56B2" w:rsidR="0005552C" w:rsidRPr="00E73305" w:rsidRDefault="0005552C" w:rsidP="0005552C">
      <w:pPr>
        <w:pStyle w:val="BodyText"/>
        <w:spacing w:line="240" w:lineRule="auto"/>
        <w:ind w:left="567" w:hanging="567"/>
        <w:rPr>
          <w:sz w:val="18"/>
          <w:szCs w:val="18"/>
        </w:rPr>
      </w:pPr>
      <w:r w:rsidRPr="00E73305">
        <w:rPr>
          <w:sz w:val="18"/>
          <w:szCs w:val="18"/>
        </w:rPr>
        <w:t>Bork K, Wulff K, Hardt J, Witzke G, Staubach P. (2009) Hereditary angioedema caused by missense mutations in the factor XII gene: clinical features, trigger factors, and therapy. J Allergy Clin Immunol. 124(1):129-34</w:t>
      </w:r>
      <w:r w:rsidR="00EF0810">
        <w:rPr>
          <w:sz w:val="18"/>
          <w:szCs w:val="18"/>
        </w:rPr>
        <w:t>.</w:t>
      </w:r>
    </w:p>
    <w:p w14:paraId="5AFEDDC6" w14:textId="0586426F" w:rsidR="0005552C" w:rsidRDefault="0005552C" w:rsidP="0005552C">
      <w:pPr>
        <w:pStyle w:val="References"/>
      </w:pPr>
      <w:r w:rsidRPr="006865F1">
        <w:t xml:space="preserve">Craig T, Aygören-Pürsün E, Bork K, Bowen T, </w:t>
      </w:r>
      <w:r>
        <w:t xml:space="preserve">et al (2012) </w:t>
      </w:r>
      <w:r w:rsidRPr="00415FD0">
        <w:t>WAO Guideline for the Management of Hereditary Angioedema</w:t>
      </w:r>
      <w:r>
        <w:t xml:space="preserve">. World Allergy Organ J. </w:t>
      </w:r>
      <w:r w:rsidRPr="00415FD0">
        <w:t>5(12):182-99</w:t>
      </w:r>
      <w:r w:rsidR="00EF0810">
        <w:t>.</w:t>
      </w:r>
    </w:p>
    <w:p w14:paraId="7E8ECF71" w14:textId="039DB140" w:rsidR="0005552C" w:rsidRDefault="0005552C" w:rsidP="0005552C">
      <w:pPr>
        <w:pStyle w:val="References"/>
      </w:pPr>
      <w:r>
        <w:t>Katelaris C, Smith W, Mullins R, Gillis D, et al. Position Paper on Hereditary Angioedema. Australasian Society of Clinical Immunology and Allergy. August 2012</w:t>
      </w:r>
      <w:r w:rsidR="00EF0810">
        <w:t>.</w:t>
      </w:r>
    </w:p>
    <w:p w14:paraId="47B90C13" w14:textId="4E706B47" w:rsidR="0005552C" w:rsidRDefault="00EF0810" w:rsidP="0005552C">
      <w:pPr>
        <w:pStyle w:val="References"/>
      </w:pPr>
      <w:r>
        <w:t xml:space="preserve">King N, Katelaris C. (2012) HAE in Australia: the patient experience. </w:t>
      </w:r>
      <w:r w:rsidRPr="00EF0810">
        <w:t xml:space="preserve">European Academy of Allergy and Clinical Immunology </w:t>
      </w:r>
      <w:r>
        <w:t>(EAACI) 2012 Congress. Poster presentation.</w:t>
      </w:r>
    </w:p>
    <w:p w14:paraId="4B2EB0E6" w14:textId="51240EC7" w:rsidR="00A339B6" w:rsidRDefault="00A339B6" w:rsidP="00A339B6">
      <w:pPr>
        <w:pStyle w:val="References"/>
      </w:pPr>
      <w:r>
        <w:t>Longhurst HJ (2010) Management of acute attacks of hereditary angioedema: potential role of icatibant. Vasc Health Risk Manag.</w:t>
      </w:r>
      <w:r w:rsidRPr="00A339B6">
        <w:t xml:space="preserve"> 6: 795–802</w:t>
      </w:r>
    </w:p>
    <w:p w14:paraId="22C770AA" w14:textId="7CFBB9DD" w:rsidR="004E1A30" w:rsidRDefault="004E1A30" w:rsidP="0005552C">
      <w:pPr>
        <w:pStyle w:val="References"/>
      </w:pPr>
      <w:r w:rsidRPr="004E1A30">
        <w:t>Singer M and Jones AM</w:t>
      </w:r>
      <w:r>
        <w:t xml:space="preserve"> (2011) </w:t>
      </w:r>
      <w:r w:rsidRPr="004E1A30">
        <w:t>Bench-to-bedside review: The role of C1-esterase inhibitor in sepsis and other critical illnesses</w:t>
      </w:r>
      <w:r>
        <w:t xml:space="preserve">. </w:t>
      </w:r>
      <w:r w:rsidRPr="004E1A30">
        <w:t>Critical Care 2010, 15:203</w:t>
      </w:r>
    </w:p>
    <w:p w14:paraId="21110FA5" w14:textId="77777777" w:rsidR="0005552C" w:rsidRDefault="0005552C" w:rsidP="0005552C">
      <w:pPr>
        <w:pStyle w:val="References"/>
      </w:pPr>
    </w:p>
    <w:p w14:paraId="2691DF25" w14:textId="68F7D629" w:rsidR="0005552C" w:rsidRPr="00736201" w:rsidRDefault="006927DF" w:rsidP="00736201">
      <w:pPr>
        <w:pStyle w:val="Heading6"/>
      </w:pPr>
      <w:bookmarkStart w:id="113" w:name="_Ref395174474"/>
      <w:bookmarkStart w:id="114" w:name="_Toc400097978"/>
      <w:r w:rsidRPr="00736201">
        <w:lastRenderedPageBreak/>
        <w:t xml:space="preserve">ASCIA treatment </w:t>
      </w:r>
      <w:r w:rsidR="0005552C" w:rsidRPr="00736201">
        <w:t>recommendations</w:t>
      </w:r>
      <w:bookmarkEnd w:id="113"/>
      <w:bookmarkEnd w:id="114"/>
    </w:p>
    <w:p w14:paraId="452A5CBE" w14:textId="77777777" w:rsidR="0005552C" w:rsidRDefault="0005552C" w:rsidP="0005552C">
      <w:pPr>
        <w:pStyle w:val="BodyText"/>
      </w:pPr>
    </w:p>
    <w:p w14:paraId="28E945C8" w14:textId="66EEF540" w:rsidR="0005552C" w:rsidRDefault="00D10E14" w:rsidP="0005552C">
      <w:pPr>
        <w:pStyle w:val="Caption"/>
      </w:pPr>
      <w:bookmarkStart w:id="115" w:name="_Ref395184854"/>
      <w:r>
        <w:t>Table</w:t>
      </w:r>
      <w:r w:rsidR="0005552C">
        <w:t xml:space="preserve"> </w:t>
      </w:r>
      <w:r w:rsidR="00EA5D58">
        <w:fldChar w:fldCharType="begin"/>
      </w:r>
      <w:r w:rsidR="00EA5D58">
        <w:instrText xml:space="preserve"> STYLEREF 6 \s </w:instrText>
      </w:r>
      <w:r w:rsidR="00EA5D58">
        <w:fldChar w:fldCharType="separate"/>
      </w:r>
      <w:r w:rsidR="00847595">
        <w:rPr>
          <w:noProof/>
        </w:rPr>
        <w:t>A</w:t>
      </w:r>
      <w:r w:rsidR="00EA5D58">
        <w:rPr>
          <w:noProof/>
        </w:rPr>
        <w:fldChar w:fldCharType="end"/>
      </w:r>
      <w:r w:rsidR="0005552C">
        <w:t>.</w:t>
      </w:r>
      <w:r w:rsidR="00EA5D58">
        <w:fldChar w:fldCharType="begin"/>
      </w:r>
      <w:r w:rsidR="00EA5D58">
        <w:instrText xml:space="preserve"> SEQ Table_Apdx_ \* ARABIC \s 6 </w:instrText>
      </w:r>
      <w:r w:rsidR="00EA5D58">
        <w:fldChar w:fldCharType="separate"/>
      </w:r>
      <w:r w:rsidR="00847595">
        <w:rPr>
          <w:noProof/>
        </w:rPr>
        <w:t>1</w:t>
      </w:r>
      <w:r w:rsidR="00EA5D58">
        <w:rPr>
          <w:noProof/>
        </w:rPr>
        <w:fldChar w:fldCharType="end"/>
      </w:r>
      <w:bookmarkEnd w:id="115"/>
      <w:r w:rsidR="0005552C">
        <w:tab/>
        <w:t>ASCIA Position Paper recommendations for management of H</w:t>
      </w:r>
      <w:r w:rsidR="001B3B44">
        <w:t>AE</w:t>
      </w:r>
      <w:r w:rsidR="0005552C">
        <w:t xml:space="preserve"> in sub</w:t>
      </w:r>
      <w:r w:rsidR="00A175C2">
        <w:t>-</w:t>
      </w:r>
      <w:r w:rsidR="0005552C">
        <w:t>populations</w:t>
      </w:r>
    </w:p>
    <w:tbl>
      <w:tblPr>
        <w:tblStyle w:val="TableGrid"/>
        <w:tblW w:w="0" w:type="auto"/>
        <w:tblLook w:val="04A0" w:firstRow="1" w:lastRow="0" w:firstColumn="1" w:lastColumn="0" w:noHBand="0" w:noVBand="1"/>
        <w:tblCaption w:val="Table A.1 - ASCIA Position Paper recommendations for management of HAE in sub-populations"/>
        <w:tblDescription w:val="A table outlining ASCIA recommended management for HAE in all subpopulations."/>
      </w:tblPr>
      <w:tblGrid>
        <w:gridCol w:w="2263"/>
        <w:gridCol w:w="1234"/>
        <w:gridCol w:w="1235"/>
        <w:gridCol w:w="1328"/>
        <w:gridCol w:w="1309"/>
        <w:gridCol w:w="1647"/>
      </w:tblGrid>
      <w:tr w:rsidR="0005552C" w:rsidRPr="00BC4565" w14:paraId="06D8DCD8" w14:textId="77777777" w:rsidTr="004A471B">
        <w:trPr>
          <w:tblHeader/>
        </w:trPr>
        <w:tc>
          <w:tcPr>
            <w:tcW w:w="2263" w:type="dxa"/>
            <w:vAlign w:val="center"/>
          </w:tcPr>
          <w:p w14:paraId="1826DAA8" w14:textId="77777777" w:rsidR="0005552C" w:rsidRPr="000E7C7C" w:rsidRDefault="0005552C" w:rsidP="003B4ED7">
            <w:pPr>
              <w:pStyle w:val="TableText"/>
              <w:jc w:val="center"/>
              <w:rPr>
                <w:b/>
              </w:rPr>
            </w:pPr>
            <w:r>
              <w:rPr>
                <w:b/>
              </w:rPr>
              <w:t>Route of administration</w:t>
            </w:r>
          </w:p>
        </w:tc>
        <w:tc>
          <w:tcPr>
            <w:tcW w:w="2469" w:type="dxa"/>
            <w:gridSpan w:val="2"/>
            <w:vAlign w:val="center"/>
          </w:tcPr>
          <w:p w14:paraId="259F2012" w14:textId="77777777" w:rsidR="0005552C" w:rsidRPr="000E7C7C" w:rsidRDefault="0005552C" w:rsidP="003B4ED7">
            <w:pPr>
              <w:pStyle w:val="TableText"/>
              <w:jc w:val="center"/>
              <w:rPr>
                <w:b/>
              </w:rPr>
            </w:pPr>
            <w:r w:rsidRPr="000E7C7C">
              <w:rPr>
                <w:b/>
              </w:rPr>
              <w:t>I.V</w:t>
            </w:r>
            <w:r>
              <w:rPr>
                <w:b/>
              </w:rPr>
              <w:t>. injection</w:t>
            </w:r>
          </w:p>
        </w:tc>
        <w:tc>
          <w:tcPr>
            <w:tcW w:w="1328" w:type="dxa"/>
            <w:vAlign w:val="center"/>
          </w:tcPr>
          <w:p w14:paraId="649E1F7D" w14:textId="77777777" w:rsidR="0005552C" w:rsidRPr="000E7C7C" w:rsidRDefault="0005552C" w:rsidP="003B4ED7">
            <w:pPr>
              <w:pStyle w:val="TableText"/>
              <w:jc w:val="center"/>
              <w:rPr>
                <w:b/>
              </w:rPr>
            </w:pPr>
            <w:r w:rsidRPr="000E7C7C">
              <w:rPr>
                <w:b/>
              </w:rPr>
              <w:t>subcutaneous</w:t>
            </w:r>
            <w:r>
              <w:rPr>
                <w:b/>
              </w:rPr>
              <w:t xml:space="preserve"> injection</w:t>
            </w:r>
          </w:p>
        </w:tc>
        <w:tc>
          <w:tcPr>
            <w:tcW w:w="2956" w:type="dxa"/>
            <w:gridSpan w:val="2"/>
            <w:vAlign w:val="center"/>
          </w:tcPr>
          <w:p w14:paraId="212AED28" w14:textId="77777777" w:rsidR="0005552C" w:rsidRPr="000E7C7C" w:rsidRDefault="0005552C" w:rsidP="003B4ED7">
            <w:pPr>
              <w:pStyle w:val="TableText"/>
              <w:jc w:val="center"/>
              <w:rPr>
                <w:b/>
              </w:rPr>
            </w:pPr>
            <w:r w:rsidRPr="000E7C7C">
              <w:rPr>
                <w:b/>
              </w:rPr>
              <w:t>oral</w:t>
            </w:r>
          </w:p>
        </w:tc>
      </w:tr>
      <w:tr w:rsidR="0005552C" w:rsidRPr="00BC4565" w14:paraId="1FBBC4B8" w14:textId="77777777" w:rsidTr="003B4ED7">
        <w:tc>
          <w:tcPr>
            <w:tcW w:w="2263" w:type="dxa"/>
            <w:vAlign w:val="bottom"/>
          </w:tcPr>
          <w:p w14:paraId="489CFE9E" w14:textId="77777777" w:rsidR="0005552C" w:rsidRPr="00BC4565" w:rsidRDefault="0005552C" w:rsidP="003B4ED7">
            <w:pPr>
              <w:pStyle w:val="TableHeading"/>
            </w:pPr>
            <w:r>
              <w:t>Sub-population</w:t>
            </w:r>
          </w:p>
        </w:tc>
        <w:tc>
          <w:tcPr>
            <w:tcW w:w="1234" w:type="dxa"/>
            <w:vAlign w:val="bottom"/>
          </w:tcPr>
          <w:p w14:paraId="49E0DD6C" w14:textId="77777777" w:rsidR="0005552C" w:rsidRPr="00BC4565" w:rsidRDefault="0005552C" w:rsidP="003B4ED7">
            <w:pPr>
              <w:pStyle w:val="TableHeading"/>
            </w:pPr>
            <w:r>
              <w:t>Cinryze</w:t>
            </w:r>
          </w:p>
        </w:tc>
        <w:tc>
          <w:tcPr>
            <w:tcW w:w="1235" w:type="dxa"/>
            <w:vAlign w:val="bottom"/>
          </w:tcPr>
          <w:p w14:paraId="529B52E6" w14:textId="77777777" w:rsidR="0005552C" w:rsidRPr="00BC4565" w:rsidRDefault="0005552C" w:rsidP="003B4ED7">
            <w:pPr>
              <w:pStyle w:val="TableHeading"/>
            </w:pPr>
            <w:r>
              <w:t>Berinert</w:t>
            </w:r>
          </w:p>
        </w:tc>
        <w:tc>
          <w:tcPr>
            <w:tcW w:w="1328" w:type="dxa"/>
            <w:vAlign w:val="bottom"/>
          </w:tcPr>
          <w:p w14:paraId="2BC81327" w14:textId="77777777" w:rsidR="0005552C" w:rsidRPr="00BC4565" w:rsidRDefault="0005552C" w:rsidP="003B4ED7">
            <w:pPr>
              <w:pStyle w:val="TableHeading"/>
            </w:pPr>
            <w:r>
              <w:t>icatibant</w:t>
            </w:r>
          </w:p>
        </w:tc>
        <w:tc>
          <w:tcPr>
            <w:tcW w:w="1309" w:type="dxa"/>
            <w:vAlign w:val="bottom"/>
          </w:tcPr>
          <w:p w14:paraId="35939197" w14:textId="77777777" w:rsidR="0005552C" w:rsidRDefault="0005552C" w:rsidP="003B4ED7">
            <w:pPr>
              <w:pStyle w:val="TableHeading"/>
            </w:pPr>
            <w:r>
              <w:t>attenuated androgens</w:t>
            </w:r>
          </w:p>
          <w:p w14:paraId="79452033" w14:textId="77777777" w:rsidR="0005552C" w:rsidRPr="00BC4565" w:rsidRDefault="0005552C" w:rsidP="003B4ED7">
            <w:pPr>
              <w:pStyle w:val="TableHeading"/>
            </w:pPr>
            <w:r>
              <w:t>(danazol)</w:t>
            </w:r>
          </w:p>
        </w:tc>
        <w:tc>
          <w:tcPr>
            <w:tcW w:w="1647" w:type="dxa"/>
            <w:vAlign w:val="bottom"/>
          </w:tcPr>
          <w:p w14:paraId="6BF13644" w14:textId="77777777" w:rsidR="0005552C" w:rsidRPr="00BC4565" w:rsidRDefault="0005552C" w:rsidP="003B4ED7">
            <w:pPr>
              <w:pStyle w:val="TableHeading"/>
            </w:pPr>
            <w:r>
              <w:t>anti-fibrinolytics (tranexamic acid)</w:t>
            </w:r>
          </w:p>
        </w:tc>
      </w:tr>
      <w:tr w:rsidR="0005552C" w:rsidRPr="00BC4565" w14:paraId="39BDE7C5" w14:textId="77777777" w:rsidTr="003B4ED7">
        <w:tc>
          <w:tcPr>
            <w:tcW w:w="9016" w:type="dxa"/>
            <w:gridSpan w:val="6"/>
          </w:tcPr>
          <w:p w14:paraId="01767D9F" w14:textId="7B95CD84" w:rsidR="0005552C" w:rsidRPr="00BC4565" w:rsidRDefault="00B406E1" w:rsidP="003B4ED7">
            <w:pPr>
              <w:pStyle w:val="TableHeading"/>
            </w:pPr>
            <w:r>
              <w:t>Paediatric</w:t>
            </w:r>
          </w:p>
        </w:tc>
      </w:tr>
      <w:tr w:rsidR="0005552C" w:rsidRPr="00BC4565" w14:paraId="3A5A5DC9" w14:textId="77777777" w:rsidTr="003B4ED7">
        <w:tc>
          <w:tcPr>
            <w:tcW w:w="2263" w:type="dxa"/>
          </w:tcPr>
          <w:p w14:paraId="45715472" w14:textId="77777777" w:rsidR="0005552C" w:rsidRPr="00BC4565" w:rsidRDefault="0005552C" w:rsidP="003B4ED7">
            <w:pPr>
              <w:pStyle w:val="TableText"/>
            </w:pPr>
            <w:r>
              <w:t>acute</w:t>
            </w:r>
          </w:p>
        </w:tc>
        <w:tc>
          <w:tcPr>
            <w:tcW w:w="1234" w:type="dxa"/>
            <w:vAlign w:val="center"/>
          </w:tcPr>
          <w:p w14:paraId="27C18397" w14:textId="77777777" w:rsidR="0005552C" w:rsidRPr="007B40DE" w:rsidRDefault="0005552C" w:rsidP="003B4ED7">
            <w:pPr>
              <w:pStyle w:val="TableText"/>
              <w:jc w:val="center"/>
            </w:pPr>
            <w:r w:rsidRPr="007B40DE">
              <w:sym w:font="Wingdings" w:char="F0FC"/>
            </w:r>
            <w:r w:rsidRPr="007B40DE">
              <w:rPr>
                <w:vertAlign w:val="superscript"/>
              </w:rPr>
              <w:t>a</w:t>
            </w:r>
          </w:p>
        </w:tc>
        <w:tc>
          <w:tcPr>
            <w:tcW w:w="1235" w:type="dxa"/>
            <w:vAlign w:val="center"/>
          </w:tcPr>
          <w:p w14:paraId="45E1FA18" w14:textId="77777777" w:rsidR="0005552C" w:rsidRPr="00BC4565" w:rsidRDefault="0005552C" w:rsidP="003B4ED7">
            <w:pPr>
              <w:pStyle w:val="TableText"/>
              <w:jc w:val="center"/>
            </w:pPr>
            <w:r>
              <w:sym w:font="Wingdings" w:char="F0FC"/>
            </w:r>
          </w:p>
        </w:tc>
        <w:tc>
          <w:tcPr>
            <w:tcW w:w="1328" w:type="dxa"/>
            <w:vAlign w:val="center"/>
          </w:tcPr>
          <w:p w14:paraId="09443414" w14:textId="77777777" w:rsidR="0005552C" w:rsidRPr="007B40DE" w:rsidRDefault="0005552C" w:rsidP="003B4ED7">
            <w:pPr>
              <w:pStyle w:val="TableText"/>
              <w:jc w:val="center"/>
            </w:pPr>
            <w:r w:rsidRPr="007B40DE">
              <w:t>Х</w:t>
            </w:r>
            <w:r w:rsidRPr="007B40DE">
              <w:rPr>
                <w:vertAlign w:val="superscript"/>
              </w:rPr>
              <w:t>d</w:t>
            </w:r>
          </w:p>
        </w:tc>
        <w:tc>
          <w:tcPr>
            <w:tcW w:w="1309" w:type="dxa"/>
            <w:shd w:val="clear" w:color="auto" w:fill="D9D9D9" w:themeFill="background1" w:themeFillShade="D9"/>
            <w:vAlign w:val="center"/>
          </w:tcPr>
          <w:p w14:paraId="188E9013" w14:textId="77777777" w:rsidR="0005552C" w:rsidRPr="007B40DE" w:rsidRDefault="0005552C" w:rsidP="003B4ED7">
            <w:pPr>
              <w:pStyle w:val="TableText"/>
              <w:jc w:val="center"/>
            </w:pPr>
          </w:p>
        </w:tc>
        <w:tc>
          <w:tcPr>
            <w:tcW w:w="1647" w:type="dxa"/>
            <w:vAlign w:val="center"/>
          </w:tcPr>
          <w:p w14:paraId="3039F435" w14:textId="69D8F834" w:rsidR="0005552C" w:rsidRPr="007B40DE" w:rsidRDefault="00073402" w:rsidP="003B4ED7">
            <w:pPr>
              <w:pStyle w:val="TableText"/>
              <w:jc w:val="center"/>
            </w:pPr>
            <w:r>
              <w:t>~</w:t>
            </w:r>
            <w:r w:rsidR="00A339B6" w:rsidRPr="00A339B6">
              <w:rPr>
                <w:vertAlign w:val="superscript"/>
              </w:rPr>
              <w:t>j</w:t>
            </w:r>
          </w:p>
        </w:tc>
      </w:tr>
      <w:tr w:rsidR="0005552C" w:rsidRPr="00BC4565" w14:paraId="347EA924" w14:textId="77777777" w:rsidTr="003B4ED7">
        <w:tc>
          <w:tcPr>
            <w:tcW w:w="2263" w:type="dxa"/>
          </w:tcPr>
          <w:p w14:paraId="37CCBB44" w14:textId="77777777" w:rsidR="0005552C" w:rsidRPr="00BC4565" w:rsidRDefault="0005552C" w:rsidP="003B4ED7">
            <w:pPr>
              <w:pStyle w:val="TableText"/>
            </w:pPr>
            <w:r>
              <w:t>pre-procedural prophylaxis</w:t>
            </w:r>
          </w:p>
        </w:tc>
        <w:tc>
          <w:tcPr>
            <w:tcW w:w="1234" w:type="dxa"/>
            <w:vAlign w:val="center"/>
          </w:tcPr>
          <w:p w14:paraId="4438F1F9" w14:textId="77777777" w:rsidR="0005552C" w:rsidRPr="007B40DE" w:rsidRDefault="0005552C" w:rsidP="003B4ED7">
            <w:pPr>
              <w:pStyle w:val="TableText"/>
              <w:jc w:val="center"/>
            </w:pPr>
            <w:r w:rsidRPr="007B40DE">
              <w:sym w:font="Wingdings" w:char="F0FC"/>
            </w:r>
            <w:r w:rsidRPr="007B40DE">
              <w:rPr>
                <w:vertAlign w:val="superscript"/>
              </w:rPr>
              <w:t>a</w:t>
            </w:r>
          </w:p>
        </w:tc>
        <w:tc>
          <w:tcPr>
            <w:tcW w:w="1235" w:type="dxa"/>
            <w:shd w:val="clear" w:color="auto" w:fill="D9D9D9" w:themeFill="background1" w:themeFillShade="D9"/>
            <w:vAlign w:val="center"/>
          </w:tcPr>
          <w:p w14:paraId="57A7C83B"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5AB9530D" w14:textId="77777777" w:rsidR="0005552C" w:rsidRPr="007B40DE" w:rsidRDefault="0005552C" w:rsidP="003B4ED7">
            <w:pPr>
              <w:pStyle w:val="TableText"/>
              <w:jc w:val="center"/>
            </w:pPr>
          </w:p>
        </w:tc>
        <w:tc>
          <w:tcPr>
            <w:tcW w:w="1309" w:type="dxa"/>
            <w:tcBorders>
              <w:bottom w:val="single" w:sz="4" w:space="0" w:color="auto"/>
            </w:tcBorders>
            <w:vAlign w:val="center"/>
          </w:tcPr>
          <w:p w14:paraId="12B40ED7" w14:textId="77777777" w:rsidR="0005552C" w:rsidRPr="007B40DE" w:rsidRDefault="0005552C" w:rsidP="003B4ED7">
            <w:pPr>
              <w:pStyle w:val="TableText"/>
              <w:jc w:val="center"/>
            </w:pPr>
            <w:r w:rsidRPr="007B40DE">
              <w:sym w:font="Wingdings" w:char="F0FC"/>
            </w:r>
            <w:r w:rsidRPr="003B4D52">
              <w:rPr>
                <w:vertAlign w:val="superscript"/>
              </w:rPr>
              <w:t>g</w:t>
            </w:r>
          </w:p>
        </w:tc>
        <w:tc>
          <w:tcPr>
            <w:tcW w:w="1647" w:type="dxa"/>
            <w:tcBorders>
              <w:bottom w:val="single" w:sz="4" w:space="0" w:color="auto"/>
            </w:tcBorders>
            <w:vAlign w:val="center"/>
          </w:tcPr>
          <w:p w14:paraId="20A9FDE9" w14:textId="242374E2" w:rsidR="0005552C" w:rsidRPr="007B40DE" w:rsidRDefault="0005552C" w:rsidP="003B4ED7">
            <w:pPr>
              <w:pStyle w:val="TableText"/>
              <w:jc w:val="center"/>
            </w:pPr>
            <w:r w:rsidRPr="007B40DE">
              <w:sym w:font="Wingdings" w:char="F0FC"/>
            </w:r>
            <w:r w:rsidR="00A339B6">
              <w:rPr>
                <w:vertAlign w:val="superscript"/>
              </w:rPr>
              <w:t>k</w:t>
            </w:r>
          </w:p>
        </w:tc>
      </w:tr>
      <w:tr w:rsidR="0005552C" w:rsidRPr="00BC4565" w14:paraId="623DB239" w14:textId="77777777" w:rsidTr="003B4ED7">
        <w:tc>
          <w:tcPr>
            <w:tcW w:w="2263" w:type="dxa"/>
          </w:tcPr>
          <w:p w14:paraId="7A2B8737" w14:textId="77777777" w:rsidR="0005552C" w:rsidRPr="00BC4565" w:rsidRDefault="0005552C" w:rsidP="003B4ED7">
            <w:pPr>
              <w:pStyle w:val="TableText"/>
            </w:pPr>
            <w:r>
              <w:t>routine prophylaxis</w:t>
            </w:r>
          </w:p>
        </w:tc>
        <w:tc>
          <w:tcPr>
            <w:tcW w:w="1234" w:type="dxa"/>
            <w:vAlign w:val="center"/>
          </w:tcPr>
          <w:p w14:paraId="72EF5192" w14:textId="77777777" w:rsidR="0005552C" w:rsidRPr="007B40DE" w:rsidRDefault="0005552C" w:rsidP="003B4ED7">
            <w:pPr>
              <w:pStyle w:val="TableText"/>
              <w:jc w:val="center"/>
            </w:pPr>
            <w:r w:rsidRPr="007B40DE">
              <w:sym w:font="Wingdings" w:char="F0FC"/>
            </w:r>
            <w:r w:rsidRPr="007B40DE">
              <w:rPr>
                <w:vertAlign w:val="superscript"/>
              </w:rPr>
              <w:t>a</w:t>
            </w:r>
          </w:p>
        </w:tc>
        <w:tc>
          <w:tcPr>
            <w:tcW w:w="1235" w:type="dxa"/>
            <w:shd w:val="clear" w:color="auto" w:fill="D9D9D9" w:themeFill="background1" w:themeFillShade="D9"/>
            <w:vAlign w:val="center"/>
          </w:tcPr>
          <w:p w14:paraId="62195356"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009EE97B" w14:textId="77777777" w:rsidR="0005552C" w:rsidRPr="007B40DE" w:rsidRDefault="0005552C" w:rsidP="003B4ED7">
            <w:pPr>
              <w:pStyle w:val="TableText"/>
              <w:jc w:val="center"/>
            </w:pPr>
          </w:p>
        </w:tc>
        <w:tc>
          <w:tcPr>
            <w:tcW w:w="1309" w:type="dxa"/>
            <w:shd w:val="clear" w:color="auto" w:fill="auto"/>
            <w:vAlign w:val="center"/>
          </w:tcPr>
          <w:p w14:paraId="6B6FC1FD" w14:textId="77777777" w:rsidR="0005552C" w:rsidRPr="007B40DE" w:rsidRDefault="0005552C" w:rsidP="003B4ED7">
            <w:pPr>
              <w:pStyle w:val="TableText"/>
              <w:jc w:val="center"/>
            </w:pPr>
            <w:r w:rsidRPr="00F360E6">
              <w:t>X</w:t>
            </w:r>
            <w:r>
              <w:rPr>
                <w:vertAlign w:val="superscript"/>
              </w:rPr>
              <w:t>h</w:t>
            </w:r>
          </w:p>
        </w:tc>
        <w:tc>
          <w:tcPr>
            <w:tcW w:w="1647" w:type="dxa"/>
            <w:shd w:val="clear" w:color="auto" w:fill="auto"/>
            <w:vAlign w:val="center"/>
          </w:tcPr>
          <w:p w14:paraId="3971EA7E" w14:textId="7F83441D" w:rsidR="0005552C" w:rsidRPr="007B40DE" w:rsidRDefault="0005552C" w:rsidP="003B4ED7">
            <w:pPr>
              <w:pStyle w:val="TableText"/>
              <w:jc w:val="center"/>
            </w:pPr>
            <w:r w:rsidRPr="007B40DE">
              <w:sym w:font="Wingdings" w:char="F0FC"/>
            </w:r>
            <w:r w:rsidR="00A339B6">
              <w:rPr>
                <w:vertAlign w:val="superscript"/>
              </w:rPr>
              <w:t>k</w:t>
            </w:r>
          </w:p>
        </w:tc>
      </w:tr>
      <w:tr w:rsidR="0005552C" w:rsidRPr="00BC4565" w14:paraId="1C9F76C4" w14:textId="77777777" w:rsidTr="003B4ED7">
        <w:tc>
          <w:tcPr>
            <w:tcW w:w="9016" w:type="dxa"/>
            <w:gridSpan w:val="6"/>
          </w:tcPr>
          <w:p w14:paraId="73EB155D" w14:textId="77777777" w:rsidR="0005552C" w:rsidRPr="007B40DE" w:rsidRDefault="0005552C" w:rsidP="003B4ED7">
            <w:pPr>
              <w:pStyle w:val="TableHeading"/>
            </w:pPr>
            <w:r w:rsidRPr="007B40DE">
              <w:t>Pregnancy</w:t>
            </w:r>
          </w:p>
        </w:tc>
      </w:tr>
      <w:tr w:rsidR="0005552C" w:rsidRPr="00BC4565" w14:paraId="533D8A2C" w14:textId="77777777" w:rsidTr="003B4ED7">
        <w:tc>
          <w:tcPr>
            <w:tcW w:w="2263" w:type="dxa"/>
          </w:tcPr>
          <w:p w14:paraId="2C9BF8EC" w14:textId="77777777" w:rsidR="0005552C" w:rsidRPr="00BC4565" w:rsidRDefault="0005552C" w:rsidP="003B4ED7">
            <w:pPr>
              <w:pStyle w:val="TableText"/>
            </w:pPr>
            <w:r>
              <w:t>acute</w:t>
            </w:r>
          </w:p>
        </w:tc>
        <w:tc>
          <w:tcPr>
            <w:tcW w:w="1234" w:type="dxa"/>
            <w:vAlign w:val="center"/>
          </w:tcPr>
          <w:p w14:paraId="76A946A7" w14:textId="77777777" w:rsidR="0005552C" w:rsidRPr="007B40DE" w:rsidRDefault="0005552C" w:rsidP="003B4ED7">
            <w:pPr>
              <w:pStyle w:val="TableText"/>
              <w:jc w:val="center"/>
            </w:pPr>
            <w:r w:rsidRPr="007B40DE">
              <w:sym w:font="Wingdings" w:char="F0FC"/>
            </w:r>
            <w:r w:rsidRPr="007B40DE">
              <w:rPr>
                <w:vertAlign w:val="superscript"/>
              </w:rPr>
              <w:t>b</w:t>
            </w:r>
          </w:p>
        </w:tc>
        <w:tc>
          <w:tcPr>
            <w:tcW w:w="1235" w:type="dxa"/>
            <w:vAlign w:val="center"/>
          </w:tcPr>
          <w:p w14:paraId="57087B76" w14:textId="77777777" w:rsidR="0005552C" w:rsidRPr="00BC4565" w:rsidRDefault="0005552C" w:rsidP="003B4ED7">
            <w:pPr>
              <w:pStyle w:val="TableText"/>
              <w:jc w:val="center"/>
            </w:pPr>
            <w:r>
              <w:sym w:font="Wingdings" w:char="F0FC"/>
            </w:r>
          </w:p>
        </w:tc>
        <w:tc>
          <w:tcPr>
            <w:tcW w:w="1328" w:type="dxa"/>
            <w:vAlign w:val="center"/>
          </w:tcPr>
          <w:p w14:paraId="7B755560" w14:textId="0BF3A32A" w:rsidR="0005552C" w:rsidRPr="007B40DE" w:rsidRDefault="00BD0EBE" w:rsidP="003B4ED7">
            <w:pPr>
              <w:pStyle w:val="TableText"/>
              <w:jc w:val="center"/>
            </w:pPr>
            <w:r>
              <w:t>X</w:t>
            </w:r>
            <w:r w:rsidR="0005552C" w:rsidRPr="007B40DE">
              <w:rPr>
                <w:vertAlign w:val="superscript"/>
              </w:rPr>
              <w:t>e</w:t>
            </w:r>
          </w:p>
        </w:tc>
        <w:tc>
          <w:tcPr>
            <w:tcW w:w="1309" w:type="dxa"/>
            <w:shd w:val="clear" w:color="auto" w:fill="D9D9D9" w:themeFill="background1" w:themeFillShade="D9"/>
            <w:vAlign w:val="center"/>
          </w:tcPr>
          <w:p w14:paraId="5F593936" w14:textId="77777777" w:rsidR="0005552C" w:rsidRPr="007B40DE" w:rsidRDefault="0005552C" w:rsidP="003B4ED7">
            <w:pPr>
              <w:pStyle w:val="TableText"/>
              <w:jc w:val="center"/>
            </w:pPr>
          </w:p>
        </w:tc>
        <w:tc>
          <w:tcPr>
            <w:tcW w:w="1647" w:type="dxa"/>
            <w:shd w:val="clear" w:color="auto" w:fill="auto"/>
            <w:vAlign w:val="center"/>
          </w:tcPr>
          <w:p w14:paraId="7CF4B7D6" w14:textId="43B6E3D8" w:rsidR="0005552C" w:rsidRPr="007B40DE" w:rsidRDefault="00073402" w:rsidP="003B4ED7">
            <w:pPr>
              <w:pStyle w:val="TableText"/>
              <w:jc w:val="center"/>
            </w:pPr>
            <w:r>
              <w:t>~</w:t>
            </w:r>
            <w:r w:rsidR="00A339B6" w:rsidRPr="00A339B6">
              <w:rPr>
                <w:vertAlign w:val="superscript"/>
              </w:rPr>
              <w:t>j,</w:t>
            </w:r>
            <w:r>
              <w:t xml:space="preserve"> </w:t>
            </w:r>
            <w:r>
              <w:rPr>
                <w:vertAlign w:val="superscript"/>
              </w:rPr>
              <w:t>l</w:t>
            </w:r>
          </w:p>
        </w:tc>
      </w:tr>
      <w:tr w:rsidR="0005552C" w:rsidRPr="00BC4565" w14:paraId="6E2F6FEE" w14:textId="77777777" w:rsidTr="003B4ED7">
        <w:tc>
          <w:tcPr>
            <w:tcW w:w="2263" w:type="dxa"/>
          </w:tcPr>
          <w:p w14:paraId="7AEA9684" w14:textId="77777777" w:rsidR="0005552C" w:rsidRPr="00BC4565" w:rsidRDefault="0005552C" w:rsidP="003B4ED7">
            <w:pPr>
              <w:pStyle w:val="TableText"/>
            </w:pPr>
            <w:r>
              <w:t>pre-procedural prophylaxis</w:t>
            </w:r>
          </w:p>
        </w:tc>
        <w:tc>
          <w:tcPr>
            <w:tcW w:w="1234" w:type="dxa"/>
            <w:vAlign w:val="center"/>
          </w:tcPr>
          <w:p w14:paraId="149D52AC" w14:textId="77777777" w:rsidR="0005552C" w:rsidRPr="007B40DE" w:rsidRDefault="0005552C" w:rsidP="003B4ED7">
            <w:pPr>
              <w:pStyle w:val="TableText"/>
              <w:jc w:val="center"/>
            </w:pPr>
            <w:r w:rsidRPr="007B40DE">
              <w:sym w:font="Wingdings" w:char="F0FC"/>
            </w:r>
            <w:r w:rsidRPr="007B40DE">
              <w:rPr>
                <w:vertAlign w:val="superscript"/>
              </w:rPr>
              <w:t>b</w:t>
            </w:r>
          </w:p>
        </w:tc>
        <w:tc>
          <w:tcPr>
            <w:tcW w:w="1235" w:type="dxa"/>
            <w:shd w:val="clear" w:color="auto" w:fill="D9D9D9" w:themeFill="background1" w:themeFillShade="D9"/>
            <w:vAlign w:val="center"/>
          </w:tcPr>
          <w:p w14:paraId="727948C1"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31E8FDC3" w14:textId="77777777" w:rsidR="0005552C" w:rsidRPr="007B40DE" w:rsidRDefault="0005552C" w:rsidP="003B4ED7">
            <w:pPr>
              <w:pStyle w:val="TableText"/>
              <w:jc w:val="center"/>
            </w:pPr>
          </w:p>
        </w:tc>
        <w:tc>
          <w:tcPr>
            <w:tcW w:w="1309" w:type="dxa"/>
            <w:shd w:val="clear" w:color="auto" w:fill="auto"/>
            <w:vAlign w:val="center"/>
          </w:tcPr>
          <w:p w14:paraId="525C002C" w14:textId="77777777" w:rsidR="0005552C" w:rsidRPr="007B40DE" w:rsidRDefault="0005552C" w:rsidP="003B4ED7">
            <w:pPr>
              <w:pStyle w:val="TableText"/>
              <w:jc w:val="center"/>
            </w:pPr>
            <w:r w:rsidRPr="007B40DE">
              <w:t>X</w:t>
            </w:r>
          </w:p>
        </w:tc>
        <w:tc>
          <w:tcPr>
            <w:tcW w:w="1647" w:type="dxa"/>
            <w:shd w:val="clear" w:color="auto" w:fill="auto"/>
            <w:vAlign w:val="center"/>
          </w:tcPr>
          <w:p w14:paraId="2E7F8C20" w14:textId="00686454" w:rsidR="0005552C" w:rsidRPr="007B40DE" w:rsidRDefault="0005552C" w:rsidP="00073402">
            <w:pPr>
              <w:pStyle w:val="TableText"/>
              <w:jc w:val="center"/>
            </w:pPr>
            <w:r w:rsidRPr="007B40DE">
              <w:sym w:font="Wingdings" w:char="F0FC"/>
            </w:r>
            <w:r w:rsidR="00073402" w:rsidRPr="00073402">
              <w:rPr>
                <w:vertAlign w:val="superscript"/>
              </w:rPr>
              <w:t>k,  l</w:t>
            </w:r>
          </w:p>
        </w:tc>
      </w:tr>
      <w:tr w:rsidR="0005552C" w:rsidRPr="00BC4565" w14:paraId="3AF57529" w14:textId="77777777" w:rsidTr="003B4ED7">
        <w:tc>
          <w:tcPr>
            <w:tcW w:w="2263" w:type="dxa"/>
          </w:tcPr>
          <w:p w14:paraId="2CE5E22B" w14:textId="77777777" w:rsidR="0005552C" w:rsidRPr="00BC4565" w:rsidRDefault="0005552C" w:rsidP="003B4ED7">
            <w:pPr>
              <w:pStyle w:val="TableText"/>
            </w:pPr>
            <w:r>
              <w:t>routine prophylaxis</w:t>
            </w:r>
          </w:p>
        </w:tc>
        <w:tc>
          <w:tcPr>
            <w:tcW w:w="1234" w:type="dxa"/>
            <w:vAlign w:val="center"/>
          </w:tcPr>
          <w:p w14:paraId="0A2243E5" w14:textId="77777777" w:rsidR="0005552C" w:rsidRPr="007B40DE" w:rsidRDefault="0005552C" w:rsidP="003B4ED7">
            <w:pPr>
              <w:pStyle w:val="TableText"/>
              <w:jc w:val="center"/>
            </w:pPr>
            <w:r w:rsidRPr="007B40DE">
              <w:sym w:font="Wingdings" w:char="F0FC"/>
            </w:r>
            <w:r w:rsidRPr="007B40DE">
              <w:rPr>
                <w:vertAlign w:val="superscript"/>
              </w:rPr>
              <w:t>b</w:t>
            </w:r>
          </w:p>
        </w:tc>
        <w:tc>
          <w:tcPr>
            <w:tcW w:w="1235" w:type="dxa"/>
            <w:shd w:val="clear" w:color="auto" w:fill="D9D9D9" w:themeFill="background1" w:themeFillShade="D9"/>
            <w:vAlign w:val="center"/>
          </w:tcPr>
          <w:p w14:paraId="5F936B7A"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358F0582" w14:textId="77777777" w:rsidR="0005552C" w:rsidRPr="007B40DE" w:rsidRDefault="0005552C" w:rsidP="003B4ED7">
            <w:pPr>
              <w:pStyle w:val="TableText"/>
              <w:jc w:val="center"/>
            </w:pPr>
          </w:p>
        </w:tc>
        <w:tc>
          <w:tcPr>
            <w:tcW w:w="1309" w:type="dxa"/>
            <w:shd w:val="clear" w:color="auto" w:fill="auto"/>
            <w:vAlign w:val="center"/>
          </w:tcPr>
          <w:p w14:paraId="4AD30C11" w14:textId="77777777" w:rsidR="0005552C" w:rsidRPr="007B40DE" w:rsidRDefault="0005552C" w:rsidP="003B4ED7">
            <w:pPr>
              <w:pStyle w:val="TableText"/>
              <w:jc w:val="center"/>
            </w:pPr>
            <w:r w:rsidRPr="007B40DE">
              <w:t>X</w:t>
            </w:r>
          </w:p>
        </w:tc>
        <w:tc>
          <w:tcPr>
            <w:tcW w:w="1647" w:type="dxa"/>
            <w:shd w:val="clear" w:color="auto" w:fill="auto"/>
            <w:vAlign w:val="center"/>
          </w:tcPr>
          <w:p w14:paraId="1D82B8BA" w14:textId="003B23BC" w:rsidR="0005552C" w:rsidRPr="007B40DE" w:rsidRDefault="0005552C" w:rsidP="00073402">
            <w:pPr>
              <w:pStyle w:val="TableText"/>
              <w:jc w:val="center"/>
            </w:pPr>
            <w:r w:rsidRPr="007B40DE">
              <w:sym w:font="Wingdings" w:char="F0FC"/>
            </w:r>
            <w:r w:rsidR="00073402" w:rsidRPr="00073402">
              <w:rPr>
                <w:vertAlign w:val="superscript"/>
              </w:rPr>
              <w:t>k,</w:t>
            </w:r>
            <w:r w:rsidR="00073402">
              <w:rPr>
                <w:vertAlign w:val="superscript"/>
              </w:rPr>
              <w:t xml:space="preserve"> l</w:t>
            </w:r>
          </w:p>
        </w:tc>
      </w:tr>
      <w:tr w:rsidR="0005552C" w:rsidRPr="00BC4565" w14:paraId="11A34C8A" w14:textId="77777777" w:rsidTr="003B4ED7">
        <w:tc>
          <w:tcPr>
            <w:tcW w:w="9016" w:type="dxa"/>
            <w:gridSpan w:val="6"/>
          </w:tcPr>
          <w:p w14:paraId="759C8B92" w14:textId="77777777" w:rsidR="0005552C" w:rsidRPr="007B40DE" w:rsidRDefault="0005552C" w:rsidP="003B4ED7">
            <w:pPr>
              <w:pStyle w:val="TableHeading"/>
            </w:pPr>
            <w:r w:rsidRPr="007B40DE">
              <w:t>Lactation</w:t>
            </w:r>
          </w:p>
        </w:tc>
      </w:tr>
      <w:tr w:rsidR="0005552C" w:rsidRPr="00BC4565" w14:paraId="26EF8DDE" w14:textId="77777777" w:rsidTr="003B4ED7">
        <w:tc>
          <w:tcPr>
            <w:tcW w:w="2263" w:type="dxa"/>
          </w:tcPr>
          <w:p w14:paraId="40BBFE35" w14:textId="77777777" w:rsidR="0005552C" w:rsidRDefault="0005552C" w:rsidP="003B4ED7">
            <w:pPr>
              <w:pStyle w:val="TableText"/>
            </w:pPr>
            <w:r>
              <w:t>acute</w:t>
            </w:r>
          </w:p>
        </w:tc>
        <w:tc>
          <w:tcPr>
            <w:tcW w:w="1234" w:type="dxa"/>
            <w:vAlign w:val="center"/>
          </w:tcPr>
          <w:p w14:paraId="07141A50" w14:textId="77777777" w:rsidR="0005552C" w:rsidRPr="007B40DE" w:rsidRDefault="0005552C" w:rsidP="003B4ED7">
            <w:pPr>
              <w:pStyle w:val="TableText"/>
              <w:jc w:val="center"/>
            </w:pPr>
            <w:r w:rsidRPr="007B40DE">
              <w:sym w:font="Wingdings" w:char="F0FC"/>
            </w:r>
            <w:r w:rsidRPr="007B40DE">
              <w:rPr>
                <w:vertAlign w:val="superscript"/>
              </w:rPr>
              <w:t>c</w:t>
            </w:r>
          </w:p>
        </w:tc>
        <w:tc>
          <w:tcPr>
            <w:tcW w:w="1235" w:type="dxa"/>
            <w:vAlign w:val="center"/>
          </w:tcPr>
          <w:p w14:paraId="2942277C" w14:textId="77777777" w:rsidR="0005552C" w:rsidRPr="00BC4565" w:rsidRDefault="0005552C" w:rsidP="003B4ED7">
            <w:pPr>
              <w:pStyle w:val="TableText"/>
              <w:jc w:val="center"/>
            </w:pPr>
            <w:r>
              <w:sym w:font="Wingdings" w:char="F0FC"/>
            </w:r>
          </w:p>
        </w:tc>
        <w:tc>
          <w:tcPr>
            <w:tcW w:w="1328" w:type="dxa"/>
            <w:vAlign w:val="center"/>
          </w:tcPr>
          <w:p w14:paraId="69F19144" w14:textId="547435ED" w:rsidR="0005552C" w:rsidRPr="007B40DE" w:rsidRDefault="00073402" w:rsidP="003B4ED7">
            <w:pPr>
              <w:pStyle w:val="TableText"/>
              <w:jc w:val="center"/>
            </w:pPr>
            <w:r>
              <w:t>~</w:t>
            </w:r>
            <w:r w:rsidR="0005552C" w:rsidRPr="007B40DE">
              <w:rPr>
                <w:vertAlign w:val="superscript"/>
              </w:rPr>
              <w:t>f</w:t>
            </w:r>
          </w:p>
        </w:tc>
        <w:tc>
          <w:tcPr>
            <w:tcW w:w="1309" w:type="dxa"/>
            <w:shd w:val="clear" w:color="auto" w:fill="D9D9D9" w:themeFill="background1" w:themeFillShade="D9"/>
            <w:vAlign w:val="center"/>
          </w:tcPr>
          <w:p w14:paraId="735EDA02" w14:textId="77777777" w:rsidR="0005552C" w:rsidRPr="007B40DE" w:rsidRDefault="0005552C" w:rsidP="003B4ED7">
            <w:pPr>
              <w:pStyle w:val="TableText"/>
              <w:jc w:val="center"/>
            </w:pPr>
          </w:p>
        </w:tc>
        <w:tc>
          <w:tcPr>
            <w:tcW w:w="1647" w:type="dxa"/>
            <w:shd w:val="clear" w:color="auto" w:fill="auto"/>
            <w:vAlign w:val="center"/>
          </w:tcPr>
          <w:p w14:paraId="18DE65AE" w14:textId="77ED8D18" w:rsidR="0005552C" w:rsidRPr="007B40DE" w:rsidRDefault="00073402" w:rsidP="003B4ED7">
            <w:pPr>
              <w:pStyle w:val="TableText"/>
              <w:jc w:val="center"/>
            </w:pPr>
            <w:r>
              <w:t>~</w:t>
            </w:r>
            <w:r w:rsidR="00A339B6" w:rsidRPr="00A339B6">
              <w:rPr>
                <w:vertAlign w:val="superscript"/>
              </w:rPr>
              <w:t>j,</w:t>
            </w:r>
            <w:r>
              <w:rPr>
                <w:vertAlign w:val="superscript"/>
              </w:rPr>
              <w:t>m</w:t>
            </w:r>
          </w:p>
        </w:tc>
      </w:tr>
      <w:tr w:rsidR="0005552C" w:rsidRPr="00BC4565" w14:paraId="43A44015" w14:textId="77777777" w:rsidTr="003B4ED7">
        <w:tc>
          <w:tcPr>
            <w:tcW w:w="2263" w:type="dxa"/>
          </w:tcPr>
          <w:p w14:paraId="4F224654" w14:textId="77777777" w:rsidR="0005552C" w:rsidRDefault="0005552C" w:rsidP="003B4ED7">
            <w:pPr>
              <w:pStyle w:val="TableText"/>
            </w:pPr>
            <w:r>
              <w:t>pre-procedural prophylaxis</w:t>
            </w:r>
          </w:p>
        </w:tc>
        <w:tc>
          <w:tcPr>
            <w:tcW w:w="1234" w:type="dxa"/>
            <w:vAlign w:val="center"/>
          </w:tcPr>
          <w:p w14:paraId="70F0E5B2" w14:textId="77777777" w:rsidR="0005552C" w:rsidRPr="007B40DE" w:rsidRDefault="0005552C" w:rsidP="003B4ED7">
            <w:pPr>
              <w:pStyle w:val="TableText"/>
              <w:jc w:val="center"/>
            </w:pPr>
            <w:r w:rsidRPr="007B40DE">
              <w:sym w:font="Wingdings" w:char="F0FC"/>
            </w:r>
            <w:r w:rsidRPr="007B40DE">
              <w:rPr>
                <w:vertAlign w:val="superscript"/>
              </w:rPr>
              <w:t xml:space="preserve"> c</w:t>
            </w:r>
          </w:p>
        </w:tc>
        <w:tc>
          <w:tcPr>
            <w:tcW w:w="1235" w:type="dxa"/>
            <w:shd w:val="clear" w:color="auto" w:fill="D9D9D9" w:themeFill="background1" w:themeFillShade="D9"/>
            <w:vAlign w:val="center"/>
          </w:tcPr>
          <w:p w14:paraId="64A8CE0E"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3AF5DA9C" w14:textId="77777777" w:rsidR="0005552C" w:rsidRPr="007B40DE" w:rsidRDefault="0005552C" w:rsidP="003B4ED7">
            <w:pPr>
              <w:pStyle w:val="TableText"/>
              <w:jc w:val="center"/>
            </w:pPr>
          </w:p>
        </w:tc>
        <w:tc>
          <w:tcPr>
            <w:tcW w:w="1309" w:type="dxa"/>
            <w:shd w:val="clear" w:color="auto" w:fill="auto"/>
            <w:vAlign w:val="center"/>
          </w:tcPr>
          <w:p w14:paraId="04D05F41" w14:textId="77777777" w:rsidR="0005552C" w:rsidRPr="007B40DE" w:rsidRDefault="0005552C" w:rsidP="003B4ED7">
            <w:pPr>
              <w:pStyle w:val="TableText"/>
              <w:jc w:val="center"/>
            </w:pPr>
            <w:r w:rsidRPr="007B40DE">
              <w:t>X</w:t>
            </w:r>
          </w:p>
        </w:tc>
        <w:tc>
          <w:tcPr>
            <w:tcW w:w="1647" w:type="dxa"/>
            <w:shd w:val="clear" w:color="auto" w:fill="auto"/>
            <w:vAlign w:val="center"/>
          </w:tcPr>
          <w:p w14:paraId="48E2E627" w14:textId="1D8132A0" w:rsidR="0005552C" w:rsidRPr="007B40DE" w:rsidRDefault="0005552C" w:rsidP="003B4ED7">
            <w:pPr>
              <w:pStyle w:val="TableText"/>
              <w:jc w:val="center"/>
            </w:pPr>
            <w:r w:rsidRPr="007B40DE">
              <w:sym w:font="Wingdings" w:char="F0FC"/>
            </w:r>
            <w:r w:rsidRPr="007B40DE">
              <w:rPr>
                <w:vertAlign w:val="superscript"/>
              </w:rPr>
              <w:t xml:space="preserve"> </w:t>
            </w:r>
            <w:r w:rsidR="00073402">
              <w:rPr>
                <w:vertAlign w:val="superscript"/>
              </w:rPr>
              <w:t>k,m</w:t>
            </w:r>
          </w:p>
        </w:tc>
      </w:tr>
      <w:tr w:rsidR="0005552C" w:rsidRPr="00BC4565" w14:paraId="378608B2" w14:textId="77777777" w:rsidTr="003B4ED7">
        <w:tc>
          <w:tcPr>
            <w:tcW w:w="2263" w:type="dxa"/>
          </w:tcPr>
          <w:p w14:paraId="0F3B3E46" w14:textId="77777777" w:rsidR="0005552C" w:rsidRDefault="0005552C" w:rsidP="003B4ED7">
            <w:pPr>
              <w:pStyle w:val="TableText"/>
            </w:pPr>
            <w:r>
              <w:t>routine prophylaxis</w:t>
            </w:r>
          </w:p>
        </w:tc>
        <w:tc>
          <w:tcPr>
            <w:tcW w:w="1234" w:type="dxa"/>
            <w:vAlign w:val="center"/>
          </w:tcPr>
          <w:p w14:paraId="6ED0B255" w14:textId="77777777" w:rsidR="0005552C" w:rsidRPr="007B40DE" w:rsidRDefault="0005552C" w:rsidP="003B4ED7">
            <w:pPr>
              <w:pStyle w:val="TableText"/>
              <w:jc w:val="center"/>
            </w:pPr>
            <w:r w:rsidRPr="007B40DE">
              <w:sym w:font="Wingdings" w:char="F0FC"/>
            </w:r>
            <w:r w:rsidRPr="007B40DE">
              <w:rPr>
                <w:vertAlign w:val="superscript"/>
              </w:rPr>
              <w:t xml:space="preserve"> c</w:t>
            </w:r>
          </w:p>
        </w:tc>
        <w:tc>
          <w:tcPr>
            <w:tcW w:w="1235" w:type="dxa"/>
            <w:shd w:val="clear" w:color="auto" w:fill="D9D9D9" w:themeFill="background1" w:themeFillShade="D9"/>
            <w:vAlign w:val="center"/>
          </w:tcPr>
          <w:p w14:paraId="57565BD7"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270E35C7" w14:textId="77777777" w:rsidR="0005552C" w:rsidRPr="007B40DE" w:rsidRDefault="0005552C" w:rsidP="003B4ED7">
            <w:pPr>
              <w:pStyle w:val="TableText"/>
              <w:jc w:val="center"/>
            </w:pPr>
          </w:p>
        </w:tc>
        <w:tc>
          <w:tcPr>
            <w:tcW w:w="1309" w:type="dxa"/>
            <w:shd w:val="clear" w:color="auto" w:fill="auto"/>
            <w:vAlign w:val="center"/>
          </w:tcPr>
          <w:p w14:paraId="6731D1A2" w14:textId="77777777" w:rsidR="0005552C" w:rsidRPr="007B40DE" w:rsidRDefault="0005552C" w:rsidP="003B4ED7">
            <w:pPr>
              <w:pStyle w:val="TableText"/>
              <w:jc w:val="center"/>
            </w:pPr>
            <w:r w:rsidRPr="007B40DE">
              <w:t>X</w:t>
            </w:r>
            <w:r>
              <w:rPr>
                <w:vertAlign w:val="superscript"/>
              </w:rPr>
              <w:t>i</w:t>
            </w:r>
          </w:p>
        </w:tc>
        <w:tc>
          <w:tcPr>
            <w:tcW w:w="1647" w:type="dxa"/>
            <w:shd w:val="clear" w:color="auto" w:fill="auto"/>
            <w:vAlign w:val="center"/>
          </w:tcPr>
          <w:p w14:paraId="7D44127C" w14:textId="145DDD42" w:rsidR="0005552C" w:rsidRPr="007B40DE" w:rsidRDefault="0005552C" w:rsidP="00073402">
            <w:pPr>
              <w:pStyle w:val="TableText"/>
              <w:jc w:val="center"/>
            </w:pPr>
            <w:r w:rsidRPr="007B40DE">
              <w:sym w:font="Wingdings" w:char="F0FC"/>
            </w:r>
            <w:r w:rsidRPr="007B40DE">
              <w:rPr>
                <w:vertAlign w:val="superscript"/>
              </w:rPr>
              <w:t xml:space="preserve"> </w:t>
            </w:r>
            <w:r w:rsidR="00073402">
              <w:rPr>
                <w:vertAlign w:val="superscript"/>
              </w:rPr>
              <w:t>k,m</w:t>
            </w:r>
          </w:p>
        </w:tc>
      </w:tr>
    </w:tbl>
    <w:p w14:paraId="148EE36F" w14:textId="77777777" w:rsidR="00AD1BA2" w:rsidRPr="00512ED2" w:rsidRDefault="00AD1BA2" w:rsidP="00AD1BA2">
      <w:pPr>
        <w:pStyle w:val="TableFootnotes1"/>
        <w:rPr>
          <w:b/>
        </w:rPr>
      </w:pPr>
      <w:r>
        <w:rPr>
          <w:b/>
        </w:rPr>
        <w:t xml:space="preserve">Abbreviations: </w:t>
      </w:r>
      <w:r>
        <w:t xml:space="preserve">ASCIA, </w:t>
      </w:r>
      <w:r w:rsidRPr="001E62F6">
        <w:t>Australasian Society of Clinical Immunology and Allergy</w:t>
      </w:r>
      <w:r>
        <w:t xml:space="preserve">; </w:t>
      </w:r>
      <w:r w:rsidRPr="00512ED2">
        <w:t>C1-INH, C1 esterase inhibitor; PI</w:t>
      </w:r>
      <w:r>
        <w:t>, product information.</w:t>
      </w:r>
    </w:p>
    <w:p w14:paraId="2C087300" w14:textId="10F47364" w:rsidR="0005552C" w:rsidRDefault="0005552C" w:rsidP="0005552C">
      <w:pPr>
        <w:pStyle w:val="TableFootnotes1"/>
      </w:pPr>
      <w:r>
        <w:rPr>
          <w:b/>
        </w:rPr>
        <w:t xml:space="preserve">Note: </w:t>
      </w:r>
      <w:r>
        <w:t xml:space="preserve">Shaded cells indicate treatment not effective for that indication in any population (icatibant, danazol) or not TGA-approved for that indication (Berinert). ASCIA Position Paper refers to </w:t>
      </w:r>
      <w:r w:rsidR="00F022FC">
        <w:t>Katelaris</w:t>
      </w:r>
      <w:r w:rsidR="000C4788">
        <w:t xml:space="preserve"> et al</w:t>
      </w:r>
      <w:r>
        <w:t xml:space="preserve"> (2012).</w:t>
      </w:r>
    </w:p>
    <w:p w14:paraId="5B3094C6" w14:textId="77777777" w:rsidR="0005552C" w:rsidRDefault="0005552C" w:rsidP="0005552C">
      <w:pPr>
        <w:pStyle w:val="TableFootnotes1"/>
      </w:pPr>
      <w:r w:rsidRPr="001B487E">
        <w:rPr>
          <w:b/>
        </w:rPr>
        <w:t>a</w:t>
      </w:r>
      <w:r>
        <w:t xml:space="preserve"> PI excludes use in children younger than 12 years old. ASCIA Position Paper states ‘there is no contraindication to use in children’, and ‘is </w:t>
      </w:r>
      <w:r w:rsidRPr="001123EF">
        <w:t>indicated for treatment, pre-procedure prophylaxis and long-term prophylaxis of angioedema in adult and paediatric HAE patients</w:t>
      </w:r>
      <w:r>
        <w:t>’.</w:t>
      </w:r>
    </w:p>
    <w:p w14:paraId="71C85E99" w14:textId="77777777" w:rsidR="0005552C" w:rsidRDefault="0005552C" w:rsidP="0005552C">
      <w:pPr>
        <w:pStyle w:val="TableFootnotes1"/>
      </w:pPr>
      <w:r w:rsidRPr="00B774F6">
        <w:rPr>
          <w:b/>
        </w:rPr>
        <w:t>b</w:t>
      </w:r>
      <w:r>
        <w:t xml:space="preserve"> </w:t>
      </w:r>
      <w:r w:rsidRPr="001B487E">
        <w:t xml:space="preserve">PI </w:t>
      </w:r>
      <w:r>
        <w:t>states “</w:t>
      </w:r>
      <w:r w:rsidRPr="001B487E">
        <w:t>may be considered</w:t>
      </w:r>
      <w:r>
        <w:t xml:space="preserve"> during pregnancy, if necessary”. ASCIA Position Paper states there is no contraindication for use during</w:t>
      </w:r>
      <w:r w:rsidRPr="001B487E">
        <w:t xml:space="preserve"> </w:t>
      </w:r>
      <w:r>
        <w:t xml:space="preserve">pregnancy. </w:t>
      </w:r>
    </w:p>
    <w:p w14:paraId="2EE1F849" w14:textId="77777777" w:rsidR="0005552C" w:rsidRDefault="0005552C" w:rsidP="0005552C">
      <w:pPr>
        <w:pStyle w:val="TableFootnotes1"/>
      </w:pPr>
      <w:r w:rsidRPr="00DD5334">
        <w:rPr>
          <w:b/>
        </w:rPr>
        <w:t>c</w:t>
      </w:r>
      <w:r w:rsidRPr="00DD5334">
        <w:t xml:space="preserve"> PI states</w:t>
      </w:r>
      <w:r>
        <w:t xml:space="preserve"> it is unknown whether C1-INH is excreted in breast milk and the risk to the infant cannot be excluded. ASCIA Position Paper states there is no contraindication for use during lactation. </w:t>
      </w:r>
    </w:p>
    <w:p w14:paraId="2DFEE728" w14:textId="4808A480" w:rsidR="0005552C" w:rsidRDefault="0005552C" w:rsidP="0005552C">
      <w:pPr>
        <w:pStyle w:val="TableFootnotes1"/>
      </w:pPr>
      <w:r w:rsidRPr="000D6B89">
        <w:rPr>
          <w:b/>
        </w:rPr>
        <w:t>d</w:t>
      </w:r>
      <w:r>
        <w:t xml:space="preserve"> PI restricts use to adults. ASCIA Position Paper states</w:t>
      </w:r>
      <w:r w:rsidRPr="00CB7CDE">
        <w:t xml:space="preserve"> </w:t>
      </w:r>
      <w:r>
        <w:t xml:space="preserve">there is </w:t>
      </w:r>
      <w:r w:rsidRPr="00DD5334">
        <w:t xml:space="preserve">no data for use in </w:t>
      </w:r>
      <w:r>
        <w:t>children, but they do not make a statement to avoid use in children</w:t>
      </w:r>
      <w:r w:rsidR="008A28A8">
        <w:t>.</w:t>
      </w:r>
    </w:p>
    <w:p w14:paraId="26F6ACD2" w14:textId="36693104" w:rsidR="0005552C" w:rsidRDefault="0005552C" w:rsidP="0005552C">
      <w:pPr>
        <w:pStyle w:val="TableFootnotes1"/>
      </w:pPr>
      <w:r w:rsidRPr="000D6B89">
        <w:rPr>
          <w:b/>
        </w:rPr>
        <w:t xml:space="preserve">e </w:t>
      </w:r>
      <w:r w:rsidRPr="00281A34">
        <w:t xml:space="preserve">PI </w:t>
      </w:r>
      <w:r>
        <w:t>states this has an Australian classification for medicines for use during pregnancy of Category C (no clinical data). ASCIA Position Paper offers no opinion</w:t>
      </w:r>
      <w:r w:rsidR="00BD0EBE">
        <w:t xml:space="preserve"> regarding use during pregnancy but ASCIA indicated it would not be used in pregnant women due to safety concerns (communication 22 August 2014)</w:t>
      </w:r>
      <w:r w:rsidR="00073402">
        <w:t>.</w:t>
      </w:r>
    </w:p>
    <w:p w14:paraId="6050AC1C" w14:textId="6DB79201" w:rsidR="0005552C" w:rsidRDefault="0005552C" w:rsidP="0005552C">
      <w:pPr>
        <w:pStyle w:val="TableFootnotes1"/>
      </w:pPr>
      <w:r w:rsidRPr="000D6B89">
        <w:rPr>
          <w:b/>
        </w:rPr>
        <w:t>f</w:t>
      </w:r>
      <w:r>
        <w:t xml:space="preserve"> </w:t>
      </w:r>
      <w:r w:rsidR="00073402">
        <w:t xml:space="preserve">ASCIA Position Paper makes no statement regarding use during lactation. </w:t>
      </w:r>
      <w:r>
        <w:t>PI states</w:t>
      </w:r>
      <w:r w:rsidRPr="000D6B89">
        <w:t xml:space="preserve"> </w:t>
      </w:r>
      <w:r>
        <w:t>i</w:t>
      </w:r>
      <w:r w:rsidRPr="000D6B89">
        <w:t>t is unknown whether icatibant is excreted in human breast milk but it is recommended that breastfeeding women should not breastfeed for</w:t>
      </w:r>
      <w:r>
        <w:t xml:space="preserve"> </w:t>
      </w:r>
      <w:r w:rsidRPr="000D6B89">
        <w:t>12 hours after treatment</w:t>
      </w:r>
      <w:r w:rsidR="00073402">
        <w:t>.</w:t>
      </w:r>
    </w:p>
    <w:p w14:paraId="11E79461" w14:textId="77777777" w:rsidR="0005552C" w:rsidRPr="003B4D52" w:rsidRDefault="0005552C" w:rsidP="0005552C">
      <w:pPr>
        <w:pStyle w:val="TableFootnotes1"/>
      </w:pPr>
      <w:r>
        <w:rPr>
          <w:b/>
        </w:rPr>
        <w:t xml:space="preserve">g </w:t>
      </w:r>
      <w:r w:rsidRPr="003B4D52">
        <w:t xml:space="preserve">PI states </w:t>
      </w:r>
      <w:r>
        <w:t>‘</w:t>
      </w:r>
      <w:r w:rsidRPr="003B4D52">
        <w:t>the safety and efficacy in children has not been established</w:t>
      </w:r>
      <w:r>
        <w:t>.’ ASCIA Position Paper states ‘</w:t>
      </w:r>
      <w:r w:rsidRPr="003B4D52">
        <w:t>Danazol can be used for short-term prophylaxis in children since virilisation is only likely to occur with long-term treatment</w:t>
      </w:r>
      <w:r>
        <w:t>.’</w:t>
      </w:r>
    </w:p>
    <w:p w14:paraId="7C33F76B" w14:textId="43882766" w:rsidR="0005552C" w:rsidRDefault="0005552C" w:rsidP="0005552C">
      <w:pPr>
        <w:pStyle w:val="TableFootnotes1"/>
      </w:pPr>
      <w:r>
        <w:rPr>
          <w:b/>
        </w:rPr>
        <w:t xml:space="preserve">h </w:t>
      </w:r>
      <w:r w:rsidRPr="003B4D52">
        <w:t xml:space="preserve">PI states </w:t>
      </w:r>
      <w:r>
        <w:t>‘</w:t>
      </w:r>
      <w:r w:rsidRPr="003B4D52">
        <w:t>the safety and efficacy in children has not been established</w:t>
      </w:r>
      <w:r>
        <w:t>.’ ASCIA Position Paper states ‘</w:t>
      </w:r>
      <w:r w:rsidRPr="00E611BB">
        <w:t xml:space="preserve">In some cases the benefits </w:t>
      </w:r>
      <w:r>
        <w:t xml:space="preserve">of routine danazol in children </w:t>
      </w:r>
      <w:r w:rsidRPr="00E611BB">
        <w:t>outweigh the risks</w:t>
      </w:r>
      <w:r w:rsidR="004A36BF">
        <w:t>.’</w:t>
      </w:r>
    </w:p>
    <w:p w14:paraId="70A7CE30" w14:textId="77777777" w:rsidR="0005552C" w:rsidRPr="00CB7CDE" w:rsidRDefault="0005552C" w:rsidP="0005552C">
      <w:pPr>
        <w:pStyle w:val="TableFootnotes1"/>
      </w:pPr>
      <w:r w:rsidRPr="003B4D52">
        <w:rPr>
          <w:b/>
        </w:rPr>
        <w:t xml:space="preserve">i </w:t>
      </w:r>
      <w:r w:rsidRPr="003B4D52">
        <w:t xml:space="preserve">PI states </w:t>
      </w:r>
      <w:r>
        <w:t>it is not recommended for use in breastfeeding mothers. ASCIA Position Paper states</w:t>
      </w:r>
      <w:r w:rsidRPr="00CB7CDE">
        <w:t xml:space="preserve"> </w:t>
      </w:r>
      <w:r>
        <w:t>‘t</w:t>
      </w:r>
      <w:r w:rsidRPr="00CB7CDE">
        <w:t>he safety of danazol during</w:t>
      </w:r>
      <w:r>
        <w:t xml:space="preserve"> </w:t>
      </w:r>
      <w:r w:rsidRPr="00CB7CDE">
        <w:t>breastfeeding has not been established so it is usually avoided</w:t>
      </w:r>
      <w:r>
        <w:t>’.</w:t>
      </w:r>
    </w:p>
    <w:p w14:paraId="7C8A3BA5" w14:textId="40A65829" w:rsidR="00073402" w:rsidRDefault="0005552C" w:rsidP="0005552C">
      <w:pPr>
        <w:pStyle w:val="TableFootnotes1"/>
        <w:rPr>
          <w:b/>
        </w:rPr>
      </w:pPr>
      <w:r>
        <w:rPr>
          <w:b/>
        </w:rPr>
        <w:t xml:space="preserve">j </w:t>
      </w:r>
      <w:r w:rsidR="00A339B6">
        <w:t xml:space="preserve">ASCIA Position Paper makes no statement regarding use of tranexamic acid for acute attacks, presumably due to very limited benefit for this indication (Longhurst, 2010).  </w:t>
      </w:r>
    </w:p>
    <w:p w14:paraId="709DED43" w14:textId="099E0B93" w:rsidR="0005552C" w:rsidRDefault="00073402" w:rsidP="0005552C">
      <w:pPr>
        <w:pStyle w:val="TableFootnotes1"/>
      </w:pPr>
      <w:r w:rsidRPr="00073402">
        <w:rPr>
          <w:b/>
        </w:rPr>
        <w:t>k</w:t>
      </w:r>
      <w:r>
        <w:t xml:space="preserve"> </w:t>
      </w:r>
      <w:r w:rsidR="0005552C">
        <w:t>ASCIA Position Paper states that tranexamic acid is ‘n</w:t>
      </w:r>
      <w:r w:rsidR="0005552C" w:rsidRPr="00843BE8">
        <w:t>ot preferred for prophylaxis but could be introduced where danazol is contraindicated or unacceptable</w:t>
      </w:r>
      <w:r w:rsidR="0005552C">
        <w:t>.’</w:t>
      </w:r>
    </w:p>
    <w:p w14:paraId="75A41DD8" w14:textId="0D0B5085" w:rsidR="0005552C" w:rsidRDefault="00073402" w:rsidP="0005552C">
      <w:pPr>
        <w:pStyle w:val="TableFootnotes1"/>
      </w:pPr>
      <w:r>
        <w:rPr>
          <w:b/>
        </w:rPr>
        <w:t>l</w:t>
      </w:r>
      <w:r w:rsidR="0005552C">
        <w:t xml:space="preserve"> PI states </w:t>
      </w:r>
      <w:r w:rsidR="00A35725">
        <w:t>tranexamic acid</w:t>
      </w:r>
      <w:r w:rsidR="0005552C">
        <w:t xml:space="preserve"> has an Australian Pregnancy Categorisation B1. ASCIA Position Paper refers to Category B1 and no further opinion is provided.</w:t>
      </w:r>
    </w:p>
    <w:p w14:paraId="64B53AE9" w14:textId="6B7F978F" w:rsidR="00F1415F" w:rsidRPr="00F1415F" w:rsidRDefault="00073402" w:rsidP="00C77DBE">
      <w:pPr>
        <w:pStyle w:val="LastTableFootnote"/>
      </w:pPr>
      <w:r>
        <w:rPr>
          <w:b/>
        </w:rPr>
        <w:t>m</w:t>
      </w:r>
      <w:r w:rsidR="0005552C" w:rsidRPr="001572E4">
        <w:t xml:space="preserve"> </w:t>
      </w:r>
      <w:r w:rsidR="0005552C">
        <w:t>PI states ‘</w:t>
      </w:r>
      <w:r w:rsidR="0005552C" w:rsidRPr="001572E4">
        <w:t>While an antifibrinolytic effect in the infant is</w:t>
      </w:r>
      <w:r w:rsidR="0005552C">
        <w:t xml:space="preserve"> </w:t>
      </w:r>
      <w:r w:rsidR="0005552C" w:rsidRPr="001572E4">
        <w:t>unlikely at therapeutic doses, caution should be exercised when tranexamic acid is</w:t>
      </w:r>
      <w:r w:rsidR="0005552C">
        <w:t xml:space="preserve"> </w:t>
      </w:r>
      <w:r w:rsidR="0005552C" w:rsidRPr="001572E4">
        <w:t xml:space="preserve">administered to a nursing woman.’ </w:t>
      </w:r>
      <w:r w:rsidR="0005552C">
        <w:t>ASCIA Position Paper</w:t>
      </w:r>
      <w:r w:rsidR="00222369">
        <w:t xml:space="preserve"> states is not contraindicated.</w:t>
      </w:r>
      <w:bookmarkStart w:id="116" w:name="_Toc275414998"/>
      <w:bookmarkEnd w:id="116"/>
    </w:p>
    <w:sectPr w:rsidR="00F1415F" w:rsidRPr="00F1415F" w:rsidSect="00D61C4E">
      <w:footerReference w:type="defaul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F5F2C8" w14:textId="77777777" w:rsidR="007E66F4" w:rsidRDefault="007E66F4" w:rsidP="000901A8">
      <w:r>
        <w:separator/>
      </w:r>
    </w:p>
  </w:endnote>
  <w:endnote w:type="continuationSeparator" w:id="0">
    <w:p w14:paraId="1B0A038E" w14:textId="77777777" w:rsidR="007E66F4" w:rsidRDefault="007E66F4" w:rsidP="0009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647900"/>
      <w:docPartObj>
        <w:docPartGallery w:val="Page Numbers (Bottom of Page)"/>
        <w:docPartUnique/>
      </w:docPartObj>
    </w:sdtPr>
    <w:sdtEndPr>
      <w:rPr>
        <w:noProof/>
      </w:rPr>
    </w:sdtEndPr>
    <w:sdtContent>
      <w:p w14:paraId="571718F2" w14:textId="77777777" w:rsidR="006760C9" w:rsidRDefault="006760C9">
        <w:pPr>
          <w:pStyle w:val="Footer"/>
          <w:jc w:val="right"/>
        </w:pPr>
        <w:r w:rsidRPr="006D278B">
          <w:rPr>
            <w:sz w:val="18"/>
            <w:szCs w:val="18"/>
          </w:rPr>
          <w:fldChar w:fldCharType="begin"/>
        </w:r>
        <w:r w:rsidRPr="006D278B">
          <w:rPr>
            <w:sz w:val="18"/>
            <w:szCs w:val="18"/>
          </w:rPr>
          <w:instrText xml:space="preserve"> PAGE   \* MERGEFORMAT </w:instrText>
        </w:r>
        <w:r w:rsidRPr="006D278B">
          <w:rPr>
            <w:sz w:val="18"/>
            <w:szCs w:val="18"/>
          </w:rPr>
          <w:fldChar w:fldCharType="separate"/>
        </w:r>
        <w:r w:rsidR="00EA5D58">
          <w:rPr>
            <w:noProof/>
            <w:sz w:val="18"/>
            <w:szCs w:val="18"/>
          </w:rPr>
          <w:t>2</w:t>
        </w:r>
        <w:r w:rsidRPr="006D278B">
          <w:rPr>
            <w:noProof/>
            <w:sz w:val="18"/>
            <w:szCs w:val="18"/>
          </w:rPr>
          <w:fldChar w:fldCharType="end"/>
        </w:r>
      </w:p>
    </w:sdtContent>
  </w:sdt>
  <w:p w14:paraId="2C24DEBF" w14:textId="7D7181D1" w:rsidR="006760C9" w:rsidRPr="0017392E" w:rsidRDefault="006760C9" w:rsidP="000901A8">
    <w:pPr>
      <w:pStyle w:val="Footer"/>
      <w:rPr>
        <w:sz w:val="18"/>
        <w:szCs w:val="18"/>
      </w:rPr>
    </w:pPr>
    <w:r>
      <w:rPr>
        <w:sz w:val="18"/>
        <w:szCs w:val="18"/>
      </w:rPr>
      <w:t xml:space="preserve">Assessment Protocol: </w:t>
    </w:r>
    <w:r w:rsidRPr="0017392E">
      <w:rPr>
        <w:sz w:val="18"/>
        <w:szCs w:val="18"/>
      </w:rPr>
      <w:t>C1 esterase inhibitor for hereditary angioedema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834261" w14:textId="77777777" w:rsidR="007E66F4" w:rsidRDefault="007E66F4" w:rsidP="000901A8">
      <w:r>
        <w:separator/>
      </w:r>
    </w:p>
  </w:footnote>
  <w:footnote w:type="continuationSeparator" w:id="0">
    <w:p w14:paraId="3F209904" w14:textId="77777777" w:rsidR="007E66F4" w:rsidRDefault="007E66F4" w:rsidP="000901A8">
      <w:r>
        <w:continuationSeparator/>
      </w:r>
    </w:p>
  </w:footnote>
  <w:footnote w:id="1">
    <w:p w14:paraId="193F2B7C" w14:textId="0CB8952B" w:rsidR="006760C9" w:rsidRDefault="006760C9" w:rsidP="0005552C">
      <w:pPr>
        <w:pStyle w:val="FootnoteText"/>
      </w:pPr>
      <w:r>
        <w:rPr>
          <w:rStyle w:val="FootnoteReference"/>
        </w:rPr>
        <w:footnoteRef/>
      </w:r>
      <w:r>
        <w:t xml:space="preserve"> Danazol increases expression of th</w:t>
      </w:r>
      <w:r w:rsidRPr="000460A8">
        <w:t>e normal C1-INH gene, ther</w:t>
      </w:r>
      <w:r>
        <w:t>eby increasing levels of normal C1-INH.</w:t>
      </w:r>
    </w:p>
  </w:footnote>
  <w:footnote w:id="2">
    <w:p w14:paraId="4FAD19D6" w14:textId="1CC72C5F" w:rsidR="006760C9" w:rsidRDefault="006760C9">
      <w:pPr>
        <w:pStyle w:val="FootnoteText"/>
      </w:pPr>
      <w:r>
        <w:rPr>
          <w:rStyle w:val="FootnoteReference"/>
        </w:rPr>
        <w:footnoteRef/>
      </w:r>
      <w:r>
        <w:t xml:space="preserve"> The TGA indication is restricted to patients at least 12 years of age due to insufficient pharmacokinetic data in younger patients and the lack of a rationale for using the same dosing regimen in adults and children. According to the AusPAR for Cinryze, ‘the l</w:t>
      </w:r>
      <w:r w:rsidRPr="00296DE8">
        <w:t>owest efficacious dose should be elicited in order to increase any margin of safety</w:t>
      </w:r>
      <w:r>
        <w:t>’.</w:t>
      </w:r>
    </w:p>
  </w:footnote>
  <w:footnote w:id="3">
    <w:p w14:paraId="42243291" w14:textId="77777777" w:rsidR="006760C9" w:rsidRDefault="006760C9" w:rsidP="00342EDD">
      <w:pPr>
        <w:pStyle w:val="FootnoteText"/>
      </w:pPr>
      <w:r>
        <w:rPr>
          <w:rStyle w:val="FootnoteReference"/>
        </w:rPr>
        <w:footnoteRef/>
      </w:r>
      <w:r>
        <w:t xml:space="preserve"> The only other prophylactic drug therapy is attenuated androgens (danazol) or, less frequently, tranexamic acid.</w:t>
      </w:r>
    </w:p>
  </w:footnote>
  <w:footnote w:id="4">
    <w:p w14:paraId="1BAA29EC" w14:textId="77777777" w:rsidR="006760C9" w:rsidRDefault="006760C9" w:rsidP="008F70E0">
      <w:pPr>
        <w:pStyle w:val="FootnoteText"/>
      </w:pPr>
      <w:r>
        <w:rPr>
          <w:rStyle w:val="FootnoteReference"/>
        </w:rPr>
        <w:footnoteRef/>
      </w:r>
      <w:r>
        <w:t xml:space="preserve"> Reported in the Cinryze proposal, quoting personal contact:</w:t>
      </w:r>
      <w:r w:rsidRPr="00EF35D2">
        <w:t xml:space="preserve"> Interviews and correspondence with 13 Clinical Immunology and 1 Pharmacy specialist across Australia from 4 June 2012 to 7 September 2012</w:t>
      </w:r>
      <w:r>
        <w:t>.</w:t>
      </w:r>
    </w:p>
  </w:footnote>
  <w:footnote w:id="5">
    <w:p w14:paraId="4CEF1585" w14:textId="77777777" w:rsidR="006760C9" w:rsidRDefault="006760C9" w:rsidP="00802329">
      <w:pPr>
        <w:pStyle w:val="FootnoteText"/>
      </w:pPr>
      <w:r>
        <w:rPr>
          <w:rStyle w:val="FootnoteReference"/>
        </w:rPr>
        <w:footnoteRef/>
      </w:r>
      <w:r>
        <w:t xml:space="preserve"> </w:t>
      </w:r>
      <w:r>
        <w:rPr>
          <w:lang w:val="en-GB" w:eastAsia="ja-JP"/>
        </w:rPr>
        <w:t>There are</w:t>
      </w:r>
      <w:r w:rsidRPr="008A28A8">
        <w:t xml:space="preserve"> </w:t>
      </w:r>
      <w:r>
        <w:rPr>
          <w:lang w:val="en-GB" w:eastAsia="ja-JP"/>
        </w:rPr>
        <w:t>significant precautions for the use of icatibant in children and during pregnancy and lactation, and these presentations are likely to precipitate the choice of C1-INH concentrate.</w:t>
      </w:r>
    </w:p>
  </w:footnote>
  <w:footnote w:id="6">
    <w:p w14:paraId="37FD849C" w14:textId="08F54D94" w:rsidR="006760C9" w:rsidRDefault="006760C9">
      <w:pPr>
        <w:pStyle w:val="FootnoteText"/>
      </w:pPr>
      <w:r>
        <w:rPr>
          <w:rStyle w:val="FootnoteReference"/>
        </w:rPr>
        <w:footnoteRef/>
      </w:r>
      <w:r>
        <w:t xml:space="preserve"> Due to a lack of evidence of efficacy for this indication.</w:t>
      </w:r>
    </w:p>
  </w:footnote>
  <w:footnote w:id="7">
    <w:p w14:paraId="0915F0F0" w14:textId="754272FC" w:rsidR="006760C9" w:rsidRDefault="006760C9">
      <w:pPr>
        <w:pStyle w:val="FootnoteText"/>
      </w:pPr>
      <w:r>
        <w:rPr>
          <w:rStyle w:val="FootnoteReference"/>
        </w:rPr>
        <w:footnoteRef/>
      </w:r>
      <w:r>
        <w:t xml:space="preserve"> Due to a lack of pharmacokinetic data and dosing rationale in children.</w:t>
      </w:r>
    </w:p>
  </w:footnote>
  <w:footnote w:id="8">
    <w:p w14:paraId="71911AB2" w14:textId="7F661AAC" w:rsidR="006760C9" w:rsidRDefault="006760C9">
      <w:pPr>
        <w:pStyle w:val="FootnoteText"/>
      </w:pPr>
      <w:r>
        <w:rPr>
          <w:rStyle w:val="FootnoteReference"/>
        </w:rPr>
        <w:footnoteRef/>
      </w:r>
      <w:r>
        <w:t xml:space="preserve"> Danazol is first line for minor pre-procedure prophylaxis but C1-INH concentrate is not deemed necessary for minor procedures.</w:t>
      </w:r>
    </w:p>
  </w:footnote>
  <w:footnote w:id="9">
    <w:p w14:paraId="60CF7016" w14:textId="17A06949" w:rsidR="006760C9" w:rsidRDefault="006760C9">
      <w:pPr>
        <w:pStyle w:val="FootnoteText"/>
      </w:pPr>
      <w:r>
        <w:rPr>
          <w:rStyle w:val="FootnoteReference"/>
        </w:rPr>
        <w:footnoteRef/>
      </w:r>
      <w:r>
        <w:t xml:space="preserve"> </w:t>
      </w:r>
      <w:r>
        <w:rPr>
          <w:lang w:val="en-GB" w:eastAsia="ja-JP"/>
        </w:rPr>
        <w:t xml:space="preserve">According to ASCIA, pregnancy is </w:t>
      </w:r>
      <w:r>
        <w:t xml:space="preserve">an absolute indication for C1-INH concentrate over icatibant for acute attacks (communication 22 August 2014). </w:t>
      </w:r>
    </w:p>
  </w:footnote>
  <w:footnote w:id="10">
    <w:p w14:paraId="23957750" w14:textId="36E47482" w:rsidR="006760C9" w:rsidRDefault="006760C9">
      <w:pPr>
        <w:pStyle w:val="FootnoteText"/>
      </w:pPr>
      <w:r>
        <w:rPr>
          <w:rStyle w:val="FootnoteReference"/>
        </w:rPr>
        <w:footnoteRef/>
      </w:r>
      <w:r>
        <w:t xml:space="preserve"> Indicates where hospital-funded C1-INH concentrate currently may be used.</w:t>
      </w:r>
    </w:p>
  </w:footnote>
  <w:footnote w:id="11">
    <w:p w14:paraId="1D52CF9A" w14:textId="2E8E0738" w:rsidR="006760C9" w:rsidRDefault="006760C9" w:rsidP="00D57204">
      <w:pPr>
        <w:pStyle w:val="FootnoteText"/>
      </w:pPr>
      <w:r>
        <w:rPr>
          <w:rStyle w:val="FootnoteReference"/>
        </w:rPr>
        <w:footnoteRef/>
      </w:r>
      <w:r>
        <w:t xml:space="preserve"> This is an assumption. It is possible that some patients are using C1-INH concentrate routinely but it seems highly unlikely given the financial burden it would place on either the patient or the hospital. Comments made in the ASCIA Position Paper (Katelaris 2012) are consistent with this assumption.</w:t>
      </w:r>
    </w:p>
  </w:footnote>
  <w:footnote w:id="12">
    <w:p w14:paraId="77C2BCC1" w14:textId="27DDE8C4" w:rsidR="006760C9" w:rsidRDefault="006760C9" w:rsidP="00F02762">
      <w:pPr>
        <w:pStyle w:val="FootnoteText"/>
      </w:pPr>
      <w:r>
        <w:rPr>
          <w:rStyle w:val="FootnoteReference"/>
        </w:rPr>
        <w:footnoteRef/>
      </w:r>
      <w:r>
        <w:t xml:space="preserve"> Oral therapy in children would usually be tranexamic acid but the ASCIA Position Paper states ‘</w:t>
      </w:r>
      <w:r w:rsidRPr="00E611BB">
        <w:t xml:space="preserve">In some cases the benefits </w:t>
      </w:r>
      <w:r>
        <w:t xml:space="preserve">of routine danazol in children </w:t>
      </w:r>
      <w:r w:rsidRPr="00E611BB">
        <w:t>outweigh the risks</w:t>
      </w:r>
      <w:r>
        <w:t>’, so danazol may be used routinely in some children.</w:t>
      </w:r>
    </w:p>
  </w:footnote>
  <w:footnote w:id="13">
    <w:p w14:paraId="7E2AD938" w14:textId="7C56EC4D" w:rsidR="006760C9" w:rsidRDefault="006760C9">
      <w:pPr>
        <w:pStyle w:val="FootnoteText"/>
      </w:pPr>
      <w:r>
        <w:rPr>
          <w:rStyle w:val="FootnoteReference"/>
        </w:rPr>
        <w:footnoteRef/>
      </w:r>
      <w:r>
        <w:t xml:space="preserve"> While TA is not contra-indicated in these populations, it is of very limited benefit for acute attacks (Longhurst et al, 2010) and the ASCIA Position Paper (Katelaris et al, 2012) makes no mention of its use for this indication.</w:t>
      </w:r>
    </w:p>
  </w:footnote>
  <w:footnote w:id="14">
    <w:p w14:paraId="31CDC2A9" w14:textId="55EAA387" w:rsidR="006760C9" w:rsidRDefault="006760C9" w:rsidP="00AF0D83">
      <w:pPr>
        <w:pStyle w:val="FootnoteText"/>
      </w:pPr>
      <w:r>
        <w:rPr>
          <w:rStyle w:val="FootnoteReference"/>
        </w:rPr>
        <w:footnoteRef/>
      </w:r>
      <w:r>
        <w:t xml:space="preserve"> PI for tranexamic acid states that </w:t>
      </w:r>
      <w:r w:rsidRPr="000E093A">
        <w:t>caution should be exercised when administered to a nursing woman</w:t>
      </w:r>
      <w:r>
        <w:t>. Not for 12 hours prior to breastfeeding.</w:t>
      </w:r>
    </w:p>
  </w:footnote>
  <w:footnote w:id="15">
    <w:p w14:paraId="50A763E1" w14:textId="77777777" w:rsidR="006760C9" w:rsidRDefault="006760C9" w:rsidP="00C01409">
      <w:pPr>
        <w:pStyle w:val="FootnoteText"/>
      </w:pPr>
      <w:r>
        <w:rPr>
          <w:rStyle w:val="FootnoteReference"/>
        </w:rPr>
        <w:footnoteRef/>
      </w:r>
      <w:r>
        <w:t xml:space="preserve"> Based on claims made by ASCIA regarding the low efficacy of tranexamic acid (Katelaris et al, 2012).</w:t>
      </w:r>
    </w:p>
  </w:footnote>
  <w:footnote w:id="16">
    <w:p w14:paraId="73F1E287" w14:textId="77777777" w:rsidR="006760C9" w:rsidRDefault="006760C9" w:rsidP="00BC62D9">
      <w:pPr>
        <w:pStyle w:val="FootnoteText"/>
      </w:pPr>
      <w:r>
        <w:rPr>
          <w:rStyle w:val="FootnoteReference"/>
        </w:rPr>
        <w:footnoteRef/>
      </w:r>
      <w:r>
        <w:t xml:space="preserve"> Note that there is currently no TGA-approved C1-INH concentrate for this indication in children: Berinert is not TGA-approved for prophylaxis and Cinryze is not TGA-approved for children.</w:t>
      </w:r>
    </w:p>
  </w:footnote>
  <w:footnote w:id="17">
    <w:p w14:paraId="7BC6FB0F" w14:textId="02999E88" w:rsidR="006760C9" w:rsidRDefault="006760C9" w:rsidP="0091209A">
      <w:pPr>
        <w:pStyle w:val="FootnoteText"/>
      </w:pPr>
      <w:r>
        <w:rPr>
          <w:rStyle w:val="FootnoteReference"/>
        </w:rPr>
        <w:footnoteRef/>
      </w:r>
      <w:r>
        <w:t xml:space="preserve"> Based on claims made by ASCIA regarding the low efficacy of tranexamic acid (Katelaris et al, 2012).</w:t>
      </w:r>
    </w:p>
  </w:footnote>
  <w:footnote w:id="18">
    <w:p w14:paraId="2CB79542" w14:textId="77777777" w:rsidR="006760C9" w:rsidRDefault="006760C9" w:rsidP="009612D1">
      <w:pPr>
        <w:pStyle w:val="FootnoteText"/>
      </w:pPr>
      <w:r>
        <w:rPr>
          <w:rStyle w:val="FootnoteReference"/>
        </w:rPr>
        <w:footnoteRef/>
      </w:r>
      <w:r>
        <w:t xml:space="preserve"> Self-administered or administered by another person at home or by an out-of-hospital health care professional</w:t>
      </w:r>
    </w:p>
  </w:footnote>
  <w:footnote w:id="19">
    <w:p w14:paraId="2F5E0226" w14:textId="77777777" w:rsidR="006760C9" w:rsidRDefault="006760C9" w:rsidP="004B05DD">
      <w:pPr>
        <w:pStyle w:val="FootnoteText"/>
      </w:pPr>
      <w:r>
        <w:rPr>
          <w:rStyle w:val="FootnoteReference"/>
        </w:rPr>
        <w:footnoteRef/>
      </w:r>
      <w:r>
        <w:t xml:space="preserve"> Self-administered or administered by another person at home or by an out-of-hospital health care professional</w:t>
      </w:r>
    </w:p>
  </w:footnote>
  <w:footnote w:id="20">
    <w:p w14:paraId="57607A38" w14:textId="77777777" w:rsidR="006760C9" w:rsidRDefault="006760C9" w:rsidP="00C94645">
      <w:pPr>
        <w:pStyle w:val="FootnoteText"/>
      </w:pPr>
      <w:r>
        <w:rPr>
          <w:rStyle w:val="FootnoteReference"/>
        </w:rPr>
        <w:footnoteRef/>
      </w:r>
      <w:r>
        <w:t xml:space="preserve"> Self-administered or administered by another person at home or by an out-of-hospital health care professional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D4CA44E"/>
    <w:lvl w:ilvl="0">
      <w:start w:val="1"/>
      <w:numFmt w:val="decimal"/>
      <w:lvlText w:val="%1."/>
      <w:lvlJc w:val="left"/>
      <w:pPr>
        <w:tabs>
          <w:tab w:val="num" w:pos="1492"/>
        </w:tabs>
        <w:ind w:left="1492" w:hanging="360"/>
      </w:pPr>
    </w:lvl>
  </w:abstractNum>
  <w:abstractNum w:abstractNumId="1">
    <w:nsid w:val="FFFFFF7D"/>
    <w:multiLevelType w:val="singleLevel"/>
    <w:tmpl w:val="263E5C0E"/>
    <w:lvl w:ilvl="0">
      <w:start w:val="1"/>
      <w:numFmt w:val="decimal"/>
      <w:lvlText w:val="%1."/>
      <w:lvlJc w:val="left"/>
      <w:pPr>
        <w:tabs>
          <w:tab w:val="num" w:pos="1209"/>
        </w:tabs>
        <w:ind w:left="1209" w:hanging="360"/>
      </w:pPr>
    </w:lvl>
  </w:abstractNum>
  <w:abstractNum w:abstractNumId="2">
    <w:nsid w:val="FFFFFF7E"/>
    <w:multiLevelType w:val="singleLevel"/>
    <w:tmpl w:val="E4AC546A"/>
    <w:lvl w:ilvl="0">
      <w:start w:val="1"/>
      <w:numFmt w:val="decimal"/>
      <w:lvlText w:val="%1."/>
      <w:lvlJc w:val="left"/>
      <w:pPr>
        <w:tabs>
          <w:tab w:val="num" w:pos="926"/>
        </w:tabs>
        <w:ind w:left="926" w:hanging="360"/>
      </w:pPr>
    </w:lvl>
  </w:abstractNum>
  <w:abstractNum w:abstractNumId="3">
    <w:nsid w:val="FFFFFF7F"/>
    <w:multiLevelType w:val="singleLevel"/>
    <w:tmpl w:val="4110680A"/>
    <w:lvl w:ilvl="0">
      <w:start w:val="1"/>
      <w:numFmt w:val="decimal"/>
      <w:lvlText w:val="%1."/>
      <w:lvlJc w:val="left"/>
      <w:pPr>
        <w:tabs>
          <w:tab w:val="num" w:pos="643"/>
        </w:tabs>
        <w:ind w:left="643" w:hanging="360"/>
      </w:pPr>
    </w:lvl>
  </w:abstractNum>
  <w:abstractNum w:abstractNumId="4">
    <w:nsid w:val="FFFFFF80"/>
    <w:multiLevelType w:val="singleLevel"/>
    <w:tmpl w:val="4F68DAF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692DFE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FC60CD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ED0CD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F741756"/>
    <w:lvl w:ilvl="0">
      <w:start w:val="1"/>
      <w:numFmt w:val="decimal"/>
      <w:lvlText w:val="%1."/>
      <w:lvlJc w:val="left"/>
      <w:pPr>
        <w:tabs>
          <w:tab w:val="num" w:pos="360"/>
        </w:tabs>
        <w:ind w:left="360" w:hanging="360"/>
      </w:pPr>
    </w:lvl>
  </w:abstractNum>
  <w:abstractNum w:abstractNumId="9">
    <w:nsid w:val="FFFFFF89"/>
    <w:multiLevelType w:val="singleLevel"/>
    <w:tmpl w:val="A4524924"/>
    <w:lvl w:ilvl="0">
      <w:start w:val="1"/>
      <w:numFmt w:val="bullet"/>
      <w:lvlText w:val=""/>
      <w:lvlJc w:val="left"/>
      <w:pPr>
        <w:tabs>
          <w:tab w:val="num" w:pos="360"/>
        </w:tabs>
        <w:ind w:left="360" w:hanging="360"/>
      </w:pPr>
      <w:rPr>
        <w:rFonts w:ascii="Symbol" w:hAnsi="Symbol" w:hint="default"/>
      </w:rPr>
    </w:lvl>
  </w:abstractNum>
  <w:abstractNum w:abstractNumId="10">
    <w:nsid w:val="004F02F9"/>
    <w:multiLevelType w:val="hybridMultilevel"/>
    <w:tmpl w:val="E364EE4E"/>
    <w:lvl w:ilvl="0" w:tplc="B58AF0B8">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0A581312"/>
    <w:multiLevelType w:val="hybridMultilevel"/>
    <w:tmpl w:val="E3167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F71479"/>
    <w:multiLevelType w:val="hybridMultilevel"/>
    <w:tmpl w:val="C590E13A"/>
    <w:lvl w:ilvl="0" w:tplc="87D2EA2C">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6448C8"/>
    <w:multiLevelType w:val="hybridMultilevel"/>
    <w:tmpl w:val="AC3E5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57707C"/>
    <w:multiLevelType w:val="hybridMultilevel"/>
    <w:tmpl w:val="30802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893679"/>
    <w:multiLevelType w:val="hybridMultilevel"/>
    <w:tmpl w:val="FBFE0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0FF123A"/>
    <w:multiLevelType w:val="hybridMultilevel"/>
    <w:tmpl w:val="E3167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7400D84"/>
    <w:multiLevelType w:val="hybridMultilevel"/>
    <w:tmpl w:val="5B82E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C002AE1"/>
    <w:multiLevelType w:val="hybridMultilevel"/>
    <w:tmpl w:val="D94480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D92DDB"/>
    <w:multiLevelType w:val="hybridMultilevel"/>
    <w:tmpl w:val="CBBC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FB33F8"/>
    <w:multiLevelType w:val="hybridMultilevel"/>
    <w:tmpl w:val="25E658D6"/>
    <w:lvl w:ilvl="0" w:tplc="C00873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2BB0066"/>
    <w:multiLevelType w:val="hybridMultilevel"/>
    <w:tmpl w:val="11A2B96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93316E0"/>
    <w:multiLevelType w:val="hybridMultilevel"/>
    <w:tmpl w:val="79D8D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A652D8"/>
    <w:multiLevelType w:val="hybridMultilevel"/>
    <w:tmpl w:val="8F8ECD56"/>
    <w:lvl w:ilvl="0" w:tplc="E24895D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85456F"/>
    <w:multiLevelType w:val="hybridMultilevel"/>
    <w:tmpl w:val="C6ECD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0040FAE"/>
    <w:multiLevelType w:val="hybridMultilevel"/>
    <w:tmpl w:val="6F12A4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631001C"/>
    <w:multiLevelType w:val="hybridMultilevel"/>
    <w:tmpl w:val="02746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7333F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ECB07A9"/>
    <w:multiLevelType w:val="multilevel"/>
    <w:tmpl w:val="D3EA4BCA"/>
    <w:styleLink w:val="Headings"/>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lowerRoman"/>
      <w:pStyle w:val="Heading9"/>
      <w:lvlText w:val="%9."/>
      <w:lvlJc w:val="left"/>
      <w:pPr>
        <w:ind w:left="0" w:firstLine="0"/>
      </w:pPr>
      <w:rPr>
        <w:rFonts w:hint="default"/>
      </w:rPr>
    </w:lvl>
  </w:abstractNum>
  <w:abstractNum w:abstractNumId="29">
    <w:nsid w:val="5FA513EB"/>
    <w:multiLevelType w:val="hybridMultilevel"/>
    <w:tmpl w:val="A3C40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31">
    <w:nsid w:val="6B0747A4"/>
    <w:multiLevelType w:val="hybridMultilevel"/>
    <w:tmpl w:val="E3167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E772435"/>
    <w:multiLevelType w:val="hybridMultilevel"/>
    <w:tmpl w:val="6F12A4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9B97091"/>
    <w:multiLevelType w:val="hybridMultilevel"/>
    <w:tmpl w:val="99502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2D5B11"/>
    <w:multiLevelType w:val="hybridMultilevel"/>
    <w:tmpl w:val="B2062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28"/>
    <w:lvlOverride w:ilvl="5">
      <w:lvl w:ilvl="5">
        <w:start w:val="1"/>
        <w:numFmt w:val="upperLetter"/>
        <w:pStyle w:val="Heading6"/>
        <w:lvlText w:val="Appendix %6"/>
        <w:lvlJc w:val="left"/>
        <w:pPr>
          <w:ind w:left="0" w:firstLine="0"/>
        </w:pPr>
        <w:rPr>
          <w:rFonts w:hint="default"/>
        </w:rPr>
      </w:lvl>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
  </w:num>
  <w:num w:numId="7">
    <w:abstractNumId w:val="0"/>
  </w:num>
  <w:num w:numId="8">
    <w:abstractNumId w:val="3"/>
  </w:num>
  <w:num w:numId="9">
    <w:abstractNumId w:val="2"/>
  </w:num>
  <w:num w:numId="10">
    <w:abstractNumId w:val="8"/>
  </w:num>
  <w:num w:numId="11">
    <w:abstractNumId w:val="7"/>
  </w:num>
  <w:num w:numId="12">
    <w:abstractNumId w:val="6"/>
  </w:num>
  <w:num w:numId="13">
    <w:abstractNumId w:val="5"/>
  </w:num>
  <w:num w:numId="14">
    <w:abstractNumId w:val="4"/>
  </w:num>
  <w:num w:numId="15">
    <w:abstractNumId w:val="9"/>
  </w:num>
  <w:num w:numId="16">
    <w:abstractNumId w:val="28"/>
  </w:num>
  <w:num w:numId="17">
    <w:abstractNumId w:val="12"/>
  </w:num>
  <w:num w:numId="18">
    <w:abstractNumId w:val="33"/>
  </w:num>
  <w:num w:numId="19">
    <w:abstractNumId w:val="22"/>
  </w:num>
  <w:num w:numId="20">
    <w:abstractNumId w:val="13"/>
  </w:num>
  <w:num w:numId="21">
    <w:abstractNumId w:val="10"/>
  </w:num>
  <w:num w:numId="22">
    <w:abstractNumId w:val="27"/>
  </w:num>
  <w:num w:numId="23">
    <w:abstractNumId w:val="15"/>
  </w:num>
  <w:num w:numId="24">
    <w:abstractNumId w:val="19"/>
  </w:num>
  <w:num w:numId="25">
    <w:abstractNumId w:val="24"/>
  </w:num>
  <w:num w:numId="26">
    <w:abstractNumId w:val="14"/>
  </w:num>
  <w:num w:numId="27">
    <w:abstractNumId w:val="29"/>
  </w:num>
  <w:num w:numId="28">
    <w:abstractNumId w:val="32"/>
  </w:num>
  <w:num w:numId="29">
    <w:abstractNumId w:val="16"/>
  </w:num>
  <w:num w:numId="30">
    <w:abstractNumId w:val="25"/>
  </w:num>
  <w:num w:numId="31">
    <w:abstractNumId w:val="28"/>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upperLetter"/>
        <w:pStyle w:val="Heading6"/>
        <w:lvlText w:val="Appendix %6"/>
        <w:lvlJc w:val="left"/>
        <w:pPr>
          <w:ind w:left="0" w:firstLine="0"/>
        </w:pPr>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32">
    <w:abstractNumId w:val="34"/>
  </w:num>
  <w:num w:numId="33">
    <w:abstractNumId w:val="31"/>
  </w:num>
  <w:num w:numId="34">
    <w:abstractNumId w:val="11"/>
  </w:num>
  <w:num w:numId="35">
    <w:abstractNumId w:val="17"/>
  </w:num>
  <w:num w:numId="36">
    <w:abstractNumId w:val="21"/>
  </w:num>
  <w:num w:numId="37">
    <w:abstractNumId w:val="18"/>
  </w:num>
  <w:num w:numId="38">
    <w:abstractNumId w:val="20"/>
  </w:num>
  <w:num w:numId="39">
    <w:abstractNumId w:val="28"/>
    <w:lvlOverride w:ilvl="5">
      <w:lvl w:ilvl="5">
        <w:start w:val="1"/>
        <w:numFmt w:val="upperLetter"/>
        <w:pStyle w:val="Heading6"/>
        <w:lvlText w:val="Appendix %6"/>
        <w:lvlJc w:val="left"/>
        <w:pPr>
          <w:ind w:left="0" w:firstLine="0"/>
        </w:pPr>
        <w:rPr>
          <w:rFonts w:hint="default"/>
        </w:rPr>
      </w:lvl>
    </w:lvlOverride>
  </w:num>
  <w:num w:numId="40">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66"/>
    <w:rsid w:val="00000894"/>
    <w:rsid w:val="00000D23"/>
    <w:rsid w:val="000011AF"/>
    <w:rsid w:val="00006244"/>
    <w:rsid w:val="0000628F"/>
    <w:rsid w:val="00006D70"/>
    <w:rsid w:val="00007033"/>
    <w:rsid w:val="00007AA1"/>
    <w:rsid w:val="00007F11"/>
    <w:rsid w:val="00011A06"/>
    <w:rsid w:val="000122AB"/>
    <w:rsid w:val="00012ABD"/>
    <w:rsid w:val="00016EF7"/>
    <w:rsid w:val="00016FE2"/>
    <w:rsid w:val="0002037C"/>
    <w:rsid w:val="000225EF"/>
    <w:rsid w:val="0002264E"/>
    <w:rsid w:val="00022CBE"/>
    <w:rsid w:val="00022DB0"/>
    <w:rsid w:val="000265FA"/>
    <w:rsid w:val="00031007"/>
    <w:rsid w:val="00031E09"/>
    <w:rsid w:val="00034DB4"/>
    <w:rsid w:val="000405D8"/>
    <w:rsid w:val="00042BC9"/>
    <w:rsid w:val="00043B0E"/>
    <w:rsid w:val="000440B1"/>
    <w:rsid w:val="0004489D"/>
    <w:rsid w:val="000460A8"/>
    <w:rsid w:val="0004782D"/>
    <w:rsid w:val="00054399"/>
    <w:rsid w:val="0005552C"/>
    <w:rsid w:val="00062CD5"/>
    <w:rsid w:val="00063CF4"/>
    <w:rsid w:val="00063E7D"/>
    <w:rsid w:val="0006470A"/>
    <w:rsid w:val="00067E0B"/>
    <w:rsid w:val="000717CA"/>
    <w:rsid w:val="0007200C"/>
    <w:rsid w:val="00073402"/>
    <w:rsid w:val="0007388D"/>
    <w:rsid w:val="00073C17"/>
    <w:rsid w:val="00073FFF"/>
    <w:rsid w:val="0007470C"/>
    <w:rsid w:val="00075541"/>
    <w:rsid w:val="00082055"/>
    <w:rsid w:val="00082F91"/>
    <w:rsid w:val="00083184"/>
    <w:rsid w:val="0008374A"/>
    <w:rsid w:val="0008520C"/>
    <w:rsid w:val="000852ED"/>
    <w:rsid w:val="00085AF9"/>
    <w:rsid w:val="00086507"/>
    <w:rsid w:val="0009013C"/>
    <w:rsid w:val="000901A8"/>
    <w:rsid w:val="00090218"/>
    <w:rsid w:val="000917EF"/>
    <w:rsid w:val="00091A04"/>
    <w:rsid w:val="00092191"/>
    <w:rsid w:val="0009279E"/>
    <w:rsid w:val="000931A7"/>
    <w:rsid w:val="00093AD7"/>
    <w:rsid w:val="00093BBA"/>
    <w:rsid w:val="00095A41"/>
    <w:rsid w:val="000963CD"/>
    <w:rsid w:val="000963DE"/>
    <w:rsid w:val="000964AB"/>
    <w:rsid w:val="00097EC2"/>
    <w:rsid w:val="000A3D96"/>
    <w:rsid w:val="000A6059"/>
    <w:rsid w:val="000A6B75"/>
    <w:rsid w:val="000A717E"/>
    <w:rsid w:val="000A7698"/>
    <w:rsid w:val="000B2EF5"/>
    <w:rsid w:val="000B2F3E"/>
    <w:rsid w:val="000B441D"/>
    <w:rsid w:val="000B5692"/>
    <w:rsid w:val="000C0437"/>
    <w:rsid w:val="000C0D42"/>
    <w:rsid w:val="000C4788"/>
    <w:rsid w:val="000C558E"/>
    <w:rsid w:val="000C5725"/>
    <w:rsid w:val="000C5A07"/>
    <w:rsid w:val="000C6417"/>
    <w:rsid w:val="000C6834"/>
    <w:rsid w:val="000C7AD6"/>
    <w:rsid w:val="000D0BFA"/>
    <w:rsid w:val="000D2B08"/>
    <w:rsid w:val="000D3CF8"/>
    <w:rsid w:val="000D53D9"/>
    <w:rsid w:val="000D5CF9"/>
    <w:rsid w:val="000D68F5"/>
    <w:rsid w:val="000E037B"/>
    <w:rsid w:val="000E093A"/>
    <w:rsid w:val="000E0F6A"/>
    <w:rsid w:val="000E1974"/>
    <w:rsid w:val="000E30A0"/>
    <w:rsid w:val="000E32B2"/>
    <w:rsid w:val="000E4B91"/>
    <w:rsid w:val="000E6D01"/>
    <w:rsid w:val="000F09FE"/>
    <w:rsid w:val="000F1CE3"/>
    <w:rsid w:val="000F2B2F"/>
    <w:rsid w:val="000F371F"/>
    <w:rsid w:val="000F3CD1"/>
    <w:rsid w:val="000F7075"/>
    <w:rsid w:val="000F7ADF"/>
    <w:rsid w:val="00100E7A"/>
    <w:rsid w:val="001036D2"/>
    <w:rsid w:val="001040FF"/>
    <w:rsid w:val="00104A9C"/>
    <w:rsid w:val="001058D5"/>
    <w:rsid w:val="00106DF4"/>
    <w:rsid w:val="00111DC4"/>
    <w:rsid w:val="00113338"/>
    <w:rsid w:val="00113A8A"/>
    <w:rsid w:val="001143F6"/>
    <w:rsid w:val="0011477F"/>
    <w:rsid w:val="00117DEE"/>
    <w:rsid w:val="001208B9"/>
    <w:rsid w:val="00120E0E"/>
    <w:rsid w:val="001214E5"/>
    <w:rsid w:val="00122636"/>
    <w:rsid w:val="0012371A"/>
    <w:rsid w:val="00123B6C"/>
    <w:rsid w:val="00126A7C"/>
    <w:rsid w:val="0012700F"/>
    <w:rsid w:val="00130176"/>
    <w:rsid w:val="001329F3"/>
    <w:rsid w:val="001359B6"/>
    <w:rsid w:val="00136A7A"/>
    <w:rsid w:val="00136C8A"/>
    <w:rsid w:val="00137938"/>
    <w:rsid w:val="00140595"/>
    <w:rsid w:val="00141BBA"/>
    <w:rsid w:val="001446D5"/>
    <w:rsid w:val="001452A2"/>
    <w:rsid w:val="00145AB9"/>
    <w:rsid w:val="00145EF9"/>
    <w:rsid w:val="00146017"/>
    <w:rsid w:val="0014634D"/>
    <w:rsid w:val="001474E7"/>
    <w:rsid w:val="00147E86"/>
    <w:rsid w:val="00150635"/>
    <w:rsid w:val="00152811"/>
    <w:rsid w:val="001537A4"/>
    <w:rsid w:val="0015432F"/>
    <w:rsid w:val="00154DF9"/>
    <w:rsid w:val="00160209"/>
    <w:rsid w:val="001610CA"/>
    <w:rsid w:val="0016659A"/>
    <w:rsid w:val="00166AC8"/>
    <w:rsid w:val="0017343E"/>
    <w:rsid w:val="0017392E"/>
    <w:rsid w:val="0017536F"/>
    <w:rsid w:val="00176D27"/>
    <w:rsid w:val="0018099E"/>
    <w:rsid w:val="00180C91"/>
    <w:rsid w:val="00180D66"/>
    <w:rsid w:val="00190A20"/>
    <w:rsid w:val="00191426"/>
    <w:rsid w:val="00192B9C"/>
    <w:rsid w:val="001933B7"/>
    <w:rsid w:val="0019349E"/>
    <w:rsid w:val="001951AA"/>
    <w:rsid w:val="00195718"/>
    <w:rsid w:val="00197895"/>
    <w:rsid w:val="001A0220"/>
    <w:rsid w:val="001A1FD4"/>
    <w:rsid w:val="001A28EA"/>
    <w:rsid w:val="001A3EAC"/>
    <w:rsid w:val="001A50F7"/>
    <w:rsid w:val="001A7A50"/>
    <w:rsid w:val="001A7B19"/>
    <w:rsid w:val="001B061B"/>
    <w:rsid w:val="001B0E98"/>
    <w:rsid w:val="001B368E"/>
    <w:rsid w:val="001B3706"/>
    <w:rsid w:val="001B37ED"/>
    <w:rsid w:val="001B3B44"/>
    <w:rsid w:val="001B6113"/>
    <w:rsid w:val="001C0F34"/>
    <w:rsid w:val="001C1186"/>
    <w:rsid w:val="001C5013"/>
    <w:rsid w:val="001C5BD2"/>
    <w:rsid w:val="001C7E7A"/>
    <w:rsid w:val="001D02B4"/>
    <w:rsid w:val="001D209C"/>
    <w:rsid w:val="001D25B7"/>
    <w:rsid w:val="001D3104"/>
    <w:rsid w:val="001D46F6"/>
    <w:rsid w:val="001D7077"/>
    <w:rsid w:val="001D7D6B"/>
    <w:rsid w:val="001E356B"/>
    <w:rsid w:val="001E3986"/>
    <w:rsid w:val="001E5F29"/>
    <w:rsid w:val="001E6C59"/>
    <w:rsid w:val="001F0ECE"/>
    <w:rsid w:val="001F13F9"/>
    <w:rsid w:val="001F2069"/>
    <w:rsid w:val="001F2ECB"/>
    <w:rsid w:val="001F3026"/>
    <w:rsid w:val="001F35B6"/>
    <w:rsid w:val="001F74C0"/>
    <w:rsid w:val="001F7E7F"/>
    <w:rsid w:val="002009CB"/>
    <w:rsid w:val="0020213B"/>
    <w:rsid w:val="00204A35"/>
    <w:rsid w:val="002051B8"/>
    <w:rsid w:val="002054DC"/>
    <w:rsid w:val="002055CD"/>
    <w:rsid w:val="00212AC8"/>
    <w:rsid w:val="00213BBF"/>
    <w:rsid w:val="002161EF"/>
    <w:rsid w:val="00217B4D"/>
    <w:rsid w:val="002204DA"/>
    <w:rsid w:val="0022230E"/>
    <w:rsid w:val="00222369"/>
    <w:rsid w:val="00222F93"/>
    <w:rsid w:val="00223662"/>
    <w:rsid w:val="0022429F"/>
    <w:rsid w:val="00224AAB"/>
    <w:rsid w:val="002311AE"/>
    <w:rsid w:val="00235E38"/>
    <w:rsid w:val="002373D7"/>
    <w:rsid w:val="00240BAC"/>
    <w:rsid w:val="00243A1F"/>
    <w:rsid w:val="00246FB7"/>
    <w:rsid w:val="00250692"/>
    <w:rsid w:val="00250FF4"/>
    <w:rsid w:val="00254065"/>
    <w:rsid w:val="00254B1C"/>
    <w:rsid w:val="00260D69"/>
    <w:rsid w:val="00261081"/>
    <w:rsid w:val="00261771"/>
    <w:rsid w:val="00262B15"/>
    <w:rsid w:val="00263D4A"/>
    <w:rsid w:val="00265367"/>
    <w:rsid w:val="002675F1"/>
    <w:rsid w:val="00274469"/>
    <w:rsid w:val="002758F5"/>
    <w:rsid w:val="002812C4"/>
    <w:rsid w:val="0028194B"/>
    <w:rsid w:val="00282525"/>
    <w:rsid w:val="002825B9"/>
    <w:rsid w:val="0028338E"/>
    <w:rsid w:val="002870A8"/>
    <w:rsid w:val="0028793E"/>
    <w:rsid w:val="00287E7A"/>
    <w:rsid w:val="002903E2"/>
    <w:rsid w:val="00290B6C"/>
    <w:rsid w:val="002929DE"/>
    <w:rsid w:val="00295DE1"/>
    <w:rsid w:val="00296D96"/>
    <w:rsid w:val="00296DE8"/>
    <w:rsid w:val="002A06CF"/>
    <w:rsid w:val="002A35E6"/>
    <w:rsid w:val="002A3638"/>
    <w:rsid w:val="002A6116"/>
    <w:rsid w:val="002A6980"/>
    <w:rsid w:val="002A6E7D"/>
    <w:rsid w:val="002A70C2"/>
    <w:rsid w:val="002B06DC"/>
    <w:rsid w:val="002B253C"/>
    <w:rsid w:val="002B40B0"/>
    <w:rsid w:val="002B549C"/>
    <w:rsid w:val="002B6CAB"/>
    <w:rsid w:val="002C40EE"/>
    <w:rsid w:val="002C7364"/>
    <w:rsid w:val="002D3006"/>
    <w:rsid w:val="002D3B32"/>
    <w:rsid w:val="002D4461"/>
    <w:rsid w:val="002D4CA7"/>
    <w:rsid w:val="002D5A41"/>
    <w:rsid w:val="002D7933"/>
    <w:rsid w:val="002E3CEE"/>
    <w:rsid w:val="002E454B"/>
    <w:rsid w:val="002E4A8E"/>
    <w:rsid w:val="002E4CF0"/>
    <w:rsid w:val="002E69D7"/>
    <w:rsid w:val="002E6E60"/>
    <w:rsid w:val="002F4F22"/>
    <w:rsid w:val="002F5A76"/>
    <w:rsid w:val="002F5B32"/>
    <w:rsid w:val="002F5C13"/>
    <w:rsid w:val="0030226A"/>
    <w:rsid w:val="00302E94"/>
    <w:rsid w:val="0030420F"/>
    <w:rsid w:val="00304967"/>
    <w:rsid w:val="00305027"/>
    <w:rsid w:val="00306EAE"/>
    <w:rsid w:val="00307378"/>
    <w:rsid w:val="003119A7"/>
    <w:rsid w:val="00312862"/>
    <w:rsid w:val="003136BC"/>
    <w:rsid w:val="00313EC8"/>
    <w:rsid w:val="00314BE5"/>
    <w:rsid w:val="00314E23"/>
    <w:rsid w:val="003152F9"/>
    <w:rsid w:val="00316D1E"/>
    <w:rsid w:val="00320E6C"/>
    <w:rsid w:val="00320E92"/>
    <w:rsid w:val="00323BAA"/>
    <w:rsid w:val="00324A01"/>
    <w:rsid w:val="00324AEC"/>
    <w:rsid w:val="003251C0"/>
    <w:rsid w:val="003251F5"/>
    <w:rsid w:val="0032627E"/>
    <w:rsid w:val="003268D5"/>
    <w:rsid w:val="0032733B"/>
    <w:rsid w:val="003278FE"/>
    <w:rsid w:val="00327B5B"/>
    <w:rsid w:val="00327FAF"/>
    <w:rsid w:val="00330DBA"/>
    <w:rsid w:val="003313FE"/>
    <w:rsid w:val="003331FB"/>
    <w:rsid w:val="0033554E"/>
    <w:rsid w:val="003367C6"/>
    <w:rsid w:val="003373F9"/>
    <w:rsid w:val="00342EDD"/>
    <w:rsid w:val="00343342"/>
    <w:rsid w:val="00346B7C"/>
    <w:rsid w:val="00346E90"/>
    <w:rsid w:val="003479C2"/>
    <w:rsid w:val="0035071B"/>
    <w:rsid w:val="00351027"/>
    <w:rsid w:val="0035274F"/>
    <w:rsid w:val="003553D5"/>
    <w:rsid w:val="0035645D"/>
    <w:rsid w:val="00357FB8"/>
    <w:rsid w:val="0036075E"/>
    <w:rsid w:val="00361C55"/>
    <w:rsid w:val="003636D5"/>
    <w:rsid w:val="00363CB8"/>
    <w:rsid w:val="00363F4E"/>
    <w:rsid w:val="00364316"/>
    <w:rsid w:val="00366BBE"/>
    <w:rsid w:val="00366D98"/>
    <w:rsid w:val="00366FA8"/>
    <w:rsid w:val="003673AA"/>
    <w:rsid w:val="003675EF"/>
    <w:rsid w:val="003706F0"/>
    <w:rsid w:val="00370948"/>
    <w:rsid w:val="00370B4A"/>
    <w:rsid w:val="0037172B"/>
    <w:rsid w:val="00372170"/>
    <w:rsid w:val="003769E6"/>
    <w:rsid w:val="00377E95"/>
    <w:rsid w:val="00380D12"/>
    <w:rsid w:val="00382A47"/>
    <w:rsid w:val="00382D81"/>
    <w:rsid w:val="0038396D"/>
    <w:rsid w:val="00383F37"/>
    <w:rsid w:val="0038439A"/>
    <w:rsid w:val="00385EFB"/>
    <w:rsid w:val="00386940"/>
    <w:rsid w:val="00391E64"/>
    <w:rsid w:val="00393432"/>
    <w:rsid w:val="003940F7"/>
    <w:rsid w:val="00396422"/>
    <w:rsid w:val="003A1794"/>
    <w:rsid w:val="003A36DB"/>
    <w:rsid w:val="003A46EA"/>
    <w:rsid w:val="003A4ABC"/>
    <w:rsid w:val="003A51D1"/>
    <w:rsid w:val="003A6D46"/>
    <w:rsid w:val="003A7613"/>
    <w:rsid w:val="003B232A"/>
    <w:rsid w:val="003B2AF2"/>
    <w:rsid w:val="003B2CF5"/>
    <w:rsid w:val="003B3188"/>
    <w:rsid w:val="003B37A9"/>
    <w:rsid w:val="003B386B"/>
    <w:rsid w:val="003B4ED7"/>
    <w:rsid w:val="003B5FB4"/>
    <w:rsid w:val="003C09CE"/>
    <w:rsid w:val="003C0BFE"/>
    <w:rsid w:val="003C2784"/>
    <w:rsid w:val="003C3BAF"/>
    <w:rsid w:val="003C4448"/>
    <w:rsid w:val="003C4B17"/>
    <w:rsid w:val="003C55D6"/>
    <w:rsid w:val="003C57A1"/>
    <w:rsid w:val="003D4723"/>
    <w:rsid w:val="003D560D"/>
    <w:rsid w:val="003D5AA4"/>
    <w:rsid w:val="003D7503"/>
    <w:rsid w:val="003D7C0A"/>
    <w:rsid w:val="003D7D19"/>
    <w:rsid w:val="003E2185"/>
    <w:rsid w:val="003E4204"/>
    <w:rsid w:val="003E4AE3"/>
    <w:rsid w:val="003E4C9A"/>
    <w:rsid w:val="003E4CE5"/>
    <w:rsid w:val="003E7677"/>
    <w:rsid w:val="003E76CB"/>
    <w:rsid w:val="003E792A"/>
    <w:rsid w:val="003F0506"/>
    <w:rsid w:val="003F53DE"/>
    <w:rsid w:val="003F55D9"/>
    <w:rsid w:val="003F5853"/>
    <w:rsid w:val="003F588F"/>
    <w:rsid w:val="003F5D96"/>
    <w:rsid w:val="003F7541"/>
    <w:rsid w:val="004007E5"/>
    <w:rsid w:val="00400EC1"/>
    <w:rsid w:val="00401112"/>
    <w:rsid w:val="004024E0"/>
    <w:rsid w:val="004047FE"/>
    <w:rsid w:val="0040629C"/>
    <w:rsid w:val="004073C0"/>
    <w:rsid w:val="00407E9E"/>
    <w:rsid w:val="00410287"/>
    <w:rsid w:val="004103E0"/>
    <w:rsid w:val="00411918"/>
    <w:rsid w:val="00411AD6"/>
    <w:rsid w:val="004120EF"/>
    <w:rsid w:val="00413934"/>
    <w:rsid w:val="00415A84"/>
    <w:rsid w:val="0041626A"/>
    <w:rsid w:val="004165D4"/>
    <w:rsid w:val="004165FF"/>
    <w:rsid w:val="00417B0A"/>
    <w:rsid w:val="004202A3"/>
    <w:rsid w:val="00421409"/>
    <w:rsid w:val="00421AAB"/>
    <w:rsid w:val="0042242D"/>
    <w:rsid w:val="0042273B"/>
    <w:rsid w:val="00422B1D"/>
    <w:rsid w:val="00423783"/>
    <w:rsid w:val="00424196"/>
    <w:rsid w:val="004309D9"/>
    <w:rsid w:val="0043277F"/>
    <w:rsid w:val="00436019"/>
    <w:rsid w:val="0044118D"/>
    <w:rsid w:val="004421D9"/>
    <w:rsid w:val="0044257B"/>
    <w:rsid w:val="004426E2"/>
    <w:rsid w:val="00442CBF"/>
    <w:rsid w:val="00443540"/>
    <w:rsid w:val="00444E8D"/>
    <w:rsid w:val="0044535B"/>
    <w:rsid w:val="00450AE4"/>
    <w:rsid w:val="004512D3"/>
    <w:rsid w:val="0045141F"/>
    <w:rsid w:val="004516CE"/>
    <w:rsid w:val="0045345A"/>
    <w:rsid w:val="00453830"/>
    <w:rsid w:val="00456F78"/>
    <w:rsid w:val="004577EF"/>
    <w:rsid w:val="00457AF8"/>
    <w:rsid w:val="00460EA5"/>
    <w:rsid w:val="004614B7"/>
    <w:rsid w:val="00464B6A"/>
    <w:rsid w:val="00465B5E"/>
    <w:rsid w:val="00467433"/>
    <w:rsid w:val="00471F2A"/>
    <w:rsid w:val="00472B57"/>
    <w:rsid w:val="00472FB4"/>
    <w:rsid w:val="00477421"/>
    <w:rsid w:val="00477B8C"/>
    <w:rsid w:val="00480148"/>
    <w:rsid w:val="004801BC"/>
    <w:rsid w:val="004809EF"/>
    <w:rsid w:val="00485C3A"/>
    <w:rsid w:val="00485DE7"/>
    <w:rsid w:val="004869DF"/>
    <w:rsid w:val="004873F5"/>
    <w:rsid w:val="00487CAB"/>
    <w:rsid w:val="00490191"/>
    <w:rsid w:val="004902EE"/>
    <w:rsid w:val="00493E07"/>
    <w:rsid w:val="00497107"/>
    <w:rsid w:val="00497750"/>
    <w:rsid w:val="004A0487"/>
    <w:rsid w:val="004A0CC3"/>
    <w:rsid w:val="004A36BF"/>
    <w:rsid w:val="004A3F6E"/>
    <w:rsid w:val="004A471B"/>
    <w:rsid w:val="004A5009"/>
    <w:rsid w:val="004A5C22"/>
    <w:rsid w:val="004A6B03"/>
    <w:rsid w:val="004B05DD"/>
    <w:rsid w:val="004B2BD5"/>
    <w:rsid w:val="004B5065"/>
    <w:rsid w:val="004B640D"/>
    <w:rsid w:val="004B6482"/>
    <w:rsid w:val="004B71D2"/>
    <w:rsid w:val="004C06DE"/>
    <w:rsid w:val="004C1624"/>
    <w:rsid w:val="004C3BF4"/>
    <w:rsid w:val="004C58E6"/>
    <w:rsid w:val="004C6737"/>
    <w:rsid w:val="004C6B65"/>
    <w:rsid w:val="004C7B33"/>
    <w:rsid w:val="004D0261"/>
    <w:rsid w:val="004D1969"/>
    <w:rsid w:val="004D3F3C"/>
    <w:rsid w:val="004D6078"/>
    <w:rsid w:val="004D65E2"/>
    <w:rsid w:val="004E1A30"/>
    <w:rsid w:val="004E3874"/>
    <w:rsid w:val="004E3A9C"/>
    <w:rsid w:val="004E684C"/>
    <w:rsid w:val="004E6C21"/>
    <w:rsid w:val="004E7C5C"/>
    <w:rsid w:val="004F1220"/>
    <w:rsid w:val="004F2233"/>
    <w:rsid w:val="004F27CD"/>
    <w:rsid w:val="00502A7A"/>
    <w:rsid w:val="0050320C"/>
    <w:rsid w:val="00506FD4"/>
    <w:rsid w:val="005073A3"/>
    <w:rsid w:val="00507AFF"/>
    <w:rsid w:val="00510805"/>
    <w:rsid w:val="00512780"/>
    <w:rsid w:val="00517FE1"/>
    <w:rsid w:val="0052039D"/>
    <w:rsid w:val="0052274F"/>
    <w:rsid w:val="00525D9F"/>
    <w:rsid w:val="00526FA0"/>
    <w:rsid w:val="005271C4"/>
    <w:rsid w:val="00530E66"/>
    <w:rsid w:val="005344A8"/>
    <w:rsid w:val="005346EE"/>
    <w:rsid w:val="00534AF4"/>
    <w:rsid w:val="00534B85"/>
    <w:rsid w:val="005351FC"/>
    <w:rsid w:val="00535C59"/>
    <w:rsid w:val="00536CBD"/>
    <w:rsid w:val="005405D2"/>
    <w:rsid w:val="005426DD"/>
    <w:rsid w:val="005426FE"/>
    <w:rsid w:val="00542923"/>
    <w:rsid w:val="00542DFD"/>
    <w:rsid w:val="00543561"/>
    <w:rsid w:val="00544777"/>
    <w:rsid w:val="00545195"/>
    <w:rsid w:val="00545D63"/>
    <w:rsid w:val="0054655E"/>
    <w:rsid w:val="00550051"/>
    <w:rsid w:val="005506E9"/>
    <w:rsid w:val="005518EC"/>
    <w:rsid w:val="005519D2"/>
    <w:rsid w:val="00551F6A"/>
    <w:rsid w:val="005555C0"/>
    <w:rsid w:val="00556A8D"/>
    <w:rsid w:val="00557282"/>
    <w:rsid w:val="00561034"/>
    <w:rsid w:val="00562392"/>
    <w:rsid w:val="00563CCD"/>
    <w:rsid w:val="00563E2A"/>
    <w:rsid w:val="00565C96"/>
    <w:rsid w:val="0056632E"/>
    <w:rsid w:val="00566BE5"/>
    <w:rsid w:val="00566FB9"/>
    <w:rsid w:val="00566FCB"/>
    <w:rsid w:val="00567072"/>
    <w:rsid w:val="005674A9"/>
    <w:rsid w:val="0056760A"/>
    <w:rsid w:val="005677A3"/>
    <w:rsid w:val="00567E45"/>
    <w:rsid w:val="00570982"/>
    <w:rsid w:val="005716E4"/>
    <w:rsid w:val="005734BC"/>
    <w:rsid w:val="00574DDF"/>
    <w:rsid w:val="00575DCF"/>
    <w:rsid w:val="0057687C"/>
    <w:rsid w:val="0057743E"/>
    <w:rsid w:val="0058168C"/>
    <w:rsid w:val="005825FD"/>
    <w:rsid w:val="005833F1"/>
    <w:rsid w:val="00583D55"/>
    <w:rsid w:val="00584050"/>
    <w:rsid w:val="0059043D"/>
    <w:rsid w:val="00590640"/>
    <w:rsid w:val="00591341"/>
    <w:rsid w:val="00594712"/>
    <w:rsid w:val="00595073"/>
    <w:rsid w:val="00596580"/>
    <w:rsid w:val="00596F8A"/>
    <w:rsid w:val="005A14B4"/>
    <w:rsid w:val="005A334B"/>
    <w:rsid w:val="005A3E58"/>
    <w:rsid w:val="005A59CE"/>
    <w:rsid w:val="005A6BBA"/>
    <w:rsid w:val="005B170A"/>
    <w:rsid w:val="005B2008"/>
    <w:rsid w:val="005B2E3C"/>
    <w:rsid w:val="005C1278"/>
    <w:rsid w:val="005C1D0C"/>
    <w:rsid w:val="005C2C27"/>
    <w:rsid w:val="005C33F7"/>
    <w:rsid w:val="005C3BA0"/>
    <w:rsid w:val="005C4367"/>
    <w:rsid w:val="005C545C"/>
    <w:rsid w:val="005C552B"/>
    <w:rsid w:val="005C6E80"/>
    <w:rsid w:val="005D0A46"/>
    <w:rsid w:val="005D2670"/>
    <w:rsid w:val="005D2AE9"/>
    <w:rsid w:val="005D5BD7"/>
    <w:rsid w:val="005D708A"/>
    <w:rsid w:val="005E0042"/>
    <w:rsid w:val="005E12C0"/>
    <w:rsid w:val="005E19D8"/>
    <w:rsid w:val="005E34D3"/>
    <w:rsid w:val="005E44A7"/>
    <w:rsid w:val="005E4CED"/>
    <w:rsid w:val="005E61A8"/>
    <w:rsid w:val="005E72B9"/>
    <w:rsid w:val="005F165A"/>
    <w:rsid w:val="005F1F16"/>
    <w:rsid w:val="005F2314"/>
    <w:rsid w:val="005F2B95"/>
    <w:rsid w:val="005F2C8E"/>
    <w:rsid w:val="005F41E6"/>
    <w:rsid w:val="005F5B80"/>
    <w:rsid w:val="005F5EA1"/>
    <w:rsid w:val="00600578"/>
    <w:rsid w:val="00600B30"/>
    <w:rsid w:val="00603228"/>
    <w:rsid w:val="00604EBF"/>
    <w:rsid w:val="00605F0B"/>
    <w:rsid w:val="0060672F"/>
    <w:rsid w:val="006076FA"/>
    <w:rsid w:val="006107EA"/>
    <w:rsid w:val="00620FF2"/>
    <w:rsid w:val="00621904"/>
    <w:rsid w:val="00621BC9"/>
    <w:rsid w:val="00627609"/>
    <w:rsid w:val="00627BE9"/>
    <w:rsid w:val="00631D24"/>
    <w:rsid w:val="006334E2"/>
    <w:rsid w:val="00633B3B"/>
    <w:rsid w:val="0063659B"/>
    <w:rsid w:val="00640982"/>
    <w:rsid w:val="00640B20"/>
    <w:rsid w:val="006417AC"/>
    <w:rsid w:val="006431A4"/>
    <w:rsid w:val="006432F7"/>
    <w:rsid w:val="0064453C"/>
    <w:rsid w:val="00644701"/>
    <w:rsid w:val="0064478D"/>
    <w:rsid w:val="00645490"/>
    <w:rsid w:val="006461BB"/>
    <w:rsid w:val="0065047F"/>
    <w:rsid w:val="00650762"/>
    <w:rsid w:val="00650BE1"/>
    <w:rsid w:val="006528C8"/>
    <w:rsid w:val="00655E1B"/>
    <w:rsid w:val="00655E42"/>
    <w:rsid w:val="00656000"/>
    <w:rsid w:val="0066026B"/>
    <w:rsid w:val="006602AC"/>
    <w:rsid w:val="006618AD"/>
    <w:rsid w:val="006625B3"/>
    <w:rsid w:val="00665286"/>
    <w:rsid w:val="00666B27"/>
    <w:rsid w:val="006711F1"/>
    <w:rsid w:val="0067172B"/>
    <w:rsid w:val="006732CA"/>
    <w:rsid w:val="0067470D"/>
    <w:rsid w:val="006760C9"/>
    <w:rsid w:val="00676382"/>
    <w:rsid w:val="00676E13"/>
    <w:rsid w:val="006778FD"/>
    <w:rsid w:val="0067794D"/>
    <w:rsid w:val="00680AAB"/>
    <w:rsid w:val="00682617"/>
    <w:rsid w:val="00682D95"/>
    <w:rsid w:val="00684997"/>
    <w:rsid w:val="00684D00"/>
    <w:rsid w:val="0068587E"/>
    <w:rsid w:val="00691416"/>
    <w:rsid w:val="006927DF"/>
    <w:rsid w:val="00692B45"/>
    <w:rsid w:val="00693AF5"/>
    <w:rsid w:val="006958E7"/>
    <w:rsid w:val="00696070"/>
    <w:rsid w:val="00696954"/>
    <w:rsid w:val="006A099B"/>
    <w:rsid w:val="006A1A08"/>
    <w:rsid w:val="006A20A4"/>
    <w:rsid w:val="006A4374"/>
    <w:rsid w:val="006A4AFC"/>
    <w:rsid w:val="006A4E17"/>
    <w:rsid w:val="006A77BD"/>
    <w:rsid w:val="006A7AAB"/>
    <w:rsid w:val="006B40E7"/>
    <w:rsid w:val="006B7240"/>
    <w:rsid w:val="006C0A69"/>
    <w:rsid w:val="006C222C"/>
    <w:rsid w:val="006C230F"/>
    <w:rsid w:val="006C47BE"/>
    <w:rsid w:val="006C54BC"/>
    <w:rsid w:val="006C5B35"/>
    <w:rsid w:val="006C5CFC"/>
    <w:rsid w:val="006C6B66"/>
    <w:rsid w:val="006C741F"/>
    <w:rsid w:val="006D278B"/>
    <w:rsid w:val="006D3E3A"/>
    <w:rsid w:val="006D4307"/>
    <w:rsid w:val="006D46D8"/>
    <w:rsid w:val="006D621B"/>
    <w:rsid w:val="006D76CC"/>
    <w:rsid w:val="006D78BB"/>
    <w:rsid w:val="006D7ABD"/>
    <w:rsid w:val="006E070F"/>
    <w:rsid w:val="006E17C9"/>
    <w:rsid w:val="006E1C7F"/>
    <w:rsid w:val="006E304B"/>
    <w:rsid w:val="006E33D7"/>
    <w:rsid w:val="006E3B7B"/>
    <w:rsid w:val="006F09D1"/>
    <w:rsid w:val="006F0A87"/>
    <w:rsid w:val="006F0F4D"/>
    <w:rsid w:val="006F1BDD"/>
    <w:rsid w:val="006F33F0"/>
    <w:rsid w:val="006F39A0"/>
    <w:rsid w:val="006F5817"/>
    <w:rsid w:val="006F5C12"/>
    <w:rsid w:val="006F6165"/>
    <w:rsid w:val="00702286"/>
    <w:rsid w:val="0070268C"/>
    <w:rsid w:val="00702CFA"/>
    <w:rsid w:val="00703C13"/>
    <w:rsid w:val="00705340"/>
    <w:rsid w:val="00706593"/>
    <w:rsid w:val="0070722A"/>
    <w:rsid w:val="0071041A"/>
    <w:rsid w:val="00710BC3"/>
    <w:rsid w:val="00712E8B"/>
    <w:rsid w:val="007135A8"/>
    <w:rsid w:val="00713A67"/>
    <w:rsid w:val="0071585B"/>
    <w:rsid w:val="00716D3F"/>
    <w:rsid w:val="00721EFA"/>
    <w:rsid w:val="00723AD3"/>
    <w:rsid w:val="00724821"/>
    <w:rsid w:val="00725AD2"/>
    <w:rsid w:val="00725BEC"/>
    <w:rsid w:val="00726388"/>
    <w:rsid w:val="007274BA"/>
    <w:rsid w:val="0073011C"/>
    <w:rsid w:val="00730693"/>
    <w:rsid w:val="0073147F"/>
    <w:rsid w:val="00731616"/>
    <w:rsid w:val="007345BF"/>
    <w:rsid w:val="00736201"/>
    <w:rsid w:val="007363BE"/>
    <w:rsid w:val="00737E35"/>
    <w:rsid w:val="007400F2"/>
    <w:rsid w:val="0074132F"/>
    <w:rsid w:val="007517E0"/>
    <w:rsid w:val="00751FA0"/>
    <w:rsid w:val="007548BF"/>
    <w:rsid w:val="007563E9"/>
    <w:rsid w:val="007611AE"/>
    <w:rsid w:val="00763658"/>
    <w:rsid w:val="00767F71"/>
    <w:rsid w:val="00772A7A"/>
    <w:rsid w:val="00775685"/>
    <w:rsid w:val="00776897"/>
    <w:rsid w:val="007802A9"/>
    <w:rsid w:val="0078116F"/>
    <w:rsid w:val="00781DBD"/>
    <w:rsid w:val="00793143"/>
    <w:rsid w:val="00797C9A"/>
    <w:rsid w:val="007A0664"/>
    <w:rsid w:val="007A40DE"/>
    <w:rsid w:val="007A66EA"/>
    <w:rsid w:val="007B046A"/>
    <w:rsid w:val="007B096E"/>
    <w:rsid w:val="007B2946"/>
    <w:rsid w:val="007B423A"/>
    <w:rsid w:val="007B5296"/>
    <w:rsid w:val="007B7B75"/>
    <w:rsid w:val="007B7CFF"/>
    <w:rsid w:val="007C12CD"/>
    <w:rsid w:val="007C15E5"/>
    <w:rsid w:val="007C29A3"/>
    <w:rsid w:val="007C2C21"/>
    <w:rsid w:val="007C355E"/>
    <w:rsid w:val="007C3B8D"/>
    <w:rsid w:val="007C4116"/>
    <w:rsid w:val="007C540F"/>
    <w:rsid w:val="007D025C"/>
    <w:rsid w:val="007D17EE"/>
    <w:rsid w:val="007D362C"/>
    <w:rsid w:val="007D4C35"/>
    <w:rsid w:val="007D4F82"/>
    <w:rsid w:val="007E0D08"/>
    <w:rsid w:val="007E1EBF"/>
    <w:rsid w:val="007E1FB7"/>
    <w:rsid w:val="007E2A6B"/>
    <w:rsid w:val="007E66F4"/>
    <w:rsid w:val="007E69E7"/>
    <w:rsid w:val="007F0040"/>
    <w:rsid w:val="007F01EA"/>
    <w:rsid w:val="007F12A0"/>
    <w:rsid w:val="007F428F"/>
    <w:rsid w:val="007F53CA"/>
    <w:rsid w:val="007F6CA7"/>
    <w:rsid w:val="007F710D"/>
    <w:rsid w:val="007F7AB7"/>
    <w:rsid w:val="00802329"/>
    <w:rsid w:val="0080494B"/>
    <w:rsid w:val="00806A1F"/>
    <w:rsid w:val="00810BB2"/>
    <w:rsid w:val="00815C33"/>
    <w:rsid w:val="00816926"/>
    <w:rsid w:val="008212E1"/>
    <w:rsid w:val="0082166F"/>
    <w:rsid w:val="00821FB1"/>
    <w:rsid w:val="00823405"/>
    <w:rsid w:val="00825484"/>
    <w:rsid w:val="00826B02"/>
    <w:rsid w:val="00827912"/>
    <w:rsid w:val="00827BCE"/>
    <w:rsid w:val="00827F41"/>
    <w:rsid w:val="00831C2D"/>
    <w:rsid w:val="00831FD2"/>
    <w:rsid w:val="0083288A"/>
    <w:rsid w:val="008340D3"/>
    <w:rsid w:val="00835556"/>
    <w:rsid w:val="00836DC2"/>
    <w:rsid w:val="00837E84"/>
    <w:rsid w:val="008423E1"/>
    <w:rsid w:val="00843315"/>
    <w:rsid w:val="00843658"/>
    <w:rsid w:val="00845B0D"/>
    <w:rsid w:val="008473E8"/>
    <w:rsid w:val="00847595"/>
    <w:rsid w:val="008476B9"/>
    <w:rsid w:val="00850887"/>
    <w:rsid w:val="00851CD3"/>
    <w:rsid w:val="00851EB3"/>
    <w:rsid w:val="0085293D"/>
    <w:rsid w:val="00853D58"/>
    <w:rsid w:val="00855060"/>
    <w:rsid w:val="00856024"/>
    <w:rsid w:val="00857219"/>
    <w:rsid w:val="00862D0D"/>
    <w:rsid w:val="00862E6A"/>
    <w:rsid w:val="00863328"/>
    <w:rsid w:val="00863682"/>
    <w:rsid w:val="00863AFA"/>
    <w:rsid w:val="00863F99"/>
    <w:rsid w:val="00864909"/>
    <w:rsid w:val="008661BD"/>
    <w:rsid w:val="00873346"/>
    <w:rsid w:val="0088040A"/>
    <w:rsid w:val="008818AC"/>
    <w:rsid w:val="00881D36"/>
    <w:rsid w:val="00882200"/>
    <w:rsid w:val="008826D8"/>
    <w:rsid w:val="00885464"/>
    <w:rsid w:val="0088584E"/>
    <w:rsid w:val="00885A77"/>
    <w:rsid w:val="00885E5F"/>
    <w:rsid w:val="008872E6"/>
    <w:rsid w:val="00890B57"/>
    <w:rsid w:val="00892444"/>
    <w:rsid w:val="008934FA"/>
    <w:rsid w:val="00893FA9"/>
    <w:rsid w:val="00894708"/>
    <w:rsid w:val="00894C35"/>
    <w:rsid w:val="00895857"/>
    <w:rsid w:val="00897410"/>
    <w:rsid w:val="008A08BB"/>
    <w:rsid w:val="008A128B"/>
    <w:rsid w:val="008A1615"/>
    <w:rsid w:val="008A1AF9"/>
    <w:rsid w:val="008A28A8"/>
    <w:rsid w:val="008A3BD0"/>
    <w:rsid w:val="008A3F8F"/>
    <w:rsid w:val="008A4B35"/>
    <w:rsid w:val="008A510A"/>
    <w:rsid w:val="008A7249"/>
    <w:rsid w:val="008A7FA6"/>
    <w:rsid w:val="008B0C32"/>
    <w:rsid w:val="008B2733"/>
    <w:rsid w:val="008B3B0B"/>
    <w:rsid w:val="008B4453"/>
    <w:rsid w:val="008B4733"/>
    <w:rsid w:val="008B52C0"/>
    <w:rsid w:val="008C14EC"/>
    <w:rsid w:val="008C3AD5"/>
    <w:rsid w:val="008C48DC"/>
    <w:rsid w:val="008C4A23"/>
    <w:rsid w:val="008C5394"/>
    <w:rsid w:val="008C5754"/>
    <w:rsid w:val="008C5B6A"/>
    <w:rsid w:val="008C710D"/>
    <w:rsid w:val="008C7E2F"/>
    <w:rsid w:val="008D148D"/>
    <w:rsid w:val="008D23C6"/>
    <w:rsid w:val="008D4693"/>
    <w:rsid w:val="008D4A7C"/>
    <w:rsid w:val="008D6E56"/>
    <w:rsid w:val="008D70C6"/>
    <w:rsid w:val="008E1646"/>
    <w:rsid w:val="008E3807"/>
    <w:rsid w:val="008E5D09"/>
    <w:rsid w:val="008E77B3"/>
    <w:rsid w:val="008F0798"/>
    <w:rsid w:val="008F1829"/>
    <w:rsid w:val="008F2C95"/>
    <w:rsid w:val="008F5FCB"/>
    <w:rsid w:val="008F647F"/>
    <w:rsid w:val="008F70E0"/>
    <w:rsid w:val="00900AF6"/>
    <w:rsid w:val="0090466B"/>
    <w:rsid w:val="00906D81"/>
    <w:rsid w:val="00906FA8"/>
    <w:rsid w:val="0090722D"/>
    <w:rsid w:val="00907C5B"/>
    <w:rsid w:val="0091209A"/>
    <w:rsid w:val="0091234C"/>
    <w:rsid w:val="0091243F"/>
    <w:rsid w:val="00913A5E"/>
    <w:rsid w:val="009147EE"/>
    <w:rsid w:val="009169B6"/>
    <w:rsid w:val="00920EA8"/>
    <w:rsid w:val="00921F91"/>
    <w:rsid w:val="00922950"/>
    <w:rsid w:val="0092310C"/>
    <w:rsid w:val="0092573C"/>
    <w:rsid w:val="00925CF6"/>
    <w:rsid w:val="00930313"/>
    <w:rsid w:val="00930864"/>
    <w:rsid w:val="009309C2"/>
    <w:rsid w:val="00930F28"/>
    <w:rsid w:val="00931436"/>
    <w:rsid w:val="0093302E"/>
    <w:rsid w:val="009331C5"/>
    <w:rsid w:val="00937520"/>
    <w:rsid w:val="00940668"/>
    <w:rsid w:val="0094078F"/>
    <w:rsid w:val="00940D44"/>
    <w:rsid w:val="00942D31"/>
    <w:rsid w:val="00943F42"/>
    <w:rsid w:val="00947922"/>
    <w:rsid w:val="00950515"/>
    <w:rsid w:val="00952927"/>
    <w:rsid w:val="00952A04"/>
    <w:rsid w:val="009577E8"/>
    <w:rsid w:val="009612D1"/>
    <w:rsid w:val="0096178B"/>
    <w:rsid w:val="00966024"/>
    <w:rsid w:val="0096673A"/>
    <w:rsid w:val="00967D32"/>
    <w:rsid w:val="009708DE"/>
    <w:rsid w:val="00971230"/>
    <w:rsid w:val="009721BC"/>
    <w:rsid w:val="00972663"/>
    <w:rsid w:val="00972EE7"/>
    <w:rsid w:val="00973AF6"/>
    <w:rsid w:val="00973EA7"/>
    <w:rsid w:val="0097468B"/>
    <w:rsid w:val="00974758"/>
    <w:rsid w:val="00974F63"/>
    <w:rsid w:val="00975499"/>
    <w:rsid w:val="009822AB"/>
    <w:rsid w:val="00982970"/>
    <w:rsid w:val="009843E1"/>
    <w:rsid w:val="00984D80"/>
    <w:rsid w:val="0098595E"/>
    <w:rsid w:val="00986079"/>
    <w:rsid w:val="0098634B"/>
    <w:rsid w:val="00986A41"/>
    <w:rsid w:val="00990A73"/>
    <w:rsid w:val="009922FB"/>
    <w:rsid w:val="00993FFF"/>
    <w:rsid w:val="009957F6"/>
    <w:rsid w:val="009961FC"/>
    <w:rsid w:val="00996F1B"/>
    <w:rsid w:val="009979E9"/>
    <w:rsid w:val="009A54E9"/>
    <w:rsid w:val="009B212B"/>
    <w:rsid w:val="009B41CB"/>
    <w:rsid w:val="009B59B7"/>
    <w:rsid w:val="009B5C74"/>
    <w:rsid w:val="009B6E40"/>
    <w:rsid w:val="009C13A9"/>
    <w:rsid w:val="009C1F4F"/>
    <w:rsid w:val="009C335C"/>
    <w:rsid w:val="009C3742"/>
    <w:rsid w:val="009C4B73"/>
    <w:rsid w:val="009C4D96"/>
    <w:rsid w:val="009C6D29"/>
    <w:rsid w:val="009D0145"/>
    <w:rsid w:val="009D0293"/>
    <w:rsid w:val="009D1831"/>
    <w:rsid w:val="009D1C46"/>
    <w:rsid w:val="009D3E30"/>
    <w:rsid w:val="009D4D3A"/>
    <w:rsid w:val="009D7B0D"/>
    <w:rsid w:val="009E0790"/>
    <w:rsid w:val="009E363B"/>
    <w:rsid w:val="009E4296"/>
    <w:rsid w:val="009E530B"/>
    <w:rsid w:val="009E5D73"/>
    <w:rsid w:val="009F3BBC"/>
    <w:rsid w:val="009F3D33"/>
    <w:rsid w:val="009F4DE0"/>
    <w:rsid w:val="009F51C9"/>
    <w:rsid w:val="009F51F7"/>
    <w:rsid w:val="009F5B36"/>
    <w:rsid w:val="009F5D07"/>
    <w:rsid w:val="009F7DB8"/>
    <w:rsid w:val="00A012FA"/>
    <w:rsid w:val="00A02161"/>
    <w:rsid w:val="00A03DBE"/>
    <w:rsid w:val="00A0605A"/>
    <w:rsid w:val="00A06DD5"/>
    <w:rsid w:val="00A070A9"/>
    <w:rsid w:val="00A10470"/>
    <w:rsid w:val="00A11418"/>
    <w:rsid w:val="00A142B0"/>
    <w:rsid w:val="00A14FA9"/>
    <w:rsid w:val="00A16757"/>
    <w:rsid w:val="00A175C2"/>
    <w:rsid w:val="00A24873"/>
    <w:rsid w:val="00A25114"/>
    <w:rsid w:val="00A25553"/>
    <w:rsid w:val="00A25E27"/>
    <w:rsid w:val="00A31AAB"/>
    <w:rsid w:val="00A32E13"/>
    <w:rsid w:val="00A32E9B"/>
    <w:rsid w:val="00A339B6"/>
    <w:rsid w:val="00A34E9C"/>
    <w:rsid w:val="00A35725"/>
    <w:rsid w:val="00A35ECE"/>
    <w:rsid w:val="00A3741F"/>
    <w:rsid w:val="00A40259"/>
    <w:rsid w:val="00A40FDC"/>
    <w:rsid w:val="00A4146D"/>
    <w:rsid w:val="00A4215F"/>
    <w:rsid w:val="00A433C8"/>
    <w:rsid w:val="00A43FC7"/>
    <w:rsid w:val="00A4634E"/>
    <w:rsid w:val="00A46964"/>
    <w:rsid w:val="00A47110"/>
    <w:rsid w:val="00A4793E"/>
    <w:rsid w:val="00A5254C"/>
    <w:rsid w:val="00A56FCB"/>
    <w:rsid w:val="00A61DDF"/>
    <w:rsid w:val="00A626BD"/>
    <w:rsid w:val="00A62DE3"/>
    <w:rsid w:val="00A669C7"/>
    <w:rsid w:val="00A676C3"/>
    <w:rsid w:val="00A70E22"/>
    <w:rsid w:val="00A71335"/>
    <w:rsid w:val="00A73E9E"/>
    <w:rsid w:val="00A749D6"/>
    <w:rsid w:val="00A8366B"/>
    <w:rsid w:val="00A84A0A"/>
    <w:rsid w:val="00A85E83"/>
    <w:rsid w:val="00A87199"/>
    <w:rsid w:val="00A87770"/>
    <w:rsid w:val="00A93BC0"/>
    <w:rsid w:val="00A94277"/>
    <w:rsid w:val="00A948DE"/>
    <w:rsid w:val="00A94B5F"/>
    <w:rsid w:val="00A96B86"/>
    <w:rsid w:val="00A96F9C"/>
    <w:rsid w:val="00A97063"/>
    <w:rsid w:val="00A9790B"/>
    <w:rsid w:val="00A97BB3"/>
    <w:rsid w:val="00AA0033"/>
    <w:rsid w:val="00AA3FB4"/>
    <w:rsid w:val="00AA5E1B"/>
    <w:rsid w:val="00AA5FBF"/>
    <w:rsid w:val="00AA704B"/>
    <w:rsid w:val="00AA7750"/>
    <w:rsid w:val="00AA798E"/>
    <w:rsid w:val="00AB1769"/>
    <w:rsid w:val="00AB1A19"/>
    <w:rsid w:val="00AB26E9"/>
    <w:rsid w:val="00AB51DA"/>
    <w:rsid w:val="00AC07F7"/>
    <w:rsid w:val="00AC2B1E"/>
    <w:rsid w:val="00AC4985"/>
    <w:rsid w:val="00AC5164"/>
    <w:rsid w:val="00AC65F1"/>
    <w:rsid w:val="00AD0169"/>
    <w:rsid w:val="00AD06B0"/>
    <w:rsid w:val="00AD1BA2"/>
    <w:rsid w:val="00AD2AA5"/>
    <w:rsid w:val="00AD4669"/>
    <w:rsid w:val="00AD6A9D"/>
    <w:rsid w:val="00AD6AEB"/>
    <w:rsid w:val="00AD78E4"/>
    <w:rsid w:val="00AE0ED7"/>
    <w:rsid w:val="00AE13A6"/>
    <w:rsid w:val="00AE6392"/>
    <w:rsid w:val="00AF0838"/>
    <w:rsid w:val="00AF0D83"/>
    <w:rsid w:val="00AF44EB"/>
    <w:rsid w:val="00AF4FE1"/>
    <w:rsid w:val="00AF79AE"/>
    <w:rsid w:val="00B00731"/>
    <w:rsid w:val="00B013C1"/>
    <w:rsid w:val="00B0145B"/>
    <w:rsid w:val="00B019E9"/>
    <w:rsid w:val="00B0205B"/>
    <w:rsid w:val="00B0226B"/>
    <w:rsid w:val="00B02A41"/>
    <w:rsid w:val="00B04B07"/>
    <w:rsid w:val="00B05AA0"/>
    <w:rsid w:val="00B061AD"/>
    <w:rsid w:val="00B078E1"/>
    <w:rsid w:val="00B1061F"/>
    <w:rsid w:val="00B10EFC"/>
    <w:rsid w:val="00B12FA2"/>
    <w:rsid w:val="00B135D7"/>
    <w:rsid w:val="00B13B2E"/>
    <w:rsid w:val="00B17E6C"/>
    <w:rsid w:val="00B20AE9"/>
    <w:rsid w:val="00B20BC0"/>
    <w:rsid w:val="00B26DF1"/>
    <w:rsid w:val="00B34A5F"/>
    <w:rsid w:val="00B36692"/>
    <w:rsid w:val="00B379B9"/>
    <w:rsid w:val="00B406E1"/>
    <w:rsid w:val="00B419CC"/>
    <w:rsid w:val="00B41E36"/>
    <w:rsid w:val="00B41FC1"/>
    <w:rsid w:val="00B426CD"/>
    <w:rsid w:val="00B449BA"/>
    <w:rsid w:val="00B4562F"/>
    <w:rsid w:val="00B45B12"/>
    <w:rsid w:val="00B45B93"/>
    <w:rsid w:val="00B46DDB"/>
    <w:rsid w:val="00B47436"/>
    <w:rsid w:val="00B54D47"/>
    <w:rsid w:val="00B55023"/>
    <w:rsid w:val="00B5581F"/>
    <w:rsid w:val="00B55FB6"/>
    <w:rsid w:val="00B57442"/>
    <w:rsid w:val="00B57C3E"/>
    <w:rsid w:val="00B62F2C"/>
    <w:rsid w:val="00B65635"/>
    <w:rsid w:val="00B6580D"/>
    <w:rsid w:val="00B65E17"/>
    <w:rsid w:val="00B668FF"/>
    <w:rsid w:val="00B70EA3"/>
    <w:rsid w:val="00B72DA5"/>
    <w:rsid w:val="00B74030"/>
    <w:rsid w:val="00B7772F"/>
    <w:rsid w:val="00B7776F"/>
    <w:rsid w:val="00B812D2"/>
    <w:rsid w:val="00B8247D"/>
    <w:rsid w:val="00B82CC5"/>
    <w:rsid w:val="00B82D1B"/>
    <w:rsid w:val="00B8444D"/>
    <w:rsid w:val="00B8733A"/>
    <w:rsid w:val="00B906BA"/>
    <w:rsid w:val="00B93140"/>
    <w:rsid w:val="00B93635"/>
    <w:rsid w:val="00B95FC8"/>
    <w:rsid w:val="00BA0D85"/>
    <w:rsid w:val="00BA0F80"/>
    <w:rsid w:val="00BA2ADF"/>
    <w:rsid w:val="00BA3BF0"/>
    <w:rsid w:val="00BA5DB9"/>
    <w:rsid w:val="00BA786D"/>
    <w:rsid w:val="00BB0D68"/>
    <w:rsid w:val="00BB2263"/>
    <w:rsid w:val="00BB2BEC"/>
    <w:rsid w:val="00BB4960"/>
    <w:rsid w:val="00BB7249"/>
    <w:rsid w:val="00BC54BF"/>
    <w:rsid w:val="00BC62D9"/>
    <w:rsid w:val="00BC769A"/>
    <w:rsid w:val="00BD08F8"/>
    <w:rsid w:val="00BD0EBE"/>
    <w:rsid w:val="00BD2153"/>
    <w:rsid w:val="00BD2324"/>
    <w:rsid w:val="00BD2783"/>
    <w:rsid w:val="00BD30DB"/>
    <w:rsid w:val="00BD3231"/>
    <w:rsid w:val="00BD355D"/>
    <w:rsid w:val="00BD5485"/>
    <w:rsid w:val="00BD6339"/>
    <w:rsid w:val="00BD6912"/>
    <w:rsid w:val="00BE6A02"/>
    <w:rsid w:val="00BE7108"/>
    <w:rsid w:val="00BE7830"/>
    <w:rsid w:val="00BE7AED"/>
    <w:rsid w:val="00BF223A"/>
    <w:rsid w:val="00BF3C59"/>
    <w:rsid w:val="00BF6E3B"/>
    <w:rsid w:val="00BF790B"/>
    <w:rsid w:val="00C01042"/>
    <w:rsid w:val="00C01409"/>
    <w:rsid w:val="00C01C57"/>
    <w:rsid w:val="00C01FDA"/>
    <w:rsid w:val="00C02407"/>
    <w:rsid w:val="00C02C70"/>
    <w:rsid w:val="00C0318F"/>
    <w:rsid w:val="00C03278"/>
    <w:rsid w:val="00C0346A"/>
    <w:rsid w:val="00C0538C"/>
    <w:rsid w:val="00C0738D"/>
    <w:rsid w:val="00C10045"/>
    <w:rsid w:val="00C10445"/>
    <w:rsid w:val="00C119A8"/>
    <w:rsid w:val="00C13906"/>
    <w:rsid w:val="00C14DC4"/>
    <w:rsid w:val="00C15544"/>
    <w:rsid w:val="00C15D56"/>
    <w:rsid w:val="00C160C4"/>
    <w:rsid w:val="00C1614A"/>
    <w:rsid w:val="00C210F5"/>
    <w:rsid w:val="00C21341"/>
    <w:rsid w:val="00C22D7E"/>
    <w:rsid w:val="00C23315"/>
    <w:rsid w:val="00C23F87"/>
    <w:rsid w:val="00C27086"/>
    <w:rsid w:val="00C3069F"/>
    <w:rsid w:val="00C3095A"/>
    <w:rsid w:val="00C30FED"/>
    <w:rsid w:val="00C314EB"/>
    <w:rsid w:val="00C316FD"/>
    <w:rsid w:val="00C3188F"/>
    <w:rsid w:val="00C31E42"/>
    <w:rsid w:val="00C33582"/>
    <w:rsid w:val="00C342BF"/>
    <w:rsid w:val="00C356D5"/>
    <w:rsid w:val="00C37B77"/>
    <w:rsid w:val="00C37F22"/>
    <w:rsid w:val="00C401FF"/>
    <w:rsid w:val="00C4020D"/>
    <w:rsid w:val="00C40CCC"/>
    <w:rsid w:val="00C42516"/>
    <w:rsid w:val="00C43893"/>
    <w:rsid w:val="00C453BF"/>
    <w:rsid w:val="00C45BD4"/>
    <w:rsid w:val="00C51BDF"/>
    <w:rsid w:val="00C52F1E"/>
    <w:rsid w:val="00C5499E"/>
    <w:rsid w:val="00C54B68"/>
    <w:rsid w:val="00C550CD"/>
    <w:rsid w:val="00C57E02"/>
    <w:rsid w:val="00C62251"/>
    <w:rsid w:val="00C638B5"/>
    <w:rsid w:val="00C638E5"/>
    <w:rsid w:val="00C66C78"/>
    <w:rsid w:val="00C712A3"/>
    <w:rsid w:val="00C73E04"/>
    <w:rsid w:val="00C77DBE"/>
    <w:rsid w:val="00C77F93"/>
    <w:rsid w:val="00C824B8"/>
    <w:rsid w:val="00C83417"/>
    <w:rsid w:val="00C856CA"/>
    <w:rsid w:val="00C873D8"/>
    <w:rsid w:val="00C912D7"/>
    <w:rsid w:val="00C919DB"/>
    <w:rsid w:val="00C91BCA"/>
    <w:rsid w:val="00C9260E"/>
    <w:rsid w:val="00C928E9"/>
    <w:rsid w:val="00C92F0C"/>
    <w:rsid w:val="00C93077"/>
    <w:rsid w:val="00C9344B"/>
    <w:rsid w:val="00C94645"/>
    <w:rsid w:val="00C96FEB"/>
    <w:rsid w:val="00C97245"/>
    <w:rsid w:val="00C97403"/>
    <w:rsid w:val="00CA1878"/>
    <w:rsid w:val="00CA1F9D"/>
    <w:rsid w:val="00CA3E0B"/>
    <w:rsid w:val="00CA78BD"/>
    <w:rsid w:val="00CB5E30"/>
    <w:rsid w:val="00CB66C4"/>
    <w:rsid w:val="00CB75A2"/>
    <w:rsid w:val="00CC25A3"/>
    <w:rsid w:val="00CC320A"/>
    <w:rsid w:val="00CC32AD"/>
    <w:rsid w:val="00CC4987"/>
    <w:rsid w:val="00CC5F3A"/>
    <w:rsid w:val="00CC5FEB"/>
    <w:rsid w:val="00CD0625"/>
    <w:rsid w:val="00CD2E24"/>
    <w:rsid w:val="00CD33D1"/>
    <w:rsid w:val="00CD5842"/>
    <w:rsid w:val="00CD6415"/>
    <w:rsid w:val="00CD7247"/>
    <w:rsid w:val="00CD7526"/>
    <w:rsid w:val="00CD7CF0"/>
    <w:rsid w:val="00CE24EF"/>
    <w:rsid w:val="00CE4952"/>
    <w:rsid w:val="00CE61E0"/>
    <w:rsid w:val="00CE7EDA"/>
    <w:rsid w:val="00CF1744"/>
    <w:rsid w:val="00CF1B4B"/>
    <w:rsid w:val="00CF1E04"/>
    <w:rsid w:val="00CF4D2B"/>
    <w:rsid w:val="00CF62AC"/>
    <w:rsid w:val="00CF6411"/>
    <w:rsid w:val="00CF68FC"/>
    <w:rsid w:val="00D00A8A"/>
    <w:rsid w:val="00D025C2"/>
    <w:rsid w:val="00D04791"/>
    <w:rsid w:val="00D0600F"/>
    <w:rsid w:val="00D064C4"/>
    <w:rsid w:val="00D1054F"/>
    <w:rsid w:val="00D10E14"/>
    <w:rsid w:val="00D11C15"/>
    <w:rsid w:val="00D13135"/>
    <w:rsid w:val="00D13AED"/>
    <w:rsid w:val="00D13F3E"/>
    <w:rsid w:val="00D163AE"/>
    <w:rsid w:val="00D170FD"/>
    <w:rsid w:val="00D266A0"/>
    <w:rsid w:val="00D26D97"/>
    <w:rsid w:val="00D30A56"/>
    <w:rsid w:val="00D33133"/>
    <w:rsid w:val="00D33D2E"/>
    <w:rsid w:val="00D34C4D"/>
    <w:rsid w:val="00D361C6"/>
    <w:rsid w:val="00D40556"/>
    <w:rsid w:val="00D411D6"/>
    <w:rsid w:val="00D44988"/>
    <w:rsid w:val="00D449CA"/>
    <w:rsid w:val="00D453FF"/>
    <w:rsid w:val="00D456F2"/>
    <w:rsid w:val="00D46B55"/>
    <w:rsid w:val="00D478FC"/>
    <w:rsid w:val="00D47FA8"/>
    <w:rsid w:val="00D507BD"/>
    <w:rsid w:val="00D5182D"/>
    <w:rsid w:val="00D51EEC"/>
    <w:rsid w:val="00D5259D"/>
    <w:rsid w:val="00D52B6C"/>
    <w:rsid w:val="00D52F6E"/>
    <w:rsid w:val="00D54CC1"/>
    <w:rsid w:val="00D54CF5"/>
    <w:rsid w:val="00D5535D"/>
    <w:rsid w:val="00D56047"/>
    <w:rsid w:val="00D568CB"/>
    <w:rsid w:val="00D57204"/>
    <w:rsid w:val="00D61C4E"/>
    <w:rsid w:val="00D64797"/>
    <w:rsid w:val="00D655B7"/>
    <w:rsid w:val="00D66796"/>
    <w:rsid w:val="00D723C5"/>
    <w:rsid w:val="00D7288E"/>
    <w:rsid w:val="00D72BBF"/>
    <w:rsid w:val="00D736A3"/>
    <w:rsid w:val="00D756A4"/>
    <w:rsid w:val="00D76388"/>
    <w:rsid w:val="00D771C9"/>
    <w:rsid w:val="00D775CB"/>
    <w:rsid w:val="00D80306"/>
    <w:rsid w:val="00D83327"/>
    <w:rsid w:val="00D84796"/>
    <w:rsid w:val="00D84AC3"/>
    <w:rsid w:val="00D85512"/>
    <w:rsid w:val="00D86181"/>
    <w:rsid w:val="00D87069"/>
    <w:rsid w:val="00D91D3B"/>
    <w:rsid w:val="00D92417"/>
    <w:rsid w:val="00D927BC"/>
    <w:rsid w:val="00D92D57"/>
    <w:rsid w:val="00D941E4"/>
    <w:rsid w:val="00D941FC"/>
    <w:rsid w:val="00D97711"/>
    <w:rsid w:val="00DA12C9"/>
    <w:rsid w:val="00DA2724"/>
    <w:rsid w:val="00DA2A20"/>
    <w:rsid w:val="00DA440F"/>
    <w:rsid w:val="00DA7C76"/>
    <w:rsid w:val="00DB229B"/>
    <w:rsid w:val="00DB50EA"/>
    <w:rsid w:val="00DB563F"/>
    <w:rsid w:val="00DC12A8"/>
    <w:rsid w:val="00DC13F0"/>
    <w:rsid w:val="00DC17D7"/>
    <w:rsid w:val="00DC2106"/>
    <w:rsid w:val="00DC26DF"/>
    <w:rsid w:val="00DC2A65"/>
    <w:rsid w:val="00DC2F41"/>
    <w:rsid w:val="00DC31D6"/>
    <w:rsid w:val="00DC6059"/>
    <w:rsid w:val="00DC6ABB"/>
    <w:rsid w:val="00DD218D"/>
    <w:rsid w:val="00DD3434"/>
    <w:rsid w:val="00DD5BD5"/>
    <w:rsid w:val="00DD5ECC"/>
    <w:rsid w:val="00DD66A1"/>
    <w:rsid w:val="00DD67C8"/>
    <w:rsid w:val="00DD6DC4"/>
    <w:rsid w:val="00DD7D86"/>
    <w:rsid w:val="00DE080C"/>
    <w:rsid w:val="00DE0BB8"/>
    <w:rsid w:val="00DE0C78"/>
    <w:rsid w:val="00DE31F7"/>
    <w:rsid w:val="00DE50BD"/>
    <w:rsid w:val="00DE6EEF"/>
    <w:rsid w:val="00DF4013"/>
    <w:rsid w:val="00DF4767"/>
    <w:rsid w:val="00DF5B0D"/>
    <w:rsid w:val="00DF685B"/>
    <w:rsid w:val="00DF7B53"/>
    <w:rsid w:val="00E02A43"/>
    <w:rsid w:val="00E04C1C"/>
    <w:rsid w:val="00E04E63"/>
    <w:rsid w:val="00E07F8A"/>
    <w:rsid w:val="00E123BA"/>
    <w:rsid w:val="00E12F0C"/>
    <w:rsid w:val="00E1327B"/>
    <w:rsid w:val="00E1415C"/>
    <w:rsid w:val="00E147AE"/>
    <w:rsid w:val="00E14A5E"/>
    <w:rsid w:val="00E174F6"/>
    <w:rsid w:val="00E20C2E"/>
    <w:rsid w:val="00E24F51"/>
    <w:rsid w:val="00E33851"/>
    <w:rsid w:val="00E34B9B"/>
    <w:rsid w:val="00E3538B"/>
    <w:rsid w:val="00E36529"/>
    <w:rsid w:val="00E41802"/>
    <w:rsid w:val="00E42304"/>
    <w:rsid w:val="00E42A45"/>
    <w:rsid w:val="00E43659"/>
    <w:rsid w:val="00E50073"/>
    <w:rsid w:val="00E51C8F"/>
    <w:rsid w:val="00E52159"/>
    <w:rsid w:val="00E53166"/>
    <w:rsid w:val="00E55DAE"/>
    <w:rsid w:val="00E56DC9"/>
    <w:rsid w:val="00E56F06"/>
    <w:rsid w:val="00E575BD"/>
    <w:rsid w:val="00E602CA"/>
    <w:rsid w:val="00E60B6E"/>
    <w:rsid w:val="00E60C9B"/>
    <w:rsid w:val="00E60F5E"/>
    <w:rsid w:val="00E615F5"/>
    <w:rsid w:val="00E61EAA"/>
    <w:rsid w:val="00E66D7F"/>
    <w:rsid w:val="00E6726F"/>
    <w:rsid w:val="00E7195A"/>
    <w:rsid w:val="00E725A7"/>
    <w:rsid w:val="00E72C79"/>
    <w:rsid w:val="00E777E7"/>
    <w:rsid w:val="00E81851"/>
    <w:rsid w:val="00E826B2"/>
    <w:rsid w:val="00E83862"/>
    <w:rsid w:val="00E84314"/>
    <w:rsid w:val="00E84EFA"/>
    <w:rsid w:val="00E851FE"/>
    <w:rsid w:val="00E86524"/>
    <w:rsid w:val="00E90062"/>
    <w:rsid w:val="00E90EC0"/>
    <w:rsid w:val="00E92610"/>
    <w:rsid w:val="00E927F3"/>
    <w:rsid w:val="00E94BC8"/>
    <w:rsid w:val="00E9524A"/>
    <w:rsid w:val="00E95DCA"/>
    <w:rsid w:val="00E977F7"/>
    <w:rsid w:val="00E97982"/>
    <w:rsid w:val="00EA30A3"/>
    <w:rsid w:val="00EA546A"/>
    <w:rsid w:val="00EA56F8"/>
    <w:rsid w:val="00EA5D58"/>
    <w:rsid w:val="00EA7EC8"/>
    <w:rsid w:val="00EB0024"/>
    <w:rsid w:val="00EB17FA"/>
    <w:rsid w:val="00EB1FAF"/>
    <w:rsid w:val="00EB299B"/>
    <w:rsid w:val="00EB2F7E"/>
    <w:rsid w:val="00EB4712"/>
    <w:rsid w:val="00EC01B9"/>
    <w:rsid w:val="00EC1AAF"/>
    <w:rsid w:val="00EC1C27"/>
    <w:rsid w:val="00EC23D3"/>
    <w:rsid w:val="00EC49DB"/>
    <w:rsid w:val="00ED1C70"/>
    <w:rsid w:val="00ED209E"/>
    <w:rsid w:val="00ED76A9"/>
    <w:rsid w:val="00ED7A91"/>
    <w:rsid w:val="00EE1DEA"/>
    <w:rsid w:val="00EE2611"/>
    <w:rsid w:val="00EE30CD"/>
    <w:rsid w:val="00EE330B"/>
    <w:rsid w:val="00EE5A38"/>
    <w:rsid w:val="00EE6923"/>
    <w:rsid w:val="00EE6F9C"/>
    <w:rsid w:val="00EE77A6"/>
    <w:rsid w:val="00EF0810"/>
    <w:rsid w:val="00EF141B"/>
    <w:rsid w:val="00EF25D7"/>
    <w:rsid w:val="00EF307F"/>
    <w:rsid w:val="00EF35D2"/>
    <w:rsid w:val="00EF3DEF"/>
    <w:rsid w:val="00EF4181"/>
    <w:rsid w:val="00EF4777"/>
    <w:rsid w:val="00EF4B92"/>
    <w:rsid w:val="00EF5963"/>
    <w:rsid w:val="00EF60E6"/>
    <w:rsid w:val="00EF709D"/>
    <w:rsid w:val="00EF7AFF"/>
    <w:rsid w:val="00F002B8"/>
    <w:rsid w:val="00F022FC"/>
    <w:rsid w:val="00F02762"/>
    <w:rsid w:val="00F040B7"/>
    <w:rsid w:val="00F04236"/>
    <w:rsid w:val="00F04A55"/>
    <w:rsid w:val="00F06C46"/>
    <w:rsid w:val="00F12965"/>
    <w:rsid w:val="00F1391A"/>
    <w:rsid w:val="00F13D15"/>
    <w:rsid w:val="00F1415F"/>
    <w:rsid w:val="00F145BB"/>
    <w:rsid w:val="00F170EF"/>
    <w:rsid w:val="00F17897"/>
    <w:rsid w:val="00F203F5"/>
    <w:rsid w:val="00F20487"/>
    <w:rsid w:val="00F225B0"/>
    <w:rsid w:val="00F255B0"/>
    <w:rsid w:val="00F2795F"/>
    <w:rsid w:val="00F30123"/>
    <w:rsid w:val="00F31521"/>
    <w:rsid w:val="00F32730"/>
    <w:rsid w:val="00F3418E"/>
    <w:rsid w:val="00F36487"/>
    <w:rsid w:val="00F364DA"/>
    <w:rsid w:val="00F42366"/>
    <w:rsid w:val="00F43EDA"/>
    <w:rsid w:val="00F45324"/>
    <w:rsid w:val="00F46FCA"/>
    <w:rsid w:val="00F501CB"/>
    <w:rsid w:val="00F50255"/>
    <w:rsid w:val="00F543C6"/>
    <w:rsid w:val="00F54B41"/>
    <w:rsid w:val="00F56DD8"/>
    <w:rsid w:val="00F63714"/>
    <w:rsid w:val="00F6696C"/>
    <w:rsid w:val="00F67103"/>
    <w:rsid w:val="00F74485"/>
    <w:rsid w:val="00F75B1A"/>
    <w:rsid w:val="00F77FF5"/>
    <w:rsid w:val="00F81362"/>
    <w:rsid w:val="00F835DB"/>
    <w:rsid w:val="00F83F9A"/>
    <w:rsid w:val="00F856E6"/>
    <w:rsid w:val="00F871FA"/>
    <w:rsid w:val="00F87307"/>
    <w:rsid w:val="00F94443"/>
    <w:rsid w:val="00F94883"/>
    <w:rsid w:val="00F9530D"/>
    <w:rsid w:val="00F95650"/>
    <w:rsid w:val="00FA0391"/>
    <w:rsid w:val="00FA04CA"/>
    <w:rsid w:val="00FA4014"/>
    <w:rsid w:val="00FA42EE"/>
    <w:rsid w:val="00FB2AEB"/>
    <w:rsid w:val="00FB306E"/>
    <w:rsid w:val="00FB3F7D"/>
    <w:rsid w:val="00FB4481"/>
    <w:rsid w:val="00FB58CE"/>
    <w:rsid w:val="00FC025D"/>
    <w:rsid w:val="00FC3A2B"/>
    <w:rsid w:val="00FC5539"/>
    <w:rsid w:val="00FD1561"/>
    <w:rsid w:val="00FD1812"/>
    <w:rsid w:val="00FD4BF5"/>
    <w:rsid w:val="00FD4D49"/>
    <w:rsid w:val="00FD536F"/>
    <w:rsid w:val="00FD5B23"/>
    <w:rsid w:val="00FD5BB4"/>
    <w:rsid w:val="00FD6882"/>
    <w:rsid w:val="00FD7D2D"/>
    <w:rsid w:val="00FE5EBB"/>
    <w:rsid w:val="00FE6D3A"/>
    <w:rsid w:val="00FE6D6F"/>
    <w:rsid w:val="00FF0748"/>
    <w:rsid w:val="00FF0958"/>
    <w:rsid w:val="00FF571D"/>
    <w:rsid w:val="00FF7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417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footnote text" w:locked="1"/>
    <w:lsdException w:name="annotation text" w:locked="1"/>
    <w:lsdException w:name="header" w:locked="1"/>
    <w:lsdException w:name="footer" w:locked="1"/>
    <w:lsdException w:name="caption" w:locked="1" w:uiPriority="0" w:qFormat="1"/>
    <w:lsdException w:name="table of figures" w:locked="1"/>
    <w:lsdException w:name="footnote reference" w:locked="1"/>
    <w:lsdException w:name="annotation reference" w:locked="1"/>
    <w:lsdException w:name="page number" w:locked="1"/>
    <w:lsdException w:name="Title" w:locked="1" w:semiHidden="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lsdException w:name="No List" w:locked="1"/>
    <w:lsdException w:name="Balloon Text"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00578"/>
    <w:rPr>
      <w:rFonts w:ascii="Tahoma" w:eastAsia="SimSun" w:hAnsi="Tahoma" w:cs="Tahoma"/>
      <w:lang w:eastAsia="zh-CN"/>
    </w:rPr>
  </w:style>
  <w:style w:type="paragraph" w:styleId="Heading1">
    <w:name w:val="heading 1"/>
    <w:next w:val="BodyText"/>
    <w:link w:val="Heading1Char"/>
    <w:uiPriority w:val="99"/>
    <w:qFormat/>
    <w:rsid w:val="00150635"/>
    <w:pPr>
      <w:keepNext/>
      <w:numPr>
        <w:numId w:val="3"/>
      </w:numPr>
      <w:spacing w:before="480"/>
      <w:outlineLvl w:val="0"/>
    </w:pPr>
    <w:rPr>
      <w:rFonts w:ascii="Tahoma" w:eastAsia="SimSun" w:hAnsi="Tahoma" w:cs="Tahoma"/>
      <w:b/>
      <w:bCs/>
      <w:color w:val="215868"/>
      <w:sz w:val="24"/>
      <w:szCs w:val="32"/>
      <w:lang w:eastAsia="zh-CN"/>
    </w:rPr>
  </w:style>
  <w:style w:type="paragraph" w:styleId="Heading2">
    <w:name w:val="heading 2"/>
    <w:next w:val="BodyText"/>
    <w:link w:val="Heading2Char"/>
    <w:uiPriority w:val="99"/>
    <w:qFormat/>
    <w:rsid w:val="00150635"/>
    <w:pPr>
      <w:keepNext/>
      <w:numPr>
        <w:ilvl w:val="1"/>
        <w:numId w:val="3"/>
      </w:numPr>
      <w:spacing w:before="240"/>
      <w:outlineLvl w:val="1"/>
    </w:pPr>
    <w:rPr>
      <w:rFonts w:ascii="Tahoma" w:eastAsia="SimSun" w:hAnsi="Tahoma" w:cs="Tahoma"/>
      <w:b/>
      <w:color w:val="215868"/>
      <w:szCs w:val="28"/>
      <w:lang w:val="en-GB" w:eastAsia="ja-JP"/>
    </w:rPr>
  </w:style>
  <w:style w:type="paragraph" w:styleId="Heading3">
    <w:name w:val="heading 3"/>
    <w:next w:val="BodyText"/>
    <w:link w:val="Heading3Char"/>
    <w:uiPriority w:val="99"/>
    <w:qFormat/>
    <w:rsid w:val="005F41E6"/>
    <w:pPr>
      <w:keepNext/>
      <w:numPr>
        <w:ilvl w:val="2"/>
        <w:numId w:val="3"/>
      </w:numPr>
      <w:spacing w:before="240"/>
      <w:outlineLvl w:val="2"/>
    </w:pPr>
    <w:rPr>
      <w:rFonts w:ascii="Tahoma" w:eastAsia="SimSun" w:hAnsi="Tahoma" w:cs="Tahoma"/>
      <w:b/>
      <w:color w:val="808080" w:themeColor="background1" w:themeShade="80"/>
      <w:szCs w:val="28"/>
      <w:lang w:val="en-GB" w:eastAsia="ja-JP"/>
    </w:rPr>
  </w:style>
  <w:style w:type="paragraph" w:styleId="Heading4">
    <w:name w:val="heading 4"/>
    <w:basedOn w:val="Normal"/>
    <w:next w:val="Normal"/>
    <w:link w:val="Heading4Char"/>
    <w:uiPriority w:val="99"/>
    <w:qFormat/>
    <w:rsid w:val="001F7E7F"/>
    <w:pPr>
      <w:keepNext/>
      <w:numPr>
        <w:ilvl w:val="3"/>
        <w:numId w:val="3"/>
      </w:numPr>
      <w:spacing w:before="240"/>
      <w:outlineLvl w:val="3"/>
    </w:pPr>
    <w:rPr>
      <w:b/>
      <w:i/>
      <w:color w:val="808080" w:themeColor="background1" w:themeShade="80"/>
      <w:sz w:val="18"/>
      <w:lang w:val="en-GB" w:eastAsia="ja-JP"/>
    </w:rPr>
  </w:style>
  <w:style w:type="paragraph" w:styleId="Heading5">
    <w:name w:val="heading 5"/>
    <w:basedOn w:val="Normal"/>
    <w:next w:val="Normal"/>
    <w:link w:val="Heading5Char"/>
    <w:uiPriority w:val="99"/>
    <w:qFormat/>
    <w:rsid w:val="00150635"/>
    <w:pPr>
      <w:keepNext/>
      <w:numPr>
        <w:ilvl w:val="4"/>
        <w:numId w:val="3"/>
      </w:numPr>
      <w:tabs>
        <w:tab w:val="left" w:pos="709"/>
      </w:tabs>
      <w:outlineLvl w:val="4"/>
    </w:pPr>
    <w:rPr>
      <w:b/>
      <w:i/>
    </w:rPr>
  </w:style>
  <w:style w:type="paragraph" w:styleId="Heading6">
    <w:name w:val="heading 6"/>
    <w:aliases w:val="Appendix Lvl 1"/>
    <w:next w:val="BodyText"/>
    <w:link w:val="Heading6Char"/>
    <w:uiPriority w:val="99"/>
    <w:qFormat/>
    <w:rsid w:val="00472FB4"/>
    <w:pPr>
      <w:pageBreakBefore/>
      <w:numPr>
        <w:ilvl w:val="5"/>
        <w:numId w:val="3"/>
      </w:numPr>
      <w:tabs>
        <w:tab w:val="left" w:pos="1701"/>
      </w:tabs>
      <w:spacing w:before="240"/>
      <w:ind w:left="1701" w:hanging="1701"/>
      <w:outlineLvl w:val="5"/>
    </w:pPr>
    <w:rPr>
      <w:rFonts w:ascii="Tahoma" w:eastAsia="SimSun" w:hAnsi="Tahoma" w:cs="Tahoma"/>
      <w:b/>
      <w:bCs/>
      <w:color w:val="215868"/>
      <w:sz w:val="24"/>
      <w:szCs w:val="32"/>
      <w:lang w:eastAsia="zh-CN"/>
    </w:rPr>
  </w:style>
  <w:style w:type="paragraph" w:styleId="Heading7">
    <w:name w:val="heading 7"/>
    <w:aliases w:val="Appendix Lvl 2"/>
    <w:next w:val="BodyText"/>
    <w:link w:val="Heading7Char"/>
    <w:uiPriority w:val="99"/>
    <w:qFormat/>
    <w:rsid w:val="007C29A3"/>
    <w:pPr>
      <w:numPr>
        <w:ilvl w:val="6"/>
        <w:numId w:val="3"/>
      </w:numPr>
      <w:tabs>
        <w:tab w:val="left" w:pos="709"/>
      </w:tabs>
      <w:spacing w:before="240"/>
      <w:ind w:left="709" w:hanging="709"/>
      <w:outlineLvl w:val="6"/>
    </w:pPr>
    <w:rPr>
      <w:rFonts w:ascii="Tahoma" w:eastAsia="SimSun" w:hAnsi="Tahoma" w:cs="Tahoma"/>
      <w:b/>
      <w:color w:val="215868"/>
      <w:szCs w:val="28"/>
      <w:lang w:val="en-GB" w:eastAsia="ja-JP"/>
    </w:rPr>
  </w:style>
  <w:style w:type="paragraph" w:styleId="Heading8">
    <w:name w:val="heading 8"/>
    <w:aliases w:val="Appendix Lvl 3"/>
    <w:next w:val="BodyText"/>
    <w:link w:val="Heading8Char"/>
    <w:uiPriority w:val="99"/>
    <w:qFormat/>
    <w:rsid w:val="0064478D"/>
    <w:pPr>
      <w:numPr>
        <w:ilvl w:val="7"/>
        <w:numId w:val="3"/>
      </w:numPr>
      <w:tabs>
        <w:tab w:val="left" w:pos="709"/>
      </w:tabs>
      <w:spacing w:before="240"/>
      <w:ind w:left="709" w:hanging="709"/>
      <w:outlineLvl w:val="7"/>
    </w:pPr>
    <w:rPr>
      <w:rFonts w:ascii="Tahoma" w:eastAsia="SimSun" w:hAnsi="Tahoma" w:cs="Tahoma"/>
      <w:b/>
      <w:color w:val="808080" w:themeColor="background1" w:themeShade="80"/>
      <w:lang w:eastAsia="zh-CN"/>
    </w:rPr>
  </w:style>
  <w:style w:type="paragraph" w:styleId="Heading9">
    <w:name w:val="heading 9"/>
    <w:aliases w:val="Appendix Lvl 4"/>
    <w:basedOn w:val="Normal"/>
    <w:next w:val="Normal"/>
    <w:link w:val="Heading9Char"/>
    <w:uiPriority w:val="99"/>
    <w:qFormat/>
    <w:rsid w:val="00C23315"/>
    <w:pPr>
      <w:keepNext/>
      <w:numPr>
        <w:ilvl w:val="8"/>
        <w:numId w:val="3"/>
      </w:numPr>
      <w:tabs>
        <w:tab w:val="left" w:pos="284"/>
      </w:tabs>
      <w:spacing w:before="120" w:line="312" w:lineRule="auto"/>
      <w:ind w:left="284" w:hanging="284"/>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5324"/>
    <w:rPr>
      <w:rFonts w:ascii="Tahoma" w:eastAsia="SimSun" w:hAnsi="Tahoma" w:cs="Tahoma"/>
      <w:b/>
      <w:bCs/>
      <w:color w:val="215868"/>
      <w:sz w:val="24"/>
      <w:szCs w:val="32"/>
      <w:lang w:eastAsia="zh-CN"/>
    </w:rPr>
  </w:style>
  <w:style w:type="character" w:customStyle="1" w:styleId="Heading2Char">
    <w:name w:val="Heading 2 Char"/>
    <w:basedOn w:val="DefaultParagraphFont"/>
    <w:link w:val="Heading2"/>
    <w:uiPriority w:val="99"/>
    <w:locked/>
    <w:rsid w:val="00F45324"/>
    <w:rPr>
      <w:rFonts w:ascii="Tahoma" w:eastAsia="SimSun" w:hAnsi="Tahoma" w:cs="Tahoma"/>
      <w:b/>
      <w:color w:val="215868"/>
      <w:szCs w:val="28"/>
      <w:lang w:val="en-GB" w:eastAsia="ja-JP"/>
    </w:rPr>
  </w:style>
  <w:style w:type="character" w:customStyle="1" w:styleId="Heading3Char">
    <w:name w:val="Heading 3 Char"/>
    <w:basedOn w:val="DefaultParagraphFont"/>
    <w:link w:val="Heading3"/>
    <w:uiPriority w:val="99"/>
    <w:locked/>
    <w:rsid w:val="005F41E6"/>
    <w:rPr>
      <w:rFonts w:ascii="Tahoma" w:eastAsia="SimSun" w:hAnsi="Tahoma" w:cs="Tahoma"/>
      <w:b/>
      <w:color w:val="808080" w:themeColor="background1" w:themeShade="80"/>
      <w:szCs w:val="28"/>
      <w:lang w:val="en-GB" w:eastAsia="ja-JP"/>
    </w:rPr>
  </w:style>
  <w:style w:type="character" w:customStyle="1" w:styleId="Heading4Char">
    <w:name w:val="Heading 4 Char"/>
    <w:basedOn w:val="DefaultParagraphFont"/>
    <w:link w:val="Heading4"/>
    <w:uiPriority w:val="99"/>
    <w:locked/>
    <w:rsid w:val="001F7E7F"/>
    <w:rPr>
      <w:rFonts w:ascii="Tahoma" w:eastAsia="SimSun" w:hAnsi="Tahoma" w:cs="Tahoma"/>
      <w:b/>
      <w:i/>
      <w:color w:val="808080" w:themeColor="background1" w:themeShade="80"/>
      <w:sz w:val="18"/>
      <w:lang w:val="en-GB" w:eastAsia="ja-JP"/>
    </w:rPr>
  </w:style>
  <w:style w:type="character" w:customStyle="1" w:styleId="Heading5Char">
    <w:name w:val="Heading 5 Char"/>
    <w:basedOn w:val="DefaultParagraphFont"/>
    <w:link w:val="Heading5"/>
    <w:uiPriority w:val="99"/>
    <w:locked/>
    <w:rsid w:val="00ED7A91"/>
    <w:rPr>
      <w:rFonts w:ascii="Tahoma" w:eastAsia="SimSun" w:hAnsi="Tahoma" w:cs="Tahoma"/>
      <w:b/>
      <w:i/>
      <w:lang w:eastAsia="zh-CN"/>
    </w:rPr>
  </w:style>
  <w:style w:type="character" w:customStyle="1" w:styleId="Heading6Char">
    <w:name w:val="Heading 6 Char"/>
    <w:aliases w:val="Appendix Lvl 1 Char"/>
    <w:basedOn w:val="DefaultParagraphFont"/>
    <w:link w:val="Heading6"/>
    <w:uiPriority w:val="99"/>
    <w:locked/>
    <w:rsid w:val="00472FB4"/>
    <w:rPr>
      <w:rFonts w:ascii="Tahoma" w:eastAsia="SimSun" w:hAnsi="Tahoma" w:cs="Tahoma"/>
      <w:b/>
      <w:bCs/>
      <w:color w:val="215868"/>
      <w:sz w:val="24"/>
      <w:szCs w:val="32"/>
      <w:lang w:eastAsia="zh-CN"/>
    </w:rPr>
  </w:style>
  <w:style w:type="character" w:customStyle="1" w:styleId="Heading7Char">
    <w:name w:val="Heading 7 Char"/>
    <w:aliases w:val="Appendix Lvl 2 Char"/>
    <w:basedOn w:val="DefaultParagraphFont"/>
    <w:link w:val="Heading7"/>
    <w:uiPriority w:val="99"/>
    <w:locked/>
    <w:rsid w:val="007C29A3"/>
    <w:rPr>
      <w:rFonts w:ascii="Tahoma" w:eastAsia="SimSun" w:hAnsi="Tahoma" w:cs="Tahoma"/>
      <w:b/>
      <w:color w:val="215868"/>
      <w:szCs w:val="28"/>
      <w:lang w:val="en-GB" w:eastAsia="ja-JP"/>
    </w:rPr>
  </w:style>
  <w:style w:type="character" w:customStyle="1" w:styleId="Heading8Char">
    <w:name w:val="Heading 8 Char"/>
    <w:aliases w:val="Appendix Lvl 3 Char"/>
    <w:basedOn w:val="DefaultParagraphFont"/>
    <w:link w:val="Heading8"/>
    <w:uiPriority w:val="99"/>
    <w:locked/>
    <w:rsid w:val="0064478D"/>
    <w:rPr>
      <w:rFonts w:ascii="Tahoma" w:eastAsia="SimSun" w:hAnsi="Tahoma" w:cs="Tahoma"/>
      <w:b/>
      <w:color w:val="808080" w:themeColor="background1" w:themeShade="80"/>
      <w:lang w:eastAsia="zh-CN"/>
    </w:rPr>
  </w:style>
  <w:style w:type="character" w:customStyle="1" w:styleId="Heading9Char">
    <w:name w:val="Heading 9 Char"/>
    <w:aliases w:val="Appendix Lvl 4 Char"/>
    <w:basedOn w:val="DefaultParagraphFont"/>
    <w:link w:val="Heading9"/>
    <w:uiPriority w:val="99"/>
    <w:locked/>
    <w:rsid w:val="00C23315"/>
    <w:rPr>
      <w:rFonts w:ascii="Tahoma" w:eastAsia="SimSun" w:hAnsi="Tahoma" w:cs="Tahoma"/>
      <w:u w:val="single"/>
      <w:lang w:eastAsia="zh-CN"/>
    </w:rPr>
  </w:style>
  <w:style w:type="character" w:styleId="HTMLDefinition">
    <w:name w:val="HTML Definition"/>
    <w:basedOn w:val="DefaultParagraphFont"/>
    <w:uiPriority w:val="99"/>
    <w:unhideWhenUsed/>
    <w:rsid w:val="00436019"/>
    <w:rPr>
      <w:i/>
      <w:iCs/>
    </w:rPr>
  </w:style>
  <w:style w:type="paragraph" w:styleId="BalloonText">
    <w:name w:val="Balloon Text"/>
    <w:basedOn w:val="Normal"/>
    <w:link w:val="BalloonTextChar"/>
    <w:uiPriority w:val="99"/>
    <w:rsid w:val="00ED7A91"/>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TableTextspaceafter">
    <w:name w:val="Table Text space after"/>
    <w:qFormat/>
    <w:rsid w:val="00E42A45"/>
    <w:pPr>
      <w:keepNext/>
      <w:spacing w:after="120"/>
    </w:pPr>
    <w:rPr>
      <w:rFonts w:ascii="Arial Narrow" w:eastAsia="SimSun" w:hAnsi="Arial Narrow" w:cs="Tahoma"/>
      <w:lang w:val="en-US" w:eastAsia="ja-JP"/>
    </w:rPr>
  </w:style>
  <w:style w:type="paragraph" w:customStyle="1" w:styleId="TableText">
    <w:name w:val="Table Text"/>
    <w:basedOn w:val="TableTextspaceafter"/>
    <w:qFormat/>
    <w:rsid w:val="00D92D57"/>
    <w:pPr>
      <w:spacing w:after="0"/>
    </w:pPr>
  </w:style>
  <w:style w:type="paragraph" w:styleId="Caption">
    <w:name w:val="caption"/>
    <w:basedOn w:val="Normal"/>
    <w:next w:val="Normal"/>
    <w:unhideWhenUsed/>
    <w:qFormat/>
    <w:locked/>
    <w:rsid w:val="005F5B80"/>
    <w:pPr>
      <w:keepNext/>
      <w:tabs>
        <w:tab w:val="left" w:pos="851"/>
      </w:tabs>
      <w:spacing w:before="240" w:after="40"/>
      <w:ind w:left="851" w:hanging="851"/>
    </w:pPr>
    <w:rPr>
      <w:rFonts w:ascii="Arial Narrow" w:hAnsi="Arial Narrow"/>
      <w:b/>
      <w:iCs/>
      <w:szCs w:val="18"/>
    </w:rPr>
  </w:style>
  <w:style w:type="paragraph" w:styleId="BodyText">
    <w:name w:val="Body Text"/>
    <w:link w:val="BodyTextChar"/>
    <w:uiPriority w:val="99"/>
    <w:unhideWhenUsed/>
    <w:rsid w:val="00810BB2"/>
    <w:pPr>
      <w:spacing w:before="120" w:line="312" w:lineRule="auto"/>
      <w:jc w:val="both"/>
    </w:pPr>
    <w:rPr>
      <w:rFonts w:ascii="Tahoma" w:eastAsia="SimSun" w:hAnsi="Tahoma" w:cs="Tahoma"/>
      <w:lang w:eastAsia="zh-CN"/>
    </w:rPr>
  </w:style>
  <w:style w:type="character" w:customStyle="1" w:styleId="BodyTextChar">
    <w:name w:val="Body Text Char"/>
    <w:basedOn w:val="DefaultParagraphFont"/>
    <w:link w:val="BodyText"/>
    <w:uiPriority w:val="99"/>
    <w:rsid w:val="00810BB2"/>
    <w:rPr>
      <w:rFonts w:ascii="Tahoma" w:eastAsia="SimSun" w:hAnsi="Tahoma" w:cs="Tahoma"/>
      <w:lang w:eastAsia="zh-CN"/>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821FB1"/>
    <w:pPr>
      <w:ind w:left="170" w:hanging="170"/>
    </w:pPr>
    <w:rPr>
      <w:rFonts w:eastAsia="Calibri"/>
      <w:sz w:val="16"/>
      <w:lang w:eastAsia="en-US"/>
    </w:rPr>
  </w:style>
  <w:style w:type="character" w:customStyle="1" w:styleId="FootnoteTextChar">
    <w:name w:val="Footnote Text Char"/>
    <w:basedOn w:val="DefaultParagraphFont"/>
    <w:link w:val="FootnoteText"/>
    <w:uiPriority w:val="99"/>
    <w:semiHidden/>
    <w:locked/>
    <w:rsid w:val="00821FB1"/>
    <w:rPr>
      <w:rFonts w:ascii="Tahoma" w:hAnsi="Tahoma" w:cs="Tahoma"/>
      <w:sz w:val="16"/>
      <w:lang w:eastAsia="en-US"/>
    </w:rPr>
  </w:style>
  <w:style w:type="paragraph" w:customStyle="1" w:styleId="GMHEADING1">
    <w:name w:val="GMHEADING1"/>
    <w:basedOn w:val="Normal"/>
    <w:next w:val="Normal"/>
    <w:uiPriority w:val="99"/>
    <w:rsid w:val="00ED7A91"/>
    <w:pPr>
      <w:tabs>
        <w:tab w:val="left" w:pos="1276"/>
      </w:tabs>
      <w:spacing w:after="120" w:line="264" w:lineRule="auto"/>
      <w:ind w:left="1276" w:hanging="1276"/>
    </w:pPr>
    <w:rPr>
      <w:b/>
      <w:sz w:val="27"/>
      <w:szCs w:val="27"/>
    </w:rPr>
  </w:style>
  <w:style w:type="paragraph" w:customStyle="1" w:styleId="GMHeading2">
    <w:name w:val="GMHeading2"/>
    <w:basedOn w:val="Normal"/>
    <w:next w:val="Normal"/>
    <w:uiPriority w:val="99"/>
    <w:rsid w:val="00ED7A91"/>
    <w:pPr>
      <w:tabs>
        <w:tab w:val="left" w:pos="1276"/>
      </w:tabs>
      <w:spacing w:before="120" w:after="120"/>
      <w:ind w:left="1276" w:hanging="1276"/>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ind w:left="1276" w:hanging="1276"/>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pPr>
    <w:rPr>
      <w:b w:val="0"/>
      <w:sz w:val="25"/>
      <w:szCs w:val="25"/>
    </w:rPr>
  </w:style>
  <w:style w:type="paragraph" w:styleId="Header">
    <w:name w:val="header"/>
    <w:basedOn w:val="Normal"/>
    <w:link w:val="HeaderChar"/>
    <w:uiPriority w:val="99"/>
    <w:rsid w:val="00ED7A91"/>
    <w:pPr>
      <w:tabs>
        <w:tab w:val="right" w:pos="9240"/>
      </w:tabs>
      <w:ind w:right="28"/>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TableHeading">
    <w:name w:val="Table Heading"/>
    <w:basedOn w:val="TableTextspaceafter"/>
    <w:qFormat/>
    <w:rsid w:val="009B212B"/>
    <w:pPr>
      <w:spacing w:after="0"/>
    </w:pPr>
    <w:rPr>
      <w:b/>
    </w:rPr>
  </w:style>
  <w:style w:type="paragraph" w:customStyle="1" w:styleId="TableFootnotes1">
    <w:name w:val="Table Footnotes &gt;1"/>
    <w:qFormat/>
    <w:rsid w:val="00600578"/>
    <w:pPr>
      <w:keepNext/>
    </w:pPr>
    <w:rPr>
      <w:rFonts w:ascii="Tahoma" w:eastAsia="SimSun" w:hAnsi="Tahoma" w:cs="Tahoma"/>
      <w:sz w:val="16"/>
      <w:szCs w:val="16"/>
      <w:lang w:eastAsia="zh-CN"/>
    </w:rPr>
  </w:style>
  <w:style w:type="paragraph" w:customStyle="1" w:styleId="LastTableFootnote">
    <w:name w:val="Last Table Footnote"/>
    <w:basedOn w:val="TableFootnotes1"/>
    <w:next w:val="BodyText"/>
    <w:qFormat/>
    <w:rsid w:val="00600578"/>
    <w:pPr>
      <w:keepNext w:val="0"/>
      <w:spacing w:after="360"/>
    </w:pPr>
  </w:style>
  <w:style w:type="paragraph" w:styleId="BlockText">
    <w:name w:val="Block Text"/>
    <w:basedOn w:val="Normal"/>
    <w:uiPriority w:val="99"/>
    <w:unhideWhenUsed/>
    <w:rsid w:val="009B212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Headings">
    <w:name w:val="Headings"/>
    <w:uiPriority w:val="99"/>
    <w:rsid w:val="00150635"/>
    <w:pPr>
      <w:numPr>
        <w:numId w:val="16"/>
      </w:numPr>
    </w:pPr>
  </w:style>
  <w:style w:type="table" w:styleId="TableGrid">
    <w:name w:val="Table Grid"/>
    <w:basedOn w:val="TableNormal"/>
    <w:uiPriority w:val="99"/>
    <w:rsid w:val="00DD5BD5"/>
    <w:pPr>
      <w:tabs>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style>
  <w:style w:type="paragraph" w:styleId="TableofFigures">
    <w:name w:val="table of figures"/>
    <w:basedOn w:val="Normal"/>
    <w:next w:val="Normal"/>
    <w:uiPriority w:val="99"/>
    <w:rsid w:val="00ED7A91"/>
    <w:pPr>
      <w:tabs>
        <w:tab w:val="right" w:leader="dot" w:pos="9240"/>
      </w:tabs>
      <w:spacing w:after="80"/>
      <w:ind w:left="1644" w:right="720" w:hanging="1644"/>
    </w:pPr>
    <w:rPr>
      <w:rFonts w:eastAsia="Times New Roman"/>
      <w:noProof/>
      <w:sz w:val="22"/>
      <w:szCs w:val="21"/>
      <w:lang w:eastAsia="ja-JP"/>
    </w:rPr>
  </w:style>
  <w:style w:type="paragraph" w:customStyle="1" w:styleId="TableBullet">
    <w:name w:val="Table Bullet"/>
    <w:basedOn w:val="TableTextspaceafter"/>
    <w:qFormat/>
    <w:rsid w:val="004D3F3C"/>
    <w:pPr>
      <w:numPr>
        <w:numId w:val="5"/>
      </w:numPr>
      <w:tabs>
        <w:tab w:val="left" w:pos="170"/>
      </w:tabs>
      <w:spacing w:after="0"/>
      <w:ind w:left="170" w:hanging="170"/>
    </w:pPr>
  </w:style>
  <w:style w:type="paragraph" w:customStyle="1" w:styleId="TableBulletspaceafter">
    <w:name w:val="Table Bullet space after"/>
    <w:basedOn w:val="TableBullet"/>
    <w:qFormat/>
    <w:rsid w:val="004D3F3C"/>
    <w:pPr>
      <w:tabs>
        <w:tab w:val="left" w:pos="2835"/>
      </w:tabs>
      <w:spacing w:after="120"/>
    </w:pPr>
  </w:style>
  <w:style w:type="paragraph" w:customStyle="1" w:styleId="DocumentTitle">
    <w:name w:val="Document Title"/>
    <w:next w:val="DocumentTitleDate"/>
    <w:link w:val="DocumentTitleChar"/>
    <w:qFormat/>
    <w:rsid w:val="00721EFA"/>
    <w:pPr>
      <w:framePr w:hSpace="187" w:wrap="around" w:hAnchor="margin" w:xAlign="right" w:yAlign="center"/>
    </w:pPr>
    <w:rPr>
      <w:rFonts w:ascii="Tahoma" w:eastAsia="Times New Roman" w:hAnsi="Tahoma" w:cs="Tahoma"/>
      <w:sz w:val="44"/>
      <w:szCs w:val="56"/>
      <w:lang w:eastAsia="en-US"/>
    </w:rPr>
  </w:style>
  <w:style w:type="character" w:customStyle="1" w:styleId="DocumentTitleChar">
    <w:name w:val="Document Title Char"/>
    <w:basedOn w:val="DefaultParagraphFont"/>
    <w:link w:val="DocumentTitle"/>
    <w:rsid w:val="00721EFA"/>
    <w:rPr>
      <w:rFonts w:ascii="Tahoma" w:eastAsia="Times New Roman" w:hAnsi="Tahoma" w:cs="Tahoma"/>
      <w:sz w:val="44"/>
      <w:szCs w:val="56"/>
      <w:lang w:eastAsia="en-US"/>
    </w:rPr>
  </w:style>
  <w:style w:type="paragraph" w:customStyle="1" w:styleId="DocumentTitleDate">
    <w:name w:val="Document Title Date"/>
    <w:link w:val="DocumentTitleDateChar"/>
    <w:qFormat/>
    <w:rsid w:val="00721EFA"/>
    <w:pPr>
      <w:framePr w:hSpace="187" w:wrap="around" w:hAnchor="margin" w:xAlign="right" w:yAlign="center"/>
    </w:pPr>
    <w:rPr>
      <w:rFonts w:ascii="Tahoma" w:eastAsia="Times New Roman" w:hAnsi="Tahoma" w:cs="Tahoma"/>
      <w:sz w:val="32"/>
      <w:szCs w:val="40"/>
      <w:lang w:eastAsia="en-US"/>
    </w:rPr>
  </w:style>
  <w:style w:type="character" w:customStyle="1" w:styleId="DocumentTitleDateChar">
    <w:name w:val="Document Title Date Char"/>
    <w:basedOn w:val="DefaultParagraphFont"/>
    <w:link w:val="DocumentTitleDate"/>
    <w:rsid w:val="00721EFA"/>
    <w:rPr>
      <w:rFonts w:ascii="Tahoma" w:eastAsia="Times New Roman" w:hAnsi="Tahoma" w:cs="Tahoma"/>
      <w:sz w:val="32"/>
      <w:szCs w:val="40"/>
      <w:lang w:eastAsia="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uiPriority w:val="39"/>
    <w:rsid w:val="00106DF4"/>
    <w:pPr>
      <w:tabs>
        <w:tab w:val="right" w:leader="dot" w:pos="8789"/>
      </w:tabs>
      <w:spacing w:before="120" w:line="264" w:lineRule="auto"/>
      <w:ind w:left="839" w:right="567" w:hanging="839"/>
    </w:pPr>
    <w:rPr>
      <w:rFonts w:ascii="Tahoma" w:eastAsia="SimSun" w:hAnsi="Tahoma" w:cs="Tahoma"/>
      <w:b/>
      <w:noProof/>
      <w:lang w:eastAsia="zh-CN"/>
    </w:rPr>
  </w:style>
  <w:style w:type="paragraph" w:styleId="TOC2">
    <w:name w:val="toc 2"/>
    <w:autoRedefine/>
    <w:uiPriority w:val="39"/>
    <w:rsid w:val="00EE330B"/>
    <w:pPr>
      <w:keepNext/>
      <w:tabs>
        <w:tab w:val="left" w:pos="851"/>
        <w:tab w:val="right" w:leader="dot" w:pos="8789"/>
      </w:tabs>
      <w:spacing w:before="120" w:line="264" w:lineRule="auto"/>
      <w:ind w:left="1191" w:right="567" w:hanging="794"/>
    </w:pPr>
    <w:rPr>
      <w:rFonts w:ascii="Tahoma" w:eastAsia="SimSun" w:hAnsi="Tahoma" w:cs="Tahoma"/>
      <w:noProof/>
      <w:lang w:val="en-GB" w:eastAsia="en-US"/>
    </w:rPr>
  </w:style>
  <w:style w:type="paragraph" w:styleId="TOC3">
    <w:name w:val="toc 3"/>
    <w:uiPriority w:val="39"/>
    <w:rsid w:val="005F41E6"/>
    <w:pPr>
      <w:tabs>
        <w:tab w:val="right" w:leader="dot" w:pos="8789"/>
      </w:tabs>
      <w:spacing w:before="120" w:line="264" w:lineRule="auto"/>
      <w:ind w:left="1418" w:right="567" w:hanging="567"/>
    </w:pPr>
    <w:rPr>
      <w:rFonts w:ascii="Tahoma" w:eastAsia="SimSun" w:hAnsi="Tahoma" w:cs="Tahoma"/>
      <w:noProof/>
      <w:lang w:val="fr-FR" w:eastAsia="en-US"/>
    </w:rPr>
  </w:style>
  <w:style w:type="paragraph" w:styleId="TOC4">
    <w:name w:val="toc 4"/>
    <w:uiPriority w:val="99"/>
    <w:rsid w:val="00106DF4"/>
    <w:pPr>
      <w:tabs>
        <w:tab w:val="right" w:leader="dot" w:pos="8789"/>
      </w:tabs>
      <w:spacing w:before="120" w:line="264" w:lineRule="auto"/>
      <w:ind w:left="2620" w:right="567" w:hanging="1202"/>
    </w:pPr>
    <w:rPr>
      <w:rFonts w:ascii="Tahoma" w:eastAsia="SimSun" w:hAnsi="Tahoma" w:cs="Tahoma"/>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line="276" w:lineRule="auto"/>
      <w:outlineLvl w:val="9"/>
    </w:pPr>
    <w:rPr>
      <w:rFonts w:eastAsia="Times New Roman"/>
      <w:bCs w:val="0"/>
      <w:lang w:val="en-US" w:eastAsia="en-US"/>
    </w:rPr>
  </w:style>
  <w:style w:type="paragraph" w:styleId="ListParagraph">
    <w:name w:val="List Paragraph"/>
    <w:basedOn w:val="Normal"/>
    <w:link w:val="ListParagraphChar"/>
    <w:uiPriority w:val="34"/>
    <w:qFormat/>
    <w:rsid w:val="00B4562F"/>
    <w:pPr>
      <w:ind w:left="720"/>
      <w:contextualSpacing/>
    </w:pPr>
  </w:style>
  <w:style w:type="paragraph" w:styleId="NoSpacing">
    <w:name w:val="No Spacing"/>
    <w:link w:val="NoSpacingChar"/>
    <w:uiPriority w:val="99"/>
    <w:qFormat/>
    <w:rsid w:val="00A32E13"/>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A32E13"/>
    <w:rPr>
      <w:rFonts w:eastAsia="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BulletText">
    <w:name w:val="Bullet Text"/>
    <w:basedOn w:val="BodyText"/>
    <w:link w:val="BulletTextChar"/>
    <w:qFormat/>
    <w:rsid w:val="004D1969"/>
    <w:pPr>
      <w:numPr>
        <w:numId w:val="17"/>
      </w:numPr>
      <w:ind w:left="714" w:hanging="357"/>
      <w:contextualSpacing/>
    </w:pPr>
  </w:style>
  <w:style w:type="character" w:customStyle="1" w:styleId="BulletTextChar">
    <w:name w:val="Bullet Text Char"/>
    <w:basedOn w:val="BodyTextChar"/>
    <w:link w:val="BulletText"/>
    <w:rsid w:val="004D1969"/>
    <w:rPr>
      <w:rFonts w:ascii="Tahoma" w:eastAsia="SimSun" w:hAnsi="Tahoma" w:cs="Tahoma"/>
      <w:lang w:eastAsia="zh-CN"/>
    </w:rPr>
  </w:style>
  <w:style w:type="paragraph" w:customStyle="1" w:styleId="Pic">
    <w:name w:val="Pic"/>
    <w:link w:val="PicChar"/>
    <w:qFormat/>
    <w:rsid w:val="00DD7D86"/>
    <w:pPr>
      <w:keepNext/>
      <w:pBdr>
        <w:top w:val="single" w:sz="4" w:space="1" w:color="auto"/>
        <w:left w:val="single" w:sz="4" w:space="4" w:color="auto"/>
        <w:bottom w:val="single" w:sz="4" w:space="1" w:color="auto"/>
        <w:right w:val="single" w:sz="4" w:space="4" w:color="auto"/>
      </w:pBdr>
      <w:spacing w:after="40"/>
      <w:jc w:val="center"/>
    </w:pPr>
    <w:rPr>
      <w:rFonts w:ascii="Tahoma" w:eastAsia="SimSun" w:hAnsi="Tahoma" w:cs="Tahoma"/>
      <w:lang w:eastAsia="zh-CN"/>
    </w:rPr>
  </w:style>
  <w:style w:type="character" w:customStyle="1" w:styleId="PicChar">
    <w:name w:val="Pic Char"/>
    <w:basedOn w:val="DefaultParagraphFont"/>
    <w:link w:val="Pic"/>
    <w:rsid w:val="00DD7D86"/>
    <w:rPr>
      <w:rFonts w:ascii="Tahoma" w:eastAsia="SimSun" w:hAnsi="Tahoma" w:cs="Tahoma"/>
      <w:lang w:eastAsia="zh-CN"/>
    </w:rPr>
  </w:style>
  <w:style w:type="paragraph" w:customStyle="1" w:styleId="References">
    <w:name w:val="References"/>
    <w:link w:val="ReferencesChar"/>
    <w:qFormat/>
    <w:rsid w:val="00DD7D86"/>
    <w:pPr>
      <w:spacing w:before="120"/>
      <w:ind w:left="567" w:hanging="567"/>
    </w:pPr>
    <w:rPr>
      <w:rFonts w:ascii="Tahoma" w:eastAsia="SimSun" w:hAnsi="Tahoma" w:cs="Tahoma"/>
      <w:sz w:val="18"/>
      <w:szCs w:val="18"/>
      <w:lang w:eastAsia="zh-CN"/>
    </w:rPr>
  </w:style>
  <w:style w:type="character" w:customStyle="1" w:styleId="ReferencesChar">
    <w:name w:val="References Char"/>
    <w:basedOn w:val="DefaultParagraphFont"/>
    <w:link w:val="References"/>
    <w:rsid w:val="00DD7D86"/>
    <w:rPr>
      <w:rFonts w:ascii="Tahoma" w:eastAsia="SimSun" w:hAnsi="Tahoma" w:cs="Tahoma"/>
      <w:sz w:val="18"/>
      <w:szCs w:val="18"/>
      <w:lang w:eastAsia="zh-CN"/>
    </w:rPr>
  </w:style>
  <w:style w:type="paragraph" w:customStyle="1" w:styleId="Bullettextnospacebefore">
    <w:name w:val="Bullet text no space before"/>
    <w:basedOn w:val="BulletText"/>
    <w:link w:val="BullettextnospacebeforeChar"/>
    <w:qFormat/>
    <w:rsid w:val="00526FA0"/>
    <w:pPr>
      <w:spacing w:before="0"/>
    </w:pPr>
  </w:style>
  <w:style w:type="character" w:customStyle="1" w:styleId="BullettextnospacebeforeChar">
    <w:name w:val="Bullet text no space before Char"/>
    <w:basedOn w:val="BulletTextChar"/>
    <w:link w:val="Bullettextnospacebefore"/>
    <w:rsid w:val="00526FA0"/>
    <w:rPr>
      <w:rFonts w:ascii="Tahoma" w:eastAsia="SimSun" w:hAnsi="Tahoma" w:cs="Tahoma"/>
      <w:u w:val="single"/>
      <w:lang w:eastAsia="zh-CN"/>
    </w:rPr>
  </w:style>
  <w:style w:type="paragraph" w:styleId="TOAHeading">
    <w:name w:val="toa heading"/>
    <w:basedOn w:val="Normal"/>
    <w:next w:val="Normal"/>
    <w:uiPriority w:val="99"/>
    <w:unhideWhenUsed/>
    <w:rsid w:val="0005552C"/>
    <w:pPr>
      <w:spacing w:before="120"/>
    </w:pPr>
    <w:rPr>
      <w:rFonts w:asciiTheme="majorHAnsi" w:eastAsiaTheme="majorEastAsia" w:hAnsiTheme="majorHAnsi" w:cstheme="majorBidi"/>
      <w:b/>
      <w:bCs/>
      <w:sz w:val="24"/>
      <w:szCs w:val="24"/>
    </w:rPr>
  </w:style>
  <w:style w:type="paragraph" w:styleId="BodyTextFirstIndent">
    <w:name w:val="Body Text First Indent"/>
    <w:basedOn w:val="BodyText"/>
    <w:link w:val="BodyTextFirstIndentChar"/>
    <w:uiPriority w:val="99"/>
    <w:unhideWhenUsed/>
    <w:rsid w:val="0005552C"/>
    <w:pPr>
      <w:spacing w:before="0" w:line="240" w:lineRule="auto"/>
      <w:ind w:firstLine="360"/>
      <w:jc w:val="left"/>
    </w:pPr>
  </w:style>
  <w:style w:type="character" w:customStyle="1" w:styleId="BodyTextFirstIndentChar">
    <w:name w:val="Body Text First Indent Char"/>
    <w:basedOn w:val="BodyTextChar"/>
    <w:link w:val="BodyTextFirstIndent"/>
    <w:uiPriority w:val="99"/>
    <w:rsid w:val="0005552C"/>
    <w:rPr>
      <w:rFonts w:ascii="Tahoma" w:eastAsia="SimSun" w:hAnsi="Tahoma" w:cs="Tahoma"/>
      <w:lang w:eastAsia="zh-CN"/>
    </w:rPr>
  </w:style>
  <w:style w:type="character" w:customStyle="1" w:styleId="Heading6Char1">
    <w:name w:val="Heading 6 Char1"/>
    <w:aliases w:val="Appendix Lvl 1 Char1"/>
    <w:basedOn w:val="DefaultParagraphFont"/>
    <w:uiPriority w:val="99"/>
    <w:rsid w:val="0005552C"/>
    <w:rPr>
      <w:rFonts w:ascii="Tahoma" w:eastAsia="SimSun" w:hAnsi="Tahoma" w:cs="Tahoma"/>
      <w:b/>
      <w:bCs/>
      <w:color w:val="215868"/>
      <w:sz w:val="24"/>
      <w:szCs w:val="32"/>
      <w:lang w:eastAsia="zh-CN"/>
    </w:rPr>
  </w:style>
  <w:style w:type="paragraph" w:styleId="NormalWeb">
    <w:name w:val="Normal (Web)"/>
    <w:basedOn w:val="Normal"/>
    <w:uiPriority w:val="99"/>
    <w:semiHidden/>
    <w:unhideWhenUsed/>
    <w:rsid w:val="00E90EC0"/>
    <w:pPr>
      <w:spacing w:before="100" w:beforeAutospacing="1" w:after="100" w:afterAutospacing="1"/>
    </w:pPr>
    <w:rPr>
      <w:rFonts w:ascii="Times New Roman" w:eastAsia="Times New Roman" w:hAnsi="Times New Roman" w:cs="Times New Roman"/>
      <w:sz w:val="24"/>
      <w:szCs w:val="24"/>
      <w:lang w:eastAsia="en-AU"/>
    </w:rPr>
  </w:style>
  <w:style w:type="paragraph" w:styleId="TableofAuthorities">
    <w:name w:val="table of authorities"/>
    <w:basedOn w:val="Normal"/>
    <w:next w:val="Normal"/>
    <w:uiPriority w:val="99"/>
    <w:unhideWhenUsed/>
    <w:rsid w:val="00843658"/>
    <w:pPr>
      <w:ind w:left="200" w:hanging="200"/>
    </w:pPr>
  </w:style>
  <w:style w:type="paragraph" w:styleId="Revision">
    <w:name w:val="Revision"/>
    <w:hidden/>
    <w:uiPriority w:val="99"/>
    <w:semiHidden/>
    <w:rsid w:val="004B6482"/>
    <w:rPr>
      <w:rFonts w:ascii="Tahoma" w:eastAsia="SimSun" w:hAnsi="Tahoma" w:cs="Tahoma"/>
      <w:lang w:eastAsia="zh-CN"/>
    </w:rPr>
  </w:style>
  <w:style w:type="paragraph" w:customStyle="1" w:styleId="Boldbodytext">
    <w:name w:val="Bold body text"/>
    <w:basedOn w:val="BodyText"/>
    <w:qFormat/>
    <w:rsid w:val="00C23315"/>
    <w:rPr>
      <w:b/>
    </w:rPr>
  </w:style>
  <w:style w:type="paragraph" w:customStyle="1" w:styleId="Bodytextnospacebefore">
    <w:name w:val="Body text no space before"/>
    <w:basedOn w:val="BodyText"/>
    <w:qFormat/>
    <w:rsid w:val="009F4DE0"/>
    <w:pPr>
      <w:spacing w:before="0"/>
    </w:pPr>
  </w:style>
  <w:style w:type="character" w:customStyle="1" w:styleId="ListParagraphChar">
    <w:name w:val="List Paragraph Char"/>
    <w:basedOn w:val="DefaultParagraphFont"/>
    <w:link w:val="ListParagraph"/>
    <w:uiPriority w:val="34"/>
    <w:rsid w:val="00A070A9"/>
    <w:rPr>
      <w:rFonts w:ascii="Tahoma" w:eastAsia="SimSun" w:hAnsi="Tahoma" w:cs="Tahoma"/>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footnote text" w:locked="1"/>
    <w:lsdException w:name="annotation text" w:locked="1"/>
    <w:lsdException w:name="header" w:locked="1"/>
    <w:lsdException w:name="footer" w:locked="1"/>
    <w:lsdException w:name="caption" w:locked="1" w:uiPriority="0" w:qFormat="1"/>
    <w:lsdException w:name="table of figures" w:locked="1"/>
    <w:lsdException w:name="footnote reference" w:locked="1"/>
    <w:lsdException w:name="annotation reference" w:locked="1"/>
    <w:lsdException w:name="page number" w:locked="1"/>
    <w:lsdException w:name="Title" w:locked="1" w:semiHidden="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lsdException w:name="No List" w:locked="1"/>
    <w:lsdException w:name="Balloon Text"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00578"/>
    <w:rPr>
      <w:rFonts w:ascii="Tahoma" w:eastAsia="SimSun" w:hAnsi="Tahoma" w:cs="Tahoma"/>
      <w:lang w:eastAsia="zh-CN"/>
    </w:rPr>
  </w:style>
  <w:style w:type="paragraph" w:styleId="Heading1">
    <w:name w:val="heading 1"/>
    <w:next w:val="BodyText"/>
    <w:link w:val="Heading1Char"/>
    <w:uiPriority w:val="99"/>
    <w:qFormat/>
    <w:rsid w:val="00150635"/>
    <w:pPr>
      <w:keepNext/>
      <w:numPr>
        <w:numId w:val="3"/>
      </w:numPr>
      <w:spacing w:before="480"/>
      <w:outlineLvl w:val="0"/>
    </w:pPr>
    <w:rPr>
      <w:rFonts w:ascii="Tahoma" w:eastAsia="SimSun" w:hAnsi="Tahoma" w:cs="Tahoma"/>
      <w:b/>
      <w:bCs/>
      <w:color w:val="215868"/>
      <w:sz w:val="24"/>
      <w:szCs w:val="32"/>
      <w:lang w:eastAsia="zh-CN"/>
    </w:rPr>
  </w:style>
  <w:style w:type="paragraph" w:styleId="Heading2">
    <w:name w:val="heading 2"/>
    <w:next w:val="BodyText"/>
    <w:link w:val="Heading2Char"/>
    <w:uiPriority w:val="99"/>
    <w:qFormat/>
    <w:rsid w:val="00150635"/>
    <w:pPr>
      <w:keepNext/>
      <w:numPr>
        <w:ilvl w:val="1"/>
        <w:numId w:val="3"/>
      </w:numPr>
      <w:spacing w:before="240"/>
      <w:outlineLvl w:val="1"/>
    </w:pPr>
    <w:rPr>
      <w:rFonts w:ascii="Tahoma" w:eastAsia="SimSun" w:hAnsi="Tahoma" w:cs="Tahoma"/>
      <w:b/>
      <w:color w:val="215868"/>
      <w:szCs w:val="28"/>
      <w:lang w:val="en-GB" w:eastAsia="ja-JP"/>
    </w:rPr>
  </w:style>
  <w:style w:type="paragraph" w:styleId="Heading3">
    <w:name w:val="heading 3"/>
    <w:next w:val="BodyText"/>
    <w:link w:val="Heading3Char"/>
    <w:uiPriority w:val="99"/>
    <w:qFormat/>
    <w:rsid w:val="005F41E6"/>
    <w:pPr>
      <w:keepNext/>
      <w:numPr>
        <w:ilvl w:val="2"/>
        <w:numId w:val="3"/>
      </w:numPr>
      <w:spacing w:before="240"/>
      <w:outlineLvl w:val="2"/>
    </w:pPr>
    <w:rPr>
      <w:rFonts w:ascii="Tahoma" w:eastAsia="SimSun" w:hAnsi="Tahoma" w:cs="Tahoma"/>
      <w:b/>
      <w:color w:val="808080" w:themeColor="background1" w:themeShade="80"/>
      <w:szCs w:val="28"/>
      <w:lang w:val="en-GB" w:eastAsia="ja-JP"/>
    </w:rPr>
  </w:style>
  <w:style w:type="paragraph" w:styleId="Heading4">
    <w:name w:val="heading 4"/>
    <w:basedOn w:val="Normal"/>
    <w:next w:val="Normal"/>
    <w:link w:val="Heading4Char"/>
    <w:uiPriority w:val="99"/>
    <w:qFormat/>
    <w:rsid w:val="001F7E7F"/>
    <w:pPr>
      <w:keepNext/>
      <w:numPr>
        <w:ilvl w:val="3"/>
        <w:numId w:val="3"/>
      </w:numPr>
      <w:spacing w:before="240"/>
      <w:outlineLvl w:val="3"/>
    </w:pPr>
    <w:rPr>
      <w:b/>
      <w:i/>
      <w:color w:val="808080" w:themeColor="background1" w:themeShade="80"/>
      <w:sz w:val="18"/>
      <w:lang w:val="en-GB" w:eastAsia="ja-JP"/>
    </w:rPr>
  </w:style>
  <w:style w:type="paragraph" w:styleId="Heading5">
    <w:name w:val="heading 5"/>
    <w:basedOn w:val="Normal"/>
    <w:next w:val="Normal"/>
    <w:link w:val="Heading5Char"/>
    <w:uiPriority w:val="99"/>
    <w:qFormat/>
    <w:rsid w:val="00150635"/>
    <w:pPr>
      <w:keepNext/>
      <w:numPr>
        <w:ilvl w:val="4"/>
        <w:numId w:val="3"/>
      </w:numPr>
      <w:tabs>
        <w:tab w:val="left" w:pos="709"/>
      </w:tabs>
      <w:outlineLvl w:val="4"/>
    </w:pPr>
    <w:rPr>
      <w:b/>
      <w:i/>
    </w:rPr>
  </w:style>
  <w:style w:type="paragraph" w:styleId="Heading6">
    <w:name w:val="heading 6"/>
    <w:aliases w:val="Appendix Lvl 1"/>
    <w:next w:val="BodyText"/>
    <w:link w:val="Heading6Char"/>
    <w:uiPriority w:val="99"/>
    <w:qFormat/>
    <w:rsid w:val="00472FB4"/>
    <w:pPr>
      <w:pageBreakBefore/>
      <w:numPr>
        <w:ilvl w:val="5"/>
        <w:numId w:val="3"/>
      </w:numPr>
      <w:tabs>
        <w:tab w:val="left" w:pos="1701"/>
      </w:tabs>
      <w:spacing w:before="240"/>
      <w:ind w:left="1701" w:hanging="1701"/>
      <w:outlineLvl w:val="5"/>
    </w:pPr>
    <w:rPr>
      <w:rFonts w:ascii="Tahoma" w:eastAsia="SimSun" w:hAnsi="Tahoma" w:cs="Tahoma"/>
      <w:b/>
      <w:bCs/>
      <w:color w:val="215868"/>
      <w:sz w:val="24"/>
      <w:szCs w:val="32"/>
      <w:lang w:eastAsia="zh-CN"/>
    </w:rPr>
  </w:style>
  <w:style w:type="paragraph" w:styleId="Heading7">
    <w:name w:val="heading 7"/>
    <w:aliases w:val="Appendix Lvl 2"/>
    <w:next w:val="BodyText"/>
    <w:link w:val="Heading7Char"/>
    <w:uiPriority w:val="99"/>
    <w:qFormat/>
    <w:rsid w:val="007C29A3"/>
    <w:pPr>
      <w:numPr>
        <w:ilvl w:val="6"/>
        <w:numId w:val="3"/>
      </w:numPr>
      <w:tabs>
        <w:tab w:val="left" w:pos="709"/>
      </w:tabs>
      <w:spacing w:before="240"/>
      <w:ind w:left="709" w:hanging="709"/>
      <w:outlineLvl w:val="6"/>
    </w:pPr>
    <w:rPr>
      <w:rFonts w:ascii="Tahoma" w:eastAsia="SimSun" w:hAnsi="Tahoma" w:cs="Tahoma"/>
      <w:b/>
      <w:color w:val="215868"/>
      <w:szCs w:val="28"/>
      <w:lang w:val="en-GB" w:eastAsia="ja-JP"/>
    </w:rPr>
  </w:style>
  <w:style w:type="paragraph" w:styleId="Heading8">
    <w:name w:val="heading 8"/>
    <w:aliases w:val="Appendix Lvl 3"/>
    <w:next w:val="BodyText"/>
    <w:link w:val="Heading8Char"/>
    <w:uiPriority w:val="99"/>
    <w:qFormat/>
    <w:rsid w:val="0064478D"/>
    <w:pPr>
      <w:numPr>
        <w:ilvl w:val="7"/>
        <w:numId w:val="3"/>
      </w:numPr>
      <w:tabs>
        <w:tab w:val="left" w:pos="709"/>
      </w:tabs>
      <w:spacing w:before="240"/>
      <w:ind w:left="709" w:hanging="709"/>
      <w:outlineLvl w:val="7"/>
    </w:pPr>
    <w:rPr>
      <w:rFonts w:ascii="Tahoma" w:eastAsia="SimSun" w:hAnsi="Tahoma" w:cs="Tahoma"/>
      <w:b/>
      <w:color w:val="808080" w:themeColor="background1" w:themeShade="80"/>
      <w:lang w:eastAsia="zh-CN"/>
    </w:rPr>
  </w:style>
  <w:style w:type="paragraph" w:styleId="Heading9">
    <w:name w:val="heading 9"/>
    <w:aliases w:val="Appendix Lvl 4"/>
    <w:basedOn w:val="Normal"/>
    <w:next w:val="Normal"/>
    <w:link w:val="Heading9Char"/>
    <w:uiPriority w:val="99"/>
    <w:qFormat/>
    <w:rsid w:val="00C23315"/>
    <w:pPr>
      <w:keepNext/>
      <w:numPr>
        <w:ilvl w:val="8"/>
        <w:numId w:val="3"/>
      </w:numPr>
      <w:tabs>
        <w:tab w:val="left" w:pos="284"/>
      </w:tabs>
      <w:spacing w:before="120" w:line="312" w:lineRule="auto"/>
      <w:ind w:left="284" w:hanging="284"/>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5324"/>
    <w:rPr>
      <w:rFonts w:ascii="Tahoma" w:eastAsia="SimSun" w:hAnsi="Tahoma" w:cs="Tahoma"/>
      <w:b/>
      <w:bCs/>
      <w:color w:val="215868"/>
      <w:sz w:val="24"/>
      <w:szCs w:val="32"/>
      <w:lang w:eastAsia="zh-CN"/>
    </w:rPr>
  </w:style>
  <w:style w:type="character" w:customStyle="1" w:styleId="Heading2Char">
    <w:name w:val="Heading 2 Char"/>
    <w:basedOn w:val="DefaultParagraphFont"/>
    <w:link w:val="Heading2"/>
    <w:uiPriority w:val="99"/>
    <w:locked/>
    <w:rsid w:val="00F45324"/>
    <w:rPr>
      <w:rFonts w:ascii="Tahoma" w:eastAsia="SimSun" w:hAnsi="Tahoma" w:cs="Tahoma"/>
      <w:b/>
      <w:color w:val="215868"/>
      <w:szCs w:val="28"/>
      <w:lang w:val="en-GB" w:eastAsia="ja-JP"/>
    </w:rPr>
  </w:style>
  <w:style w:type="character" w:customStyle="1" w:styleId="Heading3Char">
    <w:name w:val="Heading 3 Char"/>
    <w:basedOn w:val="DefaultParagraphFont"/>
    <w:link w:val="Heading3"/>
    <w:uiPriority w:val="99"/>
    <w:locked/>
    <w:rsid w:val="005F41E6"/>
    <w:rPr>
      <w:rFonts w:ascii="Tahoma" w:eastAsia="SimSun" w:hAnsi="Tahoma" w:cs="Tahoma"/>
      <w:b/>
      <w:color w:val="808080" w:themeColor="background1" w:themeShade="80"/>
      <w:szCs w:val="28"/>
      <w:lang w:val="en-GB" w:eastAsia="ja-JP"/>
    </w:rPr>
  </w:style>
  <w:style w:type="character" w:customStyle="1" w:styleId="Heading4Char">
    <w:name w:val="Heading 4 Char"/>
    <w:basedOn w:val="DefaultParagraphFont"/>
    <w:link w:val="Heading4"/>
    <w:uiPriority w:val="99"/>
    <w:locked/>
    <w:rsid w:val="001F7E7F"/>
    <w:rPr>
      <w:rFonts w:ascii="Tahoma" w:eastAsia="SimSun" w:hAnsi="Tahoma" w:cs="Tahoma"/>
      <w:b/>
      <w:i/>
      <w:color w:val="808080" w:themeColor="background1" w:themeShade="80"/>
      <w:sz w:val="18"/>
      <w:lang w:val="en-GB" w:eastAsia="ja-JP"/>
    </w:rPr>
  </w:style>
  <w:style w:type="character" w:customStyle="1" w:styleId="Heading5Char">
    <w:name w:val="Heading 5 Char"/>
    <w:basedOn w:val="DefaultParagraphFont"/>
    <w:link w:val="Heading5"/>
    <w:uiPriority w:val="99"/>
    <w:locked/>
    <w:rsid w:val="00ED7A91"/>
    <w:rPr>
      <w:rFonts w:ascii="Tahoma" w:eastAsia="SimSun" w:hAnsi="Tahoma" w:cs="Tahoma"/>
      <w:b/>
      <w:i/>
      <w:lang w:eastAsia="zh-CN"/>
    </w:rPr>
  </w:style>
  <w:style w:type="character" w:customStyle="1" w:styleId="Heading6Char">
    <w:name w:val="Heading 6 Char"/>
    <w:aliases w:val="Appendix Lvl 1 Char"/>
    <w:basedOn w:val="DefaultParagraphFont"/>
    <w:link w:val="Heading6"/>
    <w:uiPriority w:val="99"/>
    <w:locked/>
    <w:rsid w:val="00472FB4"/>
    <w:rPr>
      <w:rFonts w:ascii="Tahoma" w:eastAsia="SimSun" w:hAnsi="Tahoma" w:cs="Tahoma"/>
      <w:b/>
      <w:bCs/>
      <w:color w:val="215868"/>
      <w:sz w:val="24"/>
      <w:szCs w:val="32"/>
      <w:lang w:eastAsia="zh-CN"/>
    </w:rPr>
  </w:style>
  <w:style w:type="character" w:customStyle="1" w:styleId="Heading7Char">
    <w:name w:val="Heading 7 Char"/>
    <w:aliases w:val="Appendix Lvl 2 Char"/>
    <w:basedOn w:val="DefaultParagraphFont"/>
    <w:link w:val="Heading7"/>
    <w:uiPriority w:val="99"/>
    <w:locked/>
    <w:rsid w:val="007C29A3"/>
    <w:rPr>
      <w:rFonts w:ascii="Tahoma" w:eastAsia="SimSun" w:hAnsi="Tahoma" w:cs="Tahoma"/>
      <w:b/>
      <w:color w:val="215868"/>
      <w:szCs w:val="28"/>
      <w:lang w:val="en-GB" w:eastAsia="ja-JP"/>
    </w:rPr>
  </w:style>
  <w:style w:type="character" w:customStyle="1" w:styleId="Heading8Char">
    <w:name w:val="Heading 8 Char"/>
    <w:aliases w:val="Appendix Lvl 3 Char"/>
    <w:basedOn w:val="DefaultParagraphFont"/>
    <w:link w:val="Heading8"/>
    <w:uiPriority w:val="99"/>
    <w:locked/>
    <w:rsid w:val="0064478D"/>
    <w:rPr>
      <w:rFonts w:ascii="Tahoma" w:eastAsia="SimSun" w:hAnsi="Tahoma" w:cs="Tahoma"/>
      <w:b/>
      <w:color w:val="808080" w:themeColor="background1" w:themeShade="80"/>
      <w:lang w:eastAsia="zh-CN"/>
    </w:rPr>
  </w:style>
  <w:style w:type="character" w:customStyle="1" w:styleId="Heading9Char">
    <w:name w:val="Heading 9 Char"/>
    <w:aliases w:val="Appendix Lvl 4 Char"/>
    <w:basedOn w:val="DefaultParagraphFont"/>
    <w:link w:val="Heading9"/>
    <w:uiPriority w:val="99"/>
    <w:locked/>
    <w:rsid w:val="00C23315"/>
    <w:rPr>
      <w:rFonts w:ascii="Tahoma" w:eastAsia="SimSun" w:hAnsi="Tahoma" w:cs="Tahoma"/>
      <w:u w:val="single"/>
      <w:lang w:eastAsia="zh-CN"/>
    </w:rPr>
  </w:style>
  <w:style w:type="character" w:styleId="HTMLDefinition">
    <w:name w:val="HTML Definition"/>
    <w:basedOn w:val="DefaultParagraphFont"/>
    <w:uiPriority w:val="99"/>
    <w:unhideWhenUsed/>
    <w:rsid w:val="00436019"/>
    <w:rPr>
      <w:i/>
      <w:iCs/>
    </w:rPr>
  </w:style>
  <w:style w:type="paragraph" w:styleId="BalloonText">
    <w:name w:val="Balloon Text"/>
    <w:basedOn w:val="Normal"/>
    <w:link w:val="BalloonTextChar"/>
    <w:uiPriority w:val="99"/>
    <w:rsid w:val="00ED7A91"/>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TableTextspaceafter">
    <w:name w:val="Table Text space after"/>
    <w:qFormat/>
    <w:rsid w:val="00E42A45"/>
    <w:pPr>
      <w:keepNext/>
      <w:spacing w:after="120"/>
    </w:pPr>
    <w:rPr>
      <w:rFonts w:ascii="Arial Narrow" w:eastAsia="SimSun" w:hAnsi="Arial Narrow" w:cs="Tahoma"/>
      <w:lang w:val="en-US" w:eastAsia="ja-JP"/>
    </w:rPr>
  </w:style>
  <w:style w:type="paragraph" w:customStyle="1" w:styleId="TableText">
    <w:name w:val="Table Text"/>
    <w:basedOn w:val="TableTextspaceafter"/>
    <w:qFormat/>
    <w:rsid w:val="00D92D57"/>
    <w:pPr>
      <w:spacing w:after="0"/>
    </w:pPr>
  </w:style>
  <w:style w:type="paragraph" w:styleId="Caption">
    <w:name w:val="caption"/>
    <w:basedOn w:val="Normal"/>
    <w:next w:val="Normal"/>
    <w:unhideWhenUsed/>
    <w:qFormat/>
    <w:locked/>
    <w:rsid w:val="005F5B80"/>
    <w:pPr>
      <w:keepNext/>
      <w:tabs>
        <w:tab w:val="left" w:pos="851"/>
      </w:tabs>
      <w:spacing w:before="240" w:after="40"/>
      <w:ind w:left="851" w:hanging="851"/>
    </w:pPr>
    <w:rPr>
      <w:rFonts w:ascii="Arial Narrow" w:hAnsi="Arial Narrow"/>
      <w:b/>
      <w:iCs/>
      <w:szCs w:val="18"/>
    </w:rPr>
  </w:style>
  <w:style w:type="paragraph" w:styleId="BodyText">
    <w:name w:val="Body Text"/>
    <w:link w:val="BodyTextChar"/>
    <w:uiPriority w:val="99"/>
    <w:unhideWhenUsed/>
    <w:rsid w:val="00810BB2"/>
    <w:pPr>
      <w:spacing w:before="120" w:line="312" w:lineRule="auto"/>
      <w:jc w:val="both"/>
    </w:pPr>
    <w:rPr>
      <w:rFonts w:ascii="Tahoma" w:eastAsia="SimSun" w:hAnsi="Tahoma" w:cs="Tahoma"/>
      <w:lang w:eastAsia="zh-CN"/>
    </w:rPr>
  </w:style>
  <w:style w:type="character" w:customStyle="1" w:styleId="BodyTextChar">
    <w:name w:val="Body Text Char"/>
    <w:basedOn w:val="DefaultParagraphFont"/>
    <w:link w:val="BodyText"/>
    <w:uiPriority w:val="99"/>
    <w:rsid w:val="00810BB2"/>
    <w:rPr>
      <w:rFonts w:ascii="Tahoma" w:eastAsia="SimSun" w:hAnsi="Tahoma" w:cs="Tahoma"/>
      <w:lang w:eastAsia="zh-CN"/>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821FB1"/>
    <w:pPr>
      <w:ind w:left="170" w:hanging="170"/>
    </w:pPr>
    <w:rPr>
      <w:rFonts w:eastAsia="Calibri"/>
      <w:sz w:val="16"/>
      <w:lang w:eastAsia="en-US"/>
    </w:rPr>
  </w:style>
  <w:style w:type="character" w:customStyle="1" w:styleId="FootnoteTextChar">
    <w:name w:val="Footnote Text Char"/>
    <w:basedOn w:val="DefaultParagraphFont"/>
    <w:link w:val="FootnoteText"/>
    <w:uiPriority w:val="99"/>
    <w:semiHidden/>
    <w:locked/>
    <w:rsid w:val="00821FB1"/>
    <w:rPr>
      <w:rFonts w:ascii="Tahoma" w:hAnsi="Tahoma" w:cs="Tahoma"/>
      <w:sz w:val="16"/>
      <w:lang w:eastAsia="en-US"/>
    </w:rPr>
  </w:style>
  <w:style w:type="paragraph" w:customStyle="1" w:styleId="GMHEADING1">
    <w:name w:val="GMHEADING1"/>
    <w:basedOn w:val="Normal"/>
    <w:next w:val="Normal"/>
    <w:uiPriority w:val="99"/>
    <w:rsid w:val="00ED7A91"/>
    <w:pPr>
      <w:tabs>
        <w:tab w:val="left" w:pos="1276"/>
      </w:tabs>
      <w:spacing w:after="120" w:line="264" w:lineRule="auto"/>
      <w:ind w:left="1276" w:hanging="1276"/>
    </w:pPr>
    <w:rPr>
      <w:b/>
      <w:sz w:val="27"/>
      <w:szCs w:val="27"/>
    </w:rPr>
  </w:style>
  <w:style w:type="paragraph" w:customStyle="1" w:styleId="GMHeading2">
    <w:name w:val="GMHeading2"/>
    <w:basedOn w:val="Normal"/>
    <w:next w:val="Normal"/>
    <w:uiPriority w:val="99"/>
    <w:rsid w:val="00ED7A91"/>
    <w:pPr>
      <w:tabs>
        <w:tab w:val="left" w:pos="1276"/>
      </w:tabs>
      <w:spacing w:before="120" w:after="120"/>
      <w:ind w:left="1276" w:hanging="1276"/>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ind w:left="1276" w:hanging="1276"/>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pPr>
    <w:rPr>
      <w:b w:val="0"/>
      <w:sz w:val="25"/>
      <w:szCs w:val="25"/>
    </w:rPr>
  </w:style>
  <w:style w:type="paragraph" w:styleId="Header">
    <w:name w:val="header"/>
    <w:basedOn w:val="Normal"/>
    <w:link w:val="HeaderChar"/>
    <w:uiPriority w:val="99"/>
    <w:rsid w:val="00ED7A91"/>
    <w:pPr>
      <w:tabs>
        <w:tab w:val="right" w:pos="9240"/>
      </w:tabs>
      <w:ind w:right="28"/>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TableHeading">
    <w:name w:val="Table Heading"/>
    <w:basedOn w:val="TableTextspaceafter"/>
    <w:qFormat/>
    <w:rsid w:val="009B212B"/>
    <w:pPr>
      <w:spacing w:after="0"/>
    </w:pPr>
    <w:rPr>
      <w:b/>
    </w:rPr>
  </w:style>
  <w:style w:type="paragraph" w:customStyle="1" w:styleId="TableFootnotes1">
    <w:name w:val="Table Footnotes &gt;1"/>
    <w:qFormat/>
    <w:rsid w:val="00600578"/>
    <w:pPr>
      <w:keepNext/>
    </w:pPr>
    <w:rPr>
      <w:rFonts w:ascii="Tahoma" w:eastAsia="SimSun" w:hAnsi="Tahoma" w:cs="Tahoma"/>
      <w:sz w:val="16"/>
      <w:szCs w:val="16"/>
      <w:lang w:eastAsia="zh-CN"/>
    </w:rPr>
  </w:style>
  <w:style w:type="paragraph" w:customStyle="1" w:styleId="LastTableFootnote">
    <w:name w:val="Last Table Footnote"/>
    <w:basedOn w:val="TableFootnotes1"/>
    <w:next w:val="BodyText"/>
    <w:qFormat/>
    <w:rsid w:val="00600578"/>
    <w:pPr>
      <w:keepNext w:val="0"/>
      <w:spacing w:after="360"/>
    </w:pPr>
  </w:style>
  <w:style w:type="paragraph" w:styleId="BlockText">
    <w:name w:val="Block Text"/>
    <w:basedOn w:val="Normal"/>
    <w:uiPriority w:val="99"/>
    <w:unhideWhenUsed/>
    <w:rsid w:val="009B212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Headings">
    <w:name w:val="Headings"/>
    <w:uiPriority w:val="99"/>
    <w:rsid w:val="00150635"/>
    <w:pPr>
      <w:numPr>
        <w:numId w:val="16"/>
      </w:numPr>
    </w:pPr>
  </w:style>
  <w:style w:type="table" w:styleId="TableGrid">
    <w:name w:val="Table Grid"/>
    <w:basedOn w:val="TableNormal"/>
    <w:uiPriority w:val="99"/>
    <w:rsid w:val="00DD5BD5"/>
    <w:pPr>
      <w:tabs>
        <w:tab w:val="left" w:pos="2835"/>
      </w:tab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08" w:type="dxa"/>
        <w:bottom w:w="57" w:type="dxa"/>
        <w:right w:w="108" w:type="dxa"/>
      </w:tblCellMar>
    </w:tblPr>
    <w:trPr>
      <w:cantSplit/>
    </w:trPr>
  </w:style>
  <w:style w:type="paragraph" w:styleId="TableofFigures">
    <w:name w:val="table of figures"/>
    <w:basedOn w:val="Normal"/>
    <w:next w:val="Normal"/>
    <w:uiPriority w:val="99"/>
    <w:rsid w:val="00ED7A91"/>
    <w:pPr>
      <w:tabs>
        <w:tab w:val="right" w:leader="dot" w:pos="9240"/>
      </w:tabs>
      <w:spacing w:after="80"/>
      <w:ind w:left="1644" w:right="720" w:hanging="1644"/>
    </w:pPr>
    <w:rPr>
      <w:rFonts w:eastAsia="Times New Roman"/>
      <w:noProof/>
      <w:sz w:val="22"/>
      <w:szCs w:val="21"/>
      <w:lang w:eastAsia="ja-JP"/>
    </w:rPr>
  </w:style>
  <w:style w:type="paragraph" w:customStyle="1" w:styleId="TableBullet">
    <w:name w:val="Table Bullet"/>
    <w:basedOn w:val="TableTextspaceafter"/>
    <w:qFormat/>
    <w:rsid w:val="004D3F3C"/>
    <w:pPr>
      <w:numPr>
        <w:numId w:val="5"/>
      </w:numPr>
      <w:tabs>
        <w:tab w:val="left" w:pos="170"/>
      </w:tabs>
      <w:spacing w:after="0"/>
      <w:ind w:left="170" w:hanging="170"/>
    </w:pPr>
  </w:style>
  <w:style w:type="paragraph" w:customStyle="1" w:styleId="TableBulletspaceafter">
    <w:name w:val="Table Bullet space after"/>
    <w:basedOn w:val="TableBullet"/>
    <w:qFormat/>
    <w:rsid w:val="004D3F3C"/>
    <w:pPr>
      <w:tabs>
        <w:tab w:val="left" w:pos="2835"/>
      </w:tabs>
      <w:spacing w:after="120"/>
    </w:pPr>
  </w:style>
  <w:style w:type="paragraph" w:customStyle="1" w:styleId="DocumentTitle">
    <w:name w:val="Document Title"/>
    <w:next w:val="DocumentTitleDate"/>
    <w:link w:val="DocumentTitleChar"/>
    <w:qFormat/>
    <w:rsid w:val="00721EFA"/>
    <w:pPr>
      <w:framePr w:hSpace="187" w:wrap="around" w:hAnchor="margin" w:xAlign="right" w:yAlign="center"/>
    </w:pPr>
    <w:rPr>
      <w:rFonts w:ascii="Tahoma" w:eastAsia="Times New Roman" w:hAnsi="Tahoma" w:cs="Tahoma"/>
      <w:sz w:val="44"/>
      <w:szCs w:val="56"/>
      <w:lang w:eastAsia="en-US"/>
    </w:rPr>
  </w:style>
  <w:style w:type="character" w:customStyle="1" w:styleId="DocumentTitleChar">
    <w:name w:val="Document Title Char"/>
    <w:basedOn w:val="DefaultParagraphFont"/>
    <w:link w:val="DocumentTitle"/>
    <w:rsid w:val="00721EFA"/>
    <w:rPr>
      <w:rFonts w:ascii="Tahoma" w:eastAsia="Times New Roman" w:hAnsi="Tahoma" w:cs="Tahoma"/>
      <w:sz w:val="44"/>
      <w:szCs w:val="56"/>
      <w:lang w:eastAsia="en-US"/>
    </w:rPr>
  </w:style>
  <w:style w:type="paragraph" w:customStyle="1" w:styleId="DocumentTitleDate">
    <w:name w:val="Document Title Date"/>
    <w:link w:val="DocumentTitleDateChar"/>
    <w:qFormat/>
    <w:rsid w:val="00721EFA"/>
    <w:pPr>
      <w:framePr w:hSpace="187" w:wrap="around" w:hAnchor="margin" w:xAlign="right" w:yAlign="center"/>
    </w:pPr>
    <w:rPr>
      <w:rFonts w:ascii="Tahoma" w:eastAsia="Times New Roman" w:hAnsi="Tahoma" w:cs="Tahoma"/>
      <w:sz w:val="32"/>
      <w:szCs w:val="40"/>
      <w:lang w:eastAsia="en-US"/>
    </w:rPr>
  </w:style>
  <w:style w:type="character" w:customStyle="1" w:styleId="DocumentTitleDateChar">
    <w:name w:val="Document Title Date Char"/>
    <w:basedOn w:val="DefaultParagraphFont"/>
    <w:link w:val="DocumentTitleDate"/>
    <w:rsid w:val="00721EFA"/>
    <w:rPr>
      <w:rFonts w:ascii="Tahoma" w:eastAsia="Times New Roman" w:hAnsi="Tahoma" w:cs="Tahoma"/>
      <w:sz w:val="32"/>
      <w:szCs w:val="40"/>
      <w:lang w:eastAsia="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uiPriority w:val="39"/>
    <w:rsid w:val="00106DF4"/>
    <w:pPr>
      <w:tabs>
        <w:tab w:val="right" w:leader="dot" w:pos="8789"/>
      </w:tabs>
      <w:spacing w:before="120" w:line="264" w:lineRule="auto"/>
      <w:ind w:left="839" w:right="567" w:hanging="839"/>
    </w:pPr>
    <w:rPr>
      <w:rFonts w:ascii="Tahoma" w:eastAsia="SimSun" w:hAnsi="Tahoma" w:cs="Tahoma"/>
      <w:b/>
      <w:noProof/>
      <w:lang w:eastAsia="zh-CN"/>
    </w:rPr>
  </w:style>
  <w:style w:type="paragraph" w:styleId="TOC2">
    <w:name w:val="toc 2"/>
    <w:autoRedefine/>
    <w:uiPriority w:val="39"/>
    <w:rsid w:val="00EE330B"/>
    <w:pPr>
      <w:keepNext/>
      <w:tabs>
        <w:tab w:val="left" w:pos="851"/>
        <w:tab w:val="right" w:leader="dot" w:pos="8789"/>
      </w:tabs>
      <w:spacing w:before="120" w:line="264" w:lineRule="auto"/>
      <w:ind w:left="1191" w:right="567" w:hanging="794"/>
    </w:pPr>
    <w:rPr>
      <w:rFonts w:ascii="Tahoma" w:eastAsia="SimSun" w:hAnsi="Tahoma" w:cs="Tahoma"/>
      <w:noProof/>
      <w:lang w:val="en-GB" w:eastAsia="en-US"/>
    </w:rPr>
  </w:style>
  <w:style w:type="paragraph" w:styleId="TOC3">
    <w:name w:val="toc 3"/>
    <w:uiPriority w:val="39"/>
    <w:rsid w:val="005F41E6"/>
    <w:pPr>
      <w:tabs>
        <w:tab w:val="right" w:leader="dot" w:pos="8789"/>
      </w:tabs>
      <w:spacing w:before="120" w:line="264" w:lineRule="auto"/>
      <w:ind w:left="1418" w:right="567" w:hanging="567"/>
    </w:pPr>
    <w:rPr>
      <w:rFonts w:ascii="Tahoma" w:eastAsia="SimSun" w:hAnsi="Tahoma" w:cs="Tahoma"/>
      <w:noProof/>
      <w:lang w:val="fr-FR" w:eastAsia="en-US"/>
    </w:rPr>
  </w:style>
  <w:style w:type="paragraph" w:styleId="TOC4">
    <w:name w:val="toc 4"/>
    <w:uiPriority w:val="99"/>
    <w:rsid w:val="00106DF4"/>
    <w:pPr>
      <w:tabs>
        <w:tab w:val="right" w:leader="dot" w:pos="8789"/>
      </w:tabs>
      <w:spacing w:before="120" w:line="264" w:lineRule="auto"/>
      <w:ind w:left="2620" w:right="567" w:hanging="1202"/>
    </w:pPr>
    <w:rPr>
      <w:rFonts w:ascii="Tahoma" w:eastAsia="SimSun" w:hAnsi="Tahoma" w:cs="Tahoma"/>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line="276" w:lineRule="auto"/>
      <w:outlineLvl w:val="9"/>
    </w:pPr>
    <w:rPr>
      <w:rFonts w:eastAsia="Times New Roman"/>
      <w:bCs w:val="0"/>
      <w:lang w:val="en-US" w:eastAsia="en-US"/>
    </w:rPr>
  </w:style>
  <w:style w:type="paragraph" w:styleId="ListParagraph">
    <w:name w:val="List Paragraph"/>
    <w:basedOn w:val="Normal"/>
    <w:link w:val="ListParagraphChar"/>
    <w:uiPriority w:val="34"/>
    <w:qFormat/>
    <w:rsid w:val="00B4562F"/>
    <w:pPr>
      <w:ind w:left="720"/>
      <w:contextualSpacing/>
    </w:pPr>
  </w:style>
  <w:style w:type="paragraph" w:styleId="NoSpacing">
    <w:name w:val="No Spacing"/>
    <w:link w:val="NoSpacingChar"/>
    <w:uiPriority w:val="99"/>
    <w:qFormat/>
    <w:rsid w:val="00A32E13"/>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A32E13"/>
    <w:rPr>
      <w:rFonts w:eastAsia="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BulletText">
    <w:name w:val="Bullet Text"/>
    <w:basedOn w:val="BodyText"/>
    <w:link w:val="BulletTextChar"/>
    <w:qFormat/>
    <w:rsid w:val="004D1969"/>
    <w:pPr>
      <w:numPr>
        <w:numId w:val="17"/>
      </w:numPr>
      <w:ind w:left="714" w:hanging="357"/>
      <w:contextualSpacing/>
    </w:pPr>
  </w:style>
  <w:style w:type="character" w:customStyle="1" w:styleId="BulletTextChar">
    <w:name w:val="Bullet Text Char"/>
    <w:basedOn w:val="BodyTextChar"/>
    <w:link w:val="BulletText"/>
    <w:rsid w:val="004D1969"/>
    <w:rPr>
      <w:rFonts w:ascii="Tahoma" w:eastAsia="SimSun" w:hAnsi="Tahoma" w:cs="Tahoma"/>
      <w:lang w:eastAsia="zh-CN"/>
    </w:rPr>
  </w:style>
  <w:style w:type="paragraph" w:customStyle="1" w:styleId="Pic">
    <w:name w:val="Pic"/>
    <w:link w:val="PicChar"/>
    <w:qFormat/>
    <w:rsid w:val="00DD7D86"/>
    <w:pPr>
      <w:keepNext/>
      <w:pBdr>
        <w:top w:val="single" w:sz="4" w:space="1" w:color="auto"/>
        <w:left w:val="single" w:sz="4" w:space="4" w:color="auto"/>
        <w:bottom w:val="single" w:sz="4" w:space="1" w:color="auto"/>
        <w:right w:val="single" w:sz="4" w:space="4" w:color="auto"/>
      </w:pBdr>
      <w:spacing w:after="40"/>
      <w:jc w:val="center"/>
    </w:pPr>
    <w:rPr>
      <w:rFonts w:ascii="Tahoma" w:eastAsia="SimSun" w:hAnsi="Tahoma" w:cs="Tahoma"/>
      <w:lang w:eastAsia="zh-CN"/>
    </w:rPr>
  </w:style>
  <w:style w:type="character" w:customStyle="1" w:styleId="PicChar">
    <w:name w:val="Pic Char"/>
    <w:basedOn w:val="DefaultParagraphFont"/>
    <w:link w:val="Pic"/>
    <w:rsid w:val="00DD7D86"/>
    <w:rPr>
      <w:rFonts w:ascii="Tahoma" w:eastAsia="SimSun" w:hAnsi="Tahoma" w:cs="Tahoma"/>
      <w:lang w:eastAsia="zh-CN"/>
    </w:rPr>
  </w:style>
  <w:style w:type="paragraph" w:customStyle="1" w:styleId="References">
    <w:name w:val="References"/>
    <w:link w:val="ReferencesChar"/>
    <w:qFormat/>
    <w:rsid w:val="00DD7D86"/>
    <w:pPr>
      <w:spacing w:before="120"/>
      <w:ind w:left="567" w:hanging="567"/>
    </w:pPr>
    <w:rPr>
      <w:rFonts w:ascii="Tahoma" w:eastAsia="SimSun" w:hAnsi="Tahoma" w:cs="Tahoma"/>
      <w:sz w:val="18"/>
      <w:szCs w:val="18"/>
      <w:lang w:eastAsia="zh-CN"/>
    </w:rPr>
  </w:style>
  <w:style w:type="character" w:customStyle="1" w:styleId="ReferencesChar">
    <w:name w:val="References Char"/>
    <w:basedOn w:val="DefaultParagraphFont"/>
    <w:link w:val="References"/>
    <w:rsid w:val="00DD7D86"/>
    <w:rPr>
      <w:rFonts w:ascii="Tahoma" w:eastAsia="SimSun" w:hAnsi="Tahoma" w:cs="Tahoma"/>
      <w:sz w:val="18"/>
      <w:szCs w:val="18"/>
      <w:lang w:eastAsia="zh-CN"/>
    </w:rPr>
  </w:style>
  <w:style w:type="paragraph" w:customStyle="1" w:styleId="Bullettextnospacebefore">
    <w:name w:val="Bullet text no space before"/>
    <w:basedOn w:val="BulletText"/>
    <w:link w:val="BullettextnospacebeforeChar"/>
    <w:qFormat/>
    <w:rsid w:val="00526FA0"/>
    <w:pPr>
      <w:spacing w:before="0"/>
    </w:pPr>
  </w:style>
  <w:style w:type="character" w:customStyle="1" w:styleId="BullettextnospacebeforeChar">
    <w:name w:val="Bullet text no space before Char"/>
    <w:basedOn w:val="BulletTextChar"/>
    <w:link w:val="Bullettextnospacebefore"/>
    <w:rsid w:val="00526FA0"/>
    <w:rPr>
      <w:rFonts w:ascii="Tahoma" w:eastAsia="SimSun" w:hAnsi="Tahoma" w:cs="Tahoma"/>
      <w:u w:val="single"/>
      <w:lang w:eastAsia="zh-CN"/>
    </w:rPr>
  </w:style>
  <w:style w:type="paragraph" w:styleId="TOAHeading">
    <w:name w:val="toa heading"/>
    <w:basedOn w:val="Normal"/>
    <w:next w:val="Normal"/>
    <w:uiPriority w:val="99"/>
    <w:unhideWhenUsed/>
    <w:rsid w:val="0005552C"/>
    <w:pPr>
      <w:spacing w:before="120"/>
    </w:pPr>
    <w:rPr>
      <w:rFonts w:asciiTheme="majorHAnsi" w:eastAsiaTheme="majorEastAsia" w:hAnsiTheme="majorHAnsi" w:cstheme="majorBidi"/>
      <w:b/>
      <w:bCs/>
      <w:sz w:val="24"/>
      <w:szCs w:val="24"/>
    </w:rPr>
  </w:style>
  <w:style w:type="paragraph" w:styleId="BodyTextFirstIndent">
    <w:name w:val="Body Text First Indent"/>
    <w:basedOn w:val="BodyText"/>
    <w:link w:val="BodyTextFirstIndentChar"/>
    <w:uiPriority w:val="99"/>
    <w:unhideWhenUsed/>
    <w:rsid w:val="0005552C"/>
    <w:pPr>
      <w:spacing w:before="0" w:line="240" w:lineRule="auto"/>
      <w:ind w:firstLine="360"/>
      <w:jc w:val="left"/>
    </w:pPr>
  </w:style>
  <w:style w:type="character" w:customStyle="1" w:styleId="BodyTextFirstIndentChar">
    <w:name w:val="Body Text First Indent Char"/>
    <w:basedOn w:val="BodyTextChar"/>
    <w:link w:val="BodyTextFirstIndent"/>
    <w:uiPriority w:val="99"/>
    <w:rsid w:val="0005552C"/>
    <w:rPr>
      <w:rFonts w:ascii="Tahoma" w:eastAsia="SimSun" w:hAnsi="Tahoma" w:cs="Tahoma"/>
      <w:lang w:eastAsia="zh-CN"/>
    </w:rPr>
  </w:style>
  <w:style w:type="character" w:customStyle="1" w:styleId="Heading6Char1">
    <w:name w:val="Heading 6 Char1"/>
    <w:aliases w:val="Appendix Lvl 1 Char1"/>
    <w:basedOn w:val="DefaultParagraphFont"/>
    <w:uiPriority w:val="99"/>
    <w:rsid w:val="0005552C"/>
    <w:rPr>
      <w:rFonts w:ascii="Tahoma" w:eastAsia="SimSun" w:hAnsi="Tahoma" w:cs="Tahoma"/>
      <w:b/>
      <w:bCs/>
      <w:color w:val="215868"/>
      <w:sz w:val="24"/>
      <w:szCs w:val="32"/>
      <w:lang w:eastAsia="zh-CN"/>
    </w:rPr>
  </w:style>
  <w:style w:type="paragraph" w:styleId="NormalWeb">
    <w:name w:val="Normal (Web)"/>
    <w:basedOn w:val="Normal"/>
    <w:uiPriority w:val="99"/>
    <w:semiHidden/>
    <w:unhideWhenUsed/>
    <w:rsid w:val="00E90EC0"/>
    <w:pPr>
      <w:spacing w:before="100" w:beforeAutospacing="1" w:after="100" w:afterAutospacing="1"/>
    </w:pPr>
    <w:rPr>
      <w:rFonts w:ascii="Times New Roman" w:eastAsia="Times New Roman" w:hAnsi="Times New Roman" w:cs="Times New Roman"/>
      <w:sz w:val="24"/>
      <w:szCs w:val="24"/>
      <w:lang w:eastAsia="en-AU"/>
    </w:rPr>
  </w:style>
  <w:style w:type="paragraph" w:styleId="TableofAuthorities">
    <w:name w:val="table of authorities"/>
    <w:basedOn w:val="Normal"/>
    <w:next w:val="Normal"/>
    <w:uiPriority w:val="99"/>
    <w:unhideWhenUsed/>
    <w:rsid w:val="00843658"/>
    <w:pPr>
      <w:ind w:left="200" w:hanging="200"/>
    </w:pPr>
  </w:style>
  <w:style w:type="paragraph" w:styleId="Revision">
    <w:name w:val="Revision"/>
    <w:hidden/>
    <w:uiPriority w:val="99"/>
    <w:semiHidden/>
    <w:rsid w:val="004B6482"/>
    <w:rPr>
      <w:rFonts w:ascii="Tahoma" w:eastAsia="SimSun" w:hAnsi="Tahoma" w:cs="Tahoma"/>
      <w:lang w:eastAsia="zh-CN"/>
    </w:rPr>
  </w:style>
  <w:style w:type="paragraph" w:customStyle="1" w:styleId="Boldbodytext">
    <w:name w:val="Bold body text"/>
    <w:basedOn w:val="BodyText"/>
    <w:qFormat/>
    <w:rsid w:val="00C23315"/>
    <w:rPr>
      <w:b/>
    </w:rPr>
  </w:style>
  <w:style w:type="paragraph" w:customStyle="1" w:styleId="Bodytextnospacebefore">
    <w:name w:val="Body text no space before"/>
    <w:basedOn w:val="BodyText"/>
    <w:qFormat/>
    <w:rsid w:val="009F4DE0"/>
    <w:pPr>
      <w:spacing w:before="0"/>
    </w:pPr>
  </w:style>
  <w:style w:type="character" w:customStyle="1" w:styleId="ListParagraphChar">
    <w:name w:val="List Paragraph Char"/>
    <w:basedOn w:val="DefaultParagraphFont"/>
    <w:link w:val="ListParagraph"/>
    <w:uiPriority w:val="34"/>
    <w:rsid w:val="00A070A9"/>
    <w:rPr>
      <w:rFonts w:ascii="Tahoma" w:eastAsia="SimSun" w:hAnsi="Tahoma" w:cs="Tahom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4207">
      <w:marLeft w:val="0"/>
      <w:marRight w:val="0"/>
      <w:marTop w:val="0"/>
      <w:marBottom w:val="0"/>
      <w:divBdr>
        <w:top w:val="none" w:sz="0" w:space="0" w:color="auto"/>
        <w:left w:val="none" w:sz="0" w:space="0" w:color="auto"/>
        <w:bottom w:val="none" w:sz="0" w:space="0" w:color="auto"/>
        <w:right w:val="none" w:sz="0" w:space="0" w:color="auto"/>
      </w:divBdr>
      <w:divsChild>
        <w:div w:id="98764227">
          <w:marLeft w:val="240"/>
          <w:marRight w:val="240"/>
          <w:marTop w:val="360"/>
          <w:marBottom w:val="0"/>
          <w:divBdr>
            <w:top w:val="none" w:sz="0" w:space="0" w:color="auto"/>
            <w:left w:val="none" w:sz="0" w:space="0" w:color="auto"/>
            <w:bottom w:val="none" w:sz="0" w:space="0" w:color="auto"/>
            <w:right w:val="none" w:sz="0" w:space="0" w:color="auto"/>
          </w:divBdr>
          <w:divsChild>
            <w:div w:id="98764214">
              <w:marLeft w:val="480"/>
              <w:marRight w:val="480"/>
              <w:marTop w:val="240"/>
              <w:marBottom w:val="0"/>
              <w:divBdr>
                <w:top w:val="none" w:sz="0" w:space="0" w:color="auto"/>
                <w:left w:val="none" w:sz="0" w:space="0" w:color="auto"/>
                <w:bottom w:val="none" w:sz="0" w:space="0" w:color="auto"/>
                <w:right w:val="none" w:sz="0" w:space="0" w:color="auto"/>
              </w:divBdr>
              <w:divsChild>
                <w:div w:id="98764216">
                  <w:marLeft w:val="720"/>
                  <w:marRight w:val="720"/>
                  <w:marTop w:val="0"/>
                  <w:marBottom w:val="0"/>
                  <w:divBdr>
                    <w:top w:val="none" w:sz="0" w:space="0" w:color="auto"/>
                    <w:left w:val="none" w:sz="0" w:space="0" w:color="auto"/>
                    <w:bottom w:val="none" w:sz="0" w:space="0" w:color="auto"/>
                    <w:right w:val="none" w:sz="0" w:space="0" w:color="auto"/>
                  </w:divBdr>
                  <w:divsChild>
                    <w:div w:id="9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09">
      <w:marLeft w:val="0"/>
      <w:marRight w:val="0"/>
      <w:marTop w:val="0"/>
      <w:marBottom w:val="0"/>
      <w:divBdr>
        <w:top w:val="none" w:sz="0" w:space="0" w:color="auto"/>
        <w:left w:val="none" w:sz="0" w:space="0" w:color="auto"/>
        <w:bottom w:val="none" w:sz="0" w:space="0" w:color="auto"/>
        <w:right w:val="none" w:sz="0" w:space="0" w:color="auto"/>
      </w:divBdr>
      <w:divsChild>
        <w:div w:id="98764222">
          <w:marLeft w:val="0"/>
          <w:marRight w:val="0"/>
          <w:marTop w:val="0"/>
          <w:marBottom w:val="0"/>
          <w:divBdr>
            <w:top w:val="none" w:sz="0" w:space="0" w:color="auto"/>
            <w:left w:val="none" w:sz="0" w:space="0" w:color="auto"/>
            <w:bottom w:val="none" w:sz="0" w:space="0" w:color="auto"/>
            <w:right w:val="none" w:sz="0" w:space="0" w:color="auto"/>
          </w:divBdr>
          <w:divsChild>
            <w:div w:id="987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13">
      <w:marLeft w:val="0"/>
      <w:marRight w:val="0"/>
      <w:marTop w:val="0"/>
      <w:marBottom w:val="0"/>
      <w:divBdr>
        <w:top w:val="none" w:sz="0" w:space="0" w:color="auto"/>
        <w:left w:val="none" w:sz="0" w:space="0" w:color="auto"/>
        <w:bottom w:val="none" w:sz="0" w:space="0" w:color="auto"/>
        <w:right w:val="none" w:sz="0" w:space="0" w:color="auto"/>
      </w:divBdr>
      <w:divsChild>
        <w:div w:id="98764211">
          <w:marLeft w:val="240"/>
          <w:marRight w:val="240"/>
          <w:marTop w:val="360"/>
          <w:marBottom w:val="0"/>
          <w:divBdr>
            <w:top w:val="none" w:sz="0" w:space="0" w:color="auto"/>
            <w:left w:val="none" w:sz="0" w:space="0" w:color="auto"/>
            <w:bottom w:val="none" w:sz="0" w:space="0" w:color="auto"/>
            <w:right w:val="none" w:sz="0" w:space="0" w:color="auto"/>
          </w:divBdr>
          <w:divsChild>
            <w:div w:id="98764208">
              <w:marLeft w:val="480"/>
              <w:marRight w:val="480"/>
              <w:marTop w:val="240"/>
              <w:marBottom w:val="0"/>
              <w:divBdr>
                <w:top w:val="none" w:sz="0" w:space="0" w:color="auto"/>
                <w:left w:val="none" w:sz="0" w:space="0" w:color="auto"/>
                <w:bottom w:val="none" w:sz="0" w:space="0" w:color="auto"/>
                <w:right w:val="none" w:sz="0" w:space="0" w:color="auto"/>
              </w:divBdr>
              <w:divsChild>
                <w:div w:id="98764221">
                  <w:marLeft w:val="720"/>
                  <w:marRight w:val="720"/>
                  <w:marTop w:val="0"/>
                  <w:marBottom w:val="0"/>
                  <w:divBdr>
                    <w:top w:val="none" w:sz="0" w:space="0" w:color="auto"/>
                    <w:left w:val="none" w:sz="0" w:space="0" w:color="auto"/>
                    <w:bottom w:val="none" w:sz="0" w:space="0" w:color="auto"/>
                    <w:right w:val="none" w:sz="0" w:space="0" w:color="auto"/>
                  </w:divBdr>
                  <w:divsChild>
                    <w:div w:id="987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18">
      <w:marLeft w:val="0"/>
      <w:marRight w:val="0"/>
      <w:marTop w:val="0"/>
      <w:marBottom w:val="0"/>
      <w:divBdr>
        <w:top w:val="none" w:sz="0" w:space="0" w:color="auto"/>
        <w:left w:val="none" w:sz="0" w:space="0" w:color="auto"/>
        <w:bottom w:val="none" w:sz="0" w:space="0" w:color="auto"/>
        <w:right w:val="none" w:sz="0" w:space="0" w:color="auto"/>
      </w:divBdr>
      <w:divsChild>
        <w:div w:id="98764206">
          <w:marLeft w:val="0"/>
          <w:marRight w:val="0"/>
          <w:marTop w:val="0"/>
          <w:marBottom w:val="0"/>
          <w:divBdr>
            <w:top w:val="none" w:sz="0" w:space="0" w:color="auto"/>
            <w:left w:val="none" w:sz="0" w:space="0" w:color="auto"/>
            <w:bottom w:val="none" w:sz="0" w:space="0" w:color="auto"/>
            <w:right w:val="none" w:sz="0" w:space="0" w:color="auto"/>
          </w:divBdr>
          <w:divsChild>
            <w:div w:id="987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0">
      <w:marLeft w:val="0"/>
      <w:marRight w:val="0"/>
      <w:marTop w:val="0"/>
      <w:marBottom w:val="0"/>
      <w:divBdr>
        <w:top w:val="none" w:sz="0" w:space="0" w:color="auto"/>
        <w:left w:val="none" w:sz="0" w:space="0" w:color="auto"/>
        <w:bottom w:val="none" w:sz="0" w:space="0" w:color="auto"/>
        <w:right w:val="none" w:sz="0" w:space="0" w:color="auto"/>
      </w:divBdr>
      <w:divsChild>
        <w:div w:id="98764210">
          <w:marLeft w:val="0"/>
          <w:marRight w:val="0"/>
          <w:marTop w:val="0"/>
          <w:marBottom w:val="150"/>
          <w:divBdr>
            <w:top w:val="single" w:sz="6" w:space="15" w:color="FFFFFF"/>
            <w:left w:val="none" w:sz="0" w:space="0" w:color="auto"/>
            <w:bottom w:val="none" w:sz="0" w:space="0" w:color="auto"/>
            <w:right w:val="none" w:sz="0" w:space="0" w:color="auto"/>
          </w:divBdr>
          <w:divsChild>
            <w:div w:id="987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6">
      <w:marLeft w:val="0"/>
      <w:marRight w:val="0"/>
      <w:marTop w:val="0"/>
      <w:marBottom w:val="0"/>
      <w:divBdr>
        <w:top w:val="none" w:sz="0" w:space="0" w:color="auto"/>
        <w:left w:val="none" w:sz="0" w:space="0" w:color="auto"/>
        <w:bottom w:val="none" w:sz="0" w:space="0" w:color="auto"/>
        <w:right w:val="none" w:sz="0" w:space="0" w:color="auto"/>
      </w:divBdr>
      <w:divsChild>
        <w:div w:id="98764212">
          <w:marLeft w:val="0"/>
          <w:marRight w:val="0"/>
          <w:marTop w:val="0"/>
          <w:marBottom w:val="150"/>
          <w:divBdr>
            <w:top w:val="single" w:sz="6" w:space="15" w:color="FFFFFF"/>
            <w:left w:val="none" w:sz="0" w:space="0" w:color="auto"/>
            <w:bottom w:val="none" w:sz="0" w:space="0" w:color="auto"/>
            <w:right w:val="none" w:sz="0" w:space="0" w:color="auto"/>
          </w:divBdr>
          <w:divsChild>
            <w:div w:id="987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20044">
      <w:bodyDiv w:val="1"/>
      <w:marLeft w:val="0"/>
      <w:marRight w:val="0"/>
      <w:marTop w:val="0"/>
      <w:marBottom w:val="60"/>
      <w:divBdr>
        <w:top w:val="none" w:sz="0" w:space="0" w:color="auto"/>
        <w:left w:val="none" w:sz="0" w:space="0" w:color="auto"/>
        <w:bottom w:val="none" w:sz="0" w:space="0" w:color="auto"/>
        <w:right w:val="none" w:sz="0" w:space="0" w:color="auto"/>
      </w:divBdr>
      <w:divsChild>
        <w:div w:id="1121922965">
          <w:marLeft w:val="0"/>
          <w:marRight w:val="0"/>
          <w:marTop w:val="225"/>
          <w:marBottom w:val="0"/>
          <w:divBdr>
            <w:top w:val="single" w:sz="6" w:space="0" w:color="003366"/>
            <w:left w:val="single" w:sz="6" w:space="0" w:color="003366"/>
            <w:bottom w:val="single" w:sz="6" w:space="0" w:color="003366"/>
            <w:right w:val="single" w:sz="6" w:space="0" w:color="003366"/>
          </w:divBdr>
          <w:divsChild>
            <w:div w:id="1589533901">
              <w:marLeft w:val="300"/>
              <w:marRight w:val="300"/>
              <w:marTop w:val="0"/>
              <w:marBottom w:val="300"/>
              <w:divBdr>
                <w:top w:val="none" w:sz="0" w:space="0" w:color="auto"/>
                <w:left w:val="none" w:sz="0" w:space="0" w:color="auto"/>
                <w:bottom w:val="none" w:sz="0" w:space="0" w:color="auto"/>
                <w:right w:val="none" w:sz="0" w:space="0" w:color="auto"/>
              </w:divBdr>
              <w:divsChild>
                <w:div w:id="256329537">
                  <w:marLeft w:val="0"/>
                  <w:marRight w:val="0"/>
                  <w:marTop w:val="240"/>
                  <w:marBottom w:val="48"/>
                  <w:divBdr>
                    <w:top w:val="none" w:sz="0" w:space="0" w:color="auto"/>
                    <w:left w:val="none" w:sz="0" w:space="0" w:color="auto"/>
                    <w:bottom w:val="none" w:sz="0" w:space="0" w:color="auto"/>
                    <w:right w:val="none" w:sz="0" w:space="0" w:color="auto"/>
                  </w:divBdr>
                </w:div>
                <w:div w:id="5103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9866">
      <w:bodyDiv w:val="1"/>
      <w:marLeft w:val="0"/>
      <w:marRight w:val="0"/>
      <w:marTop w:val="0"/>
      <w:marBottom w:val="0"/>
      <w:divBdr>
        <w:top w:val="none" w:sz="0" w:space="0" w:color="auto"/>
        <w:left w:val="none" w:sz="0" w:space="0" w:color="auto"/>
        <w:bottom w:val="none" w:sz="0" w:space="0" w:color="auto"/>
        <w:right w:val="none" w:sz="0" w:space="0" w:color="auto"/>
      </w:divBdr>
      <w:divsChild>
        <w:div w:id="1033111590">
          <w:marLeft w:val="0"/>
          <w:marRight w:val="0"/>
          <w:marTop w:val="0"/>
          <w:marBottom w:val="0"/>
          <w:divBdr>
            <w:top w:val="none" w:sz="0" w:space="0" w:color="auto"/>
            <w:left w:val="none" w:sz="0" w:space="0" w:color="auto"/>
            <w:bottom w:val="none" w:sz="0" w:space="0" w:color="auto"/>
            <w:right w:val="none" w:sz="0" w:space="0" w:color="auto"/>
          </w:divBdr>
          <w:divsChild>
            <w:div w:id="396897508">
              <w:marLeft w:val="0"/>
              <w:marRight w:val="0"/>
              <w:marTop w:val="0"/>
              <w:marBottom w:val="0"/>
              <w:divBdr>
                <w:top w:val="none" w:sz="0" w:space="0" w:color="auto"/>
                <w:left w:val="none" w:sz="0" w:space="0" w:color="auto"/>
                <w:bottom w:val="none" w:sz="0" w:space="0" w:color="auto"/>
                <w:right w:val="none" w:sz="0" w:space="0" w:color="auto"/>
              </w:divBdr>
              <w:divsChild>
                <w:div w:id="16927376">
                  <w:marLeft w:val="0"/>
                  <w:marRight w:val="0"/>
                  <w:marTop w:val="0"/>
                  <w:marBottom w:val="0"/>
                  <w:divBdr>
                    <w:top w:val="none" w:sz="0" w:space="0" w:color="auto"/>
                    <w:left w:val="none" w:sz="0" w:space="0" w:color="auto"/>
                    <w:bottom w:val="none" w:sz="0" w:space="0" w:color="auto"/>
                    <w:right w:val="none" w:sz="0" w:space="0" w:color="auto"/>
                  </w:divBdr>
                  <w:divsChild>
                    <w:div w:id="1351684508">
                      <w:marLeft w:val="0"/>
                      <w:marRight w:val="0"/>
                      <w:marTop w:val="0"/>
                      <w:marBottom w:val="0"/>
                      <w:divBdr>
                        <w:top w:val="none" w:sz="0" w:space="0" w:color="auto"/>
                        <w:left w:val="none" w:sz="0" w:space="0" w:color="auto"/>
                        <w:bottom w:val="none" w:sz="0" w:space="0" w:color="auto"/>
                        <w:right w:val="none" w:sz="0" w:space="0" w:color="auto"/>
                      </w:divBdr>
                      <w:divsChild>
                        <w:div w:id="18844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068051">
      <w:bodyDiv w:val="1"/>
      <w:marLeft w:val="0"/>
      <w:marRight w:val="0"/>
      <w:marTop w:val="0"/>
      <w:marBottom w:val="0"/>
      <w:divBdr>
        <w:top w:val="none" w:sz="0" w:space="0" w:color="auto"/>
        <w:left w:val="none" w:sz="0" w:space="0" w:color="auto"/>
        <w:bottom w:val="none" w:sz="0" w:space="0" w:color="auto"/>
        <w:right w:val="none" w:sz="0" w:space="0" w:color="auto"/>
      </w:divBdr>
      <w:divsChild>
        <w:div w:id="332031315">
          <w:marLeft w:val="0"/>
          <w:marRight w:val="0"/>
          <w:marTop w:val="0"/>
          <w:marBottom w:val="0"/>
          <w:divBdr>
            <w:top w:val="none" w:sz="0" w:space="0" w:color="auto"/>
            <w:left w:val="none" w:sz="0" w:space="0" w:color="auto"/>
            <w:bottom w:val="none" w:sz="0" w:space="0" w:color="auto"/>
            <w:right w:val="none" w:sz="0" w:space="0" w:color="auto"/>
          </w:divBdr>
          <w:divsChild>
            <w:div w:id="981081521">
              <w:marLeft w:val="0"/>
              <w:marRight w:val="0"/>
              <w:marTop w:val="0"/>
              <w:marBottom w:val="0"/>
              <w:divBdr>
                <w:top w:val="none" w:sz="0" w:space="0" w:color="auto"/>
                <w:left w:val="none" w:sz="0" w:space="0" w:color="auto"/>
                <w:bottom w:val="none" w:sz="0" w:space="0" w:color="auto"/>
                <w:right w:val="none" w:sz="0" w:space="0" w:color="auto"/>
              </w:divBdr>
              <w:divsChild>
                <w:div w:id="2008363406">
                  <w:marLeft w:val="0"/>
                  <w:marRight w:val="0"/>
                  <w:marTop w:val="0"/>
                  <w:marBottom w:val="0"/>
                  <w:divBdr>
                    <w:top w:val="none" w:sz="0" w:space="0" w:color="auto"/>
                    <w:left w:val="none" w:sz="0" w:space="0" w:color="auto"/>
                    <w:bottom w:val="none" w:sz="0" w:space="0" w:color="auto"/>
                    <w:right w:val="none" w:sz="0" w:space="0" w:color="auto"/>
                  </w:divBdr>
                  <w:divsChild>
                    <w:div w:id="684939052">
                      <w:marLeft w:val="0"/>
                      <w:marRight w:val="0"/>
                      <w:marTop w:val="0"/>
                      <w:marBottom w:val="0"/>
                      <w:divBdr>
                        <w:top w:val="none" w:sz="0" w:space="0" w:color="auto"/>
                        <w:left w:val="none" w:sz="0" w:space="0" w:color="auto"/>
                        <w:bottom w:val="none" w:sz="0" w:space="0" w:color="auto"/>
                        <w:right w:val="none" w:sz="0" w:space="0" w:color="auto"/>
                      </w:divBdr>
                      <w:divsChild>
                        <w:div w:id="378827355">
                          <w:marLeft w:val="0"/>
                          <w:marRight w:val="0"/>
                          <w:marTop w:val="0"/>
                          <w:marBottom w:val="0"/>
                          <w:divBdr>
                            <w:top w:val="none" w:sz="0" w:space="0" w:color="auto"/>
                            <w:left w:val="none" w:sz="0" w:space="0" w:color="auto"/>
                            <w:bottom w:val="none" w:sz="0" w:space="0" w:color="auto"/>
                            <w:right w:val="none" w:sz="0" w:space="0" w:color="auto"/>
                          </w:divBdr>
                        </w:div>
                        <w:div w:id="629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1BC962-764E-4C86-852F-E87CFAEE48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12306</Words>
  <Characters>77759</Characters>
  <Application>Microsoft Office Word</Application>
  <DocSecurity>0</DocSecurity>
  <Lines>647</Lines>
  <Paragraphs>179</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89886</CharactersWithSpaces>
  <SharedDoc>false</SharedDoc>
  <HLinks>
    <vt:vector size="114" baseType="variant">
      <vt:variant>
        <vt:i4>1900593</vt:i4>
      </vt:variant>
      <vt:variant>
        <vt:i4>110</vt:i4>
      </vt:variant>
      <vt:variant>
        <vt:i4>0</vt:i4>
      </vt:variant>
      <vt:variant>
        <vt:i4>5</vt:i4>
      </vt:variant>
      <vt:variant>
        <vt:lpwstr/>
      </vt:variant>
      <vt:variant>
        <vt:lpwstr>_Toc284410665</vt:lpwstr>
      </vt:variant>
      <vt:variant>
        <vt:i4>1900593</vt:i4>
      </vt:variant>
      <vt:variant>
        <vt:i4>104</vt:i4>
      </vt:variant>
      <vt:variant>
        <vt:i4>0</vt:i4>
      </vt:variant>
      <vt:variant>
        <vt:i4>5</vt:i4>
      </vt:variant>
      <vt:variant>
        <vt:lpwstr/>
      </vt:variant>
      <vt:variant>
        <vt:lpwstr>_Toc284410664</vt:lpwstr>
      </vt:variant>
      <vt:variant>
        <vt:i4>1900593</vt:i4>
      </vt:variant>
      <vt:variant>
        <vt:i4>98</vt:i4>
      </vt:variant>
      <vt:variant>
        <vt:i4>0</vt:i4>
      </vt:variant>
      <vt:variant>
        <vt:i4>5</vt:i4>
      </vt:variant>
      <vt:variant>
        <vt:lpwstr/>
      </vt:variant>
      <vt:variant>
        <vt:lpwstr>_Toc284410663</vt:lpwstr>
      </vt:variant>
      <vt:variant>
        <vt:i4>1900593</vt:i4>
      </vt:variant>
      <vt:variant>
        <vt:i4>92</vt:i4>
      </vt:variant>
      <vt:variant>
        <vt:i4>0</vt:i4>
      </vt:variant>
      <vt:variant>
        <vt:i4>5</vt:i4>
      </vt:variant>
      <vt:variant>
        <vt:lpwstr/>
      </vt:variant>
      <vt:variant>
        <vt:lpwstr>_Toc284410662</vt:lpwstr>
      </vt:variant>
      <vt:variant>
        <vt:i4>1900593</vt:i4>
      </vt:variant>
      <vt:variant>
        <vt:i4>86</vt:i4>
      </vt:variant>
      <vt:variant>
        <vt:i4>0</vt:i4>
      </vt:variant>
      <vt:variant>
        <vt:i4>5</vt:i4>
      </vt:variant>
      <vt:variant>
        <vt:lpwstr/>
      </vt:variant>
      <vt:variant>
        <vt:lpwstr>_Toc284410661</vt:lpwstr>
      </vt:variant>
      <vt:variant>
        <vt:i4>1900593</vt:i4>
      </vt:variant>
      <vt:variant>
        <vt:i4>80</vt:i4>
      </vt:variant>
      <vt:variant>
        <vt:i4>0</vt:i4>
      </vt:variant>
      <vt:variant>
        <vt:i4>5</vt:i4>
      </vt:variant>
      <vt:variant>
        <vt:lpwstr/>
      </vt:variant>
      <vt:variant>
        <vt:lpwstr>_Toc284410660</vt:lpwstr>
      </vt:variant>
      <vt:variant>
        <vt:i4>1966129</vt:i4>
      </vt:variant>
      <vt:variant>
        <vt:i4>74</vt:i4>
      </vt:variant>
      <vt:variant>
        <vt:i4>0</vt:i4>
      </vt:variant>
      <vt:variant>
        <vt:i4>5</vt:i4>
      </vt:variant>
      <vt:variant>
        <vt:lpwstr/>
      </vt:variant>
      <vt:variant>
        <vt:lpwstr>_Toc284410659</vt:lpwstr>
      </vt:variant>
      <vt:variant>
        <vt:i4>1966129</vt:i4>
      </vt:variant>
      <vt:variant>
        <vt:i4>68</vt:i4>
      </vt:variant>
      <vt:variant>
        <vt:i4>0</vt:i4>
      </vt:variant>
      <vt:variant>
        <vt:i4>5</vt:i4>
      </vt:variant>
      <vt:variant>
        <vt:lpwstr/>
      </vt:variant>
      <vt:variant>
        <vt:lpwstr>_Toc284410658</vt:lpwstr>
      </vt:variant>
      <vt:variant>
        <vt:i4>1966129</vt:i4>
      </vt:variant>
      <vt:variant>
        <vt:i4>62</vt:i4>
      </vt:variant>
      <vt:variant>
        <vt:i4>0</vt:i4>
      </vt:variant>
      <vt:variant>
        <vt:i4>5</vt:i4>
      </vt:variant>
      <vt:variant>
        <vt:lpwstr/>
      </vt:variant>
      <vt:variant>
        <vt:lpwstr>_Toc284410657</vt:lpwstr>
      </vt:variant>
      <vt:variant>
        <vt:i4>1966129</vt:i4>
      </vt:variant>
      <vt:variant>
        <vt:i4>56</vt:i4>
      </vt:variant>
      <vt:variant>
        <vt:i4>0</vt:i4>
      </vt:variant>
      <vt:variant>
        <vt:i4>5</vt:i4>
      </vt:variant>
      <vt:variant>
        <vt:lpwstr/>
      </vt:variant>
      <vt:variant>
        <vt:lpwstr>_Toc284410656</vt:lpwstr>
      </vt:variant>
      <vt:variant>
        <vt:i4>1966129</vt:i4>
      </vt:variant>
      <vt:variant>
        <vt:i4>50</vt:i4>
      </vt:variant>
      <vt:variant>
        <vt:i4>0</vt:i4>
      </vt:variant>
      <vt:variant>
        <vt:i4>5</vt:i4>
      </vt:variant>
      <vt:variant>
        <vt:lpwstr/>
      </vt:variant>
      <vt:variant>
        <vt:lpwstr>_Toc284410655</vt:lpwstr>
      </vt:variant>
      <vt:variant>
        <vt:i4>1966129</vt:i4>
      </vt:variant>
      <vt:variant>
        <vt:i4>44</vt:i4>
      </vt:variant>
      <vt:variant>
        <vt:i4>0</vt:i4>
      </vt:variant>
      <vt:variant>
        <vt:i4>5</vt:i4>
      </vt:variant>
      <vt:variant>
        <vt:lpwstr/>
      </vt:variant>
      <vt:variant>
        <vt:lpwstr>_Toc284410654</vt:lpwstr>
      </vt:variant>
      <vt:variant>
        <vt:i4>1966129</vt:i4>
      </vt:variant>
      <vt:variant>
        <vt:i4>38</vt:i4>
      </vt:variant>
      <vt:variant>
        <vt:i4>0</vt:i4>
      </vt:variant>
      <vt:variant>
        <vt:i4>5</vt:i4>
      </vt:variant>
      <vt:variant>
        <vt:lpwstr/>
      </vt:variant>
      <vt:variant>
        <vt:lpwstr>_Toc284410653</vt:lpwstr>
      </vt:variant>
      <vt:variant>
        <vt:i4>1966129</vt:i4>
      </vt:variant>
      <vt:variant>
        <vt:i4>32</vt:i4>
      </vt:variant>
      <vt:variant>
        <vt:i4>0</vt:i4>
      </vt:variant>
      <vt:variant>
        <vt:i4>5</vt:i4>
      </vt:variant>
      <vt:variant>
        <vt:lpwstr/>
      </vt:variant>
      <vt:variant>
        <vt:lpwstr>_Toc284410652</vt:lpwstr>
      </vt:variant>
      <vt:variant>
        <vt:i4>1966129</vt:i4>
      </vt:variant>
      <vt:variant>
        <vt:i4>26</vt:i4>
      </vt:variant>
      <vt:variant>
        <vt:i4>0</vt:i4>
      </vt:variant>
      <vt:variant>
        <vt:i4>5</vt:i4>
      </vt:variant>
      <vt:variant>
        <vt:lpwstr/>
      </vt:variant>
      <vt:variant>
        <vt:lpwstr>_Toc284410651</vt:lpwstr>
      </vt:variant>
      <vt:variant>
        <vt:i4>1966129</vt:i4>
      </vt:variant>
      <vt:variant>
        <vt:i4>20</vt:i4>
      </vt:variant>
      <vt:variant>
        <vt:i4>0</vt:i4>
      </vt:variant>
      <vt:variant>
        <vt:i4>5</vt:i4>
      </vt:variant>
      <vt:variant>
        <vt:lpwstr/>
      </vt:variant>
      <vt:variant>
        <vt:lpwstr>_Toc284410650</vt:lpwstr>
      </vt:variant>
      <vt:variant>
        <vt:i4>2031665</vt:i4>
      </vt:variant>
      <vt:variant>
        <vt:i4>14</vt:i4>
      </vt:variant>
      <vt:variant>
        <vt:i4>0</vt:i4>
      </vt:variant>
      <vt:variant>
        <vt:i4>5</vt:i4>
      </vt:variant>
      <vt:variant>
        <vt:lpwstr/>
      </vt:variant>
      <vt:variant>
        <vt:lpwstr>_Toc284410649</vt:lpwstr>
      </vt:variant>
      <vt:variant>
        <vt:i4>2031665</vt:i4>
      </vt:variant>
      <vt:variant>
        <vt:i4>8</vt:i4>
      </vt:variant>
      <vt:variant>
        <vt:i4>0</vt:i4>
      </vt:variant>
      <vt:variant>
        <vt:i4>5</vt:i4>
      </vt:variant>
      <vt:variant>
        <vt:lpwstr/>
      </vt:variant>
      <vt:variant>
        <vt:lpwstr>_Toc284410648</vt:lpwstr>
      </vt:variant>
      <vt:variant>
        <vt:i4>2031665</vt:i4>
      </vt:variant>
      <vt:variant>
        <vt:i4>2</vt:i4>
      </vt:variant>
      <vt:variant>
        <vt:i4>0</vt:i4>
      </vt:variant>
      <vt:variant>
        <vt:i4>5</vt:i4>
      </vt:variant>
      <vt:variant>
        <vt:lpwstr/>
      </vt:variant>
      <vt:variant>
        <vt:lpwstr>_Toc284410647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JMR</dc:creator>
  <cp:lastModifiedBy>McCandless Sean</cp:lastModifiedBy>
  <cp:revision>2</cp:revision>
  <cp:lastPrinted>2014-09-30T06:57:00Z</cp:lastPrinted>
  <dcterms:created xsi:type="dcterms:W3CDTF">2014-10-10T06:26:00Z</dcterms:created>
  <dcterms:modified xsi:type="dcterms:W3CDTF">2014-10-10T06:26:00Z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