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43121"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FD432CB" wp14:editId="5FD432CC">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FD43122"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5FD43123" w14:textId="77777777" w:rsidR="00BC1364" w:rsidRPr="00F715D1" w:rsidRDefault="00BC1364" w:rsidP="00F715D1">
      <w:pPr>
        <w:pStyle w:val="Subtitle"/>
      </w:pPr>
      <w:r w:rsidRPr="00F715D1">
        <w:t xml:space="preserve">Application No. </w:t>
      </w:r>
      <w:r w:rsidR="00B35595" w:rsidRPr="00F715D1">
        <w:t>1</w:t>
      </w:r>
      <w:r w:rsidR="00D95D73">
        <w:t>3</w:t>
      </w:r>
      <w:r w:rsidR="003466C5">
        <w:t>5</w:t>
      </w:r>
      <w:r w:rsidR="00D95D73">
        <w:t>8.1</w:t>
      </w:r>
      <w:r w:rsidRPr="00F715D1">
        <w:t xml:space="preserve"> – </w:t>
      </w:r>
      <w:r w:rsidR="003466C5" w:rsidRPr="003466C5">
        <w:t>Vagus Nerve Stimulation (VNS) Therapy</w:t>
      </w:r>
    </w:p>
    <w:p w14:paraId="5FD43124" w14:textId="77777777" w:rsidR="00A6355B" w:rsidRDefault="00B35595" w:rsidP="00F443A8">
      <w:pPr>
        <w:spacing w:after="240"/>
        <w:ind w:left="3600" w:hanging="3600"/>
        <w:rPr>
          <w:rFonts w:ascii="Arial" w:hAnsi="Arial" w:cs="Arial"/>
          <w:b/>
          <w:szCs w:val="24"/>
        </w:rPr>
      </w:pPr>
      <w:r w:rsidRPr="00F715D1">
        <w:rPr>
          <w:rFonts w:ascii="Arial" w:hAnsi="Arial" w:cs="Arial"/>
          <w:b/>
          <w:szCs w:val="24"/>
        </w:rPr>
        <w:t>Applicant</w:t>
      </w:r>
      <w:r w:rsidR="00BC1364" w:rsidRPr="00F715D1">
        <w:rPr>
          <w:rFonts w:ascii="Arial" w:hAnsi="Arial" w:cs="Arial"/>
          <w:b/>
          <w:szCs w:val="24"/>
        </w:rPr>
        <w:t>:</w:t>
      </w:r>
      <w:r w:rsidR="00BC1364" w:rsidRPr="00F715D1">
        <w:rPr>
          <w:rFonts w:ascii="Arial" w:hAnsi="Arial" w:cs="Arial"/>
          <w:b/>
          <w:szCs w:val="24"/>
        </w:rPr>
        <w:tab/>
      </w:r>
      <w:proofErr w:type="spellStart"/>
      <w:r w:rsidR="003466C5">
        <w:rPr>
          <w:rFonts w:ascii="Arial" w:hAnsi="Arial" w:cs="Arial"/>
          <w:b/>
          <w:szCs w:val="24"/>
        </w:rPr>
        <w:t>LivaNova</w:t>
      </w:r>
      <w:proofErr w:type="spellEnd"/>
      <w:r w:rsidR="00D237AD">
        <w:rPr>
          <w:rFonts w:ascii="Arial" w:hAnsi="Arial" w:cs="Arial"/>
          <w:b/>
          <w:szCs w:val="24"/>
        </w:rPr>
        <w:t xml:space="preserve"> Australia Pty Ltd</w:t>
      </w:r>
    </w:p>
    <w:p w14:paraId="5FD43125" w14:textId="77777777" w:rsidR="00BC1364" w:rsidRPr="00F715D1" w:rsidRDefault="00BC1364" w:rsidP="00F443A8">
      <w:pPr>
        <w:spacing w:after="240"/>
        <w:ind w:left="3600" w:hanging="360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A822AF">
        <w:rPr>
          <w:rFonts w:ascii="Arial" w:hAnsi="Arial" w:cs="Arial"/>
          <w:b/>
          <w:szCs w:val="24"/>
        </w:rPr>
        <w:t>8</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A822AF">
        <w:rPr>
          <w:rFonts w:ascii="Arial" w:hAnsi="Arial" w:cs="Arial"/>
          <w:b/>
          <w:szCs w:val="24"/>
        </w:rPr>
        <w:t>24</w:t>
      </w:r>
      <w:r w:rsidR="00B35595" w:rsidRPr="00F715D1">
        <w:rPr>
          <w:rFonts w:ascii="Arial" w:hAnsi="Arial" w:cs="Arial"/>
          <w:b/>
          <w:szCs w:val="24"/>
        </w:rPr>
        <w:t>-</w:t>
      </w:r>
      <w:r w:rsidR="00A822AF">
        <w:rPr>
          <w:rFonts w:ascii="Arial" w:hAnsi="Arial" w:cs="Arial"/>
          <w:b/>
          <w:szCs w:val="24"/>
        </w:rPr>
        <w:t>25 November</w:t>
      </w:r>
      <w:r w:rsidR="00EB6B6F" w:rsidRPr="00F715D1">
        <w:rPr>
          <w:rFonts w:ascii="Arial" w:hAnsi="Arial" w:cs="Arial"/>
          <w:b/>
          <w:szCs w:val="24"/>
        </w:rPr>
        <w:t xml:space="preserve"> 2016</w:t>
      </w:r>
    </w:p>
    <w:p w14:paraId="5FD43126" w14:textId="77777777" w:rsidR="00C57E2A" w:rsidRDefault="006A0D97" w:rsidP="00F715D1">
      <w:pPr>
        <w:spacing w:after="240"/>
        <w:rPr>
          <w:rStyle w:val="Hyperlink"/>
          <w:szCs w:val="24"/>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history="1">
        <w:r w:rsidR="00F715D1" w:rsidRPr="00F715D1">
          <w:rPr>
            <w:rStyle w:val="Hyperlink"/>
            <w:szCs w:val="24"/>
          </w:rPr>
          <w:t>visit the MSAC website</w:t>
        </w:r>
      </w:hyperlink>
      <w:r w:rsidR="00A822AF">
        <w:rPr>
          <w:rStyle w:val="Hyperlink"/>
          <w:szCs w:val="24"/>
        </w:rPr>
        <w:t xml:space="preserve"> </w:t>
      </w:r>
    </w:p>
    <w:p w14:paraId="5FD43127" w14:textId="77777777" w:rsidR="00C7512C" w:rsidRPr="00C7512C" w:rsidRDefault="00C7512C" w:rsidP="00F715D1">
      <w:pPr>
        <w:spacing w:after="240"/>
        <w:rPr>
          <w:color w:val="0000FF"/>
          <w:szCs w:val="24"/>
          <w:u w:val="single"/>
        </w:rPr>
      </w:pPr>
    </w:p>
    <w:p w14:paraId="5FD43128" w14:textId="77777777" w:rsidR="003D7F29" w:rsidRPr="00F715D1" w:rsidRDefault="003D7F29" w:rsidP="00F715D1">
      <w:pPr>
        <w:pStyle w:val="Heading1"/>
      </w:pPr>
      <w:r w:rsidRPr="00F715D1">
        <w:t>Purpose of application</w:t>
      </w:r>
      <w:r w:rsidR="00822C7E" w:rsidRPr="00F715D1">
        <w:t xml:space="preserve"> and links to other applications</w:t>
      </w:r>
    </w:p>
    <w:p w14:paraId="5FD43129" w14:textId="77777777" w:rsidR="00750382" w:rsidRDefault="00A478BF" w:rsidP="00A478BF">
      <w:pPr>
        <w:tabs>
          <w:tab w:val="left" w:pos="720"/>
          <w:tab w:val="left" w:pos="1140"/>
        </w:tabs>
        <w:spacing w:after="240"/>
        <w:rPr>
          <w:szCs w:val="24"/>
        </w:rPr>
      </w:pPr>
      <w:r w:rsidRPr="00E53FB1">
        <w:rPr>
          <w:szCs w:val="24"/>
        </w:rPr>
        <w:t xml:space="preserve">A resubmission for new Medicare Benefits Schedule (MBS) </w:t>
      </w:r>
      <w:r w:rsidR="00750382">
        <w:rPr>
          <w:szCs w:val="24"/>
        </w:rPr>
        <w:t>listings</w:t>
      </w:r>
      <w:r w:rsidR="00750382" w:rsidRPr="00E53FB1">
        <w:rPr>
          <w:szCs w:val="24"/>
        </w:rPr>
        <w:t xml:space="preserve"> </w:t>
      </w:r>
      <w:r w:rsidRPr="00E53FB1">
        <w:rPr>
          <w:szCs w:val="24"/>
        </w:rPr>
        <w:t xml:space="preserve">for vagus nerve stimulation </w:t>
      </w:r>
      <w:r w:rsidR="00A710D8">
        <w:rPr>
          <w:szCs w:val="24"/>
        </w:rPr>
        <w:t>(VNS) therapy</w:t>
      </w:r>
      <w:r w:rsidR="00750382">
        <w:rPr>
          <w:szCs w:val="24"/>
        </w:rPr>
        <w:t xml:space="preserve"> in patients with refractory epilepsy</w:t>
      </w:r>
      <w:r w:rsidR="00A710D8">
        <w:rPr>
          <w:szCs w:val="24"/>
        </w:rPr>
        <w:t xml:space="preserve"> </w:t>
      </w:r>
      <w:r w:rsidRPr="00E53FB1">
        <w:rPr>
          <w:rFonts w:eastAsia="Calibri"/>
        </w:rPr>
        <w:t>was received from</w:t>
      </w:r>
      <w:r w:rsidRPr="00E53FB1">
        <w:rPr>
          <w:szCs w:val="24"/>
        </w:rPr>
        <w:t xml:space="preserve"> </w:t>
      </w:r>
      <w:proofErr w:type="spellStart"/>
      <w:r w:rsidRPr="00E53FB1">
        <w:rPr>
          <w:szCs w:val="24"/>
        </w:rPr>
        <w:t>LivaNova</w:t>
      </w:r>
      <w:proofErr w:type="spellEnd"/>
      <w:r w:rsidRPr="00E53FB1">
        <w:rPr>
          <w:szCs w:val="24"/>
        </w:rPr>
        <w:t xml:space="preserve"> Australia Pty Ltd by the Department of Health.</w:t>
      </w:r>
      <w:r w:rsidR="002D50C5">
        <w:rPr>
          <w:szCs w:val="24"/>
        </w:rPr>
        <w:t xml:space="preserve"> </w:t>
      </w:r>
    </w:p>
    <w:p w14:paraId="5FD4312A" w14:textId="77777777" w:rsidR="00A478BF" w:rsidRPr="00E53FB1" w:rsidRDefault="000076E8" w:rsidP="00A478BF">
      <w:pPr>
        <w:tabs>
          <w:tab w:val="left" w:pos="720"/>
          <w:tab w:val="left" w:pos="1140"/>
        </w:tabs>
        <w:spacing w:after="240"/>
        <w:rPr>
          <w:szCs w:val="24"/>
        </w:rPr>
      </w:pPr>
      <w:r>
        <w:rPr>
          <w:szCs w:val="24"/>
        </w:rPr>
        <w:t>MSAC considered A</w:t>
      </w:r>
      <w:r w:rsidR="002D50C5">
        <w:rPr>
          <w:szCs w:val="24"/>
        </w:rPr>
        <w:t>pplication</w:t>
      </w:r>
      <w:r w:rsidR="00732A64">
        <w:rPr>
          <w:szCs w:val="24"/>
        </w:rPr>
        <w:t xml:space="preserve"> 1358</w:t>
      </w:r>
      <w:r w:rsidR="002D50C5">
        <w:rPr>
          <w:szCs w:val="24"/>
        </w:rPr>
        <w:t xml:space="preserve"> in July 2015 and identified concerns regarding the </w:t>
      </w:r>
      <w:r w:rsidR="00F507F6">
        <w:rPr>
          <w:szCs w:val="24"/>
        </w:rPr>
        <w:t>use</w:t>
      </w:r>
      <w:r w:rsidR="002D50C5">
        <w:rPr>
          <w:szCs w:val="24"/>
        </w:rPr>
        <w:t xml:space="preserve"> of trial data in the economic </w:t>
      </w:r>
      <w:r w:rsidR="00732A64">
        <w:rPr>
          <w:szCs w:val="24"/>
        </w:rPr>
        <w:t>modelling</w:t>
      </w:r>
      <w:r w:rsidR="002D50C5">
        <w:rPr>
          <w:szCs w:val="24"/>
        </w:rPr>
        <w:t>.</w:t>
      </w:r>
      <w:r w:rsidR="00732A64">
        <w:rPr>
          <w:szCs w:val="24"/>
        </w:rPr>
        <w:t xml:space="preserve">  </w:t>
      </w:r>
      <w:r w:rsidR="00A478BF" w:rsidRPr="00E53FB1">
        <w:rPr>
          <w:szCs w:val="24"/>
        </w:rPr>
        <w:t xml:space="preserve">The resubmission </w:t>
      </w:r>
      <w:r w:rsidR="00732A64">
        <w:rPr>
          <w:szCs w:val="24"/>
        </w:rPr>
        <w:t xml:space="preserve">attempted to address these concerns and </w:t>
      </w:r>
      <w:r w:rsidR="00A710D8">
        <w:rPr>
          <w:szCs w:val="24"/>
        </w:rPr>
        <w:t>did not</w:t>
      </w:r>
      <w:r w:rsidR="00A478BF" w:rsidRPr="00E53FB1">
        <w:rPr>
          <w:szCs w:val="24"/>
        </w:rPr>
        <w:t xml:space="preserve"> </w:t>
      </w:r>
      <w:r w:rsidR="00732A64">
        <w:rPr>
          <w:szCs w:val="24"/>
        </w:rPr>
        <w:t>involve</w:t>
      </w:r>
      <w:r w:rsidR="00A478BF" w:rsidRPr="00E53FB1">
        <w:rPr>
          <w:szCs w:val="24"/>
        </w:rPr>
        <w:t xml:space="preserve"> </w:t>
      </w:r>
      <w:r w:rsidR="00732A64">
        <w:rPr>
          <w:szCs w:val="24"/>
        </w:rPr>
        <w:t xml:space="preserve">further </w:t>
      </w:r>
      <w:r w:rsidR="00A478BF" w:rsidRPr="00E53FB1">
        <w:rPr>
          <w:szCs w:val="24"/>
        </w:rPr>
        <w:t>change</w:t>
      </w:r>
      <w:r w:rsidR="00732A64">
        <w:rPr>
          <w:szCs w:val="24"/>
        </w:rPr>
        <w:t>s to application 1358</w:t>
      </w:r>
      <w:r w:rsidR="00F507F6">
        <w:rPr>
          <w:szCs w:val="24"/>
        </w:rPr>
        <w:t>.</w:t>
      </w:r>
      <w:r w:rsidR="00A478BF" w:rsidRPr="00E53FB1">
        <w:rPr>
          <w:szCs w:val="24"/>
        </w:rPr>
        <w:t xml:space="preserve"> </w:t>
      </w:r>
    </w:p>
    <w:p w14:paraId="5FD4312B" w14:textId="77777777" w:rsidR="00E977EE" w:rsidRPr="00F715D1" w:rsidRDefault="00E977EE" w:rsidP="00F715D1">
      <w:pPr>
        <w:pStyle w:val="Heading1"/>
      </w:pPr>
      <w:r w:rsidRPr="00F715D1">
        <w:t>MSAC’s advice to the Minister</w:t>
      </w:r>
    </w:p>
    <w:p w14:paraId="5FD4312C" w14:textId="77777777" w:rsidR="00AB00D9" w:rsidRPr="00AB00D9" w:rsidRDefault="00AB00D9" w:rsidP="00A710D8">
      <w:pPr>
        <w:pStyle w:val="BodyText"/>
        <w:spacing w:before="0" w:after="240" w:line="240" w:lineRule="auto"/>
        <w:rPr>
          <w:rFonts w:ascii="Times New Roman" w:hAnsi="Times New Roman"/>
          <w:sz w:val="24"/>
        </w:rPr>
      </w:pPr>
      <w:r w:rsidRPr="00AB00D9">
        <w:rPr>
          <w:rFonts w:ascii="Times New Roman" w:hAnsi="Times New Roman"/>
          <w:sz w:val="24"/>
        </w:rPr>
        <w:t>After considering the evidence presented in relation to the comparative safety, clinical effectiveness and cost-effectiveness</w:t>
      </w:r>
      <w:r w:rsidR="00750382">
        <w:rPr>
          <w:rFonts w:ascii="Times New Roman" w:hAnsi="Times New Roman"/>
          <w:sz w:val="24"/>
        </w:rPr>
        <w:t>,</w:t>
      </w:r>
      <w:r w:rsidRPr="00AB00D9">
        <w:rPr>
          <w:rFonts w:ascii="Times New Roman" w:hAnsi="Times New Roman"/>
          <w:sz w:val="24"/>
        </w:rPr>
        <w:t xml:space="preserve"> MSAC supported </w:t>
      </w:r>
      <w:r w:rsidR="00A710D8">
        <w:rPr>
          <w:rFonts w:ascii="Times New Roman" w:hAnsi="Times New Roman"/>
          <w:sz w:val="24"/>
        </w:rPr>
        <w:t>MBS</w:t>
      </w:r>
      <w:r w:rsidRPr="00AB00D9">
        <w:rPr>
          <w:rFonts w:ascii="Times New Roman" w:hAnsi="Times New Roman"/>
          <w:sz w:val="24"/>
        </w:rPr>
        <w:t xml:space="preserve"> funding of VNS therapy for a small patient population with refractory epilepsy and a high unmet clinical need. </w:t>
      </w:r>
      <w:r w:rsidR="00732A64">
        <w:rPr>
          <w:rFonts w:ascii="Times New Roman" w:hAnsi="Times New Roman"/>
          <w:sz w:val="24"/>
        </w:rPr>
        <w:t>I</w:t>
      </w:r>
      <w:r w:rsidR="00732A64" w:rsidRPr="00AB00D9">
        <w:rPr>
          <w:rFonts w:ascii="Times New Roman" w:hAnsi="Times New Roman"/>
          <w:sz w:val="24"/>
        </w:rPr>
        <w:t>n this context</w:t>
      </w:r>
      <w:r w:rsidR="00732A64">
        <w:rPr>
          <w:rFonts w:ascii="Times New Roman" w:hAnsi="Times New Roman"/>
          <w:sz w:val="24"/>
        </w:rPr>
        <w:t xml:space="preserve">, </w:t>
      </w:r>
      <w:r w:rsidRPr="00AB00D9">
        <w:rPr>
          <w:rFonts w:ascii="Times New Roman" w:hAnsi="Times New Roman"/>
          <w:sz w:val="24"/>
        </w:rPr>
        <w:t>MSAC accepted the high cost-effectiveness</w:t>
      </w:r>
      <w:r w:rsidR="00295951">
        <w:rPr>
          <w:rFonts w:ascii="Times New Roman" w:hAnsi="Times New Roman"/>
          <w:sz w:val="24"/>
        </w:rPr>
        <w:t xml:space="preserve"> ratio</w:t>
      </w:r>
      <w:r w:rsidR="00732A64">
        <w:rPr>
          <w:rFonts w:ascii="Times New Roman" w:hAnsi="Times New Roman"/>
          <w:sz w:val="24"/>
        </w:rPr>
        <w:t>.</w:t>
      </w:r>
      <w:r w:rsidRPr="00AB00D9">
        <w:rPr>
          <w:rFonts w:ascii="Times New Roman" w:hAnsi="Times New Roman"/>
          <w:sz w:val="24"/>
        </w:rPr>
        <w:t xml:space="preserve"> </w:t>
      </w:r>
    </w:p>
    <w:p w14:paraId="5FD4312D" w14:textId="77777777" w:rsidR="00550354" w:rsidRPr="00F715D1" w:rsidRDefault="00550354" w:rsidP="00F715D1">
      <w:pPr>
        <w:pStyle w:val="Heading1"/>
      </w:pPr>
      <w:r w:rsidRPr="00F715D1">
        <w:t xml:space="preserve">Summary of consideration and rationale for MSAC’s advice </w:t>
      </w:r>
    </w:p>
    <w:p w14:paraId="5FD4312E" w14:textId="77777777" w:rsidR="0064104C" w:rsidRDefault="00F507F6" w:rsidP="00CF0985">
      <w:pPr>
        <w:spacing w:after="240"/>
        <w:rPr>
          <w:szCs w:val="24"/>
        </w:rPr>
      </w:pPr>
      <w:r>
        <w:rPr>
          <w:szCs w:val="24"/>
        </w:rPr>
        <w:t>MSAC considered ap</w:t>
      </w:r>
      <w:r w:rsidRPr="00AB00D9">
        <w:rPr>
          <w:szCs w:val="24"/>
        </w:rPr>
        <w:t>plicatio</w:t>
      </w:r>
      <w:r>
        <w:rPr>
          <w:szCs w:val="24"/>
        </w:rPr>
        <w:t>ns for</w:t>
      </w:r>
      <w:r w:rsidR="00AB00D9" w:rsidRPr="00AB00D9">
        <w:rPr>
          <w:szCs w:val="24"/>
        </w:rPr>
        <w:t xml:space="preserve"> MBS listing of VNS therapy </w:t>
      </w:r>
      <w:r w:rsidR="00B42999">
        <w:rPr>
          <w:szCs w:val="24"/>
        </w:rPr>
        <w:t>for epilepsy</w:t>
      </w:r>
      <w:r w:rsidR="00AB00D9" w:rsidRPr="00AB00D9">
        <w:rPr>
          <w:szCs w:val="24"/>
        </w:rPr>
        <w:t xml:space="preserve"> in June</w:t>
      </w:r>
      <w:r w:rsidR="00B42999">
        <w:rPr>
          <w:szCs w:val="24"/>
        </w:rPr>
        <w:t> </w:t>
      </w:r>
      <w:r w:rsidR="00AB00D9" w:rsidRPr="00AB00D9">
        <w:rPr>
          <w:szCs w:val="24"/>
        </w:rPr>
        <w:t>2008</w:t>
      </w:r>
      <w:r w:rsidR="00B42999">
        <w:rPr>
          <w:szCs w:val="24"/>
        </w:rPr>
        <w:t>,</w:t>
      </w:r>
      <w:r w:rsidR="00AB00D9" w:rsidRPr="00AB00D9">
        <w:rPr>
          <w:szCs w:val="24"/>
        </w:rPr>
        <w:t xml:space="preserve"> and July 2015</w:t>
      </w:r>
      <w:r w:rsidR="00B42999">
        <w:rPr>
          <w:szCs w:val="24"/>
        </w:rPr>
        <w:t xml:space="preserve"> </w:t>
      </w:r>
      <w:r w:rsidR="00DD04FB">
        <w:rPr>
          <w:szCs w:val="24"/>
        </w:rPr>
        <w:t>but</w:t>
      </w:r>
      <w:r w:rsidR="00B42999">
        <w:rPr>
          <w:szCs w:val="24"/>
        </w:rPr>
        <w:t xml:space="preserve"> it </w:t>
      </w:r>
      <w:r w:rsidR="00AB00D9" w:rsidRPr="00AB00D9">
        <w:rPr>
          <w:szCs w:val="24"/>
        </w:rPr>
        <w:t>did not support public funding due to uncertain cost-effectiveness.</w:t>
      </w:r>
      <w:r w:rsidR="00D237AD">
        <w:rPr>
          <w:szCs w:val="24"/>
        </w:rPr>
        <w:t xml:space="preserve"> </w:t>
      </w:r>
      <w:r w:rsidR="00B42999">
        <w:rPr>
          <w:szCs w:val="24"/>
        </w:rPr>
        <w:t xml:space="preserve"> </w:t>
      </w:r>
      <w:r w:rsidR="00AB00D9" w:rsidRPr="00AB00D9">
        <w:rPr>
          <w:szCs w:val="24"/>
        </w:rPr>
        <w:t>MSAC accepted</w:t>
      </w:r>
      <w:r w:rsidR="00B42999">
        <w:rPr>
          <w:szCs w:val="24"/>
        </w:rPr>
        <w:t xml:space="preserve">, however, </w:t>
      </w:r>
      <w:r w:rsidR="00AB00D9" w:rsidRPr="00AB00D9">
        <w:rPr>
          <w:szCs w:val="24"/>
        </w:rPr>
        <w:t>the population, proposed treatment algorithm and comparator as appropriate</w:t>
      </w:r>
      <w:r w:rsidR="00295951">
        <w:rPr>
          <w:szCs w:val="24"/>
        </w:rPr>
        <w:t>.</w:t>
      </w:r>
    </w:p>
    <w:p w14:paraId="5FD4312F" w14:textId="77777777" w:rsidR="00AB00D9" w:rsidRPr="00AB00D9" w:rsidRDefault="00AB00D9" w:rsidP="00CF0985">
      <w:pPr>
        <w:spacing w:after="240"/>
        <w:rPr>
          <w:szCs w:val="24"/>
        </w:rPr>
      </w:pPr>
      <w:r w:rsidRPr="00AB00D9">
        <w:rPr>
          <w:szCs w:val="24"/>
        </w:rPr>
        <w:t>In reviewing the resubmission</w:t>
      </w:r>
      <w:r w:rsidR="00295951">
        <w:rPr>
          <w:szCs w:val="24"/>
        </w:rPr>
        <w:t>,</w:t>
      </w:r>
      <w:r w:rsidRPr="00AB00D9">
        <w:rPr>
          <w:szCs w:val="24"/>
        </w:rPr>
        <w:t xml:space="preserve"> MSAC considered that the revised model reasonably addressed t</w:t>
      </w:r>
      <w:r w:rsidR="00DF0868">
        <w:rPr>
          <w:szCs w:val="24"/>
        </w:rPr>
        <w:t>he</w:t>
      </w:r>
      <w:r w:rsidRPr="00AB00D9">
        <w:rPr>
          <w:szCs w:val="24"/>
        </w:rPr>
        <w:t xml:space="preserve"> issues </w:t>
      </w:r>
      <w:r w:rsidR="00DF0868">
        <w:rPr>
          <w:szCs w:val="24"/>
        </w:rPr>
        <w:t>raised at the July 2015 MSAC consideration</w:t>
      </w:r>
      <w:r w:rsidRPr="00AB00D9">
        <w:rPr>
          <w:szCs w:val="24"/>
        </w:rPr>
        <w:t xml:space="preserve">. </w:t>
      </w:r>
      <w:r w:rsidR="00CF0985">
        <w:rPr>
          <w:szCs w:val="24"/>
        </w:rPr>
        <w:t xml:space="preserve">Although </w:t>
      </w:r>
      <w:r w:rsidRPr="00AB00D9">
        <w:rPr>
          <w:szCs w:val="24"/>
        </w:rPr>
        <w:t>s</w:t>
      </w:r>
      <w:r w:rsidR="00CF0985">
        <w:rPr>
          <w:szCs w:val="24"/>
        </w:rPr>
        <w:t>ome residual uncertainty remained</w:t>
      </w:r>
      <w:r w:rsidRPr="00AB00D9">
        <w:rPr>
          <w:szCs w:val="24"/>
        </w:rPr>
        <w:t xml:space="preserve"> regarding the extrapolation of response rates in the model</w:t>
      </w:r>
      <w:r w:rsidR="00CF0985">
        <w:rPr>
          <w:szCs w:val="24"/>
        </w:rPr>
        <w:t xml:space="preserve"> </w:t>
      </w:r>
      <w:r w:rsidRPr="00AB00D9">
        <w:rPr>
          <w:szCs w:val="24"/>
        </w:rPr>
        <w:t xml:space="preserve">MSAC </w:t>
      </w:r>
      <w:r w:rsidR="00CF0985">
        <w:rPr>
          <w:szCs w:val="24"/>
        </w:rPr>
        <w:t>considered</w:t>
      </w:r>
      <w:r w:rsidRPr="00AB00D9">
        <w:rPr>
          <w:szCs w:val="24"/>
        </w:rPr>
        <w:t xml:space="preserve"> that this was adequately addressed in the sensitivity analyses provided by the applicant in </w:t>
      </w:r>
      <w:r w:rsidR="00CF0985">
        <w:rPr>
          <w:szCs w:val="24"/>
        </w:rPr>
        <w:t>the pre-MSAC response</w:t>
      </w:r>
      <w:r w:rsidRPr="00AB00D9">
        <w:rPr>
          <w:szCs w:val="24"/>
        </w:rPr>
        <w:t xml:space="preserve">. MSAC noted the low cost per seizure avoided, due to the high baseline rate of seizures in this population. MSAC </w:t>
      </w:r>
      <w:r w:rsidR="00CF0985">
        <w:rPr>
          <w:szCs w:val="24"/>
        </w:rPr>
        <w:t>considered</w:t>
      </w:r>
      <w:r w:rsidRPr="00AB00D9">
        <w:rPr>
          <w:szCs w:val="24"/>
        </w:rPr>
        <w:t xml:space="preserve"> that </w:t>
      </w:r>
      <w:r w:rsidR="00CF0985">
        <w:rPr>
          <w:szCs w:val="24"/>
        </w:rPr>
        <w:t xml:space="preserve">the base case ICER was high at approximately </w:t>
      </w:r>
      <w:r w:rsidRPr="00AB00D9">
        <w:rPr>
          <w:szCs w:val="24"/>
        </w:rPr>
        <w:t>$60,000 but in the context of high unmet clinical need agreed that this was reasonable.</w:t>
      </w:r>
    </w:p>
    <w:p w14:paraId="5FD43130" w14:textId="77777777" w:rsidR="00AB00D9" w:rsidRPr="00AB00D9" w:rsidRDefault="00AB00D9" w:rsidP="00CF0985">
      <w:pPr>
        <w:pStyle w:val="BodyText"/>
        <w:spacing w:after="240" w:line="240" w:lineRule="auto"/>
        <w:rPr>
          <w:rFonts w:ascii="Times New Roman" w:hAnsi="Times New Roman"/>
          <w:sz w:val="24"/>
          <w:lang w:eastAsia="en-US"/>
        </w:rPr>
      </w:pPr>
      <w:r w:rsidRPr="00AB00D9">
        <w:rPr>
          <w:rFonts w:ascii="Times New Roman" w:hAnsi="Times New Roman"/>
          <w:sz w:val="24"/>
          <w:lang w:eastAsia="en-US"/>
        </w:rPr>
        <w:lastRenderedPageBreak/>
        <w:t xml:space="preserve">MSAC noted that implantation of the device </w:t>
      </w:r>
      <w:r w:rsidR="00C307BE">
        <w:rPr>
          <w:rFonts w:ascii="Times New Roman" w:hAnsi="Times New Roman"/>
          <w:sz w:val="24"/>
          <w:lang w:eastAsia="en-US"/>
        </w:rPr>
        <w:t>made up</w:t>
      </w:r>
      <w:r w:rsidRPr="00AB00D9">
        <w:rPr>
          <w:rFonts w:ascii="Times New Roman" w:hAnsi="Times New Roman"/>
          <w:sz w:val="24"/>
          <w:lang w:eastAsia="en-US"/>
        </w:rPr>
        <w:t xml:space="preserve"> </w:t>
      </w:r>
      <w:r w:rsidR="001C6112">
        <w:rPr>
          <w:rFonts w:ascii="Times New Roman" w:hAnsi="Times New Roman"/>
          <w:sz w:val="24"/>
          <w:lang w:eastAsia="en-US"/>
        </w:rPr>
        <w:t xml:space="preserve">a </w:t>
      </w:r>
      <w:r w:rsidRPr="00AB00D9">
        <w:rPr>
          <w:rFonts w:ascii="Times New Roman" w:hAnsi="Times New Roman"/>
          <w:sz w:val="24"/>
          <w:lang w:eastAsia="en-US"/>
        </w:rPr>
        <w:t>small proportion of the total cost of</w:t>
      </w:r>
      <w:r w:rsidR="00295951">
        <w:rPr>
          <w:rFonts w:ascii="Times New Roman" w:hAnsi="Times New Roman"/>
          <w:sz w:val="24"/>
          <w:lang w:eastAsia="en-US"/>
        </w:rPr>
        <w:t xml:space="preserve"> VNS</w:t>
      </w:r>
      <w:r w:rsidRPr="00AB00D9">
        <w:rPr>
          <w:rFonts w:ascii="Times New Roman" w:hAnsi="Times New Roman"/>
          <w:sz w:val="24"/>
          <w:lang w:eastAsia="en-US"/>
        </w:rPr>
        <w:t xml:space="preserve"> therapy</w:t>
      </w:r>
      <w:r w:rsidR="00C307BE">
        <w:rPr>
          <w:rFonts w:ascii="Times New Roman" w:hAnsi="Times New Roman"/>
          <w:sz w:val="24"/>
          <w:lang w:eastAsia="en-US"/>
        </w:rPr>
        <w:t xml:space="preserve"> compared to </w:t>
      </w:r>
      <w:r w:rsidR="000076E8">
        <w:rPr>
          <w:rFonts w:ascii="Times New Roman" w:hAnsi="Times New Roman"/>
          <w:sz w:val="24"/>
          <w:lang w:eastAsia="en-US"/>
        </w:rPr>
        <w:t xml:space="preserve">the </w:t>
      </w:r>
      <w:r w:rsidR="00C307BE">
        <w:rPr>
          <w:rFonts w:ascii="Times New Roman" w:hAnsi="Times New Roman"/>
          <w:sz w:val="24"/>
          <w:lang w:eastAsia="en-US"/>
        </w:rPr>
        <w:t>prostheses</w:t>
      </w:r>
      <w:r w:rsidR="001C6112">
        <w:rPr>
          <w:rFonts w:ascii="Times New Roman" w:hAnsi="Times New Roman"/>
          <w:sz w:val="24"/>
          <w:lang w:eastAsia="en-US"/>
        </w:rPr>
        <w:t xml:space="preserve"> </w:t>
      </w:r>
      <w:r w:rsidR="00C307BE">
        <w:rPr>
          <w:rFonts w:ascii="Times New Roman" w:hAnsi="Times New Roman"/>
          <w:sz w:val="24"/>
          <w:lang w:eastAsia="en-US"/>
        </w:rPr>
        <w:t>costs</w:t>
      </w:r>
      <w:r w:rsidRPr="00AB00D9">
        <w:rPr>
          <w:rFonts w:ascii="Times New Roman" w:hAnsi="Times New Roman"/>
          <w:sz w:val="24"/>
          <w:lang w:eastAsia="en-US"/>
        </w:rPr>
        <w:t xml:space="preserve">. MSAC </w:t>
      </w:r>
      <w:r w:rsidR="00295951">
        <w:rPr>
          <w:rFonts w:ascii="Times New Roman" w:hAnsi="Times New Roman"/>
          <w:sz w:val="24"/>
          <w:lang w:eastAsia="en-US"/>
        </w:rPr>
        <w:t xml:space="preserve">considered </w:t>
      </w:r>
      <w:r w:rsidR="00CF0985">
        <w:rPr>
          <w:rFonts w:ascii="Times New Roman" w:hAnsi="Times New Roman"/>
          <w:sz w:val="24"/>
          <w:lang w:eastAsia="en-US"/>
        </w:rPr>
        <w:t>that the cost</w:t>
      </w:r>
      <w:r w:rsidR="00295951">
        <w:rPr>
          <w:rFonts w:ascii="Times New Roman" w:hAnsi="Times New Roman"/>
          <w:sz w:val="24"/>
          <w:lang w:eastAsia="en-US"/>
        </w:rPr>
        <w:t>s</w:t>
      </w:r>
      <w:r w:rsidR="00CF0985">
        <w:rPr>
          <w:rFonts w:ascii="Times New Roman" w:hAnsi="Times New Roman"/>
          <w:sz w:val="24"/>
          <w:lang w:eastAsia="en-US"/>
        </w:rPr>
        <w:t xml:space="preserve"> of the </w:t>
      </w:r>
      <w:r w:rsidR="00C307BE">
        <w:rPr>
          <w:rFonts w:ascii="Times New Roman" w:hAnsi="Times New Roman"/>
          <w:sz w:val="24"/>
          <w:lang w:eastAsia="en-US"/>
        </w:rPr>
        <w:t xml:space="preserve">electric pulse generator </w:t>
      </w:r>
      <w:r w:rsidR="00CF0985">
        <w:rPr>
          <w:rFonts w:ascii="Times New Roman" w:hAnsi="Times New Roman"/>
          <w:sz w:val="24"/>
          <w:lang w:eastAsia="en-US"/>
        </w:rPr>
        <w:t xml:space="preserve">and </w:t>
      </w:r>
      <w:r w:rsidR="00C307BE">
        <w:rPr>
          <w:rFonts w:ascii="Times New Roman" w:hAnsi="Times New Roman"/>
          <w:sz w:val="24"/>
          <w:lang w:eastAsia="en-US"/>
        </w:rPr>
        <w:t xml:space="preserve">lead </w:t>
      </w:r>
      <w:r w:rsidR="00295951">
        <w:rPr>
          <w:rFonts w:ascii="Times New Roman" w:hAnsi="Times New Roman"/>
          <w:sz w:val="24"/>
          <w:lang w:eastAsia="en-US"/>
        </w:rPr>
        <w:t>(about $</w:t>
      </w:r>
      <w:r w:rsidR="00C307BE">
        <w:rPr>
          <w:rFonts w:ascii="Times New Roman" w:hAnsi="Times New Roman"/>
          <w:sz w:val="24"/>
          <w:lang w:eastAsia="en-US"/>
        </w:rPr>
        <w:t>12</w:t>
      </w:r>
      <w:r w:rsidR="00295951">
        <w:rPr>
          <w:rFonts w:ascii="Times New Roman" w:hAnsi="Times New Roman"/>
          <w:sz w:val="24"/>
          <w:lang w:eastAsia="en-US"/>
        </w:rPr>
        <w:t>,</w:t>
      </w:r>
      <w:r w:rsidR="00C307BE">
        <w:rPr>
          <w:rFonts w:ascii="Times New Roman" w:hAnsi="Times New Roman"/>
          <w:sz w:val="24"/>
          <w:lang w:eastAsia="en-US"/>
        </w:rPr>
        <w:t>6</w:t>
      </w:r>
      <w:r w:rsidR="00295951">
        <w:rPr>
          <w:rFonts w:ascii="Times New Roman" w:hAnsi="Times New Roman"/>
          <w:sz w:val="24"/>
          <w:lang w:eastAsia="en-US"/>
        </w:rPr>
        <w:t xml:space="preserve">00 and </w:t>
      </w:r>
      <w:r w:rsidR="00295951" w:rsidRPr="00AB00D9">
        <w:rPr>
          <w:rFonts w:ascii="Times New Roman" w:hAnsi="Times New Roman"/>
          <w:sz w:val="24"/>
          <w:lang w:eastAsia="en-US"/>
        </w:rPr>
        <w:t>$</w:t>
      </w:r>
      <w:r w:rsidR="00C307BE">
        <w:rPr>
          <w:rFonts w:ascii="Times New Roman" w:hAnsi="Times New Roman"/>
          <w:sz w:val="24"/>
          <w:lang w:eastAsia="en-US"/>
        </w:rPr>
        <w:t>3,400</w:t>
      </w:r>
      <w:r w:rsidR="00295951">
        <w:rPr>
          <w:rFonts w:ascii="Times New Roman" w:hAnsi="Times New Roman"/>
          <w:sz w:val="24"/>
          <w:lang w:eastAsia="en-US"/>
        </w:rPr>
        <w:t xml:space="preserve"> respectively</w:t>
      </w:r>
      <w:r w:rsidRPr="00AB00D9">
        <w:rPr>
          <w:rFonts w:ascii="Times New Roman" w:hAnsi="Times New Roman"/>
          <w:sz w:val="24"/>
          <w:lang w:eastAsia="en-US"/>
        </w:rPr>
        <w:t xml:space="preserve">) </w:t>
      </w:r>
      <w:r w:rsidR="00295951">
        <w:rPr>
          <w:rFonts w:ascii="Times New Roman" w:hAnsi="Times New Roman"/>
          <w:sz w:val="24"/>
          <w:lang w:eastAsia="en-US"/>
        </w:rPr>
        <w:t>we</w:t>
      </w:r>
      <w:r w:rsidR="00295951" w:rsidRPr="00AB00D9">
        <w:rPr>
          <w:rFonts w:ascii="Times New Roman" w:hAnsi="Times New Roman"/>
          <w:sz w:val="24"/>
          <w:lang w:eastAsia="en-US"/>
        </w:rPr>
        <w:t xml:space="preserve">re </w:t>
      </w:r>
      <w:r w:rsidRPr="00AB00D9">
        <w:rPr>
          <w:rFonts w:ascii="Times New Roman" w:hAnsi="Times New Roman"/>
          <w:sz w:val="24"/>
          <w:lang w:eastAsia="en-US"/>
        </w:rPr>
        <w:t>high and</w:t>
      </w:r>
      <w:r w:rsidR="00295951">
        <w:rPr>
          <w:rFonts w:ascii="Times New Roman" w:hAnsi="Times New Roman"/>
          <w:sz w:val="24"/>
          <w:lang w:eastAsia="en-US"/>
        </w:rPr>
        <w:t xml:space="preserve"> that,</w:t>
      </w:r>
      <w:r w:rsidRPr="00AB00D9">
        <w:rPr>
          <w:rFonts w:ascii="Times New Roman" w:hAnsi="Times New Roman"/>
          <w:sz w:val="24"/>
          <w:lang w:eastAsia="en-US"/>
        </w:rPr>
        <w:t xml:space="preserve"> </w:t>
      </w:r>
      <w:r w:rsidR="00295951">
        <w:rPr>
          <w:rFonts w:ascii="Times New Roman" w:hAnsi="Times New Roman"/>
          <w:sz w:val="24"/>
          <w:lang w:eastAsia="en-US"/>
        </w:rPr>
        <w:t>given</w:t>
      </w:r>
      <w:r w:rsidRPr="00AB00D9">
        <w:rPr>
          <w:rFonts w:ascii="Times New Roman" w:hAnsi="Times New Roman"/>
          <w:sz w:val="24"/>
          <w:lang w:eastAsia="en-US"/>
        </w:rPr>
        <w:t xml:space="preserve"> the high </w:t>
      </w:r>
      <w:proofErr w:type="gramStart"/>
      <w:r w:rsidRPr="00AB00D9">
        <w:rPr>
          <w:rFonts w:ascii="Times New Roman" w:hAnsi="Times New Roman"/>
          <w:sz w:val="24"/>
          <w:lang w:eastAsia="en-US"/>
        </w:rPr>
        <w:t>ICER,</w:t>
      </w:r>
      <w:proofErr w:type="gramEnd"/>
      <w:r w:rsidRPr="00AB00D9">
        <w:rPr>
          <w:rFonts w:ascii="Times New Roman" w:hAnsi="Times New Roman"/>
          <w:sz w:val="24"/>
          <w:lang w:eastAsia="en-US"/>
        </w:rPr>
        <w:t xml:space="preserve"> the Prostheses List Advisory Committee (PLAC) </w:t>
      </w:r>
      <w:r w:rsidR="00295951">
        <w:rPr>
          <w:rFonts w:ascii="Times New Roman" w:hAnsi="Times New Roman"/>
          <w:sz w:val="24"/>
          <w:lang w:eastAsia="en-US"/>
        </w:rPr>
        <w:t>should be advised that the</w:t>
      </w:r>
      <w:r w:rsidR="000076E8">
        <w:rPr>
          <w:rFonts w:ascii="Times New Roman" w:hAnsi="Times New Roman"/>
          <w:sz w:val="24"/>
          <w:lang w:eastAsia="en-US"/>
        </w:rPr>
        <w:t xml:space="preserve"> costs</w:t>
      </w:r>
      <w:r w:rsidR="00295951">
        <w:rPr>
          <w:rFonts w:ascii="Times New Roman" w:hAnsi="Times New Roman"/>
          <w:sz w:val="24"/>
          <w:lang w:eastAsia="en-US"/>
        </w:rPr>
        <w:t xml:space="preserve"> we</w:t>
      </w:r>
      <w:r w:rsidRPr="00AB00D9">
        <w:rPr>
          <w:rFonts w:ascii="Times New Roman" w:hAnsi="Times New Roman"/>
          <w:sz w:val="24"/>
          <w:lang w:eastAsia="en-US"/>
        </w:rPr>
        <w:t>re at the upper limit of cost-effective</w:t>
      </w:r>
      <w:r w:rsidR="00C307BE">
        <w:rPr>
          <w:rFonts w:ascii="Times New Roman" w:hAnsi="Times New Roman"/>
          <w:sz w:val="24"/>
          <w:lang w:eastAsia="en-US"/>
        </w:rPr>
        <w:t>ness</w:t>
      </w:r>
      <w:r w:rsidRPr="00AB00D9">
        <w:rPr>
          <w:rFonts w:ascii="Times New Roman" w:hAnsi="Times New Roman"/>
          <w:sz w:val="24"/>
          <w:lang w:eastAsia="en-US"/>
        </w:rPr>
        <w:t xml:space="preserve">. </w:t>
      </w:r>
      <w:r w:rsidR="00C307BE">
        <w:rPr>
          <w:rFonts w:ascii="Times New Roman" w:hAnsi="Times New Roman"/>
          <w:sz w:val="24"/>
          <w:lang w:eastAsia="en-US"/>
        </w:rPr>
        <w:t xml:space="preserve"> </w:t>
      </w:r>
      <w:r w:rsidRPr="00AB00D9">
        <w:rPr>
          <w:rFonts w:ascii="Times New Roman" w:hAnsi="Times New Roman"/>
          <w:sz w:val="24"/>
          <w:lang w:eastAsia="en-US"/>
        </w:rPr>
        <w:t xml:space="preserve">MSAC strongly encouraged consideration of a reduction in the </w:t>
      </w:r>
      <w:r w:rsidR="00C307BE">
        <w:rPr>
          <w:rFonts w:ascii="Times New Roman" w:hAnsi="Times New Roman"/>
          <w:sz w:val="24"/>
          <w:lang w:eastAsia="en-US"/>
        </w:rPr>
        <w:t>costs</w:t>
      </w:r>
      <w:r w:rsidR="00C307BE" w:rsidRPr="00AB00D9">
        <w:rPr>
          <w:rFonts w:ascii="Times New Roman" w:hAnsi="Times New Roman"/>
          <w:sz w:val="24"/>
          <w:lang w:eastAsia="en-US"/>
        </w:rPr>
        <w:t xml:space="preserve"> </w:t>
      </w:r>
      <w:r w:rsidRPr="00AB00D9">
        <w:rPr>
          <w:rFonts w:ascii="Times New Roman" w:hAnsi="Times New Roman"/>
          <w:sz w:val="24"/>
          <w:lang w:eastAsia="en-US"/>
        </w:rPr>
        <w:t xml:space="preserve">of the device and battery. </w:t>
      </w:r>
    </w:p>
    <w:p w14:paraId="5FD43131" w14:textId="77777777" w:rsidR="00AB00D9" w:rsidRPr="00AB00D9" w:rsidRDefault="00AB00D9" w:rsidP="00CF0985">
      <w:pPr>
        <w:pStyle w:val="BodyText"/>
        <w:spacing w:after="240" w:line="240" w:lineRule="auto"/>
        <w:rPr>
          <w:rFonts w:ascii="Times New Roman" w:hAnsi="Times New Roman"/>
          <w:sz w:val="24"/>
          <w:lang w:eastAsia="en-US"/>
        </w:rPr>
      </w:pPr>
      <w:r w:rsidRPr="00AB00D9">
        <w:rPr>
          <w:rFonts w:ascii="Times New Roman" w:hAnsi="Times New Roman"/>
          <w:sz w:val="24"/>
          <w:lang w:eastAsia="en-US"/>
        </w:rPr>
        <w:t xml:space="preserve">MSAC acknowledged that the </w:t>
      </w:r>
      <w:r w:rsidR="00C307BE">
        <w:rPr>
          <w:rFonts w:ascii="Times New Roman" w:hAnsi="Times New Roman"/>
          <w:sz w:val="24"/>
          <w:lang w:eastAsia="en-US"/>
        </w:rPr>
        <w:t>financial</w:t>
      </w:r>
      <w:r w:rsidRPr="00AB00D9">
        <w:rPr>
          <w:rFonts w:ascii="Times New Roman" w:hAnsi="Times New Roman"/>
          <w:sz w:val="24"/>
          <w:lang w:eastAsia="en-US"/>
        </w:rPr>
        <w:t xml:space="preserve"> impact of the proposed service </w:t>
      </w:r>
      <w:r w:rsidR="00C307BE">
        <w:rPr>
          <w:rFonts w:ascii="Times New Roman" w:hAnsi="Times New Roman"/>
          <w:sz w:val="24"/>
          <w:lang w:eastAsia="en-US"/>
        </w:rPr>
        <w:t>wa</w:t>
      </w:r>
      <w:r w:rsidRPr="00AB00D9">
        <w:rPr>
          <w:rFonts w:ascii="Times New Roman" w:hAnsi="Times New Roman"/>
          <w:sz w:val="24"/>
          <w:lang w:eastAsia="en-US"/>
        </w:rPr>
        <w:t xml:space="preserve">s likely to be small. </w:t>
      </w:r>
    </w:p>
    <w:p w14:paraId="5FD43132" w14:textId="77777777" w:rsidR="00550354" w:rsidRPr="00AB00D9" w:rsidRDefault="00AB00D9" w:rsidP="00CF0985">
      <w:pPr>
        <w:pStyle w:val="BodyText"/>
        <w:spacing w:after="240" w:line="240" w:lineRule="auto"/>
        <w:rPr>
          <w:rFonts w:ascii="Times New Roman" w:hAnsi="Times New Roman"/>
          <w:sz w:val="24"/>
          <w:lang w:eastAsia="en-US"/>
        </w:rPr>
      </w:pPr>
      <w:r w:rsidRPr="00AB00D9">
        <w:rPr>
          <w:rFonts w:ascii="Times New Roman" w:hAnsi="Times New Roman"/>
          <w:sz w:val="24"/>
          <w:lang w:eastAsia="en-US"/>
        </w:rPr>
        <w:t>MSAC advised that the item descriptor should be amended to specify stimulation via the left vagal nerve and that there should be a separate item for battery replacement.</w:t>
      </w:r>
    </w:p>
    <w:p w14:paraId="5FD43133" w14:textId="77777777" w:rsidR="00BC1364" w:rsidRPr="00F715D1" w:rsidRDefault="00BC1364" w:rsidP="00F715D1">
      <w:pPr>
        <w:pStyle w:val="Heading1"/>
      </w:pPr>
      <w:r w:rsidRPr="00F715D1">
        <w:t>Background</w:t>
      </w:r>
    </w:p>
    <w:p w14:paraId="5FD43134" w14:textId="77777777" w:rsidR="000D25B3" w:rsidRPr="00E53FB1" w:rsidRDefault="000D25B3" w:rsidP="000D25B3">
      <w:pPr>
        <w:tabs>
          <w:tab w:val="left" w:pos="3915"/>
        </w:tabs>
        <w:rPr>
          <w:szCs w:val="24"/>
        </w:rPr>
      </w:pPr>
      <w:r w:rsidRPr="00E53FB1">
        <w:rPr>
          <w:szCs w:val="24"/>
        </w:rPr>
        <w:t xml:space="preserve">Application 1358 was considered at the July 2015 MSAC meeting. </w:t>
      </w:r>
      <w:r w:rsidRPr="00E53FB1">
        <w:t>MSAC did not support public funding because of uncertain cost</w:t>
      </w:r>
      <w:r w:rsidRPr="00E53FB1">
        <w:noBreakHyphen/>
        <w:t>effectiveness. MSAC accepted there was some clinical benefit in a small patient population with a high unmet clinical need, albeit supported by limited data.</w:t>
      </w:r>
    </w:p>
    <w:p w14:paraId="5FD43135" w14:textId="77777777" w:rsidR="000D25B3" w:rsidRPr="00E53FB1" w:rsidRDefault="000D25B3" w:rsidP="000D25B3">
      <w:pPr>
        <w:rPr>
          <w:szCs w:val="24"/>
        </w:rPr>
      </w:pPr>
    </w:p>
    <w:p w14:paraId="5FD43136" w14:textId="77777777" w:rsidR="000D25B3" w:rsidRPr="00E53FB1" w:rsidRDefault="000D25B3" w:rsidP="000D25B3">
      <w:pPr>
        <w:rPr>
          <w:szCs w:val="24"/>
        </w:rPr>
      </w:pPr>
      <w:r w:rsidRPr="00E53FB1">
        <w:rPr>
          <w:szCs w:val="24"/>
        </w:rPr>
        <w:t>MSAC considered that any reapplication should address the issues identified with the economic evaluation by:</w:t>
      </w:r>
    </w:p>
    <w:p w14:paraId="5FD43137" w14:textId="77777777" w:rsidR="000D25B3" w:rsidRPr="000D25B3" w:rsidRDefault="000D25B3" w:rsidP="000D25B3">
      <w:pPr>
        <w:pStyle w:val="ListParagraph"/>
        <w:widowControl w:val="0"/>
        <w:numPr>
          <w:ilvl w:val="0"/>
          <w:numId w:val="27"/>
        </w:numPr>
        <w:rPr>
          <w:szCs w:val="24"/>
        </w:rPr>
      </w:pPr>
      <w:r w:rsidRPr="000D25B3">
        <w:rPr>
          <w:szCs w:val="24"/>
        </w:rPr>
        <w:t>providing a simple economic model with a cost-utility analysis;</w:t>
      </w:r>
    </w:p>
    <w:p w14:paraId="5FD43138" w14:textId="77777777" w:rsidR="000D25B3" w:rsidRPr="000D25B3" w:rsidRDefault="000D25B3" w:rsidP="000D25B3">
      <w:pPr>
        <w:pStyle w:val="ListParagraph"/>
        <w:widowControl w:val="0"/>
        <w:numPr>
          <w:ilvl w:val="0"/>
          <w:numId w:val="27"/>
        </w:numPr>
        <w:rPr>
          <w:szCs w:val="24"/>
        </w:rPr>
      </w:pPr>
      <w:r w:rsidRPr="000D25B3">
        <w:rPr>
          <w:szCs w:val="24"/>
        </w:rPr>
        <w:t>including time horizon over 5 years, with sensitivity analyses for time horizons between 1 and 10 years;</w:t>
      </w:r>
    </w:p>
    <w:p w14:paraId="5FD43139" w14:textId="77777777" w:rsidR="000D25B3" w:rsidRPr="000D25B3" w:rsidRDefault="000D25B3" w:rsidP="000D25B3">
      <w:pPr>
        <w:pStyle w:val="ListParagraph"/>
        <w:widowControl w:val="0"/>
        <w:numPr>
          <w:ilvl w:val="0"/>
          <w:numId w:val="27"/>
        </w:numPr>
        <w:rPr>
          <w:szCs w:val="24"/>
        </w:rPr>
      </w:pPr>
      <w:r w:rsidRPr="000D25B3">
        <w:rPr>
          <w:szCs w:val="24"/>
        </w:rPr>
        <w:t>including dis</w:t>
      </w:r>
      <w:r w:rsidRPr="00E53FB1">
        <w:t>utility</w:t>
      </w:r>
      <w:r w:rsidRPr="000D25B3">
        <w:rPr>
          <w:szCs w:val="24"/>
        </w:rPr>
        <w:t xml:space="preserve"> for side effects; and</w:t>
      </w:r>
    </w:p>
    <w:p w14:paraId="5FD4313A" w14:textId="77777777" w:rsidR="000D25B3" w:rsidRPr="000D25B3" w:rsidRDefault="000D25B3" w:rsidP="000076E8">
      <w:pPr>
        <w:pStyle w:val="ListParagraph"/>
        <w:widowControl w:val="0"/>
        <w:numPr>
          <w:ilvl w:val="0"/>
          <w:numId w:val="27"/>
        </w:numPr>
        <w:spacing w:after="240"/>
        <w:rPr>
          <w:szCs w:val="24"/>
        </w:rPr>
      </w:pPr>
      <w:proofErr w:type="gramStart"/>
      <w:r w:rsidRPr="000D25B3">
        <w:rPr>
          <w:szCs w:val="24"/>
        </w:rPr>
        <w:t>providing</w:t>
      </w:r>
      <w:proofErr w:type="gramEnd"/>
      <w:r w:rsidRPr="000D25B3">
        <w:rPr>
          <w:szCs w:val="24"/>
        </w:rPr>
        <w:t xml:space="preserve"> cost per seizure avoided.</w:t>
      </w:r>
    </w:p>
    <w:p w14:paraId="5FD4313B" w14:textId="77777777" w:rsidR="000D25B3" w:rsidRPr="00E53FB1" w:rsidDel="0064104C" w:rsidRDefault="000D25B3" w:rsidP="000D25B3">
      <w:pPr>
        <w:widowControl w:val="0"/>
        <w:rPr>
          <w:szCs w:val="24"/>
        </w:rPr>
      </w:pPr>
      <w:r w:rsidDel="0064104C">
        <w:rPr>
          <w:rFonts w:ascii="TimesNewRomanPSMT" w:eastAsia="Calibri" w:hAnsi="TimesNewRomanPSMT" w:cs="TimesNewRomanPSMT"/>
          <w:szCs w:val="24"/>
        </w:rPr>
        <w:t>The PSD for this previous application can be viewed on the MSAC website.</w:t>
      </w:r>
    </w:p>
    <w:p w14:paraId="5FD4313C" w14:textId="77777777" w:rsidR="00BC1364" w:rsidRPr="00F715D1" w:rsidRDefault="00BC1364" w:rsidP="00F715D1">
      <w:pPr>
        <w:pStyle w:val="Heading1"/>
      </w:pPr>
      <w:r w:rsidRPr="00F715D1">
        <w:t>Prerequisites to implementation of any funding advice</w:t>
      </w:r>
    </w:p>
    <w:p w14:paraId="5FD4313D" w14:textId="77777777" w:rsidR="000D25B3" w:rsidRDefault="000D25B3" w:rsidP="000D25B3">
      <w:pPr>
        <w:tabs>
          <w:tab w:val="left" w:pos="720"/>
          <w:tab w:val="left" w:pos="1140"/>
        </w:tabs>
      </w:pPr>
      <w:r w:rsidRPr="00E53FB1">
        <w:t>VNS therapy was approved by the Therapeutic Goods Administration (TGA) for “use as an adjunctive therapy in reducing the frequency of seizures in patients whose epileptic disorder is dominated by partial seizures (with or without secondary generalisation) or generalised seizures that are refractory</w:t>
      </w:r>
      <w:r>
        <w:t xml:space="preserve"> to antiepileptic medications”.</w:t>
      </w:r>
    </w:p>
    <w:p w14:paraId="5FD4313E" w14:textId="77777777" w:rsidR="00BC1364" w:rsidRPr="00F715D1" w:rsidRDefault="00BC1364" w:rsidP="00F715D1">
      <w:pPr>
        <w:pStyle w:val="Heading1"/>
      </w:pPr>
      <w:r w:rsidRPr="00F715D1">
        <w:t>Proposal for public funding</w:t>
      </w:r>
    </w:p>
    <w:p w14:paraId="5FD4313F" w14:textId="77777777" w:rsidR="000D25B3" w:rsidRPr="00DE3F78" w:rsidRDefault="000D25B3" w:rsidP="00CF0985">
      <w:pPr>
        <w:pStyle w:val="ExecSummText"/>
        <w:jc w:val="left"/>
        <w:rPr>
          <w:rFonts w:ascii="Times New Roman" w:hAnsi="Times New Roman" w:cs="Times New Roman"/>
          <w:sz w:val="24"/>
        </w:rPr>
      </w:pPr>
      <w:r w:rsidRPr="00E53FB1">
        <w:rPr>
          <w:rFonts w:ascii="Times New Roman" w:hAnsi="Times New Roman" w:cs="Times New Roman"/>
          <w:sz w:val="24"/>
        </w:rPr>
        <w:t xml:space="preserve">The proposed item descriptors for VNS therapy are shown in </w:t>
      </w:r>
      <w:r w:rsidR="000076E8">
        <w:rPr>
          <w:rFonts w:ascii="Times New Roman" w:hAnsi="Times New Roman" w:cs="Times New Roman"/>
          <w:sz w:val="24"/>
        </w:rPr>
        <w:fldChar w:fldCharType="begin"/>
      </w:r>
      <w:r w:rsidR="000076E8">
        <w:rPr>
          <w:rFonts w:ascii="Times New Roman" w:hAnsi="Times New Roman" w:cs="Times New Roman"/>
          <w:sz w:val="24"/>
        </w:rPr>
        <w:instrText xml:space="preserve"> REF _Ref469645581 \h  \* MERGEFORMAT </w:instrText>
      </w:r>
      <w:r w:rsidR="000076E8">
        <w:rPr>
          <w:rFonts w:ascii="Times New Roman" w:hAnsi="Times New Roman" w:cs="Times New Roman"/>
          <w:sz w:val="24"/>
        </w:rPr>
      </w:r>
      <w:r w:rsidR="000076E8">
        <w:rPr>
          <w:rFonts w:ascii="Times New Roman" w:hAnsi="Times New Roman" w:cs="Times New Roman"/>
          <w:sz w:val="24"/>
        </w:rPr>
        <w:fldChar w:fldCharType="separate"/>
      </w:r>
      <w:r w:rsidR="000076E8" w:rsidRPr="000076E8">
        <w:rPr>
          <w:rFonts w:ascii="Times New Roman" w:hAnsi="Times New Roman" w:cs="Times New Roman"/>
          <w:sz w:val="24"/>
        </w:rPr>
        <w:t>Table 1</w:t>
      </w:r>
      <w:r w:rsidR="000076E8">
        <w:rPr>
          <w:rFonts w:ascii="Times New Roman" w:hAnsi="Times New Roman" w:cs="Times New Roman"/>
          <w:sz w:val="24"/>
        </w:rPr>
        <w:fldChar w:fldCharType="end"/>
      </w:r>
      <w:r w:rsidRPr="00E53FB1">
        <w:rPr>
          <w:rFonts w:ascii="Times New Roman" w:hAnsi="Times New Roman" w:cs="Times New Roman"/>
          <w:sz w:val="24"/>
        </w:rPr>
        <w:t xml:space="preserve">.  </w:t>
      </w:r>
    </w:p>
    <w:p w14:paraId="5FD43140" w14:textId="77777777" w:rsidR="000D25B3" w:rsidRPr="00AB4C09" w:rsidRDefault="000076E8" w:rsidP="00AB4C09">
      <w:pPr>
        <w:pStyle w:val="Caption"/>
        <w:rPr>
          <w:rStyle w:val="Strong"/>
        </w:rPr>
      </w:pPr>
      <w:bookmarkStart w:id="1" w:name="_Ref469645581"/>
      <w:r w:rsidRPr="00AB4C09">
        <w:rPr>
          <w:rStyle w:val="Strong"/>
        </w:rPr>
        <w:t xml:space="preserve">Table </w:t>
      </w:r>
      <w:r w:rsidRPr="00AB4C09">
        <w:rPr>
          <w:rStyle w:val="Strong"/>
        </w:rPr>
        <w:fldChar w:fldCharType="begin"/>
      </w:r>
      <w:r w:rsidRPr="00AB4C09">
        <w:rPr>
          <w:rStyle w:val="Strong"/>
        </w:rPr>
        <w:instrText xml:space="preserve"> SEQ Table \* ARABIC </w:instrText>
      </w:r>
      <w:r w:rsidRPr="00AB4C09">
        <w:rPr>
          <w:rStyle w:val="Strong"/>
        </w:rPr>
        <w:fldChar w:fldCharType="separate"/>
      </w:r>
      <w:r w:rsidR="005709FB" w:rsidRPr="00AB4C09">
        <w:rPr>
          <w:rStyle w:val="Strong"/>
        </w:rPr>
        <w:t>1</w:t>
      </w:r>
      <w:r w:rsidRPr="00AB4C09">
        <w:rPr>
          <w:rStyle w:val="Strong"/>
        </w:rPr>
        <w:fldChar w:fldCharType="end"/>
      </w:r>
      <w:bookmarkEnd w:id="1"/>
      <w:r w:rsidRPr="00AB4C09">
        <w:rPr>
          <w:rStyle w:val="Strong"/>
        </w:rPr>
        <w:tab/>
      </w:r>
      <w:r w:rsidRPr="00AB4C09">
        <w:rPr>
          <w:rStyle w:val="Strong"/>
        </w:rPr>
        <w:tab/>
        <w:t>Proposed MBS item descriptors</w:t>
      </w:r>
      <w:r w:rsidR="00C450A8" w:rsidRPr="00AB4C09">
        <w:rPr>
          <w:rStyle w:val="Strong"/>
        </w:rPr>
        <w:t>,</w:t>
      </w:r>
      <w:r w:rsidRPr="00AB4C09">
        <w:rPr>
          <w:rStyle w:val="Strong"/>
        </w:rPr>
        <w:t xml:space="preserve"> specifically for use with VNS therapy</w:t>
      </w:r>
    </w:p>
    <w:tbl>
      <w:tblPr>
        <w:tblStyle w:val="TableGrid11"/>
        <w:tblW w:w="0" w:type="auto"/>
        <w:tblLook w:val="04A0" w:firstRow="1" w:lastRow="0" w:firstColumn="1" w:lastColumn="0" w:noHBand="0" w:noVBand="1"/>
        <w:tblCaption w:val="Table 1 - Proposed MBS item descriptors specifically for use with vns therapy"/>
        <w:tblDescription w:val="Table 1 - Proposed MBS item descriptors specifically for use with vns therapy"/>
      </w:tblPr>
      <w:tblGrid>
        <w:gridCol w:w="9004"/>
      </w:tblGrid>
      <w:tr w:rsidR="000D25B3" w:rsidRPr="00E53FB1" w14:paraId="5FD43142" w14:textId="77777777" w:rsidTr="0013020C">
        <w:trPr>
          <w:tblHeader/>
        </w:trPr>
        <w:tc>
          <w:tcPr>
            <w:tcW w:w="9004" w:type="dxa"/>
            <w:shd w:val="clear" w:color="auto" w:fill="D9D9D9" w:themeFill="background1" w:themeFillShade="D9"/>
          </w:tcPr>
          <w:p w14:paraId="5FD43141" w14:textId="77777777" w:rsidR="000D25B3" w:rsidRPr="00E53FB1" w:rsidRDefault="000D25B3" w:rsidP="00B42999">
            <w:pPr>
              <w:pStyle w:val="Tablehead"/>
              <w:rPr>
                <w:rFonts w:ascii="Times New Roman" w:hAnsi="Times New Roman"/>
              </w:rPr>
            </w:pPr>
            <w:r>
              <w:rPr>
                <w:rFonts w:ascii="Times New Roman" w:hAnsi="Times New Roman"/>
              </w:rPr>
              <w:t>Surgical p</w:t>
            </w:r>
            <w:r w:rsidRPr="00E53FB1">
              <w:rPr>
                <w:rFonts w:ascii="Times New Roman" w:hAnsi="Times New Roman"/>
              </w:rPr>
              <w:t>lacement of electrical pulse generator</w:t>
            </w:r>
          </w:p>
        </w:tc>
      </w:tr>
      <w:tr w:rsidR="000D25B3" w:rsidRPr="00E53FB1" w14:paraId="5FD43148" w14:textId="77777777" w:rsidTr="000076E8">
        <w:tc>
          <w:tcPr>
            <w:tcW w:w="9004" w:type="dxa"/>
          </w:tcPr>
          <w:p w14:paraId="5FD43143" w14:textId="77777777" w:rsidR="000D25B3" w:rsidRPr="00E53FB1" w:rsidRDefault="000D25B3" w:rsidP="00B42999">
            <w:pPr>
              <w:pStyle w:val="Tabletext"/>
              <w:rPr>
                <w:rFonts w:ascii="Times New Roman" w:hAnsi="Times New Roman"/>
              </w:rPr>
            </w:pPr>
            <w:r w:rsidRPr="00E53FB1">
              <w:rPr>
                <w:rFonts w:ascii="Times New Roman" w:hAnsi="Times New Roman"/>
              </w:rPr>
              <w:t>TBC</w:t>
            </w:r>
          </w:p>
          <w:p w14:paraId="5FD43144" w14:textId="77777777" w:rsidR="000D25B3" w:rsidRPr="00E53FB1" w:rsidRDefault="000D25B3" w:rsidP="00B42999">
            <w:pPr>
              <w:pStyle w:val="Tabletext"/>
              <w:rPr>
                <w:rFonts w:ascii="Times New Roman" w:hAnsi="Times New Roman"/>
              </w:rPr>
            </w:pPr>
            <w:r w:rsidRPr="00E53FB1">
              <w:rPr>
                <w:rFonts w:ascii="Times New Roman" w:hAnsi="Times New Roman"/>
              </w:rPr>
              <w:t xml:space="preserve">VNS </w:t>
            </w:r>
            <w:r>
              <w:rPr>
                <w:rFonts w:ascii="Times New Roman" w:hAnsi="Times New Roman"/>
              </w:rPr>
              <w:t>t</w:t>
            </w:r>
            <w:r w:rsidRPr="00E53FB1">
              <w:rPr>
                <w:rFonts w:ascii="Times New Roman" w:hAnsi="Times New Roman"/>
              </w:rPr>
              <w:t xml:space="preserve">herapy ELECTRICAL PULSE GENERATOR, subcutaneous placement of, for the management of refractory generalised epilepsy, or treating refractory focal epilepsy that is not suitable for </w:t>
            </w:r>
            <w:proofErr w:type="spellStart"/>
            <w:r w:rsidRPr="00E53FB1">
              <w:rPr>
                <w:rFonts w:ascii="Times New Roman" w:hAnsi="Times New Roman"/>
              </w:rPr>
              <w:t>resective</w:t>
            </w:r>
            <w:proofErr w:type="spellEnd"/>
            <w:r w:rsidRPr="00E53FB1">
              <w:rPr>
                <w:rFonts w:ascii="Times New Roman" w:hAnsi="Times New Roman"/>
              </w:rPr>
              <w:t xml:space="preserve"> epilepsy surgery through stimulation of the vagus nerve</w:t>
            </w:r>
          </w:p>
          <w:p w14:paraId="5FD43145" w14:textId="77777777" w:rsidR="000D25B3" w:rsidRPr="00E53FB1" w:rsidRDefault="000D25B3" w:rsidP="00B42999">
            <w:pPr>
              <w:pStyle w:val="Tabletext"/>
              <w:rPr>
                <w:rFonts w:ascii="Times New Roman" w:hAnsi="Times New Roman"/>
              </w:rPr>
            </w:pPr>
            <w:r w:rsidRPr="00E53FB1">
              <w:rPr>
                <w:rFonts w:ascii="Times New Roman" w:hAnsi="Times New Roman"/>
              </w:rPr>
              <w:t xml:space="preserve">Multiple Services Rule </w:t>
            </w:r>
          </w:p>
          <w:p w14:paraId="5FD43146" w14:textId="77777777" w:rsidR="000D25B3" w:rsidRPr="00E53FB1" w:rsidRDefault="000D25B3" w:rsidP="00B42999">
            <w:pPr>
              <w:pStyle w:val="Tabletext"/>
              <w:rPr>
                <w:rFonts w:ascii="Times New Roman" w:hAnsi="Times New Roman"/>
              </w:rPr>
            </w:pPr>
            <w:r w:rsidRPr="00E53FB1">
              <w:rPr>
                <w:rFonts w:ascii="Times New Roman" w:hAnsi="Times New Roman"/>
              </w:rPr>
              <w:t>(</w:t>
            </w:r>
            <w:proofErr w:type="spellStart"/>
            <w:r w:rsidRPr="00E53FB1">
              <w:rPr>
                <w:rFonts w:ascii="Times New Roman" w:hAnsi="Times New Roman"/>
              </w:rPr>
              <w:t>Anaes</w:t>
            </w:r>
            <w:proofErr w:type="spellEnd"/>
            <w:r w:rsidRPr="00E53FB1">
              <w:rPr>
                <w:rFonts w:ascii="Times New Roman" w:hAnsi="Times New Roman"/>
              </w:rPr>
              <w:t>.) (Assist.)</w:t>
            </w:r>
          </w:p>
          <w:p w14:paraId="5FD43147" w14:textId="77777777" w:rsidR="000D25B3" w:rsidRPr="00E53FB1" w:rsidRDefault="000D25B3" w:rsidP="00B42999">
            <w:pPr>
              <w:pStyle w:val="Tabletext"/>
              <w:rPr>
                <w:rFonts w:ascii="Times New Roman" w:hAnsi="Times New Roman"/>
              </w:rPr>
            </w:pPr>
            <w:r w:rsidRPr="00E53FB1">
              <w:rPr>
                <w:rFonts w:ascii="Times New Roman" w:hAnsi="Times New Roman"/>
              </w:rPr>
              <w:t>Fee: $340.60 Benefit: 75% = $255.45</w:t>
            </w:r>
          </w:p>
        </w:tc>
      </w:tr>
      <w:tr w:rsidR="000D25B3" w:rsidRPr="00E53FB1" w14:paraId="5FD4314A" w14:textId="77777777" w:rsidTr="000076E8">
        <w:tc>
          <w:tcPr>
            <w:tcW w:w="9004" w:type="dxa"/>
            <w:shd w:val="clear" w:color="auto" w:fill="D9D9D9" w:themeFill="background1" w:themeFillShade="D9"/>
          </w:tcPr>
          <w:p w14:paraId="5FD43149" w14:textId="77777777" w:rsidR="000D25B3" w:rsidRPr="00E53FB1" w:rsidRDefault="000D25B3" w:rsidP="00B42999">
            <w:pPr>
              <w:pStyle w:val="Tablehead"/>
              <w:rPr>
                <w:rFonts w:ascii="Times New Roman" w:hAnsi="Times New Roman"/>
              </w:rPr>
            </w:pPr>
            <w:r>
              <w:rPr>
                <w:rFonts w:ascii="Times New Roman" w:hAnsi="Times New Roman"/>
              </w:rPr>
              <w:t>Surgical repositioning or r</w:t>
            </w:r>
            <w:r w:rsidRPr="00E53FB1">
              <w:rPr>
                <w:rFonts w:ascii="Times New Roman" w:hAnsi="Times New Roman"/>
              </w:rPr>
              <w:t>emoval of electrical pulse generator</w:t>
            </w:r>
          </w:p>
        </w:tc>
      </w:tr>
      <w:tr w:rsidR="000D25B3" w:rsidRPr="00E53FB1" w14:paraId="5FD43150" w14:textId="77777777" w:rsidTr="000076E8">
        <w:trPr>
          <w:trHeight w:val="149"/>
        </w:trPr>
        <w:tc>
          <w:tcPr>
            <w:tcW w:w="9004" w:type="dxa"/>
          </w:tcPr>
          <w:p w14:paraId="5FD4314B" w14:textId="77777777" w:rsidR="000D25B3" w:rsidRPr="00E53FB1" w:rsidRDefault="000D25B3" w:rsidP="00B42999">
            <w:pPr>
              <w:pStyle w:val="Tabletext"/>
              <w:rPr>
                <w:rFonts w:ascii="Times New Roman" w:hAnsi="Times New Roman"/>
              </w:rPr>
            </w:pPr>
            <w:r w:rsidRPr="00E53FB1">
              <w:rPr>
                <w:rFonts w:ascii="Times New Roman" w:hAnsi="Times New Roman"/>
              </w:rPr>
              <w:t>TBC</w:t>
            </w:r>
          </w:p>
          <w:p w14:paraId="5FD4314C" w14:textId="77777777" w:rsidR="000D25B3" w:rsidRPr="00E53FB1" w:rsidRDefault="000D25B3" w:rsidP="00B42999">
            <w:pPr>
              <w:pStyle w:val="Tabletext"/>
              <w:rPr>
                <w:rFonts w:ascii="Times New Roman" w:hAnsi="Times New Roman"/>
              </w:rPr>
            </w:pPr>
            <w:r>
              <w:rPr>
                <w:rFonts w:ascii="Times New Roman" w:hAnsi="Times New Roman"/>
              </w:rPr>
              <w:t>VNS t</w:t>
            </w:r>
            <w:r w:rsidRPr="00E53FB1">
              <w:rPr>
                <w:rFonts w:ascii="Times New Roman" w:hAnsi="Times New Roman"/>
              </w:rPr>
              <w:t xml:space="preserve">herapy ELECTRICAL PULSE GENERATOR, that was inserted for the management of refractory generalised epilepsy, or treating refractory focal epilepsy that is not suitable for </w:t>
            </w:r>
            <w:proofErr w:type="spellStart"/>
            <w:r w:rsidRPr="00E53FB1">
              <w:rPr>
                <w:rFonts w:ascii="Times New Roman" w:hAnsi="Times New Roman"/>
              </w:rPr>
              <w:t>resective</w:t>
            </w:r>
            <w:proofErr w:type="spellEnd"/>
            <w:r w:rsidRPr="00E53FB1">
              <w:rPr>
                <w:rFonts w:ascii="Times New Roman" w:hAnsi="Times New Roman"/>
              </w:rPr>
              <w:t xml:space="preserve"> epilepsy surgery, surgical repositioning or removal of </w:t>
            </w:r>
          </w:p>
          <w:p w14:paraId="5FD4314D" w14:textId="77777777" w:rsidR="000D25B3" w:rsidRPr="00E53FB1" w:rsidRDefault="000D25B3" w:rsidP="00B42999">
            <w:pPr>
              <w:pStyle w:val="Tabletext"/>
              <w:rPr>
                <w:rFonts w:ascii="Times New Roman" w:hAnsi="Times New Roman"/>
              </w:rPr>
            </w:pPr>
            <w:r w:rsidRPr="00E53FB1">
              <w:rPr>
                <w:rFonts w:ascii="Times New Roman" w:hAnsi="Times New Roman"/>
              </w:rPr>
              <w:t>Multiple Services Rule</w:t>
            </w:r>
          </w:p>
          <w:p w14:paraId="5FD4314E" w14:textId="77777777" w:rsidR="000D25B3" w:rsidRPr="00E53FB1" w:rsidRDefault="000D25B3" w:rsidP="00B42999">
            <w:pPr>
              <w:pStyle w:val="Tabletext"/>
              <w:rPr>
                <w:rFonts w:ascii="Times New Roman" w:hAnsi="Times New Roman"/>
              </w:rPr>
            </w:pPr>
            <w:r w:rsidRPr="00E53FB1">
              <w:rPr>
                <w:rFonts w:ascii="Times New Roman" w:hAnsi="Times New Roman"/>
              </w:rPr>
              <w:lastRenderedPageBreak/>
              <w:t>(</w:t>
            </w:r>
            <w:proofErr w:type="spellStart"/>
            <w:r w:rsidRPr="00E53FB1">
              <w:rPr>
                <w:rFonts w:ascii="Times New Roman" w:hAnsi="Times New Roman"/>
              </w:rPr>
              <w:t>Anaes</w:t>
            </w:r>
            <w:proofErr w:type="spellEnd"/>
            <w:r w:rsidRPr="00E53FB1">
              <w:rPr>
                <w:rFonts w:ascii="Times New Roman" w:hAnsi="Times New Roman"/>
              </w:rPr>
              <w:t>.)</w:t>
            </w:r>
          </w:p>
          <w:p w14:paraId="5FD4314F" w14:textId="77777777" w:rsidR="000D25B3" w:rsidRPr="00E53FB1" w:rsidRDefault="000D25B3" w:rsidP="00B42999">
            <w:pPr>
              <w:pStyle w:val="Tabletext"/>
              <w:rPr>
                <w:rFonts w:ascii="Times New Roman" w:hAnsi="Times New Roman"/>
              </w:rPr>
            </w:pPr>
            <w:r w:rsidRPr="00E53FB1">
              <w:rPr>
                <w:rFonts w:ascii="Times New Roman" w:hAnsi="Times New Roman"/>
              </w:rPr>
              <w:t>Fee: $159.40 Benefit: 75% = $119.55</w:t>
            </w:r>
          </w:p>
        </w:tc>
      </w:tr>
      <w:tr w:rsidR="000D25B3" w:rsidRPr="00E53FB1" w14:paraId="5FD43152" w14:textId="77777777" w:rsidTr="000076E8">
        <w:tc>
          <w:tcPr>
            <w:tcW w:w="9004" w:type="dxa"/>
            <w:shd w:val="clear" w:color="auto" w:fill="D9D9D9" w:themeFill="background1" w:themeFillShade="D9"/>
          </w:tcPr>
          <w:p w14:paraId="5FD43151" w14:textId="77777777" w:rsidR="000D25B3" w:rsidRPr="00E53FB1" w:rsidRDefault="000D25B3" w:rsidP="00B42999">
            <w:pPr>
              <w:pStyle w:val="Tablehead"/>
              <w:rPr>
                <w:rFonts w:ascii="Times New Roman" w:hAnsi="Times New Roman"/>
              </w:rPr>
            </w:pPr>
            <w:r w:rsidRPr="00E53FB1">
              <w:rPr>
                <w:rFonts w:ascii="Times New Roman" w:hAnsi="Times New Roman"/>
              </w:rPr>
              <w:lastRenderedPageBreak/>
              <w:t>Surgical placement of lead</w:t>
            </w:r>
          </w:p>
        </w:tc>
      </w:tr>
      <w:tr w:rsidR="000D25B3" w:rsidRPr="00E53FB1" w14:paraId="5FD43158" w14:textId="77777777" w:rsidTr="000076E8">
        <w:trPr>
          <w:trHeight w:val="137"/>
        </w:trPr>
        <w:tc>
          <w:tcPr>
            <w:tcW w:w="9004" w:type="dxa"/>
          </w:tcPr>
          <w:p w14:paraId="5FD43153" w14:textId="77777777" w:rsidR="000D25B3" w:rsidRPr="00E53FB1" w:rsidRDefault="000D25B3" w:rsidP="00B42999">
            <w:pPr>
              <w:pStyle w:val="Tabletext"/>
              <w:rPr>
                <w:rFonts w:ascii="Times New Roman" w:hAnsi="Times New Roman"/>
              </w:rPr>
            </w:pPr>
            <w:r w:rsidRPr="00E53FB1">
              <w:rPr>
                <w:rFonts w:ascii="Times New Roman" w:hAnsi="Times New Roman"/>
              </w:rPr>
              <w:t>TBC</w:t>
            </w:r>
          </w:p>
          <w:p w14:paraId="5FD43154" w14:textId="77777777" w:rsidR="000D25B3" w:rsidRPr="00E53FB1" w:rsidRDefault="000D25B3" w:rsidP="00B42999">
            <w:pPr>
              <w:pStyle w:val="Tabletext"/>
              <w:rPr>
                <w:rFonts w:ascii="Times New Roman" w:hAnsi="Times New Roman"/>
              </w:rPr>
            </w:pPr>
            <w:r>
              <w:rPr>
                <w:rFonts w:ascii="Times New Roman" w:hAnsi="Times New Roman"/>
              </w:rPr>
              <w:t>VNS t</w:t>
            </w:r>
            <w:r w:rsidRPr="00E53FB1">
              <w:rPr>
                <w:rFonts w:ascii="Times New Roman" w:hAnsi="Times New Roman"/>
              </w:rPr>
              <w:t>herapy LEAD, surgical placement of, lead including connection to vagus nerve, including intraoperative test stimulation, for the management of refractory generalised epilepsy, or treating refractory focal epilepsy that is not suitable for epilepsy surgery through stimulation of the vagus nerve</w:t>
            </w:r>
          </w:p>
          <w:p w14:paraId="5FD43155" w14:textId="77777777" w:rsidR="000D25B3" w:rsidRPr="00E53FB1" w:rsidRDefault="000D25B3" w:rsidP="00B42999">
            <w:pPr>
              <w:pStyle w:val="Tabletext"/>
              <w:rPr>
                <w:rFonts w:ascii="Times New Roman" w:hAnsi="Times New Roman"/>
              </w:rPr>
            </w:pPr>
            <w:r w:rsidRPr="00E53FB1">
              <w:rPr>
                <w:rFonts w:ascii="Times New Roman" w:hAnsi="Times New Roman"/>
              </w:rPr>
              <w:t>Multiple Services Rule</w:t>
            </w:r>
          </w:p>
          <w:p w14:paraId="5FD43156" w14:textId="77777777" w:rsidR="000D25B3" w:rsidRPr="00E53FB1" w:rsidRDefault="000D25B3" w:rsidP="00B42999">
            <w:pPr>
              <w:pStyle w:val="Tabletext"/>
              <w:rPr>
                <w:rFonts w:ascii="Times New Roman" w:hAnsi="Times New Roman"/>
              </w:rPr>
            </w:pPr>
            <w:r w:rsidRPr="00E53FB1">
              <w:rPr>
                <w:rFonts w:ascii="Times New Roman" w:hAnsi="Times New Roman"/>
              </w:rPr>
              <w:t>(</w:t>
            </w:r>
            <w:proofErr w:type="spellStart"/>
            <w:r w:rsidRPr="00E53FB1">
              <w:rPr>
                <w:rFonts w:ascii="Times New Roman" w:hAnsi="Times New Roman"/>
              </w:rPr>
              <w:t>Anaes</w:t>
            </w:r>
            <w:proofErr w:type="spellEnd"/>
            <w:r w:rsidRPr="00E53FB1">
              <w:rPr>
                <w:rFonts w:ascii="Times New Roman" w:hAnsi="Times New Roman"/>
              </w:rPr>
              <w:t>.) (Assist.)</w:t>
            </w:r>
          </w:p>
          <w:p w14:paraId="5FD43157" w14:textId="77777777" w:rsidR="000D25B3" w:rsidRPr="00E53FB1" w:rsidRDefault="000D25B3" w:rsidP="00B42999">
            <w:pPr>
              <w:pStyle w:val="Tabletext"/>
              <w:rPr>
                <w:rFonts w:ascii="Times New Roman" w:hAnsi="Times New Roman"/>
              </w:rPr>
            </w:pPr>
            <w:r w:rsidRPr="00E53FB1">
              <w:rPr>
                <w:rFonts w:ascii="Times New Roman" w:hAnsi="Times New Roman"/>
              </w:rPr>
              <w:t>Fee: $674.15 Benefit: 75% = $505.61</w:t>
            </w:r>
          </w:p>
        </w:tc>
      </w:tr>
      <w:tr w:rsidR="000D25B3" w:rsidRPr="00E53FB1" w14:paraId="5FD4315A" w14:textId="77777777" w:rsidTr="000076E8">
        <w:tc>
          <w:tcPr>
            <w:tcW w:w="9004" w:type="dxa"/>
            <w:shd w:val="clear" w:color="auto" w:fill="D9D9D9" w:themeFill="background1" w:themeFillShade="D9"/>
          </w:tcPr>
          <w:p w14:paraId="5FD43159" w14:textId="77777777" w:rsidR="000D25B3" w:rsidRPr="00E53FB1" w:rsidRDefault="000D25B3" w:rsidP="00B42999">
            <w:pPr>
              <w:pStyle w:val="Tablehead"/>
              <w:rPr>
                <w:rFonts w:ascii="Times New Roman" w:hAnsi="Times New Roman"/>
              </w:rPr>
            </w:pPr>
            <w:r w:rsidRPr="00E53FB1">
              <w:rPr>
                <w:rFonts w:ascii="Times New Roman" w:hAnsi="Times New Roman"/>
              </w:rPr>
              <w:t>Surgical repositioning or removal of lead</w:t>
            </w:r>
          </w:p>
        </w:tc>
      </w:tr>
      <w:tr w:rsidR="000D25B3" w:rsidRPr="00E53FB1" w14:paraId="5FD43160" w14:textId="77777777" w:rsidTr="000076E8">
        <w:trPr>
          <w:trHeight w:val="1475"/>
        </w:trPr>
        <w:tc>
          <w:tcPr>
            <w:tcW w:w="9004" w:type="dxa"/>
          </w:tcPr>
          <w:p w14:paraId="5FD4315B" w14:textId="77777777" w:rsidR="000D25B3" w:rsidRPr="00E53FB1" w:rsidRDefault="000D25B3" w:rsidP="00B42999">
            <w:pPr>
              <w:pStyle w:val="Tabletext"/>
              <w:rPr>
                <w:rFonts w:ascii="Times New Roman" w:hAnsi="Times New Roman"/>
              </w:rPr>
            </w:pPr>
            <w:r w:rsidRPr="00E53FB1">
              <w:rPr>
                <w:rFonts w:ascii="Times New Roman" w:hAnsi="Times New Roman"/>
              </w:rPr>
              <w:t>TBC</w:t>
            </w:r>
          </w:p>
          <w:p w14:paraId="5FD4315C" w14:textId="77777777" w:rsidR="000D25B3" w:rsidRPr="00E53FB1" w:rsidRDefault="000D25B3" w:rsidP="00B42999">
            <w:pPr>
              <w:pStyle w:val="Tabletext"/>
              <w:rPr>
                <w:rFonts w:ascii="Times New Roman" w:hAnsi="Times New Roman"/>
              </w:rPr>
            </w:pPr>
            <w:r>
              <w:rPr>
                <w:rFonts w:ascii="Times New Roman" w:hAnsi="Times New Roman"/>
              </w:rPr>
              <w:t>VNS t</w:t>
            </w:r>
            <w:r w:rsidRPr="00E53FB1">
              <w:rPr>
                <w:rFonts w:ascii="Times New Roman" w:hAnsi="Times New Roman"/>
              </w:rPr>
              <w:t xml:space="preserve">herapy LEAD, that was inserted and attached to the vagal nerve for the management of refractory generalised epilepsy, or treating refractory focal epilepsy that is not suitable for </w:t>
            </w:r>
            <w:proofErr w:type="spellStart"/>
            <w:r w:rsidRPr="00E53FB1">
              <w:rPr>
                <w:rFonts w:ascii="Times New Roman" w:hAnsi="Times New Roman"/>
              </w:rPr>
              <w:t>resective</w:t>
            </w:r>
            <w:proofErr w:type="spellEnd"/>
            <w:r w:rsidRPr="00E53FB1">
              <w:rPr>
                <w:rFonts w:ascii="Times New Roman" w:hAnsi="Times New Roman"/>
              </w:rPr>
              <w:t xml:space="preserve"> epilepsy surgery, surgical repositioning or removal of </w:t>
            </w:r>
          </w:p>
          <w:p w14:paraId="5FD4315D" w14:textId="77777777" w:rsidR="000D25B3" w:rsidRPr="00E53FB1" w:rsidRDefault="000D25B3" w:rsidP="00B42999">
            <w:pPr>
              <w:pStyle w:val="Tabletext"/>
              <w:rPr>
                <w:rFonts w:ascii="Times New Roman" w:hAnsi="Times New Roman"/>
              </w:rPr>
            </w:pPr>
            <w:r w:rsidRPr="00E53FB1">
              <w:rPr>
                <w:rFonts w:ascii="Times New Roman" w:hAnsi="Times New Roman"/>
              </w:rPr>
              <w:t>Multiple Services Rule</w:t>
            </w:r>
          </w:p>
          <w:p w14:paraId="5FD4315E" w14:textId="77777777" w:rsidR="000D25B3" w:rsidRPr="00E53FB1" w:rsidRDefault="000D25B3" w:rsidP="00B42999">
            <w:pPr>
              <w:pStyle w:val="Tabletext"/>
              <w:rPr>
                <w:rFonts w:ascii="Times New Roman" w:hAnsi="Times New Roman"/>
              </w:rPr>
            </w:pPr>
            <w:r w:rsidRPr="00E53FB1">
              <w:rPr>
                <w:rFonts w:ascii="Times New Roman" w:hAnsi="Times New Roman"/>
              </w:rPr>
              <w:t>(</w:t>
            </w:r>
            <w:proofErr w:type="spellStart"/>
            <w:r w:rsidRPr="00E53FB1">
              <w:rPr>
                <w:rFonts w:ascii="Times New Roman" w:hAnsi="Times New Roman"/>
              </w:rPr>
              <w:t>Anaes</w:t>
            </w:r>
            <w:proofErr w:type="spellEnd"/>
            <w:r w:rsidRPr="00E53FB1">
              <w:rPr>
                <w:rFonts w:ascii="Times New Roman" w:hAnsi="Times New Roman"/>
              </w:rPr>
              <w:t xml:space="preserve">) </w:t>
            </w:r>
          </w:p>
          <w:p w14:paraId="5FD4315F" w14:textId="77777777" w:rsidR="000D25B3" w:rsidRPr="00E53FB1" w:rsidRDefault="000D25B3" w:rsidP="00B42999">
            <w:pPr>
              <w:pStyle w:val="Tabletext"/>
              <w:rPr>
                <w:rFonts w:ascii="Times New Roman" w:hAnsi="Times New Roman"/>
              </w:rPr>
            </w:pPr>
            <w:r w:rsidRPr="00E53FB1">
              <w:rPr>
                <w:rFonts w:ascii="Times New Roman" w:hAnsi="Times New Roman"/>
              </w:rPr>
              <w:t>Fee: $605.35 Benefit: 75% = $454.01</w:t>
            </w:r>
          </w:p>
        </w:tc>
      </w:tr>
      <w:tr w:rsidR="000D25B3" w:rsidRPr="00E53FB1" w14:paraId="5FD43162" w14:textId="77777777" w:rsidTr="000076E8">
        <w:tc>
          <w:tcPr>
            <w:tcW w:w="9004" w:type="dxa"/>
            <w:shd w:val="clear" w:color="auto" w:fill="D9D9D9" w:themeFill="background1" w:themeFillShade="D9"/>
          </w:tcPr>
          <w:p w14:paraId="5FD43161" w14:textId="77777777" w:rsidR="000D25B3" w:rsidRPr="00E53FB1" w:rsidRDefault="000D25B3" w:rsidP="00B42999">
            <w:pPr>
              <w:pStyle w:val="Tablehead"/>
              <w:rPr>
                <w:rFonts w:ascii="Times New Roman" w:hAnsi="Times New Roman"/>
              </w:rPr>
            </w:pPr>
            <w:r w:rsidRPr="00E53FB1">
              <w:rPr>
                <w:rFonts w:ascii="Times New Roman" w:hAnsi="Times New Roman"/>
              </w:rPr>
              <w:t>Electrical analysis and programming of electrical pulse generator</w:t>
            </w:r>
          </w:p>
        </w:tc>
      </w:tr>
      <w:tr w:rsidR="000D25B3" w:rsidRPr="00E53FB1" w14:paraId="5FD43166" w14:textId="77777777" w:rsidTr="000076E8">
        <w:trPr>
          <w:trHeight w:val="936"/>
        </w:trPr>
        <w:tc>
          <w:tcPr>
            <w:tcW w:w="9004" w:type="dxa"/>
          </w:tcPr>
          <w:p w14:paraId="5FD43163" w14:textId="77777777" w:rsidR="000D25B3" w:rsidRPr="00E53FB1" w:rsidRDefault="000D25B3" w:rsidP="00B42999">
            <w:pPr>
              <w:pStyle w:val="Tabletext"/>
              <w:rPr>
                <w:rFonts w:ascii="Times New Roman" w:hAnsi="Times New Roman"/>
              </w:rPr>
            </w:pPr>
            <w:r w:rsidRPr="00E53FB1">
              <w:rPr>
                <w:rFonts w:ascii="Times New Roman" w:hAnsi="Times New Roman"/>
              </w:rPr>
              <w:t>TBC</w:t>
            </w:r>
          </w:p>
          <w:p w14:paraId="5FD43164" w14:textId="77777777" w:rsidR="000D25B3" w:rsidRPr="00E53FB1" w:rsidRDefault="000D25B3" w:rsidP="00B42999">
            <w:pPr>
              <w:pStyle w:val="Tabletext"/>
              <w:rPr>
                <w:rFonts w:ascii="Times New Roman" w:hAnsi="Times New Roman"/>
              </w:rPr>
            </w:pPr>
            <w:r>
              <w:rPr>
                <w:rFonts w:ascii="Times New Roman" w:hAnsi="Times New Roman"/>
              </w:rPr>
              <w:t>VNS t</w:t>
            </w:r>
            <w:r w:rsidRPr="00E53FB1">
              <w:rPr>
                <w:rFonts w:ascii="Times New Roman" w:hAnsi="Times New Roman"/>
              </w:rPr>
              <w:t xml:space="preserve">herapy ELECTRICAL PULSE GENERATOR, electrical analysis and programming of, VNS </w:t>
            </w:r>
            <w:r>
              <w:rPr>
                <w:rFonts w:ascii="Times New Roman" w:hAnsi="Times New Roman"/>
              </w:rPr>
              <w:t>t</w:t>
            </w:r>
            <w:r w:rsidRPr="00E53FB1">
              <w:rPr>
                <w:rFonts w:ascii="Times New Roman" w:hAnsi="Times New Roman"/>
              </w:rPr>
              <w:t xml:space="preserve">herapy device using an external wand, for the management of refractory generalised epilepsy, or treating refractory focal epilepsy that is not suitable for </w:t>
            </w:r>
            <w:proofErr w:type="spellStart"/>
            <w:r w:rsidRPr="00E53FB1">
              <w:rPr>
                <w:rFonts w:ascii="Times New Roman" w:hAnsi="Times New Roman"/>
              </w:rPr>
              <w:t>resective</w:t>
            </w:r>
            <w:proofErr w:type="spellEnd"/>
            <w:r w:rsidRPr="00E53FB1">
              <w:rPr>
                <w:rFonts w:ascii="Times New Roman" w:hAnsi="Times New Roman"/>
              </w:rPr>
              <w:t xml:space="preserve"> epilepsy surgery.</w:t>
            </w:r>
          </w:p>
          <w:p w14:paraId="5FD43165" w14:textId="77777777" w:rsidR="000D25B3" w:rsidRPr="00DE3F78" w:rsidRDefault="000D25B3" w:rsidP="00B42999">
            <w:pPr>
              <w:pStyle w:val="Tabletext"/>
            </w:pPr>
            <w:r w:rsidRPr="00E53FB1">
              <w:rPr>
                <w:rFonts w:ascii="Times New Roman" w:hAnsi="Times New Roman"/>
              </w:rPr>
              <w:t>Fee: $189.70 Benefit:75% = $142.58</w:t>
            </w:r>
          </w:p>
        </w:tc>
      </w:tr>
    </w:tbl>
    <w:p w14:paraId="5FD43167" w14:textId="77777777" w:rsidR="000D25B3" w:rsidRDefault="000D25B3" w:rsidP="000D25B3">
      <w:pPr>
        <w:pStyle w:val="Comment"/>
        <w:spacing w:line="240" w:lineRule="auto"/>
        <w:jc w:val="left"/>
        <w:rPr>
          <w:rFonts w:ascii="Times New Roman" w:hAnsi="Times New Roman" w:cs="Times New Roman"/>
          <w:sz w:val="18"/>
        </w:rPr>
      </w:pPr>
      <w:r w:rsidRPr="00DE3F78">
        <w:rPr>
          <w:rFonts w:ascii="Times New Roman" w:hAnsi="Times New Roman" w:cs="Times New Roman"/>
          <w:sz w:val="18"/>
        </w:rPr>
        <w:t xml:space="preserve">The text “performed in the operating theatre of a hospital” </w:t>
      </w:r>
      <w:r w:rsidR="004D2F2F">
        <w:rPr>
          <w:rFonts w:ascii="Times New Roman" w:hAnsi="Times New Roman" w:cs="Times New Roman"/>
          <w:sz w:val="18"/>
        </w:rPr>
        <w:t>was</w:t>
      </w:r>
      <w:r w:rsidRPr="00DE3F78">
        <w:rPr>
          <w:rFonts w:ascii="Times New Roman" w:hAnsi="Times New Roman" w:cs="Times New Roman"/>
          <w:sz w:val="18"/>
        </w:rPr>
        <w:t xml:space="preserve"> omitted from the proposed MBS descriptors based on advice in the Public Summary Document -Application No. 1358 </w:t>
      </w:r>
    </w:p>
    <w:p w14:paraId="5FD43168" w14:textId="77777777" w:rsidR="004D2F2F" w:rsidRPr="000076E8" w:rsidRDefault="001C6112" w:rsidP="000076E8">
      <w:pPr>
        <w:pStyle w:val="BodyText"/>
        <w:spacing w:before="0" w:line="240" w:lineRule="auto"/>
        <w:rPr>
          <w:rFonts w:ascii="Times New Roman" w:hAnsi="Times New Roman"/>
          <w:sz w:val="24"/>
        </w:rPr>
      </w:pPr>
      <w:r w:rsidRPr="00AB00D9">
        <w:rPr>
          <w:rFonts w:ascii="Times New Roman" w:hAnsi="Times New Roman"/>
          <w:sz w:val="24"/>
        </w:rPr>
        <w:t>MSAC advised th</w:t>
      </w:r>
      <w:r>
        <w:rPr>
          <w:rFonts w:ascii="Times New Roman" w:hAnsi="Times New Roman"/>
          <w:sz w:val="24"/>
        </w:rPr>
        <w:t>at item</w:t>
      </w:r>
      <w:r w:rsidRPr="00AB00D9">
        <w:rPr>
          <w:rFonts w:ascii="Times New Roman" w:hAnsi="Times New Roman"/>
          <w:sz w:val="24"/>
        </w:rPr>
        <w:t xml:space="preserve"> descriptor</w:t>
      </w:r>
      <w:r>
        <w:rPr>
          <w:rFonts w:ascii="Times New Roman" w:hAnsi="Times New Roman"/>
          <w:sz w:val="24"/>
        </w:rPr>
        <w:t>s</w:t>
      </w:r>
      <w:r w:rsidRPr="00AB00D9">
        <w:rPr>
          <w:rFonts w:ascii="Times New Roman" w:hAnsi="Times New Roman"/>
          <w:sz w:val="24"/>
        </w:rPr>
        <w:t xml:space="preserve"> should reference stimulation via the left vagal nerve and </w:t>
      </w:r>
      <w:r>
        <w:rPr>
          <w:rFonts w:ascii="Times New Roman" w:hAnsi="Times New Roman"/>
          <w:sz w:val="24"/>
        </w:rPr>
        <w:t>that</w:t>
      </w:r>
      <w:r w:rsidRPr="00AB00D9">
        <w:rPr>
          <w:rFonts w:ascii="Times New Roman" w:hAnsi="Times New Roman"/>
          <w:sz w:val="24"/>
        </w:rPr>
        <w:t xml:space="preserve"> </w:t>
      </w:r>
      <w:r>
        <w:rPr>
          <w:rFonts w:ascii="Times New Roman" w:hAnsi="Times New Roman"/>
          <w:sz w:val="24"/>
        </w:rPr>
        <w:t xml:space="preserve">in addition to the items proposed in the resubmission a </w:t>
      </w:r>
      <w:r w:rsidR="00DD04FB">
        <w:rPr>
          <w:rFonts w:ascii="Times New Roman" w:hAnsi="Times New Roman"/>
          <w:sz w:val="24"/>
        </w:rPr>
        <w:t xml:space="preserve">separate </w:t>
      </w:r>
      <w:r w:rsidR="00DD04FB" w:rsidRPr="00AB00D9">
        <w:rPr>
          <w:rFonts w:ascii="Times New Roman" w:hAnsi="Times New Roman"/>
          <w:sz w:val="24"/>
        </w:rPr>
        <w:t>item</w:t>
      </w:r>
      <w:r w:rsidRPr="00AB00D9">
        <w:rPr>
          <w:rFonts w:ascii="Times New Roman" w:hAnsi="Times New Roman"/>
          <w:sz w:val="24"/>
        </w:rPr>
        <w:t xml:space="preserve"> for battery replacement</w:t>
      </w:r>
      <w:r>
        <w:rPr>
          <w:rFonts w:ascii="Times New Roman" w:hAnsi="Times New Roman"/>
          <w:sz w:val="24"/>
        </w:rPr>
        <w:t xml:space="preserve"> was required too.</w:t>
      </w:r>
    </w:p>
    <w:p w14:paraId="5FD43169"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5FD4316A" w14:textId="77777777" w:rsidR="000D25B3" w:rsidRPr="00E53FB1" w:rsidRDefault="000D25B3" w:rsidP="000D25B3">
      <w:pPr>
        <w:tabs>
          <w:tab w:val="left" w:pos="720"/>
          <w:tab w:val="left" w:pos="1140"/>
        </w:tabs>
        <w:rPr>
          <w:szCs w:val="24"/>
        </w:rPr>
      </w:pPr>
      <w:r w:rsidRPr="00E53FB1">
        <w:rPr>
          <w:szCs w:val="24"/>
        </w:rPr>
        <w:t>Overall, consumers supported the proposed intervention and noted that the low prevalence/very high impact life circumstances warrants consumer impact tests fo</w:t>
      </w:r>
      <w:r>
        <w:rPr>
          <w:szCs w:val="24"/>
        </w:rPr>
        <w:t>r effectiveness and efficiency.</w:t>
      </w:r>
    </w:p>
    <w:p w14:paraId="5FD4316B" w14:textId="77777777" w:rsidR="00BC1364" w:rsidRPr="00F715D1" w:rsidRDefault="00BC1364" w:rsidP="00F715D1">
      <w:pPr>
        <w:pStyle w:val="Heading1"/>
      </w:pPr>
      <w:r w:rsidRPr="00F715D1">
        <w:t>Proposed intervention’s place in clinical management</w:t>
      </w:r>
    </w:p>
    <w:p w14:paraId="5FD4316C" w14:textId="77777777" w:rsidR="007603C2" w:rsidRPr="00E53FB1" w:rsidRDefault="007603C2" w:rsidP="007603C2">
      <w:pPr>
        <w:spacing w:after="240"/>
      </w:pPr>
      <w:r w:rsidRPr="00E53FB1">
        <w:t xml:space="preserve">The patient population eligible for VNS </w:t>
      </w:r>
      <w:r>
        <w:t>t</w:t>
      </w:r>
      <w:r w:rsidRPr="00E53FB1">
        <w:t xml:space="preserve">herapy is ‘patients with epilepsy who are refractory to </w:t>
      </w:r>
      <w:r>
        <w:t>a</w:t>
      </w:r>
      <w:r w:rsidRPr="00E53FB1">
        <w:t>nti-</w:t>
      </w:r>
      <w:r>
        <w:t>e</w:t>
      </w:r>
      <w:r w:rsidRPr="00E53FB1">
        <w:t xml:space="preserve">pileptic </w:t>
      </w:r>
      <w:r>
        <w:t>d</w:t>
      </w:r>
      <w:r w:rsidRPr="00E53FB1">
        <w:t>rugs (AEDs), suffering ongoing severe and frequent seizures, and unsuitable for, unwilli</w:t>
      </w:r>
      <w:r>
        <w:t>ng or have failed surgery’. The</w:t>
      </w:r>
      <w:r w:rsidRPr="00E53FB1">
        <w:t xml:space="preserve"> population</w:t>
      </w:r>
      <w:r>
        <w:t xml:space="preserve"> and the proposed clinical algorithm</w:t>
      </w:r>
      <w:r w:rsidRPr="00E53FB1">
        <w:t xml:space="preserve"> </w:t>
      </w:r>
      <w:r>
        <w:t>are</w:t>
      </w:r>
      <w:r w:rsidRPr="00E53FB1">
        <w:t xml:space="preserve"> unchanged from </w:t>
      </w:r>
      <w:r>
        <w:t>Application 1358</w:t>
      </w:r>
      <w:r w:rsidRPr="00E53FB1">
        <w:t>.</w:t>
      </w:r>
    </w:p>
    <w:p w14:paraId="5FD4316D" w14:textId="77777777" w:rsidR="00BC1364" w:rsidRPr="00F715D1" w:rsidRDefault="00BC1364" w:rsidP="00F715D1">
      <w:pPr>
        <w:pStyle w:val="Heading1"/>
      </w:pPr>
      <w:r w:rsidRPr="00F715D1">
        <w:t xml:space="preserve">Comparator </w:t>
      </w:r>
    </w:p>
    <w:p w14:paraId="5FD4316E" w14:textId="77777777" w:rsidR="007603C2" w:rsidRPr="00E53FB1" w:rsidRDefault="007603C2" w:rsidP="007603C2">
      <w:pPr>
        <w:tabs>
          <w:tab w:val="left" w:pos="720"/>
          <w:tab w:val="left" w:pos="1140"/>
        </w:tabs>
      </w:pPr>
      <w:r w:rsidRPr="00E53FB1">
        <w:t xml:space="preserve">The nominated comparator </w:t>
      </w:r>
      <w:r w:rsidR="004D2F2F">
        <w:t>wa</w:t>
      </w:r>
      <w:r w:rsidR="004D2F2F" w:rsidRPr="00E53FB1">
        <w:t xml:space="preserve">s </w:t>
      </w:r>
      <w:r w:rsidRPr="00E53FB1">
        <w:t>“no active intervention” consistent with the original application.</w:t>
      </w:r>
    </w:p>
    <w:p w14:paraId="5FD4316F" w14:textId="77777777" w:rsidR="00BC1364" w:rsidRPr="00F715D1" w:rsidRDefault="00BC1364" w:rsidP="00F715D1">
      <w:pPr>
        <w:pStyle w:val="Heading1"/>
      </w:pPr>
      <w:r w:rsidRPr="00F715D1">
        <w:t>Comparative safety</w:t>
      </w:r>
    </w:p>
    <w:p w14:paraId="5FD43170" w14:textId="77777777" w:rsidR="007603C2" w:rsidRDefault="007603C2" w:rsidP="007603C2">
      <w:pPr>
        <w:spacing w:after="240"/>
      </w:pPr>
      <w:r w:rsidRPr="00E53FB1">
        <w:t>The resubmission identified no new clinical evidence assessing the safety of VNS.</w:t>
      </w:r>
    </w:p>
    <w:p w14:paraId="5FD43171" w14:textId="77777777" w:rsidR="007603C2" w:rsidRPr="00E53FB1" w:rsidRDefault="007603C2" w:rsidP="007603C2">
      <w:pPr>
        <w:spacing w:after="240"/>
      </w:pPr>
      <w:r w:rsidRPr="00E53FB1">
        <w:t xml:space="preserve">The critique noted that the resubmission </w:t>
      </w:r>
      <w:r w:rsidR="001C6112" w:rsidRPr="00E53FB1">
        <w:t>ma</w:t>
      </w:r>
      <w:r w:rsidR="001C6112">
        <w:t>de</w:t>
      </w:r>
      <w:r w:rsidR="001C6112" w:rsidRPr="00E53FB1">
        <w:t xml:space="preserve"> </w:t>
      </w:r>
      <w:r w:rsidRPr="00E53FB1">
        <w:t xml:space="preserve">no claim regarding the comparative safety of VNS </w:t>
      </w:r>
      <w:r>
        <w:t>t</w:t>
      </w:r>
      <w:r w:rsidRPr="00E53FB1">
        <w:t xml:space="preserve">herapy, nor does it present any additional safety data. Infection rates associated with </w:t>
      </w:r>
      <w:r w:rsidRPr="00E53FB1">
        <w:lastRenderedPageBreak/>
        <w:t xml:space="preserve">the implantation of the VNS </w:t>
      </w:r>
      <w:r>
        <w:t>t</w:t>
      </w:r>
      <w:r w:rsidRPr="00E53FB1">
        <w:t xml:space="preserve">herapy device have been reported at rates of 2%-11.7%. The following adverse events </w:t>
      </w:r>
      <w:r w:rsidR="001C6112">
        <w:t>we</w:t>
      </w:r>
      <w:r w:rsidR="001C6112" w:rsidRPr="00E53FB1">
        <w:t xml:space="preserve">re </w:t>
      </w:r>
      <w:r w:rsidRPr="00E53FB1">
        <w:t xml:space="preserve">also commonly associated with VNS </w:t>
      </w:r>
      <w:r>
        <w:t>t</w:t>
      </w:r>
      <w:r w:rsidRPr="00E53FB1">
        <w:t>herapy stimulation: cough; dyspnoea; hoarseness/voice change; pain; paraesth</w:t>
      </w:r>
      <w:r>
        <w:t>es</w:t>
      </w:r>
      <w:r w:rsidRPr="00E53FB1">
        <w:t>ia; and pharyngitis. In the clinical trial reporting on ‘High Level’ versus ‘Low Level’ stimulation, the only adverse events reported as having a statistically significant difference between treatment arms were dyspnoea and hoarseness/voice change.</w:t>
      </w:r>
    </w:p>
    <w:p w14:paraId="5FD43172" w14:textId="77777777" w:rsidR="007603C2" w:rsidRDefault="007603C2" w:rsidP="007603C2">
      <w:pPr>
        <w:pStyle w:val="Comment"/>
        <w:spacing w:after="0" w:line="240" w:lineRule="auto"/>
        <w:jc w:val="left"/>
        <w:rPr>
          <w:rFonts w:ascii="Times New Roman" w:hAnsi="Times New Roman" w:cs="Times New Roman"/>
          <w:i w:val="0"/>
          <w:sz w:val="24"/>
          <w:szCs w:val="24"/>
        </w:rPr>
      </w:pPr>
      <w:r w:rsidRPr="00E53FB1">
        <w:rPr>
          <w:rFonts w:ascii="Times New Roman" w:hAnsi="Times New Roman" w:cs="Times New Roman"/>
          <w:i w:val="0"/>
          <w:sz w:val="24"/>
          <w:szCs w:val="24"/>
        </w:rPr>
        <w:t xml:space="preserve">The critique stated that given the implantation of the VNS </w:t>
      </w:r>
      <w:r>
        <w:rPr>
          <w:rFonts w:ascii="Times New Roman" w:hAnsi="Times New Roman" w:cs="Times New Roman"/>
          <w:i w:val="0"/>
          <w:sz w:val="24"/>
          <w:szCs w:val="24"/>
        </w:rPr>
        <w:t>t</w:t>
      </w:r>
      <w:r w:rsidRPr="00E53FB1">
        <w:rPr>
          <w:rFonts w:ascii="Times New Roman" w:hAnsi="Times New Roman" w:cs="Times New Roman"/>
          <w:i w:val="0"/>
          <w:sz w:val="24"/>
          <w:szCs w:val="24"/>
        </w:rPr>
        <w:t xml:space="preserve">herapy device is associated with risk of infection, and that VNS </w:t>
      </w:r>
      <w:r>
        <w:rPr>
          <w:rFonts w:ascii="Times New Roman" w:hAnsi="Times New Roman" w:cs="Times New Roman"/>
          <w:i w:val="0"/>
          <w:sz w:val="24"/>
          <w:szCs w:val="24"/>
        </w:rPr>
        <w:t>t</w:t>
      </w:r>
      <w:r w:rsidRPr="00E53FB1">
        <w:rPr>
          <w:rFonts w:ascii="Times New Roman" w:hAnsi="Times New Roman" w:cs="Times New Roman"/>
          <w:i w:val="0"/>
          <w:sz w:val="24"/>
          <w:szCs w:val="24"/>
        </w:rPr>
        <w:t xml:space="preserve">herapy stimulation is associated with several adverse events, the use of VNS </w:t>
      </w:r>
      <w:r>
        <w:rPr>
          <w:rFonts w:ascii="Times New Roman" w:hAnsi="Times New Roman" w:cs="Times New Roman"/>
          <w:i w:val="0"/>
          <w:sz w:val="24"/>
          <w:szCs w:val="24"/>
        </w:rPr>
        <w:t>t</w:t>
      </w:r>
      <w:r w:rsidRPr="00E53FB1">
        <w:rPr>
          <w:rFonts w:ascii="Times New Roman" w:hAnsi="Times New Roman" w:cs="Times New Roman"/>
          <w:i w:val="0"/>
          <w:sz w:val="24"/>
          <w:szCs w:val="24"/>
        </w:rPr>
        <w:t>herapy as an adjunct to AEDs is likely to have an inferior safety profile compared to ‘no active intervention’.</w:t>
      </w:r>
    </w:p>
    <w:p w14:paraId="5FD43173" w14:textId="77777777" w:rsidR="00BC1364" w:rsidRPr="00F715D1" w:rsidRDefault="00BC1364" w:rsidP="00F715D1">
      <w:pPr>
        <w:pStyle w:val="Heading1"/>
      </w:pPr>
      <w:r w:rsidRPr="00F715D1">
        <w:t>Comparative effectiveness</w:t>
      </w:r>
    </w:p>
    <w:p w14:paraId="5FD43174" w14:textId="77777777" w:rsidR="007603C2" w:rsidRPr="00E53FB1" w:rsidRDefault="007603C2" w:rsidP="007603C2">
      <w:pPr>
        <w:spacing w:after="240"/>
      </w:pPr>
      <w:r w:rsidRPr="00E53FB1">
        <w:t xml:space="preserve">The resubmission identified no new clinical evidence assessing the efficacy of VNS. </w:t>
      </w:r>
      <w:r w:rsidRPr="00E53FB1">
        <w:rPr>
          <w:szCs w:val="24"/>
        </w:rPr>
        <w:t xml:space="preserve">For the clinical evaluation of VNS, the resubmission relies on the </w:t>
      </w:r>
      <w:r w:rsidRPr="00E53FB1">
        <w:t>randomised control trial</w:t>
      </w:r>
      <w:r w:rsidRPr="00E53FB1">
        <w:rPr>
          <w:szCs w:val="24"/>
        </w:rPr>
        <w:t xml:space="preserve"> (RCT) evidence presented in the original </w:t>
      </w:r>
      <w:r w:rsidRPr="00E53FB1">
        <w:t>application</w:t>
      </w:r>
      <w:r w:rsidRPr="00E53FB1">
        <w:rPr>
          <w:szCs w:val="24"/>
        </w:rPr>
        <w:t xml:space="preserve">, of which, E03 and E05 are considered to represent the pivotal evidence </w:t>
      </w:r>
      <w:r w:rsidRPr="00E53FB1">
        <w:t>with</w:t>
      </w:r>
      <w:r w:rsidRPr="00E53FB1">
        <w:rPr>
          <w:szCs w:val="24"/>
        </w:rPr>
        <w:t xml:space="preserve"> supportive evidence from non-randomised comparative trials. Key efficacy outcomes are summarised in </w:t>
      </w:r>
      <w:r w:rsidR="000076E8">
        <w:rPr>
          <w:szCs w:val="24"/>
        </w:rPr>
        <w:fldChar w:fldCharType="begin"/>
      </w:r>
      <w:r w:rsidR="000076E8">
        <w:rPr>
          <w:szCs w:val="24"/>
        </w:rPr>
        <w:instrText xml:space="preserve"> REF _Ref469645640 \h </w:instrText>
      </w:r>
      <w:r w:rsidR="000076E8">
        <w:rPr>
          <w:szCs w:val="24"/>
        </w:rPr>
      </w:r>
      <w:r w:rsidR="000076E8">
        <w:rPr>
          <w:szCs w:val="24"/>
        </w:rPr>
        <w:fldChar w:fldCharType="separate"/>
      </w:r>
      <w:r w:rsidR="000076E8" w:rsidRPr="00E53FB1">
        <w:rPr>
          <w:sz w:val="22"/>
        </w:rPr>
        <w:t xml:space="preserve">Table </w:t>
      </w:r>
      <w:r w:rsidR="000076E8">
        <w:rPr>
          <w:noProof/>
          <w:sz w:val="22"/>
        </w:rPr>
        <w:t>2</w:t>
      </w:r>
      <w:r w:rsidR="000076E8">
        <w:rPr>
          <w:szCs w:val="24"/>
        </w:rPr>
        <w:fldChar w:fldCharType="end"/>
      </w:r>
      <w:r w:rsidRPr="00E53FB1">
        <w:rPr>
          <w:szCs w:val="24"/>
        </w:rPr>
        <w:t xml:space="preserve"> and </w:t>
      </w:r>
      <w:r w:rsidR="000076E8">
        <w:rPr>
          <w:szCs w:val="24"/>
        </w:rPr>
        <w:fldChar w:fldCharType="begin"/>
      </w:r>
      <w:r w:rsidR="000076E8">
        <w:rPr>
          <w:szCs w:val="24"/>
        </w:rPr>
        <w:instrText xml:space="preserve"> REF _Ref469645651 \h </w:instrText>
      </w:r>
      <w:r w:rsidR="000076E8">
        <w:rPr>
          <w:szCs w:val="24"/>
        </w:rPr>
      </w:r>
      <w:r w:rsidR="000076E8">
        <w:rPr>
          <w:szCs w:val="24"/>
        </w:rPr>
        <w:fldChar w:fldCharType="separate"/>
      </w:r>
      <w:r w:rsidR="000076E8" w:rsidRPr="00E53FB1">
        <w:rPr>
          <w:sz w:val="22"/>
        </w:rPr>
        <w:t xml:space="preserve">Table </w:t>
      </w:r>
      <w:r w:rsidR="000076E8">
        <w:rPr>
          <w:noProof/>
          <w:sz w:val="22"/>
        </w:rPr>
        <w:t>3</w:t>
      </w:r>
      <w:r w:rsidR="000076E8">
        <w:rPr>
          <w:szCs w:val="24"/>
        </w:rPr>
        <w:fldChar w:fldCharType="end"/>
      </w:r>
      <w:r w:rsidRPr="00E53FB1">
        <w:rPr>
          <w:szCs w:val="24"/>
        </w:rPr>
        <w:t>.</w:t>
      </w:r>
    </w:p>
    <w:p w14:paraId="5FD43175" w14:textId="77777777" w:rsidR="007603C2" w:rsidRPr="00E53FB1" w:rsidRDefault="007603C2" w:rsidP="007603C2">
      <w:pPr>
        <w:pStyle w:val="ExecSummText"/>
        <w:jc w:val="left"/>
        <w:rPr>
          <w:rFonts w:ascii="Times New Roman" w:hAnsi="Times New Roman" w:cs="Times New Roman"/>
          <w:sz w:val="24"/>
        </w:rPr>
      </w:pPr>
      <w:r w:rsidRPr="00E53FB1">
        <w:rPr>
          <w:rFonts w:ascii="Times New Roman" w:hAnsi="Times New Roman" w:cs="Times New Roman"/>
          <w:sz w:val="24"/>
        </w:rPr>
        <w:t>The resubmission noted that MSAC had agreed that low stimulation was equivalent to sham at the July 2015 meeting.</w:t>
      </w:r>
    </w:p>
    <w:p w14:paraId="5FD43176" w14:textId="77777777" w:rsidR="007603C2" w:rsidRPr="00AB4C09" w:rsidRDefault="007603C2" w:rsidP="007603C2">
      <w:pPr>
        <w:pStyle w:val="Caption"/>
        <w:rPr>
          <w:rStyle w:val="Strong"/>
        </w:rPr>
      </w:pPr>
      <w:bookmarkStart w:id="2" w:name="_Ref469645640"/>
      <w:bookmarkStart w:id="3" w:name="_Toc453061069"/>
      <w:r w:rsidRPr="00AB4C09">
        <w:rPr>
          <w:rStyle w:val="Strong"/>
        </w:rPr>
        <w:t xml:space="preserve">Table </w:t>
      </w:r>
      <w:r w:rsidRPr="00AB4C09">
        <w:rPr>
          <w:rStyle w:val="Strong"/>
        </w:rPr>
        <w:fldChar w:fldCharType="begin"/>
      </w:r>
      <w:r w:rsidRPr="00AB4C09">
        <w:rPr>
          <w:rStyle w:val="Strong"/>
        </w:rPr>
        <w:instrText xml:space="preserve"> SEQ Table \* ARABIC </w:instrText>
      </w:r>
      <w:r w:rsidRPr="00AB4C09">
        <w:rPr>
          <w:rStyle w:val="Strong"/>
        </w:rPr>
        <w:fldChar w:fldCharType="separate"/>
      </w:r>
      <w:r w:rsidR="005709FB" w:rsidRPr="00AB4C09">
        <w:rPr>
          <w:rStyle w:val="Strong"/>
        </w:rPr>
        <w:t>2</w:t>
      </w:r>
      <w:r w:rsidRPr="00AB4C09">
        <w:rPr>
          <w:rStyle w:val="Strong"/>
        </w:rPr>
        <w:fldChar w:fldCharType="end"/>
      </w:r>
      <w:bookmarkEnd w:id="2"/>
      <w:r w:rsidRPr="00AB4C09">
        <w:rPr>
          <w:rStyle w:val="Strong"/>
        </w:rPr>
        <w:tab/>
      </w:r>
      <w:r w:rsidRPr="00AB4C09">
        <w:rPr>
          <w:rStyle w:val="Strong"/>
        </w:rPr>
        <w:tab/>
        <w:t>Summary of clinical effectiveness of VNS therapy in randomised controlled trials: VNS high setting stimulation vs. VNS low setting stimulation and VNS therapy vs. no active intervention</w:t>
      </w:r>
      <w:bookmarkEnd w:id="3"/>
    </w:p>
    <w:tbl>
      <w:tblPr>
        <w:tblStyle w:val="Summarybox3"/>
        <w:tblW w:w="5000" w:type="pct"/>
        <w:tblLook w:val="04A0" w:firstRow="1" w:lastRow="0" w:firstColumn="1" w:lastColumn="0" w:noHBand="0" w:noVBand="1"/>
        <w:tblCaption w:val="Table 2 Summary of clinical effectiveness of VNS therapy in randomised controlled trials:VNS high setting stimulation vs VNS low setting stimulation and VNS therapy vs. no active intervention"/>
        <w:tblDescription w:val="Table 2 Summary of clinical effectiveness of VNS therapy in randomised controlled trials:VNS high setting stimulation vs VNS low setting stimulation and VNS therapy vs. no active intervention"/>
      </w:tblPr>
      <w:tblGrid>
        <w:gridCol w:w="1216"/>
        <w:gridCol w:w="1036"/>
        <w:gridCol w:w="1397"/>
        <w:gridCol w:w="1560"/>
        <w:gridCol w:w="1560"/>
        <w:gridCol w:w="2473"/>
      </w:tblGrid>
      <w:tr w:rsidR="00C450A8" w:rsidRPr="00E53FB1" w14:paraId="5FD4317D" w14:textId="77777777" w:rsidTr="00C75FEE">
        <w:trPr>
          <w:tblHeader/>
        </w:trPr>
        <w:tc>
          <w:tcPr>
            <w:tcW w:w="658" w:type="pct"/>
          </w:tcPr>
          <w:p w14:paraId="5FD43177" w14:textId="77777777" w:rsidR="00C450A8" w:rsidRPr="00E53FB1" w:rsidRDefault="00C450A8" w:rsidP="00B42999">
            <w:pPr>
              <w:pStyle w:val="Tablehead"/>
              <w:rPr>
                <w:rFonts w:ascii="Times New Roman" w:hAnsi="Times New Roman"/>
                <w:lang w:val="en-AU"/>
              </w:rPr>
            </w:pPr>
            <w:r w:rsidRPr="00E53FB1">
              <w:rPr>
                <w:rFonts w:ascii="Times New Roman" w:hAnsi="Times New Roman"/>
                <w:lang w:val="en-AU"/>
              </w:rPr>
              <w:t>Trial ID</w:t>
            </w:r>
          </w:p>
        </w:tc>
        <w:tc>
          <w:tcPr>
            <w:tcW w:w="560" w:type="pct"/>
          </w:tcPr>
          <w:p w14:paraId="5FD43178" w14:textId="77777777" w:rsidR="00C450A8" w:rsidRPr="00E53FB1" w:rsidRDefault="00C450A8" w:rsidP="00B42999">
            <w:pPr>
              <w:pStyle w:val="Tablehead"/>
              <w:rPr>
                <w:rFonts w:ascii="Times New Roman" w:hAnsi="Times New Roman"/>
                <w:lang w:val="en-AU"/>
              </w:rPr>
            </w:pPr>
            <w:r w:rsidRPr="00E53FB1">
              <w:rPr>
                <w:rFonts w:ascii="Times New Roman" w:hAnsi="Times New Roman"/>
                <w:lang w:val="en-AU"/>
              </w:rPr>
              <w:t>Treatment duration</w:t>
            </w:r>
          </w:p>
        </w:tc>
        <w:tc>
          <w:tcPr>
            <w:tcW w:w="756" w:type="pct"/>
          </w:tcPr>
          <w:p w14:paraId="5FD43179" w14:textId="77777777" w:rsidR="00C450A8" w:rsidRPr="00E53FB1" w:rsidRDefault="00C450A8" w:rsidP="00B42999">
            <w:pPr>
              <w:pStyle w:val="Tablehead"/>
              <w:jc w:val="center"/>
              <w:rPr>
                <w:rFonts w:ascii="Times New Roman" w:hAnsi="Times New Roman"/>
              </w:rPr>
            </w:pPr>
            <w:r w:rsidRPr="00E53FB1">
              <w:rPr>
                <w:rFonts w:ascii="Times New Roman" w:hAnsi="Times New Roman"/>
                <w:lang w:val="en-AU"/>
              </w:rPr>
              <w:t>Seizure frequency</w:t>
            </w:r>
          </w:p>
        </w:tc>
        <w:tc>
          <w:tcPr>
            <w:tcW w:w="844" w:type="pct"/>
          </w:tcPr>
          <w:p w14:paraId="5FD4317A" w14:textId="77777777" w:rsidR="00C450A8" w:rsidRPr="00E53FB1" w:rsidRDefault="00C450A8" w:rsidP="00B42999">
            <w:pPr>
              <w:pStyle w:val="Tablehead"/>
              <w:jc w:val="center"/>
              <w:rPr>
                <w:rFonts w:ascii="Times New Roman" w:hAnsi="Times New Roman"/>
              </w:rPr>
            </w:pPr>
            <w:r w:rsidRPr="00E53FB1">
              <w:rPr>
                <w:rFonts w:ascii="Times New Roman" w:hAnsi="Times New Roman"/>
                <w:lang w:val="en-AU"/>
              </w:rPr>
              <w:t>Seizure frequency</w:t>
            </w:r>
          </w:p>
        </w:tc>
        <w:tc>
          <w:tcPr>
            <w:tcW w:w="844" w:type="pct"/>
          </w:tcPr>
          <w:p w14:paraId="5FD4317B" w14:textId="77777777" w:rsidR="00C450A8" w:rsidRPr="00E53FB1" w:rsidRDefault="00C450A8" w:rsidP="00B42999">
            <w:pPr>
              <w:pStyle w:val="Tablehead"/>
              <w:jc w:val="center"/>
              <w:rPr>
                <w:rFonts w:ascii="Times New Roman" w:hAnsi="Times New Roman"/>
              </w:rPr>
            </w:pPr>
            <w:r w:rsidRPr="00E53FB1">
              <w:rPr>
                <w:rFonts w:ascii="Times New Roman" w:hAnsi="Times New Roman"/>
                <w:lang w:val="en-AU"/>
              </w:rPr>
              <w:t>Seizure frequency</w:t>
            </w:r>
          </w:p>
        </w:tc>
        <w:tc>
          <w:tcPr>
            <w:tcW w:w="1338" w:type="pct"/>
          </w:tcPr>
          <w:p w14:paraId="5FD4317C" w14:textId="77777777" w:rsidR="00C450A8" w:rsidRPr="00E53FB1" w:rsidRDefault="00C450A8" w:rsidP="00B42999">
            <w:pPr>
              <w:pStyle w:val="Tablehead"/>
              <w:jc w:val="center"/>
              <w:rPr>
                <w:rFonts w:ascii="Times New Roman" w:hAnsi="Times New Roman"/>
                <w:lang w:val="en-AU"/>
              </w:rPr>
            </w:pPr>
            <w:r w:rsidRPr="00E53FB1">
              <w:rPr>
                <w:rFonts w:ascii="Times New Roman" w:hAnsi="Times New Roman"/>
                <w:lang w:val="en-AU"/>
              </w:rPr>
              <w:t>Seizure frequency</w:t>
            </w:r>
          </w:p>
        </w:tc>
      </w:tr>
      <w:tr w:rsidR="007603C2" w:rsidRPr="00E53FB1" w14:paraId="5FD43184" w14:textId="77777777" w:rsidTr="00C75FEE">
        <w:trPr>
          <w:tblHeader/>
        </w:trPr>
        <w:tc>
          <w:tcPr>
            <w:tcW w:w="658" w:type="pct"/>
          </w:tcPr>
          <w:p w14:paraId="5FD4317E" w14:textId="77777777" w:rsidR="007603C2" w:rsidRPr="00E53FB1" w:rsidRDefault="00C450A8" w:rsidP="00B42999">
            <w:pPr>
              <w:pStyle w:val="Tablehead"/>
              <w:rPr>
                <w:rFonts w:ascii="Times New Roman" w:hAnsi="Times New Roman"/>
                <w:lang w:val="en-AU"/>
              </w:rPr>
            </w:pPr>
            <w:r w:rsidRPr="00E53FB1">
              <w:rPr>
                <w:rFonts w:ascii="Times New Roman" w:hAnsi="Times New Roman"/>
                <w:lang w:val="en-AU"/>
              </w:rPr>
              <w:t>Trial ID</w:t>
            </w:r>
          </w:p>
        </w:tc>
        <w:tc>
          <w:tcPr>
            <w:tcW w:w="560" w:type="pct"/>
          </w:tcPr>
          <w:p w14:paraId="5FD4317F" w14:textId="77777777" w:rsidR="007603C2" w:rsidRPr="00E53FB1" w:rsidRDefault="00C450A8" w:rsidP="00B42999">
            <w:pPr>
              <w:pStyle w:val="Tablehead"/>
              <w:rPr>
                <w:rFonts w:ascii="Times New Roman" w:hAnsi="Times New Roman"/>
                <w:lang w:val="en-AU"/>
              </w:rPr>
            </w:pPr>
            <w:r w:rsidRPr="00E53FB1">
              <w:rPr>
                <w:rFonts w:ascii="Times New Roman" w:hAnsi="Times New Roman"/>
                <w:lang w:val="en-AU"/>
              </w:rPr>
              <w:t>Treatment duration</w:t>
            </w:r>
          </w:p>
        </w:tc>
        <w:tc>
          <w:tcPr>
            <w:tcW w:w="756" w:type="pct"/>
          </w:tcPr>
          <w:p w14:paraId="5FD43180" w14:textId="77777777" w:rsidR="007603C2" w:rsidRPr="00E53FB1" w:rsidRDefault="007603C2" w:rsidP="00B42999">
            <w:pPr>
              <w:pStyle w:val="Tablehead"/>
              <w:ind w:left="-125" w:right="-109"/>
              <w:jc w:val="center"/>
              <w:rPr>
                <w:rFonts w:ascii="Times New Roman" w:hAnsi="Times New Roman"/>
                <w:lang w:val="en-AU"/>
              </w:rPr>
            </w:pPr>
            <w:r w:rsidRPr="00E53FB1">
              <w:rPr>
                <w:rFonts w:ascii="Times New Roman" w:hAnsi="Times New Roman"/>
                <w:lang w:val="en-AU"/>
              </w:rPr>
              <w:t>&gt;50% reduction</w:t>
            </w:r>
          </w:p>
        </w:tc>
        <w:tc>
          <w:tcPr>
            <w:tcW w:w="844" w:type="pct"/>
          </w:tcPr>
          <w:p w14:paraId="5FD43181" w14:textId="77777777" w:rsidR="007603C2" w:rsidRPr="00E53FB1" w:rsidRDefault="007603C2" w:rsidP="00B42999">
            <w:pPr>
              <w:pStyle w:val="Tablehead"/>
              <w:jc w:val="center"/>
              <w:rPr>
                <w:rFonts w:ascii="Times New Roman" w:hAnsi="Times New Roman"/>
                <w:lang w:val="en-AU"/>
              </w:rPr>
            </w:pPr>
            <w:r w:rsidRPr="00E53FB1">
              <w:rPr>
                <w:rFonts w:ascii="Times New Roman" w:hAnsi="Times New Roman"/>
                <w:lang w:val="en-AU"/>
              </w:rPr>
              <w:t>&gt;75% reduction</w:t>
            </w:r>
          </w:p>
        </w:tc>
        <w:tc>
          <w:tcPr>
            <w:tcW w:w="844" w:type="pct"/>
          </w:tcPr>
          <w:p w14:paraId="5FD43182" w14:textId="77777777" w:rsidR="007603C2" w:rsidRPr="00E53FB1" w:rsidRDefault="007603C2" w:rsidP="00B42999">
            <w:pPr>
              <w:pStyle w:val="Tablehead"/>
              <w:jc w:val="center"/>
              <w:rPr>
                <w:rFonts w:ascii="Times New Roman" w:hAnsi="Times New Roman"/>
                <w:lang w:val="en-AU"/>
              </w:rPr>
            </w:pPr>
            <w:r w:rsidRPr="00E53FB1">
              <w:rPr>
                <w:rFonts w:ascii="Times New Roman" w:hAnsi="Times New Roman"/>
                <w:lang w:val="en-AU"/>
              </w:rPr>
              <w:t>100% reduction</w:t>
            </w:r>
          </w:p>
        </w:tc>
        <w:tc>
          <w:tcPr>
            <w:tcW w:w="1338" w:type="pct"/>
          </w:tcPr>
          <w:p w14:paraId="5FD43183" w14:textId="77777777" w:rsidR="007603C2" w:rsidRPr="00E53FB1" w:rsidRDefault="007603C2" w:rsidP="00B42999">
            <w:pPr>
              <w:pStyle w:val="Tablehead"/>
              <w:jc w:val="center"/>
              <w:rPr>
                <w:rFonts w:ascii="Times New Roman" w:hAnsi="Times New Roman"/>
                <w:lang w:val="en-AU"/>
              </w:rPr>
            </w:pPr>
            <w:r>
              <w:rPr>
                <w:rFonts w:ascii="Times New Roman" w:hAnsi="Times New Roman"/>
                <w:lang w:val="en-AU"/>
              </w:rPr>
              <w:t>Mean percentage change</w:t>
            </w:r>
          </w:p>
        </w:tc>
      </w:tr>
      <w:tr w:rsidR="00C450A8" w:rsidRPr="00E53FB1" w14:paraId="5FD43188" w14:textId="77777777" w:rsidTr="00C75FEE">
        <w:trPr>
          <w:tblHeader/>
        </w:trPr>
        <w:tc>
          <w:tcPr>
            <w:tcW w:w="1218" w:type="pct"/>
            <w:gridSpan w:val="2"/>
            <w:shd w:val="clear" w:color="auto" w:fill="F2F2F2" w:themeFill="background1" w:themeFillShade="F2"/>
          </w:tcPr>
          <w:p w14:paraId="5FD43185" w14:textId="77777777" w:rsidR="00C450A8" w:rsidRPr="00E53FB1" w:rsidRDefault="00C450A8" w:rsidP="00B42999">
            <w:pPr>
              <w:pStyle w:val="Tablehead"/>
              <w:rPr>
                <w:rFonts w:ascii="Times New Roman" w:hAnsi="Times New Roman"/>
              </w:rPr>
            </w:pPr>
            <w:r w:rsidRPr="00E53FB1">
              <w:rPr>
                <w:rFonts w:ascii="Times New Roman" w:hAnsi="Times New Roman"/>
                <w:lang w:val="en-AU"/>
              </w:rPr>
              <w:t xml:space="preserve">Trials of VNS </w:t>
            </w:r>
            <w:r>
              <w:rPr>
                <w:rFonts w:ascii="Times New Roman" w:hAnsi="Times New Roman"/>
                <w:lang w:val="en-AU"/>
              </w:rPr>
              <w:t>t</w:t>
            </w:r>
            <w:r w:rsidRPr="00E53FB1">
              <w:rPr>
                <w:rFonts w:ascii="Times New Roman" w:hAnsi="Times New Roman"/>
                <w:lang w:val="en-AU"/>
              </w:rPr>
              <w:t>herapy: High vs. Low stimulation</w:t>
            </w:r>
          </w:p>
        </w:tc>
        <w:tc>
          <w:tcPr>
            <w:tcW w:w="2444" w:type="pct"/>
            <w:gridSpan w:val="3"/>
            <w:shd w:val="clear" w:color="auto" w:fill="F2F2F2" w:themeFill="background1" w:themeFillShade="F2"/>
          </w:tcPr>
          <w:p w14:paraId="5FD43186" w14:textId="77777777" w:rsidR="00C450A8" w:rsidRPr="00E53FB1" w:rsidRDefault="00C450A8" w:rsidP="00B42999">
            <w:pPr>
              <w:pStyle w:val="Tablehead"/>
              <w:rPr>
                <w:rFonts w:ascii="Times New Roman" w:hAnsi="Times New Roman"/>
              </w:rPr>
            </w:pPr>
            <w:r w:rsidRPr="00E53FB1">
              <w:rPr>
                <w:rFonts w:ascii="Times New Roman" w:hAnsi="Times New Roman"/>
                <w:lang w:val="en-AU"/>
              </w:rPr>
              <w:t xml:space="preserve">Trials of VNS </w:t>
            </w:r>
            <w:r>
              <w:rPr>
                <w:rFonts w:ascii="Times New Roman" w:hAnsi="Times New Roman"/>
                <w:lang w:val="en-AU"/>
              </w:rPr>
              <w:t>t</w:t>
            </w:r>
            <w:r w:rsidRPr="00E53FB1">
              <w:rPr>
                <w:rFonts w:ascii="Times New Roman" w:hAnsi="Times New Roman"/>
                <w:lang w:val="en-AU"/>
              </w:rPr>
              <w:t>herapy: High vs. Low stimulation</w:t>
            </w:r>
          </w:p>
        </w:tc>
        <w:tc>
          <w:tcPr>
            <w:tcW w:w="1338" w:type="pct"/>
            <w:shd w:val="clear" w:color="auto" w:fill="F2F2F2" w:themeFill="background1" w:themeFillShade="F2"/>
          </w:tcPr>
          <w:p w14:paraId="5FD43187" w14:textId="77777777" w:rsidR="00C450A8" w:rsidRPr="00E53FB1" w:rsidRDefault="00C450A8" w:rsidP="00B42999">
            <w:pPr>
              <w:pStyle w:val="Tablehead"/>
              <w:rPr>
                <w:rFonts w:ascii="Times New Roman" w:hAnsi="Times New Roman"/>
                <w:lang w:val="en-AU"/>
              </w:rPr>
            </w:pPr>
            <w:r w:rsidRPr="00E53FB1">
              <w:rPr>
                <w:rFonts w:ascii="Times New Roman" w:hAnsi="Times New Roman"/>
                <w:lang w:val="en-AU"/>
              </w:rPr>
              <w:t xml:space="preserve">Trials of VNS </w:t>
            </w:r>
            <w:r>
              <w:rPr>
                <w:rFonts w:ascii="Times New Roman" w:hAnsi="Times New Roman"/>
                <w:lang w:val="en-AU"/>
              </w:rPr>
              <w:t>t</w:t>
            </w:r>
            <w:r w:rsidRPr="00E53FB1">
              <w:rPr>
                <w:rFonts w:ascii="Times New Roman" w:hAnsi="Times New Roman"/>
                <w:lang w:val="en-AU"/>
              </w:rPr>
              <w:t>herapy: High vs. Low stimulation</w:t>
            </w:r>
          </w:p>
        </w:tc>
      </w:tr>
      <w:tr w:rsidR="007603C2" w:rsidRPr="00E53FB1" w14:paraId="5FD4318C" w14:textId="77777777" w:rsidTr="00C450A8">
        <w:tc>
          <w:tcPr>
            <w:tcW w:w="1218" w:type="pct"/>
            <w:gridSpan w:val="2"/>
          </w:tcPr>
          <w:p w14:paraId="5FD43189" w14:textId="77777777" w:rsidR="007603C2" w:rsidRPr="00E53FB1" w:rsidRDefault="00C450A8" w:rsidP="00B42999">
            <w:pPr>
              <w:pStyle w:val="Tabletext"/>
              <w:rPr>
                <w:rFonts w:ascii="Times New Roman" w:hAnsi="Times New Roman"/>
                <w:lang w:val="en-AU"/>
              </w:rPr>
            </w:pPr>
            <w:r>
              <w:rPr>
                <w:rFonts w:ascii="Times New Roman" w:hAnsi="Times New Roman"/>
                <w:lang w:val="en-AU"/>
              </w:rPr>
              <w:t>-</w:t>
            </w:r>
          </w:p>
        </w:tc>
        <w:tc>
          <w:tcPr>
            <w:tcW w:w="2444" w:type="pct"/>
            <w:gridSpan w:val="3"/>
          </w:tcPr>
          <w:p w14:paraId="5FD4318A"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Relative risk</w:t>
            </w:r>
            <w:r>
              <w:rPr>
                <w:rFonts w:ascii="Times New Roman" w:hAnsi="Times New Roman"/>
                <w:lang w:val="en-AU"/>
              </w:rPr>
              <w:t xml:space="preserve"> (95% CI)</w:t>
            </w:r>
            <w:r w:rsidRPr="00E53FB1">
              <w:rPr>
                <w:rFonts w:ascii="Times New Roman" w:hAnsi="Times New Roman"/>
                <w:lang w:val="en-AU"/>
              </w:rPr>
              <w:br/>
            </w:r>
            <w:r>
              <w:rPr>
                <w:rFonts w:ascii="Times New Roman" w:hAnsi="Times New Roman"/>
                <w:i/>
                <w:lang w:val="en-AU"/>
              </w:rPr>
              <w:t xml:space="preserve">Result &gt;1 favours VNS high </w:t>
            </w:r>
            <w:proofErr w:type="spellStart"/>
            <w:r>
              <w:rPr>
                <w:rFonts w:ascii="Times New Roman" w:hAnsi="Times New Roman"/>
                <w:i/>
                <w:lang w:val="en-AU"/>
              </w:rPr>
              <w:t>stim</w:t>
            </w:r>
            <w:proofErr w:type="spellEnd"/>
          </w:p>
        </w:tc>
        <w:tc>
          <w:tcPr>
            <w:tcW w:w="1338" w:type="pct"/>
          </w:tcPr>
          <w:p w14:paraId="5FD4318B"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Mean difference</w:t>
            </w:r>
            <w:r>
              <w:rPr>
                <w:rFonts w:ascii="Times New Roman" w:hAnsi="Times New Roman"/>
                <w:lang w:val="en-AU"/>
              </w:rPr>
              <w:t xml:space="preserve"> (95% CI)</w:t>
            </w:r>
            <w:r w:rsidRPr="00E53FB1">
              <w:rPr>
                <w:rFonts w:ascii="Times New Roman" w:hAnsi="Times New Roman"/>
                <w:lang w:val="en-AU"/>
              </w:rPr>
              <w:br/>
            </w:r>
            <w:r>
              <w:rPr>
                <w:rFonts w:ascii="Times New Roman" w:hAnsi="Times New Roman"/>
                <w:i/>
                <w:lang w:val="en-AU"/>
              </w:rPr>
              <w:t xml:space="preserve">Result &lt;0 favours VNS high </w:t>
            </w:r>
            <w:proofErr w:type="spellStart"/>
            <w:r>
              <w:rPr>
                <w:rFonts w:ascii="Times New Roman" w:hAnsi="Times New Roman"/>
                <w:i/>
                <w:lang w:val="en-AU"/>
              </w:rPr>
              <w:t>stim</w:t>
            </w:r>
            <w:proofErr w:type="spellEnd"/>
          </w:p>
        </w:tc>
      </w:tr>
      <w:tr w:rsidR="007603C2" w:rsidRPr="00E53FB1" w14:paraId="5FD43196" w14:textId="77777777" w:rsidTr="00C450A8">
        <w:tc>
          <w:tcPr>
            <w:tcW w:w="658" w:type="pct"/>
          </w:tcPr>
          <w:p w14:paraId="5FD4318D" w14:textId="77777777" w:rsidR="007603C2" w:rsidRPr="00E53FB1" w:rsidRDefault="007603C2" w:rsidP="00B42999">
            <w:pPr>
              <w:pStyle w:val="Tabletext"/>
              <w:rPr>
                <w:rFonts w:ascii="Times New Roman" w:hAnsi="Times New Roman"/>
                <w:lang w:val="en-AU"/>
              </w:rPr>
            </w:pPr>
            <w:r w:rsidRPr="00E53FB1">
              <w:rPr>
                <w:rFonts w:ascii="Times New Roman" w:hAnsi="Times New Roman"/>
                <w:lang w:val="en-AU"/>
              </w:rPr>
              <w:t>E03</w:t>
            </w:r>
          </w:p>
        </w:tc>
        <w:tc>
          <w:tcPr>
            <w:tcW w:w="560" w:type="pct"/>
          </w:tcPr>
          <w:p w14:paraId="5FD4318E" w14:textId="77777777" w:rsidR="007603C2" w:rsidRPr="00E53FB1" w:rsidRDefault="007603C2" w:rsidP="00B42999">
            <w:pPr>
              <w:pStyle w:val="Tabletext"/>
              <w:rPr>
                <w:rFonts w:ascii="Times New Roman" w:hAnsi="Times New Roman"/>
                <w:lang w:val="en-AU"/>
              </w:rPr>
            </w:pPr>
            <w:r w:rsidRPr="00E53FB1">
              <w:rPr>
                <w:rFonts w:ascii="Times New Roman" w:hAnsi="Times New Roman"/>
                <w:lang w:val="en-AU"/>
              </w:rPr>
              <w:t>14 weeks</w:t>
            </w:r>
          </w:p>
        </w:tc>
        <w:tc>
          <w:tcPr>
            <w:tcW w:w="756" w:type="pct"/>
          </w:tcPr>
          <w:p w14:paraId="5FD4318F" w14:textId="77777777" w:rsidR="007603C2" w:rsidRDefault="007603C2" w:rsidP="00B42999">
            <w:pPr>
              <w:pStyle w:val="Tabletext"/>
              <w:jc w:val="center"/>
              <w:rPr>
                <w:rFonts w:ascii="Times New Roman" w:hAnsi="Times New Roman"/>
                <w:lang w:val="en-AU"/>
              </w:rPr>
            </w:pPr>
            <w:r w:rsidRPr="00E53FB1">
              <w:rPr>
                <w:rFonts w:ascii="Times New Roman" w:hAnsi="Times New Roman"/>
                <w:lang w:val="en-AU"/>
              </w:rPr>
              <w:t>2.36</w:t>
            </w:r>
          </w:p>
          <w:p w14:paraId="5FD43190"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(1.11 to 5.03)</w:t>
            </w:r>
          </w:p>
        </w:tc>
        <w:tc>
          <w:tcPr>
            <w:tcW w:w="844" w:type="pct"/>
          </w:tcPr>
          <w:p w14:paraId="5FD43191" w14:textId="77777777" w:rsidR="007603C2" w:rsidRDefault="007603C2" w:rsidP="00B42999">
            <w:pPr>
              <w:pStyle w:val="Tabletext"/>
              <w:jc w:val="center"/>
              <w:rPr>
                <w:rFonts w:ascii="Times New Roman" w:hAnsi="Times New Roman"/>
                <w:lang w:val="en-AU"/>
              </w:rPr>
            </w:pPr>
            <w:r w:rsidRPr="00E53FB1">
              <w:rPr>
                <w:rFonts w:ascii="Times New Roman" w:hAnsi="Times New Roman"/>
                <w:lang w:val="en-AU"/>
              </w:rPr>
              <w:t>4.44</w:t>
            </w:r>
          </w:p>
          <w:p w14:paraId="5FD43192"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(0.51 to 38.55)</w:t>
            </w:r>
          </w:p>
        </w:tc>
        <w:tc>
          <w:tcPr>
            <w:tcW w:w="844" w:type="pct"/>
          </w:tcPr>
          <w:p w14:paraId="5FD43193"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Not estimable</w:t>
            </w:r>
          </w:p>
        </w:tc>
        <w:tc>
          <w:tcPr>
            <w:tcW w:w="1338" w:type="pct"/>
          </w:tcPr>
          <w:p w14:paraId="5FD43194" w14:textId="77777777" w:rsidR="007603C2" w:rsidRDefault="007603C2" w:rsidP="00B42999">
            <w:pPr>
              <w:pStyle w:val="Tabletext"/>
              <w:jc w:val="center"/>
              <w:rPr>
                <w:rFonts w:ascii="Times New Roman" w:hAnsi="Times New Roman"/>
                <w:lang w:val="en-AU"/>
              </w:rPr>
            </w:pPr>
            <w:r w:rsidRPr="00E53FB1">
              <w:rPr>
                <w:rFonts w:ascii="Times New Roman" w:hAnsi="Times New Roman"/>
                <w:lang w:val="en-AU"/>
              </w:rPr>
              <w:t>-18.4</w:t>
            </w:r>
          </w:p>
          <w:p w14:paraId="5FD43195"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(-32.62 to -4.18)</w:t>
            </w:r>
          </w:p>
        </w:tc>
      </w:tr>
      <w:tr w:rsidR="007603C2" w:rsidRPr="00E53FB1" w14:paraId="5FD431A1" w14:textId="77777777" w:rsidTr="00C450A8">
        <w:tc>
          <w:tcPr>
            <w:tcW w:w="658" w:type="pct"/>
          </w:tcPr>
          <w:p w14:paraId="5FD43197" w14:textId="77777777" w:rsidR="007603C2" w:rsidRPr="00E53FB1" w:rsidRDefault="007603C2" w:rsidP="00B42999">
            <w:pPr>
              <w:pStyle w:val="Tabletext"/>
              <w:rPr>
                <w:rFonts w:ascii="Times New Roman" w:hAnsi="Times New Roman"/>
                <w:lang w:val="en-AU"/>
              </w:rPr>
            </w:pPr>
            <w:r w:rsidRPr="00E53FB1">
              <w:rPr>
                <w:rFonts w:ascii="Times New Roman" w:hAnsi="Times New Roman"/>
                <w:lang w:val="en-AU"/>
              </w:rPr>
              <w:t>E05</w:t>
            </w:r>
          </w:p>
        </w:tc>
        <w:tc>
          <w:tcPr>
            <w:tcW w:w="560" w:type="pct"/>
          </w:tcPr>
          <w:p w14:paraId="5FD43198" w14:textId="77777777" w:rsidR="007603C2" w:rsidRPr="00E53FB1" w:rsidRDefault="007603C2" w:rsidP="00B42999">
            <w:pPr>
              <w:pStyle w:val="Tabletext"/>
              <w:rPr>
                <w:rFonts w:ascii="Times New Roman" w:hAnsi="Times New Roman"/>
                <w:lang w:val="en-AU"/>
              </w:rPr>
            </w:pPr>
            <w:r w:rsidRPr="00E53FB1">
              <w:rPr>
                <w:rFonts w:ascii="Times New Roman" w:hAnsi="Times New Roman"/>
                <w:lang w:val="en-AU"/>
              </w:rPr>
              <w:t>3 months</w:t>
            </w:r>
          </w:p>
        </w:tc>
        <w:tc>
          <w:tcPr>
            <w:tcW w:w="756" w:type="pct"/>
          </w:tcPr>
          <w:p w14:paraId="5FD43199" w14:textId="77777777" w:rsidR="007603C2" w:rsidRDefault="007603C2" w:rsidP="00B42999">
            <w:pPr>
              <w:pStyle w:val="Tabletext"/>
              <w:jc w:val="center"/>
              <w:rPr>
                <w:rFonts w:ascii="Times New Roman" w:hAnsi="Times New Roman"/>
                <w:lang w:val="en-AU"/>
              </w:rPr>
            </w:pPr>
            <w:r>
              <w:rPr>
                <w:rFonts w:ascii="Times New Roman" w:hAnsi="Times New Roman"/>
                <w:lang w:val="en-AU"/>
              </w:rPr>
              <w:t>1.49</w:t>
            </w:r>
          </w:p>
          <w:p w14:paraId="5FD4319A"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(0.84 to 2.66)</w:t>
            </w:r>
          </w:p>
        </w:tc>
        <w:tc>
          <w:tcPr>
            <w:tcW w:w="844" w:type="pct"/>
          </w:tcPr>
          <w:p w14:paraId="5FD4319B" w14:textId="77777777" w:rsidR="007603C2" w:rsidRDefault="007603C2" w:rsidP="00B42999">
            <w:pPr>
              <w:pStyle w:val="Tabletext"/>
              <w:jc w:val="center"/>
              <w:rPr>
                <w:rFonts w:ascii="Times New Roman" w:hAnsi="Times New Roman"/>
                <w:lang w:val="en-AU"/>
              </w:rPr>
            </w:pPr>
            <w:r>
              <w:rPr>
                <w:rFonts w:ascii="Times New Roman" w:hAnsi="Times New Roman"/>
                <w:lang w:val="en-AU"/>
              </w:rPr>
              <w:t>5.43</w:t>
            </w:r>
          </w:p>
          <w:p w14:paraId="5FD4319C"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(1.22 to 24.12)</w:t>
            </w:r>
          </w:p>
        </w:tc>
        <w:tc>
          <w:tcPr>
            <w:tcW w:w="844" w:type="pct"/>
          </w:tcPr>
          <w:p w14:paraId="5FD4319D" w14:textId="77777777" w:rsidR="007603C2" w:rsidRDefault="007603C2" w:rsidP="00B42999">
            <w:pPr>
              <w:pStyle w:val="Tabletext"/>
              <w:jc w:val="center"/>
              <w:rPr>
                <w:rFonts w:ascii="Times New Roman" w:hAnsi="Times New Roman"/>
                <w:lang w:val="en-AU"/>
              </w:rPr>
            </w:pPr>
            <w:r w:rsidRPr="00E53FB1">
              <w:rPr>
                <w:rFonts w:ascii="Times New Roman" w:hAnsi="Times New Roman"/>
                <w:lang w:val="en-AU"/>
              </w:rPr>
              <w:t>3.25</w:t>
            </w:r>
          </w:p>
          <w:p w14:paraId="5FD4319E"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(0.13 to 78.88)</w:t>
            </w:r>
          </w:p>
        </w:tc>
        <w:tc>
          <w:tcPr>
            <w:tcW w:w="1338" w:type="pct"/>
          </w:tcPr>
          <w:p w14:paraId="5FD4319F" w14:textId="77777777" w:rsidR="007603C2" w:rsidRDefault="007603C2" w:rsidP="00B42999">
            <w:pPr>
              <w:pStyle w:val="Tabletext"/>
              <w:jc w:val="center"/>
              <w:rPr>
                <w:rFonts w:ascii="Times New Roman" w:hAnsi="Times New Roman"/>
                <w:lang w:val="en-AU"/>
              </w:rPr>
            </w:pPr>
            <w:r>
              <w:rPr>
                <w:rFonts w:ascii="Times New Roman" w:hAnsi="Times New Roman"/>
                <w:lang w:val="en-AU"/>
              </w:rPr>
              <w:t>-12.70</w:t>
            </w:r>
          </w:p>
          <w:p w14:paraId="5FD431A0"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(-22.99 to -2.41)</w:t>
            </w:r>
          </w:p>
        </w:tc>
      </w:tr>
      <w:tr w:rsidR="007603C2" w:rsidRPr="00E53FB1" w14:paraId="5FD431A9" w14:textId="77777777" w:rsidTr="00C450A8">
        <w:tc>
          <w:tcPr>
            <w:tcW w:w="658" w:type="pct"/>
          </w:tcPr>
          <w:p w14:paraId="5FD431A2" w14:textId="77777777" w:rsidR="007603C2" w:rsidRPr="00E53FB1" w:rsidRDefault="007603C2" w:rsidP="00B42999">
            <w:pPr>
              <w:pStyle w:val="Tabletext"/>
              <w:rPr>
                <w:rFonts w:ascii="Times New Roman" w:hAnsi="Times New Roman"/>
                <w:lang w:val="en-AU"/>
              </w:rPr>
            </w:pPr>
            <w:proofErr w:type="spellStart"/>
            <w:r w:rsidRPr="00E53FB1">
              <w:rPr>
                <w:rFonts w:ascii="Times New Roman" w:hAnsi="Times New Roman"/>
                <w:lang w:val="en-AU"/>
              </w:rPr>
              <w:t>Klinkenberg</w:t>
            </w:r>
            <w:proofErr w:type="spellEnd"/>
            <w:r w:rsidRPr="00E53FB1">
              <w:rPr>
                <w:rFonts w:ascii="Times New Roman" w:hAnsi="Times New Roman"/>
                <w:lang w:val="en-AU"/>
              </w:rPr>
              <w:t xml:space="preserve"> 2012</w:t>
            </w:r>
          </w:p>
        </w:tc>
        <w:tc>
          <w:tcPr>
            <w:tcW w:w="560" w:type="pct"/>
          </w:tcPr>
          <w:p w14:paraId="5FD431A3" w14:textId="77777777" w:rsidR="007603C2" w:rsidRPr="00E53FB1" w:rsidRDefault="007603C2" w:rsidP="00B42999">
            <w:pPr>
              <w:pStyle w:val="Tabletext"/>
              <w:rPr>
                <w:rFonts w:ascii="Times New Roman" w:hAnsi="Times New Roman"/>
                <w:lang w:val="en-AU"/>
              </w:rPr>
            </w:pPr>
            <w:r w:rsidRPr="00E53FB1">
              <w:rPr>
                <w:rFonts w:ascii="Times New Roman" w:hAnsi="Times New Roman"/>
                <w:lang w:val="en-AU"/>
              </w:rPr>
              <w:t>20 weeks</w:t>
            </w:r>
          </w:p>
        </w:tc>
        <w:tc>
          <w:tcPr>
            <w:tcW w:w="756" w:type="pct"/>
          </w:tcPr>
          <w:p w14:paraId="5FD431A4" w14:textId="77777777" w:rsidR="007603C2" w:rsidRDefault="007603C2" w:rsidP="00B42999">
            <w:pPr>
              <w:pStyle w:val="Tabletext"/>
              <w:jc w:val="center"/>
              <w:rPr>
                <w:rFonts w:ascii="Times New Roman" w:hAnsi="Times New Roman"/>
                <w:lang w:val="en-AU"/>
              </w:rPr>
            </w:pPr>
            <w:r>
              <w:rPr>
                <w:rFonts w:ascii="Times New Roman" w:hAnsi="Times New Roman"/>
                <w:lang w:val="en-AU"/>
              </w:rPr>
              <w:t>0.75</w:t>
            </w:r>
          </w:p>
          <w:p w14:paraId="5FD431A5"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(0.19 to 2.91)</w:t>
            </w:r>
          </w:p>
        </w:tc>
        <w:tc>
          <w:tcPr>
            <w:tcW w:w="844" w:type="pct"/>
          </w:tcPr>
          <w:p w14:paraId="5FD431A6"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NA</w:t>
            </w:r>
          </w:p>
        </w:tc>
        <w:tc>
          <w:tcPr>
            <w:tcW w:w="844" w:type="pct"/>
          </w:tcPr>
          <w:p w14:paraId="5FD431A7"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NA</w:t>
            </w:r>
          </w:p>
        </w:tc>
        <w:tc>
          <w:tcPr>
            <w:tcW w:w="1338" w:type="pct"/>
          </w:tcPr>
          <w:p w14:paraId="5FD431A8"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NA</w:t>
            </w:r>
          </w:p>
        </w:tc>
      </w:tr>
      <w:tr w:rsidR="007603C2" w:rsidRPr="00E53FB1" w14:paraId="5FD431B7" w14:textId="77777777" w:rsidTr="00C450A8">
        <w:tc>
          <w:tcPr>
            <w:tcW w:w="1218" w:type="pct"/>
            <w:gridSpan w:val="2"/>
          </w:tcPr>
          <w:p w14:paraId="5FD431AA" w14:textId="77777777" w:rsidR="007603C2" w:rsidRPr="00E53FB1" w:rsidRDefault="007603C2" w:rsidP="00B42999">
            <w:pPr>
              <w:pStyle w:val="Tabletext"/>
              <w:rPr>
                <w:rFonts w:ascii="Times New Roman" w:hAnsi="Times New Roman"/>
                <w:lang w:val="en-AU"/>
              </w:rPr>
            </w:pPr>
            <w:r w:rsidRPr="00E53FB1">
              <w:rPr>
                <w:rFonts w:ascii="Times New Roman" w:hAnsi="Times New Roman"/>
                <w:lang w:val="en-AU"/>
              </w:rPr>
              <w:t>Meta-analysis</w:t>
            </w:r>
          </w:p>
        </w:tc>
        <w:tc>
          <w:tcPr>
            <w:tcW w:w="756" w:type="pct"/>
          </w:tcPr>
          <w:p w14:paraId="5FD431AB" w14:textId="77777777" w:rsidR="007603C2" w:rsidRDefault="007603C2" w:rsidP="00B42999">
            <w:pPr>
              <w:pStyle w:val="Tabletext"/>
              <w:jc w:val="center"/>
              <w:rPr>
                <w:rFonts w:ascii="Times New Roman" w:hAnsi="Times New Roman"/>
                <w:lang w:val="en-AU"/>
              </w:rPr>
            </w:pPr>
            <w:r>
              <w:rPr>
                <w:rFonts w:ascii="Times New Roman" w:hAnsi="Times New Roman"/>
                <w:lang w:val="en-AU"/>
              </w:rPr>
              <w:t>1.61</w:t>
            </w:r>
          </w:p>
          <w:p w14:paraId="5FD431AC" w14:textId="77777777" w:rsidR="007603C2" w:rsidRDefault="007603C2" w:rsidP="00B42999">
            <w:pPr>
              <w:pStyle w:val="Tabletext"/>
              <w:jc w:val="center"/>
              <w:rPr>
                <w:rFonts w:ascii="Times New Roman" w:hAnsi="Times New Roman"/>
                <w:lang w:val="en-AU"/>
              </w:rPr>
            </w:pPr>
            <w:r>
              <w:rPr>
                <w:rFonts w:ascii="Times New Roman" w:hAnsi="Times New Roman"/>
                <w:lang w:val="en-AU"/>
              </w:rPr>
              <w:t>(1.00 to 2.60)</w:t>
            </w:r>
          </w:p>
          <w:p w14:paraId="5FD431AD"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P=0.05</w:t>
            </w:r>
          </w:p>
        </w:tc>
        <w:tc>
          <w:tcPr>
            <w:tcW w:w="844" w:type="pct"/>
          </w:tcPr>
          <w:p w14:paraId="5FD431AE" w14:textId="77777777" w:rsidR="007603C2" w:rsidRDefault="007603C2" w:rsidP="00B42999">
            <w:pPr>
              <w:pStyle w:val="Tabletext"/>
              <w:jc w:val="center"/>
              <w:rPr>
                <w:rFonts w:ascii="Times New Roman" w:hAnsi="Times New Roman"/>
                <w:lang w:val="en-AU"/>
              </w:rPr>
            </w:pPr>
            <w:r w:rsidRPr="00E53FB1">
              <w:rPr>
                <w:rFonts w:ascii="Times New Roman" w:hAnsi="Times New Roman"/>
                <w:lang w:val="en-AU"/>
              </w:rPr>
              <w:t>5.09</w:t>
            </w:r>
          </w:p>
          <w:p w14:paraId="5FD431AF" w14:textId="77777777" w:rsidR="007603C2" w:rsidRDefault="007603C2" w:rsidP="00B42999">
            <w:pPr>
              <w:pStyle w:val="Tabletext"/>
              <w:jc w:val="center"/>
              <w:rPr>
                <w:rFonts w:ascii="Times New Roman" w:hAnsi="Times New Roman"/>
                <w:lang w:val="en-AU"/>
              </w:rPr>
            </w:pPr>
            <w:r>
              <w:rPr>
                <w:rFonts w:ascii="Times New Roman" w:hAnsi="Times New Roman"/>
                <w:lang w:val="en-AU"/>
              </w:rPr>
              <w:t>(1.49 to 17.36)</w:t>
            </w:r>
          </w:p>
          <w:p w14:paraId="5FD431B0"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P=0.009</w:t>
            </w:r>
          </w:p>
        </w:tc>
        <w:tc>
          <w:tcPr>
            <w:tcW w:w="844" w:type="pct"/>
          </w:tcPr>
          <w:p w14:paraId="5FD431B1" w14:textId="77777777" w:rsidR="007603C2" w:rsidRDefault="007603C2" w:rsidP="00B42999">
            <w:pPr>
              <w:pStyle w:val="Tabletext"/>
              <w:jc w:val="center"/>
              <w:rPr>
                <w:rFonts w:ascii="Times New Roman" w:hAnsi="Times New Roman"/>
                <w:lang w:val="en-AU"/>
              </w:rPr>
            </w:pPr>
            <w:r w:rsidRPr="00E53FB1">
              <w:rPr>
                <w:rFonts w:ascii="Times New Roman" w:hAnsi="Times New Roman"/>
                <w:lang w:val="en-AU"/>
              </w:rPr>
              <w:t>3.25</w:t>
            </w:r>
          </w:p>
          <w:p w14:paraId="5FD431B2" w14:textId="77777777" w:rsidR="007603C2" w:rsidRDefault="007603C2" w:rsidP="00B42999">
            <w:pPr>
              <w:pStyle w:val="Tabletext"/>
              <w:jc w:val="center"/>
              <w:rPr>
                <w:rFonts w:ascii="Times New Roman" w:hAnsi="Times New Roman"/>
                <w:lang w:val="en-AU"/>
              </w:rPr>
            </w:pPr>
            <w:r>
              <w:rPr>
                <w:rFonts w:ascii="Times New Roman" w:hAnsi="Times New Roman"/>
                <w:lang w:val="en-AU"/>
              </w:rPr>
              <w:t>(0.13 to 78.88)</w:t>
            </w:r>
          </w:p>
          <w:p w14:paraId="5FD431B3"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P=0.47</w:t>
            </w:r>
          </w:p>
        </w:tc>
        <w:tc>
          <w:tcPr>
            <w:tcW w:w="1338" w:type="pct"/>
          </w:tcPr>
          <w:p w14:paraId="5FD431B4" w14:textId="77777777" w:rsidR="007603C2" w:rsidRDefault="007603C2" w:rsidP="00B42999">
            <w:pPr>
              <w:pStyle w:val="Tabletext"/>
              <w:jc w:val="center"/>
              <w:rPr>
                <w:rFonts w:ascii="Times New Roman" w:hAnsi="Times New Roman"/>
                <w:lang w:val="en-AU"/>
              </w:rPr>
            </w:pPr>
            <w:r>
              <w:rPr>
                <w:rFonts w:ascii="Times New Roman" w:hAnsi="Times New Roman"/>
                <w:lang w:val="en-AU"/>
              </w:rPr>
              <w:t>-14.66</w:t>
            </w:r>
          </w:p>
          <w:p w14:paraId="5FD431B5" w14:textId="77777777" w:rsidR="007603C2" w:rsidRDefault="007603C2" w:rsidP="00B42999">
            <w:pPr>
              <w:pStyle w:val="Tabletext"/>
              <w:jc w:val="center"/>
              <w:rPr>
                <w:rFonts w:ascii="Times New Roman" w:hAnsi="Times New Roman"/>
                <w:lang w:val="en-AU"/>
              </w:rPr>
            </w:pPr>
            <w:r>
              <w:rPr>
                <w:rFonts w:ascii="Times New Roman" w:hAnsi="Times New Roman"/>
                <w:lang w:val="en-AU"/>
              </w:rPr>
              <w:t>(-23.00 to -6.32)</w:t>
            </w:r>
          </w:p>
          <w:p w14:paraId="5FD431B6"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P&lt;0.01</w:t>
            </w:r>
          </w:p>
        </w:tc>
      </w:tr>
      <w:tr w:rsidR="007603C2" w:rsidRPr="00E53FB1" w14:paraId="5FD431B9" w14:textId="77777777" w:rsidTr="00B42999">
        <w:tc>
          <w:tcPr>
            <w:tcW w:w="5000" w:type="pct"/>
            <w:gridSpan w:val="6"/>
            <w:shd w:val="clear" w:color="auto" w:fill="F2F2F2" w:themeFill="background1" w:themeFillShade="F2"/>
          </w:tcPr>
          <w:p w14:paraId="5FD431B8" w14:textId="77777777" w:rsidR="007603C2" w:rsidRPr="00E53FB1" w:rsidRDefault="007603C2" w:rsidP="00B42999">
            <w:pPr>
              <w:pStyle w:val="Tablehead"/>
              <w:rPr>
                <w:rFonts w:ascii="Times New Roman" w:hAnsi="Times New Roman"/>
                <w:lang w:val="en-AU"/>
              </w:rPr>
            </w:pPr>
            <w:r w:rsidRPr="00E53FB1">
              <w:rPr>
                <w:rFonts w:ascii="Times New Roman" w:hAnsi="Times New Roman"/>
                <w:lang w:val="en-AU"/>
              </w:rPr>
              <w:t xml:space="preserve">Trials of VNS </w:t>
            </w:r>
            <w:r>
              <w:rPr>
                <w:rFonts w:ascii="Times New Roman" w:hAnsi="Times New Roman"/>
                <w:lang w:val="en-AU"/>
              </w:rPr>
              <w:t>t</w:t>
            </w:r>
            <w:r w:rsidRPr="00E53FB1">
              <w:rPr>
                <w:rFonts w:ascii="Times New Roman" w:hAnsi="Times New Roman"/>
                <w:lang w:val="en-AU"/>
              </w:rPr>
              <w:t xml:space="preserve">herapy </w:t>
            </w:r>
            <w:proofErr w:type="spellStart"/>
            <w:r w:rsidRPr="00E53FB1">
              <w:rPr>
                <w:rFonts w:ascii="Times New Roman" w:hAnsi="Times New Roman"/>
                <w:lang w:val="en-AU"/>
              </w:rPr>
              <w:t>vs</w:t>
            </w:r>
            <w:proofErr w:type="spellEnd"/>
            <w:r w:rsidRPr="00E53FB1">
              <w:rPr>
                <w:rFonts w:ascii="Times New Roman" w:hAnsi="Times New Roman"/>
                <w:lang w:val="en-AU"/>
              </w:rPr>
              <w:t xml:space="preserve"> No active intervention</w:t>
            </w:r>
          </w:p>
        </w:tc>
      </w:tr>
      <w:tr w:rsidR="007603C2" w:rsidRPr="00E53FB1" w14:paraId="5FD431BD" w14:textId="77777777" w:rsidTr="00C450A8">
        <w:tc>
          <w:tcPr>
            <w:tcW w:w="1218" w:type="pct"/>
            <w:gridSpan w:val="2"/>
          </w:tcPr>
          <w:p w14:paraId="5FD431BA" w14:textId="77777777" w:rsidR="007603C2" w:rsidRPr="00E53FB1" w:rsidRDefault="00C450A8" w:rsidP="00B42999">
            <w:pPr>
              <w:pStyle w:val="Tabletext"/>
              <w:rPr>
                <w:rFonts w:ascii="Times New Roman" w:hAnsi="Times New Roman"/>
                <w:lang w:val="en-AU"/>
              </w:rPr>
            </w:pPr>
            <w:r>
              <w:rPr>
                <w:rFonts w:ascii="Times New Roman" w:hAnsi="Times New Roman"/>
                <w:lang w:val="en-AU"/>
              </w:rPr>
              <w:t>-</w:t>
            </w:r>
          </w:p>
        </w:tc>
        <w:tc>
          <w:tcPr>
            <w:tcW w:w="2444" w:type="pct"/>
            <w:gridSpan w:val="3"/>
          </w:tcPr>
          <w:p w14:paraId="5FD431BB"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Relative risk</w:t>
            </w:r>
            <w:r>
              <w:rPr>
                <w:rFonts w:ascii="Times New Roman" w:hAnsi="Times New Roman"/>
                <w:lang w:val="en-AU"/>
              </w:rPr>
              <w:t xml:space="preserve"> (95% CI)</w:t>
            </w:r>
            <w:r w:rsidRPr="00E53FB1">
              <w:rPr>
                <w:rFonts w:ascii="Times New Roman" w:hAnsi="Times New Roman"/>
                <w:lang w:val="en-AU"/>
              </w:rPr>
              <w:br/>
            </w:r>
            <w:r w:rsidRPr="00F85192">
              <w:rPr>
                <w:rFonts w:ascii="Times New Roman" w:hAnsi="Times New Roman"/>
                <w:i/>
                <w:lang w:val="en-AU"/>
              </w:rPr>
              <w:t>Result &gt;1 favours VNS therap</w:t>
            </w:r>
            <w:r>
              <w:rPr>
                <w:rFonts w:ascii="Times New Roman" w:hAnsi="Times New Roman"/>
                <w:i/>
                <w:lang w:val="en-AU"/>
              </w:rPr>
              <w:t>y</w:t>
            </w:r>
          </w:p>
        </w:tc>
        <w:tc>
          <w:tcPr>
            <w:tcW w:w="1338" w:type="pct"/>
          </w:tcPr>
          <w:p w14:paraId="5FD431BC"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Mean difference</w:t>
            </w:r>
            <w:r>
              <w:rPr>
                <w:rFonts w:ascii="Times New Roman" w:hAnsi="Times New Roman"/>
                <w:lang w:val="en-AU"/>
              </w:rPr>
              <w:t xml:space="preserve"> (95% CI)</w:t>
            </w:r>
            <w:r w:rsidRPr="00E53FB1">
              <w:rPr>
                <w:rFonts w:ascii="Times New Roman" w:hAnsi="Times New Roman"/>
                <w:lang w:val="en-AU"/>
              </w:rPr>
              <w:br/>
            </w:r>
            <w:r w:rsidRPr="00F85192">
              <w:rPr>
                <w:rFonts w:ascii="Times New Roman" w:hAnsi="Times New Roman"/>
                <w:i/>
                <w:lang w:val="en-AU"/>
              </w:rPr>
              <w:t>Result &lt;0 favours VNS therapy</w:t>
            </w:r>
          </w:p>
        </w:tc>
      </w:tr>
      <w:tr w:rsidR="007603C2" w:rsidRPr="00E53FB1" w14:paraId="5FD431C5" w14:textId="77777777" w:rsidTr="00C450A8">
        <w:tc>
          <w:tcPr>
            <w:tcW w:w="658" w:type="pct"/>
          </w:tcPr>
          <w:p w14:paraId="5FD431BE" w14:textId="77777777" w:rsidR="007603C2" w:rsidRPr="00E53FB1" w:rsidRDefault="007603C2" w:rsidP="00B42999">
            <w:pPr>
              <w:pStyle w:val="Tabletext"/>
              <w:rPr>
                <w:rFonts w:ascii="Times New Roman" w:hAnsi="Times New Roman"/>
                <w:lang w:val="en-AU"/>
              </w:rPr>
            </w:pPr>
            <w:proofErr w:type="spellStart"/>
            <w:r w:rsidRPr="00E53FB1">
              <w:rPr>
                <w:rFonts w:ascii="Times New Roman" w:hAnsi="Times New Roman"/>
                <w:lang w:val="en-AU"/>
              </w:rPr>
              <w:t>Ryvlin</w:t>
            </w:r>
            <w:proofErr w:type="spellEnd"/>
            <w:r w:rsidRPr="00E53FB1">
              <w:rPr>
                <w:rFonts w:ascii="Times New Roman" w:hAnsi="Times New Roman"/>
                <w:lang w:val="en-AU"/>
              </w:rPr>
              <w:t xml:space="preserve"> 2014a</w:t>
            </w:r>
          </w:p>
        </w:tc>
        <w:tc>
          <w:tcPr>
            <w:tcW w:w="560" w:type="pct"/>
          </w:tcPr>
          <w:p w14:paraId="5FD431BF" w14:textId="77777777" w:rsidR="007603C2" w:rsidRPr="00E53FB1" w:rsidRDefault="007603C2" w:rsidP="00B42999">
            <w:pPr>
              <w:pStyle w:val="Tabletext"/>
              <w:rPr>
                <w:rFonts w:ascii="Times New Roman" w:hAnsi="Times New Roman"/>
                <w:lang w:val="en-AU"/>
              </w:rPr>
            </w:pPr>
            <w:r w:rsidRPr="00E53FB1">
              <w:rPr>
                <w:rFonts w:ascii="Times New Roman" w:hAnsi="Times New Roman"/>
                <w:lang w:val="en-AU"/>
              </w:rPr>
              <w:t>52 weeks</w:t>
            </w:r>
          </w:p>
        </w:tc>
        <w:tc>
          <w:tcPr>
            <w:tcW w:w="756" w:type="pct"/>
          </w:tcPr>
          <w:p w14:paraId="5FD431C0" w14:textId="77777777" w:rsidR="007603C2" w:rsidRDefault="007603C2" w:rsidP="00B42999">
            <w:pPr>
              <w:pStyle w:val="Tabletext"/>
              <w:jc w:val="center"/>
              <w:rPr>
                <w:rFonts w:ascii="Times New Roman" w:hAnsi="Times New Roman"/>
                <w:lang w:val="en-AU"/>
              </w:rPr>
            </w:pPr>
            <w:r>
              <w:rPr>
                <w:rFonts w:ascii="Times New Roman" w:hAnsi="Times New Roman"/>
                <w:lang w:val="en-AU"/>
              </w:rPr>
              <w:t>1.34</w:t>
            </w:r>
          </w:p>
          <w:p w14:paraId="5FD431C1"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(0.59 to 3.04)</w:t>
            </w:r>
          </w:p>
        </w:tc>
        <w:tc>
          <w:tcPr>
            <w:tcW w:w="844" w:type="pct"/>
          </w:tcPr>
          <w:p w14:paraId="5FD431C2"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NA</w:t>
            </w:r>
          </w:p>
        </w:tc>
        <w:tc>
          <w:tcPr>
            <w:tcW w:w="844" w:type="pct"/>
          </w:tcPr>
          <w:p w14:paraId="5FD431C3"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NA</w:t>
            </w:r>
          </w:p>
        </w:tc>
        <w:tc>
          <w:tcPr>
            <w:tcW w:w="1338" w:type="pct"/>
          </w:tcPr>
          <w:p w14:paraId="5FD431C4"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NA</w:t>
            </w:r>
          </w:p>
        </w:tc>
      </w:tr>
      <w:tr w:rsidR="007603C2" w:rsidRPr="00E53FB1" w14:paraId="5FD431CE" w14:textId="77777777" w:rsidTr="00C450A8">
        <w:tc>
          <w:tcPr>
            <w:tcW w:w="658" w:type="pct"/>
          </w:tcPr>
          <w:p w14:paraId="5FD431C6" w14:textId="77777777" w:rsidR="007603C2" w:rsidRPr="00E53FB1" w:rsidRDefault="007603C2" w:rsidP="00B42999">
            <w:pPr>
              <w:pStyle w:val="Tabletext"/>
              <w:rPr>
                <w:rFonts w:ascii="Times New Roman" w:hAnsi="Times New Roman"/>
                <w:lang w:val="en-AU"/>
              </w:rPr>
            </w:pPr>
            <w:r w:rsidRPr="00E53FB1">
              <w:rPr>
                <w:rFonts w:ascii="Times New Roman" w:hAnsi="Times New Roman"/>
                <w:lang w:val="en-AU"/>
              </w:rPr>
              <w:t>E06</w:t>
            </w:r>
          </w:p>
        </w:tc>
        <w:tc>
          <w:tcPr>
            <w:tcW w:w="560" w:type="pct"/>
          </w:tcPr>
          <w:p w14:paraId="5FD431C7" w14:textId="77777777" w:rsidR="007603C2" w:rsidRPr="00E53FB1" w:rsidRDefault="007603C2" w:rsidP="00B42999">
            <w:pPr>
              <w:pStyle w:val="Tabletext"/>
              <w:rPr>
                <w:rFonts w:ascii="Times New Roman" w:hAnsi="Times New Roman"/>
                <w:lang w:val="en-AU"/>
              </w:rPr>
            </w:pPr>
            <w:r w:rsidRPr="00E53FB1">
              <w:rPr>
                <w:rFonts w:ascii="Times New Roman" w:hAnsi="Times New Roman"/>
                <w:lang w:val="en-AU"/>
              </w:rPr>
              <w:t>52 weeks</w:t>
            </w:r>
          </w:p>
        </w:tc>
        <w:tc>
          <w:tcPr>
            <w:tcW w:w="756" w:type="pct"/>
          </w:tcPr>
          <w:p w14:paraId="5FD431C8" w14:textId="77777777" w:rsidR="007603C2" w:rsidRDefault="007603C2" w:rsidP="00B42999">
            <w:pPr>
              <w:pStyle w:val="Tabletext"/>
              <w:jc w:val="center"/>
              <w:rPr>
                <w:rFonts w:ascii="Times New Roman" w:hAnsi="Times New Roman"/>
                <w:lang w:val="en-AU"/>
              </w:rPr>
            </w:pPr>
            <w:r w:rsidRPr="00E53FB1">
              <w:rPr>
                <w:rFonts w:ascii="Times New Roman" w:hAnsi="Times New Roman"/>
                <w:lang w:val="en-AU"/>
              </w:rPr>
              <w:t>1.19</w:t>
            </w:r>
          </w:p>
          <w:p w14:paraId="5FD431C9"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(0.65 to 2.16)</w:t>
            </w:r>
          </w:p>
        </w:tc>
        <w:tc>
          <w:tcPr>
            <w:tcW w:w="844" w:type="pct"/>
          </w:tcPr>
          <w:p w14:paraId="5FD431CA"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NA</w:t>
            </w:r>
          </w:p>
        </w:tc>
        <w:tc>
          <w:tcPr>
            <w:tcW w:w="844" w:type="pct"/>
          </w:tcPr>
          <w:p w14:paraId="5FD431CB"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NA</w:t>
            </w:r>
          </w:p>
        </w:tc>
        <w:tc>
          <w:tcPr>
            <w:tcW w:w="1338" w:type="pct"/>
          </w:tcPr>
          <w:p w14:paraId="5FD431CC" w14:textId="77777777" w:rsidR="007603C2" w:rsidRDefault="007603C2" w:rsidP="00B42999">
            <w:pPr>
              <w:pStyle w:val="Tabletext"/>
              <w:jc w:val="center"/>
              <w:rPr>
                <w:rFonts w:ascii="Times New Roman" w:hAnsi="Times New Roman"/>
                <w:lang w:val="en-AU"/>
              </w:rPr>
            </w:pPr>
            <w:r w:rsidRPr="00E53FB1">
              <w:rPr>
                <w:rFonts w:ascii="Times New Roman" w:hAnsi="Times New Roman"/>
                <w:lang w:val="en-AU"/>
              </w:rPr>
              <w:t>12.70</w:t>
            </w:r>
          </w:p>
          <w:p w14:paraId="5FD431CD"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(-29.78 to 55.18)</w:t>
            </w:r>
          </w:p>
        </w:tc>
      </w:tr>
      <w:tr w:rsidR="00C450A8" w:rsidRPr="00E53FB1" w14:paraId="5FD431D8" w14:textId="77777777" w:rsidTr="00C450A8">
        <w:trPr>
          <w:trHeight w:val="265"/>
        </w:trPr>
        <w:tc>
          <w:tcPr>
            <w:tcW w:w="1218" w:type="pct"/>
            <w:gridSpan w:val="2"/>
          </w:tcPr>
          <w:p w14:paraId="5FD431CF" w14:textId="77777777" w:rsidR="00C450A8" w:rsidRPr="00E53FB1" w:rsidRDefault="00C450A8" w:rsidP="00B42999">
            <w:pPr>
              <w:pStyle w:val="Tabletext"/>
              <w:rPr>
                <w:rFonts w:ascii="Times New Roman" w:hAnsi="Times New Roman"/>
                <w:lang w:val="en-AU"/>
              </w:rPr>
            </w:pPr>
            <w:r w:rsidRPr="00E53FB1">
              <w:rPr>
                <w:rFonts w:ascii="Times New Roman" w:hAnsi="Times New Roman"/>
                <w:lang w:val="en-AU"/>
              </w:rPr>
              <w:t>Metal-analysis</w:t>
            </w:r>
          </w:p>
        </w:tc>
        <w:tc>
          <w:tcPr>
            <w:tcW w:w="756" w:type="pct"/>
            <w:vMerge w:val="restart"/>
          </w:tcPr>
          <w:p w14:paraId="5FD431D0" w14:textId="77777777" w:rsidR="00C450A8" w:rsidRDefault="00C450A8" w:rsidP="00B42999">
            <w:pPr>
              <w:pStyle w:val="Tabletext"/>
              <w:jc w:val="center"/>
              <w:rPr>
                <w:rFonts w:ascii="Times New Roman" w:hAnsi="Times New Roman"/>
                <w:lang w:val="en-AU"/>
              </w:rPr>
            </w:pPr>
            <w:r>
              <w:rPr>
                <w:rFonts w:ascii="Times New Roman" w:hAnsi="Times New Roman"/>
                <w:lang w:val="en-AU"/>
              </w:rPr>
              <w:t>1.24</w:t>
            </w:r>
          </w:p>
          <w:p w14:paraId="5FD431D1" w14:textId="77777777" w:rsidR="00C450A8" w:rsidRDefault="00C450A8" w:rsidP="00B42999">
            <w:pPr>
              <w:pStyle w:val="Tabletext"/>
              <w:jc w:val="center"/>
              <w:rPr>
                <w:rFonts w:ascii="Times New Roman" w:hAnsi="Times New Roman"/>
                <w:lang w:val="en-AU"/>
              </w:rPr>
            </w:pPr>
            <w:r w:rsidRPr="00E53FB1">
              <w:rPr>
                <w:rFonts w:ascii="Times New Roman" w:hAnsi="Times New Roman"/>
                <w:lang w:val="en-AU"/>
              </w:rPr>
              <w:t>(0.76 to 2.01)</w:t>
            </w:r>
          </w:p>
          <w:p w14:paraId="5FD431D2" w14:textId="77777777" w:rsidR="00C450A8" w:rsidRPr="00E53FB1" w:rsidRDefault="00C450A8" w:rsidP="00B42999">
            <w:pPr>
              <w:pStyle w:val="Tabletext"/>
              <w:jc w:val="center"/>
              <w:rPr>
                <w:rFonts w:ascii="Times New Roman" w:hAnsi="Times New Roman"/>
                <w:lang w:val="en-AU"/>
              </w:rPr>
            </w:pPr>
            <w:r w:rsidRPr="00E53FB1">
              <w:rPr>
                <w:rFonts w:ascii="Times New Roman" w:hAnsi="Times New Roman"/>
                <w:lang w:val="en-AU"/>
              </w:rPr>
              <w:t>P=0.39</w:t>
            </w:r>
          </w:p>
        </w:tc>
        <w:tc>
          <w:tcPr>
            <w:tcW w:w="844" w:type="pct"/>
            <w:vMerge w:val="restart"/>
          </w:tcPr>
          <w:p w14:paraId="5FD431D3" w14:textId="77777777" w:rsidR="00C450A8" w:rsidRPr="00E53FB1" w:rsidRDefault="00C450A8" w:rsidP="00B42999">
            <w:pPr>
              <w:pStyle w:val="Tabletext"/>
              <w:jc w:val="center"/>
              <w:rPr>
                <w:rFonts w:ascii="Times New Roman" w:hAnsi="Times New Roman"/>
                <w:lang w:val="en-AU"/>
              </w:rPr>
            </w:pPr>
            <w:r w:rsidRPr="00E53FB1">
              <w:rPr>
                <w:rFonts w:ascii="Times New Roman" w:hAnsi="Times New Roman"/>
                <w:lang w:val="en-AU"/>
              </w:rPr>
              <w:t>NA</w:t>
            </w:r>
          </w:p>
        </w:tc>
        <w:tc>
          <w:tcPr>
            <w:tcW w:w="844" w:type="pct"/>
            <w:vMerge w:val="restart"/>
          </w:tcPr>
          <w:p w14:paraId="5FD431D4" w14:textId="77777777" w:rsidR="00C450A8" w:rsidRPr="00E53FB1" w:rsidRDefault="00C450A8" w:rsidP="00B42999">
            <w:pPr>
              <w:pStyle w:val="Tabletext"/>
              <w:jc w:val="center"/>
              <w:rPr>
                <w:rFonts w:ascii="Times New Roman" w:hAnsi="Times New Roman"/>
                <w:lang w:val="en-AU"/>
              </w:rPr>
            </w:pPr>
            <w:r w:rsidRPr="00E53FB1">
              <w:rPr>
                <w:rFonts w:ascii="Times New Roman" w:hAnsi="Times New Roman"/>
                <w:lang w:val="en-AU"/>
              </w:rPr>
              <w:t>NA</w:t>
            </w:r>
          </w:p>
        </w:tc>
        <w:tc>
          <w:tcPr>
            <w:tcW w:w="1338" w:type="pct"/>
            <w:vMerge w:val="restart"/>
          </w:tcPr>
          <w:p w14:paraId="5FD431D5" w14:textId="77777777" w:rsidR="00C450A8" w:rsidRDefault="00C450A8" w:rsidP="00B42999">
            <w:pPr>
              <w:pStyle w:val="Tabletext"/>
              <w:jc w:val="center"/>
              <w:rPr>
                <w:rFonts w:ascii="Times New Roman" w:hAnsi="Times New Roman"/>
                <w:lang w:val="en-AU"/>
              </w:rPr>
            </w:pPr>
            <w:r w:rsidRPr="00E53FB1">
              <w:rPr>
                <w:rFonts w:ascii="Times New Roman" w:hAnsi="Times New Roman"/>
                <w:lang w:val="en-AU"/>
              </w:rPr>
              <w:t>12.70</w:t>
            </w:r>
          </w:p>
          <w:p w14:paraId="5FD431D6" w14:textId="77777777" w:rsidR="00C450A8" w:rsidRDefault="00C450A8" w:rsidP="00B42999">
            <w:pPr>
              <w:pStyle w:val="Tabletext"/>
              <w:jc w:val="center"/>
              <w:rPr>
                <w:rFonts w:ascii="Times New Roman" w:hAnsi="Times New Roman"/>
                <w:lang w:val="en-AU"/>
              </w:rPr>
            </w:pPr>
            <w:r w:rsidRPr="00E53FB1">
              <w:rPr>
                <w:rFonts w:ascii="Times New Roman" w:hAnsi="Times New Roman"/>
                <w:lang w:val="en-AU"/>
              </w:rPr>
              <w:t>(-29.78 to 55.18)</w:t>
            </w:r>
          </w:p>
          <w:p w14:paraId="5FD431D7" w14:textId="77777777" w:rsidR="00C450A8" w:rsidRPr="00E53FB1" w:rsidRDefault="00C450A8" w:rsidP="00B42999">
            <w:pPr>
              <w:pStyle w:val="Tabletext"/>
              <w:jc w:val="center"/>
              <w:rPr>
                <w:rFonts w:ascii="Times New Roman" w:hAnsi="Times New Roman"/>
                <w:lang w:val="en-AU"/>
              </w:rPr>
            </w:pPr>
            <w:r w:rsidRPr="00E53FB1">
              <w:rPr>
                <w:rFonts w:ascii="Times New Roman" w:hAnsi="Times New Roman"/>
                <w:lang w:val="en-AU"/>
              </w:rPr>
              <w:t>P=0.56</w:t>
            </w:r>
          </w:p>
        </w:tc>
      </w:tr>
      <w:tr w:rsidR="00C450A8" w:rsidRPr="00E53FB1" w14:paraId="5FD431DE" w14:textId="77777777" w:rsidTr="00C450A8">
        <w:trPr>
          <w:trHeight w:val="265"/>
        </w:trPr>
        <w:tc>
          <w:tcPr>
            <w:tcW w:w="1218" w:type="pct"/>
            <w:gridSpan w:val="2"/>
          </w:tcPr>
          <w:p w14:paraId="5FD431D9" w14:textId="77777777" w:rsidR="00C450A8" w:rsidRPr="00E53FB1" w:rsidRDefault="00C450A8" w:rsidP="00B42999">
            <w:pPr>
              <w:pStyle w:val="Tabletext"/>
              <w:rPr>
                <w:rFonts w:ascii="Times New Roman" w:hAnsi="Times New Roman"/>
              </w:rPr>
            </w:pPr>
            <w:r w:rsidRPr="00E53FB1">
              <w:rPr>
                <w:rFonts w:ascii="Times New Roman" w:hAnsi="Times New Roman"/>
                <w:lang w:val="en-AU"/>
              </w:rPr>
              <w:t>Metal-analysis</w:t>
            </w:r>
          </w:p>
        </w:tc>
        <w:tc>
          <w:tcPr>
            <w:tcW w:w="756" w:type="pct"/>
            <w:vMerge/>
          </w:tcPr>
          <w:p w14:paraId="5FD431DA" w14:textId="77777777" w:rsidR="00C450A8" w:rsidRDefault="00C450A8" w:rsidP="00B42999">
            <w:pPr>
              <w:pStyle w:val="Tabletext"/>
              <w:jc w:val="center"/>
              <w:rPr>
                <w:rFonts w:ascii="Times New Roman" w:hAnsi="Times New Roman"/>
              </w:rPr>
            </w:pPr>
          </w:p>
        </w:tc>
        <w:tc>
          <w:tcPr>
            <w:tcW w:w="844" w:type="pct"/>
            <w:vMerge/>
          </w:tcPr>
          <w:p w14:paraId="5FD431DB" w14:textId="77777777" w:rsidR="00C450A8" w:rsidRPr="00E53FB1" w:rsidRDefault="00C450A8" w:rsidP="00B42999">
            <w:pPr>
              <w:pStyle w:val="Tabletext"/>
              <w:jc w:val="center"/>
              <w:rPr>
                <w:rFonts w:ascii="Times New Roman" w:hAnsi="Times New Roman"/>
              </w:rPr>
            </w:pPr>
          </w:p>
        </w:tc>
        <w:tc>
          <w:tcPr>
            <w:tcW w:w="844" w:type="pct"/>
            <w:vMerge/>
          </w:tcPr>
          <w:p w14:paraId="5FD431DC" w14:textId="77777777" w:rsidR="00C450A8" w:rsidRPr="00E53FB1" w:rsidRDefault="00C450A8" w:rsidP="00B42999">
            <w:pPr>
              <w:pStyle w:val="Tabletext"/>
              <w:jc w:val="center"/>
              <w:rPr>
                <w:rFonts w:ascii="Times New Roman" w:hAnsi="Times New Roman"/>
              </w:rPr>
            </w:pPr>
          </w:p>
        </w:tc>
        <w:tc>
          <w:tcPr>
            <w:tcW w:w="1338" w:type="pct"/>
            <w:vMerge/>
          </w:tcPr>
          <w:p w14:paraId="5FD431DD" w14:textId="77777777" w:rsidR="00C450A8" w:rsidRPr="00E53FB1" w:rsidRDefault="00C450A8" w:rsidP="00B42999">
            <w:pPr>
              <w:pStyle w:val="Tabletext"/>
              <w:jc w:val="center"/>
              <w:rPr>
                <w:rFonts w:ascii="Times New Roman" w:hAnsi="Times New Roman"/>
              </w:rPr>
            </w:pPr>
          </w:p>
        </w:tc>
      </w:tr>
    </w:tbl>
    <w:p w14:paraId="5FD431DF" w14:textId="77777777" w:rsidR="007603C2" w:rsidRPr="00E53FB1" w:rsidRDefault="007603C2" w:rsidP="007603C2"/>
    <w:p w14:paraId="5FD431E0" w14:textId="77777777" w:rsidR="007603C2" w:rsidRPr="00E53FB1" w:rsidRDefault="007603C2" w:rsidP="007603C2">
      <w:r w:rsidRPr="00E53FB1">
        <w:lastRenderedPageBreak/>
        <w:t xml:space="preserve">The data shows that High Stimulation VNS </w:t>
      </w:r>
      <w:r>
        <w:t>t</w:t>
      </w:r>
      <w:r w:rsidRPr="00E53FB1">
        <w:t xml:space="preserve">herapy is associated with a reduction in seizure frequency compared to both Low Stimulation VNS </w:t>
      </w:r>
      <w:r>
        <w:t>t</w:t>
      </w:r>
      <w:r w:rsidRPr="00E53FB1">
        <w:t>herapy and ‘no active intervention’.</w:t>
      </w:r>
      <w:r>
        <w:t xml:space="preserve"> Data for the outcome of &gt;</w:t>
      </w:r>
      <w:r w:rsidRPr="00E53FB1">
        <w:t>50% reduction in seizure frequency was reported across all trials. Pooled analysis of the outcome of achieving a &gt;50% reduction in seizure frequency demonstrated:</w:t>
      </w:r>
    </w:p>
    <w:p w14:paraId="5FD431E1" w14:textId="77777777" w:rsidR="007603C2" w:rsidRPr="00E53FB1" w:rsidRDefault="007603C2" w:rsidP="007603C2">
      <w:pPr>
        <w:pStyle w:val="ListParagraph"/>
        <w:numPr>
          <w:ilvl w:val="0"/>
          <w:numId w:val="28"/>
        </w:numPr>
        <w:contextualSpacing w:val="0"/>
        <w:jc w:val="both"/>
      </w:pPr>
      <w:r w:rsidRPr="00E53FB1">
        <w:t>A relative risk of 1.61 (95% CI:</w:t>
      </w:r>
      <w:r>
        <w:t xml:space="preserve"> </w:t>
      </w:r>
      <w:r w:rsidRPr="00E53FB1">
        <w:t xml:space="preserve">1.00-2.60, P=0.05) for High Stimulation VNS </w:t>
      </w:r>
      <w:r>
        <w:t>t</w:t>
      </w:r>
      <w:r w:rsidRPr="00E53FB1">
        <w:t xml:space="preserve">herapy compared to Low Stimulation VNS </w:t>
      </w:r>
      <w:r>
        <w:t>t</w:t>
      </w:r>
      <w:r w:rsidRPr="00E53FB1">
        <w:t>herapy.</w:t>
      </w:r>
    </w:p>
    <w:p w14:paraId="5FD431E2" w14:textId="77777777" w:rsidR="007603C2" w:rsidRPr="00E53FB1" w:rsidRDefault="007603C2" w:rsidP="007603C2">
      <w:pPr>
        <w:pStyle w:val="ListParagraph"/>
        <w:numPr>
          <w:ilvl w:val="0"/>
          <w:numId w:val="28"/>
        </w:numPr>
        <w:contextualSpacing w:val="0"/>
        <w:jc w:val="both"/>
      </w:pPr>
      <w:r w:rsidRPr="00E53FB1">
        <w:t>A relative risk of 1.24 (95% CI:</w:t>
      </w:r>
      <w:r>
        <w:t xml:space="preserve"> </w:t>
      </w:r>
      <w:r w:rsidRPr="00E53FB1">
        <w:t xml:space="preserve">0.76-2.01, P=0.39) for High Stimulation VNS </w:t>
      </w:r>
      <w:r>
        <w:t>t</w:t>
      </w:r>
      <w:r w:rsidRPr="00E53FB1">
        <w:t xml:space="preserve">herapy compared to </w:t>
      </w:r>
      <w:r>
        <w:t>n</w:t>
      </w:r>
      <w:r w:rsidRPr="00E53FB1">
        <w:t>o active intervention.</w:t>
      </w:r>
    </w:p>
    <w:p w14:paraId="5FD431E3" w14:textId="77777777" w:rsidR="007603C2" w:rsidRPr="00E53FB1" w:rsidRDefault="007603C2" w:rsidP="007603C2"/>
    <w:p w14:paraId="5FD431E4" w14:textId="77777777" w:rsidR="007603C2" w:rsidRPr="00E53FB1" w:rsidRDefault="007603C2" w:rsidP="007603C2">
      <w:pPr>
        <w:pStyle w:val="Caption"/>
        <w:rPr>
          <w:rFonts w:ascii="Times New Roman" w:hAnsi="Times New Roman" w:cs="Times New Roman"/>
          <w:sz w:val="22"/>
        </w:rPr>
      </w:pPr>
      <w:bookmarkStart w:id="4" w:name="_Ref469645651"/>
      <w:bookmarkStart w:id="5" w:name="_Toc453061070"/>
      <w:r w:rsidRPr="00E53FB1">
        <w:rPr>
          <w:rFonts w:ascii="Times New Roman" w:hAnsi="Times New Roman" w:cs="Times New Roman"/>
          <w:sz w:val="22"/>
        </w:rPr>
        <w:t xml:space="preserve">Table </w:t>
      </w:r>
      <w:r w:rsidRPr="00E53FB1">
        <w:rPr>
          <w:rFonts w:ascii="Times New Roman" w:hAnsi="Times New Roman" w:cs="Times New Roman"/>
          <w:sz w:val="22"/>
        </w:rPr>
        <w:fldChar w:fldCharType="begin"/>
      </w:r>
      <w:r w:rsidRPr="00E53FB1">
        <w:rPr>
          <w:rFonts w:ascii="Times New Roman" w:hAnsi="Times New Roman" w:cs="Times New Roman"/>
          <w:sz w:val="22"/>
        </w:rPr>
        <w:instrText xml:space="preserve"> SEQ Table \* ARABIC </w:instrText>
      </w:r>
      <w:r w:rsidRPr="00E53FB1">
        <w:rPr>
          <w:rFonts w:ascii="Times New Roman" w:hAnsi="Times New Roman" w:cs="Times New Roman"/>
          <w:sz w:val="22"/>
        </w:rPr>
        <w:fldChar w:fldCharType="separate"/>
      </w:r>
      <w:r w:rsidR="005709FB">
        <w:rPr>
          <w:rFonts w:ascii="Times New Roman" w:hAnsi="Times New Roman" w:cs="Times New Roman"/>
          <w:noProof/>
          <w:sz w:val="22"/>
        </w:rPr>
        <w:t>3</w:t>
      </w:r>
      <w:r w:rsidRPr="00E53FB1">
        <w:rPr>
          <w:rFonts w:ascii="Times New Roman" w:hAnsi="Times New Roman" w:cs="Times New Roman"/>
          <w:sz w:val="22"/>
        </w:rPr>
        <w:fldChar w:fldCharType="end"/>
      </w:r>
      <w:bookmarkEnd w:id="4"/>
      <w:r w:rsidRPr="00E53FB1">
        <w:rPr>
          <w:rFonts w:ascii="Times New Roman" w:hAnsi="Times New Roman" w:cs="Times New Roman"/>
          <w:sz w:val="22"/>
        </w:rPr>
        <w:tab/>
      </w:r>
      <w:r>
        <w:rPr>
          <w:rFonts w:ascii="Times New Roman" w:hAnsi="Times New Roman" w:cs="Times New Roman"/>
          <w:sz w:val="22"/>
        </w:rPr>
        <w:tab/>
      </w:r>
      <w:r w:rsidRPr="00E53FB1">
        <w:rPr>
          <w:rFonts w:ascii="Times New Roman" w:hAnsi="Times New Roman" w:cs="Times New Roman"/>
          <w:sz w:val="22"/>
        </w:rPr>
        <w:t>Summary of clinical effectiveness of VNS therapy in comparative observational studies of VNS therapy vs. no active intervention</w:t>
      </w:r>
      <w:bookmarkEnd w:id="5"/>
    </w:p>
    <w:tbl>
      <w:tblPr>
        <w:tblStyle w:val="Summarybox4"/>
        <w:tblW w:w="5000" w:type="pct"/>
        <w:tblLook w:val="04A0" w:firstRow="1" w:lastRow="0" w:firstColumn="1" w:lastColumn="0" w:noHBand="0" w:noVBand="1"/>
        <w:tblCaption w:val="Table 3 - Summary of clinical effectiveness of VNS therapy in comparative observational studies of VNS therapy vs no active intervention"/>
        <w:tblDescription w:val="Table 3 - Summary of clinical effectiveness of VNS therapy in comparative observational studies of VNS therapy vs no active intervention"/>
      </w:tblPr>
      <w:tblGrid>
        <w:gridCol w:w="1385"/>
        <w:gridCol w:w="1558"/>
        <w:gridCol w:w="2410"/>
        <w:gridCol w:w="2410"/>
        <w:gridCol w:w="1479"/>
      </w:tblGrid>
      <w:tr w:rsidR="007603C2" w:rsidRPr="00E53FB1" w14:paraId="5FD431E8" w14:textId="77777777" w:rsidTr="0013020C">
        <w:trPr>
          <w:tblHeader/>
        </w:trPr>
        <w:tc>
          <w:tcPr>
            <w:tcW w:w="749" w:type="pct"/>
            <w:vMerge w:val="restart"/>
          </w:tcPr>
          <w:p w14:paraId="5FD431E5" w14:textId="77777777" w:rsidR="007603C2" w:rsidRPr="00E53FB1" w:rsidRDefault="007603C2" w:rsidP="00B42999">
            <w:pPr>
              <w:pStyle w:val="Tablehead"/>
              <w:rPr>
                <w:rFonts w:ascii="Times New Roman" w:hAnsi="Times New Roman"/>
                <w:lang w:val="en-AU"/>
              </w:rPr>
            </w:pPr>
            <w:r w:rsidRPr="00E53FB1">
              <w:rPr>
                <w:rFonts w:ascii="Times New Roman" w:hAnsi="Times New Roman"/>
                <w:lang w:val="en-AU"/>
              </w:rPr>
              <w:t>Trial ID</w:t>
            </w:r>
          </w:p>
        </w:tc>
        <w:tc>
          <w:tcPr>
            <w:tcW w:w="843" w:type="pct"/>
            <w:vMerge w:val="restart"/>
          </w:tcPr>
          <w:p w14:paraId="5FD431E6" w14:textId="77777777" w:rsidR="007603C2" w:rsidRPr="00E53FB1" w:rsidRDefault="007603C2" w:rsidP="00B42999">
            <w:pPr>
              <w:pStyle w:val="Tablehead"/>
              <w:rPr>
                <w:rFonts w:ascii="Times New Roman" w:hAnsi="Times New Roman"/>
                <w:lang w:val="en-AU"/>
              </w:rPr>
            </w:pPr>
            <w:r>
              <w:rPr>
                <w:rFonts w:ascii="Times New Roman" w:hAnsi="Times New Roman"/>
                <w:lang w:val="en-AU"/>
              </w:rPr>
              <w:t>Treatment duration</w:t>
            </w:r>
          </w:p>
        </w:tc>
        <w:tc>
          <w:tcPr>
            <w:tcW w:w="3408" w:type="pct"/>
            <w:gridSpan w:val="3"/>
          </w:tcPr>
          <w:p w14:paraId="5FD431E7" w14:textId="77777777" w:rsidR="007603C2" w:rsidRPr="00E53FB1" w:rsidRDefault="007603C2" w:rsidP="00B42999">
            <w:pPr>
              <w:pStyle w:val="Tablehead"/>
              <w:jc w:val="center"/>
              <w:rPr>
                <w:rFonts w:ascii="Times New Roman" w:hAnsi="Times New Roman"/>
                <w:lang w:val="en-AU"/>
              </w:rPr>
            </w:pPr>
            <w:r w:rsidRPr="00E53FB1">
              <w:rPr>
                <w:rFonts w:ascii="Times New Roman" w:hAnsi="Times New Roman"/>
                <w:lang w:val="en-AU"/>
              </w:rPr>
              <w:t>Seizure frequency</w:t>
            </w:r>
          </w:p>
        </w:tc>
      </w:tr>
      <w:tr w:rsidR="007603C2" w:rsidRPr="00E53FB1" w14:paraId="5FD431EE" w14:textId="77777777" w:rsidTr="0013020C">
        <w:trPr>
          <w:tblHeader/>
        </w:trPr>
        <w:tc>
          <w:tcPr>
            <w:tcW w:w="749" w:type="pct"/>
            <w:vMerge/>
          </w:tcPr>
          <w:p w14:paraId="5FD431E9" w14:textId="77777777" w:rsidR="007603C2" w:rsidRPr="00E53FB1" w:rsidRDefault="007603C2" w:rsidP="00B42999">
            <w:pPr>
              <w:pStyle w:val="Tablehead"/>
              <w:rPr>
                <w:rFonts w:ascii="Times New Roman" w:hAnsi="Times New Roman"/>
                <w:lang w:val="en-AU"/>
              </w:rPr>
            </w:pPr>
          </w:p>
        </w:tc>
        <w:tc>
          <w:tcPr>
            <w:tcW w:w="843" w:type="pct"/>
            <w:vMerge/>
          </w:tcPr>
          <w:p w14:paraId="5FD431EA" w14:textId="77777777" w:rsidR="007603C2" w:rsidRPr="00E53FB1" w:rsidRDefault="007603C2" w:rsidP="00B42999">
            <w:pPr>
              <w:pStyle w:val="Tablehead"/>
              <w:rPr>
                <w:rFonts w:ascii="Times New Roman" w:hAnsi="Times New Roman"/>
                <w:lang w:val="en-AU"/>
              </w:rPr>
            </w:pPr>
          </w:p>
        </w:tc>
        <w:tc>
          <w:tcPr>
            <w:tcW w:w="1304" w:type="pct"/>
          </w:tcPr>
          <w:p w14:paraId="5FD431EB" w14:textId="77777777" w:rsidR="007603C2" w:rsidRPr="001A6866" w:rsidRDefault="007603C2" w:rsidP="00B42999">
            <w:pPr>
              <w:pStyle w:val="Tablehead"/>
              <w:jc w:val="center"/>
              <w:rPr>
                <w:rFonts w:ascii="Times New Roman" w:hAnsi="Times New Roman"/>
                <w:szCs w:val="18"/>
                <w:lang w:val="en-AU"/>
              </w:rPr>
            </w:pPr>
            <w:r w:rsidRPr="001A6866">
              <w:rPr>
                <w:rFonts w:ascii="Times New Roman" w:hAnsi="Times New Roman"/>
                <w:szCs w:val="18"/>
                <w:lang w:val="en-AU"/>
              </w:rPr>
              <w:t>&gt;50% reduction</w:t>
            </w:r>
          </w:p>
        </w:tc>
        <w:tc>
          <w:tcPr>
            <w:tcW w:w="1304" w:type="pct"/>
          </w:tcPr>
          <w:p w14:paraId="5FD431EC" w14:textId="77777777" w:rsidR="007603C2" w:rsidRPr="001A6866" w:rsidRDefault="007603C2" w:rsidP="00B42999">
            <w:pPr>
              <w:pStyle w:val="Tablehead"/>
              <w:jc w:val="center"/>
              <w:rPr>
                <w:rFonts w:ascii="Times New Roman" w:hAnsi="Times New Roman"/>
                <w:szCs w:val="18"/>
                <w:lang w:val="en-AU"/>
              </w:rPr>
            </w:pPr>
            <w:r w:rsidRPr="001A6866">
              <w:rPr>
                <w:rFonts w:ascii="Times New Roman" w:hAnsi="Times New Roman"/>
                <w:szCs w:val="18"/>
                <w:lang w:val="en-AU"/>
              </w:rPr>
              <w:t>&gt;75% reduction</w:t>
            </w:r>
          </w:p>
        </w:tc>
        <w:tc>
          <w:tcPr>
            <w:tcW w:w="800" w:type="pct"/>
          </w:tcPr>
          <w:p w14:paraId="5FD431ED" w14:textId="77777777" w:rsidR="007603C2" w:rsidRPr="001A6866" w:rsidRDefault="007603C2" w:rsidP="00B42999">
            <w:pPr>
              <w:pStyle w:val="Tablehead"/>
              <w:jc w:val="center"/>
              <w:rPr>
                <w:rFonts w:ascii="Times New Roman" w:hAnsi="Times New Roman"/>
                <w:szCs w:val="18"/>
                <w:lang w:val="en-AU"/>
              </w:rPr>
            </w:pPr>
            <w:r w:rsidRPr="001A6866">
              <w:rPr>
                <w:rFonts w:ascii="Times New Roman" w:hAnsi="Times New Roman"/>
                <w:szCs w:val="18"/>
                <w:lang w:val="en-AU"/>
              </w:rPr>
              <w:t>100% reduction</w:t>
            </w:r>
          </w:p>
        </w:tc>
      </w:tr>
      <w:tr w:rsidR="007603C2" w:rsidRPr="00E53FB1" w14:paraId="5FD431F0" w14:textId="77777777" w:rsidTr="00B42999">
        <w:tc>
          <w:tcPr>
            <w:tcW w:w="5000" w:type="pct"/>
            <w:gridSpan w:val="5"/>
            <w:shd w:val="clear" w:color="auto" w:fill="F2F2F2" w:themeFill="background1" w:themeFillShade="F2"/>
          </w:tcPr>
          <w:p w14:paraId="5FD431EF" w14:textId="77777777" w:rsidR="007603C2" w:rsidRPr="00E53FB1" w:rsidRDefault="007603C2" w:rsidP="00B42999">
            <w:pPr>
              <w:pStyle w:val="Tablehead"/>
              <w:rPr>
                <w:rFonts w:ascii="Times New Roman" w:hAnsi="Times New Roman"/>
                <w:lang w:val="en-AU"/>
              </w:rPr>
            </w:pPr>
            <w:r w:rsidRPr="00E53FB1">
              <w:rPr>
                <w:rFonts w:ascii="Times New Roman" w:hAnsi="Times New Roman"/>
                <w:lang w:val="en-AU"/>
              </w:rPr>
              <w:t>Comparative observational studies: VNS therapy vs. No active intervention</w:t>
            </w:r>
          </w:p>
        </w:tc>
      </w:tr>
      <w:tr w:rsidR="007603C2" w:rsidRPr="00E53FB1" w14:paraId="5FD431F3" w14:textId="77777777" w:rsidTr="00B42999">
        <w:tc>
          <w:tcPr>
            <w:tcW w:w="1592" w:type="pct"/>
            <w:gridSpan w:val="2"/>
          </w:tcPr>
          <w:p w14:paraId="5FD431F1" w14:textId="77777777" w:rsidR="007603C2" w:rsidRPr="00E53FB1" w:rsidRDefault="007603C2" w:rsidP="00B42999">
            <w:pPr>
              <w:pStyle w:val="Tabletext"/>
              <w:rPr>
                <w:rFonts w:ascii="Times New Roman" w:hAnsi="Times New Roman"/>
                <w:lang w:val="en-AU"/>
              </w:rPr>
            </w:pPr>
          </w:p>
        </w:tc>
        <w:tc>
          <w:tcPr>
            <w:tcW w:w="3408" w:type="pct"/>
            <w:gridSpan w:val="3"/>
          </w:tcPr>
          <w:p w14:paraId="5FD431F2" w14:textId="77777777" w:rsidR="007603C2" w:rsidRPr="00E53FB1" w:rsidRDefault="007603C2" w:rsidP="00B42999">
            <w:pPr>
              <w:pStyle w:val="Tabletext"/>
              <w:rPr>
                <w:rFonts w:ascii="Times New Roman" w:hAnsi="Times New Roman"/>
                <w:lang w:val="en-AU"/>
              </w:rPr>
            </w:pPr>
            <w:r w:rsidRPr="00E53FB1">
              <w:rPr>
                <w:rFonts w:ascii="Times New Roman" w:hAnsi="Times New Roman"/>
                <w:lang w:val="en-AU"/>
              </w:rPr>
              <w:t>Relative risk</w:t>
            </w:r>
            <w:r>
              <w:rPr>
                <w:rFonts w:ascii="Times New Roman" w:hAnsi="Times New Roman"/>
                <w:lang w:val="en-AU"/>
              </w:rPr>
              <w:t xml:space="preserve"> </w:t>
            </w:r>
            <w:r w:rsidRPr="00E53FB1">
              <w:rPr>
                <w:rFonts w:ascii="Times New Roman" w:hAnsi="Times New Roman"/>
                <w:lang w:val="en-AU"/>
              </w:rPr>
              <w:t>(</w:t>
            </w:r>
            <w:r>
              <w:rPr>
                <w:rFonts w:ascii="Times New Roman" w:hAnsi="Times New Roman"/>
                <w:lang w:val="en-AU"/>
              </w:rPr>
              <w:t xml:space="preserve">95% CI) </w:t>
            </w:r>
            <w:r w:rsidRPr="00F85192">
              <w:rPr>
                <w:rFonts w:ascii="Times New Roman" w:hAnsi="Times New Roman"/>
                <w:i/>
                <w:lang w:val="en-AU"/>
              </w:rPr>
              <w:t>Result &gt;1 favours VNS High stimulation</w:t>
            </w:r>
          </w:p>
        </w:tc>
      </w:tr>
      <w:tr w:rsidR="007603C2" w:rsidRPr="00E53FB1" w14:paraId="5FD431F9" w14:textId="77777777" w:rsidTr="00B42999">
        <w:tc>
          <w:tcPr>
            <w:tcW w:w="749" w:type="pct"/>
          </w:tcPr>
          <w:p w14:paraId="5FD431F4" w14:textId="77777777" w:rsidR="007603C2" w:rsidRPr="00E53FB1" w:rsidRDefault="007603C2" w:rsidP="00B42999">
            <w:pPr>
              <w:pStyle w:val="Tabletext"/>
              <w:rPr>
                <w:rFonts w:ascii="Times New Roman" w:hAnsi="Times New Roman"/>
                <w:lang w:val="en-AU"/>
              </w:rPr>
            </w:pPr>
            <w:proofErr w:type="spellStart"/>
            <w:r w:rsidRPr="00E53FB1">
              <w:rPr>
                <w:rFonts w:ascii="Times New Roman" w:hAnsi="Times New Roman"/>
                <w:lang w:val="en-AU"/>
              </w:rPr>
              <w:t>Marrosu</w:t>
            </w:r>
            <w:proofErr w:type="spellEnd"/>
            <w:r w:rsidRPr="00E53FB1">
              <w:rPr>
                <w:rFonts w:ascii="Times New Roman" w:hAnsi="Times New Roman"/>
                <w:lang w:val="en-AU"/>
              </w:rPr>
              <w:t xml:space="preserve"> 2003</w:t>
            </w:r>
          </w:p>
        </w:tc>
        <w:tc>
          <w:tcPr>
            <w:tcW w:w="843" w:type="pct"/>
          </w:tcPr>
          <w:p w14:paraId="5FD431F5" w14:textId="77777777" w:rsidR="007603C2" w:rsidRPr="00E53FB1" w:rsidRDefault="007603C2" w:rsidP="00B42999">
            <w:pPr>
              <w:pStyle w:val="Tabletext"/>
              <w:rPr>
                <w:rFonts w:ascii="Times New Roman" w:hAnsi="Times New Roman"/>
                <w:lang w:val="en-AU"/>
              </w:rPr>
            </w:pPr>
            <w:r w:rsidRPr="00E53FB1">
              <w:rPr>
                <w:rFonts w:ascii="Times New Roman" w:hAnsi="Times New Roman"/>
                <w:lang w:val="en-AU"/>
              </w:rPr>
              <w:t>12 months</w:t>
            </w:r>
          </w:p>
        </w:tc>
        <w:tc>
          <w:tcPr>
            <w:tcW w:w="1304" w:type="pct"/>
          </w:tcPr>
          <w:p w14:paraId="5FD431F6"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6.55 (0.41 to 105.1)</w:t>
            </w:r>
          </w:p>
        </w:tc>
        <w:tc>
          <w:tcPr>
            <w:tcW w:w="1304" w:type="pct"/>
          </w:tcPr>
          <w:p w14:paraId="5FD431F7"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NA</w:t>
            </w:r>
          </w:p>
        </w:tc>
        <w:tc>
          <w:tcPr>
            <w:tcW w:w="800" w:type="pct"/>
          </w:tcPr>
          <w:p w14:paraId="5FD431F8"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NA</w:t>
            </w:r>
          </w:p>
        </w:tc>
      </w:tr>
      <w:tr w:rsidR="007603C2" w:rsidRPr="00E53FB1" w14:paraId="5FD431FF" w14:textId="77777777" w:rsidTr="00B42999">
        <w:tc>
          <w:tcPr>
            <w:tcW w:w="749" w:type="pct"/>
          </w:tcPr>
          <w:p w14:paraId="5FD431FA" w14:textId="77777777" w:rsidR="007603C2" w:rsidRPr="00E53FB1" w:rsidRDefault="007603C2" w:rsidP="00B42999">
            <w:pPr>
              <w:pStyle w:val="Tabletext"/>
              <w:rPr>
                <w:rFonts w:ascii="Times New Roman" w:hAnsi="Times New Roman"/>
                <w:lang w:val="en-AU"/>
              </w:rPr>
            </w:pPr>
            <w:r w:rsidRPr="00E53FB1">
              <w:rPr>
                <w:rFonts w:ascii="Times New Roman" w:hAnsi="Times New Roman"/>
                <w:lang w:val="en-AU"/>
              </w:rPr>
              <w:t>Boon 2002a,</w:t>
            </w:r>
          </w:p>
        </w:tc>
        <w:tc>
          <w:tcPr>
            <w:tcW w:w="843" w:type="pct"/>
          </w:tcPr>
          <w:p w14:paraId="5FD431FB" w14:textId="77777777" w:rsidR="007603C2" w:rsidRPr="00E53FB1" w:rsidRDefault="007603C2" w:rsidP="00B42999">
            <w:pPr>
              <w:pStyle w:val="Tabletext"/>
              <w:rPr>
                <w:rFonts w:ascii="Times New Roman" w:hAnsi="Times New Roman"/>
                <w:lang w:val="en-AU"/>
              </w:rPr>
            </w:pPr>
            <w:r w:rsidRPr="00E53FB1">
              <w:rPr>
                <w:rFonts w:ascii="Times New Roman" w:hAnsi="Times New Roman"/>
                <w:lang w:val="en-AU"/>
              </w:rPr>
              <w:t>Up to 26 months</w:t>
            </w:r>
          </w:p>
        </w:tc>
        <w:tc>
          <w:tcPr>
            <w:tcW w:w="1304" w:type="pct"/>
          </w:tcPr>
          <w:p w14:paraId="5FD431FC"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2.16 (1.17 to 4.00)</w:t>
            </w:r>
          </w:p>
        </w:tc>
        <w:tc>
          <w:tcPr>
            <w:tcW w:w="1304" w:type="pct"/>
          </w:tcPr>
          <w:p w14:paraId="5FD431FD"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NA</w:t>
            </w:r>
          </w:p>
        </w:tc>
        <w:tc>
          <w:tcPr>
            <w:tcW w:w="800" w:type="pct"/>
          </w:tcPr>
          <w:p w14:paraId="5FD431FE"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NA</w:t>
            </w:r>
          </w:p>
        </w:tc>
      </w:tr>
      <w:tr w:rsidR="007603C2" w:rsidRPr="00E53FB1" w14:paraId="5FD43205" w14:textId="77777777" w:rsidTr="00B42999">
        <w:tc>
          <w:tcPr>
            <w:tcW w:w="749" w:type="pct"/>
          </w:tcPr>
          <w:p w14:paraId="5FD43200" w14:textId="77777777" w:rsidR="007603C2" w:rsidRPr="00E53FB1" w:rsidRDefault="007603C2" w:rsidP="00B42999">
            <w:pPr>
              <w:pStyle w:val="Tabletext"/>
              <w:rPr>
                <w:rFonts w:ascii="Times New Roman" w:hAnsi="Times New Roman"/>
                <w:lang w:val="en-AU"/>
              </w:rPr>
            </w:pPr>
            <w:r w:rsidRPr="00E53FB1">
              <w:rPr>
                <w:rFonts w:ascii="Times New Roman" w:hAnsi="Times New Roman"/>
                <w:lang w:val="en-AU"/>
              </w:rPr>
              <w:t>Harden 2000</w:t>
            </w:r>
          </w:p>
        </w:tc>
        <w:tc>
          <w:tcPr>
            <w:tcW w:w="843" w:type="pct"/>
          </w:tcPr>
          <w:p w14:paraId="5FD43201" w14:textId="77777777" w:rsidR="007603C2" w:rsidRPr="00E53FB1" w:rsidRDefault="007603C2" w:rsidP="00B42999">
            <w:pPr>
              <w:pStyle w:val="Tabletext"/>
              <w:rPr>
                <w:rFonts w:ascii="Times New Roman" w:hAnsi="Times New Roman"/>
                <w:lang w:val="en-AU"/>
              </w:rPr>
            </w:pPr>
            <w:r w:rsidRPr="00E53FB1">
              <w:rPr>
                <w:rFonts w:ascii="Times New Roman" w:hAnsi="Times New Roman"/>
                <w:lang w:val="en-AU"/>
              </w:rPr>
              <w:t>3 months</w:t>
            </w:r>
          </w:p>
        </w:tc>
        <w:tc>
          <w:tcPr>
            <w:tcW w:w="1304" w:type="pct"/>
          </w:tcPr>
          <w:p w14:paraId="5FD43202"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2.20 (0.93 to 5.18)</w:t>
            </w:r>
          </w:p>
        </w:tc>
        <w:tc>
          <w:tcPr>
            <w:tcW w:w="1304" w:type="pct"/>
          </w:tcPr>
          <w:p w14:paraId="5FD43203"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3.33 (1.08 to 10.34)</w:t>
            </w:r>
          </w:p>
        </w:tc>
        <w:tc>
          <w:tcPr>
            <w:tcW w:w="800" w:type="pct"/>
          </w:tcPr>
          <w:p w14:paraId="5FD43204"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NA</w:t>
            </w:r>
          </w:p>
        </w:tc>
      </w:tr>
      <w:tr w:rsidR="007603C2" w:rsidRPr="00E53FB1" w14:paraId="5FD4320B" w14:textId="77777777" w:rsidTr="00B42999">
        <w:tc>
          <w:tcPr>
            <w:tcW w:w="749" w:type="pct"/>
          </w:tcPr>
          <w:p w14:paraId="5FD43206" w14:textId="77777777" w:rsidR="007603C2" w:rsidRPr="00E53FB1" w:rsidRDefault="007603C2" w:rsidP="00B42999">
            <w:pPr>
              <w:pStyle w:val="Tabletext"/>
              <w:rPr>
                <w:rFonts w:ascii="Times New Roman" w:hAnsi="Times New Roman"/>
                <w:lang w:val="en-AU"/>
              </w:rPr>
            </w:pPr>
            <w:r w:rsidRPr="00E53FB1">
              <w:rPr>
                <w:rFonts w:ascii="Times New Roman" w:hAnsi="Times New Roman"/>
                <w:lang w:val="en-AU"/>
              </w:rPr>
              <w:t>Hoppe 2013</w:t>
            </w:r>
          </w:p>
        </w:tc>
        <w:tc>
          <w:tcPr>
            <w:tcW w:w="843" w:type="pct"/>
          </w:tcPr>
          <w:p w14:paraId="5FD43207" w14:textId="77777777" w:rsidR="007603C2" w:rsidRPr="00E53FB1" w:rsidRDefault="007603C2" w:rsidP="00B42999">
            <w:pPr>
              <w:pStyle w:val="Tabletext"/>
              <w:rPr>
                <w:rFonts w:ascii="Times New Roman" w:hAnsi="Times New Roman"/>
                <w:lang w:val="en-AU"/>
              </w:rPr>
            </w:pPr>
            <w:r w:rsidRPr="00E53FB1">
              <w:rPr>
                <w:rFonts w:ascii="Times New Roman" w:hAnsi="Times New Roman"/>
                <w:lang w:val="en-AU"/>
              </w:rPr>
              <w:t>Up to 6.8 years</w:t>
            </w:r>
          </w:p>
        </w:tc>
        <w:tc>
          <w:tcPr>
            <w:tcW w:w="1304" w:type="pct"/>
          </w:tcPr>
          <w:p w14:paraId="5FD43208"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1.09 (0.64 to 1.86)</w:t>
            </w:r>
          </w:p>
        </w:tc>
        <w:tc>
          <w:tcPr>
            <w:tcW w:w="1304" w:type="pct"/>
          </w:tcPr>
          <w:p w14:paraId="5FD43209"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3.50 (0.83 to 14.83)</w:t>
            </w:r>
          </w:p>
        </w:tc>
        <w:tc>
          <w:tcPr>
            <w:tcW w:w="800" w:type="pct"/>
          </w:tcPr>
          <w:p w14:paraId="5FD4320A"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NA</w:t>
            </w:r>
          </w:p>
        </w:tc>
      </w:tr>
      <w:tr w:rsidR="007603C2" w:rsidRPr="00E53FB1" w14:paraId="5FD43210" w14:textId="77777777" w:rsidTr="00B42999">
        <w:tc>
          <w:tcPr>
            <w:tcW w:w="1592" w:type="pct"/>
            <w:gridSpan w:val="2"/>
          </w:tcPr>
          <w:p w14:paraId="5FD4320C" w14:textId="77777777" w:rsidR="007603C2" w:rsidRPr="00E53FB1" w:rsidRDefault="007603C2" w:rsidP="00B42999">
            <w:pPr>
              <w:pStyle w:val="Tabletext"/>
              <w:rPr>
                <w:rFonts w:ascii="Times New Roman" w:hAnsi="Times New Roman"/>
                <w:lang w:val="en-AU"/>
              </w:rPr>
            </w:pPr>
            <w:r w:rsidRPr="00E53FB1">
              <w:rPr>
                <w:rFonts w:ascii="Times New Roman" w:hAnsi="Times New Roman"/>
                <w:lang w:val="en-AU"/>
              </w:rPr>
              <w:t>Meta-analysis</w:t>
            </w:r>
          </w:p>
        </w:tc>
        <w:tc>
          <w:tcPr>
            <w:tcW w:w="1304" w:type="pct"/>
          </w:tcPr>
          <w:p w14:paraId="5FD4320D"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1.72 (1.04 to 2.84); P=0.04</w:t>
            </w:r>
          </w:p>
        </w:tc>
        <w:tc>
          <w:tcPr>
            <w:tcW w:w="1304" w:type="pct"/>
          </w:tcPr>
          <w:p w14:paraId="5FD4320E"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3.40 (1.39 to 8.2); P=0.01</w:t>
            </w:r>
          </w:p>
        </w:tc>
        <w:tc>
          <w:tcPr>
            <w:tcW w:w="800" w:type="pct"/>
          </w:tcPr>
          <w:p w14:paraId="5FD4320F" w14:textId="77777777" w:rsidR="007603C2" w:rsidRPr="00E53FB1" w:rsidRDefault="007603C2" w:rsidP="00B42999">
            <w:pPr>
              <w:pStyle w:val="Tabletext"/>
              <w:jc w:val="center"/>
              <w:rPr>
                <w:rFonts w:ascii="Times New Roman" w:hAnsi="Times New Roman"/>
                <w:lang w:val="en-AU"/>
              </w:rPr>
            </w:pPr>
            <w:r w:rsidRPr="00E53FB1">
              <w:rPr>
                <w:rFonts w:ascii="Times New Roman" w:hAnsi="Times New Roman"/>
                <w:lang w:val="en-AU"/>
              </w:rPr>
              <w:t>NA</w:t>
            </w:r>
          </w:p>
        </w:tc>
      </w:tr>
    </w:tbl>
    <w:p w14:paraId="5FD43211" w14:textId="77777777" w:rsidR="007603C2" w:rsidRPr="00E53FB1" w:rsidRDefault="007603C2" w:rsidP="007603C2">
      <w:pPr>
        <w:pStyle w:val="Tablefootnote"/>
        <w:spacing w:after="0"/>
        <w:rPr>
          <w:rFonts w:ascii="Times New Roman" w:hAnsi="Times New Roman" w:cs="Times New Roman"/>
          <w:lang w:val="en-AU"/>
        </w:rPr>
      </w:pPr>
      <w:r w:rsidRPr="00E53FB1">
        <w:rPr>
          <w:rFonts w:ascii="Times New Roman" w:hAnsi="Times New Roman" w:cs="Times New Roman"/>
          <w:lang w:val="en-AU"/>
        </w:rPr>
        <w:t>Source: Cyberonics Systematic Review Appendices: Table J.12; Table J16</w:t>
      </w:r>
    </w:p>
    <w:p w14:paraId="5FD43212" w14:textId="77777777" w:rsidR="007603C2" w:rsidRDefault="007603C2" w:rsidP="007603C2">
      <w:pPr>
        <w:pStyle w:val="ExecSummText"/>
        <w:spacing w:after="0"/>
        <w:jc w:val="left"/>
        <w:rPr>
          <w:rFonts w:ascii="Times New Roman" w:hAnsi="Times New Roman" w:cs="Times New Roman"/>
          <w:sz w:val="24"/>
        </w:rPr>
      </w:pPr>
    </w:p>
    <w:p w14:paraId="5FD43213" w14:textId="77777777" w:rsidR="007603C2" w:rsidRPr="00E53FB1" w:rsidRDefault="007603C2" w:rsidP="007603C2">
      <w:pPr>
        <w:pStyle w:val="ExecSummText"/>
        <w:jc w:val="left"/>
        <w:rPr>
          <w:rFonts w:ascii="Times New Roman" w:hAnsi="Times New Roman" w:cs="Times New Roman"/>
          <w:sz w:val="24"/>
        </w:rPr>
      </w:pPr>
      <w:r w:rsidRPr="00E53FB1">
        <w:rPr>
          <w:rFonts w:ascii="Times New Roman" w:hAnsi="Times New Roman" w:cs="Times New Roman"/>
          <w:sz w:val="24"/>
        </w:rPr>
        <w:t>The efficacy claim for VNS in the resubmission remains the same as in the original application, i.e., one of superior effectiveness compared to ‘no active intervention’.</w:t>
      </w:r>
    </w:p>
    <w:p w14:paraId="5FD43214" w14:textId="77777777" w:rsidR="007603C2" w:rsidRPr="00E53FB1" w:rsidRDefault="007603C2" w:rsidP="007603C2">
      <w:pPr>
        <w:pStyle w:val="ExecSummText"/>
        <w:spacing w:after="0"/>
        <w:jc w:val="left"/>
        <w:rPr>
          <w:rFonts w:ascii="Times New Roman" w:hAnsi="Times New Roman" w:cs="Times New Roman"/>
          <w:sz w:val="24"/>
        </w:rPr>
      </w:pPr>
      <w:r w:rsidRPr="00E53FB1">
        <w:rPr>
          <w:rFonts w:ascii="Times New Roman" w:hAnsi="Times New Roman" w:cs="Times New Roman"/>
          <w:sz w:val="24"/>
        </w:rPr>
        <w:t>The resubmission noted that MSAC has already accepted there is clinical benefit of VNS in patients with a high unmet clinical need: “After considering the strength of the available evidence presented in relation to safety, clinical effectiveness…. MSAC accepted there was some clinical benefit in a small patient population with a high unmet clinical need, albeit supported by limited data.” [Source: MSAC PSD – Appl. 1358 VNS].</w:t>
      </w:r>
    </w:p>
    <w:p w14:paraId="5FD43215" w14:textId="77777777" w:rsidR="007603C2" w:rsidRPr="00E53FB1" w:rsidRDefault="007603C2" w:rsidP="007603C2"/>
    <w:p w14:paraId="5FD43216" w14:textId="77777777" w:rsidR="007603C2" w:rsidRDefault="007603C2" w:rsidP="007603C2">
      <w:pPr>
        <w:rPr>
          <w:szCs w:val="24"/>
        </w:rPr>
      </w:pPr>
      <w:r w:rsidRPr="00E53FB1">
        <w:rPr>
          <w:szCs w:val="24"/>
        </w:rPr>
        <w:t>The critique noted that the clinical claim of superior efficacy is marginally supported by the evidence base, noting that there was no additional efficacy data presented to address MSAC’s observation that there is limited data available.</w:t>
      </w:r>
    </w:p>
    <w:p w14:paraId="5FD43217" w14:textId="77777777" w:rsidR="00BC1364" w:rsidRPr="00F715D1" w:rsidRDefault="00BC1364" w:rsidP="00F715D1">
      <w:pPr>
        <w:pStyle w:val="Heading1"/>
      </w:pPr>
      <w:r w:rsidRPr="00F715D1">
        <w:t>Economic evaluation</w:t>
      </w:r>
    </w:p>
    <w:p w14:paraId="5FD43218" w14:textId="77777777" w:rsidR="007603C2" w:rsidRPr="00E53FB1" w:rsidRDefault="007603C2" w:rsidP="007603C2">
      <w:pPr>
        <w:rPr>
          <w:szCs w:val="24"/>
        </w:rPr>
      </w:pPr>
      <w:r w:rsidRPr="00E53FB1">
        <w:rPr>
          <w:szCs w:val="24"/>
        </w:rPr>
        <w:t xml:space="preserve">The resubmission presents three new pre-modelling studies which </w:t>
      </w:r>
      <w:r w:rsidR="001C6112">
        <w:rPr>
          <w:szCs w:val="24"/>
        </w:rPr>
        <w:t xml:space="preserve">sought </w:t>
      </w:r>
      <w:r w:rsidRPr="00E53FB1">
        <w:rPr>
          <w:szCs w:val="24"/>
        </w:rPr>
        <w:t>to address issues of translation of the RCT data to the economic modelling.</w:t>
      </w:r>
    </w:p>
    <w:p w14:paraId="5FD43219" w14:textId="77777777" w:rsidR="007603C2" w:rsidRPr="00E53FB1" w:rsidRDefault="007603C2" w:rsidP="007603C2">
      <w:pPr>
        <w:rPr>
          <w:szCs w:val="24"/>
        </w:rPr>
      </w:pPr>
    </w:p>
    <w:p w14:paraId="5FD4321A" w14:textId="77777777" w:rsidR="007603C2" w:rsidRPr="00E53FB1" w:rsidRDefault="007603C2" w:rsidP="007603C2">
      <w:r w:rsidRPr="00E53FB1">
        <w:t xml:space="preserve">The economic evaluation </w:t>
      </w:r>
      <w:r w:rsidR="001C6112" w:rsidRPr="00E53FB1">
        <w:t>assesse</w:t>
      </w:r>
      <w:r w:rsidR="001C6112">
        <w:t>d</w:t>
      </w:r>
      <w:r w:rsidR="001C6112" w:rsidRPr="00E53FB1">
        <w:t xml:space="preserve"> </w:t>
      </w:r>
      <w:r w:rsidRPr="00E53FB1">
        <w:t>VNS therapy relative to no VNS therapy in an Australian population with drug-resistant epilepsy.</w:t>
      </w:r>
    </w:p>
    <w:p w14:paraId="5FD4321B" w14:textId="77777777" w:rsidR="007603C2" w:rsidRPr="00E53FB1" w:rsidRDefault="007603C2" w:rsidP="007603C2"/>
    <w:p w14:paraId="5FD4321C" w14:textId="77777777" w:rsidR="007603C2" w:rsidRPr="00E53FB1" w:rsidRDefault="007603C2" w:rsidP="007603C2">
      <w:pPr>
        <w:pStyle w:val="ExecSummText"/>
        <w:spacing w:after="0"/>
        <w:rPr>
          <w:rFonts w:ascii="Times New Roman" w:hAnsi="Times New Roman" w:cs="Times New Roman"/>
          <w:sz w:val="24"/>
        </w:rPr>
      </w:pPr>
      <w:r w:rsidRPr="00E53FB1">
        <w:rPr>
          <w:rFonts w:ascii="Times New Roman" w:hAnsi="Times New Roman" w:cs="Times New Roman"/>
          <w:sz w:val="24"/>
        </w:rPr>
        <w:t xml:space="preserve">The economic model </w:t>
      </w:r>
      <w:r w:rsidR="001C6112" w:rsidRPr="00E53FB1">
        <w:rPr>
          <w:rFonts w:ascii="Times New Roman" w:hAnsi="Times New Roman" w:cs="Times New Roman"/>
          <w:sz w:val="24"/>
        </w:rPr>
        <w:t>consist</w:t>
      </w:r>
      <w:r w:rsidR="001C6112">
        <w:rPr>
          <w:rFonts w:ascii="Times New Roman" w:hAnsi="Times New Roman" w:cs="Times New Roman"/>
          <w:sz w:val="24"/>
        </w:rPr>
        <w:t>ed</w:t>
      </w:r>
      <w:r w:rsidR="001C6112" w:rsidRPr="00E53FB1">
        <w:rPr>
          <w:rFonts w:ascii="Times New Roman" w:hAnsi="Times New Roman" w:cs="Times New Roman"/>
          <w:sz w:val="24"/>
        </w:rPr>
        <w:t xml:space="preserve"> </w:t>
      </w:r>
      <w:r w:rsidRPr="00E53FB1">
        <w:rPr>
          <w:rFonts w:ascii="Times New Roman" w:hAnsi="Times New Roman" w:cs="Times New Roman"/>
          <w:sz w:val="24"/>
        </w:rPr>
        <w:t>of a Markov model comprised four core health states with a cohort of patients transiting between these health states according to the effectiveness over time of the therapy being received.  Modifications to the model include</w:t>
      </w:r>
      <w:r w:rsidR="001C6112">
        <w:rPr>
          <w:rFonts w:ascii="Times New Roman" w:hAnsi="Times New Roman" w:cs="Times New Roman"/>
          <w:sz w:val="24"/>
        </w:rPr>
        <w:t>d</w:t>
      </w:r>
      <w:r w:rsidRPr="00E53FB1">
        <w:rPr>
          <w:rFonts w:ascii="Times New Roman" w:hAnsi="Times New Roman" w:cs="Times New Roman"/>
          <w:sz w:val="24"/>
        </w:rPr>
        <w:t xml:space="preserve">: </w:t>
      </w:r>
    </w:p>
    <w:p w14:paraId="5FD4321D" w14:textId="77777777" w:rsidR="007603C2" w:rsidRPr="00E53FB1" w:rsidRDefault="007603C2" w:rsidP="007603C2">
      <w:pPr>
        <w:pStyle w:val="ExecSummText"/>
        <w:numPr>
          <w:ilvl w:val="0"/>
          <w:numId w:val="29"/>
        </w:numPr>
        <w:spacing w:after="0"/>
        <w:rPr>
          <w:rFonts w:ascii="Times New Roman" w:hAnsi="Times New Roman" w:cs="Times New Roman"/>
          <w:sz w:val="24"/>
        </w:rPr>
      </w:pPr>
      <w:r w:rsidRPr="00E53FB1">
        <w:rPr>
          <w:rFonts w:ascii="Times New Roman" w:hAnsi="Times New Roman" w:cs="Times New Roman"/>
          <w:sz w:val="24"/>
        </w:rPr>
        <w:t xml:space="preserve">a base case model duration of 5 years  </w:t>
      </w:r>
    </w:p>
    <w:p w14:paraId="5FD4321E" w14:textId="77777777" w:rsidR="007603C2" w:rsidRPr="00E53FB1" w:rsidRDefault="007603C2" w:rsidP="007603C2">
      <w:pPr>
        <w:pStyle w:val="ExecSummText"/>
        <w:numPr>
          <w:ilvl w:val="0"/>
          <w:numId w:val="29"/>
        </w:numPr>
        <w:spacing w:after="0"/>
        <w:rPr>
          <w:rFonts w:ascii="Times New Roman" w:hAnsi="Times New Roman" w:cs="Times New Roman"/>
          <w:sz w:val="24"/>
        </w:rPr>
      </w:pPr>
      <w:r w:rsidRPr="00E53FB1">
        <w:rPr>
          <w:rFonts w:ascii="Times New Roman" w:hAnsi="Times New Roman" w:cs="Times New Roman"/>
          <w:sz w:val="24"/>
        </w:rPr>
        <w:t xml:space="preserve">the definition of the four core health states is based on absolute seizure frequency (as opposed to </w:t>
      </w:r>
      <w:proofErr w:type="spellStart"/>
      <w:r w:rsidRPr="00E53FB1">
        <w:rPr>
          <w:rFonts w:ascii="Times New Roman" w:hAnsi="Times New Roman" w:cs="Times New Roman"/>
          <w:sz w:val="24"/>
        </w:rPr>
        <w:t>percent</w:t>
      </w:r>
      <w:proofErr w:type="spellEnd"/>
      <w:r w:rsidRPr="00E53FB1">
        <w:rPr>
          <w:rFonts w:ascii="Times New Roman" w:hAnsi="Times New Roman" w:cs="Times New Roman"/>
          <w:sz w:val="24"/>
        </w:rPr>
        <w:t xml:space="preserve"> reduction in seizure frequency)</w:t>
      </w:r>
    </w:p>
    <w:p w14:paraId="5FD4321F" w14:textId="77777777" w:rsidR="007603C2" w:rsidRPr="00E53FB1" w:rsidRDefault="007603C2" w:rsidP="007603C2">
      <w:pPr>
        <w:pStyle w:val="ExecSummText"/>
        <w:numPr>
          <w:ilvl w:val="0"/>
          <w:numId w:val="29"/>
        </w:numPr>
        <w:spacing w:after="0"/>
        <w:rPr>
          <w:rFonts w:ascii="Times New Roman" w:hAnsi="Times New Roman" w:cs="Times New Roman"/>
          <w:sz w:val="24"/>
        </w:rPr>
      </w:pPr>
      <w:r w:rsidRPr="00E53FB1">
        <w:rPr>
          <w:rFonts w:ascii="Times New Roman" w:hAnsi="Times New Roman" w:cs="Times New Roman"/>
          <w:sz w:val="24"/>
        </w:rPr>
        <w:t>movement between health states for VNS patients and No VNS patients is based on extrapolation from short-term results from the pivotal trials (E03 and E05) out to the long-term</w:t>
      </w:r>
    </w:p>
    <w:p w14:paraId="5FD43220" w14:textId="77777777" w:rsidR="007603C2" w:rsidRPr="00E53FB1" w:rsidRDefault="007603C2" w:rsidP="007603C2">
      <w:pPr>
        <w:pStyle w:val="ExecSummText"/>
        <w:numPr>
          <w:ilvl w:val="0"/>
          <w:numId w:val="29"/>
        </w:numPr>
        <w:rPr>
          <w:rFonts w:ascii="Times New Roman" w:hAnsi="Times New Roman" w:cs="Times New Roman"/>
          <w:sz w:val="24"/>
        </w:rPr>
      </w:pPr>
      <w:proofErr w:type="gramStart"/>
      <w:r w:rsidRPr="00E53FB1">
        <w:rPr>
          <w:rFonts w:ascii="Times New Roman" w:hAnsi="Times New Roman" w:cs="Times New Roman"/>
          <w:sz w:val="24"/>
        </w:rPr>
        <w:lastRenderedPageBreak/>
        <w:t>patients</w:t>
      </w:r>
      <w:proofErr w:type="gramEnd"/>
      <w:r w:rsidRPr="00E53FB1">
        <w:rPr>
          <w:rFonts w:ascii="Times New Roman" w:hAnsi="Times New Roman" w:cs="Times New Roman"/>
          <w:sz w:val="24"/>
        </w:rPr>
        <w:t xml:space="preserve"> in the VNS arm accrue VNS implant specific AE </w:t>
      </w:r>
      <w:proofErr w:type="spellStart"/>
      <w:r w:rsidRPr="00E53FB1">
        <w:rPr>
          <w:rFonts w:ascii="Times New Roman" w:hAnsi="Times New Roman" w:cs="Times New Roman"/>
          <w:sz w:val="24"/>
        </w:rPr>
        <w:t>disutilities</w:t>
      </w:r>
      <w:proofErr w:type="spellEnd"/>
      <w:r w:rsidRPr="00E53FB1">
        <w:rPr>
          <w:rFonts w:ascii="Times New Roman" w:hAnsi="Times New Roman" w:cs="Times New Roman"/>
          <w:sz w:val="24"/>
        </w:rPr>
        <w:t>.</w:t>
      </w:r>
    </w:p>
    <w:p w14:paraId="5FD43221" w14:textId="77777777" w:rsidR="007603C2" w:rsidRPr="00E53FB1" w:rsidRDefault="007603C2" w:rsidP="007603C2">
      <w:pPr>
        <w:spacing w:after="240"/>
      </w:pPr>
      <w:r w:rsidRPr="00E53FB1">
        <w:t xml:space="preserve">Key aspects of the economic evaluation are summarised in </w:t>
      </w:r>
      <w:r w:rsidRPr="00E53FB1">
        <w:fldChar w:fldCharType="begin"/>
      </w:r>
      <w:r w:rsidRPr="00E53FB1">
        <w:instrText xml:space="preserve"> REF _Ref404370956 \h </w:instrText>
      </w:r>
      <w:r>
        <w:instrText xml:space="preserve"> \* MERGEFORMAT </w:instrText>
      </w:r>
      <w:r w:rsidRPr="00E53FB1">
        <w:fldChar w:fldCharType="separate"/>
      </w:r>
      <w:r w:rsidR="008A1184" w:rsidRPr="000076E8">
        <w:t>Table 4</w:t>
      </w:r>
      <w:r w:rsidRPr="00E53FB1">
        <w:fldChar w:fldCharType="end"/>
      </w:r>
      <w:r w:rsidRPr="00E53FB1">
        <w:t>.</w:t>
      </w:r>
    </w:p>
    <w:p w14:paraId="5FD43222" w14:textId="77777777" w:rsidR="007603C2" w:rsidRPr="00AB4C09" w:rsidRDefault="000076E8" w:rsidP="007603C2">
      <w:pPr>
        <w:pStyle w:val="Caption"/>
        <w:rPr>
          <w:rStyle w:val="Strong"/>
        </w:rPr>
      </w:pPr>
      <w:bookmarkStart w:id="6" w:name="_Ref404370956"/>
      <w:bookmarkStart w:id="7" w:name="_Ref394419656"/>
      <w:bookmarkStart w:id="8" w:name="_Toc399251123"/>
      <w:r w:rsidRPr="00AB4C09">
        <w:rPr>
          <w:rStyle w:val="Strong"/>
        </w:rPr>
        <w:t xml:space="preserve">Table </w:t>
      </w:r>
      <w:r w:rsidRPr="00AB4C09">
        <w:rPr>
          <w:rStyle w:val="Strong"/>
        </w:rPr>
        <w:fldChar w:fldCharType="begin"/>
      </w:r>
      <w:r w:rsidRPr="00AB4C09">
        <w:rPr>
          <w:rStyle w:val="Strong"/>
        </w:rPr>
        <w:instrText xml:space="preserve"> SEQ Table \* ARABIC </w:instrText>
      </w:r>
      <w:r w:rsidRPr="00AB4C09">
        <w:rPr>
          <w:rStyle w:val="Strong"/>
        </w:rPr>
        <w:fldChar w:fldCharType="separate"/>
      </w:r>
      <w:r w:rsidR="005709FB" w:rsidRPr="00AB4C09">
        <w:rPr>
          <w:rStyle w:val="Strong"/>
        </w:rPr>
        <w:t>4</w:t>
      </w:r>
      <w:r w:rsidRPr="00AB4C09">
        <w:rPr>
          <w:rStyle w:val="Strong"/>
        </w:rPr>
        <w:fldChar w:fldCharType="end"/>
      </w:r>
      <w:bookmarkEnd w:id="6"/>
      <w:r w:rsidR="007603C2" w:rsidRPr="00AB4C09">
        <w:rPr>
          <w:rStyle w:val="Strong"/>
        </w:rPr>
        <w:tab/>
      </w:r>
      <w:r w:rsidR="007603C2" w:rsidRPr="00AB4C09">
        <w:rPr>
          <w:rStyle w:val="Strong"/>
        </w:rPr>
        <w:tab/>
        <w:t>Summary of the economic evaluation</w:t>
      </w:r>
      <w:bookmarkEnd w:id="7"/>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Summary of the economic evaluation"/>
        <w:tblDescription w:val="This table describes the key constructs of the economic evaluation that is provided in the assessment report."/>
      </w:tblPr>
      <w:tblGrid>
        <w:gridCol w:w="1952"/>
        <w:gridCol w:w="7290"/>
      </w:tblGrid>
      <w:tr w:rsidR="007603C2" w:rsidRPr="00E53FB1" w14:paraId="5FD43225" w14:textId="77777777" w:rsidTr="005709FB">
        <w:trPr>
          <w:trHeight w:val="20"/>
        </w:trPr>
        <w:tc>
          <w:tcPr>
            <w:tcW w:w="1056" w:type="pct"/>
            <w:tcBorders>
              <w:top w:val="single" w:sz="4" w:space="0" w:color="auto"/>
              <w:left w:val="single" w:sz="4" w:space="0" w:color="auto"/>
              <w:bottom w:val="single" w:sz="4" w:space="0" w:color="auto"/>
              <w:right w:val="single" w:sz="4" w:space="0" w:color="auto"/>
            </w:tcBorders>
          </w:tcPr>
          <w:p w14:paraId="5FD43223" w14:textId="77777777" w:rsidR="007603C2" w:rsidRPr="00E53FB1" w:rsidRDefault="007603C2" w:rsidP="00B42999">
            <w:pPr>
              <w:pStyle w:val="TableText0"/>
              <w:jc w:val="left"/>
              <w:rPr>
                <w:rFonts w:ascii="Times New Roman" w:hAnsi="Times New Roman" w:cs="Times New Roman"/>
              </w:rPr>
            </w:pPr>
            <w:r w:rsidRPr="00E53FB1">
              <w:rPr>
                <w:rFonts w:ascii="Times New Roman" w:hAnsi="Times New Roman" w:cs="Times New Roman"/>
              </w:rPr>
              <w:t>Perspective</w:t>
            </w:r>
          </w:p>
        </w:tc>
        <w:tc>
          <w:tcPr>
            <w:tcW w:w="3944" w:type="pct"/>
            <w:tcBorders>
              <w:top w:val="single" w:sz="4" w:space="0" w:color="auto"/>
              <w:left w:val="single" w:sz="4" w:space="0" w:color="auto"/>
              <w:bottom w:val="single" w:sz="4" w:space="0" w:color="auto"/>
              <w:right w:val="single" w:sz="4" w:space="0" w:color="auto"/>
            </w:tcBorders>
          </w:tcPr>
          <w:p w14:paraId="5FD43224"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Not explicitly stated. Based on inputs used a health care provider perspective was taken.</w:t>
            </w:r>
          </w:p>
        </w:tc>
      </w:tr>
      <w:tr w:rsidR="007603C2" w:rsidRPr="00E53FB1" w14:paraId="5FD43228" w14:textId="77777777" w:rsidTr="005709FB">
        <w:trPr>
          <w:trHeight w:val="20"/>
        </w:trPr>
        <w:tc>
          <w:tcPr>
            <w:tcW w:w="1056" w:type="pct"/>
            <w:tcBorders>
              <w:top w:val="single" w:sz="4" w:space="0" w:color="auto"/>
              <w:left w:val="single" w:sz="4" w:space="0" w:color="auto"/>
              <w:bottom w:val="single" w:sz="4" w:space="0" w:color="auto"/>
              <w:right w:val="single" w:sz="4" w:space="0" w:color="auto"/>
            </w:tcBorders>
          </w:tcPr>
          <w:p w14:paraId="5FD43226" w14:textId="77777777" w:rsidR="007603C2" w:rsidRPr="00E53FB1" w:rsidRDefault="007603C2" w:rsidP="00B42999">
            <w:pPr>
              <w:pStyle w:val="TableText0"/>
              <w:jc w:val="left"/>
              <w:rPr>
                <w:rFonts w:ascii="Times New Roman" w:hAnsi="Times New Roman" w:cs="Times New Roman"/>
              </w:rPr>
            </w:pPr>
            <w:r w:rsidRPr="00E53FB1">
              <w:rPr>
                <w:rFonts w:ascii="Times New Roman" w:hAnsi="Times New Roman" w:cs="Times New Roman"/>
              </w:rPr>
              <w:t>Comparator</w:t>
            </w:r>
          </w:p>
        </w:tc>
        <w:tc>
          <w:tcPr>
            <w:tcW w:w="3944" w:type="pct"/>
            <w:tcBorders>
              <w:top w:val="single" w:sz="4" w:space="0" w:color="auto"/>
              <w:left w:val="single" w:sz="4" w:space="0" w:color="auto"/>
              <w:bottom w:val="single" w:sz="4" w:space="0" w:color="auto"/>
              <w:right w:val="single" w:sz="4" w:space="0" w:color="auto"/>
            </w:tcBorders>
          </w:tcPr>
          <w:p w14:paraId="5FD43227"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No active intervention</w:t>
            </w:r>
          </w:p>
        </w:tc>
      </w:tr>
      <w:tr w:rsidR="007603C2" w:rsidRPr="00E53FB1" w14:paraId="5FD4322B" w14:textId="77777777" w:rsidTr="005709FB">
        <w:trPr>
          <w:trHeight w:val="20"/>
        </w:trPr>
        <w:tc>
          <w:tcPr>
            <w:tcW w:w="1056" w:type="pct"/>
            <w:tcBorders>
              <w:top w:val="single" w:sz="4" w:space="0" w:color="auto"/>
              <w:left w:val="single" w:sz="4" w:space="0" w:color="auto"/>
              <w:bottom w:val="single" w:sz="4" w:space="0" w:color="auto"/>
              <w:right w:val="single" w:sz="4" w:space="0" w:color="auto"/>
            </w:tcBorders>
          </w:tcPr>
          <w:p w14:paraId="5FD43229" w14:textId="77777777" w:rsidR="007603C2" w:rsidRPr="00E53FB1" w:rsidRDefault="007603C2" w:rsidP="00B42999">
            <w:pPr>
              <w:pStyle w:val="TableText0"/>
              <w:jc w:val="left"/>
              <w:rPr>
                <w:rFonts w:ascii="Times New Roman" w:hAnsi="Times New Roman" w:cs="Times New Roman"/>
              </w:rPr>
            </w:pPr>
            <w:r w:rsidRPr="00E53FB1">
              <w:rPr>
                <w:rFonts w:ascii="Times New Roman" w:hAnsi="Times New Roman" w:cs="Times New Roman"/>
              </w:rPr>
              <w:t>Type of economic evaluation</w:t>
            </w:r>
          </w:p>
        </w:tc>
        <w:tc>
          <w:tcPr>
            <w:tcW w:w="3944" w:type="pct"/>
            <w:tcBorders>
              <w:top w:val="single" w:sz="4" w:space="0" w:color="auto"/>
              <w:left w:val="single" w:sz="4" w:space="0" w:color="auto"/>
              <w:bottom w:val="single" w:sz="4" w:space="0" w:color="auto"/>
              <w:right w:val="single" w:sz="4" w:space="0" w:color="auto"/>
            </w:tcBorders>
          </w:tcPr>
          <w:p w14:paraId="5FD4322A"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Cost-utility analysis (cost per QALY). Cost-consequence (cost per seizure avoided) presented as a supplementary analysis.</w:t>
            </w:r>
          </w:p>
        </w:tc>
      </w:tr>
      <w:tr w:rsidR="007603C2" w:rsidRPr="00E53FB1" w14:paraId="5FD43231" w14:textId="77777777" w:rsidTr="005709FB">
        <w:trPr>
          <w:trHeight w:val="20"/>
        </w:trPr>
        <w:tc>
          <w:tcPr>
            <w:tcW w:w="1056" w:type="pct"/>
            <w:tcBorders>
              <w:top w:val="single" w:sz="4" w:space="0" w:color="auto"/>
              <w:left w:val="single" w:sz="4" w:space="0" w:color="auto"/>
              <w:bottom w:val="single" w:sz="4" w:space="0" w:color="auto"/>
              <w:right w:val="single" w:sz="4" w:space="0" w:color="auto"/>
            </w:tcBorders>
          </w:tcPr>
          <w:p w14:paraId="5FD4322C" w14:textId="77777777" w:rsidR="007603C2" w:rsidRPr="00E53FB1" w:rsidRDefault="007603C2" w:rsidP="00B42999">
            <w:pPr>
              <w:pStyle w:val="TableText0"/>
              <w:jc w:val="left"/>
              <w:rPr>
                <w:rFonts w:ascii="Times New Roman" w:hAnsi="Times New Roman" w:cs="Times New Roman"/>
              </w:rPr>
            </w:pPr>
            <w:r w:rsidRPr="00E53FB1">
              <w:rPr>
                <w:rFonts w:ascii="Times New Roman" w:hAnsi="Times New Roman" w:cs="Times New Roman"/>
              </w:rPr>
              <w:t>Sources of evidence</w:t>
            </w:r>
          </w:p>
        </w:tc>
        <w:tc>
          <w:tcPr>
            <w:tcW w:w="3944" w:type="pct"/>
            <w:tcBorders>
              <w:top w:val="single" w:sz="4" w:space="0" w:color="auto"/>
              <w:left w:val="single" w:sz="4" w:space="0" w:color="auto"/>
              <w:bottom w:val="single" w:sz="4" w:space="0" w:color="auto"/>
              <w:right w:val="single" w:sz="4" w:space="0" w:color="auto"/>
            </w:tcBorders>
          </w:tcPr>
          <w:p w14:paraId="5FD4322D"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Randomised controlled trials (E03 and E05)</w:t>
            </w:r>
          </w:p>
          <w:p w14:paraId="5FD4322E"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Efficacy and safety data at 3 months</w:t>
            </w:r>
          </w:p>
          <w:p w14:paraId="5FD4322F"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Systematic review long-term (beyond 3 months) efficacy data</w:t>
            </w:r>
          </w:p>
          <w:p w14:paraId="5FD43230"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Utility values</w:t>
            </w:r>
          </w:p>
        </w:tc>
      </w:tr>
      <w:tr w:rsidR="007603C2" w:rsidRPr="00E53FB1" w14:paraId="5FD43234" w14:textId="77777777" w:rsidTr="005709FB">
        <w:trPr>
          <w:trHeight w:val="20"/>
        </w:trPr>
        <w:tc>
          <w:tcPr>
            <w:tcW w:w="1056" w:type="pct"/>
            <w:tcBorders>
              <w:top w:val="single" w:sz="4" w:space="0" w:color="auto"/>
              <w:left w:val="single" w:sz="4" w:space="0" w:color="auto"/>
              <w:bottom w:val="single" w:sz="4" w:space="0" w:color="auto"/>
              <w:right w:val="single" w:sz="4" w:space="0" w:color="auto"/>
            </w:tcBorders>
            <w:hideMark/>
          </w:tcPr>
          <w:p w14:paraId="5FD43232" w14:textId="77777777" w:rsidR="007603C2" w:rsidRPr="00E53FB1" w:rsidRDefault="007603C2" w:rsidP="00B42999">
            <w:pPr>
              <w:pStyle w:val="TableText0"/>
              <w:jc w:val="left"/>
              <w:rPr>
                <w:rFonts w:ascii="Times New Roman" w:hAnsi="Times New Roman" w:cs="Times New Roman"/>
              </w:rPr>
            </w:pPr>
            <w:r w:rsidRPr="00E53FB1">
              <w:rPr>
                <w:rFonts w:ascii="Times New Roman" w:hAnsi="Times New Roman" w:cs="Times New Roman"/>
              </w:rPr>
              <w:t>Time horizon</w:t>
            </w:r>
          </w:p>
        </w:tc>
        <w:tc>
          <w:tcPr>
            <w:tcW w:w="3944" w:type="pct"/>
            <w:tcBorders>
              <w:top w:val="single" w:sz="4" w:space="0" w:color="auto"/>
              <w:left w:val="single" w:sz="4" w:space="0" w:color="auto"/>
              <w:bottom w:val="single" w:sz="4" w:space="0" w:color="auto"/>
              <w:right w:val="single" w:sz="4" w:space="0" w:color="auto"/>
            </w:tcBorders>
            <w:hideMark/>
          </w:tcPr>
          <w:p w14:paraId="5FD43233"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5 years in the MSAC-specified base case. An alternate base case of 7 years presented as a supplementary analysis</w:t>
            </w:r>
          </w:p>
        </w:tc>
      </w:tr>
      <w:tr w:rsidR="007603C2" w:rsidRPr="00E53FB1" w14:paraId="5FD43237" w14:textId="77777777" w:rsidTr="005709FB">
        <w:trPr>
          <w:trHeight w:val="20"/>
        </w:trPr>
        <w:tc>
          <w:tcPr>
            <w:tcW w:w="1056" w:type="pct"/>
            <w:tcBorders>
              <w:top w:val="single" w:sz="4" w:space="0" w:color="auto"/>
              <w:left w:val="single" w:sz="4" w:space="0" w:color="auto"/>
              <w:bottom w:val="single" w:sz="4" w:space="0" w:color="auto"/>
              <w:right w:val="single" w:sz="4" w:space="0" w:color="auto"/>
            </w:tcBorders>
            <w:hideMark/>
          </w:tcPr>
          <w:p w14:paraId="5FD43235" w14:textId="77777777" w:rsidR="007603C2" w:rsidRPr="00E53FB1" w:rsidRDefault="007603C2" w:rsidP="00B42999">
            <w:pPr>
              <w:pStyle w:val="TableText0"/>
              <w:jc w:val="left"/>
              <w:rPr>
                <w:rFonts w:ascii="Times New Roman" w:hAnsi="Times New Roman" w:cs="Times New Roman"/>
              </w:rPr>
            </w:pPr>
            <w:r w:rsidRPr="00E53FB1">
              <w:rPr>
                <w:rFonts w:ascii="Times New Roman" w:hAnsi="Times New Roman" w:cs="Times New Roman"/>
              </w:rPr>
              <w:t>Outcomes</w:t>
            </w:r>
          </w:p>
        </w:tc>
        <w:tc>
          <w:tcPr>
            <w:tcW w:w="3944" w:type="pct"/>
            <w:tcBorders>
              <w:top w:val="single" w:sz="4" w:space="0" w:color="auto"/>
              <w:left w:val="single" w:sz="4" w:space="0" w:color="auto"/>
              <w:bottom w:val="single" w:sz="4" w:space="0" w:color="auto"/>
              <w:right w:val="single" w:sz="4" w:space="0" w:color="auto"/>
            </w:tcBorders>
          </w:tcPr>
          <w:p w14:paraId="5FD43236"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QALYs and number of seizures</w:t>
            </w:r>
          </w:p>
        </w:tc>
      </w:tr>
      <w:tr w:rsidR="007603C2" w:rsidRPr="00E53FB1" w14:paraId="5FD4323A" w14:textId="77777777" w:rsidTr="005709FB">
        <w:trPr>
          <w:trHeight w:val="20"/>
        </w:trPr>
        <w:tc>
          <w:tcPr>
            <w:tcW w:w="1056" w:type="pct"/>
            <w:tcBorders>
              <w:top w:val="single" w:sz="4" w:space="0" w:color="auto"/>
              <w:left w:val="single" w:sz="4" w:space="0" w:color="auto"/>
              <w:bottom w:val="single" w:sz="4" w:space="0" w:color="auto"/>
              <w:right w:val="single" w:sz="4" w:space="0" w:color="auto"/>
            </w:tcBorders>
            <w:hideMark/>
          </w:tcPr>
          <w:p w14:paraId="5FD43238" w14:textId="77777777" w:rsidR="007603C2" w:rsidRPr="00E53FB1" w:rsidRDefault="007603C2" w:rsidP="00B42999">
            <w:pPr>
              <w:pStyle w:val="TableText0"/>
              <w:jc w:val="left"/>
              <w:rPr>
                <w:rFonts w:ascii="Times New Roman" w:hAnsi="Times New Roman" w:cs="Times New Roman"/>
              </w:rPr>
            </w:pPr>
            <w:r w:rsidRPr="00E53FB1">
              <w:rPr>
                <w:rFonts w:ascii="Times New Roman" w:hAnsi="Times New Roman" w:cs="Times New Roman"/>
              </w:rPr>
              <w:t>Methods used to generate results</w:t>
            </w:r>
          </w:p>
        </w:tc>
        <w:tc>
          <w:tcPr>
            <w:tcW w:w="3944" w:type="pct"/>
            <w:tcBorders>
              <w:top w:val="single" w:sz="4" w:space="0" w:color="auto"/>
              <w:left w:val="single" w:sz="4" w:space="0" w:color="auto"/>
              <w:bottom w:val="single" w:sz="4" w:space="0" w:color="auto"/>
              <w:right w:val="single" w:sz="4" w:space="0" w:color="auto"/>
            </w:tcBorders>
          </w:tcPr>
          <w:p w14:paraId="5FD43239"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Markov model</w:t>
            </w:r>
          </w:p>
        </w:tc>
      </w:tr>
      <w:tr w:rsidR="007603C2" w:rsidRPr="00E53FB1" w14:paraId="5FD43241" w14:textId="77777777" w:rsidTr="005709FB">
        <w:trPr>
          <w:trHeight w:val="20"/>
        </w:trPr>
        <w:tc>
          <w:tcPr>
            <w:tcW w:w="1056" w:type="pct"/>
            <w:tcBorders>
              <w:top w:val="single" w:sz="4" w:space="0" w:color="auto"/>
              <w:left w:val="single" w:sz="4" w:space="0" w:color="auto"/>
              <w:bottom w:val="single" w:sz="4" w:space="0" w:color="auto"/>
              <w:right w:val="single" w:sz="4" w:space="0" w:color="auto"/>
            </w:tcBorders>
          </w:tcPr>
          <w:p w14:paraId="5FD4323B" w14:textId="77777777" w:rsidR="007603C2" w:rsidRPr="00E53FB1" w:rsidRDefault="007603C2" w:rsidP="00B42999">
            <w:pPr>
              <w:pStyle w:val="TableText0"/>
              <w:jc w:val="left"/>
              <w:rPr>
                <w:rFonts w:ascii="Times New Roman" w:hAnsi="Times New Roman" w:cs="Times New Roman"/>
              </w:rPr>
            </w:pPr>
            <w:r w:rsidRPr="00E53FB1">
              <w:rPr>
                <w:rFonts w:ascii="Times New Roman" w:hAnsi="Times New Roman" w:cs="Times New Roman"/>
              </w:rPr>
              <w:t>Health states</w:t>
            </w:r>
          </w:p>
        </w:tc>
        <w:tc>
          <w:tcPr>
            <w:tcW w:w="3944" w:type="pct"/>
            <w:tcBorders>
              <w:top w:val="single" w:sz="4" w:space="0" w:color="auto"/>
              <w:left w:val="single" w:sz="4" w:space="0" w:color="auto"/>
              <w:bottom w:val="single" w:sz="4" w:space="0" w:color="auto"/>
              <w:right w:val="single" w:sz="4" w:space="0" w:color="auto"/>
            </w:tcBorders>
          </w:tcPr>
          <w:p w14:paraId="5FD4323C"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≥10 seizures per month (non-responder)</w:t>
            </w:r>
          </w:p>
          <w:p w14:paraId="5FD4323D"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2 to 9 seizures per month (responder)</w:t>
            </w:r>
          </w:p>
          <w:p w14:paraId="5FD4323E"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&gt;0 to 1 seizure per month (responder)</w:t>
            </w:r>
          </w:p>
          <w:p w14:paraId="5FD4323F"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0 seizures per months (responder, seizure free)</w:t>
            </w:r>
          </w:p>
          <w:p w14:paraId="5FD43240"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Dead</w:t>
            </w:r>
          </w:p>
        </w:tc>
      </w:tr>
      <w:tr w:rsidR="007603C2" w:rsidRPr="00E53FB1" w14:paraId="5FD43244" w14:textId="77777777" w:rsidTr="005709FB">
        <w:trPr>
          <w:trHeight w:val="20"/>
        </w:trPr>
        <w:tc>
          <w:tcPr>
            <w:tcW w:w="1056" w:type="pct"/>
            <w:tcBorders>
              <w:top w:val="single" w:sz="4" w:space="0" w:color="auto"/>
              <w:left w:val="single" w:sz="4" w:space="0" w:color="auto"/>
              <w:bottom w:val="single" w:sz="4" w:space="0" w:color="auto"/>
              <w:right w:val="single" w:sz="4" w:space="0" w:color="auto"/>
            </w:tcBorders>
            <w:hideMark/>
          </w:tcPr>
          <w:p w14:paraId="5FD43242" w14:textId="77777777" w:rsidR="007603C2" w:rsidRPr="00E53FB1" w:rsidRDefault="007603C2" w:rsidP="00B42999">
            <w:pPr>
              <w:pStyle w:val="TableText0"/>
              <w:jc w:val="left"/>
              <w:rPr>
                <w:rFonts w:ascii="Times New Roman" w:hAnsi="Times New Roman" w:cs="Times New Roman"/>
              </w:rPr>
            </w:pPr>
            <w:r w:rsidRPr="00E53FB1">
              <w:rPr>
                <w:rFonts w:ascii="Times New Roman" w:hAnsi="Times New Roman" w:cs="Times New Roman"/>
              </w:rPr>
              <w:t>Cycle length</w:t>
            </w:r>
          </w:p>
        </w:tc>
        <w:tc>
          <w:tcPr>
            <w:tcW w:w="3944" w:type="pct"/>
            <w:tcBorders>
              <w:top w:val="single" w:sz="4" w:space="0" w:color="auto"/>
              <w:left w:val="single" w:sz="4" w:space="0" w:color="auto"/>
              <w:bottom w:val="single" w:sz="4" w:space="0" w:color="auto"/>
              <w:right w:val="single" w:sz="4" w:space="0" w:color="auto"/>
            </w:tcBorders>
          </w:tcPr>
          <w:p w14:paraId="5FD43243"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3 months (half-cycle correction applied)</w:t>
            </w:r>
          </w:p>
        </w:tc>
      </w:tr>
      <w:tr w:rsidR="007603C2" w:rsidRPr="00E53FB1" w14:paraId="5FD43247" w14:textId="77777777" w:rsidTr="005709FB">
        <w:trPr>
          <w:trHeight w:val="20"/>
        </w:trPr>
        <w:tc>
          <w:tcPr>
            <w:tcW w:w="1056" w:type="pct"/>
            <w:tcBorders>
              <w:top w:val="single" w:sz="4" w:space="0" w:color="auto"/>
              <w:left w:val="single" w:sz="4" w:space="0" w:color="auto"/>
              <w:bottom w:val="single" w:sz="4" w:space="0" w:color="auto"/>
              <w:right w:val="single" w:sz="4" w:space="0" w:color="auto"/>
            </w:tcBorders>
            <w:hideMark/>
          </w:tcPr>
          <w:p w14:paraId="5FD43245" w14:textId="77777777" w:rsidR="007603C2" w:rsidRPr="00E53FB1" w:rsidRDefault="007603C2" w:rsidP="00B42999">
            <w:pPr>
              <w:pStyle w:val="TableText0"/>
              <w:jc w:val="left"/>
              <w:rPr>
                <w:rFonts w:ascii="Times New Roman" w:hAnsi="Times New Roman" w:cs="Times New Roman"/>
              </w:rPr>
            </w:pPr>
            <w:r w:rsidRPr="00E53FB1">
              <w:rPr>
                <w:rFonts w:ascii="Times New Roman" w:hAnsi="Times New Roman" w:cs="Times New Roman"/>
              </w:rPr>
              <w:t>Discount rate</w:t>
            </w:r>
          </w:p>
        </w:tc>
        <w:tc>
          <w:tcPr>
            <w:tcW w:w="3944" w:type="pct"/>
            <w:tcBorders>
              <w:top w:val="single" w:sz="4" w:space="0" w:color="auto"/>
              <w:left w:val="single" w:sz="4" w:space="0" w:color="auto"/>
              <w:bottom w:val="single" w:sz="4" w:space="0" w:color="auto"/>
              <w:right w:val="single" w:sz="4" w:space="0" w:color="auto"/>
            </w:tcBorders>
          </w:tcPr>
          <w:p w14:paraId="5FD43246"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Costs and consequences discounted at 5% per annum</w:t>
            </w:r>
          </w:p>
        </w:tc>
      </w:tr>
      <w:tr w:rsidR="007603C2" w:rsidRPr="00E53FB1" w14:paraId="5FD4324A" w14:textId="77777777" w:rsidTr="005709FB">
        <w:trPr>
          <w:trHeight w:val="20"/>
        </w:trPr>
        <w:tc>
          <w:tcPr>
            <w:tcW w:w="1056" w:type="pct"/>
            <w:tcBorders>
              <w:top w:val="single" w:sz="4" w:space="0" w:color="auto"/>
              <w:left w:val="single" w:sz="4" w:space="0" w:color="auto"/>
              <w:bottom w:val="single" w:sz="4" w:space="0" w:color="auto"/>
              <w:right w:val="single" w:sz="4" w:space="0" w:color="auto"/>
            </w:tcBorders>
            <w:hideMark/>
          </w:tcPr>
          <w:p w14:paraId="5FD43248" w14:textId="77777777" w:rsidR="007603C2" w:rsidRPr="00E53FB1" w:rsidRDefault="007603C2" w:rsidP="00B42999">
            <w:pPr>
              <w:pStyle w:val="TableText0"/>
              <w:jc w:val="left"/>
              <w:rPr>
                <w:rFonts w:ascii="Times New Roman" w:hAnsi="Times New Roman" w:cs="Times New Roman"/>
              </w:rPr>
            </w:pPr>
            <w:r w:rsidRPr="00E53FB1">
              <w:rPr>
                <w:rFonts w:ascii="Times New Roman" w:hAnsi="Times New Roman" w:cs="Times New Roman"/>
              </w:rPr>
              <w:t>Software packages used</w:t>
            </w:r>
          </w:p>
        </w:tc>
        <w:tc>
          <w:tcPr>
            <w:tcW w:w="3944" w:type="pct"/>
            <w:tcBorders>
              <w:top w:val="single" w:sz="4" w:space="0" w:color="auto"/>
              <w:left w:val="single" w:sz="4" w:space="0" w:color="auto"/>
              <w:bottom w:val="single" w:sz="4" w:space="0" w:color="auto"/>
              <w:right w:val="single" w:sz="4" w:space="0" w:color="auto"/>
            </w:tcBorders>
          </w:tcPr>
          <w:p w14:paraId="5FD43249" w14:textId="77777777" w:rsidR="007603C2" w:rsidRPr="00E53FB1" w:rsidRDefault="007603C2" w:rsidP="00B42999">
            <w:pPr>
              <w:pStyle w:val="TableText0"/>
              <w:rPr>
                <w:rFonts w:ascii="Times New Roman" w:hAnsi="Times New Roman" w:cs="Times New Roman"/>
              </w:rPr>
            </w:pPr>
            <w:proofErr w:type="spellStart"/>
            <w:r w:rsidRPr="00E53FB1">
              <w:rPr>
                <w:rFonts w:ascii="Times New Roman" w:hAnsi="Times New Roman" w:cs="Times New Roman"/>
              </w:rPr>
              <w:t>TreeAge</w:t>
            </w:r>
            <w:proofErr w:type="spellEnd"/>
            <w:r w:rsidRPr="00E53FB1">
              <w:rPr>
                <w:rFonts w:ascii="Times New Roman" w:hAnsi="Times New Roman" w:cs="Times New Roman"/>
              </w:rPr>
              <w:t xml:space="preserve"> Pro 2009</w:t>
            </w:r>
          </w:p>
        </w:tc>
      </w:tr>
    </w:tbl>
    <w:p w14:paraId="5FD4324B" w14:textId="77777777" w:rsidR="007603C2" w:rsidRPr="00E53FB1" w:rsidRDefault="007603C2" w:rsidP="007603C2"/>
    <w:p w14:paraId="5FD4324C" w14:textId="77777777" w:rsidR="007603C2" w:rsidRPr="00E53FB1" w:rsidRDefault="005709FB" w:rsidP="007603C2">
      <w:r>
        <w:fldChar w:fldCharType="begin"/>
      </w:r>
      <w:r>
        <w:instrText xml:space="preserve"> REF _Ref469645832 \h </w:instrText>
      </w:r>
      <w:r>
        <w:fldChar w:fldCharType="separate"/>
      </w:r>
      <w:r w:rsidRPr="005709FB">
        <w:rPr>
          <w:sz w:val="22"/>
          <w:szCs w:val="22"/>
        </w:rPr>
        <w:t>Figure 1</w:t>
      </w:r>
      <w:r>
        <w:fldChar w:fldCharType="end"/>
      </w:r>
      <w:r w:rsidR="007603C2" w:rsidRPr="00E53FB1">
        <w:t xml:space="preserve"> shows how the model follows the key extrapolation assumptions over time. First patients respond to VNS or </w:t>
      </w:r>
      <w:r w:rsidR="007603C2">
        <w:t>n</w:t>
      </w:r>
      <w:r w:rsidR="007603C2" w:rsidRPr="00E53FB1">
        <w:t>o VNS</w:t>
      </w:r>
      <w:r w:rsidR="007603C2">
        <w:t xml:space="preserve"> over three months (data derived from the randomised trials)</w:t>
      </w:r>
      <w:r w:rsidR="007603C2" w:rsidRPr="00E53FB1">
        <w:t xml:space="preserve">, then there </w:t>
      </w:r>
      <w:r w:rsidR="001C6112">
        <w:t>wa</w:t>
      </w:r>
      <w:r w:rsidR="001C6112" w:rsidRPr="00E53FB1">
        <w:t xml:space="preserve">s </w:t>
      </w:r>
      <w:r w:rsidR="007603C2" w:rsidRPr="00E53FB1">
        <w:t xml:space="preserve">a gradual improvement in </w:t>
      </w:r>
      <w:r w:rsidR="007603C2">
        <w:t>the VNS arm of the model for a further 24</w:t>
      </w:r>
      <w:r>
        <w:t> </w:t>
      </w:r>
      <w:r w:rsidR="007603C2">
        <w:t>months (based on the longer-term single-arm studies),</w:t>
      </w:r>
      <w:r w:rsidR="007603C2" w:rsidRPr="00E53FB1">
        <w:t xml:space="preserve"> at which point the effect of </w:t>
      </w:r>
      <w:proofErr w:type="gramStart"/>
      <w:r w:rsidR="007603C2" w:rsidRPr="00E53FB1">
        <w:t xml:space="preserve">VNS </w:t>
      </w:r>
      <w:r>
        <w:t xml:space="preserve"> </w:t>
      </w:r>
      <w:r w:rsidR="007603C2" w:rsidRPr="00E53FB1">
        <w:t>stabilised</w:t>
      </w:r>
      <w:proofErr w:type="gramEnd"/>
      <w:r w:rsidR="007603C2" w:rsidRPr="00E53FB1">
        <w:t xml:space="preserve"> until the end of the model.</w:t>
      </w:r>
      <w:r w:rsidR="007603C2">
        <w:t xml:space="preserve"> Similarly, the proportion becoming seizure-free following VNS </w:t>
      </w:r>
      <w:r w:rsidR="001C6112">
        <w:t xml:space="preserve">increased </w:t>
      </w:r>
      <w:r w:rsidR="007603C2">
        <w:t>up to month 27,</w:t>
      </w:r>
      <w:r w:rsidR="007603C2" w:rsidRPr="00E53FB1">
        <w:t xml:space="preserve"> at which point the effect of VNS stabilised until the end of the model.</w:t>
      </w:r>
    </w:p>
    <w:p w14:paraId="5FD4324D" w14:textId="77777777" w:rsidR="007603C2" w:rsidRPr="0012531D" w:rsidRDefault="007603C2" w:rsidP="005709FB">
      <w:pPr>
        <w:pStyle w:val="Caption"/>
        <w:rPr>
          <w:rFonts w:ascii="Times New Roman" w:hAnsi="Times New Roman" w:cs="Times New Roman"/>
          <w:sz w:val="22"/>
          <w:szCs w:val="22"/>
        </w:rPr>
      </w:pPr>
      <w:r w:rsidRPr="0012531D">
        <w:rPr>
          <w:rFonts w:ascii="Times New Roman" w:hAnsi="Times New Roman" w:cs="Times New Roman"/>
          <w:sz w:val="22"/>
          <w:szCs w:val="22"/>
        </w:rPr>
        <w:tab/>
      </w:r>
    </w:p>
    <w:p w14:paraId="5FD4324E" w14:textId="77777777" w:rsidR="005709FB" w:rsidRDefault="005709FB">
      <w:pPr>
        <w:rPr>
          <w:b/>
          <w:bCs/>
          <w:iCs/>
          <w:sz w:val="22"/>
          <w:szCs w:val="22"/>
          <w:lang w:eastAsia="en-US"/>
        </w:rPr>
      </w:pPr>
      <w:bookmarkStart w:id="9" w:name="_Ref469645832"/>
      <w:r>
        <w:rPr>
          <w:sz w:val="22"/>
          <w:szCs w:val="22"/>
        </w:rPr>
        <w:br w:type="page"/>
      </w:r>
    </w:p>
    <w:p w14:paraId="5FD4324F" w14:textId="77777777" w:rsidR="005709FB" w:rsidRDefault="005709FB" w:rsidP="005709FB">
      <w:pPr>
        <w:pStyle w:val="Caption"/>
        <w:ind w:left="1440" w:hanging="1440"/>
      </w:pPr>
      <w:r w:rsidRPr="005709FB">
        <w:rPr>
          <w:rFonts w:ascii="Times New Roman" w:hAnsi="Times New Roman" w:cs="Times New Roman"/>
          <w:sz w:val="22"/>
          <w:szCs w:val="22"/>
        </w:rPr>
        <w:lastRenderedPageBreak/>
        <w:t xml:space="preserve">Figure </w:t>
      </w:r>
      <w:r w:rsidRPr="005709FB">
        <w:rPr>
          <w:rFonts w:ascii="Times New Roman" w:hAnsi="Times New Roman" w:cs="Times New Roman"/>
          <w:sz w:val="22"/>
          <w:szCs w:val="22"/>
        </w:rPr>
        <w:fldChar w:fldCharType="begin"/>
      </w:r>
      <w:r w:rsidRPr="005709FB">
        <w:rPr>
          <w:rFonts w:ascii="Times New Roman" w:hAnsi="Times New Roman" w:cs="Times New Roman"/>
          <w:sz w:val="22"/>
          <w:szCs w:val="22"/>
        </w:rPr>
        <w:instrText xml:space="preserve"> SEQ Figure \* ARABIC </w:instrText>
      </w:r>
      <w:r w:rsidRPr="005709FB">
        <w:rPr>
          <w:rFonts w:ascii="Times New Roman" w:hAnsi="Times New Roman" w:cs="Times New Roman"/>
          <w:sz w:val="22"/>
          <w:szCs w:val="22"/>
        </w:rPr>
        <w:fldChar w:fldCharType="separate"/>
      </w:r>
      <w:r w:rsidRPr="005709FB">
        <w:rPr>
          <w:rFonts w:ascii="Times New Roman" w:hAnsi="Times New Roman" w:cs="Times New Roman"/>
          <w:sz w:val="22"/>
          <w:szCs w:val="22"/>
        </w:rPr>
        <w:t>1</w:t>
      </w:r>
      <w:r w:rsidRPr="005709FB">
        <w:rPr>
          <w:rFonts w:ascii="Times New Roman" w:hAnsi="Times New Roman" w:cs="Times New Roman"/>
          <w:sz w:val="22"/>
          <w:szCs w:val="22"/>
        </w:rPr>
        <w:fldChar w:fldCharType="end"/>
      </w:r>
      <w:bookmarkEnd w:id="9"/>
      <w:r w:rsidRPr="005709FB">
        <w:rPr>
          <w:rFonts w:ascii="Times New Roman" w:hAnsi="Times New Roman" w:cs="Times New Roman"/>
          <w:sz w:val="22"/>
          <w:szCs w:val="22"/>
        </w:rPr>
        <w:t xml:space="preserve"> </w:t>
      </w:r>
      <w:r w:rsidRPr="005709FB">
        <w:rPr>
          <w:rFonts w:ascii="Times New Roman" w:hAnsi="Times New Roman" w:cs="Times New Roman"/>
          <w:sz w:val="22"/>
          <w:szCs w:val="22"/>
        </w:rPr>
        <w:tab/>
      </w:r>
      <w:r w:rsidRPr="0012531D">
        <w:rPr>
          <w:rFonts w:ascii="Times New Roman" w:hAnsi="Times New Roman" w:cs="Times New Roman"/>
          <w:sz w:val="22"/>
          <w:szCs w:val="22"/>
        </w:rPr>
        <w:t xml:space="preserve">Proportion of patients with </w:t>
      </w:r>
      <w:r>
        <w:rPr>
          <w:rFonts w:ascii="Times New Roman" w:hAnsi="Times New Roman" w:cs="Times New Roman"/>
          <w:sz w:val="22"/>
          <w:szCs w:val="22"/>
        </w:rPr>
        <w:t xml:space="preserve">a </w:t>
      </w:r>
      <w:r w:rsidRPr="0012531D">
        <w:rPr>
          <w:rFonts w:ascii="Times New Roman" w:hAnsi="Times New Roman" w:cs="Times New Roman"/>
          <w:sz w:val="22"/>
          <w:szCs w:val="22"/>
        </w:rPr>
        <w:t xml:space="preserve">response and </w:t>
      </w:r>
      <w:r>
        <w:rPr>
          <w:rFonts w:ascii="Times New Roman" w:hAnsi="Times New Roman" w:cs="Times New Roman"/>
          <w:sz w:val="22"/>
          <w:szCs w:val="22"/>
        </w:rPr>
        <w:t xml:space="preserve">being </w:t>
      </w:r>
      <w:r w:rsidRPr="0012531D">
        <w:rPr>
          <w:rFonts w:ascii="Times New Roman" w:hAnsi="Times New Roman" w:cs="Times New Roman"/>
          <w:sz w:val="22"/>
          <w:szCs w:val="22"/>
        </w:rPr>
        <w:t>seizure free over time in the economic model</w:t>
      </w:r>
    </w:p>
    <w:p w14:paraId="5FD43250" w14:textId="77777777" w:rsidR="007603C2" w:rsidRPr="00E53FB1" w:rsidRDefault="007603C2" w:rsidP="007603C2">
      <w:r w:rsidRPr="00E53FB1">
        <w:rPr>
          <w:noProof/>
        </w:rPr>
        <w:drawing>
          <wp:inline distT="0" distB="0" distL="0" distR="0" wp14:anchorId="5FD432CD" wp14:editId="5FD432CE">
            <wp:extent cx="4057650" cy="2852408"/>
            <wp:effectExtent l="0" t="0" r="0" b="5715"/>
            <wp:docPr id="1" name="Picture 1" descr="Figure 1 - Proportion of patients with a response and being seizure free over time in the economic model" title="Figure 1 - Proportion of patients with a response and being seizure free over time in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71131" cy="2861885"/>
                    </a:xfrm>
                    <a:prstGeom prst="rect">
                      <a:avLst/>
                    </a:prstGeom>
                    <a:noFill/>
                  </pic:spPr>
                </pic:pic>
              </a:graphicData>
            </a:graphic>
          </wp:inline>
        </w:drawing>
      </w:r>
    </w:p>
    <w:p w14:paraId="5FD43251" w14:textId="77777777" w:rsidR="007603C2" w:rsidRDefault="007603C2" w:rsidP="007603C2">
      <w:pPr>
        <w:pStyle w:val="Tablefootnote"/>
        <w:rPr>
          <w:rFonts w:ascii="Times New Roman" w:hAnsi="Times New Roman" w:cs="Times New Roman"/>
          <w:sz w:val="18"/>
          <w:szCs w:val="18"/>
          <w:lang w:val="en-AU"/>
        </w:rPr>
      </w:pPr>
      <w:r w:rsidRPr="00DB4D8B">
        <w:rPr>
          <w:rFonts w:ascii="Times New Roman" w:hAnsi="Times New Roman" w:cs="Times New Roman"/>
          <w:sz w:val="18"/>
          <w:szCs w:val="18"/>
          <w:lang w:val="en-AU"/>
        </w:rPr>
        <w:t>“Responders” are those patients not in the worst health state, ie: all patients with 9 or fewer seizures per month</w:t>
      </w:r>
    </w:p>
    <w:p w14:paraId="5FD43252" w14:textId="77777777" w:rsidR="007603C2" w:rsidRPr="005709FB" w:rsidRDefault="007603C2" w:rsidP="005709FB">
      <w:pPr>
        <w:pStyle w:val="Tablefootnote"/>
        <w:rPr>
          <w:rFonts w:ascii="Times New Roman" w:hAnsi="Times New Roman" w:cs="Times New Roman"/>
          <w:sz w:val="18"/>
          <w:szCs w:val="18"/>
          <w:lang w:val="en-AU"/>
        </w:rPr>
      </w:pPr>
      <w:r>
        <w:rPr>
          <w:rFonts w:ascii="Times New Roman" w:hAnsi="Times New Roman" w:cs="Times New Roman"/>
          <w:sz w:val="18"/>
          <w:szCs w:val="18"/>
          <w:lang w:val="en-AU"/>
        </w:rPr>
        <w:t>SF = seiazure-free</w:t>
      </w:r>
    </w:p>
    <w:p w14:paraId="5FD43253" w14:textId="77777777" w:rsidR="007603C2" w:rsidRDefault="007603C2" w:rsidP="007603C2">
      <w:pPr>
        <w:pStyle w:val="ExecSummText"/>
        <w:spacing w:after="0"/>
        <w:rPr>
          <w:rFonts w:ascii="Times New Roman" w:hAnsi="Times New Roman" w:cs="Times New Roman"/>
          <w:sz w:val="24"/>
        </w:rPr>
      </w:pPr>
      <w:r w:rsidRPr="00E53FB1">
        <w:rPr>
          <w:rFonts w:ascii="Times New Roman" w:hAnsi="Times New Roman" w:cs="Times New Roman"/>
          <w:sz w:val="24"/>
        </w:rPr>
        <w:t xml:space="preserve">The incremental cost per QALY gained of VNS therapy estimated over the five-year period of the economic model </w:t>
      </w:r>
      <w:r w:rsidR="001C6112">
        <w:rPr>
          <w:rFonts w:ascii="Times New Roman" w:hAnsi="Times New Roman" w:cs="Times New Roman"/>
          <w:sz w:val="24"/>
        </w:rPr>
        <w:t>wa</w:t>
      </w:r>
      <w:r w:rsidR="001C6112" w:rsidRPr="00E53FB1">
        <w:rPr>
          <w:rFonts w:ascii="Times New Roman" w:hAnsi="Times New Roman" w:cs="Times New Roman"/>
          <w:sz w:val="24"/>
        </w:rPr>
        <w:t xml:space="preserve">s </w:t>
      </w:r>
      <w:r w:rsidRPr="00E53FB1">
        <w:rPr>
          <w:rFonts w:ascii="Times New Roman" w:hAnsi="Times New Roman" w:cs="Times New Roman"/>
          <w:sz w:val="24"/>
        </w:rPr>
        <w:t xml:space="preserve">$59,741. The incremental cost per seizure avoided </w:t>
      </w:r>
      <w:r w:rsidR="001C6112">
        <w:rPr>
          <w:rFonts w:ascii="Times New Roman" w:hAnsi="Times New Roman" w:cs="Times New Roman"/>
          <w:sz w:val="24"/>
        </w:rPr>
        <w:t>wa</w:t>
      </w:r>
      <w:r w:rsidR="001C6112" w:rsidRPr="00E53FB1">
        <w:rPr>
          <w:rFonts w:ascii="Times New Roman" w:hAnsi="Times New Roman" w:cs="Times New Roman"/>
          <w:sz w:val="24"/>
        </w:rPr>
        <w:t xml:space="preserve">s </w:t>
      </w:r>
      <w:r w:rsidRPr="00E53FB1">
        <w:rPr>
          <w:rFonts w:ascii="Times New Roman" w:hAnsi="Times New Roman" w:cs="Times New Roman"/>
          <w:sz w:val="24"/>
        </w:rPr>
        <w:t>$21 (</w:t>
      </w:r>
      <w:r w:rsidR="005709FB">
        <w:rPr>
          <w:rFonts w:ascii="Times New Roman" w:hAnsi="Times New Roman" w:cs="Times New Roman"/>
          <w:sz w:val="24"/>
        </w:rPr>
        <w:fldChar w:fldCharType="begin"/>
      </w:r>
      <w:r w:rsidR="005709FB">
        <w:rPr>
          <w:rFonts w:ascii="Times New Roman" w:hAnsi="Times New Roman" w:cs="Times New Roman"/>
          <w:sz w:val="24"/>
        </w:rPr>
        <w:instrText xml:space="preserve"> REF _Ref469645990 \h  \* MERGEFORMAT </w:instrText>
      </w:r>
      <w:r w:rsidR="005709FB">
        <w:rPr>
          <w:rFonts w:ascii="Times New Roman" w:hAnsi="Times New Roman" w:cs="Times New Roman"/>
          <w:sz w:val="24"/>
        </w:rPr>
      </w:r>
      <w:r w:rsidR="005709FB">
        <w:rPr>
          <w:rFonts w:ascii="Times New Roman" w:hAnsi="Times New Roman" w:cs="Times New Roman"/>
          <w:sz w:val="24"/>
        </w:rPr>
        <w:fldChar w:fldCharType="separate"/>
      </w:r>
      <w:r w:rsidR="005709FB" w:rsidRPr="005709FB">
        <w:rPr>
          <w:rFonts w:ascii="Times New Roman" w:hAnsi="Times New Roman" w:cs="Times New Roman"/>
          <w:sz w:val="24"/>
        </w:rPr>
        <w:t>Table 5</w:t>
      </w:r>
      <w:r w:rsidR="005709FB">
        <w:rPr>
          <w:rFonts w:ascii="Times New Roman" w:hAnsi="Times New Roman" w:cs="Times New Roman"/>
          <w:sz w:val="24"/>
        </w:rPr>
        <w:fldChar w:fldCharType="end"/>
      </w:r>
      <w:r w:rsidRPr="00E53FB1">
        <w:rPr>
          <w:rFonts w:ascii="Times New Roman" w:hAnsi="Times New Roman" w:cs="Times New Roman"/>
          <w:sz w:val="24"/>
        </w:rPr>
        <w:t>).</w:t>
      </w:r>
    </w:p>
    <w:p w14:paraId="5FD43254" w14:textId="77777777" w:rsidR="007603C2" w:rsidRPr="00E53FB1" w:rsidRDefault="007603C2" w:rsidP="007603C2">
      <w:pPr>
        <w:pStyle w:val="ExecSummText"/>
        <w:spacing w:after="0"/>
        <w:rPr>
          <w:rFonts w:ascii="Times New Roman" w:hAnsi="Times New Roman" w:cs="Times New Roman"/>
          <w:sz w:val="24"/>
        </w:rPr>
      </w:pPr>
    </w:p>
    <w:p w14:paraId="5FD43255" w14:textId="77777777" w:rsidR="007603C2" w:rsidRPr="00E53FB1" w:rsidRDefault="005709FB" w:rsidP="005709FB">
      <w:pPr>
        <w:pStyle w:val="Caption"/>
        <w:rPr>
          <w:rFonts w:ascii="Times New Roman" w:hAnsi="Times New Roman" w:cs="Times New Roman"/>
          <w:sz w:val="22"/>
        </w:rPr>
      </w:pPr>
      <w:bookmarkStart w:id="10" w:name="_Ref469645990"/>
      <w:r w:rsidRPr="005709FB">
        <w:rPr>
          <w:rFonts w:ascii="Times New Roman" w:hAnsi="Times New Roman" w:cs="Times New Roman"/>
          <w:sz w:val="22"/>
        </w:rPr>
        <w:t xml:space="preserve">Table </w:t>
      </w:r>
      <w:r w:rsidRPr="005709FB">
        <w:rPr>
          <w:rFonts w:ascii="Times New Roman" w:hAnsi="Times New Roman" w:cs="Times New Roman"/>
          <w:sz w:val="22"/>
        </w:rPr>
        <w:fldChar w:fldCharType="begin"/>
      </w:r>
      <w:r w:rsidRPr="005709FB">
        <w:rPr>
          <w:rFonts w:ascii="Times New Roman" w:hAnsi="Times New Roman" w:cs="Times New Roman"/>
          <w:sz w:val="22"/>
        </w:rPr>
        <w:instrText xml:space="preserve"> SEQ Table \* ARABIC </w:instrText>
      </w:r>
      <w:r w:rsidRPr="005709FB">
        <w:rPr>
          <w:rFonts w:ascii="Times New Roman" w:hAnsi="Times New Roman" w:cs="Times New Roman"/>
          <w:sz w:val="22"/>
        </w:rPr>
        <w:fldChar w:fldCharType="separate"/>
      </w:r>
      <w:r>
        <w:rPr>
          <w:rFonts w:ascii="Times New Roman" w:hAnsi="Times New Roman" w:cs="Times New Roman"/>
          <w:noProof/>
          <w:sz w:val="22"/>
        </w:rPr>
        <w:t>5</w:t>
      </w:r>
      <w:r w:rsidRPr="005709FB">
        <w:rPr>
          <w:rFonts w:ascii="Times New Roman" w:hAnsi="Times New Roman" w:cs="Times New Roman"/>
          <w:sz w:val="22"/>
        </w:rPr>
        <w:fldChar w:fldCharType="end"/>
      </w:r>
      <w:bookmarkEnd w:id="10"/>
      <w:r w:rsidRPr="00E53FB1">
        <w:rPr>
          <w:rFonts w:ascii="Times New Roman" w:hAnsi="Times New Roman" w:cs="Times New Roman"/>
          <w:sz w:val="22"/>
        </w:rPr>
        <w:tab/>
      </w:r>
      <w:r>
        <w:rPr>
          <w:rFonts w:ascii="Times New Roman" w:hAnsi="Times New Roman" w:cs="Times New Roman"/>
          <w:sz w:val="22"/>
        </w:rPr>
        <w:tab/>
      </w:r>
      <w:r w:rsidRPr="00E53FB1">
        <w:rPr>
          <w:rFonts w:ascii="Times New Roman" w:hAnsi="Times New Roman" w:cs="Times New Roman"/>
          <w:sz w:val="22"/>
        </w:rPr>
        <w:t xml:space="preserve">Base </w:t>
      </w:r>
      <w:r>
        <w:rPr>
          <w:rFonts w:ascii="Times New Roman" w:hAnsi="Times New Roman" w:cs="Times New Roman"/>
          <w:sz w:val="22"/>
        </w:rPr>
        <w:t>c</w:t>
      </w:r>
      <w:r w:rsidRPr="00E53FB1">
        <w:rPr>
          <w:rFonts w:ascii="Times New Roman" w:hAnsi="Times New Roman" w:cs="Times New Roman"/>
          <w:sz w:val="22"/>
        </w:rPr>
        <w:t xml:space="preserve">ase </w:t>
      </w:r>
      <w:r>
        <w:rPr>
          <w:rFonts w:ascii="Times New Roman" w:hAnsi="Times New Roman" w:cs="Times New Roman"/>
          <w:sz w:val="22"/>
        </w:rPr>
        <w:t>m</w:t>
      </w:r>
      <w:r w:rsidRPr="00E53FB1">
        <w:rPr>
          <w:rFonts w:ascii="Times New Roman" w:hAnsi="Times New Roman" w:cs="Times New Roman"/>
          <w:sz w:val="22"/>
        </w:rPr>
        <w:t>odel results</w:t>
      </w:r>
      <w:r>
        <w:rPr>
          <w:rFonts w:ascii="Times New Roman" w:hAnsi="Times New Roman" w:cs="Times New Roman"/>
          <w:sz w:val="22"/>
        </w:rPr>
        <w:t xml:space="preserve"> – 5-</w:t>
      </w:r>
      <w:r w:rsidRPr="00E53FB1">
        <w:rPr>
          <w:rFonts w:ascii="Times New Roman" w:hAnsi="Times New Roman" w:cs="Times New Roman"/>
          <w:sz w:val="22"/>
        </w:rPr>
        <w:t>y</w:t>
      </w:r>
      <w:r>
        <w:rPr>
          <w:rFonts w:ascii="Times New Roman" w:hAnsi="Times New Roman" w:cs="Times New Roman"/>
          <w:sz w:val="22"/>
        </w:rPr>
        <w:t>ea</w:t>
      </w:r>
      <w:r w:rsidRPr="00E53FB1">
        <w:rPr>
          <w:rFonts w:ascii="Times New Roman" w:hAnsi="Times New Roman" w:cs="Times New Roman"/>
          <w:sz w:val="22"/>
        </w:rPr>
        <w:t xml:space="preserve">r period: </w:t>
      </w:r>
      <w:r>
        <w:rPr>
          <w:rFonts w:ascii="Times New Roman" w:hAnsi="Times New Roman" w:cs="Times New Roman"/>
          <w:sz w:val="22"/>
        </w:rPr>
        <w:t>i</w:t>
      </w:r>
      <w:r w:rsidRPr="00E53FB1">
        <w:rPr>
          <w:rFonts w:ascii="Times New Roman" w:hAnsi="Times New Roman" w:cs="Times New Roman"/>
          <w:sz w:val="22"/>
        </w:rPr>
        <w:t>ncremental cost-effectiveness of VNS therapy estimated by the economic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2030"/>
        <w:gridCol w:w="2033"/>
        <w:gridCol w:w="2031"/>
      </w:tblGrid>
      <w:tr w:rsidR="007603C2" w:rsidRPr="00E53FB1" w14:paraId="5FD4325A" w14:textId="77777777" w:rsidTr="00B42999">
        <w:trPr>
          <w:trHeight w:val="254"/>
        </w:trPr>
        <w:tc>
          <w:tcPr>
            <w:tcW w:w="1703" w:type="pct"/>
          </w:tcPr>
          <w:p w14:paraId="5FD43256" w14:textId="77777777" w:rsidR="007603C2" w:rsidRPr="006A417E" w:rsidRDefault="007603C2" w:rsidP="00B42999">
            <w:pPr>
              <w:pStyle w:val="Tablehead"/>
              <w:rPr>
                <w:rFonts w:ascii="Times New Roman" w:hAnsi="Times New Roman"/>
                <w:sz w:val="20"/>
              </w:rPr>
            </w:pPr>
            <w:r w:rsidRPr="006A417E">
              <w:rPr>
                <w:rFonts w:ascii="Times New Roman" w:hAnsi="Times New Roman"/>
                <w:sz w:val="20"/>
              </w:rPr>
              <w:t>Item</w:t>
            </w:r>
          </w:p>
        </w:tc>
        <w:tc>
          <w:tcPr>
            <w:tcW w:w="1098" w:type="pct"/>
          </w:tcPr>
          <w:p w14:paraId="5FD43257" w14:textId="77777777" w:rsidR="007603C2" w:rsidRPr="006A417E" w:rsidRDefault="007603C2" w:rsidP="00B42999">
            <w:pPr>
              <w:pStyle w:val="Tablehead"/>
              <w:jc w:val="center"/>
              <w:rPr>
                <w:rFonts w:ascii="Times New Roman" w:hAnsi="Times New Roman"/>
                <w:sz w:val="20"/>
              </w:rPr>
            </w:pPr>
            <w:r w:rsidRPr="006A417E">
              <w:rPr>
                <w:rFonts w:ascii="Times New Roman" w:hAnsi="Times New Roman"/>
                <w:sz w:val="20"/>
              </w:rPr>
              <w:t>VNS</w:t>
            </w:r>
          </w:p>
        </w:tc>
        <w:tc>
          <w:tcPr>
            <w:tcW w:w="1100" w:type="pct"/>
          </w:tcPr>
          <w:p w14:paraId="5FD43258" w14:textId="77777777" w:rsidR="007603C2" w:rsidRPr="006A417E" w:rsidRDefault="007603C2" w:rsidP="00B42999">
            <w:pPr>
              <w:pStyle w:val="Tablehead"/>
              <w:jc w:val="center"/>
              <w:rPr>
                <w:rFonts w:ascii="Times New Roman" w:hAnsi="Times New Roman"/>
                <w:sz w:val="20"/>
              </w:rPr>
            </w:pPr>
            <w:r w:rsidRPr="006A417E">
              <w:rPr>
                <w:rFonts w:ascii="Times New Roman" w:hAnsi="Times New Roman"/>
                <w:sz w:val="20"/>
              </w:rPr>
              <w:t>No VNS</w:t>
            </w:r>
          </w:p>
        </w:tc>
        <w:tc>
          <w:tcPr>
            <w:tcW w:w="1099" w:type="pct"/>
          </w:tcPr>
          <w:p w14:paraId="5FD43259" w14:textId="77777777" w:rsidR="007603C2" w:rsidRPr="006A417E" w:rsidRDefault="007603C2" w:rsidP="00B42999">
            <w:pPr>
              <w:pStyle w:val="Tablehead"/>
              <w:jc w:val="center"/>
              <w:rPr>
                <w:rFonts w:ascii="Times New Roman" w:hAnsi="Times New Roman"/>
                <w:sz w:val="20"/>
              </w:rPr>
            </w:pPr>
            <w:r w:rsidRPr="006A417E">
              <w:rPr>
                <w:rFonts w:ascii="Times New Roman" w:hAnsi="Times New Roman"/>
                <w:sz w:val="20"/>
              </w:rPr>
              <w:t>Difference</w:t>
            </w:r>
          </w:p>
        </w:tc>
      </w:tr>
      <w:tr w:rsidR="007603C2" w:rsidRPr="00E53FB1" w14:paraId="5FD4325F" w14:textId="77777777" w:rsidTr="00B42999">
        <w:trPr>
          <w:trHeight w:val="254"/>
        </w:trPr>
        <w:tc>
          <w:tcPr>
            <w:tcW w:w="1703" w:type="pct"/>
          </w:tcPr>
          <w:p w14:paraId="5FD4325B" w14:textId="77777777" w:rsidR="007603C2" w:rsidRPr="00E53FB1" w:rsidRDefault="007603C2" w:rsidP="00B42999">
            <w:pPr>
              <w:pStyle w:val="Tabletext"/>
              <w:rPr>
                <w:rFonts w:ascii="Times New Roman" w:hAnsi="Times New Roman"/>
              </w:rPr>
            </w:pPr>
            <w:r w:rsidRPr="00E53FB1">
              <w:rPr>
                <w:rFonts w:ascii="Times New Roman" w:hAnsi="Times New Roman"/>
              </w:rPr>
              <w:t>Cost</w:t>
            </w:r>
          </w:p>
        </w:tc>
        <w:tc>
          <w:tcPr>
            <w:tcW w:w="1098" w:type="pct"/>
          </w:tcPr>
          <w:p w14:paraId="5FD4325C" w14:textId="77777777" w:rsidR="007603C2" w:rsidRPr="00E53FB1" w:rsidRDefault="007603C2" w:rsidP="00B42999">
            <w:pPr>
              <w:pStyle w:val="Tabletext"/>
              <w:jc w:val="center"/>
              <w:rPr>
                <w:rFonts w:ascii="Times New Roman" w:hAnsi="Times New Roman"/>
              </w:rPr>
            </w:pPr>
            <w:r w:rsidRPr="00E53FB1">
              <w:rPr>
                <w:rFonts w:ascii="Times New Roman" w:hAnsi="Times New Roman"/>
              </w:rPr>
              <w:t>$65,180</w:t>
            </w:r>
          </w:p>
        </w:tc>
        <w:tc>
          <w:tcPr>
            <w:tcW w:w="1100" w:type="pct"/>
          </w:tcPr>
          <w:p w14:paraId="5FD4325D" w14:textId="77777777" w:rsidR="007603C2" w:rsidRPr="00E53FB1" w:rsidRDefault="007603C2" w:rsidP="00B42999">
            <w:pPr>
              <w:pStyle w:val="Tabletext"/>
              <w:jc w:val="center"/>
              <w:rPr>
                <w:rFonts w:ascii="Times New Roman" w:hAnsi="Times New Roman"/>
              </w:rPr>
            </w:pPr>
            <w:r w:rsidRPr="00E53FB1">
              <w:rPr>
                <w:rFonts w:ascii="Times New Roman" w:hAnsi="Times New Roman"/>
              </w:rPr>
              <w:t>$55,288</w:t>
            </w:r>
          </w:p>
        </w:tc>
        <w:tc>
          <w:tcPr>
            <w:tcW w:w="1099" w:type="pct"/>
          </w:tcPr>
          <w:p w14:paraId="5FD4325E" w14:textId="77777777" w:rsidR="007603C2" w:rsidRPr="00E53FB1" w:rsidRDefault="007603C2" w:rsidP="00B42999">
            <w:pPr>
              <w:pStyle w:val="Tabletext"/>
              <w:jc w:val="center"/>
              <w:rPr>
                <w:rFonts w:ascii="Times New Roman" w:hAnsi="Times New Roman"/>
              </w:rPr>
            </w:pPr>
            <w:r w:rsidRPr="00E53FB1">
              <w:rPr>
                <w:rFonts w:ascii="Times New Roman" w:hAnsi="Times New Roman"/>
              </w:rPr>
              <w:t>$9,893</w:t>
            </w:r>
          </w:p>
        </w:tc>
      </w:tr>
      <w:tr w:rsidR="007603C2" w:rsidRPr="00E53FB1" w14:paraId="5FD43264" w14:textId="77777777" w:rsidTr="00B42999">
        <w:trPr>
          <w:trHeight w:val="266"/>
        </w:trPr>
        <w:tc>
          <w:tcPr>
            <w:tcW w:w="1703" w:type="pct"/>
          </w:tcPr>
          <w:p w14:paraId="5FD43260" w14:textId="77777777" w:rsidR="007603C2" w:rsidRPr="00E53FB1" w:rsidRDefault="007603C2" w:rsidP="00B42999">
            <w:pPr>
              <w:pStyle w:val="Tabletext"/>
              <w:rPr>
                <w:rFonts w:ascii="Times New Roman" w:hAnsi="Times New Roman"/>
              </w:rPr>
            </w:pPr>
            <w:r w:rsidRPr="00E53FB1">
              <w:rPr>
                <w:rFonts w:ascii="Times New Roman" w:hAnsi="Times New Roman"/>
              </w:rPr>
              <w:t>Seizures</w:t>
            </w:r>
          </w:p>
        </w:tc>
        <w:tc>
          <w:tcPr>
            <w:tcW w:w="1098" w:type="pct"/>
          </w:tcPr>
          <w:p w14:paraId="5FD43261" w14:textId="77777777" w:rsidR="007603C2" w:rsidRPr="00E53FB1" w:rsidRDefault="007603C2" w:rsidP="00B42999">
            <w:pPr>
              <w:pStyle w:val="Tabletext"/>
              <w:jc w:val="center"/>
              <w:rPr>
                <w:rFonts w:ascii="Times New Roman" w:hAnsi="Times New Roman"/>
              </w:rPr>
            </w:pPr>
            <w:r w:rsidRPr="00E53FB1">
              <w:rPr>
                <w:rFonts w:ascii="Times New Roman" w:hAnsi="Times New Roman"/>
              </w:rPr>
              <w:t>1,214</w:t>
            </w:r>
          </w:p>
        </w:tc>
        <w:tc>
          <w:tcPr>
            <w:tcW w:w="1100" w:type="pct"/>
          </w:tcPr>
          <w:p w14:paraId="5FD43262" w14:textId="77777777" w:rsidR="007603C2" w:rsidRPr="00E53FB1" w:rsidRDefault="007603C2" w:rsidP="00B42999">
            <w:pPr>
              <w:pStyle w:val="Tabletext"/>
              <w:jc w:val="center"/>
              <w:rPr>
                <w:rFonts w:ascii="Times New Roman" w:hAnsi="Times New Roman"/>
              </w:rPr>
            </w:pPr>
            <w:r w:rsidRPr="00E53FB1">
              <w:rPr>
                <w:rFonts w:ascii="Times New Roman" w:hAnsi="Times New Roman"/>
              </w:rPr>
              <w:t>1,689</w:t>
            </w:r>
          </w:p>
        </w:tc>
        <w:tc>
          <w:tcPr>
            <w:tcW w:w="1099" w:type="pct"/>
          </w:tcPr>
          <w:p w14:paraId="5FD43263" w14:textId="77777777" w:rsidR="007603C2" w:rsidRPr="00E53FB1" w:rsidRDefault="007603C2" w:rsidP="00B42999">
            <w:pPr>
              <w:pStyle w:val="Tabletext"/>
              <w:jc w:val="center"/>
              <w:rPr>
                <w:rFonts w:ascii="Times New Roman" w:hAnsi="Times New Roman"/>
              </w:rPr>
            </w:pPr>
            <w:r w:rsidRPr="00E53FB1">
              <w:rPr>
                <w:rFonts w:ascii="Times New Roman" w:hAnsi="Times New Roman"/>
              </w:rPr>
              <w:t>-475</w:t>
            </w:r>
          </w:p>
        </w:tc>
      </w:tr>
      <w:tr w:rsidR="007603C2" w:rsidRPr="00E53FB1" w14:paraId="5FD43269" w14:textId="77777777" w:rsidTr="00B42999">
        <w:trPr>
          <w:trHeight w:val="254"/>
        </w:trPr>
        <w:tc>
          <w:tcPr>
            <w:tcW w:w="1703" w:type="pct"/>
          </w:tcPr>
          <w:p w14:paraId="5FD43265" w14:textId="77777777" w:rsidR="007603C2" w:rsidRPr="00E53FB1" w:rsidRDefault="007603C2" w:rsidP="00B42999">
            <w:pPr>
              <w:pStyle w:val="Tabletext"/>
              <w:rPr>
                <w:rFonts w:ascii="Times New Roman" w:hAnsi="Times New Roman"/>
              </w:rPr>
            </w:pPr>
            <w:r w:rsidRPr="00E53FB1">
              <w:rPr>
                <w:rFonts w:ascii="Times New Roman" w:hAnsi="Times New Roman"/>
              </w:rPr>
              <w:t>QALYs</w:t>
            </w:r>
          </w:p>
        </w:tc>
        <w:tc>
          <w:tcPr>
            <w:tcW w:w="1098" w:type="pct"/>
            <w:tcBorders>
              <w:bottom w:val="single" w:sz="4" w:space="0" w:color="auto"/>
            </w:tcBorders>
          </w:tcPr>
          <w:p w14:paraId="5FD43266" w14:textId="77777777" w:rsidR="007603C2" w:rsidRPr="00E53FB1" w:rsidRDefault="007603C2" w:rsidP="00B42999">
            <w:pPr>
              <w:pStyle w:val="Tabletext"/>
              <w:jc w:val="center"/>
              <w:rPr>
                <w:rFonts w:ascii="Times New Roman" w:hAnsi="Times New Roman"/>
              </w:rPr>
            </w:pPr>
            <w:r w:rsidRPr="00E53FB1">
              <w:rPr>
                <w:rFonts w:ascii="Times New Roman" w:hAnsi="Times New Roman"/>
              </w:rPr>
              <w:t>3.2610</w:t>
            </w:r>
          </w:p>
        </w:tc>
        <w:tc>
          <w:tcPr>
            <w:tcW w:w="1100" w:type="pct"/>
            <w:tcBorders>
              <w:bottom w:val="single" w:sz="4" w:space="0" w:color="auto"/>
            </w:tcBorders>
          </w:tcPr>
          <w:p w14:paraId="5FD43267" w14:textId="77777777" w:rsidR="007603C2" w:rsidRPr="00E53FB1" w:rsidRDefault="007603C2" w:rsidP="00B42999">
            <w:pPr>
              <w:pStyle w:val="Tabletext"/>
              <w:jc w:val="center"/>
              <w:rPr>
                <w:rFonts w:ascii="Times New Roman" w:hAnsi="Times New Roman"/>
              </w:rPr>
            </w:pPr>
            <w:r w:rsidRPr="00E53FB1">
              <w:rPr>
                <w:rFonts w:ascii="Times New Roman" w:hAnsi="Times New Roman"/>
              </w:rPr>
              <w:t>3.0954</w:t>
            </w:r>
          </w:p>
        </w:tc>
        <w:tc>
          <w:tcPr>
            <w:tcW w:w="1099" w:type="pct"/>
            <w:tcBorders>
              <w:bottom w:val="single" w:sz="4" w:space="0" w:color="auto"/>
            </w:tcBorders>
          </w:tcPr>
          <w:p w14:paraId="5FD43268" w14:textId="77777777" w:rsidR="007603C2" w:rsidRPr="00E53FB1" w:rsidRDefault="007603C2" w:rsidP="00B42999">
            <w:pPr>
              <w:pStyle w:val="Tabletext"/>
              <w:jc w:val="center"/>
              <w:rPr>
                <w:rFonts w:ascii="Times New Roman" w:hAnsi="Times New Roman"/>
              </w:rPr>
            </w:pPr>
            <w:r w:rsidRPr="00E53FB1">
              <w:rPr>
                <w:rFonts w:ascii="Times New Roman" w:hAnsi="Times New Roman"/>
              </w:rPr>
              <w:t>0.1656</w:t>
            </w:r>
          </w:p>
        </w:tc>
      </w:tr>
      <w:tr w:rsidR="007603C2" w:rsidRPr="00E53FB1" w14:paraId="5FD4326C" w14:textId="77777777" w:rsidTr="00B42999">
        <w:trPr>
          <w:trHeight w:val="266"/>
        </w:trPr>
        <w:tc>
          <w:tcPr>
            <w:tcW w:w="3901" w:type="pct"/>
            <w:gridSpan w:val="3"/>
            <w:tcBorders>
              <w:right w:val="single" w:sz="4" w:space="0" w:color="auto"/>
            </w:tcBorders>
          </w:tcPr>
          <w:p w14:paraId="5FD4326A" w14:textId="77777777" w:rsidR="007603C2" w:rsidRPr="00E53FB1" w:rsidRDefault="007603C2" w:rsidP="00B42999">
            <w:pPr>
              <w:pStyle w:val="Tabletext"/>
              <w:rPr>
                <w:rFonts w:ascii="Times New Roman" w:hAnsi="Times New Roman"/>
                <w:szCs w:val="18"/>
              </w:rPr>
            </w:pPr>
            <w:r w:rsidRPr="00E53FB1">
              <w:rPr>
                <w:rFonts w:ascii="Times New Roman" w:hAnsi="Times New Roman"/>
              </w:rPr>
              <w:t>Incremental cost per seizure avoided</w:t>
            </w:r>
          </w:p>
        </w:tc>
        <w:tc>
          <w:tcPr>
            <w:tcW w:w="1099" w:type="pct"/>
            <w:tcBorders>
              <w:top w:val="single" w:sz="4" w:space="0" w:color="auto"/>
              <w:left w:val="single" w:sz="4" w:space="0" w:color="auto"/>
              <w:bottom w:val="single" w:sz="4" w:space="0" w:color="auto"/>
              <w:right w:val="single" w:sz="4" w:space="0" w:color="auto"/>
            </w:tcBorders>
          </w:tcPr>
          <w:p w14:paraId="5FD4326B" w14:textId="77777777" w:rsidR="007603C2" w:rsidRPr="00E53FB1" w:rsidRDefault="007603C2" w:rsidP="00B42999">
            <w:pPr>
              <w:pStyle w:val="Tabletext"/>
              <w:jc w:val="center"/>
              <w:rPr>
                <w:rFonts w:ascii="Times New Roman" w:hAnsi="Times New Roman"/>
              </w:rPr>
            </w:pPr>
            <w:r w:rsidRPr="00E53FB1">
              <w:rPr>
                <w:rFonts w:ascii="Times New Roman" w:hAnsi="Times New Roman"/>
              </w:rPr>
              <w:t>$21</w:t>
            </w:r>
          </w:p>
        </w:tc>
      </w:tr>
      <w:tr w:rsidR="007603C2" w:rsidRPr="00E53FB1" w14:paraId="5FD4326F" w14:textId="77777777" w:rsidTr="00B42999">
        <w:trPr>
          <w:trHeight w:val="266"/>
        </w:trPr>
        <w:tc>
          <w:tcPr>
            <w:tcW w:w="3901" w:type="pct"/>
            <w:gridSpan w:val="3"/>
            <w:tcBorders>
              <w:right w:val="single" w:sz="4" w:space="0" w:color="auto"/>
            </w:tcBorders>
          </w:tcPr>
          <w:p w14:paraId="5FD4326D" w14:textId="77777777" w:rsidR="007603C2" w:rsidRPr="00E53FB1" w:rsidRDefault="007603C2" w:rsidP="00B42999">
            <w:pPr>
              <w:pStyle w:val="Tabletext"/>
              <w:rPr>
                <w:rFonts w:ascii="Times New Roman" w:hAnsi="Times New Roman"/>
                <w:szCs w:val="18"/>
              </w:rPr>
            </w:pPr>
            <w:r w:rsidRPr="00E53FB1">
              <w:rPr>
                <w:rFonts w:ascii="Times New Roman" w:hAnsi="Times New Roman"/>
              </w:rPr>
              <w:t xml:space="preserve">Incremental cost per QALY gained </w:t>
            </w:r>
          </w:p>
        </w:tc>
        <w:tc>
          <w:tcPr>
            <w:tcW w:w="1099" w:type="pct"/>
            <w:tcBorders>
              <w:top w:val="single" w:sz="4" w:space="0" w:color="auto"/>
              <w:left w:val="single" w:sz="4" w:space="0" w:color="auto"/>
              <w:bottom w:val="single" w:sz="4" w:space="0" w:color="auto"/>
              <w:right w:val="single" w:sz="4" w:space="0" w:color="auto"/>
            </w:tcBorders>
          </w:tcPr>
          <w:p w14:paraId="5FD4326E" w14:textId="77777777" w:rsidR="007603C2" w:rsidRPr="00E53FB1" w:rsidRDefault="007603C2" w:rsidP="00B42999">
            <w:pPr>
              <w:pStyle w:val="Tabletext"/>
              <w:jc w:val="center"/>
              <w:rPr>
                <w:rFonts w:ascii="Times New Roman" w:hAnsi="Times New Roman"/>
              </w:rPr>
            </w:pPr>
            <w:r w:rsidRPr="00E53FB1">
              <w:rPr>
                <w:rFonts w:ascii="Times New Roman" w:hAnsi="Times New Roman"/>
              </w:rPr>
              <w:t>$59,741</w:t>
            </w:r>
          </w:p>
        </w:tc>
      </w:tr>
    </w:tbl>
    <w:p w14:paraId="5FD43270" w14:textId="77777777" w:rsidR="007603C2" w:rsidRPr="00E53FB1" w:rsidRDefault="007603C2" w:rsidP="007603C2">
      <w:pPr>
        <w:pStyle w:val="ExecSummText"/>
        <w:spacing w:before="240"/>
        <w:jc w:val="left"/>
        <w:rPr>
          <w:rFonts w:ascii="Times New Roman" w:hAnsi="Times New Roman" w:cs="Times New Roman"/>
          <w:sz w:val="24"/>
        </w:rPr>
      </w:pPr>
      <w:r w:rsidRPr="00E53FB1">
        <w:rPr>
          <w:rFonts w:ascii="Times New Roman" w:hAnsi="Times New Roman" w:cs="Times New Roman"/>
          <w:sz w:val="24"/>
        </w:rPr>
        <w:t>The resubmission stated that the incremental cost-effectiveness ratio (ICER) should be interpreted in the context of the conservative assumptions which underl</w:t>
      </w:r>
      <w:r w:rsidR="001C6112">
        <w:rPr>
          <w:rFonts w:ascii="Times New Roman" w:hAnsi="Times New Roman" w:cs="Times New Roman"/>
          <w:sz w:val="24"/>
        </w:rPr>
        <w:t>ay</w:t>
      </w:r>
      <w:r w:rsidRPr="00E53FB1">
        <w:rPr>
          <w:rFonts w:ascii="Times New Roman" w:hAnsi="Times New Roman" w:cs="Times New Roman"/>
          <w:sz w:val="24"/>
        </w:rPr>
        <w:t xml:space="preserve"> the economic model. Most importantly, the model duration of 5 years </w:t>
      </w:r>
      <w:r w:rsidR="001C6112">
        <w:rPr>
          <w:rFonts w:ascii="Times New Roman" w:hAnsi="Times New Roman" w:cs="Times New Roman"/>
          <w:sz w:val="24"/>
        </w:rPr>
        <w:t>was</w:t>
      </w:r>
      <w:r w:rsidR="001C6112" w:rsidRPr="00E53FB1">
        <w:rPr>
          <w:rFonts w:ascii="Times New Roman" w:hAnsi="Times New Roman" w:cs="Times New Roman"/>
          <w:sz w:val="24"/>
        </w:rPr>
        <w:t xml:space="preserve"> </w:t>
      </w:r>
      <w:r w:rsidRPr="00E53FB1">
        <w:rPr>
          <w:rFonts w:ascii="Times New Roman" w:hAnsi="Times New Roman" w:cs="Times New Roman"/>
          <w:sz w:val="24"/>
        </w:rPr>
        <w:t xml:space="preserve">particularly biased against VNS because all the up-front costs of VNS </w:t>
      </w:r>
      <w:r w:rsidR="001C6112">
        <w:rPr>
          <w:rFonts w:ascii="Times New Roman" w:hAnsi="Times New Roman" w:cs="Times New Roman"/>
          <w:sz w:val="24"/>
        </w:rPr>
        <w:t>we</w:t>
      </w:r>
      <w:r w:rsidR="001C6112" w:rsidRPr="00E53FB1">
        <w:rPr>
          <w:rFonts w:ascii="Times New Roman" w:hAnsi="Times New Roman" w:cs="Times New Roman"/>
          <w:sz w:val="24"/>
        </w:rPr>
        <w:t xml:space="preserve">re </w:t>
      </w:r>
      <w:r w:rsidRPr="00E53FB1">
        <w:rPr>
          <w:rFonts w:ascii="Times New Roman" w:hAnsi="Times New Roman" w:cs="Times New Roman"/>
          <w:sz w:val="24"/>
        </w:rPr>
        <w:t xml:space="preserve">captured but 2 years of the benefits of the 7-year life time of the therapy </w:t>
      </w:r>
      <w:r w:rsidR="001C6112">
        <w:rPr>
          <w:rFonts w:ascii="Times New Roman" w:hAnsi="Times New Roman" w:cs="Times New Roman"/>
          <w:sz w:val="24"/>
        </w:rPr>
        <w:t>we</w:t>
      </w:r>
      <w:r w:rsidR="001C6112" w:rsidRPr="00E53FB1">
        <w:rPr>
          <w:rFonts w:ascii="Times New Roman" w:hAnsi="Times New Roman" w:cs="Times New Roman"/>
          <w:sz w:val="24"/>
        </w:rPr>
        <w:t xml:space="preserve">re </w:t>
      </w:r>
      <w:r w:rsidRPr="00E53FB1">
        <w:rPr>
          <w:rFonts w:ascii="Times New Roman" w:hAnsi="Times New Roman" w:cs="Times New Roman"/>
          <w:sz w:val="24"/>
        </w:rPr>
        <w:t>not.</w:t>
      </w:r>
    </w:p>
    <w:p w14:paraId="5FD43271" w14:textId="77777777" w:rsidR="007603C2" w:rsidRPr="00E53FB1" w:rsidRDefault="007603C2" w:rsidP="007603C2">
      <w:pPr>
        <w:pStyle w:val="ExecSummText"/>
        <w:jc w:val="left"/>
        <w:rPr>
          <w:rFonts w:ascii="Times New Roman" w:hAnsi="Times New Roman" w:cs="Times New Roman"/>
          <w:sz w:val="24"/>
        </w:rPr>
      </w:pPr>
      <w:r w:rsidRPr="00E53FB1">
        <w:rPr>
          <w:rFonts w:ascii="Times New Roman" w:hAnsi="Times New Roman" w:cs="Times New Roman"/>
          <w:sz w:val="24"/>
        </w:rPr>
        <w:t xml:space="preserve">An alternative base case model reflecting the battery life of VNS (7 years) </w:t>
      </w:r>
      <w:r w:rsidR="001C6112">
        <w:rPr>
          <w:rFonts w:ascii="Times New Roman" w:hAnsi="Times New Roman" w:cs="Times New Roman"/>
          <w:sz w:val="24"/>
        </w:rPr>
        <w:t>wa</w:t>
      </w:r>
      <w:r w:rsidR="001C6112" w:rsidRPr="00E53FB1">
        <w:rPr>
          <w:rFonts w:ascii="Times New Roman" w:hAnsi="Times New Roman" w:cs="Times New Roman"/>
          <w:sz w:val="24"/>
        </w:rPr>
        <w:t xml:space="preserve">s </w:t>
      </w:r>
      <w:r w:rsidRPr="00E53FB1">
        <w:rPr>
          <w:rFonts w:ascii="Times New Roman" w:hAnsi="Times New Roman" w:cs="Times New Roman"/>
          <w:sz w:val="24"/>
        </w:rPr>
        <w:t>provided by the resubmission for comparison. This demonstrates the cost-effectiveness of VNS therapy improves (to $28,889 per QALY) with only a relatively short increase in the duration of the model, reflecting the cont</w:t>
      </w:r>
      <w:r w:rsidR="00DA7001">
        <w:rPr>
          <w:rFonts w:ascii="Times New Roman" w:hAnsi="Times New Roman" w:cs="Times New Roman"/>
          <w:sz w:val="24"/>
        </w:rPr>
        <w:t>inued outcomes of VNS therapy</w:t>
      </w:r>
      <w:r w:rsidRPr="00E53FB1">
        <w:rPr>
          <w:rFonts w:ascii="Times New Roman" w:hAnsi="Times New Roman" w:cs="Times New Roman"/>
          <w:sz w:val="24"/>
        </w:rPr>
        <w:t xml:space="preserve"> from full utilisation of battery life.</w:t>
      </w:r>
    </w:p>
    <w:p w14:paraId="5FD43272" w14:textId="77777777" w:rsidR="007603C2" w:rsidRDefault="007603C2" w:rsidP="007603C2">
      <w:pPr>
        <w:pStyle w:val="ExecSummText"/>
        <w:spacing w:after="0"/>
        <w:jc w:val="left"/>
        <w:rPr>
          <w:rFonts w:ascii="Times New Roman" w:hAnsi="Times New Roman" w:cs="Times New Roman"/>
          <w:sz w:val="24"/>
        </w:rPr>
      </w:pPr>
      <w:r w:rsidRPr="00E53FB1">
        <w:rPr>
          <w:rFonts w:ascii="Times New Roman" w:hAnsi="Times New Roman" w:cs="Times New Roman"/>
          <w:sz w:val="24"/>
        </w:rPr>
        <w:t xml:space="preserve">The resubmission stated that the sensitivity analysis demonstrates the validity of the base case outcomes. The cost per QALY outcomes relative to the base case of $59,741 per QALY for 10-year model duration ($23,885) and efficacy </w:t>
      </w:r>
      <w:r w:rsidR="001C6112">
        <w:rPr>
          <w:rFonts w:ascii="Times New Roman" w:hAnsi="Times New Roman" w:cs="Times New Roman"/>
          <w:sz w:val="24"/>
        </w:rPr>
        <w:t>b</w:t>
      </w:r>
      <w:r w:rsidR="001C6112" w:rsidRPr="00E53FB1">
        <w:rPr>
          <w:rFonts w:ascii="Times New Roman" w:hAnsi="Times New Roman" w:cs="Times New Roman"/>
          <w:sz w:val="24"/>
        </w:rPr>
        <w:t xml:space="preserve">ased </w:t>
      </w:r>
      <w:r w:rsidR="001C6112">
        <w:rPr>
          <w:rFonts w:ascii="Times New Roman" w:hAnsi="Times New Roman" w:cs="Times New Roman"/>
          <w:sz w:val="24"/>
        </w:rPr>
        <w:t>h</w:t>
      </w:r>
      <w:r w:rsidR="001C6112" w:rsidRPr="00E53FB1">
        <w:rPr>
          <w:rFonts w:ascii="Times New Roman" w:hAnsi="Times New Roman" w:cs="Times New Roman"/>
          <w:sz w:val="24"/>
        </w:rPr>
        <w:t xml:space="preserve">ealth </w:t>
      </w:r>
      <w:r w:rsidRPr="00E53FB1">
        <w:rPr>
          <w:rFonts w:ascii="Times New Roman" w:hAnsi="Times New Roman" w:cs="Times New Roman"/>
          <w:sz w:val="24"/>
        </w:rPr>
        <w:t>states ($41,855).</w:t>
      </w:r>
    </w:p>
    <w:p w14:paraId="5FD43273" w14:textId="77777777" w:rsidR="00FA4944" w:rsidRDefault="00FA4944" w:rsidP="007603C2">
      <w:pPr>
        <w:pStyle w:val="ExecSummText"/>
        <w:spacing w:after="0"/>
        <w:jc w:val="left"/>
        <w:rPr>
          <w:rFonts w:ascii="Times New Roman" w:hAnsi="Times New Roman" w:cs="Times New Roman"/>
          <w:sz w:val="24"/>
        </w:rPr>
      </w:pPr>
    </w:p>
    <w:p w14:paraId="5FD43274" w14:textId="77777777" w:rsidR="00FA4944" w:rsidRPr="00E53FB1" w:rsidRDefault="00FA4944" w:rsidP="000076E8">
      <w:pPr>
        <w:pStyle w:val="ExecSummText"/>
        <w:jc w:val="left"/>
        <w:rPr>
          <w:rFonts w:ascii="Times New Roman" w:hAnsi="Times New Roman" w:cs="Times New Roman"/>
          <w:sz w:val="24"/>
        </w:rPr>
      </w:pPr>
      <w:r>
        <w:rPr>
          <w:rFonts w:ascii="Times New Roman" w:hAnsi="Times New Roman" w:cs="Times New Roman"/>
          <w:sz w:val="24"/>
        </w:rPr>
        <w:t xml:space="preserve">As requested by ESC, the applicant provided additional sensitivity analyses </w:t>
      </w:r>
      <w:r w:rsidRPr="00FA4944">
        <w:rPr>
          <w:rFonts w:ascii="Times New Roman" w:hAnsi="Times New Roman" w:cs="Times New Roman"/>
          <w:sz w:val="24"/>
        </w:rPr>
        <w:t>for both the 5-year (in adherence to advice from MSAC), and 7-year models (the applicants preferred base case because it aligns with the 7-year battery life of VNS).</w:t>
      </w:r>
    </w:p>
    <w:p w14:paraId="5FD43275" w14:textId="77777777" w:rsidR="007603C2" w:rsidRPr="00E53FB1" w:rsidRDefault="001C6112" w:rsidP="007603C2">
      <w:pPr>
        <w:pStyle w:val="ExecSummText"/>
        <w:jc w:val="left"/>
        <w:rPr>
          <w:rFonts w:ascii="Times New Roman" w:hAnsi="Times New Roman" w:cs="Times New Roman"/>
          <w:sz w:val="24"/>
        </w:rPr>
      </w:pPr>
      <w:r>
        <w:rPr>
          <w:rFonts w:ascii="Times New Roman" w:hAnsi="Times New Roman" w:cs="Times New Roman"/>
          <w:sz w:val="24"/>
        </w:rPr>
        <w:lastRenderedPageBreak/>
        <w:t>MSAC</w:t>
      </w:r>
      <w:r w:rsidR="007603C2" w:rsidRPr="00E53FB1">
        <w:rPr>
          <w:rFonts w:ascii="Times New Roman" w:hAnsi="Times New Roman" w:cs="Times New Roman"/>
          <w:sz w:val="24"/>
        </w:rPr>
        <w:t xml:space="preserve"> noted that the economic evaluation did not consider any disutility associated with surgical site infection and the subsequent </w:t>
      </w:r>
      <w:proofErr w:type="spellStart"/>
      <w:r w:rsidR="007603C2" w:rsidRPr="00E53FB1">
        <w:rPr>
          <w:rFonts w:ascii="Times New Roman" w:hAnsi="Times New Roman" w:cs="Times New Roman"/>
          <w:sz w:val="24"/>
        </w:rPr>
        <w:t>explantation</w:t>
      </w:r>
      <w:proofErr w:type="spellEnd"/>
      <w:r w:rsidR="007603C2" w:rsidRPr="00E53FB1">
        <w:rPr>
          <w:rFonts w:ascii="Times New Roman" w:hAnsi="Times New Roman" w:cs="Times New Roman"/>
          <w:sz w:val="24"/>
        </w:rPr>
        <w:t xml:space="preserve"> of the VNS </w:t>
      </w:r>
      <w:r w:rsidR="007603C2">
        <w:rPr>
          <w:rFonts w:ascii="Times New Roman" w:hAnsi="Times New Roman" w:cs="Times New Roman"/>
          <w:sz w:val="24"/>
        </w:rPr>
        <w:t>t</w:t>
      </w:r>
      <w:r w:rsidR="007603C2" w:rsidRPr="00E53FB1">
        <w:rPr>
          <w:rFonts w:ascii="Times New Roman" w:hAnsi="Times New Roman" w:cs="Times New Roman"/>
          <w:sz w:val="24"/>
        </w:rPr>
        <w:t xml:space="preserve">herapy device as part of a separate surgical procedure. As such, the results of the economic evaluation may not be an accurate estimation of the overall cost-effectiveness of VNS </w:t>
      </w:r>
      <w:r w:rsidR="007603C2">
        <w:rPr>
          <w:rFonts w:ascii="Times New Roman" w:hAnsi="Times New Roman" w:cs="Times New Roman"/>
          <w:sz w:val="24"/>
        </w:rPr>
        <w:t>t</w:t>
      </w:r>
      <w:r w:rsidR="007603C2" w:rsidRPr="00E53FB1">
        <w:rPr>
          <w:rFonts w:ascii="Times New Roman" w:hAnsi="Times New Roman" w:cs="Times New Roman"/>
          <w:sz w:val="24"/>
        </w:rPr>
        <w:t xml:space="preserve">herapy. Disutility associated with </w:t>
      </w:r>
      <w:proofErr w:type="spellStart"/>
      <w:r w:rsidR="007603C2" w:rsidRPr="00E53FB1">
        <w:rPr>
          <w:rFonts w:ascii="Times New Roman" w:hAnsi="Times New Roman" w:cs="Times New Roman"/>
          <w:sz w:val="24"/>
        </w:rPr>
        <w:t>explantation</w:t>
      </w:r>
      <w:proofErr w:type="spellEnd"/>
      <w:r w:rsidR="007603C2" w:rsidRPr="00E53FB1">
        <w:rPr>
          <w:rFonts w:ascii="Times New Roman" w:hAnsi="Times New Roman" w:cs="Times New Roman"/>
          <w:sz w:val="24"/>
        </w:rPr>
        <w:t xml:space="preserve"> of the VNS </w:t>
      </w:r>
      <w:r w:rsidR="007603C2">
        <w:rPr>
          <w:rFonts w:ascii="Times New Roman" w:hAnsi="Times New Roman" w:cs="Times New Roman"/>
          <w:sz w:val="24"/>
        </w:rPr>
        <w:t>t</w:t>
      </w:r>
      <w:r w:rsidR="007603C2" w:rsidRPr="00E53FB1">
        <w:rPr>
          <w:rFonts w:ascii="Times New Roman" w:hAnsi="Times New Roman" w:cs="Times New Roman"/>
          <w:sz w:val="24"/>
        </w:rPr>
        <w:t xml:space="preserve">herapy device would be experienced as a one-off event applied to the same 3-month cycle where </w:t>
      </w:r>
      <w:proofErr w:type="spellStart"/>
      <w:r w:rsidR="007603C2" w:rsidRPr="00E53FB1">
        <w:rPr>
          <w:rFonts w:ascii="Times New Roman" w:hAnsi="Times New Roman" w:cs="Times New Roman"/>
          <w:sz w:val="24"/>
        </w:rPr>
        <w:t>explantation</w:t>
      </w:r>
      <w:proofErr w:type="spellEnd"/>
      <w:r w:rsidR="007603C2" w:rsidRPr="00E53FB1">
        <w:rPr>
          <w:rFonts w:ascii="Times New Roman" w:hAnsi="Times New Roman" w:cs="Times New Roman"/>
          <w:sz w:val="24"/>
        </w:rPr>
        <w:t xml:space="preserve"> occurred. As such</w:t>
      </w:r>
      <w:r w:rsidR="00720F34">
        <w:rPr>
          <w:rFonts w:ascii="Times New Roman" w:hAnsi="Times New Roman" w:cs="Times New Roman"/>
          <w:sz w:val="24"/>
        </w:rPr>
        <w:t>,</w:t>
      </w:r>
      <w:r w:rsidR="007603C2" w:rsidRPr="00E53FB1">
        <w:rPr>
          <w:rFonts w:ascii="Times New Roman" w:hAnsi="Times New Roman" w:cs="Times New Roman"/>
          <w:sz w:val="24"/>
        </w:rPr>
        <w:t xml:space="preserve"> the inclusion of </w:t>
      </w:r>
      <w:proofErr w:type="spellStart"/>
      <w:r w:rsidR="007603C2" w:rsidRPr="00E53FB1">
        <w:rPr>
          <w:rFonts w:ascii="Times New Roman" w:hAnsi="Times New Roman" w:cs="Times New Roman"/>
          <w:sz w:val="24"/>
        </w:rPr>
        <w:t>explantation</w:t>
      </w:r>
      <w:proofErr w:type="spellEnd"/>
      <w:r w:rsidR="007603C2" w:rsidRPr="00E53FB1">
        <w:rPr>
          <w:rFonts w:ascii="Times New Roman" w:hAnsi="Times New Roman" w:cs="Times New Roman"/>
          <w:sz w:val="24"/>
        </w:rPr>
        <w:t xml:space="preserve">-associated disutility in the economic evaluation </w:t>
      </w:r>
      <w:r w:rsidR="00720F34">
        <w:rPr>
          <w:rFonts w:ascii="Times New Roman" w:hAnsi="Times New Roman" w:cs="Times New Roman"/>
          <w:sz w:val="24"/>
        </w:rPr>
        <w:t>wa</w:t>
      </w:r>
      <w:r w:rsidR="00720F34" w:rsidRPr="00E53FB1">
        <w:rPr>
          <w:rFonts w:ascii="Times New Roman" w:hAnsi="Times New Roman" w:cs="Times New Roman"/>
          <w:sz w:val="24"/>
        </w:rPr>
        <w:t xml:space="preserve">s </w:t>
      </w:r>
      <w:r w:rsidR="007603C2" w:rsidRPr="00E53FB1">
        <w:rPr>
          <w:rFonts w:ascii="Times New Roman" w:hAnsi="Times New Roman" w:cs="Times New Roman"/>
          <w:sz w:val="24"/>
        </w:rPr>
        <w:t>likely to have only a modest impact on the overall results.</w:t>
      </w:r>
    </w:p>
    <w:p w14:paraId="5FD43276" w14:textId="77777777" w:rsidR="007603C2" w:rsidRPr="00E53FB1" w:rsidRDefault="007603C2" w:rsidP="007603C2">
      <w:pPr>
        <w:pStyle w:val="ExecSummText"/>
        <w:spacing w:after="0"/>
        <w:jc w:val="left"/>
        <w:rPr>
          <w:rFonts w:ascii="Times New Roman" w:hAnsi="Times New Roman" w:cs="Times New Roman"/>
          <w:sz w:val="24"/>
        </w:rPr>
      </w:pPr>
      <w:r w:rsidRPr="00E53FB1">
        <w:rPr>
          <w:rFonts w:ascii="Times New Roman" w:hAnsi="Times New Roman" w:cs="Times New Roman"/>
          <w:sz w:val="24"/>
        </w:rPr>
        <w:t xml:space="preserve">The modelled results were most sensitive to: changes in the proportion of VNS </w:t>
      </w:r>
      <w:r>
        <w:rPr>
          <w:rFonts w:ascii="Times New Roman" w:hAnsi="Times New Roman" w:cs="Times New Roman"/>
          <w:sz w:val="24"/>
        </w:rPr>
        <w:t>t</w:t>
      </w:r>
      <w:r w:rsidRPr="00E53FB1">
        <w:rPr>
          <w:rFonts w:ascii="Times New Roman" w:hAnsi="Times New Roman" w:cs="Times New Roman"/>
          <w:sz w:val="24"/>
        </w:rPr>
        <w:t xml:space="preserve">herapy non-responders at </w:t>
      </w:r>
      <w:r w:rsidR="00720F34">
        <w:rPr>
          <w:rFonts w:ascii="Times New Roman" w:hAnsi="Times New Roman" w:cs="Times New Roman"/>
          <w:sz w:val="24"/>
        </w:rPr>
        <w:t>three</w:t>
      </w:r>
      <w:r w:rsidR="00720F34" w:rsidRPr="00E53FB1">
        <w:rPr>
          <w:rFonts w:ascii="Times New Roman" w:hAnsi="Times New Roman" w:cs="Times New Roman"/>
          <w:sz w:val="24"/>
        </w:rPr>
        <w:t xml:space="preserve"> </w:t>
      </w:r>
      <w:r w:rsidRPr="00E53FB1">
        <w:rPr>
          <w:rFonts w:ascii="Times New Roman" w:hAnsi="Times New Roman" w:cs="Times New Roman"/>
          <w:sz w:val="24"/>
        </w:rPr>
        <w:t>months (end of trial) that gain</w:t>
      </w:r>
      <w:r w:rsidR="00720F34">
        <w:rPr>
          <w:rFonts w:ascii="Times New Roman" w:hAnsi="Times New Roman" w:cs="Times New Roman"/>
          <w:sz w:val="24"/>
        </w:rPr>
        <w:t>ed</w:t>
      </w:r>
      <w:r w:rsidRPr="00E53FB1">
        <w:rPr>
          <w:rFonts w:ascii="Times New Roman" w:hAnsi="Times New Roman" w:cs="Times New Roman"/>
          <w:sz w:val="24"/>
        </w:rPr>
        <w:t xml:space="preserve"> a response over the first two years; health care costs associated with each health state; and the time horizon.</w:t>
      </w:r>
    </w:p>
    <w:p w14:paraId="5FD43277" w14:textId="77777777" w:rsidR="00BC1364" w:rsidRPr="00F715D1" w:rsidRDefault="00BC1364" w:rsidP="00F715D1">
      <w:pPr>
        <w:pStyle w:val="Heading1"/>
      </w:pPr>
      <w:r w:rsidRPr="00F715D1">
        <w:t>Financial/budgetary impacts</w:t>
      </w:r>
    </w:p>
    <w:p w14:paraId="5FD43278" w14:textId="77777777" w:rsidR="007603C2" w:rsidRPr="00E53FB1" w:rsidRDefault="007603C2" w:rsidP="007603C2">
      <w:r w:rsidRPr="00E53FB1">
        <w:t xml:space="preserve">The resubmission stated that while a sizable proportion of epileptic cases may become refractory to AEDs (approximately 30%; e.g., Platt and </w:t>
      </w:r>
      <w:proofErr w:type="spellStart"/>
      <w:r w:rsidRPr="00E53FB1">
        <w:t>Sperling</w:t>
      </w:r>
      <w:proofErr w:type="spellEnd"/>
      <w:r w:rsidRPr="00E53FB1">
        <w:t xml:space="preserve"> 2002); the uptake of VNS </w:t>
      </w:r>
      <w:r w:rsidR="00720F34">
        <w:t>would</w:t>
      </w:r>
      <w:r w:rsidR="00720F34" w:rsidRPr="00E53FB1">
        <w:t xml:space="preserve"> </w:t>
      </w:r>
      <w:r w:rsidRPr="00E53FB1">
        <w:t xml:space="preserve">be limited to a very small subgroup of the overall refractory patient population. The resubmission </w:t>
      </w:r>
      <w:r w:rsidR="00720F34" w:rsidRPr="00E53FB1">
        <w:t>estimate</w:t>
      </w:r>
      <w:r w:rsidR="00720F34">
        <w:t>d</w:t>
      </w:r>
      <w:r w:rsidR="00720F34" w:rsidRPr="00E53FB1">
        <w:t xml:space="preserve"> </w:t>
      </w:r>
      <w:r w:rsidRPr="00E53FB1">
        <w:t>that between 60-150 patients per year would undergo the implantation procedure in Australia</w:t>
      </w:r>
      <w:r>
        <w:t>:</w:t>
      </w:r>
      <w:r w:rsidRPr="00E53FB1">
        <w:t xml:space="preserve"> totalling 500 procedures in the first 5 years, with 25% of these cases being private patients.</w:t>
      </w:r>
    </w:p>
    <w:p w14:paraId="5FD43279" w14:textId="77777777" w:rsidR="007603C2" w:rsidRPr="00E53FB1" w:rsidRDefault="007603C2" w:rsidP="007603C2"/>
    <w:p w14:paraId="5FD4327A" w14:textId="77777777" w:rsidR="007603C2" w:rsidRPr="00E53FB1" w:rsidRDefault="007603C2" w:rsidP="007603C2">
      <w:pPr>
        <w:spacing w:after="240"/>
      </w:pPr>
      <w:r w:rsidRPr="00E53FB1">
        <w:t xml:space="preserve">The financial implications to the MBS resulting from the proposed listing of VNS </w:t>
      </w:r>
      <w:r>
        <w:t>t</w:t>
      </w:r>
      <w:r w:rsidRPr="00E53FB1">
        <w:t xml:space="preserve">herapy are summarised in </w:t>
      </w:r>
      <w:r w:rsidR="005709FB" w:rsidRPr="005709FB">
        <w:fldChar w:fldCharType="begin"/>
      </w:r>
      <w:r w:rsidR="005709FB">
        <w:instrText xml:space="preserve"> REF _Ref404372077 \h  \* MERGEFORMAT </w:instrText>
      </w:r>
      <w:r w:rsidR="005709FB" w:rsidRPr="005709FB">
        <w:fldChar w:fldCharType="separate"/>
      </w:r>
      <w:r w:rsidR="005709FB" w:rsidRPr="005709FB">
        <w:t>Table 6</w:t>
      </w:r>
      <w:r w:rsidR="005709FB" w:rsidRPr="005709FB">
        <w:fldChar w:fldCharType="end"/>
      </w:r>
      <w:r w:rsidRPr="00E53FB1">
        <w:t>.</w:t>
      </w:r>
    </w:p>
    <w:p w14:paraId="5FD4327B" w14:textId="77777777" w:rsidR="007603C2" w:rsidRPr="00AB4C09" w:rsidRDefault="005709FB" w:rsidP="007603C2">
      <w:pPr>
        <w:pStyle w:val="Caption"/>
        <w:rPr>
          <w:rStyle w:val="Strong"/>
        </w:rPr>
      </w:pPr>
      <w:bookmarkStart w:id="11" w:name="_Ref404372077"/>
      <w:bookmarkStart w:id="12" w:name="_Toc393197779"/>
      <w:bookmarkStart w:id="13" w:name="_Toc393378192"/>
      <w:bookmarkStart w:id="14" w:name="_Toc399251128"/>
      <w:r w:rsidRPr="00AB4C09">
        <w:rPr>
          <w:rStyle w:val="Strong"/>
        </w:rPr>
        <w:t xml:space="preserve">Table </w:t>
      </w:r>
      <w:r w:rsidRPr="00AB4C09">
        <w:rPr>
          <w:rStyle w:val="Strong"/>
        </w:rPr>
        <w:fldChar w:fldCharType="begin"/>
      </w:r>
      <w:r w:rsidRPr="00AB4C09">
        <w:rPr>
          <w:rStyle w:val="Strong"/>
        </w:rPr>
        <w:instrText xml:space="preserve"> SEQ Table \* ARABIC </w:instrText>
      </w:r>
      <w:r w:rsidRPr="00AB4C09">
        <w:rPr>
          <w:rStyle w:val="Strong"/>
        </w:rPr>
        <w:fldChar w:fldCharType="separate"/>
      </w:r>
      <w:r w:rsidRPr="00AB4C09">
        <w:rPr>
          <w:rStyle w:val="Strong"/>
        </w:rPr>
        <w:t>6</w:t>
      </w:r>
      <w:r w:rsidRPr="00AB4C09">
        <w:rPr>
          <w:rStyle w:val="Strong"/>
        </w:rPr>
        <w:fldChar w:fldCharType="end"/>
      </w:r>
      <w:bookmarkEnd w:id="11"/>
      <w:r w:rsidR="007603C2" w:rsidRPr="00AB4C09">
        <w:rPr>
          <w:rStyle w:val="Strong"/>
        </w:rPr>
        <w:tab/>
      </w:r>
      <w:r w:rsidR="007603C2" w:rsidRPr="00AB4C09">
        <w:rPr>
          <w:rStyle w:val="Strong"/>
        </w:rPr>
        <w:tab/>
      </w:r>
      <w:bookmarkEnd w:id="12"/>
      <w:bookmarkEnd w:id="13"/>
      <w:bookmarkEnd w:id="14"/>
      <w:r w:rsidR="007603C2" w:rsidRPr="00AB4C09">
        <w:rPr>
          <w:rStyle w:val="Strong"/>
        </w:rPr>
        <w:t xml:space="preserve">Total </w:t>
      </w:r>
      <w:r w:rsidR="00720F34" w:rsidRPr="00AB4C09">
        <w:rPr>
          <w:rStyle w:val="Strong"/>
        </w:rPr>
        <w:t xml:space="preserve">estimated </w:t>
      </w:r>
      <w:r w:rsidR="007603C2" w:rsidRPr="00AB4C09">
        <w:rPr>
          <w:rStyle w:val="Strong"/>
        </w:rPr>
        <w:t>costs to the MBS associated with VNS therapy: all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otal costs to the MBS associated with VNS Therapy: All procedures"/>
        <w:tblDescription w:val="This table outlines the overall costs associated with VNS Therapy if listed on the MBS as requested over five years"/>
      </w:tblPr>
      <w:tblGrid>
        <w:gridCol w:w="3085"/>
        <w:gridCol w:w="992"/>
        <w:gridCol w:w="993"/>
        <w:gridCol w:w="992"/>
        <w:gridCol w:w="992"/>
        <w:gridCol w:w="992"/>
        <w:gridCol w:w="1196"/>
      </w:tblGrid>
      <w:tr w:rsidR="007603C2" w:rsidRPr="00E53FB1" w14:paraId="5FD43283" w14:textId="77777777" w:rsidTr="00B42999">
        <w:trPr>
          <w:trHeight w:val="300"/>
          <w:tblHeader/>
        </w:trPr>
        <w:tc>
          <w:tcPr>
            <w:tcW w:w="3085" w:type="dxa"/>
            <w:tcBorders>
              <w:bottom w:val="single" w:sz="4" w:space="0" w:color="auto"/>
            </w:tcBorders>
            <w:shd w:val="clear" w:color="auto" w:fill="auto"/>
            <w:vAlign w:val="center"/>
          </w:tcPr>
          <w:p w14:paraId="5FD4327C" w14:textId="77777777" w:rsidR="007603C2" w:rsidRPr="00E53FB1" w:rsidRDefault="007603C2" w:rsidP="00B42999">
            <w:pPr>
              <w:pStyle w:val="TableText0"/>
              <w:rPr>
                <w:rFonts w:ascii="Times New Roman" w:hAnsi="Times New Roman" w:cs="Times New Roman"/>
              </w:rPr>
            </w:pPr>
          </w:p>
        </w:tc>
        <w:tc>
          <w:tcPr>
            <w:tcW w:w="992" w:type="dxa"/>
            <w:tcBorders>
              <w:bottom w:val="single" w:sz="4" w:space="0" w:color="auto"/>
            </w:tcBorders>
          </w:tcPr>
          <w:p w14:paraId="5FD4327D" w14:textId="77777777" w:rsidR="007603C2" w:rsidRPr="00E53FB1" w:rsidRDefault="007603C2" w:rsidP="00B42999">
            <w:pPr>
              <w:pStyle w:val="Tabletextbold"/>
              <w:rPr>
                <w:rFonts w:ascii="Times New Roman" w:hAnsi="Times New Roman" w:cs="Times New Roman"/>
              </w:rPr>
            </w:pPr>
            <w:r w:rsidRPr="00E53FB1">
              <w:rPr>
                <w:rFonts w:ascii="Times New Roman" w:hAnsi="Times New Roman" w:cs="Times New Roman"/>
              </w:rPr>
              <w:t>Year 1</w:t>
            </w:r>
          </w:p>
        </w:tc>
        <w:tc>
          <w:tcPr>
            <w:tcW w:w="993" w:type="dxa"/>
            <w:tcBorders>
              <w:bottom w:val="single" w:sz="4" w:space="0" w:color="auto"/>
            </w:tcBorders>
            <w:shd w:val="clear" w:color="auto" w:fill="auto"/>
          </w:tcPr>
          <w:p w14:paraId="5FD4327E" w14:textId="77777777" w:rsidR="007603C2" w:rsidRPr="00E53FB1" w:rsidRDefault="007603C2" w:rsidP="00B42999">
            <w:pPr>
              <w:pStyle w:val="Tabletextbold"/>
              <w:rPr>
                <w:rFonts w:ascii="Times New Roman" w:hAnsi="Times New Roman" w:cs="Times New Roman"/>
              </w:rPr>
            </w:pPr>
            <w:r w:rsidRPr="00E53FB1">
              <w:rPr>
                <w:rFonts w:ascii="Times New Roman" w:hAnsi="Times New Roman" w:cs="Times New Roman"/>
              </w:rPr>
              <w:t>Year 2</w:t>
            </w:r>
          </w:p>
        </w:tc>
        <w:tc>
          <w:tcPr>
            <w:tcW w:w="992" w:type="dxa"/>
            <w:tcBorders>
              <w:bottom w:val="single" w:sz="4" w:space="0" w:color="auto"/>
            </w:tcBorders>
            <w:shd w:val="clear" w:color="auto" w:fill="auto"/>
          </w:tcPr>
          <w:p w14:paraId="5FD4327F" w14:textId="77777777" w:rsidR="007603C2" w:rsidRPr="00E53FB1" w:rsidRDefault="007603C2" w:rsidP="00B42999">
            <w:pPr>
              <w:pStyle w:val="Tabletextbold"/>
              <w:rPr>
                <w:rFonts w:ascii="Times New Roman" w:hAnsi="Times New Roman" w:cs="Times New Roman"/>
              </w:rPr>
            </w:pPr>
            <w:r w:rsidRPr="00E53FB1">
              <w:rPr>
                <w:rFonts w:ascii="Times New Roman" w:hAnsi="Times New Roman" w:cs="Times New Roman"/>
              </w:rPr>
              <w:t>Year 3</w:t>
            </w:r>
          </w:p>
        </w:tc>
        <w:tc>
          <w:tcPr>
            <w:tcW w:w="992" w:type="dxa"/>
            <w:tcBorders>
              <w:bottom w:val="single" w:sz="4" w:space="0" w:color="auto"/>
            </w:tcBorders>
            <w:shd w:val="clear" w:color="auto" w:fill="auto"/>
          </w:tcPr>
          <w:p w14:paraId="5FD43280" w14:textId="77777777" w:rsidR="007603C2" w:rsidRPr="00E53FB1" w:rsidRDefault="007603C2" w:rsidP="00B42999">
            <w:pPr>
              <w:pStyle w:val="Tabletextbold"/>
              <w:rPr>
                <w:rFonts w:ascii="Times New Roman" w:hAnsi="Times New Roman" w:cs="Times New Roman"/>
              </w:rPr>
            </w:pPr>
            <w:r w:rsidRPr="00E53FB1">
              <w:rPr>
                <w:rFonts w:ascii="Times New Roman" w:hAnsi="Times New Roman" w:cs="Times New Roman"/>
              </w:rPr>
              <w:t>Year 4</w:t>
            </w:r>
          </w:p>
        </w:tc>
        <w:tc>
          <w:tcPr>
            <w:tcW w:w="992" w:type="dxa"/>
            <w:tcBorders>
              <w:bottom w:val="single" w:sz="4" w:space="0" w:color="auto"/>
            </w:tcBorders>
            <w:shd w:val="clear" w:color="auto" w:fill="auto"/>
          </w:tcPr>
          <w:p w14:paraId="5FD43281" w14:textId="77777777" w:rsidR="007603C2" w:rsidRPr="00E53FB1" w:rsidRDefault="007603C2" w:rsidP="00B42999">
            <w:pPr>
              <w:pStyle w:val="Tabletextbold"/>
              <w:rPr>
                <w:rFonts w:ascii="Times New Roman" w:hAnsi="Times New Roman" w:cs="Times New Roman"/>
              </w:rPr>
            </w:pPr>
            <w:r w:rsidRPr="00E53FB1">
              <w:rPr>
                <w:rFonts w:ascii="Times New Roman" w:hAnsi="Times New Roman" w:cs="Times New Roman"/>
              </w:rPr>
              <w:t>Year 5</w:t>
            </w:r>
          </w:p>
        </w:tc>
        <w:tc>
          <w:tcPr>
            <w:tcW w:w="1196" w:type="dxa"/>
            <w:tcBorders>
              <w:bottom w:val="single" w:sz="4" w:space="0" w:color="auto"/>
            </w:tcBorders>
          </w:tcPr>
          <w:p w14:paraId="5FD43282" w14:textId="77777777" w:rsidR="007603C2" w:rsidRPr="00E53FB1" w:rsidRDefault="007603C2" w:rsidP="00B42999">
            <w:pPr>
              <w:pStyle w:val="Tabletextbold"/>
              <w:rPr>
                <w:rFonts w:ascii="Times New Roman" w:hAnsi="Times New Roman" w:cs="Times New Roman"/>
              </w:rPr>
            </w:pPr>
            <w:r w:rsidRPr="00E53FB1">
              <w:rPr>
                <w:rFonts w:ascii="Times New Roman" w:hAnsi="Times New Roman" w:cs="Times New Roman"/>
              </w:rPr>
              <w:t>Sum</w:t>
            </w:r>
            <w:r>
              <w:rPr>
                <w:rFonts w:ascii="Times New Roman" w:hAnsi="Times New Roman" w:cs="Times New Roman"/>
              </w:rPr>
              <w:br/>
            </w:r>
            <w:r w:rsidRPr="00E53FB1">
              <w:rPr>
                <w:rFonts w:ascii="Times New Roman" w:hAnsi="Times New Roman" w:cs="Times New Roman"/>
              </w:rPr>
              <w:t>(Year 1-5)</w:t>
            </w:r>
          </w:p>
        </w:tc>
      </w:tr>
      <w:tr w:rsidR="007603C2" w:rsidRPr="00E53FB1" w14:paraId="5FD4328B" w14:textId="77777777" w:rsidTr="00B42999">
        <w:trPr>
          <w:trHeight w:val="300"/>
        </w:trPr>
        <w:tc>
          <w:tcPr>
            <w:tcW w:w="3085" w:type="dxa"/>
            <w:shd w:val="clear" w:color="auto" w:fill="auto"/>
          </w:tcPr>
          <w:p w14:paraId="5FD43284"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 xml:space="preserve">VNS </w:t>
            </w:r>
            <w:r>
              <w:rPr>
                <w:rFonts w:ascii="Times New Roman" w:hAnsi="Times New Roman" w:cs="Times New Roman"/>
              </w:rPr>
              <w:t>t</w:t>
            </w:r>
            <w:r w:rsidRPr="00E53FB1">
              <w:rPr>
                <w:rFonts w:ascii="Times New Roman" w:hAnsi="Times New Roman" w:cs="Times New Roman"/>
              </w:rPr>
              <w:t>herapy related MBS items as requested</w:t>
            </w:r>
          </w:p>
        </w:tc>
        <w:tc>
          <w:tcPr>
            <w:tcW w:w="992" w:type="dxa"/>
          </w:tcPr>
          <w:p w14:paraId="5FD43285"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$22,949</w:t>
            </w:r>
          </w:p>
        </w:tc>
        <w:tc>
          <w:tcPr>
            <w:tcW w:w="993" w:type="dxa"/>
            <w:shd w:val="clear" w:color="auto" w:fill="auto"/>
          </w:tcPr>
          <w:p w14:paraId="5FD43286"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$30,194</w:t>
            </w:r>
          </w:p>
        </w:tc>
        <w:tc>
          <w:tcPr>
            <w:tcW w:w="992" w:type="dxa"/>
            <w:shd w:val="clear" w:color="auto" w:fill="auto"/>
          </w:tcPr>
          <w:p w14:paraId="5FD43287"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$38,853</w:t>
            </w:r>
          </w:p>
        </w:tc>
        <w:tc>
          <w:tcPr>
            <w:tcW w:w="992" w:type="dxa"/>
            <w:shd w:val="clear" w:color="auto" w:fill="auto"/>
          </w:tcPr>
          <w:p w14:paraId="5FD43288"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$49,455</w:t>
            </w:r>
          </w:p>
        </w:tc>
        <w:tc>
          <w:tcPr>
            <w:tcW w:w="992" w:type="dxa"/>
            <w:shd w:val="clear" w:color="auto" w:fill="auto"/>
          </w:tcPr>
          <w:p w14:paraId="5FD43289"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$63,415</w:t>
            </w:r>
          </w:p>
        </w:tc>
        <w:tc>
          <w:tcPr>
            <w:tcW w:w="1196" w:type="dxa"/>
          </w:tcPr>
          <w:p w14:paraId="5FD4328A"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$204,866</w:t>
            </w:r>
          </w:p>
        </w:tc>
      </w:tr>
      <w:tr w:rsidR="007603C2" w:rsidRPr="00E53FB1" w14:paraId="5FD43293" w14:textId="77777777" w:rsidTr="00B42999">
        <w:trPr>
          <w:trHeight w:val="300"/>
        </w:trPr>
        <w:tc>
          <w:tcPr>
            <w:tcW w:w="3085" w:type="dxa"/>
            <w:shd w:val="clear" w:color="auto" w:fill="auto"/>
          </w:tcPr>
          <w:p w14:paraId="5FD4328C"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Co-administered services currently MBS listed</w:t>
            </w:r>
          </w:p>
        </w:tc>
        <w:tc>
          <w:tcPr>
            <w:tcW w:w="992" w:type="dxa"/>
          </w:tcPr>
          <w:p w14:paraId="5FD4328D"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$9,885</w:t>
            </w:r>
          </w:p>
        </w:tc>
        <w:tc>
          <w:tcPr>
            <w:tcW w:w="993" w:type="dxa"/>
            <w:shd w:val="clear" w:color="auto" w:fill="auto"/>
          </w:tcPr>
          <w:p w14:paraId="5FD4328E"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$13,181</w:t>
            </w:r>
          </w:p>
        </w:tc>
        <w:tc>
          <w:tcPr>
            <w:tcW w:w="992" w:type="dxa"/>
            <w:shd w:val="clear" w:color="auto" w:fill="auto"/>
          </w:tcPr>
          <w:p w14:paraId="5FD4328F"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$17,077</w:t>
            </w:r>
          </w:p>
        </w:tc>
        <w:tc>
          <w:tcPr>
            <w:tcW w:w="992" w:type="dxa"/>
            <w:shd w:val="clear" w:color="auto" w:fill="auto"/>
          </w:tcPr>
          <w:p w14:paraId="5FD43290"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$21,872</w:t>
            </w:r>
          </w:p>
        </w:tc>
        <w:tc>
          <w:tcPr>
            <w:tcW w:w="992" w:type="dxa"/>
            <w:shd w:val="clear" w:color="auto" w:fill="auto"/>
          </w:tcPr>
          <w:p w14:paraId="5FD43291"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$28,165</w:t>
            </w:r>
          </w:p>
        </w:tc>
        <w:tc>
          <w:tcPr>
            <w:tcW w:w="1196" w:type="dxa"/>
          </w:tcPr>
          <w:p w14:paraId="5FD43292" w14:textId="77777777" w:rsidR="007603C2" w:rsidRPr="00E53FB1" w:rsidRDefault="007603C2" w:rsidP="00B42999">
            <w:pPr>
              <w:pStyle w:val="TableText0"/>
              <w:rPr>
                <w:rFonts w:ascii="Times New Roman" w:hAnsi="Times New Roman" w:cs="Times New Roman"/>
              </w:rPr>
            </w:pPr>
            <w:r w:rsidRPr="00E53FB1">
              <w:rPr>
                <w:rFonts w:ascii="Times New Roman" w:hAnsi="Times New Roman" w:cs="Times New Roman"/>
              </w:rPr>
              <w:t>$90,180</w:t>
            </w:r>
          </w:p>
        </w:tc>
      </w:tr>
      <w:tr w:rsidR="007603C2" w:rsidRPr="00E53FB1" w14:paraId="5FD4329B" w14:textId="77777777" w:rsidTr="00B42999">
        <w:trPr>
          <w:trHeight w:val="300"/>
        </w:trPr>
        <w:tc>
          <w:tcPr>
            <w:tcW w:w="3085" w:type="dxa"/>
            <w:shd w:val="clear" w:color="auto" w:fill="auto"/>
          </w:tcPr>
          <w:p w14:paraId="5FD43294" w14:textId="77777777" w:rsidR="007603C2" w:rsidRPr="00E53FB1" w:rsidRDefault="007603C2" w:rsidP="00B42999">
            <w:pPr>
              <w:pStyle w:val="TableText0"/>
              <w:rPr>
                <w:rFonts w:ascii="Times New Roman" w:hAnsi="Times New Roman" w:cs="Times New Roman"/>
                <w:b/>
              </w:rPr>
            </w:pPr>
            <w:r w:rsidRPr="00E53FB1">
              <w:rPr>
                <w:rFonts w:ascii="Times New Roman" w:hAnsi="Times New Roman" w:cs="Times New Roman"/>
                <w:b/>
              </w:rPr>
              <w:t xml:space="preserve">Overall total: </w:t>
            </w:r>
            <w:r>
              <w:rPr>
                <w:rFonts w:ascii="Times New Roman" w:hAnsi="Times New Roman" w:cs="Times New Roman"/>
                <w:b/>
              </w:rPr>
              <w:t>f</w:t>
            </w:r>
            <w:r w:rsidRPr="00E53FB1">
              <w:rPr>
                <w:rFonts w:ascii="Times New Roman" w:hAnsi="Times New Roman" w:cs="Times New Roman"/>
                <w:b/>
              </w:rPr>
              <w:t>ull benefits</w:t>
            </w:r>
          </w:p>
        </w:tc>
        <w:tc>
          <w:tcPr>
            <w:tcW w:w="992" w:type="dxa"/>
          </w:tcPr>
          <w:p w14:paraId="5FD43295" w14:textId="77777777" w:rsidR="007603C2" w:rsidRPr="00E53FB1" w:rsidRDefault="007603C2" w:rsidP="00B42999">
            <w:pPr>
              <w:pStyle w:val="TableText0"/>
              <w:rPr>
                <w:rFonts w:ascii="Times New Roman" w:hAnsi="Times New Roman" w:cs="Times New Roman"/>
                <w:b/>
                <w:i/>
              </w:rPr>
            </w:pPr>
            <w:r w:rsidRPr="00E53FB1">
              <w:rPr>
                <w:rFonts w:ascii="Times New Roman" w:hAnsi="Times New Roman" w:cs="Times New Roman"/>
                <w:b/>
              </w:rPr>
              <w:t>$32,833</w:t>
            </w:r>
          </w:p>
        </w:tc>
        <w:tc>
          <w:tcPr>
            <w:tcW w:w="993" w:type="dxa"/>
            <w:shd w:val="clear" w:color="auto" w:fill="auto"/>
          </w:tcPr>
          <w:p w14:paraId="5FD43296" w14:textId="77777777" w:rsidR="007603C2" w:rsidRPr="00E53FB1" w:rsidRDefault="007603C2" w:rsidP="00B42999">
            <w:pPr>
              <w:pStyle w:val="TableText0"/>
              <w:rPr>
                <w:rFonts w:ascii="Times New Roman" w:hAnsi="Times New Roman" w:cs="Times New Roman"/>
                <w:b/>
                <w:i/>
              </w:rPr>
            </w:pPr>
            <w:r w:rsidRPr="00E53FB1">
              <w:rPr>
                <w:rFonts w:ascii="Times New Roman" w:hAnsi="Times New Roman" w:cs="Times New Roman"/>
                <w:b/>
              </w:rPr>
              <w:t>$43,375</w:t>
            </w:r>
          </w:p>
        </w:tc>
        <w:tc>
          <w:tcPr>
            <w:tcW w:w="992" w:type="dxa"/>
            <w:shd w:val="clear" w:color="auto" w:fill="auto"/>
          </w:tcPr>
          <w:p w14:paraId="5FD43297" w14:textId="77777777" w:rsidR="007603C2" w:rsidRPr="00E53FB1" w:rsidRDefault="007603C2" w:rsidP="00B42999">
            <w:pPr>
              <w:pStyle w:val="TableText0"/>
              <w:rPr>
                <w:rFonts w:ascii="Times New Roman" w:hAnsi="Times New Roman" w:cs="Times New Roman"/>
                <w:b/>
                <w:i/>
              </w:rPr>
            </w:pPr>
            <w:r w:rsidRPr="00E53FB1">
              <w:rPr>
                <w:rFonts w:ascii="Times New Roman" w:hAnsi="Times New Roman" w:cs="Times New Roman"/>
                <w:b/>
              </w:rPr>
              <w:t>$55,930</w:t>
            </w:r>
          </w:p>
        </w:tc>
        <w:tc>
          <w:tcPr>
            <w:tcW w:w="992" w:type="dxa"/>
            <w:shd w:val="clear" w:color="auto" w:fill="auto"/>
          </w:tcPr>
          <w:p w14:paraId="5FD43298" w14:textId="77777777" w:rsidR="007603C2" w:rsidRPr="00E53FB1" w:rsidRDefault="007603C2" w:rsidP="00B42999">
            <w:pPr>
              <w:pStyle w:val="TableText0"/>
              <w:rPr>
                <w:rFonts w:ascii="Times New Roman" w:hAnsi="Times New Roman" w:cs="Times New Roman"/>
                <w:b/>
                <w:i/>
              </w:rPr>
            </w:pPr>
            <w:r w:rsidRPr="00E53FB1">
              <w:rPr>
                <w:rFonts w:ascii="Times New Roman" w:hAnsi="Times New Roman" w:cs="Times New Roman"/>
                <w:b/>
              </w:rPr>
              <w:t>$71,327</w:t>
            </w:r>
          </w:p>
        </w:tc>
        <w:tc>
          <w:tcPr>
            <w:tcW w:w="992" w:type="dxa"/>
            <w:shd w:val="clear" w:color="auto" w:fill="auto"/>
          </w:tcPr>
          <w:p w14:paraId="5FD43299" w14:textId="77777777" w:rsidR="007603C2" w:rsidRPr="00E53FB1" w:rsidRDefault="007603C2" w:rsidP="00B42999">
            <w:pPr>
              <w:pStyle w:val="TableText0"/>
              <w:rPr>
                <w:rFonts w:ascii="Times New Roman" w:hAnsi="Times New Roman" w:cs="Times New Roman"/>
                <w:b/>
                <w:i/>
              </w:rPr>
            </w:pPr>
            <w:r w:rsidRPr="00E53FB1">
              <w:rPr>
                <w:rFonts w:ascii="Times New Roman" w:hAnsi="Times New Roman" w:cs="Times New Roman"/>
                <w:b/>
              </w:rPr>
              <w:t>$91,580</w:t>
            </w:r>
          </w:p>
        </w:tc>
        <w:tc>
          <w:tcPr>
            <w:tcW w:w="1196" w:type="dxa"/>
          </w:tcPr>
          <w:p w14:paraId="5FD4329A" w14:textId="77777777" w:rsidR="007603C2" w:rsidRPr="00E53FB1" w:rsidRDefault="007603C2" w:rsidP="00B42999">
            <w:pPr>
              <w:pStyle w:val="TableText0"/>
              <w:rPr>
                <w:rFonts w:ascii="Times New Roman" w:hAnsi="Times New Roman" w:cs="Times New Roman"/>
                <w:b/>
              </w:rPr>
            </w:pPr>
            <w:r w:rsidRPr="00E53FB1">
              <w:rPr>
                <w:rFonts w:ascii="Times New Roman" w:hAnsi="Times New Roman" w:cs="Times New Roman"/>
                <w:b/>
              </w:rPr>
              <w:t>$295,045</w:t>
            </w:r>
          </w:p>
        </w:tc>
      </w:tr>
      <w:tr w:rsidR="007603C2" w:rsidRPr="00E53FB1" w14:paraId="5FD432A3" w14:textId="77777777" w:rsidTr="00B42999">
        <w:trPr>
          <w:trHeight w:val="300"/>
        </w:trPr>
        <w:tc>
          <w:tcPr>
            <w:tcW w:w="3085" w:type="dxa"/>
            <w:tcBorders>
              <w:bottom w:val="single" w:sz="4" w:space="0" w:color="auto"/>
            </w:tcBorders>
            <w:shd w:val="clear" w:color="auto" w:fill="auto"/>
          </w:tcPr>
          <w:p w14:paraId="5FD4329C" w14:textId="77777777" w:rsidR="007603C2" w:rsidRPr="00E53FB1" w:rsidRDefault="007603C2" w:rsidP="00B42999">
            <w:pPr>
              <w:pStyle w:val="TableText0"/>
              <w:rPr>
                <w:rFonts w:ascii="Times New Roman" w:hAnsi="Times New Roman" w:cs="Times New Roman"/>
                <w:b/>
              </w:rPr>
            </w:pPr>
            <w:r w:rsidRPr="00E53FB1">
              <w:rPr>
                <w:rFonts w:ascii="Times New Roman" w:hAnsi="Times New Roman" w:cs="Times New Roman"/>
                <w:b/>
              </w:rPr>
              <w:t>Overall total: 75% benefits</w:t>
            </w:r>
          </w:p>
        </w:tc>
        <w:tc>
          <w:tcPr>
            <w:tcW w:w="992" w:type="dxa"/>
            <w:tcBorders>
              <w:bottom w:val="single" w:sz="4" w:space="0" w:color="auto"/>
            </w:tcBorders>
          </w:tcPr>
          <w:p w14:paraId="5FD4329D" w14:textId="77777777" w:rsidR="007603C2" w:rsidRPr="00E53FB1" w:rsidRDefault="007603C2" w:rsidP="00B42999">
            <w:pPr>
              <w:pStyle w:val="TableText0"/>
              <w:rPr>
                <w:rFonts w:ascii="Times New Roman" w:hAnsi="Times New Roman" w:cs="Times New Roman"/>
                <w:b/>
                <w:i/>
              </w:rPr>
            </w:pPr>
            <w:r w:rsidRPr="00E53FB1">
              <w:rPr>
                <w:rFonts w:ascii="Times New Roman" w:hAnsi="Times New Roman" w:cs="Times New Roman"/>
                <w:b/>
              </w:rPr>
              <w:t>$24,625</w:t>
            </w:r>
          </w:p>
        </w:tc>
        <w:tc>
          <w:tcPr>
            <w:tcW w:w="993" w:type="dxa"/>
            <w:tcBorders>
              <w:bottom w:val="single" w:sz="4" w:space="0" w:color="auto"/>
            </w:tcBorders>
            <w:shd w:val="clear" w:color="auto" w:fill="auto"/>
          </w:tcPr>
          <w:p w14:paraId="5FD4329E" w14:textId="77777777" w:rsidR="007603C2" w:rsidRPr="00E53FB1" w:rsidRDefault="007603C2" w:rsidP="00B42999">
            <w:pPr>
              <w:pStyle w:val="TableText0"/>
              <w:rPr>
                <w:rFonts w:ascii="Times New Roman" w:hAnsi="Times New Roman" w:cs="Times New Roman"/>
                <w:b/>
                <w:i/>
              </w:rPr>
            </w:pPr>
            <w:r w:rsidRPr="00E53FB1">
              <w:rPr>
                <w:rFonts w:ascii="Times New Roman" w:hAnsi="Times New Roman" w:cs="Times New Roman"/>
                <w:b/>
              </w:rPr>
              <w:t>$32,531</w:t>
            </w:r>
          </w:p>
        </w:tc>
        <w:tc>
          <w:tcPr>
            <w:tcW w:w="992" w:type="dxa"/>
            <w:tcBorders>
              <w:bottom w:val="single" w:sz="4" w:space="0" w:color="auto"/>
            </w:tcBorders>
            <w:shd w:val="clear" w:color="auto" w:fill="auto"/>
          </w:tcPr>
          <w:p w14:paraId="5FD4329F" w14:textId="77777777" w:rsidR="007603C2" w:rsidRPr="00E53FB1" w:rsidRDefault="007603C2" w:rsidP="00B42999">
            <w:pPr>
              <w:pStyle w:val="TableText0"/>
              <w:rPr>
                <w:rFonts w:ascii="Times New Roman" w:hAnsi="Times New Roman" w:cs="Times New Roman"/>
                <w:b/>
                <w:i/>
              </w:rPr>
            </w:pPr>
            <w:r w:rsidRPr="00E53FB1">
              <w:rPr>
                <w:rFonts w:ascii="Times New Roman" w:hAnsi="Times New Roman" w:cs="Times New Roman"/>
                <w:b/>
              </w:rPr>
              <w:t>$41,947</w:t>
            </w:r>
          </w:p>
        </w:tc>
        <w:tc>
          <w:tcPr>
            <w:tcW w:w="992" w:type="dxa"/>
            <w:tcBorders>
              <w:bottom w:val="single" w:sz="4" w:space="0" w:color="auto"/>
            </w:tcBorders>
            <w:shd w:val="clear" w:color="auto" w:fill="auto"/>
          </w:tcPr>
          <w:p w14:paraId="5FD432A0" w14:textId="77777777" w:rsidR="007603C2" w:rsidRPr="00E53FB1" w:rsidRDefault="007603C2" w:rsidP="00B42999">
            <w:pPr>
              <w:pStyle w:val="TableText0"/>
              <w:rPr>
                <w:rFonts w:ascii="Times New Roman" w:hAnsi="Times New Roman" w:cs="Times New Roman"/>
                <w:b/>
                <w:i/>
              </w:rPr>
            </w:pPr>
            <w:r w:rsidRPr="00E53FB1">
              <w:rPr>
                <w:rFonts w:ascii="Times New Roman" w:hAnsi="Times New Roman" w:cs="Times New Roman"/>
                <w:b/>
              </w:rPr>
              <w:t>$53,495</w:t>
            </w:r>
          </w:p>
        </w:tc>
        <w:tc>
          <w:tcPr>
            <w:tcW w:w="992" w:type="dxa"/>
            <w:tcBorders>
              <w:bottom w:val="single" w:sz="4" w:space="0" w:color="auto"/>
            </w:tcBorders>
            <w:shd w:val="clear" w:color="auto" w:fill="auto"/>
          </w:tcPr>
          <w:p w14:paraId="5FD432A1" w14:textId="77777777" w:rsidR="007603C2" w:rsidRPr="00E53FB1" w:rsidRDefault="007603C2" w:rsidP="00B42999">
            <w:pPr>
              <w:pStyle w:val="TableText0"/>
              <w:rPr>
                <w:rFonts w:ascii="Times New Roman" w:hAnsi="Times New Roman" w:cs="Times New Roman"/>
                <w:b/>
                <w:i/>
              </w:rPr>
            </w:pPr>
            <w:r w:rsidRPr="00E53FB1">
              <w:rPr>
                <w:rFonts w:ascii="Times New Roman" w:hAnsi="Times New Roman" w:cs="Times New Roman"/>
                <w:b/>
              </w:rPr>
              <w:t>$68,685</w:t>
            </w:r>
          </w:p>
        </w:tc>
        <w:tc>
          <w:tcPr>
            <w:tcW w:w="1196" w:type="dxa"/>
            <w:tcBorders>
              <w:bottom w:val="single" w:sz="4" w:space="0" w:color="auto"/>
            </w:tcBorders>
          </w:tcPr>
          <w:p w14:paraId="5FD432A2" w14:textId="77777777" w:rsidR="007603C2" w:rsidRPr="00E53FB1" w:rsidRDefault="007603C2" w:rsidP="00B42999">
            <w:pPr>
              <w:pStyle w:val="TableText0"/>
              <w:rPr>
                <w:rFonts w:ascii="Times New Roman" w:hAnsi="Times New Roman" w:cs="Times New Roman"/>
                <w:b/>
              </w:rPr>
            </w:pPr>
            <w:r w:rsidRPr="00E53FB1">
              <w:rPr>
                <w:rFonts w:ascii="Times New Roman" w:hAnsi="Times New Roman" w:cs="Times New Roman"/>
                <w:b/>
              </w:rPr>
              <w:t>$221,284</w:t>
            </w:r>
          </w:p>
        </w:tc>
      </w:tr>
    </w:tbl>
    <w:p w14:paraId="5FD432A4" w14:textId="77777777" w:rsidR="007603C2" w:rsidRPr="002C476F" w:rsidRDefault="007603C2" w:rsidP="007603C2">
      <w:pPr>
        <w:pStyle w:val="TableNotes"/>
        <w:spacing w:after="0" w:line="240" w:lineRule="auto"/>
        <w:rPr>
          <w:rFonts w:ascii="Times New Roman" w:hAnsi="Times New Roman" w:cs="Times New Roman"/>
          <w:sz w:val="18"/>
          <w:szCs w:val="18"/>
        </w:rPr>
      </w:pPr>
      <w:r w:rsidRPr="002C476F">
        <w:rPr>
          <w:rFonts w:ascii="Times New Roman" w:hAnsi="Times New Roman" w:cs="Times New Roman"/>
          <w:sz w:val="18"/>
          <w:szCs w:val="18"/>
        </w:rPr>
        <w:t>Source: compiled during the evaluation</w:t>
      </w:r>
    </w:p>
    <w:p w14:paraId="5FD432A5" w14:textId="77777777" w:rsidR="007603C2" w:rsidRPr="002C476F" w:rsidRDefault="007603C2" w:rsidP="007603C2">
      <w:pPr>
        <w:pStyle w:val="TableNotes"/>
        <w:keepLines w:val="0"/>
        <w:spacing w:after="0" w:line="240" w:lineRule="auto"/>
        <w:rPr>
          <w:rFonts w:ascii="Times New Roman" w:hAnsi="Times New Roman" w:cs="Times New Roman"/>
          <w:sz w:val="24"/>
          <w:szCs w:val="24"/>
        </w:rPr>
      </w:pPr>
    </w:p>
    <w:p w14:paraId="5FD432A6" w14:textId="77777777" w:rsidR="007603C2" w:rsidRPr="00E53FB1" w:rsidRDefault="007603C2" w:rsidP="007603C2">
      <w:pPr>
        <w:pStyle w:val="TableNotes"/>
        <w:keepLines w:val="0"/>
        <w:spacing w:after="0" w:line="240" w:lineRule="auto"/>
        <w:jc w:val="left"/>
        <w:rPr>
          <w:rFonts w:ascii="Times New Roman" w:hAnsi="Times New Roman" w:cs="Times New Roman"/>
          <w:sz w:val="24"/>
          <w:szCs w:val="24"/>
        </w:rPr>
      </w:pPr>
      <w:r w:rsidRPr="002C476F">
        <w:rPr>
          <w:rFonts w:ascii="Times New Roman" w:hAnsi="Times New Roman" w:cs="Times New Roman"/>
          <w:sz w:val="24"/>
          <w:szCs w:val="24"/>
        </w:rPr>
        <w:t xml:space="preserve">The overall estimated per patient cost to the MBS associated with the implantation of the </w:t>
      </w:r>
      <w:r w:rsidRPr="00E53FB1">
        <w:rPr>
          <w:rFonts w:ascii="Times New Roman" w:hAnsi="Times New Roman" w:cs="Times New Roman"/>
          <w:sz w:val="24"/>
          <w:szCs w:val="24"/>
        </w:rPr>
        <w:t xml:space="preserve">VNS </w:t>
      </w:r>
      <w:r>
        <w:rPr>
          <w:rFonts w:ascii="Times New Roman" w:hAnsi="Times New Roman" w:cs="Times New Roman"/>
          <w:sz w:val="24"/>
          <w:szCs w:val="24"/>
        </w:rPr>
        <w:t>t</w:t>
      </w:r>
      <w:r w:rsidRPr="00E53FB1">
        <w:rPr>
          <w:rFonts w:ascii="Times New Roman" w:hAnsi="Times New Roman" w:cs="Times New Roman"/>
          <w:sz w:val="24"/>
          <w:szCs w:val="24"/>
        </w:rPr>
        <w:t xml:space="preserve">herapy device </w:t>
      </w:r>
      <w:r w:rsidR="00720F34">
        <w:rPr>
          <w:rFonts w:ascii="Times New Roman" w:hAnsi="Times New Roman" w:cs="Times New Roman"/>
          <w:sz w:val="24"/>
          <w:szCs w:val="24"/>
        </w:rPr>
        <w:t>wa</w:t>
      </w:r>
      <w:r w:rsidRPr="00E53FB1">
        <w:rPr>
          <w:rFonts w:ascii="Times New Roman" w:hAnsi="Times New Roman" w:cs="Times New Roman"/>
          <w:sz w:val="24"/>
          <w:szCs w:val="24"/>
        </w:rPr>
        <w:t xml:space="preserve">s $2,012.44. Over the first five years of listing, the overall cost for all VNS </w:t>
      </w:r>
      <w:r>
        <w:rPr>
          <w:rFonts w:ascii="Times New Roman" w:hAnsi="Times New Roman" w:cs="Times New Roman"/>
          <w:sz w:val="24"/>
          <w:szCs w:val="24"/>
        </w:rPr>
        <w:t>t</w:t>
      </w:r>
      <w:r w:rsidRPr="00E53FB1">
        <w:rPr>
          <w:rFonts w:ascii="Times New Roman" w:hAnsi="Times New Roman" w:cs="Times New Roman"/>
          <w:sz w:val="24"/>
          <w:szCs w:val="24"/>
        </w:rPr>
        <w:t xml:space="preserve">herapy procedures (including costs associated with patient consultation, anaesthetics and assistance at the operation) </w:t>
      </w:r>
      <w:r w:rsidR="00720F34">
        <w:rPr>
          <w:rFonts w:ascii="Times New Roman" w:hAnsi="Times New Roman" w:cs="Times New Roman"/>
          <w:sz w:val="24"/>
          <w:szCs w:val="24"/>
        </w:rPr>
        <w:t>wa</w:t>
      </w:r>
      <w:r w:rsidR="00720F34" w:rsidRPr="00E53FB1">
        <w:rPr>
          <w:rFonts w:ascii="Times New Roman" w:hAnsi="Times New Roman" w:cs="Times New Roman"/>
          <w:sz w:val="24"/>
          <w:szCs w:val="24"/>
        </w:rPr>
        <w:t xml:space="preserve">s </w:t>
      </w:r>
      <w:r w:rsidRPr="00E53FB1">
        <w:rPr>
          <w:rFonts w:ascii="Times New Roman" w:hAnsi="Times New Roman" w:cs="Times New Roman"/>
          <w:sz w:val="24"/>
          <w:szCs w:val="24"/>
        </w:rPr>
        <w:t>estimated as $295,045 (full benefits) and $221,284 (75% benefits).</w:t>
      </w:r>
    </w:p>
    <w:p w14:paraId="5FD432A7" w14:textId="77777777" w:rsidR="006A0D97" w:rsidRPr="00F715D1" w:rsidRDefault="006A0D97" w:rsidP="00F715D1">
      <w:pPr>
        <w:pStyle w:val="Heading1"/>
      </w:pPr>
      <w:r w:rsidRPr="00F715D1">
        <w:t>Key issues from ESC for MSAC</w:t>
      </w:r>
    </w:p>
    <w:p w14:paraId="5FD432A8" w14:textId="77777777" w:rsidR="00A478BF" w:rsidRPr="00E53FB1" w:rsidRDefault="00A478BF" w:rsidP="00A478BF">
      <w:pPr>
        <w:spacing w:after="240"/>
        <w:rPr>
          <w:szCs w:val="24"/>
        </w:rPr>
      </w:pPr>
      <w:r w:rsidRPr="00E53FB1">
        <w:rPr>
          <w:szCs w:val="24"/>
        </w:rPr>
        <w:t xml:space="preserve">ESC noted that although no additional primary data </w:t>
      </w:r>
      <w:r>
        <w:rPr>
          <w:szCs w:val="24"/>
        </w:rPr>
        <w:t xml:space="preserve">on </w:t>
      </w:r>
      <w:r w:rsidRPr="00E53FB1">
        <w:rPr>
          <w:szCs w:val="24"/>
        </w:rPr>
        <w:t xml:space="preserve">efficacy or safety </w:t>
      </w:r>
      <w:r w:rsidR="00720F34">
        <w:rPr>
          <w:szCs w:val="24"/>
        </w:rPr>
        <w:t>wa</w:t>
      </w:r>
      <w:r w:rsidRPr="00E53FB1">
        <w:rPr>
          <w:szCs w:val="24"/>
        </w:rPr>
        <w:t xml:space="preserve">s provided, the resubmission </w:t>
      </w:r>
      <w:r w:rsidR="00720F34">
        <w:rPr>
          <w:szCs w:val="24"/>
        </w:rPr>
        <w:t xml:space="preserve">sought </w:t>
      </w:r>
      <w:r>
        <w:rPr>
          <w:szCs w:val="24"/>
        </w:rPr>
        <w:t>to address</w:t>
      </w:r>
      <w:r w:rsidRPr="00E53FB1">
        <w:rPr>
          <w:szCs w:val="24"/>
        </w:rPr>
        <w:t xml:space="preserve"> the issues raised by MSAC in the 2015 PSD regarding the economic model</w:t>
      </w:r>
      <w:r>
        <w:rPr>
          <w:szCs w:val="24"/>
        </w:rPr>
        <w:t>. The resubmission provides</w:t>
      </w:r>
      <w:r w:rsidRPr="00E53FB1">
        <w:rPr>
          <w:szCs w:val="24"/>
        </w:rPr>
        <w:t xml:space="preserve"> a</w:t>
      </w:r>
      <w:r>
        <w:rPr>
          <w:szCs w:val="24"/>
        </w:rPr>
        <w:t xml:space="preserve"> cost-</w:t>
      </w:r>
      <w:r w:rsidRPr="00E53FB1">
        <w:rPr>
          <w:szCs w:val="24"/>
        </w:rPr>
        <w:t xml:space="preserve">utility analysis over a </w:t>
      </w:r>
      <w:r>
        <w:rPr>
          <w:szCs w:val="24"/>
        </w:rPr>
        <w:t>5-</w:t>
      </w:r>
      <w:r w:rsidRPr="00E53FB1">
        <w:rPr>
          <w:szCs w:val="24"/>
        </w:rPr>
        <w:t>year time horizon</w:t>
      </w:r>
      <w:r>
        <w:rPr>
          <w:szCs w:val="24"/>
        </w:rPr>
        <w:t xml:space="preserve">; </w:t>
      </w:r>
      <w:r w:rsidRPr="00E53FB1">
        <w:rPr>
          <w:szCs w:val="24"/>
        </w:rPr>
        <w:t>based on a</w:t>
      </w:r>
      <w:r>
        <w:rPr>
          <w:szCs w:val="24"/>
        </w:rPr>
        <w:t xml:space="preserve"> structurally changed</w:t>
      </w:r>
      <w:r w:rsidRPr="00E53FB1">
        <w:rPr>
          <w:szCs w:val="24"/>
        </w:rPr>
        <w:t xml:space="preserve"> economic model with health states</w:t>
      </w:r>
      <w:r>
        <w:rPr>
          <w:szCs w:val="24"/>
        </w:rPr>
        <w:t xml:space="preserve"> and</w:t>
      </w:r>
      <w:r w:rsidRPr="00E53FB1">
        <w:rPr>
          <w:szCs w:val="24"/>
        </w:rPr>
        <w:t xml:space="preserve"> disutility </w:t>
      </w:r>
      <w:r>
        <w:rPr>
          <w:szCs w:val="24"/>
        </w:rPr>
        <w:t xml:space="preserve">adjustments </w:t>
      </w:r>
      <w:r w:rsidRPr="00E53FB1">
        <w:rPr>
          <w:szCs w:val="24"/>
        </w:rPr>
        <w:t>for adverse events</w:t>
      </w:r>
      <w:r>
        <w:rPr>
          <w:szCs w:val="24"/>
        </w:rPr>
        <w:t>;</w:t>
      </w:r>
      <w:r w:rsidRPr="00E53FB1">
        <w:rPr>
          <w:szCs w:val="24"/>
        </w:rPr>
        <w:t xml:space="preserve"> and </w:t>
      </w:r>
      <w:r>
        <w:rPr>
          <w:szCs w:val="24"/>
        </w:rPr>
        <w:t xml:space="preserve">results presented as an ICER </w:t>
      </w:r>
      <w:r w:rsidRPr="00E53FB1">
        <w:rPr>
          <w:szCs w:val="24"/>
        </w:rPr>
        <w:t>per seizure</w:t>
      </w:r>
      <w:r>
        <w:rPr>
          <w:szCs w:val="24"/>
        </w:rPr>
        <w:t xml:space="preserve"> avoided</w:t>
      </w:r>
      <w:r w:rsidRPr="00E53FB1">
        <w:rPr>
          <w:szCs w:val="24"/>
        </w:rPr>
        <w:t>.</w:t>
      </w:r>
    </w:p>
    <w:p w14:paraId="5FD432A9" w14:textId="77777777" w:rsidR="00A478BF" w:rsidRPr="00E53FB1" w:rsidRDefault="00A478BF" w:rsidP="00A478BF">
      <w:pPr>
        <w:rPr>
          <w:szCs w:val="24"/>
        </w:rPr>
      </w:pPr>
      <w:r w:rsidRPr="00E53FB1">
        <w:rPr>
          <w:szCs w:val="24"/>
        </w:rPr>
        <w:t xml:space="preserve">However, ESC considered that the </w:t>
      </w:r>
      <w:r>
        <w:rPr>
          <w:szCs w:val="24"/>
        </w:rPr>
        <w:t>extrapolation</w:t>
      </w:r>
      <w:r w:rsidRPr="00E53FB1">
        <w:rPr>
          <w:szCs w:val="24"/>
        </w:rPr>
        <w:t xml:space="preserve"> of the </w:t>
      </w:r>
      <w:r>
        <w:rPr>
          <w:szCs w:val="24"/>
        </w:rPr>
        <w:t xml:space="preserve">randomised </w:t>
      </w:r>
      <w:r w:rsidRPr="00E53FB1">
        <w:rPr>
          <w:szCs w:val="24"/>
        </w:rPr>
        <w:t>trial evidence (</w:t>
      </w:r>
      <w:r>
        <w:rPr>
          <w:szCs w:val="24"/>
        </w:rPr>
        <w:t xml:space="preserve">based on data from other sources, </w:t>
      </w:r>
      <w:r w:rsidR="005709FB">
        <w:rPr>
          <w:szCs w:val="24"/>
        </w:rPr>
        <w:t>see Figure 2</w:t>
      </w:r>
      <w:r w:rsidRPr="00E53FB1">
        <w:rPr>
          <w:szCs w:val="24"/>
        </w:rPr>
        <w:t xml:space="preserve">) to determine the </w:t>
      </w:r>
      <w:r>
        <w:rPr>
          <w:szCs w:val="24"/>
        </w:rPr>
        <w:t xml:space="preserve">comparative </w:t>
      </w:r>
      <w:r w:rsidRPr="00E53FB1">
        <w:rPr>
          <w:szCs w:val="24"/>
        </w:rPr>
        <w:t>proportion</w:t>
      </w:r>
      <w:r>
        <w:rPr>
          <w:szCs w:val="24"/>
        </w:rPr>
        <w:t>s</w:t>
      </w:r>
      <w:r w:rsidRPr="00E53FB1">
        <w:rPr>
          <w:szCs w:val="24"/>
        </w:rPr>
        <w:t xml:space="preserve"> of pat</w:t>
      </w:r>
      <w:r>
        <w:rPr>
          <w:szCs w:val="24"/>
        </w:rPr>
        <w:t>ients with a response and being seizure-</w:t>
      </w:r>
      <w:r w:rsidRPr="00E53FB1">
        <w:rPr>
          <w:szCs w:val="24"/>
        </w:rPr>
        <w:t xml:space="preserve">free over time (see Figure </w:t>
      </w:r>
      <w:r w:rsidR="005709FB">
        <w:rPr>
          <w:szCs w:val="24"/>
        </w:rPr>
        <w:t>3</w:t>
      </w:r>
      <w:r w:rsidRPr="00E53FB1">
        <w:rPr>
          <w:szCs w:val="24"/>
        </w:rPr>
        <w:t xml:space="preserve">) in the economic model was </w:t>
      </w:r>
      <w:r w:rsidRPr="00E53FB1">
        <w:rPr>
          <w:szCs w:val="24"/>
        </w:rPr>
        <w:lastRenderedPageBreak/>
        <w:t xml:space="preserve">uncertain. Figure </w:t>
      </w:r>
      <w:r w:rsidR="005709FB">
        <w:rPr>
          <w:szCs w:val="24"/>
        </w:rPr>
        <w:t>3</w:t>
      </w:r>
      <w:r w:rsidRPr="00E53FB1">
        <w:rPr>
          <w:szCs w:val="24"/>
        </w:rPr>
        <w:t xml:space="preserve"> </w:t>
      </w:r>
      <w:r>
        <w:rPr>
          <w:szCs w:val="24"/>
        </w:rPr>
        <w:t xml:space="preserve">presents a modelled </w:t>
      </w:r>
      <w:r w:rsidRPr="00E53FB1">
        <w:rPr>
          <w:szCs w:val="24"/>
        </w:rPr>
        <w:t>synthesis</w:t>
      </w:r>
      <w:r>
        <w:rPr>
          <w:szCs w:val="24"/>
        </w:rPr>
        <w:t xml:space="preserve"> of</w:t>
      </w:r>
      <w:r w:rsidRPr="00E53FB1">
        <w:rPr>
          <w:szCs w:val="24"/>
        </w:rPr>
        <w:t xml:space="preserve"> </w:t>
      </w:r>
      <w:r>
        <w:rPr>
          <w:szCs w:val="24"/>
        </w:rPr>
        <w:t>the 3-</w:t>
      </w:r>
      <w:r w:rsidRPr="00E53FB1">
        <w:rPr>
          <w:szCs w:val="24"/>
        </w:rPr>
        <w:t>month randomised controlled trial</w:t>
      </w:r>
      <w:r>
        <w:rPr>
          <w:szCs w:val="24"/>
        </w:rPr>
        <w:t xml:space="preserve"> and the longer-term single-</w:t>
      </w:r>
      <w:r w:rsidRPr="00E53FB1">
        <w:rPr>
          <w:szCs w:val="24"/>
        </w:rPr>
        <w:t xml:space="preserve">arm observational studies to show a further incremental </w:t>
      </w:r>
      <w:r>
        <w:rPr>
          <w:szCs w:val="24"/>
        </w:rPr>
        <w:t>effect</w:t>
      </w:r>
      <w:r w:rsidRPr="00E53FB1">
        <w:rPr>
          <w:szCs w:val="24"/>
        </w:rPr>
        <w:t xml:space="preserve"> in the VNS arm</w:t>
      </w:r>
      <w:r>
        <w:rPr>
          <w:szCs w:val="24"/>
        </w:rPr>
        <w:t>. H</w:t>
      </w:r>
      <w:r w:rsidRPr="00E53FB1">
        <w:rPr>
          <w:szCs w:val="24"/>
        </w:rPr>
        <w:t>owever</w:t>
      </w:r>
      <w:r w:rsidR="00720F34">
        <w:rPr>
          <w:szCs w:val="24"/>
        </w:rPr>
        <w:t>,</w:t>
      </w:r>
      <w:r w:rsidRPr="00E53FB1">
        <w:rPr>
          <w:szCs w:val="24"/>
        </w:rPr>
        <w:t xml:space="preserve"> ESC </w:t>
      </w:r>
      <w:r>
        <w:rPr>
          <w:szCs w:val="24"/>
        </w:rPr>
        <w:t xml:space="preserve">also </w:t>
      </w:r>
      <w:r w:rsidRPr="00E53FB1">
        <w:rPr>
          <w:szCs w:val="24"/>
        </w:rPr>
        <w:t xml:space="preserve">noted there were no sensitivity analyses provided for this </w:t>
      </w:r>
      <w:r>
        <w:rPr>
          <w:szCs w:val="24"/>
        </w:rPr>
        <w:t>approach in the economic modelling</w:t>
      </w:r>
      <w:r w:rsidRPr="00E53FB1">
        <w:rPr>
          <w:szCs w:val="24"/>
        </w:rPr>
        <w:t xml:space="preserve">. ESC </w:t>
      </w:r>
      <w:r>
        <w:rPr>
          <w:szCs w:val="24"/>
        </w:rPr>
        <w:t xml:space="preserve">requested the </w:t>
      </w:r>
      <w:r w:rsidR="00720F34">
        <w:rPr>
          <w:szCs w:val="24"/>
        </w:rPr>
        <w:t xml:space="preserve">applicant </w:t>
      </w:r>
      <w:r w:rsidR="00D43F04">
        <w:rPr>
          <w:szCs w:val="24"/>
        </w:rPr>
        <w:t xml:space="preserve">to </w:t>
      </w:r>
      <w:r>
        <w:rPr>
          <w:szCs w:val="24"/>
        </w:rPr>
        <w:t>provide</w:t>
      </w:r>
      <w:r w:rsidR="00720F34">
        <w:rPr>
          <w:szCs w:val="24"/>
        </w:rPr>
        <w:t xml:space="preserve"> MSAC </w:t>
      </w:r>
      <w:r w:rsidRPr="00E53FB1">
        <w:rPr>
          <w:szCs w:val="24"/>
        </w:rPr>
        <w:t xml:space="preserve">sensitivity analyses around </w:t>
      </w:r>
      <w:r>
        <w:rPr>
          <w:szCs w:val="24"/>
        </w:rPr>
        <w:t xml:space="preserve">this approach </w:t>
      </w:r>
      <w:r w:rsidRPr="00E53FB1">
        <w:rPr>
          <w:szCs w:val="24"/>
        </w:rPr>
        <w:t xml:space="preserve">for </w:t>
      </w:r>
      <w:r>
        <w:rPr>
          <w:szCs w:val="24"/>
        </w:rPr>
        <w:t>the proportions of patients with a response and being seizure-free</w:t>
      </w:r>
      <w:r w:rsidRPr="00E53FB1">
        <w:rPr>
          <w:szCs w:val="24"/>
        </w:rPr>
        <w:t xml:space="preserve"> </w:t>
      </w:r>
      <w:r>
        <w:rPr>
          <w:szCs w:val="24"/>
        </w:rPr>
        <w:t xml:space="preserve">in order to examine </w:t>
      </w:r>
      <w:r w:rsidRPr="00E53FB1">
        <w:rPr>
          <w:szCs w:val="24"/>
        </w:rPr>
        <w:t xml:space="preserve">how important </w:t>
      </w:r>
      <w:r>
        <w:rPr>
          <w:szCs w:val="24"/>
        </w:rPr>
        <w:t xml:space="preserve">to the ICER </w:t>
      </w:r>
      <w:r w:rsidR="00D43F04">
        <w:rPr>
          <w:szCs w:val="24"/>
        </w:rPr>
        <w:t>wa</w:t>
      </w:r>
      <w:r>
        <w:rPr>
          <w:szCs w:val="24"/>
        </w:rPr>
        <w:t xml:space="preserve">s </w:t>
      </w:r>
      <w:r w:rsidRPr="00E53FB1">
        <w:rPr>
          <w:szCs w:val="24"/>
        </w:rPr>
        <w:t xml:space="preserve">the </w:t>
      </w:r>
      <w:r>
        <w:rPr>
          <w:szCs w:val="24"/>
        </w:rPr>
        <w:t xml:space="preserve">extra treatment effect generated over </w:t>
      </w:r>
      <w:r w:rsidRPr="00E53FB1">
        <w:rPr>
          <w:szCs w:val="24"/>
        </w:rPr>
        <w:t xml:space="preserve">3-24 months </w:t>
      </w:r>
      <w:r>
        <w:rPr>
          <w:szCs w:val="24"/>
        </w:rPr>
        <w:t>and then maintained for the remaining three years</w:t>
      </w:r>
      <w:r w:rsidRPr="00E53FB1">
        <w:rPr>
          <w:szCs w:val="24"/>
        </w:rPr>
        <w:t xml:space="preserve">. The </w:t>
      </w:r>
      <w:r w:rsidR="00D43F04">
        <w:rPr>
          <w:szCs w:val="24"/>
        </w:rPr>
        <w:t>a</w:t>
      </w:r>
      <w:r w:rsidR="00D43F04" w:rsidRPr="00E53FB1">
        <w:rPr>
          <w:szCs w:val="24"/>
        </w:rPr>
        <w:t xml:space="preserve">pplicant </w:t>
      </w:r>
      <w:r w:rsidR="00D43F04">
        <w:rPr>
          <w:szCs w:val="24"/>
        </w:rPr>
        <w:t>was</w:t>
      </w:r>
      <w:r w:rsidR="00D43F04" w:rsidRPr="00E53FB1">
        <w:rPr>
          <w:szCs w:val="24"/>
        </w:rPr>
        <w:t xml:space="preserve"> </w:t>
      </w:r>
      <w:r>
        <w:rPr>
          <w:szCs w:val="24"/>
        </w:rPr>
        <w:t xml:space="preserve">also </w:t>
      </w:r>
      <w:r w:rsidR="00D43F04">
        <w:rPr>
          <w:szCs w:val="24"/>
        </w:rPr>
        <w:t xml:space="preserve">asked to consider </w:t>
      </w:r>
      <w:r w:rsidRPr="00E53FB1">
        <w:rPr>
          <w:szCs w:val="24"/>
        </w:rPr>
        <w:t>provid</w:t>
      </w:r>
      <w:r w:rsidR="00D43F04">
        <w:rPr>
          <w:szCs w:val="24"/>
        </w:rPr>
        <w:t>ing MSAC</w:t>
      </w:r>
      <w:r w:rsidRPr="00E53FB1">
        <w:rPr>
          <w:szCs w:val="24"/>
        </w:rPr>
        <w:t xml:space="preserve"> </w:t>
      </w:r>
      <w:r>
        <w:rPr>
          <w:szCs w:val="24"/>
        </w:rPr>
        <w:t xml:space="preserve">further </w:t>
      </w:r>
      <w:r w:rsidRPr="00E53FB1">
        <w:rPr>
          <w:szCs w:val="24"/>
        </w:rPr>
        <w:t xml:space="preserve">justification for </w:t>
      </w:r>
      <w:r>
        <w:rPr>
          <w:szCs w:val="24"/>
        </w:rPr>
        <w:t>its approach</w:t>
      </w:r>
      <w:r w:rsidRPr="00E53FB1">
        <w:rPr>
          <w:szCs w:val="24"/>
        </w:rPr>
        <w:t>.</w:t>
      </w:r>
    </w:p>
    <w:p w14:paraId="5FD432AA" w14:textId="77777777" w:rsidR="00A478BF" w:rsidRPr="00E53FB1" w:rsidRDefault="00A478BF" w:rsidP="00A478BF">
      <w:pPr>
        <w:rPr>
          <w:szCs w:val="24"/>
        </w:rPr>
      </w:pPr>
    </w:p>
    <w:p w14:paraId="5FD432AB" w14:textId="77777777" w:rsidR="00A478BF" w:rsidRPr="00AB4C09" w:rsidRDefault="00A478BF" w:rsidP="00A478BF">
      <w:pPr>
        <w:pStyle w:val="Caption"/>
        <w:rPr>
          <w:rStyle w:val="Strong"/>
        </w:rPr>
      </w:pPr>
      <w:bookmarkStart w:id="15" w:name="_Ref462223219"/>
      <w:r w:rsidRPr="00AB4C09">
        <w:rPr>
          <w:rStyle w:val="Strong"/>
        </w:rPr>
        <w:t xml:space="preserve">Figure </w:t>
      </w:r>
      <w:r w:rsidRPr="00AB4C09">
        <w:rPr>
          <w:rStyle w:val="Strong"/>
        </w:rPr>
        <w:fldChar w:fldCharType="begin"/>
      </w:r>
      <w:r w:rsidRPr="00AB4C09">
        <w:rPr>
          <w:rStyle w:val="Strong"/>
        </w:rPr>
        <w:instrText xml:space="preserve"> SEQ Figure \* ARABIC </w:instrText>
      </w:r>
      <w:r w:rsidRPr="00AB4C09">
        <w:rPr>
          <w:rStyle w:val="Strong"/>
        </w:rPr>
        <w:fldChar w:fldCharType="separate"/>
      </w:r>
      <w:r w:rsidR="005709FB" w:rsidRPr="00AB4C09">
        <w:rPr>
          <w:rStyle w:val="Strong"/>
        </w:rPr>
        <w:t>2</w:t>
      </w:r>
      <w:r w:rsidRPr="00AB4C09">
        <w:rPr>
          <w:rStyle w:val="Strong"/>
        </w:rPr>
        <w:fldChar w:fldCharType="end"/>
      </w:r>
      <w:bookmarkEnd w:id="15"/>
      <w:r w:rsidRPr="00AB4C09">
        <w:rPr>
          <w:rStyle w:val="Strong"/>
        </w:rPr>
        <w:tab/>
        <w:t>Summary of the data used to justify extrapolating the VNS treatment effect</w:t>
      </w:r>
    </w:p>
    <w:tbl>
      <w:tblPr>
        <w:tblStyle w:val="TableGrid"/>
        <w:tblW w:w="0" w:type="auto"/>
        <w:tblLayout w:type="fixed"/>
        <w:tblLook w:val="04A0" w:firstRow="1" w:lastRow="0" w:firstColumn="1" w:lastColumn="0" w:noHBand="0" w:noVBand="1"/>
        <w:tblCaption w:val="Figure 2 Summary of the data used to jsutify extrapolating the VNS treatment effect"/>
        <w:tblDescription w:val="Figure 2 Summary of the data used to jsutify extrapolating the VNS treatment effect"/>
      </w:tblPr>
      <w:tblGrid>
        <w:gridCol w:w="2926"/>
        <w:gridCol w:w="2926"/>
        <w:gridCol w:w="2926"/>
      </w:tblGrid>
      <w:tr w:rsidR="00A478BF" w:rsidRPr="00E53FB1" w14:paraId="5FD432AF" w14:textId="77777777" w:rsidTr="0013020C">
        <w:trPr>
          <w:tblHeader/>
        </w:trPr>
        <w:tc>
          <w:tcPr>
            <w:tcW w:w="2926" w:type="dxa"/>
          </w:tcPr>
          <w:p w14:paraId="5FD432AC" w14:textId="77777777" w:rsidR="00A478BF" w:rsidRPr="00E53FB1" w:rsidRDefault="00A478BF" w:rsidP="00B42999">
            <w:pPr>
              <w:pStyle w:val="Tabletext"/>
              <w:rPr>
                <w:rFonts w:ascii="Times New Roman" w:hAnsi="Times New Roman"/>
              </w:rPr>
            </w:pPr>
            <w:r w:rsidRPr="00E53FB1">
              <w:rPr>
                <w:rFonts w:ascii="Times New Roman" w:hAnsi="Times New Roman"/>
                <w:noProof/>
                <w:lang w:eastAsia="en-AU"/>
              </w:rPr>
              <w:drawing>
                <wp:inline distT="0" distB="0" distL="0" distR="0" wp14:anchorId="5FD432CF" wp14:editId="5FD432D0">
                  <wp:extent cx="1723282" cy="1328012"/>
                  <wp:effectExtent l="0" t="0" r="0" b="5715"/>
                  <wp:docPr id="20" name="Picture 20" descr="Figure 2 - diagram: Source-Englot et al. Registry data (n=5554); Figure 3 of the SBA" title="Figure 2 - diagram: Source-Englot et al. Registry data (n=5554); Figure 3 of the S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srcRect l="6612" t="7176" r="4118"/>
                          <a:stretch/>
                        </pic:blipFill>
                        <pic:spPr bwMode="auto">
                          <a:xfrm>
                            <a:off x="0" y="0"/>
                            <a:ext cx="1728423" cy="1331973"/>
                          </a:xfrm>
                          <a:prstGeom prst="rect">
                            <a:avLst/>
                          </a:prstGeom>
                          <a:ln>
                            <a:noFill/>
                          </a:ln>
                          <a:extLst>
                            <a:ext uri="{53640926-AAD7-44D8-BBD7-CCE9431645EC}">
                              <a14:shadowObscured xmlns:a14="http://schemas.microsoft.com/office/drawing/2010/main"/>
                            </a:ext>
                          </a:extLst>
                        </pic:spPr>
                      </pic:pic>
                    </a:graphicData>
                  </a:graphic>
                </wp:inline>
              </w:drawing>
            </w:r>
          </w:p>
        </w:tc>
        <w:tc>
          <w:tcPr>
            <w:tcW w:w="2926" w:type="dxa"/>
          </w:tcPr>
          <w:p w14:paraId="5FD432AD" w14:textId="77777777" w:rsidR="00A478BF" w:rsidRPr="00E53FB1" w:rsidRDefault="00A478BF" w:rsidP="00B42999">
            <w:pPr>
              <w:pStyle w:val="Tabletext"/>
              <w:rPr>
                <w:rFonts w:ascii="Times New Roman" w:hAnsi="Times New Roman"/>
              </w:rPr>
            </w:pPr>
            <w:r w:rsidRPr="00E53FB1">
              <w:rPr>
                <w:rFonts w:ascii="Times New Roman" w:hAnsi="Times New Roman"/>
                <w:noProof/>
                <w:lang w:eastAsia="en-AU"/>
              </w:rPr>
              <w:drawing>
                <wp:inline distT="0" distB="0" distL="0" distR="0" wp14:anchorId="5FD432D1" wp14:editId="5FD432D2">
                  <wp:extent cx="1692000" cy="1181204"/>
                  <wp:effectExtent l="0" t="0" r="3810" b="0"/>
                  <wp:docPr id="19" name="Picture 19" descr="Figure 2: diagram-Source Englot et al. (2015) Systematic review of 78 studies (n=2869); Figure 4 of the SBA" title="Figure 2: diagram-Source Englot et al. (2015) Systematic review of 78 studies (n=2869); Figure 4 of the S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692000" cy="1181204"/>
                          </a:xfrm>
                          <a:prstGeom prst="rect">
                            <a:avLst/>
                          </a:prstGeom>
                        </pic:spPr>
                      </pic:pic>
                    </a:graphicData>
                  </a:graphic>
                </wp:inline>
              </w:drawing>
            </w:r>
          </w:p>
        </w:tc>
        <w:tc>
          <w:tcPr>
            <w:tcW w:w="2926" w:type="dxa"/>
          </w:tcPr>
          <w:p w14:paraId="5FD432AE" w14:textId="77777777" w:rsidR="00A478BF" w:rsidRPr="00E53FB1" w:rsidRDefault="0013020C" w:rsidP="00B42999">
            <w:pPr>
              <w:pStyle w:val="Tabletext"/>
              <w:rPr>
                <w:rFonts w:ascii="Times New Roman" w:hAnsi="Times New Roman"/>
              </w:rPr>
            </w:pPr>
            <w:r>
              <w:rPr>
                <w:rFonts w:ascii="Times New Roman" w:hAnsi="Times New Roman"/>
                <w:noProof/>
                <w:lang w:eastAsia="en-AU"/>
              </w:rPr>
              <w:t>S</w:t>
            </w:r>
            <w:r w:rsidR="00A478BF" w:rsidRPr="00E53FB1">
              <w:rPr>
                <w:rFonts w:ascii="Times New Roman" w:hAnsi="Times New Roman"/>
                <w:noProof/>
                <w:lang w:eastAsia="en-AU"/>
              </w:rPr>
              <w:drawing>
                <wp:inline distT="0" distB="0" distL="0" distR="0" wp14:anchorId="5FD432D3" wp14:editId="5FD432D4">
                  <wp:extent cx="1692000" cy="923208"/>
                  <wp:effectExtent l="0" t="0" r="3810" b="0"/>
                  <wp:docPr id="18" name="Picture 18" descr="Figure 2:diagram- Source: E01 to E05 trial. Morris et al. Figure 5 of the SBA" title="Figure 2:diagram- Source: E01 to E05 trial. Morris et al. Figure 5 of the S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2000" cy="923208"/>
                          </a:xfrm>
                          <a:prstGeom prst="rect">
                            <a:avLst/>
                          </a:prstGeom>
                          <a:noFill/>
                          <a:ln>
                            <a:noFill/>
                          </a:ln>
                        </pic:spPr>
                      </pic:pic>
                    </a:graphicData>
                  </a:graphic>
                </wp:inline>
              </w:drawing>
            </w:r>
          </w:p>
        </w:tc>
      </w:tr>
      <w:tr w:rsidR="00A478BF" w:rsidRPr="00E53FB1" w14:paraId="5FD432B3" w14:textId="77777777" w:rsidTr="00B42999">
        <w:tc>
          <w:tcPr>
            <w:tcW w:w="2926" w:type="dxa"/>
          </w:tcPr>
          <w:p w14:paraId="5FD432B0" w14:textId="77777777" w:rsidR="00A478BF" w:rsidRPr="00E53FB1" w:rsidRDefault="00A478BF" w:rsidP="00B42999">
            <w:pPr>
              <w:pStyle w:val="Tabletext"/>
              <w:rPr>
                <w:rFonts w:ascii="Times New Roman" w:hAnsi="Times New Roman"/>
              </w:rPr>
            </w:pPr>
            <w:r w:rsidRPr="00E53FB1">
              <w:rPr>
                <w:rFonts w:ascii="Times New Roman" w:hAnsi="Times New Roman"/>
              </w:rPr>
              <w:t xml:space="preserve">Source: </w:t>
            </w:r>
            <w:proofErr w:type="spellStart"/>
            <w:r w:rsidRPr="00E53FB1">
              <w:rPr>
                <w:rFonts w:ascii="Times New Roman" w:hAnsi="Times New Roman"/>
              </w:rPr>
              <w:t>Englot</w:t>
            </w:r>
            <w:proofErr w:type="spellEnd"/>
            <w:r w:rsidRPr="00E53FB1">
              <w:rPr>
                <w:rFonts w:ascii="Times New Roman" w:hAnsi="Times New Roman"/>
              </w:rPr>
              <w:t xml:space="preserve"> et al. Registry data (n=5554); Figure 3 of the SBA</w:t>
            </w:r>
          </w:p>
        </w:tc>
        <w:tc>
          <w:tcPr>
            <w:tcW w:w="2926" w:type="dxa"/>
          </w:tcPr>
          <w:p w14:paraId="5FD432B1" w14:textId="77777777" w:rsidR="00A478BF" w:rsidRPr="00E53FB1" w:rsidRDefault="00A478BF" w:rsidP="00B42999">
            <w:pPr>
              <w:pStyle w:val="Tabletext"/>
              <w:rPr>
                <w:rFonts w:ascii="Times New Roman" w:hAnsi="Times New Roman"/>
              </w:rPr>
            </w:pPr>
            <w:r w:rsidRPr="00E53FB1">
              <w:rPr>
                <w:rFonts w:ascii="Times New Roman" w:hAnsi="Times New Roman"/>
              </w:rPr>
              <w:t xml:space="preserve">Source: </w:t>
            </w:r>
            <w:proofErr w:type="spellStart"/>
            <w:r w:rsidRPr="00E53FB1">
              <w:rPr>
                <w:rFonts w:ascii="Times New Roman" w:hAnsi="Times New Roman"/>
              </w:rPr>
              <w:t>Englot</w:t>
            </w:r>
            <w:proofErr w:type="spellEnd"/>
            <w:r w:rsidRPr="00E53FB1">
              <w:rPr>
                <w:rFonts w:ascii="Times New Roman" w:hAnsi="Times New Roman"/>
              </w:rPr>
              <w:t xml:space="preserve"> et al. (2015) Systematic review of 78 studies (n=2869); Figure 4 of the SBA</w:t>
            </w:r>
          </w:p>
        </w:tc>
        <w:tc>
          <w:tcPr>
            <w:tcW w:w="2926" w:type="dxa"/>
          </w:tcPr>
          <w:p w14:paraId="5FD432B2" w14:textId="77777777" w:rsidR="00A478BF" w:rsidRPr="00E53FB1" w:rsidRDefault="00A478BF" w:rsidP="00B42999">
            <w:pPr>
              <w:pStyle w:val="Tabletext"/>
              <w:rPr>
                <w:rFonts w:ascii="Times New Roman" w:hAnsi="Times New Roman"/>
              </w:rPr>
            </w:pPr>
            <w:r w:rsidRPr="00E53FB1">
              <w:rPr>
                <w:rFonts w:ascii="Times New Roman" w:hAnsi="Times New Roman"/>
              </w:rPr>
              <w:t>Source: E01 to E05 trial. Morris et al. Figure 5 of the SBA</w:t>
            </w:r>
          </w:p>
        </w:tc>
      </w:tr>
    </w:tbl>
    <w:p w14:paraId="5FD432B4" w14:textId="77777777" w:rsidR="00A478BF" w:rsidRPr="00DB4D8B" w:rsidRDefault="00A478BF" w:rsidP="00A478BF">
      <w:pPr>
        <w:pStyle w:val="Tablefootnote"/>
        <w:spacing w:after="0"/>
        <w:rPr>
          <w:rFonts w:ascii="Times New Roman" w:hAnsi="Times New Roman" w:cs="Times New Roman"/>
          <w:sz w:val="18"/>
          <w:szCs w:val="18"/>
          <w:lang w:val="en-AU"/>
        </w:rPr>
      </w:pPr>
      <w:r w:rsidRPr="00DB4D8B">
        <w:rPr>
          <w:rFonts w:ascii="Times New Roman" w:hAnsi="Times New Roman" w:cs="Times New Roman"/>
          <w:sz w:val="18"/>
          <w:szCs w:val="18"/>
          <w:lang w:val="en-AU"/>
        </w:rPr>
        <w:t>Source</w:t>
      </w:r>
      <w:r>
        <w:rPr>
          <w:rFonts w:ascii="Times New Roman" w:hAnsi="Times New Roman" w:cs="Times New Roman"/>
          <w:sz w:val="18"/>
          <w:szCs w:val="18"/>
          <w:lang w:val="en-AU"/>
        </w:rPr>
        <w:t>:</w:t>
      </w:r>
      <w:r w:rsidRPr="00DB4D8B">
        <w:rPr>
          <w:rFonts w:ascii="Times New Roman" w:hAnsi="Times New Roman" w:cs="Times New Roman"/>
          <w:sz w:val="18"/>
          <w:szCs w:val="18"/>
          <w:lang w:val="en-AU"/>
        </w:rPr>
        <w:t xml:space="preserve"> Figure 1, page 2, pre-ESC response</w:t>
      </w:r>
    </w:p>
    <w:p w14:paraId="5FD432B5" w14:textId="77777777" w:rsidR="00A478BF" w:rsidRDefault="00A478BF" w:rsidP="00A478BF"/>
    <w:p w14:paraId="5FD432B6" w14:textId="77777777" w:rsidR="00A478BF" w:rsidRPr="0012531D" w:rsidRDefault="00A478BF" w:rsidP="00A478BF">
      <w:pPr>
        <w:pStyle w:val="Caption"/>
        <w:rPr>
          <w:rFonts w:ascii="Times New Roman" w:hAnsi="Times New Roman" w:cs="Times New Roman"/>
          <w:sz w:val="22"/>
          <w:szCs w:val="22"/>
        </w:rPr>
      </w:pPr>
      <w:bookmarkStart w:id="16" w:name="_Ref452381897"/>
      <w:bookmarkStart w:id="17" w:name="_Toc453061149"/>
      <w:r w:rsidRPr="0012531D">
        <w:rPr>
          <w:rFonts w:ascii="Times New Roman" w:hAnsi="Times New Roman" w:cs="Times New Roman"/>
          <w:sz w:val="22"/>
          <w:szCs w:val="22"/>
        </w:rPr>
        <w:t xml:space="preserve">Figure </w:t>
      </w:r>
      <w:bookmarkEnd w:id="16"/>
      <w:r w:rsidR="005709FB">
        <w:rPr>
          <w:rFonts w:ascii="Times New Roman" w:hAnsi="Times New Roman" w:cs="Times New Roman"/>
          <w:sz w:val="22"/>
          <w:szCs w:val="22"/>
        </w:rPr>
        <w:t>3</w:t>
      </w:r>
      <w:r w:rsidRPr="0012531D">
        <w:rPr>
          <w:rFonts w:ascii="Times New Roman" w:hAnsi="Times New Roman" w:cs="Times New Roman"/>
          <w:sz w:val="22"/>
          <w:szCs w:val="22"/>
        </w:rPr>
        <w:tab/>
        <w:t xml:space="preserve">Proportion of patients with </w:t>
      </w:r>
      <w:r>
        <w:rPr>
          <w:rFonts w:ascii="Times New Roman" w:hAnsi="Times New Roman" w:cs="Times New Roman"/>
          <w:sz w:val="22"/>
          <w:szCs w:val="22"/>
        </w:rPr>
        <w:t xml:space="preserve">a </w:t>
      </w:r>
      <w:r w:rsidRPr="0012531D">
        <w:rPr>
          <w:rFonts w:ascii="Times New Roman" w:hAnsi="Times New Roman" w:cs="Times New Roman"/>
          <w:sz w:val="22"/>
          <w:szCs w:val="22"/>
        </w:rPr>
        <w:t xml:space="preserve">response and </w:t>
      </w:r>
      <w:r>
        <w:rPr>
          <w:rFonts w:ascii="Times New Roman" w:hAnsi="Times New Roman" w:cs="Times New Roman"/>
          <w:sz w:val="22"/>
          <w:szCs w:val="22"/>
        </w:rPr>
        <w:t xml:space="preserve">being </w:t>
      </w:r>
      <w:r w:rsidRPr="0012531D">
        <w:rPr>
          <w:rFonts w:ascii="Times New Roman" w:hAnsi="Times New Roman" w:cs="Times New Roman"/>
          <w:sz w:val="22"/>
          <w:szCs w:val="22"/>
        </w:rPr>
        <w:t>seizure free over time in the economic model</w:t>
      </w:r>
      <w:bookmarkEnd w:id="17"/>
    </w:p>
    <w:p w14:paraId="5FD432B7" w14:textId="77777777" w:rsidR="00A478BF" w:rsidRPr="00E53FB1" w:rsidRDefault="00A478BF" w:rsidP="00A478BF">
      <w:r w:rsidRPr="00E53FB1">
        <w:rPr>
          <w:noProof/>
        </w:rPr>
        <w:drawing>
          <wp:inline distT="0" distB="0" distL="0" distR="0" wp14:anchorId="5FD432D5" wp14:editId="5FD432D6">
            <wp:extent cx="5615796" cy="2700067"/>
            <wp:effectExtent l="0" t="0" r="4445" b="5080"/>
            <wp:docPr id="15" name="Picture 15" descr="Figure 3 - Proportion of patients with a response and being seizure free over  time in the economic model" title="Figure 3 - Proportion of patients with a response and being seizure free over  time in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3560" cy="2703800"/>
                    </a:xfrm>
                    <a:prstGeom prst="rect">
                      <a:avLst/>
                    </a:prstGeom>
                    <a:noFill/>
                  </pic:spPr>
                </pic:pic>
              </a:graphicData>
            </a:graphic>
          </wp:inline>
        </w:drawing>
      </w:r>
    </w:p>
    <w:p w14:paraId="5FD432B8" w14:textId="77777777" w:rsidR="00A478BF" w:rsidRDefault="00A478BF" w:rsidP="00A478BF">
      <w:pPr>
        <w:pStyle w:val="Tablefootnote"/>
        <w:rPr>
          <w:rFonts w:ascii="Times New Roman" w:hAnsi="Times New Roman" w:cs="Times New Roman"/>
          <w:sz w:val="18"/>
          <w:szCs w:val="18"/>
          <w:lang w:val="en-AU"/>
        </w:rPr>
      </w:pPr>
      <w:r w:rsidRPr="00DB4D8B">
        <w:rPr>
          <w:rFonts w:ascii="Times New Roman" w:hAnsi="Times New Roman" w:cs="Times New Roman"/>
          <w:sz w:val="18"/>
          <w:szCs w:val="18"/>
          <w:lang w:val="en-AU"/>
        </w:rPr>
        <w:t>“Responders” are those patients not in the worst health state, ie: all patients with 9 or fewer seizures per month</w:t>
      </w:r>
    </w:p>
    <w:p w14:paraId="5FD432B9" w14:textId="77777777" w:rsidR="00A478BF" w:rsidRPr="005709FB" w:rsidRDefault="00A478BF" w:rsidP="005709FB">
      <w:pPr>
        <w:pStyle w:val="Tablefootnote"/>
        <w:rPr>
          <w:rFonts w:ascii="Times New Roman" w:hAnsi="Times New Roman" w:cs="Times New Roman"/>
          <w:sz w:val="18"/>
          <w:szCs w:val="18"/>
          <w:lang w:val="en-AU"/>
        </w:rPr>
      </w:pPr>
      <w:r>
        <w:rPr>
          <w:rFonts w:ascii="Times New Roman" w:hAnsi="Times New Roman" w:cs="Times New Roman"/>
          <w:sz w:val="18"/>
          <w:szCs w:val="18"/>
          <w:lang w:val="en-AU"/>
        </w:rPr>
        <w:t>SF = seizure-free</w:t>
      </w:r>
    </w:p>
    <w:p w14:paraId="5FD432BA" w14:textId="77777777" w:rsidR="00A478BF" w:rsidRDefault="00A478BF" w:rsidP="00A478BF">
      <w:pPr>
        <w:rPr>
          <w:szCs w:val="24"/>
        </w:rPr>
      </w:pPr>
      <w:r>
        <w:rPr>
          <w:szCs w:val="24"/>
        </w:rPr>
        <w:t>ESC advised that the other k</w:t>
      </w:r>
      <w:r w:rsidRPr="00E53FB1">
        <w:rPr>
          <w:szCs w:val="24"/>
        </w:rPr>
        <w:t xml:space="preserve">ey driver of the model </w:t>
      </w:r>
      <w:r>
        <w:rPr>
          <w:szCs w:val="24"/>
        </w:rPr>
        <w:t xml:space="preserve">was </w:t>
      </w:r>
      <w:r w:rsidRPr="00E53FB1">
        <w:rPr>
          <w:szCs w:val="24"/>
        </w:rPr>
        <w:t xml:space="preserve">cost-offsets in other areas of the health system </w:t>
      </w:r>
      <w:r w:rsidR="00D43F04">
        <w:rPr>
          <w:szCs w:val="24"/>
        </w:rPr>
        <w:t>caused by</w:t>
      </w:r>
      <w:r w:rsidR="00D43F04" w:rsidRPr="00E53FB1">
        <w:rPr>
          <w:szCs w:val="24"/>
        </w:rPr>
        <w:t xml:space="preserve"> </w:t>
      </w:r>
      <w:r w:rsidRPr="00E53FB1">
        <w:rPr>
          <w:szCs w:val="24"/>
        </w:rPr>
        <w:t>reduced seizure frequency due to VNS therapy</w:t>
      </w:r>
      <w:r>
        <w:rPr>
          <w:szCs w:val="24"/>
        </w:rPr>
        <w:t>.</w:t>
      </w:r>
    </w:p>
    <w:p w14:paraId="5FD432BB" w14:textId="77777777" w:rsidR="00A478BF" w:rsidRDefault="00A478BF" w:rsidP="00A478BF">
      <w:pPr>
        <w:rPr>
          <w:szCs w:val="24"/>
        </w:rPr>
      </w:pPr>
    </w:p>
    <w:p w14:paraId="5FD432BC" w14:textId="77777777" w:rsidR="00A478BF" w:rsidRPr="00E53FB1" w:rsidRDefault="00A478BF" w:rsidP="00A478BF">
      <w:pPr>
        <w:rPr>
          <w:szCs w:val="24"/>
        </w:rPr>
      </w:pPr>
      <w:r w:rsidRPr="00E53FB1">
        <w:rPr>
          <w:szCs w:val="24"/>
        </w:rPr>
        <w:t xml:space="preserve">ESC noted that the adverse events in the resubmission associated with VNS implantation and stimulation were reported at a rate of 22%; with greater frequency of dyspnoea and hoarseness/voice change. ESC agreed that VNS </w:t>
      </w:r>
      <w:r>
        <w:rPr>
          <w:szCs w:val="24"/>
        </w:rPr>
        <w:t xml:space="preserve">therapy </w:t>
      </w:r>
      <w:r w:rsidRPr="00E53FB1">
        <w:rPr>
          <w:szCs w:val="24"/>
        </w:rPr>
        <w:t xml:space="preserve">as </w:t>
      </w:r>
      <w:r>
        <w:rPr>
          <w:szCs w:val="24"/>
        </w:rPr>
        <w:t xml:space="preserve">an </w:t>
      </w:r>
      <w:r w:rsidRPr="00E53FB1">
        <w:rPr>
          <w:szCs w:val="24"/>
        </w:rPr>
        <w:t xml:space="preserve">adjunct to </w:t>
      </w:r>
      <w:r>
        <w:rPr>
          <w:szCs w:val="24"/>
        </w:rPr>
        <w:t xml:space="preserve">medicines </w:t>
      </w:r>
      <w:r w:rsidR="00D43F04">
        <w:rPr>
          <w:szCs w:val="24"/>
        </w:rPr>
        <w:t>wa</w:t>
      </w:r>
      <w:r w:rsidR="00D43F04" w:rsidRPr="00E53FB1">
        <w:rPr>
          <w:szCs w:val="24"/>
        </w:rPr>
        <w:t xml:space="preserve">s </w:t>
      </w:r>
      <w:r w:rsidRPr="00E53FB1">
        <w:rPr>
          <w:szCs w:val="24"/>
        </w:rPr>
        <w:t>likely to have inferior safety compared to “no active intervention”.</w:t>
      </w:r>
    </w:p>
    <w:p w14:paraId="5FD432BD" w14:textId="77777777" w:rsidR="00A478BF" w:rsidRDefault="00A478BF" w:rsidP="00A478BF">
      <w:pPr>
        <w:rPr>
          <w:szCs w:val="24"/>
        </w:rPr>
      </w:pPr>
    </w:p>
    <w:p w14:paraId="5FD432BE" w14:textId="77777777" w:rsidR="00A478BF" w:rsidRPr="00E53FB1" w:rsidRDefault="00A478BF" w:rsidP="00A478BF">
      <w:pPr>
        <w:rPr>
          <w:szCs w:val="24"/>
        </w:rPr>
      </w:pPr>
      <w:r w:rsidRPr="00E53FB1">
        <w:rPr>
          <w:szCs w:val="24"/>
        </w:rPr>
        <w:lastRenderedPageBreak/>
        <w:t xml:space="preserve">ESC considered that not including </w:t>
      </w:r>
      <w:r>
        <w:rPr>
          <w:szCs w:val="24"/>
        </w:rPr>
        <w:t xml:space="preserve">a </w:t>
      </w:r>
      <w:r w:rsidRPr="00E53FB1">
        <w:rPr>
          <w:szCs w:val="24"/>
        </w:rPr>
        <w:t>disutility for infection rates associated with implant</w:t>
      </w:r>
      <w:r>
        <w:rPr>
          <w:szCs w:val="24"/>
        </w:rPr>
        <w:t>ing</w:t>
      </w:r>
      <w:r w:rsidRPr="00E53FB1">
        <w:rPr>
          <w:szCs w:val="24"/>
        </w:rPr>
        <w:t xml:space="preserve"> the VNS device, reported between 2-11.7%, would have minimal impact on the model results. </w:t>
      </w:r>
    </w:p>
    <w:p w14:paraId="5FD432BF" w14:textId="77777777" w:rsidR="00A478BF" w:rsidRDefault="00A478BF" w:rsidP="00A478BF">
      <w:pPr>
        <w:rPr>
          <w:szCs w:val="24"/>
        </w:rPr>
      </w:pPr>
    </w:p>
    <w:p w14:paraId="5FD432C0" w14:textId="77777777" w:rsidR="00A478BF" w:rsidRPr="00E53FB1" w:rsidRDefault="00A478BF" w:rsidP="00A478BF">
      <w:pPr>
        <w:rPr>
          <w:szCs w:val="24"/>
        </w:rPr>
      </w:pPr>
      <w:r w:rsidRPr="00E53FB1">
        <w:rPr>
          <w:szCs w:val="24"/>
        </w:rPr>
        <w:t xml:space="preserve">ESC noted that there was no proposed MBS item for battery replacement </w:t>
      </w:r>
      <w:r>
        <w:rPr>
          <w:szCs w:val="24"/>
        </w:rPr>
        <w:t>and considered whether the proposed item descriptors should be amended to account for this</w:t>
      </w:r>
      <w:r w:rsidRPr="00E53FB1">
        <w:rPr>
          <w:szCs w:val="24"/>
        </w:rPr>
        <w:t xml:space="preserve">. </w:t>
      </w:r>
    </w:p>
    <w:p w14:paraId="5FD432C1" w14:textId="77777777" w:rsidR="00D43F04" w:rsidRDefault="00D43F04" w:rsidP="00A478BF">
      <w:pPr>
        <w:rPr>
          <w:szCs w:val="24"/>
        </w:rPr>
      </w:pPr>
    </w:p>
    <w:p w14:paraId="5FD432C2" w14:textId="77777777" w:rsidR="00A478BF" w:rsidRDefault="00A478BF" w:rsidP="00A478BF">
      <w:pPr>
        <w:rPr>
          <w:szCs w:val="24"/>
        </w:rPr>
      </w:pPr>
      <w:r w:rsidRPr="00E53FB1">
        <w:rPr>
          <w:szCs w:val="24"/>
        </w:rPr>
        <w:t xml:space="preserve">ESC considered that the MBS item descriptors should clearly define </w:t>
      </w:r>
      <w:r>
        <w:rPr>
          <w:szCs w:val="24"/>
        </w:rPr>
        <w:t xml:space="preserve">both types of </w:t>
      </w:r>
      <w:r w:rsidRPr="00E53FB1">
        <w:rPr>
          <w:szCs w:val="24"/>
        </w:rPr>
        <w:t>refractory epilepsy</w:t>
      </w:r>
      <w:r w:rsidR="00D43F04">
        <w:rPr>
          <w:szCs w:val="24"/>
        </w:rPr>
        <w:t xml:space="preserve"> (</w:t>
      </w:r>
      <w:r w:rsidR="00D43F04" w:rsidRPr="00E53FB1">
        <w:t>generalised epilepsy, or focal epilepsy</w:t>
      </w:r>
      <w:r w:rsidRPr="00E53FB1">
        <w:rPr>
          <w:szCs w:val="24"/>
        </w:rPr>
        <w:t>.</w:t>
      </w:r>
    </w:p>
    <w:p w14:paraId="5FD432C3" w14:textId="77777777" w:rsidR="00A478BF" w:rsidRDefault="00A478BF" w:rsidP="00A478BF">
      <w:pPr>
        <w:rPr>
          <w:szCs w:val="24"/>
        </w:rPr>
      </w:pPr>
    </w:p>
    <w:p w14:paraId="5FD432C4" w14:textId="77777777" w:rsidR="00A478BF" w:rsidRPr="00E53FB1" w:rsidRDefault="00A478BF" w:rsidP="00A478BF">
      <w:pPr>
        <w:rPr>
          <w:szCs w:val="24"/>
        </w:rPr>
      </w:pPr>
      <w:r>
        <w:rPr>
          <w:szCs w:val="24"/>
        </w:rPr>
        <w:t xml:space="preserve">ESC noted that VNS implantation </w:t>
      </w:r>
      <w:r w:rsidR="00D43F04">
        <w:rPr>
          <w:szCs w:val="24"/>
        </w:rPr>
        <w:t xml:space="preserve">only </w:t>
      </w:r>
      <w:r>
        <w:rPr>
          <w:szCs w:val="24"/>
        </w:rPr>
        <w:t xml:space="preserve">on the left vagus nerve </w:t>
      </w:r>
      <w:r w:rsidR="00D43F04">
        <w:rPr>
          <w:szCs w:val="24"/>
        </w:rPr>
        <w:t xml:space="preserve">had </w:t>
      </w:r>
      <w:r>
        <w:rPr>
          <w:szCs w:val="24"/>
        </w:rPr>
        <w:t>been trialled for refractory epilepsy and considered that the MBS item descriptors should clearly state that.</w:t>
      </w:r>
    </w:p>
    <w:p w14:paraId="5FD432C5" w14:textId="77777777" w:rsidR="00D90A38" w:rsidRPr="00F715D1" w:rsidRDefault="00BC1364" w:rsidP="00F715D1">
      <w:pPr>
        <w:pStyle w:val="Heading1"/>
      </w:pPr>
      <w:r w:rsidRPr="00F715D1">
        <w:t>Other significant factors</w:t>
      </w:r>
    </w:p>
    <w:p w14:paraId="5FD432C6" w14:textId="77777777" w:rsidR="00BC1364" w:rsidRPr="00F715D1" w:rsidRDefault="00BC1364" w:rsidP="00F715D1">
      <w:pPr>
        <w:spacing w:after="240"/>
        <w:rPr>
          <w:szCs w:val="24"/>
        </w:rPr>
      </w:pPr>
      <w:proofErr w:type="gramStart"/>
      <w:r w:rsidRPr="00F715D1">
        <w:rPr>
          <w:szCs w:val="24"/>
        </w:rPr>
        <w:t>Nil</w:t>
      </w:r>
      <w:r w:rsidR="001321C3">
        <w:rPr>
          <w:szCs w:val="24"/>
        </w:rPr>
        <w:t>.</w:t>
      </w:r>
      <w:proofErr w:type="gramEnd"/>
    </w:p>
    <w:p w14:paraId="5FD432C7" w14:textId="77777777" w:rsidR="00BC1364" w:rsidRPr="00F715D1" w:rsidRDefault="00BC1364" w:rsidP="00F715D1">
      <w:pPr>
        <w:pStyle w:val="Heading1"/>
      </w:pPr>
      <w:r w:rsidRPr="00F715D1">
        <w:t xml:space="preserve">Applicant’s comments on MSAC’s </w:t>
      </w:r>
      <w:r w:rsidR="00DA56AA" w:rsidRPr="00F715D1">
        <w:t>Public Summary Document</w:t>
      </w:r>
    </w:p>
    <w:p w14:paraId="5FD432C8" w14:textId="77777777" w:rsidR="00BC1364" w:rsidRPr="00C25417" w:rsidRDefault="0013348F" w:rsidP="00F715D1">
      <w:pPr>
        <w:spacing w:after="240"/>
        <w:rPr>
          <w:color w:val="00B0F0"/>
          <w:szCs w:val="24"/>
        </w:rPr>
      </w:pPr>
      <w:proofErr w:type="spellStart"/>
      <w:r w:rsidRPr="0013348F">
        <w:t>LivaNova</w:t>
      </w:r>
      <w:proofErr w:type="spellEnd"/>
      <w:r w:rsidRPr="0013348F">
        <w:t xml:space="preserve"> welcomes the MSAC decision to recommend MBS funding of VNS therapy in patients with refractory epilepsy.</w:t>
      </w:r>
      <w:r w:rsidR="000F75DF" w:rsidRPr="00C25417">
        <w:rPr>
          <w:color w:val="00B0F0"/>
          <w:szCs w:val="24"/>
        </w:rPr>
        <w:t xml:space="preserve"> </w:t>
      </w:r>
    </w:p>
    <w:p w14:paraId="5FD432C9" w14:textId="77777777" w:rsidR="00BC1364" w:rsidRPr="00F715D1" w:rsidRDefault="00271F18" w:rsidP="00F715D1">
      <w:pPr>
        <w:pStyle w:val="Heading1"/>
      </w:pPr>
      <w:r w:rsidRPr="00F715D1">
        <w:t>Further information on MSAC</w:t>
      </w:r>
    </w:p>
    <w:p w14:paraId="5FD432CA"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6" w:history="1">
        <w:r w:rsidR="00BC2667" w:rsidRPr="00F715D1">
          <w:rPr>
            <w:rStyle w:val="Hyperlink"/>
            <w:szCs w:val="24"/>
          </w:rPr>
          <w:t>visit the MSAC website</w:t>
        </w:r>
      </w:hyperlink>
    </w:p>
    <w:sectPr w:rsidR="00BC1364" w:rsidRPr="00F715D1" w:rsidSect="00271F18">
      <w:headerReference w:type="even" r:id="rId17"/>
      <w:headerReference w:type="default" r:id="rId18"/>
      <w:footerReference w:type="even" r:id="rId19"/>
      <w:footerReference w:type="default" r:id="rId20"/>
      <w:headerReference w:type="first" r:id="rId21"/>
      <w:footerReference w:type="first" r:id="rId22"/>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432D9" w14:textId="77777777" w:rsidR="006B063D" w:rsidRDefault="006B063D" w:rsidP="00065623">
      <w:r>
        <w:separator/>
      </w:r>
    </w:p>
  </w:endnote>
  <w:endnote w:type="continuationSeparator" w:id="0">
    <w:p w14:paraId="5FD432DA" w14:textId="77777777" w:rsidR="006B063D" w:rsidRDefault="006B063D"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CC828" w14:textId="77777777" w:rsidR="00176E0E" w:rsidRDefault="00176E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5FD432DB" w14:textId="77777777" w:rsidR="000076E8" w:rsidRDefault="000076E8">
        <w:pPr>
          <w:pStyle w:val="Footer"/>
          <w:jc w:val="right"/>
        </w:pPr>
        <w:r>
          <w:fldChar w:fldCharType="begin"/>
        </w:r>
        <w:r>
          <w:instrText xml:space="preserve"> PAGE   \* MERGEFORMAT </w:instrText>
        </w:r>
        <w:r>
          <w:fldChar w:fldCharType="separate"/>
        </w:r>
        <w:r w:rsidR="00176E0E">
          <w:rPr>
            <w:noProof/>
          </w:rPr>
          <w:t>1</w:t>
        </w:r>
        <w:r>
          <w:rPr>
            <w:noProof/>
          </w:rPr>
          <w:fldChar w:fldCharType="end"/>
        </w:r>
      </w:p>
    </w:sdtContent>
  </w:sdt>
  <w:p w14:paraId="5FD432DC" w14:textId="77777777" w:rsidR="000076E8" w:rsidRDefault="000076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16BAF" w14:textId="77777777" w:rsidR="00176E0E" w:rsidRDefault="00176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432D7" w14:textId="77777777" w:rsidR="006B063D" w:rsidRDefault="006B063D" w:rsidP="00065623">
      <w:r>
        <w:separator/>
      </w:r>
    </w:p>
  </w:footnote>
  <w:footnote w:type="continuationSeparator" w:id="0">
    <w:p w14:paraId="5FD432D8" w14:textId="77777777" w:rsidR="006B063D" w:rsidRDefault="006B063D"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E1419" w14:textId="77777777" w:rsidR="00176E0E" w:rsidRDefault="00176E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5367A" w14:textId="77777777" w:rsidR="00176E0E" w:rsidRDefault="00176E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468D4" w14:textId="77777777" w:rsidR="00176E0E" w:rsidRDefault="00176E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073"/>
    <w:multiLevelType w:val="hybridMultilevel"/>
    <w:tmpl w:val="32C05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318666B"/>
    <w:multiLevelType w:val="hybridMultilevel"/>
    <w:tmpl w:val="BEF41310"/>
    <w:lvl w:ilvl="0" w:tplc="0C090001">
      <w:start w:val="1"/>
      <w:numFmt w:val="bullet"/>
      <w:lvlText w:val=""/>
      <w:lvlJc w:val="left"/>
      <w:pPr>
        <w:ind w:left="734" w:hanging="360"/>
      </w:pPr>
      <w:rPr>
        <w:rFonts w:ascii="Symbol" w:hAnsi="Symbol" w:hint="default"/>
      </w:rPr>
    </w:lvl>
    <w:lvl w:ilvl="1" w:tplc="0C090003" w:tentative="1">
      <w:start w:val="1"/>
      <w:numFmt w:val="bullet"/>
      <w:lvlText w:val="o"/>
      <w:lvlJc w:val="left"/>
      <w:pPr>
        <w:ind w:left="1454" w:hanging="360"/>
      </w:pPr>
      <w:rPr>
        <w:rFonts w:ascii="Courier New" w:hAnsi="Courier New" w:cs="Courier New" w:hint="default"/>
      </w:rPr>
    </w:lvl>
    <w:lvl w:ilvl="2" w:tplc="0C090005" w:tentative="1">
      <w:start w:val="1"/>
      <w:numFmt w:val="bullet"/>
      <w:lvlText w:val=""/>
      <w:lvlJc w:val="left"/>
      <w:pPr>
        <w:ind w:left="2174" w:hanging="360"/>
      </w:pPr>
      <w:rPr>
        <w:rFonts w:ascii="Wingdings" w:hAnsi="Wingdings" w:hint="default"/>
      </w:rPr>
    </w:lvl>
    <w:lvl w:ilvl="3" w:tplc="0C090001" w:tentative="1">
      <w:start w:val="1"/>
      <w:numFmt w:val="bullet"/>
      <w:lvlText w:val=""/>
      <w:lvlJc w:val="left"/>
      <w:pPr>
        <w:ind w:left="2894" w:hanging="360"/>
      </w:pPr>
      <w:rPr>
        <w:rFonts w:ascii="Symbol" w:hAnsi="Symbol" w:hint="default"/>
      </w:rPr>
    </w:lvl>
    <w:lvl w:ilvl="4" w:tplc="0C090003" w:tentative="1">
      <w:start w:val="1"/>
      <w:numFmt w:val="bullet"/>
      <w:lvlText w:val="o"/>
      <w:lvlJc w:val="left"/>
      <w:pPr>
        <w:ind w:left="3614" w:hanging="360"/>
      </w:pPr>
      <w:rPr>
        <w:rFonts w:ascii="Courier New" w:hAnsi="Courier New" w:cs="Courier New" w:hint="default"/>
      </w:rPr>
    </w:lvl>
    <w:lvl w:ilvl="5" w:tplc="0C090005" w:tentative="1">
      <w:start w:val="1"/>
      <w:numFmt w:val="bullet"/>
      <w:lvlText w:val=""/>
      <w:lvlJc w:val="left"/>
      <w:pPr>
        <w:ind w:left="4334" w:hanging="360"/>
      </w:pPr>
      <w:rPr>
        <w:rFonts w:ascii="Wingdings" w:hAnsi="Wingdings" w:hint="default"/>
      </w:rPr>
    </w:lvl>
    <w:lvl w:ilvl="6" w:tplc="0C090001" w:tentative="1">
      <w:start w:val="1"/>
      <w:numFmt w:val="bullet"/>
      <w:lvlText w:val=""/>
      <w:lvlJc w:val="left"/>
      <w:pPr>
        <w:ind w:left="5054" w:hanging="360"/>
      </w:pPr>
      <w:rPr>
        <w:rFonts w:ascii="Symbol" w:hAnsi="Symbol" w:hint="default"/>
      </w:rPr>
    </w:lvl>
    <w:lvl w:ilvl="7" w:tplc="0C090003" w:tentative="1">
      <w:start w:val="1"/>
      <w:numFmt w:val="bullet"/>
      <w:lvlText w:val="o"/>
      <w:lvlJc w:val="left"/>
      <w:pPr>
        <w:ind w:left="5774" w:hanging="360"/>
      </w:pPr>
      <w:rPr>
        <w:rFonts w:ascii="Courier New" w:hAnsi="Courier New" w:cs="Courier New" w:hint="default"/>
      </w:rPr>
    </w:lvl>
    <w:lvl w:ilvl="8" w:tplc="0C090005" w:tentative="1">
      <w:start w:val="1"/>
      <w:numFmt w:val="bullet"/>
      <w:lvlText w:val=""/>
      <w:lvlJc w:val="left"/>
      <w:pPr>
        <w:ind w:left="6494" w:hanging="360"/>
      </w:pPr>
      <w:rPr>
        <w:rFonts w:ascii="Wingdings" w:hAnsi="Wingdings" w:hint="default"/>
      </w:rPr>
    </w:lvl>
  </w:abstractNum>
  <w:abstractNum w:abstractNumId="1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BC5BAE"/>
    <w:multiLevelType w:val="hybridMultilevel"/>
    <w:tmpl w:val="FDD0D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7BF3610"/>
    <w:multiLevelType w:val="hybridMultilevel"/>
    <w:tmpl w:val="745EC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nsid w:val="7A3F1A2F"/>
    <w:multiLevelType w:val="hybridMultilevel"/>
    <w:tmpl w:val="41E8D5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2"/>
  </w:num>
  <w:num w:numId="4">
    <w:abstractNumId w:val="19"/>
  </w:num>
  <w:num w:numId="5">
    <w:abstractNumId w:val="11"/>
  </w:num>
  <w:num w:numId="6">
    <w:abstractNumId w:val="18"/>
  </w:num>
  <w:num w:numId="7">
    <w:abstractNumId w:val="22"/>
  </w:num>
  <w:num w:numId="8">
    <w:abstractNumId w:val="13"/>
  </w:num>
  <w:num w:numId="9">
    <w:abstractNumId w:val="29"/>
  </w:num>
  <w:num w:numId="10">
    <w:abstractNumId w:val="1"/>
  </w:num>
  <w:num w:numId="11">
    <w:abstractNumId w:val="21"/>
  </w:num>
  <w:num w:numId="12">
    <w:abstractNumId w:val="23"/>
  </w:num>
  <w:num w:numId="13">
    <w:abstractNumId w:val="5"/>
  </w:num>
  <w:num w:numId="14">
    <w:abstractNumId w:val="27"/>
  </w:num>
  <w:num w:numId="15">
    <w:abstractNumId w:val="20"/>
  </w:num>
  <w:num w:numId="16">
    <w:abstractNumId w:val="24"/>
  </w:num>
  <w:num w:numId="17">
    <w:abstractNumId w:val="15"/>
  </w:num>
  <w:num w:numId="18">
    <w:abstractNumId w:val="16"/>
  </w:num>
  <w:num w:numId="19">
    <w:abstractNumId w:val="26"/>
  </w:num>
  <w:num w:numId="20">
    <w:abstractNumId w:val="25"/>
  </w:num>
  <w:num w:numId="21">
    <w:abstractNumId w:val="4"/>
  </w:num>
  <w:num w:numId="22">
    <w:abstractNumId w:val="10"/>
  </w:num>
  <w:num w:numId="23">
    <w:abstractNumId w:val="3"/>
  </w:num>
  <w:num w:numId="24">
    <w:abstractNumId w:val="8"/>
  </w:num>
  <w:num w:numId="25">
    <w:abstractNumId w:val="6"/>
  </w:num>
  <w:num w:numId="26">
    <w:abstractNumId w:val="14"/>
  </w:num>
  <w:num w:numId="27">
    <w:abstractNumId w:val="9"/>
  </w:num>
  <w:num w:numId="28">
    <w:abstractNumId w:val="28"/>
  </w:num>
  <w:num w:numId="29">
    <w:abstractNumId w:val="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6E8"/>
    <w:rsid w:val="00011A36"/>
    <w:rsid w:val="00047606"/>
    <w:rsid w:val="00065623"/>
    <w:rsid w:val="000756B9"/>
    <w:rsid w:val="00083645"/>
    <w:rsid w:val="00096B67"/>
    <w:rsid w:val="00096DAF"/>
    <w:rsid w:val="000C2F47"/>
    <w:rsid w:val="000C61DC"/>
    <w:rsid w:val="000D14EE"/>
    <w:rsid w:val="000D25B3"/>
    <w:rsid w:val="000D6C00"/>
    <w:rsid w:val="000E4E04"/>
    <w:rsid w:val="000F14B4"/>
    <w:rsid w:val="000F75DF"/>
    <w:rsid w:val="0013020C"/>
    <w:rsid w:val="001321C3"/>
    <w:rsid w:val="001328FA"/>
    <w:rsid w:val="0013348F"/>
    <w:rsid w:val="00147AAF"/>
    <w:rsid w:val="001552C0"/>
    <w:rsid w:val="001640B1"/>
    <w:rsid w:val="00176E0E"/>
    <w:rsid w:val="0018435E"/>
    <w:rsid w:val="001C6112"/>
    <w:rsid w:val="001E591B"/>
    <w:rsid w:val="002041A1"/>
    <w:rsid w:val="002054F0"/>
    <w:rsid w:val="00230D6B"/>
    <w:rsid w:val="00232068"/>
    <w:rsid w:val="002330F2"/>
    <w:rsid w:val="00243D9E"/>
    <w:rsid w:val="00253B66"/>
    <w:rsid w:val="00261DF1"/>
    <w:rsid w:val="00271F18"/>
    <w:rsid w:val="00282779"/>
    <w:rsid w:val="0028334D"/>
    <w:rsid w:val="00295951"/>
    <w:rsid w:val="002B7FFA"/>
    <w:rsid w:val="002C2BCF"/>
    <w:rsid w:val="002D50C5"/>
    <w:rsid w:val="002E418E"/>
    <w:rsid w:val="002F279D"/>
    <w:rsid w:val="002F43B8"/>
    <w:rsid w:val="00336856"/>
    <w:rsid w:val="0034554D"/>
    <w:rsid w:val="003466C5"/>
    <w:rsid w:val="00352224"/>
    <w:rsid w:val="003671E6"/>
    <w:rsid w:val="00384272"/>
    <w:rsid w:val="00386D67"/>
    <w:rsid w:val="003945B8"/>
    <w:rsid w:val="003B6F09"/>
    <w:rsid w:val="003D7F29"/>
    <w:rsid w:val="00405A6B"/>
    <w:rsid w:val="00407B1F"/>
    <w:rsid w:val="00412873"/>
    <w:rsid w:val="00414C57"/>
    <w:rsid w:val="0041758C"/>
    <w:rsid w:val="004539DE"/>
    <w:rsid w:val="004978D5"/>
    <w:rsid w:val="004A2CF1"/>
    <w:rsid w:val="004A7160"/>
    <w:rsid w:val="004C3035"/>
    <w:rsid w:val="004C307F"/>
    <w:rsid w:val="004D2F2F"/>
    <w:rsid w:val="004E4BA8"/>
    <w:rsid w:val="004F340F"/>
    <w:rsid w:val="004F539D"/>
    <w:rsid w:val="004F7B7C"/>
    <w:rsid w:val="0052243D"/>
    <w:rsid w:val="00532435"/>
    <w:rsid w:val="00550354"/>
    <w:rsid w:val="005709FB"/>
    <w:rsid w:val="00571236"/>
    <w:rsid w:val="005953A1"/>
    <w:rsid w:val="005D0332"/>
    <w:rsid w:val="005D0D8C"/>
    <w:rsid w:val="005E5925"/>
    <w:rsid w:val="0064104C"/>
    <w:rsid w:val="00643218"/>
    <w:rsid w:val="006776AE"/>
    <w:rsid w:val="006A0D97"/>
    <w:rsid w:val="006B063D"/>
    <w:rsid w:val="006B1F86"/>
    <w:rsid w:val="006C0A91"/>
    <w:rsid w:val="006D5354"/>
    <w:rsid w:val="007054BB"/>
    <w:rsid w:val="00707064"/>
    <w:rsid w:val="00720F34"/>
    <w:rsid w:val="00721191"/>
    <w:rsid w:val="00730683"/>
    <w:rsid w:val="00732A64"/>
    <w:rsid w:val="00750382"/>
    <w:rsid w:val="0075261F"/>
    <w:rsid w:val="0075468E"/>
    <w:rsid w:val="007603C2"/>
    <w:rsid w:val="007665D8"/>
    <w:rsid w:val="00766E36"/>
    <w:rsid w:val="007765F4"/>
    <w:rsid w:val="00776633"/>
    <w:rsid w:val="00784D53"/>
    <w:rsid w:val="00797797"/>
    <w:rsid w:val="007A63C9"/>
    <w:rsid w:val="007B32D1"/>
    <w:rsid w:val="007B7095"/>
    <w:rsid w:val="007D24E1"/>
    <w:rsid w:val="007D6288"/>
    <w:rsid w:val="007F4CE9"/>
    <w:rsid w:val="007F4E20"/>
    <w:rsid w:val="00822C7E"/>
    <w:rsid w:val="00840972"/>
    <w:rsid w:val="00847060"/>
    <w:rsid w:val="00856A33"/>
    <w:rsid w:val="00872541"/>
    <w:rsid w:val="00877A2B"/>
    <w:rsid w:val="00892620"/>
    <w:rsid w:val="00897D52"/>
    <w:rsid w:val="008A1184"/>
    <w:rsid w:val="008C7D37"/>
    <w:rsid w:val="008D5885"/>
    <w:rsid w:val="00916590"/>
    <w:rsid w:val="00923FA2"/>
    <w:rsid w:val="0094011B"/>
    <w:rsid w:val="00951310"/>
    <w:rsid w:val="0096060D"/>
    <w:rsid w:val="00972BB9"/>
    <w:rsid w:val="00974A50"/>
    <w:rsid w:val="0097585A"/>
    <w:rsid w:val="009921AA"/>
    <w:rsid w:val="009924B0"/>
    <w:rsid w:val="009942C9"/>
    <w:rsid w:val="009B35C4"/>
    <w:rsid w:val="009C3F27"/>
    <w:rsid w:val="009C630A"/>
    <w:rsid w:val="009E0D98"/>
    <w:rsid w:val="00A068A1"/>
    <w:rsid w:val="00A1207D"/>
    <w:rsid w:val="00A12FD8"/>
    <w:rsid w:val="00A346FC"/>
    <w:rsid w:val="00A478BF"/>
    <w:rsid w:val="00A6355B"/>
    <w:rsid w:val="00A710D8"/>
    <w:rsid w:val="00A822AF"/>
    <w:rsid w:val="00A84F93"/>
    <w:rsid w:val="00AB00D9"/>
    <w:rsid w:val="00AB1AC5"/>
    <w:rsid w:val="00AB3BFC"/>
    <w:rsid w:val="00AB4C09"/>
    <w:rsid w:val="00AC4F2E"/>
    <w:rsid w:val="00AD0C37"/>
    <w:rsid w:val="00AD385F"/>
    <w:rsid w:val="00AE134A"/>
    <w:rsid w:val="00AE6E2A"/>
    <w:rsid w:val="00B31E9C"/>
    <w:rsid w:val="00B35595"/>
    <w:rsid w:val="00B42999"/>
    <w:rsid w:val="00B51C6D"/>
    <w:rsid w:val="00B66451"/>
    <w:rsid w:val="00B7548F"/>
    <w:rsid w:val="00B86D64"/>
    <w:rsid w:val="00BA4AC5"/>
    <w:rsid w:val="00BC1364"/>
    <w:rsid w:val="00BC2667"/>
    <w:rsid w:val="00BC7DE9"/>
    <w:rsid w:val="00BF479B"/>
    <w:rsid w:val="00BF6C4E"/>
    <w:rsid w:val="00C02577"/>
    <w:rsid w:val="00C07828"/>
    <w:rsid w:val="00C204FB"/>
    <w:rsid w:val="00C20BEE"/>
    <w:rsid w:val="00C2158D"/>
    <w:rsid w:val="00C25417"/>
    <w:rsid w:val="00C307BE"/>
    <w:rsid w:val="00C450A8"/>
    <w:rsid w:val="00C57E2A"/>
    <w:rsid w:val="00C67DD2"/>
    <w:rsid w:val="00C725CB"/>
    <w:rsid w:val="00C7512C"/>
    <w:rsid w:val="00C75FEE"/>
    <w:rsid w:val="00C76F5C"/>
    <w:rsid w:val="00C81C19"/>
    <w:rsid w:val="00C96BAD"/>
    <w:rsid w:val="00CA6944"/>
    <w:rsid w:val="00CA75AD"/>
    <w:rsid w:val="00CB0F8E"/>
    <w:rsid w:val="00CB20A7"/>
    <w:rsid w:val="00CB7E7D"/>
    <w:rsid w:val="00CC2911"/>
    <w:rsid w:val="00CE58FD"/>
    <w:rsid w:val="00CF0985"/>
    <w:rsid w:val="00CF0C6D"/>
    <w:rsid w:val="00CF7307"/>
    <w:rsid w:val="00CF7C68"/>
    <w:rsid w:val="00D124FA"/>
    <w:rsid w:val="00D237AD"/>
    <w:rsid w:val="00D340DE"/>
    <w:rsid w:val="00D43F04"/>
    <w:rsid w:val="00D55723"/>
    <w:rsid w:val="00D62FAD"/>
    <w:rsid w:val="00D641CC"/>
    <w:rsid w:val="00D70450"/>
    <w:rsid w:val="00D771D9"/>
    <w:rsid w:val="00D83BFD"/>
    <w:rsid w:val="00D858AA"/>
    <w:rsid w:val="00D90A38"/>
    <w:rsid w:val="00D95D73"/>
    <w:rsid w:val="00DA0515"/>
    <w:rsid w:val="00DA171E"/>
    <w:rsid w:val="00DA56AA"/>
    <w:rsid w:val="00DA7001"/>
    <w:rsid w:val="00DB5833"/>
    <w:rsid w:val="00DD04FB"/>
    <w:rsid w:val="00DD2858"/>
    <w:rsid w:val="00DF0868"/>
    <w:rsid w:val="00DF4E15"/>
    <w:rsid w:val="00E03E33"/>
    <w:rsid w:val="00E059E0"/>
    <w:rsid w:val="00E3642A"/>
    <w:rsid w:val="00E415C4"/>
    <w:rsid w:val="00E50016"/>
    <w:rsid w:val="00E50EAA"/>
    <w:rsid w:val="00E656D6"/>
    <w:rsid w:val="00E977EE"/>
    <w:rsid w:val="00EA2F24"/>
    <w:rsid w:val="00EA67A2"/>
    <w:rsid w:val="00EB6B6F"/>
    <w:rsid w:val="00EC4F98"/>
    <w:rsid w:val="00F12F02"/>
    <w:rsid w:val="00F3055A"/>
    <w:rsid w:val="00F32E0D"/>
    <w:rsid w:val="00F35134"/>
    <w:rsid w:val="00F41812"/>
    <w:rsid w:val="00F443A8"/>
    <w:rsid w:val="00F507F6"/>
    <w:rsid w:val="00F715D1"/>
    <w:rsid w:val="00F73333"/>
    <w:rsid w:val="00F91A8A"/>
    <w:rsid w:val="00F95D8F"/>
    <w:rsid w:val="00FA4944"/>
    <w:rsid w:val="00FB350A"/>
    <w:rsid w:val="00FB4C5D"/>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D4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478BF"/>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78BF"/>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Summary box"/>
    <w:basedOn w:val="TableNormal"/>
    <w:locked/>
    <w:rsid w:val="00A478B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A478BF"/>
    <w:rPr>
      <w:rFonts w:ascii="Arial Narrow" w:hAnsi="Arial Narrow"/>
      <w:sz w:val="20"/>
      <w:szCs w:val="24"/>
      <w:lang w:eastAsia="en-US"/>
    </w:rPr>
  </w:style>
  <w:style w:type="character" w:customStyle="1" w:styleId="TabletextChar">
    <w:name w:val="Table text Char"/>
    <w:basedOn w:val="DefaultParagraphFont"/>
    <w:link w:val="Tabletext"/>
    <w:rsid w:val="00A478BF"/>
    <w:rPr>
      <w:rFonts w:ascii="Arial Narrow" w:eastAsia="Times New Roman" w:hAnsi="Arial Narrow"/>
      <w:sz w:val="20"/>
      <w:szCs w:val="24"/>
      <w:lang w:eastAsia="en-US"/>
    </w:rPr>
  </w:style>
  <w:style w:type="paragraph" w:styleId="Caption">
    <w:name w:val="caption"/>
    <w:aliases w:val="Bayer Caption,IB Caption,Medical Caption,CSR Caption,Table and Figure Name"/>
    <w:basedOn w:val="Normal"/>
    <w:next w:val="Normal"/>
    <w:link w:val="CaptionChar"/>
    <w:unhideWhenUsed/>
    <w:qFormat/>
    <w:locked/>
    <w:rsid w:val="00A478BF"/>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
    <w:basedOn w:val="DefaultParagraphFont"/>
    <w:link w:val="Caption"/>
    <w:rsid w:val="00A478BF"/>
    <w:rPr>
      <w:rFonts w:ascii="Arial Narrow" w:eastAsia="Times New Roman" w:hAnsi="Arial Narrow" w:cs="Arial"/>
      <w:b/>
      <w:bCs/>
      <w:iCs/>
      <w:sz w:val="20"/>
      <w:szCs w:val="20"/>
      <w:lang w:eastAsia="en-US"/>
    </w:rPr>
  </w:style>
  <w:style w:type="paragraph" w:customStyle="1" w:styleId="Tablefootnote">
    <w:name w:val="Table footnote"/>
    <w:basedOn w:val="Normal"/>
    <w:link w:val="TablefootnoteChar"/>
    <w:qFormat/>
    <w:rsid w:val="00A478BF"/>
    <w:pPr>
      <w:keepNext/>
      <w:keepLines/>
      <w:spacing w:after="360"/>
      <w:contextualSpacing/>
      <w:jc w:val="both"/>
    </w:pPr>
    <w:rPr>
      <w:rFonts w:ascii="Arial Narrow" w:hAnsi="Arial Narrow" w:cs="Arial Narrow"/>
      <w:noProof/>
      <w:sz w:val="16"/>
      <w:szCs w:val="16"/>
      <w:lang w:val="en-GB"/>
    </w:rPr>
  </w:style>
  <w:style w:type="character" w:customStyle="1" w:styleId="TablefootnoteChar">
    <w:name w:val="Table footnote Char"/>
    <w:basedOn w:val="DefaultParagraphFont"/>
    <w:link w:val="Tablefootnote"/>
    <w:rsid w:val="00A478BF"/>
    <w:rPr>
      <w:rFonts w:ascii="Arial Narrow" w:eastAsia="Times New Roman" w:hAnsi="Arial Narrow" w:cs="Arial Narrow"/>
      <w:noProof/>
      <w:sz w:val="16"/>
      <w:szCs w:val="16"/>
      <w:lang w:val="en-GB"/>
    </w:rPr>
  </w:style>
  <w:style w:type="paragraph" w:customStyle="1" w:styleId="Tablehead">
    <w:name w:val="Table head"/>
    <w:basedOn w:val="Tabletext"/>
    <w:rsid w:val="000D25B3"/>
    <w:pPr>
      <w:keepNext/>
      <w:keepLines/>
      <w:spacing w:before="40" w:after="80"/>
    </w:pPr>
    <w:rPr>
      <w:b/>
      <w:bCs/>
      <w:sz w:val="18"/>
      <w:szCs w:val="20"/>
    </w:rPr>
  </w:style>
  <w:style w:type="paragraph" w:customStyle="1" w:styleId="ExecSummText">
    <w:name w:val="ExecSummText"/>
    <w:basedOn w:val="Normal"/>
    <w:qFormat/>
    <w:rsid w:val="000D25B3"/>
    <w:pPr>
      <w:spacing w:after="240"/>
      <w:jc w:val="both"/>
    </w:pPr>
    <w:rPr>
      <w:rFonts w:ascii="Arial" w:hAnsi="Arial" w:cs="Arial"/>
      <w:sz w:val="22"/>
      <w:szCs w:val="24"/>
      <w:lang w:eastAsia="en-US"/>
    </w:rPr>
  </w:style>
  <w:style w:type="table" w:customStyle="1" w:styleId="TableGrid11">
    <w:name w:val="Table Grid11"/>
    <w:basedOn w:val="TableNormal"/>
    <w:next w:val="TableGrid"/>
    <w:uiPriority w:val="39"/>
    <w:rsid w:val="000D25B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
    <w:name w:val="Comment"/>
    <w:basedOn w:val="Normal"/>
    <w:link w:val="CommentChar"/>
    <w:qFormat/>
    <w:rsid w:val="000D25B3"/>
    <w:pPr>
      <w:tabs>
        <w:tab w:val="num" w:pos="720"/>
      </w:tabs>
      <w:spacing w:after="240" w:line="288" w:lineRule="auto"/>
      <w:jc w:val="both"/>
    </w:pPr>
    <w:rPr>
      <w:rFonts w:ascii="Calibri" w:hAnsi="Calibri" w:cs="Arial"/>
      <w:i/>
      <w:sz w:val="22"/>
      <w:szCs w:val="22"/>
      <w:lang w:eastAsia="en-US"/>
    </w:rPr>
  </w:style>
  <w:style w:type="character" w:customStyle="1" w:styleId="CommentChar">
    <w:name w:val="Comment Char"/>
    <w:basedOn w:val="DefaultParagraphFont"/>
    <w:link w:val="Comment"/>
    <w:rsid w:val="000D25B3"/>
    <w:rPr>
      <w:rFonts w:ascii="Calibri" w:eastAsia="Times New Roman" w:hAnsi="Calibri" w:cs="Arial"/>
      <w:i/>
      <w:lang w:eastAsia="en-US"/>
    </w:rPr>
  </w:style>
  <w:style w:type="character" w:customStyle="1" w:styleId="ListParagraphChar">
    <w:name w:val="List Paragraph Char"/>
    <w:basedOn w:val="DefaultParagraphFont"/>
    <w:link w:val="ListParagraph"/>
    <w:uiPriority w:val="34"/>
    <w:rsid w:val="007603C2"/>
    <w:rPr>
      <w:rFonts w:eastAsia="Times New Roman"/>
      <w:sz w:val="24"/>
      <w:szCs w:val="20"/>
    </w:rPr>
  </w:style>
  <w:style w:type="table" w:customStyle="1" w:styleId="Summarybox3">
    <w:name w:val="Summary box3"/>
    <w:basedOn w:val="TableNormal"/>
    <w:next w:val="TableGrid"/>
    <w:rsid w:val="007603C2"/>
    <w:rPr>
      <w:rFonts w:ascii="Arial Narrow" w:eastAsia="Times New Roman" w:hAnsi="Arial Narrow" w:cs="Arial Narrow"/>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ummarybox4">
    <w:name w:val="Summary box4"/>
    <w:basedOn w:val="TableNormal"/>
    <w:next w:val="TableGrid"/>
    <w:rsid w:val="007603C2"/>
    <w:rPr>
      <w:rFonts w:ascii="Arial Narrow" w:eastAsia="Times New Roman" w:hAnsi="Arial Narrow" w:cs="Arial Narrow"/>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0">
    <w:name w:val="Table Text"/>
    <w:basedOn w:val="Normal"/>
    <w:link w:val="TableTextChar0"/>
    <w:rsid w:val="007603C2"/>
    <w:pPr>
      <w:keepNext/>
      <w:spacing w:before="40" w:after="40"/>
      <w:jc w:val="both"/>
    </w:pPr>
    <w:rPr>
      <w:rFonts w:ascii="Arial Narrow" w:hAnsi="Arial Narrow" w:cs="Arial"/>
      <w:sz w:val="20"/>
      <w:szCs w:val="22"/>
      <w:lang w:eastAsia="en-US"/>
    </w:rPr>
  </w:style>
  <w:style w:type="character" w:customStyle="1" w:styleId="TableTextChar0">
    <w:name w:val="Table Text Char"/>
    <w:link w:val="TableText0"/>
    <w:rsid w:val="007603C2"/>
    <w:rPr>
      <w:rFonts w:ascii="Arial Narrow" w:eastAsia="Times New Roman" w:hAnsi="Arial Narrow" w:cs="Arial"/>
      <w:sz w:val="20"/>
      <w:lang w:eastAsia="en-US"/>
    </w:rPr>
  </w:style>
  <w:style w:type="paragraph" w:customStyle="1" w:styleId="Tabletextbold">
    <w:name w:val="Table text bold"/>
    <w:basedOn w:val="Normal"/>
    <w:link w:val="TabletextboldChar"/>
    <w:qFormat/>
    <w:rsid w:val="007603C2"/>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7603C2"/>
    <w:rPr>
      <w:rFonts w:ascii="Arial Narrow" w:eastAsia="Times New Roman" w:hAnsi="Arial Narrow" w:cs="Arial"/>
      <w:b/>
      <w:sz w:val="20"/>
      <w:szCs w:val="20"/>
      <w:lang w:eastAsia="en-US"/>
    </w:rPr>
  </w:style>
  <w:style w:type="paragraph" w:customStyle="1" w:styleId="TableNotes">
    <w:name w:val="TableNotes"/>
    <w:basedOn w:val="Normal"/>
    <w:link w:val="TableNotesChar"/>
    <w:rsid w:val="007603C2"/>
    <w:pPr>
      <w:keepLines/>
      <w:spacing w:after="360" w:line="288" w:lineRule="auto"/>
      <w:contextualSpacing/>
      <w:jc w:val="both"/>
    </w:pPr>
    <w:rPr>
      <w:rFonts w:ascii="Arial Narrow" w:hAnsi="Arial Narrow" w:cs="Arial"/>
      <w:sz w:val="16"/>
      <w:szCs w:val="22"/>
      <w:lang w:eastAsia="en-US"/>
    </w:rPr>
  </w:style>
  <w:style w:type="character" w:customStyle="1" w:styleId="TableNotesChar">
    <w:name w:val="TableNotes Char"/>
    <w:link w:val="TableNotes"/>
    <w:rsid w:val="007603C2"/>
    <w:rPr>
      <w:rFonts w:ascii="Arial Narrow" w:eastAsia="Times New Roman" w:hAnsi="Arial Narrow" w:cs="Arial"/>
      <w:sz w:val="16"/>
      <w:lang w:eastAsia="en-US"/>
    </w:rPr>
  </w:style>
  <w:style w:type="paragraph" w:styleId="BodyText">
    <w:name w:val="Body Text"/>
    <w:basedOn w:val="Normal"/>
    <w:link w:val="BodyTextChar"/>
    <w:uiPriority w:val="1"/>
    <w:qFormat/>
    <w:rsid w:val="00AB00D9"/>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AB00D9"/>
    <w:rPr>
      <w:rFonts w:asciiTheme="minorHAnsi" w:eastAsia="Times New Roman" w:hAnsiTheme="minorHAnsi"/>
      <w:sz w:val="20"/>
      <w:szCs w:val="24"/>
    </w:rPr>
  </w:style>
  <w:style w:type="character" w:styleId="Strong">
    <w:name w:val="Strong"/>
    <w:basedOn w:val="DefaultParagraphFont"/>
    <w:qFormat/>
    <w:locked/>
    <w:rsid w:val="00AB4C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478BF"/>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478BF"/>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Summary box"/>
    <w:basedOn w:val="TableNormal"/>
    <w:locked/>
    <w:rsid w:val="00A478B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A478BF"/>
    <w:rPr>
      <w:rFonts w:ascii="Arial Narrow" w:hAnsi="Arial Narrow"/>
      <w:sz w:val="20"/>
      <w:szCs w:val="24"/>
      <w:lang w:eastAsia="en-US"/>
    </w:rPr>
  </w:style>
  <w:style w:type="character" w:customStyle="1" w:styleId="TabletextChar">
    <w:name w:val="Table text Char"/>
    <w:basedOn w:val="DefaultParagraphFont"/>
    <w:link w:val="Tabletext"/>
    <w:rsid w:val="00A478BF"/>
    <w:rPr>
      <w:rFonts w:ascii="Arial Narrow" w:eastAsia="Times New Roman" w:hAnsi="Arial Narrow"/>
      <w:sz w:val="20"/>
      <w:szCs w:val="24"/>
      <w:lang w:eastAsia="en-US"/>
    </w:rPr>
  </w:style>
  <w:style w:type="paragraph" w:styleId="Caption">
    <w:name w:val="caption"/>
    <w:aliases w:val="Bayer Caption,IB Caption,Medical Caption,CSR Caption,Table and Figure Name"/>
    <w:basedOn w:val="Normal"/>
    <w:next w:val="Normal"/>
    <w:link w:val="CaptionChar"/>
    <w:unhideWhenUsed/>
    <w:qFormat/>
    <w:locked/>
    <w:rsid w:val="00A478BF"/>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
    <w:basedOn w:val="DefaultParagraphFont"/>
    <w:link w:val="Caption"/>
    <w:rsid w:val="00A478BF"/>
    <w:rPr>
      <w:rFonts w:ascii="Arial Narrow" w:eastAsia="Times New Roman" w:hAnsi="Arial Narrow" w:cs="Arial"/>
      <w:b/>
      <w:bCs/>
      <w:iCs/>
      <w:sz w:val="20"/>
      <w:szCs w:val="20"/>
      <w:lang w:eastAsia="en-US"/>
    </w:rPr>
  </w:style>
  <w:style w:type="paragraph" w:customStyle="1" w:styleId="Tablefootnote">
    <w:name w:val="Table footnote"/>
    <w:basedOn w:val="Normal"/>
    <w:link w:val="TablefootnoteChar"/>
    <w:qFormat/>
    <w:rsid w:val="00A478BF"/>
    <w:pPr>
      <w:keepNext/>
      <w:keepLines/>
      <w:spacing w:after="360"/>
      <w:contextualSpacing/>
      <w:jc w:val="both"/>
    </w:pPr>
    <w:rPr>
      <w:rFonts w:ascii="Arial Narrow" w:hAnsi="Arial Narrow" w:cs="Arial Narrow"/>
      <w:noProof/>
      <w:sz w:val="16"/>
      <w:szCs w:val="16"/>
      <w:lang w:val="en-GB"/>
    </w:rPr>
  </w:style>
  <w:style w:type="character" w:customStyle="1" w:styleId="TablefootnoteChar">
    <w:name w:val="Table footnote Char"/>
    <w:basedOn w:val="DefaultParagraphFont"/>
    <w:link w:val="Tablefootnote"/>
    <w:rsid w:val="00A478BF"/>
    <w:rPr>
      <w:rFonts w:ascii="Arial Narrow" w:eastAsia="Times New Roman" w:hAnsi="Arial Narrow" w:cs="Arial Narrow"/>
      <w:noProof/>
      <w:sz w:val="16"/>
      <w:szCs w:val="16"/>
      <w:lang w:val="en-GB"/>
    </w:rPr>
  </w:style>
  <w:style w:type="paragraph" w:customStyle="1" w:styleId="Tablehead">
    <w:name w:val="Table head"/>
    <w:basedOn w:val="Tabletext"/>
    <w:rsid w:val="000D25B3"/>
    <w:pPr>
      <w:keepNext/>
      <w:keepLines/>
      <w:spacing w:before="40" w:after="80"/>
    </w:pPr>
    <w:rPr>
      <w:b/>
      <w:bCs/>
      <w:sz w:val="18"/>
      <w:szCs w:val="20"/>
    </w:rPr>
  </w:style>
  <w:style w:type="paragraph" w:customStyle="1" w:styleId="ExecSummText">
    <w:name w:val="ExecSummText"/>
    <w:basedOn w:val="Normal"/>
    <w:qFormat/>
    <w:rsid w:val="000D25B3"/>
    <w:pPr>
      <w:spacing w:after="240"/>
      <w:jc w:val="both"/>
    </w:pPr>
    <w:rPr>
      <w:rFonts w:ascii="Arial" w:hAnsi="Arial" w:cs="Arial"/>
      <w:sz w:val="22"/>
      <w:szCs w:val="24"/>
      <w:lang w:eastAsia="en-US"/>
    </w:rPr>
  </w:style>
  <w:style w:type="table" w:customStyle="1" w:styleId="TableGrid11">
    <w:name w:val="Table Grid11"/>
    <w:basedOn w:val="TableNormal"/>
    <w:next w:val="TableGrid"/>
    <w:uiPriority w:val="39"/>
    <w:rsid w:val="000D25B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
    <w:name w:val="Comment"/>
    <w:basedOn w:val="Normal"/>
    <w:link w:val="CommentChar"/>
    <w:qFormat/>
    <w:rsid w:val="000D25B3"/>
    <w:pPr>
      <w:tabs>
        <w:tab w:val="num" w:pos="720"/>
      </w:tabs>
      <w:spacing w:after="240" w:line="288" w:lineRule="auto"/>
      <w:jc w:val="both"/>
    </w:pPr>
    <w:rPr>
      <w:rFonts w:ascii="Calibri" w:hAnsi="Calibri" w:cs="Arial"/>
      <w:i/>
      <w:sz w:val="22"/>
      <w:szCs w:val="22"/>
      <w:lang w:eastAsia="en-US"/>
    </w:rPr>
  </w:style>
  <w:style w:type="character" w:customStyle="1" w:styleId="CommentChar">
    <w:name w:val="Comment Char"/>
    <w:basedOn w:val="DefaultParagraphFont"/>
    <w:link w:val="Comment"/>
    <w:rsid w:val="000D25B3"/>
    <w:rPr>
      <w:rFonts w:ascii="Calibri" w:eastAsia="Times New Roman" w:hAnsi="Calibri" w:cs="Arial"/>
      <w:i/>
      <w:lang w:eastAsia="en-US"/>
    </w:rPr>
  </w:style>
  <w:style w:type="character" w:customStyle="1" w:styleId="ListParagraphChar">
    <w:name w:val="List Paragraph Char"/>
    <w:basedOn w:val="DefaultParagraphFont"/>
    <w:link w:val="ListParagraph"/>
    <w:uiPriority w:val="34"/>
    <w:rsid w:val="007603C2"/>
    <w:rPr>
      <w:rFonts w:eastAsia="Times New Roman"/>
      <w:sz w:val="24"/>
      <w:szCs w:val="20"/>
    </w:rPr>
  </w:style>
  <w:style w:type="table" w:customStyle="1" w:styleId="Summarybox3">
    <w:name w:val="Summary box3"/>
    <w:basedOn w:val="TableNormal"/>
    <w:next w:val="TableGrid"/>
    <w:rsid w:val="007603C2"/>
    <w:rPr>
      <w:rFonts w:ascii="Arial Narrow" w:eastAsia="Times New Roman" w:hAnsi="Arial Narrow" w:cs="Arial Narrow"/>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ummarybox4">
    <w:name w:val="Summary box4"/>
    <w:basedOn w:val="TableNormal"/>
    <w:next w:val="TableGrid"/>
    <w:rsid w:val="007603C2"/>
    <w:rPr>
      <w:rFonts w:ascii="Arial Narrow" w:eastAsia="Times New Roman" w:hAnsi="Arial Narrow" w:cs="Arial Narrow"/>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0">
    <w:name w:val="Table Text"/>
    <w:basedOn w:val="Normal"/>
    <w:link w:val="TableTextChar0"/>
    <w:rsid w:val="007603C2"/>
    <w:pPr>
      <w:keepNext/>
      <w:spacing w:before="40" w:after="40"/>
      <w:jc w:val="both"/>
    </w:pPr>
    <w:rPr>
      <w:rFonts w:ascii="Arial Narrow" w:hAnsi="Arial Narrow" w:cs="Arial"/>
      <w:sz w:val="20"/>
      <w:szCs w:val="22"/>
      <w:lang w:eastAsia="en-US"/>
    </w:rPr>
  </w:style>
  <w:style w:type="character" w:customStyle="1" w:styleId="TableTextChar0">
    <w:name w:val="Table Text Char"/>
    <w:link w:val="TableText0"/>
    <w:rsid w:val="007603C2"/>
    <w:rPr>
      <w:rFonts w:ascii="Arial Narrow" w:eastAsia="Times New Roman" w:hAnsi="Arial Narrow" w:cs="Arial"/>
      <w:sz w:val="20"/>
      <w:lang w:eastAsia="en-US"/>
    </w:rPr>
  </w:style>
  <w:style w:type="paragraph" w:customStyle="1" w:styleId="Tabletextbold">
    <w:name w:val="Table text bold"/>
    <w:basedOn w:val="Normal"/>
    <w:link w:val="TabletextboldChar"/>
    <w:qFormat/>
    <w:rsid w:val="007603C2"/>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7603C2"/>
    <w:rPr>
      <w:rFonts w:ascii="Arial Narrow" w:eastAsia="Times New Roman" w:hAnsi="Arial Narrow" w:cs="Arial"/>
      <w:b/>
      <w:sz w:val="20"/>
      <w:szCs w:val="20"/>
      <w:lang w:eastAsia="en-US"/>
    </w:rPr>
  </w:style>
  <w:style w:type="paragraph" w:customStyle="1" w:styleId="TableNotes">
    <w:name w:val="TableNotes"/>
    <w:basedOn w:val="Normal"/>
    <w:link w:val="TableNotesChar"/>
    <w:rsid w:val="007603C2"/>
    <w:pPr>
      <w:keepLines/>
      <w:spacing w:after="360" w:line="288" w:lineRule="auto"/>
      <w:contextualSpacing/>
      <w:jc w:val="both"/>
    </w:pPr>
    <w:rPr>
      <w:rFonts w:ascii="Arial Narrow" w:hAnsi="Arial Narrow" w:cs="Arial"/>
      <w:sz w:val="16"/>
      <w:szCs w:val="22"/>
      <w:lang w:eastAsia="en-US"/>
    </w:rPr>
  </w:style>
  <w:style w:type="character" w:customStyle="1" w:styleId="TableNotesChar">
    <w:name w:val="TableNotes Char"/>
    <w:link w:val="TableNotes"/>
    <w:rsid w:val="007603C2"/>
    <w:rPr>
      <w:rFonts w:ascii="Arial Narrow" w:eastAsia="Times New Roman" w:hAnsi="Arial Narrow" w:cs="Arial"/>
      <w:sz w:val="16"/>
      <w:lang w:eastAsia="en-US"/>
    </w:rPr>
  </w:style>
  <w:style w:type="paragraph" w:styleId="BodyText">
    <w:name w:val="Body Text"/>
    <w:basedOn w:val="Normal"/>
    <w:link w:val="BodyTextChar"/>
    <w:uiPriority w:val="1"/>
    <w:qFormat/>
    <w:rsid w:val="00AB00D9"/>
    <w:pPr>
      <w:spacing w:before="180" w:line="259" w:lineRule="auto"/>
    </w:pPr>
    <w:rPr>
      <w:rFonts w:asciiTheme="minorHAnsi" w:hAnsiTheme="minorHAnsi"/>
      <w:sz w:val="20"/>
      <w:szCs w:val="24"/>
    </w:rPr>
  </w:style>
  <w:style w:type="character" w:customStyle="1" w:styleId="BodyTextChar">
    <w:name w:val="Body Text Char"/>
    <w:basedOn w:val="DefaultParagraphFont"/>
    <w:link w:val="BodyText"/>
    <w:uiPriority w:val="1"/>
    <w:rsid w:val="00AB00D9"/>
    <w:rPr>
      <w:rFonts w:asciiTheme="minorHAnsi" w:eastAsia="Times New Roman" w:hAnsiTheme="minorHAnsi"/>
      <w:sz w:val="20"/>
      <w:szCs w:val="24"/>
    </w:rPr>
  </w:style>
  <w:style w:type="character" w:styleId="Strong">
    <w:name w:val="Strong"/>
    <w:basedOn w:val="DefaultParagraphFont"/>
    <w:qFormat/>
    <w:locked/>
    <w:rsid w:val="00AB4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sa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www.msac.gov.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D3514-F7C6-4E1B-9746-F8C12E27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3547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1358.1 Final PSD</dc:title>
  <dc:creator/>
  <cp:lastModifiedBy/>
  <cp:revision>1</cp:revision>
  <dcterms:created xsi:type="dcterms:W3CDTF">2017-02-13T02:50:00Z</dcterms:created>
  <dcterms:modified xsi:type="dcterms:W3CDTF">2017-02-13T02:50:00Z</dcterms:modified>
</cp:coreProperties>
</file>