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9613"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03B45770" wp14:editId="388B15BE">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AE63B29" w14:textId="77777777" w:rsidR="00BC1364" w:rsidRPr="008D5885" w:rsidRDefault="00BC1364" w:rsidP="008D5885"/>
    <w:p w14:paraId="0D7848B9" w14:textId="77777777" w:rsidR="00C67DD2" w:rsidRPr="008D5885" w:rsidRDefault="00C67DD2" w:rsidP="008D5885"/>
    <w:p w14:paraId="5A8A96DB" w14:textId="0B144917"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37087F">
        <w:rPr>
          <w:rFonts w:ascii="Arial" w:hAnsi="Arial" w:cs="Arial"/>
          <w:b/>
          <w:bCs/>
          <w:color w:val="000080"/>
          <w:sz w:val="36"/>
          <w:szCs w:val="36"/>
        </w:rPr>
        <w:t>Public Summary Document</w:t>
      </w:r>
    </w:p>
    <w:p w14:paraId="11CA2B80" w14:textId="77777777" w:rsidR="00BC1364" w:rsidRPr="007B32D1" w:rsidRDefault="00BC1364" w:rsidP="007B32D1"/>
    <w:p w14:paraId="13F37C1C" w14:textId="77777777"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FD51F0">
        <w:rPr>
          <w:rFonts w:ascii="Arial" w:hAnsi="Arial" w:cs="Arial"/>
          <w:b/>
          <w:bCs/>
          <w:i/>
          <w:color w:val="000080"/>
          <w:sz w:val="28"/>
          <w:szCs w:val="28"/>
        </w:rPr>
        <w:t>1190</w:t>
      </w:r>
      <w:r w:rsidRPr="007B32D1">
        <w:rPr>
          <w:rFonts w:ascii="Arial" w:hAnsi="Arial" w:cs="Arial"/>
          <w:b/>
          <w:bCs/>
          <w:i/>
          <w:color w:val="000080"/>
          <w:sz w:val="28"/>
          <w:szCs w:val="28"/>
        </w:rPr>
        <w:t xml:space="preserve"> – </w:t>
      </w:r>
      <w:r w:rsidR="00FD51F0">
        <w:rPr>
          <w:rFonts w:ascii="Arial" w:hAnsi="Arial" w:cs="Arial"/>
          <w:b/>
          <w:bCs/>
          <w:i/>
          <w:color w:val="000080"/>
          <w:sz w:val="28"/>
          <w:szCs w:val="28"/>
        </w:rPr>
        <w:t>Magnetic Resonance Imaging for small bowel and pelvis in Crohn disease</w:t>
      </w:r>
    </w:p>
    <w:p w14:paraId="7EECF0E5" w14:textId="77777777" w:rsidR="00BC1364" w:rsidRDefault="00BC1364" w:rsidP="00065623">
      <w:pPr>
        <w:tabs>
          <w:tab w:val="left" w:pos="3600"/>
        </w:tabs>
        <w:ind w:left="3600" w:hanging="3600"/>
        <w:rPr>
          <w:szCs w:val="24"/>
        </w:rPr>
      </w:pPr>
    </w:p>
    <w:p w14:paraId="62E28045" w14:textId="77777777" w:rsidR="00BC1364" w:rsidRPr="00707064" w:rsidRDefault="00BC1364" w:rsidP="00065623">
      <w:pPr>
        <w:tabs>
          <w:tab w:val="left" w:pos="3600"/>
        </w:tabs>
        <w:ind w:left="3600" w:hanging="3600"/>
        <w:rPr>
          <w:szCs w:val="24"/>
        </w:rPr>
      </w:pPr>
    </w:p>
    <w:p w14:paraId="265FB34E" w14:textId="77777777" w:rsidR="00BC1364" w:rsidRPr="00D90A38" w:rsidRDefault="00BC1364" w:rsidP="00296816">
      <w:pPr>
        <w:ind w:left="3544" w:hanging="3544"/>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00296816">
        <w:rPr>
          <w:rFonts w:ascii="Arial" w:hAnsi="Arial" w:cs="Arial"/>
          <w:b/>
          <w:szCs w:val="24"/>
        </w:rPr>
        <w:t xml:space="preserve">Australian Inflammatory Bowel Disease Association (Gastroenterology Society of Australia) </w:t>
      </w:r>
    </w:p>
    <w:p w14:paraId="406E81D1" w14:textId="77777777" w:rsidR="00BC1364" w:rsidRPr="00D90A38" w:rsidRDefault="00BC1364" w:rsidP="00065623">
      <w:pPr>
        <w:tabs>
          <w:tab w:val="left" w:pos="2265"/>
          <w:tab w:val="left" w:pos="3420"/>
          <w:tab w:val="left" w:pos="4320"/>
        </w:tabs>
        <w:rPr>
          <w:rFonts w:ascii="Arial" w:hAnsi="Arial" w:cs="Arial"/>
          <w:b/>
        </w:rPr>
      </w:pPr>
    </w:p>
    <w:p w14:paraId="6A76F787"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3D3133">
        <w:rPr>
          <w:rFonts w:ascii="Arial" w:hAnsi="Arial" w:cs="Arial"/>
          <w:b/>
          <w:szCs w:val="24"/>
        </w:rPr>
        <w:t>61st</w:t>
      </w:r>
      <w:r w:rsidRPr="00D90A38">
        <w:rPr>
          <w:rFonts w:ascii="Arial" w:hAnsi="Arial" w:cs="Arial"/>
          <w:b/>
          <w:szCs w:val="24"/>
        </w:rPr>
        <w:t xml:space="preserve"> Meeting, </w:t>
      </w:r>
      <w:r w:rsidR="003D3133">
        <w:rPr>
          <w:rFonts w:ascii="Arial" w:hAnsi="Arial" w:cs="Arial"/>
          <w:b/>
          <w:szCs w:val="24"/>
        </w:rPr>
        <w:t>3-4 April 2014</w:t>
      </w:r>
    </w:p>
    <w:p w14:paraId="7102F69E" w14:textId="77777777" w:rsidR="00BC1364" w:rsidRDefault="00BC1364" w:rsidP="00065623">
      <w:pPr>
        <w:rPr>
          <w:szCs w:val="24"/>
        </w:rPr>
      </w:pPr>
    </w:p>
    <w:p w14:paraId="19BBFFEA" w14:textId="77777777" w:rsidR="00C67DD2" w:rsidRPr="00707064" w:rsidRDefault="00C67DD2" w:rsidP="00065623">
      <w:pPr>
        <w:rPr>
          <w:szCs w:val="24"/>
        </w:rPr>
      </w:pPr>
    </w:p>
    <w:p w14:paraId="5C5578DE" w14:textId="77777777" w:rsidR="00BC1364" w:rsidRPr="00D90A38" w:rsidRDefault="00BC1364" w:rsidP="008D5885">
      <w:pPr>
        <w:pStyle w:val="Heading1"/>
        <w:numPr>
          <w:ilvl w:val="0"/>
          <w:numId w:val="23"/>
        </w:numPr>
        <w:ind w:hanging="720"/>
      </w:pPr>
      <w:r w:rsidRPr="00D90A38">
        <w:t>Purpose of application</w:t>
      </w:r>
    </w:p>
    <w:p w14:paraId="560AB3B7" w14:textId="77777777" w:rsidR="00BC1364" w:rsidRPr="00F35134" w:rsidRDefault="00BC1364" w:rsidP="00DD2858">
      <w:pPr>
        <w:tabs>
          <w:tab w:val="left" w:pos="720"/>
          <w:tab w:val="left" w:pos="1140"/>
        </w:tabs>
        <w:ind w:left="720"/>
        <w:rPr>
          <w:b/>
          <w:bCs/>
          <w:szCs w:val="24"/>
        </w:rPr>
      </w:pPr>
    </w:p>
    <w:p w14:paraId="739D4FDD" w14:textId="0811C37B" w:rsidR="003D3133" w:rsidRPr="00376625" w:rsidRDefault="00AE3EAE" w:rsidP="003D3133">
      <w:pPr>
        <w:rPr>
          <w:szCs w:val="24"/>
        </w:rPr>
      </w:pPr>
      <w:r w:rsidRPr="00376625">
        <w:rPr>
          <w:szCs w:val="24"/>
        </w:rPr>
        <w:t xml:space="preserve">The application </w:t>
      </w:r>
      <w:r w:rsidR="00376625" w:rsidRPr="00376625">
        <w:rPr>
          <w:szCs w:val="24"/>
        </w:rPr>
        <w:t xml:space="preserve">was submitted in July 2011 by </w:t>
      </w:r>
      <w:r w:rsidR="003D3133" w:rsidRPr="00376625">
        <w:rPr>
          <w:szCs w:val="24"/>
        </w:rPr>
        <w:t xml:space="preserve">the Gastroenterology Society of Australia (GESA) </w:t>
      </w:r>
      <w:r w:rsidR="00376625">
        <w:rPr>
          <w:szCs w:val="24"/>
        </w:rPr>
        <w:t>and requested Medicare Benefits Schedule (</w:t>
      </w:r>
      <w:r w:rsidR="00376625" w:rsidRPr="003D3133">
        <w:rPr>
          <w:szCs w:val="24"/>
        </w:rPr>
        <w:t>MBS</w:t>
      </w:r>
      <w:r w:rsidR="00376625">
        <w:rPr>
          <w:szCs w:val="24"/>
        </w:rPr>
        <w:t>)</w:t>
      </w:r>
      <w:r w:rsidR="0025512F">
        <w:rPr>
          <w:szCs w:val="24"/>
        </w:rPr>
        <w:t xml:space="preserve"> </w:t>
      </w:r>
      <w:r w:rsidR="0037087F">
        <w:rPr>
          <w:szCs w:val="24"/>
        </w:rPr>
        <w:t xml:space="preserve">listing </w:t>
      </w:r>
      <w:r w:rsidR="0025512F">
        <w:rPr>
          <w:szCs w:val="24"/>
        </w:rPr>
        <w:t xml:space="preserve">for </w:t>
      </w:r>
      <w:r w:rsidR="00521F81">
        <w:rPr>
          <w:szCs w:val="24"/>
        </w:rPr>
        <w:t>magnetic resonance imaging</w:t>
      </w:r>
      <w:r w:rsidR="00376625" w:rsidRPr="003D3133">
        <w:rPr>
          <w:szCs w:val="24"/>
        </w:rPr>
        <w:t xml:space="preserve"> </w:t>
      </w:r>
      <w:r w:rsidR="0025512F">
        <w:rPr>
          <w:szCs w:val="24"/>
        </w:rPr>
        <w:t>(</w:t>
      </w:r>
      <w:r w:rsidR="00376625" w:rsidRPr="003D3133">
        <w:rPr>
          <w:szCs w:val="24"/>
        </w:rPr>
        <w:t>MRI</w:t>
      </w:r>
      <w:r w:rsidR="0025512F">
        <w:rPr>
          <w:szCs w:val="24"/>
        </w:rPr>
        <w:t>)</w:t>
      </w:r>
      <w:r w:rsidR="00376625" w:rsidRPr="003D3133">
        <w:rPr>
          <w:szCs w:val="24"/>
        </w:rPr>
        <w:t xml:space="preserve"> for patients with Crohn disease</w:t>
      </w:r>
      <w:r w:rsidR="00376625">
        <w:rPr>
          <w:szCs w:val="24"/>
        </w:rPr>
        <w:t xml:space="preserve">. </w:t>
      </w:r>
    </w:p>
    <w:p w14:paraId="750DD010" w14:textId="77777777" w:rsidR="00BC1364" w:rsidRPr="00707064" w:rsidRDefault="00BC1364" w:rsidP="00DD2858">
      <w:pPr>
        <w:tabs>
          <w:tab w:val="left" w:pos="851"/>
          <w:tab w:val="left" w:pos="1140"/>
        </w:tabs>
        <w:ind w:left="709"/>
        <w:rPr>
          <w:color w:val="0070C0"/>
          <w:szCs w:val="24"/>
        </w:rPr>
      </w:pPr>
    </w:p>
    <w:p w14:paraId="2DF3DC8A" w14:textId="77777777" w:rsidR="00BC1364" w:rsidRPr="00D90A38" w:rsidRDefault="00BC1364" w:rsidP="007B32D1">
      <w:pPr>
        <w:pStyle w:val="Heading1"/>
        <w:numPr>
          <w:ilvl w:val="0"/>
          <w:numId w:val="23"/>
        </w:numPr>
        <w:ind w:hanging="720"/>
      </w:pPr>
      <w:r w:rsidRPr="00D90A38">
        <w:t>Background</w:t>
      </w:r>
    </w:p>
    <w:p w14:paraId="7F60752B" w14:textId="77777777" w:rsidR="00BC1364" w:rsidRPr="0032618C" w:rsidRDefault="00BC1364" w:rsidP="00DD2858">
      <w:pPr>
        <w:rPr>
          <w:b/>
          <w:szCs w:val="24"/>
        </w:rPr>
      </w:pPr>
    </w:p>
    <w:p w14:paraId="565C0EC7" w14:textId="2969F6E7" w:rsidR="0032618C" w:rsidRPr="0032618C" w:rsidRDefault="00CD17DD" w:rsidP="004539DE">
      <w:pPr>
        <w:rPr>
          <w:szCs w:val="24"/>
        </w:rPr>
      </w:pPr>
      <w:r w:rsidRPr="0032618C">
        <w:rPr>
          <w:szCs w:val="24"/>
        </w:rPr>
        <w:t>MSAC has not previously considered MRI for small bowel and pelvis in</w:t>
      </w:r>
      <w:r w:rsidR="000F43D6">
        <w:rPr>
          <w:szCs w:val="24"/>
        </w:rPr>
        <w:t xml:space="preserve"> Crohn disease and</w:t>
      </w:r>
    </w:p>
    <w:p w14:paraId="24AFCA73" w14:textId="77777777" w:rsidR="0032618C" w:rsidRPr="0032618C" w:rsidRDefault="0032618C" w:rsidP="004539DE">
      <w:pPr>
        <w:rPr>
          <w:szCs w:val="24"/>
        </w:rPr>
      </w:pPr>
      <w:r w:rsidRPr="0032618C">
        <w:rPr>
          <w:szCs w:val="24"/>
        </w:rPr>
        <w:t xml:space="preserve">MRI for </w:t>
      </w:r>
      <w:r w:rsidR="00724CF7">
        <w:rPr>
          <w:szCs w:val="24"/>
        </w:rPr>
        <w:t>Crohn</w:t>
      </w:r>
      <w:r w:rsidRPr="0032618C">
        <w:rPr>
          <w:szCs w:val="24"/>
        </w:rPr>
        <w:t xml:space="preserve"> disease is not currently funded under the MBS. </w:t>
      </w:r>
    </w:p>
    <w:p w14:paraId="06F675AC" w14:textId="77777777" w:rsidR="007B32D1" w:rsidRPr="0032618C" w:rsidRDefault="007B32D1" w:rsidP="007B32D1">
      <w:pPr>
        <w:rPr>
          <w:szCs w:val="24"/>
        </w:rPr>
      </w:pPr>
    </w:p>
    <w:p w14:paraId="380CFD6F" w14:textId="77777777" w:rsidR="00BC1364" w:rsidRPr="00D90A38" w:rsidRDefault="00BC1364" w:rsidP="007B32D1">
      <w:pPr>
        <w:pStyle w:val="Heading1"/>
        <w:numPr>
          <w:ilvl w:val="0"/>
          <w:numId w:val="23"/>
        </w:numPr>
        <w:ind w:hanging="720"/>
      </w:pPr>
      <w:r w:rsidRPr="00D90A38">
        <w:t>Prerequisites to implementation of any funding advice</w:t>
      </w:r>
    </w:p>
    <w:p w14:paraId="65635CC5" w14:textId="77777777" w:rsidR="00BC1364" w:rsidRPr="00A47D31" w:rsidRDefault="00BC1364" w:rsidP="00DD2858">
      <w:pPr>
        <w:tabs>
          <w:tab w:val="left" w:pos="720"/>
          <w:tab w:val="left" w:pos="1140"/>
        </w:tabs>
        <w:ind w:left="706"/>
        <w:rPr>
          <w:b/>
          <w:szCs w:val="24"/>
        </w:rPr>
      </w:pPr>
    </w:p>
    <w:p w14:paraId="2FEADC6A" w14:textId="7BDDC4E7" w:rsidR="00A37CFD" w:rsidRDefault="00A37CFD" w:rsidP="009E0D98">
      <w:pPr>
        <w:tabs>
          <w:tab w:val="left" w:pos="720"/>
          <w:tab w:val="left" w:pos="1140"/>
        </w:tabs>
        <w:rPr>
          <w:sz w:val="23"/>
          <w:szCs w:val="23"/>
        </w:rPr>
      </w:pPr>
      <w:r>
        <w:rPr>
          <w:sz w:val="23"/>
          <w:szCs w:val="23"/>
        </w:rPr>
        <w:t xml:space="preserve">To perform a MRI in patients with </w:t>
      </w:r>
      <w:r w:rsidR="00724CF7">
        <w:rPr>
          <w:sz w:val="23"/>
          <w:szCs w:val="23"/>
        </w:rPr>
        <w:t>Crohn</w:t>
      </w:r>
      <w:r>
        <w:rPr>
          <w:sz w:val="23"/>
          <w:szCs w:val="23"/>
        </w:rPr>
        <w:t xml:space="preserve"> disease, a specialist radiologist with expertise in interpreting MRI scanning and familiarity with </w:t>
      </w:r>
      <w:r w:rsidR="00724CF7">
        <w:rPr>
          <w:sz w:val="23"/>
          <w:szCs w:val="23"/>
        </w:rPr>
        <w:t>Crohn</w:t>
      </w:r>
      <w:r>
        <w:rPr>
          <w:sz w:val="23"/>
          <w:szCs w:val="23"/>
        </w:rPr>
        <w:t xml:space="preserve"> disease would be </w:t>
      </w:r>
      <w:r w:rsidR="00DB3975">
        <w:rPr>
          <w:sz w:val="23"/>
          <w:szCs w:val="23"/>
        </w:rPr>
        <w:t>required</w:t>
      </w:r>
      <w:r>
        <w:rPr>
          <w:sz w:val="23"/>
          <w:szCs w:val="23"/>
        </w:rPr>
        <w:t xml:space="preserve">. </w:t>
      </w:r>
    </w:p>
    <w:p w14:paraId="6016A918" w14:textId="77777777" w:rsidR="00A37CFD" w:rsidRDefault="00A37CFD" w:rsidP="009E0D98">
      <w:pPr>
        <w:tabs>
          <w:tab w:val="left" w:pos="720"/>
          <w:tab w:val="left" w:pos="1140"/>
        </w:tabs>
        <w:rPr>
          <w:sz w:val="23"/>
          <w:szCs w:val="23"/>
        </w:rPr>
      </w:pPr>
    </w:p>
    <w:p w14:paraId="6061EEB5" w14:textId="422A1E64" w:rsidR="00321965" w:rsidRPr="00A47D31" w:rsidRDefault="00321965" w:rsidP="009E0D98">
      <w:pPr>
        <w:tabs>
          <w:tab w:val="left" w:pos="720"/>
          <w:tab w:val="left" w:pos="1140"/>
        </w:tabs>
        <w:rPr>
          <w:color w:val="FF0000"/>
          <w:szCs w:val="24"/>
        </w:rPr>
      </w:pPr>
      <w:r w:rsidRPr="00A47D31">
        <w:rPr>
          <w:szCs w:val="24"/>
        </w:rPr>
        <w:t xml:space="preserve">MRI is currently available in public and private facilities in major centres in each state and territory. </w:t>
      </w:r>
      <w:r w:rsidR="005951B9">
        <w:rPr>
          <w:szCs w:val="24"/>
        </w:rPr>
        <w:t>There are 170</w:t>
      </w:r>
      <w:r w:rsidRPr="00A47D31">
        <w:rPr>
          <w:szCs w:val="24"/>
        </w:rPr>
        <w:t xml:space="preserve"> Medicare-eligible MRI units that can provide services eligible for funding under the MBS.</w:t>
      </w:r>
    </w:p>
    <w:p w14:paraId="280F92A9" w14:textId="373BFAC6" w:rsidR="00CE5FEA" w:rsidRDefault="00CE5FEA">
      <w:pPr>
        <w:rPr>
          <w:color w:val="0070C0"/>
          <w:szCs w:val="24"/>
        </w:rPr>
      </w:pPr>
    </w:p>
    <w:p w14:paraId="787A2F5D" w14:textId="77777777" w:rsidR="00BC1364" w:rsidRPr="007B32D1" w:rsidRDefault="00BC1364" w:rsidP="007B32D1">
      <w:pPr>
        <w:pStyle w:val="Heading1"/>
        <w:numPr>
          <w:ilvl w:val="0"/>
          <w:numId w:val="23"/>
        </w:numPr>
        <w:ind w:hanging="720"/>
      </w:pPr>
      <w:r w:rsidRPr="007B32D1">
        <w:t>Proposal for public funding</w:t>
      </w:r>
    </w:p>
    <w:p w14:paraId="0277F80D" w14:textId="77777777" w:rsidR="0016774E" w:rsidRPr="00A37CFD" w:rsidRDefault="0016774E" w:rsidP="00A47D31">
      <w:pPr>
        <w:tabs>
          <w:tab w:val="left" w:pos="720"/>
          <w:tab w:val="left" w:pos="1140"/>
        </w:tabs>
        <w:rPr>
          <w:szCs w:val="24"/>
        </w:rPr>
      </w:pPr>
    </w:p>
    <w:p w14:paraId="4F73C88A" w14:textId="77777777" w:rsidR="00603A1E" w:rsidRDefault="00A37CFD" w:rsidP="00AB3BFC">
      <w:pPr>
        <w:tabs>
          <w:tab w:val="left" w:pos="720"/>
          <w:tab w:val="left" w:pos="1140"/>
        </w:tabs>
        <w:rPr>
          <w:szCs w:val="24"/>
        </w:rPr>
      </w:pPr>
      <w:r w:rsidRPr="00A37CFD">
        <w:rPr>
          <w:szCs w:val="24"/>
        </w:rPr>
        <w:t xml:space="preserve">Tables 1 and 2 present the proposed MBS item descriptors for the six indications of </w:t>
      </w:r>
      <w:r>
        <w:rPr>
          <w:szCs w:val="24"/>
        </w:rPr>
        <w:t xml:space="preserve">the </w:t>
      </w:r>
      <w:r w:rsidRPr="00A37CFD">
        <w:rPr>
          <w:szCs w:val="24"/>
        </w:rPr>
        <w:t>application.</w:t>
      </w:r>
    </w:p>
    <w:p w14:paraId="27E12A5B" w14:textId="77777777" w:rsidR="00603A1E" w:rsidRPr="00A37CFD" w:rsidRDefault="00603A1E" w:rsidP="00AB3BFC">
      <w:pPr>
        <w:tabs>
          <w:tab w:val="left" w:pos="720"/>
          <w:tab w:val="left" w:pos="1140"/>
        </w:tabs>
        <w:rPr>
          <w:szCs w:val="24"/>
        </w:rPr>
      </w:pPr>
    </w:p>
    <w:p w14:paraId="75546E9D" w14:textId="77777777" w:rsidR="00336240" w:rsidRDefault="00336240">
      <w:pPr>
        <w:rPr>
          <w:rFonts w:eastAsia="Calibri"/>
          <w:b/>
          <w:bCs/>
          <w:color w:val="000000"/>
          <w:szCs w:val="24"/>
        </w:rPr>
      </w:pPr>
      <w:r>
        <w:rPr>
          <w:rFonts w:eastAsia="Calibri"/>
          <w:b/>
          <w:bCs/>
          <w:color w:val="000000"/>
          <w:szCs w:val="24"/>
        </w:rPr>
        <w:br w:type="page"/>
      </w:r>
    </w:p>
    <w:p w14:paraId="42A67EE0" w14:textId="131059DF" w:rsidR="00A37CFD" w:rsidRPr="000D6EF6" w:rsidRDefault="00A37CFD" w:rsidP="00AB3BFC">
      <w:pPr>
        <w:tabs>
          <w:tab w:val="left" w:pos="720"/>
          <w:tab w:val="left" w:pos="1140"/>
        </w:tabs>
        <w:rPr>
          <w:rFonts w:eastAsia="Calibri"/>
          <w:b/>
          <w:bCs/>
          <w:color w:val="000000"/>
          <w:szCs w:val="24"/>
        </w:rPr>
      </w:pPr>
      <w:r w:rsidRPr="00A37CFD">
        <w:rPr>
          <w:rFonts w:eastAsia="Calibri"/>
          <w:b/>
          <w:bCs/>
          <w:color w:val="000000"/>
          <w:szCs w:val="24"/>
        </w:rPr>
        <w:lastRenderedPageBreak/>
        <w:t xml:space="preserve">Table 1: Proposed MBS item descriptor for MRI for small bowel </w:t>
      </w:r>
      <w:r w:rsidR="00724CF7">
        <w:rPr>
          <w:rFonts w:eastAsia="Calibri"/>
          <w:b/>
          <w:bCs/>
          <w:color w:val="000000"/>
          <w:szCs w:val="24"/>
        </w:rPr>
        <w:t>Crohn</w:t>
      </w:r>
      <w:r w:rsidRPr="00A37CFD">
        <w:rPr>
          <w:rFonts w:eastAsia="Calibri"/>
          <w:b/>
          <w:bCs/>
          <w:color w:val="000000"/>
          <w:szCs w:val="24"/>
        </w:rPr>
        <w:t xml:space="preserve"> disease with and without contrast agent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6"/>
      </w:tblGrid>
      <w:tr w:rsidR="00A37CFD" w:rsidRPr="00475AB4" w14:paraId="207EBD8F" w14:textId="77777777" w:rsidTr="00A37CFD">
        <w:trPr>
          <w:trHeight w:val="138"/>
        </w:trPr>
        <w:tc>
          <w:tcPr>
            <w:tcW w:w="9096" w:type="dxa"/>
          </w:tcPr>
          <w:p w14:paraId="085E30B1" w14:textId="77777777" w:rsidR="00A37CFD" w:rsidRPr="00475AB4" w:rsidRDefault="00A37CFD" w:rsidP="00A37CFD">
            <w:pPr>
              <w:autoSpaceDE w:val="0"/>
              <w:autoSpaceDN w:val="0"/>
              <w:adjustRightInd w:val="0"/>
              <w:jc w:val="right"/>
              <w:rPr>
                <w:rFonts w:ascii="Arial" w:eastAsia="Calibri" w:hAnsi="Arial" w:cs="Arial"/>
                <w:color w:val="000000"/>
                <w:sz w:val="20"/>
              </w:rPr>
            </w:pPr>
            <w:r w:rsidRPr="00475AB4">
              <w:rPr>
                <w:rFonts w:ascii="Arial" w:eastAsia="Calibri" w:hAnsi="Arial" w:cs="Arial"/>
                <w:color w:val="000000"/>
                <w:sz w:val="20"/>
              </w:rPr>
              <w:t xml:space="preserve">Category 5 – Diagnostic Imaging Services </w:t>
            </w:r>
          </w:p>
        </w:tc>
      </w:tr>
      <w:tr w:rsidR="00A37CFD" w:rsidRPr="00475AB4" w14:paraId="7BB65321" w14:textId="77777777" w:rsidTr="00A37CFD">
        <w:trPr>
          <w:trHeight w:val="1236"/>
        </w:trPr>
        <w:tc>
          <w:tcPr>
            <w:tcW w:w="9096" w:type="dxa"/>
          </w:tcPr>
          <w:p w14:paraId="23B5F842"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MRI to evaluate small bowel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Medicare benefits are only payable for this item if the service is provided to patients for : </w:t>
            </w:r>
          </w:p>
          <w:p w14:paraId="1701BA05"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(a) Evaluation of disease extent at time of initial diagnosis of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p w14:paraId="0D04458A" w14:textId="772BC154"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(b) Evaluation of exacerbation/suspected complications of known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p w14:paraId="77EC7574"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(c) Evaluation of known or suspected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in pregnancy </w:t>
            </w:r>
          </w:p>
          <w:p w14:paraId="4562D76E"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(d) Assessment of change to therapy in patients with small bowel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p w14:paraId="7BEF6D33" w14:textId="77777777" w:rsidR="00A37CFD" w:rsidRPr="00475AB4" w:rsidRDefault="00A37CFD" w:rsidP="00A37CFD">
            <w:pPr>
              <w:autoSpaceDE w:val="0"/>
              <w:autoSpaceDN w:val="0"/>
              <w:adjustRightInd w:val="0"/>
              <w:rPr>
                <w:rFonts w:ascii="Arial" w:eastAsia="Calibri" w:hAnsi="Arial" w:cs="Arial"/>
                <w:color w:val="000000"/>
                <w:sz w:val="20"/>
              </w:rPr>
            </w:pPr>
          </w:p>
          <w:p w14:paraId="2B3D405B"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NOTE 1: Assessment of change to therapy can only be claimed once in a 12 month period. </w:t>
            </w:r>
          </w:p>
          <w:p w14:paraId="67DA9C3A" w14:textId="77777777" w:rsidR="00A37CFD" w:rsidRPr="00475AB4" w:rsidRDefault="00A37CFD" w:rsidP="00A37CFD">
            <w:pPr>
              <w:autoSpaceDE w:val="0"/>
              <w:autoSpaceDN w:val="0"/>
              <w:adjustRightInd w:val="0"/>
              <w:rPr>
                <w:rFonts w:ascii="Arial" w:eastAsia="Calibri" w:hAnsi="Arial" w:cs="Arial"/>
                <w:color w:val="000000"/>
                <w:sz w:val="20"/>
              </w:rPr>
            </w:pPr>
          </w:p>
          <w:p w14:paraId="48A84D9D"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Fee: $627.50 Benefit: 75% = $470.63 85% = $533.38 </w:t>
            </w:r>
          </w:p>
        </w:tc>
      </w:tr>
      <w:tr w:rsidR="00A37CFD" w:rsidRPr="00475AB4" w14:paraId="55D1175D" w14:textId="77777777" w:rsidTr="00A37CFD">
        <w:trPr>
          <w:trHeight w:val="289"/>
        </w:trPr>
        <w:tc>
          <w:tcPr>
            <w:tcW w:w="9096" w:type="dxa"/>
          </w:tcPr>
          <w:p w14:paraId="1CA003B0" w14:textId="77777777" w:rsidR="00A37CFD" w:rsidRPr="00475AB4" w:rsidRDefault="00A37CFD" w:rsidP="00A37CFD">
            <w:pPr>
              <w:autoSpaceDE w:val="0"/>
              <w:autoSpaceDN w:val="0"/>
              <w:adjustRightInd w:val="0"/>
              <w:rPr>
                <w:rFonts w:ascii="Arial" w:eastAsia="Calibri" w:hAnsi="Arial" w:cs="Arial"/>
                <w:color w:val="000000"/>
                <w:sz w:val="20"/>
              </w:rPr>
            </w:pPr>
          </w:p>
          <w:p w14:paraId="655425BE" w14:textId="77777777" w:rsidR="00FD02AF" w:rsidRDefault="00A37CFD" w:rsidP="00FD02AF">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MRI </w:t>
            </w:r>
            <w:proofErr w:type="spellStart"/>
            <w:r w:rsidRPr="00475AB4">
              <w:rPr>
                <w:rFonts w:ascii="Arial" w:eastAsia="Calibri" w:hAnsi="Arial" w:cs="Arial"/>
                <w:color w:val="000000"/>
                <w:sz w:val="20"/>
              </w:rPr>
              <w:t>enteroclysis</w:t>
            </w:r>
            <w:proofErr w:type="spellEnd"/>
            <w:r w:rsidRPr="00475AB4">
              <w:rPr>
                <w:rFonts w:ascii="Arial" w:eastAsia="Calibri" w:hAnsi="Arial" w:cs="Arial"/>
                <w:color w:val="000000"/>
                <w:sz w:val="20"/>
              </w:rPr>
              <w:t xml:space="preserve"> for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Medicare benefits are only payable for this item if the s</w:t>
            </w:r>
            <w:r w:rsidR="0037087F">
              <w:rPr>
                <w:rFonts w:ascii="Arial" w:eastAsia="Calibri" w:hAnsi="Arial" w:cs="Arial"/>
                <w:color w:val="000000"/>
                <w:sz w:val="20"/>
              </w:rPr>
              <w:t>ervice is related to item XXXX</w:t>
            </w:r>
          </w:p>
          <w:p w14:paraId="21BFCABA" w14:textId="6838D3E5" w:rsidR="00A37CFD" w:rsidRPr="00475AB4" w:rsidRDefault="00A37CFD" w:rsidP="00FD02AF">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Fee: $265.25 Benefit: 75% = $198.94 85% = $225.46 </w:t>
            </w:r>
          </w:p>
        </w:tc>
      </w:tr>
    </w:tbl>
    <w:p w14:paraId="517A23CD" w14:textId="77777777" w:rsidR="00A37CFD" w:rsidRPr="00A37CFD" w:rsidRDefault="00A37CFD" w:rsidP="00AB3BFC">
      <w:pPr>
        <w:tabs>
          <w:tab w:val="left" w:pos="720"/>
          <w:tab w:val="left" w:pos="1140"/>
        </w:tabs>
        <w:rPr>
          <w:color w:val="0070C0"/>
          <w:szCs w:val="24"/>
        </w:rPr>
      </w:pPr>
    </w:p>
    <w:p w14:paraId="55BC4138" w14:textId="77777777" w:rsidR="00A37CFD" w:rsidRDefault="00A37CFD" w:rsidP="00AB3BFC">
      <w:pPr>
        <w:tabs>
          <w:tab w:val="left" w:pos="720"/>
          <w:tab w:val="left" w:pos="1140"/>
        </w:tabs>
        <w:rPr>
          <w:rFonts w:eastAsia="Calibri"/>
          <w:b/>
          <w:bCs/>
          <w:color w:val="000000"/>
          <w:szCs w:val="24"/>
        </w:rPr>
      </w:pPr>
      <w:r w:rsidRPr="00A37CFD">
        <w:rPr>
          <w:rFonts w:eastAsia="Calibri"/>
          <w:b/>
          <w:bCs/>
          <w:color w:val="000000"/>
          <w:szCs w:val="24"/>
        </w:rPr>
        <w:t xml:space="preserve">Table 2: Proposed MBS item descriptor for MRI for fistulising perianal </w:t>
      </w:r>
      <w:r w:rsidR="00724CF7">
        <w:rPr>
          <w:rFonts w:eastAsia="Calibri"/>
          <w:b/>
          <w:bCs/>
          <w:color w:val="000000"/>
          <w:szCs w:val="24"/>
        </w:rPr>
        <w:t>Crohn</w:t>
      </w:r>
      <w:r w:rsidRPr="00A37CFD">
        <w:rPr>
          <w:rFonts w:eastAsia="Calibri"/>
          <w:b/>
          <w:bCs/>
          <w:color w:val="000000"/>
          <w:szCs w:val="24"/>
        </w:rPr>
        <w:t xml:space="preserve">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5"/>
      </w:tblGrid>
      <w:tr w:rsidR="00A37CFD" w:rsidRPr="00475AB4" w14:paraId="65C5807E" w14:textId="77777777" w:rsidTr="00A37CFD">
        <w:trPr>
          <w:trHeight w:val="138"/>
        </w:trPr>
        <w:tc>
          <w:tcPr>
            <w:tcW w:w="8785" w:type="dxa"/>
          </w:tcPr>
          <w:p w14:paraId="321EE1B4" w14:textId="77777777" w:rsidR="00A37CFD" w:rsidRPr="00475AB4" w:rsidRDefault="00A37CFD" w:rsidP="00A37CFD">
            <w:pPr>
              <w:autoSpaceDE w:val="0"/>
              <w:autoSpaceDN w:val="0"/>
              <w:adjustRightInd w:val="0"/>
              <w:spacing w:after="120"/>
              <w:jc w:val="right"/>
              <w:rPr>
                <w:rFonts w:ascii="Arial" w:eastAsia="Calibri" w:hAnsi="Arial" w:cs="Arial"/>
                <w:color w:val="000000"/>
                <w:sz w:val="20"/>
              </w:rPr>
            </w:pPr>
            <w:r w:rsidRPr="00475AB4">
              <w:rPr>
                <w:rFonts w:ascii="Arial" w:eastAsia="Calibri" w:hAnsi="Arial" w:cs="Arial"/>
                <w:color w:val="000000"/>
                <w:sz w:val="20"/>
              </w:rPr>
              <w:t xml:space="preserve">Category 5 – Diagnostic Imaging Services </w:t>
            </w:r>
          </w:p>
        </w:tc>
      </w:tr>
      <w:tr w:rsidR="00A37CFD" w:rsidRPr="00475AB4" w14:paraId="44B40DA6" w14:textId="77777777" w:rsidTr="00A37CFD">
        <w:trPr>
          <w:trHeight w:val="970"/>
        </w:trPr>
        <w:tc>
          <w:tcPr>
            <w:tcW w:w="8785" w:type="dxa"/>
          </w:tcPr>
          <w:p w14:paraId="66B07D28" w14:textId="7ED6F68A" w:rsidR="00A37CFD" w:rsidRPr="00475AB4" w:rsidRDefault="00A37CFD" w:rsidP="0037087F">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MRI for fistulising perianal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Medicare benefits are only payable for this item if the service is provided to patients for: </w:t>
            </w:r>
          </w:p>
          <w:p w14:paraId="1BBE5A2D"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(a) Evaluation of pelvic sepsis and fistulas associated with established or suspected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p w14:paraId="70962060" w14:textId="77777777" w:rsidR="00A37CFD" w:rsidRPr="00475AB4" w:rsidRDefault="00A37CFD" w:rsidP="00A37CFD">
            <w:pPr>
              <w:autoSpaceDE w:val="0"/>
              <w:autoSpaceDN w:val="0"/>
              <w:adjustRightInd w:val="0"/>
              <w:rPr>
                <w:rFonts w:ascii="Arial" w:eastAsia="Calibri" w:hAnsi="Arial" w:cs="Arial"/>
                <w:color w:val="000000"/>
                <w:sz w:val="20"/>
              </w:rPr>
            </w:pPr>
            <w:r w:rsidRPr="00475AB4">
              <w:rPr>
                <w:rFonts w:ascii="Arial" w:eastAsia="Calibri" w:hAnsi="Arial" w:cs="Arial"/>
                <w:color w:val="000000"/>
                <w:sz w:val="20"/>
              </w:rPr>
              <w:t xml:space="preserve">(b) Assessment of change to therapy of pelvis sepsis and fistulas from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w:t>
            </w:r>
          </w:p>
          <w:p w14:paraId="4A64ED46" w14:textId="77777777" w:rsidR="00A37CFD" w:rsidRPr="00475AB4" w:rsidRDefault="00A37CFD" w:rsidP="00A37CFD">
            <w:pPr>
              <w:autoSpaceDE w:val="0"/>
              <w:autoSpaceDN w:val="0"/>
              <w:adjustRightInd w:val="0"/>
              <w:rPr>
                <w:rFonts w:ascii="Arial" w:eastAsia="Calibri" w:hAnsi="Arial" w:cs="Arial"/>
                <w:color w:val="000000"/>
                <w:sz w:val="20"/>
              </w:rPr>
            </w:pPr>
          </w:p>
          <w:p w14:paraId="1CEF6D93" w14:textId="17BCFCD4" w:rsidR="00A37CFD" w:rsidRPr="00475AB4" w:rsidRDefault="00A37CFD" w:rsidP="00A37CFD">
            <w:pPr>
              <w:autoSpaceDE w:val="0"/>
              <w:autoSpaceDN w:val="0"/>
              <w:adjustRightInd w:val="0"/>
              <w:rPr>
                <w:rFonts w:ascii="Arial" w:hAnsi="Arial" w:cs="Arial"/>
                <w:sz w:val="20"/>
              </w:rPr>
            </w:pPr>
            <w:r w:rsidRPr="00475AB4">
              <w:rPr>
                <w:rFonts w:ascii="Arial" w:eastAsia="Calibri" w:hAnsi="Arial" w:cs="Arial"/>
                <w:color w:val="000000"/>
                <w:sz w:val="20"/>
              </w:rPr>
              <w:t xml:space="preserve">NOTE 1: </w:t>
            </w:r>
            <w:r w:rsidRPr="00475AB4">
              <w:rPr>
                <w:rFonts w:ascii="Arial" w:hAnsi="Arial" w:cs="Arial"/>
                <w:sz w:val="20"/>
              </w:rPr>
              <w:t xml:space="preserve">Assessment of change to therapy can only be claimed once in a 12 month period. </w:t>
            </w:r>
          </w:p>
          <w:p w14:paraId="284B5D65" w14:textId="77777777" w:rsidR="00A37CFD" w:rsidRPr="00475AB4" w:rsidRDefault="00A37CFD" w:rsidP="00A37CFD">
            <w:pPr>
              <w:autoSpaceDE w:val="0"/>
              <w:autoSpaceDN w:val="0"/>
              <w:adjustRightInd w:val="0"/>
              <w:rPr>
                <w:rFonts w:ascii="Arial" w:hAnsi="Arial" w:cs="Arial"/>
                <w:sz w:val="20"/>
              </w:rPr>
            </w:pPr>
          </w:p>
          <w:p w14:paraId="6E4ABFFC" w14:textId="77777777" w:rsidR="00A37CFD" w:rsidRPr="00475AB4" w:rsidRDefault="00A37CFD" w:rsidP="00A37CFD">
            <w:pPr>
              <w:autoSpaceDE w:val="0"/>
              <w:autoSpaceDN w:val="0"/>
              <w:adjustRightInd w:val="0"/>
              <w:rPr>
                <w:rFonts w:ascii="Arial" w:hAnsi="Arial" w:cs="Arial"/>
                <w:sz w:val="20"/>
              </w:rPr>
            </w:pPr>
            <w:r w:rsidRPr="00475AB4">
              <w:rPr>
                <w:rFonts w:ascii="Arial" w:hAnsi="Arial" w:cs="Arial"/>
                <w:sz w:val="20"/>
              </w:rPr>
              <w:t>Fee: $403.20 75% = $302.40 85% $342.72</w:t>
            </w:r>
          </w:p>
        </w:tc>
      </w:tr>
    </w:tbl>
    <w:p w14:paraId="4A7C70BF" w14:textId="77777777" w:rsidR="00603A1E" w:rsidRPr="00074397" w:rsidRDefault="00603A1E" w:rsidP="00AB3BFC">
      <w:pPr>
        <w:tabs>
          <w:tab w:val="left" w:pos="720"/>
          <w:tab w:val="left" w:pos="1140"/>
        </w:tabs>
        <w:rPr>
          <w:color w:val="0070C0"/>
          <w:szCs w:val="24"/>
        </w:rPr>
      </w:pPr>
    </w:p>
    <w:p w14:paraId="22FE2841" w14:textId="77777777" w:rsidR="00BC1364" w:rsidRPr="007B32D1" w:rsidRDefault="00BC1364" w:rsidP="007B32D1">
      <w:pPr>
        <w:pStyle w:val="Heading1"/>
        <w:numPr>
          <w:ilvl w:val="0"/>
          <w:numId w:val="23"/>
        </w:numPr>
        <w:ind w:hanging="720"/>
      </w:pPr>
      <w:r w:rsidRPr="007B32D1">
        <w:t>Summary of Consumer/Consultant Feedback</w:t>
      </w:r>
    </w:p>
    <w:p w14:paraId="0B5B096D" w14:textId="77777777" w:rsidR="00BC1364" w:rsidRPr="00CA1DE8" w:rsidRDefault="00BC1364" w:rsidP="00DD2858">
      <w:pPr>
        <w:rPr>
          <w:b/>
          <w:szCs w:val="24"/>
        </w:rPr>
      </w:pPr>
    </w:p>
    <w:p w14:paraId="2DA38997" w14:textId="703BE22A" w:rsidR="001F4692" w:rsidRDefault="001F4692" w:rsidP="001F4692">
      <w:pPr>
        <w:autoSpaceDE w:val="0"/>
        <w:autoSpaceDN w:val="0"/>
        <w:adjustRightInd w:val="0"/>
        <w:rPr>
          <w:rFonts w:eastAsia="Calibri"/>
          <w:color w:val="000000"/>
          <w:szCs w:val="24"/>
        </w:rPr>
      </w:pPr>
      <w:r>
        <w:rPr>
          <w:rFonts w:eastAsia="Calibri"/>
          <w:color w:val="000000"/>
          <w:szCs w:val="24"/>
        </w:rPr>
        <w:t xml:space="preserve">MSAC’s Protocol Advisory Sub-Committee (PASC) noted the responses where positive and supportive and that potential disadvantages are few (only that some patients experience claustrophobia with MRI). </w:t>
      </w:r>
    </w:p>
    <w:p w14:paraId="75E228C3" w14:textId="77777777" w:rsidR="001F4692" w:rsidRDefault="001F4692" w:rsidP="001F4692">
      <w:pPr>
        <w:autoSpaceDE w:val="0"/>
        <w:autoSpaceDN w:val="0"/>
        <w:adjustRightInd w:val="0"/>
        <w:rPr>
          <w:rFonts w:eastAsia="Calibri"/>
          <w:color w:val="000000"/>
          <w:szCs w:val="24"/>
        </w:rPr>
      </w:pPr>
    </w:p>
    <w:p w14:paraId="0042C8EA" w14:textId="63088F17" w:rsidR="001F4692" w:rsidRDefault="001F4692" w:rsidP="001F4692">
      <w:pPr>
        <w:autoSpaceDE w:val="0"/>
        <w:autoSpaceDN w:val="0"/>
        <w:adjustRightInd w:val="0"/>
        <w:rPr>
          <w:rFonts w:eastAsia="Calibri"/>
          <w:color w:val="000000"/>
          <w:szCs w:val="24"/>
        </w:rPr>
      </w:pPr>
      <w:r>
        <w:rPr>
          <w:rFonts w:eastAsia="Calibri"/>
          <w:color w:val="000000"/>
          <w:szCs w:val="24"/>
        </w:rPr>
        <w:t xml:space="preserve">In order to complement the introduction of MRI to diagnose small bowel Crohn disease, survey responses also indicated that funding faecal </w:t>
      </w:r>
      <w:proofErr w:type="spellStart"/>
      <w:r>
        <w:rPr>
          <w:rFonts w:eastAsia="Calibri"/>
          <w:color w:val="000000"/>
          <w:szCs w:val="24"/>
        </w:rPr>
        <w:t>calprotectin</w:t>
      </w:r>
      <w:proofErr w:type="spellEnd"/>
      <w:r>
        <w:rPr>
          <w:rFonts w:eastAsia="Calibri"/>
          <w:color w:val="000000"/>
          <w:szCs w:val="24"/>
        </w:rPr>
        <w:t xml:space="preserve"> as a non-invasive marker of gut inflammation needs to be considered.</w:t>
      </w:r>
    </w:p>
    <w:p w14:paraId="1D226717" w14:textId="77777777" w:rsidR="001F4692" w:rsidRDefault="001F4692" w:rsidP="001F4692">
      <w:pPr>
        <w:autoSpaceDE w:val="0"/>
        <w:autoSpaceDN w:val="0"/>
        <w:adjustRightInd w:val="0"/>
        <w:rPr>
          <w:rFonts w:eastAsia="Calibri"/>
          <w:color w:val="000000"/>
          <w:szCs w:val="24"/>
        </w:rPr>
      </w:pPr>
    </w:p>
    <w:p w14:paraId="1B7F9298" w14:textId="7FBEA3BB" w:rsidR="001F4692" w:rsidRDefault="003F37A2" w:rsidP="00DB3975">
      <w:pPr>
        <w:autoSpaceDE w:val="0"/>
        <w:autoSpaceDN w:val="0"/>
        <w:adjustRightInd w:val="0"/>
        <w:rPr>
          <w:rFonts w:eastAsia="Calibri"/>
          <w:color w:val="000000"/>
          <w:szCs w:val="24"/>
        </w:rPr>
      </w:pPr>
      <w:r>
        <w:rPr>
          <w:rFonts w:eastAsia="Calibri"/>
          <w:color w:val="000000"/>
          <w:szCs w:val="24"/>
        </w:rPr>
        <w:t>Comments provided by t</w:t>
      </w:r>
      <w:r w:rsidR="001F4692">
        <w:rPr>
          <w:rFonts w:eastAsia="Calibri"/>
          <w:color w:val="000000"/>
          <w:szCs w:val="24"/>
        </w:rPr>
        <w:t xml:space="preserve">he Royal Australian and New </w:t>
      </w:r>
      <w:r w:rsidR="00DB3975">
        <w:rPr>
          <w:rFonts w:eastAsia="Calibri"/>
          <w:color w:val="000000"/>
          <w:szCs w:val="24"/>
        </w:rPr>
        <w:t>Zealand College of Radiologists s</w:t>
      </w:r>
      <w:r w:rsidR="001F4692">
        <w:rPr>
          <w:rFonts w:eastAsia="Calibri"/>
          <w:color w:val="000000"/>
          <w:szCs w:val="24"/>
        </w:rPr>
        <w:t xml:space="preserve">upport of the proposal, however </w:t>
      </w:r>
      <w:r w:rsidR="00DB3975">
        <w:rPr>
          <w:rFonts w:eastAsia="Calibri"/>
          <w:color w:val="000000"/>
          <w:szCs w:val="24"/>
        </w:rPr>
        <w:t xml:space="preserve">they are </w:t>
      </w:r>
      <w:r w:rsidR="001F4692">
        <w:rPr>
          <w:rFonts w:eastAsia="Calibri"/>
          <w:color w:val="000000"/>
          <w:szCs w:val="24"/>
        </w:rPr>
        <w:t xml:space="preserve"> mostly concerned that the DAP did not distinguish between the two MR</w:t>
      </w:r>
      <w:r w:rsidR="00DB3975">
        <w:rPr>
          <w:rFonts w:eastAsia="Calibri"/>
          <w:color w:val="000000"/>
          <w:szCs w:val="24"/>
        </w:rPr>
        <w:t>I techniques. The College agreed</w:t>
      </w:r>
      <w:r w:rsidR="001F4692">
        <w:rPr>
          <w:rFonts w:eastAsia="Calibri"/>
          <w:color w:val="000000"/>
          <w:szCs w:val="24"/>
        </w:rPr>
        <w:t xml:space="preserve"> with PASC that separate descriptors and fees would be needed to distinguish between MR </w:t>
      </w:r>
      <w:proofErr w:type="gramStart"/>
      <w:r w:rsidR="001F4692">
        <w:rPr>
          <w:rFonts w:eastAsia="Calibri"/>
          <w:color w:val="000000"/>
          <w:szCs w:val="24"/>
        </w:rPr>
        <w:t>enterography</w:t>
      </w:r>
      <w:proofErr w:type="gramEnd"/>
      <w:r w:rsidR="001F4692">
        <w:rPr>
          <w:rFonts w:eastAsia="Calibri"/>
          <w:color w:val="000000"/>
          <w:szCs w:val="24"/>
        </w:rPr>
        <w:t xml:space="preserve"> and MR </w:t>
      </w:r>
      <w:proofErr w:type="spellStart"/>
      <w:r w:rsidR="001F4692">
        <w:rPr>
          <w:rFonts w:eastAsia="Calibri"/>
          <w:color w:val="000000"/>
          <w:szCs w:val="24"/>
        </w:rPr>
        <w:t>enteroclysis</w:t>
      </w:r>
      <w:proofErr w:type="spellEnd"/>
      <w:r w:rsidR="001F4692">
        <w:rPr>
          <w:rFonts w:eastAsia="Calibri"/>
          <w:color w:val="000000"/>
          <w:szCs w:val="24"/>
        </w:rPr>
        <w:t>.</w:t>
      </w:r>
    </w:p>
    <w:p w14:paraId="1D474719" w14:textId="77777777" w:rsidR="00A37CFD" w:rsidRPr="00CA1DE8" w:rsidRDefault="00A37CFD" w:rsidP="00DD2858">
      <w:pPr>
        <w:rPr>
          <w:b/>
          <w:szCs w:val="24"/>
        </w:rPr>
      </w:pPr>
    </w:p>
    <w:p w14:paraId="527F5D40" w14:textId="77777777" w:rsidR="00BC1364" w:rsidRDefault="00BC1364" w:rsidP="007B32D1">
      <w:pPr>
        <w:pStyle w:val="Heading1"/>
        <w:numPr>
          <w:ilvl w:val="0"/>
          <w:numId w:val="23"/>
        </w:numPr>
        <w:ind w:hanging="720"/>
      </w:pPr>
      <w:r w:rsidRPr="00D90A38">
        <w:t>Proposed intervention’s place in clinical management</w:t>
      </w:r>
    </w:p>
    <w:p w14:paraId="7B2951EA" w14:textId="77777777" w:rsidR="00BC1364" w:rsidRPr="00CA1DE8" w:rsidRDefault="00BC1364" w:rsidP="00DD2858">
      <w:pPr>
        <w:rPr>
          <w:color w:val="3366FF"/>
          <w:szCs w:val="24"/>
        </w:rPr>
      </w:pPr>
    </w:p>
    <w:p w14:paraId="7B386CE6" w14:textId="2C850599" w:rsidR="00BC1364" w:rsidRPr="00CA1DE8" w:rsidRDefault="0051159A" w:rsidP="00DD2858">
      <w:pPr>
        <w:rPr>
          <w:szCs w:val="24"/>
        </w:rPr>
      </w:pPr>
      <w:r w:rsidRPr="00CA1DE8">
        <w:rPr>
          <w:szCs w:val="24"/>
        </w:rPr>
        <w:t xml:space="preserve">It </w:t>
      </w:r>
      <w:r w:rsidR="000D6EF6">
        <w:rPr>
          <w:szCs w:val="24"/>
        </w:rPr>
        <w:t>wa</w:t>
      </w:r>
      <w:r w:rsidRPr="00CA1DE8">
        <w:rPr>
          <w:szCs w:val="24"/>
        </w:rPr>
        <w:t xml:space="preserve">s proposed that MRI will be indicated in six specific situations when evaluating patients with </w:t>
      </w:r>
      <w:r w:rsidR="00724CF7">
        <w:rPr>
          <w:szCs w:val="24"/>
        </w:rPr>
        <w:t>Crohn</w:t>
      </w:r>
      <w:r w:rsidRPr="00CA1DE8">
        <w:rPr>
          <w:szCs w:val="24"/>
        </w:rPr>
        <w:t xml:space="preserve"> disease and there are several proposed changes to current practice. These separate places in the clinical management algorithm are summarised in Table 3. In this assessment, the clinical evidence addressed the requirements of the agreed Protocol.</w:t>
      </w:r>
    </w:p>
    <w:p w14:paraId="3EB6AD2A" w14:textId="77777777" w:rsidR="00CE5FEA" w:rsidRDefault="00CE5FEA">
      <w:pPr>
        <w:rPr>
          <w:szCs w:val="24"/>
        </w:rPr>
      </w:pPr>
      <w:r>
        <w:rPr>
          <w:szCs w:val="24"/>
        </w:rPr>
        <w:br w:type="page"/>
      </w:r>
    </w:p>
    <w:p w14:paraId="758A63AF" w14:textId="77777777" w:rsidR="0051159A" w:rsidRPr="00475AB4" w:rsidRDefault="0051159A" w:rsidP="00DD2858">
      <w:pPr>
        <w:rPr>
          <w:b/>
          <w:bCs/>
          <w:szCs w:val="24"/>
        </w:rPr>
      </w:pPr>
      <w:r w:rsidRPr="00CA1DE8">
        <w:rPr>
          <w:b/>
          <w:bCs/>
          <w:szCs w:val="24"/>
        </w:rPr>
        <w:lastRenderedPageBreak/>
        <w:t>Table 3: Proposed indications of MRI and clinical place in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1"/>
        <w:gridCol w:w="4601"/>
      </w:tblGrid>
      <w:tr w:rsidR="0051159A" w:rsidRPr="00475AB4" w14:paraId="2D963B2A" w14:textId="77777777" w:rsidTr="0051159A">
        <w:trPr>
          <w:trHeight w:val="127"/>
        </w:trPr>
        <w:tc>
          <w:tcPr>
            <w:tcW w:w="4601" w:type="dxa"/>
          </w:tcPr>
          <w:p w14:paraId="591F2670" w14:textId="77777777" w:rsidR="0051159A" w:rsidRPr="00475AB4" w:rsidRDefault="0051159A" w:rsidP="0051159A">
            <w:pPr>
              <w:autoSpaceDE w:val="0"/>
              <w:autoSpaceDN w:val="0"/>
              <w:adjustRightInd w:val="0"/>
              <w:rPr>
                <w:rFonts w:ascii="Arial" w:eastAsia="Calibri" w:hAnsi="Arial" w:cs="Arial"/>
                <w:color w:val="000000"/>
                <w:sz w:val="20"/>
              </w:rPr>
            </w:pPr>
            <w:r w:rsidRPr="00475AB4">
              <w:rPr>
                <w:rFonts w:ascii="Arial" w:eastAsia="Calibri" w:hAnsi="Arial" w:cs="Arial"/>
                <w:b/>
                <w:bCs/>
                <w:color w:val="000000"/>
                <w:sz w:val="20"/>
              </w:rPr>
              <w:t>Proposed Indication</w:t>
            </w:r>
          </w:p>
        </w:tc>
        <w:tc>
          <w:tcPr>
            <w:tcW w:w="4601" w:type="dxa"/>
          </w:tcPr>
          <w:p w14:paraId="1B12716E" w14:textId="77777777" w:rsidR="0051159A" w:rsidRPr="00475AB4" w:rsidRDefault="0051159A" w:rsidP="0051159A">
            <w:pPr>
              <w:autoSpaceDE w:val="0"/>
              <w:autoSpaceDN w:val="0"/>
              <w:adjustRightInd w:val="0"/>
              <w:rPr>
                <w:rFonts w:ascii="Arial" w:eastAsia="Calibri" w:hAnsi="Arial" w:cs="Arial"/>
                <w:color w:val="000000"/>
                <w:sz w:val="20"/>
              </w:rPr>
            </w:pPr>
            <w:r w:rsidRPr="00475AB4">
              <w:rPr>
                <w:rFonts w:ascii="Arial" w:eastAsia="Calibri" w:hAnsi="Arial" w:cs="Arial"/>
                <w:b/>
                <w:bCs/>
                <w:color w:val="000000"/>
                <w:sz w:val="20"/>
              </w:rPr>
              <w:t xml:space="preserve">MRI is intended to: </w:t>
            </w:r>
          </w:p>
        </w:tc>
      </w:tr>
      <w:tr w:rsidR="0051159A" w:rsidRPr="00475AB4" w14:paraId="71929657" w14:textId="77777777" w:rsidTr="0051159A">
        <w:trPr>
          <w:trHeight w:val="228"/>
        </w:trPr>
        <w:tc>
          <w:tcPr>
            <w:tcW w:w="4601" w:type="dxa"/>
          </w:tcPr>
          <w:p w14:paraId="7768888E"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Evaluation of extent of disease at time of diagnosis for suspected or known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tc>
        <w:tc>
          <w:tcPr>
            <w:tcW w:w="4601" w:type="dxa"/>
          </w:tcPr>
          <w:p w14:paraId="004BA8AD"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Replace CT or SBFT </w:t>
            </w:r>
          </w:p>
        </w:tc>
      </w:tr>
      <w:tr w:rsidR="0051159A" w:rsidRPr="00475AB4" w14:paraId="2C9113BA" w14:textId="77777777" w:rsidTr="0051159A">
        <w:trPr>
          <w:trHeight w:val="125"/>
        </w:trPr>
        <w:tc>
          <w:tcPr>
            <w:tcW w:w="4601" w:type="dxa"/>
          </w:tcPr>
          <w:p w14:paraId="1F9E68DE"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Evaluation of suspected complications in known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tc>
        <w:tc>
          <w:tcPr>
            <w:tcW w:w="4601" w:type="dxa"/>
          </w:tcPr>
          <w:p w14:paraId="1B29C5AC"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Replace CT or SBFT </w:t>
            </w:r>
          </w:p>
        </w:tc>
      </w:tr>
      <w:tr w:rsidR="0051159A" w:rsidRPr="00475AB4" w14:paraId="18354A22" w14:textId="77777777" w:rsidTr="0051159A">
        <w:trPr>
          <w:trHeight w:val="125"/>
        </w:trPr>
        <w:tc>
          <w:tcPr>
            <w:tcW w:w="4601" w:type="dxa"/>
          </w:tcPr>
          <w:p w14:paraId="54AEA1E8"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Evaluation of suspected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in pregnancy </w:t>
            </w:r>
          </w:p>
        </w:tc>
        <w:tc>
          <w:tcPr>
            <w:tcW w:w="4601" w:type="dxa"/>
          </w:tcPr>
          <w:p w14:paraId="4A862B3B"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Replace Ultrasound </w:t>
            </w:r>
          </w:p>
        </w:tc>
      </w:tr>
      <w:tr w:rsidR="0051159A" w:rsidRPr="00475AB4" w14:paraId="592ECC57" w14:textId="77777777" w:rsidTr="0051159A">
        <w:trPr>
          <w:trHeight w:val="125"/>
        </w:trPr>
        <w:tc>
          <w:tcPr>
            <w:tcW w:w="4601" w:type="dxa"/>
          </w:tcPr>
          <w:p w14:paraId="4F69A9B5"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Assessment of change to therapy in known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tc>
        <w:tc>
          <w:tcPr>
            <w:tcW w:w="4601" w:type="dxa"/>
          </w:tcPr>
          <w:p w14:paraId="23A056CD"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Complement CT or SBFT or endoscopy </w:t>
            </w:r>
          </w:p>
        </w:tc>
      </w:tr>
      <w:tr w:rsidR="0051159A" w:rsidRPr="00475AB4" w14:paraId="69F9326A" w14:textId="77777777" w:rsidTr="0051159A">
        <w:trPr>
          <w:trHeight w:val="228"/>
        </w:trPr>
        <w:tc>
          <w:tcPr>
            <w:tcW w:w="4601" w:type="dxa"/>
          </w:tcPr>
          <w:p w14:paraId="73620596"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Evaluation of pelvic sepsis and fistulas suspected or known fistulising perianal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tc>
        <w:tc>
          <w:tcPr>
            <w:tcW w:w="4601" w:type="dxa"/>
          </w:tcPr>
          <w:p w14:paraId="127D3F7C"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Replace surgical examination or </w:t>
            </w:r>
            <w:proofErr w:type="spellStart"/>
            <w:r w:rsidRPr="00475AB4">
              <w:rPr>
                <w:rFonts w:ascii="Arial" w:eastAsia="Calibri" w:hAnsi="Arial" w:cs="Arial"/>
                <w:color w:val="000000"/>
                <w:sz w:val="20"/>
              </w:rPr>
              <w:t>endoanal</w:t>
            </w:r>
            <w:proofErr w:type="spellEnd"/>
            <w:r w:rsidRPr="00475AB4">
              <w:rPr>
                <w:rFonts w:ascii="Arial" w:eastAsia="Calibri" w:hAnsi="Arial" w:cs="Arial"/>
                <w:color w:val="000000"/>
                <w:sz w:val="20"/>
              </w:rPr>
              <w:t xml:space="preserve"> ultrasound </w:t>
            </w:r>
          </w:p>
        </w:tc>
      </w:tr>
      <w:tr w:rsidR="0051159A" w:rsidRPr="00475AB4" w14:paraId="68EA97DF" w14:textId="77777777" w:rsidTr="0051159A">
        <w:trPr>
          <w:trHeight w:val="228"/>
        </w:trPr>
        <w:tc>
          <w:tcPr>
            <w:tcW w:w="4601" w:type="dxa"/>
          </w:tcPr>
          <w:p w14:paraId="180FF975"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Assessment of change to therapy in patients with pelvic sepsis and fistulas in known fistulising perianal </w:t>
            </w:r>
            <w:r w:rsidR="00724CF7" w:rsidRPr="00475AB4">
              <w:rPr>
                <w:rFonts w:ascii="Arial" w:eastAsia="Calibri" w:hAnsi="Arial" w:cs="Arial"/>
                <w:color w:val="000000"/>
                <w:sz w:val="20"/>
              </w:rPr>
              <w:t>Crohn</w:t>
            </w:r>
            <w:r w:rsidRPr="00475AB4">
              <w:rPr>
                <w:rFonts w:ascii="Arial" w:eastAsia="Calibri" w:hAnsi="Arial" w:cs="Arial"/>
                <w:color w:val="000000"/>
                <w:sz w:val="20"/>
              </w:rPr>
              <w:t xml:space="preserve"> disease </w:t>
            </w:r>
          </w:p>
        </w:tc>
        <w:tc>
          <w:tcPr>
            <w:tcW w:w="4601" w:type="dxa"/>
          </w:tcPr>
          <w:p w14:paraId="37E1B507" w14:textId="77777777" w:rsidR="0051159A" w:rsidRPr="00475AB4" w:rsidRDefault="0051159A" w:rsidP="0051159A">
            <w:pPr>
              <w:autoSpaceDE w:val="0"/>
              <w:autoSpaceDN w:val="0"/>
              <w:adjustRightInd w:val="0"/>
              <w:spacing w:after="120"/>
              <w:rPr>
                <w:rFonts w:ascii="Arial" w:eastAsia="Calibri" w:hAnsi="Arial" w:cs="Arial"/>
                <w:color w:val="000000"/>
                <w:sz w:val="20"/>
              </w:rPr>
            </w:pPr>
            <w:r w:rsidRPr="00475AB4">
              <w:rPr>
                <w:rFonts w:ascii="Arial" w:eastAsia="Calibri" w:hAnsi="Arial" w:cs="Arial"/>
                <w:color w:val="000000"/>
                <w:sz w:val="20"/>
              </w:rPr>
              <w:t xml:space="preserve">Complement surgical examination or </w:t>
            </w:r>
            <w:proofErr w:type="spellStart"/>
            <w:r w:rsidRPr="00475AB4">
              <w:rPr>
                <w:rFonts w:ascii="Arial" w:eastAsia="Calibri" w:hAnsi="Arial" w:cs="Arial"/>
                <w:color w:val="000000"/>
                <w:sz w:val="20"/>
              </w:rPr>
              <w:t>endoanal</w:t>
            </w:r>
            <w:proofErr w:type="spellEnd"/>
            <w:r w:rsidRPr="00475AB4">
              <w:rPr>
                <w:rFonts w:ascii="Arial" w:eastAsia="Calibri" w:hAnsi="Arial" w:cs="Arial"/>
                <w:color w:val="000000"/>
                <w:sz w:val="20"/>
              </w:rPr>
              <w:t xml:space="preserve"> ultrasound </w:t>
            </w:r>
          </w:p>
        </w:tc>
      </w:tr>
    </w:tbl>
    <w:p w14:paraId="0AD1270C" w14:textId="77777777" w:rsidR="0051159A" w:rsidRPr="000D6EF6" w:rsidRDefault="0051159A" w:rsidP="00DD2858">
      <w:pPr>
        <w:rPr>
          <w:rFonts w:ascii="Arial" w:hAnsi="Arial" w:cs="Arial"/>
          <w:sz w:val="20"/>
        </w:rPr>
      </w:pPr>
      <w:r w:rsidRPr="000D6EF6">
        <w:rPr>
          <w:rFonts w:ascii="Arial" w:hAnsi="Arial" w:cs="Arial"/>
          <w:sz w:val="20"/>
        </w:rPr>
        <w:t>CT = computer tomography, MRI = magnetic resonance imaging, SBFT = small bowel follow through.</w:t>
      </w:r>
    </w:p>
    <w:p w14:paraId="14D3B374" w14:textId="77777777" w:rsidR="0051159A" w:rsidRPr="0051159A" w:rsidRDefault="0051159A" w:rsidP="00DD2858">
      <w:pPr>
        <w:rPr>
          <w:color w:val="3366FF"/>
          <w:szCs w:val="24"/>
        </w:rPr>
      </w:pPr>
    </w:p>
    <w:p w14:paraId="1898368B" w14:textId="77777777" w:rsidR="00BC1364" w:rsidRPr="008D5885" w:rsidRDefault="00BC1364" w:rsidP="007B32D1">
      <w:pPr>
        <w:pStyle w:val="Heading1"/>
        <w:numPr>
          <w:ilvl w:val="0"/>
          <w:numId w:val="23"/>
        </w:numPr>
        <w:ind w:hanging="720"/>
      </w:pPr>
      <w:r w:rsidRPr="008D5885">
        <w:t xml:space="preserve">Comparator </w:t>
      </w:r>
    </w:p>
    <w:p w14:paraId="22713E53" w14:textId="77777777" w:rsidR="008E4D6F" w:rsidRPr="00AF41C2" w:rsidRDefault="008E4D6F" w:rsidP="008E4D6F">
      <w:pPr>
        <w:rPr>
          <w:szCs w:val="24"/>
        </w:rPr>
      </w:pPr>
    </w:p>
    <w:p w14:paraId="6D70C918" w14:textId="77777777" w:rsidR="00277047" w:rsidRPr="00AF41C2" w:rsidRDefault="008E4D6F" w:rsidP="008E4D6F">
      <w:pPr>
        <w:rPr>
          <w:szCs w:val="24"/>
        </w:rPr>
      </w:pPr>
      <w:r w:rsidRPr="00AF41C2">
        <w:rPr>
          <w:szCs w:val="24"/>
        </w:rPr>
        <w:t>The comparators</w:t>
      </w:r>
      <w:r w:rsidR="00277047" w:rsidRPr="00AF41C2">
        <w:rPr>
          <w:szCs w:val="24"/>
        </w:rPr>
        <w:t xml:space="preserve"> and their MBS numbers are as follows:  </w:t>
      </w:r>
    </w:p>
    <w:p w14:paraId="1ADFA0D9" w14:textId="77777777" w:rsidR="00277047" w:rsidRPr="00AF41C2" w:rsidRDefault="008E4D6F" w:rsidP="00277047">
      <w:pPr>
        <w:pStyle w:val="ListParagraph"/>
        <w:numPr>
          <w:ilvl w:val="0"/>
          <w:numId w:val="27"/>
        </w:numPr>
        <w:rPr>
          <w:szCs w:val="24"/>
        </w:rPr>
      </w:pPr>
      <w:r w:rsidRPr="00AF41C2">
        <w:rPr>
          <w:szCs w:val="24"/>
        </w:rPr>
        <w:t>computer tomography (CT) (56507)</w:t>
      </w:r>
      <w:r w:rsidR="00277047" w:rsidRPr="00AF41C2">
        <w:rPr>
          <w:szCs w:val="24"/>
        </w:rPr>
        <w:t xml:space="preserve"> </w:t>
      </w:r>
    </w:p>
    <w:p w14:paraId="102A5384" w14:textId="77777777" w:rsidR="00277047" w:rsidRPr="00AF41C2" w:rsidRDefault="008E4D6F" w:rsidP="00277047">
      <w:pPr>
        <w:pStyle w:val="ListParagraph"/>
        <w:numPr>
          <w:ilvl w:val="0"/>
          <w:numId w:val="27"/>
        </w:numPr>
        <w:rPr>
          <w:szCs w:val="24"/>
        </w:rPr>
      </w:pPr>
      <w:r w:rsidRPr="00AF41C2">
        <w:rPr>
          <w:szCs w:val="24"/>
        </w:rPr>
        <w:t xml:space="preserve">small bowel follow through (SBFT) (58915) </w:t>
      </w:r>
    </w:p>
    <w:p w14:paraId="42D2A8A6" w14:textId="77777777" w:rsidR="00277047" w:rsidRPr="00AF41C2" w:rsidRDefault="008E4D6F" w:rsidP="00277047">
      <w:pPr>
        <w:pStyle w:val="ListParagraph"/>
        <w:numPr>
          <w:ilvl w:val="0"/>
          <w:numId w:val="27"/>
        </w:numPr>
        <w:rPr>
          <w:szCs w:val="24"/>
        </w:rPr>
      </w:pPr>
      <w:r w:rsidRPr="00AF41C2">
        <w:rPr>
          <w:szCs w:val="24"/>
        </w:rPr>
        <w:t>ultrasound for the small bowel indications (55700)</w:t>
      </w:r>
      <w:r w:rsidR="00277047" w:rsidRPr="00AF41C2">
        <w:rPr>
          <w:szCs w:val="24"/>
        </w:rPr>
        <w:t>;</w:t>
      </w:r>
      <w:r w:rsidRPr="00AF41C2">
        <w:rPr>
          <w:szCs w:val="24"/>
        </w:rPr>
        <w:t xml:space="preserve"> and </w:t>
      </w:r>
    </w:p>
    <w:p w14:paraId="269CBCE7" w14:textId="77777777" w:rsidR="008E4D6F" w:rsidRPr="00AF41C2" w:rsidRDefault="008E4D6F" w:rsidP="00277047">
      <w:pPr>
        <w:pStyle w:val="ListParagraph"/>
        <w:numPr>
          <w:ilvl w:val="0"/>
          <w:numId w:val="27"/>
        </w:numPr>
        <w:rPr>
          <w:szCs w:val="24"/>
        </w:rPr>
      </w:pPr>
      <w:proofErr w:type="spellStart"/>
      <w:proofErr w:type="gramStart"/>
      <w:r w:rsidRPr="00AF41C2">
        <w:rPr>
          <w:szCs w:val="24"/>
        </w:rPr>
        <w:t>endoanal</w:t>
      </w:r>
      <w:proofErr w:type="spellEnd"/>
      <w:proofErr w:type="gramEnd"/>
      <w:r w:rsidRPr="00AF41C2">
        <w:rPr>
          <w:szCs w:val="24"/>
        </w:rPr>
        <w:t xml:space="preserve"> ultrasound and surgical examination for the fistulising perianal </w:t>
      </w:r>
      <w:r w:rsidR="00724CF7">
        <w:rPr>
          <w:szCs w:val="24"/>
        </w:rPr>
        <w:t>Crohn</w:t>
      </w:r>
      <w:r w:rsidRPr="00AF41C2">
        <w:rPr>
          <w:szCs w:val="24"/>
        </w:rPr>
        <w:t xml:space="preserve"> disease indications (55014)</w:t>
      </w:r>
      <w:r w:rsidR="00475AB4">
        <w:rPr>
          <w:szCs w:val="24"/>
        </w:rPr>
        <w:t>.</w:t>
      </w:r>
    </w:p>
    <w:p w14:paraId="6607A02A" w14:textId="77777777" w:rsidR="00277047" w:rsidRPr="00AF41C2" w:rsidRDefault="00277047" w:rsidP="00277047">
      <w:pPr>
        <w:rPr>
          <w:szCs w:val="24"/>
        </w:rPr>
      </w:pPr>
    </w:p>
    <w:p w14:paraId="4D985894" w14:textId="77777777" w:rsidR="00277047" w:rsidRDefault="00277047" w:rsidP="00277047">
      <w:pPr>
        <w:rPr>
          <w:szCs w:val="24"/>
        </w:rPr>
      </w:pPr>
      <w:r w:rsidRPr="00AF41C2">
        <w:rPr>
          <w:szCs w:val="24"/>
        </w:rPr>
        <w:t xml:space="preserve">The application noted that other MBS items for CT and ultrasound may also be relevant. </w:t>
      </w:r>
    </w:p>
    <w:p w14:paraId="688B0021" w14:textId="77777777" w:rsidR="00475AB4" w:rsidRDefault="00475AB4" w:rsidP="00277047">
      <w:pPr>
        <w:rPr>
          <w:color w:val="FF0000"/>
          <w:szCs w:val="24"/>
        </w:rPr>
      </w:pPr>
    </w:p>
    <w:p w14:paraId="3790CE13" w14:textId="77777777" w:rsidR="00475AB4" w:rsidRPr="00475AB4" w:rsidRDefault="00475AB4" w:rsidP="00475AB4">
      <w:pPr>
        <w:rPr>
          <w:szCs w:val="24"/>
        </w:rPr>
      </w:pPr>
      <w:r w:rsidRPr="00475AB4">
        <w:rPr>
          <w:szCs w:val="24"/>
        </w:rPr>
        <w:t>MSAC considered these comparators were appropriate.</w:t>
      </w:r>
    </w:p>
    <w:p w14:paraId="493E91CF" w14:textId="77777777" w:rsidR="00BC1364" w:rsidRPr="00AF41C2" w:rsidRDefault="00BC1364" w:rsidP="00DD2858">
      <w:pPr>
        <w:rPr>
          <w:b/>
          <w:szCs w:val="24"/>
        </w:rPr>
      </w:pPr>
    </w:p>
    <w:p w14:paraId="006C830D" w14:textId="77777777" w:rsidR="00BC1364" w:rsidRPr="008D5885" w:rsidRDefault="00BC1364" w:rsidP="007B32D1">
      <w:pPr>
        <w:pStyle w:val="Heading1"/>
        <w:numPr>
          <w:ilvl w:val="0"/>
          <w:numId w:val="23"/>
        </w:numPr>
        <w:ind w:hanging="720"/>
      </w:pPr>
      <w:r w:rsidRPr="008D5885">
        <w:t>Comparative safety</w:t>
      </w:r>
    </w:p>
    <w:p w14:paraId="5DEC3CD2" w14:textId="77777777" w:rsidR="008E4D6F" w:rsidRPr="00850A0D" w:rsidRDefault="008E4D6F" w:rsidP="00DD2858">
      <w:pPr>
        <w:pStyle w:val="ListParagraph"/>
        <w:ind w:left="0"/>
        <w:rPr>
          <w:szCs w:val="24"/>
        </w:rPr>
      </w:pPr>
    </w:p>
    <w:p w14:paraId="4AE63FD9" w14:textId="77777777" w:rsidR="00850A0D" w:rsidRDefault="008E4D6F" w:rsidP="008E4D6F">
      <w:pPr>
        <w:pStyle w:val="Default"/>
      </w:pPr>
      <w:r w:rsidRPr="00850A0D">
        <w:t xml:space="preserve">No studies were identified that report the safety outcomes of MRI compared with the nominated comparators. </w:t>
      </w:r>
    </w:p>
    <w:p w14:paraId="7E2C3AED" w14:textId="77777777" w:rsidR="00850A0D" w:rsidRDefault="00850A0D" w:rsidP="008E4D6F">
      <w:pPr>
        <w:pStyle w:val="Default"/>
      </w:pPr>
    </w:p>
    <w:p w14:paraId="01DD80CD" w14:textId="709E1E6E" w:rsidR="008E4D6F" w:rsidRPr="00850A0D" w:rsidRDefault="008E4D6F" w:rsidP="008E4D6F">
      <w:pPr>
        <w:pStyle w:val="Default"/>
      </w:pPr>
      <w:r w:rsidRPr="00850A0D">
        <w:t xml:space="preserve">Clinical management using MRI is widely viewed as being safer than CT, SBFT and surgical examination. </w:t>
      </w:r>
      <w:r w:rsidR="000D6EF6" w:rsidRPr="00850A0D">
        <w:t>MRI is non-invasive, does not emit ioni</w:t>
      </w:r>
      <w:r w:rsidR="000D6EF6">
        <w:t>s</w:t>
      </w:r>
      <w:r w:rsidR="000D6EF6" w:rsidRPr="00850A0D">
        <w:t>ing-radiation and presents no chemical or bodily harm to the patient.</w:t>
      </w:r>
      <w:r w:rsidR="000D6EF6">
        <w:t xml:space="preserve"> </w:t>
      </w:r>
      <w:r w:rsidRPr="00850A0D">
        <w:t xml:space="preserve">The risks of the use of contrast agents used with the proposed procedures </w:t>
      </w:r>
      <w:proofErr w:type="gramStart"/>
      <w:r w:rsidRPr="00850A0D">
        <w:t>was</w:t>
      </w:r>
      <w:proofErr w:type="gramEnd"/>
      <w:r w:rsidRPr="00850A0D">
        <w:t xml:space="preserve"> unable to be specified. The safety aspect of MRI in pregnancy is still unknown.</w:t>
      </w:r>
    </w:p>
    <w:p w14:paraId="29A2DEC3" w14:textId="77777777" w:rsidR="009F41D4" w:rsidRPr="00850A0D" w:rsidRDefault="009F41D4" w:rsidP="008E4D6F">
      <w:pPr>
        <w:pStyle w:val="Default"/>
      </w:pPr>
    </w:p>
    <w:p w14:paraId="6848B1B6" w14:textId="77777777" w:rsidR="00780D61" w:rsidRPr="00850A0D" w:rsidRDefault="008E4D6F" w:rsidP="008E4D6F">
      <w:pPr>
        <w:pStyle w:val="ListParagraph"/>
        <w:ind w:left="0"/>
        <w:rPr>
          <w:szCs w:val="24"/>
        </w:rPr>
      </w:pPr>
      <w:r w:rsidRPr="00850A0D">
        <w:rPr>
          <w:szCs w:val="24"/>
        </w:rPr>
        <w:t xml:space="preserve">There is no direct evidence that radiation from imaging procedures in </w:t>
      </w:r>
      <w:r w:rsidR="00724CF7">
        <w:rPr>
          <w:szCs w:val="24"/>
        </w:rPr>
        <w:t>Crohn</w:t>
      </w:r>
      <w:r w:rsidRPr="00850A0D">
        <w:rPr>
          <w:szCs w:val="24"/>
        </w:rPr>
        <w:t xml:space="preserve"> disease results in increased cancer mortality. Some evidence suggest</w:t>
      </w:r>
      <w:r w:rsidR="006A6BCD">
        <w:rPr>
          <w:szCs w:val="24"/>
        </w:rPr>
        <w:t>ed</w:t>
      </w:r>
      <w:r w:rsidRPr="00850A0D">
        <w:rPr>
          <w:szCs w:val="24"/>
        </w:rPr>
        <w:t xml:space="preserve"> that cancer incidence is elevated in patients with </w:t>
      </w:r>
      <w:r w:rsidR="00724CF7">
        <w:rPr>
          <w:szCs w:val="24"/>
        </w:rPr>
        <w:t>Crohn</w:t>
      </w:r>
      <w:r w:rsidRPr="00850A0D">
        <w:rPr>
          <w:szCs w:val="24"/>
        </w:rPr>
        <w:t xml:space="preserve"> disease but this has not been linked to imaging procedures in the study populations (Jess et al., 2005, Pedersen et al., 2010).</w:t>
      </w:r>
    </w:p>
    <w:p w14:paraId="47D67FEA" w14:textId="43247C7D" w:rsidR="00336240" w:rsidRDefault="00336240">
      <w:pPr>
        <w:rPr>
          <w:b/>
          <w:szCs w:val="24"/>
        </w:rPr>
      </w:pPr>
      <w:r>
        <w:rPr>
          <w:b/>
          <w:szCs w:val="24"/>
        </w:rPr>
        <w:br w:type="page"/>
      </w:r>
    </w:p>
    <w:p w14:paraId="0AF603F6" w14:textId="77777777" w:rsidR="00BC1364" w:rsidRPr="008D5885" w:rsidRDefault="00BC1364" w:rsidP="007B32D1">
      <w:pPr>
        <w:pStyle w:val="Heading1"/>
        <w:numPr>
          <w:ilvl w:val="0"/>
          <w:numId w:val="23"/>
        </w:numPr>
        <w:ind w:hanging="720"/>
      </w:pPr>
      <w:r w:rsidRPr="008D5885">
        <w:lastRenderedPageBreak/>
        <w:t>Comparative effectiveness</w:t>
      </w:r>
    </w:p>
    <w:p w14:paraId="1B02A094" w14:textId="77777777" w:rsidR="00BC1364" w:rsidRDefault="00BC1364" w:rsidP="00DD2858">
      <w:pPr>
        <w:rPr>
          <w:b/>
        </w:rPr>
      </w:pPr>
    </w:p>
    <w:p w14:paraId="4ED707AF" w14:textId="77777777" w:rsidR="008F4B33" w:rsidRPr="00394C39" w:rsidRDefault="00AA411B" w:rsidP="00AA411B">
      <w:pPr>
        <w:pStyle w:val="Default"/>
      </w:pPr>
      <w:r w:rsidRPr="00815FAC">
        <w:t xml:space="preserve">The primary sources of evidence </w:t>
      </w:r>
      <w:r w:rsidR="006A6BCD">
        <w:t>were</w:t>
      </w:r>
      <w:r w:rsidR="006A6BCD" w:rsidRPr="00815FAC">
        <w:t xml:space="preserve"> </w:t>
      </w:r>
      <w:r w:rsidRPr="00815FAC">
        <w:t xml:space="preserve">six diagnostic accuracy studies, two ‘change of </w:t>
      </w:r>
      <w:r w:rsidRPr="00394C39">
        <w:t xml:space="preserve">management’ studies and three systematic reviews. </w:t>
      </w:r>
    </w:p>
    <w:p w14:paraId="2A4EAE13" w14:textId="77777777" w:rsidR="008F4B33" w:rsidRPr="00394C39" w:rsidRDefault="008F4B33" w:rsidP="00AA411B">
      <w:pPr>
        <w:pStyle w:val="Default"/>
      </w:pPr>
    </w:p>
    <w:p w14:paraId="2778DF27" w14:textId="77777777" w:rsidR="0009771D" w:rsidRPr="00394C39" w:rsidRDefault="008658BE" w:rsidP="00AA411B">
      <w:pPr>
        <w:pStyle w:val="Default"/>
      </w:pPr>
      <w:r>
        <w:t>The d</w:t>
      </w:r>
      <w:r w:rsidR="00AA411B" w:rsidRPr="00394C39">
        <w:t xml:space="preserve">iagnostic performance of MRI small bowel </w:t>
      </w:r>
      <w:r w:rsidR="006A6BCD">
        <w:t>was</w:t>
      </w:r>
      <w:r w:rsidR="006A6BCD" w:rsidRPr="00394C39">
        <w:t xml:space="preserve"> </w:t>
      </w:r>
      <w:r w:rsidR="00AA411B" w:rsidRPr="00394C39">
        <w:t xml:space="preserve">equivalent to the comparators for sensitivity and specificity. Across the studies, the sensitivity of MRI was high and consistent with the results from the systematic reviews (range 74% to 100%). </w:t>
      </w:r>
    </w:p>
    <w:p w14:paraId="6315A33F" w14:textId="77777777" w:rsidR="0009771D" w:rsidRPr="00394C39" w:rsidRDefault="0009771D" w:rsidP="00AA411B">
      <w:pPr>
        <w:pStyle w:val="Default"/>
      </w:pPr>
    </w:p>
    <w:p w14:paraId="50249E0C" w14:textId="77777777" w:rsidR="00AA411B" w:rsidRDefault="0009771D" w:rsidP="00AA411B">
      <w:pPr>
        <w:pStyle w:val="Default"/>
      </w:pPr>
      <w:r w:rsidRPr="00394C39">
        <w:t>A</w:t>
      </w:r>
      <w:r w:rsidR="00AA411B" w:rsidRPr="00394C39">
        <w:t xml:space="preserve"> high-quality study by Jensen et al. (2011) found sensitivity and specificity results at the lower end of the overall range across all the studies. Statistical analysis showed that the sensitivity and specificity of MR </w:t>
      </w:r>
      <w:proofErr w:type="gramStart"/>
      <w:r w:rsidR="00AA411B" w:rsidRPr="00394C39">
        <w:t>enterography</w:t>
      </w:r>
      <w:proofErr w:type="gramEnd"/>
      <w:r w:rsidR="00AA411B" w:rsidRPr="00394C39">
        <w:t xml:space="preserve"> was not statistically significant from CT enterography (Jensen et al., 2011). </w:t>
      </w:r>
    </w:p>
    <w:p w14:paraId="27D01D5C" w14:textId="77777777" w:rsidR="00C16FCB" w:rsidRDefault="00C16FCB" w:rsidP="00AA411B">
      <w:pPr>
        <w:pStyle w:val="Default"/>
      </w:pPr>
    </w:p>
    <w:p w14:paraId="76031495" w14:textId="77777777" w:rsidR="0009771D" w:rsidRPr="00394C39" w:rsidRDefault="00C16FCB" w:rsidP="00AA411B">
      <w:pPr>
        <w:pStyle w:val="Default"/>
      </w:pPr>
      <w:r>
        <w:t xml:space="preserve">MRI of the </w:t>
      </w:r>
      <w:r w:rsidRPr="00E91CC5">
        <w:t>pelvis for extent of fistul</w:t>
      </w:r>
      <w:r>
        <w:t xml:space="preserve">ising perianal </w:t>
      </w:r>
      <w:r w:rsidR="00724CF7">
        <w:t>Crohn</w:t>
      </w:r>
      <w:r>
        <w:t xml:space="preserve"> disease was the only proposed service which had superior specificity to its comparator (</w:t>
      </w:r>
      <w:proofErr w:type="spellStart"/>
      <w:r>
        <w:t>ie</w:t>
      </w:r>
      <w:proofErr w:type="spellEnd"/>
      <w:r>
        <w:t xml:space="preserve">. </w:t>
      </w:r>
      <w:proofErr w:type="spellStart"/>
      <w:r w:rsidRPr="00E91CC5">
        <w:t>endoanal</w:t>
      </w:r>
      <w:proofErr w:type="spellEnd"/>
      <w:r w:rsidRPr="00E91CC5">
        <w:t xml:space="preserve"> ultrasound</w:t>
      </w:r>
      <w:r>
        <w:t>).</w:t>
      </w:r>
    </w:p>
    <w:p w14:paraId="6F3980E0" w14:textId="77777777" w:rsidR="00470009" w:rsidRDefault="00470009" w:rsidP="00AA411B">
      <w:pPr>
        <w:pStyle w:val="Default"/>
      </w:pPr>
    </w:p>
    <w:p w14:paraId="0C120F2F" w14:textId="77777777" w:rsidR="006A6BCD" w:rsidRDefault="00AA411B" w:rsidP="00AA411B">
      <w:pPr>
        <w:pStyle w:val="Default"/>
      </w:pPr>
      <w:r w:rsidRPr="00394C39">
        <w:t xml:space="preserve">No studies were found comparing the extent of </w:t>
      </w:r>
      <w:r w:rsidR="00724CF7">
        <w:t>Crohn</w:t>
      </w:r>
      <w:r w:rsidRPr="00394C39">
        <w:t xml:space="preserve"> disease or complications of disease using SBFT as the comparator, </w:t>
      </w:r>
      <w:r w:rsidR="00141514">
        <w:t xml:space="preserve">as </w:t>
      </w:r>
      <w:r w:rsidRPr="00394C39">
        <w:t xml:space="preserve">all used CT for small bowel </w:t>
      </w:r>
      <w:r w:rsidR="00724CF7">
        <w:t>Crohn</w:t>
      </w:r>
      <w:r w:rsidRPr="00394C39">
        <w:t xml:space="preserve"> disease. </w:t>
      </w:r>
    </w:p>
    <w:p w14:paraId="2BDD30A7" w14:textId="77777777" w:rsidR="006A6BCD" w:rsidRDefault="006A6BCD" w:rsidP="00AA411B">
      <w:pPr>
        <w:pStyle w:val="Default"/>
      </w:pPr>
    </w:p>
    <w:p w14:paraId="5FA04172" w14:textId="3D0D6730" w:rsidR="00AA411B" w:rsidRPr="00394C39" w:rsidRDefault="00AA411B" w:rsidP="00AA411B">
      <w:pPr>
        <w:pStyle w:val="Default"/>
      </w:pPr>
      <w:r w:rsidRPr="00394C39">
        <w:t>No studies reported outcomes for MRI in pregnant women</w:t>
      </w:r>
      <w:r w:rsidR="00F84E90">
        <w:t>,</w:t>
      </w:r>
      <w:r w:rsidRPr="00394C39">
        <w:t xml:space="preserve"> most likely because the studies included CT and CT is contraindicated in pregnancy. </w:t>
      </w:r>
    </w:p>
    <w:p w14:paraId="21FB96E5" w14:textId="77777777" w:rsidR="008E51AA" w:rsidRDefault="008E51AA" w:rsidP="008E51AA">
      <w:pPr>
        <w:pStyle w:val="ListParagraph"/>
        <w:ind w:left="0"/>
        <w:rPr>
          <w:szCs w:val="24"/>
        </w:rPr>
      </w:pPr>
    </w:p>
    <w:p w14:paraId="4BD898EC" w14:textId="5B666614" w:rsidR="00780D61" w:rsidRDefault="006A6BCD" w:rsidP="008E51AA">
      <w:pPr>
        <w:tabs>
          <w:tab w:val="num" w:pos="426"/>
        </w:tabs>
      </w:pPr>
      <w:r>
        <w:t xml:space="preserve">Overall, </w:t>
      </w:r>
      <w:r w:rsidR="008E51AA">
        <w:t>there</w:t>
      </w:r>
      <w:r w:rsidR="00C16FCB">
        <w:t xml:space="preserve"> was </w:t>
      </w:r>
      <w:r w:rsidR="008E51AA">
        <w:t xml:space="preserve">limited high </w:t>
      </w:r>
      <w:r w:rsidR="008E51AA" w:rsidRPr="00A23EC0">
        <w:t xml:space="preserve">quality evidence </w:t>
      </w:r>
      <w:r w:rsidR="008E51AA">
        <w:t xml:space="preserve">of the </w:t>
      </w:r>
      <w:r w:rsidR="008E51AA" w:rsidRPr="00A23EC0">
        <w:t>clinical effecti</w:t>
      </w:r>
      <w:r w:rsidR="00D26481">
        <w:t>veness of the proposed services, but it indicated</w:t>
      </w:r>
      <w:r w:rsidR="008E51AA">
        <w:t xml:space="preserve"> </w:t>
      </w:r>
      <w:r>
        <w:t xml:space="preserve">that </w:t>
      </w:r>
      <w:r w:rsidR="008E51AA">
        <w:t xml:space="preserve">MRI </w:t>
      </w:r>
      <w:r w:rsidR="00D26481">
        <w:t>appeared</w:t>
      </w:r>
      <w:r w:rsidR="008E51AA">
        <w:t xml:space="preserve"> to be equivalent compared to the comparators</w:t>
      </w:r>
      <w:r w:rsidR="00DF7774">
        <w:t xml:space="preserve"> for small bowel Crohn disease and superior to </w:t>
      </w:r>
      <w:proofErr w:type="spellStart"/>
      <w:r w:rsidR="00DF7774">
        <w:t>endoanal</w:t>
      </w:r>
      <w:proofErr w:type="spellEnd"/>
      <w:r w:rsidR="00DF7774">
        <w:t xml:space="preserve"> ultrasound for fistulising perianal Crohn disease</w:t>
      </w:r>
      <w:r w:rsidR="008E51AA">
        <w:t>.</w:t>
      </w:r>
    </w:p>
    <w:p w14:paraId="4F6F6562" w14:textId="77777777" w:rsidR="00BC1364" w:rsidRPr="00770E82" w:rsidRDefault="00BC1364" w:rsidP="00DD2858">
      <w:pPr>
        <w:rPr>
          <w:b/>
          <w:color w:val="FF0000"/>
          <w:szCs w:val="24"/>
        </w:rPr>
      </w:pPr>
    </w:p>
    <w:p w14:paraId="7F913DA9" w14:textId="77777777" w:rsidR="00BC1364" w:rsidRDefault="00BC1364" w:rsidP="007B32D1">
      <w:pPr>
        <w:pStyle w:val="Heading1"/>
        <w:numPr>
          <w:ilvl w:val="0"/>
          <w:numId w:val="23"/>
        </w:numPr>
        <w:ind w:hanging="720"/>
      </w:pPr>
      <w:r w:rsidRPr="008D5885">
        <w:t>Economic evaluation</w:t>
      </w:r>
    </w:p>
    <w:p w14:paraId="01F76D2A" w14:textId="77777777" w:rsidR="00BC1364" w:rsidRPr="00AF41C2" w:rsidRDefault="00BC1364" w:rsidP="00DD2858">
      <w:pPr>
        <w:rPr>
          <w:b/>
          <w:szCs w:val="24"/>
        </w:rPr>
      </w:pPr>
    </w:p>
    <w:p w14:paraId="0C23A5F9" w14:textId="77777777" w:rsidR="00C16FCB" w:rsidRPr="00AF41C2" w:rsidRDefault="0051159A" w:rsidP="00096B67">
      <w:pPr>
        <w:pStyle w:val="Default"/>
        <w:rPr>
          <w:color w:val="auto"/>
        </w:rPr>
      </w:pPr>
      <w:r w:rsidRPr="00AF41C2">
        <w:rPr>
          <w:color w:val="auto"/>
        </w:rPr>
        <w:t>A cost-utility analysis</w:t>
      </w:r>
      <w:r w:rsidR="00BC1364" w:rsidRPr="00AF41C2">
        <w:rPr>
          <w:color w:val="auto"/>
        </w:rPr>
        <w:t xml:space="preserve"> was </w:t>
      </w:r>
      <w:r w:rsidRPr="00AF41C2">
        <w:rPr>
          <w:color w:val="auto"/>
        </w:rPr>
        <w:t xml:space="preserve">performed for only one of the six proposed indications: pelvis MRI for extent of </w:t>
      </w:r>
      <w:r w:rsidR="00724CF7">
        <w:rPr>
          <w:color w:val="auto"/>
        </w:rPr>
        <w:t>Crohn</w:t>
      </w:r>
      <w:r w:rsidRPr="00AF41C2">
        <w:rPr>
          <w:color w:val="auto"/>
        </w:rPr>
        <w:t xml:space="preserve"> disease in fistulising perianal </w:t>
      </w:r>
      <w:r w:rsidR="00724CF7">
        <w:rPr>
          <w:color w:val="auto"/>
        </w:rPr>
        <w:t>Crohn</w:t>
      </w:r>
      <w:r w:rsidRPr="00AF41C2">
        <w:rPr>
          <w:color w:val="auto"/>
        </w:rPr>
        <w:t xml:space="preserve"> disease.</w:t>
      </w:r>
      <w:r w:rsidR="00BC1364" w:rsidRPr="00AF41C2">
        <w:rPr>
          <w:color w:val="auto"/>
        </w:rPr>
        <w:t xml:space="preserve"> </w:t>
      </w:r>
      <w:r w:rsidR="00AB1369" w:rsidRPr="00AF41C2">
        <w:t xml:space="preserve">This was the only indication where a cost-utility analysis was justified based on the superior specificity of MRI to </w:t>
      </w:r>
      <w:proofErr w:type="spellStart"/>
      <w:r w:rsidR="00AB1369" w:rsidRPr="00AF41C2">
        <w:t>endoanal</w:t>
      </w:r>
      <w:proofErr w:type="spellEnd"/>
      <w:r w:rsidR="00AB1369" w:rsidRPr="00AF41C2">
        <w:t xml:space="preserve"> ultrasound. The evaluation was a simple decision-analytic model with a 12 month time horizon</w:t>
      </w:r>
      <w:r w:rsidR="006A6BCD">
        <w:t xml:space="preserve"> and </w:t>
      </w:r>
      <w:r w:rsidR="00AB1369" w:rsidRPr="00AF41C2">
        <w:t>should be viewed as exploratory due to the absence of key estimates from an evidence base.</w:t>
      </w:r>
    </w:p>
    <w:p w14:paraId="4EA30066" w14:textId="77777777" w:rsidR="00C16FCB" w:rsidRPr="00AF41C2" w:rsidRDefault="00C16FCB" w:rsidP="00096B67">
      <w:pPr>
        <w:pStyle w:val="Default"/>
        <w:rPr>
          <w:color w:val="auto"/>
        </w:rPr>
      </w:pPr>
    </w:p>
    <w:p w14:paraId="5E5329B4" w14:textId="77777777" w:rsidR="00C16FCB" w:rsidRPr="00AF41C2" w:rsidRDefault="00C16FCB" w:rsidP="00C16FCB">
      <w:pPr>
        <w:pStyle w:val="Default"/>
      </w:pPr>
      <w:r w:rsidRPr="00AF41C2">
        <w:t xml:space="preserve">In the base case, the mean costs of MRI were lower over 12 months compared to ultrasound (by $806), while the corresponding quality-adjusted life years (QALYs) were slightly higher (0.05).  MRI pelvis therefore dominated </w:t>
      </w:r>
      <w:proofErr w:type="spellStart"/>
      <w:r w:rsidRPr="00AF41C2">
        <w:t>endoanal</w:t>
      </w:r>
      <w:proofErr w:type="spellEnd"/>
      <w:r w:rsidRPr="00AF41C2">
        <w:t xml:space="preserve"> ultrasound.  Probabilistic sensitivity analyses showed a high likelihood of MRI being cost-effective for this indication and may be cost-saving in most cases, subject to the assumptions of the model.</w:t>
      </w:r>
    </w:p>
    <w:p w14:paraId="3773B515" w14:textId="77777777" w:rsidR="005C7EAA" w:rsidRPr="00AF41C2" w:rsidRDefault="005C7EAA" w:rsidP="00DD2858">
      <w:pPr>
        <w:rPr>
          <w:szCs w:val="24"/>
        </w:rPr>
      </w:pPr>
    </w:p>
    <w:p w14:paraId="6CF6C689" w14:textId="77777777" w:rsidR="00BC1364" w:rsidRDefault="00BC1364" w:rsidP="007B32D1">
      <w:pPr>
        <w:pStyle w:val="Heading1"/>
        <w:numPr>
          <w:ilvl w:val="0"/>
          <w:numId w:val="23"/>
        </w:numPr>
        <w:ind w:hanging="720"/>
      </w:pPr>
      <w:r w:rsidRPr="008D5885">
        <w:t>Financial/budgetary impacts</w:t>
      </w:r>
    </w:p>
    <w:p w14:paraId="522B62CA" w14:textId="77777777" w:rsidR="00BC1364" w:rsidRPr="00AF41C2" w:rsidRDefault="00BC1364" w:rsidP="00D340DE">
      <w:pPr>
        <w:pStyle w:val="Default"/>
      </w:pPr>
    </w:p>
    <w:p w14:paraId="6579C44F" w14:textId="77777777" w:rsidR="00A44586" w:rsidRDefault="00B65694" w:rsidP="00FB350A">
      <w:pPr>
        <w:pStyle w:val="Default"/>
      </w:pPr>
      <w:r>
        <w:t xml:space="preserve">The utilisation and financial estimates were uncertain </w:t>
      </w:r>
      <w:r w:rsidR="00C57EAC" w:rsidRPr="00AF41C2">
        <w:t>due to concern</w:t>
      </w:r>
      <w:r>
        <w:t>s</w:t>
      </w:r>
      <w:r w:rsidR="00C57EAC" w:rsidRPr="00AF41C2">
        <w:t xml:space="preserve"> </w:t>
      </w:r>
      <w:r>
        <w:t xml:space="preserve">with </w:t>
      </w:r>
      <w:r w:rsidR="00C57EAC" w:rsidRPr="00AF41C2">
        <w:t>the population group and size, the frequency of imaging required, and co-claiming of other MBS items</w:t>
      </w:r>
      <w:r w:rsidR="00A44586">
        <w:t>.</w:t>
      </w:r>
    </w:p>
    <w:p w14:paraId="0B6CFE3E" w14:textId="77777777" w:rsidR="00A44586" w:rsidRDefault="00A44586" w:rsidP="00FB350A">
      <w:pPr>
        <w:pStyle w:val="Default"/>
      </w:pPr>
    </w:p>
    <w:p w14:paraId="6F624771" w14:textId="26BDBC57" w:rsidR="00C57EAC" w:rsidRPr="00AF41C2" w:rsidRDefault="00A44586" w:rsidP="00FB350A">
      <w:pPr>
        <w:pStyle w:val="Default"/>
        <w:rPr>
          <w:color w:val="FF0000"/>
        </w:rPr>
      </w:pPr>
      <w:r>
        <w:t>Estimates of utilisation and financial costs were:</w:t>
      </w:r>
    </w:p>
    <w:p w14:paraId="285BBFBA" w14:textId="77777777" w:rsidR="005333C0" w:rsidRPr="00AF41C2" w:rsidRDefault="005333C0" w:rsidP="00CE5FEA">
      <w:pPr>
        <w:pStyle w:val="Default"/>
        <w:numPr>
          <w:ilvl w:val="0"/>
          <w:numId w:val="33"/>
        </w:numPr>
      </w:pPr>
      <w:r w:rsidRPr="00AF41C2">
        <w:t xml:space="preserve">Likely volume of use of the proposed imaging test per year: 13,597 </w:t>
      </w:r>
    </w:p>
    <w:p w14:paraId="62D6F7D8" w14:textId="77777777" w:rsidR="005333C0" w:rsidRPr="00AF41C2" w:rsidRDefault="005333C0" w:rsidP="00CE5FEA">
      <w:pPr>
        <w:pStyle w:val="Default"/>
        <w:numPr>
          <w:ilvl w:val="0"/>
          <w:numId w:val="33"/>
        </w:numPr>
      </w:pPr>
      <w:r w:rsidRPr="00AF41C2">
        <w:lastRenderedPageBreak/>
        <w:t xml:space="preserve">Frequency of use per patient per year over 5 years: 1 per year </w:t>
      </w:r>
    </w:p>
    <w:p w14:paraId="6BEEF8ED" w14:textId="77777777" w:rsidR="005333C0" w:rsidRPr="00AF41C2" w:rsidRDefault="005333C0" w:rsidP="00CE5FEA">
      <w:pPr>
        <w:pStyle w:val="Default"/>
        <w:numPr>
          <w:ilvl w:val="0"/>
          <w:numId w:val="33"/>
        </w:numPr>
      </w:pPr>
      <w:r w:rsidRPr="00AF41C2">
        <w:t xml:space="preserve">Patient numbers per year (prevalence/ incidence mix over time): 13,597 </w:t>
      </w:r>
    </w:p>
    <w:p w14:paraId="49D085AC" w14:textId="77777777" w:rsidR="005333C0" w:rsidRPr="00AF41C2" w:rsidRDefault="005333C0" w:rsidP="00CE5FEA">
      <w:pPr>
        <w:pStyle w:val="Default"/>
        <w:numPr>
          <w:ilvl w:val="0"/>
          <w:numId w:val="33"/>
        </w:numPr>
      </w:pPr>
      <w:r w:rsidRPr="00AF41C2">
        <w:t xml:space="preserve">Total cost of the proposed imaging test to the MBS per year: $8,718,243 </w:t>
      </w:r>
    </w:p>
    <w:p w14:paraId="5FA4EEC6" w14:textId="77777777" w:rsidR="005333C0" w:rsidRPr="00AF41C2" w:rsidRDefault="005333C0" w:rsidP="00CE5FEA">
      <w:pPr>
        <w:pStyle w:val="Default"/>
        <w:numPr>
          <w:ilvl w:val="0"/>
          <w:numId w:val="33"/>
        </w:numPr>
      </w:pPr>
      <w:r w:rsidRPr="00AF41C2">
        <w:t xml:space="preserve">Total cost of the service to the public: unknown </w:t>
      </w:r>
    </w:p>
    <w:p w14:paraId="55691338" w14:textId="77777777" w:rsidR="005333C0" w:rsidRDefault="005333C0" w:rsidP="00CE5FEA">
      <w:pPr>
        <w:pStyle w:val="Default"/>
        <w:numPr>
          <w:ilvl w:val="0"/>
          <w:numId w:val="33"/>
        </w:numPr>
        <w:rPr>
          <w:color w:val="auto"/>
        </w:rPr>
      </w:pPr>
      <w:r w:rsidRPr="00CE5FEA">
        <w:rPr>
          <w:color w:val="auto"/>
        </w:rPr>
        <w:t>Net financial cost/year to the MBS (without safety net impacts): $6,256,006</w:t>
      </w:r>
    </w:p>
    <w:p w14:paraId="0266F199" w14:textId="77777777" w:rsidR="00596C06" w:rsidRPr="00CE5FEA" w:rsidRDefault="00596C06" w:rsidP="00596C06">
      <w:pPr>
        <w:pStyle w:val="Default"/>
        <w:ind w:left="720"/>
        <w:rPr>
          <w:color w:val="auto"/>
        </w:rPr>
      </w:pPr>
    </w:p>
    <w:p w14:paraId="6C352353" w14:textId="77777777" w:rsidR="00BC1364" w:rsidRDefault="00BC1364" w:rsidP="007B32D1">
      <w:pPr>
        <w:pStyle w:val="Heading1"/>
        <w:numPr>
          <w:ilvl w:val="0"/>
          <w:numId w:val="23"/>
        </w:numPr>
        <w:ind w:hanging="720"/>
      </w:pPr>
      <w:r w:rsidRPr="008D5885">
        <w:t>Other significant factors</w:t>
      </w:r>
    </w:p>
    <w:p w14:paraId="4D991DEA" w14:textId="77777777" w:rsidR="00D90A38" w:rsidRPr="00AF41C2" w:rsidRDefault="00D90A38" w:rsidP="00DD2858">
      <w:pPr>
        <w:rPr>
          <w:szCs w:val="24"/>
        </w:rPr>
      </w:pPr>
    </w:p>
    <w:p w14:paraId="061D701B" w14:textId="77777777" w:rsidR="00BC1364" w:rsidRPr="00AF41C2" w:rsidRDefault="00AF41C2" w:rsidP="00DD2858">
      <w:pPr>
        <w:rPr>
          <w:szCs w:val="24"/>
        </w:rPr>
      </w:pPr>
      <w:r w:rsidRPr="00AF41C2">
        <w:rPr>
          <w:szCs w:val="24"/>
        </w:rPr>
        <w:t>Nil</w:t>
      </w:r>
    </w:p>
    <w:p w14:paraId="326263F9" w14:textId="77777777" w:rsidR="00AF41C2" w:rsidRPr="00AF41C2" w:rsidRDefault="00AF41C2" w:rsidP="00DD2858">
      <w:pPr>
        <w:rPr>
          <w:b/>
          <w:szCs w:val="24"/>
        </w:rPr>
      </w:pPr>
    </w:p>
    <w:p w14:paraId="03A208B9" w14:textId="77777777" w:rsidR="00BC1364" w:rsidRDefault="00BC1364" w:rsidP="007B32D1">
      <w:pPr>
        <w:pStyle w:val="Heading1"/>
        <w:numPr>
          <w:ilvl w:val="0"/>
          <w:numId w:val="23"/>
        </w:numPr>
        <w:ind w:hanging="720"/>
      </w:pPr>
      <w:r w:rsidRPr="008D5885">
        <w:t>Summary of consideration and rationale for MSAC’s advice</w:t>
      </w:r>
      <w:r w:rsidRPr="00707064">
        <w:t xml:space="preserve"> </w:t>
      </w:r>
    </w:p>
    <w:p w14:paraId="7A355CB2" w14:textId="77777777" w:rsidR="00BC1364" w:rsidRDefault="00BC1364" w:rsidP="00DD2858">
      <w:pPr>
        <w:rPr>
          <w:szCs w:val="24"/>
        </w:rPr>
      </w:pPr>
    </w:p>
    <w:p w14:paraId="6C322168" w14:textId="77777777" w:rsidR="00307024" w:rsidRDefault="00307024" w:rsidP="00307024">
      <w:r>
        <w:t xml:space="preserve">MSAC noted that the application was for funding of three new MBS items for magnetic resonance imaging (MRI) - small bowel, pelvis and </w:t>
      </w:r>
      <w:proofErr w:type="spellStart"/>
      <w:r>
        <w:t>enteroclysis</w:t>
      </w:r>
      <w:proofErr w:type="spellEnd"/>
      <w:r>
        <w:t xml:space="preserve"> - in two key </w:t>
      </w:r>
      <w:r w:rsidRPr="00883C4F">
        <w:t xml:space="preserve">populations: </w:t>
      </w:r>
    </w:p>
    <w:p w14:paraId="5A387FA7" w14:textId="77777777" w:rsidR="00307024" w:rsidRDefault="00307024" w:rsidP="00307024">
      <w:pPr>
        <w:pStyle w:val="ListParagraph"/>
        <w:numPr>
          <w:ilvl w:val="0"/>
          <w:numId w:val="34"/>
        </w:numPr>
      </w:pPr>
      <w:r w:rsidRPr="00883C4F">
        <w:t>patients wi</w:t>
      </w:r>
      <w:r>
        <w:t xml:space="preserve">th small bowel Crohn disease; </w:t>
      </w:r>
    </w:p>
    <w:p w14:paraId="448600A9" w14:textId="77777777" w:rsidR="00307024" w:rsidRDefault="00307024" w:rsidP="00307024">
      <w:pPr>
        <w:pStyle w:val="ListParagraph"/>
        <w:numPr>
          <w:ilvl w:val="0"/>
          <w:numId w:val="34"/>
        </w:numPr>
      </w:pPr>
      <w:r w:rsidRPr="00883C4F">
        <w:t>patients with fistulising perianal Crohn disease</w:t>
      </w:r>
    </w:p>
    <w:p w14:paraId="63D428D0" w14:textId="77777777" w:rsidR="00307024" w:rsidRDefault="00307024" w:rsidP="00307024"/>
    <w:p w14:paraId="5D2E9019" w14:textId="77777777" w:rsidR="00307024" w:rsidRDefault="00307024" w:rsidP="00307024">
      <w:pPr>
        <w:tabs>
          <w:tab w:val="num" w:pos="426"/>
        </w:tabs>
      </w:pPr>
      <w:r>
        <w:t>MSAC agreed that there</w:t>
      </w:r>
      <w:r w:rsidRPr="00F0531F">
        <w:t xml:space="preserve"> are several comparators depending on the separate indications for MRI</w:t>
      </w:r>
      <w:r>
        <w:t>. MSAC noted that for the proposed evaluation indications, MRI would replace existing tests, and for the proposed assessment indications MRI would complement existing tests as an additional service.</w:t>
      </w:r>
    </w:p>
    <w:p w14:paraId="5E5AF56F" w14:textId="77777777" w:rsidR="00307024" w:rsidRDefault="00307024" w:rsidP="00307024">
      <w:pPr>
        <w:tabs>
          <w:tab w:val="num" w:pos="426"/>
        </w:tabs>
        <w:rPr>
          <w:i/>
        </w:rPr>
      </w:pPr>
    </w:p>
    <w:p w14:paraId="628681CF" w14:textId="77777777" w:rsidR="00307024" w:rsidRPr="001B1101" w:rsidRDefault="00307024" w:rsidP="00307024">
      <w:pPr>
        <w:tabs>
          <w:tab w:val="num" w:pos="426"/>
        </w:tabs>
        <w:rPr>
          <w:i/>
        </w:rPr>
      </w:pPr>
      <w:r w:rsidRPr="00A76C58">
        <w:rPr>
          <w:i/>
        </w:rPr>
        <w:t>MRI pelvis for patient</w:t>
      </w:r>
      <w:r>
        <w:rPr>
          <w:i/>
        </w:rPr>
        <w:t>s</w:t>
      </w:r>
      <w:r w:rsidRPr="00A76C58">
        <w:rPr>
          <w:i/>
        </w:rPr>
        <w:t xml:space="preserve"> with fistulising perianal Crohn disease</w:t>
      </w:r>
    </w:p>
    <w:p w14:paraId="5D2EBDE9" w14:textId="77777777" w:rsidR="00307024" w:rsidRDefault="00307024" w:rsidP="00307024">
      <w:pPr>
        <w:tabs>
          <w:tab w:val="num" w:pos="426"/>
        </w:tabs>
        <w:rPr>
          <w:szCs w:val="24"/>
        </w:rPr>
      </w:pPr>
      <w:r>
        <w:t xml:space="preserve">MSAC accepted the </w:t>
      </w:r>
      <w:r>
        <w:rPr>
          <w:szCs w:val="24"/>
        </w:rPr>
        <w:t xml:space="preserve">nominated comparators for </w:t>
      </w:r>
      <w:r>
        <w:t>MRI of the pelvis for f</w:t>
      </w:r>
      <w:r>
        <w:rPr>
          <w:szCs w:val="24"/>
        </w:rPr>
        <w:t>istulising</w:t>
      </w:r>
      <w:r w:rsidRPr="00F63365">
        <w:rPr>
          <w:szCs w:val="24"/>
        </w:rPr>
        <w:t xml:space="preserve"> perianal </w:t>
      </w:r>
      <w:r>
        <w:rPr>
          <w:szCs w:val="24"/>
        </w:rPr>
        <w:t>indications were</w:t>
      </w:r>
      <w:r w:rsidRPr="00F63365">
        <w:rPr>
          <w:szCs w:val="24"/>
        </w:rPr>
        <w:t xml:space="preserve"> </w:t>
      </w:r>
      <w:proofErr w:type="spellStart"/>
      <w:r w:rsidRPr="00F63365">
        <w:rPr>
          <w:szCs w:val="24"/>
        </w:rPr>
        <w:t>endoanal</w:t>
      </w:r>
      <w:proofErr w:type="spellEnd"/>
      <w:r w:rsidRPr="00F63365">
        <w:rPr>
          <w:szCs w:val="24"/>
        </w:rPr>
        <w:t xml:space="preserve"> ultrasound and surgical examination. </w:t>
      </w:r>
    </w:p>
    <w:p w14:paraId="65387A12" w14:textId="77777777" w:rsidR="00307024" w:rsidRDefault="00307024" w:rsidP="00307024">
      <w:pPr>
        <w:tabs>
          <w:tab w:val="num" w:pos="426"/>
        </w:tabs>
        <w:rPr>
          <w:szCs w:val="24"/>
        </w:rPr>
      </w:pPr>
    </w:p>
    <w:p w14:paraId="42AFE9FE" w14:textId="77777777" w:rsidR="00307024" w:rsidRDefault="00307024" w:rsidP="00307024">
      <w:pPr>
        <w:tabs>
          <w:tab w:val="num" w:pos="426"/>
        </w:tabs>
      </w:pPr>
      <w:r>
        <w:t xml:space="preserve">Although </w:t>
      </w:r>
      <w:proofErr w:type="spellStart"/>
      <w:r w:rsidRPr="00A76C58">
        <w:t>endoanal</w:t>
      </w:r>
      <w:proofErr w:type="spellEnd"/>
      <w:r w:rsidRPr="00A76C58">
        <w:t xml:space="preserve"> ultrasound </w:t>
      </w:r>
      <w:r>
        <w:t xml:space="preserve">is not widely available in Australia, MSAC accepted that </w:t>
      </w:r>
      <w:r w:rsidRPr="00A76C58">
        <w:t>MRI</w:t>
      </w:r>
      <w:r>
        <w:t xml:space="preserve"> of the pelvis</w:t>
      </w:r>
      <w:r w:rsidRPr="00A76C58">
        <w:t xml:space="preserve"> for</w:t>
      </w:r>
      <w:r>
        <w:t xml:space="preserve"> </w:t>
      </w:r>
      <w:r w:rsidRPr="00A76C58">
        <w:t xml:space="preserve">patients with complicated fistulising Crohn disease is superior to other diagnostic </w:t>
      </w:r>
      <w:r>
        <w:t>modalities</w:t>
      </w:r>
      <w:r w:rsidRPr="00A76C58">
        <w:t xml:space="preserve"> including </w:t>
      </w:r>
      <w:proofErr w:type="spellStart"/>
      <w:r w:rsidRPr="00A76C58">
        <w:t>ileocolonoscopy</w:t>
      </w:r>
      <w:proofErr w:type="spellEnd"/>
      <w:r>
        <w:t>;</w:t>
      </w:r>
      <w:r w:rsidRPr="00A76C58">
        <w:t xml:space="preserve"> and more cost effective and safer than surgery</w:t>
      </w:r>
      <w:r>
        <w:t xml:space="preserve">, based on the evidence presented. </w:t>
      </w:r>
    </w:p>
    <w:p w14:paraId="71B08CDD" w14:textId="77777777" w:rsidR="00307024" w:rsidRDefault="00307024" w:rsidP="00307024">
      <w:pPr>
        <w:tabs>
          <w:tab w:val="num" w:pos="426"/>
        </w:tabs>
      </w:pPr>
    </w:p>
    <w:p w14:paraId="1D18E117" w14:textId="77777777" w:rsidR="00307024" w:rsidRDefault="00307024" w:rsidP="00307024">
      <w:r>
        <w:t xml:space="preserve">Based on the superior specificity of MRI to </w:t>
      </w:r>
      <w:proofErr w:type="spellStart"/>
      <w:r>
        <w:t>endoanal</w:t>
      </w:r>
      <w:proofErr w:type="spellEnd"/>
      <w:r>
        <w:t xml:space="preserve"> ultrasound, a cost-utility analysis was performed. Although this analysis was considered largely hypothetical due to the lack of evidence, MSAC noted that the analysis showed that MRI is likely to be cost-effective for perianal disease and may be cost-saving. </w:t>
      </w:r>
    </w:p>
    <w:p w14:paraId="5E7FEAEC" w14:textId="77777777" w:rsidR="00307024" w:rsidRDefault="00307024" w:rsidP="00307024">
      <w:pPr>
        <w:tabs>
          <w:tab w:val="num" w:pos="426"/>
        </w:tabs>
      </w:pPr>
    </w:p>
    <w:p w14:paraId="6C644915" w14:textId="77777777" w:rsidR="00307024" w:rsidRPr="00A76C58" w:rsidRDefault="00307024" w:rsidP="00307024">
      <w:pPr>
        <w:tabs>
          <w:tab w:val="num" w:pos="426"/>
        </w:tabs>
      </w:pPr>
      <w:r>
        <w:t>MSAC considered that r</w:t>
      </w:r>
      <w:r w:rsidRPr="00A76C58">
        <w:t>e</w:t>
      </w:r>
      <w:r>
        <w:t>imbursement for this indication should be limited to one</w:t>
      </w:r>
      <w:r w:rsidRPr="00A76C58">
        <w:t xml:space="preserve"> MRI </w:t>
      </w:r>
      <w:r>
        <w:t xml:space="preserve">of the </w:t>
      </w:r>
      <w:r w:rsidRPr="00A76C58">
        <w:t>pelvis per year</w:t>
      </w:r>
      <w:r>
        <w:t xml:space="preserve"> per patient</w:t>
      </w:r>
      <w:r w:rsidRPr="00A76C58">
        <w:t xml:space="preserve"> and restricted to referrals from Gastroenterologists and Colorectal</w:t>
      </w:r>
      <w:r>
        <w:t xml:space="preserve"> surgeons as </w:t>
      </w:r>
      <w:r w:rsidRPr="00FC28C3">
        <w:t>management of this difficult condition requires expert specialist care</w:t>
      </w:r>
      <w:r>
        <w:t>.</w:t>
      </w:r>
    </w:p>
    <w:p w14:paraId="5E54934D" w14:textId="77777777" w:rsidR="00307024" w:rsidRDefault="00307024" w:rsidP="00307024">
      <w:pPr>
        <w:tabs>
          <w:tab w:val="num" w:pos="426"/>
        </w:tabs>
      </w:pPr>
    </w:p>
    <w:p w14:paraId="6DA3E7BB" w14:textId="77777777" w:rsidR="00307024" w:rsidRPr="00A76C58" w:rsidRDefault="00307024" w:rsidP="00307024">
      <w:pPr>
        <w:tabs>
          <w:tab w:val="num" w:pos="426"/>
        </w:tabs>
        <w:rPr>
          <w:i/>
        </w:rPr>
      </w:pPr>
      <w:r w:rsidRPr="00A76C58">
        <w:rPr>
          <w:i/>
        </w:rPr>
        <w:t>MRI for patient</w:t>
      </w:r>
      <w:r>
        <w:rPr>
          <w:i/>
        </w:rPr>
        <w:t>s</w:t>
      </w:r>
      <w:r w:rsidRPr="00A76C58">
        <w:rPr>
          <w:i/>
        </w:rPr>
        <w:t xml:space="preserve"> with </w:t>
      </w:r>
      <w:r>
        <w:rPr>
          <w:i/>
        </w:rPr>
        <w:t>small bowel</w:t>
      </w:r>
      <w:r w:rsidRPr="00A76C58">
        <w:rPr>
          <w:i/>
        </w:rPr>
        <w:t xml:space="preserve"> Crohn disease</w:t>
      </w:r>
    </w:p>
    <w:p w14:paraId="43FDED51" w14:textId="77777777" w:rsidR="00307024" w:rsidRDefault="00307024" w:rsidP="00307024">
      <w:pPr>
        <w:tabs>
          <w:tab w:val="num" w:pos="426"/>
        </w:tabs>
        <w:rPr>
          <w:szCs w:val="24"/>
        </w:rPr>
      </w:pPr>
      <w:r>
        <w:t xml:space="preserve">MSAC accepted the </w:t>
      </w:r>
      <w:r>
        <w:rPr>
          <w:szCs w:val="24"/>
        </w:rPr>
        <w:t>nominated</w:t>
      </w:r>
      <w:r w:rsidRPr="00F63365">
        <w:rPr>
          <w:szCs w:val="24"/>
        </w:rPr>
        <w:t xml:space="preserve"> comparators </w:t>
      </w:r>
      <w:r>
        <w:t xml:space="preserve">for MRI of the small bowel </w:t>
      </w:r>
      <w:r>
        <w:rPr>
          <w:szCs w:val="24"/>
        </w:rPr>
        <w:t>were computed</w:t>
      </w:r>
      <w:r w:rsidRPr="00F63365">
        <w:rPr>
          <w:szCs w:val="24"/>
        </w:rPr>
        <w:t xml:space="preserve"> tomography (CT), small bowel follow through (SBFT) and ultrasound.</w:t>
      </w:r>
    </w:p>
    <w:p w14:paraId="7F8603FB" w14:textId="77777777" w:rsidR="00307024" w:rsidRDefault="00307024" w:rsidP="00307024"/>
    <w:p w14:paraId="53539FEE" w14:textId="77777777" w:rsidR="00307024" w:rsidRDefault="00307024" w:rsidP="00307024">
      <w:r>
        <w:t xml:space="preserve">Based on the evidence presented, MSAC noted that </w:t>
      </w:r>
      <w:r w:rsidRPr="00BE3B92">
        <w:t>the</w:t>
      </w:r>
      <w:r>
        <w:t xml:space="preserve"> results for</w:t>
      </w:r>
      <w:r w:rsidRPr="00BE3B92">
        <w:t xml:space="preserve"> sensitivity and specificity of MR</w:t>
      </w:r>
      <w:r>
        <w:t>I</w:t>
      </w:r>
      <w:r w:rsidRPr="00BE3B92">
        <w:t xml:space="preserve"> enterography </w:t>
      </w:r>
      <w:r>
        <w:t>were</w:t>
      </w:r>
      <w:r w:rsidRPr="00BE3B92">
        <w:t xml:space="preserve"> not statistically significant </w:t>
      </w:r>
      <w:r>
        <w:t>compared with</w:t>
      </w:r>
      <w:r w:rsidRPr="00BE3B92">
        <w:t xml:space="preserve"> CT enterography</w:t>
      </w:r>
      <w:r>
        <w:t>. MSAC considered that, even with the limitations of small sample sizes and heterogeneity, the evidence indicated that the diagnostic performance of MRI is equivalent to the comparators. However, MSAC noted that no evidence was provided which</w:t>
      </w:r>
      <w:r w:rsidRPr="00661DA6">
        <w:t xml:space="preserve"> demonstrate</w:t>
      </w:r>
      <w:r>
        <w:t>d</w:t>
      </w:r>
      <w:r w:rsidRPr="00661DA6">
        <w:t xml:space="preserve"> improved </w:t>
      </w:r>
      <w:r>
        <w:t xml:space="preserve">patient </w:t>
      </w:r>
      <w:r w:rsidRPr="00661DA6">
        <w:t>health outcome</w:t>
      </w:r>
      <w:r>
        <w:t>s</w:t>
      </w:r>
      <w:r w:rsidRPr="00661DA6">
        <w:t xml:space="preserve"> resulting from MRI</w:t>
      </w:r>
      <w:r>
        <w:t xml:space="preserve"> of the</w:t>
      </w:r>
      <w:r w:rsidRPr="00661DA6">
        <w:t xml:space="preserve"> small bowel</w:t>
      </w:r>
      <w:r>
        <w:t xml:space="preserve">. </w:t>
      </w:r>
    </w:p>
    <w:p w14:paraId="7A861931" w14:textId="77777777" w:rsidR="00307024" w:rsidRPr="00C61EB7" w:rsidRDefault="00307024" w:rsidP="00307024">
      <w:r w:rsidRPr="00F63365">
        <w:rPr>
          <w:szCs w:val="24"/>
        </w:rPr>
        <w:lastRenderedPageBreak/>
        <w:t xml:space="preserve">MSAC noted that no studies were identified that reported on comparative safety of MRI to the comparators. However, MRI is </w:t>
      </w:r>
      <w:r>
        <w:rPr>
          <w:szCs w:val="24"/>
        </w:rPr>
        <w:t xml:space="preserve">generally </w:t>
      </w:r>
      <w:r w:rsidRPr="00F63365">
        <w:rPr>
          <w:szCs w:val="24"/>
        </w:rPr>
        <w:t>considered to be safer than CT, SBFT and surgical examinations. MSAC noted that this safety is largely due to non-exposure to ionising radiation, particular</w:t>
      </w:r>
      <w:r>
        <w:rPr>
          <w:szCs w:val="24"/>
        </w:rPr>
        <w:t>ly important</w:t>
      </w:r>
      <w:r w:rsidRPr="00F63365">
        <w:rPr>
          <w:szCs w:val="24"/>
        </w:rPr>
        <w:t xml:space="preserve"> </w:t>
      </w:r>
      <w:r>
        <w:rPr>
          <w:szCs w:val="24"/>
        </w:rPr>
        <w:t>in a population that c</w:t>
      </w:r>
      <w:r w:rsidRPr="00F63365">
        <w:rPr>
          <w:szCs w:val="24"/>
        </w:rPr>
        <w:t xml:space="preserve">ould require multiple investigations. </w:t>
      </w:r>
      <w:r>
        <w:rPr>
          <w:szCs w:val="24"/>
        </w:rPr>
        <w:t xml:space="preserve">Overall, </w:t>
      </w:r>
      <w:r>
        <w:t xml:space="preserve">MSAC considered that it remains uncertain what additional benefit patients would receive, apart from a safety advantage, from MRI of the small bowel over the comparator </w:t>
      </w:r>
      <w:r w:rsidRPr="00597FDD">
        <w:t>imaging techniques</w:t>
      </w:r>
      <w:r>
        <w:t>.</w:t>
      </w:r>
    </w:p>
    <w:p w14:paraId="058165F7" w14:textId="77777777" w:rsidR="00307024" w:rsidRDefault="00307024" w:rsidP="00307024"/>
    <w:p w14:paraId="50315D44" w14:textId="77777777" w:rsidR="00307024" w:rsidRDefault="00307024" w:rsidP="00307024">
      <w:r>
        <w:t xml:space="preserve">MSAC considered that the lack of evidence on the epidemiology and clinical management patterns of Australians with Crohn disease made the economic evaluation and financial estimates very uncertain. Particularly as </w:t>
      </w:r>
      <w:r w:rsidRPr="00961BBD">
        <w:t>Crohn disease is most common i</w:t>
      </w:r>
      <w:r>
        <w:t xml:space="preserve">n adolescents and young adults whom may </w:t>
      </w:r>
      <w:r w:rsidRPr="00961BBD">
        <w:t>require repeat diagnostic investigations several times a year or not at all depending on their progress and disease severity</w:t>
      </w:r>
      <w:r>
        <w:t xml:space="preserve">. The </w:t>
      </w:r>
      <w:r w:rsidRPr="0036202F">
        <w:t>likelihood of MRI uptake is high and potentially rapid</w:t>
      </w:r>
      <w:r>
        <w:t xml:space="preserve"> due to the perceived confidence of consumers in the technology. </w:t>
      </w:r>
    </w:p>
    <w:p w14:paraId="10D3DDCF" w14:textId="77777777" w:rsidR="00307024" w:rsidRDefault="00307024" w:rsidP="00307024"/>
    <w:p w14:paraId="453FC24F" w14:textId="77777777" w:rsidR="00FD02AF" w:rsidRDefault="00307024" w:rsidP="00307024">
      <w:r>
        <w:t xml:space="preserve">To address some of the uncertainty associated with the potential population size, MSAC agreed with the applicant’s response that the item descriptor should be tightened to more clearly define the patient population who would be eligible under the MBS. MSAC noted that the potential patient population undergoing MR </w:t>
      </w:r>
      <w:proofErr w:type="spellStart"/>
      <w:proofErr w:type="gramStart"/>
      <w:r>
        <w:t>enteroclysis</w:t>
      </w:r>
      <w:proofErr w:type="spellEnd"/>
      <w:proofErr w:type="gramEnd"/>
      <w:r>
        <w:t xml:space="preserve"> will be small as the majority of patients are likely to undergo the procedure using the oral contrast (MR enterography).</w:t>
      </w:r>
    </w:p>
    <w:p w14:paraId="7EB6EF07" w14:textId="3A0E2A17" w:rsidR="00307024" w:rsidRDefault="00FD02AF" w:rsidP="00307024">
      <w:r>
        <w:t xml:space="preserve"> </w:t>
      </w:r>
    </w:p>
    <w:p w14:paraId="4AFCE118" w14:textId="77777777" w:rsidR="00C25D7F" w:rsidRDefault="00307024" w:rsidP="00DD2858">
      <w:pPr>
        <w:rPr>
          <w:lang w:val="en-US"/>
        </w:rPr>
      </w:pPr>
      <w:r>
        <w:rPr>
          <w:lang w:val="en-US"/>
        </w:rPr>
        <w:t xml:space="preserve">Although </w:t>
      </w:r>
      <w:r w:rsidRPr="00697583">
        <w:rPr>
          <w:lang w:val="en-US"/>
        </w:rPr>
        <w:t xml:space="preserve">MSAC considered that the analytical superiority claim for MRI </w:t>
      </w:r>
      <w:r>
        <w:rPr>
          <w:lang w:val="en-US"/>
        </w:rPr>
        <w:t xml:space="preserve">in small bowel </w:t>
      </w:r>
      <w:r w:rsidRPr="00697583">
        <w:rPr>
          <w:lang w:val="en-US"/>
        </w:rPr>
        <w:t>had not been adequately demonstrated</w:t>
      </w:r>
      <w:r>
        <w:rPr>
          <w:lang w:val="en-US"/>
        </w:rPr>
        <w:t xml:space="preserve">, the Committee agreed that </w:t>
      </w:r>
      <w:r w:rsidRPr="00697583">
        <w:rPr>
          <w:lang w:val="en-US"/>
        </w:rPr>
        <w:t>it was reasonable to include a small fee advantage over other relevant imaging techniques for improved saf</w:t>
      </w:r>
      <w:r>
        <w:rPr>
          <w:lang w:val="en-US"/>
        </w:rPr>
        <w:t>ety and greater complexity.</w:t>
      </w:r>
    </w:p>
    <w:p w14:paraId="625431CE" w14:textId="77777777" w:rsidR="00CE5FEA" w:rsidRPr="00707064" w:rsidRDefault="00CE5FEA" w:rsidP="00DD2858">
      <w:pPr>
        <w:rPr>
          <w:szCs w:val="24"/>
        </w:rPr>
      </w:pPr>
    </w:p>
    <w:p w14:paraId="53078EBE" w14:textId="77777777" w:rsidR="00BC1364" w:rsidRDefault="00BC1364" w:rsidP="007B32D1">
      <w:pPr>
        <w:pStyle w:val="Heading1"/>
        <w:numPr>
          <w:ilvl w:val="0"/>
          <w:numId w:val="23"/>
        </w:numPr>
        <w:ind w:hanging="720"/>
      </w:pPr>
      <w:r w:rsidRPr="008D5885">
        <w:t>MSAC’s advice to the Minister</w:t>
      </w:r>
    </w:p>
    <w:p w14:paraId="63FBDFDF" w14:textId="77777777" w:rsidR="00BC1364" w:rsidRDefault="00BC1364" w:rsidP="00DD2858">
      <w:pPr>
        <w:tabs>
          <w:tab w:val="left" w:pos="720"/>
        </w:tabs>
        <w:ind w:left="709" w:hanging="709"/>
        <w:rPr>
          <w:b/>
          <w:szCs w:val="24"/>
        </w:rPr>
      </w:pPr>
    </w:p>
    <w:p w14:paraId="50C8477A" w14:textId="77777777" w:rsidR="00307024" w:rsidRPr="005D7EB4" w:rsidRDefault="00307024" w:rsidP="00307024">
      <w:pPr>
        <w:tabs>
          <w:tab w:val="left" w:pos="720"/>
        </w:tabs>
      </w:pPr>
      <w:r>
        <w:t xml:space="preserve">After considering the strength of the available evidence in relation to the safety, clinical effectiveness and cost-effectiveness MSAC </w:t>
      </w:r>
      <w:r w:rsidRPr="005D7EB4">
        <w:t>supported public funding of new MBS items for:</w:t>
      </w:r>
    </w:p>
    <w:p w14:paraId="2E6AE884" w14:textId="73E5D8C4" w:rsidR="00307024" w:rsidRPr="005D7EB4" w:rsidRDefault="00307024" w:rsidP="00307024">
      <w:pPr>
        <w:numPr>
          <w:ilvl w:val="0"/>
          <w:numId w:val="35"/>
        </w:numPr>
      </w:pPr>
      <w:r w:rsidRPr="005D7EB4">
        <w:t xml:space="preserve">MRI for </w:t>
      </w:r>
      <w:r w:rsidR="00D92DE1">
        <w:t xml:space="preserve">evaluation of pelvic sepsis and fistulas in </w:t>
      </w:r>
      <w:r w:rsidRPr="005D7EB4">
        <w:t xml:space="preserve">fistulising perianal Crohn disease; and </w:t>
      </w:r>
    </w:p>
    <w:p w14:paraId="5666D795" w14:textId="53B9CA84" w:rsidR="00307024" w:rsidRPr="005D7EB4" w:rsidRDefault="00307024" w:rsidP="00307024">
      <w:pPr>
        <w:numPr>
          <w:ilvl w:val="0"/>
          <w:numId w:val="35"/>
        </w:numPr>
      </w:pPr>
      <w:r w:rsidRPr="005D7EB4">
        <w:t xml:space="preserve">MRI for </w:t>
      </w:r>
      <w:r w:rsidR="00D92DE1">
        <w:t xml:space="preserve">evaluation of known or suspected complications in </w:t>
      </w:r>
      <w:r w:rsidRPr="005D7EB4">
        <w:t xml:space="preserve">small bowel Crohn disease. </w:t>
      </w:r>
    </w:p>
    <w:p w14:paraId="426961D8" w14:textId="77777777" w:rsidR="00307024" w:rsidRPr="005D7EB4" w:rsidRDefault="00307024" w:rsidP="00307024"/>
    <w:p w14:paraId="5FDB78D4" w14:textId="77777777" w:rsidR="00307024" w:rsidRDefault="00307024" w:rsidP="00307024">
      <w:pPr>
        <w:tabs>
          <w:tab w:val="left" w:pos="720"/>
        </w:tabs>
        <w:rPr>
          <w:lang w:val="en-US"/>
        </w:rPr>
      </w:pPr>
      <w:r w:rsidRPr="005D7EB4">
        <w:rPr>
          <w:lang w:val="en-US"/>
        </w:rPr>
        <w:t xml:space="preserve">MSAC recommended that the Department negotiate the proposed fee for the small bowel indication with the radiology craft group, </w:t>
      </w:r>
      <w:proofErr w:type="spellStart"/>
      <w:r w:rsidRPr="005D7EB4">
        <w:rPr>
          <w:lang w:val="en-US"/>
        </w:rPr>
        <w:t>recognising</w:t>
      </w:r>
      <w:proofErr w:type="spellEnd"/>
      <w:r w:rsidRPr="005D7EB4">
        <w:rPr>
          <w:lang w:val="en-US"/>
        </w:rPr>
        <w:t xml:space="preserve"> a small fee advantage over other relevant imaging techniques for improved safety and greater complexity, but that the analytical superiority claim for MRI had not been adequately demonstrated. </w:t>
      </w:r>
    </w:p>
    <w:p w14:paraId="01B7434C" w14:textId="77777777" w:rsidR="00307024" w:rsidRDefault="00307024" w:rsidP="00307024">
      <w:pPr>
        <w:tabs>
          <w:tab w:val="left" w:pos="720"/>
        </w:tabs>
        <w:rPr>
          <w:lang w:val="en-US"/>
        </w:rPr>
      </w:pPr>
    </w:p>
    <w:p w14:paraId="3336F875" w14:textId="18E3DF70" w:rsidR="008C361D" w:rsidRPr="0041699A" w:rsidRDefault="00307024" w:rsidP="00D02197">
      <w:pPr>
        <w:tabs>
          <w:tab w:val="left" w:pos="720"/>
        </w:tabs>
        <w:rPr>
          <w:lang w:val="en-US"/>
        </w:rPr>
      </w:pPr>
      <w:r w:rsidRPr="005D7EB4">
        <w:rPr>
          <w:lang w:val="en-US"/>
        </w:rPr>
        <w:t>If no agreement can be reached, then MSAC recommended that a further application with additional data to support the superiority claim of MRI be provided for re-consideration by MSAC via ESC.</w:t>
      </w:r>
    </w:p>
    <w:p w14:paraId="5EE671F3" w14:textId="77777777" w:rsidR="008C361D" w:rsidRDefault="008C361D" w:rsidP="00D02197">
      <w:pPr>
        <w:tabs>
          <w:tab w:val="left" w:pos="720"/>
        </w:tabs>
      </w:pPr>
    </w:p>
    <w:p w14:paraId="695165A8" w14:textId="77777777" w:rsidR="00D26761" w:rsidRDefault="00D26761">
      <w:r>
        <w:br w:type="page"/>
      </w:r>
    </w:p>
    <w:p w14:paraId="1F997E8B" w14:textId="078C136D" w:rsidR="00D02197" w:rsidRDefault="00CF40C6" w:rsidP="00D02197">
      <w:pPr>
        <w:tabs>
          <w:tab w:val="left" w:pos="720"/>
        </w:tabs>
      </w:pPr>
      <w:r>
        <w:lastRenderedPageBreak/>
        <w:t xml:space="preserve">MSAC’s </w:t>
      </w:r>
      <w:r w:rsidR="00307024">
        <w:t>Proposed descriptors are:</w:t>
      </w:r>
    </w:p>
    <w:tbl>
      <w:tblPr>
        <w:tblStyle w:val="TableGrid"/>
        <w:tblW w:w="0" w:type="auto"/>
        <w:tblLook w:val="04A0" w:firstRow="1" w:lastRow="0" w:firstColumn="1" w:lastColumn="0" w:noHBand="0" w:noVBand="1"/>
        <w:tblCaption w:val="Proposed descriptors are:"/>
        <w:tblDescription w:val="Proposed descriptors are:"/>
      </w:tblPr>
      <w:tblGrid>
        <w:gridCol w:w="9242"/>
      </w:tblGrid>
      <w:tr w:rsidR="00D02197" w:rsidRPr="00CE5FEA" w14:paraId="14DCF0A8" w14:textId="77777777" w:rsidTr="00FD02AF">
        <w:trPr>
          <w:tblHeader/>
        </w:trPr>
        <w:tc>
          <w:tcPr>
            <w:tcW w:w="9242" w:type="dxa"/>
          </w:tcPr>
          <w:p w14:paraId="5E98540A" w14:textId="77777777" w:rsidR="00D02197" w:rsidRPr="00CE5FEA" w:rsidRDefault="00D02197" w:rsidP="00470009">
            <w:pPr>
              <w:tabs>
                <w:tab w:val="left" w:pos="720"/>
              </w:tabs>
              <w:jc w:val="right"/>
              <w:rPr>
                <w:rFonts w:ascii="Arial" w:hAnsi="Arial" w:cs="Arial"/>
                <w:sz w:val="20"/>
              </w:rPr>
            </w:pPr>
            <w:r w:rsidRPr="00CE5FEA">
              <w:rPr>
                <w:rFonts w:ascii="Arial" w:hAnsi="Arial" w:cs="Arial"/>
                <w:sz w:val="20"/>
              </w:rPr>
              <w:t>Category 5 – Diagnostic Imaging Services</w:t>
            </w:r>
          </w:p>
        </w:tc>
      </w:tr>
      <w:tr w:rsidR="00D02197" w:rsidRPr="00CE5FEA" w14:paraId="37DB2079" w14:textId="77777777" w:rsidTr="00FD02AF">
        <w:trPr>
          <w:tblHeader/>
        </w:trPr>
        <w:tc>
          <w:tcPr>
            <w:tcW w:w="9242" w:type="dxa"/>
          </w:tcPr>
          <w:p w14:paraId="7B091B85" w14:textId="77777777" w:rsidR="00D02197" w:rsidRPr="00CE5FEA" w:rsidRDefault="00D02197" w:rsidP="00470009">
            <w:pPr>
              <w:tabs>
                <w:tab w:val="left" w:pos="720"/>
              </w:tabs>
              <w:rPr>
                <w:rFonts w:ascii="Arial" w:hAnsi="Arial" w:cs="Arial"/>
                <w:sz w:val="20"/>
              </w:rPr>
            </w:pPr>
            <w:r w:rsidRPr="00CE5FEA">
              <w:rPr>
                <w:rFonts w:ascii="Arial" w:hAnsi="Arial" w:cs="Arial"/>
                <w:sz w:val="20"/>
              </w:rPr>
              <w:t xml:space="preserve">MRI to evaluate small bowel </w:t>
            </w:r>
            <w:r w:rsidR="00724CF7" w:rsidRPr="00CE5FEA">
              <w:rPr>
                <w:rFonts w:ascii="Arial" w:hAnsi="Arial" w:cs="Arial"/>
                <w:sz w:val="20"/>
              </w:rPr>
              <w:t>Crohn</w:t>
            </w:r>
            <w:r w:rsidRPr="00CE5FEA">
              <w:rPr>
                <w:rFonts w:ascii="Arial" w:hAnsi="Arial" w:cs="Arial"/>
                <w:sz w:val="20"/>
              </w:rPr>
              <w:t xml:space="preserve"> disease. Medicare benefits are only payable for this item if the service is provided to patients:</w:t>
            </w:r>
          </w:p>
          <w:p w14:paraId="2771A9E4" w14:textId="77777777" w:rsidR="00D02197" w:rsidRPr="00CE5FEA" w:rsidRDefault="00D02197" w:rsidP="00470009">
            <w:pPr>
              <w:tabs>
                <w:tab w:val="left" w:pos="720"/>
              </w:tabs>
              <w:rPr>
                <w:rFonts w:ascii="Arial" w:hAnsi="Arial" w:cs="Arial"/>
                <w:sz w:val="20"/>
              </w:rPr>
            </w:pPr>
          </w:p>
          <w:p w14:paraId="4E8F4AF2" w14:textId="77777777" w:rsidR="00D02197" w:rsidRPr="00CE5FEA" w:rsidRDefault="00D02197" w:rsidP="00D02197">
            <w:pPr>
              <w:numPr>
                <w:ilvl w:val="0"/>
                <w:numId w:val="30"/>
              </w:numPr>
              <w:spacing w:line="312" w:lineRule="auto"/>
              <w:jc w:val="both"/>
              <w:rPr>
                <w:rFonts w:ascii="Arial" w:hAnsi="Arial" w:cs="Arial"/>
                <w:sz w:val="20"/>
              </w:rPr>
            </w:pPr>
            <w:r w:rsidRPr="00CE5FEA">
              <w:rPr>
                <w:rFonts w:ascii="Arial" w:hAnsi="Arial" w:cs="Arial"/>
                <w:sz w:val="20"/>
              </w:rPr>
              <w:t xml:space="preserve">Evaluation of disease extent at time of initial diagnosis of </w:t>
            </w:r>
            <w:r w:rsidR="00724CF7" w:rsidRPr="00CE5FEA">
              <w:rPr>
                <w:rFonts w:ascii="Arial" w:hAnsi="Arial" w:cs="Arial"/>
                <w:sz w:val="20"/>
              </w:rPr>
              <w:t>Crohn</w:t>
            </w:r>
            <w:r w:rsidRPr="00CE5FEA">
              <w:rPr>
                <w:rFonts w:ascii="Arial" w:hAnsi="Arial" w:cs="Arial"/>
                <w:sz w:val="20"/>
              </w:rPr>
              <w:t xml:space="preserve"> disease</w:t>
            </w:r>
          </w:p>
          <w:p w14:paraId="6A3B0BD0" w14:textId="77777777" w:rsidR="00D02197" w:rsidRPr="00596C06" w:rsidRDefault="00D02197" w:rsidP="00D02197">
            <w:pPr>
              <w:numPr>
                <w:ilvl w:val="0"/>
                <w:numId w:val="30"/>
              </w:numPr>
              <w:spacing w:line="312" w:lineRule="auto"/>
              <w:jc w:val="both"/>
              <w:rPr>
                <w:rFonts w:ascii="Arial" w:hAnsi="Arial" w:cs="Arial"/>
                <w:sz w:val="20"/>
              </w:rPr>
            </w:pPr>
            <w:r w:rsidRPr="00596C06">
              <w:rPr>
                <w:rFonts w:ascii="Arial" w:hAnsi="Arial" w:cs="Arial"/>
                <w:sz w:val="20"/>
              </w:rPr>
              <w:t xml:space="preserve">Evaluation of exacerbation/suspected complications of known </w:t>
            </w:r>
            <w:r w:rsidR="00724CF7" w:rsidRPr="00596C06">
              <w:rPr>
                <w:rFonts w:ascii="Arial" w:hAnsi="Arial" w:cs="Arial"/>
                <w:sz w:val="20"/>
              </w:rPr>
              <w:t>Crohn</w:t>
            </w:r>
            <w:r w:rsidRPr="00596C06">
              <w:rPr>
                <w:rFonts w:ascii="Arial" w:hAnsi="Arial" w:cs="Arial"/>
                <w:sz w:val="20"/>
              </w:rPr>
              <w:t xml:space="preserve"> disease</w:t>
            </w:r>
          </w:p>
          <w:p w14:paraId="76412BF6" w14:textId="6BDDEF8B" w:rsidR="00D02197" w:rsidRPr="00FD02AF" w:rsidRDefault="00D02197" w:rsidP="00FD02AF">
            <w:pPr>
              <w:pStyle w:val="ListParagraph"/>
              <w:numPr>
                <w:ilvl w:val="0"/>
                <w:numId w:val="29"/>
              </w:numPr>
              <w:spacing w:line="276" w:lineRule="auto"/>
              <w:rPr>
                <w:rFonts w:ascii="Arial" w:hAnsi="Arial" w:cs="Arial"/>
                <w:sz w:val="20"/>
              </w:rPr>
            </w:pPr>
            <w:r w:rsidRPr="00FD02AF">
              <w:rPr>
                <w:rFonts w:ascii="Arial" w:hAnsi="Arial" w:cs="Arial"/>
                <w:sz w:val="20"/>
              </w:rPr>
              <w:t xml:space="preserve">Evaluation of known or suspected </w:t>
            </w:r>
            <w:r w:rsidR="00724CF7" w:rsidRPr="00FD02AF">
              <w:rPr>
                <w:rFonts w:ascii="Arial" w:hAnsi="Arial" w:cs="Arial"/>
                <w:sz w:val="20"/>
              </w:rPr>
              <w:t>Crohn</w:t>
            </w:r>
            <w:r w:rsidRPr="00FD02AF">
              <w:rPr>
                <w:rFonts w:ascii="Arial" w:hAnsi="Arial" w:cs="Arial"/>
                <w:sz w:val="20"/>
              </w:rPr>
              <w:t xml:space="preserve"> disease in pregnancy</w:t>
            </w:r>
          </w:p>
          <w:p w14:paraId="3D4070CE" w14:textId="77777777" w:rsidR="00D02197" w:rsidRPr="00CE5FEA" w:rsidRDefault="00D02197" w:rsidP="00D02197">
            <w:pPr>
              <w:numPr>
                <w:ilvl w:val="0"/>
                <w:numId w:val="29"/>
              </w:numPr>
              <w:spacing w:line="312" w:lineRule="auto"/>
              <w:jc w:val="both"/>
              <w:rPr>
                <w:rFonts w:ascii="Arial" w:hAnsi="Arial" w:cs="Arial"/>
                <w:sz w:val="20"/>
              </w:rPr>
            </w:pPr>
            <w:r w:rsidRPr="00CE5FEA">
              <w:rPr>
                <w:rFonts w:ascii="Arial" w:hAnsi="Arial" w:cs="Arial"/>
                <w:sz w:val="20"/>
              </w:rPr>
              <w:t xml:space="preserve">Assessment of change to therapy in patients with small bowel </w:t>
            </w:r>
            <w:r w:rsidR="00724CF7" w:rsidRPr="00CE5FEA">
              <w:rPr>
                <w:rFonts w:ascii="Arial" w:hAnsi="Arial" w:cs="Arial"/>
                <w:sz w:val="20"/>
              </w:rPr>
              <w:t>Crohn</w:t>
            </w:r>
            <w:r w:rsidRPr="00CE5FEA">
              <w:rPr>
                <w:rFonts w:ascii="Arial" w:hAnsi="Arial" w:cs="Arial"/>
                <w:sz w:val="20"/>
              </w:rPr>
              <w:t xml:space="preserve"> disease</w:t>
            </w:r>
          </w:p>
          <w:p w14:paraId="6C34732A" w14:textId="77777777" w:rsidR="00D02197" w:rsidRPr="00CE5FEA" w:rsidRDefault="00D02197" w:rsidP="00470009">
            <w:pPr>
              <w:rPr>
                <w:rFonts w:ascii="Arial" w:hAnsi="Arial" w:cs="Arial"/>
                <w:sz w:val="20"/>
              </w:rPr>
            </w:pPr>
          </w:p>
          <w:p w14:paraId="3332F46A" w14:textId="77777777" w:rsidR="00D02197" w:rsidRPr="00CE5FEA" w:rsidRDefault="00D02197" w:rsidP="00470009">
            <w:pPr>
              <w:rPr>
                <w:rFonts w:ascii="Arial" w:hAnsi="Arial" w:cs="Arial"/>
                <w:sz w:val="20"/>
              </w:rPr>
            </w:pPr>
            <w:r w:rsidRPr="00CE5FEA">
              <w:rPr>
                <w:rFonts w:ascii="Arial" w:hAnsi="Arial" w:cs="Arial"/>
                <w:sz w:val="20"/>
              </w:rPr>
              <w:t>NOTE 1: Assessment of change to therapy can only be claimed once in a 12 month period.</w:t>
            </w:r>
          </w:p>
          <w:p w14:paraId="44D75E8C" w14:textId="77777777" w:rsidR="00D02197" w:rsidRPr="00CE5FEA" w:rsidRDefault="00D02197" w:rsidP="00470009">
            <w:pPr>
              <w:tabs>
                <w:tab w:val="left" w:pos="720"/>
              </w:tabs>
              <w:rPr>
                <w:rFonts w:ascii="Arial" w:hAnsi="Arial" w:cs="Arial"/>
                <w:sz w:val="20"/>
              </w:rPr>
            </w:pPr>
          </w:p>
          <w:p w14:paraId="15530B1C" w14:textId="77777777" w:rsidR="00D02197" w:rsidRPr="00CE5FEA" w:rsidRDefault="00D02197" w:rsidP="00470009">
            <w:pPr>
              <w:tabs>
                <w:tab w:val="left" w:pos="720"/>
              </w:tabs>
              <w:rPr>
                <w:rFonts w:ascii="Arial" w:hAnsi="Arial" w:cs="Arial"/>
                <w:sz w:val="20"/>
              </w:rPr>
            </w:pPr>
            <w:r w:rsidRPr="00CE5FEA">
              <w:rPr>
                <w:rFonts w:ascii="Arial" w:hAnsi="Arial" w:cs="Arial"/>
                <w:sz w:val="20"/>
              </w:rPr>
              <w:t>Fee: Subject to negotiation</w:t>
            </w:r>
          </w:p>
          <w:p w14:paraId="2DDDFA61" w14:textId="77777777" w:rsidR="00D02197" w:rsidRPr="00CE5FEA" w:rsidRDefault="00D02197" w:rsidP="00470009">
            <w:pPr>
              <w:tabs>
                <w:tab w:val="left" w:pos="720"/>
              </w:tabs>
              <w:rPr>
                <w:rFonts w:ascii="Arial" w:hAnsi="Arial" w:cs="Arial"/>
                <w:sz w:val="20"/>
              </w:rPr>
            </w:pPr>
          </w:p>
        </w:tc>
      </w:tr>
      <w:tr w:rsidR="00D02197" w:rsidRPr="00CE5FEA" w14:paraId="5A64154B" w14:textId="77777777" w:rsidTr="00FD02AF">
        <w:trPr>
          <w:tblHeader/>
        </w:trPr>
        <w:tc>
          <w:tcPr>
            <w:tcW w:w="9242" w:type="dxa"/>
          </w:tcPr>
          <w:p w14:paraId="6C799580" w14:textId="77777777" w:rsidR="00D02197" w:rsidRPr="00CE5FEA" w:rsidRDefault="00D02197" w:rsidP="00470009">
            <w:pPr>
              <w:tabs>
                <w:tab w:val="left" w:pos="720"/>
              </w:tabs>
              <w:rPr>
                <w:rFonts w:ascii="Arial" w:hAnsi="Arial" w:cs="Arial"/>
                <w:sz w:val="20"/>
              </w:rPr>
            </w:pPr>
            <w:r w:rsidRPr="00CE5FEA">
              <w:rPr>
                <w:rFonts w:ascii="Arial" w:hAnsi="Arial" w:cs="Arial"/>
                <w:sz w:val="20"/>
              </w:rPr>
              <w:t xml:space="preserve">MRI </w:t>
            </w:r>
            <w:proofErr w:type="spellStart"/>
            <w:r w:rsidRPr="00CE5FEA">
              <w:rPr>
                <w:rFonts w:ascii="Arial" w:hAnsi="Arial" w:cs="Arial"/>
                <w:sz w:val="20"/>
              </w:rPr>
              <w:t>enteroclysis</w:t>
            </w:r>
            <w:proofErr w:type="spellEnd"/>
            <w:r w:rsidRPr="00CE5FEA">
              <w:rPr>
                <w:rFonts w:ascii="Arial" w:hAnsi="Arial" w:cs="Arial"/>
                <w:sz w:val="20"/>
              </w:rPr>
              <w:t xml:space="preserve"> for </w:t>
            </w:r>
            <w:r w:rsidR="00724CF7" w:rsidRPr="00CE5FEA">
              <w:rPr>
                <w:rFonts w:ascii="Arial" w:hAnsi="Arial" w:cs="Arial"/>
                <w:sz w:val="20"/>
              </w:rPr>
              <w:t>Crohn</w:t>
            </w:r>
            <w:r w:rsidRPr="00CE5FEA">
              <w:rPr>
                <w:rFonts w:ascii="Arial" w:hAnsi="Arial" w:cs="Arial"/>
                <w:sz w:val="20"/>
              </w:rPr>
              <w:t xml:space="preserve"> disease. Medicare benefits are only payable for this item if the service is related to item XXXX</w:t>
            </w:r>
          </w:p>
          <w:p w14:paraId="0F693DA6" w14:textId="77777777" w:rsidR="00D02197" w:rsidRPr="00CE5FEA" w:rsidRDefault="00D02197" w:rsidP="00470009">
            <w:pPr>
              <w:tabs>
                <w:tab w:val="left" w:pos="720"/>
              </w:tabs>
              <w:rPr>
                <w:rFonts w:ascii="Arial" w:hAnsi="Arial" w:cs="Arial"/>
                <w:sz w:val="20"/>
              </w:rPr>
            </w:pPr>
          </w:p>
          <w:p w14:paraId="536EBD61" w14:textId="77777777" w:rsidR="00D02197" w:rsidRPr="00CE5FEA" w:rsidRDefault="00D02197" w:rsidP="00470009">
            <w:pPr>
              <w:tabs>
                <w:tab w:val="left" w:pos="720"/>
              </w:tabs>
              <w:rPr>
                <w:rFonts w:ascii="Arial" w:hAnsi="Arial" w:cs="Arial"/>
                <w:sz w:val="20"/>
              </w:rPr>
            </w:pPr>
            <w:r w:rsidRPr="00CE5FEA">
              <w:rPr>
                <w:rFonts w:ascii="Arial" w:hAnsi="Arial" w:cs="Arial"/>
                <w:sz w:val="20"/>
              </w:rPr>
              <w:t>Fee: $265.25   75% = $198.94   85% = $225.46</w:t>
            </w:r>
          </w:p>
        </w:tc>
      </w:tr>
      <w:tr w:rsidR="00D02197" w:rsidRPr="00CE5FEA" w14:paraId="0E0DAD22" w14:textId="77777777" w:rsidTr="00FD02AF">
        <w:trPr>
          <w:tblHeader/>
        </w:trPr>
        <w:tc>
          <w:tcPr>
            <w:tcW w:w="9242" w:type="dxa"/>
          </w:tcPr>
          <w:p w14:paraId="4C91BD08" w14:textId="77777777" w:rsidR="00D02197" w:rsidRPr="00CE5FEA" w:rsidRDefault="00D02197" w:rsidP="00470009">
            <w:pPr>
              <w:tabs>
                <w:tab w:val="left" w:pos="720"/>
              </w:tabs>
              <w:jc w:val="right"/>
              <w:rPr>
                <w:rFonts w:ascii="Arial" w:hAnsi="Arial" w:cs="Arial"/>
                <w:sz w:val="20"/>
              </w:rPr>
            </w:pPr>
            <w:r w:rsidRPr="00CE5FEA">
              <w:rPr>
                <w:rFonts w:ascii="Arial" w:hAnsi="Arial" w:cs="Arial"/>
                <w:sz w:val="20"/>
              </w:rPr>
              <w:t>Category 5 – Diagnostic Imaging Services</w:t>
            </w:r>
          </w:p>
        </w:tc>
      </w:tr>
      <w:tr w:rsidR="00D02197" w:rsidRPr="00CE5FEA" w14:paraId="00BC879F" w14:textId="77777777" w:rsidTr="00FD02AF">
        <w:trPr>
          <w:tblHeader/>
        </w:trPr>
        <w:tc>
          <w:tcPr>
            <w:tcW w:w="9242" w:type="dxa"/>
          </w:tcPr>
          <w:p w14:paraId="3DB7A0EE" w14:textId="77777777" w:rsidR="00D02197" w:rsidRPr="00CE5FEA" w:rsidRDefault="00D02197" w:rsidP="00470009">
            <w:pPr>
              <w:tabs>
                <w:tab w:val="left" w:pos="720"/>
              </w:tabs>
              <w:rPr>
                <w:rFonts w:ascii="Arial" w:hAnsi="Arial" w:cs="Arial"/>
                <w:sz w:val="20"/>
              </w:rPr>
            </w:pPr>
            <w:r w:rsidRPr="00CE5FEA">
              <w:rPr>
                <w:rFonts w:ascii="Arial" w:hAnsi="Arial" w:cs="Arial"/>
                <w:sz w:val="20"/>
              </w:rPr>
              <w:t xml:space="preserve">MRI for fistulising perianal </w:t>
            </w:r>
            <w:r w:rsidR="00724CF7" w:rsidRPr="00CE5FEA">
              <w:rPr>
                <w:rFonts w:ascii="Arial" w:hAnsi="Arial" w:cs="Arial"/>
                <w:sz w:val="20"/>
              </w:rPr>
              <w:t>Crohn</w:t>
            </w:r>
            <w:r w:rsidRPr="00CE5FEA">
              <w:rPr>
                <w:rFonts w:ascii="Arial" w:hAnsi="Arial" w:cs="Arial"/>
                <w:sz w:val="20"/>
              </w:rPr>
              <w:t xml:space="preserve"> disease. Medicare benefits are only payable for this item if the service is provided to patients for:</w:t>
            </w:r>
          </w:p>
          <w:p w14:paraId="48A5B16A" w14:textId="77777777" w:rsidR="00D02197" w:rsidRPr="00CE5FEA" w:rsidRDefault="00D02197" w:rsidP="00470009">
            <w:pPr>
              <w:tabs>
                <w:tab w:val="left" w:pos="720"/>
              </w:tabs>
              <w:rPr>
                <w:rFonts w:ascii="Arial" w:hAnsi="Arial" w:cs="Arial"/>
                <w:sz w:val="20"/>
              </w:rPr>
            </w:pPr>
          </w:p>
          <w:p w14:paraId="1793F904" w14:textId="77777777" w:rsidR="00D02197" w:rsidRPr="00596C06" w:rsidRDefault="00D02197" w:rsidP="00D02197">
            <w:pPr>
              <w:pStyle w:val="ListParagraph"/>
              <w:numPr>
                <w:ilvl w:val="0"/>
                <w:numId w:val="28"/>
              </w:numPr>
              <w:tabs>
                <w:tab w:val="left" w:pos="720"/>
              </w:tabs>
              <w:rPr>
                <w:rFonts w:ascii="Arial" w:hAnsi="Arial" w:cs="Arial"/>
                <w:sz w:val="20"/>
              </w:rPr>
            </w:pPr>
            <w:r w:rsidRPr="00596C06">
              <w:rPr>
                <w:rFonts w:ascii="Arial" w:hAnsi="Arial" w:cs="Arial"/>
                <w:sz w:val="20"/>
              </w:rPr>
              <w:t xml:space="preserve">Evaluation of pelvic sepsis and fistulas associated with established or suspected </w:t>
            </w:r>
            <w:r w:rsidR="00724CF7" w:rsidRPr="00596C06">
              <w:rPr>
                <w:rFonts w:ascii="Arial" w:hAnsi="Arial" w:cs="Arial"/>
                <w:sz w:val="20"/>
              </w:rPr>
              <w:t>Crohn</w:t>
            </w:r>
            <w:r w:rsidRPr="00596C06">
              <w:rPr>
                <w:rFonts w:ascii="Arial" w:hAnsi="Arial" w:cs="Arial"/>
                <w:sz w:val="20"/>
              </w:rPr>
              <w:t xml:space="preserve"> disease</w:t>
            </w:r>
          </w:p>
          <w:p w14:paraId="22C4C933" w14:textId="77777777" w:rsidR="00D02197" w:rsidRPr="00596C06" w:rsidRDefault="00D02197" w:rsidP="00D02197">
            <w:pPr>
              <w:pStyle w:val="ListParagraph"/>
              <w:numPr>
                <w:ilvl w:val="0"/>
                <w:numId w:val="28"/>
              </w:numPr>
              <w:tabs>
                <w:tab w:val="left" w:pos="720"/>
              </w:tabs>
              <w:rPr>
                <w:rFonts w:ascii="Arial" w:hAnsi="Arial" w:cs="Arial"/>
                <w:sz w:val="20"/>
              </w:rPr>
            </w:pPr>
            <w:r w:rsidRPr="00596C06">
              <w:rPr>
                <w:rFonts w:ascii="Arial" w:hAnsi="Arial" w:cs="Arial"/>
                <w:sz w:val="20"/>
              </w:rPr>
              <w:t xml:space="preserve">Assessment of change to therapy of pelvis sepsis and fistulas from </w:t>
            </w:r>
            <w:r w:rsidR="00724CF7" w:rsidRPr="00596C06">
              <w:rPr>
                <w:rFonts w:ascii="Arial" w:hAnsi="Arial" w:cs="Arial"/>
                <w:sz w:val="20"/>
              </w:rPr>
              <w:t>Crohn</w:t>
            </w:r>
            <w:r w:rsidRPr="00596C06">
              <w:rPr>
                <w:rFonts w:ascii="Arial" w:hAnsi="Arial" w:cs="Arial"/>
                <w:sz w:val="20"/>
              </w:rPr>
              <w:t xml:space="preserve"> disease</w:t>
            </w:r>
          </w:p>
          <w:p w14:paraId="72676C96" w14:textId="77777777" w:rsidR="00D02197" w:rsidRPr="00CE5FEA" w:rsidRDefault="00D02197" w:rsidP="00470009">
            <w:pPr>
              <w:tabs>
                <w:tab w:val="left" w:pos="720"/>
              </w:tabs>
              <w:rPr>
                <w:rFonts w:ascii="Arial" w:hAnsi="Arial" w:cs="Arial"/>
                <w:sz w:val="20"/>
              </w:rPr>
            </w:pPr>
          </w:p>
          <w:p w14:paraId="04BDA624" w14:textId="77777777" w:rsidR="00D02197" w:rsidRPr="00CE5FEA" w:rsidRDefault="00D02197" w:rsidP="00470009">
            <w:pPr>
              <w:tabs>
                <w:tab w:val="left" w:pos="720"/>
              </w:tabs>
              <w:rPr>
                <w:rFonts w:ascii="Arial" w:hAnsi="Arial" w:cs="Arial"/>
                <w:sz w:val="20"/>
              </w:rPr>
            </w:pPr>
            <w:r w:rsidRPr="00CE5FEA">
              <w:rPr>
                <w:rFonts w:ascii="Arial" w:hAnsi="Arial" w:cs="Arial"/>
                <w:sz w:val="20"/>
              </w:rPr>
              <w:t>Note 1: assessment of change to therapy can only be claimed once in a 12 month period.</w:t>
            </w:r>
          </w:p>
          <w:p w14:paraId="7A9B5910" w14:textId="77777777" w:rsidR="00D02197" w:rsidRPr="00CE5FEA" w:rsidRDefault="00D02197" w:rsidP="00470009">
            <w:pPr>
              <w:tabs>
                <w:tab w:val="left" w:pos="720"/>
              </w:tabs>
              <w:rPr>
                <w:rFonts w:ascii="Arial" w:hAnsi="Arial" w:cs="Arial"/>
                <w:sz w:val="20"/>
              </w:rPr>
            </w:pPr>
          </w:p>
          <w:p w14:paraId="34B4BE8A" w14:textId="77777777" w:rsidR="00D02197" w:rsidRPr="00CE5FEA" w:rsidRDefault="00D02197" w:rsidP="00470009">
            <w:pPr>
              <w:tabs>
                <w:tab w:val="left" w:pos="720"/>
              </w:tabs>
              <w:rPr>
                <w:rFonts w:ascii="Arial" w:hAnsi="Arial" w:cs="Arial"/>
                <w:sz w:val="20"/>
              </w:rPr>
            </w:pPr>
            <w:r w:rsidRPr="00CE5FEA">
              <w:rPr>
                <w:rFonts w:ascii="Arial" w:hAnsi="Arial" w:cs="Arial"/>
                <w:sz w:val="20"/>
              </w:rPr>
              <w:t>Fee: $403.20   75% = $302.40   85% = $342.72</w:t>
            </w:r>
          </w:p>
          <w:p w14:paraId="14FE7433" w14:textId="77777777" w:rsidR="00D02197" w:rsidRPr="00CE5FEA" w:rsidRDefault="00D02197" w:rsidP="00470009">
            <w:pPr>
              <w:tabs>
                <w:tab w:val="left" w:pos="720"/>
              </w:tabs>
              <w:rPr>
                <w:rFonts w:ascii="Arial" w:hAnsi="Arial" w:cs="Arial"/>
                <w:sz w:val="20"/>
              </w:rPr>
            </w:pPr>
          </w:p>
        </w:tc>
      </w:tr>
    </w:tbl>
    <w:p w14:paraId="5FBFC3B6" w14:textId="77777777" w:rsidR="00BC1364" w:rsidRPr="00707064" w:rsidRDefault="00BC1364" w:rsidP="0041699A">
      <w:pPr>
        <w:tabs>
          <w:tab w:val="left" w:pos="720"/>
        </w:tabs>
        <w:rPr>
          <w:szCs w:val="24"/>
        </w:rPr>
      </w:pPr>
    </w:p>
    <w:p w14:paraId="5AC40A83" w14:textId="38D591B2" w:rsidR="00BC1364" w:rsidRDefault="00BC1364" w:rsidP="007B32D1">
      <w:pPr>
        <w:pStyle w:val="Heading1"/>
        <w:numPr>
          <w:ilvl w:val="0"/>
          <w:numId w:val="23"/>
        </w:numPr>
        <w:ind w:hanging="720"/>
      </w:pPr>
      <w:r w:rsidRPr="008D5885">
        <w:t xml:space="preserve">Applicant’s comments on MSAC’s </w:t>
      </w:r>
      <w:r w:rsidR="00AD6776">
        <w:t>Public Summary Document</w:t>
      </w:r>
    </w:p>
    <w:p w14:paraId="2DD424EC" w14:textId="77777777" w:rsidR="00BC1364" w:rsidRDefault="00BC1364" w:rsidP="00230D6B">
      <w:pPr>
        <w:tabs>
          <w:tab w:val="left" w:pos="720"/>
        </w:tabs>
        <w:ind w:left="709" w:hanging="709"/>
        <w:rPr>
          <w:b/>
          <w:szCs w:val="24"/>
        </w:rPr>
      </w:pPr>
    </w:p>
    <w:p w14:paraId="5951F0D7" w14:textId="77777777" w:rsidR="00A057AE" w:rsidRPr="001E0822" w:rsidRDefault="00A057AE" w:rsidP="00A057AE">
      <w:pPr>
        <w:tabs>
          <w:tab w:val="left" w:pos="720"/>
        </w:tabs>
        <w:rPr>
          <w:szCs w:val="24"/>
        </w:rPr>
      </w:pPr>
      <w:r>
        <w:rPr>
          <w:szCs w:val="24"/>
        </w:rPr>
        <w:t>No comment.</w:t>
      </w:r>
    </w:p>
    <w:p w14:paraId="19AD3B4F" w14:textId="77777777" w:rsidR="00BC1364" w:rsidRDefault="00BC1364" w:rsidP="00230D6B">
      <w:pPr>
        <w:rPr>
          <w:b/>
          <w:szCs w:val="24"/>
        </w:rPr>
      </w:pPr>
      <w:bookmarkStart w:id="0" w:name="_GoBack"/>
      <w:bookmarkEnd w:id="0"/>
    </w:p>
    <w:p w14:paraId="25C91307" w14:textId="77777777" w:rsidR="00BC1364" w:rsidRDefault="00BC1364" w:rsidP="007B32D1">
      <w:pPr>
        <w:pStyle w:val="Heading1"/>
        <w:numPr>
          <w:ilvl w:val="0"/>
          <w:numId w:val="23"/>
        </w:numPr>
        <w:ind w:hanging="720"/>
      </w:pPr>
      <w:r w:rsidRPr="008D5885">
        <w:t>Linkages to other documents</w:t>
      </w:r>
      <w:r w:rsidRPr="00707064">
        <w:t xml:space="preserve"> </w:t>
      </w:r>
    </w:p>
    <w:p w14:paraId="2DEBB867" w14:textId="77777777" w:rsidR="00BC1364" w:rsidRDefault="00BC1364" w:rsidP="00DD2858">
      <w:pPr>
        <w:tabs>
          <w:tab w:val="left" w:pos="720"/>
        </w:tabs>
        <w:ind w:left="709" w:hanging="709"/>
        <w:rPr>
          <w:b/>
          <w:szCs w:val="24"/>
        </w:rPr>
      </w:pPr>
    </w:p>
    <w:p w14:paraId="470E1E7C" w14:textId="77777777" w:rsidR="00BC1364" w:rsidRPr="00DD2858" w:rsidRDefault="00BC1364" w:rsidP="00DD2858">
      <w:pPr>
        <w:rPr>
          <w:szCs w:val="24"/>
        </w:rPr>
      </w:pPr>
      <w:r w:rsidRPr="00DD2858">
        <w:rPr>
          <w:szCs w:val="24"/>
        </w:rPr>
        <w:t xml:space="preserve">Further information is available on the MSAC Website at: </w:t>
      </w:r>
      <w:hyperlink r:id="rId10" w:tooltip="This is a link to the MSAC website" w:history="1">
        <w:r w:rsidRPr="00DD2858">
          <w:rPr>
            <w:rStyle w:val="Hyperlink"/>
            <w:color w:val="auto"/>
            <w:szCs w:val="24"/>
          </w:rPr>
          <w:t>www.msac.gov.au</w:t>
        </w:r>
      </w:hyperlink>
      <w:r w:rsidRPr="00DD2858">
        <w:rPr>
          <w:szCs w:val="24"/>
        </w:rPr>
        <w:t xml:space="preserve">.  </w:t>
      </w:r>
    </w:p>
    <w:sectPr w:rsidR="00BC1364" w:rsidRPr="00DD2858" w:rsidSect="003362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0D736" w14:textId="77777777" w:rsidR="00B97C60" w:rsidRDefault="00B97C60" w:rsidP="00065623">
      <w:r>
        <w:separator/>
      </w:r>
    </w:p>
  </w:endnote>
  <w:endnote w:type="continuationSeparator" w:id="0">
    <w:p w14:paraId="7CBECE28" w14:textId="77777777" w:rsidR="00B97C60" w:rsidRDefault="00B97C6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3178A" w14:textId="77777777" w:rsidR="00D92DE1" w:rsidRDefault="00D92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CCA1B" w14:textId="77777777" w:rsidR="00D92DE1" w:rsidRDefault="00D92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1E6DC" w14:textId="77777777" w:rsidR="00D92DE1" w:rsidRDefault="00D92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4912" w14:textId="77777777" w:rsidR="00B97C60" w:rsidRDefault="00B97C60" w:rsidP="00065623">
      <w:r>
        <w:separator/>
      </w:r>
    </w:p>
  </w:footnote>
  <w:footnote w:type="continuationSeparator" w:id="0">
    <w:p w14:paraId="5C665E69" w14:textId="77777777" w:rsidR="00B97C60" w:rsidRDefault="00B97C60"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6726" w14:textId="77777777" w:rsidR="00D92DE1" w:rsidRDefault="00D92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CE18B" w14:textId="77777777" w:rsidR="00D92DE1" w:rsidRDefault="00D92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1865" w14:textId="77777777" w:rsidR="00D92DE1" w:rsidRDefault="00D92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3AB0D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E32E00"/>
    <w:multiLevelType w:val="hybridMultilevel"/>
    <w:tmpl w:val="0E4CBDF6"/>
    <w:lvl w:ilvl="0" w:tplc="817C150E">
      <w:numFmt w:val="bullet"/>
      <w:lvlText w:val=""/>
      <w:lvlJc w:val="left"/>
      <w:pPr>
        <w:ind w:left="360" w:hanging="36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7CA6028"/>
    <w:multiLevelType w:val="hybridMultilevel"/>
    <w:tmpl w:val="3C9C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C17029"/>
    <w:multiLevelType w:val="hybridMultilevel"/>
    <w:tmpl w:val="1B60AEF6"/>
    <w:lvl w:ilvl="0" w:tplc="9EFC9AC6">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0D24A7"/>
    <w:multiLevelType w:val="hybridMultilevel"/>
    <w:tmpl w:val="FCA4EB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BD1C2B"/>
    <w:multiLevelType w:val="multilevel"/>
    <w:tmpl w:val="91D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E5F78"/>
    <w:multiLevelType w:val="hybridMultilevel"/>
    <w:tmpl w:val="99C6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1E37E7"/>
    <w:multiLevelType w:val="hybridMultilevel"/>
    <w:tmpl w:val="37644F96"/>
    <w:lvl w:ilvl="0" w:tplc="157A662C">
      <w:start w:val="1"/>
      <w:numFmt w:val="lowerLetter"/>
      <w:lvlText w:val="(%1)"/>
      <w:lvlJc w:val="left"/>
      <w:pPr>
        <w:ind w:left="836"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825EEE"/>
    <w:multiLevelType w:val="hybridMultilevel"/>
    <w:tmpl w:val="974E151C"/>
    <w:lvl w:ilvl="0" w:tplc="AB1258F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69764E"/>
    <w:multiLevelType w:val="hybridMultilevel"/>
    <w:tmpl w:val="26C836BA"/>
    <w:lvl w:ilvl="0" w:tplc="D9B69CF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E19399F"/>
    <w:multiLevelType w:val="hybridMultilevel"/>
    <w:tmpl w:val="AFF6E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2BD4BA3"/>
    <w:multiLevelType w:val="hybridMultilevel"/>
    <w:tmpl w:val="2EFA8A38"/>
    <w:lvl w:ilvl="0" w:tplc="73284476">
      <w:start w:val="3"/>
      <w:numFmt w:val="lowerLetter"/>
      <w:lvlText w:val="(%1)"/>
      <w:lvlJc w:val="left"/>
      <w:pPr>
        <w:ind w:left="836"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3439DB"/>
    <w:multiLevelType w:val="hybridMultilevel"/>
    <w:tmpl w:val="7ED67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DB45635"/>
    <w:multiLevelType w:val="hybridMultilevel"/>
    <w:tmpl w:val="FEE652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1"/>
  </w:num>
  <w:num w:numId="4">
    <w:abstractNumId w:val="21"/>
  </w:num>
  <w:num w:numId="5">
    <w:abstractNumId w:val="13"/>
  </w:num>
  <w:num w:numId="6">
    <w:abstractNumId w:val="20"/>
  </w:num>
  <w:num w:numId="7">
    <w:abstractNumId w:val="27"/>
  </w:num>
  <w:num w:numId="8">
    <w:abstractNumId w:val="14"/>
  </w:num>
  <w:num w:numId="9">
    <w:abstractNumId w:val="35"/>
  </w:num>
  <w:num w:numId="10">
    <w:abstractNumId w:val="0"/>
  </w:num>
  <w:num w:numId="11">
    <w:abstractNumId w:val="25"/>
  </w:num>
  <w:num w:numId="12">
    <w:abstractNumId w:val="28"/>
  </w:num>
  <w:num w:numId="13">
    <w:abstractNumId w:val="6"/>
  </w:num>
  <w:num w:numId="14">
    <w:abstractNumId w:val="34"/>
  </w:num>
  <w:num w:numId="15">
    <w:abstractNumId w:val="23"/>
  </w:num>
  <w:num w:numId="16">
    <w:abstractNumId w:val="29"/>
  </w:num>
  <w:num w:numId="17">
    <w:abstractNumId w:val="15"/>
  </w:num>
  <w:num w:numId="18">
    <w:abstractNumId w:val="17"/>
  </w:num>
  <w:num w:numId="19">
    <w:abstractNumId w:val="31"/>
  </w:num>
  <w:num w:numId="20">
    <w:abstractNumId w:val="30"/>
  </w:num>
  <w:num w:numId="21">
    <w:abstractNumId w:val="4"/>
  </w:num>
  <w:num w:numId="22">
    <w:abstractNumId w:val="12"/>
  </w:num>
  <w:num w:numId="23">
    <w:abstractNumId w:val="2"/>
  </w:num>
  <w:num w:numId="24">
    <w:abstractNumId w:val="24"/>
  </w:num>
  <w:num w:numId="25">
    <w:abstractNumId w:val="3"/>
  </w:num>
  <w:num w:numId="26">
    <w:abstractNumId w:val="32"/>
  </w:num>
  <w:num w:numId="27">
    <w:abstractNumId w:val="22"/>
  </w:num>
  <w:num w:numId="28">
    <w:abstractNumId w:val="18"/>
  </w:num>
  <w:num w:numId="29">
    <w:abstractNumId w:val="26"/>
  </w:num>
  <w:num w:numId="30">
    <w:abstractNumId w:val="16"/>
  </w:num>
  <w:num w:numId="31">
    <w:abstractNumId w:val="11"/>
  </w:num>
  <w:num w:numId="32">
    <w:abstractNumId w:val="7"/>
  </w:num>
  <w:num w:numId="33">
    <w:abstractNumId w:val="5"/>
  </w:num>
  <w:num w:numId="34">
    <w:abstractNumId w:val="8"/>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51BE8"/>
    <w:rsid w:val="000546AE"/>
    <w:rsid w:val="00065623"/>
    <w:rsid w:val="00074397"/>
    <w:rsid w:val="000756B9"/>
    <w:rsid w:val="00080210"/>
    <w:rsid w:val="00096B67"/>
    <w:rsid w:val="00096DAF"/>
    <w:rsid w:val="0009771D"/>
    <w:rsid w:val="000B5811"/>
    <w:rsid w:val="000C2F47"/>
    <w:rsid w:val="000D6C00"/>
    <w:rsid w:val="000D6EF6"/>
    <w:rsid w:val="000E4E04"/>
    <w:rsid w:val="000E6209"/>
    <w:rsid w:val="000F14B4"/>
    <w:rsid w:val="000F43D6"/>
    <w:rsid w:val="00106D05"/>
    <w:rsid w:val="001328FA"/>
    <w:rsid w:val="00141514"/>
    <w:rsid w:val="00147AAF"/>
    <w:rsid w:val="001552C0"/>
    <w:rsid w:val="001640B1"/>
    <w:rsid w:val="0016774E"/>
    <w:rsid w:val="0018435E"/>
    <w:rsid w:val="001A643A"/>
    <w:rsid w:val="001F4692"/>
    <w:rsid w:val="002041A1"/>
    <w:rsid w:val="002054F0"/>
    <w:rsid w:val="00230D6B"/>
    <w:rsid w:val="00232068"/>
    <w:rsid w:val="0024117A"/>
    <w:rsid w:val="00253B66"/>
    <w:rsid w:val="0025512F"/>
    <w:rsid w:val="00261DF1"/>
    <w:rsid w:val="00277047"/>
    <w:rsid w:val="00280C37"/>
    <w:rsid w:val="00282779"/>
    <w:rsid w:val="0029170E"/>
    <w:rsid w:val="00296816"/>
    <w:rsid w:val="002B7FFA"/>
    <w:rsid w:val="002C2BCF"/>
    <w:rsid w:val="002E2408"/>
    <w:rsid w:val="002E4C3D"/>
    <w:rsid w:val="002F279D"/>
    <w:rsid w:val="00307024"/>
    <w:rsid w:val="003108FB"/>
    <w:rsid w:val="00321965"/>
    <w:rsid w:val="0032618C"/>
    <w:rsid w:val="00336240"/>
    <w:rsid w:val="0034554D"/>
    <w:rsid w:val="00346C98"/>
    <w:rsid w:val="003640BD"/>
    <w:rsid w:val="003671E6"/>
    <w:rsid w:val="0037087F"/>
    <w:rsid w:val="00376625"/>
    <w:rsid w:val="00384272"/>
    <w:rsid w:val="00386D67"/>
    <w:rsid w:val="003945B8"/>
    <w:rsid w:val="00394C39"/>
    <w:rsid w:val="003C7467"/>
    <w:rsid w:val="003D3133"/>
    <w:rsid w:val="003F065E"/>
    <w:rsid w:val="003F37A2"/>
    <w:rsid w:val="00405A6B"/>
    <w:rsid w:val="00407B1F"/>
    <w:rsid w:val="00414C57"/>
    <w:rsid w:val="0041699A"/>
    <w:rsid w:val="0042441F"/>
    <w:rsid w:val="00447F31"/>
    <w:rsid w:val="004539DE"/>
    <w:rsid w:val="00470009"/>
    <w:rsid w:val="00475AB4"/>
    <w:rsid w:val="004C3035"/>
    <w:rsid w:val="004C307F"/>
    <w:rsid w:val="004E4BA8"/>
    <w:rsid w:val="004F7B7C"/>
    <w:rsid w:val="0051159A"/>
    <w:rsid w:val="00521F81"/>
    <w:rsid w:val="0052243D"/>
    <w:rsid w:val="00527046"/>
    <w:rsid w:val="00532435"/>
    <w:rsid w:val="005333C0"/>
    <w:rsid w:val="00533EAD"/>
    <w:rsid w:val="00540F66"/>
    <w:rsid w:val="00544664"/>
    <w:rsid w:val="00571236"/>
    <w:rsid w:val="005951B9"/>
    <w:rsid w:val="005953A1"/>
    <w:rsid w:val="00596C06"/>
    <w:rsid w:val="005C7EAA"/>
    <w:rsid w:val="005D0332"/>
    <w:rsid w:val="005D0D8C"/>
    <w:rsid w:val="005E0A4C"/>
    <w:rsid w:val="00603A1E"/>
    <w:rsid w:val="00614BB9"/>
    <w:rsid w:val="006635E0"/>
    <w:rsid w:val="006A6BCD"/>
    <w:rsid w:val="00707064"/>
    <w:rsid w:val="00724CF7"/>
    <w:rsid w:val="00730683"/>
    <w:rsid w:val="00740CFD"/>
    <w:rsid w:val="0075261F"/>
    <w:rsid w:val="0075468E"/>
    <w:rsid w:val="00766E36"/>
    <w:rsid w:val="00770E82"/>
    <w:rsid w:val="00776633"/>
    <w:rsid w:val="00780D61"/>
    <w:rsid w:val="00784D53"/>
    <w:rsid w:val="00797797"/>
    <w:rsid w:val="007B32D1"/>
    <w:rsid w:val="007D24E1"/>
    <w:rsid w:val="007F4CE9"/>
    <w:rsid w:val="007F4E20"/>
    <w:rsid w:val="00815FAC"/>
    <w:rsid w:val="00847060"/>
    <w:rsid w:val="00850A0D"/>
    <w:rsid w:val="00856A33"/>
    <w:rsid w:val="00862466"/>
    <w:rsid w:val="008658BE"/>
    <w:rsid w:val="00887D07"/>
    <w:rsid w:val="00892620"/>
    <w:rsid w:val="008B147B"/>
    <w:rsid w:val="008B44D1"/>
    <w:rsid w:val="008C1974"/>
    <w:rsid w:val="008C361D"/>
    <w:rsid w:val="008C7D37"/>
    <w:rsid w:val="008D0E83"/>
    <w:rsid w:val="008D5885"/>
    <w:rsid w:val="008E4D6F"/>
    <w:rsid w:val="008E51AA"/>
    <w:rsid w:val="008F4B33"/>
    <w:rsid w:val="00901D94"/>
    <w:rsid w:val="00914C81"/>
    <w:rsid w:val="0092046C"/>
    <w:rsid w:val="00923FA2"/>
    <w:rsid w:val="009318AC"/>
    <w:rsid w:val="00934ADC"/>
    <w:rsid w:val="0096060D"/>
    <w:rsid w:val="00965A9D"/>
    <w:rsid w:val="00974A50"/>
    <w:rsid w:val="0097585A"/>
    <w:rsid w:val="009942C9"/>
    <w:rsid w:val="009A2484"/>
    <w:rsid w:val="009C630A"/>
    <w:rsid w:val="009E0D98"/>
    <w:rsid w:val="009F1324"/>
    <w:rsid w:val="009F41D4"/>
    <w:rsid w:val="00A057AE"/>
    <w:rsid w:val="00A068A1"/>
    <w:rsid w:val="00A1207D"/>
    <w:rsid w:val="00A12FD8"/>
    <w:rsid w:val="00A346FC"/>
    <w:rsid w:val="00A37CFD"/>
    <w:rsid w:val="00A44586"/>
    <w:rsid w:val="00A47D31"/>
    <w:rsid w:val="00AA411B"/>
    <w:rsid w:val="00AB1369"/>
    <w:rsid w:val="00AB3BFC"/>
    <w:rsid w:val="00AD0C37"/>
    <w:rsid w:val="00AD6776"/>
    <w:rsid w:val="00AD6E2A"/>
    <w:rsid w:val="00AE059E"/>
    <w:rsid w:val="00AE3EAE"/>
    <w:rsid w:val="00AE6E2A"/>
    <w:rsid w:val="00AF2148"/>
    <w:rsid w:val="00AF41C2"/>
    <w:rsid w:val="00B13112"/>
    <w:rsid w:val="00B17C68"/>
    <w:rsid w:val="00B31E9C"/>
    <w:rsid w:val="00B51C6D"/>
    <w:rsid w:val="00B63DDA"/>
    <w:rsid w:val="00B65694"/>
    <w:rsid w:val="00B66E8C"/>
    <w:rsid w:val="00B756F6"/>
    <w:rsid w:val="00B86D64"/>
    <w:rsid w:val="00B97C60"/>
    <w:rsid w:val="00BA4AC5"/>
    <w:rsid w:val="00BB03C6"/>
    <w:rsid w:val="00BB7ECE"/>
    <w:rsid w:val="00BC1364"/>
    <w:rsid w:val="00BC7DE9"/>
    <w:rsid w:val="00C02577"/>
    <w:rsid w:val="00C16FCB"/>
    <w:rsid w:val="00C20BEE"/>
    <w:rsid w:val="00C25D7F"/>
    <w:rsid w:val="00C3470A"/>
    <w:rsid w:val="00C57EAC"/>
    <w:rsid w:val="00C67DD2"/>
    <w:rsid w:val="00C76F5C"/>
    <w:rsid w:val="00C81E36"/>
    <w:rsid w:val="00C96BAD"/>
    <w:rsid w:val="00CA1DE8"/>
    <w:rsid w:val="00CA6681"/>
    <w:rsid w:val="00CA6944"/>
    <w:rsid w:val="00CB0F8E"/>
    <w:rsid w:val="00CB7E7D"/>
    <w:rsid w:val="00CC2911"/>
    <w:rsid w:val="00CC67B1"/>
    <w:rsid w:val="00CD0DBE"/>
    <w:rsid w:val="00CD17DD"/>
    <w:rsid w:val="00CD1CC3"/>
    <w:rsid w:val="00CE5FEA"/>
    <w:rsid w:val="00CF0C6D"/>
    <w:rsid w:val="00CF40C6"/>
    <w:rsid w:val="00CF7C68"/>
    <w:rsid w:val="00D02197"/>
    <w:rsid w:val="00D124FA"/>
    <w:rsid w:val="00D14D42"/>
    <w:rsid w:val="00D26481"/>
    <w:rsid w:val="00D26761"/>
    <w:rsid w:val="00D340DE"/>
    <w:rsid w:val="00D46394"/>
    <w:rsid w:val="00D5358D"/>
    <w:rsid w:val="00D55723"/>
    <w:rsid w:val="00D557FC"/>
    <w:rsid w:val="00D62FAD"/>
    <w:rsid w:val="00D70450"/>
    <w:rsid w:val="00D90A38"/>
    <w:rsid w:val="00D92DE1"/>
    <w:rsid w:val="00DB0BBE"/>
    <w:rsid w:val="00DB3975"/>
    <w:rsid w:val="00DD2858"/>
    <w:rsid w:val="00DE7D0A"/>
    <w:rsid w:val="00DF7774"/>
    <w:rsid w:val="00E03E33"/>
    <w:rsid w:val="00E3130D"/>
    <w:rsid w:val="00E3642A"/>
    <w:rsid w:val="00E415C4"/>
    <w:rsid w:val="00E50016"/>
    <w:rsid w:val="00E656D6"/>
    <w:rsid w:val="00E952E0"/>
    <w:rsid w:val="00EA67A2"/>
    <w:rsid w:val="00EA76D3"/>
    <w:rsid w:val="00EC00F4"/>
    <w:rsid w:val="00EC4F98"/>
    <w:rsid w:val="00F12F02"/>
    <w:rsid w:val="00F12F5B"/>
    <w:rsid w:val="00F35134"/>
    <w:rsid w:val="00F73333"/>
    <w:rsid w:val="00F74EAF"/>
    <w:rsid w:val="00F759C5"/>
    <w:rsid w:val="00F81312"/>
    <w:rsid w:val="00F84E90"/>
    <w:rsid w:val="00F95D8F"/>
    <w:rsid w:val="00FB350A"/>
    <w:rsid w:val="00FD02AF"/>
    <w:rsid w:val="00FD51F0"/>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1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D0219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D0219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4855">
      <w:bodyDiv w:val="1"/>
      <w:marLeft w:val="0"/>
      <w:marRight w:val="0"/>
      <w:marTop w:val="0"/>
      <w:marBottom w:val="0"/>
      <w:divBdr>
        <w:top w:val="none" w:sz="0" w:space="0" w:color="auto"/>
        <w:left w:val="none" w:sz="0" w:space="0" w:color="auto"/>
        <w:bottom w:val="none" w:sz="0" w:space="0" w:color="auto"/>
        <w:right w:val="none" w:sz="0" w:space="0" w:color="auto"/>
      </w:divBdr>
      <w:divsChild>
        <w:div w:id="703679648">
          <w:marLeft w:val="0"/>
          <w:marRight w:val="0"/>
          <w:marTop w:val="0"/>
          <w:marBottom w:val="0"/>
          <w:divBdr>
            <w:top w:val="none" w:sz="0" w:space="0" w:color="auto"/>
            <w:left w:val="none" w:sz="0" w:space="0" w:color="auto"/>
            <w:bottom w:val="none" w:sz="0" w:space="0" w:color="auto"/>
            <w:right w:val="none" w:sz="0" w:space="0" w:color="auto"/>
          </w:divBdr>
          <w:divsChild>
            <w:div w:id="1164322394">
              <w:marLeft w:val="0"/>
              <w:marRight w:val="0"/>
              <w:marTop w:val="0"/>
              <w:marBottom w:val="0"/>
              <w:divBdr>
                <w:top w:val="none" w:sz="0" w:space="0" w:color="auto"/>
                <w:left w:val="none" w:sz="0" w:space="0" w:color="auto"/>
                <w:bottom w:val="none" w:sz="0" w:space="0" w:color="auto"/>
                <w:right w:val="none" w:sz="0" w:space="0" w:color="auto"/>
              </w:divBdr>
            </w:div>
            <w:div w:id="1302661729">
              <w:marLeft w:val="0"/>
              <w:marRight w:val="0"/>
              <w:marTop w:val="0"/>
              <w:marBottom w:val="0"/>
              <w:divBdr>
                <w:top w:val="none" w:sz="0" w:space="0" w:color="auto"/>
                <w:left w:val="none" w:sz="0" w:space="0" w:color="auto"/>
                <w:bottom w:val="none" w:sz="0" w:space="0" w:color="auto"/>
                <w:right w:val="none" w:sz="0" w:space="0" w:color="auto"/>
              </w:divBdr>
            </w:div>
            <w:div w:id="1786340339">
              <w:marLeft w:val="0"/>
              <w:marRight w:val="0"/>
              <w:marTop w:val="0"/>
              <w:marBottom w:val="0"/>
              <w:divBdr>
                <w:top w:val="none" w:sz="0" w:space="0" w:color="auto"/>
                <w:left w:val="none" w:sz="0" w:space="0" w:color="auto"/>
                <w:bottom w:val="none" w:sz="0" w:space="0" w:color="auto"/>
                <w:right w:val="none" w:sz="0" w:space="0" w:color="auto"/>
              </w:divBdr>
            </w:div>
            <w:div w:id="425350596">
              <w:marLeft w:val="0"/>
              <w:marRight w:val="0"/>
              <w:marTop w:val="0"/>
              <w:marBottom w:val="0"/>
              <w:divBdr>
                <w:top w:val="none" w:sz="0" w:space="0" w:color="auto"/>
                <w:left w:val="none" w:sz="0" w:space="0" w:color="auto"/>
                <w:bottom w:val="none" w:sz="0" w:space="0" w:color="auto"/>
                <w:right w:val="none" w:sz="0" w:space="0" w:color="auto"/>
              </w:divBdr>
            </w:div>
            <w:div w:id="13682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8D59-D478-4E0A-B86B-742A8C94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3</cp:revision>
  <cp:lastPrinted>2014-01-23T05:11:00Z</cp:lastPrinted>
  <dcterms:created xsi:type="dcterms:W3CDTF">2014-05-13T23:44:00Z</dcterms:created>
  <dcterms:modified xsi:type="dcterms:W3CDTF">2014-05-13T23:49:00Z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